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048682E" w14:textId="77777777" w:rsidTr="00C97039">
        <w:trPr>
          <w:trHeight w:hRule="exact" w:val="851"/>
        </w:trPr>
        <w:tc>
          <w:tcPr>
            <w:tcW w:w="1276" w:type="dxa"/>
            <w:tcBorders>
              <w:bottom w:val="single" w:sz="4" w:space="0" w:color="auto"/>
            </w:tcBorders>
          </w:tcPr>
          <w:p w14:paraId="582E0870" w14:textId="77777777" w:rsidR="00F35BAF" w:rsidRPr="00DB58B5" w:rsidRDefault="00F35BAF" w:rsidP="00755BE9"/>
        </w:tc>
        <w:tc>
          <w:tcPr>
            <w:tcW w:w="2268" w:type="dxa"/>
            <w:tcBorders>
              <w:bottom w:val="single" w:sz="4" w:space="0" w:color="auto"/>
            </w:tcBorders>
            <w:vAlign w:val="bottom"/>
          </w:tcPr>
          <w:p w14:paraId="79068641"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A595617" w14:textId="7CB359D0" w:rsidR="00F35BAF" w:rsidRPr="00DB58B5" w:rsidRDefault="00755BE9" w:rsidP="00755BE9">
            <w:pPr>
              <w:jc w:val="right"/>
            </w:pPr>
            <w:r w:rsidRPr="00755BE9">
              <w:rPr>
                <w:sz w:val="40"/>
              </w:rPr>
              <w:t>ECE</w:t>
            </w:r>
            <w:r>
              <w:t>/TRANS/WP</w:t>
            </w:r>
            <w:r w:rsidR="005C07B5" w:rsidRPr="005C07B5">
              <w:t>.</w:t>
            </w:r>
            <w:r w:rsidRPr="005C07B5">
              <w:t>29</w:t>
            </w:r>
            <w:r>
              <w:t>/</w:t>
            </w:r>
            <w:r w:rsidRPr="005C07B5">
              <w:t>2024</w:t>
            </w:r>
            <w:r>
              <w:t>/</w:t>
            </w:r>
            <w:r w:rsidRPr="005C07B5">
              <w:t>158</w:t>
            </w:r>
          </w:p>
        </w:tc>
      </w:tr>
      <w:tr w:rsidR="00F35BAF" w:rsidRPr="00DB58B5" w14:paraId="5FBC466B" w14:textId="77777777" w:rsidTr="00C97039">
        <w:trPr>
          <w:trHeight w:hRule="exact" w:val="2835"/>
        </w:trPr>
        <w:tc>
          <w:tcPr>
            <w:tcW w:w="1276" w:type="dxa"/>
            <w:tcBorders>
              <w:top w:val="single" w:sz="4" w:space="0" w:color="auto"/>
              <w:bottom w:val="single" w:sz="12" w:space="0" w:color="auto"/>
            </w:tcBorders>
          </w:tcPr>
          <w:p w14:paraId="14D16C8E" w14:textId="77777777" w:rsidR="00F35BAF" w:rsidRPr="00DB58B5" w:rsidRDefault="00F35BAF" w:rsidP="00C97039">
            <w:pPr>
              <w:spacing w:before="120"/>
              <w:jc w:val="center"/>
            </w:pPr>
            <w:r>
              <w:rPr>
                <w:noProof/>
                <w:lang w:eastAsia="fr-CH"/>
              </w:rPr>
              <w:drawing>
                <wp:inline distT="0" distB="0" distL="0" distR="0" wp14:anchorId="5569AC89" wp14:editId="520CF3A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13E2DC5"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96EC286" w14:textId="3F2F4732" w:rsidR="00F35BAF" w:rsidRDefault="00755BE9" w:rsidP="00C97039">
            <w:pPr>
              <w:spacing w:before="240"/>
            </w:pPr>
            <w:r>
              <w:t>Distr</w:t>
            </w:r>
            <w:r w:rsidR="005C07B5" w:rsidRPr="005C07B5">
              <w:t>.</w:t>
            </w:r>
            <w:r>
              <w:t xml:space="preserve"> générale</w:t>
            </w:r>
          </w:p>
          <w:p w14:paraId="79294DFE" w14:textId="77777777" w:rsidR="00755BE9" w:rsidRDefault="00755BE9" w:rsidP="00755BE9">
            <w:pPr>
              <w:spacing w:line="240" w:lineRule="exact"/>
            </w:pPr>
            <w:r w:rsidRPr="005C07B5">
              <w:t>3</w:t>
            </w:r>
            <w:r>
              <w:t xml:space="preserve"> septembre </w:t>
            </w:r>
            <w:r w:rsidRPr="005C07B5">
              <w:t>2024</w:t>
            </w:r>
          </w:p>
          <w:p w14:paraId="40A1F5C5" w14:textId="77777777" w:rsidR="00755BE9" w:rsidRDefault="00755BE9" w:rsidP="00755BE9">
            <w:pPr>
              <w:spacing w:line="240" w:lineRule="exact"/>
            </w:pPr>
            <w:r>
              <w:t>Français</w:t>
            </w:r>
          </w:p>
          <w:p w14:paraId="205E6102" w14:textId="0618B43B" w:rsidR="00755BE9" w:rsidRPr="00DB58B5" w:rsidRDefault="00755BE9" w:rsidP="00755BE9">
            <w:pPr>
              <w:spacing w:line="240" w:lineRule="exact"/>
            </w:pPr>
            <w:r>
              <w:t>Original</w:t>
            </w:r>
            <w:r w:rsidR="00C0588B">
              <w:t> :</w:t>
            </w:r>
            <w:r>
              <w:t xml:space="preserve"> anglais</w:t>
            </w:r>
          </w:p>
        </w:tc>
      </w:tr>
    </w:tbl>
    <w:p w14:paraId="54E655A8" w14:textId="09B64776" w:rsidR="007F20FA" w:rsidRPr="000312C0" w:rsidRDefault="007F20FA" w:rsidP="007F20FA">
      <w:pPr>
        <w:spacing w:before="120"/>
        <w:rPr>
          <w:b/>
          <w:sz w:val="28"/>
          <w:szCs w:val="28"/>
        </w:rPr>
      </w:pPr>
      <w:r w:rsidRPr="000312C0">
        <w:rPr>
          <w:b/>
          <w:sz w:val="28"/>
          <w:szCs w:val="28"/>
        </w:rPr>
        <w:t>Commission économique pour l</w:t>
      </w:r>
      <w:r w:rsidR="00C0588B">
        <w:rPr>
          <w:b/>
          <w:sz w:val="28"/>
          <w:szCs w:val="28"/>
        </w:rPr>
        <w:t>’</w:t>
      </w:r>
      <w:r w:rsidRPr="000312C0">
        <w:rPr>
          <w:b/>
          <w:sz w:val="28"/>
          <w:szCs w:val="28"/>
        </w:rPr>
        <w:t>Europe</w:t>
      </w:r>
    </w:p>
    <w:p w14:paraId="2370DF41" w14:textId="77777777" w:rsidR="007F20FA" w:rsidRDefault="007F20FA" w:rsidP="00755BE9">
      <w:pPr>
        <w:spacing w:before="120" w:after="120"/>
        <w:rPr>
          <w:sz w:val="28"/>
          <w:szCs w:val="28"/>
        </w:rPr>
      </w:pPr>
      <w:r w:rsidRPr="00685843">
        <w:rPr>
          <w:sz w:val="28"/>
          <w:szCs w:val="28"/>
        </w:rPr>
        <w:t>Comité des transports intérieurs</w:t>
      </w:r>
    </w:p>
    <w:p w14:paraId="36CB1B72" w14:textId="23357AC6" w:rsidR="00755BE9" w:rsidRPr="00755BE9" w:rsidRDefault="00755BE9" w:rsidP="00755BE9">
      <w:pPr>
        <w:spacing w:after="120"/>
        <w:ind w:right="5385"/>
        <w:rPr>
          <w:b/>
          <w:sz w:val="24"/>
          <w:szCs w:val="24"/>
        </w:rPr>
      </w:pPr>
      <w:r w:rsidRPr="00755BE9">
        <w:rPr>
          <w:b/>
          <w:bCs/>
          <w:sz w:val="24"/>
          <w:szCs w:val="24"/>
          <w:lang w:val="fr-FR"/>
        </w:rPr>
        <w:t>Forum mondial de l</w:t>
      </w:r>
      <w:r w:rsidR="00C0588B">
        <w:rPr>
          <w:b/>
          <w:bCs/>
          <w:sz w:val="24"/>
          <w:szCs w:val="24"/>
          <w:lang w:val="fr-FR"/>
        </w:rPr>
        <w:t>’</w:t>
      </w:r>
      <w:r w:rsidRPr="00755BE9">
        <w:rPr>
          <w:b/>
          <w:bCs/>
          <w:sz w:val="24"/>
          <w:szCs w:val="24"/>
          <w:lang w:val="fr-FR"/>
        </w:rPr>
        <w:t>harmonisation des</w:t>
      </w:r>
      <w:r>
        <w:rPr>
          <w:b/>
          <w:bCs/>
          <w:sz w:val="24"/>
          <w:szCs w:val="24"/>
          <w:lang w:val="fr-FR"/>
        </w:rPr>
        <w:t> </w:t>
      </w:r>
      <w:r w:rsidRPr="00755BE9">
        <w:rPr>
          <w:b/>
          <w:bCs/>
          <w:sz w:val="24"/>
          <w:szCs w:val="24"/>
          <w:lang w:val="fr-FR"/>
        </w:rPr>
        <w:t>Règlements concernant les véhicules</w:t>
      </w:r>
    </w:p>
    <w:p w14:paraId="28E8A275" w14:textId="77777777" w:rsidR="00755BE9" w:rsidRPr="0070453D" w:rsidRDefault="00755BE9" w:rsidP="00755BE9">
      <w:pPr>
        <w:rPr>
          <w:b/>
        </w:rPr>
      </w:pPr>
      <w:r w:rsidRPr="005C07B5">
        <w:rPr>
          <w:b/>
          <w:bCs/>
          <w:lang w:val="fr-FR"/>
        </w:rPr>
        <w:t>194</w:t>
      </w:r>
      <w:r>
        <w:rPr>
          <w:b/>
          <w:bCs/>
          <w:vertAlign w:val="superscript"/>
          <w:lang w:val="fr-FR"/>
        </w:rPr>
        <w:t>e</w:t>
      </w:r>
      <w:r>
        <w:rPr>
          <w:b/>
          <w:bCs/>
          <w:lang w:val="fr-FR"/>
        </w:rPr>
        <w:t xml:space="preserve"> session</w:t>
      </w:r>
    </w:p>
    <w:p w14:paraId="7FAD2543" w14:textId="77777777" w:rsidR="00755BE9" w:rsidRPr="0070453D" w:rsidRDefault="00755BE9" w:rsidP="00755BE9">
      <w:r>
        <w:rPr>
          <w:lang w:val="fr-FR"/>
        </w:rPr>
        <w:t xml:space="preserve">Genève, </w:t>
      </w:r>
      <w:r w:rsidRPr="005C07B5">
        <w:rPr>
          <w:lang w:val="fr-FR"/>
        </w:rPr>
        <w:t>12</w:t>
      </w:r>
      <w:r>
        <w:rPr>
          <w:lang w:val="fr-FR"/>
        </w:rPr>
        <w:t>-</w:t>
      </w:r>
      <w:r w:rsidRPr="005C07B5">
        <w:rPr>
          <w:lang w:val="fr-FR"/>
        </w:rPr>
        <w:t>15</w:t>
      </w:r>
      <w:r>
        <w:rPr>
          <w:lang w:val="fr-FR"/>
        </w:rPr>
        <w:t xml:space="preserve"> novembre </w:t>
      </w:r>
      <w:r w:rsidRPr="005C07B5">
        <w:rPr>
          <w:lang w:val="fr-FR"/>
        </w:rPr>
        <w:t>2024</w:t>
      </w:r>
    </w:p>
    <w:p w14:paraId="2C18DCFE" w14:textId="77777777" w:rsidR="00C0588B" w:rsidRDefault="00755BE9" w:rsidP="00755BE9">
      <w:pPr>
        <w:rPr>
          <w:lang w:val="fr-FR"/>
        </w:rPr>
      </w:pPr>
      <w:r>
        <w:rPr>
          <w:lang w:val="fr-FR"/>
        </w:rPr>
        <w:t xml:space="preserve">Point </w:t>
      </w:r>
      <w:r w:rsidRPr="005C07B5">
        <w:rPr>
          <w:lang w:val="fr-FR"/>
        </w:rPr>
        <w:t>7</w:t>
      </w:r>
      <w:r>
        <w:rPr>
          <w:lang w:val="fr-FR"/>
        </w:rPr>
        <w:t xml:space="preserve"> de l</w:t>
      </w:r>
      <w:r w:rsidR="00C0588B">
        <w:rPr>
          <w:lang w:val="fr-FR"/>
        </w:rPr>
        <w:t>’</w:t>
      </w:r>
      <w:r>
        <w:rPr>
          <w:lang w:val="fr-FR"/>
        </w:rPr>
        <w:t>ordre du jour provisoire</w:t>
      </w:r>
    </w:p>
    <w:p w14:paraId="0B567FCC" w14:textId="073C370F" w:rsidR="00755BE9" w:rsidRPr="0070453D" w:rsidRDefault="00755BE9" w:rsidP="00755BE9">
      <w:pPr>
        <w:rPr>
          <w:b/>
          <w:bCs/>
        </w:rPr>
      </w:pPr>
      <w:r>
        <w:rPr>
          <w:b/>
          <w:bCs/>
          <w:lang w:val="fr-FR"/>
        </w:rPr>
        <w:t xml:space="preserve">Accord de </w:t>
      </w:r>
      <w:r w:rsidRPr="005C07B5">
        <w:rPr>
          <w:b/>
          <w:bCs/>
          <w:lang w:val="fr-FR"/>
        </w:rPr>
        <w:t>1997</w:t>
      </w:r>
      <w:r>
        <w:rPr>
          <w:b/>
          <w:bCs/>
          <w:lang w:val="fr-FR"/>
        </w:rPr>
        <w:t xml:space="preserve"> (Contrôles techniques périodiques)</w:t>
      </w:r>
    </w:p>
    <w:p w14:paraId="10716A9D" w14:textId="56369764" w:rsidR="00755BE9" w:rsidRPr="0070453D" w:rsidRDefault="00755BE9" w:rsidP="00755BE9">
      <w:pPr>
        <w:pStyle w:val="HChG"/>
      </w:pPr>
      <w:r>
        <w:rPr>
          <w:lang w:val="fr-FR"/>
        </w:rPr>
        <w:tab/>
      </w:r>
      <w:r>
        <w:rPr>
          <w:lang w:val="fr-FR"/>
        </w:rPr>
        <w:tab/>
        <w:t>Proposition de mandat du groupe de travail informel du</w:t>
      </w:r>
      <w:r>
        <w:rPr>
          <w:lang w:val="fr-FR"/>
        </w:rPr>
        <w:t> </w:t>
      </w:r>
      <w:r>
        <w:rPr>
          <w:lang w:val="fr-FR"/>
        </w:rPr>
        <w:t>contrôle technique périodique (groupe PTI)</w:t>
      </w:r>
    </w:p>
    <w:p w14:paraId="6A13B0AC" w14:textId="37B00CFF" w:rsidR="00755BE9" w:rsidRPr="0070453D" w:rsidRDefault="00755BE9" w:rsidP="00755BE9">
      <w:pPr>
        <w:pStyle w:val="H1G"/>
        <w:rPr>
          <w:szCs w:val="24"/>
        </w:rPr>
      </w:pPr>
      <w:r>
        <w:rPr>
          <w:lang w:val="fr-FR"/>
        </w:rPr>
        <w:tab/>
      </w:r>
      <w:r>
        <w:rPr>
          <w:lang w:val="fr-FR"/>
        </w:rPr>
        <w:tab/>
        <w:t xml:space="preserve">Communication du groupe de travail informel </w:t>
      </w:r>
      <w:r w:rsidR="009D5B09">
        <w:rPr>
          <w:lang w:val="fr-FR"/>
        </w:rPr>
        <w:br/>
      </w:r>
      <w:r>
        <w:rPr>
          <w:lang w:val="fr-FR"/>
        </w:rPr>
        <w:t>du contrôle technique périodique</w:t>
      </w:r>
      <w:r w:rsidRPr="009D5B09">
        <w:rPr>
          <w:rStyle w:val="FootnoteReference"/>
          <w:b w:val="0"/>
          <w:bCs/>
          <w:sz w:val="20"/>
          <w:vertAlign w:val="baseline"/>
          <w:lang w:val="fr-FR"/>
        </w:rPr>
        <w:footnoteReference w:customMarkFollows="1" w:id="2"/>
        <w:t>*</w:t>
      </w:r>
    </w:p>
    <w:p w14:paraId="106D93B3" w14:textId="22BC20DB" w:rsidR="00755BE9" w:rsidRPr="0070453D" w:rsidRDefault="00755BE9" w:rsidP="00C21479">
      <w:pPr>
        <w:pStyle w:val="SingleTxtG"/>
        <w:ind w:firstLine="567"/>
      </w:pPr>
      <w:r>
        <w:rPr>
          <w:lang w:val="fr-FR"/>
        </w:rPr>
        <w:t>Le texte ci-après, établi par le secrétariat pour répondre à la demande formulée par le Forum mondial de l</w:t>
      </w:r>
      <w:r w:rsidR="00C0588B">
        <w:rPr>
          <w:lang w:val="fr-FR"/>
        </w:rPr>
        <w:t>’</w:t>
      </w:r>
      <w:r>
        <w:rPr>
          <w:lang w:val="fr-FR"/>
        </w:rPr>
        <w:t>harmonisation des Règlements concernant les véhicules (WP</w:t>
      </w:r>
      <w:r w:rsidR="005C07B5" w:rsidRPr="005C07B5">
        <w:rPr>
          <w:lang w:val="fr-FR"/>
        </w:rPr>
        <w:t>.</w:t>
      </w:r>
      <w:r w:rsidRPr="005C07B5">
        <w:rPr>
          <w:lang w:val="fr-FR"/>
        </w:rPr>
        <w:t>29</w:t>
      </w:r>
      <w:r>
        <w:rPr>
          <w:lang w:val="fr-FR"/>
        </w:rPr>
        <w:t xml:space="preserve">) à sa </w:t>
      </w:r>
      <w:r w:rsidR="009A3DD3">
        <w:rPr>
          <w:lang w:val="fr-FR"/>
        </w:rPr>
        <w:t>193</w:t>
      </w:r>
      <w:r w:rsidR="009A3DD3" w:rsidRPr="009A3DD3">
        <w:rPr>
          <w:vertAlign w:val="superscript"/>
          <w:lang w:val="fr-FR"/>
        </w:rPr>
        <w:t>e</w:t>
      </w:r>
      <w:r w:rsidR="009A3DD3">
        <w:rPr>
          <w:lang w:val="fr-FR"/>
        </w:rPr>
        <w:t> </w:t>
      </w:r>
      <w:r>
        <w:rPr>
          <w:lang w:val="fr-FR"/>
        </w:rPr>
        <w:t>session (ECE/TRANS/WP</w:t>
      </w:r>
      <w:r w:rsidR="005C07B5" w:rsidRPr="005C07B5">
        <w:rPr>
          <w:lang w:val="fr-FR"/>
        </w:rPr>
        <w:t>.</w:t>
      </w:r>
      <w:r w:rsidRPr="005C07B5">
        <w:rPr>
          <w:lang w:val="fr-FR"/>
        </w:rPr>
        <w:t>29</w:t>
      </w:r>
      <w:r>
        <w:rPr>
          <w:lang w:val="fr-FR"/>
        </w:rPr>
        <w:t>/</w:t>
      </w:r>
      <w:r w:rsidRPr="005C07B5">
        <w:rPr>
          <w:lang w:val="fr-FR"/>
        </w:rPr>
        <w:t>1179</w:t>
      </w:r>
      <w:r>
        <w:rPr>
          <w:lang w:val="fr-FR"/>
        </w:rPr>
        <w:t>, par</w:t>
      </w:r>
      <w:r w:rsidR="005C07B5" w:rsidRPr="005C07B5">
        <w:rPr>
          <w:lang w:val="fr-FR"/>
        </w:rPr>
        <w:t>.</w:t>
      </w:r>
      <w:r w:rsidR="00A40329">
        <w:rPr>
          <w:lang w:val="fr-FR"/>
        </w:rPr>
        <w:t> </w:t>
      </w:r>
      <w:r w:rsidRPr="005C07B5">
        <w:rPr>
          <w:lang w:val="fr-FR"/>
        </w:rPr>
        <w:t>119</w:t>
      </w:r>
      <w:r>
        <w:rPr>
          <w:lang w:val="fr-FR"/>
        </w:rPr>
        <w:t>), correspond au texte du document informel WP</w:t>
      </w:r>
      <w:r w:rsidR="005C07B5" w:rsidRPr="005C07B5">
        <w:rPr>
          <w:lang w:val="fr-FR"/>
        </w:rPr>
        <w:t>.</w:t>
      </w:r>
      <w:r w:rsidRPr="005C07B5">
        <w:rPr>
          <w:lang w:val="fr-FR"/>
        </w:rPr>
        <w:t>29</w:t>
      </w:r>
      <w:r>
        <w:rPr>
          <w:lang w:val="fr-FR"/>
        </w:rPr>
        <w:t>-</w:t>
      </w:r>
      <w:r w:rsidRPr="005C07B5">
        <w:rPr>
          <w:lang w:val="fr-FR"/>
        </w:rPr>
        <w:t>193</w:t>
      </w:r>
      <w:r>
        <w:rPr>
          <w:lang w:val="fr-FR"/>
        </w:rPr>
        <w:t>-</w:t>
      </w:r>
      <w:r w:rsidRPr="005C07B5">
        <w:rPr>
          <w:lang w:val="fr-FR"/>
        </w:rPr>
        <w:t>07</w:t>
      </w:r>
      <w:r w:rsidR="005C07B5" w:rsidRPr="005C07B5">
        <w:rPr>
          <w:lang w:val="fr-FR"/>
        </w:rPr>
        <w:t>.</w:t>
      </w:r>
    </w:p>
    <w:p w14:paraId="1AD8B635" w14:textId="77777777" w:rsidR="00C21479" w:rsidRDefault="00C21479" w:rsidP="00C21479">
      <w:pPr>
        <w:pStyle w:val="SingleTxtG"/>
      </w:pPr>
    </w:p>
    <w:p w14:paraId="56C7EC01" w14:textId="526C2BCA" w:rsidR="00755BE9" w:rsidRPr="0070453D" w:rsidRDefault="00755BE9" w:rsidP="00C21479">
      <w:pPr>
        <w:pStyle w:val="SingleTxtG"/>
      </w:pPr>
      <w:r w:rsidRPr="0070453D">
        <w:br w:type="page"/>
      </w:r>
    </w:p>
    <w:p w14:paraId="4EB5C21F" w14:textId="4D6573B6" w:rsidR="00755BE9" w:rsidRPr="0070453D" w:rsidRDefault="00755BE9" w:rsidP="00E41988">
      <w:pPr>
        <w:pStyle w:val="HChG"/>
      </w:pPr>
      <w:r>
        <w:rPr>
          <w:lang w:val="fr-FR"/>
        </w:rPr>
        <w:lastRenderedPageBreak/>
        <w:tab/>
      </w:r>
      <w:r>
        <w:rPr>
          <w:lang w:val="fr-FR"/>
        </w:rPr>
        <w:tab/>
        <w:t>Proposition de mandat du groupe de travail informel du</w:t>
      </w:r>
      <w:r w:rsidR="00E41988">
        <w:rPr>
          <w:lang w:val="fr-FR"/>
        </w:rPr>
        <w:t> </w:t>
      </w:r>
      <w:r>
        <w:rPr>
          <w:lang w:val="fr-FR"/>
        </w:rPr>
        <w:t>contrôle technique périodique (groupe PTI)</w:t>
      </w:r>
    </w:p>
    <w:p w14:paraId="2DE4FE59" w14:textId="4773A761" w:rsidR="00755BE9" w:rsidRPr="00470B9A" w:rsidRDefault="00E41988" w:rsidP="00F26B5B">
      <w:pPr>
        <w:pStyle w:val="HChG"/>
        <w:rPr>
          <w:lang w:val="fr-FR"/>
        </w:rPr>
      </w:pPr>
      <w:r>
        <w:rPr>
          <w:lang w:val="fr-FR"/>
        </w:rPr>
        <w:tab/>
      </w:r>
      <w:r w:rsidR="00755BE9">
        <w:rPr>
          <w:lang w:val="fr-FR"/>
        </w:rPr>
        <w:t>A</w:t>
      </w:r>
      <w:r w:rsidR="005C07B5" w:rsidRPr="005C07B5">
        <w:rPr>
          <w:lang w:val="fr-FR"/>
        </w:rPr>
        <w:t>.</w:t>
      </w:r>
      <w:r w:rsidR="00755BE9">
        <w:rPr>
          <w:lang w:val="fr-FR"/>
        </w:rPr>
        <w:tab/>
        <w:t>Préambule</w:t>
      </w:r>
      <w:bookmarkStart w:id="0" w:name="_Toc76394905"/>
      <w:bookmarkEnd w:id="0"/>
    </w:p>
    <w:p w14:paraId="3A8AC6CB" w14:textId="1088A189" w:rsidR="00C0588B" w:rsidRDefault="00755BE9" w:rsidP="00E41988">
      <w:pPr>
        <w:pStyle w:val="SingleTxtG"/>
        <w:ind w:firstLine="567"/>
        <w:rPr>
          <w:lang w:val="fr-FR"/>
        </w:rPr>
      </w:pPr>
      <w:r>
        <w:rPr>
          <w:lang w:val="fr-FR"/>
        </w:rPr>
        <w:t xml:space="preserve">À sa </w:t>
      </w:r>
      <w:r w:rsidRPr="005C07B5">
        <w:rPr>
          <w:lang w:val="fr-FR"/>
        </w:rPr>
        <w:t>184</w:t>
      </w:r>
      <w:r>
        <w:rPr>
          <w:vertAlign w:val="superscript"/>
          <w:lang w:val="fr-FR"/>
        </w:rPr>
        <w:t>e</w:t>
      </w:r>
      <w:r>
        <w:rPr>
          <w:lang w:val="fr-FR"/>
        </w:rPr>
        <w:t xml:space="preserve"> session, le Forum mondial a approuvé le projet de mandat pour le groupe de travail informel du contrôle technique périodique (groupe PTI)</w:t>
      </w:r>
      <w:r w:rsidR="005C07B5" w:rsidRPr="005C07B5">
        <w:rPr>
          <w:lang w:val="fr-FR"/>
        </w:rPr>
        <w:t>.</w:t>
      </w:r>
      <w:r>
        <w:rPr>
          <w:lang w:val="fr-FR"/>
        </w:rPr>
        <w:t xml:space="preserve"> La durée de</w:t>
      </w:r>
      <w:r w:rsidR="00C0588B">
        <w:rPr>
          <w:lang w:val="fr-FR"/>
        </w:rPr>
        <w:t xml:space="preserve"> </w:t>
      </w:r>
      <w:r>
        <w:rPr>
          <w:lang w:val="fr-FR"/>
        </w:rPr>
        <w:t>ce mandat a été fixée à trois ans et peut être prolongée</w:t>
      </w:r>
      <w:r w:rsidR="005C07B5" w:rsidRPr="005C07B5">
        <w:rPr>
          <w:lang w:val="fr-FR"/>
        </w:rPr>
        <w:t>.</w:t>
      </w:r>
      <w:r>
        <w:rPr>
          <w:lang w:val="fr-FR"/>
        </w:rPr>
        <w:t xml:space="preserve"> Les coprésidents demandent au WP</w:t>
      </w:r>
      <w:r w:rsidR="005C07B5" w:rsidRPr="005C07B5">
        <w:rPr>
          <w:lang w:val="fr-FR"/>
        </w:rPr>
        <w:t>.</w:t>
      </w:r>
      <w:r w:rsidRPr="005C07B5">
        <w:rPr>
          <w:lang w:val="fr-FR"/>
        </w:rPr>
        <w:t>29</w:t>
      </w:r>
      <w:r>
        <w:rPr>
          <w:lang w:val="fr-FR"/>
        </w:rPr>
        <w:t xml:space="preserve"> de proroger le mandat du groupe PTI jusqu</w:t>
      </w:r>
      <w:r w:rsidR="00C0588B">
        <w:rPr>
          <w:lang w:val="fr-FR"/>
        </w:rPr>
        <w:t>’</w:t>
      </w:r>
      <w:r>
        <w:rPr>
          <w:lang w:val="fr-FR"/>
        </w:rPr>
        <w:t xml:space="preserve">en juin </w:t>
      </w:r>
      <w:r w:rsidRPr="005C07B5">
        <w:rPr>
          <w:lang w:val="fr-FR"/>
        </w:rPr>
        <w:t>2027</w:t>
      </w:r>
      <w:r>
        <w:rPr>
          <w:lang w:val="fr-FR"/>
        </w:rPr>
        <w:t xml:space="preserve"> et présentent un mandat révisé</w:t>
      </w:r>
      <w:r w:rsidR="005C07B5" w:rsidRPr="005C07B5">
        <w:rPr>
          <w:lang w:val="fr-FR"/>
        </w:rPr>
        <w:t>.</w:t>
      </w:r>
    </w:p>
    <w:p w14:paraId="1E26D05F" w14:textId="5E199A0A" w:rsidR="00C0588B" w:rsidRDefault="00755BE9" w:rsidP="00E41988">
      <w:pPr>
        <w:pStyle w:val="SingleTxtG"/>
        <w:ind w:firstLine="567"/>
        <w:rPr>
          <w:lang w:val="fr-FR"/>
        </w:rPr>
      </w:pPr>
      <w:r>
        <w:rPr>
          <w:lang w:val="fr-FR"/>
        </w:rPr>
        <w:t>Les travaux mentionnés dans le présent document sont intrinsèquement liés à l</w:t>
      </w:r>
      <w:r w:rsidR="00C0588B">
        <w:rPr>
          <w:lang w:val="fr-FR"/>
        </w:rPr>
        <w:t>’</w:t>
      </w:r>
      <w:r>
        <w:rPr>
          <w:lang w:val="fr-FR"/>
        </w:rPr>
        <w:t xml:space="preserve">évolution des Accords de </w:t>
      </w:r>
      <w:r w:rsidRPr="005C07B5">
        <w:rPr>
          <w:lang w:val="fr-FR"/>
        </w:rPr>
        <w:t>1958</w:t>
      </w:r>
      <w:r>
        <w:rPr>
          <w:lang w:val="fr-FR"/>
        </w:rPr>
        <w:t xml:space="preserve">, </w:t>
      </w:r>
      <w:r w:rsidRPr="005C07B5">
        <w:rPr>
          <w:lang w:val="fr-FR"/>
        </w:rPr>
        <w:t>1998</w:t>
      </w:r>
      <w:r>
        <w:rPr>
          <w:lang w:val="fr-FR"/>
        </w:rPr>
        <w:t xml:space="preserve"> et </w:t>
      </w:r>
      <w:r w:rsidRPr="005C07B5">
        <w:rPr>
          <w:lang w:val="fr-FR"/>
        </w:rPr>
        <w:t>1997</w:t>
      </w:r>
      <w:r w:rsidR="00C0588B">
        <w:rPr>
          <w:lang w:val="fr-FR"/>
        </w:rPr>
        <w:t> ;</w:t>
      </w:r>
      <w:r>
        <w:rPr>
          <w:lang w:val="fr-FR"/>
        </w:rPr>
        <w:t xml:space="preserve"> l</w:t>
      </w:r>
      <w:r w:rsidR="00C0588B">
        <w:rPr>
          <w:lang w:val="fr-FR"/>
        </w:rPr>
        <w:t>’</w:t>
      </w:r>
      <w:r>
        <w:rPr>
          <w:lang w:val="fr-FR"/>
        </w:rPr>
        <w:t>objectif est de fournir des orientations au groupe PTI pour lui permettre de coordonner ses activités corrélées aux différentes étapes de la vie juridique des véhicules, des équipements et des pièces</w:t>
      </w:r>
      <w:r w:rsidR="005C07B5" w:rsidRPr="005C07B5">
        <w:rPr>
          <w:lang w:val="fr-FR"/>
        </w:rPr>
        <w:t>.</w:t>
      </w:r>
    </w:p>
    <w:p w14:paraId="0D8E574E" w14:textId="428D4DA4" w:rsidR="00755BE9" w:rsidRPr="00F05ADB" w:rsidRDefault="00E41988" w:rsidP="00F26B5B">
      <w:pPr>
        <w:pStyle w:val="HChG"/>
      </w:pPr>
      <w:r>
        <w:rPr>
          <w:lang w:val="fr-FR"/>
        </w:rPr>
        <w:tab/>
      </w:r>
      <w:r w:rsidR="00755BE9">
        <w:rPr>
          <w:lang w:val="fr-FR"/>
        </w:rPr>
        <w:t>B</w:t>
      </w:r>
      <w:r w:rsidR="005C07B5" w:rsidRPr="005C07B5">
        <w:rPr>
          <w:lang w:val="fr-FR"/>
        </w:rPr>
        <w:t>.</w:t>
      </w:r>
      <w:r w:rsidR="00755BE9">
        <w:rPr>
          <w:lang w:val="fr-FR"/>
        </w:rPr>
        <w:tab/>
        <w:t>Projet de mandat du groupe de travail informel du contrôle technique périodique (groupe PTI)</w:t>
      </w:r>
      <w:bookmarkStart w:id="1" w:name="_Toc76394906"/>
      <w:bookmarkEnd w:id="1"/>
    </w:p>
    <w:p w14:paraId="28B806E8" w14:textId="0D34D6F5" w:rsidR="00755BE9" w:rsidRPr="0070453D" w:rsidRDefault="00E41988" w:rsidP="00F26B5B">
      <w:pPr>
        <w:pStyle w:val="H1G"/>
      </w:pPr>
      <w:r>
        <w:rPr>
          <w:lang w:val="fr-FR"/>
        </w:rPr>
        <w:tab/>
      </w:r>
      <w:r w:rsidR="00755BE9" w:rsidRPr="005C07B5">
        <w:rPr>
          <w:lang w:val="fr-FR"/>
        </w:rPr>
        <w:t>1</w:t>
      </w:r>
      <w:r w:rsidR="005C07B5" w:rsidRPr="005C07B5">
        <w:rPr>
          <w:lang w:val="fr-FR"/>
        </w:rPr>
        <w:t>.</w:t>
      </w:r>
      <w:r w:rsidR="00755BE9">
        <w:rPr>
          <w:lang w:val="fr-FR"/>
        </w:rPr>
        <w:tab/>
        <w:t>Introduction</w:t>
      </w:r>
      <w:bookmarkStart w:id="2" w:name="_Toc76394907"/>
      <w:bookmarkEnd w:id="2"/>
    </w:p>
    <w:p w14:paraId="192827B6" w14:textId="581AC8D9" w:rsidR="00C0588B" w:rsidRDefault="00755BE9" w:rsidP="00817F74">
      <w:pPr>
        <w:pStyle w:val="SingleTxtG"/>
        <w:rPr>
          <w:lang w:val="fr-FR"/>
        </w:rPr>
      </w:pPr>
      <w:r w:rsidRPr="005C07B5">
        <w:rPr>
          <w:lang w:val="fr-FR"/>
        </w:rPr>
        <w:t>1</w:t>
      </w:r>
      <w:r w:rsidR="005C07B5" w:rsidRPr="005C07B5">
        <w:rPr>
          <w:lang w:val="fr-FR"/>
        </w:rPr>
        <w:t>.</w:t>
      </w:r>
      <w:r>
        <w:rPr>
          <w:lang w:val="fr-FR"/>
        </w:rPr>
        <w:tab/>
        <w:t>Le WP</w:t>
      </w:r>
      <w:r w:rsidR="005C07B5" w:rsidRPr="005C07B5">
        <w:rPr>
          <w:lang w:val="fr-FR"/>
        </w:rPr>
        <w:t>.</w:t>
      </w:r>
      <w:r w:rsidRPr="005C07B5">
        <w:rPr>
          <w:lang w:val="fr-FR"/>
        </w:rPr>
        <w:t>29</w:t>
      </w:r>
      <w:r>
        <w:rPr>
          <w:lang w:val="fr-FR"/>
        </w:rPr>
        <w:t xml:space="preserve"> assure l</w:t>
      </w:r>
      <w:r w:rsidR="00C0588B">
        <w:rPr>
          <w:lang w:val="fr-FR"/>
        </w:rPr>
        <w:t>’</w:t>
      </w:r>
      <w:r>
        <w:rPr>
          <w:lang w:val="fr-FR"/>
        </w:rPr>
        <w:t>harmonisation des dispositions techniques et/ou l</w:t>
      </w:r>
      <w:r w:rsidR="00C0588B">
        <w:rPr>
          <w:lang w:val="fr-FR"/>
        </w:rPr>
        <w:t>’</w:t>
      </w:r>
      <w:r>
        <w:rPr>
          <w:lang w:val="fr-FR"/>
        </w:rPr>
        <w:t>élaboration d</w:t>
      </w:r>
      <w:r w:rsidR="00C0588B">
        <w:rPr>
          <w:lang w:val="fr-FR"/>
        </w:rPr>
        <w:t>’</w:t>
      </w:r>
      <w:r>
        <w:rPr>
          <w:lang w:val="fr-FR"/>
        </w:rPr>
        <w:t xml:space="preserve">orientations et de résolutions concernant le contrôle de la conformité des véhicules pendant leur durée de vie dans le cadre défini par les Accords de Genève de </w:t>
      </w:r>
      <w:r w:rsidRPr="005C07B5">
        <w:rPr>
          <w:lang w:val="fr-FR"/>
        </w:rPr>
        <w:t>1958</w:t>
      </w:r>
      <w:r>
        <w:rPr>
          <w:lang w:val="fr-FR"/>
        </w:rPr>
        <w:t xml:space="preserve"> et </w:t>
      </w:r>
      <w:r w:rsidRPr="005C07B5">
        <w:rPr>
          <w:lang w:val="fr-FR"/>
        </w:rPr>
        <w:t>1998</w:t>
      </w:r>
      <w:r>
        <w:rPr>
          <w:lang w:val="fr-FR"/>
        </w:rPr>
        <w:t xml:space="preserve"> et par l</w:t>
      </w:r>
      <w:r w:rsidR="00C0588B">
        <w:rPr>
          <w:lang w:val="fr-FR"/>
        </w:rPr>
        <w:t>’</w:t>
      </w:r>
      <w:r>
        <w:rPr>
          <w:lang w:val="fr-FR"/>
        </w:rPr>
        <w:t xml:space="preserve">Accord de Vienne de </w:t>
      </w:r>
      <w:r w:rsidRPr="005C07B5">
        <w:rPr>
          <w:lang w:val="fr-FR"/>
        </w:rPr>
        <w:t>1997</w:t>
      </w:r>
      <w:r w:rsidR="005C07B5" w:rsidRPr="005C07B5">
        <w:rPr>
          <w:lang w:val="fr-FR"/>
        </w:rPr>
        <w:t>.</w:t>
      </w:r>
      <w:r w:rsidRPr="006F6811">
        <w:rPr>
          <w:lang w:val="fr-FR"/>
        </w:rPr>
        <w:t xml:space="preserve"> Le groupe PTI et plusieurs groupes de travail ont </w:t>
      </w:r>
      <w:r>
        <w:rPr>
          <w:lang w:val="fr-FR"/>
        </w:rPr>
        <w:t>effectué</w:t>
      </w:r>
      <w:r w:rsidRPr="006F6811">
        <w:rPr>
          <w:lang w:val="fr-FR"/>
        </w:rPr>
        <w:t xml:space="preserve"> des travaux destinés à réglementer </w:t>
      </w:r>
      <w:r>
        <w:rPr>
          <w:lang w:val="fr-FR"/>
        </w:rPr>
        <w:t>dans ce domaine</w:t>
      </w:r>
      <w:r w:rsidRPr="006F6811">
        <w:rPr>
          <w:lang w:val="fr-FR"/>
        </w:rPr>
        <w:t>,</w:t>
      </w:r>
      <w:r w:rsidRPr="006F6811">
        <w:t xml:space="preserve"> en veillant à assurer un bon niveau de coordination entre eux</w:t>
      </w:r>
      <w:r w:rsidR="005C07B5" w:rsidRPr="005C07B5">
        <w:rPr>
          <w:lang w:val="fr-FR"/>
        </w:rPr>
        <w:t>.</w:t>
      </w:r>
    </w:p>
    <w:p w14:paraId="584FDA60" w14:textId="6383AC4A" w:rsidR="00755BE9" w:rsidRPr="0070453D" w:rsidRDefault="00817F74" w:rsidP="00817F74">
      <w:pPr>
        <w:pStyle w:val="H1G"/>
      </w:pPr>
      <w:r>
        <w:rPr>
          <w:lang w:val="fr-FR"/>
        </w:rPr>
        <w:tab/>
      </w:r>
      <w:r w:rsidR="00755BE9" w:rsidRPr="005C07B5">
        <w:rPr>
          <w:lang w:val="fr-FR"/>
        </w:rPr>
        <w:t>2</w:t>
      </w:r>
      <w:r w:rsidR="005C07B5" w:rsidRPr="005C07B5">
        <w:rPr>
          <w:lang w:val="fr-FR"/>
        </w:rPr>
        <w:t>.</w:t>
      </w:r>
      <w:r w:rsidR="00755BE9" w:rsidRPr="006F5786">
        <w:rPr>
          <w:lang w:val="fr-FR"/>
        </w:rPr>
        <w:tab/>
        <w:t>Axes de travail</w:t>
      </w:r>
      <w:bookmarkStart w:id="3" w:name="_Toc76394908"/>
      <w:bookmarkEnd w:id="3"/>
    </w:p>
    <w:p w14:paraId="0A798B91" w14:textId="2EE70F9A" w:rsidR="00755BE9" w:rsidRPr="0070453D" w:rsidRDefault="00817F74" w:rsidP="00B40B27">
      <w:pPr>
        <w:pStyle w:val="H23G"/>
        <w:spacing w:after="100"/>
      </w:pPr>
      <w:bookmarkStart w:id="4" w:name="_Toc76394909"/>
      <w:r>
        <w:rPr>
          <w:lang w:val="fr-FR"/>
        </w:rPr>
        <w:tab/>
      </w:r>
      <w:r w:rsidR="00755BE9">
        <w:rPr>
          <w:lang w:val="fr-FR"/>
        </w:rPr>
        <w:t>a)</w:t>
      </w:r>
      <w:r w:rsidR="00755BE9">
        <w:rPr>
          <w:lang w:val="fr-FR"/>
        </w:rPr>
        <w:tab/>
        <w:t>Conformité permanente</w:t>
      </w:r>
      <w:bookmarkEnd w:id="4"/>
    </w:p>
    <w:p w14:paraId="73EBE25C" w14:textId="443955AA" w:rsidR="00755BE9" w:rsidRPr="00F05ADB" w:rsidRDefault="00755BE9" w:rsidP="00B40B27">
      <w:pPr>
        <w:pStyle w:val="SingleTxtG"/>
        <w:spacing w:after="100"/>
      </w:pPr>
      <w:r w:rsidRPr="005C07B5">
        <w:rPr>
          <w:lang w:val="fr-FR"/>
        </w:rPr>
        <w:t>2</w:t>
      </w:r>
      <w:r w:rsidR="005C07B5" w:rsidRPr="005C07B5">
        <w:rPr>
          <w:lang w:val="fr-FR"/>
        </w:rPr>
        <w:t>.</w:t>
      </w:r>
      <w:r>
        <w:rPr>
          <w:lang w:val="fr-FR"/>
        </w:rPr>
        <w:tab/>
        <w:t>Le document ECE/TRANS/WP</w:t>
      </w:r>
      <w:r w:rsidR="005C07B5" w:rsidRPr="005C07B5">
        <w:rPr>
          <w:lang w:val="fr-FR"/>
        </w:rPr>
        <w:t>.</w:t>
      </w:r>
      <w:r w:rsidRPr="005C07B5">
        <w:rPr>
          <w:lang w:val="fr-FR"/>
        </w:rPr>
        <w:t>29</w:t>
      </w:r>
      <w:r>
        <w:rPr>
          <w:lang w:val="fr-FR"/>
        </w:rPr>
        <w:t>/</w:t>
      </w:r>
      <w:r w:rsidRPr="005C07B5">
        <w:rPr>
          <w:lang w:val="fr-FR"/>
        </w:rPr>
        <w:t>2023</w:t>
      </w:r>
      <w:r>
        <w:rPr>
          <w:lang w:val="fr-FR"/>
        </w:rPr>
        <w:t>/</w:t>
      </w:r>
      <w:r w:rsidRPr="005C07B5">
        <w:rPr>
          <w:lang w:val="fr-FR"/>
        </w:rPr>
        <w:t>89</w:t>
      </w:r>
      <w:r>
        <w:rPr>
          <w:lang w:val="fr-FR"/>
        </w:rPr>
        <w:t xml:space="preserve"> expose la vision stratégique pour les activités du WP</w:t>
      </w:r>
      <w:r w:rsidR="005C07B5" w:rsidRPr="005C07B5">
        <w:rPr>
          <w:lang w:val="fr-FR"/>
        </w:rPr>
        <w:t>.</w:t>
      </w:r>
      <w:r w:rsidRPr="005C07B5">
        <w:rPr>
          <w:lang w:val="fr-FR"/>
        </w:rPr>
        <w:t>29</w:t>
      </w:r>
      <w:r>
        <w:rPr>
          <w:lang w:val="fr-FR"/>
        </w:rPr>
        <w:t>, des groupes de travail et du groupe PTI, selon laquelle un bon niveau de coordination doit être assuré sur la question de la vérification fiable et impartiale de la conformité des produits automobiles pendant leur durée de vie</w:t>
      </w:r>
      <w:r w:rsidR="005C07B5" w:rsidRPr="005C07B5">
        <w:rPr>
          <w:lang w:val="fr-FR"/>
        </w:rPr>
        <w:t>.</w:t>
      </w:r>
      <w:r>
        <w:rPr>
          <w:lang w:val="fr-FR"/>
        </w:rPr>
        <w:t xml:space="preserve"> Il s</w:t>
      </w:r>
      <w:r w:rsidR="00C0588B">
        <w:rPr>
          <w:lang w:val="fr-FR"/>
        </w:rPr>
        <w:t>’</w:t>
      </w:r>
      <w:r>
        <w:rPr>
          <w:lang w:val="fr-FR"/>
        </w:rPr>
        <w:t>agit d</w:t>
      </w:r>
      <w:r w:rsidR="00C0588B">
        <w:rPr>
          <w:lang w:val="fr-FR"/>
        </w:rPr>
        <w:t>’</w:t>
      </w:r>
      <w:r>
        <w:rPr>
          <w:lang w:val="fr-FR"/>
        </w:rPr>
        <w:t>un document-cadre où sont décrits des questions, thèmes et produits destinés à éclairer les discussions, les</w:t>
      </w:r>
      <w:r w:rsidR="002B7241">
        <w:rPr>
          <w:lang w:val="fr-FR"/>
        </w:rPr>
        <w:t> </w:t>
      </w:r>
      <w:r>
        <w:rPr>
          <w:lang w:val="fr-FR"/>
        </w:rPr>
        <w:t>activités et les résultats du groupe PTI</w:t>
      </w:r>
      <w:r w:rsidR="005C07B5" w:rsidRPr="005C07B5">
        <w:rPr>
          <w:lang w:val="fr-FR"/>
        </w:rPr>
        <w:t>.</w:t>
      </w:r>
    </w:p>
    <w:p w14:paraId="3B57D577" w14:textId="74444F48" w:rsidR="00755BE9" w:rsidRPr="0070453D" w:rsidRDefault="00817F74" w:rsidP="00B40B27">
      <w:pPr>
        <w:pStyle w:val="H23G"/>
        <w:spacing w:after="100"/>
        <w:rPr>
          <w:rFonts w:eastAsia="MS Mincho"/>
        </w:rPr>
      </w:pPr>
      <w:r>
        <w:rPr>
          <w:lang w:val="fr-FR"/>
        </w:rPr>
        <w:tab/>
      </w:r>
      <w:r w:rsidR="00755BE9">
        <w:rPr>
          <w:lang w:val="fr-FR"/>
        </w:rPr>
        <w:t>b)</w:t>
      </w:r>
      <w:r w:rsidR="00755BE9">
        <w:rPr>
          <w:lang w:val="fr-FR"/>
        </w:rPr>
        <w:tab/>
        <w:t>Mesures de détection des modifications non autorisées</w:t>
      </w:r>
      <w:r w:rsidR="00C0588B">
        <w:rPr>
          <w:lang w:val="fr-FR"/>
        </w:rPr>
        <w:t> :</w:t>
      </w:r>
      <w:r w:rsidR="00755BE9">
        <w:rPr>
          <w:lang w:val="fr-FR"/>
        </w:rPr>
        <w:t xml:space="preserve"> méthodes et </w:t>
      </w:r>
      <w:bookmarkStart w:id="5" w:name="_Toc76394910"/>
      <w:bookmarkEnd w:id="5"/>
      <w:r w:rsidR="00755BE9">
        <w:rPr>
          <w:lang w:val="fr-FR"/>
        </w:rPr>
        <w:t>contrôle</w:t>
      </w:r>
    </w:p>
    <w:p w14:paraId="2424D3D8" w14:textId="3495ECA8" w:rsidR="00C0588B" w:rsidRDefault="00755BE9" w:rsidP="00B40B27">
      <w:pPr>
        <w:pStyle w:val="SingleTxtG"/>
        <w:spacing w:after="100"/>
        <w:rPr>
          <w:lang w:val="fr-FR"/>
        </w:rPr>
      </w:pPr>
      <w:r w:rsidRPr="005C07B5">
        <w:rPr>
          <w:lang w:val="fr-FR"/>
        </w:rPr>
        <w:t>3</w:t>
      </w:r>
      <w:r w:rsidR="005C07B5" w:rsidRPr="005C07B5">
        <w:rPr>
          <w:lang w:val="fr-FR"/>
        </w:rPr>
        <w:t>.</w:t>
      </w:r>
      <w:r>
        <w:rPr>
          <w:lang w:val="fr-FR"/>
        </w:rPr>
        <w:tab/>
        <w:t>Les moyens permettant de déceler une utilisation non autorisée d</w:t>
      </w:r>
      <w:r w:rsidR="00C0588B">
        <w:rPr>
          <w:lang w:val="fr-FR"/>
        </w:rPr>
        <w:t>’</w:t>
      </w:r>
      <w:r>
        <w:rPr>
          <w:lang w:val="fr-FR"/>
        </w:rPr>
        <w:t>éléments ou de systèmes de sécurité et de respect de l</w:t>
      </w:r>
      <w:r w:rsidR="00C0588B">
        <w:rPr>
          <w:lang w:val="fr-FR"/>
        </w:rPr>
        <w:t>’</w:t>
      </w:r>
      <w:r>
        <w:rPr>
          <w:lang w:val="fr-FR"/>
        </w:rPr>
        <w:t>environnement doivent être examinés conformément aux principes énoncés dans le document-cadre ECE/TRANS/WP</w:t>
      </w:r>
      <w:r w:rsidR="005C07B5" w:rsidRPr="005C07B5">
        <w:rPr>
          <w:lang w:val="fr-FR"/>
        </w:rPr>
        <w:t>.</w:t>
      </w:r>
      <w:r w:rsidRPr="005C07B5">
        <w:rPr>
          <w:lang w:val="fr-FR"/>
        </w:rPr>
        <w:t>29</w:t>
      </w:r>
      <w:r>
        <w:rPr>
          <w:lang w:val="fr-FR"/>
        </w:rPr>
        <w:t>/</w:t>
      </w:r>
      <w:r w:rsidRPr="005C07B5">
        <w:rPr>
          <w:lang w:val="fr-FR"/>
        </w:rPr>
        <w:t>2023</w:t>
      </w:r>
      <w:r>
        <w:rPr>
          <w:lang w:val="fr-FR"/>
        </w:rPr>
        <w:t>/</w:t>
      </w:r>
      <w:r w:rsidRPr="005C07B5">
        <w:rPr>
          <w:lang w:val="fr-FR"/>
        </w:rPr>
        <w:t>89</w:t>
      </w:r>
      <w:r w:rsidR="005C07B5" w:rsidRPr="005C07B5">
        <w:rPr>
          <w:lang w:val="fr-FR"/>
        </w:rPr>
        <w:t>.</w:t>
      </w:r>
    </w:p>
    <w:p w14:paraId="5B4CF7E7" w14:textId="09FC03A7" w:rsidR="00755BE9" w:rsidRPr="00096FBE" w:rsidRDefault="00817F74" w:rsidP="00B40B27">
      <w:pPr>
        <w:pStyle w:val="H23G"/>
        <w:spacing w:after="100"/>
        <w:rPr>
          <w:rFonts w:ascii="Times New Roman Bold" w:eastAsia="MS Mincho" w:hAnsi="Times New Roman Bold"/>
          <w:spacing w:val="-2"/>
        </w:rPr>
      </w:pPr>
      <w:r w:rsidRPr="00096FBE">
        <w:rPr>
          <w:rFonts w:ascii="Times New Roman Bold" w:hAnsi="Times New Roman Bold"/>
          <w:spacing w:val="-2"/>
          <w:lang w:val="fr-FR"/>
        </w:rPr>
        <w:tab/>
      </w:r>
      <w:r w:rsidR="00755BE9" w:rsidRPr="00096FBE">
        <w:rPr>
          <w:rFonts w:ascii="Times New Roman Bold" w:hAnsi="Times New Roman Bold"/>
          <w:spacing w:val="-2"/>
          <w:lang w:val="fr-FR"/>
        </w:rPr>
        <w:t>c)</w:t>
      </w:r>
      <w:r w:rsidR="00755BE9" w:rsidRPr="00096FBE">
        <w:rPr>
          <w:rFonts w:ascii="Times New Roman Bold" w:hAnsi="Times New Roman Bold"/>
          <w:spacing w:val="-2"/>
          <w:lang w:val="fr-FR"/>
        </w:rPr>
        <w:tab/>
        <w:t>Systèmes actifs d</w:t>
      </w:r>
      <w:r w:rsidR="00C0588B" w:rsidRPr="00096FBE">
        <w:rPr>
          <w:rFonts w:ascii="Times New Roman Bold" w:hAnsi="Times New Roman Bold"/>
          <w:spacing w:val="-2"/>
          <w:lang w:val="fr-FR"/>
        </w:rPr>
        <w:t>’</w:t>
      </w:r>
      <w:r w:rsidR="00755BE9" w:rsidRPr="00096FBE">
        <w:rPr>
          <w:rFonts w:ascii="Times New Roman Bold" w:hAnsi="Times New Roman Bold"/>
          <w:spacing w:val="-2"/>
          <w:lang w:val="fr-FR"/>
        </w:rPr>
        <w:t>aide à la conduite (ADAS) et systèmes de conduite automatisés (ADS)</w:t>
      </w:r>
    </w:p>
    <w:p w14:paraId="32CF4B2F" w14:textId="09FF38B2" w:rsidR="00755BE9" w:rsidRPr="0070453D" w:rsidRDefault="00755BE9" w:rsidP="00B40B27">
      <w:pPr>
        <w:pStyle w:val="SingleTxtG"/>
        <w:spacing w:after="100"/>
      </w:pPr>
      <w:r w:rsidRPr="005C07B5">
        <w:rPr>
          <w:lang w:val="fr-FR"/>
        </w:rPr>
        <w:t>4</w:t>
      </w:r>
      <w:r w:rsidR="005C07B5" w:rsidRPr="005C07B5">
        <w:rPr>
          <w:lang w:val="fr-FR"/>
        </w:rPr>
        <w:t>.</w:t>
      </w:r>
      <w:r>
        <w:rPr>
          <w:lang w:val="fr-FR"/>
        </w:rPr>
        <w:tab/>
        <w:t>Les travaux destinés à réglementer les systèmes ADAS et ADS sont orientés selon les principes décrits dans le document-cadre ECE/TRANS/WP</w:t>
      </w:r>
      <w:r w:rsidR="005C07B5" w:rsidRPr="005C07B5">
        <w:rPr>
          <w:lang w:val="fr-FR"/>
        </w:rPr>
        <w:t>.</w:t>
      </w:r>
      <w:r w:rsidRPr="005C07B5">
        <w:rPr>
          <w:lang w:val="fr-FR"/>
        </w:rPr>
        <w:t>29</w:t>
      </w:r>
      <w:r>
        <w:rPr>
          <w:lang w:val="fr-FR"/>
        </w:rPr>
        <w:t>/</w:t>
      </w:r>
      <w:r w:rsidRPr="005C07B5">
        <w:rPr>
          <w:lang w:val="fr-FR"/>
        </w:rPr>
        <w:t>2019</w:t>
      </w:r>
      <w:r>
        <w:rPr>
          <w:lang w:val="fr-FR"/>
        </w:rPr>
        <w:t>/</w:t>
      </w:r>
      <w:r w:rsidRPr="005C07B5">
        <w:rPr>
          <w:lang w:val="fr-FR"/>
        </w:rPr>
        <w:t>34</w:t>
      </w:r>
      <w:r>
        <w:rPr>
          <w:lang w:val="fr-FR"/>
        </w:rPr>
        <w:t>/Rev</w:t>
      </w:r>
      <w:r w:rsidR="005C07B5" w:rsidRPr="005C07B5">
        <w:rPr>
          <w:lang w:val="fr-FR"/>
        </w:rPr>
        <w:t>.</w:t>
      </w:r>
      <w:r w:rsidRPr="005C07B5">
        <w:rPr>
          <w:lang w:val="fr-FR"/>
        </w:rPr>
        <w:t>2</w:t>
      </w:r>
      <w:r w:rsidR="005C07B5" w:rsidRPr="005C07B5">
        <w:rPr>
          <w:lang w:val="fr-FR"/>
        </w:rPr>
        <w:t>.</w:t>
      </w:r>
      <w:r>
        <w:rPr>
          <w:lang w:val="fr-FR"/>
        </w:rPr>
        <w:t xml:space="preserve"> Toutefois, on</w:t>
      </w:r>
      <w:r w:rsidR="00B40B27">
        <w:rPr>
          <w:lang w:val="fr-FR"/>
        </w:rPr>
        <w:t> </w:t>
      </w:r>
      <w:r>
        <w:rPr>
          <w:lang w:val="fr-FR"/>
        </w:rPr>
        <w:t>ne sait toujours pas dans quelle mesure des dispositions spéciales pourraient être nécessaires pour les contrôles techniques périodiques des véhicules sans conducteur</w:t>
      </w:r>
      <w:r w:rsidR="005C07B5" w:rsidRPr="005C07B5">
        <w:rPr>
          <w:lang w:val="fr-FR"/>
        </w:rPr>
        <w:t>.</w:t>
      </w:r>
    </w:p>
    <w:p w14:paraId="558423FD" w14:textId="5A933321" w:rsidR="00755BE9" w:rsidRPr="0070453D" w:rsidRDefault="00755BE9" w:rsidP="00B40B27">
      <w:pPr>
        <w:pStyle w:val="SingleTxtG"/>
        <w:spacing w:after="100"/>
      </w:pPr>
      <w:r w:rsidRPr="005C07B5">
        <w:rPr>
          <w:lang w:val="fr-FR"/>
        </w:rPr>
        <w:t>5</w:t>
      </w:r>
      <w:r w:rsidR="005C07B5" w:rsidRPr="005C07B5">
        <w:rPr>
          <w:lang w:val="fr-FR"/>
        </w:rPr>
        <w:t>.</w:t>
      </w:r>
      <w:r>
        <w:rPr>
          <w:lang w:val="fr-FR"/>
        </w:rPr>
        <w:tab/>
        <w:t>Le groupe PTI travaille conformément aux principes énoncés dans les documents-cadres ECE/TRANS/WP</w:t>
      </w:r>
      <w:r w:rsidR="005C07B5" w:rsidRPr="005C07B5">
        <w:rPr>
          <w:lang w:val="fr-FR"/>
        </w:rPr>
        <w:t>.</w:t>
      </w:r>
      <w:r w:rsidRPr="005C07B5">
        <w:rPr>
          <w:lang w:val="fr-FR"/>
        </w:rPr>
        <w:t>29</w:t>
      </w:r>
      <w:r>
        <w:rPr>
          <w:lang w:val="fr-FR"/>
        </w:rPr>
        <w:t>/</w:t>
      </w:r>
      <w:r w:rsidRPr="005C07B5">
        <w:rPr>
          <w:lang w:val="fr-FR"/>
        </w:rPr>
        <w:t>2019</w:t>
      </w:r>
      <w:r>
        <w:rPr>
          <w:lang w:val="fr-FR"/>
        </w:rPr>
        <w:t>/</w:t>
      </w:r>
      <w:r w:rsidRPr="005C07B5">
        <w:rPr>
          <w:lang w:val="fr-FR"/>
        </w:rPr>
        <w:t>34</w:t>
      </w:r>
      <w:r>
        <w:rPr>
          <w:lang w:val="fr-FR"/>
        </w:rPr>
        <w:t>/Rev</w:t>
      </w:r>
      <w:r w:rsidR="005C07B5" w:rsidRPr="005C07B5">
        <w:rPr>
          <w:lang w:val="fr-FR"/>
        </w:rPr>
        <w:t>.</w:t>
      </w:r>
      <w:r w:rsidRPr="005C07B5">
        <w:rPr>
          <w:lang w:val="fr-FR"/>
        </w:rPr>
        <w:t>2</w:t>
      </w:r>
      <w:r>
        <w:rPr>
          <w:lang w:val="fr-FR"/>
        </w:rPr>
        <w:t xml:space="preserve"> et ECE/TRANS/WP</w:t>
      </w:r>
      <w:r w:rsidR="005C07B5" w:rsidRPr="005C07B5">
        <w:rPr>
          <w:lang w:val="fr-FR"/>
        </w:rPr>
        <w:t>.</w:t>
      </w:r>
      <w:r w:rsidRPr="005C07B5">
        <w:rPr>
          <w:lang w:val="fr-FR"/>
        </w:rPr>
        <w:t>29</w:t>
      </w:r>
      <w:r>
        <w:rPr>
          <w:lang w:val="fr-FR"/>
        </w:rPr>
        <w:t>/</w:t>
      </w:r>
      <w:r w:rsidRPr="005C07B5">
        <w:rPr>
          <w:lang w:val="fr-FR"/>
        </w:rPr>
        <w:t>2023</w:t>
      </w:r>
      <w:r>
        <w:rPr>
          <w:lang w:val="fr-FR"/>
        </w:rPr>
        <w:t>/</w:t>
      </w:r>
      <w:r w:rsidRPr="005C07B5">
        <w:rPr>
          <w:lang w:val="fr-FR"/>
        </w:rPr>
        <w:t>89</w:t>
      </w:r>
      <w:r>
        <w:rPr>
          <w:lang w:val="fr-FR"/>
        </w:rPr>
        <w:t xml:space="preserve"> et les projets de règles relatives aux</w:t>
      </w:r>
      <w:r w:rsidR="00C0588B">
        <w:rPr>
          <w:lang w:val="fr-FR"/>
        </w:rPr>
        <w:t> :</w:t>
      </w:r>
    </w:p>
    <w:p w14:paraId="4965798D" w14:textId="4B354583" w:rsidR="00755BE9" w:rsidRPr="0070453D" w:rsidRDefault="00755BE9" w:rsidP="00B40B27">
      <w:pPr>
        <w:pStyle w:val="SingleTxtG"/>
        <w:spacing w:after="100"/>
        <w:ind w:firstLine="567"/>
      </w:pPr>
      <w:r>
        <w:rPr>
          <w:lang w:val="fr-FR"/>
        </w:rPr>
        <w:t>a)</w:t>
      </w:r>
      <w:r>
        <w:rPr>
          <w:lang w:val="fr-FR"/>
        </w:rPr>
        <w:tab/>
        <w:t>dispositions régissant les essais des systèmes ADAS/ADS lors des contrôles techniques périodiques (PTI)</w:t>
      </w:r>
      <w:r w:rsidR="00B40B27">
        <w:rPr>
          <w:lang w:val="fr-FR"/>
        </w:rPr>
        <w:t> ;</w:t>
      </w:r>
    </w:p>
    <w:p w14:paraId="52FB0F5F" w14:textId="49EAF5B1" w:rsidR="00755BE9" w:rsidRPr="0070453D" w:rsidRDefault="00755BE9" w:rsidP="00B40B27">
      <w:pPr>
        <w:pStyle w:val="SingleTxtG"/>
        <w:ind w:firstLine="567"/>
      </w:pPr>
      <w:r>
        <w:rPr>
          <w:lang w:val="fr-FR"/>
        </w:rPr>
        <w:t>b)</w:t>
      </w:r>
      <w:r>
        <w:rPr>
          <w:lang w:val="fr-FR"/>
        </w:rPr>
        <w:tab/>
        <w:t>informations spécifiques requises pour les essais des systèmes de sécurité commandés</w:t>
      </w:r>
      <w:r w:rsidR="00B40B27">
        <w:rPr>
          <w:lang w:val="fr-FR"/>
        </w:rPr>
        <w:t xml:space="preserve"> </w:t>
      </w:r>
      <w:r>
        <w:rPr>
          <w:lang w:val="fr-FR"/>
        </w:rPr>
        <w:t>électroniquement et des systèmes de véhicules respectueux de l</w:t>
      </w:r>
      <w:r w:rsidR="00C0588B">
        <w:rPr>
          <w:lang w:val="fr-FR"/>
        </w:rPr>
        <w:t>’</w:t>
      </w:r>
      <w:r>
        <w:rPr>
          <w:lang w:val="fr-FR"/>
        </w:rPr>
        <w:t>environnement</w:t>
      </w:r>
      <w:r w:rsidR="00B40B27">
        <w:rPr>
          <w:lang w:val="fr-FR"/>
        </w:rPr>
        <w:t>.</w:t>
      </w:r>
    </w:p>
    <w:p w14:paraId="04899E1C" w14:textId="3C44F1B5" w:rsidR="00755BE9" w:rsidRPr="0070453D" w:rsidRDefault="00755BE9" w:rsidP="00817F74">
      <w:pPr>
        <w:pStyle w:val="SingleTxtG"/>
      </w:pPr>
      <w:r w:rsidRPr="005C07B5">
        <w:rPr>
          <w:lang w:val="fr-FR"/>
        </w:rPr>
        <w:lastRenderedPageBreak/>
        <w:t>6</w:t>
      </w:r>
      <w:r w:rsidR="005C07B5" w:rsidRPr="005C07B5">
        <w:rPr>
          <w:lang w:val="fr-FR"/>
        </w:rPr>
        <w:t>.</w:t>
      </w:r>
      <w:r>
        <w:rPr>
          <w:lang w:val="fr-FR"/>
        </w:rPr>
        <w:tab/>
        <w:t>Le groupe PTI élabore la vision stratégique des contrôles techniques périodiques des véhicules sans conducteur</w:t>
      </w:r>
      <w:r w:rsidR="005C07B5" w:rsidRPr="005C07B5">
        <w:rPr>
          <w:lang w:val="fr-FR"/>
        </w:rPr>
        <w:t>.</w:t>
      </w:r>
    </w:p>
    <w:p w14:paraId="2E834F8C" w14:textId="4C87CDFB" w:rsidR="00755BE9" w:rsidRPr="0070453D" w:rsidRDefault="00817F74" w:rsidP="00817F74">
      <w:pPr>
        <w:pStyle w:val="H23G"/>
        <w:rPr>
          <w:rFonts w:eastAsia="MS Mincho"/>
        </w:rPr>
      </w:pPr>
      <w:r>
        <w:rPr>
          <w:lang w:val="fr-FR"/>
        </w:rPr>
        <w:tab/>
      </w:r>
      <w:r w:rsidR="00755BE9">
        <w:rPr>
          <w:lang w:val="fr-FR"/>
        </w:rPr>
        <w:t>d)</w:t>
      </w:r>
      <w:r w:rsidR="00755BE9">
        <w:rPr>
          <w:lang w:val="fr-FR"/>
        </w:rPr>
        <w:tab/>
        <w:t xml:space="preserve">Cohérence entre les dispositions de la Convention de Vienne de </w:t>
      </w:r>
      <w:r w:rsidR="00755BE9" w:rsidRPr="005C07B5">
        <w:rPr>
          <w:lang w:val="fr-FR"/>
        </w:rPr>
        <w:t>1968</w:t>
      </w:r>
      <w:r w:rsidR="00755BE9">
        <w:rPr>
          <w:lang w:val="fr-FR"/>
        </w:rPr>
        <w:t xml:space="preserve">, </w:t>
      </w:r>
      <w:r w:rsidR="0022211E">
        <w:rPr>
          <w:lang w:val="fr-FR"/>
        </w:rPr>
        <w:br/>
      </w:r>
      <w:r w:rsidR="00755BE9">
        <w:rPr>
          <w:lang w:val="fr-FR"/>
        </w:rPr>
        <w:t xml:space="preserve">les dispositions techniques applicables aux véhicules et les règles </w:t>
      </w:r>
      <w:r w:rsidR="0022211E">
        <w:rPr>
          <w:lang w:val="fr-FR"/>
        </w:rPr>
        <w:br/>
      </w:r>
      <w:r w:rsidR="00755BE9">
        <w:rPr>
          <w:lang w:val="fr-FR"/>
        </w:rPr>
        <w:t>énoncées dans l</w:t>
      </w:r>
      <w:r w:rsidR="00C0588B">
        <w:rPr>
          <w:lang w:val="fr-FR"/>
        </w:rPr>
        <w:t>’</w:t>
      </w:r>
      <w:r w:rsidR="00755BE9">
        <w:rPr>
          <w:lang w:val="fr-FR"/>
        </w:rPr>
        <w:t>Accord de Vienne de</w:t>
      </w:r>
      <w:r>
        <w:rPr>
          <w:lang w:val="fr-FR"/>
        </w:rPr>
        <w:t xml:space="preserve"> </w:t>
      </w:r>
      <w:r w:rsidR="00755BE9" w:rsidRPr="005C07B5">
        <w:rPr>
          <w:lang w:val="fr-FR"/>
        </w:rPr>
        <w:t>1997</w:t>
      </w:r>
      <w:bookmarkStart w:id="6" w:name="_Toc76394912"/>
      <w:bookmarkEnd w:id="6"/>
    </w:p>
    <w:p w14:paraId="7E8F6A40" w14:textId="50C1BC2B" w:rsidR="00755BE9" w:rsidRPr="0070453D" w:rsidRDefault="00755BE9" w:rsidP="00817F74">
      <w:pPr>
        <w:pStyle w:val="SingleTxtG"/>
        <w:rPr>
          <w:rFonts w:eastAsia="Calibri"/>
        </w:rPr>
      </w:pPr>
      <w:r w:rsidRPr="005C07B5">
        <w:rPr>
          <w:lang w:val="fr-FR"/>
        </w:rPr>
        <w:t>7</w:t>
      </w:r>
      <w:r w:rsidR="005C07B5" w:rsidRPr="005C07B5">
        <w:rPr>
          <w:lang w:val="fr-FR"/>
        </w:rPr>
        <w:t>.</w:t>
      </w:r>
      <w:r>
        <w:rPr>
          <w:lang w:val="fr-FR"/>
        </w:rPr>
        <w:tab/>
        <w:t>Les prescriptions régissant les contrôles techniques périodiques sont définies par des instruments juridiques de l</w:t>
      </w:r>
      <w:r w:rsidR="00C0588B">
        <w:rPr>
          <w:lang w:val="fr-FR"/>
        </w:rPr>
        <w:t>’</w:t>
      </w:r>
      <w:r>
        <w:rPr>
          <w:lang w:val="fr-FR"/>
        </w:rPr>
        <w:t xml:space="preserve">ONU, notamment la Convention de Vienne de </w:t>
      </w:r>
      <w:r w:rsidRPr="005C07B5">
        <w:rPr>
          <w:lang w:val="fr-FR"/>
        </w:rPr>
        <w:t>1968</w:t>
      </w:r>
      <w:r>
        <w:rPr>
          <w:lang w:val="fr-FR"/>
        </w:rPr>
        <w:t xml:space="preserve"> sur la circulation routière, l</w:t>
      </w:r>
      <w:r w:rsidR="00C0588B">
        <w:rPr>
          <w:lang w:val="fr-FR"/>
        </w:rPr>
        <w:t>’</w:t>
      </w:r>
      <w:r>
        <w:rPr>
          <w:lang w:val="fr-FR"/>
        </w:rPr>
        <w:t xml:space="preserve">Accord de Vienne de </w:t>
      </w:r>
      <w:r w:rsidRPr="005C07B5">
        <w:rPr>
          <w:lang w:val="fr-FR"/>
        </w:rPr>
        <w:t>1997</w:t>
      </w:r>
      <w:r>
        <w:rPr>
          <w:lang w:val="fr-FR"/>
        </w:rPr>
        <w:t xml:space="preserve"> et la Résolution d</w:t>
      </w:r>
      <w:r w:rsidR="00C0588B">
        <w:rPr>
          <w:lang w:val="fr-FR"/>
        </w:rPr>
        <w:t>’</w:t>
      </w:r>
      <w:r>
        <w:rPr>
          <w:lang w:val="fr-FR"/>
        </w:rPr>
        <w:t>ensemble R</w:t>
      </w:r>
      <w:r w:rsidR="005C07B5" w:rsidRPr="005C07B5">
        <w:rPr>
          <w:lang w:val="fr-FR"/>
        </w:rPr>
        <w:t>.</w:t>
      </w:r>
      <w:r>
        <w:rPr>
          <w:lang w:val="fr-FR"/>
        </w:rPr>
        <w:t>E</w:t>
      </w:r>
      <w:r w:rsidR="005C07B5" w:rsidRPr="005C07B5">
        <w:rPr>
          <w:lang w:val="fr-FR"/>
        </w:rPr>
        <w:t>.</w:t>
      </w:r>
      <w:r w:rsidRPr="005C07B5">
        <w:rPr>
          <w:lang w:val="fr-FR"/>
        </w:rPr>
        <w:t>1</w:t>
      </w:r>
      <w:r w:rsidR="005C07B5" w:rsidRPr="005C07B5">
        <w:rPr>
          <w:lang w:val="fr-FR"/>
        </w:rPr>
        <w:t>.</w:t>
      </w:r>
      <w:r>
        <w:rPr>
          <w:lang w:val="fr-FR"/>
        </w:rPr>
        <w:t xml:space="preserve"> Lorsque cela est nécessaire et possible, les règles applicables aux contrôles techniques périodiques des divers accords, conventions et résolutions devraient être harmonisées afin d</w:t>
      </w:r>
      <w:r w:rsidR="00C0588B">
        <w:rPr>
          <w:lang w:val="fr-FR"/>
        </w:rPr>
        <w:t>’</w:t>
      </w:r>
      <w:r>
        <w:rPr>
          <w:lang w:val="fr-FR"/>
        </w:rPr>
        <w:t>améliorer la sécurité et la durabilité du transport routier et de limiter les obstacles législatifs au progrès technologique</w:t>
      </w:r>
      <w:r w:rsidR="005C07B5" w:rsidRPr="005C07B5">
        <w:rPr>
          <w:lang w:val="fr-FR"/>
        </w:rPr>
        <w:t>.</w:t>
      </w:r>
    </w:p>
    <w:p w14:paraId="5EEC0286" w14:textId="76F98209" w:rsidR="00755BE9" w:rsidRPr="0070453D" w:rsidRDefault="00817F74" w:rsidP="00817F74">
      <w:pPr>
        <w:pStyle w:val="H23G"/>
        <w:rPr>
          <w:rFonts w:eastAsia="MS Mincho"/>
        </w:rPr>
      </w:pPr>
      <w:r>
        <w:rPr>
          <w:lang w:val="fr-FR"/>
        </w:rPr>
        <w:tab/>
      </w:r>
      <w:r w:rsidR="00755BE9">
        <w:rPr>
          <w:lang w:val="fr-FR"/>
        </w:rPr>
        <w:t>e)</w:t>
      </w:r>
      <w:r w:rsidR="00755BE9">
        <w:rPr>
          <w:lang w:val="fr-FR"/>
        </w:rPr>
        <w:tab/>
        <w:t>Orientations relatives aux contrôles techniques périodiques</w:t>
      </w:r>
      <w:bookmarkStart w:id="7" w:name="_Toc76394914"/>
      <w:bookmarkEnd w:id="7"/>
    </w:p>
    <w:p w14:paraId="10473A31" w14:textId="592304A1" w:rsidR="00C0588B" w:rsidRDefault="00755BE9" w:rsidP="00817F74">
      <w:pPr>
        <w:pStyle w:val="SingleTxtG"/>
        <w:rPr>
          <w:lang w:val="fr-FR"/>
        </w:rPr>
      </w:pPr>
      <w:r w:rsidRPr="005C07B5">
        <w:rPr>
          <w:lang w:val="fr-FR"/>
        </w:rPr>
        <w:t>8</w:t>
      </w:r>
      <w:r w:rsidR="005C07B5" w:rsidRPr="005C07B5">
        <w:rPr>
          <w:lang w:val="fr-FR"/>
        </w:rPr>
        <w:t>.</w:t>
      </w:r>
      <w:r>
        <w:rPr>
          <w:lang w:val="fr-FR"/>
        </w:rPr>
        <w:tab/>
        <w:t>Les contrôles techniques périodiques des véhicules en service s</w:t>
      </w:r>
      <w:r w:rsidR="00C0588B">
        <w:rPr>
          <w:lang w:val="fr-FR"/>
        </w:rPr>
        <w:t>’</w:t>
      </w:r>
      <w:r>
        <w:rPr>
          <w:lang w:val="fr-FR"/>
        </w:rPr>
        <w:t>inscrivent dans le cadre plus large du régime de conformité pendant la durée de vie, qui vise à garantir que les véhicules sont maintenus dans un état sûr et acceptable d</w:t>
      </w:r>
      <w:r w:rsidR="00C0588B">
        <w:rPr>
          <w:lang w:val="fr-FR"/>
        </w:rPr>
        <w:t>’</w:t>
      </w:r>
      <w:r>
        <w:rPr>
          <w:lang w:val="fr-FR"/>
        </w:rPr>
        <w:t>un point de vue environnemental pendant leur utilisation</w:t>
      </w:r>
      <w:r w:rsidR="005C07B5" w:rsidRPr="005C07B5">
        <w:rPr>
          <w:lang w:val="fr-FR"/>
        </w:rPr>
        <w:t>.</w:t>
      </w:r>
    </w:p>
    <w:p w14:paraId="1D637A48" w14:textId="4E8DE51C" w:rsidR="00755BE9" w:rsidRPr="0070453D" w:rsidRDefault="00755BE9" w:rsidP="00817F74">
      <w:pPr>
        <w:pStyle w:val="SingleTxtG"/>
      </w:pPr>
      <w:r w:rsidRPr="005C07B5">
        <w:rPr>
          <w:lang w:val="fr-FR"/>
        </w:rPr>
        <w:t>9</w:t>
      </w:r>
      <w:r w:rsidR="005C07B5" w:rsidRPr="005C07B5">
        <w:rPr>
          <w:lang w:val="fr-FR"/>
        </w:rPr>
        <w:t>.</w:t>
      </w:r>
      <w:r>
        <w:rPr>
          <w:lang w:val="fr-FR"/>
        </w:rPr>
        <w:tab/>
        <w:t>Le groupe PTI travaille conformément aux principes énoncés dans les documents-cadres ECE/TRANS/WP</w:t>
      </w:r>
      <w:r w:rsidR="005C07B5" w:rsidRPr="005C07B5">
        <w:rPr>
          <w:lang w:val="fr-FR"/>
        </w:rPr>
        <w:t>.</w:t>
      </w:r>
      <w:r w:rsidRPr="005C07B5">
        <w:rPr>
          <w:lang w:val="fr-FR"/>
        </w:rPr>
        <w:t>29</w:t>
      </w:r>
      <w:r>
        <w:rPr>
          <w:lang w:val="fr-FR"/>
        </w:rPr>
        <w:t>/</w:t>
      </w:r>
      <w:r w:rsidRPr="005C07B5">
        <w:rPr>
          <w:lang w:val="fr-FR"/>
        </w:rPr>
        <w:t>2019</w:t>
      </w:r>
      <w:r>
        <w:rPr>
          <w:lang w:val="fr-FR"/>
        </w:rPr>
        <w:t>/</w:t>
      </w:r>
      <w:r w:rsidRPr="005C07B5">
        <w:rPr>
          <w:lang w:val="fr-FR"/>
        </w:rPr>
        <w:t>34</w:t>
      </w:r>
      <w:r>
        <w:rPr>
          <w:lang w:val="fr-FR"/>
        </w:rPr>
        <w:t>/Rev</w:t>
      </w:r>
      <w:r w:rsidR="005C07B5" w:rsidRPr="005C07B5">
        <w:rPr>
          <w:lang w:val="fr-FR"/>
        </w:rPr>
        <w:t>.</w:t>
      </w:r>
      <w:r w:rsidRPr="005C07B5">
        <w:rPr>
          <w:lang w:val="fr-FR"/>
        </w:rPr>
        <w:t>2</w:t>
      </w:r>
      <w:r>
        <w:rPr>
          <w:lang w:val="fr-FR"/>
        </w:rPr>
        <w:t xml:space="preserve"> et ECE/TRANS/WP</w:t>
      </w:r>
      <w:r w:rsidR="005C07B5" w:rsidRPr="005C07B5">
        <w:rPr>
          <w:lang w:val="fr-FR"/>
        </w:rPr>
        <w:t>.</w:t>
      </w:r>
      <w:r w:rsidRPr="005C07B5">
        <w:rPr>
          <w:lang w:val="fr-FR"/>
        </w:rPr>
        <w:t>29</w:t>
      </w:r>
      <w:r>
        <w:rPr>
          <w:lang w:val="fr-FR"/>
        </w:rPr>
        <w:t>/</w:t>
      </w:r>
      <w:r w:rsidRPr="005C07B5">
        <w:rPr>
          <w:lang w:val="fr-FR"/>
        </w:rPr>
        <w:t>2023</w:t>
      </w:r>
      <w:r>
        <w:rPr>
          <w:lang w:val="fr-FR"/>
        </w:rPr>
        <w:t>/</w:t>
      </w:r>
      <w:r w:rsidRPr="005C07B5">
        <w:rPr>
          <w:lang w:val="fr-FR"/>
        </w:rPr>
        <w:t>89</w:t>
      </w:r>
      <w:r>
        <w:rPr>
          <w:lang w:val="fr-FR"/>
        </w:rPr>
        <w:t xml:space="preserve"> et le projet de règles relatives au développement du contrôle technique périodique électronique</w:t>
      </w:r>
      <w:r w:rsidR="005C07B5" w:rsidRPr="005C07B5">
        <w:rPr>
          <w:lang w:val="fr-FR"/>
        </w:rPr>
        <w:t>.</w:t>
      </w:r>
    </w:p>
    <w:p w14:paraId="0C56E6B7" w14:textId="553BB8B8" w:rsidR="00755BE9" w:rsidRPr="00F05ADB" w:rsidRDefault="00755BE9" w:rsidP="00817F74">
      <w:pPr>
        <w:pStyle w:val="SingleTxtG"/>
      </w:pPr>
      <w:r w:rsidRPr="005C07B5">
        <w:rPr>
          <w:lang w:val="fr-FR"/>
        </w:rPr>
        <w:t>10</w:t>
      </w:r>
      <w:r w:rsidR="005C07B5" w:rsidRPr="005C07B5">
        <w:rPr>
          <w:lang w:val="fr-FR"/>
        </w:rPr>
        <w:t>.</w:t>
      </w:r>
      <w:r>
        <w:rPr>
          <w:lang w:val="fr-FR"/>
        </w:rPr>
        <w:tab/>
        <w:t>Le projet de règles englobe l</w:t>
      </w:r>
      <w:r w:rsidR="00C0588B">
        <w:rPr>
          <w:lang w:val="fr-FR"/>
        </w:rPr>
        <w:t>’</w:t>
      </w:r>
      <w:r>
        <w:rPr>
          <w:lang w:val="fr-FR"/>
        </w:rPr>
        <w:t>affichage de la version logicielle et des informations relatives à l</w:t>
      </w:r>
      <w:r w:rsidR="00C0588B">
        <w:rPr>
          <w:lang w:val="fr-FR"/>
        </w:rPr>
        <w:t>’</w:t>
      </w:r>
      <w:r>
        <w:rPr>
          <w:lang w:val="fr-FR"/>
        </w:rPr>
        <w:t>intégrité (par exemple, la somme de contrôle), les données mesurées, les codes d</w:t>
      </w:r>
      <w:r w:rsidR="00C0588B">
        <w:rPr>
          <w:lang w:val="fr-FR"/>
        </w:rPr>
        <w:t>’</w:t>
      </w:r>
      <w:r>
        <w:rPr>
          <w:lang w:val="fr-FR"/>
        </w:rPr>
        <w:t>erreur et la commande des actionneurs/routines, l</w:t>
      </w:r>
      <w:r w:rsidR="00C0588B">
        <w:rPr>
          <w:lang w:val="fr-FR"/>
        </w:rPr>
        <w:t>’</w:t>
      </w:r>
      <w:r>
        <w:rPr>
          <w:lang w:val="fr-FR"/>
        </w:rPr>
        <w:t>accès à l</w:t>
      </w:r>
      <w:r w:rsidR="00C0588B">
        <w:rPr>
          <w:lang w:val="fr-FR"/>
        </w:rPr>
        <w:t>’</w:t>
      </w:r>
      <w:r>
        <w:rPr>
          <w:lang w:val="fr-FR"/>
        </w:rPr>
        <w:t>interface du véhicule</w:t>
      </w:r>
      <w:r w:rsidR="005C07B5" w:rsidRPr="005C07B5">
        <w:rPr>
          <w:lang w:val="fr-FR"/>
        </w:rPr>
        <w:t>.</w:t>
      </w:r>
      <w:r>
        <w:rPr>
          <w:lang w:val="fr-FR"/>
        </w:rPr>
        <w:t xml:space="preserve"> Une fois définies, les règles doivent être mentionnées dans les Règlements ONU et les Règlements techniques mondiaux</w:t>
      </w:r>
      <w:r w:rsidR="005C07B5" w:rsidRPr="005C07B5">
        <w:rPr>
          <w:lang w:val="fr-FR"/>
        </w:rPr>
        <w:t>.</w:t>
      </w:r>
    </w:p>
    <w:p w14:paraId="7CDDA3B0" w14:textId="1E21A0FF" w:rsidR="00755BE9" w:rsidRPr="0070453D" w:rsidRDefault="00817F74" w:rsidP="00817F74">
      <w:pPr>
        <w:pStyle w:val="H23G"/>
        <w:rPr>
          <w:rFonts w:eastAsia="MS Mincho"/>
        </w:rPr>
      </w:pPr>
      <w:r>
        <w:rPr>
          <w:lang w:val="fr-FR"/>
        </w:rPr>
        <w:tab/>
      </w:r>
      <w:r w:rsidR="00755BE9">
        <w:rPr>
          <w:lang w:val="fr-FR"/>
        </w:rPr>
        <w:t>f)</w:t>
      </w:r>
      <w:r w:rsidR="00755BE9">
        <w:rPr>
          <w:lang w:val="fr-FR"/>
        </w:rPr>
        <w:tab/>
        <w:t>Orientations concernant les contrôles techniques routiers et leur mise en application</w:t>
      </w:r>
      <w:bookmarkStart w:id="8" w:name="_Toc76394915"/>
      <w:bookmarkEnd w:id="8"/>
    </w:p>
    <w:p w14:paraId="5796D56A" w14:textId="745C6210" w:rsidR="00C0588B" w:rsidRDefault="00755BE9" w:rsidP="00817F74">
      <w:pPr>
        <w:pStyle w:val="SingleTxtG"/>
        <w:rPr>
          <w:lang w:val="fr-FR"/>
        </w:rPr>
      </w:pPr>
      <w:r w:rsidRPr="005C07B5">
        <w:rPr>
          <w:lang w:val="fr-FR"/>
        </w:rPr>
        <w:t>11</w:t>
      </w:r>
      <w:r w:rsidR="005C07B5" w:rsidRPr="005C07B5">
        <w:rPr>
          <w:lang w:val="fr-FR"/>
        </w:rPr>
        <w:t>.</w:t>
      </w:r>
      <w:r>
        <w:rPr>
          <w:lang w:val="fr-FR"/>
        </w:rPr>
        <w:tab/>
        <w:t>Toute une série de mesures doivent être entreprises pour faciliter la conformité en service, notamment des mesures coercitives, des mesures incitatives ou dissuasives et l</w:t>
      </w:r>
      <w:r w:rsidR="00C0588B">
        <w:rPr>
          <w:lang w:val="fr-FR"/>
        </w:rPr>
        <w:t>’</w:t>
      </w:r>
      <w:r>
        <w:rPr>
          <w:lang w:val="fr-FR"/>
        </w:rPr>
        <w:t>éducation et la formation des usagers</w:t>
      </w:r>
      <w:r w:rsidR="005C07B5" w:rsidRPr="005C07B5">
        <w:rPr>
          <w:lang w:val="fr-FR"/>
        </w:rPr>
        <w:t>.</w:t>
      </w:r>
      <w:r>
        <w:rPr>
          <w:lang w:val="fr-FR"/>
        </w:rPr>
        <w:t xml:space="preserve"> Les contrôles techniques routiers sont une forme d</w:t>
      </w:r>
      <w:r w:rsidR="00C0588B">
        <w:rPr>
          <w:lang w:val="fr-FR"/>
        </w:rPr>
        <w:t>’</w:t>
      </w:r>
      <w:r>
        <w:rPr>
          <w:lang w:val="fr-FR"/>
        </w:rPr>
        <w:t>évaluation des véhicules qui contribue considérablement à la conformité en service</w:t>
      </w:r>
      <w:r w:rsidR="005C07B5" w:rsidRPr="005C07B5">
        <w:rPr>
          <w:lang w:val="fr-FR"/>
        </w:rPr>
        <w:t>.</w:t>
      </w:r>
    </w:p>
    <w:p w14:paraId="186C584B" w14:textId="3B3411AC" w:rsidR="00755BE9" w:rsidRPr="0070453D" w:rsidRDefault="00817F74" w:rsidP="00817F74">
      <w:pPr>
        <w:pStyle w:val="H23G"/>
        <w:rPr>
          <w:rFonts w:eastAsia="MS Mincho"/>
        </w:rPr>
      </w:pPr>
      <w:r>
        <w:rPr>
          <w:lang w:val="fr-FR"/>
        </w:rPr>
        <w:tab/>
      </w:r>
      <w:r w:rsidR="00755BE9">
        <w:rPr>
          <w:lang w:val="fr-FR"/>
        </w:rPr>
        <w:t>g)</w:t>
      </w:r>
      <w:r w:rsidR="00755BE9">
        <w:rPr>
          <w:lang w:val="fr-FR"/>
        </w:rPr>
        <w:tab/>
        <w:t>Autres</w:t>
      </w:r>
      <w:bookmarkStart w:id="9" w:name="_Toc76394916"/>
      <w:bookmarkEnd w:id="9"/>
      <w:r w:rsidR="00755BE9">
        <w:rPr>
          <w:lang w:val="fr-FR"/>
        </w:rPr>
        <w:t xml:space="preserve"> axes</w:t>
      </w:r>
    </w:p>
    <w:p w14:paraId="0F83FD7B" w14:textId="68E89CF9" w:rsidR="00755BE9" w:rsidRPr="0070453D" w:rsidRDefault="00755BE9" w:rsidP="00817F74">
      <w:pPr>
        <w:pStyle w:val="Bullet1G"/>
        <w:rPr>
          <w:rFonts w:eastAsia="Calibri"/>
        </w:rPr>
      </w:pPr>
      <w:r>
        <w:rPr>
          <w:lang w:val="fr-FR"/>
        </w:rPr>
        <w:t>Définition d</w:t>
      </w:r>
      <w:r w:rsidR="00C0588B">
        <w:rPr>
          <w:lang w:val="fr-FR"/>
        </w:rPr>
        <w:t>’</w:t>
      </w:r>
      <w:r>
        <w:rPr>
          <w:lang w:val="fr-FR"/>
        </w:rPr>
        <w:t>orientations concernant les contrôles techniques périodiques lorsque les groupes de travail le demandent au WP</w:t>
      </w:r>
      <w:r w:rsidR="005C07B5" w:rsidRPr="005C07B5">
        <w:rPr>
          <w:lang w:val="fr-FR"/>
        </w:rPr>
        <w:t>.</w:t>
      </w:r>
      <w:r w:rsidRPr="005C07B5">
        <w:rPr>
          <w:lang w:val="fr-FR"/>
        </w:rPr>
        <w:t>29</w:t>
      </w:r>
      <w:r>
        <w:rPr>
          <w:lang w:val="fr-FR"/>
        </w:rPr>
        <w:t>, ou lorsque le groupe PTI le juge nécessaire</w:t>
      </w:r>
      <w:r w:rsidR="00C0588B">
        <w:rPr>
          <w:lang w:val="fr-FR"/>
        </w:rPr>
        <w:t> ;</w:t>
      </w:r>
    </w:p>
    <w:p w14:paraId="55A00F0E" w14:textId="6E643BDF" w:rsidR="00755BE9" w:rsidRPr="0070453D" w:rsidRDefault="00755BE9" w:rsidP="00817F74">
      <w:pPr>
        <w:pStyle w:val="Bullet1G"/>
        <w:rPr>
          <w:rFonts w:eastAsia="Calibri"/>
        </w:rPr>
      </w:pPr>
      <w:r>
        <w:rPr>
          <w:lang w:val="fr-FR"/>
        </w:rPr>
        <w:t>Échange de vues et d</w:t>
      </w:r>
      <w:r w:rsidR="00C0588B">
        <w:rPr>
          <w:lang w:val="fr-FR"/>
        </w:rPr>
        <w:t>’</w:t>
      </w:r>
      <w:r>
        <w:rPr>
          <w:lang w:val="fr-FR"/>
        </w:rPr>
        <w:t>informations entre toutes les Parties contractantes et les membres du groupe PTI concernant les techniques, les équipements et les méthodes de pointe, notamment les résultats de la recherche, y compris les essais sur le terrain, les informations sur le système juridique national et les mesures, les événements, les</w:t>
      </w:r>
      <w:r w:rsidR="00CA1CB5">
        <w:rPr>
          <w:lang w:val="fr-FR"/>
        </w:rPr>
        <w:t> </w:t>
      </w:r>
      <w:r>
        <w:rPr>
          <w:lang w:val="fr-FR"/>
        </w:rPr>
        <w:t>conventions, etc</w:t>
      </w:r>
      <w:r w:rsidR="005C07B5" w:rsidRPr="005C07B5">
        <w:rPr>
          <w:lang w:val="fr-FR"/>
        </w:rPr>
        <w:t>.</w:t>
      </w:r>
      <w:r w:rsidR="00C0588B">
        <w:rPr>
          <w:lang w:val="fr-FR"/>
        </w:rPr>
        <w:t> ;</w:t>
      </w:r>
    </w:p>
    <w:p w14:paraId="786E6ED7" w14:textId="0D777FF0" w:rsidR="00755BE9" w:rsidRPr="0070453D" w:rsidRDefault="00755BE9" w:rsidP="00817F74">
      <w:pPr>
        <w:pStyle w:val="Bullet1G"/>
        <w:rPr>
          <w:rFonts w:eastAsia="Calibri"/>
        </w:rPr>
      </w:pPr>
      <w:r>
        <w:rPr>
          <w:lang w:val="fr-FR"/>
        </w:rPr>
        <w:t>Les échanges de vues et d</w:t>
      </w:r>
      <w:r w:rsidR="00C0588B">
        <w:rPr>
          <w:lang w:val="fr-FR"/>
        </w:rPr>
        <w:t>’</w:t>
      </w:r>
      <w:r>
        <w:rPr>
          <w:lang w:val="fr-FR"/>
        </w:rPr>
        <w:t>informations concernant les contrôles techniques périodiques devront aussi se poursuivre</w:t>
      </w:r>
      <w:r w:rsidR="005C07B5" w:rsidRPr="005C07B5">
        <w:rPr>
          <w:lang w:val="fr-FR"/>
        </w:rPr>
        <w:t>.</w:t>
      </w:r>
      <w:r>
        <w:rPr>
          <w:lang w:val="fr-FR"/>
        </w:rPr>
        <w:t xml:space="preserve"> Cette activité peut être menée parallèlement aux discussions ci-dessus concernant les contrôles techniques périodiques</w:t>
      </w:r>
      <w:r w:rsidR="00C0588B">
        <w:rPr>
          <w:lang w:val="fr-FR"/>
        </w:rPr>
        <w:t> ;</w:t>
      </w:r>
    </w:p>
    <w:p w14:paraId="3F9F1761" w14:textId="61E07750" w:rsidR="00755BE9" w:rsidRPr="0070453D" w:rsidRDefault="00755BE9" w:rsidP="00817F74">
      <w:pPr>
        <w:pStyle w:val="Bullet1G"/>
        <w:rPr>
          <w:rFonts w:eastAsia="MS PGothic"/>
        </w:rPr>
      </w:pPr>
      <w:r>
        <w:rPr>
          <w:lang w:val="fr-FR"/>
        </w:rPr>
        <w:t>Les discussions nécessaires devront se tenir dans des délais appropriés</w:t>
      </w:r>
      <w:r w:rsidR="00C0588B">
        <w:rPr>
          <w:lang w:val="fr-FR"/>
        </w:rPr>
        <w:t> ;</w:t>
      </w:r>
    </w:p>
    <w:p w14:paraId="5550C605" w14:textId="7B5C2775" w:rsidR="00755BE9" w:rsidRPr="0070453D" w:rsidRDefault="00755BE9" w:rsidP="00817F74">
      <w:pPr>
        <w:pStyle w:val="Bullet1G"/>
        <w:rPr>
          <w:rFonts w:eastAsia="MS PGothic"/>
        </w:rPr>
      </w:pPr>
      <w:r>
        <w:rPr>
          <w:lang w:val="fr-FR"/>
        </w:rPr>
        <w:t>Examen d</w:t>
      </w:r>
      <w:r w:rsidR="00C0588B">
        <w:rPr>
          <w:lang w:val="fr-FR"/>
        </w:rPr>
        <w:t>’</w:t>
      </w:r>
      <w:r>
        <w:rPr>
          <w:lang w:val="fr-FR"/>
        </w:rPr>
        <w:t>autres points à traiter par le groupe de travail informel ou le WP</w:t>
      </w:r>
      <w:r w:rsidR="005C07B5" w:rsidRPr="005C07B5">
        <w:rPr>
          <w:lang w:val="fr-FR"/>
        </w:rPr>
        <w:t>.</w:t>
      </w:r>
      <w:r w:rsidRPr="005C07B5">
        <w:rPr>
          <w:lang w:val="fr-FR"/>
        </w:rPr>
        <w:t>29</w:t>
      </w:r>
      <w:r w:rsidR="005C07B5" w:rsidRPr="005C07B5">
        <w:rPr>
          <w:lang w:val="fr-FR"/>
        </w:rPr>
        <w:t>.</w:t>
      </w:r>
    </w:p>
    <w:p w14:paraId="16C9893B" w14:textId="790B2A4A" w:rsidR="00755BE9" w:rsidRPr="0070453D" w:rsidRDefault="00817F74" w:rsidP="00817F74">
      <w:pPr>
        <w:pStyle w:val="H1G"/>
        <w:rPr>
          <w:szCs w:val="24"/>
        </w:rPr>
      </w:pPr>
      <w:r>
        <w:rPr>
          <w:lang w:val="fr-FR"/>
        </w:rPr>
        <w:lastRenderedPageBreak/>
        <w:tab/>
      </w:r>
      <w:r w:rsidR="00755BE9" w:rsidRPr="005C07B5">
        <w:rPr>
          <w:lang w:val="fr-FR"/>
        </w:rPr>
        <w:t>3</w:t>
      </w:r>
      <w:r w:rsidR="005C07B5" w:rsidRPr="005C07B5">
        <w:rPr>
          <w:lang w:val="fr-FR"/>
        </w:rPr>
        <w:t>.</w:t>
      </w:r>
      <w:r w:rsidR="00755BE9">
        <w:rPr>
          <w:lang w:val="fr-FR"/>
        </w:rPr>
        <w:tab/>
        <w:t>Calendrier</w:t>
      </w:r>
      <w:bookmarkStart w:id="10" w:name="_Toc76394917"/>
      <w:bookmarkEnd w:id="10"/>
    </w:p>
    <w:p w14:paraId="4CA266FD" w14:textId="14056AD7" w:rsidR="00755BE9" w:rsidRPr="0070453D" w:rsidRDefault="00755BE9" w:rsidP="00817F74">
      <w:pPr>
        <w:pStyle w:val="SingleTxtG"/>
        <w:rPr>
          <w:rFonts w:eastAsia="Calibri"/>
        </w:rPr>
      </w:pPr>
      <w:r w:rsidRPr="005C07B5">
        <w:rPr>
          <w:lang w:val="fr-FR"/>
        </w:rPr>
        <w:t>12</w:t>
      </w:r>
      <w:r w:rsidR="005C07B5" w:rsidRPr="005C07B5">
        <w:rPr>
          <w:lang w:val="fr-FR"/>
        </w:rPr>
        <w:t>.</w:t>
      </w:r>
      <w:r>
        <w:rPr>
          <w:lang w:val="fr-FR"/>
        </w:rPr>
        <w:tab/>
        <w:t>Le groupe PTI définit son plan de travail (notamment les axes de travail visés, les</w:t>
      </w:r>
      <w:r w:rsidR="00E151CE">
        <w:rPr>
          <w:lang w:val="fr-FR"/>
        </w:rPr>
        <w:t> </w:t>
      </w:r>
      <w:r>
        <w:rPr>
          <w:lang w:val="fr-FR"/>
        </w:rPr>
        <w:t>mesures à prendre, les résultats à obtenir et les délais prévus), lequel doit ensuite être approuvé par le WP</w:t>
      </w:r>
      <w:r w:rsidR="005C07B5" w:rsidRPr="005C07B5">
        <w:rPr>
          <w:lang w:val="fr-FR"/>
        </w:rPr>
        <w:t>.</w:t>
      </w:r>
      <w:r w:rsidRPr="005C07B5">
        <w:rPr>
          <w:lang w:val="fr-FR"/>
        </w:rPr>
        <w:t>29</w:t>
      </w:r>
      <w:r w:rsidR="005C07B5" w:rsidRPr="005C07B5">
        <w:rPr>
          <w:lang w:val="fr-FR"/>
        </w:rPr>
        <w:t>.</w:t>
      </w:r>
    </w:p>
    <w:p w14:paraId="0D55C77D" w14:textId="16BD6585" w:rsidR="00755BE9" w:rsidRPr="0070453D" w:rsidRDefault="00755BE9" w:rsidP="00817F74">
      <w:pPr>
        <w:pStyle w:val="SingleTxtG"/>
        <w:rPr>
          <w:rFonts w:eastAsia="Calibri"/>
        </w:rPr>
      </w:pPr>
      <w:r w:rsidRPr="005C07B5">
        <w:rPr>
          <w:lang w:val="fr-FR"/>
        </w:rPr>
        <w:t>13</w:t>
      </w:r>
      <w:r w:rsidR="005C07B5" w:rsidRPr="005C07B5">
        <w:rPr>
          <w:lang w:val="fr-FR"/>
        </w:rPr>
        <w:t>.</w:t>
      </w:r>
      <w:r>
        <w:rPr>
          <w:lang w:val="fr-FR"/>
        </w:rPr>
        <w:tab/>
        <w:t>Les travaux mentionnés dans le présent document sont intrinsèquement liés à l</w:t>
      </w:r>
      <w:r w:rsidR="00C0588B">
        <w:rPr>
          <w:lang w:val="fr-FR"/>
        </w:rPr>
        <w:t>’</w:t>
      </w:r>
      <w:r>
        <w:rPr>
          <w:lang w:val="fr-FR"/>
        </w:rPr>
        <w:t xml:space="preserve">évolution des Accords de </w:t>
      </w:r>
      <w:r w:rsidRPr="005C07B5">
        <w:rPr>
          <w:lang w:val="fr-FR"/>
        </w:rPr>
        <w:t>1958</w:t>
      </w:r>
      <w:r>
        <w:rPr>
          <w:lang w:val="fr-FR"/>
        </w:rPr>
        <w:t xml:space="preserve">, </w:t>
      </w:r>
      <w:r w:rsidRPr="005C07B5">
        <w:rPr>
          <w:lang w:val="fr-FR"/>
        </w:rPr>
        <w:t>1998</w:t>
      </w:r>
      <w:r>
        <w:rPr>
          <w:lang w:val="fr-FR"/>
        </w:rPr>
        <w:t xml:space="preserve"> et </w:t>
      </w:r>
      <w:r w:rsidRPr="005C07B5">
        <w:rPr>
          <w:lang w:val="fr-FR"/>
        </w:rPr>
        <w:t>1997</w:t>
      </w:r>
      <w:r w:rsidR="005C07B5" w:rsidRPr="005C07B5">
        <w:rPr>
          <w:lang w:val="fr-FR"/>
        </w:rPr>
        <w:t>.</w:t>
      </w:r>
      <w:r>
        <w:rPr>
          <w:lang w:val="fr-FR"/>
        </w:rPr>
        <w:t xml:space="preserve"> La durée du mandat a été fixée à trois ans et peut être prolongée</w:t>
      </w:r>
      <w:r w:rsidR="005C07B5" w:rsidRPr="005C07B5">
        <w:rPr>
          <w:lang w:val="fr-FR"/>
        </w:rPr>
        <w:t>.</w:t>
      </w:r>
    </w:p>
    <w:p w14:paraId="2ED2B624" w14:textId="5A44A3FB" w:rsidR="00755BE9" w:rsidRPr="0070453D" w:rsidRDefault="00817F74" w:rsidP="00817F74">
      <w:pPr>
        <w:pStyle w:val="H1G"/>
        <w:rPr>
          <w:szCs w:val="24"/>
        </w:rPr>
      </w:pPr>
      <w:r>
        <w:rPr>
          <w:bCs/>
          <w:lang w:val="fr-FR"/>
        </w:rPr>
        <w:tab/>
      </w:r>
      <w:r w:rsidR="00755BE9" w:rsidRPr="005C07B5">
        <w:rPr>
          <w:bCs/>
          <w:lang w:val="fr-FR"/>
        </w:rPr>
        <w:t>4</w:t>
      </w:r>
      <w:r w:rsidR="005C07B5" w:rsidRPr="005C07B5">
        <w:rPr>
          <w:bCs/>
          <w:lang w:val="fr-FR"/>
        </w:rPr>
        <w:t>.</w:t>
      </w:r>
      <w:r w:rsidR="00755BE9">
        <w:rPr>
          <w:lang w:val="fr-FR"/>
        </w:rPr>
        <w:tab/>
        <w:t>Règlement intérieur</w:t>
      </w:r>
      <w:bookmarkStart w:id="11" w:name="_Toc76394918"/>
      <w:bookmarkEnd w:id="11"/>
    </w:p>
    <w:p w14:paraId="64A2519A" w14:textId="26784920" w:rsidR="00755BE9" w:rsidRPr="0070453D" w:rsidRDefault="00755BE9" w:rsidP="00817F74">
      <w:pPr>
        <w:pStyle w:val="SingleTxtG"/>
        <w:rPr>
          <w:rFonts w:eastAsia="Calibri"/>
        </w:rPr>
      </w:pPr>
      <w:r w:rsidRPr="005C07B5">
        <w:rPr>
          <w:lang w:val="fr-FR"/>
        </w:rPr>
        <w:t>14</w:t>
      </w:r>
      <w:r w:rsidR="005C07B5" w:rsidRPr="005C07B5">
        <w:rPr>
          <w:lang w:val="fr-FR"/>
        </w:rPr>
        <w:t>.</w:t>
      </w:r>
      <w:r>
        <w:rPr>
          <w:lang w:val="fr-FR"/>
        </w:rPr>
        <w:tab/>
        <w:t>Le Règlement intérieur décrit les principes de fonctionnement du groupe de travail informel</w:t>
      </w:r>
      <w:r w:rsidR="00C0588B">
        <w:rPr>
          <w:lang w:val="fr-FR"/>
        </w:rPr>
        <w:t> :</w:t>
      </w:r>
    </w:p>
    <w:p w14:paraId="36C93050" w14:textId="3FE5240F" w:rsidR="00C0588B" w:rsidRDefault="00755BE9" w:rsidP="00942903">
      <w:pPr>
        <w:pStyle w:val="SingleTxtG"/>
        <w:ind w:firstLine="567"/>
        <w:rPr>
          <w:lang w:val="fr-FR"/>
        </w:rPr>
      </w:pPr>
      <w:r>
        <w:rPr>
          <w:lang w:val="fr-FR"/>
        </w:rPr>
        <w:t>a)</w:t>
      </w:r>
      <w:r>
        <w:rPr>
          <w:lang w:val="fr-FR"/>
        </w:rPr>
        <w:tab/>
        <w:t>Conformément à l</w:t>
      </w:r>
      <w:r w:rsidR="00C0588B">
        <w:rPr>
          <w:lang w:val="fr-FR"/>
        </w:rPr>
        <w:t>’</w:t>
      </w:r>
      <w:r>
        <w:rPr>
          <w:lang w:val="fr-FR"/>
        </w:rPr>
        <w:t>article</w:t>
      </w:r>
      <w:r w:rsidR="00E151CE">
        <w:rPr>
          <w:lang w:val="fr-FR"/>
        </w:rPr>
        <w:t> </w:t>
      </w:r>
      <w:r w:rsidRPr="005C07B5">
        <w:rPr>
          <w:lang w:val="fr-FR"/>
        </w:rPr>
        <w:t>1</w:t>
      </w:r>
      <w:r>
        <w:rPr>
          <w:lang w:val="fr-FR"/>
        </w:rPr>
        <w:t xml:space="preserve"> du chapitre</w:t>
      </w:r>
      <w:r w:rsidR="00E151CE">
        <w:rPr>
          <w:lang w:val="fr-FR"/>
        </w:rPr>
        <w:t> </w:t>
      </w:r>
      <w:r w:rsidRPr="005C07B5">
        <w:rPr>
          <w:lang w:val="fr-FR"/>
        </w:rPr>
        <w:t>1</w:t>
      </w:r>
      <w:r>
        <w:rPr>
          <w:lang w:val="fr-FR"/>
        </w:rPr>
        <w:t xml:space="preserve"> du Règlement intérieur du Forum mondial de l</w:t>
      </w:r>
      <w:r w:rsidR="00C0588B">
        <w:rPr>
          <w:lang w:val="fr-FR"/>
        </w:rPr>
        <w:t>’</w:t>
      </w:r>
      <w:r>
        <w:rPr>
          <w:lang w:val="fr-FR"/>
        </w:rPr>
        <w:t>harmonisation des Règlements concernant les véhicules (WP</w:t>
      </w:r>
      <w:r w:rsidR="005C07B5" w:rsidRPr="005C07B5">
        <w:rPr>
          <w:lang w:val="fr-FR"/>
        </w:rPr>
        <w:t>.</w:t>
      </w:r>
      <w:r w:rsidRPr="005C07B5">
        <w:rPr>
          <w:lang w:val="fr-FR"/>
        </w:rPr>
        <w:t>29</w:t>
      </w:r>
      <w:r>
        <w:rPr>
          <w:lang w:val="fr-FR"/>
        </w:rPr>
        <w:t>), le groupe de travail informel est ouvert à tous les experts de tout pays ou de toute organisation membre du WP</w:t>
      </w:r>
      <w:r w:rsidR="005C07B5" w:rsidRPr="005C07B5">
        <w:rPr>
          <w:lang w:val="fr-FR"/>
        </w:rPr>
        <w:t>.</w:t>
      </w:r>
      <w:r w:rsidRPr="005C07B5">
        <w:rPr>
          <w:lang w:val="fr-FR"/>
        </w:rPr>
        <w:t>29</w:t>
      </w:r>
      <w:r>
        <w:rPr>
          <w:lang w:val="fr-FR"/>
        </w:rPr>
        <w:t xml:space="preserve"> ou de ses organes subsidiaires</w:t>
      </w:r>
      <w:r w:rsidR="005C07B5" w:rsidRPr="005C07B5">
        <w:rPr>
          <w:lang w:val="fr-FR"/>
        </w:rPr>
        <w:t>.</w:t>
      </w:r>
    </w:p>
    <w:p w14:paraId="16B58AE6" w14:textId="60E6B49F" w:rsidR="00755BE9" w:rsidRPr="00942903" w:rsidRDefault="00755BE9" w:rsidP="00942903">
      <w:pPr>
        <w:pStyle w:val="SingleTxtG"/>
        <w:ind w:firstLine="567"/>
        <w:rPr>
          <w:lang w:val="fr-FR"/>
        </w:rPr>
      </w:pPr>
      <w:r>
        <w:rPr>
          <w:lang w:val="fr-FR"/>
        </w:rPr>
        <w:t>b)</w:t>
      </w:r>
      <w:r>
        <w:rPr>
          <w:lang w:val="fr-FR"/>
        </w:rPr>
        <w:tab/>
        <w:t xml:space="preserve">Le groupe de travail informel est dirigé par deux coprésident(e)s (Fédération de Russie et </w:t>
      </w:r>
      <w:r w:rsidR="00C0588B">
        <w:rPr>
          <w:lang w:val="fr-FR"/>
        </w:rPr>
        <w:t>« </w:t>
      </w:r>
      <w:r>
        <w:rPr>
          <w:lang w:val="fr-FR"/>
        </w:rPr>
        <w:t>autre siège de coprésident(e) vacant</w:t>
      </w:r>
      <w:r w:rsidR="00C0588B">
        <w:rPr>
          <w:lang w:val="fr-FR"/>
        </w:rPr>
        <w:t> »</w:t>
      </w:r>
      <w:r>
        <w:rPr>
          <w:lang w:val="fr-FR"/>
        </w:rPr>
        <w:t>) et un(e) secrétaire (CITA)</w:t>
      </w:r>
      <w:r w:rsidR="005C07B5" w:rsidRPr="005C07B5">
        <w:rPr>
          <w:lang w:val="fr-FR"/>
        </w:rPr>
        <w:t>.</w:t>
      </w:r>
    </w:p>
    <w:p w14:paraId="4D9E5592" w14:textId="1E964253" w:rsidR="00755BE9" w:rsidRPr="00942903" w:rsidRDefault="00755BE9" w:rsidP="00942903">
      <w:pPr>
        <w:pStyle w:val="SingleTxtG"/>
        <w:ind w:firstLine="567"/>
        <w:rPr>
          <w:lang w:val="fr-FR"/>
        </w:rPr>
      </w:pPr>
      <w:r>
        <w:rPr>
          <w:lang w:val="fr-FR"/>
        </w:rPr>
        <w:t>c)</w:t>
      </w:r>
      <w:r>
        <w:rPr>
          <w:lang w:val="fr-FR"/>
        </w:rPr>
        <w:tab/>
        <w:t>La langue de travail est l</w:t>
      </w:r>
      <w:r w:rsidR="00C0588B">
        <w:rPr>
          <w:lang w:val="fr-FR"/>
        </w:rPr>
        <w:t>’</w:t>
      </w:r>
      <w:r>
        <w:rPr>
          <w:lang w:val="fr-FR"/>
        </w:rPr>
        <w:t>anglais</w:t>
      </w:r>
      <w:r w:rsidR="005C07B5" w:rsidRPr="005C07B5">
        <w:rPr>
          <w:lang w:val="fr-FR"/>
        </w:rPr>
        <w:t>.</w:t>
      </w:r>
    </w:p>
    <w:p w14:paraId="4E45AED6" w14:textId="61C75D28" w:rsidR="00755BE9" w:rsidRPr="00942903" w:rsidRDefault="00755BE9" w:rsidP="00942903">
      <w:pPr>
        <w:pStyle w:val="SingleTxtG"/>
        <w:ind w:firstLine="567"/>
        <w:rPr>
          <w:lang w:val="fr-FR"/>
        </w:rPr>
      </w:pPr>
      <w:r>
        <w:rPr>
          <w:lang w:val="fr-FR"/>
        </w:rPr>
        <w:t>d)</w:t>
      </w:r>
      <w:r>
        <w:rPr>
          <w:lang w:val="fr-FR"/>
        </w:rPr>
        <w:tab/>
        <w:t>L</w:t>
      </w:r>
      <w:r w:rsidR="00C0588B">
        <w:rPr>
          <w:lang w:val="fr-FR"/>
        </w:rPr>
        <w:t>’</w:t>
      </w:r>
      <w:r>
        <w:rPr>
          <w:lang w:val="fr-FR"/>
        </w:rPr>
        <w:t>ordre du jour et les documents de travail sont distribués à tous les membres du groupe avant chaque réunion programmée</w:t>
      </w:r>
      <w:r w:rsidR="005C07B5" w:rsidRPr="005C07B5">
        <w:rPr>
          <w:lang w:val="fr-FR"/>
        </w:rPr>
        <w:t>.</w:t>
      </w:r>
    </w:p>
    <w:p w14:paraId="1AB12967" w14:textId="159646CA" w:rsidR="00C0588B" w:rsidRDefault="00755BE9" w:rsidP="00942903">
      <w:pPr>
        <w:pStyle w:val="SingleTxtG"/>
        <w:ind w:firstLine="567"/>
        <w:rPr>
          <w:lang w:val="fr-FR"/>
        </w:rPr>
      </w:pPr>
      <w:r>
        <w:rPr>
          <w:lang w:val="fr-FR"/>
        </w:rPr>
        <w:t>e)</w:t>
      </w:r>
      <w:r>
        <w:rPr>
          <w:lang w:val="fr-FR"/>
        </w:rPr>
        <w:tab/>
        <w:t>Tous les documents et les propositions sont soumis au secrétaire du groupe de travail informel dans un format électronique approprié, de préférence conforme aux directives de la Commission économique pour l</w:t>
      </w:r>
      <w:r w:rsidR="00C0588B">
        <w:rPr>
          <w:lang w:val="fr-FR"/>
        </w:rPr>
        <w:t>’</w:t>
      </w:r>
      <w:r>
        <w:rPr>
          <w:lang w:val="fr-FR"/>
        </w:rPr>
        <w:t>Europe (CEE), avant les réunions</w:t>
      </w:r>
      <w:r w:rsidR="005C07B5" w:rsidRPr="005C07B5">
        <w:rPr>
          <w:lang w:val="fr-FR"/>
        </w:rPr>
        <w:t>.</w:t>
      </w:r>
    </w:p>
    <w:p w14:paraId="5C06B3DF" w14:textId="6AE300D8" w:rsidR="00755BE9" w:rsidRPr="00942903" w:rsidRDefault="00755BE9" w:rsidP="00942903">
      <w:pPr>
        <w:pStyle w:val="SingleTxtG"/>
        <w:ind w:firstLine="567"/>
        <w:rPr>
          <w:lang w:val="fr-FR"/>
        </w:rPr>
      </w:pPr>
      <w:r>
        <w:rPr>
          <w:lang w:val="fr-FR"/>
        </w:rPr>
        <w:t>f)</w:t>
      </w:r>
      <w:r>
        <w:rPr>
          <w:lang w:val="fr-FR"/>
        </w:rPr>
        <w:tab/>
        <w:t>Tous les documents sont diffusés sous forme numérique</w:t>
      </w:r>
      <w:r w:rsidR="005C07B5" w:rsidRPr="005C07B5">
        <w:rPr>
          <w:lang w:val="fr-FR"/>
        </w:rPr>
        <w:t>.</w:t>
      </w:r>
      <w:r>
        <w:rPr>
          <w:lang w:val="fr-FR"/>
        </w:rPr>
        <w:t xml:space="preserve"> La section consacrée aux contrôles techniques périodiques du site Web de la CEE est utilisée à cet effet</w:t>
      </w:r>
      <w:r w:rsidR="005C07B5" w:rsidRPr="005C07B5">
        <w:rPr>
          <w:lang w:val="fr-FR"/>
        </w:rPr>
        <w:t>.</w:t>
      </w:r>
    </w:p>
    <w:p w14:paraId="082F524C" w14:textId="39F8FC6C" w:rsidR="00755BE9" w:rsidRPr="00942903" w:rsidRDefault="00755BE9" w:rsidP="00942903">
      <w:pPr>
        <w:pStyle w:val="SingleTxtG"/>
        <w:ind w:firstLine="567"/>
        <w:rPr>
          <w:lang w:val="fr-FR"/>
        </w:rPr>
      </w:pPr>
      <w:r>
        <w:rPr>
          <w:lang w:val="fr-FR"/>
        </w:rPr>
        <w:t>g)</w:t>
      </w:r>
      <w:r>
        <w:rPr>
          <w:lang w:val="fr-FR"/>
        </w:rPr>
        <w:tab/>
        <w:t>Le groupe de travail informel peut refuser d</w:t>
      </w:r>
      <w:r w:rsidR="00C0588B">
        <w:rPr>
          <w:lang w:val="fr-FR"/>
        </w:rPr>
        <w:t>’</w:t>
      </w:r>
      <w:r>
        <w:rPr>
          <w:lang w:val="fr-FR"/>
        </w:rPr>
        <w:t>examiner un point ou une proposition qui n</w:t>
      </w:r>
      <w:r w:rsidR="00C0588B">
        <w:rPr>
          <w:lang w:val="fr-FR"/>
        </w:rPr>
        <w:t>’</w:t>
      </w:r>
      <w:r>
        <w:rPr>
          <w:lang w:val="fr-FR"/>
        </w:rPr>
        <w:t>a pas été communiqué(e) cinq jours ouvrables avant la réunion</w:t>
      </w:r>
      <w:r w:rsidR="005C07B5" w:rsidRPr="005C07B5">
        <w:rPr>
          <w:lang w:val="fr-FR"/>
        </w:rPr>
        <w:t>.</w:t>
      </w:r>
    </w:p>
    <w:p w14:paraId="1A74F0BF" w14:textId="4D933A98" w:rsidR="00755BE9" w:rsidRPr="0070453D" w:rsidRDefault="00755BE9" w:rsidP="00942903">
      <w:pPr>
        <w:pStyle w:val="SingleTxtG"/>
        <w:ind w:firstLine="567"/>
        <w:rPr>
          <w:rFonts w:eastAsia="Calibri"/>
        </w:rPr>
      </w:pPr>
      <w:r>
        <w:rPr>
          <w:lang w:val="fr-FR"/>
        </w:rPr>
        <w:t>h)</w:t>
      </w:r>
      <w:r>
        <w:rPr>
          <w:lang w:val="fr-FR"/>
        </w:rPr>
        <w:tab/>
        <w:t>Les réunions du groupe se tiennent à l</w:t>
      </w:r>
      <w:r w:rsidR="00C0588B">
        <w:rPr>
          <w:lang w:val="fr-FR"/>
        </w:rPr>
        <w:t>’</w:t>
      </w:r>
      <w:r>
        <w:rPr>
          <w:lang w:val="fr-FR"/>
        </w:rPr>
        <w:t>occasion des réunions du WP</w:t>
      </w:r>
      <w:r w:rsidR="005C07B5" w:rsidRPr="005C07B5">
        <w:rPr>
          <w:lang w:val="fr-FR"/>
        </w:rPr>
        <w:t>.</w:t>
      </w:r>
      <w:r w:rsidRPr="005C07B5">
        <w:rPr>
          <w:lang w:val="fr-FR"/>
        </w:rPr>
        <w:t>29</w:t>
      </w:r>
      <w:r>
        <w:rPr>
          <w:lang w:val="fr-FR"/>
        </w:rPr>
        <w:t xml:space="preserve"> et de ses organes subsidiaires</w:t>
      </w:r>
      <w:r w:rsidR="005C07B5" w:rsidRPr="005C07B5">
        <w:rPr>
          <w:lang w:val="fr-FR"/>
        </w:rPr>
        <w:t>.</w:t>
      </w:r>
      <w:r>
        <w:rPr>
          <w:lang w:val="fr-FR"/>
        </w:rPr>
        <w:t xml:space="preserve"> Des réunions supplémentaires sont organisées à la demande</w:t>
      </w:r>
      <w:r w:rsidR="005C07B5" w:rsidRPr="005C07B5">
        <w:rPr>
          <w:lang w:val="fr-FR"/>
        </w:rPr>
        <w:t>.</w:t>
      </w:r>
    </w:p>
    <w:p w14:paraId="13449FA3" w14:textId="6041D1A8" w:rsidR="00755BE9" w:rsidRPr="00942903" w:rsidRDefault="00755BE9" w:rsidP="00942903">
      <w:pPr>
        <w:pStyle w:val="SingleTxtG"/>
        <w:ind w:firstLine="567"/>
        <w:rPr>
          <w:lang w:val="fr-FR"/>
        </w:rPr>
      </w:pPr>
      <w:r>
        <w:rPr>
          <w:lang w:val="fr-FR"/>
        </w:rPr>
        <w:t>i)</w:t>
      </w:r>
      <w:r>
        <w:rPr>
          <w:lang w:val="fr-FR"/>
        </w:rPr>
        <w:tab/>
        <w:t>Les modalités de travail sont adoptées par consensus et, en l</w:t>
      </w:r>
      <w:r w:rsidR="00C0588B">
        <w:rPr>
          <w:lang w:val="fr-FR"/>
        </w:rPr>
        <w:t>’</w:t>
      </w:r>
      <w:r>
        <w:rPr>
          <w:lang w:val="fr-FR"/>
        </w:rPr>
        <w:t>absence de consensus, les coprésidents présentent les différents points de vue du groupe au WP</w:t>
      </w:r>
      <w:r w:rsidR="005C07B5" w:rsidRPr="005C07B5">
        <w:rPr>
          <w:lang w:val="fr-FR"/>
        </w:rPr>
        <w:t>.</w:t>
      </w:r>
      <w:r w:rsidRPr="005C07B5">
        <w:rPr>
          <w:lang w:val="fr-FR"/>
        </w:rPr>
        <w:t>29</w:t>
      </w:r>
      <w:r w:rsidR="005C07B5" w:rsidRPr="005C07B5">
        <w:rPr>
          <w:lang w:val="fr-FR"/>
        </w:rPr>
        <w:t>.</w:t>
      </w:r>
      <w:r w:rsidR="00C0588B">
        <w:rPr>
          <w:lang w:val="fr-FR"/>
        </w:rPr>
        <w:t xml:space="preserve"> </w:t>
      </w:r>
      <w:r>
        <w:rPr>
          <w:lang w:val="fr-FR"/>
        </w:rPr>
        <w:t>Les</w:t>
      </w:r>
      <w:r w:rsidR="00033725">
        <w:rPr>
          <w:lang w:val="fr-FR"/>
        </w:rPr>
        <w:t> </w:t>
      </w:r>
      <w:r>
        <w:rPr>
          <w:lang w:val="fr-FR"/>
        </w:rPr>
        <w:t>coprésidents peuvent demander l</w:t>
      </w:r>
      <w:r w:rsidR="00C0588B">
        <w:rPr>
          <w:lang w:val="fr-FR"/>
        </w:rPr>
        <w:t>’</w:t>
      </w:r>
      <w:r>
        <w:rPr>
          <w:lang w:val="fr-FR"/>
        </w:rPr>
        <w:t>avis du WP</w:t>
      </w:r>
      <w:r w:rsidR="005C07B5" w:rsidRPr="005C07B5">
        <w:rPr>
          <w:lang w:val="fr-FR"/>
        </w:rPr>
        <w:t>.</w:t>
      </w:r>
      <w:r w:rsidRPr="005C07B5">
        <w:rPr>
          <w:lang w:val="fr-FR"/>
        </w:rPr>
        <w:t>29</w:t>
      </w:r>
      <w:r>
        <w:rPr>
          <w:lang w:val="fr-FR"/>
        </w:rPr>
        <w:t xml:space="preserve"> s</w:t>
      </w:r>
      <w:r w:rsidR="00C0588B">
        <w:rPr>
          <w:lang w:val="fr-FR"/>
        </w:rPr>
        <w:t>’</w:t>
      </w:r>
      <w:r>
        <w:rPr>
          <w:lang w:val="fr-FR"/>
        </w:rPr>
        <w:t>ils le souhaitent</w:t>
      </w:r>
      <w:r w:rsidR="005C07B5" w:rsidRPr="005C07B5">
        <w:rPr>
          <w:lang w:val="fr-FR"/>
        </w:rPr>
        <w:t>.</w:t>
      </w:r>
    </w:p>
    <w:p w14:paraId="4AACF84C" w14:textId="574A45B7" w:rsidR="00755BE9" w:rsidRPr="00942903" w:rsidRDefault="00755BE9" w:rsidP="00942903">
      <w:pPr>
        <w:pStyle w:val="SingleTxtG"/>
        <w:ind w:firstLine="567"/>
        <w:rPr>
          <w:lang w:val="fr-FR"/>
        </w:rPr>
      </w:pPr>
      <w:r>
        <w:rPr>
          <w:lang w:val="fr-FR"/>
        </w:rPr>
        <w:t>j)</w:t>
      </w:r>
      <w:r>
        <w:rPr>
          <w:lang w:val="fr-FR"/>
        </w:rPr>
        <w:tab/>
        <w:t>Les progrès réalisés par le groupe sont systématiquement communiqués au WP</w:t>
      </w:r>
      <w:r w:rsidR="005C07B5" w:rsidRPr="005C07B5">
        <w:rPr>
          <w:lang w:val="fr-FR"/>
        </w:rPr>
        <w:t>.</w:t>
      </w:r>
      <w:r w:rsidRPr="005C07B5">
        <w:rPr>
          <w:lang w:val="fr-FR"/>
        </w:rPr>
        <w:t>29</w:t>
      </w:r>
      <w:r>
        <w:rPr>
          <w:lang w:val="fr-FR"/>
        </w:rPr>
        <w:t xml:space="preserve"> oralement ou dans un document informel rédigé par les coprésidents</w:t>
      </w:r>
      <w:r w:rsidR="005C07B5" w:rsidRPr="005C07B5">
        <w:rPr>
          <w:lang w:val="fr-FR"/>
        </w:rPr>
        <w:t>.</w:t>
      </w:r>
    </w:p>
    <w:p w14:paraId="3C31968E" w14:textId="2B2D1BCA" w:rsidR="00F9573C" w:rsidRDefault="00755BE9" w:rsidP="00942903">
      <w:pPr>
        <w:pStyle w:val="SingleTxtG"/>
        <w:ind w:firstLine="567"/>
        <w:rPr>
          <w:lang w:val="fr-FR"/>
        </w:rPr>
      </w:pPr>
      <w:r>
        <w:rPr>
          <w:lang w:val="fr-FR"/>
        </w:rPr>
        <w:t>k)</w:t>
      </w:r>
      <w:r>
        <w:rPr>
          <w:lang w:val="fr-FR"/>
        </w:rPr>
        <w:tab/>
        <w:t>Des projets de compte</w:t>
      </w:r>
      <w:r w:rsidR="004238BB">
        <w:rPr>
          <w:lang w:val="fr-FR"/>
        </w:rPr>
        <w:t>s</w:t>
      </w:r>
      <w:r>
        <w:rPr>
          <w:lang w:val="fr-FR"/>
        </w:rPr>
        <w:t xml:space="preserve"> rendus sont établis à l</w:t>
      </w:r>
      <w:r w:rsidR="00C0588B">
        <w:rPr>
          <w:lang w:val="fr-FR"/>
        </w:rPr>
        <w:t>’</w:t>
      </w:r>
      <w:r>
        <w:rPr>
          <w:lang w:val="fr-FR"/>
        </w:rPr>
        <w:t>issue de chaque réunion et soumis à l</w:t>
      </w:r>
      <w:r w:rsidR="00C0588B">
        <w:rPr>
          <w:lang w:val="fr-FR"/>
        </w:rPr>
        <w:t>’</w:t>
      </w:r>
      <w:r>
        <w:rPr>
          <w:lang w:val="fr-FR"/>
        </w:rPr>
        <w:t>approbation du groupe à la réunion suivante</w:t>
      </w:r>
      <w:r w:rsidR="005C07B5" w:rsidRPr="005C07B5">
        <w:rPr>
          <w:lang w:val="fr-FR"/>
        </w:rPr>
        <w:t>.</w:t>
      </w:r>
    </w:p>
    <w:p w14:paraId="4593374A" w14:textId="3BBCE8F4" w:rsidR="00755BE9" w:rsidRPr="00755BE9" w:rsidRDefault="00755BE9" w:rsidP="00755BE9">
      <w:pPr>
        <w:pStyle w:val="SingleTxtG"/>
        <w:spacing w:before="240" w:after="0"/>
        <w:jc w:val="center"/>
        <w:rPr>
          <w:u w:val="single"/>
        </w:rPr>
      </w:pPr>
      <w:r>
        <w:rPr>
          <w:u w:val="single"/>
        </w:rPr>
        <w:tab/>
      </w:r>
      <w:r>
        <w:rPr>
          <w:u w:val="single"/>
        </w:rPr>
        <w:tab/>
      </w:r>
      <w:r>
        <w:rPr>
          <w:u w:val="single"/>
        </w:rPr>
        <w:tab/>
      </w:r>
    </w:p>
    <w:sectPr w:rsidR="00755BE9" w:rsidRPr="00755BE9" w:rsidSect="00755BE9">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CF4F" w14:textId="77777777" w:rsidR="009A7DC8" w:rsidRDefault="009A7DC8" w:rsidP="00F95C08">
      <w:pPr>
        <w:spacing w:line="240" w:lineRule="auto"/>
      </w:pPr>
    </w:p>
  </w:endnote>
  <w:endnote w:type="continuationSeparator" w:id="0">
    <w:p w14:paraId="47EBFE0C" w14:textId="77777777" w:rsidR="009A7DC8" w:rsidRPr="00AC3823" w:rsidRDefault="009A7DC8" w:rsidP="00AC3823">
      <w:pPr>
        <w:pStyle w:val="Footer"/>
      </w:pPr>
    </w:p>
  </w:endnote>
  <w:endnote w:type="continuationNotice" w:id="1">
    <w:p w14:paraId="50E0F1F1" w14:textId="77777777" w:rsidR="009A7DC8" w:rsidRDefault="009A7D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A470" w14:textId="77777777" w:rsidR="00755BE9" w:rsidRPr="00755BE9" w:rsidRDefault="00755BE9" w:rsidP="00755BE9">
    <w:pPr>
      <w:pStyle w:val="Footer"/>
      <w:tabs>
        <w:tab w:val="right" w:pos="9638"/>
      </w:tabs>
    </w:pPr>
    <w:r w:rsidRPr="00755BE9">
      <w:rPr>
        <w:b/>
        <w:sz w:val="18"/>
      </w:rPr>
      <w:fldChar w:fldCharType="begin"/>
    </w:r>
    <w:r w:rsidRPr="00755BE9">
      <w:rPr>
        <w:b/>
        <w:sz w:val="18"/>
      </w:rPr>
      <w:instrText xml:space="preserve"> PAGE  \* MERGEFORMAT </w:instrText>
    </w:r>
    <w:r w:rsidRPr="00755BE9">
      <w:rPr>
        <w:b/>
        <w:sz w:val="18"/>
      </w:rPr>
      <w:fldChar w:fldCharType="separate"/>
    </w:r>
    <w:r w:rsidRPr="00755BE9">
      <w:rPr>
        <w:b/>
        <w:noProof/>
        <w:sz w:val="18"/>
      </w:rPr>
      <w:t>2</w:t>
    </w:r>
    <w:r w:rsidRPr="00755BE9">
      <w:rPr>
        <w:b/>
        <w:sz w:val="18"/>
      </w:rPr>
      <w:fldChar w:fldCharType="end"/>
    </w:r>
    <w:r>
      <w:rPr>
        <w:b/>
        <w:sz w:val="18"/>
      </w:rPr>
      <w:tab/>
    </w:r>
    <w:r>
      <w:t>GE.24-15764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8A87" w14:textId="77777777" w:rsidR="00755BE9" w:rsidRPr="00755BE9" w:rsidRDefault="00755BE9" w:rsidP="00755BE9">
    <w:pPr>
      <w:pStyle w:val="Footer"/>
      <w:tabs>
        <w:tab w:val="right" w:pos="9638"/>
      </w:tabs>
      <w:rPr>
        <w:b/>
        <w:sz w:val="18"/>
      </w:rPr>
    </w:pPr>
    <w:r>
      <w:t>GE.24-15764</w:t>
    </w:r>
    <w:r>
      <w:tab/>
    </w:r>
    <w:r w:rsidRPr="00755BE9">
      <w:rPr>
        <w:b/>
        <w:sz w:val="18"/>
      </w:rPr>
      <w:fldChar w:fldCharType="begin"/>
    </w:r>
    <w:r w:rsidRPr="00755BE9">
      <w:rPr>
        <w:b/>
        <w:sz w:val="18"/>
      </w:rPr>
      <w:instrText xml:space="preserve"> PAGE  \* MERGEFORMAT </w:instrText>
    </w:r>
    <w:r w:rsidRPr="00755BE9">
      <w:rPr>
        <w:b/>
        <w:sz w:val="18"/>
      </w:rPr>
      <w:fldChar w:fldCharType="separate"/>
    </w:r>
    <w:r w:rsidRPr="00755BE9">
      <w:rPr>
        <w:b/>
        <w:noProof/>
        <w:sz w:val="18"/>
      </w:rPr>
      <w:t>3</w:t>
    </w:r>
    <w:r w:rsidRPr="00755BE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B25C" w14:textId="2BC0B6B1" w:rsidR="007F20FA" w:rsidRPr="00755BE9" w:rsidRDefault="00755BE9" w:rsidP="00755BE9">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6425D90" wp14:editId="1B0C47F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24-15764  (F)</w:t>
    </w:r>
    <w:r>
      <w:rPr>
        <w:noProof/>
        <w:sz w:val="20"/>
      </w:rPr>
      <w:drawing>
        <wp:anchor distT="0" distB="0" distL="114300" distR="114300" simplePos="0" relativeHeight="251660288" behindDoc="0" locked="0" layoutInCell="1" allowOverlap="1" wp14:anchorId="6FB0D838" wp14:editId="6E63DEDE">
          <wp:simplePos x="0" y="0"/>
          <wp:positionH relativeFrom="margin">
            <wp:posOffset>5489575</wp:posOffset>
          </wp:positionH>
          <wp:positionV relativeFrom="margin">
            <wp:posOffset>8891905</wp:posOffset>
          </wp:positionV>
          <wp:extent cx="628650" cy="628650"/>
          <wp:effectExtent l="0" t="0" r="0" b="0"/>
          <wp:wrapNone/>
          <wp:docPr id="1376311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240924    240924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6EE1" w14:textId="77777777" w:rsidR="009A7DC8" w:rsidRPr="00AC3823" w:rsidRDefault="009A7DC8" w:rsidP="00AC3823">
      <w:pPr>
        <w:pStyle w:val="Footer"/>
        <w:tabs>
          <w:tab w:val="right" w:pos="2155"/>
        </w:tabs>
        <w:spacing w:after="80" w:line="240" w:lineRule="atLeast"/>
        <w:ind w:left="680"/>
        <w:rPr>
          <w:u w:val="single"/>
        </w:rPr>
      </w:pPr>
      <w:r>
        <w:rPr>
          <w:u w:val="single"/>
        </w:rPr>
        <w:tab/>
      </w:r>
    </w:p>
  </w:footnote>
  <w:footnote w:type="continuationSeparator" w:id="0">
    <w:p w14:paraId="5AD94FD0" w14:textId="77777777" w:rsidR="009A7DC8" w:rsidRPr="00AC3823" w:rsidRDefault="009A7DC8" w:rsidP="00AC3823">
      <w:pPr>
        <w:pStyle w:val="Footer"/>
        <w:tabs>
          <w:tab w:val="right" w:pos="2155"/>
        </w:tabs>
        <w:spacing w:after="80" w:line="240" w:lineRule="atLeast"/>
        <w:ind w:left="680"/>
        <w:rPr>
          <w:u w:val="single"/>
        </w:rPr>
      </w:pPr>
      <w:r>
        <w:rPr>
          <w:u w:val="single"/>
        </w:rPr>
        <w:tab/>
      </w:r>
    </w:p>
  </w:footnote>
  <w:footnote w:type="continuationNotice" w:id="1">
    <w:p w14:paraId="3B6D6F30" w14:textId="77777777" w:rsidR="009A7DC8" w:rsidRPr="00AC3823" w:rsidRDefault="009A7DC8">
      <w:pPr>
        <w:spacing w:line="240" w:lineRule="auto"/>
        <w:rPr>
          <w:sz w:val="2"/>
          <w:szCs w:val="2"/>
        </w:rPr>
      </w:pPr>
    </w:p>
  </w:footnote>
  <w:footnote w:id="2">
    <w:p w14:paraId="675FBFC7" w14:textId="6A713957" w:rsidR="00755BE9" w:rsidRPr="0070453D" w:rsidRDefault="00755BE9" w:rsidP="00755BE9">
      <w:pPr>
        <w:pStyle w:val="FootnoteText"/>
      </w:pPr>
      <w:r>
        <w:rPr>
          <w:lang w:val="fr-FR"/>
        </w:rPr>
        <w:tab/>
      </w:r>
      <w:r w:rsidRPr="00C21479">
        <w:rPr>
          <w:sz w:val="20"/>
          <w:lang w:val="fr-FR"/>
        </w:rPr>
        <w:t>*</w:t>
      </w:r>
      <w:r>
        <w:rPr>
          <w:lang w:val="fr-FR"/>
        </w:rPr>
        <w:tab/>
        <w:t>Conformément au programme de travail du Comité des transports intérieurs pour 2024 tel qu</w:t>
      </w:r>
      <w:r w:rsidR="0083753B">
        <w:rPr>
          <w:lang w:val="fr-FR"/>
        </w:rPr>
        <w:t>’</w:t>
      </w:r>
      <w:r>
        <w:rPr>
          <w:lang w:val="fr-FR"/>
        </w:rPr>
        <w:t>il figure dans le projet de budget-programme pour 2024 (A/78/6 (Sect. 20), tableau 20.5), le Forum mondial a pour mission d</w:t>
      </w:r>
      <w:r w:rsidR="0083753B">
        <w:rPr>
          <w:lang w:val="fr-FR"/>
        </w:rPr>
        <w:t>’</w:t>
      </w:r>
      <w:r>
        <w:rPr>
          <w:lang w:val="fr-FR"/>
        </w:rPr>
        <w:t>élaborer, d</w:t>
      </w:r>
      <w:r w:rsidR="0083753B">
        <w:rPr>
          <w:lang w:val="fr-FR"/>
        </w:rPr>
        <w:t>’</w:t>
      </w:r>
      <w:r>
        <w:rPr>
          <w:lang w:val="fr-FR"/>
        </w:rPr>
        <w:t>harmoniser et de mettre à jour les Règlements ONU en vue d</w:t>
      </w:r>
      <w:r w:rsidR="0083753B">
        <w:rPr>
          <w:lang w:val="fr-FR"/>
        </w:rPr>
        <w:t>’</w:t>
      </w:r>
      <w:r>
        <w:rPr>
          <w:lang w:val="fr-FR"/>
        </w:rPr>
        <w:t>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5101" w14:textId="6E52FC8B" w:rsidR="00755BE9" w:rsidRPr="00755BE9" w:rsidRDefault="00755BE9">
    <w:pPr>
      <w:pStyle w:val="Header"/>
    </w:pPr>
    <w:fldSimple w:instr=" TITLE  \* MERGEFORMAT ">
      <w:r w:rsidR="00094EEE">
        <w:t>ECE/TRANS/WP.29/2024/158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9A08" w14:textId="5FBC4BC6" w:rsidR="00755BE9" w:rsidRPr="00755BE9" w:rsidRDefault="00755BE9" w:rsidP="00755BE9">
    <w:pPr>
      <w:pStyle w:val="Header"/>
      <w:jc w:val="right"/>
    </w:pPr>
    <w:fldSimple w:instr=" TITLE  \* MERGEFORMAT ">
      <w:r w:rsidR="00094EEE">
        <w:t>ECE/TRANS/WP.29/2024/158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C8"/>
    <w:rsid w:val="00017F94"/>
    <w:rsid w:val="00023842"/>
    <w:rsid w:val="000334F9"/>
    <w:rsid w:val="00033725"/>
    <w:rsid w:val="00045FEB"/>
    <w:rsid w:val="0007796D"/>
    <w:rsid w:val="00094EEE"/>
    <w:rsid w:val="00096FBE"/>
    <w:rsid w:val="000B7790"/>
    <w:rsid w:val="000D6916"/>
    <w:rsid w:val="000E03A3"/>
    <w:rsid w:val="00103B48"/>
    <w:rsid w:val="00111F2F"/>
    <w:rsid w:val="0014365E"/>
    <w:rsid w:val="00143C66"/>
    <w:rsid w:val="00176178"/>
    <w:rsid w:val="001772E5"/>
    <w:rsid w:val="001F525A"/>
    <w:rsid w:val="00201148"/>
    <w:rsid w:val="0022211E"/>
    <w:rsid w:val="00223272"/>
    <w:rsid w:val="0024779E"/>
    <w:rsid w:val="00257168"/>
    <w:rsid w:val="002672D9"/>
    <w:rsid w:val="002744B8"/>
    <w:rsid w:val="002832AC"/>
    <w:rsid w:val="002B7241"/>
    <w:rsid w:val="002D7C93"/>
    <w:rsid w:val="002E54D0"/>
    <w:rsid w:val="00305801"/>
    <w:rsid w:val="003916DE"/>
    <w:rsid w:val="00421996"/>
    <w:rsid w:val="004238BB"/>
    <w:rsid w:val="00441C3B"/>
    <w:rsid w:val="00446FE5"/>
    <w:rsid w:val="00452396"/>
    <w:rsid w:val="00477EB2"/>
    <w:rsid w:val="004837D8"/>
    <w:rsid w:val="004E2EED"/>
    <w:rsid w:val="004E468C"/>
    <w:rsid w:val="005505B7"/>
    <w:rsid w:val="00573BE5"/>
    <w:rsid w:val="00586ED3"/>
    <w:rsid w:val="00596AA9"/>
    <w:rsid w:val="005C07B5"/>
    <w:rsid w:val="006D4B82"/>
    <w:rsid w:val="0071601D"/>
    <w:rsid w:val="0071626C"/>
    <w:rsid w:val="00755BE9"/>
    <w:rsid w:val="007A62E6"/>
    <w:rsid w:val="007F20FA"/>
    <w:rsid w:val="0080684C"/>
    <w:rsid w:val="00817F74"/>
    <w:rsid w:val="0082720B"/>
    <w:rsid w:val="0083753B"/>
    <w:rsid w:val="00871C75"/>
    <w:rsid w:val="008776DC"/>
    <w:rsid w:val="008D5EF9"/>
    <w:rsid w:val="00942903"/>
    <w:rsid w:val="009446C0"/>
    <w:rsid w:val="009705C8"/>
    <w:rsid w:val="009A3DD3"/>
    <w:rsid w:val="009A7DC8"/>
    <w:rsid w:val="009C1CF4"/>
    <w:rsid w:val="009D5B09"/>
    <w:rsid w:val="009F6B74"/>
    <w:rsid w:val="00A3029F"/>
    <w:rsid w:val="00A30353"/>
    <w:rsid w:val="00A40329"/>
    <w:rsid w:val="00A77AA1"/>
    <w:rsid w:val="00AB09B1"/>
    <w:rsid w:val="00AC3823"/>
    <w:rsid w:val="00AE323C"/>
    <w:rsid w:val="00AF0CB5"/>
    <w:rsid w:val="00B00181"/>
    <w:rsid w:val="00B00B0D"/>
    <w:rsid w:val="00B40B27"/>
    <w:rsid w:val="00B45F2E"/>
    <w:rsid w:val="00B765F7"/>
    <w:rsid w:val="00B77993"/>
    <w:rsid w:val="00BA0CA9"/>
    <w:rsid w:val="00C02897"/>
    <w:rsid w:val="00C0588B"/>
    <w:rsid w:val="00C21479"/>
    <w:rsid w:val="00C97039"/>
    <w:rsid w:val="00CA1CB5"/>
    <w:rsid w:val="00D3439C"/>
    <w:rsid w:val="00D7622E"/>
    <w:rsid w:val="00DB1831"/>
    <w:rsid w:val="00DD3BFD"/>
    <w:rsid w:val="00DF6678"/>
    <w:rsid w:val="00E0299A"/>
    <w:rsid w:val="00E151CE"/>
    <w:rsid w:val="00E41988"/>
    <w:rsid w:val="00E85C74"/>
    <w:rsid w:val="00EA6547"/>
    <w:rsid w:val="00ED7237"/>
    <w:rsid w:val="00EE0DB7"/>
    <w:rsid w:val="00EF2E22"/>
    <w:rsid w:val="00F26B5B"/>
    <w:rsid w:val="00F35BAF"/>
    <w:rsid w:val="00F509BB"/>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087DF"/>
  <w15:docId w15:val="{1248FF4B-5E60-4FC3-84F2-FFE44535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FootnoteReference">
    <w:name w:val="footnote reference"/>
    <w:aliases w:val="4_G,(Footnote Reference),-E Fußnotenzeichen,BVI fnr, BVI fnr,Footnote symbol,Footnote,Footnote Reference Superscript,SUPERS"/>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3353B-FA8D-4C02-8BB5-A58280107FC8}">
  <ds:schemaRefs>
    <ds:schemaRef ds:uri="http://schemas.openxmlformats.org/officeDocument/2006/bibliography"/>
  </ds:schemaRefs>
</ds:datastoreItem>
</file>

<file path=customXml/itemProps2.xml><?xml version="1.0" encoding="utf-8"?>
<ds:datastoreItem xmlns:ds="http://schemas.openxmlformats.org/officeDocument/2006/customXml" ds:itemID="{12723EA7-0A8D-4707-8AE2-FB150D788662}"/>
</file>

<file path=customXml/itemProps3.xml><?xml version="1.0" encoding="utf-8"?>
<ds:datastoreItem xmlns:ds="http://schemas.openxmlformats.org/officeDocument/2006/customXml" ds:itemID="{089DB1E5-2D32-4D05-905F-61D6E86D7704}"/>
</file>

<file path=docProps/app.xml><?xml version="1.0" encoding="utf-8"?>
<Properties xmlns="http://schemas.openxmlformats.org/officeDocument/2006/extended-properties" xmlns:vt="http://schemas.openxmlformats.org/officeDocument/2006/docPropsVTypes">
  <Template>ECE_TRANS.dotm</Template>
  <TotalTime>17</TotalTime>
  <Pages>4</Pages>
  <Words>1201</Words>
  <Characters>8412</Characters>
  <Application>Microsoft Office Word</Application>
  <DocSecurity>0</DocSecurity>
  <Lines>701</Lines>
  <Paragraphs>384</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ECE/TRANS/WP.29/2024/158</dc:title>
  <dc:subject/>
  <dc:creator>Luisa PENA-MONTERO</dc:creator>
  <cp:keywords/>
  <cp:lastModifiedBy>Luisa PENA-MONTERO</cp:lastModifiedBy>
  <cp:revision>29</cp:revision>
  <cp:lastPrinted>2024-09-24T14:30:00Z</cp:lastPrinted>
  <dcterms:created xsi:type="dcterms:W3CDTF">2024-09-24T14:08:00Z</dcterms:created>
  <dcterms:modified xsi:type="dcterms:W3CDTF">2024-09-24T14:30:00Z</dcterms:modified>
</cp:coreProperties>
</file>