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FBF6526" w14:textId="77777777" w:rsidTr="00C97039">
        <w:trPr>
          <w:trHeight w:hRule="exact" w:val="851"/>
        </w:trPr>
        <w:tc>
          <w:tcPr>
            <w:tcW w:w="1276" w:type="dxa"/>
            <w:tcBorders>
              <w:bottom w:val="single" w:sz="4" w:space="0" w:color="auto"/>
            </w:tcBorders>
          </w:tcPr>
          <w:p w14:paraId="4CBA1906" w14:textId="77777777" w:rsidR="00F35BAF" w:rsidRPr="00DB58B5" w:rsidRDefault="00F35BAF" w:rsidP="00EE432D"/>
        </w:tc>
        <w:tc>
          <w:tcPr>
            <w:tcW w:w="2268" w:type="dxa"/>
            <w:tcBorders>
              <w:bottom w:val="single" w:sz="4" w:space="0" w:color="auto"/>
            </w:tcBorders>
            <w:vAlign w:val="bottom"/>
          </w:tcPr>
          <w:p w14:paraId="1A5EE3D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55818E2" w14:textId="2C693656" w:rsidR="00F35BAF" w:rsidRPr="00DB58B5" w:rsidRDefault="00EE432D" w:rsidP="00EE432D">
            <w:pPr>
              <w:jc w:val="right"/>
            </w:pPr>
            <w:r w:rsidRPr="00EE432D">
              <w:rPr>
                <w:sz w:val="40"/>
              </w:rPr>
              <w:t>ECE</w:t>
            </w:r>
            <w:r>
              <w:t>/TRANS/WP</w:t>
            </w:r>
            <w:r w:rsidR="00DF7AA4" w:rsidRPr="00DF7AA4">
              <w:t>.</w:t>
            </w:r>
            <w:r>
              <w:t>29/2024/154</w:t>
            </w:r>
          </w:p>
        </w:tc>
      </w:tr>
      <w:tr w:rsidR="00F35BAF" w:rsidRPr="00DB58B5" w14:paraId="25CF8451" w14:textId="77777777" w:rsidTr="00C97039">
        <w:trPr>
          <w:trHeight w:hRule="exact" w:val="2835"/>
        </w:trPr>
        <w:tc>
          <w:tcPr>
            <w:tcW w:w="1276" w:type="dxa"/>
            <w:tcBorders>
              <w:top w:val="single" w:sz="4" w:space="0" w:color="auto"/>
              <w:bottom w:val="single" w:sz="12" w:space="0" w:color="auto"/>
            </w:tcBorders>
          </w:tcPr>
          <w:p w14:paraId="4C9854D8" w14:textId="77777777" w:rsidR="00F35BAF" w:rsidRPr="00DB58B5" w:rsidRDefault="00F35BAF" w:rsidP="00C97039">
            <w:pPr>
              <w:spacing w:before="120"/>
              <w:jc w:val="center"/>
            </w:pPr>
            <w:r>
              <w:rPr>
                <w:noProof/>
                <w:lang w:eastAsia="fr-CH"/>
              </w:rPr>
              <w:drawing>
                <wp:inline distT="0" distB="0" distL="0" distR="0" wp14:anchorId="14B7904F" wp14:editId="6127E84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AFBCDD8"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17F17D6" w14:textId="15F1DFDB" w:rsidR="00F35BAF" w:rsidRDefault="00EE432D" w:rsidP="00C97039">
            <w:pPr>
              <w:spacing w:before="240"/>
            </w:pPr>
            <w:proofErr w:type="spellStart"/>
            <w:r>
              <w:t>Distr</w:t>
            </w:r>
            <w:proofErr w:type="spellEnd"/>
            <w:r w:rsidR="00DF7AA4" w:rsidRPr="00DF7AA4">
              <w:t>.</w:t>
            </w:r>
            <w:r>
              <w:t xml:space="preserve"> générale</w:t>
            </w:r>
          </w:p>
          <w:p w14:paraId="7C7F4EF4" w14:textId="77777777" w:rsidR="00EE432D" w:rsidRDefault="00EE432D" w:rsidP="00EE432D">
            <w:pPr>
              <w:spacing w:line="240" w:lineRule="exact"/>
            </w:pPr>
            <w:r>
              <w:t>2 septembre 2024</w:t>
            </w:r>
          </w:p>
          <w:p w14:paraId="362E1FA8" w14:textId="77777777" w:rsidR="00EE432D" w:rsidRDefault="00EE432D" w:rsidP="00EE432D">
            <w:pPr>
              <w:spacing w:line="240" w:lineRule="exact"/>
            </w:pPr>
            <w:r>
              <w:t>Français</w:t>
            </w:r>
          </w:p>
          <w:p w14:paraId="7914961B" w14:textId="5363940C" w:rsidR="00EE432D" w:rsidRPr="00DB58B5" w:rsidRDefault="00EE432D" w:rsidP="00EE432D">
            <w:pPr>
              <w:spacing w:line="240" w:lineRule="exact"/>
            </w:pPr>
            <w:r>
              <w:t>Original : anglais</w:t>
            </w:r>
          </w:p>
        </w:tc>
      </w:tr>
    </w:tbl>
    <w:p w14:paraId="2513F0AB" w14:textId="77777777" w:rsidR="007F20FA" w:rsidRPr="000312C0" w:rsidRDefault="007F20FA" w:rsidP="007F20FA">
      <w:pPr>
        <w:spacing w:before="120"/>
        <w:rPr>
          <w:b/>
          <w:sz w:val="28"/>
          <w:szCs w:val="28"/>
        </w:rPr>
      </w:pPr>
      <w:r w:rsidRPr="000312C0">
        <w:rPr>
          <w:b/>
          <w:sz w:val="28"/>
          <w:szCs w:val="28"/>
        </w:rPr>
        <w:t>Commission économique pour l’Europe</w:t>
      </w:r>
    </w:p>
    <w:p w14:paraId="0904906A" w14:textId="77777777" w:rsidR="007F20FA" w:rsidRDefault="007F20FA" w:rsidP="007F20FA">
      <w:pPr>
        <w:spacing w:before="120"/>
        <w:rPr>
          <w:sz w:val="28"/>
          <w:szCs w:val="28"/>
        </w:rPr>
      </w:pPr>
      <w:r w:rsidRPr="00685843">
        <w:rPr>
          <w:sz w:val="28"/>
          <w:szCs w:val="28"/>
        </w:rPr>
        <w:t>Comité des transports intérieurs</w:t>
      </w:r>
    </w:p>
    <w:p w14:paraId="53B50DD7" w14:textId="77777777" w:rsidR="00EE432D" w:rsidRPr="00AB4DCC" w:rsidRDefault="00EE432D" w:rsidP="00EE432D">
      <w:pPr>
        <w:spacing w:before="120"/>
        <w:rPr>
          <w:b/>
          <w:sz w:val="24"/>
          <w:szCs w:val="24"/>
          <w:lang w:val="fr-FR"/>
        </w:rPr>
      </w:pPr>
      <w:r w:rsidRPr="00AB4DCC">
        <w:rPr>
          <w:b/>
          <w:bCs/>
          <w:sz w:val="24"/>
          <w:szCs w:val="24"/>
          <w:lang w:val="fr-FR"/>
        </w:rPr>
        <w:t>Forum mondial de l</w:t>
      </w:r>
      <w:r>
        <w:rPr>
          <w:b/>
          <w:bCs/>
          <w:sz w:val="24"/>
          <w:szCs w:val="24"/>
          <w:lang w:val="fr-FR"/>
        </w:rPr>
        <w:t>’</w:t>
      </w:r>
      <w:r w:rsidRPr="00AB4DCC">
        <w:rPr>
          <w:b/>
          <w:bCs/>
          <w:sz w:val="24"/>
          <w:szCs w:val="24"/>
          <w:lang w:val="fr-FR"/>
        </w:rPr>
        <w:t xml:space="preserve">harmonisation </w:t>
      </w:r>
      <w:r>
        <w:rPr>
          <w:b/>
          <w:bCs/>
          <w:sz w:val="24"/>
          <w:szCs w:val="24"/>
          <w:lang w:val="fr-FR"/>
        </w:rPr>
        <w:br/>
      </w:r>
      <w:r w:rsidRPr="00AB4DCC">
        <w:rPr>
          <w:b/>
          <w:bCs/>
          <w:sz w:val="24"/>
          <w:szCs w:val="24"/>
          <w:lang w:val="fr-FR"/>
        </w:rPr>
        <w:t>des Règlements concernant les véhicules</w:t>
      </w:r>
    </w:p>
    <w:p w14:paraId="63E0CA1E" w14:textId="77777777" w:rsidR="00EE432D" w:rsidRPr="00AB4DCC" w:rsidRDefault="00EE432D" w:rsidP="00EE432D">
      <w:pPr>
        <w:spacing w:before="120"/>
        <w:rPr>
          <w:b/>
          <w:lang w:val="fr-FR"/>
        </w:rPr>
      </w:pPr>
      <w:bookmarkStart w:id="0" w:name="OLE_LINK2"/>
      <w:r>
        <w:rPr>
          <w:b/>
          <w:bCs/>
          <w:lang w:val="fr-FR"/>
        </w:rPr>
        <w:t>194</w:t>
      </w:r>
      <w:r w:rsidRPr="004B1B5A">
        <w:rPr>
          <w:b/>
          <w:bCs/>
          <w:vertAlign w:val="superscript"/>
          <w:lang w:val="fr-FR"/>
        </w:rPr>
        <w:t>e</w:t>
      </w:r>
      <w:r>
        <w:rPr>
          <w:b/>
          <w:bCs/>
          <w:lang w:val="fr-FR"/>
        </w:rPr>
        <w:t xml:space="preserve"> </w:t>
      </w:r>
      <w:r w:rsidRPr="00AB4DCC">
        <w:rPr>
          <w:b/>
          <w:bCs/>
          <w:lang w:val="fr-FR"/>
        </w:rPr>
        <w:t>session</w:t>
      </w:r>
    </w:p>
    <w:p w14:paraId="41B6D902" w14:textId="77777777" w:rsidR="00EE432D" w:rsidRPr="00AB4DCC" w:rsidRDefault="00EE432D" w:rsidP="00EE432D">
      <w:pPr>
        <w:rPr>
          <w:lang w:val="fr-FR"/>
        </w:rPr>
      </w:pPr>
      <w:r w:rsidRPr="00AB4DCC">
        <w:rPr>
          <w:lang w:val="fr-FR"/>
        </w:rPr>
        <w:t xml:space="preserve">Genève, </w:t>
      </w:r>
      <w:r>
        <w:rPr>
          <w:lang w:val="fr-FR"/>
        </w:rPr>
        <w:t>12-15 novembre</w:t>
      </w:r>
      <w:r w:rsidRPr="00AB4DCC">
        <w:rPr>
          <w:lang w:val="fr-FR"/>
        </w:rPr>
        <w:t xml:space="preserve"> 2024</w:t>
      </w:r>
    </w:p>
    <w:p w14:paraId="1EB00216" w14:textId="3AB845F4" w:rsidR="00EE432D" w:rsidRDefault="00EE432D" w:rsidP="00EE432D">
      <w:pPr>
        <w:rPr>
          <w:lang w:val="fr-FR"/>
        </w:rPr>
      </w:pPr>
      <w:r w:rsidRPr="00AB4DCC">
        <w:rPr>
          <w:lang w:val="fr-FR"/>
        </w:rPr>
        <w:t xml:space="preserve">Point </w:t>
      </w:r>
      <w:r>
        <w:rPr>
          <w:lang w:val="fr-FR"/>
        </w:rPr>
        <w:t>4</w:t>
      </w:r>
      <w:r w:rsidR="00DF7AA4" w:rsidRPr="00DF7AA4">
        <w:rPr>
          <w:lang w:val="fr-FR"/>
        </w:rPr>
        <w:t>.</w:t>
      </w:r>
      <w:r>
        <w:rPr>
          <w:lang w:val="fr-FR"/>
        </w:rPr>
        <w:t>12</w:t>
      </w:r>
      <w:r w:rsidR="00DF7AA4" w:rsidRPr="00DF7AA4">
        <w:rPr>
          <w:lang w:val="fr-FR"/>
        </w:rPr>
        <w:t>.</w:t>
      </w:r>
      <w:r>
        <w:rPr>
          <w:lang w:val="fr-FR"/>
        </w:rPr>
        <w:t>3</w:t>
      </w:r>
      <w:r w:rsidRPr="00AB4DCC">
        <w:rPr>
          <w:lang w:val="fr-FR"/>
        </w:rPr>
        <w:t xml:space="preserve"> de l</w:t>
      </w:r>
      <w:r>
        <w:rPr>
          <w:lang w:val="fr-FR"/>
        </w:rPr>
        <w:t>’</w:t>
      </w:r>
      <w:r w:rsidRPr="00AB4DCC">
        <w:rPr>
          <w:lang w:val="fr-FR"/>
        </w:rPr>
        <w:t>ordre du jour provisoire</w:t>
      </w:r>
    </w:p>
    <w:p w14:paraId="741B89AB" w14:textId="0CD28FB6" w:rsidR="006576A5" w:rsidRPr="006576A5" w:rsidRDefault="006576A5" w:rsidP="00EE432D">
      <w:pPr>
        <w:rPr>
          <w:b/>
          <w:bCs/>
          <w:lang w:val="fr-FR"/>
        </w:rPr>
      </w:pPr>
      <w:r w:rsidRPr="006576A5">
        <w:rPr>
          <w:b/>
          <w:bCs/>
          <w:lang w:val="fr-FR"/>
        </w:rPr>
        <w:t>Accord de 1958 :</w:t>
      </w:r>
    </w:p>
    <w:p w14:paraId="614CD018" w14:textId="4D47C253" w:rsidR="00EE432D" w:rsidRPr="00AB4DCC" w:rsidRDefault="00EE432D" w:rsidP="00EE432D">
      <w:pPr>
        <w:rPr>
          <w:b/>
          <w:bCs/>
          <w:lang w:val="fr-FR"/>
        </w:rPr>
      </w:pPr>
      <w:r w:rsidRPr="000312CE">
        <w:rPr>
          <w:b/>
          <w:bCs/>
          <w:lang w:val="fr-FR"/>
        </w:rPr>
        <w:t xml:space="preserve">Examen de propositions de nouveaux Règlements ONU soumises </w:t>
      </w:r>
      <w:r w:rsidR="006F5732">
        <w:rPr>
          <w:b/>
          <w:bCs/>
          <w:lang w:val="fr-FR"/>
        </w:rPr>
        <w:br/>
      </w:r>
      <w:r w:rsidRPr="000312CE">
        <w:rPr>
          <w:b/>
          <w:bCs/>
          <w:lang w:val="fr-FR"/>
        </w:rPr>
        <w:t>par les groupes de travail subsidiaires du Forum mondial</w:t>
      </w:r>
    </w:p>
    <w:p w14:paraId="5AD81B35" w14:textId="59F2A8EF" w:rsidR="00EE432D" w:rsidRPr="00AB4DCC" w:rsidRDefault="00EE432D" w:rsidP="006F5732">
      <w:pPr>
        <w:pStyle w:val="HChG"/>
        <w:rPr>
          <w:lang w:val="fr-FR"/>
        </w:rPr>
      </w:pPr>
      <w:r w:rsidRPr="00AB4DCC">
        <w:rPr>
          <w:lang w:val="fr-FR"/>
        </w:rPr>
        <w:tab/>
      </w:r>
      <w:r w:rsidRPr="00AB4DCC">
        <w:rPr>
          <w:lang w:val="fr-FR"/>
        </w:rPr>
        <w:tab/>
        <w:t xml:space="preserve">Proposition de nouveau Règlement ONU </w:t>
      </w:r>
      <w:r>
        <w:rPr>
          <w:lang w:val="fr-FR"/>
        </w:rPr>
        <w:t xml:space="preserve">énonçant </w:t>
      </w:r>
      <w:r w:rsidR="006F5732">
        <w:rPr>
          <w:lang w:val="fr-FR"/>
        </w:rPr>
        <w:br/>
      </w:r>
      <w:r>
        <w:rPr>
          <w:lang w:val="fr-FR"/>
        </w:rPr>
        <w:t xml:space="preserve">des prescriptions uniformes relatives à l’homologation </w:t>
      </w:r>
      <w:r w:rsidR="006F5732">
        <w:rPr>
          <w:lang w:val="fr-FR"/>
        </w:rPr>
        <w:br/>
      </w:r>
      <w:r>
        <w:rPr>
          <w:lang w:val="fr-FR"/>
        </w:rPr>
        <w:t>des systèmes de</w:t>
      </w:r>
      <w:r w:rsidRPr="00AB4DCC">
        <w:rPr>
          <w:lang w:val="fr-FR"/>
        </w:rPr>
        <w:t xml:space="preserve"> contrôle de l</w:t>
      </w:r>
      <w:r>
        <w:rPr>
          <w:lang w:val="fr-FR"/>
        </w:rPr>
        <w:t>’</w:t>
      </w:r>
      <w:r w:rsidRPr="00AB4DCC">
        <w:rPr>
          <w:lang w:val="fr-FR"/>
        </w:rPr>
        <w:t xml:space="preserve">accélération en cas </w:t>
      </w:r>
      <w:r w:rsidR="006F5732">
        <w:rPr>
          <w:lang w:val="fr-FR"/>
        </w:rPr>
        <w:br/>
      </w:r>
      <w:r w:rsidRPr="00AB4DCC">
        <w:rPr>
          <w:lang w:val="fr-FR"/>
        </w:rPr>
        <w:t>d</w:t>
      </w:r>
      <w:r>
        <w:rPr>
          <w:lang w:val="fr-FR"/>
        </w:rPr>
        <w:t>’</w:t>
      </w:r>
      <w:r w:rsidRPr="00AB4DCC">
        <w:rPr>
          <w:lang w:val="fr-FR"/>
        </w:rPr>
        <w:t>erreur de pédale</w:t>
      </w:r>
      <w:bookmarkEnd w:id="0"/>
      <w:r>
        <w:rPr>
          <w:lang w:val="fr-FR"/>
        </w:rPr>
        <w:t xml:space="preserve"> (ACPE)</w:t>
      </w:r>
    </w:p>
    <w:p w14:paraId="2F98AF13" w14:textId="77777777" w:rsidR="00EE432D" w:rsidRPr="00AB4DCC" w:rsidRDefault="00EE432D" w:rsidP="006F5732">
      <w:pPr>
        <w:pStyle w:val="H1G"/>
        <w:rPr>
          <w:lang w:val="fr-FR"/>
        </w:rPr>
      </w:pPr>
      <w:r w:rsidRPr="00AB4DCC">
        <w:rPr>
          <w:lang w:val="fr-FR"/>
        </w:rPr>
        <w:tab/>
      </w:r>
      <w:r w:rsidRPr="00AB4DCC">
        <w:rPr>
          <w:lang w:val="fr-FR"/>
        </w:rPr>
        <w:tab/>
        <w:t xml:space="preserve">Communication </w:t>
      </w:r>
      <w:r>
        <w:rPr>
          <w:lang w:val="fr-FR"/>
        </w:rPr>
        <w:t xml:space="preserve">du </w:t>
      </w:r>
      <w:r w:rsidRPr="000312CE">
        <w:rPr>
          <w:lang w:val="fr-FR"/>
        </w:rPr>
        <w:t>Groupe de travail des véhicules automatisés/autonomes et connectés</w:t>
      </w:r>
      <w:r w:rsidRPr="00DE2924">
        <w:rPr>
          <w:rStyle w:val="Appelnotedebasdep"/>
          <w:b w:val="0"/>
          <w:bCs/>
          <w:sz w:val="20"/>
          <w:vertAlign w:val="baseline"/>
          <w:lang w:val="fr-FR"/>
        </w:rPr>
        <w:footnoteReference w:customMarkFollows="1" w:id="2"/>
        <w:t>*</w:t>
      </w:r>
    </w:p>
    <w:p w14:paraId="0F81382F" w14:textId="607E2968" w:rsidR="00EE432D" w:rsidRPr="00AB4DCC" w:rsidRDefault="00EE432D" w:rsidP="00EE432D">
      <w:pPr>
        <w:pStyle w:val="SingleTxtG"/>
        <w:ind w:firstLine="567"/>
        <w:rPr>
          <w:lang w:val="fr-FR"/>
        </w:rPr>
      </w:pPr>
      <w:r w:rsidRPr="000312CE">
        <w:rPr>
          <w:lang w:val="fr-FR"/>
        </w:rPr>
        <w:t>Le texte ci-après, adopté par le Groupe de travail des véhicules automatisés/autonomes et connectés (GR</w:t>
      </w:r>
      <w:r>
        <w:rPr>
          <w:lang w:val="fr-FR"/>
        </w:rPr>
        <w:t>VA</w:t>
      </w:r>
      <w:r w:rsidRPr="000312CE">
        <w:rPr>
          <w:lang w:val="fr-FR"/>
        </w:rPr>
        <w:t xml:space="preserve">) à sa </w:t>
      </w:r>
      <w:r>
        <w:rPr>
          <w:lang w:val="fr-FR"/>
        </w:rPr>
        <w:t>dix-neuvième</w:t>
      </w:r>
      <w:r w:rsidRPr="000312CE">
        <w:rPr>
          <w:lang w:val="fr-FR"/>
        </w:rPr>
        <w:t xml:space="preserve"> session (ECE/TRANS/</w:t>
      </w:r>
      <w:r w:rsidR="006F5732">
        <w:rPr>
          <w:lang w:val="fr-FR"/>
        </w:rPr>
        <w:t xml:space="preserve"> </w:t>
      </w:r>
      <w:r w:rsidRPr="000312CE">
        <w:rPr>
          <w:lang w:val="fr-FR"/>
        </w:rPr>
        <w:t>WP</w:t>
      </w:r>
      <w:r w:rsidR="00DF7AA4" w:rsidRPr="00DF7AA4">
        <w:rPr>
          <w:lang w:val="fr-FR"/>
        </w:rPr>
        <w:t>.</w:t>
      </w:r>
      <w:r w:rsidRPr="000312CE">
        <w:rPr>
          <w:lang w:val="fr-FR"/>
        </w:rPr>
        <w:t>29/GR</w:t>
      </w:r>
      <w:r>
        <w:rPr>
          <w:lang w:val="fr-FR"/>
        </w:rPr>
        <w:t>VA</w:t>
      </w:r>
      <w:r w:rsidRPr="000312CE">
        <w:rPr>
          <w:lang w:val="fr-FR"/>
        </w:rPr>
        <w:t>/</w:t>
      </w:r>
      <w:r>
        <w:rPr>
          <w:lang w:val="fr-FR"/>
        </w:rPr>
        <w:t>19</w:t>
      </w:r>
      <w:r w:rsidRPr="000312CE">
        <w:rPr>
          <w:lang w:val="fr-FR"/>
        </w:rPr>
        <w:t>, par</w:t>
      </w:r>
      <w:r w:rsidR="00DF7AA4" w:rsidRPr="00DF7AA4">
        <w:rPr>
          <w:lang w:val="fr-FR"/>
        </w:rPr>
        <w:t>.</w:t>
      </w:r>
      <w:r w:rsidRPr="000312CE">
        <w:rPr>
          <w:lang w:val="fr-FR"/>
        </w:rPr>
        <w:t xml:space="preserve"> </w:t>
      </w:r>
      <w:r>
        <w:rPr>
          <w:lang w:val="fr-FR"/>
        </w:rPr>
        <w:t>58</w:t>
      </w:r>
      <w:r w:rsidRPr="000312CE">
        <w:rPr>
          <w:lang w:val="fr-FR"/>
        </w:rPr>
        <w:t>), est fondé sur le document ECE/TRANS/WP</w:t>
      </w:r>
      <w:r w:rsidR="00DF7AA4" w:rsidRPr="00DF7AA4">
        <w:rPr>
          <w:lang w:val="fr-FR"/>
        </w:rPr>
        <w:t>.</w:t>
      </w:r>
      <w:r w:rsidRPr="000312CE">
        <w:rPr>
          <w:lang w:val="fr-FR"/>
        </w:rPr>
        <w:t>29/GR</w:t>
      </w:r>
      <w:r>
        <w:rPr>
          <w:lang w:val="fr-FR"/>
        </w:rPr>
        <w:t>VA</w:t>
      </w:r>
      <w:r w:rsidRPr="000312CE">
        <w:rPr>
          <w:lang w:val="fr-FR"/>
        </w:rPr>
        <w:t>/2024/</w:t>
      </w:r>
      <w:r w:rsidR="006576A5">
        <w:rPr>
          <w:lang w:val="fr-FR"/>
        </w:rPr>
        <w:t>2</w:t>
      </w:r>
      <w:r>
        <w:rPr>
          <w:lang w:val="fr-FR"/>
        </w:rPr>
        <w:t>4</w:t>
      </w:r>
      <w:r w:rsidRPr="000312CE">
        <w:rPr>
          <w:lang w:val="fr-FR"/>
        </w:rPr>
        <w:t xml:space="preserve">, tel que modifié par </w:t>
      </w:r>
      <w:r>
        <w:rPr>
          <w:lang w:val="fr-FR"/>
        </w:rPr>
        <w:t xml:space="preserve">le document informel </w:t>
      </w:r>
      <w:r w:rsidRPr="000312CE">
        <w:rPr>
          <w:lang w:val="fr-FR"/>
        </w:rPr>
        <w:t>GRVA-19-29</w:t>
      </w:r>
      <w:r w:rsidR="00DF7AA4" w:rsidRPr="00DF7AA4">
        <w:rPr>
          <w:lang w:val="fr-FR"/>
        </w:rPr>
        <w:t>.</w:t>
      </w:r>
      <w:r w:rsidRPr="000312CE">
        <w:rPr>
          <w:lang w:val="fr-FR"/>
        </w:rPr>
        <w:t xml:space="preserve"> Il est soumis au Forum mondial de l</w:t>
      </w:r>
      <w:r>
        <w:rPr>
          <w:lang w:val="fr-FR"/>
        </w:rPr>
        <w:t>’</w:t>
      </w:r>
      <w:r w:rsidRPr="000312CE">
        <w:rPr>
          <w:lang w:val="fr-FR"/>
        </w:rPr>
        <w:t>harmonisation des Règlements concernant les véhicules (WP</w:t>
      </w:r>
      <w:r w:rsidR="00DF7AA4" w:rsidRPr="00DF7AA4">
        <w:rPr>
          <w:lang w:val="fr-FR"/>
        </w:rPr>
        <w:t>.</w:t>
      </w:r>
      <w:r w:rsidRPr="000312CE">
        <w:rPr>
          <w:lang w:val="fr-FR"/>
        </w:rPr>
        <w:t>29) et au Comité d</w:t>
      </w:r>
      <w:r>
        <w:rPr>
          <w:lang w:val="fr-FR"/>
        </w:rPr>
        <w:t>’</w:t>
      </w:r>
      <w:r w:rsidRPr="000312CE">
        <w:rPr>
          <w:lang w:val="fr-FR"/>
        </w:rPr>
        <w:t>administration de l</w:t>
      </w:r>
      <w:r>
        <w:rPr>
          <w:lang w:val="fr-FR"/>
        </w:rPr>
        <w:t>’</w:t>
      </w:r>
      <w:r w:rsidRPr="000312CE">
        <w:rPr>
          <w:lang w:val="fr-FR"/>
        </w:rPr>
        <w:t>Accord de 1958 (AC</w:t>
      </w:r>
      <w:r w:rsidR="00DF7AA4" w:rsidRPr="00DF7AA4">
        <w:rPr>
          <w:lang w:val="fr-FR"/>
        </w:rPr>
        <w:t>.</w:t>
      </w:r>
      <w:r w:rsidRPr="000312CE">
        <w:rPr>
          <w:lang w:val="fr-FR"/>
        </w:rPr>
        <w:t>1) pour examen à leurs sessions de novembre</w:t>
      </w:r>
      <w:r w:rsidR="006F5732">
        <w:rPr>
          <w:lang w:val="fr-FR"/>
        </w:rPr>
        <w:t> </w:t>
      </w:r>
      <w:r w:rsidRPr="000312CE">
        <w:rPr>
          <w:lang w:val="fr-FR"/>
        </w:rPr>
        <w:t>2024</w:t>
      </w:r>
      <w:r w:rsidR="00DF7AA4" w:rsidRPr="00DF7AA4">
        <w:rPr>
          <w:lang w:val="fr-FR"/>
        </w:rPr>
        <w:t>.</w:t>
      </w:r>
    </w:p>
    <w:p w14:paraId="6B55131A" w14:textId="77777777" w:rsidR="00EE432D" w:rsidRPr="00AB4DCC" w:rsidRDefault="00EE432D" w:rsidP="00EE432D">
      <w:pPr>
        <w:pStyle w:val="SingleTxtG"/>
        <w:rPr>
          <w:lang w:val="fr-FR"/>
        </w:rPr>
      </w:pPr>
      <w:r w:rsidRPr="00AB4DCC">
        <w:rPr>
          <w:lang w:val="fr-FR"/>
        </w:rPr>
        <w:br w:type="page"/>
      </w:r>
    </w:p>
    <w:p w14:paraId="39CAB6D8" w14:textId="77777777" w:rsidR="00EE432D" w:rsidRPr="00AB4DCC" w:rsidRDefault="00EE432D" w:rsidP="006F5732">
      <w:pPr>
        <w:pStyle w:val="HChG"/>
        <w:rPr>
          <w:lang w:val="fr-FR"/>
        </w:rPr>
      </w:pPr>
      <w:r w:rsidRPr="00AB4DCC">
        <w:rPr>
          <w:lang w:val="fr-FR"/>
        </w:rPr>
        <w:lastRenderedPageBreak/>
        <w:tab/>
      </w:r>
      <w:r w:rsidRPr="00AB4DCC">
        <w:rPr>
          <w:lang w:val="fr-FR"/>
        </w:rPr>
        <w:tab/>
        <w:t>Règlement ONU n</w:t>
      </w:r>
      <w:r w:rsidRPr="00AB4DCC">
        <w:rPr>
          <w:vertAlign w:val="superscript"/>
          <w:lang w:val="fr-FR"/>
        </w:rPr>
        <w:t>o</w:t>
      </w:r>
      <w:r w:rsidRPr="00AB4DCC">
        <w:rPr>
          <w:lang w:val="fr-FR"/>
        </w:rPr>
        <w:t xml:space="preserve"> [17X]</w:t>
      </w:r>
    </w:p>
    <w:p w14:paraId="30D5539D" w14:textId="6637EC42" w:rsidR="00EE432D" w:rsidRPr="00AB4DCC" w:rsidRDefault="00EE432D" w:rsidP="006F5732">
      <w:pPr>
        <w:pStyle w:val="HChG"/>
        <w:rPr>
          <w:lang w:val="fr-FR"/>
        </w:rPr>
      </w:pPr>
      <w:r w:rsidRPr="00AB4DCC">
        <w:rPr>
          <w:lang w:val="fr-FR"/>
        </w:rPr>
        <w:tab/>
      </w:r>
      <w:r w:rsidRPr="00AB4DCC">
        <w:rPr>
          <w:lang w:val="fr-FR"/>
        </w:rPr>
        <w:tab/>
        <w:t>Prescriptions uniformes relatives à</w:t>
      </w:r>
      <w:r w:rsidR="006576A5">
        <w:rPr>
          <w:lang w:val="fr-FR"/>
        </w:rPr>
        <w:t xml:space="preserve"> </w:t>
      </w:r>
      <w:r w:rsidRPr="00AB4DCC">
        <w:rPr>
          <w:lang w:val="fr-FR"/>
        </w:rPr>
        <w:t>l</w:t>
      </w:r>
      <w:r>
        <w:rPr>
          <w:lang w:val="fr-FR"/>
        </w:rPr>
        <w:t>’</w:t>
      </w:r>
      <w:r w:rsidRPr="00AB4DCC">
        <w:rPr>
          <w:lang w:val="fr-FR"/>
        </w:rPr>
        <w:t>homologation des</w:t>
      </w:r>
      <w:r>
        <w:rPr>
          <w:lang w:val="fr-FR"/>
        </w:rPr>
        <w:t> </w:t>
      </w:r>
      <w:r w:rsidRPr="00AB4DCC">
        <w:rPr>
          <w:lang w:val="fr-FR"/>
        </w:rPr>
        <w:t>voitures particulières en ce qui concerne le contrôle de</w:t>
      </w:r>
      <w:r>
        <w:rPr>
          <w:lang w:val="fr-FR"/>
        </w:rPr>
        <w:t> </w:t>
      </w:r>
      <w:r w:rsidRPr="00AB4DCC">
        <w:rPr>
          <w:lang w:val="fr-FR"/>
        </w:rPr>
        <w:t>l</w:t>
      </w:r>
      <w:r>
        <w:rPr>
          <w:lang w:val="fr-FR"/>
        </w:rPr>
        <w:t>’</w:t>
      </w:r>
      <w:r w:rsidRPr="00AB4DCC">
        <w:rPr>
          <w:lang w:val="fr-FR"/>
        </w:rPr>
        <w:t>accélération en cas d</w:t>
      </w:r>
      <w:r>
        <w:rPr>
          <w:lang w:val="fr-FR"/>
        </w:rPr>
        <w:t>’</w:t>
      </w:r>
      <w:r w:rsidRPr="00AB4DCC">
        <w:rPr>
          <w:lang w:val="fr-FR"/>
        </w:rPr>
        <w:t>erreur de pédale (ACPE)</w:t>
      </w:r>
    </w:p>
    <w:p w14:paraId="02F56B08" w14:textId="77777777" w:rsidR="00EE432D" w:rsidRDefault="00EE432D" w:rsidP="00EE432D">
      <w:pPr>
        <w:spacing w:after="120"/>
        <w:rPr>
          <w:sz w:val="28"/>
        </w:rPr>
      </w:pPr>
      <w:r w:rsidRPr="00DE2924">
        <w:rPr>
          <w:sz w:val="28"/>
        </w:rPr>
        <w:t>Table des matières</w:t>
      </w:r>
    </w:p>
    <w:p w14:paraId="56275BD8" w14:textId="795568BA" w:rsidR="00EE432D" w:rsidRPr="00DE2924" w:rsidRDefault="006576A5" w:rsidP="00EE432D">
      <w:pPr>
        <w:tabs>
          <w:tab w:val="right" w:pos="9638"/>
        </w:tabs>
        <w:spacing w:after="120"/>
        <w:ind w:left="283"/>
        <w:rPr>
          <w:i/>
          <w:sz w:val="18"/>
        </w:rPr>
      </w:pPr>
      <w:r w:rsidRPr="006576A5">
        <w:rPr>
          <w:iCs/>
          <w:sz w:val="18"/>
        </w:rPr>
        <w:t>Règlement</w:t>
      </w:r>
      <w:r w:rsidR="00EE432D" w:rsidRPr="00DE2924">
        <w:rPr>
          <w:i/>
          <w:sz w:val="18"/>
        </w:rPr>
        <w:tab/>
        <w:t>Page</w:t>
      </w:r>
    </w:p>
    <w:p w14:paraId="3EFB5BEA" w14:textId="2C711BFC" w:rsidR="00EE432D" w:rsidRPr="00AB4DCC" w:rsidRDefault="00EE432D" w:rsidP="00EE432D">
      <w:pPr>
        <w:tabs>
          <w:tab w:val="right" w:pos="850"/>
          <w:tab w:val="right" w:leader="dot" w:pos="8787"/>
          <w:tab w:val="right" w:pos="9638"/>
        </w:tabs>
        <w:spacing w:after="120"/>
        <w:ind w:left="1134" w:hanging="1134"/>
        <w:rPr>
          <w:sz w:val="22"/>
          <w:szCs w:val="22"/>
          <w:lang w:val="fr-FR"/>
        </w:rPr>
      </w:pPr>
      <w:r w:rsidRPr="00AB4DCC">
        <w:rPr>
          <w:lang w:val="fr-FR"/>
        </w:rPr>
        <w:tab/>
        <w:t>0</w:t>
      </w:r>
      <w:r w:rsidR="00DF7AA4" w:rsidRPr="00DF7AA4">
        <w:rPr>
          <w:lang w:val="fr-FR"/>
        </w:rPr>
        <w:t>.</w:t>
      </w:r>
      <w:r w:rsidRPr="00AB4DCC">
        <w:rPr>
          <w:lang w:val="fr-FR"/>
        </w:rPr>
        <w:tab/>
        <w:t>Introduction</w:t>
      </w:r>
      <w:r w:rsidRPr="00AB4DCC">
        <w:rPr>
          <w:lang w:val="fr-FR"/>
        </w:rPr>
        <w:tab/>
      </w:r>
      <w:r w:rsidRPr="00AB4DCC">
        <w:rPr>
          <w:lang w:val="fr-FR"/>
        </w:rPr>
        <w:tab/>
      </w:r>
      <w:r w:rsidR="004345A4">
        <w:rPr>
          <w:lang w:val="fr-FR"/>
        </w:rPr>
        <w:t>3</w:t>
      </w:r>
    </w:p>
    <w:p w14:paraId="4C01EFCE" w14:textId="097BAFCC"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1</w:t>
      </w:r>
      <w:r w:rsidR="00DF7AA4" w:rsidRPr="00DF7AA4">
        <w:rPr>
          <w:lang w:val="fr-FR"/>
        </w:rPr>
        <w:t>.</w:t>
      </w:r>
      <w:r w:rsidRPr="00AB4DCC">
        <w:rPr>
          <w:lang w:val="fr-FR"/>
        </w:rPr>
        <w:tab/>
      </w:r>
      <w:r w:rsidRPr="00AB4DCC">
        <w:rPr>
          <w:bCs/>
          <w:lang w:val="fr-FR"/>
        </w:rPr>
        <w:t>Domaine d</w:t>
      </w:r>
      <w:r>
        <w:rPr>
          <w:bCs/>
          <w:lang w:val="fr-FR"/>
        </w:rPr>
        <w:t>’</w:t>
      </w:r>
      <w:r w:rsidRPr="00AB4DCC">
        <w:rPr>
          <w:bCs/>
          <w:lang w:val="fr-FR"/>
        </w:rPr>
        <w:t>application</w:t>
      </w:r>
      <w:r w:rsidRPr="00AB4DCC">
        <w:rPr>
          <w:lang w:val="fr-FR"/>
        </w:rPr>
        <w:tab/>
      </w:r>
      <w:r w:rsidRPr="00AB4DCC">
        <w:rPr>
          <w:lang w:val="fr-FR"/>
        </w:rPr>
        <w:tab/>
      </w:r>
      <w:r w:rsidR="004345A4">
        <w:rPr>
          <w:lang w:val="fr-FR"/>
        </w:rPr>
        <w:t>4</w:t>
      </w:r>
    </w:p>
    <w:p w14:paraId="01599CD6" w14:textId="39E73E79"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2</w:t>
      </w:r>
      <w:r w:rsidR="00DF7AA4" w:rsidRPr="00DF7AA4">
        <w:rPr>
          <w:lang w:val="fr-FR"/>
        </w:rPr>
        <w:t>.</w:t>
      </w:r>
      <w:r w:rsidRPr="00AB4DCC">
        <w:rPr>
          <w:lang w:val="fr-FR"/>
        </w:rPr>
        <w:tab/>
      </w:r>
      <w:r w:rsidRPr="00AB4DCC">
        <w:rPr>
          <w:bCs/>
          <w:lang w:val="fr-FR"/>
        </w:rPr>
        <w:t>Définitions</w:t>
      </w:r>
      <w:r w:rsidRPr="00AB4DCC">
        <w:rPr>
          <w:lang w:val="fr-FR"/>
        </w:rPr>
        <w:tab/>
      </w:r>
      <w:r w:rsidRPr="00AB4DCC">
        <w:rPr>
          <w:lang w:val="fr-FR"/>
        </w:rPr>
        <w:tab/>
      </w:r>
      <w:r w:rsidR="004345A4">
        <w:rPr>
          <w:lang w:val="fr-FR"/>
        </w:rPr>
        <w:t>4</w:t>
      </w:r>
    </w:p>
    <w:p w14:paraId="65E27FE7" w14:textId="01856F75"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3</w:t>
      </w:r>
      <w:r w:rsidR="00DF7AA4" w:rsidRPr="00DF7AA4">
        <w:rPr>
          <w:lang w:val="fr-FR"/>
        </w:rPr>
        <w:t>.</w:t>
      </w:r>
      <w:r w:rsidRPr="00AB4DCC">
        <w:rPr>
          <w:lang w:val="fr-FR"/>
        </w:rPr>
        <w:tab/>
      </w:r>
      <w:r w:rsidRPr="00AB4DCC">
        <w:rPr>
          <w:bCs/>
          <w:lang w:val="fr-FR"/>
        </w:rPr>
        <w:t>Demande d</w:t>
      </w:r>
      <w:r>
        <w:rPr>
          <w:bCs/>
          <w:lang w:val="fr-FR"/>
        </w:rPr>
        <w:t>’</w:t>
      </w:r>
      <w:r w:rsidRPr="00AB4DCC">
        <w:rPr>
          <w:bCs/>
          <w:lang w:val="fr-FR"/>
        </w:rPr>
        <w:t>homologation</w:t>
      </w:r>
      <w:r w:rsidRPr="00AB4DCC">
        <w:rPr>
          <w:lang w:val="fr-FR"/>
        </w:rPr>
        <w:tab/>
      </w:r>
      <w:r w:rsidRPr="00AB4DCC">
        <w:rPr>
          <w:lang w:val="fr-FR"/>
        </w:rPr>
        <w:tab/>
      </w:r>
      <w:r w:rsidR="004345A4">
        <w:rPr>
          <w:lang w:val="fr-FR"/>
        </w:rPr>
        <w:t>5</w:t>
      </w:r>
    </w:p>
    <w:p w14:paraId="3D51A9AB" w14:textId="75511FC1"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4</w:t>
      </w:r>
      <w:r w:rsidR="00DF7AA4" w:rsidRPr="00DF7AA4">
        <w:rPr>
          <w:lang w:val="fr-FR"/>
        </w:rPr>
        <w:t>.</w:t>
      </w:r>
      <w:r w:rsidRPr="00AB4DCC">
        <w:rPr>
          <w:lang w:val="fr-FR"/>
        </w:rPr>
        <w:tab/>
      </w:r>
      <w:r w:rsidRPr="00AB4DCC">
        <w:rPr>
          <w:bCs/>
          <w:lang w:val="fr-FR"/>
        </w:rPr>
        <w:t>Homologation</w:t>
      </w:r>
      <w:r w:rsidRPr="00AB4DCC">
        <w:rPr>
          <w:lang w:val="fr-FR"/>
        </w:rPr>
        <w:tab/>
      </w:r>
      <w:r w:rsidRPr="00AB4DCC">
        <w:rPr>
          <w:lang w:val="fr-FR"/>
        </w:rPr>
        <w:tab/>
      </w:r>
      <w:r w:rsidR="004345A4">
        <w:rPr>
          <w:lang w:val="fr-FR"/>
        </w:rPr>
        <w:t>6</w:t>
      </w:r>
    </w:p>
    <w:p w14:paraId="00E6E7E1" w14:textId="51D3A07C"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5</w:t>
      </w:r>
      <w:r w:rsidR="00DF7AA4" w:rsidRPr="00DF7AA4">
        <w:rPr>
          <w:lang w:val="fr-FR"/>
        </w:rPr>
        <w:t>.</w:t>
      </w:r>
      <w:r w:rsidRPr="00AB4DCC">
        <w:rPr>
          <w:lang w:val="fr-FR"/>
        </w:rPr>
        <w:tab/>
      </w:r>
      <w:r w:rsidRPr="00AB4DCC">
        <w:rPr>
          <w:bCs/>
          <w:lang w:val="fr-FR"/>
        </w:rPr>
        <w:t>Spécifications</w:t>
      </w:r>
      <w:r w:rsidRPr="00AB4DCC">
        <w:rPr>
          <w:lang w:val="fr-FR"/>
        </w:rPr>
        <w:tab/>
      </w:r>
      <w:r w:rsidRPr="00AB4DCC">
        <w:rPr>
          <w:lang w:val="fr-FR"/>
        </w:rPr>
        <w:tab/>
      </w:r>
      <w:r w:rsidR="004345A4">
        <w:rPr>
          <w:lang w:val="fr-FR"/>
        </w:rPr>
        <w:t>6</w:t>
      </w:r>
    </w:p>
    <w:p w14:paraId="355A65A6" w14:textId="7E4FF3F3"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6</w:t>
      </w:r>
      <w:r w:rsidR="00DF7AA4" w:rsidRPr="00DF7AA4">
        <w:rPr>
          <w:lang w:val="fr-FR"/>
        </w:rPr>
        <w:t>.</w:t>
      </w:r>
      <w:r w:rsidRPr="00AB4DCC">
        <w:rPr>
          <w:lang w:val="fr-FR"/>
        </w:rPr>
        <w:tab/>
      </w:r>
      <w:r w:rsidRPr="00AB4DCC">
        <w:rPr>
          <w:bCs/>
          <w:lang w:val="fr-FR"/>
        </w:rPr>
        <w:t>Procédure d</w:t>
      </w:r>
      <w:r>
        <w:rPr>
          <w:bCs/>
          <w:lang w:val="fr-FR"/>
        </w:rPr>
        <w:t>’</w:t>
      </w:r>
      <w:r w:rsidRPr="00AB4DCC">
        <w:rPr>
          <w:bCs/>
          <w:lang w:val="fr-FR"/>
        </w:rPr>
        <w:t>essai</w:t>
      </w:r>
      <w:r w:rsidRPr="00AB4DCC">
        <w:rPr>
          <w:lang w:val="fr-FR"/>
        </w:rPr>
        <w:tab/>
      </w:r>
      <w:r w:rsidRPr="00AB4DCC">
        <w:rPr>
          <w:lang w:val="fr-FR"/>
        </w:rPr>
        <w:tab/>
      </w:r>
      <w:r w:rsidR="004345A4">
        <w:rPr>
          <w:lang w:val="fr-FR"/>
        </w:rPr>
        <w:t>11</w:t>
      </w:r>
    </w:p>
    <w:p w14:paraId="67FA7303" w14:textId="5168F3F3"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7</w:t>
      </w:r>
      <w:r w:rsidR="00DF7AA4" w:rsidRPr="00DF7AA4">
        <w:rPr>
          <w:lang w:val="fr-FR"/>
        </w:rPr>
        <w:t>.</w:t>
      </w:r>
      <w:r w:rsidRPr="00AB4DCC">
        <w:rPr>
          <w:lang w:val="fr-FR"/>
        </w:rPr>
        <w:tab/>
      </w:r>
      <w:r w:rsidRPr="00AB4DCC">
        <w:rPr>
          <w:bCs/>
          <w:lang w:val="fr-FR"/>
        </w:rPr>
        <w:t>Modification du type de véhicule et extension de</w:t>
      </w:r>
      <w:r>
        <w:rPr>
          <w:bCs/>
          <w:lang w:val="fr-FR"/>
        </w:rPr>
        <w:t> </w:t>
      </w:r>
      <w:r w:rsidRPr="00AB4DCC">
        <w:rPr>
          <w:bCs/>
          <w:lang w:val="fr-FR"/>
        </w:rPr>
        <w:t>l</w:t>
      </w:r>
      <w:r>
        <w:rPr>
          <w:bCs/>
          <w:lang w:val="fr-FR"/>
        </w:rPr>
        <w:t>’</w:t>
      </w:r>
      <w:r w:rsidRPr="00AB4DCC">
        <w:rPr>
          <w:bCs/>
          <w:lang w:val="fr-FR"/>
        </w:rPr>
        <w:t>homologation</w:t>
      </w:r>
      <w:r w:rsidRPr="00AB4DCC">
        <w:rPr>
          <w:lang w:val="fr-FR"/>
        </w:rPr>
        <w:tab/>
      </w:r>
      <w:r w:rsidRPr="00AB4DCC">
        <w:rPr>
          <w:lang w:val="fr-FR"/>
        </w:rPr>
        <w:tab/>
      </w:r>
      <w:r w:rsidR="004345A4">
        <w:rPr>
          <w:lang w:val="fr-FR"/>
        </w:rPr>
        <w:t>13</w:t>
      </w:r>
    </w:p>
    <w:p w14:paraId="0E1B1A0A" w14:textId="028BD0AA"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8</w:t>
      </w:r>
      <w:r w:rsidR="00DF7AA4" w:rsidRPr="00DF7AA4">
        <w:rPr>
          <w:lang w:val="fr-FR"/>
        </w:rPr>
        <w:t>.</w:t>
      </w:r>
      <w:r w:rsidRPr="00AB4DCC">
        <w:rPr>
          <w:lang w:val="fr-FR"/>
        </w:rPr>
        <w:tab/>
      </w:r>
      <w:r w:rsidRPr="00AB4DCC">
        <w:rPr>
          <w:bCs/>
          <w:lang w:val="fr-FR"/>
        </w:rPr>
        <w:t>Conformité de la production</w:t>
      </w:r>
      <w:r w:rsidRPr="00AB4DCC">
        <w:rPr>
          <w:lang w:val="fr-FR"/>
        </w:rPr>
        <w:tab/>
      </w:r>
      <w:r w:rsidRPr="00AB4DCC">
        <w:rPr>
          <w:lang w:val="fr-FR"/>
        </w:rPr>
        <w:tab/>
      </w:r>
      <w:r w:rsidR="00DF7AA4">
        <w:rPr>
          <w:lang w:val="fr-FR"/>
        </w:rPr>
        <w:t>14</w:t>
      </w:r>
    </w:p>
    <w:p w14:paraId="40C2A8A1" w14:textId="0CC743A7"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9</w:t>
      </w:r>
      <w:r w:rsidR="00DF7AA4" w:rsidRPr="00DF7AA4">
        <w:rPr>
          <w:lang w:val="fr-FR"/>
        </w:rPr>
        <w:t>.</w:t>
      </w:r>
      <w:r w:rsidRPr="00AB4DCC">
        <w:rPr>
          <w:lang w:val="fr-FR"/>
        </w:rPr>
        <w:tab/>
      </w:r>
      <w:r w:rsidRPr="00AB4DCC">
        <w:rPr>
          <w:bCs/>
          <w:lang w:val="fr-FR"/>
        </w:rPr>
        <w:t>Sanctions pour non-conformité de la production</w:t>
      </w:r>
      <w:r w:rsidRPr="00AB4DCC">
        <w:rPr>
          <w:lang w:val="fr-FR"/>
        </w:rPr>
        <w:tab/>
      </w:r>
      <w:r w:rsidRPr="00AB4DCC">
        <w:rPr>
          <w:lang w:val="fr-FR"/>
        </w:rPr>
        <w:tab/>
      </w:r>
      <w:r w:rsidR="00DF7AA4">
        <w:rPr>
          <w:lang w:val="fr-FR"/>
        </w:rPr>
        <w:t>14</w:t>
      </w:r>
    </w:p>
    <w:p w14:paraId="06CC0EC5" w14:textId="34FCB6B7" w:rsidR="00EE432D" w:rsidRPr="00AB4DCC" w:rsidRDefault="00EE432D" w:rsidP="00EE432D">
      <w:pPr>
        <w:tabs>
          <w:tab w:val="right" w:pos="850"/>
          <w:tab w:val="right" w:leader="dot" w:pos="8787"/>
          <w:tab w:val="right" w:pos="9638"/>
        </w:tabs>
        <w:spacing w:after="120"/>
        <w:ind w:left="1134" w:hanging="1134"/>
        <w:rPr>
          <w:sz w:val="22"/>
          <w:szCs w:val="22"/>
          <w:lang w:val="fr-FR"/>
        </w:rPr>
      </w:pPr>
      <w:r>
        <w:rPr>
          <w:lang w:val="fr-FR"/>
        </w:rPr>
        <w:tab/>
      </w:r>
      <w:r w:rsidRPr="00AB4DCC">
        <w:rPr>
          <w:lang w:val="fr-FR"/>
        </w:rPr>
        <w:t>10</w:t>
      </w:r>
      <w:r w:rsidR="00DF7AA4" w:rsidRPr="00DF7AA4">
        <w:rPr>
          <w:lang w:val="fr-FR"/>
        </w:rPr>
        <w:t>.</w:t>
      </w:r>
      <w:r w:rsidRPr="00AB4DCC">
        <w:rPr>
          <w:lang w:val="fr-FR"/>
        </w:rPr>
        <w:tab/>
      </w:r>
      <w:r w:rsidRPr="000312CE">
        <w:rPr>
          <w:bCs/>
          <w:lang w:val="fr-FR"/>
        </w:rPr>
        <w:t>Arrêt définitif de la production</w:t>
      </w:r>
      <w:r w:rsidRPr="00AB4DCC">
        <w:rPr>
          <w:lang w:val="fr-FR"/>
        </w:rPr>
        <w:tab/>
      </w:r>
      <w:r w:rsidRPr="00AB4DCC">
        <w:rPr>
          <w:lang w:val="fr-FR"/>
        </w:rPr>
        <w:tab/>
      </w:r>
      <w:r w:rsidR="00DF7AA4">
        <w:rPr>
          <w:lang w:val="fr-FR"/>
        </w:rPr>
        <w:t>14</w:t>
      </w:r>
    </w:p>
    <w:p w14:paraId="5D5F4CB8" w14:textId="692F77BC" w:rsidR="00EE432D" w:rsidRPr="00571A25" w:rsidRDefault="00EE432D" w:rsidP="00EE432D">
      <w:pPr>
        <w:tabs>
          <w:tab w:val="right" w:pos="850"/>
          <w:tab w:val="right" w:leader="dot" w:pos="8787"/>
          <w:tab w:val="right" w:pos="9638"/>
        </w:tabs>
        <w:spacing w:after="120"/>
        <w:ind w:left="1134" w:hanging="1134"/>
        <w:rPr>
          <w:sz w:val="22"/>
          <w:szCs w:val="22"/>
          <w:lang w:val="fr-FR"/>
        </w:rPr>
      </w:pPr>
      <w:r w:rsidRPr="00571A25">
        <w:rPr>
          <w:lang w:val="fr-FR"/>
        </w:rPr>
        <w:tab/>
        <w:t>11</w:t>
      </w:r>
      <w:r w:rsidR="00DF7AA4" w:rsidRPr="00DF7AA4">
        <w:rPr>
          <w:lang w:val="fr-FR"/>
        </w:rPr>
        <w:t>.</w:t>
      </w:r>
      <w:r w:rsidRPr="00571A25">
        <w:rPr>
          <w:lang w:val="fr-FR"/>
        </w:rPr>
        <w:tab/>
        <w:t>Noms et adresses des services techniques chargés des essais d</w:t>
      </w:r>
      <w:r>
        <w:rPr>
          <w:lang w:val="fr-FR"/>
        </w:rPr>
        <w:t>’</w:t>
      </w:r>
      <w:r w:rsidRPr="00571A25">
        <w:rPr>
          <w:lang w:val="fr-FR"/>
        </w:rPr>
        <w:t xml:space="preserve">homologation </w:t>
      </w:r>
      <w:r w:rsidRPr="00571A25">
        <w:rPr>
          <w:lang w:val="fr-FR"/>
        </w:rPr>
        <w:br/>
        <w:t>et des autorités d</w:t>
      </w:r>
      <w:r>
        <w:rPr>
          <w:lang w:val="fr-FR"/>
        </w:rPr>
        <w:t>’</w:t>
      </w:r>
      <w:r w:rsidRPr="00571A25">
        <w:rPr>
          <w:lang w:val="fr-FR"/>
        </w:rPr>
        <w:t>homologation de type</w:t>
      </w:r>
      <w:r w:rsidRPr="00571A25">
        <w:rPr>
          <w:lang w:val="fr-FR"/>
        </w:rPr>
        <w:tab/>
      </w:r>
      <w:r w:rsidRPr="00571A25">
        <w:rPr>
          <w:lang w:val="fr-FR"/>
        </w:rPr>
        <w:tab/>
      </w:r>
      <w:r w:rsidR="00DF7AA4">
        <w:rPr>
          <w:lang w:val="fr-FR"/>
        </w:rPr>
        <w:t>15</w:t>
      </w:r>
    </w:p>
    <w:p w14:paraId="2C0F0EAE" w14:textId="77777777" w:rsidR="00EE432D" w:rsidRPr="00AB4DCC" w:rsidRDefault="00EE432D" w:rsidP="00EE432D">
      <w:pPr>
        <w:tabs>
          <w:tab w:val="right" w:pos="850"/>
        </w:tabs>
        <w:spacing w:after="120"/>
        <w:rPr>
          <w:sz w:val="22"/>
          <w:szCs w:val="22"/>
          <w:lang w:val="fr-FR"/>
        </w:rPr>
      </w:pPr>
      <w:r w:rsidRPr="00DE2924">
        <w:t>Annexes</w:t>
      </w:r>
    </w:p>
    <w:p w14:paraId="58B2E8E6" w14:textId="72243A27" w:rsidR="00EE432D" w:rsidRPr="00AB4DCC" w:rsidRDefault="00EE432D" w:rsidP="00EE432D">
      <w:pPr>
        <w:tabs>
          <w:tab w:val="right" w:pos="850"/>
          <w:tab w:val="right" w:leader="dot" w:pos="8787"/>
          <w:tab w:val="right" w:pos="9638"/>
        </w:tabs>
        <w:spacing w:after="120"/>
        <w:ind w:left="1134" w:hanging="1134"/>
        <w:rPr>
          <w:sz w:val="22"/>
          <w:szCs w:val="22"/>
          <w:lang w:val="fr-FR"/>
        </w:rPr>
      </w:pPr>
      <w:r w:rsidRPr="00AB4DCC">
        <w:rPr>
          <w:lang w:val="fr-FR"/>
        </w:rPr>
        <w:tab/>
        <w:t>1</w:t>
      </w:r>
      <w:r w:rsidRPr="00AB4DCC">
        <w:rPr>
          <w:lang w:val="fr-FR"/>
        </w:rPr>
        <w:tab/>
        <w:t>Communication</w:t>
      </w:r>
      <w:r w:rsidRPr="00AB4DCC">
        <w:rPr>
          <w:lang w:val="fr-FR"/>
        </w:rPr>
        <w:tab/>
      </w:r>
      <w:r w:rsidRPr="00AB4DCC">
        <w:rPr>
          <w:lang w:val="fr-FR"/>
        </w:rPr>
        <w:tab/>
      </w:r>
      <w:r w:rsidR="00DF7AA4">
        <w:rPr>
          <w:lang w:val="fr-FR"/>
        </w:rPr>
        <w:t>16</w:t>
      </w:r>
    </w:p>
    <w:p w14:paraId="629DA887" w14:textId="5D39336F" w:rsidR="00EE432D" w:rsidRPr="00AE25B6" w:rsidRDefault="00EE432D" w:rsidP="00EE432D">
      <w:pPr>
        <w:tabs>
          <w:tab w:val="right" w:pos="850"/>
          <w:tab w:val="right" w:leader="dot" w:pos="8787"/>
          <w:tab w:val="right" w:pos="9638"/>
        </w:tabs>
        <w:spacing w:after="120"/>
        <w:ind w:left="1134" w:hanging="1134"/>
        <w:rPr>
          <w:sz w:val="22"/>
          <w:szCs w:val="22"/>
          <w:lang w:val="fr-FR"/>
        </w:rPr>
      </w:pPr>
      <w:r w:rsidRPr="00AE25B6">
        <w:rPr>
          <w:lang w:val="fr-FR"/>
        </w:rPr>
        <w:tab/>
        <w:t>2</w:t>
      </w:r>
      <w:r w:rsidRPr="00AE25B6">
        <w:rPr>
          <w:lang w:val="fr-FR"/>
        </w:rPr>
        <w:tab/>
        <w:t>Exemple de marque d</w:t>
      </w:r>
      <w:r>
        <w:rPr>
          <w:lang w:val="fr-FR"/>
        </w:rPr>
        <w:t>’</w:t>
      </w:r>
      <w:r w:rsidRPr="00AE25B6">
        <w:rPr>
          <w:lang w:val="fr-FR"/>
        </w:rPr>
        <w:t>homologation</w:t>
      </w:r>
      <w:r w:rsidRPr="00AE25B6">
        <w:rPr>
          <w:lang w:val="fr-FR"/>
        </w:rPr>
        <w:tab/>
      </w:r>
      <w:r w:rsidRPr="00AE25B6">
        <w:rPr>
          <w:lang w:val="fr-FR"/>
        </w:rPr>
        <w:tab/>
      </w:r>
      <w:r w:rsidR="00DF7AA4">
        <w:rPr>
          <w:lang w:val="fr-FR"/>
        </w:rPr>
        <w:t>17</w:t>
      </w:r>
    </w:p>
    <w:p w14:paraId="55572F3D" w14:textId="51001A10" w:rsidR="00EE432D" w:rsidRDefault="00EE432D" w:rsidP="00EE432D">
      <w:pPr>
        <w:tabs>
          <w:tab w:val="right" w:pos="850"/>
          <w:tab w:val="right" w:leader="dot" w:pos="8787"/>
          <w:tab w:val="right" w:pos="9638"/>
        </w:tabs>
        <w:spacing w:after="120"/>
        <w:ind w:left="1134" w:hanging="1134"/>
        <w:rPr>
          <w:lang w:val="fr-FR"/>
        </w:rPr>
      </w:pPr>
      <w:r w:rsidRPr="00AE25B6">
        <w:rPr>
          <w:lang w:val="fr-FR"/>
        </w:rPr>
        <w:tab/>
        <w:t>3</w:t>
      </w:r>
      <w:r w:rsidRPr="00AE25B6">
        <w:rPr>
          <w:lang w:val="fr-FR"/>
        </w:rPr>
        <w:tab/>
        <w:t xml:space="preserve">Prescriptions spéciales applicables aux aspects liés à la sécurité des systèmes </w:t>
      </w:r>
      <w:r>
        <w:rPr>
          <w:lang w:val="fr-FR"/>
        </w:rPr>
        <w:br/>
      </w:r>
      <w:r w:rsidRPr="00AE25B6">
        <w:rPr>
          <w:lang w:val="fr-FR"/>
        </w:rPr>
        <w:t>de commande électronique</w:t>
      </w:r>
      <w:r w:rsidRPr="00AE25B6">
        <w:rPr>
          <w:lang w:val="fr-FR"/>
        </w:rPr>
        <w:tab/>
      </w:r>
      <w:r w:rsidRPr="00AE25B6">
        <w:rPr>
          <w:lang w:val="fr-FR"/>
        </w:rPr>
        <w:tab/>
      </w:r>
      <w:r w:rsidR="00DF7AA4">
        <w:rPr>
          <w:lang w:val="fr-FR"/>
        </w:rPr>
        <w:t>18</w:t>
      </w:r>
    </w:p>
    <w:p w14:paraId="0CBC1C18" w14:textId="483B83B7" w:rsidR="00EE432D" w:rsidRPr="00AE25B6" w:rsidRDefault="00EE432D" w:rsidP="00EE432D">
      <w:pPr>
        <w:tabs>
          <w:tab w:val="right" w:pos="850"/>
          <w:tab w:val="right" w:leader="dot" w:pos="8787"/>
          <w:tab w:val="right" w:pos="9638"/>
        </w:tabs>
        <w:spacing w:after="120"/>
        <w:ind w:left="1134" w:hanging="1134"/>
        <w:rPr>
          <w:sz w:val="22"/>
          <w:szCs w:val="22"/>
          <w:lang w:val="fr-FR"/>
        </w:rPr>
      </w:pPr>
      <w:r>
        <w:rPr>
          <w:lang w:val="fr-FR"/>
        </w:rPr>
        <w:tab/>
      </w:r>
      <w:r>
        <w:rPr>
          <w:lang w:val="fr-FR"/>
        </w:rPr>
        <w:tab/>
        <w:t xml:space="preserve">Appendice 1 </w:t>
      </w:r>
      <w:r w:rsidR="006F5732">
        <w:rPr>
          <w:lang w:val="fr-FR"/>
        </w:rPr>
        <w:t>−</w:t>
      </w:r>
      <w:r w:rsidRPr="000312CE">
        <w:t xml:space="preserve"> </w:t>
      </w:r>
      <w:r w:rsidRPr="000312CE">
        <w:rPr>
          <w:lang w:val="fr-FR"/>
        </w:rPr>
        <w:t>Modèle de rapport d</w:t>
      </w:r>
      <w:r>
        <w:rPr>
          <w:lang w:val="fr-FR"/>
        </w:rPr>
        <w:t>’</w:t>
      </w:r>
      <w:r w:rsidRPr="000312CE">
        <w:rPr>
          <w:lang w:val="fr-FR"/>
        </w:rPr>
        <w:t>évaluation des systèmes électroniques</w:t>
      </w:r>
      <w:r w:rsidR="006F5732">
        <w:rPr>
          <w:lang w:val="fr-FR"/>
        </w:rPr>
        <w:tab/>
      </w:r>
      <w:r w:rsidR="006F5732">
        <w:rPr>
          <w:lang w:val="fr-FR"/>
        </w:rPr>
        <w:tab/>
      </w:r>
      <w:r w:rsidR="00DF7AA4">
        <w:rPr>
          <w:lang w:val="fr-FR"/>
        </w:rPr>
        <w:t>24</w:t>
      </w:r>
    </w:p>
    <w:p w14:paraId="278E6B89" w14:textId="77777777" w:rsidR="00EE432D" w:rsidRPr="00AB4DCC" w:rsidRDefault="00EE432D" w:rsidP="00EE432D">
      <w:pPr>
        <w:pStyle w:val="SingleTxtG"/>
        <w:rPr>
          <w:lang w:val="fr-FR"/>
        </w:rPr>
      </w:pPr>
      <w:r w:rsidRPr="00AB4DCC">
        <w:rPr>
          <w:lang w:val="fr-FR"/>
        </w:rPr>
        <w:br w:type="page"/>
      </w:r>
    </w:p>
    <w:p w14:paraId="1DC01DB2" w14:textId="7EF33439" w:rsidR="00EE432D" w:rsidRPr="004B1B5A" w:rsidRDefault="00EE432D" w:rsidP="006F5732">
      <w:pPr>
        <w:suppressAutoHyphens w:val="0"/>
        <w:kinsoku/>
        <w:overflowPunct/>
        <w:autoSpaceDE/>
        <w:autoSpaceDN/>
        <w:adjustRightInd/>
        <w:snapToGrid/>
        <w:spacing w:after="114" w:line="257" w:lineRule="auto"/>
        <w:ind w:left="2268" w:right="1134" w:hanging="1134"/>
        <w:jc w:val="both"/>
        <w:rPr>
          <w:rFonts w:eastAsia="MS Mincho"/>
          <w:b/>
          <w:i/>
          <w:iCs/>
          <w:lang w:eastAsia="fr-FR"/>
        </w:rPr>
      </w:pPr>
      <w:r w:rsidRPr="004B1B5A">
        <w:rPr>
          <w:rFonts w:eastAsia="MS Mincho"/>
          <w:b/>
          <w:iCs/>
          <w:sz w:val="28"/>
          <w:szCs w:val="28"/>
          <w:lang w:eastAsia="fr-FR"/>
        </w:rPr>
        <w:lastRenderedPageBreak/>
        <w:t>0</w:t>
      </w:r>
      <w:r w:rsidR="00DF7AA4" w:rsidRPr="00DF7AA4">
        <w:rPr>
          <w:rFonts w:eastAsia="MS Mincho"/>
          <w:b/>
          <w:iCs/>
          <w:sz w:val="28"/>
          <w:szCs w:val="28"/>
          <w:lang w:eastAsia="fr-FR"/>
        </w:rPr>
        <w:t>.</w:t>
      </w:r>
      <w:r w:rsidRPr="004B1B5A">
        <w:rPr>
          <w:rFonts w:eastAsia="MS Mincho"/>
          <w:b/>
          <w:iCs/>
          <w:sz w:val="28"/>
          <w:szCs w:val="28"/>
          <w:lang w:eastAsia="fr-FR"/>
        </w:rPr>
        <w:tab/>
        <w:t>Introduction</w:t>
      </w:r>
    </w:p>
    <w:p w14:paraId="6E3FEE9B" w14:textId="1BA89988" w:rsidR="00EE432D" w:rsidRPr="004B1B5A" w:rsidRDefault="00EE432D" w:rsidP="00EE432D">
      <w:pPr>
        <w:suppressAutoHyphens w:val="0"/>
        <w:kinsoku/>
        <w:overflowPunct/>
        <w:autoSpaceDE/>
        <w:autoSpaceDN/>
        <w:adjustRightInd/>
        <w:snapToGrid/>
        <w:spacing w:after="114" w:line="256" w:lineRule="auto"/>
        <w:ind w:left="2268" w:right="1134"/>
        <w:jc w:val="both"/>
        <w:rPr>
          <w:rFonts w:eastAsia="MS Mincho"/>
          <w:bCs/>
          <w:iCs/>
          <w:lang w:val="fr-FR" w:eastAsia="fr-FR"/>
        </w:rPr>
      </w:pPr>
      <w:r w:rsidRPr="004B1B5A">
        <w:rPr>
          <w:rFonts w:eastAsia="MS Mincho"/>
          <w:bCs/>
          <w:iCs/>
          <w:lang w:val="fr-FR" w:eastAsia="fr-FR"/>
        </w:rPr>
        <w:t xml:space="preserve">Ces dernières années, </w:t>
      </w:r>
      <w:r>
        <w:rPr>
          <w:rFonts w:eastAsia="MS Mincho"/>
          <w:bCs/>
          <w:iCs/>
          <w:lang w:val="fr-FR" w:eastAsia="fr-FR"/>
        </w:rPr>
        <w:t>une augmentation du</w:t>
      </w:r>
      <w:r w:rsidRPr="004B1B5A">
        <w:rPr>
          <w:rFonts w:eastAsia="MS Mincho"/>
          <w:bCs/>
          <w:iCs/>
          <w:lang w:val="fr-FR" w:eastAsia="fr-FR"/>
        </w:rPr>
        <w:t xml:space="preserve"> nombre de collisions provoquées par des accélérations involontaires liées à une confusion entre la pédale d</w:t>
      </w:r>
      <w:r>
        <w:rPr>
          <w:rFonts w:eastAsia="MS Mincho"/>
          <w:bCs/>
          <w:iCs/>
          <w:lang w:val="fr-FR" w:eastAsia="fr-FR"/>
        </w:rPr>
        <w:t>’</w:t>
      </w:r>
      <w:r w:rsidRPr="004B1B5A">
        <w:rPr>
          <w:rFonts w:eastAsia="MS Mincho"/>
          <w:bCs/>
          <w:iCs/>
          <w:lang w:val="fr-FR" w:eastAsia="fr-FR"/>
        </w:rPr>
        <w:t>accélérateur et la pédale de frein</w:t>
      </w:r>
      <w:r>
        <w:rPr>
          <w:rFonts w:eastAsia="MS Mincho"/>
          <w:bCs/>
          <w:iCs/>
          <w:lang w:val="fr-FR" w:eastAsia="fr-FR"/>
        </w:rPr>
        <w:t xml:space="preserve"> a été enregistrée</w:t>
      </w:r>
      <w:r w:rsidR="00DF7AA4" w:rsidRPr="00DF7AA4">
        <w:rPr>
          <w:rFonts w:eastAsia="MS Mincho"/>
          <w:bCs/>
          <w:iCs/>
          <w:lang w:val="fr-FR" w:eastAsia="fr-FR"/>
        </w:rPr>
        <w:t>.</w:t>
      </w:r>
      <w:r w:rsidRPr="004B1B5A">
        <w:rPr>
          <w:rFonts w:eastAsia="MS Mincho"/>
          <w:bCs/>
          <w:iCs/>
          <w:lang w:val="fr-FR" w:eastAsia="fr-FR"/>
        </w:rPr>
        <w:t xml:space="preserve"> Le problème concerne surtout les véhicules équipés d</w:t>
      </w:r>
      <w:r>
        <w:rPr>
          <w:rFonts w:eastAsia="MS Mincho"/>
          <w:bCs/>
          <w:iCs/>
          <w:lang w:val="fr-FR" w:eastAsia="fr-FR"/>
        </w:rPr>
        <w:t>’</w:t>
      </w:r>
      <w:r w:rsidRPr="004B1B5A">
        <w:rPr>
          <w:rFonts w:eastAsia="MS Mincho"/>
          <w:bCs/>
          <w:iCs/>
          <w:lang w:val="fr-FR" w:eastAsia="fr-FR"/>
        </w:rPr>
        <w:t>une boîte de vitesses automatique, y compris les véhicules électriques et les véhicules hybrides, ainsi que les personnes âgées</w:t>
      </w:r>
      <w:r w:rsidR="00DF7AA4" w:rsidRPr="00DF7AA4">
        <w:rPr>
          <w:rFonts w:eastAsia="MS Mincho"/>
          <w:bCs/>
          <w:iCs/>
          <w:lang w:val="fr-FR" w:eastAsia="fr-FR"/>
        </w:rPr>
        <w:t>.</w:t>
      </w:r>
      <w:r w:rsidRPr="004B1B5A">
        <w:rPr>
          <w:rFonts w:eastAsia="MS Mincho"/>
          <w:bCs/>
          <w:iCs/>
          <w:lang w:val="fr-FR" w:eastAsia="fr-FR"/>
        </w:rPr>
        <w:t xml:space="preserve"> Le présent Règlement contient des dispositions techniques, harmonisées à l</w:t>
      </w:r>
      <w:r>
        <w:rPr>
          <w:rFonts w:eastAsia="MS Mincho"/>
          <w:bCs/>
          <w:iCs/>
          <w:lang w:val="fr-FR" w:eastAsia="fr-FR"/>
        </w:rPr>
        <w:t>’</w:t>
      </w:r>
      <w:r w:rsidRPr="004B1B5A">
        <w:rPr>
          <w:rFonts w:eastAsia="MS Mincho"/>
          <w:bCs/>
          <w:iCs/>
          <w:lang w:val="fr-FR" w:eastAsia="fr-FR"/>
        </w:rPr>
        <w:t>échelle internationale, concernant les systèmes de contrôle de l</w:t>
      </w:r>
      <w:r>
        <w:rPr>
          <w:rFonts w:eastAsia="MS Mincho"/>
          <w:bCs/>
          <w:iCs/>
          <w:lang w:val="fr-FR" w:eastAsia="fr-FR"/>
        </w:rPr>
        <w:t>’</w:t>
      </w:r>
      <w:r w:rsidRPr="004B1B5A">
        <w:rPr>
          <w:rFonts w:eastAsia="MS Mincho"/>
          <w:bCs/>
          <w:iCs/>
          <w:lang w:val="fr-FR" w:eastAsia="fr-FR"/>
        </w:rPr>
        <w:t>accélération en cas d</w:t>
      </w:r>
      <w:r>
        <w:rPr>
          <w:rFonts w:eastAsia="MS Mincho"/>
          <w:bCs/>
          <w:iCs/>
          <w:lang w:val="fr-FR" w:eastAsia="fr-FR"/>
        </w:rPr>
        <w:t>’</w:t>
      </w:r>
      <w:r w:rsidRPr="004B1B5A">
        <w:rPr>
          <w:rFonts w:eastAsia="MS Mincho"/>
          <w:bCs/>
          <w:iCs/>
          <w:lang w:val="fr-FR" w:eastAsia="fr-FR"/>
        </w:rPr>
        <w:t xml:space="preserve">erreur de pédale (ACPE), </w:t>
      </w:r>
      <w:r>
        <w:rPr>
          <w:rFonts w:eastAsia="MS Mincho"/>
          <w:bCs/>
          <w:iCs/>
          <w:lang w:val="fr-FR" w:eastAsia="fr-FR"/>
        </w:rPr>
        <w:t>destinés</w:t>
      </w:r>
      <w:r w:rsidRPr="004B1B5A">
        <w:rPr>
          <w:rFonts w:eastAsia="MS Mincho"/>
          <w:bCs/>
          <w:iCs/>
          <w:lang w:val="fr-FR" w:eastAsia="fr-FR"/>
        </w:rPr>
        <w:t xml:space="preserve"> à atténuer les conséquences des accidents associés à ce type d</w:t>
      </w:r>
      <w:r>
        <w:rPr>
          <w:rFonts w:eastAsia="MS Mincho"/>
          <w:bCs/>
          <w:iCs/>
          <w:lang w:val="fr-FR" w:eastAsia="fr-FR"/>
        </w:rPr>
        <w:t>’</w:t>
      </w:r>
      <w:r w:rsidRPr="004B1B5A">
        <w:rPr>
          <w:rFonts w:eastAsia="MS Mincho"/>
          <w:bCs/>
          <w:iCs/>
          <w:lang w:val="fr-FR" w:eastAsia="fr-FR"/>
        </w:rPr>
        <w:t>erreur</w:t>
      </w:r>
      <w:r w:rsidR="00DF7AA4" w:rsidRPr="00DF7AA4">
        <w:rPr>
          <w:rFonts w:eastAsia="MS Mincho"/>
          <w:bCs/>
          <w:iCs/>
          <w:lang w:val="fr-FR" w:eastAsia="fr-FR"/>
        </w:rPr>
        <w:t>.</w:t>
      </w:r>
    </w:p>
    <w:p w14:paraId="25B1B250" w14:textId="7291E9CA" w:rsidR="00EE432D" w:rsidRPr="004B1B5A" w:rsidRDefault="00EE432D" w:rsidP="00EE432D">
      <w:pPr>
        <w:suppressAutoHyphens w:val="0"/>
        <w:kinsoku/>
        <w:overflowPunct/>
        <w:autoSpaceDE/>
        <w:autoSpaceDN/>
        <w:adjustRightInd/>
        <w:snapToGrid/>
        <w:spacing w:after="114" w:line="256" w:lineRule="auto"/>
        <w:ind w:left="2268" w:right="1134"/>
        <w:jc w:val="both"/>
        <w:rPr>
          <w:rFonts w:eastAsia="MS Mincho"/>
          <w:bCs/>
          <w:iCs/>
          <w:lang w:val="fr-FR" w:eastAsia="fr-FR"/>
        </w:rPr>
      </w:pPr>
      <w:r w:rsidRPr="004B1B5A">
        <w:rPr>
          <w:rFonts w:eastAsia="MS Mincho"/>
          <w:bCs/>
          <w:iCs/>
          <w:lang w:val="fr-FR" w:eastAsia="fr-FR"/>
        </w:rPr>
        <w:t>Les syst</w:t>
      </w:r>
      <w:r>
        <w:rPr>
          <w:rFonts w:eastAsia="MS Mincho"/>
          <w:bCs/>
          <w:iCs/>
          <w:lang w:val="fr-FR" w:eastAsia="fr-FR"/>
        </w:rPr>
        <w:t>ème</w:t>
      </w:r>
      <w:r w:rsidRPr="004B1B5A">
        <w:rPr>
          <w:rFonts w:eastAsia="MS Mincho"/>
          <w:bCs/>
          <w:iCs/>
          <w:lang w:val="fr-FR" w:eastAsia="fr-FR"/>
        </w:rPr>
        <w:t>s ACPE limitent les effets de l</w:t>
      </w:r>
      <w:r>
        <w:rPr>
          <w:rFonts w:eastAsia="MS Mincho"/>
          <w:bCs/>
          <w:iCs/>
          <w:lang w:val="fr-FR" w:eastAsia="fr-FR"/>
        </w:rPr>
        <w:t>’</w:t>
      </w:r>
      <w:r w:rsidRPr="004B1B5A">
        <w:rPr>
          <w:rFonts w:eastAsia="MS Mincho"/>
          <w:bCs/>
          <w:iCs/>
          <w:lang w:val="fr-FR" w:eastAsia="fr-FR"/>
        </w:rPr>
        <w:t>actionnement de la pédale d</w:t>
      </w:r>
      <w:r>
        <w:rPr>
          <w:rFonts w:eastAsia="MS Mincho"/>
          <w:bCs/>
          <w:iCs/>
          <w:lang w:val="fr-FR" w:eastAsia="fr-FR"/>
        </w:rPr>
        <w:t>’</w:t>
      </w:r>
      <w:r w:rsidRPr="004B1B5A">
        <w:rPr>
          <w:rFonts w:eastAsia="MS Mincho"/>
          <w:bCs/>
          <w:iCs/>
          <w:lang w:val="fr-FR" w:eastAsia="fr-FR"/>
        </w:rPr>
        <w:t>accélérateur par le conducteur</w:t>
      </w:r>
      <w:r w:rsidR="00DF7AA4" w:rsidRPr="00DF7AA4">
        <w:rPr>
          <w:rFonts w:eastAsia="MS Mincho"/>
          <w:bCs/>
          <w:iCs/>
          <w:lang w:val="fr-FR" w:eastAsia="fr-FR"/>
        </w:rPr>
        <w:t>.</w:t>
      </w:r>
      <w:r w:rsidRPr="004B1B5A">
        <w:rPr>
          <w:rFonts w:eastAsia="MS Mincho"/>
          <w:bCs/>
          <w:iCs/>
          <w:lang w:val="fr-FR" w:eastAsia="fr-FR"/>
        </w:rPr>
        <w:t xml:space="preserve"> </w:t>
      </w:r>
      <w:r w:rsidRPr="004B1B5A">
        <w:rPr>
          <w:rFonts w:eastAsia="MS Mincho"/>
          <w:bCs/>
          <w:iCs/>
          <w:lang w:eastAsia="fr-FR"/>
        </w:rPr>
        <w:t>Il importe donc que ces systèmes n</w:t>
      </w:r>
      <w:r>
        <w:rPr>
          <w:rFonts w:eastAsia="MS Mincho"/>
          <w:bCs/>
          <w:iCs/>
          <w:lang w:eastAsia="fr-FR"/>
        </w:rPr>
        <w:t>’</w:t>
      </w:r>
      <w:r w:rsidRPr="004B1B5A">
        <w:rPr>
          <w:rFonts w:eastAsia="MS Mincho"/>
          <w:bCs/>
          <w:iCs/>
          <w:lang w:eastAsia="fr-FR"/>
        </w:rPr>
        <w:t>interviennent que lorsque le conducteur s</w:t>
      </w:r>
      <w:r>
        <w:rPr>
          <w:rFonts w:eastAsia="MS Mincho"/>
          <w:bCs/>
          <w:iCs/>
          <w:lang w:eastAsia="fr-FR"/>
        </w:rPr>
        <w:t>’</w:t>
      </w:r>
      <w:r w:rsidRPr="004B1B5A">
        <w:rPr>
          <w:rFonts w:eastAsia="MS Mincho"/>
          <w:bCs/>
          <w:iCs/>
          <w:lang w:eastAsia="fr-FR"/>
        </w:rPr>
        <w:t>est bel et bien trompé</w:t>
      </w:r>
      <w:r w:rsidR="00DF7AA4" w:rsidRPr="00DF7AA4">
        <w:rPr>
          <w:rFonts w:eastAsia="MS Mincho"/>
          <w:bCs/>
          <w:iCs/>
          <w:lang w:eastAsia="fr-FR"/>
        </w:rPr>
        <w:t>.</w:t>
      </w:r>
      <w:r w:rsidRPr="004B1B5A">
        <w:rPr>
          <w:rFonts w:eastAsia="MS Mincho"/>
          <w:bCs/>
          <w:iCs/>
          <w:lang w:eastAsia="fr-FR"/>
        </w:rPr>
        <w:t xml:space="preserve"> </w:t>
      </w:r>
      <w:r w:rsidRPr="008E6450">
        <w:rPr>
          <w:rFonts w:eastAsia="MS Mincho"/>
          <w:bCs/>
          <w:iCs/>
          <w:lang w:eastAsia="fr-FR"/>
        </w:rPr>
        <w:t>Le</w:t>
      </w:r>
      <w:r w:rsidRPr="004B1B5A">
        <w:rPr>
          <w:rFonts w:eastAsia="MS Mincho"/>
          <w:bCs/>
          <w:iCs/>
          <w:lang w:eastAsia="fr-FR"/>
        </w:rPr>
        <w:t xml:space="preserve">s données sur les accidents ne permettent pas de faire ressortir clairement les cas de mauvaise </w:t>
      </w:r>
      <w:r>
        <w:rPr>
          <w:rFonts w:eastAsia="MS Mincho"/>
          <w:bCs/>
          <w:iCs/>
          <w:lang w:eastAsia="fr-FR"/>
        </w:rPr>
        <w:t>utilisation de la pédale d’accélérateur, de sorte qu’il est difficile de définir les caractéristiques des accidents qui en résultent</w:t>
      </w:r>
      <w:r w:rsidR="00DF7AA4" w:rsidRPr="00DF7AA4">
        <w:rPr>
          <w:rFonts w:eastAsia="MS Mincho"/>
          <w:bCs/>
          <w:iCs/>
          <w:lang w:eastAsia="fr-FR"/>
        </w:rPr>
        <w:t>.</w:t>
      </w:r>
      <w:r w:rsidRPr="004B1B5A">
        <w:rPr>
          <w:rFonts w:eastAsia="MS Mincho"/>
          <w:bCs/>
          <w:iCs/>
          <w:lang w:eastAsia="fr-FR"/>
        </w:rPr>
        <w:t xml:space="preserve"> </w:t>
      </w:r>
      <w:r>
        <w:rPr>
          <w:rFonts w:eastAsia="MS Mincho"/>
          <w:bCs/>
          <w:iCs/>
          <w:lang w:eastAsia="fr-FR"/>
        </w:rPr>
        <w:t>C’est la raison pour laquelle il a, dans un premier temps, été décidé d’axer le Règlement sur les scénarios dans lesquels il est relativement clair qu’une erreur s’est produite</w:t>
      </w:r>
      <w:r w:rsidRPr="004B1B5A">
        <w:rPr>
          <w:rFonts w:eastAsia="MS Mincho"/>
          <w:bCs/>
          <w:iCs/>
          <w:lang w:val="fr-FR" w:eastAsia="fr-FR"/>
        </w:rPr>
        <w:t xml:space="preserve"> (</w:t>
      </w:r>
      <w:r>
        <w:rPr>
          <w:rFonts w:eastAsia="MS Mincho"/>
          <w:bCs/>
          <w:iCs/>
          <w:lang w:val="fr-FR" w:eastAsia="fr-FR"/>
        </w:rPr>
        <w:t>véhicule à l’arrêt dont la trajectoire est barrée par un obstacle visible), dans le droit fil du protocole déjà établi dans le cadre du programme japonais de contrôle des voitures neuves aux fins de l’évaluation de tels systèmes</w:t>
      </w:r>
      <w:r w:rsidR="00DF7AA4" w:rsidRPr="00DF7AA4">
        <w:rPr>
          <w:rFonts w:eastAsia="MS Mincho"/>
          <w:bCs/>
          <w:iCs/>
          <w:lang w:val="fr-FR" w:eastAsia="fr-FR"/>
        </w:rPr>
        <w:t>.</w:t>
      </w:r>
    </w:p>
    <w:p w14:paraId="2D12603C" w14:textId="6441D679" w:rsidR="00EE432D" w:rsidRPr="004B1B5A" w:rsidRDefault="00EE432D" w:rsidP="00EE432D">
      <w:pPr>
        <w:suppressAutoHyphens w:val="0"/>
        <w:kinsoku/>
        <w:overflowPunct/>
        <w:autoSpaceDE/>
        <w:autoSpaceDN/>
        <w:adjustRightInd/>
        <w:snapToGrid/>
        <w:spacing w:after="114" w:line="256" w:lineRule="auto"/>
        <w:ind w:left="2268" w:right="1134"/>
        <w:jc w:val="both"/>
        <w:rPr>
          <w:rFonts w:eastAsia="MS Mincho"/>
          <w:bCs/>
          <w:iCs/>
          <w:lang w:eastAsia="fr-FR"/>
        </w:rPr>
      </w:pPr>
      <w:r w:rsidRPr="004B1B5A">
        <w:rPr>
          <w:rFonts w:eastAsia="MS Mincho"/>
          <w:bCs/>
          <w:iCs/>
          <w:lang w:eastAsia="fr-FR"/>
        </w:rPr>
        <w:t>Par ailleurs, les syst</w:t>
      </w:r>
      <w:r>
        <w:rPr>
          <w:rFonts w:eastAsia="MS Mincho"/>
          <w:bCs/>
          <w:iCs/>
          <w:lang w:eastAsia="fr-FR"/>
        </w:rPr>
        <w:t>è</w:t>
      </w:r>
      <w:r w:rsidRPr="004B1B5A">
        <w:rPr>
          <w:rFonts w:eastAsia="MS Mincho"/>
          <w:bCs/>
          <w:iCs/>
          <w:lang w:eastAsia="fr-FR"/>
        </w:rPr>
        <w:t>m</w:t>
      </w:r>
      <w:r>
        <w:rPr>
          <w:rFonts w:eastAsia="MS Mincho"/>
          <w:bCs/>
          <w:iCs/>
          <w:lang w:eastAsia="fr-FR"/>
        </w:rPr>
        <w:t>e</w:t>
      </w:r>
      <w:r w:rsidRPr="004B1B5A">
        <w:rPr>
          <w:rFonts w:eastAsia="MS Mincho"/>
          <w:bCs/>
          <w:iCs/>
          <w:lang w:eastAsia="fr-FR"/>
        </w:rPr>
        <w:t>s ACPE doivent être conçus pour s</w:t>
      </w:r>
      <w:r>
        <w:rPr>
          <w:rFonts w:eastAsia="MS Mincho"/>
          <w:bCs/>
          <w:iCs/>
          <w:lang w:eastAsia="fr-FR"/>
        </w:rPr>
        <w:t>’</w:t>
      </w:r>
      <w:r w:rsidRPr="004B1B5A">
        <w:rPr>
          <w:rFonts w:eastAsia="MS Mincho"/>
          <w:bCs/>
          <w:iCs/>
          <w:lang w:eastAsia="fr-FR"/>
        </w:rPr>
        <w:t xml:space="preserve">adapter en cas </w:t>
      </w:r>
      <w:r>
        <w:rPr>
          <w:rFonts w:eastAsia="MS Mincho"/>
          <w:bCs/>
          <w:iCs/>
          <w:lang w:eastAsia="fr-FR"/>
        </w:rPr>
        <w:t>de conflit</w:t>
      </w:r>
      <w:r w:rsidRPr="004B1B5A">
        <w:rPr>
          <w:rFonts w:eastAsia="MS Mincho"/>
          <w:bCs/>
          <w:iCs/>
          <w:lang w:eastAsia="fr-FR"/>
        </w:rPr>
        <w:t xml:space="preserve"> avec d</w:t>
      </w:r>
      <w:r>
        <w:rPr>
          <w:rFonts w:eastAsia="MS Mincho"/>
          <w:bCs/>
          <w:iCs/>
          <w:lang w:eastAsia="fr-FR"/>
        </w:rPr>
        <w:t>’</w:t>
      </w:r>
      <w:r w:rsidRPr="004B1B5A">
        <w:rPr>
          <w:rFonts w:eastAsia="MS Mincho"/>
          <w:bCs/>
          <w:iCs/>
          <w:lang w:eastAsia="fr-FR"/>
        </w:rPr>
        <w:t>autres systèmes, notamment les systèmes actifs de freinage d</w:t>
      </w:r>
      <w:r>
        <w:rPr>
          <w:rFonts w:eastAsia="MS Mincho"/>
          <w:bCs/>
          <w:iCs/>
          <w:lang w:eastAsia="fr-FR"/>
        </w:rPr>
        <w:t>’</w:t>
      </w:r>
      <w:r w:rsidRPr="004B1B5A">
        <w:rPr>
          <w:rFonts w:eastAsia="MS Mincho"/>
          <w:bCs/>
          <w:iCs/>
          <w:lang w:eastAsia="fr-FR"/>
        </w:rPr>
        <w:t xml:space="preserve">urgence (AEBS), </w:t>
      </w:r>
      <w:r>
        <w:rPr>
          <w:rFonts w:eastAsia="MS Mincho"/>
          <w:bCs/>
          <w:iCs/>
          <w:lang w:eastAsia="fr-FR"/>
        </w:rPr>
        <w:t xml:space="preserve">qui sont visés par le Règlement ONU </w:t>
      </w:r>
      <w:r w:rsidR="00D24EF3" w:rsidRPr="00D24EF3">
        <w:rPr>
          <w:rFonts w:eastAsia="MS Mincho"/>
          <w:bCs/>
          <w:iCs/>
          <w:lang w:eastAsia="fr-FR"/>
        </w:rPr>
        <w:t>n</w:t>
      </w:r>
      <w:r w:rsidR="00D24EF3" w:rsidRPr="00D24EF3">
        <w:rPr>
          <w:rFonts w:eastAsia="MS Mincho"/>
          <w:bCs/>
          <w:iCs/>
          <w:vertAlign w:val="superscript"/>
          <w:lang w:eastAsia="fr-FR"/>
        </w:rPr>
        <w:t>o</w:t>
      </w:r>
      <w:r w:rsidR="00D24EF3">
        <w:rPr>
          <w:rFonts w:eastAsia="MS Mincho"/>
          <w:bCs/>
          <w:iCs/>
          <w:lang w:eastAsia="fr-FR"/>
        </w:rPr>
        <w:t> </w:t>
      </w:r>
      <w:r>
        <w:rPr>
          <w:rFonts w:eastAsia="MS Mincho"/>
          <w:bCs/>
          <w:iCs/>
          <w:lang w:eastAsia="fr-FR"/>
        </w:rPr>
        <w:t>152 et ont pour objet de faire freiner le véhicule lorsqu’un risque de collision imminente à l’avant est détecté</w:t>
      </w:r>
      <w:r w:rsidR="00DF7AA4" w:rsidRPr="00DF7AA4">
        <w:rPr>
          <w:rFonts w:eastAsia="MS Mincho"/>
          <w:bCs/>
          <w:iCs/>
          <w:lang w:eastAsia="fr-FR"/>
        </w:rPr>
        <w:t>.</w:t>
      </w:r>
      <w:r w:rsidRPr="004B1B5A">
        <w:rPr>
          <w:rFonts w:eastAsia="MS Mincho"/>
          <w:bCs/>
          <w:iCs/>
          <w:lang w:eastAsia="fr-FR"/>
        </w:rPr>
        <w:t xml:space="preserve"> </w:t>
      </w:r>
      <w:r w:rsidRPr="00993B0E">
        <w:rPr>
          <w:rFonts w:eastAsia="MS Mincho"/>
          <w:bCs/>
          <w:iCs/>
          <w:lang w:eastAsia="fr-FR"/>
        </w:rPr>
        <w:t>L</w:t>
      </w:r>
      <w:r w:rsidRPr="004B1B5A">
        <w:rPr>
          <w:rFonts w:eastAsia="MS Mincho"/>
          <w:bCs/>
          <w:iCs/>
          <w:lang w:eastAsia="fr-FR"/>
        </w:rPr>
        <w:t>e conducteur doit disposer d</w:t>
      </w:r>
      <w:r>
        <w:rPr>
          <w:rFonts w:eastAsia="MS Mincho"/>
          <w:bCs/>
          <w:iCs/>
          <w:lang w:eastAsia="fr-FR"/>
        </w:rPr>
        <w:t>’</w:t>
      </w:r>
      <w:r w:rsidRPr="004B1B5A">
        <w:rPr>
          <w:rFonts w:eastAsia="MS Mincho"/>
          <w:bCs/>
          <w:iCs/>
          <w:lang w:eastAsia="fr-FR"/>
        </w:rPr>
        <w:t>un moyen d</w:t>
      </w:r>
      <w:r>
        <w:rPr>
          <w:rFonts w:eastAsia="MS Mincho"/>
          <w:bCs/>
          <w:iCs/>
          <w:lang w:eastAsia="fr-FR"/>
        </w:rPr>
        <w:t>’</w:t>
      </w:r>
      <w:r w:rsidRPr="004B1B5A">
        <w:rPr>
          <w:rFonts w:eastAsia="MS Mincho"/>
          <w:bCs/>
          <w:iCs/>
          <w:lang w:eastAsia="fr-FR"/>
        </w:rPr>
        <w:t>interrompre l</w:t>
      </w:r>
      <w:r>
        <w:rPr>
          <w:rFonts w:eastAsia="MS Mincho"/>
          <w:bCs/>
          <w:iCs/>
          <w:lang w:eastAsia="fr-FR"/>
        </w:rPr>
        <w:t>’AEBS</w:t>
      </w:r>
      <w:r w:rsidRPr="004B1B5A">
        <w:rPr>
          <w:rFonts w:eastAsia="MS Mincho"/>
          <w:bCs/>
          <w:iCs/>
          <w:lang w:eastAsia="fr-FR"/>
        </w:rPr>
        <w:t xml:space="preserve">, par exemple </w:t>
      </w:r>
      <w:r>
        <w:rPr>
          <w:rFonts w:eastAsia="MS Mincho"/>
          <w:bCs/>
          <w:iCs/>
          <w:lang w:eastAsia="fr-FR"/>
        </w:rPr>
        <w:t xml:space="preserve">en procédant à un </w:t>
      </w:r>
      <w:proofErr w:type="spellStart"/>
      <w:r>
        <w:rPr>
          <w:rFonts w:eastAsia="MS Mincho"/>
          <w:bCs/>
          <w:iCs/>
          <w:lang w:eastAsia="fr-FR"/>
        </w:rPr>
        <w:t>rétrogradage</w:t>
      </w:r>
      <w:proofErr w:type="spellEnd"/>
      <w:r>
        <w:rPr>
          <w:rFonts w:eastAsia="MS Mincho"/>
          <w:bCs/>
          <w:iCs/>
          <w:lang w:eastAsia="fr-FR"/>
        </w:rPr>
        <w:t xml:space="preserve"> forcé (</w:t>
      </w:r>
      <w:proofErr w:type="spellStart"/>
      <w:r>
        <w:rPr>
          <w:rFonts w:eastAsia="MS Mincho"/>
          <w:bCs/>
          <w:iCs/>
          <w:lang w:eastAsia="fr-FR"/>
        </w:rPr>
        <w:t>kickdown</w:t>
      </w:r>
      <w:proofErr w:type="spellEnd"/>
      <w:r>
        <w:rPr>
          <w:rFonts w:eastAsia="MS Mincho"/>
          <w:bCs/>
          <w:iCs/>
          <w:lang w:eastAsia="fr-FR"/>
        </w:rPr>
        <w:t>)</w:t>
      </w:r>
      <w:r w:rsidR="00DF7AA4" w:rsidRPr="00DF7AA4">
        <w:rPr>
          <w:rFonts w:eastAsia="MS Mincho"/>
          <w:bCs/>
          <w:iCs/>
          <w:lang w:eastAsia="fr-FR"/>
        </w:rPr>
        <w:t>.</w:t>
      </w:r>
      <w:r w:rsidRPr="004B1B5A">
        <w:rPr>
          <w:rFonts w:eastAsia="MS Mincho"/>
          <w:bCs/>
          <w:iCs/>
          <w:lang w:eastAsia="fr-FR"/>
        </w:rPr>
        <w:t xml:space="preserve"> </w:t>
      </w:r>
      <w:r w:rsidRPr="00AB474E">
        <w:rPr>
          <w:rFonts w:eastAsia="MS Mincho"/>
          <w:bCs/>
          <w:iCs/>
          <w:lang w:eastAsia="fr-FR"/>
        </w:rPr>
        <w:t>L</w:t>
      </w:r>
      <w:r>
        <w:rPr>
          <w:rFonts w:eastAsia="MS Mincho"/>
          <w:bCs/>
          <w:iCs/>
          <w:lang w:eastAsia="fr-FR"/>
        </w:rPr>
        <w:t xml:space="preserve">e système </w:t>
      </w:r>
      <w:r w:rsidRPr="004B1B5A">
        <w:rPr>
          <w:rFonts w:eastAsia="MS Mincho"/>
          <w:bCs/>
          <w:iCs/>
          <w:lang w:eastAsia="fr-FR"/>
        </w:rPr>
        <w:t>ACPE pourrait, à tort, interpréter une telle action comme une erreur</w:t>
      </w:r>
      <w:r>
        <w:rPr>
          <w:rFonts w:eastAsia="MS Mincho"/>
          <w:bCs/>
          <w:iCs/>
          <w:lang w:eastAsia="fr-FR"/>
        </w:rPr>
        <w:t xml:space="preserve"> de pédale, ce qui créerait un conflit entre les deux systèmes</w:t>
      </w:r>
      <w:r w:rsidR="00DF7AA4" w:rsidRPr="00DF7AA4">
        <w:rPr>
          <w:rFonts w:eastAsia="MS Mincho"/>
          <w:bCs/>
          <w:iCs/>
          <w:lang w:eastAsia="fr-FR"/>
        </w:rPr>
        <w:t>.</w:t>
      </w:r>
      <w:r w:rsidRPr="004B1B5A">
        <w:rPr>
          <w:rFonts w:eastAsia="MS Mincho"/>
          <w:bCs/>
          <w:iCs/>
          <w:lang w:eastAsia="fr-FR"/>
        </w:rPr>
        <w:t xml:space="preserve"> </w:t>
      </w:r>
      <w:r w:rsidRPr="00AB474E">
        <w:rPr>
          <w:rFonts w:eastAsia="MS Mincho"/>
          <w:bCs/>
          <w:iCs/>
          <w:lang w:eastAsia="fr-FR"/>
        </w:rPr>
        <w:t>Ce</w:t>
      </w:r>
      <w:r w:rsidRPr="004B1B5A">
        <w:rPr>
          <w:rFonts w:eastAsia="MS Mincho"/>
          <w:bCs/>
          <w:iCs/>
          <w:lang w:eastAsia="fr-FR"/>
        </w:rPr>
        <w:t>tte possibilité est pour l</w:t>
      </w:r>
      <w:r>
        <w:rPr>
          <w:rFonts w:eastAsia="MS Mincho"/>
          <w:bCs/>
          <w:iCs/>
          <w:lang w:eastAsia="fr-FR"/>
        </w:rPr>
        <w:t>’</w:t>
      </w:r>
      <w:r w:rsidRPr="004B1B5A">
        <w:rPr>
          <w:rFonts w:eastAsia="MS Mincho"/>
          <w:bCs/>
          <w:iCs/>
          <w:lang w:eastAsia="fr-FR"/>
        </w:rPr>
        <w:t>instant écarté</w:t>
      </w:r>
      <w:r>
        <w:rPr>
          <w:rFonts w:eastAsia="MS Mincho"/>
          <w:bCs/>
          <w:iCs/>
          <w:lang w:eastAsia="fr-FR"/>
        </w:rPr>
        <w:t>e</w:t>
      </w:r>
      <w:r w:rsidRPr="004B1B5A">
        <w:rPr>
          <w:rFonts w:eastAsia="MS Mincho"/>
          <w:bCs/>
          <w:iCs/>
          <w:lang w:eastAsia="fr-FR"/>
        </w:rPr>
        <w:t xml:space="preserve"> étant donné que la version originale du Règlement ne porte que sur les </w:t>
      </w:r>
      <w:r>
        <w:rPr>
          <w:rFonts w:eastAsia="MS Mincho"/>
          <w:bCs/>
          <w:iCs/>
          <w:lang w:eastAsia="fr-FR"/>
        </w:rPr>
        <w:t>scénarios dans lesquels le véhicule soumis à l’essai est à l’arrêt</w:t>
      </w:r>
      <w:r w:rsidR="00DF7AA4" w:rsidRPr="00DF7AA4">
        <w:rPr>
          <w:rFonts w:eastAsia="MS Mincho"/>
          <w:bCs/>
          <w:iCs/>
          <w:lang w:eastAsia="fr-FR"/>
        </w:rPr>
        <w:t>.</w:t>
      </w:r>
    </w:p>
    <w:p w14:paraId="3502A7FA" w14:textId="3A7B80E0" w:rsidR="00EE432D" w:rsidRPr="004B1B5A" w:rsidRDefault="00EE432D" w:rsidP="00EE432D">
      <w:pPr>
        <w:suppressAutoHyphens w:val="0"/>
        <w:kinsoku/>
        <w:overflowPunct/>
        <w:autoSpaceDE/>
        <w:autoSpaceDN/>
        <w:adjustRightInd/>
        <w:snapToGrid/>
        <w:spacing w:after="114" w:line="256" w:lineRule="auto"/>
        <w:ind w:left="2268" w:right="1134"/>
        <w:jc w:val="both"/>
        <w:rPr>
          <w:rFonts w:eastAsia="MS Mincho"/>
          <w:bCs/>
          <w:iCs/>
          <w:lang w:val="fr-FR" w:eastAsia="fr-FR"/>
        </w:rPr>
      </w:pPr>
      <w:r w:rsidRPr="004B1B5A">
        <w:rPr>
          <w:rFonts w:eastAsia="MS Mincho"/>
          <w:bCs/>
          <w:iCs/>
          <w:lang w:eastAsia="fr-FR"/>
        </w:rPr>
        <w:t xml:space="preserve">Certains modèles de véhicule conçus pour </w:t>
      </w:r>
      <w:r>
        <w:rPr>
          <w:rFonts w:eastAsia="MS Mincho"/>
          <w:bCs/>
          <w:iCs/>
          <w:lang w:eastAsia="fr-FR"/>
        </w:rPr>
        <w:t>des</w:t>
      </w:r>
      <w:r w:rsidRPr="004B1B5A">
        <w:rPr>
          <w:rFonts w:eastAsia="MS Mincho"/>
          <w:bCs/>
          <w:iCs/>
          <w:lang w:eastAsia="fr-FR"/>
        </w:rPr>
        <w:t xml:space="preserve"> usages </w:t>
      </w:r>
      <w:r>
        <w:rPr>
          <w:rFonts w:eastAsia="MS Mincho"/>
          <w:bCs/>
          <w:iCs/>
          <w:lang w:eastAsia="fr-FR"/>
        </w:rPr>
        <w:t>bien précis</w:t>
      </w:r>
      <w:r w:rsidRPr="004B1B5A">
        <w:rPr>
          <w:rFonts w:eastAsia="MS Mincho"/>
          <w:bCs/>
          <w:iCs/>
          <w:lang w:eastAsia="fr-FR"/>
        </w:rPr>
        <w:t xml:space="preserve"> pourraient compromettre la fiabilité d</w:t>
      </w:r>
      <w:r>
        <w:rPr>
          <w:rFonts w:eastAsia="MS Mincho"/>
          <w:bCs/>
          <w:iCs/>
          <w:lang w:eastAsia="fr-FR"/>
        </w:rPr>
        <w:t>u</w:t>
      </w:r>
      <w:r w:rsidRPr="004B1B5A">
        <w:rPr>
          <w:rFonts w:eastAsia="MS Mincho"/>
          <w:bCs/>
          <w:iCs/>
          <w:lang w:eastAsia="fr-FR"/>
        </w:rPr>
        <w:t xml:space="preserve"> fonctionnement de</w:t>
      </w:r>
      <w:r>
        <w:rPr>
          <w:rFonts w:eastAsia="MS Mincho"/>
          <w:bCs/>
          <w:iCs/>
          <w:lang w:eastAsia="fr-FR"/>
        </w:rPr>
        <w:t>s systèmes ACPE, par exemple si, en raison de la présence d’équipements ou de caractéristiques nécessaires, il est impossible d’installer les capteurs à l’emplacement requis</w:t>
      </w:r>
      <w:r w:rsidR="00DF7AA4" w:rsidRPr="00DF7AA4">
        <w:rPr>
          <w:rFonts w:eastAsia="MS Mincho"/>
          <w:bCs/>
          <w:iCs/>
          <w:lang w:eastAsia="fr-FR"/>
        </w:rPr>
        <w:t>.</w:t>
      </w:r>
      <w:r w:rsidRPr="004B1B5A">
        <w:rPr>
          <w:rFonts w:eastAsia="MS Mincho"/>
          <w:bCs/>
          <w:iCs/>
          <w:lang w:eastAsia="fr-FR"/>
        </w:rPr>
        <w:t xml:space="preserve"> </w:t>
      </w:r>
      <w:r w:rsidRPr="00AB474E">
        <w:rPr>
          <w:rFonts w:eastAsia="MS Mincho"/>
          <w:bCs/>
          <w:iCs/>
          <w:lang w:eastAsia="fr-FR"/>
        </w:rPr>
        <w:t>C</w:t>
      </w:r>
      <w:r>
        <w:rPr>
          <w:rFonts w:eastAsia="MS Mincho"/>
          <w:bCs/>
          <w:iCs/>
          <w:lang w:eastAsia="fr-FR"/>
        </w:rPr>
        <w:t>’</w:t>
      </w:r>
      <w:r w:rsidRPr="00AB474E">
        <w:rPr>
          <w:rFonts w:eastAsia="MS Mincho"/>
          <w:bCs/>
          <w:iCs/>
          <w:lang w:eastAsia="fr-FR"/>
        </w:rPr>
        <w:t>est</w:t>
      </w:r>
      <w:r w:rsidRPr="004B1B5A">
        <w:rPr>
          <w:rFonts w:eastAsia="MS Mincho"/>
          <w:bCs/>
          <w:iCs/>
          <w:lang w:eastAsia="fr-FR"/>
        </w:rPr>
        <w:t xml:space="preserve"> </w:t>
      </w:r>
      <w:r>
        <w:rPr>
          <w:rFonts w:eastAsia="MS Mincho"/>
          <w:bCs/>
          <w:iCs/>
          <w:lang w:eastAsia="fr-FR"/>
        </w:rPr>
        <w:t>notamment</w:t>
      </w:r>
      <w:r w:rsidRPr="004B1B5A">
        <w:rPr>
          <w:rFonts w:eastAsia="MS Mincho"/>
          <w:bCs/>
          <w:iCs/>
          <w:lang w:eastAsia="fr-FR"/>
        </w:rPr>
        <w:t xml:space="preserve"> le cas des véhicules aménagés à l</w:t>
      </w:r>
      <w:r>
        <w:rPr>
          <w:rFonts w:eastAsia="MS Mincho"/>
          <w:bCs/>
          <w:iCs/>
          <w:lang w:eastAsia="fr-FR"/>
        </w:rPr>
        <w:t>’</w:t>
      </w:r>
      <w:r w:rsidRPr="004B1B5A">
        <w:rPr>
          <w:rFonts w:eastAsia="MS Mincho"/>
          <w:bCs/>
          <w:iCs/>
          <w:lang w:eastAsia="fr-FR"/>
        </w:rPr>
        <w:t>ar</w:t>
      </w:r>
      <w:r>
        <w:rPr>
          <w:rFonts w:eastAsia="MS Mincho"/>
          <w:bCs/>
          <w:iCs/>
          <w:lang w:eastAsia="fr-FR"/>
        </w:rPr>
        <w:t>rière pour permettre l’accès aux personnes en fauteuil roulant</w:t>
      </w:r>
      <w:r w:rsidR="00DF7AA4" w:rsidRPr="00DF7AA4">
        <w:rPr>
          <w:rFonts w:eastAsia="MS Mincho"/>
          <w:bCs/>
          <w:iCs/>
          <w:lang w:eastAsia="fr-FR"/>
        </w:rPr>
        <w:t>.</w:t>
      </w:r>
      <w:r w:rsidRPr="004B1B5A">
        <w:rPr>
          <w:rFonts w:eastAsia="MS Mincho"/>
          <w:bCs/>
          <w:iCs/>
          <w:lang w:eastAsia="fr-FR"/>
        </w:rPr>
        <w:t xml:space="preserve"> </w:t>
      </w:r>
      <w:r>
        <w:rPr>
          <w:rFonts w:eastAsia="MS Mincho"/>
          <w:bCs/>
          <w:iCs/>
          <w:lang w:eastAsia="fr-FR"/>
        </w:rPr>
        <w:t xml:space="preserve">Lorsque les circonstances le justifient, </w:t>
      </w:r>
      <w:r>
        <w:rPr>
          <w:rFonts w:eastAsia="MS Mincho"/>
          <w:bCs/>
          <w:iCs/>
          <w:lang w:val="fr-FR" w:eastAsia="fr-FR"/>
        </w:rPr>
        <w:t>l’autorité d’homologation de type peut</w:t>
      </w:r>
      <w:r w:rsidRPr="004B1B5A">
        <w:rPr>
          <w:rFonts w:eastAsia="MS Mincho"/>
          <w:bCs/>
          <w:iCs/>
          <w:lang w:val="fr-FR" w:eastAsia="fr-FR"/>
        </w:rPr>
        <w:t xml:space="preserve">, </w:t>
      </w:r>
      <w:r>
        <w:rPr>
          <w:rFonts w:eastAsia="MS Mincho"/>
          <w:bCs/>
          <w:iCs/>
          <w:lang w:val="fr-FR" w:eastAsia="fr-FR"/>
        </w:rPr>
        <w:t>d</w:t>
      </w:r>
      <w:r w:rsidRPr="001F5714">
        <w:rPr>
          <w:rFonts w:eastAsia="MS Mincho"/>
          <w:bCs/>
          <w:iCs/>
          <w:lang w:val="fr-FR" w:eastAsia="fr-FR"/>
        </w:rPr>
        <w:t>ans la mesure qu</w:t>
      </w:r>
      <w:r>
        <w:rPr>
          <w:rFonts w:eastAsia="MS Mincho"/>
          <w:bCs/>
          <w:iCs/>
          <w:lang w:val="fr-FR" w:eastAsia="fr-FR"/>
        </w:rPr>
        <w:t>’</w:t>
      </w:r>
      <w:r w:rsidRPr="001F5714">
        <w:rPr>
          <w:rFonts w:eastAsia="MS Mincho"/>
          <w:bCs/>
          <w:iCs/>
          <w:lang w:val="fr-FR" w:eastAsia="fr-FR"/>
        </w:rPr>
        <w:t xml:space="preserve">elle estime nécessaire, </w:t>
      </w:r>
      <w:r>
        <w:rPr>
          <w:rFonts w:eastAsia="MS Mincho"/>
          <w:bCs/>
          <w:iCs/>
          <w:lang w:val="fr-FR" w:eastAsia="fr-FR"/>
        </w:rPr>
        <w:t>exempter de tels véhicules de l’ensemble ou d’une partie des prescriptions, par exemple des prescriptions liées à la marche arrière</w:t>
      </w:r>
      <w:r w:rsidR="00DF7AA4" w:rsidRPr="00DF7AA4">
        <w:rPr>
          <w:rFonts w:eastAsia="MS Mincho"/>
          <w:bCs/>
          <w:iCs/>
          <w:lang w:val="fr-FR" w:eastAsia="fr-FR"/>
        </w:rPr>
        <w:t>.</w:t>
      </w:r>
    </w:p>
    <w:p w14:paraId="41F2F4EA" w14:textId="4B0B484B" w:rsidR="00EE432D" w:rsidRPr="004B1B5A" w:rsidRDefault="00EE432D" w:rsidP="00EE432D">
      <w:pPr>
        <w:suppressAutoHyphens w:val="0"/>
        <w:kinsoku/>
        <w:overflowPunct/>
        <w:autoSpaceDE/>
        <w:autoSpaceDN/>
        <w:adjustRightInd/>
        <w:snapToGrid/>
        <w:spacing w:after="114" w:line="256" w:lineRule="auto"/>
        <w:ind w:left="2268" w:right="1134"/>
        <w:jc w:val="both"/>
        <w:rPr>
          <w:rFonts w:eastAsia="MS Mincho"/>
          <w:bCs/>
          <w:iCs/>
          <w:lang w:eastAsia="fr-FR"/>
        </w:rPr>
      </w:pPr>
      <w:r>
        <w:rPr>
          <w:rFonts w:eastAsia="MS Mincho"/>
          <w:bCs/>
          <w:iCs/>
          <w:lang w:val="fr-FR" w:eastAsia="fr-FR"/>
        </w:rPr>
        <w:t>L’</w:t>
      </w:r>
      <w:r w:rsidRPr="00C26EA8">
        <w:rPr>
          <w:rFonts w:eastAsia="MS Mincho"/>
          <w:bCs/>
          <w:iCs/>
          <w:lang w:val="fr-FR" w:eastAsia="fr-FR"/>
        </w:rPr>
        <w:t xml:space="preserve">élaboration des prescriptions a, dans un premier temps, été axée sur </w:t>
      </w:r>
      <w:r>
        <w:rPr>
          <w:rFonts w:eastAsia="MS Mincho"/>
          <w:bCs/>
          <w:iCs/>
          <w:lang w:val="fr-FR" w:eastAsia="fr-FR"/>
        </w:rPr>
        <w:t>la catégorie M</w:t>
      </w:r>
      <w:r w:rsidRPr="004B1B5A">
        <w:rPr>
          <w:rFonts w:eastAsia="MS Mincho"/>
          <w:bCs/>
          <w:iCs/>
          <w:vertAlign w:val="subscript"/>
          <w:lang w:val="fr-FR" w:eastAsia="fr-FR"/>
        </w:rPr>
        <w:t>1</w:t>
      </w:r>
      <w:r>
        <w:rPr>
          <w:rFonts w:eastAsia="MS Mincho"/>
          <w:bCs/>
          <w:iCs/>
          <w:lang w:val="fr-FR" w:eastAsia="fr-FR"/>
        </w:rPr>
        <w:t>, l</w:t>
      </w:r>
      <w:r w:rsidRPr="001F5714">
        <w:rPr>
          <w:rFonts w:eastAsia="MS Mincho"/>
          <w:bCs/>
          <w:iCs/>
          <w:lang w:val="fr-FR" w:eastAsia="fr-FR"/>
        </w:rPr>
        <w:t>es stat</w:t>
      </w:r>
      <w:r w:rsidRPr="004B1B5A">
        <w:rPr>
          <w:rFonts w:eastAsia="MS Mincho"/>
          <w:bCs/>
          <w:iCs/>
          <w:lang w:val="fr-FR" w:eastAsia="fr-FR"/>
        </w:rPr>
        <w:t xml:space="preserve">istiques </w:t>
      </w:r>
      <w:r>
        <w:rPr>
          <w:rFonts w:eastAsia="MS Mincho"/>
          <w:bCs/>
          <w:iCs/>
          <w:lang w:val="fr-FR" w:eastAsia="fr-FR"/>
        </w:rPr>
        <w:t xml:space="preserve">ayant montré </w:t>
      </w:r>
      <w:r w:rsidRPr="004B1B5A">
        <w:rPr>
          <w:rFonts w:eastAsia="MS Mincho"/>
          <w:bCs/>
          <w:iCs/>
          <w:lang w:val="fr-FR" w:eastAsia="fr-FR"/>
        </w:rPr>
        <w:t xml:space="preserve">que la majorité des accidents liés à des erreurs de pédale </w:t>
      </w:r>
      <w:r>
        <w:rPr>
          <w:rFonts w:eastAsia="MS Mincho"/>
          <w:bCs/>
          <w:iCs/>
          <w:lang w:val="fr-FR" w:eastAsia="fr-FR"/>
        </w:rPr>
        <w:t>concernaient cette catégorie</w:t>
      </w:r>
      <w:r w:rsidR="00DF7AA4" w:rsidRPr="00DF7AA4">
        <w:rPr>
          <w:rFonts w:eastAsia="MS Mincho"/>
          <w:bCs/>
          <w:iCs/>
          <w:lang w:val="fr-FR" w:eastAsia="fr-FR"/>
        </w:rPr>
        <w:t>.</w:t>
      </w:r>
      <w:r w:rsidRPr="004B1B5A">
        <w:rPr>
          <w:rFonts w:eastAsia="MS Mincho"/>
          <w:bCs/>
          <w:iCs/>
          <w:lang w:val="fr-FR" w:eastAsia="fr-FR"/>
        </w:rPr>
        <w:t xml:space="preserve"> </w:t>
      </w:r>
      <w:r w:rsidRPr="004B1B5A">
        <w:rPr>
          <w:rFonts w:eastAsia="MS Mincho"/>
          <w:bCs/>
          <w:iCs/>
          <w:lang w:eastAsia="fr-FR"/>
        </w:rPr>
        <w:t>Toutefois, d</w:t>
      </w:r>
      <w:r>
        <w:rPr>
          <w:rFonts w:eastAsia="MS Mincho"/>
          <w:bCs/>
          <w:iCs/>
          <w:lang w:eastAsia="fr-FR"/>
        </w:rPr>
        <w:t>’</w:t>
      </w:r>
      <w:r w:rsidRPr="004B1B5A">
        <w:rPr>
          <w:rFonts w:eastAsia="MS Mincho"/>
          <w:bCs/>
          <w:iCs/>
          <w:lang w:eastAsia="fr-FR"/>
        </w:rPr>
        <w:t xml:space="preserve">autres catégories de véhicules sont touchées et pourraient bénéficier de la technologie visée par le </w:t>
      </w:r>
      <w:r w:rsidRPr="0035248A">
        <w:rPr>
          <w:rFonts w:eastAsia="MS Mincho"/>
          <w:bCs/>
          <w:iCs/>
          <w:lang w:eastAsia="fr-FR"/>
        </w:rPr>
        <w:t>présent</w:t>
      </w:r>
      <w:r w:rsidRPr="004B1B5A">
        <w:rPr>
          <w:rFonts w:eastAsia="MS Mincho"/>
          <w:bCs/>
          <w:iCs/>
          <w:lang w:eastAsia="fr-FR"/>
        </w:rPr>
        <w:t xml:space="preserve"> Règlement</w:t>
      </w:r>
      <w:r>
        <w:rPr>
          <w:rFonts w:eastAsia="MS Mincho"/>
          <w:bCs/>
          <w:iCs/>
          <w:lang w:eastAsia="fr-FR"/>
        </w:rPr>
        <w:t>, raison pour laquelle des véhicules d’autres catégories peuvent également être homologués au titre dudit Règlement à la demande du constructeur</w:t>
      </w:r>
      <w:r w:rsidR="00DF7AA4" w:rsidRPr="00DF7AA4">
        <w:rPr>
          <w:rFonts w:eastAsia="MS Mincho"/>
          <w:bCs/>
          <w:iCs/>
          <w:lang w:eastAsia="fr-FR"/>
        </w:rPr>
        <w:t>.</w:t>
      </w:r>
    </w:p>
    <w:p w14:paraId="20AA9FB5" w14:textId="4F26EA1A" w:rsidR="00EE432D" w:rsidRPr="004B1B5A" w:rsidRDefault="00EE432D" w:rsidP="00EE432D">
      <w:pPr>
        <w:suppressAutoHyphens w:val="0"/>
        <w:kinsoku/>
        <w:overflowPunct/>
        <w:autoSpaceDE/>
        <w:autoSpaceDN/>
        <w:adjustRightInd/>
        <w:snapToGrid/>
        <w:spacing w:after="114" w:line="256" w:lineRule="auto"/>
        <w:ind w:left="2268" w:right="1134"/>
        <w:jc w:val="both"/>
        <w:rPr>
          <w:rFonts w:eastAsia="MS Mincho"/>
          <w:bCs/>
          <w:iCs/>
          <w:lang w:eastAsia="fr-FR"/>
        </w:rPr>
      </w:pPr>
      <w:r w:rsidRPr="00B36736">
        <w:rPr>
          <w:rFonts w:eastAsia="MS Mincho"/>
          <w:bCs/>
          <w:iCs/>
          <w:lang w:eastAsia="fr-FR"/>
        </w:rPr>
        <w:t xml:space="preserve">Le système </w:t>
      </w:r>
      <w:r w:rsidRPr="004B1B5A">
        <w:rPr>
          <w:rFonts w:eastAsia="MS Mincho"/>
          <w:bCs/>
          <w:iCs/>
          <w:lang w:eastAsia="fr-FR"/>
        </w:rPr>
        <w:t>ACPE étant destin</w:t>
      </w:r>
      <w:r>
        <w:rPr>
          <w:rFonts w:eastAsia="MS Mincho"/>
          <w:bCs/>
          <w:iCs/>
          <w:lang w:eastAsia="fr-FR"/>
        </w:rPr>
        <w:t>é</w:t>
      </w:r>
      <w:r w:rsidRPr="004B1B5A">
        <w:rPr>
          <w:rFonts w:eastAsia="MS Mincho"/>
          <w:bCs/>
          <w:iCs/>
          <w:lang w:eastAsia="fr-FR"/>
        </w:rPr>
        <w:t xml:space="preserve"> à prêter assistance au conducteur, il convient de </w:t>
      </w:r>
      <w:r>
        <w:rPr>
          <w:rFonts w:eastAsia="MS Mincho"/>
          <w:bCs/>
          <w:iCs/>
          <w:lang w:eastAsia="fr-FR"/>
        </w:rPr>
        <w:t>prévoir la possibilité de le désactiver si l’on ne souhaite pas l’utiliser ou lorsque le mode de conduite ou l’environnement risquent d’être à l’origine d’interventions intempestives</w:t>
      </w:r>
      <w:r w:rsidR="00DF7AA4" w:rsidRPr="00DF7AA4">
        <w:rPr>
          <w:rFonts w:eastAsia="MS Mincho"/>
          <w:bCs/>
          <w:iCs/>
          <w:lang w:eastAsia="fr-FR"/>
        </w:rPr>
        <w:t>.</w:t>
      </w:r>
      <w:r w:rsidRPr="004B1B5A">
        <w:rPr>
          <w:rFonts w:eastAsia="MS Mincho"/>
          <w:bCs/>
          <w:iCs/>
          <w:lang w:eastAsia="fr-FR"/>
        </w:rPr>
        <w:t xml:space="preserve"> Pour la première fois dans un Règlement ONU, le système peut être désactivé à long terme sans qu</w:t>
      </w:r>
      <w:r>
        <w:rPr>
          <w:rFonts w:eastAsia="MS Mincho"/>
          <w:bCs/>
          <w:iCs/>
          <w:lang w:eastAsia="fr-FR"/>
        </w:rPr>
        <w:t>’</w:t>
      </w:r>
      <w:r w:rsidRPr="004B1B5A">
        <w:rPr>
          <w:rFonts w:eastAsia="MS Mincho"/>
          <w:bCs/>
          <w:iCs/>
          <w:lang w:eastAsia="fr-FR"/>
        </w:rPr>
        <w:t xml:space="preserve">un avertissement soit émis de façon continue, </w:t>
      </w:r>
      <w:r>
        <w:rPr>
          <w:rFonts w:eastAsia="MS Mincho"/>
          <w:bCs/>
          <w:iCs/>
          <w:lang w:eastAsia="fr-FR"/>
        </w:rPr>
        <w:t>pourvu que l’utilisateur soit régulièrement informé que le système est disponible et désactivé</w:t>
      </w:r>
      <w:r w:rsidR="00DF7AA4" w:rsidRPr="00DF7AA4">
        <w:rPr>
          <w:rFonts w:eastAsia="MS Mincho"/>
          <w:bCs/>
          <w:iCs/>
          <w:lang w:eastAsia="fr-FR"/>
        </w:rPr>
        <w:t>.</w:t>
      </w:r>
      <w:r w:rsidRPr="004B1B5A">
        <w:rPr>
          <w:rFonts w:eastAsia="MS Mincho"/>
          <w:bCs/>
          <w:iCs/>
          <w:lang w:eastAsia="fr-FR"/>
        </w:rPr>
        <w:t xml:space="preserve"> </w:t>
      </w:r>
      <w:r w:rsidRPr="00BC7DFF">
        <w:rPr>
          <w:rFonts w:eastAsia="MS Mincho"/>
          <w:bCs/>
          <w:iCs/>
          <w:lang w:eastAsia="fr-FR"/>
        </w:rPr>
        <w:t xml:space="preserve">Cette condition permet </w:t>
      </w:r>
      <w:r w:rsidRPr="004B1B5A">
        <w:rPr>
          <w:rFonts w:eastAsia="MS Mincho"/>
          <w:bCs/>
          <w:iCs/>
          <w:lang w:eastAsia="fr-FR"/>
        </w:rPr>
        <w:t xml:space="preserve">de reconfirmer le </w:t>
      </w:r>
      <w:r w:rsidRPr="004B1B5A">
        <w:rPr>
          <w:rFonts w:eastAsia="MS Mincho"/>
          <w:bCs/>
          <w:iCs/>
          <w:lang w:eastAsia="fr-FR"/>
        </w:rPr>
        <w:lastRenderedPageBreak/>
        <w:t>choix du conducteur et de faire en sorte que les autres utilisateurs du véhicule (</w:t>
      </w:r>
      <w:r>
        <w:rPr>
          <w:rFonts w:eastAsia="MS Mincho"/>
          <w:bCs/>
          <w:iCs/>
          <w:lang w:eastAsia="fr-FR"/>
        </w:rPr>
        <w:t>par exemple, en cas de transfert de propriété ou d’utilisation par plusieurs conducteurs</w:t>
      </w:r>
      <w:r w:rsidRPr="004B1B5A">
        <w:rPr>
          <w:rFonts w:eastAsia="MS Mincho"/>
          <w:bCs/>
          <w:iCs/>
          <w:lang w:eastAsia="fr-FR"/>
        </w:rPr>
        <w:t xml:space="preserve">) </w:t>
      </w:r>
      <w:r>
        <w:rPr>
          <w:rFonts w:eastAsia="MS Mincho"/>
          <w:bCs/>
          <w:iCs/>
          <w:lang w:eastAsia="fr-FR"/>
        </w:rPr>
        <w:t>sont informés de l’état du système</w:t>
      </w:r>
      <w:r w:rsidR="00DF7AA4" w:rsidRPr="00DF7AA4">
        <w:rPr>
          <w:rFonts w:eastAsia="MS Mincho"/>
          <w:bCs/>
          <w:iCs/>
          <w:lang w:eastAsia="fr-FR"/>
        </w:rPr>
        <w:t>.</w:t>
      </w:r>
    </w:p>
    <w:p w14:paraId="4CBDAF68" w14:textId="40AE0766" w:rsidR="00EE432D" w:rsidRPr="004B1B5A" w:rsidRDefault="00EE432D" w:rsidP="00EE432D">
      <w:pPr>
        <w:suppressAutoHyphens w:val="0"/>
        <w:kinsoku/>
        <w:overflowPunct/>
        <w:autoSpaceDE/>
        <w:autoSpaceDN/>
        <w:adjustRightInd/>
        <w:snapToGrid/>
        <w:spacing w:after="114" w:line="256" w:lineRule="auto"/>
        <w:ind w:left="2268" w:right="1134"/>
        <w:jc w:val="both"/>
        <w:rPr>
          <w:rFonts w:eastAsia="MS Mincho"/>
          <w:bCs/>
          <w:iCs/>
          <w:lang w:eastAsia="fr-FR"/>
        </w:rPr>
      </w:pPr>
      <w:r w:rsidRPr="00EB7AE7">
        <w:rPr>
          <w:rFonts w:eastAsia="MS Mincho"/>
          <w:bCs/>
          <w:iCs/>
          <w:lang w:eastAsia="fr-FR"/>
        </w:rPr>
        <w:t xml:space="preserve">Les données sur les accidents montrent que les scénarios </w:t>
      </w:r>
      <w:r w:rsidRPr="004B1B5A">
        <w:rPr>
          <w:rFonts w:eastAsia="MS Mincho"/>
          <w:bCs/>
          <w:iCs/>
          <w:lang w:eastAsia="fr-FR"/>
        </w:rPr>
        <w:t>d</w:t>
      </w:r>
      <w:r>
        <w:rPr>
          <w:rFonts w:eastAsia="MS Mincho"/>
          <w:bCs/>
          <w:iCs/>
          <w:lang w:eastAsia="fr-FR"/>
        </w:rPr>
        <w:t>’</w:t>
      </w:r>
      <w:r w:rsidRPr="004B1B5A">
        <w:rPr>
          <w:rFonts w:eastAsia="MS Mincho"/>
          <w:bCs/>
          <w:iCs/>
          <w:lang w:eastAsia="fr-FR"/>
        </w:rPr>
        <w:t>erreur de pédale peuvent beaucoup s</w:t>
      </w:r>
      <w:r>
        <w:rPr>
          <w:rFonts w:eastAsia="MS Mincho"/>
          <w:bCs/>
          <w:iCs/>
          <w:lang w:eastAsia="fr-FR"/>
        </w:rPr>
        <w:t>’</w:t>
      </w:r>
      <w:r w:rsidRPr="004B1B5A">
        <w:rPr>
          <w:rFonts w:eastAsia="MS Mincho"/>
          <w:bCs/>
          <w:iCs/>
          <w:lang w:eastAsia="fr-FR"/>
        </w:rPr>
        <w:t xml:space="preserve">éloigner de ceux </w:t>
      </w:r>
      <w:r>
        <w:rPr>
          <w:rFonts w:eastAsia="MS Mincho"/>
          <w:bCs/>
          <w:iCs/>
          <w:lang w:eastAsia="fr-FR"/>
        </w:rPr>
        <w:t>sur lesquels s’appuient les essais visés par la présente version du Règlement</w:t>
      </w:r>
      <w:r w:rsidR="00DF7AA4" w:rsidRPr="00DF7AA4">
        <w:rPr>
          <w:rFonts w:eastAsia="MS Mincho"/>
          <w:bCs/>
          <w:iCs/>
          <w:lang w:eastAsia="fr-FR"/>
        </w:rPr>
        <w:t>.</w:t>
      </w:r>
      <w:r>
        <w:rPr>
          <w:rFonts w:eastAsia="MS Mincho"/>
          <w:bCs/>
          <w:iCs/>
          <w:lang w:eastAsia="fr-FR"/>
        </w:rPr>
        <w:t xml:space="preserve"> C’est pourquoi, dans un deuxième temps, il est prévu de faire figurer, dans le champ d’application, d’autres situations dans lesquelles les systèmes ACPE peuvent être utiles</w:t>
      </w:r>
      <w:r w:rsidR="00DF7AA4" w:rsidRPr="00DF7AA4">
        <w:rPr>
          <w:rFonts w:eastAsia="MS Mincho"/>
          <w:bCs/>
          <w:iCs/>
          <w:lang w:eastAsia="fr-FR"/>
        </w:rPr>
        <w:t>.</w:t>
      </w:r>
      <w:r>
        <w:rPr>
          <w:rFonts w:eastAsia="MS Mincho"/>
          <w:bCs/>
          <w:iCs/>
          <w:lang w:eastAsia="fr-FR"/>
        </w:rPr>
        <w:t xml:space="preserve"> </w:t>
      </w:r>
      <w:r w:rsidRPr="004B1B5A">
        <w:rPr>
          <w:rFonts w:eastAsia="MS Mincho"/>
          <w:bCs/>
          <w:iCs/>
          <w:lang w:eastAsia="fr-FR"/>
        </w:rPr>
        <w:t>Des prescriptions et des proc</w:t>
      </w:r>
      <w:r>
        <w:rPr>
          <w:rFonts w:eastAsia="MS Mincho"/>
          <w:bCs/>
          <w:iCs/>
          <w:lang w:eastAsia="fr-FR"/>
        </w:rPr>
        <w:t>é</w:t>
      </w:r>
      <w:r w:rsidRPr="004B1B5A">
        <w:rPr>
          <w:rFonts w:eastAsia="MS Mincho"/>
          <w:bCs/>
          <w:iCs/>
          <w:lang w:eastAsia="fr-FR"/>
        </w:rPr>
        <w:t>dures d</w:t>
      </w:r>
      <w:r>
        <w:rPr>
          <w:rFonts w:eastAsia="MS Mincho"/>
          <w:bCs/>
          <w:iCs/>
          <w:lang w:eastAsia="fr-FR"/>
        </w:rPr>
        <w:t>’</w:t>
      </w:r>
      <w:r w:rsidRPr="004B1B5A">
        <w:rPr>
          <w:rFonts w:eastAsia="MS Mincho"/>
          <w:bCs/>
          <w:iCs/>
          <w:lang w:eastAsia="fr-FR"/>
        </w:rPr>
        <w:t xml:space="preserve">essai </w:t>
      </w:r>
      <w:r>
        <w:rPr>
          <w:rFonts w:eastAsia="MS Mincho"/>
          <w:bCs/>
          <w:iCs/>
          <w:lang w:eastAsia="fr-FR"/>
        </w:rPr>
        <w:t>devraient ainsi être envisagées pour des</w:t>
      </w:r>
      <w:r w:rsidRPr="004B1B5A">
        <w:rPr>
          <w:rFonts w:eastAsia="MS Mincho"/>
          <w:bCs/>
          <w:iCs/>
          <w:lang w:eastAsia="fr-FR"/>
        </w:rPr>
        <w:t xml:space="preserve"> </w:t>
      </w:r>
      <w:r>
        <w:rPr>
          <w:rFonts w:eastAsia="MS Mincho"/>
          <w:bCs/>
          <w:iCs/>
          <w:lang w:eastAsia="fr-FR"/>
        </w:rPr>
        <w:t xml:space="preserve">scénarios faisant intervenir des </w:t>
      </w:r>
      <w:r w:rsidRPr="004B1B5A">
        <w:rPr>
          <w:rFonts w:eastAsia="MS Mincho"/>
          <w:bCs/>
          <w:iCs/>
          <w:lang w:eastAsia="fr-FR"/>
        </w:rPr>
        <w:t xml:space="preserve">véhicules au démarrage </w:t>
      </w:r>
      <w:r>
        <w:rPr>
          <w:rFonts w:eastAsia="MS Mincho"/>
          <w:bCs/>
          <w:iCs/>
          <w:lang w:eastAsia="fr-FR"/>
        </w:rPr>
        <w:t>ou</w:t>
      </w:r>
      <w:r w:rsidRPr="004B1B5A">
        <w:rPr>
          <w:rFonts w:eastAsia="MS Mincho"/>
          <w:bCs/>
          <w:iCs/>
          <w:lang w:eastAsia="fr-FR"/>
        </w:rPr>
        <w:t xml:space="preserve"> en mouvement (y</w:t>
      </w:r>
      <w:r w:rsidR="004345A4">
        <w:rPr>
          <w:rFonts w:eastAsia="MS Mincho"/>
          <w:bCs/>
          <w:iCs/>
          <w:lang w:eastAsia="fr-FR"/>
        </w:rPr>
        <w:t> </w:t>
      </w:r>
      <w:r w:rsidRPr="004B1B5A">
        <w:rPr>
          <w:rFonts w:eastAsia="MS Mincho"/>
          <w:bCs/>
          <w:iCs/>
          <w:lang w:eastAsia="fr-FR"/>
        </w:rPr>
        <w:t xml:space="preserve">compris </w:t>
      </w:r>
      <w:r>
        <w:rPr>
          <w:rFonts w:eastAsia="MS Mincho"/>
          <w:bCs/>
          <w:iCs/>
          <w:lang w:eastAsia="fr-FR"/>
        </w:rPr>
        <w:t>des</w:t>
      </w:r>
      <w:r w:rsidRPr="004B1B5A">
        <w:rPr>
          <w:rFonts w:eastAsia="MS Mincho"/>
          <w:bCs/>
          <w:iCs/>
          <w:lang w:eastAsia="fr-FR"/>
        </w:rPr>
        <w:t xml:space="preserve"> véhicules qui </w:t>
      </w:r>
      <w:r>
        <w:rPr>
          <w:rFonts w:eastAsia="MS Mincho"/>
          <w:bCs/>
          <w:iCs/>
          <w:lang w:eastAsia="fr-FR"/>
        </w:rPr>
        <w:t>« glissent » lorsqu’on relâche la pédale de frein</w:t>
      </w:r>
      <w:r w:rsidRPr="004B1B5A">
        <w:rPr>
          <w:rFonts w:eastAsia="MS Mincho"/>
          <w:bCs/>
          <w:iCs/>
          <w:lang w:eastAsia="fr-FR"/>
        </w:rPr>
        <w:t xml:space="preserve">), </w:t>
      </w:r>
      <w:r>
        <w:rPr>
          <w:rFonts w:eastAsia="MS Mincho"/>
          <w:bCs/>
          <w:iCs/>
          <w:lang w:eastAsia="fr-FR"/>
        </w:rPr>
        <w:t xml:space="preserve">des piétons et des véhicules de la catégorie </w:t>
      </w:r>
      <w:r w:rsidRPr="004B1B5A">
        <w:rPr>
          <w:rFonts w:eastAsia="MS Mincho"/>
          <w:bCs/>
          <w:iCs/>
          <w:lang w:eastAsia="fr-FR"/>
        </w:rPr>
        <w:t>N</w:t>
      </w:r>
      <w:r w:rsidRPr="004B1B5A">
        <w:rPr>
          <w:rFonts w:eastAsia="MS Mincho"/>
          <w:bCs/>
          <w:iCs/>
          <w:vertAlign w:val="subscript"/>
          <w:lang w:eastAsia="fr-FR"/>
        </w:rPr>
        <w:t>1</w:t>
      </w:r>
      <w:r w:rsidR="00DF7AA4" w:rsidRPr="00DF7AA4">
        <w:rPr>
          <w:rFonts w:eastAsia="MS Mincho"/>
          <w:bCs/>
          <w:iCs/>
          <w:lang w:eastAsia="fr-FR"/>
        </w:rPr>
        <w:t>.</w:t>
      </w:r>
    </w:p>
    <w:p w14:paraId="23FEFBA7" w14:textId="1FDFE93E" w:rsidR="00EE432D" w:rsidRPr="004B1B5A" w:rsidRDefault="00EE432D" w:rsidP="00EE432D">
      <w:pPr>
        <w:suppressAutoHyphens w:val="0"/>
        <w:kinsoku/>
        <w:overflowPunct/>
        <w:autoSpaceDE/>
        <w:autoSpaceDN/>
        <w:adjustRightInd/>
        <w:snapToGrid/>
        <w:spacing w:after="114" w:line="256" w:lineRule="auto"/>
        <w:ind w:left="2268" w:right="1134"/>
        <w:jc w:val="both"/>
        <w:rPr>
          <w:rFonts w:eastAsia="MS Mincho"/>
          <w:iCs/>
          <w:lang w:eastAsia="fr-FR"/>
        </w:rPr>
      </w:pPr>
      <w:r w:rsidRPr="004B1B5A">
        <w:rPr>
          <w:rFonts w:eastAsia="MS Mincho"/>
          <w:bCs/>
          <w:iCs/>
          <w:lang w:eastAsia="fr-FR"/>
        </w:rPr>
        <w:t xml:space="preserve">En outre, le Règlement pourrait, par la suite, être mis à jour pour tenir compte des collisions secondaires et de vitesses plus élevées, </w:t>
      </w:r>
      <w:r>
        <w:rPr>
          <w:rFonts w:eastAsia="MS Mincho"/>
          <w:bCs/>
          <w:iCs/>
          <w:lang w:eastAsia="fr-FR"/>
        </w:rPr>
        <w:t>sous réserve que la faisabilité technique soit confirmée à chacun de ces deux égards</w:t>
      </w:r>
      <w:r w:rsidR="00DF7AA4" w:rsidRPr="00DF7AA4">
        <w:rPr>
          <w:rFonts w:eastAsia="MS Mincho"/>
          <w:bCs/>
          <w:iCs/>
          <w:lang w:eastAsia="fr-FR"/>
        </w:rPr>
        <w:t>.</w:t>
      </w:r>
    </w:p>
    <w:p w14:paraId="08090B77" w14:textId="65936603" w:rsidR="00EE432D" w:rsidRPr="00AB4DCC" w:rsidRDefault="00EE432D" w:rsidP="00EE432D">
      <w:pPr>
        <w:pStyle w:val="HChG"/>
        <w:tabs>
          <w:tab w:val="clear" w:pos="851"/>
        </w:tabs>
        <w:ind w:left="2268"/>
        <w:rPr>
          <w:lang w:val="fr-FR"/>
        </w:rPr>
      </w:pPr>
      <w:r w:rsidRPr="00AB4DCC">
        <w:rPr>
          <w:bCs/>
          <w:lang w:val="fr-FR"/>
        </w:rPr>
        <w:t>1</w:t>
      </w:r>
      <w:r w:rsidR="00DF7AA4" w:rsidRPr="00DF7AA4">
        <w:rPr>
          <w:bCs/>
          <w:lang w:val="fr-FR"/>
        </w:rPr>
        <w:t>.</w:t>
      </w:r>
      <w:r w:rsidRPr="00AB4DCC">
        <w:rPr>
          <w:lang w:val="fr-FR"/>
        </w:rPr>
        <w:tab/>
      </w:r>
      <w:r w:rsidRPr="00AB4DCC">
        <w:rPr>
          <w:bCs/>
          <w:lang w:val="fr-FR"/>
        </w:rPr>
        <w:t>Domaine d</w:t>
      </w:r>
      <w:r>
        <w:rPr>
          <w:bCs/>
          <w:lang w:val="fr-FR"/>
        </w:rPr>
        <w:t>’</w:t>
      </w:r>
      <w:r w:rsidRPr="00AB4DCC">
        <w:rPr>
          <w:bCs/>
          <w:lang w:val="fr-FR"/>
        </w:rPr>
        <w:t>application</w:t>
      </w:r>
    </w:p>
    <w:p w14:paraId="5E0986E1" w14:textId="24148757" w:rsidR="00EE432D" w:rsidRPr="00AB4DCC" w:rsidRDefault="00EE432D" w:rsidP="006F5732">
      <w:pPr>
        <w:pStyle w:val="SingleTxtG"/>
        <w:tabs>
          <w:tab w:val="clear" w:pos="1701"/>
        </w:tabs>
        <w:ind w:left="2268" w:hanging="1134"/>
        <w:rPr>
          <w:bCs/>
          <w:color w:val="000000" w:themeColor="text1"/>
          <w:lang w:val="fr-FR"/>
        </w:rPr>
      </w:pPr>
      <w:r w:rsidRPr="00AB4DCC">
        <w:rPr>
          <w:lang w:val="fr-FR"/>
        </w:rPr>
        <w:t>1</w:t>
      </w:r>
      <w:r w:rsidR="00DF7AA4" w:rsidRPr="00DF7AA4">
        <w:rPr>
          <w:lang w:val="fr-FR"/>
        </w:rPr>
        <w:t>.</w:t>
      </w:r>
      <w:r w:rsidRPr="00AB4DCC">
        <w:rPr>
          <w:lang w:val="fr-FR"/>
        </w:rPr>
        <w:t>1</w:t>
      </w:r>
      <w:r w:rsidRPr="00AB4DCC">
        <w:rPr>
          <w:lang w:val="fr-FR"/>
        </w:rPr>
        <w:tab/>
        <w:t>Le présent Règlement ONU s</w:t>
      </w:r>
      <w:r>
        <w:rPr>
          <w:lang w:val="fr-FR"/>
        </w:rPr>
        <w:t>’</w:t>
      </w:r>
      <w:r w:rsidRPr="00AB4DCC">
        <w:rPr>
          <w:lang w:val="fr-FR"/>
        </w:rPr>
        <w:t>applique à l</w:t>
      </w:r>
      <w:r>
        <w:rPr>
          <w:lang w:val="fr-FR"/>
        </w:rPr>
        <w:t>’</w:t>
      </w:r>
      <w:r w:rsidRPr="00AB4DCC">
        <w:rPr>
          <w:lang w:val="fr-FR"/>
        </w:rPr>
        <w:t>homologation de type des véhicules de la catégorie M</w:t>
      </w:r>
      <w:r w:rsidRPr="00AB4DCC">
        <w:rPr>
          <w:vertAlign w:val="subscript"/>
          <w:lang w:val="fr-FR"/>
        </w:rPr>
        <w:t>1</w:t>
      </w:r>
      <w:r w:rsidRPr="004B1B5A">
        <w:rPr>
          <w:rStyle w:val="Appelnotedebasdep"/>
        </w:rPr>
        <w:footnoteReference w:id="3"/>
      </w:r>
      <w:r w:rsidRPr="00AB4DCC">
        <w:rPr>
          <w:lang w:val="fr-FR"/>
        </w:rPr>
        <w:t xml:space="preserve"> équipés d</w:t>
      </w:r>
      <w:r>
        <w:rPr>
          <w:lang w:val="fr-FR"/>
        </w:rPr>
        <w:t>’</w:t>
      </w:r>
      <w:r w:rsidRPr="00AB4DCC">
        <w:rPr>
          <w:lang w:val="fr-FR"/>
        </w:rPr>
        <w:t>une boîte de vitesses automatique en ce qui concerne leur système de contrôle de l</w:t>
      </w:r>
      <w:r>
        <w:rPr>
          <w:lang w:val="fr-FR"/>
        </w:rPr>
        <w:t>’</w:t>
      </w:r>
      <w:r w:rsidRPr="00AB4DCC">
        <w:rPr>
          <w:lang w:val="fr-FR"/>
        </w:rPr>
        <w:t>accélération en cas d</w:t>
      </w:r>
      <w:r>
        <w:rPr>
          <w:lang w:val="fr-FR"/>
        </w:rPr>
        <w:t>’</w:t>
      </w:r>
      <w:r w:rsidRPr="00AB4DCC">
        <w:rPr>
          <w:lang w:val="fr-FR"/>
        </w:rPr>
        <w:t>erreur de pédale (ACPE)</w:t>
      </w:r>
      <w:r w:rsidR="00DF7AA4" w:rsidRPr="00DF7AA4">
        <w:rPr>
          <w:lang w:val="fr-FR"/>
        </w:rPr>
        <w:t>.</w:t>
      </w:r>
    </w:p>
    <w:p w14:paraId="2E885DDA" w14:textId="75E65501" w:rsidR="00EE432D" w:rsidRPr="00AB4DCC" w:rsidRDefault="00EE432D" w:rsidP="006F5732">
      <w:pPr>
        <w:pStyle w:val="SingleTxtG"/>
        <w:tabs>
          <w:tab w:val="clear" w:pos="1701"/>
        </w:tabs>
        <w:ind w:left="2268" w:hanging="1134"/>
        <w:rPr>
          <w:bCs/>
          <w:lang w:val="fr-FR"/>
        </w:rPr>
      </w:pPr>
      <w:r w:rsidRPr="00AB4DCC">
        <w:rPr>
          <w:lang w:val="fr-FR"/>
        </w:rPr>
        <w:t>1</w:t>
      </w:r>
      <w:r w:rsidR="00DF7AA4" w:rsidRPr="00DF7AA4">
        <w:rPr>
          <w:lang w:val="fr-FR"/>
        </w:rPr>
        <w:t>.</w:t>
      </w:r>
      <w:r w:rsidRPr="00AB4DCC">
        <w:rPr>
          <w:lang w:val="fr-FR"/>
        </w:rPr>
        <w:t>2</w:t>
      </w:r>
      <w:r w:rsidRPr="00AB4DCC">
        <w:rPr>
          <w:lang w:val="fr-FR"/>
        </w:rPr>
        <w:tab/>
        <w:t>À la demande du constructeur, des véhicules d</w:t>
      </w:r>
      <w:r>
        <w:rPr>
          <w:lang w:val="fr-FR"/>
        </w:rPr>
        <w:t>’</w:t>
      </w:r>
      <w:r w:rsidRPr="00AB4DCC">
        <w:rPr>
          <w:lang w:val="fr-FR"/>
        </w:rPr>
        <w:t xml:space="preserve">autres catégories peuvent être homologués </w:t>
      </w:r>
      <w:r>
        <w:rPr>
          <w:lang w:val="fr-FR"/>
        </w:rPr>
        <w:t>au titre</w:t>
      </w:r>
      <w:r w:rsidRPr="00AB4DCC">
        <w:rPr>
          <w:lang w:val="fr-FR"/>
        </w:rPr>
        <w:t xml:space="preserve"> du présent Règlement</w:t>
      </w:r>
      <w:r w:rsidR="00DF7AA4" w:rsidRPr="00DF7AA4">
        <w:rPr>
          <w:lang w:val="fr-FR"/>
        </w:rPr>
        <w:t>.</w:t>
      </w:r>
    </w:p>
    <w:p w14:paraId="40852E31" w14:textId="4B09A243" w:rsidR="00EE432D" w:rsidRPr="00AB4DCC" w:rsidRDefault="00EE432D" w:rsidP="006F5732">
      <w:pPr>
        <w:pStyle w:val="SingleTxtG"/>
        <w:tabs>
          <w:tab w:val="clear" w:pos="1701"/>
        </w:tabs>
        <w:ind w:left="2268" w:hanging="1134"/>
        <w:rPr>
          <w:bCs/>
          <w:lang w:val="fr-FR"/>
        </w:rPr>
      </w:pPr>
      <w:r w:rsidRPr="00AB4DCC">
        <w:rPr>
          <w:lang w:val="fr-FR"/>
        </w:rPr>
        <w:t>1</w:t>
      </w:r>
      <w:r w:rsidR="00DF7AA4" w:rsidRPr="00DF7AA4">
        <w:rPr>
          <w:lang w:val="fr-FR"/>
        </w:rPr>
        <w:t>.</w:t>
      </w:r>
      <w:r w:rsidRPr="00AB4DCC">
        <w:rPr>
          <w:lang w:val="fr-FR"/>
        </w:rPr>
        <w:t>3</w:t>
      </w:r>
      <w:r w:rsidRPr="00AB4DCC">
        <w:rPr>
          <w:lang w:val="fr-FR"/>
        </w:rPr>
        <w:tab/>
        <w:t>Les véhicules pour lesquels l</w:t>
      </w:r>
      <w:r>
        <w:rPr>
          <w:lang w:val="fr-FR"/>
        </w:rPr>
        <w:t>’</w:t>
      </w:r>
      <w:r w:rsidRPr="00AB4DCC">
        <w:rPr>
          <w:lang w:val="fr-FR"/>
        </w:rPr>
        <w:t>installation de dispositifs de détection frontale ou arrière serait incompatible avec leur utilisation sur route peuvent être dispensés des prescriptions pertinentes (marche avant ou arrière) du présent Règlement, sous réserve de la décision de l</w:t>
      </w:r>
      <w:r>
        <w:rPr>
          <w:lang w:val="fr-FR"/>
        </w:rPr>
        <w:t>’</w:t>
      </w:r>
      <w:r w:rsidRPr="00AB4DCC">
        <w:rPr>
          <w:lang w:val="fr-FR"/>
        </w:rPr>
        <w:t>autorité d</w:t>
      </w:r>
      <w:r>
        <w:rPr>
          <w:lang w:val="fr-FR"/>
        </w:rPr>
        <w:t>’</w:t>
      </w:r>
      <w:r w:rsidRPr="00AB4DCC">
        <w:rPr>
          <w:lang w:val="fr-FR"/>
        </w:rPr>
        <w:t>homologation de type</w:t>
      </w:r>
      <w:r w:rsidR="00DF7AA4" w:rsidRPr="00DF7AA4">
        <w:rPr>
          <w:lang w:val="fr-FR"/>
        </w:rPr>
        <w:t>.</w:t>
      </w:r>
    </w:p>
    <w:p w14:paraId="5049D7E7" w14:textId="409437C9" w:rsidR="00EE432D" w:rsidRPr="00AB4DCC" w:rsidRDefault="00EE432D" w:rsidP="00EE432D">
      <w:pPr>
        <w:pStyle w:val="HChG"/>
        <w:tabs>
          <w:tab w:val="clear" w:pos="851"/>
        </w:tabs>
        <w:spacing w:before="0" w:after="120" w:line="240" w:lineRule="auto"/>
        <w:ind w:left="2268"/>
        <w:rPr>
          <w:lang w:val="fr-FR"/>
        </w:rPr>
      </w:pPr>
      <w:r w:rsidRPr="00AB4DCC">
        <w:rPr>
          <w:bCs/>
          <w:lang w:val="fr-FR"/>
        </w:rPr>
        <w:t>2</w:t>
      </w:r>
      <w:r w:rsidR="00DF7AA4" w:rsidRPr="00DF7AA4">
        <w:rPr>
          <w:bCs/>
          <w:lang w:val="fr-FR"/>
        </w:rPr>
        <w:t>.</w:t>
      </w:r>
      <w:r w:rsidRPr="00AB4DCC">
        <w:rPr>
          <w:lang w:val="fr-FR"/>
        </w:rPr>
        <w:tab/>
      </w:r>
      <w:r w:rsidRPr="00AB4DCC">
        <w:rPr>
          <w:bCs/>
          <w:lang w:val="fr-FR"/>
        </w:rPr>
        <w:t>Définitions</w:t>
      </w:r>
    </w:p>
    <w:p w14:paraId="3BECAB69" w14:textId="77777777" w:rsidR="00EE432D" w:rsidRPr="00AB4DCC" w:rsidRDefault="00EE432D" w:rsidP="00EE432D">
      <w:pPr>
        <w:pStyle w:val="SingleTxtG"/>
        <w:ind w:left="2268"/>
        <w:rPr>
          <w:bCs/>
          <w:lang w:val="fr-FR"/>
        </w:rPr>
      </w:pPr>
      <w:r w:rsidRPr="00AB4DCC">
        <w:rPr>
          <w:lang w:val="fr-FR"/>
        </w:rPr>
        <w:t>Aux fins du présent Règlement, on entend par</w:t>
      </w:r>
      <w:r>
        <w:rPr>
          <w:lang w:val="fr-FR"/>
        </w:rPr>
        <w:t> :</w:t>
      </w:r>
    </w:p>
    <w:p w14:paraId="0178A39B" w14:textId="02358BE3" w:rsidR="00EE432D" w:rsidRPr="00AB4DCC" w:rsidRDefault="00EE432D" w:rsidP="006F5732">
      <w:pPr>
        <w:pStyle w:val="SingleTxtG"/>
        <w:tabs>
          <w:tab w:val="clear" w:pos="1701"/>
        </w:tabs>
        <w:ind w:left="2268" w:hanging="1134"/>
        <w:rPr>
          <w:bCs/>
          <w:lang w:val="fr-FR"/>
        </w:rPr>
      </w:pPr>
      <w:r w:rsidRPr="00AB4DCC">
        <w:rPr>
          <w:lang w:val="fr-FR"/>
        </w:rPr>
        <w:t>2</w:t>
      </w:r>
      <w:r w:rsidR="00DF7AA4" w:rsidRPr="00DF7AA4">
        <w:rPr>
          <w:lang w:val="fr-FR"/>
        </w:rPr>
        <w:t>.</w:t>
      </w:r>
      <w:r w:rsidRPr="00AB4DCC">
        <w:rPr>
          <w:lang w:val="fr-FR"/>
        </w:rPr>
        <w:t>1</w:t>
      </w:r>
      <w:r w:rsidRPr="00AB4DCC">
        <w:rPr>
          <w:lang w:val="fr-FR"/>
        </w:rPr>
        <w:tab/>
        <w:t>«</w:t>
      </w:r>
      <w:r>
        <w:rPr>
          <w:lang w:val="fr-FR"/>
        </w:rPr>
        <w:t> </w:t>
      </w:r>
      <w:r w:rsidRPr="00AB4DCC">
        <w:rPr>
          <w:i/>
          <w:iCs/>
          <w:lang w:val="fr-FR"/>
        </w:rPr>
        <w:t>Système de contrôle de l</w:t>
      </w:r>
      <w:r>
        <w:rPr>
          <w:i/>
          <w:iCs/>
          <w:lang w:val="fr-FR"/>
        </w:rPr>
        <w:t>’</w:t>
      </w:r>
      <w:r w:rsidRPr="00AB4DCC">
        <w:rPr>
          <w:i/>
          <w:iCs/>
          <w:lang w:val="fr-FR"/>
        </w:rPr>
        <w:t>accélération en cas d</w:t>
      </w:r>
      <w:r>
        <w:rPr>
          <w:i/>
          <w:iCs/>
          <w:lang w:val="fr-FR"/>
        </w:rPr>
        <w:t>’</w:t>
      </w:r>
      <w:r w:rsidRPr="00AB4DCC">
        <w:rPr>
          <w:i/>
          <w:iCs/>
          <w:lang w:val="fr-FR"/>
        </w:rPr>
        <w:t>erreur de pédale</w:t>
      </w:r>
      <w:r>
        <w:rPr>
          <w:i/>
          <w:iCs/>
          <w:lang w:val="fr-FR"/>
        </w:rPr>
        <w:t xml:space="preserve"> </w:t>
      </w:r>
      <w:r w:rsidRPr="00AB4DCC">
        <w:rPr>
          <w:i/>
          <w:iCs/>
          <w:lang w:val="fr-FR"/>
        </w:rPr>
        <w:t>(système ACPE)</w:t>
      </w:r>
      <w:r>
        <w:rPr>
          <w:lang w:val="fr-FR"/>
        </w:rPr>
        <w:t> </w:t>
      </w:r>
      <w:r w:rsidRPr="00AB4DCC">
        <w:rPr>
          <w:lang w:val="fr-FR"/>
        </w:rPr>
        <w:t>», un système permettant de détecter une mauvaise utilisation de la commande d</w:t>
      </w:r>
      <w:r>
        <w:rPr>
          <w:lang w:val="fr-FR"/>
        </w:rPr>
        <w:t>’</w:t>
      </w:r>
      <w:r w:rsidRPr="00AB4DCC">
        <w:rPr>
          <w:lang w:val="fr-FR"/>
        </w:rPr>
        <w:t>accélérateur par le conducteur et de contrôler l</w:t>
      </w:r>
      <w:r>
        <w:rPr>
          <w:lang w:val="fr-FR"/>
        </w:rPr>
        <w:t>’</w:t>
      </w:r>
      <w:r w:rsidRPr="00AB4DCC">
        <w:rPr>
          <w:lang w:val="fr-FR"/>
        </w:rPr>
        <w:t>accélération involontaire</w:t>
      </w:r>
      <w:r>
        <w:rPr>
          <w:lang w:val="fr-FR"/>
        </w:rPr>
        <w:t> ;</w:t>
      </w:r>
    </w:p>
    <w:p w14:paraId="0C29173A" w14:textId="60FFC41D" w:rsidR="00EE432D" w:rsidRPr="00AB4DCC" w:rsidRDefault="00EE432D" w:rsidP="006F5732">
      <w:pPr>
        <w:pStyle w:val="SingleTxtG"/>
        <w:tabs>
          <w:tab w:val="clear" w:pos="1701"/>
        </w:tabs>
        <w:ind w:left="2268" w:hanging="1134"/>
        <w:rPr>
          <w:bCs/>
          <w:lang w:val="fr-FR"/>
        </w:rPr>
      </w:pPr>
      <w:r w:rsidRPr="00AB4DCC">
        <w:rPr>
          <w:lang w:val="fr-FR"/>
        </w:rPr>
        <w:t>2</w:t>
      </w:r>
      <w:r w:rsidR="00DF7AA4" w:rsidRPr="00DF7AA4">
        <w:rPr>
          <w:lang w:val="fr-FR"/>
        </w:rPr>
        <w:t>.</w:t>
      </w:r>
      <w:r w:rsidRPr="00AB4DCC">
        <w:rPr>
          <w:lang w:val="fr-FR"/>
        </w:rPr>
        <w:t>2</w:t>
      </w:r>
      <w:r w:rsidRPr="00AB4DCC">
        <w:rPr>
          <w:lang w:val="fr-FR"/>
        </w:rPr>
        <w:tab/>
        <w:t>«</w:t>
      </w:r>
      <w:r>
        <w:rPr>
          <w:lang w:val="fr-FR"/>
        </w:rPr>
        <w:t> </w:t>
      </w:r>
      <w:r w:rsidRPr="00AB4DCC">
        <w:rPr>
          <w:i/>
          <w:iCs/>
          <w:lang w:val="fr-FR"/>
        </w:rPr>
        <w:t>Type de véhicule en ce qui concerne son système ACPE</w:t>
      </w:r>
      <w:r>
        <w:rPr>
          <w:lang w:val="fr-FR"/>
        </w:rPr>
        <w:t> </w:t>
      </w:r>
      <w:r w:rsidRPr="00AB4DCC">
        <w:rPr>
          <w:lang w:val="fr-FR"/>
        </w:rPr>
        <w:t>», une catégorie de véhicules qui ne diffèrent pas quant à des aspects essentiels tels que</w:t>
      </w:r>
      <w:r>
        <w:rPr>
          <w:lang w:val="fr-FR"/>
        </w:rPr>
        <w:t> :</w:t>
      </w:r>
    </w:p>
    <w:p w14:paraId="1F6CBC1A" w14:textId="77777777" w:rsidR="00EE432D" w:rsidRPr="00AB4DCC" w:rsidRDefault="00EE432D" w:rsidP="00EE432D">
      <w:pPr>
        <w:pStyle w:val="SingleTxtG"/>
        <w:ind w:left="2835" w:hanging="567"/>
        <w:rPr>
          <w:bCs/>
          <w:lang w:val="fr-FR"/>
        </w:rPr>
      </w:pPr>
      <w:r w:rsidRPr="00AB4DCC">
        <w:rPr>
          <w:lang w:val="fr-FR"/>
        </w:rPr>
        <w:t>a)</w:t>
      </w:r>
      <w:r w:rsidRPr="00AB4DCC">
        <w:rPr>
          <w:lang w:val="fr-FR"/>
        </w:rPr>
        <w:tab/>
        <w:t>Les caractéristiques du véhicule qui influent sensiblement sur le fonctionnement du système ACPE</w:t>
      </w:r>
      <w:r>
        <w:rPr>
          <w:lang w:val="fr-FR"/>
        </w:rPr>
        <w:t> ;</w:t>
      </w:r>
    </w:p>
    <w:p w14:paraId="297900FC" w14:textId="77777777" w:rsidR="00EE432D" w:rsidRPr="00AB4DCC" w:rsidRDefault="00EE432D" w:rsidP="00EE432D">
      <w:pPr>
        <w:pStyle w:val="SingleTxtG"/>
        <w:ind w:left="2835" w:hanging="567"/>
        <w:rPr>
          <w:bCs/>
          <w:lang w:val="fr-FR"/>
        </w:rPr>
      </w:pPr>
      <w:r w:rsidRPr="00AB4DCC">
        <w:rPr>
          <w:lang w:val="fr-FR"/>
        </w:rPr>
        <w:t>b)</w:t>
      </w:r>
      <w:r w:rsidRPr="00AB4DCC">
        <w:rPr>
          <w:lang w:val="fr-FR"/>
        </w:rPr>
        <w:tab/>
        <w:t>Le type et le modèle du système ACPE</w:t>
      </w:r>
      <w:r>
        <w:rPr>
          <w:lang w:val="fr-FR"/>
        </w:rPr>
        <w:t> ;</w:t>
      </w:r>
    </w:p>
    <w:p w14:paraId="222782FA" w14:textId="39C09AB7" w:rsidR="00EE432D" w:rsidRPr="00AB4DCC" w:rsidRDefault="00EE432D" w:rsidP="006F5732">
      <w:pPr>
        <w:pStyle w:val="SingleTxtG"/>
        <w:tabs>
          <w:tab w:val="clear" w:pos="1701"/>
        </w:tabs>
        <w:ind w:left="2268" w:hanging="1134"/>
        <w:rPr>
          <w:bCs/>
          <w:lang w:val="fr-FR"/>
        </w:rPr>
      </w:pPr>
      <w:r w:rsidRPr="00AB4DCC">
        <w:rPr>
          <w:lang w:val="fr-FR"/>
        </w:rPr>
        <w:t>2</w:t>
      </w:r>
      <w:r w:rsidR="00DF7AA4" w:rsidRPr="00DF7AA4">
        <w:rPr>
          <w:lang w:val="fr-FR"/>
        </w:rPr>
        <w:t>.</w:t>
      </w:r>
      <w:r w:rsidRPr="00AB4DCC">
        <w:rPr>
          <w:lang w:val="fr-FR"/>
        </w:rPr>
        <w:t>3</w:t>
      </w:r>
      <w:r w:rsidRPr="00AB4DCC">
        <w:rPr>
          <w:lang w:val="fr-FR"/>
        </w:rPr>
        <w:tab/>
        <w:t>«</w:t>
      </w:r>
      <w:r>
        <w:rPr>
          <w:lang w:val="fr-FR"/>
        </w:rPr>
        <w:t> </w:t>
      </w:r>
      <w:r w:rsidRPr="00AB4DCC">
        <w:rPr>
          <w:i/>
          <w:iCs/>
          <w:lang w:val="fr-FR"/>
        </w:rPr>
        <w:t>Espace d</w:t>
      </w:r>
      <w:r>
        <w:rPr>
          <w:i/>
          <w:iCs/>
          <w:lang w:val="fr-FR"/>
        </w:rPr>
        <w:t>’</w:t>
      </w:r>
      <w:r w:rsidRPr="00AB4DCC">
        <w:rPr>
          <w:i/>
          <w:iCs/>
          <w:lang w:val="fr-FR"/>
        </w:rPr>
        <w:t>affichage commun</w:t>
      </w:r>
      <w:r>
        <w:rPr>
          <w:lang w:val="fr-FR"/>
        </w:rPr>
        <w:t> </w:t>
      </w:r>
      <w:r w:rsidRPr="00AB4DCC">
        <w:rPr>
          <w:lang w:val="fr-FR"/>
        </w:rPr>
        <w:t>», une zone où deux fonctions d</w:t>
      </w:r>
      <w:r>
        <w:rPr>
          <w:lang w:val="fr-FR"/>
        </w:rPr>
        <w:t>’</w:t>
      </w:r>
      <w:r w:rsidRPr="00AB4DCC">
        <w:rPr>
          <w:lang w:val="fr-FR"/>
        </w:rPr>
        <w:t>information ou plus (par exemple, un symbole) peuvent être affichées mais pas simultanément</w:t>
      </w:r>
      <w:r>
        <w:rPr>
          <w:lang w:val="fr-FR"/>
        </w:rPr>
        <w:t> ;</w:t>
      </w:r>
    </w:p>
    <w:p w14:paraId="60D86E39" w14:textId="6279B9ED" w:rsidR="00EE432D" w:rsidRPr="00AB4DCC" w:rsidRDefault="00EE432D" w:rsidP="006F5732">
      <w:pPr>
        <w:pStyle w:val="SingleTxtG"/>
        <w:tabs>
          <w:tab w:val="clear" w:pos="1701"/>
        </w:tabs>
        <w:ind w:left="2268" w:hanging="1134"/>
        <w:rPr>
          <w:lang w:val="fr-FR"/>
        </w:rPr>
      </w:pPr>
      <w:r w:rsidRPr="00AB4DCC">
        <w:rPr>
          <w:lang w:val="fr-FR"/>
        </w:rPr>
        <w:t>2</w:t>
      </w:r>
      <w:r w:rsidR="00DF7AA4" w:rsidRPr="00DF7AA4">
        <w:rPr>
          <w:lang w:val="fr-FR"/>
        </w:rPr>
        <w:t>.</w:t>
      </w:r>
      <w:r w:rsidRPr="00AB4DCC">
        <w:rPr>
          <w:lang w:val="fr-FR"/>
        </w:rPr>
        <w:t>4</w:t>
      </w:r>
      <w:r w:rsidRPr="00AB4DCC">
        <w:rPr>
          <w:lang w:val="fr-FR"/>
        </w:rPr>
        <w:tab/>
        <w:t>«</w:t>
      </w:r>
      <w:r>
        <w:rPr>
          <w:lang w:val="fr-FR"/>
        </w:rPr>
        <w:t> </w:t>
      </w:r>
      <w:r w:rsidRPr="00AB4DCC">
        <w:rPr>
          <w:i/>
          <w:iCs/>
          <w:lang w:val="fr-FR"/>
        </w:rPr>
        <w:t>Route sèche offrant une bonne adhérence</w:t>
      </w:r>
      <w:r>
        <w:rPr>
          <w:lang w:val="fr-FR"/>
        </w:rPr>
        <w:t> </w:t>
      </w:r>
      <w:r w:rsidRPr="00AB4DCC">
        <w:rPr>
          <w:lang w:val="fr-FR"/>
        </w:rPr>
        <w:t>», une route ayant un coefficient de freinage maximal nominal (CFM) qui permet</w:t>
      </w:r>
      <w:r>
        <w:rPr>
          <w:lang w:val="fr-FR"/>
        </w:rPr>
        <w:t> :</w:t>
      </w:r>
    </w:p>
    <w:p w14:paraId="6A096825" w14:textId="77777777" w:rsidR="00EE432D" w:rsidRPr="00AB4DCC" w:rsidRDefault="00EE432D" w:rsidP="00EE432D">
      <w:pPr>
        <w:pStyle w:val="SingleTxtG"/>
        <w:ind w:left="2835" w:hanging="567"/>
        <w:rPr>
          <w:bCs/>
          <w:lang w:val="fr-FR"/>
        </w:rPr>
      </w:pPr>
      <w:r w:rsidRPr="00AB4DCC">
        <w:rPr>
          <w:lang w:val="fr-FR"/>
        </w:rPr>
        <w:t>a)</w:t>
      </w:r>
      <w:r w:rsidRPr="00AB4DCC">
        <w:rPr>
          <w:lang w:val="fr-FR"/>
        </w:rPr>
        <w:tab/>
        <w:t>Une décélération moyenne en régime d</w:t>
      </w:r>
      <w:r>
        <w:rPr>
          <w:lang w:val="fr-FR"/>
        </w:rPr>
        <w:t>’</w:t>
      </w:r>
      <w:r w:rsidRPr="00AB4DCC">
        <w:rPr>
          <w:lang w:val="fr-FR"/>
        </w:rPr>
        <w:t>au moins 9 m/s</w:t>
      </w:r>
      <w:r w:rsidRPr="00AB4DCC">
        <w:rPr>
          <w:vertAlign w:val="superscript"/>
          <w:lang w:val="fr-FR"/>
        </w:rPr>
        <w:t>2</w:t>
      </w:r>
      <w:r>
        <w:rPr>
          <w:lang w:val="fr-FR"/>
        </w:rPr>
        <w:t> ;</w:t>
      </w:r>
      <w:r w:rsidRPr="00AB4DCC">
        <w:rPr>
          <w:lang w:val="fr-FR"/>
        </w:rPr>
        <w:t xml:space="preserve"> ou</w:t>
      </w:r>
    </w:p>
    <w:p w14:paraId="05ED371A" w14:textId="77777777" w:rsidR="00EE432D" w:rsidRPr="00AB4DCC" w:rsidRDefault="00EE432D" w:rsidP="006F5732">
      <w:pPr>
        <w:pStyle w:val="SingleTxtG"/>
        <w:keepNext/>
        <w:ind w:left="2835" w:hanging="567"/>
        <w:rPr>
          <w:bCs/>
          <w:lang w:val="fr-FR"/>
        </w:rPr>
      </w:pPr>
      <w:r w:rsidRPr="00AB4DCC">
        <w:rPr>
          <w:lang w:val="fr-FR"/>
        </w:rPr>
        <w:lastRenderedPageBreak/>
        <w:t>b)</w:t>
      </w:r>
      <w:r w:rsidRPr="00AB4DCC">
        <w:rPr>
          <w:lang w:val="fr-FR"/>
        </w:rPr>
        <w:tab/>
        <w:t>La décélération maximale nominale du véhicule concerné</w:t>
      </w:r>
      <w:r>
        <w:rPr>
          <w:lang w:val="fr-FR"/>
        </w:rPr>
        <w:t> ;</w:t>
      </w:r>
    </w:p>
    <w:p w14:paraId="786783E2" w14:textId="77777777" w:rsidR="00EE432D" w:rsidRPr="00AB4DCC" w:rsidRDefault="00EE432D" w:rsidP="00EE432D">
      <w:pPr>
        <w:pStyle w:val="SingleTxtG"/>
        <w:ind w:left="2835" w:hanging="567"/>
        <w:rPr>
          <w:bCs/>
          <w:lang w:val="fr-FR"/>
        </w:rPr>
      </w:pPr>
      <w:r w:rsidRPr="00AB4DCC">
        <w:rPr>
          <w:lang w:val="fr-FR"/>
        </w:rPr>
        <w:t>la plus faible des deux valeurs étant retenue</w:t>
      </w:r>
      <w:r>
        <w:rPr>
          <w:lang w:val="fr-FR"/>
        </w:rPr>
        <w:t> ;</w:t>
      </w:r>
    </w:p>
    <w:p w14:paraId="363B7215" w14:textId="61C8BB10" w:rsidR="00EE432D" w:rsidRPr="00AB4DCC" w:rsidRDefault="00EE432D" w:rsidP="006F5732">
      <w:pPr>
        <w:pStyle w:val="SingleTxtG"/>
        <w:tabs>
          <w:tab w:val="clear" w:pos="1701"/>
        </w:tabs>
        <w:ind w:left="2268" w:hanging="1134"/>
        <w:rPr>
          <w:bCs/>
          <w:lang w:val="fr-FR"/>
        </w:rPr>
      </w:pPr>
      <w:r w:rsidRPr="00AB4DCC">
        <w:rPr>
          <w:lang w:val="fr-FR"/>
        </w:rPr>
        <w:t>2</w:t>
      </w:r>
      <w:r w:rsidR="00DF7AA4" w:rsidRPr="00DF7AA4">
        <w:rPr>
          <w:lang w:val="fr-FR"/>
        </w:rPr>
        <w:t>.</w:t>
      </w:r>
      <w:r w:rsidRPr="00AB4DCC">
        <w:rPr>
          <w:lang w:val="fr-FR"/>
        </w:rPr>
        <w:t>5</w:t>
      </w:r>
      <w:r w:rsidRPr="00AB4DCC">
        <w:rPr>
          <w:lang w:val="fr-FR"/>
        </w:rPr>
        <w:tab/>
        <w:t>«</w:t>
      </w:r>
      <w:r>
        <w:rPr>
          <w:lang w:val="fr-FR"/>
        </w:rPr>
        <w:t> </w:t>
      </w:r>
      <w:r w:rsidRPr="00AB4DCC">
        <w:rPr>
          <w:i/>
          <w:iCs/>
          <w:lang w:val="fr-FR"/>
        </w:rPr>
        <w:t>Coefficient de freinage maximal nominal (CFM)</w:t>
      </w:r>
      <w:r>
        <w:rPr>
          <w:lang w:val="fr-FR"/>
        </w:rPr>
        <w:t> </w:t>
      </w:r>
      <w:r w:rsidRPr="00AB4DCC">
        <w:rPr>
          <w:lang w:val="fr-FR"/>
        </w:rPr>
        <w:t>», un coefficient de frottement de la surface de la route de</w:t>
      </w:r>
      <w:r>
        <w:rPr>
          <w:lang w:val="fr-FR"/>
        </w:rPr>
        <w:t> :</w:t>
      </w:r>
    </w:p>
    <w:p w14:paraId="21946892" w14:textId="77777777" w:rsidR="00EE432D" w:rsidRPr="005D36EF" w:rsidRDefault="00EE432D" w:rsidP="00EE432D">
      <w:pPr>
        <w:pStyle w:val="SingleTxtG"/>
        <w:ind w:left="2835" w:hanging="567"/>
        <w:rPr>
          <w:bCs/>
          <w:spacing w:val="-1"/>
          <w:lang w:val="fr-FR"/>
        </w:rPr>
      </w:pPr>
      <w:r w:rsidRPr="005D36EF">
        <w:rPr>
          <w:spacing w:val="-1"/>
          <w:lang w:val="fr-FR"/>
        </w:rPr>
        <w:t>a)</w:t>
      </w:r>
      <w:r w:rsidRPr="005D36EF">
        <w:rPr>
          <w:spacing w:val="-1"/>
          <w:lang w:val="fr-FR"/>
        </w:rPr>
        <w:tab/>
        <w:t>0,9 si l</w:t>
      </w:r>
      <w:r>
        <w:rPr>
          <w:spacing w:val="-1"/>
          <w:lang w:val="fr-FR"/>
        </w:rPr>
        <w:t>’</w:t>
      </w:r>
      <w:r w:rsidRPr="005D36EF">
        <w:rPr>
          <w:spacing w:val="-1"/>
          <w:lang w:val="fr-FR"/>
        </w:rPr>
        <w:t>on utilise le pneumatique d</w:t>
      </w:r>
      <w:r>
        <w:rPr>
          <w:spacing w:val="-1"/>
          <w:lang w:val="fr-FR"/>
        </w:rPr>
        <w:t>’</w:t>
      </w:r>
      <w:r w:rsidRPr="005D36EF">
        <w:rPr>
          <w:spacing w:val="-1"/>
          <w:lang w:val="fr-FR"/>
        </w:rPr>
        <w:t>essai de référence normalisé E1136</w:t>
      </w:r>
      <w:r w:rsidRPr="005D36EF">
        <w:rPr>
          <w:spacing w:val="-1"/>
          <w:lang w:val="fr-FR"/>
        </w:rPr>
        <w:noBreakHyphen/>
        <w:t>19 de l</w:t>
      </w:r>
      <w:r>
        <w:rPr>
          <w:spacing w:val="-1"/>
          <w:lang w:val="fr-FR"/>
        </w:rPr>
        <w:t>’</w:t>
      </w:r>
      <w:r w:rsidRPr="004B1B5A">
        <w:rPr>
          <w:spacing w:val="-1"/>
        </w:rPr>
        <w:t xml:space="preserve">American Society for </w:t>
      </w:r>
      <w:proofErr w:type="spellStart"/>
      <w:r w:rsidRPr="004B1B5A">
        <w:rPr>
          <w:spacing w:val="-1"/>
        </w:rPr>
        <w:t>Testing</w:t>
      </w:r>
      <w:proofErr w:type="spellEnd"/>
      <w:r w:rsidRPr="004B1B5A">
        <w:rPr>
          <w:spacing w:val="-1"/>
        </w:rPr>
        <w:t xml:space="preserve"> and Materials</w:t>
      </w:r>
      <w:r w:rsidRPr="005D36EF">
        <w:rPr>
          <w:spacing w:val="-1"/>
          <w:lang w:val="fr-FR"/>
        </w:rPr>
        <w:t xml:space="preserve"> (ASTM), conformément à la méthode ASTM E1337-19, à une vitesse de 40 </w:t>
      </w:r>
      <w:proofErr w:type="spellStart"/>
      <w:r w:rsidRPr="005D36EF">
        <w:rPr>
          <w:spacing w:val="-1"/>
          <w:lang w:val="fr-FR"/>
        </w:rPr>
        <w:t>mph</w:t>
      </w:r>
      <w:proofErr w:type="spellEnd"/>
      <w:r w:rsidRPr="005D36EF">
        <w:rPr>
          <w:spacing w:val="-1"/>
          <w:lang w:val="fr-FR"/>
        </w:rPr>
        <w:t> ;</w:t>
      </w:r>
    </w:p>
    <w:p w14:paraId="557C73D1" w14:textId="77777777" w:rsidR="00EE432D" w:rsidRPr="00AB4DCC" w:rsidRDefault="00EE432D" w:rsidP="00EE432D">
      <w:pPr>
        <w:pStyle w:val="SingleTxtG"/>
        <w:keepNext/>
        <w:ind w:left="2835" w:hanging="567"/>
        <w:rPr>
          <w:bCs/>
          <w:lang w:val="fr-FR"/>
        </w:rPr>
      </w:pPr>
      <w:r w:rsidRPr="00AB4DCC">
        <w:rPr>
          <w:lang w:val="fr-FR"/>
        </w:rPr>
        <w:t>b)</w:t>
      </w:r>
      <w:r w:rsidRPr="00AB4DCC">
        <w:rPr>
          <w:lang w:val="fr-FR"/>
        </w:rPr>
        <w:tab/>
        <w:t>1,017 si l</w:t>
      </w:r>
      <w:r>
        <w:rPr>
          <w:lang w:val="fr-FR"/>
        </w:rPr>
        <w:t>’</w:t>
      </w:r>
      <w:r w:rsidRPr="00AB4DCC">
        <w:rPr>
          <w:lang w:val="fr-FR"/>
        </w:rPr>
        <w:t>on utilise</w:t>
      </w:r>
      <w:r>
        <w:rPr>
          <w:lang w:val="fr-FR"/>
        </w:rPr>
        <w:t> :</w:t>
      </w:r>
    </w:p>
    <w:p w14:paraId="2273FD68" w14:textId="77777777" w:rsidR="00EE432D" w:rsidRPr="00AB4DCC" w:rsidRDefault="00EE432D" w:rsidP="00EE432D">
      <w:pPr>
        <w:pStyle w:val="SingleTxtG"/>
        <w:ind w:left="3402" w:hanging="567"/>
        <w:rPr>
          <w:bCs/>
          <w:lang w:val="fr-FR"/>
        </w:rPr>
      </w:pPr>
      <w:r w:rsidRPr="00AB4DCC">
        <w:rPr>
          <w:lang w:val="fr-FR"/>
        </w:rPr>
        <w:t>i)</w:t>
      </w:r>
      <w:r w:rsidRPr="00AB4DCC">
        <w:rPr>
          <w:lang w:val="fr-FR"/>
        </w:rPr>
        <w:tab/>
        <w:t>Le pneumatique d</w:t>
      </w:r>
      <w:r>
        <w:rPr>
          <w:lang w:val="fr-FR"/>
        </w:rPr>
        <w:t>’</w:t>
      </w:r>
      <w:r w:rsidRPr="00AB4DCC">
        <w:rPr>
          <w:lang w:val="fr-FR"/>
        </w:rPr>
        <w:t>essai de référence normalisé F2493-20 de l</w:t>
      </w:r>
      <w:r>
        <w:rPr>
          <w:lang w:val="fr-FR"/>
        </w:rPr>
        <w:t>’</w:t>
      </w:r>
      <w:r w:rsidRPr="00AB4DCC">
        <w:rPr>
          <w:lang w:val="fr-FR"/>
        </w:rPr>
        <w:t xml:space="preserve">ASTM, conformément à la méthode ASTM E1337-19, à une vitesse de 40 </w:t>
      </w:r>
      <w:proofErr w:type="spellStart"/>
      <w:r w:rsidRPr="00AB4DCC">
        <w:rPr>
          <w:lang w:val="fr-FR"/>
        </w:rPr>
        <w:t>mph</w:t>
      </w:r>
      <w:proofErr w:type="spellEnd"/>
      <w:r>
        <w:rPr>
          <w:lang w:val="fr-FR"/>
        </w:rPr>
        <w:t> ;</w:t>
      </w:r>
      <w:r w:rsidRPr="00AB4DCC">
        <w:rPr>
          <w:lang w:val="fr-FR"/>
        </w:rPr>
        <w:t xml:space="preserve"> ou</w:t>
      </w:r>
    </w:p>
    <w:p w14:paraId="56CD4882" w14:textId="77777777" w:rsidR="00EE432D" w:rsidRPr="00AB4DCC" w:rsidRDefault="00EE432D" w:rsidP="00EE432D">
      <w:pPr>
        <w:pStyle w:val="SingleTxtG"/>
        <w:ind w:left="3402" w:hanging="567"/>
        <w:rPr>
          <w:bCs/>
          <w:lang w:val="fr-FR"/>
        </w:rPr>
      </w:pPr>
      <w:r w:rsidRPr="00AB4DCC">
        <w:rPr>
          <w:lang w:val="fr-FR"/>
        </w:rPr>
        <w:t>ii)</w:t>
      </w:r>
      <w:r w:rsidRPr="00AB4DCC">
        <w:rPr>
          <w:lang w:val="fr-FR"/>
        </w:rPr>
        <w:tab/>
        <w:t>La méthode de détermination du coefficient d</w:t>
      </w:r>
      <w:r>
        <w:rPr>
          <w:lang w:val="fr-FR"/>
        </w:rPr>
        <w:t>’</w:t>
      </w:r>
      <w:r w:rsidRPr="00AB4DCC">
        <w:rPr>
          <w:lang w:val="fr-FR"/>
        </w:rPr>
        <w:t>adhérence (k), décrite à l</w:t>
      </w:r>
      <w:r>
        <w:rPr>
          <w:lang w:val="fr-FR"/>
        </w:rPr>
        <w:t>’</w:t>
      </w:r>
      <w:r w:rsidRPr="00AB4DCC">
        <w:rPr>
          <w:lang w:val="fr-FR"/>
        </w:rPr>
        <w:t>appendice 2 de l</w:t>
      </w:r>
      <w:r>
        <w:rPr>
          <w:lang w:val="fr-FR"/>
        </w:rPr>
        <w:t>’</w:t>
      </w:r>
      <w:r w:rsidRPr="00AB4DCC">
        <w:rPr>
          <w:lang w:val="fr-FR"/>
        </w:rPr>
        <w:t>annexe 6 du Règlement ONU n</w:t>
      </w:r>
      <w:r w:rsidRPr="00AB4DCC">
        <w:rPr>
          <w:vertAlign w:val="superscript"/>
          <w:lang w:val="fr-FR"/>
        </w:rPr>
        <w:t>o</w:t>
      </w:r>
      <w:r>
        <w:rPr>
          <w:lang w:val="fr-FR"/>
        </w:rPr>
        <w:t> </w:t>
      </w:r>
      <w:r w:rsidRPr="00AB4DCC">
        <w:rPr>
          <w:lang w:val="fr-FR"/>
        </w:rPr>
        <w:t>13</w:t>
      </w:r>
      <w:r>
        <w:rPr>
          <w:lang w:val="fr-FR"/>
        </w:rPr>
        <w:noBreakHyphen/>
      </w:r>
      <w:r w:rsidRPr="00AB4DCC">
        <w:rPr>
          <w:lang w:val="fr-FR"/>
        </w:rPr>
        <w:t>H</w:t>
      </w:r>
      <w:r>
        <w:rPr>
          <w:lang w:val="fr-FR"/>
        </w:rPr>
        <w:t> ;</w:t>
      </w:r>
    </w:p>
    <w:p w14:paraId="1C63993E" w14:textId="77777777" w:rsidR="00EE432D" w:rsidRPr="00AB4DCC" w:rsidRDefault="00EE432D" w:rsidP="00EE432D">
      <w:pPr>
        <w:pStyle w:val="SingleTxtG"/>
        <w:ind w:left="2835" w:hanging="567"/>
        <w:rPr>
          <w:bCs/>
          <w:color w:val="000000" w:themeColor="text1"/>
          <w:lang w:val="fr-FR"/>
        </w:rPr>
      </w:pPr>
      <w:r w:rsidRPr="00AB4DCC">
        <w:rPr>
          <w:lang w:val="fr-FR"/>
        </w:rPr>
        <w:t>c)</w:t>
      </w:r>
      <w:r w:rsidRPr="00AB4DCC">
        <w:rPr>
          <w:lang w:val="fr-FR"/>
        </w:rPr>
        <w:tab/>
        <w:t>La valeur requise pour permettre la décélération maximale nominale du véhicule concerné, telle que calculée grâce à la méthode de détermination du coefficient d</w:t>
      </w:r>
      <w:r>
        <w:rPr>
          <w:lang w:val="fr-FR"/>
        </w:rPr>
        <w:t>’</w:t>
      </w:r>
      <w:r w:rsidRPr="00AB4DCC">
        <w:rPr>
          <w:lang w:val="fr-FR"/>
        </w:rPr>
        <w:t>adhérence (k) décrite à l</w:t>
      </w:r>
      <w:r>
        <w:rPr>
          <w:lang w:val="fr-FR"/>
        </w:rPr>
        <w:t>’</w:t>
      </w:r>
      <w:r w:rsidRPr="00AB4DCC">
        <w:rPr>
          <w:lang w:val="fr-FR"/>
        </w:rPr>
        <w:t>appendice 2 de l</w:t>
      </w:r>
      <w:r>
        <w:rPr>
          <w:lang w:val="fr-FR"/>
        </w:rPr>
        <w:t>’</w:t>
      </w:r>
      <w:r w:rsidRPr="00AB4DCC">
        <w:rPr>
          <w:lang w:val="fr-FR"/>
        </w:rPr>
        <w:t>annexe 13 du Règlement ONU n</w:t>
      </w:r>
      <w:r w:rsidRPr="00AB4DCC">
        <w:rPr>
          <w:vertAlign w:val="superscript"/>
          <w:lang w:val="fr-FR"/>
        </w:rPr>
        <w:t>o</w:t>
      </w:r>
      <w:r>
        <w:rPr>
          <w:lang w:val="fr-FR"/>
        </w:rPr>
        <w:t> </w:t>
      </w:r>
      <w:r w:rsidRPr="00AB4DCC">
        <w:rPr>
          <w:lang w:val="fr-FR"/>
        </w:rPr>
        <w:t>13</w:t>
      </w:r>
      <w:r>
        <w:rPr>
          <w:lang w:val="fr-FR"/>
        </w:rPr>
        <w:t> ;</w:t>
      </w:r>
    </w:p>
    <w:p w14:paraId="33FA9639" w14:textId="3200FF57" w:rsidR="00EE432D" w:rsidRPr="00AB4DCC" w:rsidRDefault="00EE432D" w:rsidP="006F5732">
      <w:pPr>
        <w:pStyle w:val="SingleTxtG"/>
        <w:tabs>
          <w:tab w:val="clear" w:pos="1701"/>
        </w:tabs>
        <w:ind w:left="2268" w:hanging="1134"/>
        <w:rPr>
          <w:bCs/>
          <w:lang w:val="fr-FR"/>
        </w:rPr>
      </w:pPr>
      <w:r w:rsidRPr="00AB4DCC">
        <w:rPr>
          <w:lang w:val="fr-FR"/>
        </w:rPr>
        <w:t>2</w:t>
      </w:r>
      <w:r w:rsidR="00DF7AA4" w:rsidRPr="00DF7AA4">
        <w:rPr>
          <w:lang w:val="fr-FR"/>
        </w:rPr>
        <w:t>.</w:t>
      </w:r>
      <w:r w:rsidRPr="00AB4DCC">
        <w:rPr>
          <w:lang w:val="fr-FR"/>
        </w:rPr>
        <w:t>6</w:t>
      </w:r>
      <w:r w:rsidRPr="00AB4DCC">
        <w:rPr>
          <w:lang w:val="fr-FR"/>
        </w:rPr>
        <w:tab/>
        <w:t>«</w:t>
      </w:r>
      <w:r>
        <w:rPr>
          <w:lang w:val="fr-FR"/>
        </w:rPr>
        <w:t> </w:t>
      </w:r>
      <w:r w:rsidRPr="00AB4DCC">
        <w:rPr>
          <w:i/>
          <w:iCs/>
          <w:lang w:val="fr-FR"/>
        </w:rPr>
        <w:t>Vérification automatique</w:t>
      </w:r>
      <w:r>
        <w:rPr>
          <w:lang w:val="fr-FR"/>
        </w:rPr>
        <w:t> </w:t>
      </w:r>
      <w:r w:rsidRPr="00AB4DCC">
        <w:rPr>
          <w:lang w:val="fr-FR"/>
        </w:rPr>
        <w:t>», une fonction intégrée qui vérifie de manière continue, au moins lorsque le système est activé, si des défaillances se produisent</w:t>
      </w:r>
      <w:r>
        <w:rPr>
          <w:lang w:val="fr-FR"/>
        </w:rPr>
        <w:t> ;</w:t>
      </w:r>
    </w:p>
    <w:p w14:paraId="2F61D31D" w14:textId="0890B421" w:rsidR="00EE432D" w:rsidRPr="00AB4DCC" w:rsidRDefault="00EE432D" w:rsidP="006F5732">
      <w:pPr>
        <w:pStyle w:val="SingleTxtG"/>
        <w:tabs>
          <w:tab w:val="clear" w:pos="1701"/>
        </w:tabs>
        <w:ind w:left="2268" w:hanging="1134"/>
        <w:rPr>
          <w:bCs/>
          <w:lang w:val="fr-FR"/>
        </w:rPr>
      </w:pPr>
      <w:bookmarkStart w:id="1" w:name="OLE_LINK10"/>
      <w:r w:rsidRPr="00AB4DCC">
        <w:rPr>
          <w:lang w:val="fr-FR"/>
        </w:rPr>
        <w:t>2</w:t>
      </w:r>
      <w:r w:rsidR="00DF7AA4" w:rsidRPr="00DF7AA4">
        <w:rPr>
          <w:lang w:val="fr-FR"/>
        </w:rPr>
        <w:t>.</w:t>
      </w:r>
      <w:r w:rsidRPr="00AB4DCC">
        <w:rPr>
          <w:lang w:val="fr-FR"/>
        </w:rPr>
        <w:t>7</w:t>
      </w:r>
      <w:r w:rsidRPr="00AB4DCC">
        <w:rPr>
          <w:lang w:val="fr-FR"/>
        </w:rPr>
        <w:tab/>
        <w:t>«</w:t>
      </w:r>
      <w:r>
        <w:rPr>
          <w:lang w:val="fr-FR"/>
        </w:rPr>
        <w:t> </w:t>
      </w:r>
      <w:r w:rsidRPr="00AB4DCC">
        <w:rPr>
          <w:i/>
          <w:iCs/>
          <w:lang w:val="fr-FR"/>
        </w:rPr>
        <w:t>Obstacle</w:t>
      </w:r>
      <w:r>
        <w:rPr>
          <w:lang w:val="fr-FR"/>
        </w:rPr>
        <w:t> </w:t>
      </w:r>
      <w:r w:rsidRPr="00AB4DCC">
        <w:rPr>
          <w:lang w:val="fr-FR"/>
        </w:rPr>
        <w:t>», soit un véhicule, soit une structure semblable à un mur</w:t>
      </w:r>
      <w:r>
        <w:rPr>
          <w:lang w:val="fr-FR"/>
        </w:rPr>
        <w:t> ;</w:t>
      </w:r>
    </w:p>
    <w:bookmarkEnd w:id="1"/>
    <w:p w14:paraId="56ECC12C" w14:textId="68397AE7" w:rsidR="00EE432D" w:rsidRPr="00AB4DCC" w:rsidRDefault="00EE432D" w:rsidP="006F5732">
      <w:pPr>
        <w:pStyle w:val="SingleTxtG"/>
        <w:tabs>
          <w:tab w:val="clear" w:pos="1701"/>
        </w:tabs>
        <w:ind w:left="2268" w:hanging="1134"/>
        <w:rPr>
          <w:bCs/>
          <w:lang w:val="fr-FR"/>
        </w:rPr>
      </w:pPr>
      <w:r w:rsidRPr="00AB4DCC">
        <w:rPr>
          <w:lang w:val="fr-FR"/>
        </w:rPr>
        <w:t>2</w:t>
      </w:r>
      <w:r w:rsidR="00DF7AA4" w:rsidRPr="00DF7AA4">
        <w:rPr>
          <w:lang w:val="fr-FR"/>
        </w:rPr>
        <w:t>.</w:t>
      </w:r>
      <w:r w:rsidRPr="00AB4DCC">
        <w:rPr>
          <w:lang w:val="fr-FR"/>
        </w:rPr>
        <w:t>8</w:t>
      </w:r>
      <w:r w:rsidRPr="00AB4DCC">
        <w:rPr>
          <w:lang w:val="fr-FR"/>
        </w:rPr>
        <w:tab/>
        <w:t>«</w:t>
      </w:r>
      <w:r>
        <w:rPr>
          <w:lang w:val="fr-FR"/>
        </w:rPr>
        <w:t> </w:t>
      </w:r>
      <w:r w:rsidRPr="00AB4DCC">
        <w:rPr>
          <w:i/>
          <w:iCs/>
          <w:lang w:val="fr-FR"/>
        </w:rPr>
        <w:t>Boîte de vitesses automatique</w:t>
      </w:r>
      <w:r>
        <w:rPr>
          <w:lang w:val="fr-FR"/>
        </w:rPr>
        <w:t> </w:t>
      </w:r>
      <w:r w:rsidRPr="00AB4DCC">
        <w:rPr>
          <w:lang w:val="fr-FR"/>
        </w:rPr>
        <w:t>», toute boîte de vitesses qui ne nécessite pas que le conducteur utilise une commande d</w:t>
      </w:r>
      <w:r>
        <w:rPr>
          <w:lang w:val="fr-FR"/>
        </w:rPr>
        <w:t>’</w:t>
      </w:r>
      <w:r w:rsidRPr="00AB4DCC">
        <w:rPr>
          <w:lang w:val="fr-FR"/>
        </w:rPr>
        <w:t>embrayage pour changer de vitesse (il s</w:t>
      </w:r>
      <w:r>
        <w:rPr>
          <w:lang w:val="fr-FR"/>
        </w:rPr>
        <w:t>’</w:t>
      </w:r>
      <w:r w:rsidRPr="00AB4DCC">
        <w:rPr>
          <w:lang w:val="fr-FR"/>
        </w:rPr>
        <w:t>agit notamment des boîtes de vitesse à rapport unique, à variation continue et à embrayage automatique)</w:t>
      </w:r>
      <w:r>
        <w:rPr>
          <w:lang w:val="fr-FR"/>
        </w:rPr>
        <w:t> ;</w:t>
      </w:r>
    </w:p>
    <w:p w14:paraId="53BB9351" w14:textId="2E22D96A" w:rsidR="00EE432D" w:rsidRPr="00AB4DCC" w:rsidRDefault="00EE432D" w:rsidP="006F5732">
      <w:pPr>
        <w:pStyle w:val="SingleTxtG"/>
        <w:tabs>
          <w:tab w:val="clear" w:pos="1701"/>
        </w:tabs>
        <w:ind w:left="2268" w:hanging="1134"/>
        <w:rPr>
          <w:bCs/>
          <w:color w:val="000000" w:themeColor="text1"/>
          <w:lang w:val="fr-FR"/>
        </w:rPr>
      </w:pPr>
      <w:r w:rsidRPr="00AB4DCC">
        <w:rPr>
          <w:lang w:val="fr-FR"/>
        </w:rPr>
        <w:t>2</w:t>
      </w:r>
      <w:r w:rsidR="00DF7AA4" w:rsidRPr="00DF7AA4">
        <w:rPr>
          <w:lang w:val="fr-FR"/>
        </w:rPr>
        <w:t>.</w:t>
      </w:r>
      <w:r w:rsidRPr="00AB4DCC">
        <w:rPr>
          <w:lang w:val="fr-FR"/>
        </w:rPr>
        <w:t>9</w:t>
      </w:r>
      <w:r w:rsidRPr="00AB4DCC">
        <w:rPr>
          <w:lang w:val="fr-FR"/>
        </w:rPr>
        <w:tab/>
        <w:t>«</w:t>
      </w:r>
      <w:r>
        <w:rPr>
          <w:lang w:val="fr-FR"/>
        </w:rPr>
        <w:t> </w:t>
      </w:r>
      <w:r w:rsidRPr="00AB4DCC">
        <w:rPr>
          <w:i/>
          <w:iCs/>
          <w:lang w:val="fr-FR"/>
        </w:rPr>
        <w:t>Masse d</w:t>
      </w:r>
      <w:r>
        <w:rPr>
          <w:i/>
          <w:iCs/>
          <w:lang w:val="fr-FR"/>
        </w:rPr>
        <w:t>’</w:t>
      </w:r>
      <w:r w:rsidRPr="00AB4DCC">
        <w:rPr>
          <w:i/>
          <w:iCs/>
          <w:lang w:val="fr-FR"/>
        </w:rPr>
        <w:t>un véhicule en ordre de marche</w:t>
      </w:r>
      <w:r>
        <w:rPr>
          <w:lang w:val="fr-FR"/>
        </w:rPr>
        <w:t> </w:t>
      </w:r>
      <w:r w:rsidRPr="00AB4DCC">
        <w:rPr>
          <w:lang w:val="fr-FR"/>
        </w:rPr>
        <w:t>», la masse à vide d</w:t>
      </w:r>
      <w:r>
        <w:rPr>
          <w:lang w:val="fr-FR"/>
        </w:rPr>
        <w:t>’</w:t>
      </w:r>
      <w:r w:rsidRPr="00AB4DCC">
        <w:rPr>
          <w:lang w:val="fr-FR"/>
        </w:rPr>
        <w:t>un véhicule carrossé, y compris le liquide de refroidissement, les lubrifiants, au moins 90</w:t>
      </w:r>
      <w:r>
        <w:rPr>
          <w:lang w:val="fr-FR"/>
        </w:rPr>
        <w:t> %</w:t>
      </w:r>
      <w:r w:rsidRPr="00AB4DCC">
        <w:rPr>
          <w:lang w:val="fr-FR"/>
        </w:rPr>
        <w:t xml:space="preserve"> du carburant, 100</w:t>
      </w:r>
      <w:r>
        <w:rPr>
          <w:lang w:val="fr-FR"/>
        </w:rPr>
        <w:t> %</w:t>
      </w:r>
      <w:r w:rsidRPr="00AB4DCC">
        <w:rPr>
          <w:lang w:val="fr-FR"/>
        </w:rPr>
        <w:t xml:space="preserve"> des autres liquides et le conducteur (75 kg), à l</w:t>
      </w:r>
      <w:r>
        <w:rPr>
          <w:lang w:val="fr-FR"/>
        </w:rPr>
        <w:t>’</w:t>
      </w:r>
      <w:r w:rsidRPr="00AB4DCC">
        <w:rPr>
          <w:lang w:val="fr-FR"/>
        </w:rPr>
        <w:t>exception des eaux usées, des outils et de la roue de secours</w:t>
      </w:r>
      <w:r w:rsidR="00DF7AA4" w:rsidRPr="00DF7AA4">
        <w:rPr>
          <w:lang w:val="fr-FR"/>
        </w:rPr>
        <w:t>.</w:t>
      </w:r>
    </w:p>
    <w:p w14:paraId="5E0F7E90" w14:textId="0F8E7CD7" w:rsidR="00EE432D" w:rsidRPr="00AB4DCC" w:rsidRDefault="00EE432D" w:rsidP="00EE432D">
      <w:pPr>
        <w:pStyle w:val="HChG"/>
        <w:tabs>
          <w:tab w:val="clear" w:pos="851"/>
        </w:tabs>
        <w:ind w:left="2268"/>
        <w:rPr>
          <w:lang w:val="fr-FR"/>
        </w:rPr>
      </w:pPr>
      <w:r w:rsidRPr="00AB4DCC">
        <w:rPr>
          <w:bCs/>
          <w:lang w:val="fr-FR"/>
        </w:rPr>
        <w:t>3</w:t>
      </w:r>
      <w:r w:rsidR="00DF7AA4" w:rsidRPr="00DF7AA4">
        <w:rPr>
          <w:bCs/>
          <w:lang w:val="fr-FR"/>
        </w:rPr>
        <w:t>.</w:t>
      </w:r>
      <w:r w:rsidRPr="00AB4DCC">
        <w:rPr>
          <w:lang w:val="fr-FR"/>
        </w:rPr>
        <w:tab/>
      </w:r>
      <w:r w:rsidRPr="00AB4DCC">
        <w:rPr>
          <w:bCs/>
          <w:lang w:val="fr-FR"/>
        </w:rPr>
        <w:t>Demande d</w:t>
      </w:r>
      <w:r>
        <w:rPr>
          <w:bCs/>
          <w:lang w:val="fr-FR"/>
        </w:rPr>
        <w:t>’</w:t>
      </w:r>
      <w:r w:rsidRPr="00AB4DCC">
        <w:rPr>
          <w:bCs/>
          <w:lang w:val="fr-FR"/>
        </w:rPr>
        <w:t>homologation</w:t>
      </w:r>
    </w:p>
    <w:p w14:paraId="137748FC" w14:textId="22746138" w:rsidR="00EE432D" w:rsidRPr="00AB4DCC" w:rsidRDefault="00EE432D" w:rsidP="006F5732">
      <w:pPr>
        <w:pStyle w:val="SingleTxtG"/>
        <w:tabs>
          <w:tab w:val="clear" w:pos="1701"/>
        </w:tabs>
        <w:ind w:left="2268" w:hanging="1134"/>
        <w:rPr>
          <w:lang w:val="fr-FR"/>
        </w:rPr>
      </w:pPr>
      <w:r w:rsidRPr="00AB4DCC">
        <w:rPr>
          <w:lang w:val="fr-FR"/>
        </w:rPr>
        <w:t>3</w:t>
      </w:r>
      <w:r w:rsidR="00DF7AA4" w:rsidRPr="00DF7AA4">
        <w:rPr>
          <w:lang w:val="fr-FR"/>
        </w:rPr>
        <w:t>.</w:t>
      </w:r>
      <w:r w:rsidRPr="00AB4DCC">
        <w:rPr>
          <w:lang w:val="fr-FR"/>
        </w:rPr>
        <w:t>1</w:t>
      </w:r>
      <w:r w:rsidRPr="00AB4DCC">
        <w:rPr>
          <w:lang w:val="fr-FR"/>
        </w:rPr>
        <w:tab/>
        <w:t>La demande d</w:t>
      </w:r>
      <w:r>
        <w:rPr>
          <w:lang w:val="fr-FR"/>
        </w:rPr>
        <w:t>’</w:t>
      </w:r>
      <w:r w:rsidRPr="00AB4DCC">
        <w:rPr>
          <w:lang w:val="fr-FR"/>
        </w:rPr>
        <w:t>homologation d</w:t>
      </w:r>
      <w:r>
        <w:rPr>
          <w:lang w:val="fr-FR"/>
        </w:rPr>
        <w:t>’</w:t>
      </w:r>
      <w:r w:rsidRPr="00AB4DCC">
        <w:rPr>
          <w:lang w:val="fr-FR"/>
        </w:rPr>
        <w:t>un type de véhicule en ce qui concerne le système ACPE doit être présentée par le constructeur du véhicule ou son mandataire dûment agréé</w:t>
      </w:r>
      <w:r w:rsidR="00DF7AA4" w:rsidRPr="00DF7AA4">
        <w:rPr>
          <w:lang w:val="fr-FR"/>
        </w:rPr>
        <w:t>.</w:t>
      </w:r>
    </w:p>
    <w:p w14:paraId="6237A9E3" w14:textId="6C118463" w:rsidR="00EE432D" w:rsidRPr="00AB4DCC" w:rsidRDefault="00EE432D" w:rsidP="006F5732">
      <w:pPr>
        <w:pStyle w:val="SingleTxtG"/>
        <w:tabs>
          <w:tab w:val="clear" w:pos="1701"/>
        </w:tabs>
        <w:ind w:left="2268" w:hanging="1134"/>
        <w:rPr>
          <w:lang w:val="fr-FR"/>
        </w:rPr>
      </w:pPr>
      <w:r w:rsidRPr="00AB4DCC">
        <w:rPr>
          <w:lang w:val="fr-FR"/>
        </w:rPr>
        <w:t>3</w:t>
      </w:r>
      <w:r w:rsidR="00DF7AA4" w:rsidRPr="00DF7AA4">
        <w:rPr>
          <w:lang w:val="fr-FR"/>
        </w:rPr>
        <w:t>.</w:t>
      </w:r>
      <w:r w:rsidRPr="00AB4DCC">
        <w:rPr>
          <w:lang w:val="fr-FR"/>
        </w:rPr>
        <w:t>2</w:t>
      </w:r>
      <w:r w:rsidRPr="00AB4DCC">
        <w:rPr>
          <w:lang w:val="fr-FR"/>
        </w:rPr>
        <w:tab/>
        <w:t>Elle doit être accompagnée des documents mentionnés ci-après, en trois exemplaires</w:t>
      </w:r>
      <w:r>
        <w:rPr>
          <w:lang w:val="fr-FR"/>
        </w:rPr>
        <w:t> :</w:t>
      </w:r>
    </w:p>
    <w:p w14:paraId="0C7D481A" w14:textId="245C69D6" w:rsidR="00EE432D" w:rsidRPr="00AB4DCC" w:rsidRDefault="00EE432D" w:rsidP="006F5732">
      <w:pPr>
        <w:pStyle w:val="SingleTxtG"/>
        <w:tabs>
          <w:tab w:val="clear" w:pos="1701"/>
        </w:tabs>
        <w:ind w:left="2268" w:hanging="1134"/>
        <w:rPr>
          <w:kern w:val="2"/>
          <w:lang w:val="fr-FR"/>
        </w:rPr>
      </w:pPr>
      <w:r w:rsidRPr="00AB4DCC">
        <w:rPr>
          <w:lang w:val="fr-FR"/>
        </w:rPr>
        <w:t>3</w:t>
      </w:r>
      <w:r w:rsidR="00DF7AA4" w:rsidRPr="00DF7AA4">
        <w:rPr>
          <w:lang w:val="fr-FR"/>
        </w:rPr>
        <w:t>.</w:t>
      </w:r>
      <w:r w:rsidRPr="00AB4DCC">
        <w:rPr>
          <w:lang w:val="fr-FR"/>
        </w:rPr>
        <w:t>3</w:t>
      </w:r>
      <w:r w:rsidRPr="00AB4DCC">
        <w:rPr>
          <w:lang w:val="fr-FR"/>
        </w:rPr>
        <w:tab/>
        <w:t>Une description du type de véhicule eu égard aux critères mentionnés au paragraphe</w:t>
      </w:r>
      <w:r>
        <w:rPr>
          <w:lang w:val="fr-FR"/>
        </w:rPr>
        <w:t xml:space="preserve"> </w:t>
      </w:r>
      <w:r w:rsidRPr="00AB4DCC">
        <w:rPr>
          <w:lang w:val="fr-FR"/>
        </w:rPr>
        <w:t>2</w:t>
      </w:r>
      <w:r w:rsidR="00DF7AA4" w:rsidRPr="00DF7AA4">
        <w:rPr>
          <w:lang w:val="fr-FR"/>
        </w:rPr>
        <w:t>.</w:t>
      </w:r>
      <w:r w:rsidRPr="00AB4DCC">
        <w:rPr>
          <w:lang w:val="fr-FR"/>
        </w:rPr>
        <w:t>2, accompagnée d</w:t>
      </w:r>
      <w:r>
        <w:rPr>
          <w:lang w:val="fr-FR"/>
        </w:rPr>
        <w:t>’</w:t>
      </w:r>
      <w:r w:rsidRPr="00AB4DCC">
        <w:rPr>
          <w:lang w:val="fr-FR"/>
        </w:rPr>
        <w:t>un dossier renseignant sur la conception de base du système ACPE et sur les dispositifs permettant de le relier à d</w:t>
      </w:r>
      <w:r>
        <w:rPr>
          <w:lang w:val="fr-FR"/>
        </w:rPr>
        <w:t>’</w:t>
      </w:r>
      <w:r w:rsidRPr="00AB4DCC">
        <w:rPr>
          <w:lang w:val="fr-FR"/>
        </w:rPr>
        <w:t>autres systèmes du véhicule ou par l</w:t>
      </w:r>
      <w:r>
        <w:rPr>
          <w:lang w:val="fr-FR"/>
        </w:rPr>
        <w:t>’</w:t>
      </w:r>
      <w:r w:rsidRPr="00AB4DCC">
        <w:rPr>
          <w:lang w:val="fr-FR"/>
        </w:rPr>
        <w:t>intermédiaire desquels il commande directement les variables de sortie</w:t>
      </w:r>
      <w:r w:rsidR="00DF7AA4" w:rsidRPr="00DF7AA4">
        <w:rPr>
          <w:lang w:val="fr-FR"/>
        </w:rPr>
        <w:t>.</w:t>
      </w:r>
      <w:r w:rsidRPr="00AB4DCC">
        <w:rPr>
          <w:lang w:val="fr-FR"/>
        </w:rPr>
        <w:t xml:space="preserve"> Les numéros et/ou symboles caractérisant le type de véhicule doivent être indiqués</w:t>
      </w:r>
      <w:r w:rsidR="00DF7AA4" w:rsidRPr="00DF7AA4">
        <w:rPr>
          <w:lang w:val="fr-FR"/>
        </w:rPr>
        <w:t>.</w:t>
      </w:r>
    </w:p>
    <w:p w14:paraId="3D43D0BB" w14:textId="10749617" w:rsidR="00EE432D" w:rsidRPr="00AB4DCC" w:rsidRDefault="00EE432D" w:rsidP="006F5732">
      <w:pPr>
        <w:pStyle w:val="SingleTxtG"/>
        <w:tabs>
          <w:tab w:val="clear" w:pos="1701"/>
        </w:tabs>
        <w:ind w:left="2268" w:hanging="1134"/>
        <w:rPr>
          <w:lang w:val="fr-FR"/>
        </w:rPr>
      </w:pPr>
      <w:r w:rsidRPr="00AB4DCC">
        <w:rPr>
          <w:lang w:val="fr-FR"/>
        </w:rPr>
        <w:t>3</w:t>
      </w:r>
      <w:r w:rsidR="00DF7AA4" w:rsidRPr="00DF7AA4">
        <w:rPr>
          <w:lang w:val="fr-FR"/>
        </w:rPr>
        <w:t>.</w:t>
      </w:r>
      <w:r w:rsidRPr="00AB4DCC">
        <w:rPr>
          <w:lang w:val="fr-FR"/>
        </w:rPr>
        <w:t>4</w:t>
      </w:r>
      <w:r w:rsidRPr="00AB4DCC">
        <w:rPr>
          <w:lang w:val="fr-FR"/>
        </w:rPr>
        <w:tab/>
        <w:t>Un véhicule représentatif du type de véhicule à homologuer doit être présenté au service technique chargé des essais d</w:t>
      </w:r>
      <w:r>
        <w:rPr>
          <w:lang w:val="fr-FR"/>
        </w:rPr>
        <w:t>’</w:t>
      </w:r>
      <w:r w:rsidRPr="00AB4DCC">
        <w:rPr>
          <w:lang w:val="fr-FR"/>
        </w:rPr>
        <w:t>homologation</w:t>
      </w:r>
      <w:r w:rsidR="00DF7AA4" w:rsidRPr="00DF7AA4">
        <w:rPr>
          <w:lang w:val="fr-FR"/>
        </w:rPr>
        <w:t>.</w:t>
      </w:r>
    </w:p>
    <w:p w14:paraId="6DAB741E" w14:textId="3E348F86" w:rsidR="00EE432D" w:rsidRPr="00AB4DCC" w:rsidRDefault="00EE432D" w:rsidP="00EE432D">
      <w:pPr>
        <w:pStyle w:val="HChG"/>
        <w:tabs>
          <w:tab w:val="clear" w:pos="851"/>
        </w:tabs>
        <w:ind w:left="2268"/>
        <w:rPr>
          <w:lang w:val="fr-FR"/>
        </w:rPr>
      </w:pPr>
      <w:r w:rsidRPr="00AB4DCC">
        <w:rPr>
          <w:bCs/>
          <w:lang w:val="fr-FR"/>
        </w:rPr>
        <w:lastRenderedPageBreak/>
        <w:t>4</w:t>
      </w:r>
      <w:r w:rsidR="00DF7AA4" w:rsidRPr="00DF7AA4">
        <w:rPr>
          <w:bCs/>
          <w:lang w:val="fr-FR"/>
        </w:rPr>
        <w:t>.</w:t>
      </w:r>
      <w:r w:rsidRPr="00AB4DCC">
        <w:rPr>
          <w:lang w:val="fr-FR"/>
        </w:rPr>
        <w:tab/>
      </w:r>
      <w:r w:rsidRPr="00AB4DCC">
        <w:rPr>
          <w:bCs/>
          <w:lang w:val="fr-FR"/>
        </w:rPr>
        <w:t>Homologation</w:t>
      </w:r>
    </w:p>
    <w:p w14:paraId="65928919" w14:textId="3C1B3E6C" w:rsidR="00EE432D" w:rsidRPr="00AB4DCC" w:rsidRDefault="00EE432D" w:rsidP="006F5732">
      <w:pPr>
        <w:pStyle w:val="SingleTxtG"/>
        <w:tabs>
          <w:tab w:val="clear" w:pos="1701"/>
        </w:tabs>
        <w:ind w:left="2268" w:hanging="1134"/>
        <w:rPr>
          <w:lang w:val="fr-FR"/>
        </w:rPr>
      </w:pPr>
      <w:r w:rsidRPr="00AB4DCC">
        <w:rPr>
          <w:lang w:val="fr-FR"/>
        </w:rPr>
        <w:t>4</w:t>
      </w:r>
      <w:r w:rsidR="00DF7AA4" w:rsidRPr="00DF7AA4">
        <w:rPr>
          <w:lang w:val="fr-FR"/>
        </w:rPr>
        <w:t>.</w:t>
      </w:r>
      <w:r w:rsidRPr="00AB4DCC">
        <w:rPr>
          <w:lang w:val="fr-FR"/>
        </w:rPr>
        <w:t>1</w:t>
      </w:r>
      <w:r w:rsidRPr="00AB4DCC">
        <w:rPr>
          <w:lang w:val="fr-FR"/>
        </w:rPr>
        <w:tab/>
        <w:t>Si le véhicule présenté à l</w:t>
      </w:r>
      <w:r>
        <w:rPr>
          <w:lang w:val="fr-FR"/>
        </w:rPr>
        <w:t>’</w:t>
      </w:r>
      <w:r w:rsidRPr="00AB4DCC">
        <w:rPr>
          <w:lang w:val="fr-FR"/>
        </w:rPr>
        <w:t xml:space="preserve">homologation </w:t>
      </w:r>
      <w:r>
        <w:rPr>
          <w:lang w:val="fr-FR"/>
        </w:rPr>
        <w:t>au titre</w:t>
      </w:r>
      <w:r w:rsidRPr="00AB4DCC">
        <w:rPr>
          <w:lang w:val="fr-FR"/>
        </w:rPr>
        <w:t xml:space="preserve"> du présent Règlement satisfait aux prescriptions du paragraphe 5 ci-après, l</w:t>
      </w:r>
      <w:r>
        <w:rPr>
          <w:lang w:val="fr-FR"/>
        </w:rPr>
        <w:t>’</w:t>
      </w:r>
      <w:r w:rsidRPr="00AB4DCC">
        <w:rPr>
          <w:lang w:val="fr-FR"/>
        </w:rPr>
        <w:t>homologation pour ce type de véhicule doit être accordée</w:t>
      </w:r>
      <w:r w:rsidR="00DF7AA4" w:rsidRPr="00DF7AA4">
        <w:rPr>
          <w:lang w:val="fr-FR"/>
        </w:rPr>
        <w:t>.</w:t>
      </w:r>
    </w:p>
    <w:p w14:paraId="41A27AFE" w14:textId="37A9AA44" w:rsidR="00EE432D" w:rsidRPr="00AB4DCC" w:rsidRDefault="00EE432D" w:rsidP="006F5732">
      <w:pPr>
        <w:pStyle w:val="SingleTxtG"/>
        <w:tabs>
          <w:tab w:val="clear" w:pos="1701"/>
        </w:tabs>
        <w:ind w:left="2268" w:hanging="1134"/>
        <w:rPr>
          <w:lang w:val="fr-FR"/>
        </w:rPr>
      </w:pPr>
      <w:r w:rsidRPr="00AB4DCC">
        <w:rPr>
          <w:lang w:val="fr-FR"/>
        </w:rPr>
        <w:t>4</w:t>
      </w:r>
      <w:r w:rsidR="00DF7AA4" w:rsidRPr="00DF7AA4">
        <w:rPr>
          <w:lang w:val="fr-FR"/>
        </w:rPr>
        <w:t>.</w:t>
      </w:r>
      <w:r w:rsidRPr="00AB4DCC">
        <w:rPr>
          <w:lang w:val="fr-FR"/>
        </w:rPr>
        <w:t>2</w:t>
      </w:r>
      <w:r w:rsidRPr="00AB4DCC">
        <w:rPr>
          <w:lang w:val="fr-FR"/>
        </w:rPr>
        <w:tab/>
        <w:t>Un numéro d</w:t>
      </w:r>
      <w:r>
        <w:rPr>
          <w:lang w:val="fr-FR"/>
        </w:rPr>
        <w:t>’</w:t>
      </w:r>
      <w:r w:rsidRPr="00AB4DCC">
        <w:rPr>
          <w:lang w:val="fr-FR"/>
        </w:rPr>
        <w:t>homologation doit être attribué à chaque type de véhicule homologué</w:t>
      </w:r>
      <w:r>
        <w:rPr>
          <w:lang w:val="fr-FR"/>
        </w:rPr>
        <w:t> ;</w:t>
      </w:r>
      <w:r w:rsidRPr="00AB4DCC">
        <w:rPr>
          <w:lang w:val="fr-FR"/>
        </w:rPr>
        <w:t xml:space="preserve"> les deux premiers chiffres (00 pour le présent Règlement dans sa version initiale) indiquent la série d</w:t>
      </w:r>
      <w:r>
        <w:rPr>
          <w:lang w:val="fr-FR"/>
        </w:rPr>
        <w:t>’</w:t>
      </w:r>
      <w:r w:rsidRPr="00AB4DCC">
        <w:rPr>
          <w:lang w:val="fr-FR"/>
        </w:rPr>
        <w:t>amendements correspondant aux principales modifications techniques les plus récentes apportées au présent Règlement à la date de délivrance de l</w:t>
      </w:r>
      <w:r>
        <w:rPr>
          <w:lang w:val="fr-FR"/>
        </w:rPr>
        <w:t>’</w:t>
      </w:r>
      <w:r w:rsidRPr="00AB4DCC">
        <w:rPr>
          <w:lang w:val="fr-FR"/>
        </w:rPr>
        <w:t>homologation</w:t>
      </w:r>
      <w:r w:rsidR="00DF7AA4" w:rsidRPr="00DF7AA4">
        <w:rPr>
          <w:lang w:val="fr-FR"/>
        </w:rPr>
        <w:t>.</w:t>
      </w:r>
      <w:r w:rsidRPr="00AB4DCC">
        <w:rPr>
          <w:lang w:val="fr-FR"/>
        </w:rPr>
        <w:t xml:space="preserve"> Une même Partie contractante ne peut attribuer ce numéro au même type de véhicule doté d</w:t>
      </w:r>
      <w:r>
        <w:rPr>
          <w:lang w:val="fr-FR"/>
        </w:rPr>
        <w:t>’</w:t>
      </w:r>
      <w:r w:rsidRPr="00AB4DCC">
        <w:rPr>
          <w:lang w:val="fr-FR"/>
        </w:rPr>
        <w:t>un autre type de système ACPE, ou à un autre type de véhicule</w:t>
      </w:r>
      <w:r w:rsidR="00DF7AA4" w:rsidRPr="00DF7AA4">
        <w:rPr>
          <w:lang w:val="fr-FR"/>
        </w:rPr>
        <w:t>.</w:t>
      </w:r>
    </w:p>
    <w:p w14:paraId="1155463B" w14:textId="4AB9D5DA" w:rsidR="00EE432D" w:rsidRPr="00AB4DCC" w:rsidRDefault="00EE432D" w:rsidP="006F5732">
      <w:pPr>
        <w:pStyle w:val="SingleTxtG"/>
        <w:tabs>
          <w:tab w:val="clear" w:pos="1701"/>
        </w:tabs>
        <w:ind w:left="2268" w:hanging="1134"/>
        <w:rPr>
          <w:lang w:val="fr-FR"/>
        </w:rPr>
      </w:pPr>
      <w:r w:rsidRPr="00AB4DCC">
        <w:rPr>
          <w:lang w:val="fr-FR"/>
        </w:rPr>
        <w:t>4</w:t>
      </w:r>
      <w:r w:rsidR="00DF7AA4" w:rsidRPr="00DF7AA4">
        <w:rPr>
          <w:lang w:val="fr-FR"/>
        </w:rPr>
        <w:t>.</w:t>
      </w:r>
      <w:r w:rsidRPr="00AB4DCC">
        <w:rPr>
          <w:lang w:val="fr-FR"/>
        </w:rPr>
        <w:t>3</w:t>
      </w:r>
      <w:r w:rsidRPr="00AB4DCC">
        <w:rPr>
          <w:lang w:val="fr-FR"/>
        </w:rPr>
        <w:tab/>
        <w:t>La décision d</w:t>
      </w:r>
      <w:r>
        <w:rPr>
          <w:lang w:val="fr-FR"/>
        </w:rPr>
        <w:t>’</w:t>
      </w:r>
      <w:r w:rsidRPr="00AB4DCC">
        <w:rPr>
          <w:lang w:val="fr-FR"/>
        </w:rPr>
        <w:t>homologation ou de refus ou de retrait de l</w:t>
      </w:r>
      <w:r>
        <w:rPr>
          <w:lang w:val="fr-FR"/>
        </w:rPr>
        <w:t>’</w:t>
      </w:r>
      <w:r w:rsidRPr="00AB4DCC">
        <w:rPr>
          <w:lang w:val="fr-FR"/>
        </w:rPr>
        <w:t>homologation d</w:t>
      </w:r>
      <w:r>
        <w:rPr>
          <w:lang w:val="fr-FR"/>
        </w:rPr>
        <w:t>’</w:t>
      </w:r>
      <w:r w:rsidRPr="00AB4DCC">
        <w:rPr>
          <w:lang w:val="fr-FR"/>
        </w:rPr>
        <w:t>un type de véhicule prise en application du présent Règlement doit être communiquée aux Parties à l</w:t>
      </w:r>
      <w:r>
        <w:rPr>
          <w:lang w:val="fr-FR"/>
        </w:rPr>
        <w:t>’</w:t>
      </w:r>
      <w:r w:rsidRPr="00AB4DCC">
        <w:rPr>
          <w:lang w:val="fr-FR"/>
        </w:rPr>
        <w:t>Accord qui appliquent ce Règlement, au moyen d</w:t>
      </w:r>
      <w:r>
        <w:rPr>
          <w:lang w:val="fr-FR"/>
        </w:rPr>
        <w:t>’</w:t>
      </w:r>
      <w:r w:rsidRPr="00AB4DCC">
        <w:rPr>
          <w:lang w:val="fr-FR"/>
        </w:rPr>
        <w:t>une fiche conforme au modèle figurant à l</w:t>
      </w:r>
      <w:r>
        <w:rPr>
          <w:lang w:val="fr-FR"/>
        </w:rPr>
        <w:t>’</w:t>
      </w:r>
      <w:r w:rsidRPr="00AB4DCC">
        <w:rPr>
          <w:lang w:val="fr-FR"/>
        </w:rPr>
        <w:t>annexe 1 et de photographies et/ou plans fournis par le demandeur au format maximal A4 (210 x 297 mm), ou pliés à ce format, et à une échelle appropriée</w:t>
      </w:r>
      <w:r w:rsidR="00DF7AA4" w:rsidRPr="00DF7AA4">
        <w:rPr>
          <w:lang w:val="fr-FR"/>
        </w:rPr>
        <w:t>.</w:t>
      </w:r>
    </w:p>
    <w:p w14:paraId="0F7404C0" w14:textId="06B24B1B" w:rsidR="00EE432D" w:rsidRPr="00AB4DCC" w:rsidRDefault="00EE432D" w:rsidP="006F5732">
      <w:pPr>
        <w:pStyle w:val="SingleTxtG"/>
        <w:tabs>
          <w:tab w:val="clear" w:pos="1701"/>
        </w:tabs>
        <w:ind w:left="2268" w:hanging="1134"/>
        <w:rPr>
          <w:lang w:val="fr-FR"/>
        </w:rPr>
      </w:pPr>
      <w:r w:rsidRPr="00AB4DCC">
        <w:rPr>
          <w:lang w:val="fr-FR"/>
        </w:rPr>
        <w:t>4</w:t>
      </w:r>
      <w:r w:rsidR="00DF7AA4" w:rsidRPr="00DF7AA4">
        <w:rPr>
          <w:lang w:val="fr-FR"/>
        </w:rPr>
        <w:t>.</w:t>
      </w:r>
      <w:r w:rsidRPr="00AB4DCC">
        <w:rPr>
          <w:lang w:val="fr-FR"/>
        </w:rPr>
        <w:t>4</w:t>
      </w:r>
      <w:r w:rsidRPr="00AB4DCC">
        <w:rPr>
          <w:lang w:val="fr-FR"/>
        </w:rPr>
        <w:tab/>
        <w:t xml:space="preserve">Sur tout véhicule conforme à un type de véhicule homologué </w:t>
      </w:r>
      <w:r>
        <w:rPr>
          <w:lang w:val="fr-FR"/>
        </w:rPr>
        <w:t>au titre</w:t>
      </w:r>
      <w:r w:rsidRPr="00AB4DCC">
        <w:rPr>
          <w:lang w:val="fr-FR"/>
        </w:rPr>
        <w:t xml:space="preserve"> du présent Règlement doit être apposée de manière visible, en un endroit facilement accessible et indiqué sur la fiche d</w:t>
      </w:r>
      <w:r>
        <w:rPr>
          <w:lang w:val="fr-FR"/>
        </w:rPr>
        <w:t>’</w:t>
      </w:r>
      <w:r w:rsidRPr="00AB4DCC">
        <w:rPr>
          <w:lang w:val="fr-FR"/>
        </w:rPr>
        <w:t>homologation, une marque d</w:t>
      </w:r>
      <w:r>
        <w:rPr>
          <w:lang w:val="fr-FR"/>
        </w:rPr>
        <w:t>’</w:t>
      </w:r>
      <w:r w:rsidRPr="00AB4DCC">
        <w:rPr>
          <w:lang w:val="fr-FR"/>
        </w:rPr>
        <w:t>homologation conforme au modèle décrit à l</w:t>
      </w:r>
      <w:r>
        <w:rPr>
          <w:lang w:val="fr-FR"/>
        </w:rPr>
        <w:t>’</w:t>
      </w:r>
      <w:r w:rsidRPr="00AB4DCC">
        <w:rPr>
          <w:lang w:val="fr-FR"/>
        </w:rPr>
        <w:t>annexe 2 et composée</w:t>
      </w:r>
      <w:r>
        <w:rPr>
          <w:lang w:val="fr-FR"/>
        </w:rPr>
        <w:t> :</w:t>
      </w:r>
    </w:p>
    <w:p w14:paraId="70E6FFE1" w14:textId="5E4489CA" w:rsidR="00EE432D" w:rsidRPr="00AB4DCC" w:rsidRDefault="00EE432D" w:rsidP="006F5732">
      <w:pPr>
        <w:pStyle w:val="SingleTxtG"/>
        <w:tabs>
          <w:tab w:val="clear" w:pos="1701"/>
        </w:tabs>
        <w:ind w:left="2268" w:hanging="1134"/>
        <w:rPr>
          <w:lang w:val="fr-FR"/>
        </w:rPr>
      </w:pPr>
      <w:r w:rsidRPr="00AB4DCC">
        <w:rPr>
          <w:lang w:val="fr-FR"/>
        </w:rPr>
        <w:t>4</w:t>
      </w:r>
      <w:r w:rsidR="00DF7AA4" w:rsidRPr="00DF7AA4">
        <w:rPr>
          <w:lang w:val="fr-FR"/>
        </w:rPr>
        <w:t>.</w:t>
      </w:r>
      <w:r w:rsidRPr="00AB4DCC">
        <w:rPr>
          <w:lang w:val="fr-FR"/>
        </w:rPr>
        <w:t>4</w:t>
      </w:r>
      <w:r w:rsidR="00DF7AA4" w:rsidRPr="00DF7AA4">
        <w:rPr>
          <w:lang w:val="fr-FR"/>
        </w:rPr>
        <w:t>.</w:t>
      </w:r>
      <w:r w:rsidRPr="00AB4DCC">
        <w:rPr>
          <w:lang w:val="fr-FR"/>
        </w:rPr>
        <w:t>1</w:t>
      </w:r>
      <w:r w:rsidRPr="00AB4DCC">
        <w:rPr>
          <w:lang w:val="fr-FR"/>
        </w:rPr>
        <w:tab/>
        <w:t>D</w:t>
      </w:r>
      <w:r>
        <w:rPr>
          <w:lang w:val="fr-FR"/>
        </w:rPr>
        <w:t>’</w:t>
      </w:r>
      <w:r w:rsidRPr="00AB4DCC">
        <w:rPr>
          <w:lang w:val="fr-FR"/>
        </w:rPr>
        <w:t>un cercle à l</w:t>
      </w:r>
      <w:r>
        <w:rPr>
          <w:lang w:val="fr-FR"/>
        </w:rPr>
        <w:t>’</w:t>
      </w:r>
      <w:r w:rsidRPr="00AB4DCC">
        <w:rPr>
          <w:lang w:val="fr-FR"/>
        </w:rPr>
        <w:t>intérieur duquel est placée la lettre «</w:t>
      </w:r>
      <w:r>
        <w:rPr>
          <w:lang w:val="fr-FR"/>
        </w:rPr>
        <w:t> </w:t>
      </w:r>
      <w:r w:rsidRPr="00AB4DCC">
        <w:rPr>
          <w:lang w:val="fr-FR"/>
        </w:rPr>
        <w:t>E</w:t>
      </w:r>
      <w:r>
        <w:rPr>
          <w:lang w:val="fr-FR"/>
        </w:rPr>
        <w:t> </w:t>
      </w:r>
      <w:r w:rsidRPr="00AB4DCC">
        <w:rPr>
          <w:lang w:val="fr-FR"/>
        </w:rPr>
        <w:t>» suivie du numéro distinctif du pays qui a accordé l</w:t>
      </w:r>
      <w:r>
        <w:rPr>
          <w:lang w:val="fr-FR"/>
        </w:rPr>
        <w:t>’</w:t>
      </w:r>
      <w:r w:rsidRPr="00AB4DCC">
        <w:rPr>
          <w:lang w:val="fr-FR"/>
        </w:rPr>
        <w:t>homologation</w:t>
      </w:r>
      <w:r w:rsidRPr="004B1B5A">
        <w:rPr>
          <w:rStyle w:val="Appelnotedebasdep"/>
        </w:rPr>
        <w:footnoteReference w:id="4"/>
      </w:r>
      <w:r>
        <w:rPr>
          <w:lang w:val="fr-FR"/>
        </w:rPr>
        <w:t> ;</w:t>
      </w:r>
    </w:p>
    <w:p w14:paraId="68F35B8A" w14:textId="34D3CD21" w:rsidR="00EE432D" w:rsidRPr="00AB4DCC" w:rsidRDefault="00EE432D" w:rsidP="006F5732">
      <w:pPr>
        <w:pStyle w:val="SingleTxtG"/>
        <w:tabs>
          <w:tab w:val="clear" w:pos="1701"/>
        </w:tabs>
        <w:ind w:left="2268" w:hanging="1134"/>
        <w:rPr>
          <w:lang w:val="fr-FR"/>
        </w:rPr>
      </w:pPr>
      <w:r w:rsidRPr="00AB4DCC">
        <w:rPr>
          <w:lang w:val="fr-FR"/>
        </w:rPr>
        <w:t>4</w:t>
      </w:r>
      <w:r w:rsidR="00DF7AA4" w:rsidRPr="00DF7AA4">
        <w:rPr>
          <w:lang w:val="fr-FR"/>
        </w:rPr>
        <w:t>.</w:t>
      </w:r>
      <w:r w:rsidRPr="00AB4DCC">
        <w:rPr>
          <w:lang w:val="fr-FR"/>
        </w:rPr>
        <w:t>4</w:t>
      </w:r>
      <w:r w:rsidR="00DF7AA4" w:rsidRPr="00DF7AA4">
        <w:rPr>
          <w:lang w:val="fr-FR"/>
        </w:rPr>
        <w:t>.</w:t>
      </w:r>
      <w:r w:rsidRPr="00AB4DCC">
        <w:rPr>
          <w:lang w:val="fr-FR"/>
        </w:rPr>
        <w:t>2</w:t>
      </w:r>
      <w:r w:rsidRPr="00AB4DCC">
        <w:rPr>
          <w:lang w:val="fr-FR"/>
        </w:rPr>
        <w:tab/>
        <w:t>Du numéro du présent Règlement, suivi de la lettre «</w:t>
      </w:r>
      <w:r>
        <w:rPr>
          <w:lang w:val="fr-FR"/>
        </w:rPr>
        <w:t> </w:t>
      </w:r>
      <w:r w:rsidRPr="00AB4DCC">
        <w:rPr>
          <w:lang w:val="fr-FR"/>
        </w:rPr>
        <w:t>R</w:t>
      </w:r>
      <w:r>
        <w:rPr>
          <w:lang w:val="fr-FR"/>
        </w:rPr>
        <w:t> </w:t>
      </w:r>
      <w:r w:rsidRPr="00AB4DCC">
        <w:rPr>
          <w:lang w:val="fr-FR"/>
        </w:rPr>
        <w:t>», d</w:t>
      </w:r>
      <w:r>
        <w:rPr>
          <w:lang w:val="fr-FR"/>
        </w:rPr>
        <w:t>’</w:t>
      </w:r>
      <w:r w:rsidRPr="00AB4DCC">
        <w:rPr>
          <w:lang w:val="fr-FR"/>
        </w:rPr>
        <w:t>un tiret et d</w:t>
      </w:r>
      <w:r>
        <w:rPr>
          <w:lang w:val="fr-FR"/>
        </w:rPr>
        <w:t>’</w:t>
      </w:r>
      <w:r w:rsidRPr="00AB4DCC">
        <w:rPr>
          <w:lang w:val="fr-FR"/>
        </w:rPr>
        <w:t>un numéro d</w:t>
      </w:r>
      <w:r>
        <w:rPr>
          <w:lang w:val="fr-FR"/>
        </w:rPr>
        <w:t>’</w:t>
      </w:r>
      <w:r w:rsidRPr="00AB4DCC">
        <w:rPr>
          <w:lang w:val="fr-FR"/>
        </w:rPr>
        <w:t>homologation, placé à droite du cercle prévu au paragraphe 4</w:t>
      </w:r>
      <w:r w:rsidR="00DF7AA4" w:rsidRPr="00DF7AA4">
        <w:rPr>
          <w:lang w:val="fr-FR"/>
        </w:rPr>
        <w:t>.</w:t>
      </w:r>
      <w:r w:rsidRPr="00AB4DCC">
        <w:rPr>
          <w:lang w:val="fr-FR"/>
        </w:rPr>
        <w:t>4</w:t>
      </w:r>
      <w:r w:rsidR="00DF7AA4" w:rsidRPr="00DF7AA4">
        <w:rPr>
          <w:lang w:val="fr-FR"/>
        </w:rPr>
        <w:t>.</w:t>
      </w:r>
      <w:r w:rsidRPr="00AB4DCC">
        <w:rPr>
          <w:lang w:val="fr-FR"/>
        </w:rPr>
        <w:t>1</w:t>
      </w:r>
      <w:r>
        <w:rPr>
          <w:lang w:val="fr-FR"/>
        </w:rPr>
        <w:t> ;</w:t>
      </w:r>
    </w:p>
    <w:p w14:paraId="5B0BA043" w14:textId="57EAD0CF" w:rsidR="00EE432D" w:rsidRPr="00AB4DCC" w:rsidRDefault="00EE432D" w:rsidP="006F5732">
      <w:pPr>
        <w:pStyle w:val="SingleTxtG"/>
        <w:tabs>
          <w:tab w:val="clear" w:pos="1701"/>
        </w:tabs>
        <w:ind w:left="2268" w:hanging="1134"/>
        <w:rPr>
          <w:lang w:val="fr-FR"/>
        </w:rPr>
      </w:pPr>
      <w:r w:rsidRPr="00AB4DCC">
        <w:rPr>
          <w:lang w:val="fr-FR"/>
        </w:rPr>
        <w:t>4</w:t>
      </w:r>
      <w:r w:rsidR="00DF7AA4" w:rsidRPr="00DF7AA4">
        <w:rPr>
          <w:lang w:val="fr-FR"/>
        </w:rPr>
        <w:t>.</w:t>
      </w:r>
      <w:r w:rsidRPr="00AB4DCC">
        <w:rPr>
          <w:lang w:val="fr-FR"/>
        </w:rPr>
        <w:t>5</w:t>
      </w:r>
      <w:r w:rsidRPr="00AB4DCC">
        <w:rPr>
          <w:lang w:val="fr-FR"/>
        </w:rPr>
        <w:tab/>
        <w:t>Si le véhicule est conforme à un type ayant déjà fait l</w:t>
      </w:r>
      <w:r>
        <w:rPr>
          <w:lang w:val="fr-FR"/>
        </w:rPr>
        <w:t>’</w:t>
      </w:r>
      <w:r w:rsidRPr="00AB4DCC">
        <w:rPr>
          <w:lang w:val="fr-FR"/>
        </w:rPr>
        <w:t>objet d</w:t>
      </w:r>
      <w:r>
        <w:rPr>
          <w:lang w:val="fr-FR"/>
        </w:rPr>
        <w:t>’</w:t>
      </w:r>
      <w:r w:rsidRPr="00AB4DCC">
        <w:rPr>
          <w:lang w:val="fr-FR"/>
        </w:rPr>
        <w:t xml:space="preserve">une homologation </w:t>
      </w:r>
      <w:r>
        <w:rPr>
          <w:lang w:val="fr-FR"/>
        </w:rPr>
        <w:t>au titre</w:t>
      </w:r>
      <w:r w:rsidRPr="00AB4DCC">
        <w:rPr>
          <w:lang w:val="fr-FR"/>
        </w:rPr>
        <w:t xml:space="preserve"> d</w:t>
      </w:r>
      <w:r>
        <w:rPr>
          <w:lang w:val="fr-FR"/>
        </w:rPr>
        <w:t>’</w:t>
      </w:r>
      <w:r w:rsidRPr="00AB4DCC">
        <w:rPr>
          <w:lang w:val="fr-FR"/>
        </w:rPr>
        <w:t>un ou de plusieurs autres Règlements annexés à l</w:t>
      </w:r>
      <w:r>
        <w:rPr>
          <w:lang w:val="fr-FR"/>
        </w:rPr>
        <w:t>’</w:t>
      </w:r>
      <w:r w:rsidRPr="00AB4DCC">
        <w:rPr>
          <w:lang w:val="fr-FR"/>
        </w:rPr>
        <w:t>Accord, dans le pays qui a accordé l</w:t>
      </w:r>
      <w:r>
        <w:rPr>
          <w:lang w:val="fr-FR"/>
        </w:rPr>
        <w:t>’</w:t>
      </w:r>
      <w:r w:rsidRPr="00AB4DCC">
        <w:rPr>
          <w:lang w:val="fr-FR"/>
        </w:rPr>
        <w:t xml:space="preserve">homologation </w:t>
      </w:r>
      <w:r>
        <w:rPr>
          <w:lang w:val="fr-FR"/>
        </w:rPr>
        <w:t>au titre</w:t>
      </w:r>
      <w:r w:rsidRPr="00AB4DCC">
        <w:rPr>
          <w:lang w:val="fr-FR"/>
        </w:rPr>
        <w:t xml:space="preserve"> du présent Règlement, le symbole visé au paragraphe 4</w:t>
      </w:r>
      <w:r w:rsidR="00DF7AA4" w:rsidRPr="00DF7AA4">
        <w:rPr>
          <w:lang w:val="fr-FR"/>
        </w:rPr>
        <w:t>.</w:t>
      </w:r>
      <w:r w:rsidRPr="00AB4DCC">
        <w:rPr>
          <w:lang w:val="fr-FR"/>
        </w:rPr>
        <w:t>4</w:t>
      </w:r>
      <w:r w:rsidR="00DF7AA4" w:rsidRPr="00DF7AA4">
        <w:rPr>
          <w:lang w:val="fr-FR"/>
        </w:rPr>
        <w:t>.</w:t>
      </w:r>
      <w:r w:rsidRPr="00AB4DCC">
        <w:rPr>
          <w:lang w:val="fr-FR"/>
        </w:rPr>
        <w:t>1 ne doit pas être répété</w:t>
      </w:r>
      <w:r w:rsidR="00DF7AA4" w:rsidRPr="00DF7AA4">
        <w:rPr>
          <w:lang w:val="fr-FR"/>
        </w:rPr>
        <w:t>.</w:t>
      </w:r>
      <w:r w:rsidRPr="00AB4DCC">
        <w:rPr>
          <w:lang w:val="fr-FR"/>
        </w:rPr>
        <w:t xml:space="preserve"> Dans ce cas, les numéros de Règlement et d</w:t>
      </w:r>
      <w:r>
        <w:rPr>
          <w:lang w:val="fr-FR"/>
        </w:rPr>
        <w:t>’</w:t>
      </w:r>
      <w:r w:rsidRPr="00AB4DCC">
        <w:rPr>
          <w:lang w:val="fr-FR"/>
        </w:rPr>
        <w:t xml:space="preserve">homologation ainsi que les symboles additionnels doivent être placés </w:t>
      </w:r>
      <w:r>
        <w:rPr>
          <w:lang w:val="fr-FR"/>
        </w:rPr>
        <w:t>les uns au-dessus des autres</w:t>
      </w:r>
      <w:r w:rsidRPr="00AB4DCC">
        <w:rPr>
          <w:lang w:val="fr-FR"/>
        </w:rPr>
        <w:t xml:space="preserve"> à droite du symbole visé au paragraphe 4</w:t>
      </w:r>
      <w:r w:rsidR="00DF7AA4" w:rsidRPr="00DF7AA4">
        <w:rPr>
          <w:lang w:val="fr-FR"/>
        </w:rPr>
        <w:t>.</w:t>
      </w:r>
      <w:r w:rsidRPr="00AB4DCC">
        <w:rPr>
          <w:lang w:val="fr-FR"/>
        </w:rPr>
        <w:t>4</w:t>
      </w:r>
      <w:r w:rsidR="00DF7AA4" w:rsidRPr="00DF7AA4">
        <w:rPr>
          <w:lang w:val="fr-FR"/>
        </w:rPr>
        <w:t>.</w:t>
      </w:r>
      <w:r w:rsidRPr="00AB4DCC">
        <w:rPr>
          <w:lang w:val="fr-FR"/>
        </w:rPr>
        <w:t>1</w:t>
      </w:r>
      <w:r w:rsidR="00DF7AA4" w:rsidRPr="00DF7AA4">
        <w:rPr>
          <w:lang w:val="fr-FR"/>
        </w:rPr>
        <w:t>.</w:t>
      </w:r>
    </w:p>
    <w:p w14:paraId="68101017" w14:textId="3B2EEF7F" w:rsidR="00EE432D" w:rsidRPr="00AB4DCC" w:rsidRDefault="00EE432D" w:rsidP="006F5732">
      <w:pPr>
        <w:pStyle w:val="SingleTxtG"/>
        <w:tabs>
          <w:tab w:val="clear" w:pos="1701"/>
        </w:tabs>
        <w:ind w:left="2268" w:hanging="1134"/>
        <w:rPr>
          <w:lang w:val="fr-FR"/>
        </w:rPr>
      </w:pPr>
      <w:r w:rsidRPr="00AB4DCC">
        <w:rPr>
          <w:lang w:val="fr-FR"/>
        </w:rPr>
        <w:t>4</w:t>
      </w:r>
      <w:r w:rsidR="00DF7AA4" w:rsidRPr="00DF7AA4">
        <w:rPr>
          <w:lang w:val="fr-FR"/>
        </w:rPr>
        <w:t>.</w:t>
      </w:r>
      <w:r w:rsidRPr="00AB4DCC">
        <w:rPr>
          <w:lang w:val="fr-FR"/>
        </w:rPr>
        <w:t>6</w:t>
      </w:r>
      <w:r w:rsidRPr="00AB4DCC">
        <w:rPr>
          <w:lang w:val="fr-FR"/>
        </w:rPr>
        <w:tab/>
        <w:t>La marque d</w:t>
      </w:r>
      <w:r>
        <w:rPr>
          <w:lang w:val="fr-FR"/>
        </w:rPr>
        <w:t>’</w:t>
      </w:r>
      <w:r w:rsidRPr="00AB4DCC">
        <w:rPr>
          <w:lang w:val="fr-FR"/>
        </w:rPr>
        <w:t>homologation doit être nettement lisible et indélébile</w:t>
      </w:r>
      <w:r w:rsidR="00DF7AA4" w:rsidRPr="00DF7AA4">
        <w:rPr>
          <w:lang w:val="fr-FR"/>
        </w:rPr>
        <w:t>.</w:t>
      </w:r>
    </w:p>
    <w:p w14:paraId="4B4635D2" w14:textId="69560DFE" w:rsidR="00EE432D" w:rsidRPr="00AB4DCC" w:rsidRDefault="00EE432D" w:rsidP="006F5732">
      <w:pPr>
        <w:pStyle w:val="SingleTxtG"/>
        <w:tabs>
          <w:tab w:val="clear" w:pos="1701"/>
        </w:tabs>
        <w:ind w:left="2268" w:hanging="1134"/>
        <w:rPr>
          <w:lang w:val="fr-FR"/>
        </w:rPr>
      </w:pPr>
      <w:r w:rsidRPr="00AB4DCC">
        <w:rPr>
          <w:lang w:val="fr-FR"/>
        </w:rPr>
        <w:t>4</w:t>
      </w:r>
      <w:r w:rsidR="00DF7AA4" w:rsidRPr="00DF7AA4">
        <w:rPr>
          <w:lang w:val="fr-FR"/>
        </w:rPr>
        <w:t>.</w:t>
      </w:r>
      <w:r w:rsidRPr="00AB4DCC">
        <w:rPr>
          <w:lang w:val="fr-FR"/>
        </w:rPr>
        <w:t>7</w:t>
      </w:r>
      <w:r w:rsidRPr="00AB4DCC">
        <w:rPr>
          <w:lang w:val="fr-FR"/>
        </w:rPr>
        <w:tab/>
        <w:t>La marque d</w:t>
      </w:r>
      <w:r>
        <w:rPr>
          <w:lang w:val="fr-FR"/>
        </w:rPr>
        <w:t>’</w:t>
      </w:r>
      <w:r w:rsidRPr="00AB4DCC">
        <w:rPr>
          <w:lang w:val="fr-FR"/>
        </w:rPr>
        <w:t>homologation doit être placée sur la plaque signalétique apposée par le constructeur, ou à proximité</w:t>
      </w:r>
      <w:r w:rsidR="00DF7AA4" w:rsidRPr="00DF7AA4">
        <w:rPr>
          <w:lang w:val="fr-FR"/>
        </w:rPr>
        <w:t>.</w:t>
      </w:r>
    </w:p>
    <w:p w14:paraId="5F8B8F9B" w14:textId="7DBCBB71" w:rsidR="00EE432D" w:rsidRPr="00AB4DCC" w:rsidRDefault="00EE432D" w:rsidP="00EE432D">
      <w:pPr>
        <w:pStyle w:val="HChG"/>
        <w:tabs>
          <w:tab w:val="clear" w:pos="851"/>
        </w:tabs>
        <w:ind w:left="2268"/>
        <w:rPr>
          <w:lang w:val="fr-FR"/>
        </w:rPr>
      </w:pPr>
      <w:r w:rsidRPr="00AB4DCC">
        <w:rPr>
          <w:bCs/>
          <w:lang w:val="fr-FR"/>
        </w:rPr>
        <w:t>5</w:t>
      </w:r>
      <w:r w:rsidR="00DF7AA4" w:rsidRPr="00DF7AA4">
        <w:rPr>
          <w:bCs/>
          <w:lang w:val="fr-FR"/>
        </w:rPr>
        <w:t>.</w:t>
      </w:r>
      <w:r w:rsidRPr="00AB4DCC">
        <w:rPr>
          <w:lang w:val="fr-FR"/>
        </w:rPr>
        <w:tab/>
      </w:r>
      <w:r w:rsidRPr="00AB4DCC">
        <w:rPr>
          <w:bCs/>
          <w:lang w:val="fr-FR"/>
        </w:rPr>
        <w:t>Spécifications</w:t>
      </w:r>
    </w:p>
    <w:p w14:paraId="081110BE" w14:textId="78808E72" w:rsidR="00EE432D" w:rsidRPr="00AB4DCC" w:rsidRDefault="00EE432D" w:rsidP="006F5732">
      <w:pPr>
        <w:pStyle w:val="SingleTxtG"/>
        <w:tabs>
          <w:tab w:val="clear" w:pos="1701"/>
        </w:tabs>
        <w:ind w:left="2268" w:hanging="1134"/>
        <w:rPr>
          <w:lang w:val="fr-FR"/>
        </w:rPr>
      </w:pPr>
      <w:r w:rsidRPr="00AB4DCC">
        <w:rPr>
          <w:lang w:val="fr-FR"/>
        </w:rPr>
        <w:t>5</w:t>
      </w:r>
      <w:r w:rsidR="00DF7AA4" w:rsidRPr="00DF7AA4">
        <w:rPr>
          <w:lang w:val="fr-FR"/>
        </w:rPr>
        <w:t>.</w:t>
      </w:r>
      <w:r w:rsidRPr="00AB4DCC">
        <w:rPr>
          <w:lang w:val="fr-FR"/>
        </w:rPr>
        <w:t>1</w:t>
      </w:r>
      <w:r w:rsidRPr="00AB4DCC">
        <w:rPr>
          <w:lang w:val="fr-FR"/>
        </w:rPr>
        <w:tab/>
        <w:t>Prescriptions fonctionnelles</w:t>
      </w:r>
    </w:p>
    <w:p w14:paraId="11BBFDED" w14:textId="6403FD6C" w:rsidR="00EE432D" w:rsidRPr="00AB4DCC" w:rsidRDefault="00EE432D" w:rsidP="00EE432D">
      <w:pPr>
        <w:pStyle w:val="Paragraphedeliste"/>
        <w:spacing w:after="120" w:line="240" w:lineRule="auto"/>
        <w:ind w:left="2268" w:right="1134"/>
        <w:contextualSpacing w:val="0"/>
        <w:jc w:val="both"/>
        <w:rPr>
          <w:lang w:val="fr-FR"/>
        </w:rPr>
      </w:pPr>
      <w:r w:rsidRPr="00AB4DCC">
        <w:rPr>
          <w:lang w:val="fr-FR"/>
        </w:rPr>
        <w:t>Les prescriptions fonctionnelles ci-après s</w:t>
      </w:r>
      <w:r>
        <w:rPr>
          <w:lang w:val="fr-FR"/>
        </w:rPr>
        <w:t>’</w:t>
      </w:r>
      <w:r w:rsidRPr="00AB4DCC">
        <w:rPr>
          <w:lang w:val="fr-FR"/>
        </w:rPr>
        <w:t>appliquent aux véhicules auxquels aucune remorque n</w:t>
      </w:r>
      <w:r>
        <w:rPr>
          <w:lang w:val="fr-FR"/>
        </w:rPr>
        <w:t>’</w:t>
      </w:r>
      <w:r w:rsidRPr="00AB4DCC">
        <w:rPr>
          <w:lang w:val="fr-FR"/>
        </w:rPr>
        <w:t xml:space="preserve">est attelée, dont la masse est comprise entre la masse maximale et la masse en ordre de marche et dont le système de gestion </w:t>
      </w:r>
      <w:r>
        <w:rPr>
          <w:lang w:val="fr-FR"/>
        </w:rPr>
        <w:t>de la chaîne de traction</w:t>
      </w:r>
      <w:r w:rsidRPr="00AB4DCC">
        <w:rPr>
          <w:lang w:val="fr-FR"/>
        </w:rPr>
        <w:t xml:space="preserve"> fonctionne correctement</w:t>
      </w:r>
      <w:r w:rsidR="00DF7AA4" w:rsidRPr="00DF7AA4">
        <w:rPr>
          <w:lang w:val="fr-FR"/>
        </w:rPr>
        <w:t>.</w:t>
      </w:r>
    </w:p>
    <w:p w14:paraId="740929B6" w14:textId="4AB37D04" w:rsidR="00EE432D" w:rsidRPr="00AB4DCC" w:rsidRDefault="00EE432D" w:rsidP="006F5732">
      <w:pPr>
        <w:pStyle w:val="SingleTxtG"/>
        <w:tabs>
          <w:tab w:val="clear" w:pos="1701"/>
        </w:tabs>
        <w:ind w:left="2268" w:hanging="1134"/>
        <w:rPr>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1</w:t>
      </w:r>
      <w:r w:rsidRPr="00AB4DCC">
        <w:rPr>
          <w:lang w:val="fr-FR"/>
        </w:rPr>
        <w:tab/>
        <w:t>Le système ACPE doit pouvoir limiter l</w:t>
      </w:r>
      <w:r>
        <w:rPr>
          <w:lang w:val="fr-FR"/>
        </w:rPr>
        <w:t>’</w:t>
      </w:r>
      <w:r w:rsidRPr="00AB4DCC">
        <w:rPr>
          <w:lang w:val="fr-FR"/>
        </w:rPr>
        <w:t>accélération involontaire du véhicule lorsqu</w:t>
      </w:r>
      <w:r>
        <w:rPr>
          <w:lang w:val="fr-FR"/>
        </w:rPr>
        <w:t>’</w:t>
      </w:r>
      <w:r w:rsidRPr="00AB4DCC">
        <w:rPr>
          <w:lang w:val="fr-FR"/>
        </w:rPr>
        <w:t>il détecte une mauvaise utilisation de la commande d</w:t>
      </w:r>
      <w:r>
        <w:rPr>
          <w:lang w:val="fr-FR"/>
        </w:rPr>
        <w:t>’</w:t>
      </w:r>
      <w:r w:rsidRPr="00AB4DCC">
        <w:rPr>
          <w:lang w:val="fr-FR"/>
        </w:rPr>
        <w:t>accélérateur par le conducteur au moins dans les cas de figure suivants</w:t>
      </w:r>
      <w:r>
        <w:rPr>
          <w:lang w:val="fr-FR"/>
        </w:rPr>
        <w:t> :</w:t>
      </w:r>
    </w:p>
    <w:p w14:paraId="1E92294C" w14:textId="77777777" w:rsidR="00EE432D" w:rsidRPr="00AB4DCC" w:rsidRDefault="00EE432D" w:rsidP="00EE432D">
      <w:pPr>
        <w:pStyle w:val="SingleTxtG"/>
        <w:ind w:left="2835" w:hanging="567"/>
        <w:rPr>
          <w:lang w:val="fr-FR"/>
        </w:rPr>
      </w:pPr>
      <w:r w:rsidRPr="00AB4DCC">
        <w:rPr>
          <w:lang w:val="fr-FR"/>
        </w:rPr>
        <w:lastRenderedPageBreak/>
        <w:t>a)</w:t>
      </w:r>
      <w:r w:rsidRPr="00AB4DCC">
        <w:rPr>
          <w:lang w:val="fr-FR"/>
        </w:rPr>
        <w:tab/>
        <w:t>Un obstacle se trouve devant le véhicule alors que le conducteur a enclenché la marche avant</w:t>
      </w:r>
      <w:r>
        <w:rPr>
          <w:lang w:val="fr-FR"/>
        </w:rPr>
        <w:t> ;</w:t>
      </w:r>
    </w:p>
    <w:p w14:paraId="68471DF3" w14:textId="5AE41F2F" w:rsidR="00EE432D" w:rsidRPr="00AB4DCC" w:rsidRDefault="00EE432D" w:rsidP="00EE432D">
      <w:pPr>
        <w:pStyle w:val="SingleTxtG"/>
        <w:ind w:left="2835" w:hanging="567"/>
        <w:rPr>
          <w:color w:val="000000" w:themeColor="text1"/>
          <w:lang w:val="fr-FR"/>
        </w:rPr>
      </w:pPr>
      <w:r w:rsidRPr="00AB4DCC">
        <w:rPr>
          <w:lang w:val="fr-FR"/>
        </w:rPr>
        <w:t>b)</w:t>
      </w:r>
      <w:r w:rsidRPr="00AB4DCC">
        <w:rPr>
          <w:lang w:val="fr-FR"/>
        </w:rPr>
        <w:tab/>
        <w:t>Un obstacle se trouve derrière le véhicule alors que le conducteur a enclenché la marche arrière</w:t>
      </w:r>
      <w:r w:rsidR="00DF7AA4" w:rsidRPr="00DF7AA4">
        <w:rPr>
          <w:lang w:val="fr-FR"/>
        </w:rPr>
        <w:t>.</w:t>
      </w:r>
    </w:p>
    <w:p w14:paraId="0B54EF36" w14:textId="21ADBB39" w:rsidR="00EE432D" w:rsidRPr="00AB4DCC" w:rsidRDefault="00EE432D" w:rsidP="006F5732">
      <w:pPr>
        <w:pStyle w:val="SingleTxtG"/>
        <w:tabs>
          <w:tab w:val="clear" w:pos="1701"/>
        </w:tabs>
        <w:ind w:left="2268" w:hanging="1134"/>
        <w:rPr>
          <w:color w:val="000000" w:themeColor="text1"/>
          <w:highlight w:val="cyan"/>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2</w:t>
      </w:r>
      <w:r w:rsidRPr="00AB4DCC">
        <w:rPr>
          <w:lang w:val="fr-FR"/>
        </w:rPr>
        <w:tab/>
        <w:t>L</w:t>
      </w:r>
      <w:r>
        <w:rPr>
          <w:lang w:val="fr-FR"/>
        </w:rPr>
        <w:t>’</w:t>
      </w:r>
      <w:r w:rsidRPr="00AB4DCC">
        <w:rPr>
          <w:lang w:val="fr-FR"/>
        </w:rPr>
        <w:t>actionnement de la commande d</w:t>
      </w:r>
      <w:r>
        <w:rPr>
          <w:lang w:val="fr-FR"/>
        </w:rPr>
        <w:t>’</w:t>
      </w:r>
      <w:r w:rsidRPr="00AB4DCC">
        <w:rPr>
          <w:lang w:val="fr-FR"/>
        </w:rPr>
        <w:t>accélérateur à une vitesse d</w:t>
      </w:r>
      <w:r>
        <w:rPr>
          <w:lang w:val="fr-FR"/>
        </w:rPr>
        <w:t>’</w:t>
      </w:r>
      <w:r w:rsidRPr="00AB4DCC">
        <w:rPr>
          <w:lang w:val="fr-FR"/>
        </w:rPr>
        <w:t>au moins 400</w:t>
      </w:r>
      <w:r>
        <w:rPr>
          <w:lang w:val="fr-FR"/>
        </w:rPr>
        <w:t> %</w:t>
      </w:r>
      <w:r w:rsidRPr="00AB4DCC">
        <w:rPr>
          <w:lang w:val="fr-FR"/>
        </w:rPr>
        <w:t xml:space="preserve"> par seconde sur au moins 70</w:t>
      </w:r>
      <w:r>
        <w:rPr>
          <w:lang w:val="fr-FR"/>
        </w:rPr>
        <w:t> %</w:t>
      </w:r>
      <w:r w:rsidRPr="00AB4DCC">
        <w:rPr>
          <w:lang w:val="fr-FR"/>
        </w:rPr>
        <w:t xml:space="preserve"> de son amplitude</w:t>
      </w:r>
      <w:r w:rsidRPr="00AB4DCC">
        <w:rPr>
          <w:rStyle w:val="ui-provider"/>
          <w:lang w:val="fr-FR"/>
        </w:rPr>
        <w:t>, à l</w:t>
      </w:r>
      <w:r>
        <w:rPr>
          <w:rStyle w:val="ui-provider"/>
          <w:lang w:val="fr-FR"/>
        </w:rPr>
        <w:t>’</w:t>
      </w:r>
      <w:r w:rsidRPr="00AB4DCC">
        <w:rPr>
          <w:rStyle w:val="ui-provider"/>
          <w:lang w:val="fr-FR"/>
        </w:rPr>
        <w:t>issue duquel la commande atteint une position égale à au moins 90</w:t>
      </w:r>
      <w:r>
        <w:rPr>
          <w:rStyle w:val="ui-provider"/>
          <w:lang w:val="fr-FR"/>
        </w:rPr>
        <w:t> %</w:t>
      </w:r>
      <w:r w:rsidRPr="00AB4DCC">
        <w:rPr>
          <w:rStyle w:val="ui-provider"/>
          <w:lang w:val="fr-FR"/>
        </w:rPr>
        <w:t xml:space="preserve"> de son amplitude,</w:t>
      </w:r>
      <w:r w:rsidRPr="00AB4DCC">
        <w:rPr>
          <w:lang w:val="fr-FR"/>
        </w:rPr>
        <w:t xml:space="preserve"> est considéré comme un mauvais usage de la commande d</w:t>
      </w:r>
      <w:r>
        <w:rPr>
          <w:lang w:val="fr-FR"/>
        </w:rPr>
        <w:t>’</w:t>
      </w:r>
      <w:r w:rsidRPr="00AB4DCC">
        <w:rPr>
          <w:lang w:val="fr-FR"/>
        </w:rPr>
        <w:t>accélérateur dans le contexte du paragraphe 5</w:t>
      </w:r>
      <w:r w:rsidR="00DF7AA4" w:rsidRPr="00DF7AA4">
        <w:rPr>
          <w:lang w:val="fr-FR"/>
        </w:rPr>
        <w:t>.</w:t>
      </w:r>
      <w:r w:rsidRPr="00AB4DCC">
        <w:rPr>
          <w:lang w:val="fr-FR"/>
        </w:rPr>
        <w:t>1</w:t>
      </w:r>
      <w:r w:rsidR="00DF7AA4" w:rsidRPr="00DF7AA4">
        <w:rPr>
          <w:lang w:val="fr-FR"/>
        </w:rPr>
        <w:t>.</w:t>
      </w:r>
      <w:r w:rsidRPr="00AB4DCC">
        <w:rPr>
          <w:lang w:val="fr-FR"/>
        </w:rPr>
        <w:t>1</w:t>
      </w:r>
      <w:r w:rsidR="00DF7AA4" w:rsidRPr="00DF7AA4">
        <w:rPr>
          <w:lang w:val="fr-FR"/>
        </w:rPr>
        <w:t>.</w:t>
      </w:r>
    </w:p>
    <w:p w14:paraId="5469AEBA" w14:textId="6203E0A0" w:rsidR="00EE432D" w:rsidRPr="00AB4DCC" w:rsidRDefault="00EE432D" w:rsidP="006F5732">
      <w:pPr>
        <w:pStyle w:val="SingleTxtG"/>
        <w:tabs>
          <w:tab w:val="clear" w:pos="1701"/>
        </w:tabs>
        <w:ind w:left="2268" w:hanging="1134"/>
        <w:rPr>
          <w:color w:val="000000" w:themeColor="text1"/>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3</w:t>
      </w:r>
      <w:r w:rsidRPr="00AB4DCC">
        <w:rPr>
          <w:lang w:val="fr-FR"/>
        </w:rPr>
        <w:tab/>
        <w:t>Nonobstant le paragraphe 5</w:t>
      </w:r>
      <w:r w:rsidR="00DF7AA4" w:rsidRPr="00DF7AA4">
        <w:rPr>
          <w:lang w:val="fr-FR"/>
        </w:rPr>
        <w:t>.</w:t>
      </w:r>
      <w:r w:rsidRPr="00AB4DCC">
        <w:rPr>
          <w:lang w:val="fr-FR"/>
        </w:rPr>
        <w:t>1</w:t>
      </w:r>
      <w:r w:rsidR="00DF7AA4" w:rsidRPr="00DF7AA4">
        <w:rPr>
          <w:lang w:val="fr-FR"/>
        </w:rPr>
        <w:t>.</w:t>
      </w:r>
      <w:r w:rsidRPr="00AB4DCC">
        <w:rPr>
          <w:lang w:val="fr-FR"/>
        </w:rPr>
        <w:t>2, dans le cas des systèmes qui déclenchent le contrôle de l</w:t>
      </w:r>
      <w:r>
        <w:rPr>
          <w:lang w:val="fr-FR"/>
        </w:rPr>
        <w:t>’</w:t>
      </w:r>
      <w:r w:rsidRPr="00AB4DCC">
        <w:rPr>
          <w:lang w:val="fr-FR"/>
        </w:rPr>
        <w:t>accélération en fonction de la force exercée, une force exercée sur la commande d</w:t>
      </w:r>
      <w:r>
        <w:rPr>
          <w:lang w:val="fr-FR"/>
        </w:rPr>
        <w:t>’</w:t>
      </w:r>
      <w:r w:rsidRPr="00AB4DCC">
        <w:rPr>
          <w:lang w:val="fr-FR"/>
        </w:rPr>
        <w:t>accélérateur qui est supérieure au seuil de déclenchement est considérée comme un mauvais usage de la commande d</w:t>
      </w:r>
      <w:r>
        <w:rPr>
          <w:lang w:val="fr-FR"/>
        </w:rPr>
        <w:t>’</w:t>
      </w:r>
      <w:r w:rsidRPr="00AB4DCC">
        <w:rPr>
          <w:lang w:val="fr-FR"/>
        </w:rPr>
        <w:t>accélérateur</w:t>
      </w:r>
      <w:r w:rsidR="00DF7AA4" w:rsidRPr="00DF7AA4">
        <w:rPr>
          <w:lang w:val="fr-FR"/>
        </w:rPr>
        <w:t>.</w:t>
      </w:r>
      <w:r w:rsidRPr="00AB4DCC">
        <w:rPr>
          <w:lang w:val="fr-FR"/>
        </w:rPr>
        <w:t xml:space="preserve"> Le constructeur doit justifier le seuil de déclenchement à la satisfaction de l</w:t>
      </w:r>
      <w:r>
        <w:rPr>
          <w:lang w:val="fr-FR"/>
        </w:rPr>
        <w:t>’</w:t>
      </w:r>
      <w:r w:rsidRPr="00AB4DCC">
        <w:rPr>
          <w:lang w:val="fr-FR"/>
        </w:rPr>
        <w:t>autorité d</w:t>
      </w:r>
      <w:r>
        <w:rPr>
          <w:lang w:val="fr-FR"/>
        </w:rPr>
        <w:t>’</w:t>
      </w:r>
      <w:r w:rsidRPr="00AB4DCC">
        <w:rPr>
          <w:lang w:val="fr-FR"/>
        </w:rPr>
        <w:t>homologation</w:t>
      </w:r>
      <w:r w:rsidR="00DF7AA4" w:rsidRPr="00DF7AA4">
        <w:rPr>
          <w:lang w:val="fr-FR"/>
        </w:rPr>
        <w:t>.</w:t>
      </w:r>
    </w:p>
    <w:p w14:paraId="7560F3AD" w14:textId="0B555D31" w:rsidR="00EE432D" w:rsidRPr="00AB4DCC" w:rsidRDefault="00EE432D" w:rsidP="006F5732">
      <w:pPr>
        <w:pStyle w:val="SingleTxtG"/>
        <w:tabs>
          <w:tab w:val="clear" w:pos="1701"/>
        </w:tabs>
        <w:ind w:left="2268" w:hanging="1134"/>
        <w:rPr>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4</w:t>
      </w:r>
      <w:r w:rsidRPr="00AB4DCC">
        <w:rPr>
          <w:lang w:val="fr-FR"/>
        </w:rPr>
        <w:tab/>
        <w:t>Le système ACPE doit contrôler l</w:t>
      </w:r>
      <w:r>
        <w:rPr>
          <w:lang w:val="fr-FR"/>
        </w:rPr>
        <w:t>’</w:t>
      </w:r>
      <w:r w:rsidRPr="00AB4DCC">
        <w:rPr>
          <w:lang w:val="fr-FR"/>
        </w:rPr>
        <w:t>accélération lorsque le véhicule est accéléré à partir de l</w:t>
      </w:r>
      <w:r>
        <w:rPr>
          <w:lang w:val="fr-FR"/>
        </w:rPr>
        <w:t>’</w:t>
      </w:r>
      <w:r w:rsidRPr="00AB4DCC">
        <w:rPr>
          <w:lang w:val="fr-FR"/>
        </w:rPr>
        <w:t>arrêt</w:t>
      </w:r>
      <w:r w:rsidR="00DF7AA4" w:rsidRPr="00DF7AA4">
        <w:rPr>
          <w:lang w:val="fr-FR"/>
        </w:rPr>
        <w:t>.</w:t>
      </w:r>
    </w:p>
    <w:p w14:paraId="23713972" w14:textId="76B84250" w:rsidR="00EE432D" w:rsidRPr="00AB4DCC" w:rsidRDefault="00EE432D" w:rsidP="006F5732">
      <w:pPr>
        <w:pStyle w:val="SingleTxtG"/>
        <w:tabs>
          <w:tab w:val="clear" w:pos="1701"/>
        </w:tabs>
        <w:ind w:left="2268" w:hanging="1134"/>
        <w:rPr>
          <w:strike/>
          <w:color w:val="000000" w:themeColor="text1"/>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5</w:t>
      </w:r>
      <w:r w:rsidRPr="00AB4DCC">
        <w:rPr>
          <w:lang w:val="fr-FR"/>
        </w:rPr>
        <w:tab/>
        <w:t>Au moment où la commande d</w:t>
      </w:r>
      <w:r>
        <w:rPr>
          <w:lang w:val="fr-FR"/>
        </w:rPr>
        <w:t>’</w:t>
      </w:r>
      <w:r w:rsidRPr="00AB4DCC">
        <w:rPr>
          <w:lang w:val="fr-FR"/>
        </w:rPr>
        <w:t>accélérateur est actionnée, le système ACPE doit limiter l</w:t>
      </w:r>
      <w:r>
        <w:rPr>
          <w:lang w:val="fr-FR"/>
        </w:rPr>
        <w:t>’</w:t>
      </w:r>
      <w:r w:rsidRPr="00AB4DCC">
        <w:rPr>
          <w:lang w:val="fr-FR"/>
        </w:rPr>
        <w:t>accélération du véhicule afin d</w:t>
      </w:r>
      <w:r>
        <w:rPr>
          <w:lang w:val="fr-FR"/>
        </w:rPr>
        <w:t>’</w:t>
      </w:r>
      <w:r w:rsidRPr="00AB4DCC">
        <w:rPr>
          <w:lang w:val="fr-FR"/>
        </w:rPr>
        <w:t>éviter une collision avec un obstacle se trouvant dans la trajectoire du véhicule, à une distance comprise entre 1,0 m et 1,5 m de l</w:t>
      </w:r>
      <w:r>
        <w:rPr>
          <w:lang w:val="fr-FR"/>
        </w:rPr>
        <w:t>’</w:t>
      </w:r>
      <w:r w:rsidRPr="00AB4DCC">
        <w:rPr>
          <w:lang w:val="fr-FR"/>
        </w:rPr>
        <w:t>avant ou l</w:t>
      </w:r>
      <w:r>
        <w:rPr>
          <w:lang w:val="fr-FR"/>
        </w:rPr>
        <w:t>’</w:t>
      </w:r>
      <w:r w:rsidRPr="00AB4DCC">
        <w:rPr>
          <w:lang w:val="fr-FR"/>
        </w:rPr>
        <w:t>arrière de celui-ci, ou d</w:t>
      </w:r>
      <w:r>
        <w:rPr>
          <w:lang w:val="fr-FR"/>
        </w:rPr>
        <w:t>’</w:t>
      </w:r>
      <w:r w:rsidRPr="00AB4DCC">
        <w:rPr>
          <w:lang w:val="fr-FR"/>
        </w:rPr>
        <w:t>en atténuer les effets, à condition que</w:t>
      </w:r>
      <w:r>
        <w:rPr>
          <w:lang w:val="fr-FR"/>
        </w:rPr>
        <w:t> :</w:t>
      </w:r>
    </w:p>
    <w:p w14:paraId="49B59F28" w14:textId="77777777" w:rsidR="00EE432D" w:rsidRPr="00AB4DCC" w:rsidRDefault="00EE432D" w:rsidP="00EE432D">
      <w:pPr>
        <w:pStyle w:val="SingleTxtG"/>
        <w:ind w:left="2835" w:hanging="567"/>
        <w:rPr>
          <w:lang w:val="fr-FR"/>
        </w:rPr>
      </w:pPr>
      <w:r w:rsidRPr="00AB4DCC">
        <w:rPr>
          <w:lang w:val="fr-FR"/>
        </w:rPr>
        <w:t>a)</w:t>
      </w:r>
      <w:r w:rsidRPr="00AB4DCC">
        <w:rPr>
          <w:lang w:val="fr-FR"/>
        </w:rPr>
        <w:tab/>
        <w:t>Les conditions extérieures permettent d</w:t>
      </w:r>
      <w:r>
        <w:rPr>
          <w:lang w:val="fr-FR"/>
        </w:rPr>
        <w:t>’</w:t>
      </w:r>
      <w:r w:rsidRPr="00AB4DCC">
        <w:rPr>
          <w:lang w:val="fr-FR"/>
        </w:rPr>
        <w:t>empêcher l</w:t>
      </w:r>
      <w:r>
        <w:rPr>
          <w:lang w:val="fr-FR"/>
        </w:rPr>
        <w:t>’</w:t>
      </w:r>
      <w:r w:rsidRPr="00AB4DCC">
        <w:rPr>
          <w:lang w:val="fr-FR"/>
        </w:rPr>
        <w:t>accélération, à savoir</w:t>
      </w:r>
      <w:r>
        <w:rPr>
          <w:lang w:val="fr-FR"/>
        </w:rPr>
        <w:t> :</w:t>
      </w:r>
    </w:p>
    <w:p w14:paraId="57A7AC14" w14:textId="77777777" w:rsidR="00EE432D" w:rsidRPr="00AB4DCC" w:rsidRDefault="00EE432D" w:rsidP="00EE432D">
      <w:pPr>
        <w:pStyle w:val="SingleTxtG"/>
        <w:ind w:left="3402" w:hanging="567"/>
        <w:rPr>
          <w:bCs/>
          <w:lang w:val="fr-FR"/>
        </w:rPr>
      </w:pPr>
      <w:r w:rsidRPr="00AB4DCC">
        <w:rPr>
          <w:lang w:val="fr-FR"/>
        </w:rPr>
        <w:t>i)</w:t>
      </w:r>
      <w:r w:rsidRPr="00AB4DCC">
        <w:rPr>
          <w:lang w:val="fr-FR"/>
        </w:rPr>
        <w:tab/>
        <w:t>La route est plane, horizontale et sèche et elle offre une bonne adhérence</w:t>
      </w:r>
      <w:r>
        <w:rPr>
          <w:lang w:val="fr-FR"/>
        </w:rPr>
        <w:t> ;</w:t>
      </w:r>
    </w:p>
    <w:p w14:paraId="56816058" w14:textId="77777777" w:rsidR="00EE432D" w:rsidRPr="00AB4DCC" w:rsidRDefault="00EE432D" w:rsidP="00EE432D">
      <w:pPr>
        <w:pStyle w:val="SingleTxtG"/>
        <w:ind w:left="3402" w:hanging="567"/>
        <w:rPr>
          <w:bCs/>
          <w:lang w:val="fr-FR"/>
        </w:rPr>
      </w:pPr>
      <w:r w:rsidRPr="00AB4DCC">
        <w:rPr>
          <w:lang w:val="fr-FR"/>
        </w:rPr>
        <w:t>ii)</w:t>
      </w:r>
      <w:r w:rsidRPr="00AB4DCC">
        <w:rPr>
          <w:lang w:val="fr-FR"/>
        </w:rPr>
        <w:tab/>
        <w:t>Les conditions atmosphériques ne sont pas défavorables pour le comportement du véhicule (absence de tempête ou température au moins égale à 0 °C, par exemple)</w:t>
      </w:r>
      <w:r>
        <w:rPr>
          <w:lang w:val="fr-FR"/>
        </w:rPr>
        <w:t> ;</w:t>
      </w:r>
    </w:p>
    <w:p w14:paraId="3C59EB15" w14:textId="77777777" w:rsidR="00EE432D" w:rsidRPr="00AB4DCC" w:rsidRDefault="00EE432D" w:rsidP="00EE432D">
      <w:pPr>
        <w:pStyle w:val="SingleTxtG"/>
        <w:ind w:left="2835" w:hanging="567"/>
        <w:rPr>
          <w:lang w:val="fr-FR"/>
        </w:rPr>
      </w:pPr>
      <w:r w:rsidRPr="00AB4DCC">
        <w:rPr>
          <w:lang w:val="fr-FR"/>
        </w:rPr>
        <w:t>b)</w:t>
      </w:r>
      <w:r w:rsidRPr="00AB4DCC">
        <w:rPr>
          <w:lang w:val="fr-FR"/>
        </w:rPr>
        <w:tab/>
        <w:t>L</w:t>
      </w:r>
      <w:r>
        <w:rPr>
          <w:lang w:val="fr-FR"/>
        </w:rPr>
        <w:t>’</w:t>
      </w:r>
      <w:r w:rsidRPr="00AB4DCC">
        <w:rPr>
          <w:lang w:val="fr-FR"/>
        </w:rPr>
        <w:t>état du véhicule permette d</w:t>
      </w:r>
      <w:r>
        <w:rPr>
          <w:lang w:val="fr-FR"/>
        </w:rPr>
        <w:t>’</w:t>
      </w:r>
      <w:r w:rsidRPr="00AB4DCC">
        <w:rPr>
          <w:lang w:val="fr-FR"/>
        </w:rPr>
        <w:t>empêcher l</w:t>
      </w:r>
      <w:r>
        <w:rPr>
          <w:lang w:val="fr-FR"/>
        </w:rPr>
        <w:t>’</w:t>
      </w:r>
      <w:r w:rsidRPr="00AB4DCC">
        <w:rPr>
          <w:lang w:val="fr-FR"/>
        </w:rPr>
        <w:t>accélération, à savoir</w:t>
      </w:r>
      <w:r>
        <w:rPr>
          <w:lang w:val="fr-FR"/>
        </w:rPr>
        <w:t> :</w:t>
      </w:r>
    </w:p>
    <w:p w14:paraId="609C59AC" w14:textId="77777777" w:rsidR="00EE432D" w:rsidRPr="00AB4DCC" w:rsidRDefault="00EE432D" w:rsidP="00EE432D">
      <w:pPr>
        <w:pStyle w:val="SingleTxtG"/>
        <w:ind w:left="3402" w:hanging="567"/>
        <w:rPr>
          <w:bCs/>
          <w:color w:val="000000" w:themeColor="text1"/>
          <w:lang w:val="fr-FR"/>
        </w:rPr>
      </w:pPr>
      <w:r w:rsidRPr="00AB4DCC">
        <w:rPr>
          <w:lang w:val="fr-FR"/>
        </w:rPr>
        <w:t>i)</w:t>
      </w:r>
      <w:r w:rsidRPr="00AB4DCC">
        <w:rPr>
          <w:lang w:val="fr-FR"/>
        </w:rPr>
        <w:tab/>
        <w:t>Les pneumatiques sont dans un état approprié et convenablement gonflés</w:t>
      </w:r>
      <w:r>
        <w:rPr>
          <w:lang w:val="fr-FR"/>
        </w:rPr>
        <w:t> ;</w:t>
      </w:r>
    </w:p>
    <w:p w14:paraId="6928FB8A" w14:textId="22BAA482" w:rsidR="00EE432D" w:rsidRPr="00AB4DCC" w:rsidRDefault="00EE432D" w:rsidP="00EE432D">
      <w:pPr>
        <w:pStyle w:val="SingleTxtG"/>
        <w:ind w:left="3402" w:hanging="567"/>
        <w:rPr>
          <w:bCs/>
          <w:color w:val="000000" w:themeColor="text1"/>
          <w:lang w:val="fr-FR"/>
        </w:rPr>
      </w:pPr>
      <w:r w:rsidRPr="00AB4DCC">
        <w:rPr>
          <w:lang w:val="fr-FR"/>
        </w:rPr>
        <w:t>ii)</w:t>
      </w:r>
      <w:r w:rsidRPr="00AB4DCC">
        <w:rPr>
          <w:lang w:val="fr-FR"/>
        </w:rPr>
        <w:tab/>
        <w:t>Les freins, s</w:t>
      </w:r>
      <w:r>
        <w:rPr>
          <w:lang w:val="fr-FR"/>
        </w:rPr>
        <w:t>’</w:t>
      </w:r>
      <w:r w:rsidRPr="00AB4DCC">
        <w:rPr>
          <w:lang w:val="fr-FR"/>
        </w:rPr>
        <w:t>ils doivent être utilisés, fonctionnent correctement (température, état des plaquettes, etc</w:t>
      </w:r>
      <w:r w:rsidR="00DF7AA4" w:rsidRPr="00DF7AA4">
        <w:rPr>
          <w:lang w:val="fr-FR"/>
        </w:rPr>
        <w:t>.</w:t>
      </w:r>
      <w:r w:rsidRPr="00AB4DCC">
        <w:rPr>
          <w:lang w:val="fr-FR"/>
        </w:rPr>
        <w:t>)</w:t>
      </w:r>
      <w:r>
        <w:rPr>
          <w:lang w:val="fr-FR"/>
        </w:rPr>
        <w:t> ;</w:t>
      </w:r>
    </w:p>
    <w:p w14:paraId="6446D817" w14:textId="77777777" w:rsidR="00EE432D" w:rsidRPr="00AB4DCC" w:rsidRDefault="00EE432D" w:rsidP="00EE432D">
      <w:pPr>
        <w:pStyle w:val="SingleTxtG"/>
        <w:ind w:left="3402" w:hanging="567"/>
        <w:rPr>
          <w:bCs/>
          <w:color w:val="000000" w:themeColor="text1"/>
          <w:lang w:val="fr-FR"/>
        </w:rPr>
      </w:pPr>
      <w:r w:rsidRPr="00AB4DCC">
        <w:rPr>
          <w:lang w:val="fr-FR"/>
        </w:rPr>
        <w:t>iii)</w:t>
      </w:r>
      <w:r w:rsidRPr="00AB4DCC">
        <w:rPr>
          <w:lang w:val="fr-FR"/>
        </w:rPr>
        <w:tab/>
        <w:t>Il n</w:t>
      </w:r>
      <w:r>
        <w:rPr>
          <w:lang w:val="fr-FR"/>
        </w:rPr>
        <w:t>’</w:t>
      </w:r>
      <w:r w:rsidRPr="00AB4DCC">
        <w:rPr>
          <w:lang w:val="fr-FR"/>
        </w:rPr>
        <w:t>y a pas de répartition fortement inégale de la charge</w:t>
      </w:r>
      <w:r>
        <w:rPr>
          <w:lang w:val="fr-FR"/>
        </w:rPr>
        <w:t> ;</w:t>
      </w:r>
    </w:p>
    <w:p w14:paraId="0CDCC6F8" w14:textId="77777777" w:rsidR="00EE432D" w:rsidRPr="00AB4DCC" w:rsidRDefault="00EE432D" w:rsidP="00EE432D">
      <w:pPr>
        <w:pStyle w:val="SingleTxtG"/>
        <w:ind w:left="3402" w:hanging="567"/>
        <w:rPr>
          <w:bCs/>
          <w:color w:val="000000" w:themeColor="text1"/>
          <w:lang w:val="fr-FR"/>
        </w:rPr>
      </w:pPr>
      <w:r w:rsidRPr="00AB4DCC">
        <w:rPr>
          <w:lang w:val="fr-FR"/>
        </w:rPr>
        <w:t>iv)</w:t>
      </w:r>
      <w:r w:rsidRPr="00AB4DCC">
        <w:rPr>
          <w:lang w:val="fr-FR"/>
        </w:rPr>
        <w:tab/>
        <w:t>Aucune remorque n</w:t>
      </w:r>
      <w:r>
        <w:rPr>
          <w:lang w:val="fr-FR"/>
        </w:rPr>
        <w:t>’</w:t>
      </w:r>
      <w:r w:rsidRPr="00AB4DCC">
        <w:rPr>
          <w:lang w:val="fr-FR"/>
        </w:rPr>
        <w:t>est attelée au véhicule et la masse dudit véhicule est comprise entre la masse maximale et la masse en ordre de marche</w:t>
      </w:r>
      <w:r>
        <w:rPr>
          <w:lang w:val="fr-FR"/>
        </w:rPr>
        <w:t> ;</w:t>
      </w:r>
    </w:p>
    <w:p w14:paraId="0CC9DF0E" w14:textId="77777777" w:rsidR="00EE432D" w:rsidRPr="00AB4DCC" w:rsidRDefault="00EE432D" w:rsidP="00EE432D">
      <w:pPr>
        <w:pStyle w:val="SingleTxtG"/>
        <w:ind w:left="3402" w:hanging="567"/>
        <w:rPr>
          <w:bCs/>
          <w:color w:val="000000" w:themeColor="text1"/>
          <w:lang w:val="fr-FR"/>
        </w:rPr>
      </w:pPr>
      <w:r w:rsidRPr="00AB4DCC">
        <w:rPr>
          <w:lang w:val="fr-FR"/>
        </w:rPr>
        <w:t>v)</w:t>
      </w:r>
      <w:r w:rsidRPr="00AB4DCC">
        <w:rPr>
          <w:lang w:val="fr-FR"/>
        </w:rPr>
        <w:tab/>
        <w:t xml:space="preserve">Le système de gestion </w:t>
      </w:r>
      <w:r>
        <w:rPr>
          <w:lang w:val="fr-FR"/>
        </w:rPr>
        <w:t>de la chaîne de traction</w:t>
      </w:r>
      <w:r w:rsidRPr="00AB4DCC">
        <w:rPr>
          <w:lang w:val="fr-FR"/>
        </w:rPr>
        <w:t xml:space="preserve"> du véhicule fonctionne correctement</w:t>
      </w:r>
      <w:r>
        <w:rPr>
          <w:lang w:val="fr-FR"/>
        </w:rPr>
        <w:t> ;</w:t>
      </w:r>
    </w:p>
    <w:p w14:paraId="377ED016" w14:textId="77777777" w:rsidR="00EE432D" w:rsidRPr="00AB4DCC" w:rsidRDefault="00EE432D" w:rsidP="00EE432D">
      <w:pPr>
        <w:pStyle w:val="SingleTxtG"/>
        <w:keepNext/>
        <w:ind w:left="2835" w:hanging="567"/>
        <w:rPr>
          <w:lang w:val="fr-FR"/>
        </w:rPr>
      </w:pPr>
      <w:r w:rsidRPr="00AB4DCC">
        <w:rPr>
          <w:lang w:val="fr-FR"/>
        </w:rPr>
        <w:t>c)</w:t>
      </w:r>
      <w:r w:rsidRPr="00AB4DCC">
        <w:rPr>
          <w:lang w:val="fr-FR"/>
        </w:rPr>
        <w:tab/>
        <w:t>Les capacités de détection ne soient gênées par aucun facteur externe, à savoir</w:t>
      </w:r>
      <w:r>
        <w:rPr>
          <w:lang w:val="fr-FR"/>
        </w:rPr>
        <w:t> :</w:t>
      </w:r>
    </w:p>
    <w:p w14:paraId="1701B815" w14:textId="77777777" w:rsidR="00EE432D" w:rsidRPr="00AB4DCC" w:rsidRDefault="00EE432D" w:rsidP="00EE432D">
      <w:pPr>
        <w:pStyle w:val="SingleTxtG"/>
        <w:ind w:left="3402" w:hanging="567"/>
        <w:rPr>
          <w:bCs/>
          <w:color w:val="000000" w:themeColor="text1"/>
          <w:lang w:val="fr-FR"/>
        </w:rPr>
      </w:pPr>
      <w:r w:rsidRPr="00AB4DCC">
        <w:rPr>
          <w:lang w:val="fr-FR"/>
        </w:rPr>
        <w:t>i)</w:t>
      </w:r>
      <w:r w:rsidRPr="00AB4DCC">
        <w:rPr>
          <w:lang w:val="fr-FR"/>
        </w:rPr>
        <w:tab/>
        <w:t>L</w:t>
      </w:r>
      <w:r>
        <w:rPr>
          <w:lang w:val="fr-FR"/>
        </w:rPr>
        <w:t>’</w:t>
      </w:r>
      <w:r w:rsidRPr="00AB4DCC">
        <w:rPr>
          <w:lang w:val="fr-FR"/>
        </w:rPr>
        <w:t>éclairement ambiant est d</w:t>
      </w:r>
      <w:r>
        <w:rPr>
          <w:lang w:val="fr-FR"/>
        </w:rPr>
        <w:t>’</w:t>
      </w:r>
      <w:r w:rsidRPr="00AB4DCC">
        <w:rPr>
          <w:lang w:val="fr-FR"/>
        </w:rPr>
        <w:t>au moins 1</w:t>
      </w:r>
      <w:r>
        <w:rPr>
          <w:lang w:val="fr-FR"/>
        </w:rPr>
        <w:t> </w:t>
      </w:r>
      <w:r w:rsidRPr="00AB4DCC">
        <w:rPr>
          <w:lang w:val="fr-FR"/>
        </w:rPr>
        <w:t>000</w:t>
      </w:r>
      <w:r>
        <w:rPr>
          <w:lang w:val="fr-FR"/>
        </w:rPr>
        <w:t xml:space="preserve"> l</w:t>
      </w:r>
      <w:r w:rsidRPr="00AB4DCC">
        <w:rPr>
          <w:lang w:val="fr-FR"/>
        </w:rPr>
        <w:t>ux et il n</w:t>
      </w:r>
      <w:r>
        <w:rPr>
          <w:lang w:val="fr-FR"/>
        </w:rPr>
        <w:t>’</w:t>
      </w:r>
      <w:r w:rsidRPr="00AB4DCC">
        <w:rPr>
          <w:lang w:val="fr-FR"/>
        </w:rPr>
        <w:t>y a pas d</w:t>
      </w:r>
      <w:r>
        <w:rPr>
          <w:lang w:val="fr-FR"/>
        </w:rPr>
        <w:t>’</w:t>
      </w:r>
      <w:r w:rsidRPr="00AB4DCC">
        <w:rPr>
          <w:lang w:val="fr-FR"/>
        </w:rPr>
        <w:t>éblouissement extrême des capteurs (causé par exemple par le soleil ou un environnement hautement réfléchissant pour le radar)</w:t>
      </w:r>
      <w:r>
        <w:rPr>
          <w:lang w:val="fr-FR"/>
        </w:rPr>
        <w:t> ;</w:t>
      </w:r>
    </w:p>
    <w:p w14:paraId="37FFBA2C" w14:textId="77777777" w:rsidR="00EE432D" w:rsidRPr="00AB4DCC" w:rsidRDefault="00EE432D" w:rsidP="00EE432D">
      <w:pPr>
        <w:pStyle w:val="SingleTxtG"/>
        <w:ind w:left="3402" w:hanging="567"/>
        <w:rPr>
          <w:bCs/>
          <w:color w:val="000000" w:themeColor="text1"/>
          <w:lang w:val="fr-FR"/>
        </w:rPr>
      </w:pPr>
      <w:bookmarkStart w:id="2" w:name="_Hlk90568422"/>
      <w:r w:rsidRPr="00AB4DCC">
        <w:rPr>
          <w:lang w:val="fr-FR"/>
        </w:rPr>
        <w:t>ii)</w:t>
      </w:r>
      <w:r w:rsidRPr="00AB4DCC">
        <w:rPr>
          <w:lang w:val="fr-FR"/>
        </w:rPr>
        <w:tab/>
        <w:t>La surface équivalente radar ou la forme/silhouette du véhicule cible n</w:t>
      </w:r>
      <w:r>
        <w:rPr>
          <w:lang w:val="fr-FR"/>
        </w:rPr>
        <w:t>’</w:t>
      </w:r>
      <w:r w:rsidRPr="00AB4DCC">
        <w:rPr>
          <w:lang w:val="fr-FR"/>
        </w:rPr>
        <w:t>est pas hors norme (par exemple inférieure au 5</w:t>
      </w:r>
      <w:r w:rsidRPr="00AB4DCC">
        <w:rPr>
          <w:vertAlign w:val="superscript"/>
          <w:lang w:val="fr-FR"/>
        </w:rPr>
        <w:t>e</w:t>
      </w:r>
      <w:r>
        <w:rPr>
          <w:lang w:val="fr-FR"/>
        </w:rPr>
        <w:t> </w:t>
      </w:r>
      <w:r w:rsidRPr="00AB4DCC">
        <w:rPr>
          <w:lang w:val="fr-FR"/>
        </w:rPr>
        <w:t>centile de la surface équivalente radar pour l</w:t>
      </w:r>
      <w:r>
        <w:rPr>
          <w:lang w:val="fr-FR"/>
        </w:rPr>
        <w:t>’</w:t>
      </w:r>
      <w:r w:rsidRPr="00AB4DCC">
        <w:rPr>
          <w:lang w:val="fr-FR"/>
        </w:rPr>
        <w:t>ensemble des véhicules de la catégorie M</w:t>
      </w:r>
      <w:r w:rsidRPr="00AB4DCC">
        <w:rPr>
          <w:vertAlign w:val="subscript"/>
          <w:lang w:val="fr-FR"/>
        </w:rPr>
        <w:t>1</w:t>
      </w:r>
      <w:r w:rsidRPr="00AB4DCC">
        <w:rPr>
          <w:lang w:val="fr-FR"/>
        </w:rPr>
        <w:t>)</w:t>
      </w:r>
      <w:r>
        <w:rPr>
          <w:lang w:val="fr-FR"/>
        </w:rPr>
        <w:t> ;</w:t>
      </w:r>
    </w:p>
    <w:bookmarkEnd w:id="2"/>
    <w:p w14:paraId="6895FAD4" w14:textId="77777777" w:rsidR="00EE432D" w:rsidRPr="00AB4DCC" w:rsidRDefault="00EE432D" w:rsidP="00EE432D">
      <w:pPr>
        <w:pStyle w:val="SingleTxtG"/>
        <w:ind w:left="3402" w:hanging="567"/>
        <w:rPr>
          <w:bCs/>
          <w:color w:val="000000" w:themeColor="text1"/>
          <w:lang w:val="fr-FR"/>
        </w:rPr>
      </w:pPr>
      <w:r w:rsidRPr="00AB4DCC">
        <w:rPr>
          <w:lang w:val="fr-FR"/>
        </w:rPr>
        <w:lastRenderedPageBreak/>
        <w:t>iii)</w:t>
      </w:r>
      <w:r w:rsidRPr="00AB4DCC">
        <w:rPr>
          <w:lang w:val="fr-FR"/>
        </w:rPr>
        <w:tab/>
        <w:t>Les capacités de détection du véhicule ne sont gênées par aucune condition atmosphérique particulière (forte pluie, brouillard épais, neige, poussière)</w:t>
      </w:r>
      <w:r>
        <w:rPr>
          <w:lang w:val="fr-FR"/>
        </w:rPr>
        <w:t> ;</w:t>
      </w:r>
    </w:p>
    <w:p w14:paraId="5CC496D8" w14:textId="77777777" w:rsidR="00EE432D" w:rsidRPr="00AB4DCC" w:rsidRDefault="00EE432D" w:rsidP="00EE432D">
      <w:pPr>
        <w:pStyle w:val="SingleTxtG"/>
        <w:ind w:left="3402" w:hanging="567"/>
        <w:rPr>
          <w:bCs/>
          <w:color w:val="000000" w:themeColor="text1"/>
          <w:lang w:val="fr-FR"/>
        </w:rPr>
      </w:pPr>
      <w:r w:rsidRPr="00AB4DCC">
        <w:rPr>
          <w:lang w:val="fr-FR"/>
        </w:rPr>
        <w:t>iv)</w:t>
      </w:r>
      <w:r w:rsidRPr="00AB4DCC">
        <w:rPr>
          <w:lang w:val="fr-FR"/>
        </w:rPr>
        <w:tab/>
        <w:t>Il n</w:t>
      </w:r>
      <w:r>
        <w:rPr>
          <w:lang w:val="fr-FR"/>
        </w:rPr>
        <w:t>’</w:t>
      </w:r>
      <w:r w:rsidRPr="00AB4DCC">
        <w:rPr>
          <w:lang w:val="fr-FR"/>
        </w:rPr>
        <w:t>y a pas d</w:t>
      </w:r>
      <w:r>
        <w:rPr>
          <w:lang w:val="fr-FR"/>
        </w:rPr>
        <w:t>’</w:t>
      </w:r>
      <w:r w:rsidRPr="00AB4DCC">
        <w:rPr>
          <w:lang w:val="fr-FR"/>
        </w:rPr>
        <w:t>obstacle en hauteur à proximité du haut de l</w:t>
      </w:r>
      <w:r>
        <w:rPr>
          <w:lang w:val="fr-FR"/>
        </w:rPr>
        <w:t>’</w:t>
      </w:r>
      <w:r w:rsidRPr="00AB4DCC">
        <w:rPr>
          <w:lang w:val="fr-FR"/>
        </w:rPr>
        <w:t>habitacle du véhicule</w:t>
      </w:r>
      <w:r>
        <w:rPr>
          <w:lang w:val="fr-FR"/>
        </w:rPr>
        <w:t> ;</w:t>
      </w:r>
    </w:p>
    <w:p w14:paraId="7CDBB1A9" w14:textId="77777777" w:rsidR="00EE432D" w:rsidRPr="00AB4DCC" w:rsidRDefault="00EE432D" w:rsidP="00EE432D">
      <w:pPr>
        <w:pStyle w:val="SingleTxtG"/>
        <w:keepNext/>
        <w:ind w:left="2835" w:hanging="567"/>
        <w:rPr>
          <w:lang w:val="fr-FR"/>
        </w:rPr>
      </w:pPr>
      <w:r w:rsidRPr="00AB4DCC">
        <w:rPr>
          <w:lang w:val="fr-FR"/>
        </w:rPr>
        <w:t>d)</w:t>
      </w:r>
      <w:r w:rsidRPr="00AB4DCC">
        <w:rPr>
          <w:lang w:val="fr-FR"/>
        </w:rPr>
        <w:tab/>
        <w:t>La situation soit claire, à savoir</w:t>
      </w:r>
      <w:r>
        <w:rPr>
          <w:lang w:val="fr-FR"/>
        </w:rPr>
        <w:t> :</w:t>
      </w:r>
    </w:p>
    <w:p w14:paraId="133B8E64" w14:textId="77777777" w:rsidR="00EE432D" w:rsidRPr="00AB4DCC" w:rsidRDefault="00EE432D" w:rsidP="00EE432D">
      <w:pPr>
        <w:pStyle w:val="SingleTxtG"/>
        <w:ind w:left="3402" w:hanging="567"/>
        <w:rPr>
          <w:bCs/>
          <w:color w:val="000000" w:themeColor="text1"/>
          <w:lang w:val="fr-FR"/>
        </w:rPr>
      </w:pPr>
      <w:r w:rsidRPr="00AB4DCC">
        <w:rPr>
          <w:lang w:val="fr-FR"/>
        </w:rPr>
        <w:t>i)</w:t>
      </w:r>
      <w:r w:rsidRPr="00AB4DCC">
        <w:rPr>
          <w:lang w:val="fr-FR"/>
        </w:rPr>
        <w:tab/>
        <w:t>L</w:t>
      </w:r>
      <w:r>
        <w:rPr>
          <w:lang w:val="fr-FR"/>
        </w:rPr>
        <w:t>’</w:t>
      </w:r>
      <w:r w:rsidRPr="00AB4DCC">
        <w:rPr>
          <w:lang w:val="fr-FR"/>
        </w:rPr>
        <w:t>obstacle est immobile, clairement visible et distinct des autres objets se trouvant dans le sens de la marche</w:t>
      </w:r>
      <w:r>
        <w:rPr>
          <w:lang w:val="fr-FR"/>
        </w:rPr>
        <w:t> ;</w:t>
      </w:r>
    </w:p>
    <w:p w14:paraId="6ED25EAD" w14:textId="77777777" w:rsidR="00EE432D" w:rsidRPr="00AB4DCC" w:rsidRDefault="00EE432D" w:rsidP="00EE432D">
      <w:pPr>
        <w:pStyle w:val="SingleTxtG"/>
        <w:ind w:left="3402" w:hanging="567"/>
        <w:rPr>
          <w:bCs/>
          <w:color w:val="000000" w:themeColor="text1"/>
          <w:lang w:val="fr-FR"/>
        </w:rPr>
      </w:pPr>
      <w:r w:rsidRPr="00AB4DCC">
        <w:rPr>
          <w:lang w:val="fr-FR"/>
        </w:rPr>
        <w:t>ii)</w:t>
      </w:r>
      <w:r w:rsidRPr="00AB4DCC">
        <w:rPr>
          <w:lang w:val="fr-FR"/>
        </w:rPr>
        <w:tab/>
        <w:t>Le décalage latéral entre l</w:t>
      </w:r>
      <w:r>
        <w:rPr>
          <w:lang w:val="fr-FR"/>
        </w:rPr>
        <w:t>’</w:t>
      </w:r>
      <w:r w:rsidRPr="00AB4DCC">
        <w:rPr>
          <w:lang w:val="fr-FR"/>
        </w:rPr>
        <w:t>axe de l</w:t>
      </w:r>
      <w:r>
        <w:rPr>
          <w:lang w:val="fr-FR"/>
        </w:rPr>
        <w:t>’</w:t>
      </w:r>
      <w:r w:rsidRPr="00AB4DCC">
        <w:rPr>
          <w:lang w:val="fr-FR"/>
        </w:rPr>
        <w:t>obstacle et l</w:t>
      </w:r>
      <w:r>
        <w:rPr>
          <w:lang w:val="fr-FR"/>
        </w:rPr>
        <w:t>’</w:t>
      </w:r>
      <w:r w:rsidRPr="00AB4DCC">
        <w:rPr>
          <w:lang w:val="fr-FR"/>
        </w:rPr>
        <w:t>axe du véhicule est inférieur à 0,2 m</w:t>
      </w:r>
      <w:r>
        <w:rPr>
          <w:lang w:val="fr-FR"/>
        </w:rPr>
        <w:t> ;</w:t>
      </w:r>
    </w:p>
    <w:p w14:paraId="17871693" w14:textId="77777777" w:rsidR="00EE432D" w:rsidRPr="00AB4DCC" w:rsidRDefault="00EE432D" w:rsidP="00EE432D">
      <w:pPr>
        <w:pStyle w:val="SingleTxtG"/>
        <w:ind w:left="3402" w:hanging="567"/>
        <w:rPr>
          <w:bCs/>
          <w:color w:val="000000" w:themeColor="text1"/>
          <w:lang w:val="fr-FR"/>
        </w:rPr>
      </w:pPr>
      <w:r w:rsidRPr="00AB4DCC">
        <w:rPr>
          <w:lang w:val="fr-FR"/>
        </w:rPr>
        <w:t>iii)</w:t>
      </w:r>
      <w:r w:rsidRPr="00AB4DCC">
        <w:rPr>
          <w:lang w:val="fr-FR"/>
        </w:rPr>
        <w:tab/>
        <w:t>La trajectoire est rectiligne, sans virage, et le véhicule ne tourne pas à une intersection et reste dans sa voie</w:t>
      </w:r>
      <w:r>
        <w:rPr>
          <w:lang w:val="fr-FR"/>
        </w:rPr>
        <w:t> ;</w:t>
      </w:r>
    </w:p>
    <w:p w14:paraId="3479C578" w14:textId="2BCEFC96" w:rsidR="00EE432D" w:rsidRPr="00AB4DCC" w:rsidRDefault="00EE432D" w:rsidP="00EE432D">
      <w:pPr>
        <w:pStyle w:val="SingleTxtG"/>
        <w:ind w:left="3402" w:hanging="567"/>
        <w:rPr>
          <w:bCs/>
          <w:color w:val="000000" w:themeColor="text1"/>
          <w:lang w:val="fr-FR"/>
        </w:rPr>
      </w:pPr>
      <w:r w:rsidRPr="00AB4DCC">
        <w:rPr>
          <w:lang w:val="fr-FR"/>
        </w:rPr>
        <w:t>iv)</w:t>
      </w:r>
      <w:r w:rsidRPr="00AB4DCC">
        <w:rPr>
          <w:lang w:val="fr-FR"/>
        </w:rPr>
        <w:tab/>
        <w:t>L</w:t>
      </w:r>
      <w:r>
        <w:rPr>
          <w:lang w:val="fr-FR"/>
        </w:rPr>
        <w:t>’</w:t>
      </w:r>
      <w:r w:rsidRPr="00AB4DCC">
        <w:rPr>
          <w:lang w:val="fr-FR"/>
        </w:rPr>
        <w:t>obstacle est un véhicule de catégorie M</w:t>
      </w:r>
      <w:r w:rsidRPr="00AB4DCC">
        <w:rPr>
          <w:vertAlign w:val="subscript"/>
          <w:lang w:val="fr-FR"/>
        </w:rPr>
        <w:t>1</w:t>
      </w:r>
      <w:r w:rsidRPr="00AB4DCC">
        <w:rPr>
          <w:lang w:val="fr-FR"/>
        </w:rPr>
        <w:t xml:space="preserve"> ou une structure semblable à un mur d</w:t>
      </w:r>
      <w:r>
        <w:rPr>
          <w:lang w:val="fr-FR"/>
        </w:rPr>
        <w:t>’</w:t>
      </w:r>
      <w:r w:rsidRPr="00AB4DCC">
        <w:rPr>
          <w:lang w:val="fr-FR"/>
        </w:rPr>
        <w:t>une largeur d</w:t>
      </w:r>
      <w:r>
        <w:rPr>
          <w:lang w:val="fr-FR"/>
        </w:rPr>
        <w:t>’</w:t>
      </w:r>
      <w:r w:rsidRPr="00AB4DCC">
        <w:rPr>
          <w:lang w:val="fr-FR"/>
        </w:rPr>
        <w:t>au moins 2,0 m et d</w:t>
      </w:r>
      <w:r>
        <w:rPr>
          <w:lang w:val="fr-FR"/>
        </w:rPr>
        <w:t>’</w:t>
      </w:r>
      <w:r w:rsidRPr="00AB4DCC">
        <w:rPr>
          <w:lang w:val="fr-FR"/>
        </w:rPr>
        <w:t>une hauteur d</w:t>
      </w:r>
      <w:r>
        <w:rPr>
          <w:lang w:val="fr-FR"/>
        </w:rPr>
        <w:t>’</w:t>
      </w:r>
      <w:r w:rsidRPr="00AB4DCC">
        <w:rPr>
          <w:lang w:val="fr-FR"/>
        </w:rPr>
        <w:t>au moins 1,0 m</w:t>
      </w:r>
      <w:r w:rsidR="00DF7AA4" w:rsidRPr="00DF7AA4">
        <w:rPr>
          <w:lang w:val="fr-FR"/>
        </w:rPr>
        <w:t>.</w:t>
      </w:r>
    </w:p>
    <w:p w14:paraId="3E994BAF" w14:textId="0295D75E" w:rsidR="00EE432D" w:rsidRPr="00AB4DCC" w:rsidRDefault="00EE432D" w:rsidP="00EE432D">
      <w:pPr>
        <w:pStyle w:val="SingleTxtG"/>
        <w:ind w:left="2268"/>
        <w:rPr>
          <w:lang w:val="fr-FR"/>
        </w:rPr>
      </w:pPr>
      <w:r w:rsidRPr="00AB4DCC">
        <w:rPr>
          <w:lang w:val="fr-FR"/>
        </w:rPr>
        <w:t>Lorsque les conditions s</w:t>
      </w:r>
      <w:r>
        <w:rPr>
          <w:lang w:val="fr-FR"/>
        </w:rPr>
        <w:t>’</w:t>
      </w:r>
      <w:r w:rsidRPr="00AB4DCC">
        <w:rPr>
          <w:lang w:val="fr-FR"/>
        </w:rPr>
        <w:t>écartent de celles énumérées ci-dessus, le système ne doit pas se désactiver ni modifier de façon aberrante sa stratégie de fonctionnement</w:t>
      </w:r>
      <w:r w:rsidR="00DF7AA4" w:rsidRPr="00DF7AA4">
        <w:rPr>
          <w:lang w:val="fr-FR"/>
        </w:rPr>
        <w:t>.</w:t>
      </w:r>
      <w:r w:rsidRPr="00AB4DCC">
        <w:rPr>
          <w:lang w:val="fr-FR"/>
        </w:rPr>
        <w:t xml:space="preserve"> Il incombe au constructeur de le démontrer, conformément à l</w:t>
      </w:r>
      <w:r>
        <w:rPr>
          <w:lang w:val="fr-FR"/>
        </w:rPr>
        <w:t>’</w:t>
      </w:r>
      <w:r w:rsidRPr="00AB4DCC">
        <w:rPr>
          <w:lang w:val="fr-FR"/>
        </w:rPr>
        <w:t>annexe 3 du présent Règlement</w:t>
      </w:r>
      <w:r>
        <w:rPr>
          <w:lang w:val="fr-FR"/>
        </w:rPr>
        <w:t> ;</w:t>
      </w:r>
      <w:r w:rsidRPr="00AB4DCC">
        <w:rPr>
          <w:lang w:val="fr-FR"/>
        </w:rPr>
        <w:t xml:space="preserve"> en outre, s</w:t>
      </w:r>
      <w:r>
        <w:rPr>
          <w:lang w:val="fr-FR"/>
        </w:rPr>
        <w:t>’</w:t>
      </w:r>
      <w:r w:rsidRPr="00AB4DCC">
        <w:rPr>
          <w:lang w:val="fr-FR"/>
        </w:rPr>
        <w:t>il estime que cela est utile, le service technique peut effectuer des essais dans des conditions s</w:t>
      </w:r>
      <w:r>
        <w:rPr>
          <w:lang w:val="fr-FR"/>
        </w:rPr>
        <w:t>’</w:t>
      </w:r>
      <w:r w:rsidRPr="00AB4DCC">
        <w:rPr>
          <w:lang w:val="fr-FR"/>
        </w:rPr>
        <w:t>écartant de celles énumérées ci-dessus ou de celles énoncées au paragraphe 6</w:t>
      </w:r>
      <w:r w:rsidR="00DF7AA4" w:rsidRPr="00DF7AA4">
        <w:rPr>
          <w:lang w:val="fr-FR"/>
        </w:rPr>
        <w:t>.</w:t>
      </w:r>
      <w:r w:rsidRPr="00AB4DCC">
        <w:rPr>
          <w:lang w:val="fr-FR"/>
        </w:rPr>
        <w:t xml:space="preserve"> La justification et les résultats de cet essai de vérification doivent être joints au procès-verbal d</w:t>
      </w:r>
      <w:r>
        <w:rPr>
          <w:lang w:val="fr-FR"/>
        </w:rPr>
        <w:t>’</w:t>
      </w:r>
      <w:r w:rsidRPr="00AB4DCC">
        <w:rPr>
          <w:lang w:val="fr-FR"/>
        </w:rPr>
        <w:t>essai</w:t>
      </w:r>
      <w:r w:rsidR="00DF7AA4" w:rsidRPr="00DF7AA4">
        <w:rPr>
          <w:lang w:val="fr-FR"/>
        </w:rPr>
        <w:t>.</w:t>
      </w:r>
    </w:p>
    <w:p w14:paraId="19F9502B" w14:textId="56A5B109" w:rsidR="00EE432D" w:rsidRPr="00AB4DCC" w:rsidRDefault="00EE432D" w:rsidP="006F5732">
      <w:pPr>
        <w:pStyle w:val="SingleTxtG"/>
        <w:tabs>
          <w:tab w:val="clear" w:pos="1701"/>
        </w:tabs>
        <w:ind w:left="2268" w:hanging="1134"/>
        <w:rPr>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6</w:t>
      </w:r>
      <w:r w:rsidRPr="00AB4DCC">
        <w:rPr>
          <w:lang w:val="fr-FR"/>
        </w:rPr>
        <w:tab/>
        <w:t>Si la collision n</w:t>
      </w:r>
      <w:r>
        <w:rPr>
          <w:lang w:val="fr-FR"/>
        </w:rPr>
        <w:t>’</w:t>
      </w:r>
      <w:r w:rsidRPr="00AB4DCC">
        <w:rPr>
          <w:lang w:val="fr-FR"/>
        </w:rPr>
        <w:t xml:space="preserve">a pas pu pas être évitée, la vitesse au moment de la collision ne doit pas être supérieure de plus de 8 km/h </w:t>
      </w:r>
      <w:r>
        <w:rPr>
          <w:lang w:val="fr-FR"/>
        </w:rPr>
        <w:t>à</w:t>
      </w:r>
      <w:r w:rsidRPr="00AB4DCC">
        <w:rPr>
          <w:lang w:val="fr-FR"/>
        </w:rPr>
        <w:t xml:space="preserve"> la vitesse à laquelle roulait le véhicule au moment où les conditions de déclenchement énoncées au paragraphe 5</w:t>
      </w:r>
      <w:r w:rsidR="00DF7AA4" w:rsidRPr="00DF7AA4">
        <w:rPr>
          <w:lang w:val="fr-FR"/>
        </w:rPr>
        <w:t>.</w:t>
      </w:r>
      <w:r w:rsidRPr="00AB4DCC">
        <w:rPr>
          <w:lang w:val="fr-FR"/>
        </w:rPr>
        <w:t>1</w:t>
      </w:r>
      <w:r w:rsidR="00DF7AA4" w:rsidRPr="00DF7AA4">
        <w:rPr>
          <w:lang w:val="fr-FR"/>
        </w:rPr>
        <w:t>.</w:t>
      </w:r>
      <w:r w:rsidRPr="00AB4DCC">
        <w:rPr>
          <w:lang w:val="fr-FR"/>
        </w:rPr>
        <w:t>2 ont été remplies</w:t>
      </w:r>
      <w:r w:rsidR="00DF7AA4" w:rsidRPr="00DF7AA4">
        <w:rPr>
          <w:lang w:val="fr-FR"/>
        </w:rPr>
        <w:t>.</w:t>
      </w:r>
    </w:p>
    <w:p w14:paraId="0C854210" w14:textId="74824FFF" w:rsidR="00EE432D" w:rsidRDefault="00EE432D" w:rsidP="00EE432D">
      <w:pPr>
        <w:pStyle w:val="SingleTxtG"/>
        <w:ind w:left="2268"/>
        <w:rPr>
          <w:lang w:val="fr-FR"/>
        </w:rPr>
      </w:pPr>
      <w:r w:rsidRPr="00AB4DCC">
        <w:rPr>
          <w:lang w:val="fr-FR"/>
        </w:rPr>
        <w:t>En outre, la vitesse de collision ne doit pas dépasser 70</w:t>
      </w:r>
      <w:r>
        <w:rPr>
          <w:lang w:val="fr-FR"/>
        </w:rPr>
        <w:t> %</w:t>
      </w:r>
      <w:r w:rsidRPr="00AB4DCC">
        <w:rPr>
          <w:lang w:val="fr-FR"/>
        </w:rPr>
        <w:t xml:space="preserve"> de la vitesse que le véhicule aurait eue dans la même position et dans les mêmes circonstances, mais sans le déclenchement du système ACPE</w:t>
      </w:r>
      <w:r w:rsidR="00DF7AA4" w:rsidRPr="00DF7AA4">
        <w:rPr>
          <w:lang w:val="fr-FR"/>
        </w:rPr>
        <w:t>.</w:t>
      </w:r>
    </w:p>
    <w:p w14:paraId="6F441B61" w14:textId="4EF22DD0" w:rsidR="00EE432D" w:rsidRPr="00AB4DCC" w:rsidRDefault="00EE432D" w:rsidP="006F5732">
      <w:pPr>
        <w:pStyle w:val="SingleTxtG"/>
        <w:tabs>
          <w:tab w:val="clear" w:pos="1701"/>
        </w:tabs>
        <w:ind w:left="2268" w:hanging="1134"/>
        <w:rPr>
          <w:lang w:val="fr-FR"/>
        </w:rPr>
      </w:pPr>
      <w:r>
        <w:rPr>
          <w:lang w:val="fr-FR"/>
        </w:rPr>
        <w:t>5</w:t>
      </w:r>
      <w:r w:rsidR="00DF7AA4" w:rsidRPr="00DF7AA4">
        <w:rPr>
          <w:lang w:val="fr-FR"/>
        </w:rPr>
        <w:t>.</w:t>
      </w:r>
      <w:r>
        <w:rPr>
          <w:lang w:val="fr-FR"/>
        </w:rPr>
        <w:t>1</w:t>
      </w:r>
      <w:r w:rsidR="00DF7AA4" w:rsidRPr="00DF7AA4">
        <w:rPr>
          <w:lang w:val="fr-FR"/>
        </w:rPr>
        <w:t>.</w:t>
      </w:r>
      <w:r>
        <w:rPr>
          <w:lang w:val="fr-FR"/>
        </w:rPr>
        <w:t>6</w:t>
      </w:r>
      <w:r w:rsidR="00DF7AA4" w:rsidRPr="00DF7AA4">
        <w:rPr>
          <w:lang w:val="fr-FR"/>
        </w:rPr>
        <w:t>.</w:t>
      </w:r>
      <w:r>
        <w:rPr>
          <w:lang w:val="fr-FR"/>
        </w:rPr>
        <w:t>1</w:t>
      </w:r>
      <w:r>
        <w:rPr>
          <w:lang w:val="fr-FR"/>
        </w:rPr>
        <w:tab/>
        <w:t>Si la vitesse ne dépasse pas 8 km/h sans le déclenchement du système ACPE dans le cadre des scénarios d’essai mais ne peut pas être réduite</w:t>
      </w:r>
      <w:r w:rsidRPr="006F1DD4">
        <w:rPr>
          <w:lang w:val="fr-FR"/>
        </w:rPr>
        <w:t xml:space="preserve"> de 30 % </w:t>
      </w:r>
      <w:r>
        <w:rPr>
          <w:lang w:val="fr-FR"/>
        </w:rPr>
        <w:t>car le</w:t>
      </w:r>
      <w:r w:rsidRPr="006F1DD4">
        <w:rPr>
          <w:lang w:val="fr-FR"/>
        </w:rPr>
        <w:t xml:space="preserve"> rapport entre la puissance du moteur et la masse d</w:t>
      </w:r>
      <w:r>
        <w:rPr>
          <w:lang w:val="fr-FR"/>
        </w:rPr>
        <w:t>’</w:t>
      </w:r>
      <w:r w:rsidRPr="006F1DD4">
        <w:rPr>
          <w:lang w:val="fr-FR"/>
        </w:rPr>
        <w:t>essai</w:t>
      </w:r>
      <w:r>
        <w:rPr>
          <w:lang w:val="fr-FR"/>
        </w:rPr>
        <w:t xml:space="preserve"> est trop bas, </w:t>
      </w:r>
      <w:r w:rsidRPr="002F6850">
        <w:rPr>
          <w:lang w:val="fr-FR"/>
        </w:rPr>
        <w:t>elle doit être réduite d</w:t>
      </w:r>
      <w:r>
        <w:rPr>
          <w:lang w:val="fr-FR"/>
        </w:rPr>
        <w:t>’</w:t>
      </w:r>
      <w:r w:rsidRPr="002F6850">
        <w:rPr>
          <w:lang w:val="fr-FR"/>
        </w:rPr>
        <w:t>au moins 15 %</w:t>
      </w:r>
      <w:r w:rsidR="00DF7AA4" w:rsidRPr="00DF7AA4">
        <w:rPr>
          <w:lang w:val="fr-FR"/>
        </w:rPr>
        <w:t>.</w:t>
      </w:r>
    </w:p>
    <w:p w14:paraId="22DB4197" w14:textId="2CD35477" w:rsidR="00EE432D" w:rsidRPr="00AB4DCC" w:rsidRDefault="00EE432D" w:rsidP="006F5732">
      <w:pPr>
        <w:pStyle w:val="SingleTxtG"/>
        <w:tabs>
          <w:tab w:val="clear" w:pos="1701"/>
        </w:tabs>
        <w:ind w:left="2268" w:hanging="1134"/>
        <w:rPr>
          <w:lang w:val="fr-FR"/>
        </w:rPr>
      </w:pPr>
      <w:bookmarkStart w:id="3" w:name="OLE_LINK11"/>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7</w:t>
      </w:r>
      <w:r w:rsidRPr="00AB4DCC">
        <w:rPr>
          <w:lang w:val="fr-FR"/>
        </w:rPr>
        <w:tab/>
        <w:t>Pendant toute l</w:t>
      </w:r>
      <w:r>
        <w:rPr>
          <w:lang w:val="fr-FR"/>
        </w:rPr>
        <w:t>’</w:t>
      </w:r>
      <w:r w:rsidRPr="00AB4DCC">
        <w:rPr>
          <w:lang w:val="fr-FR"/>
        </w:rPr>
        <w:t>intervention, l</w:t>
      </w:r>
      <w:r>
        <w:rPr>
          <w:lang w:val="fr-FR"/>
        </w:rPr>
        <w:t>’</w:t>
      </w:r>
      <w:r w:rsidRPr="00AB4DCC">
        <w:rPr>
          <w:lang w:val="fr-FR"/>
        </w:rPr>
        <w:t>accélération du véhicule doit rester limitée par le système ACPE</w:t>
      </w:r>
      <w:r w:rsidR="00DF7AA4" w:rsidRPr="00DF7AA4">
        <w:rPr>
          <w:lang w:val="fr-FR"/>
        </w:rPr>
        <w:t>.</w:t>
      </w:r>
      <w:r w:rsidRPr="00AB4DCC">
        <w:rPr>
          <w:lang w:val="fr-FR"/>
        </w:rPr>
        <w:t xml:space="preserve"> L</w:t>
      </w:r>
      <w:r>
        <w:rPr>
          <w:lang w:val="fr-FR"/>
        </w:rPr>
        <w:t>’</w:t>
      </w:r>
      <w:r w:rsidRPr="00AB4DCC">
        <w:rPr>
          <w:lang w:val="fr-FR"/>
        </w:rPr>
        <w:t>intervention s</w:t>
      </w:r>
      <w:r>
        <w:rPr>
          <w:lang w:val="fr-FR"/>
        </w:rPr>
        <w:t>’</w:t>
      </w:r>
      <w:r w:rsidRPr="00AB4DCC">
        <w:rPr>
          <w:lang w:val="fr-FR"/>
        </w:rPr>
        <w:t>achève lorsque l</w:t>
      </w:r>
      <w:r>
        <w:rPr>
          <w:lang w:val="fr-FR"/>
        </w:rPr>
        <w:t>’</w:t>
      </w:r>
      <w:r w:rsidRPr="00AB4DCC">
        <w:rPr>
          <w:lang w:val="fr-FR"/>
        </w:rPr>
        <w:t>obstacle n</w:t>
      </w:r>
      <w:r>
        <w:rPr>
          <w:lang w:val="fr-FR"/>
        </w:rPr>
        <w:t>’</w:t>
      </w:r>
      <w:r w:rsidRPr="00AB4DCC">
        <w:rPr>
          <w:lang w:val="fr-FR"/>
        </w:rPr>
        <w:t>est plus détecté ou que le conducteur interrompt la fonction</w:t>
      </w:r>
      <w:r w:rsidR="00DF7AA4" w:rsidRPr="00DF7AA4">
        <w:rPr>
          <w:lang w:val="fr-FR"/>
        </w:rPr>
        <w:t>.</w:t>
      </w:r>
      <w:r w:rsidRPr="00AB4DCC">
        <w:rPr>
          <w:lang w:val="fr-FR"/>
        </w:rPr>
        <w:t xml:space="preserve"> Le constructeur doit déclarer au service technique les conditions dans lesquelles le système ACPE continue de fonctionner</w:t>
      </w:r>
      <w:r w:rsidR="00DF7AA4" w:rsidRPr="00DF7AA4">
        <w:rPr>
          <w:lang w:val="fr-FR"/>
        </w:rPr>
        <w:t>.</w:t>
      </w:r>
    </w:p>
    <w:bookmarkEnd w:id="3"/>
    <w:p w14:paraId="50700051" w14:textId="363AEB22" w:rsidR="00EE432D" w:rsidRPr="00AB4DCC" w:rsidRDefault="00EE432D" w:rsidP="006F5732">
      <w:pPr>
        <w:pStyle w:val="SingleTxtG"/>
        <w:tabs>
          <w:tab w:val="clear" w:pos="1701"/>
        </w:tabs>
        <w:ind w:left="2268" w:hanging="1134"/>
        <w:rPr>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8</w:t>
      </w:r>
      <w:r w:rsidRPr="00AB4DCC">
        <w:rPr>
          <w:lang w:val="fr-FR"/>
        </w:rPr>
        <w:tab/>
        <w:t>L</w:t>
      </w:r>
      <w:r>
        <w:rPr>
          <w:lang w:val="fr-FR"/>
        </w:rPr>
        <w:t>’</w:t>
      </w:r>
      <w:r w:rsidRPr="00AB4DCC">
        <w:rPr>
          <w:lang w:val="fr-FR"/>
        </w:rPr>
        <w:t>efficacité du système ACPE ne doit pas être altérée par des champs magnétiques ou électriques</w:t>
      </w:r>
      <w:r w:rsidR="00DF7AA4" w:rsidRPr="00DF7AA4">
        <w:rPr>
          <w:lang w:val="fr-FR"/>
        </w:rPr>
        <w:t>.</w:t>
      </w:r>
      <w:r w:rsidRPr="00AB4DCC">
        <w:rPr>
          <w:lang w:val="fr-FR"/>
        </w:rPr>
        <w:t xml:space="preserve"> Cette condition est remplie s</w:t>
      </w:r>
      <w:r>
        <w:rPr>
          <w:lang w:val="fr-FR"/>
        </w:rPr>
        <w:t>’</w:t>
      </w:r>
      <w:r w:rsidRPr="00AB4DCC">
        <w:rPr>
          <w:lang w:val="fr-FR"/>
        </w:rPr>
        <w:t>il est satisfait aux prescriptions techniques et aux dispositions transitoires de la série 06 ou d</w:t>
      </w:r>
      <w:r>
        <w:rPr>
          <w:lang w:val="fr-FR"/>
        </w:rPr>
        <w:t>’</w:t>
      </w:r>
      <w:r w:rsidRPr="00AB4DCC">
        <w:rPr>
          <w:lang w:val="fr-FR"/>
        </w:rPr>
        <w:t>une série ultérieure d</w:t>
      </w:r>
      <w:r>
        <w:rPr>
          <w:lang w:val="fr-FR"/>
        </w:rPr>
        <w:t>’</w:t>
      </w:r>
      <w:r w:rsidRPr="00AB4DCC">
        <w:rPr>
          <w:lang w:val="fr-FR"/>
        </w:rPr>
        <w:t>amendements au Règlement ONU n</w:t>
      </w:r>
      <w:r w:rsidRPr="00AB4DCC">
        <w:rPr>
          <w:vertAlign w:val="superscript"/>
          <w:lang w:val="fr-FR"/>
        </w:rPr>
        <w:t>o</w:t>
      </w:r>
      <w:r w:rsidRPr="00AB4DCC">
        <w:rPr>
          <w:lang w:val="fr-FR"/>
        </w:rPr>
        <w:t> 10</w:t>
      </w:r>
      <w:r w:rsidR="00DF7AA4" w:rsidRPr="00DF7AA4">
        <w:rPr>
          <w:lang w:val="fr-FR"/>
        </w:rPr>
        <w:t>.</w:t>
      </w:r>
    </w:p>
    <w:p w14:paraId="73C901AF" w14:textId="26547106" w:rsidR="00EE432D" w:rsidRPr="00AB4DCC" w:rsidRDefault="00EE432D" w:rsidP="006F5732">
      <w:pPr>
        <w:pStyle w:val="SingleTxtG"/>
        <w:tabs>
          <w:tab w:val="clear" w:pos="1701"/>
        </w:tabs>
        <w:ind w:left="2268" w:hanging="1134"/>
        <w:rPr>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9</w:t>
      </w:r>
      <w:r w:rsidRPr="00AB4DCC">
        <w:rPr>
          <w:lang w:val="fr-FR"/>
        </w:rPr>
        <w:tab/>
        <w:t>La conformité aux éléments des systèmes de commande électronique ayant trait à la sécurité doit être démontrée en satisfaisant aux prescriptions énoncées à l</w:t>
      </w:r>
      <w:r>
        <w:rPr>
          <w:lang w:val="fr-FR"/>
        </w:rPr>
        <w:t>’</w:t>
      </w:r>
      <w:r w:rsidRPr="00AB4DCC">
        <w:rPr>
          <w:lang w:val="fr-FR"/>
        </w:rPr>
        <w:t>annexe 3</w:t>
      </w:r>
      <w:r w:rsidR="00DF7AA4" w:rsidRPr="00DF7AA4">
        <w:rPr>
          <w:lang w:val="fr-FR"/>
        </w:rPr>
        <w:t>.</w:t>
      </w:r>
    </w:p>
    <w:p w14:paraId="015283C0" w14:textId="142C820F" w:rsidR="00EE432D" w:rsidRPr="00AB4DCC" w:rsidRDefault="00EE432D" w:rsidP="006F5732">
      <w:pPr>
        <w:pStyle w:val="SingleTxtG"/>
        <w:tabs>
          <w:tab w:val="clear" w:pos="1701"/>
        </w:tabs>
        <w:ind w:left="2268" w:hanging="1134"/>
        <w:rPr>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10</w:t>
      </w:r>
      <w:r w:rsidRPr="00AB4DCC">
        <w:rPr>
          <w:lang w:val="fr-FR"/>
        </w:rPr>
        <w:tab/>
        <w:t>Le système ACPE doit informer le conducteur de son intervention conformément au paragraphe 5</w:t>
      </w:r>
      <w:r w:rsidR="00DF7AA4" w:rsidRPr="00DF7AA4">
        <w:rPr>
          <w:lang w:val="fr-FR"/>
        </w:rPr>
        <w:t>.</w:t>
      </w:r>
      <w:r w:rsidRPr="00AB4DCC">
        <w:rPr>
          <w:lang w:val="fr-FR"/>
        </w:rPr>
        <w:t>4</w:t>
      </w:r>
      <w:r w:rsidR="00DF7AA4" w:rsidRPr="00DF7AA4">
        <w:rPr>
          <w:lang w:val="fr-FR"/>
        </w:rPr>
        <w:t>.</w:t>
      </w:r>
      <w:r w:rsidRPr="00AB4DCC">
        <w:rPr>
          <w:lang w:val="fr-FR"/>
        </w:rPr>
        <w:t>2</w:t>
      </w:r>
      <w:r w:rsidR="00DF7AA4" w:rsidRPr="00DF7AA4">
        <w:rPr>
          <w:lang w:val="fr-FR"/>
        </w:rPr>
        <w:t>.</w:t>
      </w:r>
    </w:p>
    <w:p w14:paraId="559502E3" w14:textId="14DAECC9" w:rsidR="00EE432D" w:rsidRPr="00AB4DCC" w:rsidRDefault="00EE432D" w:rsidP="006F5732">
      <w:pPr>
        <w:pStyle w:val="SingleTxtG"/>
        <w:keepNext/>
        <w:tabs>
          <w:tab w:val="clear" w:pos="1701"/>
        </w:tabs>
        <w:ind w:left="2268" w:hanging="1134"/>
        <w:rPr>
          <w:lang w:val="fr-FR"/>
        </w:rPr>
      </w:pPr>
      <w:r w:rsidRPr="00AB4DCC">
        <w:rPr>
          <w:lang w:val="fr-FR"/>
        </w:rPr>
        <w:lastRenderedPageBreak/>
        <w:t>5</w:t>
      </w:r>
      <w:r w:rsidR="00DF7AA4" w:rsidRPr="00DF7AA4">
        <w:rPr>
          <w:lang w:val="fr-FR"/>
        </w:rPr>
        <w:t>.</w:t>
      </w:r>
      <w:r w:rsidRPr="00AB4DCC">
        <w:rPr>
          <w:lang w:val="fr-FR"/>
        </w:rPr>
        <w:t>1</w:t>
      </w:r>
      <w:r w:rsidR="00DF7AA4" w:rsidRPr="00DF7AA4">
        <w:rPr>
          <w:lang w:val="fr-FR"/>
        </w:rPr>
        <w:t>.</w:t>
      </w:r>
      <w:r w:rsidRPr="00AB4DCC">
        <w:rPr>
          <w:lang w:val="fr-FR"/>
        </w:rPr>
        <w:t>11</w:t>
      </w:r>
      <w:r w:rsidRPr="00AB4DCC">
        <w:rPr>
          <w:lang w:val="fr-FR"/>
        </w:rPr>
        <w:tab/>
        <w:t>Interruption du système ACPE par le conducteur</w:t>
      </w:r>
    </w:p>
    <w:p w14:paraId="509CA9C3" w14:textId="28BA233F" w:rsidR="00EE432D" w:rsidRPr="00AB4DCC" w:rsidRDefault="00EE432D" w:rsidP="00EE432D">
      <w:pPr>
        <w:pStyle w:val="SingleTxtG"/>
        <w:ind w:left="2268" w:hanging="1134"/>
        <w:rPr>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11</w:t>
      </w:r>
      <w:r w:rsidR="00DF7AA4" w:rsidRPr="00DF7AA4">
        <w:rPr>
          <w:lang w:val="fr-FR"/>
        </w:rPr>
        <w:t>.</w:t>
      </w:r>
      <w:r w:rsidRPr="00AB4DCC">
        <w:rPr>
          <w:lang w:val="fr-FR"/>
        </w:rPr>
        <w:t>1</w:t>
      </w:r>
      <w:r w:rsidRPr="00AB4DCC">
        <w:rPr>
          <w:lang w:val="fr-FR"/>
        </w:rPr>
        <w:tab/>
        <w:t>Le système ACPE doit permettre au conducteur d</w:t>
      </w:r>
      <w:r>
        <w:rPr>
          <w:lang w:val="fr-FR"/>
        </w:rPr>
        <w:t>’</w:t>
      </w:r>
      <w:r w:rsidRPr="00AB4DCC">
        <w:rPr>
          <w:lang w:val="fr-FR"/>
        </w:rPr>
        <w:t>interrompre l</w:t>
      </w:r>
      <w:r>
        <w:rPr>
          <w:lang w:val="fr-FR"/>
        </w:rPr>
        <w:t>’</w:t>
      </w:r>
      <w:r w:rsidRPr="00AB4DCC">
        <w:rPr>
          <w:lang w:val="fr-FR"/>
        </w:rPr>
        <w:t>intervention</w:t>
      </w:r>
      <w:r w:rsidR="00DF7AA4" w:rsidRPr="00DF7AA4">
        <w:rPr>
          <w:lang w:val="fr-FR"/>
        </w:rPr>
        <w:t>.</w:t>
      </w:r>
      <w:r w:rsidRPr="00AB4DCC">
        <w:rPr>
          <w:lang w:val="fr-FR"/>
        </w:rPr>
        <w:t xml:space="preserve"> Cette interruption doit être déclenchée par toute action intentionnelle indiquant que le conducteur a pris conscience de la situation</w:t>
      </w:r>
      <w:r w:rsidR="00DF7AA4" w:rsidRPr="00DF7AA4">
        <w:rPr>
          <w:lang w:val="fr-FR"/>
        </w:rPr>
        <w:t>.</w:t>
      </w:r>
    </w:p>
    <w:p w14:paraId="25298757" w14:textId="217B18F8" w:rsidR="00EE432D" w:rsidRPr="00AB4DCC" w:rsidRDefault="00EE432D" w:rsidP="00EE432D">
      <w:pPr>
        <w:pStyle w:val="SingleTxtG"/>
        <w:ind w:left="2268" w:hanging="1134"/>
        <w:rPr>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11</w:t>
      </w:r>
      <w:r w:rsidR="00DF7AA4" w:rsidRPr="00DF7AA4">
        <w:rPr>
          <w:lang w:val="fr-FR"/>
        </w:rPr>
        <w:t>.</w:t>
      </w:r>
      <w:r w:rsidRPr="00AB4DCC">
        <w:rPr>
          <w:lang w:val="fr-FR"/>
        </w:rPr>
        <w:t>2</w:t>
      </w:r>
      <w:r w:rsidRPr="00AB4DCC">
        <w:rPr>
          <w:lang w:val="fr-FR"/>
        </w:rPr>
        <w:tab/>
        <w:t>En cas d</w:t>
      </w:r>
      <w:r>
        <w:rPr>
          <w:lang w:val="fr-FR"/>
        </w:rPr>
        <w:t>’</w:t>
      </w:r>
      <w:r w:rsidRPr="00AB4DCC">
        <w:rPr>
          <w:lang w:val="fr-FR"/>
        </w:rPr>
        <w:t>interruption déclenchée par le maintien de la commande d</w:t>
      </w:r>
      <w:r>
        <w:rPr>
          <w:lang w:val="fr-FR"/>
        </w:rPr>
        <w:t>’</w:t>
      </w:r>
      <w:r w:rsidRPr="00AB4DCC">
        <w:rPr>
          <w:lang w:val="fr-FR"/>
        </w:rPr>
        <w:t>accélérateur, il ne doit pas y avoir d</w:t>
      </w:r>
      <w:r>
        <w:rPr>
          <w:lang w:val="fr-FR"/>
        </w:rPr>
        <w:t>’</w:t>
      </w:r>
      <w:r w:rsidRPr="00AB4DCC">
        <w:rPr>
          <w:lang w:val="fr-FR"/>
        </w:rPr>
        <w:t>augmentation rapide de l</w:t>
      </w:r>
      <w:r>
        <w:rPr>
          <w:lang w:val="fr-FR"/>
        </w:rPr>
        <w:t>’</w:t>
      </w:r>
      <w:r w:rsidRPr="00AB4DCC">
        <w:rPr>
          <w:lang w:val="fr-FR"/>
        </w:rPr>
        <w:t>accélération</w:t>
      </w:r>
      <w:r w:rsidR="00DF7AA4" w:rsidRPr="00DF7AA4">
        <w:rPr>
          <w:lang w:val="fr-FR"/>
        </w:rPr>
        <w:t>.</w:t>
      </w:r>
    </w:p>
    <w:p w14:paraId="4539E4DB" w14:textId="3C269100" w:rsidR="00EE432D" w:rsidRPr="00AB4DCC" w:rsidRDefault="00EE432D" w:rsidP="00EE432D">
      <w:pPr>
        <w:pStyle w:val="SingleTxtG"/>
        <w:ind w:left="2268" w:hanging="1134"/>
        <w:rPr>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11</w:t>
      </w:r>
      <w:r w:rsidR="00DF7AA4" w:rsidRPr="00DF7AA4">
        <w:rPr>
          <w:lang w:val="fr-FR"/>
        </w:rPr>
        <w:t>.</w:t>
      </w:r>
      <w:r w:rsidRPr="00AB4DCC">
        <w:rPr>
          <w:lang w:val="fr-FR"/>
        </w:rPr>
        <w:t>3</w:t>
      </w:r>
      <w:r w:rsidRPr="00AB4DCC">
        <w:rPr>
          <w:lang w:val="fr-FR"/>
        </w:rPr>
        <w:tab/>
        <w:t>Le respect de ces prescriptions doit être étayé par des documents et démontré par le constructeur à l</w:t>
      </w:r>
      <w:r>
        <w:rPr>
          <w:lang w:val="fr-FR"/>
        </w:rPr>
        <w:t>’</w:t>
      </w:r>
      <w:r w:rsidRPr="00AB4DCC">
        <w:rPr>
          <w:lang w:val="fr-FR"/>
        </w:rPr>
        <w:t>autorité d</w:t>
      </w:r>
      <w:r>
        <w:rPr>
          <w:lang w:val="fr-FR"/>
        </w:rPr>
        <w:t>’</w:t>
      </w:r>
      <w:r w:rsidRPr="00AB4DCC">
        <w:rPr>
          <w:lang w:val="fr-FR"/>
        </w:rPr>
        <w:t>homologation lors de l</w:t>
      </w:r>
      <w:r>
        <w:rPr>
          <w:lang w:val="fr-FR"/>
        </w:rPr>
        <w:t>’</w:t>
      </w:r>
      <w:r w:rsidRPr="00AB4DCC">
        <w:rPr>
          <w:lang w:val="fr-FR"/>
        </w:rPr>
        <w:t>inspection du concept de sécurité dans le cadre de l</w:t>
      </w:r>
      <w:r>
        <w:rPr>
          <w:lang w:val="fr-FR"/>
        </w:rPr>
        <w:t>’</w:t>
      </w:r>
      <w:r w:rsidRPr="00AB4DCC">
        <w:rPr>
          <w:lang w:val="fr-FR"/>
        </w:rPr>
        <w:t>évaluation prévue à l</w:t>
      </w:r>
      <w:r>
        <w:rPr>
          <w:lang w:val="fr-FR"/>
        </w:rPr>
        <w:t>’</w:t>
      </w:r>
      <w:r w:rsidRPr="00AB4DCC">
        <w:rPr>
          <w:lang w:val="fr-FR"/>
        </w:rPr>
        <w:t>annexe 3</w:t>
      </w:r>
      <w:r w:rsidR="00DF7AA4" w:rsidRPr="00DF7AA4">
        <w:rPr>
          <w:lang w:val="fr-FR"/>
        </w:rPr>
        <w:t>.</w:t>
      </w:r>
    </w:p>
    <w:p w14:paraId="590D6DA3" w14:textId="6858A26B" w:rsidR="00EE432D" w:rsidRPr="00AB4DCC" w:rsidRDefault="00EE432D" w:rsidP="006F5732">
      <w:pPr>
        <w:pStyle w:val="SingleTxtG"/>
        <w:tabs>
          <w:tab w:val="clear" w:pos="1701"/>
        </w:tabs>
        <w:ind w:left="2268" w:hanging="1134"/>
        <w:rPr>
          <w:bCs/>
          <w:lang w:val="fr-FR"/>
        </w:rPr>
      </w:pPr>
      <w:r w:rsidRPr="00AB4DCC">
        <w:rPr>
          <w:lang w:val="fr-FR"/>
        </w:rPr>
        <w:t>5</w:t>
      </w:r>
      <w:r w:rsidR="00DF7AA4" w:rsidRPr="00DF7AA4">
        <w:rPr>
          <w:lang w:val="fr-FR"/>
        </w:rPr>
        <w:t>.</w:t>
      </w:r>
      <w:r w:rsidRPr="00AB4DCC">
        <w:rPr>
          <w:lang w:val="fr-FR"/>
        </w:rPr>
        <w:t>1</w:t>
      </w:r>
      <w:r w:rsidR="00DF7AA4" w:rsidRPr="00DF7AA4">
        <w:rPr>
          <w:lang w:val="fr-FR"/>
        </w:rPr>
        <w:t>.</w:t>
      </w:r>
      <w:r w:rsidRPr="00AB4DCC">
        <w:rPr>
          <w:lang w:val="fr-FR"/>
        </w:rPr>
        <w:t>12</w:t>
      </w:r>
      <w:r w:rsidRPr="00AB4DCC">
        <w:rPr>
          <w:lang w:val="fr-FR"/>
        </w:rPr>
        <w:tab/>
        <w:t>Les prescriptions fonctionnelles doivent être vérifiées en suivant la procédure d</w:t>
      </w:r>
      <w:r>
        <w:rPr>
          <w:lang w:val="fr-FR"/>
        </w:rPr>
        <w:t>’</w:t>
      </w:r>
      <w:r w:rsidRPr="00AB4DCC">
        <w:rPr>
          <w:lang w:val="fr-FR"/>
        </w:rPr>
        <w:t>essai décrite à la section 6</w:t>
      </w:r>
      <w:r w:rsidR="00DF7AA4" w:rsidRPr="00DF7AA4">
        <w:rPr>
          <w:lang w:val="fr-FR"/>
        </w:rPr>
        <w:t>.</w:t>
      </w:r>
    </w:p>
    <w:p w14:paraId="7333FC60" w14:textId="7F11E259" w:rsidR="00EE432D" w:rsidRPr="00AB4DCC" w:rsidRDefault="00EE432D" w:rsidP="00EE432D">
      <w:pPr>
        <w:pStyle w:val="SingleTxtG"/>
        <w:ind w:left="2268" w:hanging="1134"/>
        <w:rPr>
          <w:bCs/>
          <w:lang w:val="fr-FR"/>
        </w:rPr>
      </w:pPr>
      <w:r w:rsidRPr="00AB4DCC">
        <w:rPr>
          <w:lang w:val="fr-FR"/>
        </w:rPr>
        <w:t>5</w:t>
      </w:r>
      <w:r w:rsidR="00DF7AA4" w:rsidRPr="00DF7AA4">
        <w:rPr>
          <w:lang w:val="fr-FR"/>
        </w:rPr>
        <w:t>.</w:t>
      </w:r>
      <w:r w:rsidRPr="00AB4DCC">
        <w:rPr>
          <w:lang w:val="fr-FR"/>
        </w:rPr>
        <w:t>2</w:t>
      </w:r>
      <w:r w:rsidRPr="00AB4DCC">
        <w:rPr>
          <w:lang w:val="fr-FR"/>
        </w:rPr>
        <w:tab/>
        <w:t>Désactivation</w:t>
      </w:r>
    </w:p>
    <w:p w14:paraId="2C65D9E0" w14:textId="61FCD9FE" w:rsidR="00EE432D" w:rsidRPr="00AB4DCC" w:rsidRDefault="00EE432D" w:rsidP="006F5732">
      <w:pPr>
        <w:pStyle w:val="SingleTxtG"/>
        <w:tabs>
          <w:tab w:val="clear" w:pos="1701"/>
        </w:tabs>
        <w:ind w:left="2268" w:hanging="1134"/>
        <w:rPr>
          <w:bCs/>
          <w:lang w:val="fr-FR"/>
        </w:rPr>
      </w:pPr>
      <w:bookmarkStart w:id="4" w:name="OLE_LINK18"/>
      <w:bookmarkStart w:id="5" w:name="OLE_LINK19"/>
      <w:r w:rsidRPr="00AB4DCC">
        <w:rPr>
          <w:lang w:val="fr-FR"/>
        </w:rPr>
        <w:t>5</w:t>
      </w:r>
      <w:r w:rsidR="00DF7AA4" w:rsidRPr="00DF7AA4">
        <w:rPr>
          <w:lang w:val="fr-FR"/>
        </w:rPr>
        <w:t>.</w:t>
      </w:r>
      <w:r w:rsidRPr="00AB4DCC">
        <w:rPr>
          <w:lang w:val="fr-FR"/>
        </w:rPr>
        <w:t>2</w:t>
      </w:r>
      <w:r w:rsidR="00DF7AA4" w:rsidRPr="00DF7AA4">
        <w:rPr>
          <w:lang w:val="fr-FR"/>
        </w:rPr>
        <w:t>.</w:t>
      </w:r>
      <w:r w:rsidRPr="00AB4DCC">
        <w:rPr>
          <w:lang w:val="fr-FR"/>
        </w:rPr>
        <w:t>1</w:t>
      </w:r>
      <w:r w:rsidRPr="00AB4DCC">
        <w:rPr>
          <w:lang w:val="fr-FR"/>
        </w:rPr>
        <w:tab/>
        <w:t>Désactivation à court terme</w:t>
      </w:r>
    </w:p>
    <w:bookmarkEnd w:id="4"/>
    <w:p w14:paraId="5A642889" w14:textId="0DE22EE4" w:rsidR="00EE432D" w:rsidRPr="00AB4DCC" w:rsidRDefault="00EE432D" w:rsidP="00EE432D">
      <w:pPr>
        <w:pStyle w:val="SingleTxtG"/>
        <w:ind w:left="2268"/>
        <w:rPr>
          <w:lang w:val="fr-FR"/>
        </w:rPr>
      </w:pPr>
      <w:r w:rsidRPr="00AB4DCC">
        <w:rPr>
          <w:lang w:val="fr-FR"/>
        </w:rPr>
        <w:t>Lorsqu</w:t>
      </w:r>
      <w:r>
        <w:rPr>
          <w:lang w:val="fr-FR"/>
        </w:rPr>
        <w:t>’</w:t>
      </w:r>
      <w:r w:rsidRPr="00AB4DCC">
        <w:rPr>
          <w:lang w:val="fr-FR"/>
        </w:rPr>
        <w:t>un véhicule est équipé d</w:t>
      </w:r>
      <w:r>
        <w:rPr>
          <w:lang w:val="fr-FR"/>
        </w:rPr>
        <w:t>’</w:t>
      </w:r>
      <w:r w:rsidRPr="00AB4DCC">
        <w:rPr>
          <w:lang w:val="fr-FR"/>
        </w:rPr>
        <w:t>un dispositif permettant de désactiver manuellement le système ACPE, ce dernier doit être réactivé automatiquement à chaque nouveau démarrage du moteur (ou à chaque nouveau cycle de fonctionnement, selon le cas)</w:t>
      </w:r>
      <w:r w:rsidR="00DF7AA4" w:rsidRPr="00DF7AA4">
        <w:rPr>
          <w:lang w:val="fr-FR"/>
        </w:rPr>
        <w:t>.</w:t>
      </w:r>
    </w:p>
    <w:p w14:paraId="4F73F885" w14:textId="26D58C88" w:rsidR="00EE432D" w:rsidRPr="00AB4DCC" w:rsidRDefault="00EE432D" w:rsidP="00EE432D">
      <w:pPr>
        <w:pStyle w:val="SingleTxtG"/>
        <w:ind w:left="2268"/>
        <w:rPr>
          <w:lang w:val="fr-FR"/>
        </w:rPr>
      </w:pPr>
      <w:r w:rsidRPr="00AB4DCC">
        <w:rPr>
          <w:lang w:val="fr-FR"/>
        </w:rPr>
        <w:t>Cette prescription n</w:t>
      </w:r>
      <w:r>
        <w:rPr>
          <w:lang w:val="fr-FR"/>
        </w:rPr>
        <w:t>’</w:t>
      </w:r>
      <w:r w:rsidRPr="00AB4DCC">
        <w:rPr>
          <w:lang w:val="fr-FR"/>
        </w:rPr>
        <w:t>est pas applicable aux redémarrages (ou nouveaux cycles de fonctionnement, selon le cas) qui surviennent automatiquement en raison, par exemple, du fonctionnement d</w:t>
      </w:r>
      <w:r>
        <w:rPr>
          <w:lang w:val="fr-FR"/>
        </w:rPr>
        <w:t>’</w:t>
      </w:r>
      <w:r w:rsidRPr="00AB4DCC">
        <w:rPr>
          <w:lang w:val="fr-FR"/>
        </w:rPr>
        <w:t>un système arrêt-démarrage automatique</w:t>
      </w:r>
      <w:r w:rsidR="00DF7AA4" w:rsidRPr="00DF7AA4">
        <w:rPr>
          <w:lang w:val="fr-FR"/>
        </w:rPr>
        <w:t>.</w:t>
      </w:r>
    </w:p>
    <w:bookmarkEnd w:id="5"/>
    <w:p w14:paraId="2F11DD9C" w14:textId="7DF1C911" w:rsidR="00EE432D" w:rsidRPr="00AB4DCC" w:rsidRDefault="00EE432D" w:rsidP="00EE432D">
      <w:pPr>
        <w:pStyle w:val="SingleTxtG"/>
        <w:ind w:left="2268"/>
        <w:rPr>
          <w:lang w:val="fr-FR"/>
        </w:rPr>
      </w:pPr>
      <w:r w:rsidRPr="00AB4DCC">
        <w:rPr>
          <w:lang w:val="fr-FR"/>
        </w:rPr>
        <w:t>Le conducteur doit être averti de la désactivation du système au moins au moment où elle se produit</w:t>
      </w:r>
      <w:r w:rsidR="00DF7AA4" w:rsidRPr="00DF7AA4">
        <w:rPr>
          <w:lang w:val="fr-FR"/>
        </w:rPr>
        <w:t>.</w:t>
      </w:r>
    </w:p>
    <w:p w14:paraId="5B6F7499" w14:textId="03817BA9" w:rsidR="00EE432D" w:rsidRPr="00AB4DCC" w:rsidRDefault="00EE432D" w:rsidP="006F5732">
      <w:pPr>
        <w:pStyle w:val="SingleTxtG"/>
        <w:tabs>
          <w:tab w:val="clear" w:pos="1701"/>
        </w:tabs>
        <w:ind w:left="2268" w:hanging="1134"/>
        <w:rPr>
          <w:color w:val="000000" w:themeColor="text1"/>
          <w:lang w:val="fr-FR"/>
        </w:rPr>
      </w:pPr>
      <w:bookmarkStart w:id="6" w:name="OLE_LINK14"/>
      <w:r w:rsidRPr="00AB4DCC">
        <w:rPr>
          <w:lang w:val="fr-FR"/>
        </w:rPr>
        <w:t>5</w:t>
      </w:r>
      <w:r w:rsidR="00DF7AA4" w:rsidRPr="00DF7AA4">
        <w:rPr>
          <w:lang w:val="fr-FR"/>
        </w:rPr>
        <w:t>.</w:t>
      </w:r>
      <w:r w:rsidRPr="00AB4DCC">
        <w:rPr>
          <w:lang w:val="fr-FR"/>
        </w:rPr>
        <w:t>2</w:t>
      </w:r>
      <w:r w:rsidR="00DF7AA4" w:rsidRPr="00DF7AA4">
        <w:rPr>
          <w:lang w:val="fr-FR"/>
        </w:rPr>
        <w:t>.</w:t>
      </w:r>
      <w:r w:rsidRPr="00AB4DCC">
        <w:rPr>
          <w:lang w:val="fr-FR"/>
        </w:rPr>
        <w:t>2</w:t>
      </w:r>
      <w:r w:rsidRPr="00AB4DCC">
        <w:rPr>
          <w:lang w:val="fr-FR"/>
        </w:rPr>
        <w:tab/>
        <w:t>Désactivation à long terme</w:t>
      </w:r>
    </w:p>
    <w:p w14:paraId="5DD903FF" w14:textId="309B6738" w:rsidR="00EE432D" w:rsidRPr="00AB4DCC" w:rsidRDefault="00EE432D" w:rsidP="00EE432D">
      <w:pPr>
        <w:pStyle w:val="SingleTxtG"/>
        <w:ind w:left="2268"/>
        <w:rPr>
          <w:rFonts w:eastAsia="Calibri"/>
          <w:color w:val="000000" w:themeColor="text1"/>
          <w:lang w:val="fr-FR"/>
        </w:rPr>
      </w:pPr>
      <w:r w:rsidRPr="00AB4DCC">
        <w:rPr>
          <w:lang w:val="fr-FR"/>
        </w:rPr>
        <w:t>Nonobstant le paragraphe 5</w:t>
      </w:r>
      <w:r w:rsidR="00DF7AA4" w:rsidRPr="00DF7AA4">
        <w:rPr>
          <w:lang w:val="fr-FR"/>
        </w:rPr>
        <w:t>.</w:t>
      </w:r>
      <w:r w:rsidRPr="00AB4DCC">
        <w:rPr>
          <w:lang w:val="fr-FR"/>
        </w:rPr>
        <w:t>2</w:t>
      </w:r>
      <w:r w:rsidR="00DF7AA4" w:rsidRPr="00DF7AA4">
        <w:rPr>
          <w:lang w:val="fr-FR"/>
        </w:rPr>
        <w:t>.</w:t>
      </w:r>
      <w:r w:rsidRPr="00AB4DCC">
        <w:rPr>
          <w:lang w:val="fr-FR"/>
        </w:rPr>
        <w:t>1, un véhicule peut être équipé d</w:t>
      </w:r>
      <w:r>
        <w:rPr>
          <w:lang w:val="fr-FR"/>
        </w:rPr>
        <w:t>’</w:t>
      </w:r>
      <w:r w:rsidRPr="00AB4DCC">
        <w:rPr>
          <w:lang w:val="fr-FR"/>
        </w:rPr>
        <w:t>un dispositif de désactivation à long terme permettant de désactiver manuellement le système ACPE</w:t>
      </w:r>
      <w:r>
        <w:rPr>
          <w:lang w:val="fr-FR"/>
        </w:rPr>
        <w:t> ;</w:t>
      </w:r>
      <w:r w:rsidRPr="00AB4DCC">
        <w:rPr>
          <w:lang w:val="fr-FR"/>
        </w:rPr>
        <w:t xml:space="preserve"> dans ce cas, le système ne doit pas être réactivé à chaque nouveau démarrage du moteur (ou à chaque nouveau cycle de fonctionnement, selon le cas)</w:t>
      </w:r>
      <w:r w:rsidR="00DF7AA4" w:rsidRPr="00DF7AA4">
        <w:rPr>
          <w:lang w:val="fr-FR"/>
        </w:rPr>
        <w:t>.</w:t>
      </w:r>
      <w:r w:rsidRPr="00AB4DCC">
        <w:rPr>
          <w:lang w:val="fr-FR"/>
        </w:rPr>
        <w:t xml:space="preserve"> Toutefois, le système doit informer le conducteur de sa désactivation de l</w:t>
      </w:r>
      <w:r>
        <w:rPr>
          <w:lang w:val="fr-FR"/>
        </w:rPr>
        <w:t>’</w:t>
      </w:r>
      <w:r w:rsidRPr="00AB4DCC">
        <w:rPr>
          <w:lang w:val="fr-FR"/>
        </w:rPr>
        <w:t>une des trois manières suivantes</w:t>
      </w:r>
      <w:r>
        <w:rPr>
          <w:lang w:val="fr-FR"/>
        </w:rPr>
        <w:t> :</w:t>
      </w:r>
    </w:p>
    <w:p w14:paraId="697B357C" w14:textId="35439C40" w:rsidR="00EE432D" w:rsidRPr="00AB4DCC" w:rsidRDefault="00EE432D" w:rsidP="00EE432D">
      <w:pPr>
        <w:pStyle w:val="SingleTxtG"/>
        <w:ind w:left="2835" w:hanging="567"/>
        <w:rPr>
          <w:lang w:val="fr-FR"/>
        </w:rPr>
      </w:pPr>
      <w:r w:rsidRPr="00AB4DCC">
        <w:rPr>
          <w:lang w:val="fr-FR"/>
        </w:rPr>
        <w:t>a)</w:t>
      </w:r>
      <w:r w:rsidRPr="00AB4DCC">
        <w:rPr>
          <w:lang w:val="fr-FR"/>
        </w:rPr>
        <w:tab/>
        <w:t>Un témoin lumineux continu doit informer le conducteur du fait que le système ACPE a été désactivé</w:t>
      </w:r>
      <w:r w:rsidR="00DF7AA4" w:rsidRPr="00DF7AA4">
        <w:rPr>
          <w:lang w:val="fr-FR"/>
        </w:rPr>
        <w:t>.</w:t>
      </w:r>
      <w:r w:rsidRPr="00AB4DCC">
        <w:rPr>
          <w:lang w:val="fr-FR"/>
        </w:rPr>
        <w:t xml:space="preserve"> Le témoin lumineux jaune mentionné au paragraphe 5</w:t>
      </w:r>
      <w:r w:rsidR="00DF7AA4" w:rsidRPr="00DF7AA4">
        <w:rPr>
          <w:lang w:val="fr-FR"/>
        </w:rPr>
        <w:t>.</w:t>
      </w:r>
      <w:r w:rsidRPr="00AB4DCC">
        <w:rPr>
          <w:lang w:val="fr-FR"/>
        </w:rPr>
        <w:t>4</w:t>
      </w:r>
      <w:r w:rsidR="00DF7AA4" w:rsidRPr="00DF7AA4">
        <w:rPr>
          <w:lang w:val="fr-FR"/>
        </w:rPr>
        <w:t>.</w:t>
      </w:r>
      <w:r w:rsidRPr="00AB4DCC">
        <w:rPr>
          <w:lang w:val="fr-FR"/>
        </w:rPr>
        <w:t>3 peut être utilisé à cette fin</w:t>
      </w:r>
      <w:r>
        <w:rPr>
          <w:lang w:val="fr-FR"/>
        </w:rPr>
        <w:t> ;</w:t>
      </w:r>
    </w:p>
    <w:p w14:paraId="36BFCCCF" w14:textId="4B03ACAE" w:rsidR="00EE432D" w:rsidRPr="00AB4DCC" w:rsidRDefault="00EE432D" w:rsidP="00EE432D">
      <w:pPr>
        <w:pStyle w:val="SingleTxtG"/>
        <w:ind w:left="2835" w:hanging="567"/>
        <w:rPr>
          <w:color w:val="000000" w:themeColor="text1"/>
          <w:lang w:val="fr-FR"/>
        </w:rPr>
      </w:pPr>
      <w:r w:rsidRPr="00AB4DCC">
        <w:rPr>
          <w:lang w:val="fr-FR"/>
        </w:rPr>
        <w:t>b)</w:t>
      </w:r>
      <w:r w:rsidRPr="00AB4DCC">
        <w:rPr>
          <w:lang w:val="fr-FR"/>
        </w:rPr>
        <w:tab/>
        <w:t>Le conducteur doit régulièrement être informé du fait que le système est désactivé</w:t>
      </w:r>
      <w:r w:rsidR="00DF7AA4" w:rsidRPr="00DF7AA4">
        <w:rPr>
          <w:lang w:val="fr-FR"/>
        </w:rPr>
        <w:t>.</w:t>
      </w:r>
      <w:r w:rsidRPr="00AB4DCC">
        <w:rPr>
          <w:lang w:val="fr-FR"/>
        </w:rPr>
        <w:t xml:space="preserve"> Dans ce cas, cette information doit être donnée pendant au moins 10</w:t>
      </w:r>
      <w:r>
        <w:rPr>
          <w:lang w:val="fr-FR"/>
        </w:rPr>
        <w:t> </w:t>
      </w:r>
      <w:r w:rsidRPr="00AB4DCC">
        <w:rPr>
          <w:lang w:val="fr-FR"/>
        </w:rPr>
        <w:t>s ou jusqu</w:t>
      </w:r>
      <w:r>
        <w:rPr>
          <w:lang w:val="fr-FR"/>
        </w:rPr>
        <w:t>’</w:t>
      </w:r>
      <w:r w:rsidRPr="00AB4DCC">
        <w:rPr>
          <w:lang w:val="fr-FR"/>
        </w:rPr>
        <w:t>à ce que le conducteur confirme l</w:t>
      </w:r>
      <w:r>
        <w:rPr>
          <w:lang w:val="fr-FR"/>
        </w:rPr>
        <w:t>’</w:t>
      </w:r>
      <w:r w:rsidRPr="00AB4DCC">
        <w:rPr>
          <w:lang w:val="fr-FR"/>
        </w:rPr>
        <w:t>avoir reçue</w:t>
      </w:r>
      <w:r w:rsidR="00DF7AA4" w:rsidRPr="00DF7AA4">
        <w:rPr>
          <w:lang w:val="fr-FR"/>
        </w:rPr>
        <w:t>.</w:t>
      </w:r>
      <w:bookmarkStart w:id="7" w:name="OLE_LINK15"/>
    </w:p>
    <w:p w14:paraId="7720F737" w14:textId="3C9524D1" w:rsidR="00EE432D" w:rsidRPr="00AB4DCC" w:rsidRDefault="00EE432D" w:rsidP="00EE432D">
      <w:pPr>
        <w:pStyle w:val="SingleTxtG"/>
        <w:ind w:left="2268"/>
        <w:rPr>
          <w:color w:val="000000" w:themeColor="text1"/>
          <w:lang w:val="fr-FR"/>
        </w:rPr>
      </w:pPr>
      <w:r w:rsidRPr="00AB4DCC">
        <w:rPr>
          <w:lang w:val="fr-FR"/>
        </w:rPr>
        <w:t>Cette information doit être donnée au moins tous les 7</w:t>
      </w:r>
      <w:r>
        <w:rPr>
          <w:lang w:val="fr-FR"/>
        </w:rPr>
        <w:t> </w:t>
      </w:r>
      <w:r w:rsidRPr="00AB4DCC">
        <w:rPr>
          <w:lang w:val="fr-FR"/>
        </w:rPr>
        <w:t>jours ou tous les 10</w:t>
      </w:r>
      <w:r>
        <w:rPr>
          <w:lang w:val="fr-FR"/>
        </w:rPr>
        <w:t> </w:t>
      </w:r>
      <w:r w:rsidRPr="00AB4DCC">
        <w:rPr>
          <w:lang w:val="fr-FR"/>
        </w:rPr>
        <w:t>démarrages du moteur (ou cycles de fonctionnement, selon le cas), sauf lorsqu</w:t>
      </w:r>
      <w:r>
        <w:rPr>
          <w:lang w:val="fr-FR"/>
        </w:rPr>
        <w:t>’</w:t>
      </w:r>
      <w:r w:rsidRPr="00AB4DCC">
        <w:rPr>
          <w:lang w:val="fr-FR"/>
        </w:rPr>
        <w:t>un nouveau démarrage du moteur (ou cycle de fonctionnement, selon le cas) survient automatiquement, en raison, par exemple, du fonctionnement d</w:t>
      </w:r>
      <w:r>
        <w:rPr>
          <w:lang w:val="fr-FR"/>
        </w:rPr>
        <w:t>’</w:t>
      </w:r>
      <w:r w:rsidRPr="00AB4DCC">
        <w:rPr>
          <w:lang w:val="fr-FR"/>
        </w:rPr>
        <w:t>un système arrêt-démarrage automatique</w:t>
      </w:r>
      <w:r w:rsidR="00DF7AA4" w:rsidRPr="00DF7AA4">
        <w:rPr>
          <w:lang w:val="fr-FR"/>
        </w:rPr>
        <w:t>.</w:t>
      </w:r>
      <w:r w:rsidRPr="00AB4DCC">
        <w:rPr>
          <w:lang w:val="fr-FR"/>
        </w:rPr>
        <w:t xml:space="preserve"> Cette information doit être distincte du signal de défaillance spécifié au paragraphe 5</w:t>
      </w:r>
      <w:r w:rsidR="00DF7AA4" w:rsidRPr="00DF7AA4">
        <w:rPr>
          <w:lang w:val="fr-FR"/>
        </w:rPr>
        <w:t>.</w:t>
      </w:r>
      <w:r w:rsidRPr="00AB4DCC">
        <w:rPr>
          <w:lang w:val="fr-FR"/>
        </w:rPr>
        <w:t>4</w:t>
      </w:r>
      <w:r w:rsidR="00DF7AA4" w:rsidRPr="00DF7AA4">
        <w:rPr>
          <w:lang w:val="fr-FR"/>
        </w:rPr>
        <w:t>.</w:t>
      </w:r>
      <w:r w:rsidRPr="00AB4DCC">
        <w:rPr>
          <w:lang w:val="fr-FR"/>
        </w:rPr>
        <w:t>3</w:t>
      </w:r>
      <w:r>
        <w:rPr>
          <w:lang w:val="fr-FR"/>
        </w:rPr>
        <w:t> ;</w:t>
      </w:r>
      <w:bookmarkEnd w:id="7"/>
    </w:p>
    <w:p w14:paraId="46B8E6E6" w14:textId="1244E85E" w:rsidR="00EE432D" w:rsidRPr="00AB4DCC" w:rsidRDefault="00EE432D" w:rsidP="00EE432D">
      <w:pPr>
        <w:pStyle w:val="SingleTxtG"/>
        <w:ind w:left="2835" w:hanging="567"/>
        <w:rPr>
          <w:color w:val="000000" w:themeColor="text1"/>
          <w:lang w:val="fr-FR"/>
        </w:rPr>
      </w:pPr>
      <w:r w:rsidRPr="00AB4DCC">
        <w:rPr>
          <w:lang w:val="fr-FR"/>
        </w:rPr>
        <w:t>c)</w:t>
      </w:r>
      <w:r w:rsidRPr="00AB4DCC">
        <w:rPr>
          <w:lang w:val="fr-FR"/>
        </w:rPr>
        <w:tab/>
        <w:t>Si la désactivation ne concerne qu</w:t>
      </w:r>
      <w:r>
        <w:rPr>
          <w:lang w:val="fr-FR"/>
        </w:rPr>
        <w:t>’</w:t>
      </w:r>
      <w:r w:rsidRPr="00AB4DCC">
        <w:rPr>
          <w:lang w:val="fr-FR"/>
        </w:rPr>
        <w:t>un sens de marche (avant ou arrière), un témoin lumineux continu doit s</w:t>
      </w:r>
      <w:r>
        <w:rPr>
          <w:lang w:val="fr-FR"/>
        </w:rPr>
        <w:t>’</w:t>
      </w:r>
      <w:r w:rsidRPr="00AB4DCC">
        <w:rPr>
          <w:lang w:val="fr-FR"/>
        </w:rPr>
        <w:t>allumer lorsque le conducteur enclenche la marche correspondante pour la première fois pendant le cycle de démarrage du moteur (ou le cycle de fonctionnement, selon le</w:t>
      </w:r>
      <w:r>
        <w:rPr>
          <w:lang w:val="fr-FR"/>
        </w:rPr>
        <w:t> </w:t>
      </w:r>
      <w:r w:rsidRPr="00AB4DCC">
        <w:rPr>
          <w:lang w:val="fr-FR"/>
        </w:rPr>
        <w:t>cas)</w:t>
      </w:r>
      <w:r w:rsidR="00DF7AA4" w:rsidRPr="00DF7AA4">
        <w:rPr>
          <w:lang w:val="fr-FR"/>
        </w:rPr>
        <w:t>.</w:t>
      </w:r>
    </w:p>
    <w:bookmarkEnd w:id="6"/>
    <w:p w14:paraId="3E7EF160" w14:textId="3F8D7C7A" w:rsidR="00EE432D" w:rsidRPr="00AB4DCC" w:rsidRDefault="00EE432D" w:rsidP="00EE432D">
      <w:pPr>
        <w:pStyle w:val="SingleTxtG"/>
        <w:ind w:left="2268"/>
        <w:rPr>
          <w:rFonts w:eastAsia="Calibri"/>
          <w:color w:val="000000" w:themeColor="text1"/>
          <w:lang w:val="fr-FR"/>
        </w:rPr>
      </w:pPr>
      <w:r w:rsidRPr="00AB4DCC">
        <w:rPr>
          <w:lang w:val="fr-FR"/>
        </w:rPr>
        <w:t>Le processus de désactivation à long terme doit être conçu de telle sorte que la désactivation ne soit possible que par deux actions volontaires au moins</w:t>
      </w:r>
      <w:r w:rsidR="00DF7AA4" w:rsidRPr="00DF7AA4">
        <w:rPr>
          <w:lang w:val="fr-FR"/>
        </w:rPr>
        <w:t>.</w:t>
      </w:r>
    </w:p>
    <w:p w14:paraId="26FED854" w14:textId="0BFC52EC" w:rsidR="00EE432D" w:rsidRPr="00AB4DCC" w:rsidRDefault="00EE432D" w:rsidP="006F5732">
      <w:pPr>
        <w:pStyle w:val="SingleTxtG"/>
        <w:keepNext/>
        <w:tabs>
          <w:tab w:val="clear" w:pos="1701"/>
        </w:tabs>
        <w:ind w:left="2268" w:hanging="1134"/>
        <w:rPr>
          <w:bCs/>
          <w:lang w:val="fr-FR"/>
        </w:rPr>
      </w:pPr>
      <w:r w:rsidRPr="00AB4DCC">
        <w:rPr>
          <w:lang w:val="fr-FR"/>
        </w:rPr>
        <w:lastRenderedPageBreak/>
        <w:t>5</w:t>
      </w:r>
      <w:r w:rsidR="00DF7AA4" w:rsidRPr="00DF7AA4">
        <w:rPr>
          <w:lang w:val="fr-FR"/>
        </w:rPr>
        <w:t>.</w:t>
      </w:r>
      <w:r w:rsidRPr="00AB4DCC">
        <w:rPr>
          <w:lang w:val="fr-FR"/>
        </w:rPr>
        <w:t>2</w:t>
      </w:r>
      <w:r w:rsidR="00DF7AA4" w:rsidRPr="00DF7AA4">
        <w:rPr>
          <w:lang w:val="fr-FR"/>
        </w:rPr>
        <w:t>.</w:t>
      </w:r>
      <w:r w:rsidRPr="00AB4DCC">
        <w:rPr>
          <w:lang w:val="fr-FR"/>
        </w:rPr>
        <w:t>3</w:t>
      </w:r>
      <w:r w:rsidRPr="00AB4DCC">
        <w:rPr>
          <w:lang w:val="fr-FR"/>
        </w:rPr>
        <w:tab/>
        <w:t>Désactivation automatique</w:t>
      </w:r>
    </w:p>
    <w:p w14:paraId="19BDC9F0" w14:textId="37AD1CBD" w:rsidR="00EE432D" w:rsidRPr="00AB4DCC" w:rsidRDefault="00EE432D" w:rsidP="006F5732">
      <w:pPr>
        <w:pStyle w:val="SingleTxtG"/>
        <w:tabs>
          <w:tab w:val="clear" w:pos="1701"/>
        </w:tabs>
        <w:ind w:left="2268" w:hanging="1134"/>
        <w:rPr>
          <w:bCs/>
          <w:lang w:val="fr-FR"/>
        </w:rPr>
      </w:pPr>
      <w:r w:rsidRPr="00AB4DCC">
        <w:rPr>
          <w:lang w:val="fr-FR"/>
        </w:rPr>
        <w:t>5</w:t>
      </w:r>
      <w:r w:rsidR="00DF7AA4" w:rsidRPr="00DF7AA4">
        <w:rPr>
          <w:lang w:val="fr-FR"/>
        </w:rPr>
        <w:t>.</w:t>
      </w:r>
      <w:r w:rsidRPr="00AB4DCC">
        <w:rPr>
          <w:lang w:val="fr-FR"/>
        </w:rPr>
        <w:t>2</w:t>
      </w:r>
      <w:r w:rsidR="00DF7AA4" w:rsidRPr="00DF7AA4">
        <w:rPr>
          <w:lang w:val="fr-FR"/>
        </w:rPr>
        <w:t>.</w:t>
      </w:r>
      <w:r w:rsidRPr="00AB4DCC">
        <w:rPr>
          <w:lang w:val="fr-FR"/>
        </w:rPr>
        <w:t>3</w:t>
      </w:r>
      <w:r w:rsidR="00DF7AA4" w:rsidRPr="00DF7AA4">
        <w:rPr>
          <w:lang w:val="fr-FR"/>
        </w:rPr>
        <w:t>.</w:t>
      </w:r>
      <w:r w:rsidRPr="00AB4DCC">
        <w:rPr>
          <w:lang w:val="fr-FR"/>
        </w:rPr>
        <w:t>1</w:t>
      </w:r>
      <w:r w:rsidRPr="00AB4DCC">
        <w:rPr>
          <w:lang w:val="fr-FR"/>
        </w:rPr>
        <w:tab/>
        <w:t>Si un véhicule est équipé d</w:t>
      </w:r>
      <w:r>
        <w:rPr>
          <w:lang w:val="fr-FR"/>
        </w:rPr>
        <w:t>’</w:t>
      </w:r>
      <w:r w:rsidRPr="00AB4DCC">
        <w:rPr>
          <w:lang w:val="fr-FR"/>
        </w:rPr>
        <w:t>un dispositif permettant de désactiver automatiquement le système ACPE, par exemple lorsqu</w:t>
      </w:r>
      <w:r>
        <w:rPr>
          <w:lang w:val="fr-FR"/>
        </w:rPr>
        <w:t>’</w:t>
      </w:r>
      <w:r w:rsidRPr="00AB4DCC">
        <w:rPr>
          <w:lang w:val="fr-FR"/>
        </w:rPr>
        <w:t>il transporte un porte</w:t>
      </w:r>
      <w:r>
        <w:rPr>
          <w:lang w:val="fr-FR"/>
        </w:rPr>
        <w:noBreakHyphen/>
      </w:r>
      <w:r w:rsidRPr="00AB4DCC">
        <w:rPr>
          <w:lang w:val="fr-FR"/>
        </w:rPr>
        <w:t>vélo ou tracte une remorque, les conditions ci-après doivent s</w:t>
      </w:r>
      <w:r>
        <w:rPr>
          <w:lang w:val="fr-FR"/>
        </w:rPr>
        <w:t>’</w:t>
      </w:r>
      <w:r w:rsidRPr="00AB4DCC">
        <w:rPr>
          <w:lang w:val="fr-FR"/>
        </w:rPr>
        <w:t>appliquer, lorsqu</w:t>
      </w:r>
      <w:r>
        <w:rPr>
          <w:lang w:val="fr-FR"/>
        </w:rPr>
        <w:t>’</w:t>
      </w:r>
      <w:r w:rsidRPr="00AB4DCC">
        <w:rPr>
          <w:lang w:val="fr-FR"/>
        </w:rPr>
        <w:t>il y a lieu</w:t>
      </w:r>
      <w:r>
        <w:rPr>
          <w:lang w:val="fr-FR"/>
        </w:rPr>
        <w:t> :</w:t>
      </w:r>
    </w:p>
    <w:p w14:paraId="20F8B13D" w14:textId="327C68FB" w:rsidR="00EE432D" w:rsidRPr="00AB4DCC" w:rsidRDefault="00EE432D" w:rsidP="006F5732">
      <w:pPr>
        <w:pStyle w:val="SingleTxtG"/>
        <w:tabs>
          <w:tab w:val="clear" w:pos="1701"/>
        </w:tabs>
        <w:ind w:left="2268" w:hanging="1134"/>
        <w:rPr>
          <w:bCs/>
          <w:lang w:val="fr-FR"/>
        </w:rPr>
      </w:pPr>
      <w:r w:rsidRPr="00AB4DCC">
        <w:rPr>
          <w:lang w:val="fr-FR"/>
        </w:rPr>
        <w:t>5</w:t>
      </w:r>
      <w:r w:rsidR="00DF7AA4" w:rsidRPr="00DF7AA4">
        <w:rPr>
          <w:lang w:val="fr-FR"/>
        </w:rPr>
        <w:t>.</w:t>
      </w:r>
      <w:r w:rsidRPr="00AB4DCC">
        <w:rPr>
          <w:lang w:val="fr-FR"/>
        </w:rPr>
        <w:t>2</w:t>
      </w:r>
      <w:r w:rsidR="00DF7AA4" w:rsidRPr="00DF7AA4">
        <w:rPr>
          <w:lang w:val="fr-FR"/>
        </w:rPr>
        <w:t>.</w:t>
      </w:r>
      <w:r w:rsidRPr="00AB4DCC">
        <w:rPr>
          <w:lang w:val="fr-FR"/>
        </w:rPr>
        <w:t>3</w:t>
      </w:r>
      <w:r w:rsidR="00DF7AA4" w:rsidRPr="00DF7AA4">
        <w:rPr>
          <w:lang w:val="fr-FR"/>
        </w:rPr>
        <w:t>.</w:t>
      </w:r>
      <w:r w:rsidRPr="00AB4DCC">
        <w:rPr>
          <w:lang w:val="fr-FR"/>
        </w:rPr>
        <w:t>1</w:t>
      </w:r>
      <w:r w:rsidR="00DF7AA4" w:rsidRPr="00DF7AA4">
        <w:rPr>
          <w:lang w:val="fr-FR"/>
        </w:rPr>
        <w:t>.</w:t>
      </w:r>
      <w:r w:rsidRPr="00AB4DCC">
        <w:rPr>
          <w:lang w:val="fr-FR"/>
        </w:rPr>
        <w:t>1</w:t>
      </w:r>
      <w:r w:rsidRPr="00AB4DCC">
        <w:rPr>
          <w:lang w:val="fr-FR"/>
        </w:rPr>
        <w:tab/>
        <w:t>Le constructeur du véhicule doit communiquer au service technique, au moment de l</w:t>
      </w:r>
      <w:r>
        <w:rPr>
          <w:lang w:val="fr-FR"/>
        </w:rPr>
        <w:t>’</w:t>
      </w:r>
      <w:r w:rsidRPr="00AB4DCC">
        <w:rPr>
          <w:lang w:val="fr-FR"/>
        </w:rPr>
        <w:t>homologation de type, la liste de ces situations et les critères correspondants de désactivation du système ACPE, et cette liste doit être annexée au procès-verbal d</w:t>
      </w:r>
      <w:r>
        <w:rPr>
          <w:lang w:val="fr-FR"/>
        </w:rPr>
        <w:t>’</w:t>
      </w:r>
      <w:r w:rsidRPr="00AB4DCC">
        <w:rPr>
          <w:lang w:val="fr-FR"/>
        </w:rPr>
        <w:t>épreuve</w:t>
      </w:r>
      <w:r w:rsidR="00DF7AA4" w:rsidRPr="00DF7AA4">
        <w:rPr>
          <w:lang w:val="fr-FR"/>
        </w:rPr>
        <w:t>.</w:t>
      </w:r>
    </w:p>
    <w:p w14:paraId="7FB43BB6" w14:textId="3F66D293" w:rsidR="00EE432D" w:rsidRPr="00AB4DCC" w:rsidRDefault="00EE432D" w:rsidP="00EE432D">
      <w:pPr>
        <w:pStyle w:val="SingleTxtG"/>
        <w:ind w:left="2268" w:hanging="1134"/>
        <w:rPr>
          <w:bCs/>
          <w:color w:val="000000" w:themeColor="text1"/>
          <w:lang w:val="fr-FR"/>
        </w:rPr>
      </w:pPr>
      <w:r w:rsidRPr="00AB4DCC">
        <w:rPr>
          <w:lang w:val="fr-FR"/>
        </w:rPr>
        <w:t>5</w:t>
      </w:r>
      <w:r w:rsidR="00DF7AA4" w:rsidRPr="00DF7AA4">
        <w:rPr>
          <w:lang w:val="fr-FR"/>
        </w:rPr>
        <w:t>.</w:t>
      </w:r>
      <w:r w:rsidRPr="00AB4DCC">
        <w:rPr>
          <w:lang w:val="fr-FR"/>
        </w:rPr>
        <w:t>2</w:t>
      </w:r>
      <w:r w:rsidR="00DF7AA4" w:rsidRPr="00DF7AA4">
        <w:rPr>
          <w:lang w:val="fr-FR"/>
        </w:rPr>
        <w:t>.</w:t>
      </w:r>
      <w:r w:rsidRPr="00AB4DCC">
        <w:rPr>
          <w:lang w:val="fr-FR"/>
        </w:rPr>
        <w:t>3</w:t>
      </w:r>
      <w:r w:rsidR="00DF7AA4" w:rsidRPr="00DF7AA4">
        <w:rPr>
          <w:lang w:val="fr-FR"/>
        </w:rPr>
        <w:t>.</w:t>
      </w:r>
      <w:r w:rsidRPr="00AB4DCC">
        <w:rPr>
          <w:lang w:val="fr-FR"/>
        </w:rPr>
        <w:t>1</w:t>
      </w:r>
      <w:r w:rsidR="00DF7AA4" w:rsidRPr="00DF7AA4">
        <w:rPr>
          <w:lang w:val="fr-FR"/>
        </w:rPr>
        <w:t>.</w:t>
      </w:r>
      <w:r w:rsidRPr="00AB4DCC">
        <w:rPr>
          <w:lang w:val="fr-FR"/>
        </w:rPr>
        <w:t>2</w:t>
      </w:r>
      <w:r w:rsidRPr="00AB4DCC">
        <w:rPr>
          <w:lang w:val="fr-FR"/>
        </w:rPr>
        <w:tab/>
        <w:t>Le système ACPE doit être réactivé automatiquement dès que les conditions ayant entraîné sa désactivation automatique ne sont plus réunies</w:t>
      </w:r>
      <w:r w:rsidR="00DF7AA4" w:rsidRPr="00DF7AA4">
        <w:rPr>
          <w:lang w:val="fr-FR"/>
        </w:rPr>
        <w:t>.</w:t>
      </w:r>
    </w:p>
    <w:p w14:paraId="4063AB0E" w14:textId="11D5CA68" w:rsidR="00EE432D" w:rsidRPr="00AB4DCC" w:rsidRDefault="00EE432D" w:rsidP="00EE432D">
      <w:pPr>
        <w:pStyle w:val="SingleTxtG"/>
        <w:ind w:left="2268" w:hanging="1134"/>
        <w:rPr>
          <w:bCs/>
          <w:color w:val="000000" w:themeColor="text1"/>
          <w:lang w:val="fr-FR"/>
        </w:rPr>
      </w:pPr>
      <w:r w:rsidRPr="00AB4DCC">
        <w:rPr>
          <w:lang w:val="fr-FR"/>
        </w:rPr>
        <w:t>5</w:t>
      </w:r>
      <w:r w:rsidR="00DF7AA4" w:rsidRPr="00DF7AA4">
        <w:rPr>
          <w:lang w:val="fr-FR"/>
        </w:rPr>
        <w:t>.</w:t>
      </w:r>
      <w:r w:rsidRPr="00AB4DCC">
        <w:rPr>
          <w:lang w:val="fr-FR"/>
        </w:rPr>
        <w:t>2</w:t>
      </w:r>
      <w:r w:rsidR="00DF7AA4" w:rsidRPr="00DF7AA4">
        <w:rPr>
          <w:lang w:val="fr-FR"/>
        </w:rPr>
        <w:t>.</w:t>
      </w:r>
      <w:r w:rsidRPr="00AB4DCC">
        <w:rPr>
          <w:lang w:val="fr-FR"/>
        </w:rPr>
        <w:t>3</w:t>
      </w:r>
      <w:r w:rsidR="00DF7AA4" w:rsidRPr="00DF7AA4">
        <w:rPr>
          <w:lang w:val="fr-FR"/>
        </w:rPr>
        <w:t>.</w:t>
      </w:r>
      <w:r w:rsidRPr="00AB4DCC">
        <w:rPr>
          <w:lang w:val="fr-FR"/>
        </w:rPr>
        <w:t>1</w:t>
      </w:r>
      <w:r w:rsidR="00DF7AA4" w:rsidRPr="00DF7AA4">
        <w:rPr>
          <w:lang w:val="fr-FR"/>
        </w:rPr>
        <w:t>.</w:t>
      </w:r>
      <w:r w:rsidRPr="00AB4DCC">
        <w:rPr>
          <w:lang w:val="fr-FR"/>
        </w:rPr>
        <w:t>3</w:t>
      </w:r>
      <w:r w:rsidRPr="00AB4DCC">
        <w:rPr>
          <w:lang w:val="fr-FR"/>
        </w:rPr>
        <w:tab/>
        <w:t>Le conducteur doit être averti de la désactivation au moins au moment où elle se produit, à moins qu</w:t>
      </w:r>
      <w:r>
        <w:rPr>
          <w:lang w:val="fr-FR"/>
        </w:rPr>
        <w:t>’</w:t>
      </w:r>
      <w:r w:rsidRPr="00AB4DCC">
        <w:rPr>
          <w:lang w:val="fr-FR"/>
        </w:rPr>
        <w:t>un signal de défaillance ne soit émis conformément au paragraphe 5</w:t>
      </w:r>
      <w:r w:rsidR="00DF7AA4" w:rsidRPr="00DF7AA4">
        <w:rPr>
          <w:lang w:val="fr-FR"/>
        </w:rPr>
        <w:t>.</w:t>
      </w:r>
      <w:r w:rsidRPr="00AB4DCC">
        <w:rPr>
          <w:lang w:val="fr-FR"/>
        </w:rPr>
        <w:t>3</w:t>
      </w:r>
      <w:r w:rsidR="00DF7AA4" w:rsidRPr="00DF7AA4">
        <w:rPr>
          <w:lang w:val="fr-FR"/>
        </w:rPr>
        <w:t>.</w:t>
      </w:r>
      <w:r w:rsidRPr="00AB4DCC">
        <w:rPr>
          <w:lang w:val="fr-FR"/>
        </w:rPr>
        <w:t>3</w:t>
      </w:r>
      <w:r w:rsidR="00DF7AA4" w:rsidRPr="00DF7AA4">
        <w:rPr>
          <w:lang w:val="fr-FR"/>
        </w:rPr>
        <w:t>.</w:t>
      </w:r>
    </w:p>
    <w:p w14:paraId="4AA60E54" w14:textId="6E5DAC1C" w:rsidR="00EE432D" w:rsidRPr="00AB4DCC" w:rsidRDefault="00EE432D" w:rsidP="00EE432D">
      <w:pPr>
        <w:pStyle w:val="SingleTxtG"/>
        <w:ind w:left="2268" w:hanging="1134"/>
        <w:rPr>
          <w:lang w:val="fr-FR"/>
        </w:rPr>
      </w:pPr>
      <w:r w:rsidRPr="00AB4DCC">
        <w:rPr>
          <w:lang w:val="fr-FR"/>
        </w:rPr>
        <w:t>5</w:t>
      </w:r>
      <w:r w:rsidR="00DF7AA4" w:rsidRPr="00DF7AA4">
        <w:rPr>
          <w:lang w:val="fr-FR"/>
        </w:rPr>
        <w:t>.</w:t>
      </w:r>
      <w:r w:rsidRPr="00AB4DCC">
        <w:rPr>
          <w:lang w:val="fr-FR"/>
        </w:rPr>
        <w:t>2</w:t>
      </w:r>
      <w:r w:rsidR="00DF7AA4" w:rsidRPr="00DF7AA4">
        <w:rPr>
          <w:lang w:val="fr-FR"/>
        </w:rPr>
        <w:t>.</w:t>
      </w:r>
      <w:r w:rsidRPr="00AB4DCC">
        <w:rPr>
          <w:lang w:val="fr-FR"/>
        </w:rPr>
        <w:t>3</w:t>
      </w:r>
      <w:r w:rsidR="00DF7AA4" w:rsidRPr="00DF7AA4">
        <w:rPr>
          <w:lang w:val="fr-FR"/>
        </w:rPr>
        <w:t>.</w:t>
      </w:r>
      <w:r w:rsidRPr="00AB4DCC">
        <w:rPr>
          <w:lang w:val="fr-FR"/>
        </w:rPr>
        <w:t>1</w:t>
      </w:r>
      <w:r w:rsidR="00DF7AA4" w:rsidRPr="00DF7AA4">
        <w:rPr>
          <w:lang w:val="fr-FR"/>
        </w:rPr>
        <w:t>.</w:t>
      </w:r>
      <w:r w:rsidRPr="00AB4DCC">
        <w:rPr>
          <w:lang w:val="fr-FR"/>
        </w:rPr>
        <w:t>3</w:t>
      </w:r>
      <w:r w:rsidR="00DF7AA4" w:rsidRPr="00DF7AA4">
        <w:rPr>
          <w:lang w:val="fr-FR"/>
        </w:rPr>
        <w:t>.</w:t>
      </w:r>
      <w:r w:rsidRPr="00AB4DCC">
        <w:rPr>
          <w:lang w:val="fr-FR"/>
        </w:rPr>
        <w:t>1</w:t>
      </w:r>
      <w:r w:rsidRPr="00AB4DCC">
        <w:rPr>
          <w:lang w:val="fr-FR"/>
        </w:rPr>
        <w:tab/>
        <w:t>Lorsqu</w:t>
      </w:r>
      <w:r>
        <w:rPr>
          <w:lang w:val="fr-FR"/>
        </w:rPr>
        <w:t>’</w:t>
      </w:r>
      <w:r w:rsidRPr="00AB4DCC">
        <w:rPr>
          <w:lang w:val="fr-FR"/>
        </w:rPr>
        <w:t>un système de conduite automatisé contrôle le véhicule ou qu</w:t>
      </w:r>
      <w:r>
        <w:rPr>
          <w:lang w:val="fr-FR"/>
        </w:rPr>
        <w:t>’</w:t>
      </w:r>
      <w:r w:rsidRPr="00AB4DCC">
        <w:rPr>
          <w:lang w:val="fr-FR"/>
        </w:rPr>
        <w:t>un système actif d</w:t>
      </w:r>
      <w:r>
        <w:rPr>
          <w:lang w:val="fr-FR"/>
        </w:rPr>
        <w:t>’</w:t>
      </w:r>
      <w:r w:rsidRPr="00AB4DCC">
        <w:rPr>
          <w:lang w:val="fr-FR"/>
        </w:rPr>
        <w:t>aide à la conduite est activé (par exemple, ALKS ou ACSF de catégorie A), le système ACPE peut être suspendu ou ses stratégies de contrôle adaptées sans que le conducteur en soit informé, tant qu</w:t>
      </w:r>
      <w:r>
        <w:rPr>
          <w:lang w:val="fr-FR"/>
        </w:rPr>
        <w:t>’</w:t>
      </w:r>
      <w:r w:rsidRPr="00AB4DCC">
        <w:rPr>
          <w:lang w:val="fr-FR"/>
        </w:rPr>
        <w:t>il demeure certain que le véhicule fournit au moins les mêmes capacités de limitation de l</w:t>
      </w:r>
      <w:r>
        <w:rPr>
          <w:lang w:val="fr-FR"/>
        </w:rPr>
        <w:t>’</w:t>
      </w:r>
      <w:r w:rsidRPr="00AB4DCC">
        <w:rPr>
          <w:lang w:val="fr-FR"/>
        </w:rPr>
        <w:t>accélération que le système ACPE</w:t>
      </w:r>
      <w:r w:rsidR="00DF7AA4" w:rsidRPr="00DF7AA4">
        <w:rPr>
          <w:lang w:val="fr-FR"/>
        </w:rPr>
        <w:t>.</w:t>
      </w:r>
      <w:r w:rsidRPr="00AB4DCC">
        <w:rPr>
          <w:lang w:val="fr-FR"/>
        </w:rPr>
        <w:t xml:space="preserve"> La suspension du système ACPE ou l</w:t>
      </w:r>
      <w:r>
        <w:rPr>
          <w:lang w:val="fr-FR"/>
        </w:rPr>
        <w:t>’</w:t>
      </w:r>
      <w:r w:rsidRPr="00AB4DCC">
        <w:rPr>
          <w:lang w:val="fr-FR"/>
        </w:rPr>
        <w:t>adaptation de ses stratégies de contrôle doivent être démontrées par le constructeur à l</w:t>
      </w:r>
      <w:r>
        <w:rPr>
          <w:lang w:val="fr-FR"/>
        </w:rPr>
        <w:t>’</w:t>
      </w:r>
      <w:r w:rsidRPr="00AB4DCC">
        <w:rPr>
          <w:lang w:val="fr-FR"/>
        </w:rPr>
        <w:t>autorité d</w:t>
      </w:r>
      <w:r>
        <w:rPr>
          <w:lang w:val="fr-FR"/>
        </w:rPr>
        <w:t>’</w:t>
      </w:r>
      <w:r w:rsidRPr="00AB4DCC">
        <w:rPr>
          <w:lang w:val="fr-FR"/>
        </w:rPr>
        <w:t>homologation, documents à l</w:t>
      </w:r>
      <w:r>
        <w:rPr>
          <w:lang w:val="fr-FR"/>
        </w:rPr>
        <w:t>’</w:t>
      </w:r>
      <w:r w:rsidRPr="00AB4DCC">
        <w:rPr>
          <w:lang w:val="fr-FR"/>
        </w:rPr>
        <w:t>appui, lors de l</w:t>
      </w:r>
      <w:r>
        <w:rPr>
          <w:lang w:val="fr-FR"/>
        </w:rPr>
        <w:t>’</w:t>
      </w:r>
      <w:r w:rsidRPr="00AB4DCC">
        <w:rPr>
          <w:lang w:val="fr-FR"/>
        </w:rPr>
        <w:t>inspection du concept de sécurité dans le cadre de l</w:t>
      </w:r>
      <w:r>
        <w:rPr>
          <w:lang w:val="fr-FR"/>
        </w:rPr>
        <w:t>’</w:t>
      </w:r>
      <w:r w:rsidRPr="00AB4DCC">
        <w:rPr>
          <w:lang w:val="fr-FR"/>
        </w:rPr>
        <w:t>évaluation prévue à l</w:t>
      </w:r>
      <w:r>
        <w:rPr>
          <w:lang w:val="fr-FR"/>
        </w:rPr>
        <w:t>’</w:t>
      </w:r>
      <w:r w:rsidRPr="00AB4DCC">
        <w:rPr>
          <w:lang w:val="fr-FR"/>
        </w:rPr>
        <w:t>annexe 3</w:t>
      </w:r>
      <w:r w:rsidR="00DF7AA4" w:rsidRPr="00DF7AA4">
        <w:rPr>
          <w:lang w:val="fr-FR"/>
        </w:rPr>
        <w:t>.</w:t>
      </w:r>
    </w:p>
    <w:p w14:paraId="5F8088FA" w14:textId="2176A8D0" w:rsidR="00EE432D" w:rsidRPr="00AB4DCC" w:rsidRDefault="00EE432D" w:rsidP="006F5732">
      <w:pPr>
        <w:pStyle w:val="SingleTxtG"/>
        <w:tabs>
          <w:tab w:val="clear" w:pos="1701"/>
        </w:tabs>
        <w:ind w:left="2268" w:hanging="1134"/>
        <w:rPr>
          <w:bCs/>
          <w:color w:val="000000" w:themeColor="text1"/>
          <w:lang w:val="fr-FR"/>
        </w:rPr>
      </w:pPr>
      <w:r w:rsidRPr="00AB4DCC">
        <w:rPr>
          <w:lang w:val="fr-FR"/>
        </w:rPr>
        <w:t>5</w:t>
      </w:r>
      <w:r w:rsidR="00DF7AA4" w:rsidRPr="00DF7AA4">
        <w:rPr>
          <w:lang w:val="fr-FR"/>
        </w:rPr>
        <w:t>.</w:t>
      </w:r>
      <w:r w:rsidRPr="00AB4DCC">
        <w:rPr>
          <w:lang w:val="fr-FR"/>
        </w:rPr>
        <w:t>3</w:t>
      </w:r>
      <w:r w:rsidRPr="00AB4DCC">
        <w:rPr>
          <w:lang w:val="fr-FR"/>
        </w:rPr>
        <w:tab/>
        <w:t>Détection de défaillance/vérification automatique</w:t>
      </w:r>
    </w:p>
    <w:p w14:paraId="6113BE34" w14:textId="289C29F8" w:rsidR="00EE432D" w:rsidRPr="00AB4DCC" w:rsidRDefault="00EE432D" w:rsidP="006F5732">
      <w:pPr>
        <w:pStyle w:val="SingleTxtG"/>
        <w:tabs>
          <w:tab w:val="clear" w:pos="1701"/>
        </w:tabs>
        <w:ind w:left="2268" w:hanging="1134"/>
        <w:rPr>
          <w:bCs/>
          <w:color w:val="000000" w:themeColor="text1"/>
          <w:lang w:val="fr-FR"/>
        </w:rPr>
      </w:pPr>
      <w:r w:rsidRPr="00AB4DCC">
        <w:rPr>
          <w:lang w:val="fr-FR"/>
        </w:rPr>
        <w:t>5</w:t>
      </w:r>
      <w:r w:rsidR="00DF7AA4" w:rsidRPr="00DF7AA4">
        <w:rPr>
          <w:lang w:val="fr-FR"/>
        </w:rPr>
        <w:t>.</w:t>
      </w:r>
      <w:r w:rsidRPr="00AB4DCC">
        <w:rPr>
          <w:lang w:val="fr-FR"/>
        </w:rPr>
        <w:t>3</w:t>
      </w:r>
      <w:r w:rsidR="00DF7AA4" w:rsidRPr="00DF7AA4">
        <w:rPr>
          <w:lang w:val="fr-FR"/>
        </w:rPr>
        <w:t>.</w:t>
      </w:r>
      <w:r w:rsidRPr="00AB4DCC">
        <w:rPr>
          <w:lang w:val="fr-FR"/>
        </w:rPr>
        <w:t>1</w:t>
      </w:r>
      <w:r w:rsidRPr="00AB4DCC">
        <w:rPr>
          <w:lang w:val="fr-FR"/>
        </w:rPr>
        <w:tab/>
        <w:t>Lorsqu</w:t>
      </w:r>
      <w:r>
        <w:rPr>
          <w:lang w:val="fr-FR"/>
        </w:rPr>
        <w:t>’</w:t>
      </w:r>
      <w:r w:rsidRPr="00AB4DCC">
        <w:rPr>
          <w:lang w:val="fr-FR"/>
        </w:rPr>
        <w:t>une défaillance du système ACPE empêche de satisfaire aux prescriptions du présent Règlement, le conducteur doit en être informé au moyen d</w:t>
      </w:r>
      <w:r>
        <w:rPr>
          <w:lang w:val="fr-FR"/>
        </w:rPr>
        <w:t>’</w:t>
      </w:r>
      <w:r w:rsidRPr="00AB4DCC">
        <w:rPr>
          <w:lang w:val="fr-FR"/>
        </w:rPr>
        <w:t>un signal de défaillance</w:t>
      </w:r>
      <w:r w:rsidR="00DF7AA4" w:rsidRPr="00DF7AA4">
        <w:rPr>
          <w:lang w:val="fr-FR"/>
        </w:rPr>
        <w:t>.</w:t>
      </w:r>
      <w:r w:rsidRPr="00AB4DCC">
        <w:rPr>
          <w:lang w:val="fr-FR"/>
        </w:rPr>
        <w:t xml:space="preserve"> Ce signal doit être tel que spécifié au paragraphe 5</w:t>
      </w:r>
      <w:r w:rsidR="00DF7AA4" w:rsidRPr="00DF7AA4">
        <w:rPr>
          <w:lang w:val="fr-FR"/>
        </w:rPr>
        <w:t>.</w:t>
      </w:r>
      <w:r w:rsidRPr="00AB4DCC">
        <w:rPr>
          <w:lang w:val="fr-FR"/>
        </w:rPr>
        <w:t>4</w:t>
      </w:r>
      <w:r w:rsidR="00DF7AA4" w:rsidRPr="00DF7AA4">
        <w:rPr>
          <w:lang w:val="fr-FR"/>
        </w:rPr>
        <w:t>.</w:t>
      </w:r>
      <w:r w:rsidRPr="00AB4DCC">
        <w:rPr>
          <w:lang w:val="fr-FR"/>
        </w:rPr>
        <w:t>3</w:t>
      </w:r>
      <w:r w:rsidR="00DF7AA4" w:rsidRPr="00DF7AA4">
        <w:rPr>
          <w:lang w:val="fr-FR"/>
        </w:rPr>
        <w:t>.</w:t>
      </w:r>
    </w:p>
    <w:p w14:paraId="4D74B37F" w14:textId="66F471D3" w:rsidR="00EE432D" w:rsidRPr="00AB4DCC" w:rsidRDefault="00EE432D" w:rsidP="006F5732">
      <w:pPr>
        <w:pStyle w:val="SingleTxtG"/>
        <w:tabs>
          <w:tab w:val="clear" w:pos="1701"/>
        </w:tabs>
        <w:ind w:left="2268" w:hanging="1134"/>
        <w:rPr>
          <w:bCs/>
          <w:color w:val="000000" w:themeColor="text1"/>
          <w:lang w:val="fr-FR"/>
        </w:rPr>
      </w:pPr>
      <w:r w:rsidRPr="00AB4DCC">
        <w:rPr>
          <w:lang w:val="fr-FR"/>
        </w:rPr>
        <w:t>5</w:t>
      </w:r>
      <w:r w:rsidR="00DF7AA4" w:rsidRPr="00DF7AA4">
        <w:rPr>
          <w:lang w:val="fr-FR"/>
        </w:rPr>
        <w:t>.</w:t>
      </w:r>
      <w:r w:rsidRPr="00AB4DCC">
        <w:rPr>
          <w:lang w:val="fr-FR"/>
        </w:rPr>
        <w:t>3</w:t>
      </w:r>
      <w:r w:rsidR="00DF7AA4" w:rsidRPr="00DF7AA4">
        <w:rPr>
          <w:lang w:val="fr-FR"/>
        </w:rPr>
        <w:t>.</w:t>
      </w:r>
      <w:r w:rsidRPr="00AB4DCC">
        <w:rPr>
          <w:lang w:val="fr-FR"/>
        </w:rPr>
        <w:t>1</w:t>
      </w:r>
      <w:r w:rsidR="00DF7AA4" w:rsidRPr="00DF7AA4">
        <w:rPr>
          <w:lang w:val="fr-FR"/>
        </w:rPr>
        <w:t>.</w:t>
      </w:r>
      <w:r w:rsidRPr="00AB4DCC">
        <w:rPr>
          <w:lang w:val="fr-FR"/>
        </w:rPr>
        <w:t>1</w:t>
      </w:r>
      <w:r w:rsidRPr="00AB4DCC">
        <w:rPr>
          <w:lang w:val="fr-FR"/>
        </w:rPr>
        <w:tab/>
        <w:t>Lorsque le système ACPE est temporairement indisponible, par exemple en raison de conditions météorologiques défavorables, il n</w:t>
      </w:r>
      <w:r>
        <w:rPr>
          <w:lang w:val="fr-FR"/>
        </w:rPr>
        <w:t>’</w:t>
      </w:r>
      <w:r w:rsidRPr="00AB4DCC">
        <w:rPr>
          <w:lang w:val="fr-FR"/>
        </w:rPr>
        <w:t>est pas nécessaire d</w:t>
      </w:r>
      <w:r>
        <w:rPr>
          <w:lang w:val="fr-FR"/>
        </w:rPr>
        <w:t>’</w:t>
      </w:r>
      <w:r w:rsidRPr="00AB4DCC">
        <w:rPr>
          <w:lang w:val="fr-FR"/>
        </w:rPr>
        <w:t>en avertir le conducteur par un signal de défaillance</w:t>
      </w:r>
      <w:r w:rsidR="00DF7AA4" w:rsidRPr="00DF7AA4">
        <w:rPr>
          <w:lang w:val="fr-FR"/>
        </w:rPr>
        <w:t>.</w:t>
      </w:r>
    </w:p>
    <w:p w14:paraId="1116EA7A" w14:textId="0C66451E" w:rsidR="00EE432D" w:rsidRPr="00AB4DCC" w:rsidRDefault="00EE432D" w:rsidP="006F5732">
      <w:pPr>
        <w:pStyle w:val="SingleTxtG"/>
        <w:tabs>
          <w:tab w:val="clear" w:pos="1701"/>
        </w:tabs>
        <w:ind w:left="2268" w:hanging="1134"/>
        <w:rPr>
          <w:bCs/>
          <w:color w:val="000000" w:themeColor="text1"/>
          <w:lang w:val="fr-FR"/>
        </w:rPr>
      </w:pPr>
      <w:r w:rsidRPr="00AB4DCC">
        <w:rPr>
          <w:lang w:val="fr-FR"/>
        </w:rPr>
        <w:t>5</w:t>
      </w:r>
      <w:r w:rsidR="00DF7AA4" w:rsidRPr="00DF7AA4">
        <w:rPr>
          <w:lang w:val="fr-FR"/>
        </w:rPr>
        <w:t>.</w:t>
      </w:r>
      <w:r w:rsidRPr="00AB4DCC">
        <w:rPr>
          <w:lang w:val="fr-FR"/>
        </w:rPr>
        <w:t>3</w:t>
      </w:r>
      <w:r w:rsidR="00DF7AA4" w:rsidRPr="00DF7AA4">
        <w:rPr>
          <w:lang w:val="fr-FR"/>
        </w:rPr>
        <w:t>.</w:t>
      </w:r>
      <w:r w:rsidRPr="00AB4DCC">
        <w:rPr>
          <w:lang w:val="fr-FR"/>
        </w:rPr>
        <w:t>2</w:t>
      </w:r>
      <w:r w:rsidRPr="00AB4DCC">
        <w:rPr>
          <w:lang w:val="fr-FR"/>
        </w:rPr>
        <w:tab/>
        <w:t>Il ne doit pas y avoir d</w:t>
      </w:r>
      <w:r>
        <w:rPr>
          <w:lang w:val="fr-FR"/>
        </w:rPr>
        <w:t>’</w:t>
      </w:r>
      <w:r w:rsidRPr="00AB4DCC">
        <w:rPr>
          <w:lang w:val="fr-FR"/>
        </w:rPr>
        <w:t>intervalle de temps appréciable entre les vérifications automatiques du système ACPE, ni de retard dans l</w:t>
      </w:r>
      <w:r>
        <w:rPr>
          <w:lang w:val="fr-FR"/>
        </w:rPr>
        <w:t>’</w:t>
      </w:r>
      <w:r w:rsidRPr="00AB4DCC">
        <w:rPr>
          <w:lang w:val="fr-FR"/>
        </w:rPr>
        <w:t>allumage du témoin d</w:t>
      </w:r>
      <w:r>
        <w:rPr>
          <w:lang w:val="fr-FR"/>
        </w:rPr>
        <w:t>’</w:t>
      </w:r>
      <w:r w:rsidRPr="00AB4DCC">
        <w:rPr>
          <w:lang w:val="fr-FR"/>
        </w:rPr>
        <w:t>avertissement en cas de défaillance électrique détectable</w:t>
      </w:r>
      <w:r w:rsidR="00DF7AA4" w:rsidRPr="00DF7AA4">
        <w:rPr>
          <w:lang w:val="fr-FR"/>
        </w:rPr>
        <w:t>.</w:t>
      </w:r>
      <w:r>
        <w:rPr>
          <w:lang w:val="fr-FR"/>
        </w:rPr>
        <w:t xml:space="preserve"> Toutefois, si la vitesse du véhicule est supérieure à 10 km/h </w:t>
      </w:r>
      <w:r w:rsidRPr="00005C4B">
        <w:rPr>
          <w:lang w:val="fr-FR"/>
        </w:rPr>
        <w:t>au moment où une</w:t>
      </w:r>
      <w:r>
        <w:rPr>
          <w:lang w:val="fr-FR"/>
        </w:rPr>
        <w:t xml:space="preserve"> défaillance est détectée, le signal d’avertissement peut ne pas être émis jusqu’à la prochaine fois que la vitesse est inférieure à 10 km/h</w:t>
      </w:r>
      <w:r w:rsidR="00DF7AA4" w:rsidRPr="00DF7AA4">
        <w:rPr>
          <w:lang w:val="fr-FR"/>
        </w:rPr>
        <w:t>.</w:t>
      </w:r>
      <w:r>
        <w:rPr>
          <w:lang w:val="fr-FR"/>
        </w:rPr>
        <w:t xml:space="preserve"> </w:t>
      </w:r>
    </w:p>
    <w:p w14:paraId="372E0DE8" w14:textId="354CF1BE" w:rsidR="00EE432D" w:rsidRPr="00AB4DCC" w:rsidRDefault="00EE432D" w:rsidP="006F5732">
      <w:pPr>
        <w:pStyle w:val="SingleTxtG"/>
        <w:tabs>
          <w:tab w:val="clear" w:pos="1701"/>
        </w:tabs>
        <w:ind w:left="2268" w:hanging="1134"/>
        <w:rPr>
          <w:bCs/>
          <w:color w:val="000000" w:themeColor="text1"/>
          <w:lang w:val="fr-FR"/>
        </w:rPr>
      </w:pPr>
      <w:r w:rsidRPr="00AB4DCC">
        <w:rPr>
          <w:lang w:val="fr-FR"/>
        </w:rPr>
        <w:t>5</w:t>
      </w:r>
      <w:r w:rsidR="00DF7AA4" w:rsidRPr="00DF7AA4">
        <w:rPr>
          <w:lang w:val="fr-FR"/>
        </w:rPr>
        <w:t>.</w:t>
      </w:r>
      <w:r w:rsidRPr="00AB4DCC">
        <w:rPr>
          <w:lang w:val="fr-FR"/>
        </w:rPr>
        <w:t>3</w:t>
      </w:r>
      <w:r w:rsidR="00DF7AA4" w:rsidRPr="00DF7AA4">
        <w:rPr>
          <w:lang w:val="fr-FR"/>
        </w:rPr>
        <w:t>.</w:t>
      </w:r>
      <w:r w:rsidRPr="00AB4DCC">
        <w:rPr>
          <w:lang w:val="fr-FR"/>
        </w:rPr>
        <w:t>3</w:t>
      </w:r>
      <w:r w:rsidRPr="00AB4DCC">
        <w:rPr>
          <w:lang w:val="fr-FR"/>
        </w:rPr>
        <w:tab/>
        <w:t>Lorsqu</w:t>
      </w:r>
      <w:r>
        <w:rPr>
          <w:lang w:val="fr-FR"/>
        </w:rPr>
        <w:t>’</w:t>
      </w:r>
      <w:r w:rsidRPr="00AB4DCC">
        <w:rPr>
          <w:lang w:val="fr-FR"/>
        </w:rPr>
        <w:t>une défaillance non électrique est détectée (si, par exemple, un capteur est occulté ou mal aligné), le conducteur doit également en être informé par un signal de défaillance, à moins qu</w:t>
      </w:r>
      <w:r>
        <w:rPr>
          <w:lang w:val="fr-FR"/>
        </w:rPr>
        <w:t>’</w:t>
      </w:r>
      <w:r w:rsidRPr="00AB4DCC">
        <w:rPr>
          <w:lang w:val="fr-FR"/>
        </w:rPr>
        <w:t>il ait été averti de la désactivation du système conformément au paragraphe 5</w:t>
      </w:r>
      <w:r w:rsidR="00DF7AA4" w:rsidRPr="00DF7AA4">
        <w:rPr>
          <w:lang w:val="fr-FR"/>
        </w:rPr>
        <w:t>.</w:t>
      </w:r>
      <w:r w:rsidRPr="00AB4DCC">
        <w:rPr>
          <w:lang w:val="fr-FR"/>
        </w:rPr>
        <w:t>2</w:t>
      </w:r>
      <w:r w:rsidR="00DF7AA4" w:rsidRPr="00DF7AA4">
        <w:rPr>
          <w:lang w:val="fr-FR"/>
        </w:rPr>
        <w:t>.</w:t>
      </w:r>
      <w:r w:rsidRPr="00AB4DCC">
        <w:rPr>
          <w:lang w:val="fr-FR"/>
        </w:rPr>
        <w:t>3</w:t>
      </w:r>
      <w:r w:rsidR="00DF7AA4" w:rsidRPr="00DF7AA4">
        <w:rPr>
          <w:lang w:val="fr-FR"/>
        </w:rPr>
        <w:t>.</w:t>
      </w:r>
      <w:r w:rsidRPr="00AB4DCC">
        <w:rPr>
          <w:lang w:val="fr-FR"/>
        </w:rPr>
        <w:t>1</w:t>
      </w:r>
      <w:r w:rsidR="00DF7AA4" w:rsidRPr="00DF7AA4">
        <w:rPr>
          <w:lang w:val="fr-FR"/>
        </w:rPr>
        <w:t>.</w:t>
      </w:r>
      <w:r w:rsidRPr="00AB4DCC">
        <w:rPr>
          <w:lang w:val="fr-FR"/>
        </w:rPr>
        <w:t>3</w:t>
      </w:r>
      <w:r w:rsidR="00DF7AA4" w:rsidRPr="00DF7AA4">
        <w:rPr>
          <w:lang w:val="fr-FR"/>
        </w:rPr>
        <w:t>.</w:t>
      </w:r>
      <w:bookmarkStart w:id="8" w:name="OLE_LINK4"/>
      <w:bookmarkEnd w:id="8"/>
    </w:p>
    <w:p w14:paraId="7CD850F9" w14:textId="0F826C2E" w:rsidR="00EE432D" w:rsidRPr="00AB4DCC" w:rsidRDefault="00EE432D" w:rsidP="006F5732">
      <w:pPr>
        <w:pStyle w:val="SingleTxtG"/>
        <w:tabs>
          <w:tab w:val="clear" w:pos="1701"/>
        </w:tabs>
        <w:ind w:left="2268" w:hanging="1134"/>
        <w:rPr>
          <w:bCs/>
          <w:color w:val="000000" w:themeColor="text1"/>
          <w:lang w:val="fr-FR"/>
        </w:rPr>
      </w:pPr>
      <w:r w:rsidRPr="00AB4DCC">
        <w:rPr>
          <w:lang w:val="fr-FR"/>
        </w:rPr>
        <w:t>5</w:t>
      </w:r>
      <w:r w:rsidR="00DF7AA4" w:rsidRPr="00DF7AA4">
        <w:rPr>
          <w:lang w:val="fr-FR"/>
        </w:rPr>
        <w:t>.</w:t>
      </w:r>
      <w:r w:rsidRPr="00AB4DCC">
        <w:rPr>
          <w:lang w:val="fr-FR"/>
        </w:rPr>
        <w:t>4</w:t>
      </w:r>
      <w:r w:rsidRPr="00AB4DCC">
        <w:rPr>
          <w:lang w:val="fr-FR"/>
        </w:rPr>
        <w:tab/>
        <w:t>Signaux d</w:t>
      </w:r>
      <w:r>
        <w:rPr>
          <w:lang w:val="fr-FR"/>
        </w:rPr>
        <w:t>’</w:t>
      </w:r>
      <w:r w:rsidRPr="00AB4DCC">
        <w:rPr>
          <w:lang w:val="fr-FR"/>
        </w:rPr>
        <w:t>avertissement</w:t>
      </w:r>
    </w:p>
    <w:p w14:paraId="11A75C8B" w14:textId="121C89D9" w:rsidR="00EE432D" w:rsidRPr="00AB4DCC" w:rsidRDefault="00EE432D" w:rsidP="006F5732">
      <w:pPr>
        <w:pStyle w:val="SingleTxtG"/>
        <w:tabs>
          <w:tab w:val="clear" w:pos="1701"/>
        </w:tabs>
        <w:ind w:left="2268" w:hanging="1134"/>
        <w:rPr>
          <w:bCs/>
          <w:color w:val="000000" w:themeColor="text1"/>
          <w:lang w:val="fr-FR"/>
        </w:rPr>
      </w:pPr>
      <w:r w:rsidRPr="00AB4DCC">
        <w:rPr>
          <w:lang w:val="fr-FR"/>
        </w:rPr>
        <w:t>5</w:t>
      </w:r>
      <w:r w:rsidR="00DF7AA4" w:rsidRPr="00DF7AA4">
        <w:rPr>
          <w:lang w:val="fr-FR"/>
        </w:rPr>
        <w:t>.</w:t>
      </w:r>
      <w:r w:rsidRPr="00AB4DCC">
        <w:rPr>
          <w:lang w:val="fr-FR"/>
        </w:rPr>
        <w:t>4</w:t>
      </w:r>
      <w:r w:rsidR="00DF7AA4" w:rsidRPr="00DF7AA4">
        <w:rPr>
          <w:lang w:val="fr-FR"/>
        </w:rPr>
        <w:t>.</w:t>
      </w:r>
      <w:r w:rsidRPr="00AB4DCC">
        <w:rPr>
          <w:lang w:val="fr-FR"/>
        </w:rPr>
        <w:t>1</w:t>
      </w:r>
      <w:r w:rsidRPr="00AB4DCC">
        <w:rPr>
          <w:lang w:val="fr-FR"/>
        </w:rPr>
        <w:tab/>
        <w:t>Généralités</w:t>
      </w:r>
    </w:p>
    <w:p w14:paraId="5C95EC2E" w14:textId="1E3895BA" w:rsidR="00EE432D" w:rsidRPr="00AB4DCC" w:rsidRDefault="00EE432D" w:rsidP="006F5732">
      <w:pPr>
        <w:pStyle w:val="SingleTxtG"/>
        <w:tabs>
          <w:tab w:val="clear" w:pos="1701"/>
        </w:tabs>
        <w:ind w:left="2268" w:hanging="1134"/>
        <w:rPr>
          <w:lang w:val="fr-FR"/>
        </w:rPr>
      </w:pPr>
      <w:r w:rsidRPr="00AB4DCC">
        <w:rPr>
          <w:lang w:val="fr-FR"/>
        </w:rPr>
        <w:t>5</w:t>
      </w:r>
      <w:r w:rsidR="00DF7AA4" w:rsidRPr="00DF7AA4">
        <w:rPr>
          <w:lang w:val="fr-FR"/>
        </w:rPr>
        <w:t>.</w:t>
      </w:r>
      <w:r w:rsidRPr="00AB4DCC">
        <w:rPr>
          <w:lang w:val="fr-FR"/>
        </w:rPr>
        <w:t>4</w:t>
      </w:r>
      <w:r w:rsidR="00DF7AA4" w:rsidRPr="00DF7AA4">
        <w:rPr>
          <w:lang w:val="fr-FR"/>
        </w:rPr>
        <w:t>.</w:t>
      </w:r>
      <w:r w:rsidRPr="00AB4DCC">
        <w:rPr>
          <w:lang w:val="fr-FR"/>
        </w:rPr>
        <w:t>1</w:t>
      </w:r>
      <w:r w:rsidR="00DF7AA4" w:rsidRPr="00DF7AA4">
        <w:rPr>
          <w:lang w:val="fr-FR"/>
        </w:rPr>
        <w:t>.</w:t>
      </w:r>
      <w:r w:rsidRPr="00AB4DCC">
        <w:rPr>
          <w:lang w:val="fr-FR"/>
        </w:rPr>
        <w:t>1</w:t>
      </w:r>
      <w:r w:rsidRPr="00AB4DCC">
        <w:rPr>
          <w:lang w:val="fr-FR"/>
        </w:rPr>
        <w:tab/>
        <w:t>Les signaux d</w:t>
      </w:r>
      <w:r>
        <w:rPr>
          <w:lang w:val="fr-FR"/>
        </w:rPr>
        <w:t>’</w:t>
      </w:r>
      <w:r w:rsidRPr="00AB4DCC">
        <w:rPr>
          <w:lang w:val="fr-FR"/>
        </w:rPr>
        <w:t>avertissement visuels doivent être visibles même en plein jour et le bon état du voyant doit pouvoir être aisément vérifié par le conducteur depuis son siège</w:t>
      </w:r>
      <w:r w:rsidR="00DF7AA4" w:rsidRPr="00DF7AA4">
        <w:rPr>
          <w:lang w:val="fr-FR"/>
        </w:rPr>
        <w:t>.</w:t>
      </w:r>
    </w:p>
    <w:p w14:paraId="7E927693" w14:textId="2A6A532B" w:rsidR="00EE432D" w:rsidRPr="00AB4DCC" w:rsidRDefault="00EE432D" w:rsidP="006F5732">
      <w:pPr>
        <w:pStyle w:val="SingleTxtG"/>
        <w:tabs>
          <w:tab w:val="clear" w:pos="1701"/>
        </w:tabs>
        <w:ind w:left="2268" w:hanging="1134"/>
        <w:rPr>
          <w:bCs/>
          <w:color w:val="000000" w:themeColor="text1"/>
          <w:lang w:val="fr-FR"/>
        </w:rPr>
      </w:pPr>
      <w:r w:rsidRPr="00AB4DCC">
        <w:rPr>
          <w:lang w:val="fr-FR"/>
        </w:rPr>
        <w:t>5</w:t>
      </w:r>
      <w:r w:rsidR="00DF7AA4" w:rsidRPr="00DF7AA4">
        <w:rPr>
          <w:lang w:val="fr-FR"/>
        </w:rPr>
        <w:t>.</w:t>
      </w:r>
      <w:r w:rsidRPr="00AB4DCC">
        <w:rPr>
          <w:lang w:val="fr-FR"/>
        </w:rPr>
        <w:t>4</w:t>
      </w:r>
      <w:r w:rsidR="00DF7AA4" w:rsidRPr="00DF7AA4">
        <w:rPr>
          <w:lang w:val="fr-FR"/>
        </w:rPr>
        <w:t>.</w:t>
      </w:r>
      <w:r w:rsidRPr="00AB4DCC">
        <w:rPr>
          <w:lang w:val="fr-FR"/>
        </w:rPr>
        <w:t>1</w:t>
      </w:r>
      <w:r w:rsidR="00DF7AA4" w:rsidRPr="00DF7AA4">
        <w:rPr>
          <w:lang w:val="fr-FR"/>
        </w:rPr>
        <w:t>.</w:t>
      </w:r>
      <w:r w:rsidRPr="00AB4DCC">
        <w:rPr>
          <w:lang w:val="fr-FR"/>
        </w:rPr>
        <w:t>2</w:t>
      </w:r>
      <w:r w:rsidRPr="00AB4DCC">
        <w:rPr>
          <w:lang w:val="fr-FR"/>
        </w:rPr>
        <w:tab/>
        <w:t>Chaque signal d</w:t>
      </w:r>
      <w:r>
        <w:rPr>
          <w:lang w:val="fr-FR"/>
        </w:rPr>
        <w:t>’</w:t>
      </w:r>
      <w:r w:rsidRPr="00AB4DCC">
        <w:rPr>
          <w:lang w:val="fr-FR"/>
        </w:rPr>
        <w:t>avertissement visuel du système ACPE doit être émis soit lorsque le contacteur de mise en marche (ou de démarrage, selon le cas) est en position «</w:t>
      </w:r>
      <w:r>
        <w:rPr>
          <w:lang w:val="fr-FR"/>
        </w:rPr>
        <w:t> </w:t>
      </w:r>
      <w:r w:rsidRPr="00AB4DCC">
        <w:rPr>
          <w:lang w:val="fr-FR"/>
        </w:rPr>
        <w:t>marche</w:t>
      </w:r>
      <w:r>
        <w:rPr>
          <w:lang w:val="fr-FR"/>
        </w:rPr>
        <w:t> </w:t>
      </w:r>
      <w:r w:rsidRPr="00AB4DCC">
        <w:rPr>
          <w:lang w:val="fr-FR"/>
        </w:rPr>
        <w:t>», soit lorsqu</w:t>
      </w:r>
      <w:r>
        <w:rPr>
          <w:lang w:val="fr-FR"/>
        </w:rPr>
        <w:t>’</w:t>
      </w:r>
      <w:r w:rsidRPr="00AB4DCC">
        <w:rPr>
          <w:lang w:val="fr-FR"/>
        </w:rPr>
        <w:t>il est dans une position intermédiaire entre la position «</w:t>
      </w:r>
      <w:r>
        <w:rPr>
          <w:lang w:val="fr-FR"/>
        </w:rPr>
        <w:t> </w:t>
      </w:r>
      <w:r w:rsidRPr="00AB4DCC">
        <w:rPr>
          <w:lang w:val="fr-FR"/>
        </w:rPr>
        <w:t>marche</w:t>
      </w:r>
      <w:r>
        <w:rPr>
          <w:lang w:val="fr-FR"/>
        </w:rPr>
        <w:t> </w:t>
      </w:r>
      <w:r w:rsidRPr="00AB4DCC">
        <w:rPr>
          <w:lang w:val="fr-FR"/>
        </w:rPr>
        <w:t>» et la position «</w:t>
      </w:r>
      <w:r>
        <w:rPr>
          <w:lang w:val="fr-FR"/>
        </w:rPr>
        <w:t> </w:t>
      </w:r>
      <w:r w:rsidRPr="00AB4DCC">
        <w:rPr>
          <w:lang w:val="fr-FR"/>
        </w:rPr>
        <w:t>démarrage</w:t>
      </w:r>
      <w:r>
        <w:rPr>
          <w:lang w:val="fr-FR"/>
        </w:rPr>
        <w:t> </w:t>
      </w:r>
      <w:r w:rsidRPr="00AB4DCC">
        <w:rPr>
          <w:lang w:val="fr-FR"/>
        </w:rPr>
        <w:t xml:space="preserve">», qui est désignée par le constructeur comme une position de vérification (système initial (contact </w:t>
      </w:r>
      <w:r w:rsidRPr="00AB4DCC">
        <w:rPr>
          <w:lang w:val="fr-FR"/>
        </w:rPr>
        <w:lastRenderedPageBreak/>
        <w:t>mis))</w:t>
      </w:r>
      <w:r w:rsidR="00DF7AA4" w:rsidRPr="00DF7AA4">
        <w:rPr>
          <w:lang w:val="fr-FR"/>
        </w:rPr>
        <w:t>.</w:t>
      </w:r>
      <w:r w:rsidRPr="00AB4DCC">
        <w:rPr>
          <w:lang w:val="fr-FR"/>
        </w:rPr>
        <w:t xml:space="preserve"> Cette prescription ne s</w:t>
      </w:r>
      <w:r>
        <w:rPr>
          <w:lang w:val="fr-FR"/>
        </w:rPr>
        <w:t>’</w:t>
      </w:r>
      <w:r w:rsidRPr="00AB4DCC">
        <w:rPr>
          <w:lang w:val="fr-FR"/>
        </w:rPr>
        <w:t>applique pas aux signaux d</w:t>
      </w:r>
      <w:r>
        <w:rPr>
          <w:lang w:val="fr-FR"/>
        </w:rPr>
        <w:t>’</w:t>
      </w:r>
      <w:r w:rsidRPr="00AB4DCC">
        <w:rPr>
          <w:lang w:val="fr-FR"/>
        </w:rPr>
        <w:t>avertissement affichés sur un espace commun</w:t>
      </w:r>
      <w:r w:rsidR="00DF7AA4" w:rsidRPr="00DF7AA4">
        <w:rPr>
          <w:lang w:val="fr-FR"/>
        </w:rPr>
        <w:t>.</w:t>
      </w:r>
    </w:p>
    <w:p w14:paraId="53DBEBBF" w14:textId="5F57FF5A" w:rsidR="00EE432D" w:rsidRPr="00AB4DCC" w:rsidRDefault="00EE432D" w:rsidP="006F5732">
      <w:pPr>
        <w:pStyle w:val="SingleTxtG"/>
        <w:tabs>
          <w:tab w:val="clear" w:pos="1701"/>
        </w:tabs>
        <w:ind w:left="2268" w:hanging="1134"/>
        <w:rPr>
          <w:bCs/>
          <w:color w:val="000000" w:themeColor="text1"/>
          <w:lang w:val="fr-FR"/>
        </w:rPr>
      </w:pPr>
      <w:r w:rsidRPr="00AB4DCC">
        <w:rPr>
          <w:lang w:val="fr-FR"/>
        </w:rPr>
        <w:t>5</w:t>
      </w:r>
      <w:r w:rsidR="00DF7AA4" w:rsidRPr="00DF7AA4">
        <w:rPr>
          <w:lang w:val="fr-FR"/>
        </w:rPr>
        <w:t>.</w:t>
      </w:r>
      <w:r w:rsidRPr="00AB4DCC">
        <w:rPr>
          <w:lang w:val="fr-FR"/>
        </w:rPr>
        <w:t>4</w:t>
      </w:r>
      <w:r w:rsidR="00DF7AA4" w:rsidRPr="00DF7AA4">
        <w:rPr>
          <w:lang w:val="fr-FR"/>
        </w:rPr>
        <w:t>.</w:t>
      </w:r>
      <w:r w:rsidRPr="00AB4DCC">
        <w:rPr>
          <w:lang w:val="fr-FR"/>
        </w:rPr>
        <w:t>2</w:t>
      </w:r>
      <w:r w:rsidRPr="00AB4DCC">
        <w:rPr>
          <w:lang w:val="fr-FR"/>
        </w:rPr>
        <w:tab/>
        <w:t>Signal d</w:t>
      </w:r>
      <w:r>
        <w:rPr>
          <w:lang w:val="fr-FR"/>
        </w:rPr>
        <w:t>’</w:t>
      </w:r>
      <w:r w:rsidRPr="00AB4DCC">
        <w:rPr>
          <w:lang w:val="fr-FR"/>
        </w:rPr>
        <w:t>avertissement en cas d</w:t>
      </w:r>
      <w:r>
        <w:rPr>
          <w:lang w:val="fr-FR"/>
        </w:rPr>
        <w:t>’</w:t>
      </w:r>
      <w:r w:rsidRPr="00AB4DCC">
        <w:rPr>
          <w:lang w:val="fr-FR"/>
        </w:rPr>
        <w:t>intervention du système</w:t>
      </w:r>
    </w:p>
    <w:p w14:paraId="36EFF274" w14:textId="4175E28A" w:rsidR="00EE432D" w:rsidRPr="00AB4DCC" w:rsidRDefault="00EE432D" w:rsidP="00EE432D">
      <w:pPr>
        <w:pStyle w:val="SingleTxtG"/>
        <w:ind w:left="2268"/>
        <w:rPr>
          <w:bCs/>
          <w:color w:val="000000" w:themeColor="text1"/>
          <w:lang w:val="fr-FR"/>
        </w:rPr>
      </w:pPr>
      <w:r w:rsidRPr="00AB4DCC">
        <w:rPr>
          <w:lang w:val="fr-FR"/>
        </w:rPr>
        <w:t>Le conducteur est averti de l</w:t>
      </w:r>
      <w:r>
        <w:rPr>
          <w:lang w:val="fr-FR"/>
        </w:rPr>
        <w:t>’</w:t>
      </w:r>
      <w:r w:rsidRPr="00AB4DCC">
        <w:rPr>
          <w:lang w:val="fr-FR"/>
        </w:rPr>
        <w:t>intervention du système par un signal visuel</w:t>
      </w:r>
      <w:r w:rsidR="00DF7AA4" w:rsidRPr="00DF7AA4">
        <w:rPr>
          <w:lang w:val="fr-FR"/>
        </w:rPr>
        <w:t>.</w:t>
      </w:r>
      <w:r w:rsidRPr="00AB4DCC">
        <w:rPr>
          <w:lang w:val="fr-FR"/>
        </w:rPr>
        <w:t xml:space="preserve"> En outre, un signal haptique ou sonore doit être émis, à moins qu</w:t>
      </w:r>
      <w:r>
        <w:rPr>
          <w:lang w:val="fr-FR"/>
        </w:rPr>
        <w:t>’</w:t>
      </w:r>
      <w:r w:rsidRPr="00AB4DCC">
        <w:rPr>
          <w:lang w:val="fr-FR"/>
        </w:rPr>
        <w:t>il ne le soit déjà par un autre système du véhicule capable de détecter des objets (par exemple, le système d</w:t>
      </w:r>
      <w:r>
        <w:rPr>
          <w:lang w:val="fr-FR"/>
        </w:rPr>
        <w:t>’</w:t>
      </w:r>
      <w:r w:rsidRPr="00AB4DCC">
        <w:rPr>
          <w:lang w:val="fr-FR"/>
        </w:rPr>
        <w:t>aide au stationnement)</w:t>
      </w:r>
      <w:r w:rsidR="00DF7AA4" w:rsidRPr="00DF7AA4">
        <w:rPr>
          <w:lang w:val="fr-FR"/>
        </w:rPr>
        <w:t>.</w:t>
      </w:r>
    </w:p>
    <w:p w14:paraId="2E350D7B" w14:textId="7CDDF319" w:rsidR="00EE432D" w:rsidRPr="00AB4DCC" w:rsidRDefault="00EE432D" w:rsidP="00EE432D">
      <w:pPr>
        <w:pStyle w:val="SingleTxtG"/>
        <w:ind w:left="2268"/>
        <w:rPr>
          <w:bCs/>
          <w:lang w:val="fr-FR"/>
        </w:rPr>
      </w:pPr>
      <w:r w:rsidRPr="00AB4DCC">
        <w:rPr>
          <w:lang w:val="fr-FR"/>
        </w:rPr>
        <w:t>Le signal d</w:t>
      </w:r>
      <w:r>
        <w:rPr>
          <w:lang w:val="fr-FR"/>
        </w:rPr>
        <w:t>’</w:t>
      </w:r>
      <w:r w:rsidRPr="00AB4DCC">
        <w:rPr>
          <w:lang w:val="fr-FR"/>
        </w:rPr>
        <w:t>avertissement visuel peut être le clignotement du signal de défaillance</w:t>
      </w:r>
      <w:r w:rsidR="00DF7AA4" w:rsidRPr="00DF7AA4">
        <w:rPr>
          <w:lang w:val="fr-FR"/>
        </w:rPr>
        <w:t>.</w:t>
      </w:r>
    </w:p>
    <w:p w14:paraId="4452EA25" w14:textId="202F1079" w:rsidR="00EE432D" w:rsidRPr="00AB4DCC" w:rsidRDefault="00EE432D" w:rsidP="00EE432D">
      <w:pPr>
        <w:pStyle w:val="SingleTxtG"/>
        <w:ind w:left="2268"/>
        <w:rPr>
          <w:bCs/>
          <w:lang w:val="fr-FR"/>
        </w:rPr>
      </w:pPr>
      <w:r w:rsidRPr="00AB4DCC">
        <w:rPr>
          <w:lang w:val="fr-FR"/>
        </w:rPr>
        <w:t>Une description des signaux d</w:t>
      </w:r>
      <w:r>
        <w:rPr>
          <w:lang w:val="fr-FR"/>
        </w:rPr>
        <w:t>’</w:t>
      </w:r>
      <w:r w:rsidRPr="00AB4DCC">
        <w:rPr>
          <w:lang w:val="fr-FR"/>
        </w:rPr>
        <w:t>avertissement doit être présentée par le constructeur du véhicule au moment de l</w:t>
      </w:r>
      <w:r>
        <w:rPr>
          <w:lang w:val="fr-FR"/>
        </w:rPr>
        <w:t>’</w:t>
      </w:r>
      <w:r w:rsidRPr="00AB4DCC">
        <w:rPr>
          <w:lang w:val="fr-FR"/>
        </w:rPr>
        <w:t>homologation de type et être consignée dans le procès-verbal d</w:t>
      </w:r>
      <w:r>
        <w:rPr>
          <w:lang w:val="fr-FR"/>
        </w:rPr>
        <w:t>’</w:t>
      </w:r>
      <w:r w:rsidRPr="00AB4DCC">
        <w:rPr>
          <w:lang w:val="fr-FR"/>
        </w:rPr>
        <w:t>essai</w:t>
      </w:r>
      <w:r w:rsidR="00DF7AA4" w:rsidRPr="00DF7AA4">
        <w:rPr>
          <w:lang w:val="fr-FR"/>
        </w:rPr>
        <w:t>.</w:t>
      </w:r>
    </w:p>
    <w:p w14:paraId="3BED6BB4" w14:textId="4FECCE6B" w:rsidR="00EE432D" w:rsidRPr="00AB4DCC" w:rsidRDefault="00EE432D" w:rsidP="006F5732">
      <w:pPr>
        <w:pStyle w:val="SingleTxtG"/>
        <w:tabs>
          <w:tab w:val="clear" w:pos="1701"/>
        </w:tabs>
        <w:ind w:left="2268" w:hanging="1134"/>
        <w:rPr>
          <w:bCs/>
          <w:lang w:val="fr-FR"/>
        </w:rPr>
      </w:pPr>
      <w:bookmarkStart w:id="9" w:name="OLE_LINK20"/>
      <w:r w:rsidRPr="00AB4DCC">
        <w:rPr>
          <w:lang w:val="fr-FR"/>
        </w:rPr>
        <w:t>5</w:t>
      </w:r>
      <w:r w:rsidR="00DF7AA4" w:rsidRPr="00DF7AA4">
        <w:rPr>
          <w:lang w:val="fr-FR"/>
        </w:rPr>
        <w:t>.</w:t>
      </w:r>
      <w:r w:rsidRPr="00AB4DCC">
        <w:rPr>
          <w:lang w:val="fr-FR"/>
        </w:rPr>
        <w:t>4</w:t>
      </w:r>
      <w:r w:rsidR="00DF7AA4" w:rsidRPr="00DF7AA4">
        <w:rPr>
          <w:lang w:val="fr-FR"/>
        </w:rPr>
        <w:t>.</w:t>
      </w:r>
      <w:r w:rsidRPr="00AB4DCC">
        <w:rPr>
          <w:lang w:val="fr-FR"/>
        </w:rPr>
        <w:t>3</w:t>
      </w:r>
      <w:r w:rsidRPr="00AB4DCC">
        <w:rPr>
          <w:lang w:val="fr-FR"/>
        </w:rPr>
        <w:tab/>
        <w:t>Signal de défaillance</w:t>
      </w:r>
    </w:p>
    <w:p w14:paraId="1E499F33" w14:textId="058F0BC9" w:rsidR="00EE432D" w:rsidRPr="00AB4DCC" w:rsidRDefault="00EE432D" w:rsidP="00EE432D">
      <w:pPr>
        <w:spacing w:after="120" w:line="240" w:lineRule="auto"/>
        <w:ind w:left="2268" w:right="1134"/>
        <w:rPr>
          <w:bCs/>
          <w:lang w:val="fr-FR"/>
        </w:rPr>
      </w:pPr>
      <w:r w:rsidRPr="00AB4DCC">
        <w:rPr>
          <w:lang w:val="fr-FR"/>
        </w:rPr>
        <w:t>Le signal de défaillance doit être un signal visuel continu de couleur jaune</w:t>
      </w:r>
      <w:r w:rsidR="00DF7AA4" w:rsidRPr="00DF7AA4">
        <w:rPr>
          <w:lang w:val="fr-FR"/>
        </w:rPr>
        <w:t>.</w:t>
      </w:r>
    </w:p>
    <w:bookmarkEnd w:id="9"/>
    <w:p w14:paraId="096D33F5" w14:textId="0051BD72" w:rsidR="00EE432D" w:rsidRPr="00AB4DCC" w:rsidRDefault="00EE432D" w:rsidP="006F5732">
      <w:pPr>
        <w:pStyle w:val="SingleTxtG"/>
        <w:tabs>
          <w:tab w:val="clear" w:pos="1701"/>
        </w:tabs>
        <w:ind w:left="2268" w:hanging="1134"/>
        <w:rPr>
          <w:lang w:val="fr-FR"/>
        </w:rPr>
      </w:pPr>
      <w:r w:rsidRPr="00AB4DCC">
        <w:rPr>
          <w:lang w:val="fr-FR"/>
        </w:rPr>
        <w:t>5</w:t>
      </w:r>
      <w:r w:rsidR="00DF7AA4" w:rsidRPr="00DF7AA4">
        <w:rPr>
          <w:lang w:val="fr-FR"/>
        </w:rPr>
        <w:t>.</w:t>
      </w:r>
      <w:r w:rsidRPr="00AB4DCC">
        <w:rPr>
          <w:lang w:val="fr-FR"/>
        </w:rPr>
        <w:t>5</w:t>
      </w:r>
      <w:r w:rsidRPr="00AB4DCC">
        <w:rPr>
          <w:lang w:val="fr-FR"/>
        </w:rPr>
        <w:tab/>
        <w:t>Dispositions relatives au contrôle technique périodique</w:t>
      </w:r>
    </w:p>
    <w:p w14:paraId="3D6EFBF8" w14:textId="71456E86" w:rsidR="00EE432D" w:rsidRPr="00AB4DCC" w:rsidRDefault="00EE432D" w:rsidP="006F5732">
      <w:pPr>
        <w:pStyle w:val="SingleTxtG"/>
        <w:tabs>
          <w:tab w:val="clear" w:pos="1701"/>
        </w:tabs>
        <w:ind w:left="2268" w:hanging="1134"/>
        <w:rPr>
          <w:bCs/>
          <w:lang w:val="fr-FR"/>
        </w:rPr>
      </w:pPr>
      <w:r w:rsidRPr="00AB4DCC">
        <w:rPr>
          <w:lang w:val="fr-FR"/>
        </w:rPr>
        <w:t>5</w:t>
      </w:r>
      <w:r w:rsidR="00DF7AA4" w:rsidRPr="00DF7AA4">
        <w:rPr>
          <w:lang w:val="fr-FR"/>
        </w:rPr>
        <w:t>.</w:t>
      </w:r>
      <w:r w:rsidRPr="00AB4DCC">
        <w:rPr>
          <w:lang w:val="fr-FR"/>
        </w:rPr>
        <w:t>5</w:t>
      </w:r>
      <w:r w:rsidR="00DF7AA4" w:rsidRPr="00DF7AA4">
        <w:rPr>
          <w:lang w:val="fr-FR"/>
        </w:rPr>
        <w:t>.</w:t>
      </w:r>
      <w:r w:rsidRPr="00AB4DCC">
        <w:rPr>
          <w:lang w:val="fr-FR"/>
        </w:rPr>
        <w:t>1</w:t>
      </w:r>
      <w:r w:rsidRPr="00AB4DCC">
        <w:rPr>
          <w:lang w:val="fr-FR"/>
        </w:rPr>
        <w:tab/>
        <w:t>Lors des contrôles techniques périodiques, il doit être possible de confirmer le bon état de fonctionnement du système ACPE par une observation visuelle de l</w:t>
      </w:r>
      <w:r>
        <w:rPr>
          <w:lang w:val="fr-FR"/>
        </w:rPr>
        <w:t>’</w:t>
      </w:r>
      <w:r w:rsidRPr="00AB4DCC">
        <w:rPr>
          <w:lang w:val="fr-FR"/>
        </w:rPr>
        <w:t>état du signal de défaillance</w:t>
      </w:r>
      <w:r w:rsidR="00DF7AA4" w:rsidRPr="00DF7AA4">
        <w:rPr>
          <w:lang w:val="fr-FR"/>
        </w:rPr>
        <w:t>.</w:t>
      </w:r>
      <w:r w:rsidRPr="00AB4DCC">
        <w:rPr>
          <w:lang w:val="fr-FR"/>
        </w:rPr>
        <w:t xml:space="preserve"> Après remise du contact et contrôle des lampes, le signal de défaillance doit rester activé si une défaillance était présente à la fin du précédent démarrage du moteur (ou cycle de fonctionnement, selon le cas), à moins que cette défaillance ne soit plus détectée</w:t>
      </w:r>
      <w:r w:rsidR="00DF7AA4" w:rsidRPr="00DF7AA4">
        <w:rPr>
          <w:lang w:val="fr-FR"/>
        </w:rPr>
        <w:t>.</w:t>
      </w:r>
    </w:p>
    <w:p w14:paraId="65C53B3F" w14:textId="22D5F292" w:rsidR="00EE432D" w:rsidRPr="00AB4DCC" w:rsidRDefault="00EE432D" w:rsidP="00EE432D">
      <w:pPr>
        <w:pStyle w:val="SingleTxtG"/>
        <w:ind w:left="2268"/>
        <w:rPr>
          <w:rFonts w:eastAsia="Calibri"/>
          <w:lang w:val="fr-FR"/>
        </w:rPr>
      </w:pPr>
      <w:r w:rsidRPr="00AB4DCC">
        <w:rPr>
          <w:lang w:val="fr-FR"/>
        </w:rPr>
        <w:t>Lorsque le signal de défaillance se trouve sur un espace d</w:t>
      </w:r>
      <w:r>
        <w:rPr>
          <w:lang w:val="fr-FR"/>
        </w:rPr>
        <w:t>’</w:t>
      </w:r>
      <w:r w:rsidRPr="00AB4DCC">
        <w:rPr>
          <w:lang w:val="fr-FR"/>
        </w:rPr>
        <w:t>affichage commun, il convient de confirmer le bon fonctionnement de cet espace avant de vérifier l</w:t>
      </w:r>
      <w:r>
        <w:rPr>
          <w:lang w:val="fr-FR"/>
        </w:rPr>
        <w:t>’</w:t>
      </w:r>
      <w:r w:rsidRPr="00AB4DCC">
        <w:rPr>
          <w:lang w:val="fr-FR"/>
        </w:rPr>
        <w:t>état du signal de défaillance</w:t>
      </w:r>
      <w:r w:rsidR="00DF7AA4" w:rsidRPr="00DF7AA4">
        <w:rPr>
          <w:lang w:val="fr-FR"/>
        </w:rPr>
        <w:t>.</w:t>
      </w:r>
    </w:p>
    <w:p w14:paraId="5A7EDE24" w14:textId="7A6DEFA3" w:rsidR="00EE432D" w:rsidRPr="00AB4DCC" w:rsidRDefault="00EE432D" w:rsidP="006F5732">
      <w:pPr>
        <w:pStyle w:val="SingleTxtG"/>
        <w:tabs>
          <w:tab w:val="clear" w:pos="1701"/>
        </w:tabs>
        <w:ind w:left="2268" w:hanging="1134"/>
        <w:rPr>
          <w:bCs/>
          <w:lang w:val="fr-FR"/>
        </w:rPr>
      </w:pPr>
      <w:r w:rsidRPr="00AB4DCC">
        <w:rPr>
          <w:lang w:val="fr-FR"/>
        </w:rPr>
        <w:t>5</w:t>
      </w:r>
      <w:r w:rsidR="00DF7AA4" w:rsidRPr="00DF7AA4">
        <w:rPr>
          <w:lang w:val="fr-FR"/>
        </w:rPr>
        <w:t>.</w:t>
      </w:r>
      <w:r w:rsidRPr="00AB4DCC">
        <w:rPr>
          <w:lang w:val="fr-FR"/>
        </w:rPr>
        <w:t>5</w:t>
      </w:r>
      <w:r w:rsidR="00DF7AA4" w:rsidRPr="00DF7AA4">
        <w:rPr>
          <w:lang w:val="fr-FR"/>
        </w:rPr>
        <w:t>.</w:t>
      </w:r>
      <w:r w:rsidRPr="00AB4DCC">
        <w:rPr>
          <w:lang w:val="fr-FR"/>
        </w:rPr>
        <w:t>2</w:t>
      </w:r>
      <w:r w:rsidRPr="00AB4DCC">
        <w:rPr>
          <w:lang w:val="fr-FR"/>
        </w:rPr>
        <w:tab/>
        <w:t>Au moment de l</w:t>
      </w:r>
      <w:r>
        <w:rPr>
          <w:lang w:val="fr-FR"/>
        </w:rPr>
        <w:t>’</w:t>
      </w:r>
      <w:r w:rsidRPr="00AB4DCC">
        <w:rPr>
          <w:lang w:val="fr-FR"/>
        </w:rPr>
        <w:t>homologation de type, les moyens mis en œuvre pour empêcher que l</w:t>
      </w:r>
      <w:r>
        <w:rPr>
          <w:lang w:val="fr-FR"/>
        </w:rPr>
        <w:t>’</w:t>
      </w:r>
      <w:r w:rsidRPr="00AB4DCC">
        <w:rPr>
          <w:lang w:val="fr-FR"/>
        </w:rPr>
        <w:t>on puisse par des mesures simples interférer de manière non autorisée avec le fonctionnement du signal de défaillance choisi par le constructeur doivent être décrits à titre confidentiel</w:t>
      </w:r>
      <w:r w:rsidR="00DF7AA4" w:rsidRPr="00DF7AA4">
        <w:rPr>
          <w:lang w:val="fr-FR"/>
        </w:rPr>
        <w:t>.</w:t>
      </w:r>
    </w:p>
    <w:p w14:paraId="501CE764" w14:textId="1D34A240" w:rsidR="00EE432D" w:rsidRPr="00AB4DCC" w:rsidRDefault="00EE432D" w:rsidP="00EE432D">
      <w:pPr>
        <w:pStyle w:val="SingleTxtG"/>
        <w:ind w:left="2268"/>
        <w:rPr>
          <w:rFonts w:eastAsia="Calibri"/>
          <w:lang w:val="fr-FR"/>
        </w:rPr>
      </w:pPr>
      <w:r w:rsidRPr="00AB4DCC">
        <w:rPr>
          <w:lang w:val="fr-FR"/>
        </w:rPr>
        <w:t>À défaut, on considère qu</w:t>
      </w:r>
      <w:r>
        <w:rPr>
          <w:lang w:val="fr-FR"/>
        </w:rPr>
        <w:t>’</w:t>
      </w:r>
      <w:r w:rsidRPr="00AB4DCC">
        <w:rPr>
          <w:lang w:val="fr-FR"/>
        </w:rPr>
        <w:t>il est satisfait à cette prescription relative à la protection lorsqu</w:t>
      </w:r>
      <w:r>
        <w:rPr>
          <w:lang w:val="fr-FR"/>
        </w:rPr>
        <w:t>’</w:t>
      </w:r>
      <w:r w:rsidRPr="00AB4DCC">
        <w:rPr>
          <w:lang w:val="fr-FR"/>
        </w:rPr>
        <w:t>il existe un autre moyen de vérifier le fonctionnement correct du système ACPE</w:t>
      </w:r>
      <w:r w:rsidR="00DF7AA4" w:rsidRPr="00DF7AA4">
        <w:rPr>
          <w:lang w:val="fr-FR"/>
        </w:rPr>
        <w:t>.</w:t>
      </w:r>
    </w:p>
    <w:p w14:paraId="7FE5B8C6" w14:textId="68F9E770" w:rsidR="00EE432D" w:rsidRPr="00AB4DCC" w:rsidRDefault="00EE432D" w:rsidP="00EE432D">
      <w:pPr>
        <w:pStyle w:val="HChG"/>
        <w:tabs>
          <w:tab w:val="clear" w:pos="851"/>
        </w:tabs>
        <w:ind w:left="2268"/>
        <w:rPr>
          <w:lang w:val="fr-FR"/>
        </w:rPr>
      </w:pPr>
      <w:r w:rsidRPr="00AB4DCC">
        <w:rPr>
          <w:bCs/>
          <w:lang w:val="fr-FR"/>
        </w:rPr>
        <w:t>6</w:t>
      </w:r>
      <w:r w:rsidR="00DF7AA4" w:rsidRPr="00DF7AA4">
        <w:rPr>
          <w:bCs/>
          <w:lang w:val="fr-FR"/>
        </w:rPr>
        <w:t>.</w:t>
      </w:r>
      <w:r w:rsidRPr="00AB4DCC">
        <w:rPr>
          <w:lang w:val="fr-FR"/>
        </w:rPr>
        <w:tab/>
      </w:r>
      <w:r w:rsidRPr="00AB4DCC">
        <w:rPr>
          <w:bCs/>
          <w:lang w:val="fr-FR"/>
        </w:rPr>
        <w:t>Procédure d</w:t>
      </w:r>
      <w:r>
        <w:rPr>
          <w:bCs/>
          <w:lang w:val="fr-FR"/>
        </w:rPr>
        <w:t>’</w:t>
      </w:r>
      <w:r w:rsidRPr="00AB4DCC">
        <w:rPr>
          <w:bCs/>
          <w:lang w:val="fr-FR"/>
        </w:rPr>
        <w:t>essai</w:t>
      </w:r>
    </w:p>
    <w:p w14:paraId="2AEE6EC7" w14:textId="2460EFCA"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1</w:t>
      </w:r>
      <w:r w:rsidRPr="00AB4DCC">
        <w:rPr>
          <w:lang w:val="fr-FR"/>
        </w:rPr>
        <w:tab/>
        <w:t>Revêtement d</w:t>
      </w:r>
      <w:r>
        <w:rPr>
          <w:lang w:val="fr-FR"/>
        </w:rPr>
        <w:t>’</w:t>
      </w:r>
      <w:r w:rsidRPr="00AB4DCC">
        <w:rPr>
          <w:lang w:val="fr-FR"/>
        </w:rPr>
        <w:t>essai et conditions ambiantes</w:t>
      </w:r>
    </w:p>
    <w:p w14:paraId="181CA309" w14:textId="0EA3FF4A"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1</w:t>
      </w:r>
      <w:r w:rsidR="00DF7AA4" w:rsidRPr="00DF7AA4">
        <w:rPr>
          <w:lang w:val="fr-FR"/>
        </w:rPr>
        <w:t>.</w:t>
      </w:r>
      <w:r w:rsidRPr="00AB4DCC">
        <w:rPr>
          <w:lang w:val="fr-FR"/>
        </w:rPr>
        <w:t>1</w:t>
      </w:r>
      <w:r w:rsidRPr="00AB4DCC">
        <w:rPr>
          <w:lang w:val="fr-FR"/>
        </w:rPr>
        <w:tab/>
        <w:t>L</w:t>
      </w:r>
      <w:r>
        <w:rPr>
          <w:lang w:val="fr-FR"/>
        </w:rPr>
        <w:t>’</w:t>
      </w:r>
      <w:r w:rsidRPr="00AB4DCC">
        <w:rPr>
          <w:lang w:val="fr-FR"/>
        </w:rPr>
        <w:t>essai doit être effectué sur une route en béton ou en bitume plane et sèche, offrant une bonne adhérence</w:t>
      </w:r>
      <w:r w:rsidR="00DF7AA4" w:rsidRPr="00DF7AA4">
        <w:rPr>
          <w:lang w:val="fr-FR"/>
        </w:rPr>
        <w:t>.</w:t>
      </w:r>
    </w:p>
    <w:p w14:paraId="1DA74279" w14:textId="7759BD7A"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1</w:t>
      </w:r>
      <w:r w:rsidR="00DF7AA4" w:rsidRPr="00DF7AA4">
        <w:rPr>
          <w:lang w:val="fr-FR"/>
        </w:rPr>
        <w:t>.</w:t>
      </w:r>
      <w:r w:rsidRPr="00AB4DCC">
        <w:rPr>
          <w:lang w:val="fr-FR"/>
        </w:rPr>
        <w:t>2</w:t>
      </w:r>
      <w:r w:rsidRPr="00AB4DCC">
        <w:rPr>
          <w:lang w:val="fr-FR"/>
        </w:rPr>
        <w:tab/>
        <w:t>Le revêtement d</w:t>
      </w:r>
      <w:r>
        <w:rPr>
          <w:lang w:val="fr-FR"/>
        </w:rPr>
        <w:t>’</w:t>
      </w:r>
      <w:r w:rsidRPr="00AB4DCC">
        <w:rPr>
          <w:lang w:val="fr-FR"/>
        </w:rPr>
        <w:t>essai doit avoir une pente régulière ne dépassant pas 1</w:t>
      </w:r>
      <w:r>
        <w:rPr>
          <w:lang w:val="fr-FR"/>
        </w:rPr>
        <w:t> %</w:t>
      </w:r>
      <w:r w:rsidR="00DF7AA4" w:rsidRPr="00DF7AA4">
        <w:rPr>
          <w:lang w:val="fr-FR"/>
        </w:rPr>
        <w:t>.</w:t>
      </w:r>
    </w:p>
    <w:p w14:paraId="34ADEA42" w14:textId="7FD4706B"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1</w:t>
      </w:r>
      <w:r w:rsidR="00DF7AA4" w:rsidRPr="00DF7AA4">
        <w:rPr>
          <w:lang w:val="fr-FR"/>
        </w:rPr>
        <w:t>.</w:t>
      </w:r>
      <w:r w:rsidRPr="00AB4DCC">
        <w:rPr>
          <w:lang w:val="fr-FR"/>
        </w:rPr>
        <w:t>3</w:t>
      </w:r>
      <w:r w:rsidRPr="00AB4DCC">
        <w:rPr>
          <w:lang w:val="fr-FR"/>
        </w:rPr>
        <w:tab/>
        <w:t>La température ambiante doit être comprise entre 0 °C et 45 °C</w:t>
      </w:r>
      <w:r w:rsidR="00DF7AA4" w:rsidRPr="00DF7AA4">
        <w:rPr>
          <w:lang w:val="fr-FR"/>
        </w:rPr>
        <w:t>.</w:t>
      </w:r>
    </w:p>
    <w:p w14:paraId="0F00B8B3" w14:textId="44FF3919"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1</w:t>
      </w:r>
      <w:r w:rsidR="00DF7AA4" w:rsidRPr="00DF7AA4">
        <w:rPr>
          <w:lang w:val="fr-FR"/>
        </w:rPr>
        <w:t>.</w:t>
      </w:r>
      <w:r w:rsidRPr="00AB4DCC">
        <w:rPr>
          <w:lang w:val="fr-FR"/>
        </w:rPr>
        <w:t>4</w:t>
      </w:r>
      <w:r w:rsidRPr="00AB4DCC">
        <w:rPr>
          <w:lang w:val="fr-FR"/>
        </w:rPr>
        <w:tab/>
        <w:t>La visibilité horizontale doit être telle qu</w:t>
      </w:r>
      <w:r>
        <w:rPr>
          <w:lang w:val="fr-FR"/>
        </w:rPr>
        <w:t>’</w:t>
      </w:r>
      <w:r w:rsidRPr="00AB4DCC">
        <w:rPr>
          <w:lang w:val="fr-FR"/>
        </w:rPr>
        <w:t>elle permette d</w:t>
      </w:r>
      <w:r>
        <w:rPr>
          <w:lang w:val="fr-FR"/>
        </w:rPr>
        <w:t>’</w:t>
      </w:r>
      <w:r w:rsidRPr="00AB4DCC">
        <w:rPr>
          <w:lang w:val="fr-FR"/>
        </w:rPr>
        <w:t>observer la cible du début à la fin de l</w:t>
      </w:r>
      <w:r>
        <w:rPr>
          <w:lang w:val="fr-FR"/>
        </w:rPr>
        <w:t>’</w:t>
      </w:r>
      <w:r w:rsidRPr="00AB4DCC">
        <w:rPr>
          <w:lang w:val="fr-FR"/>
        </w:rPr>
        <w:t>essai</w:t>
      </w:r>
      <w:r w:rsidR="00DF7AA4" w:rsidRPr="00DF7AA4">
        <w:rPr>
          <w:lang w:val="fr-FR"/>
        </w:rPr>
        <w:t>.</w:t>
      </w:r>
    </w:p>
    <w:p w14:paraId="29BA72E3" w14:textId="300E4974"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1</w:t>
      </w:r>
      <w:r w:rsidR="00DF7AA4" w:rsidRPr="00DF7AA4">
        <w:rPr>
          <w:lang w:val="fr-FR"/>
        </w:rPr>
        <w:t>.</w:t>
      </w:r>
      <w:r w:rsidRPr="00AB4DCC">
        <w:rPr>
          <w:lang w:val="fr-FR"/>
        </w:rPr>
        <w:t>5</w:t>
      </w:r>
      <w:r w:rsidRPr="00AB4DCC">
        <w:rPr>
          <w:lang w:val="fr-FR"/>
        </w:rPr>
        <w:tab/>
        <w:t>Les essais doivent être effectués lorsque le vent ne risque pas de fausser les résultats</w:t>
      </w:r>
      <w:r w:rsidR="00DF7AA4" w:rsidRPr="00DF7AA4">
        <w:rPr>
          <w:lang w:val="fr-FR"/>
        </w:rPr>
        <w:t>.</w:t>
      </w:r>
    </w:p>
    <w:p w14:paraId="70D6295B" w14:textId="21F7149D"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1</w:t>
      </w:r>
      <w:r w:rsidR="00DF7AA4" w:rsidRPr="00DF7AA4">
        <w:rPr>
          <w:lang w:val="fr-FR"/>
        </w:rPr>
        <w:t>.</w:t>
      </w:r>
      <w:r w:rsidRPr="00AB4DCC">
        <w:rPr>
          <w:lang w:val="fr-FR"/>
        </w:rPr>
        <w:t>6</w:t>
      </w:r>
      <w:r w:rsidRPr="00AB4DCC">
        <w:rPr>
          <w:lang w:val="fr-FR"/>
        </w:rPr>
        <w:tab/>
        <w:t>L</w:t>
      </w:r>
      <w:r>
        <w:rPr>
          <w:lang w:val="fr-FR"/>
        </w:rPr>
        <w:t>’</w:t>
      </w:r>
      <w:r w:rsidRPr="00AB4DCC">
        <w:rPr>
          <w:lang w:val="fr-FR"/>
        </w:rPr>
        <w:t>éclairage ambiant naturel doit être homogène dans la zone d</w:t>
      </w:r>
      <w:r>
        <w:rPr>
          <w:lang w:val="fr-FR"/>
        </w:rPr>
        <w:t>’</w:t>
      </w:r>
      <w:r w:rsidRPr="00AB4DCC">
        <w:rPr>
          <w:lang w:val="fr-FR"/>
        </w:rPr>
        <w:t>essai et dépasser 1</w:t>
      </w:r>
      <w:r>
        <w:rPr>
          <w:lang w:val="fr-FR"/>
        </w:rPr>
        <w:t> </w:t>
      </w:r>
      <w:r w:rsidRPr="00AB4DCC">
        <w:rPr>
          <w:lang w:val="fr-FR"/>
        </w:rPr>
        <w:t>000</w:t>
      </w:r>
      <w:r>
        <w:rPr>
          <w:lang w:val="fr-FR"/>
        </w:rPr>
        <w:t xml:space="preserve"> </w:t>
      </w:r>
      <w:r w:rsidRPr="00AB4DCC">
        <w:rPr>
          <w:lang w:val="fr-FR"/>
        </w:rPr>
        <w:t>lux</w:t>
      </w:r>
      <w:r w:rsidR="00DF7AA4" w:rsidRPr="00DF7AA4">
        <w:rPr>
          <w:lang w:val="fr-FR"/>
        </w:rPr>
        <w:t>.</w:t>
      </w:r>
      <w:r w:rsidRPr="00AB4DCC">
        <w:rPr>
          <w:lang w:val="fr-FR"/>
        </w:rPr>
        <w:t xml:space="preserve"> Il faut veiller à ce que l</w:t>
      </w:r>
      <w:r>
        <w:rPr>
          <w:lang w:val="fr-FR"/>
        </w:rPr>
        <w:t>’</w:t>
      </w:r>
      <w:r w:rsidRPr="00AB4DCC">
        <w:rPr>
          <w:lang w:val="fr-FR"/>
        </w:rPr>
        <w:t>essai ne soit pas effectué lorsque le véhicule se déplace vers le soleil ou s</w:t>
      </w:r>
      <w:r>
        <w:rPr>
          <w:lang w:val="fr-FR"/>
        </w:rPr>
        <w:t>’</w:t>
      </w:r>
      <w:r w:rsidRPr="00AB4DCC">
        <w:rPr>
          <w:lang w:val="fr-FR"/>
        </w:rPr>
        <w:t>en éloigne sous un angle rasant</w:t>
      </w:r>
      <w:r w:rsidR="00DF7AA4" w:rsidRPr="00DF7AA4">
        <w:rPr>
          <w:lang w:val="fr-FR"/>
        </w:rPr>
        <w:t>.</w:t>
      </w:r>
    </w:p>
    <w:p w14:paraId="62FD7F6B" w14:textId="19D95C55" w:rsidR="00EE432D" w:rsidRPr="00AB4DCC" w:rsidRDefault="00EE432D" w:rsidP="006F5732">
      <w:pPr>
        <w:pStyle w:val="SingleTxtG"/>
        <w:keepNext/>
        <w:keepLines/>
        <w:tabs>
          <w:tab w:val="clear" w:pos="1701"/>
        </w:tabs>
        <w:ind w:left="2268" w:hanging="1134"/>
        <w:rPr>
          <w:color w:val="000000" w:themeColor="text1"/>
          <w:lang w:val="fr-FR"/>
        </w:rPr>
      </w:pPr>
      <w:r w:rsidRPr="00AB4DCC">
        <w:rPr>
          <w:lang w:val="fr-FR"/>
        </w:rPr>
        <w:lastRenderedPageBreak/>
        <w:t>6</w:t>
      </w:r>
      <w:r w:rsidR="00DF7AA4" w:rsidRPr="00DF7AA4">
        <w:rPr>
          <w:lang w:val="fr-FR"/>
        </w:rPr>
        <w:t>.</w:t>
      </w:r>
      <w:r w:rsidRPr="00AB4DCC">
        <w:rPr>
          <w:lang w:val="fr-FR"/>
        </w:rPr>
        <w:t>1</w:t>
      </w:r>
      <w:r w:rsidR="00DF7AA4" w:rsidRPr="00DF7AA4">
        <w:rPr>
          <w:lang w:val="fr-FR"/>
        </w:rPr>
        <w:t>.</w:t>
      </w:r>
      <w:r w:rsidRPr="00AB4DCC">
        <w:rPr>
          <w:lang w:val="fr-FR"/>
        </w:rPr>
        <w:t>7</w:t>
      </w:r>
      <w:r w:rsidRPr="00AB4DCC">
        <w:rPr>
          <w:lang w:val="fr-FR"/>
        </w:rPr>
        <w:tab/>
        <w:t>À la demande du constructeur et avec l</w:t>
      </w:r>
      <w:r>
        <w:rPr>
          <w:lang w:val="fr-FR"/>
        </w:rPr>
        <w:t>’</w:t>
      </w:r>
      <w:r w:rsidRPr="00AB4DCC">
        <w:rPr>
          <w:lang w:val="fr-FR"/>
        </w:rPr>
        <w:t>accord du service technique, les essais peuvent être effectués dans des conditions d</w:t>
      </w:r>
      <w:r>
        <w:rPr>
          <w:lang w:val="fr-FR"/>
        </w:rPr>
        <w:t>’</w:t>
      </w:r>
      <w:r w:rsidRPr="00AB4DCC">
        <w:rPr>
          <w:lang w:val="fr-FR"/>
        </w:rPr>
        <w:t>essai différentes (conditions non optimales, par exemple sur une chaussée non sèche ou à une température ambiante inférieure à la température minimale prévue), mais les prescriptions fonctionnelles doivent être respectées</w:t>
      </w:r>
      <w:r w:rsidR="00DF7AA4" w:rsidRPr="00DF7AA4">
        <w:rPr>
          <w:lang w:val="fr-FR"/>
        </w:rPr>
        <w:t>.</w:t>
      </w:r>
    </w:p>
    <w:p w14:paraId="320E1359" w14:textId="223164DF" w:rsidR="00EE432D" w:rsidRPr="00AB4DCC" w:rsidRDefault="00EE432D" w:rsidP="006F5732">
      <w:pPr>
        <w:pStyle w:val="SingleTxtG"/>
        <w:tabs>
          <w:tab w:val="clear" w:pos="1701"/>
        </w:tabs>
        <w:ind w:left="2268" w:hanging="1134"/>
        <w:rPr>
          <w:lang w:val="fr-FR"/>
        </w:rPr>
      </w:pPr>
      <w:r w:rsidRPr="00AB4DCC">
        <w:rPr>
          <w:lang w:val="fr-FR"/>
        </w:rPr>
        <w:t>6</w:t>
      </w:r>
      <w:r w:rsidR="00DF7AA4" w:rsidRPr="00DF7AA4">
        <w:rPr>
          <w:lang w:val="fr-FR"/>
        </w:rPr>
        <w:t>.</w:t>
      </w:r>
      <w:r w:rsidRPr="00AB4DCC">
        <w:rPr>
          <w:lang w:val="fr-FR"/>
        </w:rPr>
        <w:t>2</w:t>
      </w:r>
      <w:r w:rsidRPr="00AB4DCC">
        <w:rPr>
          <w:lang w:val="fr-FR"/>
        </w:rPr>
        <w:tab/>
        <w:t>Instruments de mesure</w:t>
      </w:r>
    </w:p>
    <w:p w14:paraId="61091140" w14:textId="6E957825"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2</w:t>
      </w:r>
      <w:r w:rsidR="00DF7AA4" w:rsidRPr="00DF7AA4">
        <w:rPr>
          <w:lang w:val="fr-FR"/>
        </w:rPr>
        <w:t>.</w:t>
      </w:r>
      <w:r w:rsidRPr="00AB4DCC">
        <w:rPr>
          <w:lang w:val="fr-FR"/>
        </w:rPr>
        <w:t>1</w:t>
      </w:r>
      <w:r w:rsidRPr="00AB4DCC">
        <w:rPr>
          <w:lang w:val="fr-FR"/>
        </w:rPr>
        <w:tab/>
        <w:t>La vitesse du véhicule doit être mesurée avec une précision de +/- 0,1 km/h</w:t>
      </w:r>
      <w:r w:rsidR="00DF7AA4" w:rsidRPr="00DF7AA4">
        <w:rPr>
          <w:lang w:val="fr-FR"/>
        </w:rPr>
        <w:t>.</w:t>
      </w:r>
    </w:p>
    <w:p w14:paraId="33E7AEE0" w14:textId="4FEFAE86"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2</w:t>
      </w:r>
      <w:r w:rsidR="00DF7AA4" w:rsidRPr="00DF7AA4">
        <w:rPr>
          <w:lang w:val="fr-FR"/>
        </w:rPr>
        <w:t>.</w:t>
      </w:r>
      <w:r w:rsidRPr="00AB4DCC">
        <w:rPr>
          <w:lang w:val="fr-FR"/>
        </w:rPr>
        <w:t>2</w:t>
      </w:r>
      <w:r w:rsidRPr="00AB4DCC">
        <w:rPr>
          <w:lang w:val="fr-FR"/>
        </w:rPr>
        <w:tab/>
        <w:t>La position du véhicule doit être mesurée avec une précision de +/- 0,03 m</w:t>
      </w:r>
      <w:r w:rsidR="00DF7AA4" w:rsidRPr="00DF7AA4">
        <w:rPr>
          <w:lang w:val="fr-FR"/>
        </w:rPr>
        <w:t>.</w:t>
      </w:r>
    </w:p>
    <w:p w14:paraId="5A2C8D0F" w14:textId="28D1CD60"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2</w:t>
      </w:r>
      <w:r w:rsidR="00DF7AA4" w:rsidRPr="00DF7AA4">
        <w:rPr>
          <w:lang w:val="fr-FR"/>
        </w:rPr>
        <w:t>.</w:t>
      </w:r>
      <w:r w:rsidRPr="00AB4DCC">
        <w:rPr>
          <w:lang w:val="fr-FR"/>
        </w:rPr>
        <w:t>3</w:t>
      </w:r>
      <w:r w:rsidRPr="00AB4DCC">
        <w:rPr>
          <w:lang w:val="fr-FR"/>
        </w:rPr>
        <w:tab/>
        <w:t>La force exercée sur la commande d</w:t>
      </w:r>
      <w:r>
        <w:rPr>
          <w:lang w:val="fr-FR"/>
        </w:rPr>
        <w:t>’</w:t>
      </w:r>
      <w:r w:rsidRPr="00AB4DCC">
        <w:rPr>
          <w:lang w:val="fr-FR"/>
        </w:rPr>
        <w:t>accélérateur (le cas échéant) doit être mesurée avec une précision de +/- 1 N</w:t>
      </w:r>
      <w:r w:rsidR="00DF7AA4" w:rsidRPr="00DF7AA4">
        <w:rPr>
          <w:lang w:val="fr-FR"/>
        </w:rPr>
        <w:t>.</w:t>
      </w:r>
    </w:p>
    <w:p w14:paraId="7A2C4F70" w14:textId="64F2DFE1" w:rsidR="00EE432D" w:rsidRPr="00AB4DCC" w:rsidRDefault="00EE432D" w:rsidP="006F5732">
      <w:pPr>
        <w:pStyle w:val="SingleTxtG"/>
        <w:tabs>
          <w:tab w:val="clear" w:pos="1701"/>
        </w:tabs>
        <w:ind w:left="2268" w:hanging="1134"/>
        <w:rPr>
          <w:bCs/>
          <w:color w:val="000000" w:themeColor="text1"/>
          <w:lang w:val="fr-FR"/>
        </w:rPr>
      </w:pPr>
      <w:r w:rsidRPr="00AB4DCC">
        <w:rPr>
          <w:lang w:val="fr-FR"/>
        </w:rPr>
        <w:t>6</w:t>
      </w:r>
      <w:r w:rsidR="00DF7AA4" w:rsidRPr="00DF7AA4">
        <w:rPr>
          <w:lang w:val="fr-FR"/>
        </w:rPr>
        <w:t>.</w:t>
      </w:r>
      <w:r w:rsidRPr="00AB4DCC">
        <w:rPr>
          <w:lang w:val="fr-FR"/>
        </w:rPr>
        <w:t>2</w:t>
      </w:r>
      <w:r w:rsidR="00DF7AA4" w:rsidRPr="00DF7AA4">
        <w:rPr>
          <w:lang w:val="fr-FR"/>
        </w:rPr>
        <w:t>.</w:t>
      </w:r>
      <w:r w:rsidRPr="00AB4DCC">
        <w:rPr>
          <w:lang w:val="fr-FR"/>
        </w:rPr>
        <w:t>4</w:t>
      </w:r>
      <w:r w:rsidRPr="00AB4DCC">
        <w:rPr>
          <w:lang w:val="fr-FR"/>
        </w:rPr>
        <w:tab/>
        <w:t>La position de la commande d</w:t>
      </w:r>
      <w:r>
        <w:rPr>
          <w:lang w:val="fr-FR"/>
        </w:rPr>
        <w:t>’</w:t>
      </w:r>
      <w:r w:rsidRPr="00AB4DCC">
        <w:rPr>
          <w:lang w:val="fr-FR"/>
        </w:rPr>
        <w:t>accélérateur doit être mesurée avec une précision de +/- 1</w:t>
      </w:r>
      <w:r>
        <w:rPr>
          <w:lang w:val="fr-FR"/>
        </w:rPr>
        <w:t> % ;</w:t>
      </w:r>
      <w:r w:rsidRPr="00AB4DCC">
        <w:rPr>
          <w:lang w:val="fr-FR"/>
        </w:rPr>
        <w:t xml:space="preserve"> à défaut (au choix du constructeur), cette mesure peut être prise au moyen du capteur de position du véhicule</w:t>
      </w:r>
      <w:r w:rsidR="00DF7AA4" w:rsidRPr="00DF7AA4">
        <w:rPr>
          <w:lang w:val="fr-FR"/>
        </w:rPr>
        <w:t>.</w:t>
      </w:r>
    </w:p>
    <w:p w14:paraId="10F07779" w14:textId="0EB9C85C"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sidRPr="00AB4DCC">
        <w:rPr>
          <w:lang w:val="fr-FR"/>
        </w:rPr>
        <w:t>2</w:t>
      </w:r>
      <w:r w:rsidR="00DF7AA4" w:rsidRPr="00DF7AA4">
        <w:rPr>
          <w:lang w:val="fr-FR"/>
        </w:rPr>
        <w:t>.</w:t>
      </w:r>
      <w:r w:rsidRPr="00AB4DCC">
        <w:rPr>
          <w:lang w:val="fr-FR"/>
        </w:rPr>
        <w:t>5</w:t>
      </w:r>
      <w:r w:rsidRPr="00AB4DCC">
        <w:rPr>
          <w:lang w:val="fr-FR"/>
        </w:rPr>
        <w:tab/>
        <w:t>Les mesures doivent être enregistrées à une fréquence d</w:t>
      </w:r>
      <w:r>
        <w:rPr>
          <w:lang w:val="fr-FR"/>
        </w:rPr>
        <w:t>’</w:t>
      </w:r>
      <w:r w:rsidRPr="00AB4DCC">
        <w:rPr>
          <w:lang w:val="fr-FR"/>
        </w:rPr>
        <w:t>au moins 100 Hz</w:t>
      </w:r>
      <w:r w:rsidR="00DF7AA4" w:rsidRPr="00DF7AA4">
        <w:rPr>
          <w:lang w:val="fr-FR"/>
        </w:rPr>
        <w:t>.</w:t>
      </w:r>
    </w:p>
    <w:p w14:paraId="74241321" w14:textId="528E5F4C"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Pr>
          <w:lang w:val="fr-FR"/>
        </w:rPr>
        <w:t>3</w:t>
      </w:r>
      <w:r w:rsidRPr="00AB4DCC">
        <w:rPr>
          <w:lang w:val="fr-FR"/>
        </w:rPr>
        <w:tab/>
        <w:t>Véhicule d</w:t>
      </w:r>
      <w:r>
        <w:rPr>
          <w:lang w:val="fr-FR"/>
        </w:rPr>
        <w:t>’</w:t>
      </w:r>
      <w:r w:rsidRPr="00AB4DCC">
        <w:rPr>
          <w:lang w:val="fr-FR"/>
        </w:rPr>
        <w:t>essai</w:t>
      </w:r>
    </w:p>
    <w:p w14:paraId="26FEBF58" w14:textId="772ED76E"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Pr>
          <w:lang w:val="fr-FR"/>
        </w:rPr>
        <w:t>3</w:t>
      </w:r>
      <w:r w:rsidR="00DF7AA4" w:rsidRPr="00DF7AA4">
        <w:rPr>
          <w:lang w:val="fr-FR"/>
        </w:rPr>
        <w:t>.</w:t>
      </w:r>
      <w:r w:rsidRPr="00AB4DCC">
        <w:rPr>
          <w:lang w:val="fr-FR"/>
        </w:rPr>
        <w:t>1</w:t>
      </w:r>
      <w:r w:rsidRPr="00AB4DCC">
        <w:rPr>
          <w:lang w:val="fr-FR"/>
        </w:rPr>
        <w:tab/>
        <w:t>Conditionnement préalable à l</w:t>
      </w:r>
      <w:r>
        <w:rPr>
          <w:lang w:val="fr-FR"/>
        </w:rPr>
        <w:t>’</w:t>
      </w:r>
      <w:r w:rsidRPr="00AB4DCC">
        <w:rPr>
          <w:lang w:val="fr-FR"/>
        </w:rPr>
        <w:t>essai</w:t>
      </w:r>
    </w:p>
    <w:p w14:paraId="15FF4B3E" w14:textId="77777777" w:rsidR="00EE432D" w:rsidRPr="00AB4DCC" w:rsidRDefault="00EE432D" w:rsidP="00EE432D">
      <w:pPr>
        <w:pStyle w:val="SingleTxtG"/>
        <w:ind w:left="2268"/>
        <w:rPr>
          <w:bCs/>
          <w:lang w:val="fr-FR"/>
        </w:rPr>
      </w:pPr>
      <w:r w:rsidRPr="00AB4DCC">
        <w:rPr>
          <w:lang w:val="fr-FR"/>
        </w:rPr>
        <w:t>Sur demande du constructeur du véhicule</w:t>
      </w:r>
      <w:r>
        <w:rPr>
          <w:lang w:val="fr-FR"/>
        </w:rPr>
        <w:t> :</w:t>
      </w:r>
    </w:p>
    <w:p w14:paraId="7DF64CCE" w14:textId="77777777" w:rsidR="00EE432D" w:rsidRPr="00AB4DCC" w:rsidRDefault="00EE432D" w:rsidP="00EE432D">
      <w:pPr>
        <w:pStyle w:val="SingleTxtG"/>
        <w:ind w:left="2835" w:hanging="567"/>
        <w:rPr>
          <w:bCs/>
          <w:lang w:val="fr-FR"/>
        </w:rPr>
      </w:pPr>
      <w:r w:rsidRPr="00AB4DCC">
        <w:rPr>
          <w:lang w:val="fr-FR"/>
        </w:rPr>
        <w:t>a)</w:t>
      </w:r>
      <w:r w:rsidRPr="00AB4DCC">
        <w:rPr>
          <w:lang w:val="fr-FR"/>
        </w:rPr>
        <w:tab/>
        <w:t>Le véhicule peut être conduit sur un trajet n</w:t>
      </w:r>
      <w:r>
        <w:rPr>
          <w:lang w:val="fr-FR"/>
        </w:rPr>
        <w:t>’</w:t>
      </w:r>
      <w:r w:rsidRPr="00AB4DCC">
        <w:rPr>
          <w:lang w:val="fr-FR"/>
        </w:rPr>
        <w:t>excédant pas 100 km comportant des sections urbaines et rurales, emprunté par d</w:t>
      </w:r>
      <w:r>
        <w:rPr>
          <w:lang w:val="fr-FR"/>
        </w:rPr>
        <w:t>’</w:t>
      </w:r>
      <w:r w:rsidRPr="00AB4DCC">
        <w:rPr>
          <w:lang w:val="fr-FR"/>
        </w:rPr>
        <w:t>autres véhicules et jalonné d</w:t>
      </w:r>
      <w:r>
        <w:rPr>
          <w:lang w:val="fr-FR"/>
        </w:rPr>
        <w:t>’</w:t>
      </w:r>
      <w:r w:rsidRPr="00AB4DCC">
        <w:rPr>
          <w:lang w:val="fr-FR"/>
        </w:rPr>
        <w:t>équipements routiers, pour initialiser le système de capteurs</w:t>
      </w:r>
      <w:r>
        <w:rPr>
          <w:lang w:val="fr-FR"/>
        </w:rPr>
        <w:t> ;</w:t>
      </w:r>
    </w:p>
    <w:p w14:paraId="6CED7F62" w14:textId="63435F94" w:rsidR="00EE432D" w:rsidRPr="00AB4DCC" w:rsidRDefault="00EE432D" w:rsidP="00EE432D">
      <w:pPr>
        <w:pStyle w:val="SingleTxtG"/>
        <w:ind w:left="2835" w:hanging="567"/>
        <w:rPr>
          <w:lang w:val="fr-FR"/>
        </w:rPr>
      </w:pPr>
      <w:r w:rsidRPr="00AB4DCC">
        <w:rPr>
          <w:lang w:val="fr-FR"/>
        </w:rPr>
        <w:t>b)</w:t>
      </w:r>
      <w:r w:rsidRPr="00AB4DCC">
        <w:rPr>
          <w:lang w:val="fr-FR"/>
        </w:rPr>
        <w:tab/>
        <w:t>Le véhicule peut subir une série de freinages destinés à assurer que le système de frein de service est calé avant l</w:t>
      </w:r>
      <w:r>
        <w:rPr>
          <w:lang w:val="fr-FR"/>
        </w:rPr>
        <w:t>’</w:t>
      </w:r>
      <w:r w:rsidRPr="00AB4DCC">
        <w:rPr>
          <w:lang w:val="fr-FR"/>
        </w:rPr>
        <w:t>essai</w:t>
      </w:r>
      <w:r w:rsidR="00DF7AA4" w:rsidRPr="00DF7AA4">
        <w:rPr>
          <w:lang w:val="fr-FR"/>
        </w:rPr>
        <w:t>.</w:t>
      </w:r>
    </w:p>
    <w:p w14:paraId="6E3CB8E0" w14:textId="382C8B44" w:rsidR="00EE432D" w:rsidRPr="00AB4DCC" w:rsidRDefault="00EE432D" w:rsidP="00EE432D">
      <w:pPr>
        <w:pStyle w:val="SingleTxtG"/>
        <w:ind w:left="2268"/>
        <w:rPr>
          <w:bCs/>
          <w:lang w:val="fr-FR"/>
        </w:rPr>
      </w:pPr>
      <w:r w:rsidRPr="00AB4DCC">
        <w:rPr>
          <w:lang w:val="fr-FR"/>
        </w:rPr>
        <w:t>Les détails de la stratégie de conditionnement demandée par le constructeur du véhicule doivent être précisés et consignés dans le dossier d</w:t>
      </w:r>
      <w:r>
        <w:rPr>
          <w:lang w:val="fr-FR"/>
        </w:rPr>
        <w:t>’</w:t>
      </w:r>
      <w:r w:rsidRPr="00AB4DCC">
        <w:rPr>
          <w:lang w:val="fr-FR"/>
        </w:rPr>
        <w:t>homologation de type du véhicule</w:t>
      </w:r>
      <w:r w:rsidR="00DF7AA4" w:rsidRPr="00DF7AA4">
        <w:rPr>
          <w:lang w:val="fr-FR"/>
        </w:rPr>
        <w:t>.</w:t>
      </w:r>
    </w:p>
    <w:p w14:paraId="2A8D6755" w14:textId="787890A7"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Pr>
          <w:lang w:val="fr-FR"/>
        </w:rPr>
        <w:t>3</w:t>
      </w:r>
      <w:r w:rsidR="00DF7AA4" w:rsidRPr="00DF7AA4">
        <w:rPr>
          <w:lang w:val="fr-FR"/>
        </w:rPr>
        <w:t>.</w:t>
      </w:r>
      <w:r w:rsidRPr="00AB4DCC">
        <w:rPr>
          <w:lang w:val="fr-FR"/>
        </w:rPr>
        <w:t>2</w:t>
      </w:r>
      <w:r w:rsidRPr="00AB4DCC">
        <w:rPr>
          <w:lang w:val="fr-FR"/>
        </w:rPr>
        <w:tab/>
        <w:t>Avant tout essai, il convient de s</w:t>
      </w:r>
      <w:r>
        <w:rPr>
          <w:lang w:val="fr-FR"/>
        </w:rPr>
        <w:t>’</w:t>
      </w:r>
      <w:r w:rsidRPr="00AB4DCC">
        <w:rPr>
          <w:lang w:val="fr-FR"/>
        </w:rPr>
        <w:t>assurer que le système ACPE est activé et prêt à fonctionner</w:t>
      </w:r>
      <w:r w:rsidR="00DF7AA4" w:rsidRPr="00DF7AA4">
        <w:rPr>
          <w:lang w:val="fr-FR"/>
        </w:rPr>
        <w:t>.</w:t>
      </w:r>
    </w:p>
    <w:p w14:paraId="0DC1E865" w14:textId="793E1AEF" w:rsidR="00EE432D" w:rsidRPr="00AB4DCC" w:rsidRDefault="00EE432D" w:rsidP="006F5732">
      <w:pPr>
        <w:pStyle w:val="SingleTxtG"/>
        <w:tabs>
          <w:tab w:val="clear" w:pos="1701"/>
        </w:tabs>
        <w:ind w:left="2268" w:hanging="1134"/>
        <w:rPr>
          <w:lang w:val="fr-FR"/>
        </w:rPr>
      </w:pPr>
      <w:r w:rsidRPr="00AB4DCC">
        <w:rPr>
          <w:lang w:val="fr-FR"/>
        </w:rPr>
        <w:t>6</w:t>
      </w:r>
      <w:r w:rsidR="00DF7AA4" w:rsidRPr="00DF7AA4">
        <w:rPr>
          <w:lang w:val="fr-FR"/>
        </w:rPr>
        <w:t>.</w:t>
      </w:r>
      <w:r>
        <w:rPr>
          <w:lang w:val="fr-FR"/>
        </w:rPr>
        <w:t>3</w:t>
      </w:r>
      <w:r w:rsidR="00DF7AA4" w:rsidRPr="00DF7AA4">
        <w:rPr>
          <w:lang w:val="fr-FR"/>
        </w:rPr>
        <w:t>.</w:t>
      </w:r>
      <w:r w:rsidRPr="00AB4DCC">
        <w:rPr>
          <w:lang w:val="fr-FR"/>
        </w:rPr>
        <w:t>3</w:t>
      </w:r>
      <w:r w:rsidRPr="00AB4DCC">
        <w:rPr>
          <w:lang w:val="fr-FR"/>
        </w:rPr>
        <w:tab/>
        <w:t>Masse du véhicule mis à l</w:t>
      </w:r>
      <w:r>
        <w:rPr>
          <w:lang w:val="fr-FR"/>
        </w:rPr>
        <w:t>’</w:t>
      </w:r>
      <w:r w:rsidRPr="00AB4DCC">
        <w:rPr>
          <w:lang w:val="fr-FR"/>
        </w:rPr>
        <w:t>essai</w:t>
      </w:r>
    </w:p>
    <w:p w14:paraId="62FD2D3A" w14:textId="77777777" w:rsidR="00EE432D" w:rsidRPr="00AB4DCC" w:rsidRDefault="00EE432D" w:rsidP="00EE432D">
      <w:pPr>
        <w:pStyle w:val="SingleTxtG"/>
        <w:ind w:left="2268"/>
        <w:rPr>
          <w:bCs/>
          <w:lang w:val="fr-FR"/>
        </w:rPr>
      </w:pPr>
      <w:r w:rsidRPr="00AB4DCC">
        <w:rPr>
          <w:lang w:val="fr-FR"/>
        </w:rPr>
        <w:t>Le véhicule doit être soumis à l</w:t>
      </w:r>
      <w:r>
        <w:rPr>
          <w:lang w:val="fr-FR"/>
        </w:rPr>
        <w:t>’</w:t>
      </w:r>
      <w:r w:rsidRPr="00AB4DCC">
        <w:rPr>
          <w:lang w:val="fr-FR"/>
        </w:rPr>
        <w:t>essai</w:t>
      </w:r>
      <w:r>
        <w:rPr>
          <w:lang w:val="fr-FR"/>
        </w:rPr>
        <w:t> :</w:t>
      </w:r>
    </w:p>
    <w:p w14:paraId="25BCEF4D" w14:textId="77777777" w:rsidR="00EE432D" w:rsidRPr="00AB4DCC" w:rsidRDefault="00EE432D" w:rsidP="00EE432D">
      <w:pPr>
        <w:pStyle w:val="SingleTxtG"/>
        <w:ind w:left="2835" w:hanging="567"/>
        <w:rPr>
          <w:bCs/>
          <w:lang w:val="fr-FR"/>
        </w:rPr>
      </w:pPr>
      <w:bookmarkStart w:id="10" w:name="_Hlk86222680"/>
      <w:r w:rsidRPr="00AB4DCC">
        <w:rPr>
          <w:lang w:val="fr-FR"/>
        </w:rPr>
        <w:t>a)</w:t>
      </w:r>
      <w:r w:rsidRPr="00AB4DCC">
        <w:rPr>
          <w:lang w:val="fr-FR"/>
        </w:rPr>
        <w:tab/>
        <w:t>À la masse minimale (masse du véhicule en ordre de marche avec une masse supplémentaire maximale de 125 kg)</w:t>
      </w:r>
      <w:r>
        <w:rPr>
          <w:lang w:val="fr-FR"/>
        </w:rPr>
        <w:t> ;</w:t>
      </w:r>
    </w:p>
    <w:bookmarkEnd w:id="10"/>
    <w:p w14:paraId="5C351FA8" w14:textId="044409B8" w:rsidR="00EE432D" w:rsidRPr="00AB4DCC" w:rsidRDefault="00EE432D" w:rsidP="00EE432D">
      <w:pPr>
        <w:pStyle w:val="SingleTxtG"/>
        <w:ind w:left="2835" w:hanging="567"/>
        <w:rPr>
          <w:lang w:val="fr-FR"/>
        </w:rPr>
      </w:pPr>
      <w:r w:rsidRPr="00AB4DCC">
        <w:rPr>
          <w:lang w:val="fr-FR"/>
        </w:rPr>
        <w:t>b)</w:t>
      </w:r>
      <w:r w:rsidRPr="00AB4DCC">
        <w:rPr>
          <w:lang w:val="fr-FR"/>
        </w:rPr>
        <w:tab/>
        <w:t>À toute autre masse allant jusqu</w:t>
      </w:r>
      <w:r>
        <w:rPr>
          <w:lang w:val="fr-FR"/>
        </w:rPr>
        <w:t>’</w:t>
      </w:r>
      <w:r w:rsidRPr="00AB4DCC">
        <w:rPr>
          <w:lang w:val="fr-FR"/>
        </w:rPr>
        <w:t>à la masse en charge maximale techniquement admissible telle que spécifiée par le constructeur, si le service technique le juge utile</w:t>
      </w:r>
      <w:r w:rsidR="00DF7AA4" w:rsidRPr="00DF7AA4">
        <w:rPr>
          <w:lang w:val="fr-FR"/>
        </w:rPr>
        <w:t>.</w:t>
      </w:r>
      <w:r w:rsidRPr="00AB4DCC">
        <w:rPr>
          <w:lang w:val="fr-FR"/>
        </w:rPr>
        <w:t xml:space="preserve"> Aucune modification ne doit être apportée une fois que l</w:t>
      </w:r>
      <w:r>
        <w:rPr>
          <w:lang w:val="fr-FR"/>
        </w:rPr>
        <w:t>’</w:t>
      </w:r>
      <w:r w:rsidRPr="00AB4DCC">
        <w:rPr>
          <w:lang w:val="fr-FR"/>
        </w:rPr>
        <w:t>essai a commencé</w:t>
      </w:r>
      <w:r w:rsidR="00DF7AA4" w:rsidRPr="00DF7AA4">
        <w:rPr>
          <w:lang w:val="fr-FR"/>
        </w:rPr>
        <w:t>.</w:t>
      </w:r>
    </w:p>
    <w:p w14:paraId="7D0C6331" w14:textId="3DD29E9A"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Pr>
          <w:lang w:val="fr-FR"/>
        </w:rPr>
        <w:t>4</w:t>
      </w:r>
      <w:r w:rsidRPr="00AB4DCC">
        <w:rPr>
          <w:lang w:val="fr-FR"/>
        </w:rPr>
        <w:tab/>
        <w:t>Cibles utilisées pour les essais</w:t>
      </w:r>
    </w:p>
    <w:p w14:paraId="5F4655F8" w14:textId="225D4B98" w:rsidR="00EE432D" w:rsidRPr="00AB4DCC" w:rsidRDefault="00EE432D" w:rsidP="006F5732">
      <w:pPr>
        <w:pStyle w:val="SingleTxtG"/>
        <w:tabs>
          <w:tab w:val="clear" w:pos="1701"/>
        </w:tabs>
        <w:ind w:left="2268" w:hanging="1134"/>
        <w:rPr>
          <w:color w:val="000000" w:themeColor="text1"/>
          <w:lang w:val="fr-FR"/>
        </w:rPr>
      </w:pPr>
      <w:r w:rsidRPr="00AB4DCC">
        <w:rPr>
          <w:lang w:val="fr-FR"/>
        </w:rPr>
        <w:t>6</w:t>
      </w:r>
      <w:r w:rsidR="00DF7AA4" w:rsidRPr="00DF7AA4">
        <w:rPr>
          <w:lang w:val="fr-FR"/>
        </w:rPr>
        <w:t>.</w:t>
      </w:r>
      <w:r>
        <w:rPr>
          <w:lang w:val="fr-FR"/>
        </w:rPr>
        <w:t>4</w:t>
      </w:r>
      <w:r w:rsidR="00DF7AA4" w:rsidRPr="00DF7AA4">
        <w:rPr>
          <w:lang w:val="fr-FR"/>
        </w:rPr>
        <w:t>.</w:t>
      </w:r>
      <w:r w:rsidRPr="00AB4DCC">
        <w:rPr>
          <w:lang w:val="fr-FR"/>
        </w:rPr>
        <w:t>1</w:t>
      </w:r>
      <w:r w:rsidRPr="00AB4DCC">
        <w:rPr>
          <w:lang w:val="fr-FR"/>
        </w:rPr>
        <w:tab/>
        <w:t>La cible utilisée pour les essais doit être une voiture particulière normale de la catégorie M</w:t>
      </w:r>
      <w:r w:rsidRPr="00AB4DCC">
        <w:rPr>
          <w:vertAlign w:val="subscript"/>
          <w:lang w:val="fr-FR"/>
        </w:rPr>
        <w:t>1</w:t>
      </w:r>
      <w:r w:rsidRPr="00AB4DCC">
        <w:rPr>
          <w:lang w:val="fr-FR"/>
        </w:rPr>
        <w:t xml:space="preserve"> produite en grande série ou, à défaut, une «</w:t>
      </w:r>
      <w:r>
        <w:rPr>
          <w:lang w:val="fr-FR"/>
        </w:rPr>
        <w:t> </w:t>
      </w:r>
      <w:r w:rsidRPr="00AB4DCC">
        <w:rPr>
          <w:lang w:val="fr-FR"/>
        </w:rPr>
        <w:t>cible non rigide</w:t>
      </w:r>
      <w:r>
        <w:rPr>
          <w:lang w:val="fr-FR"/>
        </w:rPr>
        <w:t> </w:t>
      </w:r>
      <w:r w:rsidRPr="00AB4DCC">
        <w:rPr>
          <w:lang w:val="fr-FR"/>
        </w:rPr>
        <w:t>» dont les caractéristiques d</w:t>
      </w:r>
      <w:r>
        <w:rPr>
          <w:lang w:val="fr-FR"/>
        </w:rPr>
        <w:t>’</w:t>
      </w:r>
      <w:r w:rsidRPr="00AB4DCC">
        <w:rPr>
          <w:lang w:val="fr-FR"/>
        </w:rPr>
        <w:t>identification applicables au système de capteurs du système ACPE soumis à l</w:t>
      </w:r>
      <w:r>
        <w:rPr>
          <w:lang w:val="fr-FR"/>
        </w:rPr>
        <w:t>’</w:t>
      </w:r>
      <w:r w:rsidRPr="00AB4DCC">
        <w:rPr>
          <w:lang w:val="fr-FR"/>
        </w:rPr>
        <w:t>essai conformément à la norme ISO 19206-1</w:t>
      </w:r>
      <w:r>
        <w:rPr>
          <w:lang w:val="fr-FR"/>
        </w:rPr>
        <w:t>:</w:t>
      </w:r>
      <w:r w:rsidRPr="00AB4DCC">
        <w:rPr>
          <w:lang w:val="fr-FR"/>
        </w:rPr>
        <w:t>2018 ou à la norme ISO 19206-3</w:t>
      </w:r>
      <w:r>
        <w:rPr>
          <w:lang w:val="fr-FR"/>
        </w:rPr>
        <w:t>:</w:t>
      </w:r>
      <w:r w:rsidRPr="00AB4DCC">
        <w:rPr>
          <w:lang w:val="fr-FR"/>
        </w:rPr>
        <w:t>2021, au choix du constructeur, sont représentatives d</w:t>
      </w:r>
      <w:r>
        <w:rPr>
          <w:lang w:val="fr-FR"/>
        </w:rPr>
        <w:t>’</w:t>
      </w:r>
      <w:r w:rsidRPr="00AB4DCC">
        <w:rPr>
          <w:lang w:val="fr-FR"/>
        </w:rPr>
        <w:t>un tel véhicule</w:t>
      </w:r>
      <w:r w:rsidR="00DF7AA4" w:rsidRPr="00DF7AA4">
        <w:rPr>
          <w:lang w:val="fr-FR"/>
        </w:rPr>
        <w:t>.</w:t>
      </w:r>
      <w:bookmarkStart w:id="11" w:name="OLE_LINK5"/>
      <w:bookmarkStart w:id="12" w:name="OLE_LINK13"/>
      <w:bookmarkEnd w:id="11"/>
      <w:bookmarkEnd w:id="12"/>
    </w:p>
    <w:p w14:paraId="285CFF02" w14:textId="10887C81" w:rsidR="00EE432D" w:rsidRPr="00AB4DCC" w:rsidRDefault="00EE432D" w:rsidP="006F5732">
      <w:pPr>
        <w:pStyle w:val="SingleTxtG"/>
        <w:tabs>
          <w:tab w:val="clear" w:pos="1701"/>
        </w:tabs>
        <w:ind w:left="2268" w:hanging="1134"/>
        <w:rPr>
          <w:bCs/>
          <w:lang w:val="fr-FR"/>
        </w:rPr>
      </w:pPr>
      <w:r w:rsidRPr="00AB4DCC">
        <w:rPr>
          <w:lang w:val="fr-FR"/>
        </w:rPr>
        <w:t>6</w:t>
      </w:r>
      <w:r w:rsidR="00DF7AA4" w:rsidRPr="00DF7AA4">
        <w:rPr>
          <w:lang w:val="fr-FR"/>
        </w:rPr>
        <w:t>.</w:t>
      </w:r>
      <w:r>
        <w:rPr>
          <w:lang w:val="fr-FR"/>
        </w:rPr>
        <w:t>5</w:t>
      </w:r>
      <w:r w:rsidRPr="00AB4DCC">
        <w:rPr>
          <w:lang w:val="fr-FR"/>
        </w:rPr>
        <w:tab/>
        <w:t>Essai de mauvais usage de la commande d</w:t>
      </w:r>
      <w:r>
        <w:rPr>
          <w:lang w:val="fr-FR"/>
        </w:rPr>
        <w:t>’</w:t>
      </w:r>
      <w:r w:rsidRPr="00AB4DCC">
        <w:rPr>
          <w:lang w:val="fr-FR"/>
        </w:rPr>
        <w:t>accélérateur</w:t>
      </w:r>
    </w:p>
    <w:p w14:paraId="12AFC97E" w14:textId="7C3181CA" w:rsidR="00EE432D" w:rsidRPr="00AB4DCC" w:rsidRDefault="00EE432D" w:rsidP="00EE432D">
      <w:pPr>
        <w:pStyle w:val="SingleTxtG"/>
        <w:ind w:left="2268"/>
        <w:rPr>
          <w:rFonts w:eastAsia="MS Gothic"/>
          <w:color w:val="000000" w:themeColor="text1"/>
          <w:lang w:val="fr-FR"/>
        </w:rPr>
      </w:pPr>
      <w:r w:rsidRPr="00AB4DCC">
        <w:rPr>
          <w:lang w:val="fr-FR"/>
        </w:rPr>
        <w:t>Le décalage latéral entre l</w:t>
      </w:r>
      <w:r>
        <w:rPr>
          <w:lang w:val="fr-FR"/>
        </w:rPr>
        <w:t>’</w:t>
      </w:r>
      <w:r w:rsidRPr="00AB4DCC">
        <w:rPr>
          <w:lang w:val="fr-FR"/>
        </w:rPr>
        <w:t>axe médian de la cible et celui du véhicule doit être compris entre 0,0 m et 0,2 m</w:t>
      </w:r>
      <w:r w:rsidR="00DF7AA4" w:rsidRPr="00DF7AA4">
        <w:rPr>
          <w:lang w:val="fr-FR"/>
        </w:rPr>
        <w:t>.</w:t>
      </w:r>
    </w:p>
    <w:p w14:paraId="7CD1B179" w14:textId="77777777" w:rsidR="00EE432D" w:rsidRPr="00AB4DCC" w:rsidRDefault="00EE432D" w:rsidP="00D24EF3">
      <w:pPr>
        <w:pStyle w:val="SingleTxtG"/>
        <w:keepNext/>
        <w:ind w:left="2268"/>
        <w:rPr>
          <w:color w:val="000000" w:themeColor="text1"/>
          <w:lang w:val="fr-FR"/>
        </w:rPr>
      </w:pPr>
      <w:r w:rsidRPr="00AB4DCC">
        <w:rPr>
          <w:lang w:val="fr-FR"/>
        </w:rPr>
        <w:lastRenderedPageBreak/>
        <w:t>La procédure d</w:t>
      </w:r>
      <w:r>
        <w:rPr>
          <w:lang w:val="fr-FR"/>
        </w:rPr>
        <w:t>’</w:t>
      </w:r>
      <w:r w:rsidRPr="00AB4DCC">
        <w:rPr>
          <w:lang w:val="fr-FR"/>
        </w:rPr>
        <w:t>essai est la suivante</w:t>
      </w:r>
      <w:r>
        <w:rPr>
          <w:lang w:val="fr-FR"/>
        </w:rPr>
        <w:t> :</w:t>
      </w:r>
    </w:p>
    <w:p w14:paraId="139272D5" w14:textId="314F079B" w:rsidR="00EE432D" w:rsidRPr="00AB4DCC" w:rsidRDefault="00EE432D" w:rsidP="00EE432D">
      <w:pPr>
        <w:pStyle w:val="SingleTxtG"/>
        <w:ind w:left="2268"/>
        <w:rPr>
          <w:color w:val="000000" w:themeColor="text1"/>
          <w:lang w:val="fr-FR"/>
        </w:rPr>
      </w:pPr>
      <w:r w:rsidRPr="00AB4DCC">
        <w:rPr>
          <w:lang w:val="fr-FR"/>
        </w:rPr>
        <w:t>L</w:t>
      </w:r>
      <w:r>
        <w:rPr>
          <w:lang w:val="fr-FR"/>
        </w:rPr>
        <w:t>’</w:t>
      </w:r>
      <w:r w:rsidRPr="00AB4DCC">
        <w:rPr>
          <w:lang w:val="fr-FR"/>
        </w:rPr>
        <w:t>essai doit être réalisé avec et sans intervention prévue du système ACPE, en marche avant et en marche arrière, et au moins à une distance de 1,0 m (tolérance de +0,1 m) et de 1,5 m (tolérance de -0,1 m) de la position cible au début de l</w:t>
      </w:r>
      <w:r>
        <w:rPr>
          <w:lang w:val="fr-FR"/>
        </w:rPr>
        <w:t>’</w:t>
      </w:r>
      <w:r w:rsidRPr="00AB4DCC">
        <w:rPr>
          <w:lang w:val="fr-FR"/>
        </w:rPr>
        <w:t>essai (comme indiqué dans le tableau 1)</w:t>
      </w:r>
      <w:r w:rsidR="00DF7AA4" w:rsidRPr="00DF7AA4">
        <w:rPr>
          <w:lang w:val="fr-FR"/>
        </w:rPr>
        <w:t>.</w:t>
      </w:r>
    </w:p>
    <w:p w14:paraId="744C233A" w14:textId="77777777" w:rsidR="00EE432D" w:rsidRPr="00AB4DCC" w:rsidRDefault="00EE432D" w:rsidP="00EE432D">
      <w:pPr>
        <w:pStyle w:val="Titre1"/>
        <w:rPr>
          <w:lang w:val="fr-FR"/>
        </w:rPr>
      </w:pPr>
      <w:r w:rsidRPr="00AB4DCC">
        <w:rPr>
          <w:lang w:val="fr-FR"/>
        </w:rPr>
        <w:t>Tableau 1</w:t>
      </w:r>
    </w:p>
    <w:p w14:paraId="27F05DB6" w14:textId="77777777" w:rsidR="00EE432D" w:rsidRPr="00714C7B" w:rsidRDefault="00EE432D" w:rsidP="00EE432D">
      <w:pPr>
        <w:pStyle w:val="SingleTxtG"/>
        <w:keepNext/>
        <w:jc w:val="left"/>
        <w:rPr>
          <w:b/>
          <w:bCs/>
          <w:color w:val="000000" w:themeColor="text1"/>
          <w:lang w:val="fr-FR"/>
        </w:rPr>
      </w:pPr>
      <w:r w:rsidRPr="00714C7B">
        <w:rPr>
          <w:b/>
          <w:bCs/>
          <w:lang w:val="fr-FR"/>
        </w:rPr>
        <w:t>Conditions d</w:t>
      </w:r>
      <w:r>
        <w:rPr>
          <w:b/>
          <w:bCs/>
          <w:lang w:val="fr-FR"/>
        </w:rPr>
        <w:t>’</w:t>
      </w:r>
      <w:r w:rsidRPr="00714C7B">
        <w:rPr>
          <w:b/>
          <w:bCs/>
          <w:lang w:val="fr-FR"/>
        </w:rPr>
        <w:t>essai</w:t>
      </w:r>
    </w:p>
    <w:tbl>
      <w:tblPr>
        <w:tblW w:w="8504" w:type="dxa"/>
        <w:tblInd w:w="1134" w:type="dxa"/>
        <w:tblLayout w:type="fixed"/>
        <w:tblCellMar>
          <w:left w:w="0" w:type="dxa"/>
          <w:right w:w="0" w:type="dxa"/>
        </w:tblCellMar>
        <w:tblLook w:val="04A0" w:firstRow="1" w:lastRow="0" w:firstColumn="1" w:lastColumn="0" w:noHBand="0" w:noVBand="1"/>
      </w:tblPr>
      <w:tblGrid>
        <w:gridCol w:w="1636"/>
        <w:gridCol w:w="2050"/>
        <w:gridCol w:w="1843"/>
        <w:gridCol w:w="1559"/>
        <w:gridCol w:w="1416"/>
      </w:tblGrid>
      <w:tr w:rsidR="00EE432D" w:rsidRPr="00714C7B" w14:paraId="21C2C71E" w14:textId="77777777" w:rsidTr="00BC160F">
        <w:trPr>
          <w:tblHeader/>
        </w:trPr>
        <w:tc>
          <w:tcPr>
            <w:tcW w:w="1636" w:type="dxa"/>
            <w:tcBorders>
              <w:top w:val="single" w:sz="4" w:space="0" w:color="auto"/>
              <w:bottom w:val="single" w:sz="12" w:space="0" w:color="auto"/>
            </w:tcBorders>
            <w:shd w:val="clear" w:color="auto" w:fill="auto"/>
            <w:vAlign w:val="bottom"/>
          </w:tcPr>
          <w:p w14:paraId="4B47C97C" w14:textId="77777777" w:rsidR="00EE432D" w:rsidRPr="00714C7B" w:rsidRDefault="00EE432D" w:rsidP="00BC160F">
            <w:pPr>
              <w:suppressAutoHyphens w:val="0"/>
              <w:spacing w:before="80" w:after="80" w:line="200" w:lineRule="exact"/>
              <w:rPr>
                <w:i/>
                <w:sz w:val="16"/>
                <w:lang w:val="fr-FR"/>
              </w:rPr>
            </w:pPr>
            <w:bookmarkStart w:id="13" w:name="_Hlk160096596"/>
            <w:r w:rsidRPr="00714C7B">
              <w:rPr>
                <w:i/>
                <w:sz w:val="16"/>
                <w:lang w:val="fr-FR"/>
              </w:rPr>
              <w:t>Sens de la marche</w:t>
            </w:r>
          </w:p>
        </w:tc>
        <w:tc>
          <w:tcPr>
            <w:tcW w:w="2050" w:type="dxa"/>
            <w:tcBorders>
              <w:top w:val="single" w:sz="4" w:space="0" w:color="auto"/>
              <w:bottom w:val="single" w:sz="12" w:space="0" w:color="auto"/>
            </w:tcBorders>
            <w:shd w:val="clear" w:color="auto" w:fill="auto"/>
            <w:vAlign w:val="bottom"/>
          </w:tcPr>
          <w:p w14:paraId="1C0986FF" w14:textId="77777777" w:rsidR="00EE432D" w:rsidRPr="00714C7B" w:rsidRDefault="00EE432D" w:rsidP="00BC160F">
            <w:pPr>
              <w:suppressAutoHyphens w:val="0"/>
              <w:spacing w:before="80" w:after="80" w:line="200" w:lineRule="exact"/>
              <w:jc w:val="right"/>
              <w:rPr>
                <w:i/>
                <w:sz w:val="16"/>
                <w:lang w:val="fr-FR"/>
              </w:rPr>
            </w:pPr>
            <w:r w:rsidRPr="00714C7B">
              <w:rPr>
                <w:i/>
                <w:sz w:val="16"/>
                <w:lang w:val="fr-FR"/>
              </w:rPr>
              <w:t xml:space="preserve">Distance par rapport </w:t>
            </w:r>
            <w:r>
              <w:rPr>
                <w:i/>
                <w:sz w:val="16"/>
                <w:lang w:val="fr-FR"/>
              </w:rPr>
              <w:br/>
            </w:r>
            <w:r w:rsidRPr="00714C7B">
              <w:rPr>
                <w:i/>
                <w:sz w:val="16"/>
                <w:lang w:val="fr-FR"/>
              </w:rPr>
              <w:t>à la cible /</w:t>
            </w:r>
            <w:r w:rsidRPr="00714C7B">
              <w:rPr>
                <w:i/>
                <w:sz w:val="16"/>
                <w:lang w:val="fr-FR"/>
              </w:rPr>
              <w:br/>
              <w:t>Distance par rapport au point de mesure de la vitesse</w:t>
            </w:r>
            <w:r w:rsidRPr="00714C7B">
              <w:rPr>
                <w:i/>
                <w:sz w:val="16"/>
                <w:lang w:val="fr-FR"/>
              </w:rPr>
              <w:br/>
              <w:t>(m)</w:t>
            </w:r>
          </w:p>
        </w:tc>
        <w:tc>
          <w:tcPr>
            <w:tcW w:w="1843" w:type="dxa"/>
            <w:tcBorders>
              <w:top w:val="single" w:sz="4" w:space="0" w:color="auto"/>
              <w:bottom w:val="single" w:sz="12" w:space="0" w:color="auto"/>
            </w:tcBorders>
            <w:shd w:val="clear" w:color="auto" w:fill="auto"/>
            <w:vAlign w:val="bottom"/>
          </w:tcPr>
          <w:p w14:paraId="348C9C29" w14:textId="77777777" w:rsidR="00EE432D" w:rsidRPr="00714C7B" w:rsidRDefault="00EE432D" w:rsidP="00BC160F">
            <w:pPr>
              <w:suppressAutoHyphens w:val="0"/>
              <w:spacing w:before="80" w:after="80" w:line="200" w:lineRule="exact"/>
              <w:jc w:val="right"/>
              <w:rPr>
                <w:i/>
                <w:sz w:val="16"/>
                <w:lang w:val="fr-FR"/>
              </w:rPr>
            </w:pPr>
            <w:r w:rsidRPr="00714C7B">
              <w:rPr>
                <w:i/>
                <w:sz w:val="16"/>
                <w:lang w:val="fr-FR"/>
              </w:rPr>
              <w:t>Tolérance concernant</w:t>
            </w:r>
            <w:r>
              <w:rPr>
                <w:i/>
                <w:sz w:val="16"/>
                <w:lang w:val="fr-FR"/>
              </w:rPr>
              <w:br/>
            </w:r>
            <w:r w:rsidRPr="00714C7B">
              <w:rPr>
                <w:i/>
                <w:sz w:val="16"/>
                <w:lang w:val="fr-FR"/>
              </w:rPr>
              <w:t>la distance longitudinale</w:t>
            </w:r>
            <w:r w:rsidRPr="00714C7B">
              <w:rPr>
                <w:i/>
                <w:sz w:val="16"/>
                <w:lang w:val="fr-FR"/>
              </w:rPr>
              <w:br/>
              <w:t>(m)</w:t>
            </w:r>
          </w:p>
        </w:tc>
        <w:tc>
          <w:tcPr>
            <w:tcW w:w="1559" w:type="dxa"/>
            <w:tcBorders>
              <w:top w:val="single" w:sz="4" w:space="0" w:color="auto"/>
              <w:bottom w:val="single" w:sz="12" w:space="0" w:color="auto"/>
            </w:tcBorders>
            <w:shd w:val="clear" w:color="auto" w:fill="auto"/>
            <w:vAlign w:val="bottom"/>
          </w:tcPr>
          <w:p w14:paraId="114F9B3A" w14:textId="77777777" w:rsidR="00EE432D" w:rsidRPr="00714C7B" w:rsidRDefault="00EE432D" w:rsidP="00BC160F">
            <w:pPr>
              <w:suppressAutoHyphens w:val="0"/>
              <w:spacing w:before="80" w:after="80" w:line="200" w:lineRule="exact"/>
              <w:jc w:val="right"/>
              <w:rPr>
                <w:i/>
                <w:sz w:val="16"/>
                <w:lang w:val="fr-FR"/>
              </w:rPr>
            </w:pPr>
            <w:r w:rsidRPr="00714C7B">
              <w:rPr>
                <w:i/>
                <w:sz w:val="16"/>
                <w:lang w:val="fr-FR"/>
              </w:rPr>
              <w:t>Tolérance concernant la distance latérale (décalage)</w:t>
            </w:r>
            <w:r w:rsidRPr="00714C7B">
              <w:rPr>
                <w:i/>
                <w:sz w:val="16"/>
                <w:lang w:val="fr-FR"/>
              </w:rPr>
              <w:br/>
              <w:t>(m)</w:t>
            </w:r>
          </w:p>
        </w:tc>
        <w:tc>
          <w:tcPr>
            <w:tcW w:w="1416" w:type="dxa"/>
            <w:tcBorders>
              <w:top w:val="single" w:sz="4" w:space="0" w:color="auto"/>
              <w:bottom w:val="single" w:sz="12" w:space="0" w:color="auto"/>
            </w:tcBorders>
            <w:shd w:val="clear" w:color="auto" w:fill="auto"/>
            <w:vAlign w:val="bottom"/>
          </w:tcPr>
          <w:p w14:paraId="3602BABD" w14:textId="52296850" w:rsidR="00EE432D" w:rsidRPr="00714C7B" w:rsidRDefault="00EE432D" w:rsidP="00BC160F">
            <w:pPr>
              <w:suppressAutoHyphens w:val="0"/>
              <w:spacing w:before="80" w:after="80" w:line="200" w:lineRule="exact"/>
              <w:jc w:val="right"/>
              <w:rPr>
                <w:i/>
                <w:sz w:val="16"/>
                <w:lang w:val="fr-FR"/>
              </w:rPr>
            </w:pPr>
            <w:r w:rsidRPr="00714C7B">
              <w:rPr>
                <w:i/>
                <w:sz w:val="16"/>
                <w:lang w:val="fr-FR"/>
              </w:rPr>
              <w:t xml:space="preserve">Présence </w:t>
            </w:r>
            <w:r w:rsidR="006F5732">
              <w:rPr>
                <w:i/>
                <w:sz w:val="16"/>
                <w:lang w:val="fr-FR"/>
              </w:rPr>
              <w:br/>
            </w:r>
            <w:r w:rsidRPr="00714C7B">
              <w:rPr>
                <w:i/>
                <w:sz w:val="16"/>
                <w:lang w:val="fr-FR"/>
              </w:rPr>
              <w:t>de la cible</w:t>
            </w:r>
          </w:p>
        </w:tc>
      </w:tr>
      <w:tr w:rsidR="00EE432D" w:rsidRPr="00714C7B" w14:paraId="7571F481" w14:textId="77777777" w:rsidTr="00BC160F">
        <w:tc>
          <w:tcPr>
            <w:tcW w:w="1636" w:type="dxa"/>
            <w:tcBorders>
              <w:top w:val="single" w:sz="12" w:space="0" w:color="auto"/>
            </w:tcBorders>
            <w:shd w:val="clear" w:color="auto" w:fill="auto"/>
          </w:tcPr>
          <w:p w14:paraId="485D974D" w14:textId="77777777" w:rsidR="00EE432D" w:rsidRPr="00714C7B" w:rsidRDefault="00EE432D" w:rsidP="00BC160F">
            <w:pPr>
              <w:suppressAutoHyphens w:val="0"/>
              <w:spacing w:before="40" w:after="40" w:line="220" w:lineRule="exact"/>
              <w:rPr>
                <w:sz w:val="18"/>
                <w:lang w:val="fr-FR"/>
              </w:rPr>
            </w:pPr>
            <w:r w:rsidRPr="00714C7B">
              <w:rPr>
                <w:sz w:val="18"/>
                <w:lang w:val="fr-FR"/>
              </w:rPr>
              <w:t>Marche avant</w:t>
            </w:r>
          </w:p>
        </w:tc>
        <w:tc>
          <w:tcPr>
            <w:tcW w:w="2050" w:type="dxa"/>
            <w:tcBorders>
              <w:top w:val="single" w:sz="12" w:space="0" w:color="auto"/>
            </w:tcBorders>
            <w:shd w:val="clear" w:color="auto" w:fill="auto"/>
            <w:vAlign w:val="bottom"/>
          </w:tcPr>
          <w:p w14:paraId="498230CD"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1,0</w:t>
            </w:r>
          </w:p>
        </w:tc>
        <w:tc>
          <w:tcPr>
            <w:tcW w:w="1843" w:type="dxa"/>
            <w:tcBorders>
              <w:top w:val="single" w:sz="12" w:space="0" w:color="auto"/>
            </w:tcBorders>
            <w:shd w:val="clear" w:color="auto" w:fill="auto"/>
            <w:vAlign w:val="bottom"/>
          </w:tcPr>
          <w:p w14:paraId="2296FB6C"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+ 0,1</w:t>
            </w:r>
          </w:p>
        </w:tc>
        <w:tc>
          <w:tcPr>
            <w:tcW w:w="1559" w:type="dxa"/>
            <w:tcBorders>
              <w:top w:val="single" w:sz="12" w:space="0" w:color="auto"/>
            </w:tcBorders>
            <w:shd w:val="clear" w:color="auto" w:fill="auto"/>
            <w:vAlign w:val="bottom"/>
          </w:tcPr>
          <w:p w14:paraId="153814A3"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+/-0,2</w:t>
            </w:r>
          </w:p>
        </w:tc>
        <w:tc>
          <w:tcPr>
            <w:tcW w:w="1416" w:type="dxa"/>
            <w:tcBorders>
              <w:top w:val="single" w:sz="12" w:space="0" w:color="auto"/>
            </w:tcBorders>
            <w:shd w:val="clear" w:color="auto" w:fill="auto"/>
            <w:vAlign w:val="bottom"/>
          </w:tcPr>
          <w:p w14:paraId="237C5FBF"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 xml:space="preserve">Oui </w:t>
            </w:r>
          </w:p>
        </w:tc>
      </w:tr>
      <w:tr w:rsidR="00EE432D" w:rsidRPr="00714C7B" w14:paraId="0450313F" w14:textId="77777777" w:rsidTr="00BC160F">
        <w:tc>
          <w:tcPr>
            <w:tcW w:w="1636" w:type="dxa"/>
            <w:shd w:val="clear" w:color="auto" w:fill="auto"/>
          </w:tcPr>
          <w:p w14:paraId="2FBDFC10" w14:textId="77777777" w:rsidR="00EE432D" w:rsidRPr="00714C7B" w:rsidRDefault="00EE432D" w:rsidP="00BC160F">
            <w:pPr>
              <w:suppressAutoHyphens w:val="0"/>
              <w:spacing w:before="40" w:after="40" w:line="220" w:lineRule="exact"/>
              <w:rPr>
                <w:sz w:val="18"/>
                <w:lang w:val="fr-FR"/>
              </w:rPr>
            </w:pPr>
            <w:r w:rsidRPr="00714C7B">
              <w:rPr>
                <w:sz w:val="18"/>
                <w:lang w:val="fr-FR"/>
              </w:rPr>
              <w:t>Marche avant</w:t>
            </w:r>
          </w:p>
        </w:tc>
        <w:tc>
          <w:tcPr>
            <w:tcW w:w="2050" w:type="dxa"/>
            <w:shd w:val="clear" w:color="auto" w:fill="auto"/>
            <w:vAlign w:val="bottom"/>
          </w:tcPr>
          <w:p w14:paraId="267BCDC0"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1,0</w:t>
            </w:r>
          </w:p>
        </w:tc>
        <w:tc>
          <w:tcPr>
            <w:tcW w:w="1843" w:type="dxa"/>
            <w:shd w:val="clear" w:color="auto" w:fill="auto"/>
            <w:vAlign w:val="bottom"/>
          </w:tcPr>
          <w:p w14:paraId="769113B7"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+ 0,1</w:t>
            </w:r>
          </w:p>
        </w:tc>
        <w:tc>
          <w:tcPr>
            <w:tcW w:w="1559" w:type="dxa"/>
            <w:shd w:val="clear" w:color="auto" w:fill="auto"/>
            <w:vAlign w:val="bottom"/>
          </w:tcPr>
          <w:p w14:paraId="36AE52EF" w14:textId="1BB08B62" w:rsidR="00EE432D" w:rsidRPr="00714C7B" w:rsidRDefault="00EE432D" w:rsidP="00BC160F">
            <w:pPr>
              <w:suppressAutoHyphens w:val="0"/>
              <w:spacing w:before="40" w:after="40" w:line="220" w:lineRule="exact"/>
              <w:jc w:val="right"/>
              <w:rPr>
                <w:sz w:val="18"/>
                <w:lang w:val="fr-FR"/>
              </w:rPr>
            </w:pPr>
            <w:proofErr w:type="spellStart"/>
            <w:r w:rsidRPr="00714C7B">
              <w:rPr>
                <w:sz w:val="18"/>
                <w:lang w:val="fr-FR"/>
              </w:rPr>
              <w:t>s</w:t>
            </w:r>
            <w:r w:rsidR="00DF7AA4" w:rsidRPr="00DF7AA4">
              <w:rPr>
                <w:sz w:val="18"/>
                <w:lang w:val="fr-FR"/>
              </w:rPr>
              <w:t>.</w:t>
            </w:r>
            <w:r w:rsidRPr="00714C7B">
              <w:rPr>
                <w:sz w:val="18"/>
                <w:lang w:val="fr-FR"/>
              </w:rPr>
              <w:t>o</w:t>
            </w:r>
            <w:proofErr w:type="spellEnd"/>
            <w:r w:rsidR="00DF7AA4" w:rsidRPr="00DF7AA4">
              <w:rPr>
                <w:sz w:val="18"/>
                <w:lang w:val="fr-FR"/>
              </w:rPr>
              <w:t>.</w:t>
            </w:r>
          </w:p>
        </w:tc>
        <w:tc>
          <w:tcPr>
            <w:tcW w:w="1416" w:type="dxa"/>
            <w:shd w:val="clear" w:color="auto" w:fill="auto"/>
            <w:vAlign w:val="bottom"/>
          </w:tcPr>
          <w:p w14:paraId="58B0739D"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Non*</w:t>
            </w:r>
          </w:p>
        </w:tc>
      </w:tr>
      <w:tr w:rsidR="00EE432D" w:rsidRPr="00714C7B" w14:paraId="088EC06E" w14:textId="77777777" w:rsidTr="00BC160F">
        <w:tc>
          <w:tcPr>
            <w:tcW w:w="1636" w:type="dxa"/>
            <w:shd w:val="clear" w:color="auto" w:fill="auto"/>
          </w:tcPr>
          <w:p w14:paraId="137DDDE2" w14:textId="77777777" w:rsidR="00EE432D" w:rsidRPr="00714C7B" w:rsidRDefault="00EE432D" w:rsidP="00BC160F">
            <w:pPr>
              <w:suppressAutoHyphens w:val="0"/>
              <w:spacing w:before="40" w:after="40" w:line="220" w:lineRule="exact"/>
              <w:rPr>
                <w:sz w:val="18"/>
                <w:lang w:val="fr-FR"/>
              </w:rPr>
            </w:pPr>
            <w:r w:rsidRPr="00714C7B">
              <w:rPr>
                <w:sz w:val="18"/>
                <w:lang w:val="fr-FR"/>
              </w:rPr>
              <w:t>Marche avant</w:t>
            </w:r>
          </w:p>
        </w:tc>
        <w:tc>
          <w:tcPr>
            <w:tcW w:w="2050" w:type="dxa"/>
            <w:shd w:val="clear" w:color="auto" w:fill="auto"/>
            <w:vAlign w:val="bottom"/>
          </w:tcPr>
          <w:p w14:paraId="5EB5F015"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1,5</w:t>
            </w:r>
          </w:p>
        </w:tc>
        <w:tc>
          <w:tcPr>
            <w:tcW w:w="1843" w:type="dxa"/>
            <w:shd w:val="clear" w:color="auto" w:fill="auto"/>
            <w:vAlign w:val="bottom"/>
          </w:tcPr>
          <w:p w14:paraId="04C82C53"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-0,1</w:t>
            </w:r>
          </w:p>
        </w:tc>
        <w:tc>
          <w:tcPr>
            <w:tcW w:w="1559" w:type="dxa"/>
            <w:shd w:val="clear" w:color="auto" w:fill="auto"/>
            <w:vAlign w:val="bottom"/>
          </w:tcPr>
          <w:p w14:paraId="0E5925B3"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+/-0,2</w:t>
            </w:r>
          </w:p>
        </w:tc>
        <w:tc>
          <w:tcPr>
            <w:tcW w:w="1416" w:type="dxa"/>
            <w:shd w:val="clear" w:color="auto" w:fill="auto"/>
            <w:vAlign w:val="bottom"/>
          </w:tcPr>
          <w:p w14:paraId="0D080AB0"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 xml:space="preserve">Oui </w:t>
            </w:r>
          </w:p>
        </w:tc>
      </w:tr>
      <w:tr w:rsidR="00EE432D" w:rsidRPr="00714C7B" w14:paraId="5A25364D" w14:textId="77777777" w:rsidTr="00BC160F">
        <w:tc>
          <w:tcPr>
            <w:tcW w:w="1636" w:type="dxa"/>
            <w:shd w:val="clear" w:color="auto" w:fill="auto"/>
          </w:tcPr>
          <w:p w14:paraId="6779022B" w14:textId="77777777" w:rsidR="00EE432D" w:rsidRPr="00714C7B" w:rsidRDefault="00EE432D" w:rsidP="00BC160F">
            <w:pPr>
              <w:suppressAutoHyphens w:val="0"/>
              <w:spacing w:before="40" w:after="40" w:line="220" w:lineRule="exact"/>
              <w:rPr>
                <w:sz w:val="18"/>
                <w:lang w:val="fr-FR"/>
              </w:rPr>
            </w:pPr>
            <w:r w:rsidRPr="00714C7B">
              <w:rPr>
                <w:sz w:val="18"/>
                <w:lang w:val="fr-FR"/>
              </w:rPr>
              <w:t>Marche avant</w:t>
            </w:r>
          </w:p>
        </w:tc>
        <w:tc>
          <w:tcPr>
            <w:tcW w:w="2050" w:type="dxa"/>
            <w:shd w:val="clear" w:color="auto" w:fill="auto"/>
            <w:vAlign w:val="bottom"/>
          </w:tcPr>
          <w:p w14:paraId="28550D08"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1,5</w:t>
            </w:r>
          </w:p>
        </w:tc>
        <w:tc>
          <w:tcPr>
            <w:tcW w:w="1843" w:type="dxa"/>
            <w:shd w:val="clear" w:color="auto" w:fill="auto"/>
            <w:vAlign w:val="bottom"/>
          </w:tcPr>
          <w:p w14:paraId="61E1A47A"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-0,1</w:t>
            </w:r>
          </w:p>
        </w:tc>
        <w:tc>
          <w:tcPr>
            <w:tcW w:w="1559" w:type="dxa"/>
            <w:shd w:val="clear" w:color="auto" w:fill="auto"/>
            <w:vAlign w:val="bottom"/>
          </w:tcPr>
          <w:p w14:paraId="286FBB7B" w14:textId="321C1B10" w:rsidR="00EE432D" w:rsidRPr="00714C7B" w:rsidRDefault="00EE432D" w:rsidP="00BC160F">
            <w:pPr>
              <w:suppressAutoHyphens w:val="0"/>
              <w:spacing w:before="40" w:after="40" w:line="220" w:lineRule="exact"/>
              <w:jc w:val="right"/>
              <w:rPr>
                <w:sz w:val="18"/>
                <w:lang w:val="fr-FR"/>
              </w:rPr>
            </w:pPr>
            <w:proofErr w:type="spellStart"/>
            <w:r w:rsidRPr="00714C7B">
              <w:rPr>
                <w:sz w:val="18"/>
                <w:lang w:val="fr-FR"/>
              </w:rPr>
              <w:t>s</w:t>
            </w:r>
            <w:r w:rsidR="00DF7AA4" w:rsidRPr="00DF7AA4">
              <w:rPr>
                <w:sz w:val="18"/>
                <w:lang w:val="fr-FR"/>
              </w:rPr>
              <w:t>.</w:t>
            </w:r>
            <w:r w:rsidRPr="00714C7B">
              <w:rPr>
                <w:sz w:val="18"/>
                <w:lang w:val="fr-FR"/>
              </w:rPr>
              <w:t>o</w:t>
            </w:r>
            <w:proofErr w:type="spellEnd"/>
            <w:r w:rsidR="00DF7AA4" w:rsidRPr="00DF7AA4">
              <w:rPr>
                <w:sz w:val="18"/>
                <w:lang w:val="fr-FR"/>
              </w:rPr>
              <w:t>.</w:t>
            </w:r>
          </w:p>
        </w:tc>
        <w:tc>
          <w:tcPr>
            <w:tcW w:w="1416" w:type="dxa"/>
            <w:shd w:val="clear" w:color="auto" w:fill="auto"/>
            <w:vAlign w:val="bottom"/>
          </w:tcPr>
          <w:p w14:paraId="61782B62"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Non*</w:t>
            </w:r>
          </w:p>
        </w:tc>
      </w:tr>
      <w:tr w:rsidR="00EE432D" w:rsidRPr="00714C7B" w14:paraId="2B03A7DB" w14:textId="77777777" w:rsidTr="00BC160F">
        <w:tc>
          <w:tcPr>
            <w:tcW w:w="1636" w:type="dxa"/>
            <w:shd w:val="clear" w:color="auto" w:fill="auto"/>
          </w:tcPr>
          <w:p w14:paraId="60A110CC" w14:textId="77777777" w:rsidR="00EE432D" w:rsidRPr="00714C7B" w:rsidRDefault="00EE432D" w:rsidP="00BC160F">
            <w:pPr>
              <w:suppressAutoHyphens w:val="0"/>
              <w:spacing w:before="40" w:after="40" w:line="220" w:lineRule="exact"/>
              <w:rPr>
                <w:sz w:val="18"/>
                <w:lang w:val="fr-FR"/>
              </w:rPr>
            </w:pPr>
            <w:r w:rsidRPr="00714C7B">
              <w:rPr>
                <w:sz w:val="18"/>
                <w:lang w:val="fr-FR"/>
              </w:rPr>
              <w:t xml:space="preserve">Marche arrière </w:t>
            </w:r>
          </w:p>
        </w:tc>
        <w:tc>
          <w:tcPr>
            <w:tcW w:w="2050" w:type="dxa"/>
            <w:shd w:val="clear" w:color="auto" w:fill="auto"/>
            <w:vAlign w:val="bottom"/>
          </w:tcPr>
          <w:p w14:paraId="1E0E405F"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1,0</w:t>
            </w:r>
          </w:p>
        </w:tc>
        <w:tc>
          <w:tcPr>
            <w:tcW w:w="1843" w:type="dxa"/>
            <w:shd w:val="clear" w:color="auto" w:fill="auto"/>
            <w:vAlign w:val="bottom"/>
          </w:tcPr>
          <w:p w14:paraId="23C84352"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+ 0,1</w:t>
            </w:r>
          </w:p>
        </w:tc>
        <w:tc>
          <w:tcPr>
            <w:tcW w:w="1559" w:type="dxa"/>
            <w:shd w:val="clear" w:color="auto" w:fill="auto"/>
            <w:vAlign w:val="bottom"/>
          </w:tcPr>
          <w:p w14:paraId="54CB6D37"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+/-0,2</w:t>
            </w:r>
          </w:p>
        </w:tc>
        <w:tc>
          <w:tcPr>
            <w:tcW w:w="1416" w:type="dxa"/>
            <w:shd w:val="clear" w:color="auto" w:fill="auto"/>
            <w:vAlign w:val="bottom"/>
          </w:tcPr>
          <w:p w14:paraId="1B29BB50"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 xml:space="preserve">Oui </w:t>
            </w:r>
          </w:p>
        </w:tc>
      </w:tr>
      <w:tr w:rsidR="00EE432D" w:rsidRPr="00714C7B" w14:paraId="097F0DDF" w14:textId="77777777" w:rsidTr="00BC160F">
        <w:tc>
          <w:tcPr>
            <w:tcW w:w="1636" w:type="dxa"/>
            <w:shd w:val="clear" w:color="auto" w:fill="auto"/>
          </w:tcPr>
          <w:p w14:paraId="464B5473" w14:textId="77777777" w:rsidR="00EE432D" w:rsidRPr="00714C7B" w:rsidRDefault="00EE432D" w:rsidP="00BC160F">
            <w:pPr>
              <w:suppressAutoHyphens w:val="0"/>
              <w:spacing w:before="40" w:after="40" w:line="220" w:lineRule="exact"/>
              <w:rPr>
                <w:sz w:val="18"/>
                <w:lang w:val="fr-FR"/>
              </w:rPr>
            </w:pPr>
            <w:r w:rsidRPr="00714C7B">
              <w:rPr>
                <w:sz w:val="18"/>
                <w:lang w:val="fr-FR"/>
              </w:rPr>
              <w:t>Marche arrière</w:t>
            </w:r>
          </w:p>
        </w:tc>
        <w:tc>
          <w:tcPr>
            <w:tcW w:w="2050" w:type="dxa"/>
            <w:shd w:val="clear" w:color="auto" w:fill="auto"/>
            <w:vAlign w:val="bottom"/>
          </w:tcPr>
          <w:p w14:paraId="52F39C17"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1,0</w:t>
            </w:r>
          </w:p>
        </w:tc>
        <w:tc>
          <w:tcPr>
            <w:tcW w:w="1843" w:type="dxa"/>
            <w:shd w:val="clear" w:color="auto" w:fill="auto"/>
            <w:vAlign w:val="bottom"/>
          </w:tcPr>
          <w:p w14:paraId="66B7EFCD"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+ 0,1</w:t>
            </w:r>
          </w:p>
        </w:tc>
        <w:tc>
          <w:tcPr>
            <w:tcW w:w="1559" w:type="dxa"/>
            <w:shd w:val="clear" w:color="auto" w:fill="auto"/>
            <w:vAlign w:val="bottom"/>
          </w:tcPr>
          <w:p w14:paraId="39777652" w14:textId="4EE61867" w:rsidR="00EE432D" w:rsidRPr="00714C7B" w:rsidRDefault="00EE432D" w:rsidP="00BC160F">
            <w:pPr>
              <w:suppressAutoHyphens w:val="0"/>
              <w:spacing w:before="40" w:after="40" w:line="220" w:lineRule="exact"/>
              <w:jc w:val="right"/>
              <w:rPr>
                <w:sz w:val="18"/>
                <w:lang w:val="fr-FR"/>
              </w:rPr>
            </w:pPr>
            <w:proofErr w:type="spellStart"/>
            <w:r w:rsidRPr="00714C7B">
              <w:rPr>
                <w:sz w:val="18"/>
                <w:lang w:val="fr-FR"/>
              </w:rPr>
              <w:t>s</w:t>
            </w:r>
            <w:r w:rsidR="00DF7AA4" w:rsidRPr="00DF7AA4">
              <w:rPr>
                <w:sz w:val="18"/>
                <w:lang w:val="fr-FR"/>
              </w:rPr>
              <w:t>.</w:t>
            </w:r>
            <w:r w:rsidRPr="00714C7B">
              <w:rPr>
                <w:sz w:val="18"/>
                <w:lang w:val="fr-FR"/>
              </w:rPr>
              <w:t>o</w:t>
            </w:r>
            <w:proofErr w:type="spellEnd"/>
            <w:r w:rsidR="00DF7AA4" w:rsidRPr="00DF7AA4">
              <w:rPr>
                <w:sz w:val="18"/>
                <w:lang w:val="fr-FR"/>
              </w:rPr>
              <w:t>.</w:t>
            </w:r>
          </w:p>
        </w:tc>
        <w:tc>
          <w:tcPr>
            <w:tcW w:w="1416" w:type="dxa"/>
            <w:shd w:val="clear" w:color="auto" w:fill="auto"/>
            <w:vAlign w:val="bottom"/>
          </w:tcPr>
          <w:p w14:paraId="37030261"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Non*</w:t>
            </w:r>
            <w:r>
              <w:rPr>
                <w:sz w:val="18"/>
                <w:lang w:val="fr-FR"/>
              </w:rPr>
              <w:t>*</w:t>
            </w:r>
          </w:p>
        </w:tc>
      </w:tr>
      <w:tr w:rsidR="00EE432D" w:rsidRPr="00714C7B" w14:paraId="52CCBFD8" w14:textId="77777777" w:rsidTr="00BC160F">
        <w:tc>
          <w:tcPr>
            <w:tcW w:w="1636" w:type="dxa"/>
            <w:shd w:val="clear" w:color="auto" w:fill="auto"/>
          </w:tcPr>
          <w:p w14:paraId="6A43D430" w14:textId="77777777" w:rsidR="00EE432D" w:rsidRPr="00714C7B" w:rsidRDefault="00EE432D" w:rsidP="00BC160F">
            <w:pPr>
              <w:suppressAutoHyphens w:val="0"/>
              <w:spacing w:before="40" w:after="40" w:line="220" w:lineRule="exact"/>
              <w:rPr>
                <w:sz w:val="18"/>
                <w:lang w:val="fr-FR"/>
              </w:rPr>
            </w:pPr>
            <w:r w:rsidRPr="00714C7B">
              <w:rPr>
                <w:sz w:val="18"/>
                <w:lang w:val="fr-FR"/>
              </w:rPr>
              <w:t>Marche arrière</w:t>
            </w:r>
          </w:p>
        </w:tc>
        <w:tc>
          <w:tcPr>
            <w:tcW w:w="2050" w:type="dxa"/>
            <w:shd w:val="clear" w:color="auto" w:fill="auto"/>
            <w:vAlign w:val="bottom"/>
          </w:tcPr>
          <w:p w14:paraId="47302DC6"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1,5</w:t>
            </w:r>
          </w:p>
        </w:tc>
        <w:tc>
          <w:tcPr>
            <w:tcW w:w="1843" w:type="dxa"/>
            <w:shd w:val="clear" w:color="auto" w:fill="auto"/>
            <w:vAlign w:val="bottom"/>
          </w:tcPr>
          <w:p w14:paraId="1E58D3D5"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-0,1</w:t>
            </w:r>
          </w:p>
        </w:tc>
        <w:tc>
          <w:tcPr>
            <w:tcW w:w="1559" w:type="dxa"/>
            <w:shd w:val="clear" w:color="auto" w:fill="auto"/>
            <w:vAlign w:val="bottom"/>
          </w:tcPr>
          <w:p w14:paraId="50C3501E"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+/-0,2</w:t>
            </w:r>
          </w:p>
        </w:tc>
        <w:tc>
          <w:tcPr>
            <w:tcW w:w="1416" w:type="dxa"/>
            <w:shd w:val="clear" w:color="auto" w:fill="auto"/>
            <w:vAlign w:val="bottom"/>
          </w:tcPr>
          <w:p w14:paraId="6FE58283"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 xml:space="preserve">Oui </w:t>
            </w:r>
          </w:p>
        </w:tc>
      </w:tr>
      <w:tr w:rsidR="00EE432D" w:rsidRPr="00714C7B" w14:paraId="6470FB58" w14:textId="77777777" w:rsidTr="00BC160F">
        <w:tc>
          <w:tcPr>
            <w:tcW w:w="1636" w:type="dxa"/>
            <w:tcBorders>
              <w:bottom w:val="single" w:sz="12" w:space="0" w:color="auto"/>
            </w:tcBorders>
            <w:shd w:val="clear" w:color="auto" w:fill="auto"/>
          </w:tcPr>
          <w:p w14:paraId="13E89CCF" w14:textId="77777777" w:rsidR="00EE432D" w:rsidRPr="00714C7B" w:rsidRDefault="00EE432D" w:rsidP="00BC160F">
            <w:pPr>
              <w:suppressAutoHyphens w:val="0"/>
              <w:spacing w:before="40" w:after="40" w:line="220" w:lineRule="exact"/>
              <w:rPr>
                <w:sz w:val="18"/>
                <w:lang w:val="fr-FR"/>
              </w:rPr>
            </w:pPr>
            <w:r w:rsidRPr="00714C7B">
              <w:rPr>
                <w:sz w:val="18"/>
                <w:lang w:val="fr-FR"/>
              </w:rPr>
              <w:t>Marche arrière</w:t>
            </w:r>
          </w:p>
        </w:tc>
        <w:tc>
          <w:tcPr>
            <w:tcW w:w="2050" w:type="dxa"/>
            <w:tcBorders>
              <w:bottom w:val="single" w:sz="12" w:space="0" w:color="auto"/>
            </w:tcBorders>
            <w:shd w:val="clear" w:color="auto" w:fill="auto"/>
            <w:vAlign w:val="bottom"/>
          </w:tcPr>
          <w:p w14:paraId="5DD474C8"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1,5</w:t>
            </w:r>
          </w:p>
        </w:tc>
        <w:tc>
          <w:tcPr>
            <w:tcW w:w="1843" w:type="dxa"/>
            <w:tcBorders>
              <w:bottom w:val="single" w:sz="12" w:space="0" w:color="auto"/>
            </w:tcBorders>
            <w:shd w:val="clear" w:color="auto" w:fill="auto"/>
            <w:vAlign w:val="bottom"/>
          </w:tcPr>
          <w:p w14:paraId="3A9116B7"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-0,1</w:t>
            </w:r>
          </w:p>
        </w:tc>
        <w:tc>
          <w:tcPr>
            <w:tcW w:w="1559" w:type="dxa"/>
            <w:tcBorders>
              <w:bottom w:val="single" w:sz="12" w:space="0" w:color="auto"/>
            </w:tcBorders>
            <w:shd w:val="clear" w:color="auto" w:fill="auto"/>
            <w:vAlign w:val="bottom"/>
          </w:tcPr>
          <w:p w14:paraId="6B214032" w14:textId="62BB5156" w:rsidR="00EE432D" w:rsidRPr="00714C7B" w:rsidRDefault="00EE432D" w:rsidP="00BC160F">
            <w:pPr>
              <w:suppressAutoHyphens w:val="0"/>
              <w:spacing w:before="40" w:after="40" w:line="220" w:lineRule="exact"/>
              <w:jc w:val="right"/>
              <w:rPr>
                <w:sz w:val="18"/>
                <w:lang w:val="fr-FR"/>
              </w:rPr>
            </w:pPr>
            <w:proofErr w:type="spellStart"/>
            <w:r w:rsidRPr="00714C7B">
              <w:rPr>
                <w:sz w:val="18"/>
                <w:lang w:val="fr-FR"/>
              </w:rPr>
              <w:t>s</w:t>
            </w:r>
            <w:r w:rsidR="00DF7AA4" w:rsidRPr="00DF7AA4">
              <w:rPr>
                <w:sz w:val="18"/>
                <w:lang w:val="fr-FR"/>
              </w:rPr>
              <w:t>.</w:t>
            </w:r>
            <w:r w:rsidRPr="00714C7B">
              <w:rPr>
                <w:sz w:val="18"/>
                <w:lang w:val="fr-FR"/>
              </w:rPr>
              <w:t>o</w:t>
            </w:r>
            <w:proofErr w:type="spellEnd"/>
            <w:r w:rsidR="00DF7AA4" w:rsidRPr="00DF7AA4">
              <w:rPr>
                <w:sz w:val="18"/>
                <w:lang w:val="fr-FR"/>
              </w:rPr>
              <w:t>.</w:t>
            </w:r>
          </w:p>
        </w:tc>
        <w:tc>
          <w:tcPr>
            <w:tcW w:w="1416" w:type="dxa"/>
            <w:tcBorders>
              <w:bottom w:val="single" w:sz="12" w:space="0" w:color="auto"/>
            </w:tcBorders>
            <w:shd w:val="clear" w:color="auto" w:fill="auto"/>
            <w:vAlign w:val="bottom"/>
          </w:tcPr>
          <w:p w14:paraId="75A8B692" w14:textId="77777777" w:rsidR="00EE432D" w:rsidRPr="00714C7B" w:rsidRDefault="00EE432D" w:rsidP="00BC160F">
            <w:pPr>
              <w:suppressAutoHyphens w:val="0"/>
              <w:spacing w:before="40" w:after="40" w:line="220" w:lineRule="exact"/>
              <w:jc w:val="right"/>
              <w:rPr>
                <w:sz w:val="18"/>
                <w:lang w:val="fr-FR"/>
              </w:rPr>
            </w:pPr>
            <w:r w:rsidRPr="00714C7B">
              <w:rPr>
                <w:sz w:val="18"/>
                <w:lang w:val="fr-FR"/>
              </w:rPr>
              <w:t>Non*</w:t>
            </w:r>
            <w:r>
              <w:rPr>
                <w:sz w:val="18"/>
                <w:lang w:val="fr-FR"/>
              </w:rPr>
              <w:t>*</w:t>
            </w:r>
          </w:p>
        </w:tc>
      </w:tr>
    </w:tbl>
    <w:bookmarkEnd w:id="13"/>
    <w:p w14:paraId="5D6745FE" w14:textId="77777777" w:rsidR="00EE432D" w:rsidRPr="00571A25" w:rsidRDefault="00EE432D" w:rsidP="006F5732">
      <w:pPr>
        <w:pStyle w:val="SingleTxtG"/>
        <w:spacing w:before="120" w:after="0" w:line="220" w:lineRule="atLeast"/>
        <w:ind w:firstLine="170"/>
        <w:rPr>
          <w:sz w:val="18"/>
          <w:szCs w:val="18"/>
          <w:lang w:val="fr-FR"/>
        </w:rPr>
      </w:pPr>
      <w:r w:rsidRPr="00571A25">
        <w:rPr>
          <w:sz w:val="18"/>
          <w:szCs w:val="18"/>
          <w:lang w:val="fr-FR"/>
        </w:rPr>
        <w:t>Présence de la cible</w:t>
      </w:r>
      <w:r>
        <w:rPr>
          <w:sz w:val="18"/>
          <w:szCs w:val="18"/>
          <w:lang w:val="fr-FR"/>
        </w:rPr>
        <w:t> :</w:t>
      </w:r>
    </w:p>
    <w:p w14:paraId="5DF5181C" w14:textId="77777777" w:rsidR="00EE432D" w:rsidRPr="00571A25" w:rsidRDefault="00EE432D" w:rsidP="006F5732">
      <w:pPr>
        <w:pStyle w:val="SingleTxtG"/>
        <w:spacing w:after="0" w:line="220" w:lineRule="atLeast"/>
        <w:ind w:firstLine="170"/>
        <w:rPr>
          <w:color w:val="000000" w:themeColor="text1"/>
          <w:sz w:val="18"/>
          <w:szCs w:val="18"/>
          <w:lang w:val="fr-FR"/>
        </w:rPr>
      </w:pPr>
      <w:r w:rsidRPr="00571A25">
        <w:rPr>
          <w:sz w:val="18"/>
          <w:szCs w:val="18"/>
          <w:lang w:val="fr-FR"/>
        </w:rPr>
        <w:t>Oui : avec intervention du système ACPE</w:t>
      </w:r>
    </w:p>
    <w:p w14:paraId="1EAAC729" w14:textId="77777777" w:rsidR="00EE432D" w:rsidRPr="00571A25" w:rsidRDefault="00EE432D" w:rsidP="006F5732">
      <w:pPr>
        <w:pStyle w:val="SingleTxtG"/>
        <w:spacing w:after="0" w:line="220" w:lineRule="atLeast"/>
        <w:ind w:firstLine="170"/>
        <w:rPr>
          <w:color w:val="000000" w:themeColor="text1"/>
          <w:sz w:val="18"/>
          <w:szCs w:val="18"/>
          <w:lang w:val="fr-FR"/>
        </w:rPr>
      </w:pPr>
      <w:r w:rsidRPr="00571A25">
        <w:rPr>
          <w:sz w:val="18"/>
          <w:szCs w:val="18"/>
          <w:lang w:val="fr-FR"/>
        </w:rPr>
        <w:t>Non : sans intervention du système ACPE ou avec désactivation du système ACPE</w:t>
      </w:r>
    </w:p>
    <w:p w14:paraId="18A73355" w14:textId="041DBBE4" w:rsidR="00EE432D" w:rsidRPr="00571A25" w:rsidRDefault="00EE432D" w:rsidP="006F5732">
      <w:pPr>
        <w:pStyle w:val="SingleTxtG"/>
        <w:spacing w:after="0" w:line="220" w:lineRule="atLeast"/>
        <w:ind w:firstLine="170"/>
        <w:rPr>
          <w:color w:val="000000" w:themeColor="text1"/>
          <w:sz w:val="18"/>
          <w:szCs w:val="18"/>
          <w:lang w:val="fr-FR"/>
        </w:rPr>
      </w:pPr>
      <w:r w:rsidRPr="00571A25">
        <w:rPr>
          <w:sz w:val="18"/>
          <w:szCs w:val="18"/>
          <w:lang w:val="fr-FR"/>
        </w:rPr>
        <w:t>*</w:t>
      </w:r>
      <w:r w:rsidR="006F5732">
        <w:rPr>
          <w:sz w:val="18"/>
          <w:szCs w:val="18"/>
          <w:lang w:val="fr-FR"/>
        </w:rPr>
        <w:t xml:space="preserve">  </w:t>
      </w:r>
      <w:r w:rsidRPr="00571A25">
        <w:rPr>
          <w:sz w:val="18"/>
          <w:szCs w:val="18"/>
          <w:lang w:val="fr-FR"/>
        </w:rPr>
        <w:t>Ces essais peuvent être combinés</w:t>
      </w:r>
      <w:r w:rsidR="00DF7AA4" w:rsidRPr="00DF7AA4">
        <w:rPr>
          <w:sz w:val="18"/>
          <w:szCs w:val="18"/>
          <w:lang w:val="fr-FR"/>
        </w:rPr>
        <w:t>.</w:t>
      </w:r>
    </w:p>
    <w:p w14:paraId="616909A3" w14:textId="244331F5" w:rsidR="00EE432D" w:rsidRPr="00571A25" w:rsidRDefault="00EE432D" w:rsidP="006F5732">
      <w:pPr>
        <w:pStyle w:val="SingleTxtG"/>
        <w:spacing w:after="240" w:line="220" w:lineRule="atLeast"/>
        <w:ind w:firstLine="170"/>
        <w:rPr>
          <w:color w:val="000000" w:themeColor="text1"/>
          <w:sz w:val="18"/>
          <w:szCs w:val="18"/>
          <w:lang w:val="fr-FR"/>
        </w:rPr>
      </w:pPr>
      <w:r w:rsidRPr="00571A25">
        <w:rPr>
          <w:sz w:val="18"/>
          <w:szCs w:val="18"/>
          <w:lang w:val="fr-FR"/>
        </w:rPr>
        <w:t>**</w:t>
      </w:r>
      <w:r w:rsidR="006F5732">
        <w:rPr>
          <w:sz w:val="18"/>
          <w:szCs w:val="18"/>
          <w:lang w:val="fr-FR"/>
        </w:rPr>
        <w:t xml:space="preserve">  </w:t>
      </w:r>
      <w:r w:rsidRPr="00571A25">
        <w:rPr>
          <w:sz w:val="18"/>
          <w:szCs w:val="18"/>
          <w:lang w:val="fr-FR"/>
        </w:rPr>
        <w:t>Ces essais peuvent être combinés</w:t>
      </w:r>
      <w:r w:rsidR="00DF7AA4" w:rsidRPr="00DF7AA4">
        <w:rPr>
          <w:sz w:val="18"/>
          <w:szCs w:val="18"/>
          <w:lang w:val="fr-FR"/>
        </w:rPr>
        <w:t>.</w:t>
      </w:r>
    </w:p>
    <w:p w14:paraId="15A3902E" w14:textId="77777777" w:rsidR="00EE432D" w:rsidRPr="00AB4DCC" w:rsidRDefault="00EE432D" w:rsidP="00EE432D">
      <w:pPr>
        <w:pStyle w:val="SingleTxtG"/>
        <w:spacing w:before="120"/>
        <w:ind w:left="2268"/>
        <w:rPr>
          <w:bCs/>
          <w:lang w:val="fr-FR"/>
        </w:rPr>
      </w:pPr>
      <w:r w:rsidRPr="00AB4DCC">
        <w:rPr>
          <w:lang w:val="fr-FR"/>
        </w:rPr>
        <w:t>La méthode à appliquer pour chaque essai doit être la suivante</w:t>
      </w:r>
      <w:r>
        <w:rPr>
          <w:lang w:val="fr-FR"/>
        </w:rPr>
        <w:t> :</w:t>
      </w:r>
    </w:p>
    <w:p w14:paraId="3EDEDFA5" w14:textId="77777777" w:rsidR="00EE432D" w:rsidRPr="00AB4DCC" w:rsidRDefault="00EE432D" w:rsidP="00EE432D">
      <w:pPr>
        <w:pStyle w:val="SingleTxtG"/>
        <w:ind w:left="2835" w:hanging="567"/>
        <w:rPr>
          <w:bCs/>
          <w:lang w:val="fr-FR"/>
        </w:rPr>
      </w:pPr>
      <w:r w:rsidRPr="00AB4DCC">
        <w:rPr>
          <w:lang w:val="fr-FR"/>
        </w:rPr>
        <w:t>a)</w:t>
      </w:r>
      <w:r w:rsidRPr="00AB4DCC">
        <w:rPr>
          <w:lang w:val="fr-FR"/>
        </w:rPr>
        <w:tab/>
        <w:t>Positionner le véhicule à la distance de la cible ou du point de mesure de la vitesse indiquée dans le tableau 1</w:t>
      </w:r>
      <w:r>
        <w:rPr>
          <w:lang w:val="fr-FR"/>
        </w:rPr>
        <w:t> ;</w:t>
      </w:r>
    </w:p>
    <w:p w14:paraId="073699DB" w14:textId="77777777" w:rsidR="00EE432D" w:rsidRPr="00AB4DCC" w:rsidRDefault="00EE432D" w:rsidP="00EE432D">
      <w:pPr>
        <w:pStyle w:val="SingleTxtG"/>
        <w:ind w:left="2835" w:hanging="567"/>
        <w:rPr>
          <w:bCs/>
          <w:lang w:val="fr-FR"/>
        </w:rPr>
      </w:pPr>
      <w:r w:rsidRPr="00AB4DCC">
        <w:rPr>
          <w:lang w:val="fr-FR"/>
        </w:rPr>
        <w:t>b)</w:t>
      </w:r>
      <w:r w:rsidRPr="00AB4DCC">
        <w:rPr>
          <w:lang w:val="fr-FR"/>
        </w:rPr>
        <w:tab/>
        <w:t>Maintenir le véhicule à l</w:t>
      </w:r>
      <w:r>
        <w:rPr>
          <w:lang w:val="fr-FR"/>
        </w:rPr>
        <w:t>’</w:t>
      </w:r>
      <w:r w:rsidRPr="00AB4DCC">
        <w:rPr>
          <w:lang w:val="fr-FR"/>
        </w:rPr>
        <w:t>arrêt et sélectionner le sens de la marche correspondant</w:t>
      </w:r>
      <w:r>
        <w:rPr>
          <w:lang w:val="fr-FR"/>
        </w:rPr>
        <w:t> ;</w:t>
      </w:r>
    </w:p>
    <w:p w14:paraId="54B92306" w14:textId="546FA92F" w:rsidR="00EE432D" w:rsidRPr="00AB4DCC" w:rsidRDefault="00EE432D" w:rsidP="00EE432D">
      <w:pPr>
        <w:pStyle w:val="SingleTxtG"/>
        <w:ind w:left="2835" w:hanging="567"/>
        <w:rPr>
          <w:bCs/>
          <w:lang w:val="fr-FR"/>
        </w:rPr>
      </w:pPr>
      <w:r w:rsidRPr="00AB4DCC">
        <w:rPr>
          <w:lang w:val="fr-FR"/>
        </w:rPr>
        <w:t>c)</w:t>
      </w:r>
      <w:r w:rsidRPr="00AB4DCC">
        <w:rPr>
          <w:lang w:val="fr-FR"/>
        </w:rPr>
        <w:tab/>
        <w:t>Accélérer le véhicule, tout en maintenant la commande de direction en position neutre, en actionnant la commande d</w:t>
      </w:r>
      <w:r>
        <w:rPr>
          <w:lang w:val="fr-FR"/>
        </w:rPr>
        <w:t>’</w:t>
      </w:r>
      <w:r w:rsidRPr="00AB4DCC">
        <w:rPr>
          <w:lang w:val="fr-FR"/>
        </w:rPr>
        <w:t>accélérateur de façon à obtenir les conditions de déclenchement appropriées (comme indiqué au paragraphe 5</w:t>
      </w:r>
      <w:r w:rsidR="00DF7AA4" w:rsidRPr="00DF7AA4">
        <w:rPr>
          <w:lang w:val="fr-FR"/>
        </w:rPr>
        <w:t>.</w:t>
      </w:r>
      <w:r w:rsidRPr="00AB4DCC">
        <w:rPr>
          <w:lang w:val="fr-FR"/>
        </w:rPr>
        <w:t>1</w:t>
      </w:r>
      <w:r w:rsidR="00DF7AA4" w:rsidRPr="00DF7AA4">
        <w:rPr>
          <w:lang w:val="fr-FR"/>
        </w:rPr>
        <w:t>.</w:t>
      </w:r>
      <w:r w:rsidRPr="00AB4DCC">
        <w:rPr>
          <w:lang w:val="fr-FR"/>
        </w:rPr>
        <w:t>2</w:t>
      </w:r>
      <w:r w:rsidR="00DF7AA4" w:rsidRPr="00DF7AA4">
        <w:rPr>
          <w:lang w:val="fr-FR"/>
        </w:rPr>
        <w:t>.</w:t>
      </w:r>
      <w:r w:rsidRPr="00AB4DCC">
        <w:rPr>
          <w:lang w:val="fr-FR"/>
        </w:rPr>
        <w:t>) avant que le véhicule n</w:t>
      </w:r>
      <w:r>
        <w:rPr>
          <w:lang w:val="fr-FR"/>
        </w:rPr>
        <w:t>’</w:t>
      </w:r>
      <w:r w:rsidRPr="00AB4DCC">
        <w:rPr>
          <w:lang w:val="fr-FR"/>
        </w:rPr>
        <w:t>atteigne une vitesse de 0,5</w:t>
      </w:r>
      <w:r>
        <w:rPr>
          <w:lang w:val="fr-FR"/>
        </w:rPr>
        <w:t> </w:t>
      </w:r>
      <w:r w:rsidRPr="00AB4DCC">
        <w:rPr>
          <w:lang w:val="fr-FR"/>
        </w:rPr>
        <w:t>km/h</w:t>
      </w:r>
      <w:r>
        <w:rPr>
          <w:lang w:val="fr-FR"/>
        </w:rPr>
        <w:t> ;</w:t>
      </w:r>
    </w:p>
    <w:p w14:paraId="5D818D6C" w14:textId="3692F49D" w:rsidR="00EE432D" w:rsidRPr="00AB4DCC" w:rsidRDefault="00EE432D" w:rsidP="00EE432D">
      <w:pPr>
        <w:pStyle w:val="SingleTxtG"/>
        <w:ind w:left="2835" w:hanging="567"/>
        <w:rPr>
          <w:bCs/>
          <w:lang w:val="fr-FR"/>
        </w:rPr>
      </w:pPr>
      <w:r w:rsidRPr="00AB4DCC">
        <w:rPr>
          <w:lang w:val="fr-FR"/>
        </w:rPr>
        <w:t>d)</w:t>
      </w:r>
      <w:r w:rsidRPr="00AB4DCC">
        <w:rPr>
          <w:lang w:val="fr-FR"/>
        </w:rPr>
        <w:tab/>
        <w:t>Enregistrer la vitesse au point de collision (le cas échéant) ou la vitesse au point de mesure de la vitesse correspondant</w:t>
      </w:r>
      <w:r w:rsidR="00DF7AA4" w:rsidRPr="00DF7AA4">
        <w:rPr>
          <w:lang w:val="fr-FR"/>
        </w:rPr>
        <w:t>.</w:t>
      </w:r>
    </w:p>
    <w:p w14:paraId="4E1B45D2" w14:textId="3F9E28E5" w:rsidR="00EE432D" w:rsidRPr="00AB4DCC" w:rsidRDefault="00EE432D" w:rsidP="00EE432D">
      <w:pPr>
        <w:pStyle w:val="SingleTxtG"/>
        <w:ind w:left="2268"/>
        <w:rPr>
          <w:bCs/>
          <w:color w:val="000000" w:themeColor="text1"/>
          <w:lang w:val="fr-FR"/>
        </w:rPr>
      </w:pPr>
      <w:r w:rsidRPr="00AB4DCC">
        <w:rPr>
          <w:lang w:val="fr-FR"/>
        </w:rPr>
        <w:t>Avant le début de l</w:t>
      </w:r>
      <w:r>
        <w:rPr>
          <w:lang w:val="fr-FR"/>
        </w:rPr>
        <w:t>’</w:t>
      </w:r>
      <w:r w:rsidRPr="00AB4DCC">
        <w:rPr>
          <w:lang w:val="fr-FR"/>
        </w:rPr>
        <w:t>essai, le véhicule peut être conduit en direction de la cible sur une distance maximale de 20 m jusqu</w:t>
      </w:r>
      <w:r>
        <w:rPr>
          <w:lang w:val="fr-FR"/>
        </w:rPr>
        <w:t>’</w:t>
      </w:r>
      <w:r w:rsidRPr="00AB4DCC">
        <w:rPr>
          <w:lang w:val="fr-FR"/>
        </w:rPr>
        <w:t>à la position de départ et/ou le moteur peut être éteint puis rallumé, si le constructeur le demande</w:t>
      </w:r>
      <w:r w:rsidR="00DF7AA4" w:rsidRPr="00DF7AA4">
        <w:rPr>
          <w:lang w:val="fr-FR"/>
        </w:rPr>
        <w:t>.</w:t>
      </w:r>
    </w:p>
    <w:p w14:paraId="07525E1D" w14:textId="256C7C72" w:rsidR="00EE432D" w:rsidRPr="00AB4DCC" w:rsidRDefault="00EE432D" w:rsidP="006F5732">
      <w:pPr>
        <w:pStyle w:val="SingleTxtG"/>
        <w:tabs>
          <w:tab w:val="clear" w:pos="1701"/>
        </w:tabs>
        <w:ind w:left="2268" w:hanging="1134"/>
        <w:rPr>
          <w:bCs/>
          <w:lang w:val="fr-FR"/>
        </w:rPr>
      </w:pPr>
      <w:r w:rsidRPr="00AB4DCC">
        <w:rPr>
          <w:lang w:val="fr-FR"/>
        </w:rPr>
        <w:t>6</w:t>
      </w:r>
      <w:r w:rsidR="00DF7AA4" w:rsidRPr="00DF7AA4">
        <w:rPr>
          <w:lang w:val="fr-FR"/>
        </w:rPr>
        <w:t>.</w:t>
      </w:r>
      <w:r>
        <w:rPr>
          <w:lang w:val="fr-FR"/>
        </w:rPr>
        <w:t>6</w:t>
      </w:r>
      <w:r w:rsidRPr="00AB4DCC">
        <w:rPr>
          <w:lang w:val="fr-FR"/>
        </w:rPr>
        <w:tab/>
        <w:t>S</w:t>
      </w:r>
      <w:r>
        <w:rPr>
          <w:lang w:val="fr-FR"/>
        </w:rPr>
        <w:t>’</w:t>
      </w:r>
      <w:r w:rsidRPr="00AB4DCC">
        <w:rPr>
          <w:lang w:val="fr-FR"/>
        </w:rPr>
        <w:t>il le juge utile, le service technique peut effectuer des essais dans n</w:t>
      </w:r>
      <w:r>
        <w:rPr>
          <w:lang w:val="fr-FR"/>
        </w:rPr>
        <w:t>’</w:t>
      </w:r>
      <w:r w:rsidRPr="00AB4DCC">
        <w:rPr>
          <w:lang w:val="fr-FR"/>
        </w:rPr>
        <w:t>importe lesquelles des conditions énoncées au paragraphe 5</w:t>
      </w:r>
      <w:r w:rsidR="00DF7AA4" w:rsidRPr="00DF7AA4">
        <w:rPr>
          <w:lang w:val="fr-FR"/>
        </w:rPr>
        <w:t>.</w:t>
      </w:r>
      <w:r w:rsidRPr="00AB4DCC">
        <w:rPr>
          <w:lang w:val="fr-FR"/>
        </w:rPr>
        <w:t>1 lors des essais décrits au paragraphe 6</w:t>
      </w:r>
      <w:r w:rsidR="00DF7AA4" w:rsidRPr="00DF7AA4">
        <w:rPr>
          <w:lang w:val="fr-FR"/>
        </w:rPr>
        <w:t>.</w:t>
      </w:r>
      <w:r>
        <w:rPr>
          <w:lang w:val="fr-FR"/>
        </w:rPr>
        <w:t>5</w:t>
      </w:r>
      <w:r w:rsidR="00DF7AA4" w:rsidRPr="00DF7AA4">
        <w:rPr>
          <w:lang w:val="fr-FR"/>
        </w:rPr>
        <w:t>.</w:t>
      </w:r>
    </w:p>
    <w:p w14:paraId="7DF12352" w14:textId="6274D1F1" w:rsidR="00EE432D" w:rsidRPr="00AB4DCC" w:rsidRDefault="00EE432D" w:rsidP="00EE432D">
      <w:pPr>
        <w:pStyle w:val="HChG"/>
        <w:tabs>
          <w:tab w:val="clear" w:pos="851"/>
        </w:tabs>
        <w:ind w:left="2268"/>
        <w:rPr>
          <w:lang w:val="fr-FR"/>
        </w:rPr>
      </w:pPr>
      <w:r w:rsidRPr="00AB4DCC">
        <w:rPr>
          <w:bCs/>
          <w:lang w:val="fr-FR"/>
        </w:rPr>
        <w:t>7</w:t>
      </w:r>
      <w:r w:rsidR="00DF7AA4" w:rsidRPr="00DF7AA4">
        <w:rPr>
          <w:bCs/>
          <w:lang w:val="fr-FR"/>
        </w:rPr>
        <w:t>.</w:t>
      </w:r>
      <w:r w:rsidRPr="00AB4DCC">
        <w:rPr>
          <w:lang w:val="fr-FR"/>
        </w:rPr>
        <w:tab/>
      </w:r>
      <w:r w:rsidRPr="00AB4DCC">
        <w:rPr>
          <w:bCs/>
          <w:lang w:val="fr-FR"/>
        </w:rPr>
        <w:t>Modification du type de véhicule et extension de</w:t>
      </w:r>
      <w:r>
        <w:rPr>
          <w:bCs/>
          <w:lang w:val="fr-FR"/>
        </w:rPr>
        <w:t> </w:t>
      </w:r>
      <w:r w:rsidRPr="00AB4DCC">
        <w:rPr>
          <w:bCs/>
          <w:lang w:val="fr-FR"/>
        </w:rPr>
        <w:t>l</w:t>
      </w:r>
      <w:r>
        <w:rPr>
          <w:bCs/>
          <w:lang w:val="fr-FR"/>
        </w:rPr>
        <w:t>’</w:t>
      </w:r>
      <w:r w:rsidRPr="00AB4DCC">
        <w:rPr>
          <w:bCs/>
          <w:lang w:val="fr-FR"/>
        </w:rPr>
        <w:t>homologation</w:t>
      </w:r>
    </w:p>
    <w:p w14:paraId="26E5081D" w14:textId="76452C6C" w:rsidR="00EE432D" w:rsidRPr="00AB4DCC" w:rsidRDefault="00EE432D" w:rsidP="006F5732">
      <w:pPr>
        <w:pStyle w:val="SingleTxtG"/>
        <w:tabs>
          <w:tab w:val="clear" w:pos="1701"/>
        </w:tabs>
        <w:ind w:left="2268" w:hanging="1134"/>
        <w:rPr>
          <w:color w:val="000000" w:themeColor="text1"/>
          <w:lang w:val="fr-FR"/>
        </w:rPr>
      </w:pPr>
      <w:r w:rsidRPr="00AB4DCC">
        <w:rPr>
          <w:lang w:val="fr-FR"/>
        </w:rPr>
        <w:t>7</w:t>
      </w:r>
      <w:r w:rsidR="00DF7AA4" w:rsidRPr="00DF7AA4">
        <w:rPr>
          <w:lang w:val="fr-FR"/>
        </w:rPr>
        <w:t>.</w:t>
      </w:r>
      <w:r w:rsidRPr="00AB4DCC">
        <w:rPr>
          <w:lang w:val="fr-FR"/>
        </w:rPr>
        <w:t>1</w:t>
      </w:r>
      <w:r w:rsidRPr="00AB4DCC">
        <w:rPr>
          <w:lang w:val="fr-FR"/>
        </w:rPr>
        <w:tab/>
        <w:t>Toute modification du type de véhicule défini au paragraphe 2</w:t>
      </w:r>
      <w:r w:rsidR="00DF7AA4" w:rsidRPr="00DF7AA4">
        <w:rPr>
          <w:lang w:val="fr-FR"/>
        </w:rPr>
        <w:t>.</w:t>
      </w:r>
      <w:r w:rsidRPr="00AB4DCC">
        <w:rPr>
          <w:lang w:val="fr-FR"/>
        </w:rPr>
        <w:t>2 doit être notifiée à l</w:t>
      </w:r>
      <w:r>
        <w:rPr>
          <w:lang w:val="fr-FR"/>
        </w:rPr>
        <w:t>’</w:t>
      </w:r>
      <w:r w:rsidRPr="00AB4DCC">
        <w:rPr>
          <w:lang w:val="fr-FR"/>
        </w:rPr>
        <w:t>autorité d</w:t>
      </w:r>
      <w:r>
        <w:rPr>
          <w:lang w:val="fr-FR"/>
        </w:rPr>
        <w:t>’</w:t>
      </w:r>
      <w:r w:rsidRPr="00AB4DCC">
        <w:rPr>
          <w:lang w:val="fr-FR"/>
        </w:rPr>
        <w:t>homologation de type ayant octroyé l</w:t>
      </w:r>
      <w:r>
        <w:rPr>
          <w:lang w:val="fr-FR"/>
        </w:rPr>
        <w:t>’</w:t>
      </w:r>
      <w:r w:rsidRPr="00AB4DCC">
        <w:rPr>
          <w:lang w:val="fr-FR"/>
        </w:rPr>
        <w:t>homologation</w:t>
      </w:r>
      <w:r w:rsidR="00DF7AA4" w:rsidRPr="00DF7AA4">
        <w:rPr>
          <w:lang w:val="fr-FR"/>
        </w:rPr>
        <w:t>.</w:t>
      </w:r>
      <w:r w:rsidRPr="00AB4DCC">
        <w:rPr>
          <w:lang w:val="fr-FR"/>
        </w:rPr>
        <w:t xml:space="preserve"> Cette autorité peut alors</w:t>
      </w:r>
      <w:r>
        <w:rPr>
          <w:lang w:val="fr-FR"/>
        </w:rPr>
        <w:t> :</w:t>
      </w:r>
    </w:p>
    <w:p w14:paraId="3B74F5CF" w14:textId="73E10869" w:rsidR="00EE432D" w:rsidRPr="00AB4DCC" w:rsidRDefault="00EE432D" w:rsidP="006F5732">
      <w:pPr>
        <w:pStyle w:val="SingleTxtG"/>
        <w:tabs>
          <w:tab w:val="clear" w:pos="1701"/>
        </w:tabs>
        <w:ind w:left="2268" w:hanging="1134"/>
        <w:rPr>
          <w:lang w:val="fr-FR"/>
        </w:rPr>
      </w:pPr>
      <w:r w:rsidRPr="00AB4DCC">
        <w:rPr>
          <w:lang w:val="fr-FR"/>
        </w:rPr>
        <w:lastRenderedPageBreak/>
        <w:t>7</w:t>
      </w:r>
      <w:r w:rsidR="00DF7AA4" w:rsidRPr="00DF7AA4">
        <w:rPr>
          <w:lang w:val="fr-FR"/>
        </w:rPr>
        <w:t>.</w:t>
      </w:r>
      <w:r w:rsidRPr="00AB4DCC">
        <w:rPr>
          <w:lang w:val="fr-FR"/>
        </w:rPr>
        <w:t>1</w:t>
      </w:r>
      <w:r w:rsidR="00DF7AA4" w:rsidRPr="00DF7AA4">
        <w:rPr>
          <w:lang w:val="fr-FR"/>
        </w:rPr>
        <w:t>.</w:t>
      </w:r>
      <w:r w:rsidRPr="00AB4DCC">
        <w:rPr>
          <w:lang w:val="fr-FR"/>
        </w:rPr>
        <w:t>1</w:t>
      </w:r>
      <w:r w:rsidRPr="00AB4DCC">
        <w:rPr>
          <w:lang w:val="fr-FR"/>
        </w:rPr>
        <w:tab/>
        <w:t>Soit considérer que les modifications apportées n</w:t>
      </w:r>
      <w:r>
        <w:rPr>
          <w:lang w:val="fr-FR"/>
        </w:rPr>
        <w:t>’</w:t>
      </w:r>
      <w:r w:rsidRPr="00AB4DCC">
        <w:rPr>
          <w:lang w:val="fr-FR"/>
        </w:rPr>
        <w:t>influencent pas défavorablement les conditions d</w:t>
      </w:r>
      <w:r>
        <w:rPr>
          <w:lang w:val="fr-FR"/>
        </w:rPr>
        <w:t>’</w:t>
      </w:r>
      <w:r w:rsidRPr="00AB4DCC">
        <w:rPr>
          <w:lang w:val="fr-FR"/>
        </w:rPr>
        <w:t>octroi de l</w:t>
      </w:r>
      <w:r>
        <w:rPr>
          <w:lang w:val="fr-FR"/>
        </w:rPr>
        <w:t>’</w:t>
      </w:r>
      <w:r w:rsidRPr="00AB4DCC">
        <w:rPr>
          <w:lang w:val="fr-FR"/>
        </w:rPr>
        <w:t>homologation et accorder une extension de l</w:t>
      </w:r>
      <w:r>
        <w:rPr>
          <w:lang w:val="fr-FR"/>
        </w:rPr>
        <w:t>’</w:t>
      </w:r>
      <w:r w:rsidRPr="00AB4DCC">
        <w:rPr>
          <w:lang w:val="fr-FR"/>
        </w:rPr>
        <w:t>homologation</w:t>
      </w:r>
      <w:r>
        <w:rPr>
          <w:lang w:val="fr-FR"/>
        </w:rPr>
        <w:t> ;</w:t>
      </w:r>
    </w:p>
    <w:p w14:paraId="1106E5A9" w14:textId="6A0F46FB" w:rsidR="00EE432D" w:rsidRPr="00AB4DCC" w:rsidRDefault="00EE432D" w:rsidP="006F5732">
      <w:pPr>
        <w:pStyle w:val="SingleTxtG"/>
        <w:tabs>
          <w:tab w:val="clear" w:pos="1701"/>
        </w:tabs>
        <w:ind w:left="2268" w:hanging="1134"/>
        <w:rPr>
          <w:lang w:val="fr-FR"/>
        </w:rPr>
      </w:pPr>
      <w:r w:rsidRPr="00AB4DCC">
        <w:rPr>
          <w:lang w:val="fr-FR"/>
        </w:rPr>
        <w:t>7</w:t>
      </w:r>
      <w:r w:rsidR="00DF7AA4" w:rsidRPr="00DF7AA4">
        <w:rPr>
          <w:lang w:val="fr-FR"/>
        </w:rPr>
        <w:t>.</w:t>
      </w:r>
      <w:r w:rsidRPr="00AB4DCC">
        <w:rPr>
          <w:lang w:val="fr-FR"/>
        </w:rPr>
        <w:t>1</w:t>
      </w:r>
      <w:r w:rsidR="00DF7AA4" w:rsidRPr="00DF7AA4">
        <w:rPr>
          <w:lang w:val="fr-FR"/>
        </w:rPr>
        <w:t>.</w:t>
      </w:r>
      <w:r w:rsidRPr="00AB4DCC">
        <w:rPr>
          <w:lang w:val="fr-FR"/>
        </w:rPr>
        <w:t>2</w:t>
      </w:r>
      <w:r w:rsidRPr="00AB4DCC">
        <w:rPr>
          <w:lang w:val="fr-FR"/>
        </w:rPr>
        <w:tab/>
        <w:t>Soit considérer que les modifications apportées ont une influence sur les conditions d</w:t>
      </w:r>
      <w:r>
        <w:rPr>
          <w:lang w:val="fr-FR"/>
        </w:rPr>
        <w:t>’</w:t>
      </w:r>
      <w:r w:rsidRPr="00AB4DCC">
        <w:rPr>
          <w:lang w:val="fr-FR"/>
        </w:rPr>
        <w:t>octroi de l</w:t>
      </w:r>
      <w:r>
        <w:rPr>
          <w:lang w:val="fr-FR"/>
        </w:rPr>
        <w:t>’</w:t>
      </w:r>
      <w:r w:rsidRPr="00AB4DCC">
        <w:rPr>
          <w:lang w:val="fr-FR"/>
        </w:rPr>
        <w:t>homologation et exiger de nouveaux essais ou des vérifications complémentaires avant d</w:t>
      </w:r>
      <w:r>
        <w:rPr>
          <w:lang w:val="fr-FR"/>
        </w:rPr>
        <w:t>’</w:t>
      </w:r>
      <w:r w:rsidRPr="00AB4DCC">
        <w:rPr>
          <w:lang w:val="fr-FR"/>
        </w:rPr>
        <w:t>accorder l</w:t>
      </w:r>
      <w:r>
        <w:rPr>
          <w:lang w:val="fr-FR"/>
        </w:rPr>
        <w:t>’</w:t>
      </w:r>
      <w:r w:rsidRPr="00AB4DCC">
        <w:rPr>
          <w:lang w:val="fr-FR"/>
        </w:rPr>
        <w:t>extension de l</w:t>
      </w:r>
      <w:r>
        <w:rPr>
          <w:lang w:val="fr-FR"/>
        </w:rPr>
        <w:t>’</w:t>
      </w:r>
      <w:r w:rsidRPr="00AB4DCC">
        <w:rPr>
          <w:lang w:val="fr-FR"/>
        </w:rPr>
        <w:t>homologation</w:t>
      </w:r>
      <w:r w:rsidR="00DF7AA4" w:rsidRPr="00DF7AA4">
        <w:rPr>
          <w:lang w:val="fr-FR"/>
        </w:rPr>
        <w:t>.</w:t>
      </w:r>
    </w:p>
    <w:p w14:paraId="50A5479B" w14:textId="73B4AC29" w:rsidR="00EE432D" w:rsidRPr="0067037F" w:rsidRDefault="00EE432D" w:rsidP="006F5732">
      <w:pPr>
        <w:pStyle w:val="SingleTxtG"/>
        <w:tabs>
          <w:tab w:val="clear" w:pos="1701"/>
        </w:tabs>
        <w:ind w:left="2268" w:hanging="1134"/>
        <w:rPr>
          <w:spacing w:val="-1"/>
          <w:lang w:val="fr-FR"/>
        </w:rPr>
      </w:pPr>
      <w:r w:rsidRPr="00AB4DCC">
        <w:rPr>
          <w:lang w:val="fr-FR"/>
        </w:rPr>
        <w:t>7</w:t>
      </w:r>
      <w:r w:rsidR="00DF7AA4" w:rsidRPr="00DF7AA4">
        <w:rPr>
          <w:lang w:val="fr-FR"/>
        </w:rPr>
        <w:t>.</w:t>
      </w:r>
      <w:r w:rsidRPr="00AB4DCC">
        <w:rPr>
          <w:lang w:val="fr-FR"/>
        </w:rPr>
        <w:t>2</w:t>
      </w:r>
      <w:r w:rsidRPr="00AB4DCC">
        <w:rPr>
          <w:lang w:val="fr-FR"/>
        </w:rPr>
        <w:tab/>
      </w:r>
      <w:r w:rsidRPr="0067037F">
        <w:rPr>
          <w:spacing w:val="-1"/>
          <w:lang w:val="fr-FR"/>
        </w:rPr>
        <w:t>La décision d</w:t>
      </w:r>
      <w:r>
        <w:rPr>
          <w:spacing w:val="-1"/>
          <w:lang w:val="fr-FR"/>
        </w:rPr>
        <w:t>’</w:t>
      </w:r>
      <w:r w:rsidRPr="0067037F">
        <w:rPr>
          <w:spacing w:val="-1"/>
          <w:lang w:val="fr-FR"/>
        </w:rPr>
        <w:t>octroi ou de refus de l</w:t>
      </w:r>
      <w:r>
        <w:rPr>
          <w:spacing w:val="-1"/>
          <w:lang w:val="fr-FR"/>
        </w:rPr>
        <w:t>’</w:t>
      </w:r>
      <w:r w:rsidRPr="0067037F">
        <w:rPr>
          <w:spacing w:val="-1"/>
          <w:lang w:val="fr-FR"/>
        </w:rPr>
        <w:t>extension, avec l</w:t>
      </w:r>
      <w:r>
        <w:rPr>
          <w:spacing w:val="-1"/>
          <w:lang w:val="fr-FR"/>
        </w:rPr>
        <w:t>’</w:t>
      </w:r>
      <w:r w:rsidRPr="0067037F">
        <w:rPr>
          <w:spacing w:val="-1"/>
          <w:lang w:val="fr-FR"/>
        </w:rPr>
        <w:t>indication des modifications, doit être notifiée aux Parties contractantes à l</w:t>
      </w:r>
      <w:r>
        <w:rPr>
          <w:spacing w:val="-1"/>
          <w:lang w:val="fr-FR"/>
        </w:rPr>
        <w:t>’</w:t>
      </w:r>
      <w:r w:rsidRPr="0067037F">
        <w:rPr>
          <w:spacing w:val="-1"/>
          <w:lang w:val="fr-FR"/>
        </w:rPr>
        <w:t>Accord appliquant le présent Règlement selon la procédure indiquée au paragraphe 4</w:t>
      </w:r>
      <w:r w:rsidR="00DF7AA4" w:rsidRPr="00DF7AA4">
        <w:rPr>
          <w:spacing w:val="-1"/>
          <w:lang w:val="fr-FR"/>
        </w:rPr>
        <w:t>.</w:t>
      </w:r>
      <w:r w:rsidRPr="0067037F">
        <w:rPr>
          <w:spacing w:val="-1"/>
          <w:lang w:val="fr-FR"/>
        </w:rPr>
        <w:t>3</w:t>
      </w:r>
      <w:r w:rsidR="00DF7AA4" w:rsidRPr="00DF7AA4">
        <w:rPr>
          <w:spacing w:val="-1"/>
          <w:lang w:val="fr-FR"/>
        </w:rPr>
        <w:t>.</w:t>
      </w:r>
    </w:p>
    <w:p w14:paraId="6FB8DC86" w14:textId="025AFD56" w:rsidR="00EE432D" w:rsidRPr="00AB4DCC" w:rsidRDefault="00EE432D" w:rsidP="006F5732">
      <w:pPr>
        <w:pStyle w:val="SingleTxtG"/>
        <w:tabs>
          <w:tab w:val="clear" w:pos="1701"/>
        </w:tabs>
        <w:ind w:left="2268" w:hanging="1134"/>
        <w:rPr>
          <w:lang w:val="fr-FR"/>
        </w:rPr>
      </w:pPr>
      <w:r w:rsidRPr="00AB4DCC">
        <w:rPr>
          <w:lang w:val="fr-FR"/>
        </w:rPr>
        <w:t>7</w:t>
      </w:r>
      <w:r w:rsidR="00DF7AA4" w:rsidRPr="00DF7AA4">
        <w:rPr>
          <w:lang w:val="fr-FR"/>
        </w:rPr>
        <w:t>.</w:t>
      </w:r>
      <w:r w:rsidRPr="00AB4DCC">
        <w:rPr>
          <w:lang w:val="fr-FR"/>
        </w:rPr>
        <w:t>3</w:t>
      </w:r>
      <w:r w:rsidRPr="00AB4DCC">
        <w:rPr>
          <w:lang w:val="fr-FR"/>
        </w:rPr>
        <w:tab/>
        <w:t>L</w:t>
      </w:r>
      <w:r>
        <w:rPr>
          <w:lang w:val="fr-FR"/>
        </w:rPr>
        <w:t>’</w:t>
      </w:r>
      <w:r w:rsidRPr="00AB4DCC">
        <w:rPr>
          <w:lang w:val="fr-FR"/>
        </w:rPr>
        <w:t>autorité d</w:t>
      </w:r>
      <w:r>
        <w:rPr>
          <w:lang w:val="fr-FR"/>
        </w:rPr>
        <w:t>’</w:t>
      </w:r>
      <w:r w:rsidRPr="00AB4DCC">
        <w:rPr>
          <w:lang w:val="fr-FR"/>
        </w:rPr>
        <w:t>homologation de type doit notifier la décision d</w:t>
      </w:r>
      <w:r>
        <w:rPr>
          <w:lang w:val="fr-FR"/>
        </w:rPr>
        <w:t>’</w:t>
      </w:r>
      <w:r w:rsidRPr="00AB4DCC">
        <w:rPr>
          <w:lang w:val="fr-FR"/>
        </w:rPr>
        <w:t>extension aux autres Parties contractantes au moyen de la fiche de communication qui figure à l</w:t>
      </w:r>
      <w:r>
        <w:rPr>
          <w:lang w:val="fr-FR"/>
        </w:rPr>
        <w:t>’</w:t>
      </w:r>
      <w:r w:rsidRPr="00AB4DCC">
        <w:rPr>
          <w:lang w:val="fr-FR"/>
        </w:rPr>
        <w:t>annexe 1 du présent Règlement</w:t>
      </w:r>
      <w:r w:rsidR="00DF7AA4" w:rsidRPr="00DF7AA4">
        <w:rPr>
          <w:lang w:val="fr-FR"/>
        </w:rPr>
        <w:t>.</w:t>
      </w:r>
      <w:r w:rsidRPr="00AB4DCC">
        <w:rPr>
          <w:lang w:val="fr-FR"/>
        </w:rPr>
        <w:t xml:space="preserve"> Elle doit attribuer à chaque extension un numéro d</w:t>
      </w:r>
      <w:r>
        <w:rPr>
          <w:lang w:val="fr-FR"/>
        </w:rPr>
        <w:t>’</w:t>
      </w:r>
      <w:r w:rsidRPr="00AB4DCC">
        <w:rPr>
          <w:lang w:val="fr-FR"/>
        </w:rPr>
        <w:t>ordre dénommé numéro d</w:t>
      </w:r>
      <w:r>
        <w:rPr>
          <w:lang w:val="fr-FR"/>
        </w:rPr>
        <w:t>’</w:t>
      </w:r>
      <w:r w:rsidRPr="00AB4DCC">
        <w:rPr>
          <w:lang w:val="fr-FR"/>
        </w:rPr>
        <w:t>extension</w:t>
      </w:r>
      <w:r w:rsidR="00DF7AA4" w:rsidRPr="00DF7AA4">
        <w:rPr>
          <w:lang w:val="fr-FR"/>
        </w:rPr>
        <w:t>.</w:t>
      </w:r>
    </w:p>
    <w:p w14:paraId="21F0EB01" w14:textId="094203E7" w:rsidR="00EE432D" w:rsidRPr="00AB4DCC" w:rsidRDefault="00EE432D" w:rsidP="00EE432D">
      <w:pPr>
        <w:pStyle w:val="HChG"/>
        <w:tabs>
          <w:tab w:val="clear" w:pos="851"/>
        </w:tabs>
        <w:ind w:left="2268"/>
        <w:rPr>
          <w:lang w:val="fr-FR"/>
        </w:rPr>
      </w:pPr>
      <w:r w:rsidRPr="00AB4DCC">
        <w:rPr>
          <w:bCs/>
          <w:lang w:val="fr-FR"/>
        </w:rPr>
        <w:t>8</w:t>
      </w:r>
      <w:r w:rsidR="00DF7AA4" w:rsidRPr="00DF7AA4">
        <w:rPr>
          <w:bCs/>
          <w:lang w:val="fr-FR"/>
        </w:rPr>
        <w:t>.</w:t>
      </w:r>
      <w:r w:rsidRPr="00AB4DCC">
        <w:rPr>
          <w:lang w:val="fr-FR"/>
        </w:rPr>
        <w:tab/>
      </w:r>
      <w:r w:rsidRPr="00AB4DCC">
        <w:rPr>
          <w:bCs/>
          <w:lang w:val="fr-FR"/>
        </w:rPr>
        <w:t>Conformité de la production</w:t>
      </w:r>
    </w:p>
    <w:p w14:paraId="3274559D" w14:textId="643E222E" w:rsidR="00EE432D" w:rsidRPr="00AB4DCC" w:rsidRDefault="00EE432D" w:rsidP="006F5732">
      <w:pPr>
        <w:pStyle w:val="SingleTxtG"/>
        <w:tabs>
          <w:tab w:val="clear" w:pos="1701"/>
        </w:tabs>
        <w:ind w:left="2268" w:hanging="1134"/>
        <w:rPr>
          <w:lang w:val="fr-FR"/>
        </w:rPr>
      </w:pPr>
      <w:r w:rsidRPr="00AB4DCC">
        <w:rPr>
          <w:lang w:val="fr-FR"/>
        </w:rPr>
        <w:t>8</w:t>
      </w:r>
      <w:r w:rsidR="00DF7AA4" w:rsidRPr="00DF7AA4">
        <w:rPr>
          <w:lang w:val="fr-FR"/>
        </w:rPr>
        <w:t>.</w:t>
      </w:r>
      <w:r w:rsidRPr="00AB4DCC">
        <w:rPr>
          <w:lang w:val="fr-FR"/>
        </w:rPr>
        <w:t>1</w:t>
      </w:r>
      <w:r w:rsidRPr="00AB4DCC">
        <w:rPr>
          <w:lang w:val="fr-FR"/>
        </w:rPr>
        <w:tab/>
        <w:t xml:space="preserve">Les procédures de </w:t>
      </w:r>
      <w:r>
        <w:rPr>
          <w:lang w:val="fr-FR"/>
        </w:rPr>
        <w:t xml:space="preserve">contrôle de la </w:t>
      </w:r>
      <w:r w:rsidRPr="00AB4DCC">
        <w:rPr>
          <w:lang w:val="fr-FR"/>
        </w:rPr>
        <w:t xml:space="preserve">conformité de la production doivent </w:t>
      </w:r>
      <w:r>
        <w:rPr>
          <w:lang w:val="fr-FR"/>
        </w:rPr>
        <w:t>correspondre</w:t>
      </w:r>
      <w:r w:rsidRPr="00AB4DCC">
        <w:rPr>
          <w:lang w:val="fr-FR"/>
        </w:rPr>
        <w:t xml:space="preserve"> à celles qui sont </w:t>
      </w:r>
      <w:r>
        <w:rPr>
          <w:lang w:val="fr-FR"/>
        </w:rPr>
        <w:t>énoncées</w:t>
      </w:r>
      <w:r w:rsidRPr="00AB4DCC">
        <w:rPr>
          <w:lang w:val="fr-FR"/>
        </w:rPr>
        <w:t xml:space="preserve"> à l</w:t>
      </w:r>
      <w:r>
        <w:rPr>
          <w:lang w:val="fr-FR"/>
        </w:rPr>
        <w:t>’</w:t>
      </w:r>
      <w:r w:rsidRPr="00AB4DCC">
        <w:rPr>
          <w:lang w:val="fr-FR"/>
        </w:rPr>
        <w:t>annexe 1 de l</w:t>
      </w:r>
      <w:r>
        <w:rPr>
          <w:lang w:val="fr-FR"/>
        </w:rPr>
        <w:t>’</w:t>
      </w:r>
      <w:r w:rsidRPr="00AB4DCC">
        <w:rPr>
          <w:lang w:val="fr-FR"/>
        </w:rPr>
        <w:t>Accord de 1958 (E/ECE/TRANS/</w:t>
      </w:r>
      <w:r>
        <w:rPr>
          <w:lang w:val="fr-FR"/>
        </w:rPr>
        <w:t xml:space="preserve"> </w:t>
      </w:r>
      <w:r w:rsidRPr="00AB4DCC">
        <w:rPr>
          <w:lang w:val="fr-FR"/>
        </w:rPr>
        <w:t>505/Rev</w:t>
      </w:r>
      <w:r w:rsidR="00DF7AA4" w:rsidRPr="00DF7AA4">
        <w:rPr>
          <w:lang w:val="fr-FR"/>
        </w:rPr>
        <w:t>.</w:t>
      </w:r>
      <w:r w:rsidRPr="00AB4DCC">
        <w:rPr>
          <w:lang w:val="fr-FR"/>
        </w:rPr>
        <w:t>3) et satisfaire aux prescriptions suivantes</w:t>
      </w:r>
      <w:r>
        <w:rPr>
          <w:lang w:val="fr-FR"/>
        </w:rPr>
        <w:t> :</w:t>
      </w:r>
    </w:p>
    <w:p w14:paraId="3405301E" w14:textId="52FCD888" w:rsidR="00EE432D" w:rsidRPr="00AB4DCC" w:rsidRDefault="00EE432D" w:rsidP="006F5732">
      <w:pPr>
        <w:pStyle w:val="SingleTxtG"/>
        <w:tabs>
          <w:tab w:val="clear" w:pos="1701"/>
        </w:tabs>
        <w:ind w:left="2268" w:hanging="1134"/>
        <w:rPr>
          <w:lang w:val="fr-FR"/>
        </w:rPr>
      </w:pPr>
      <w:r w:rsidRPr="00AB4DCC">
        <w:rPr>
          <w:lang w:val="fr-FR"/>
        </w:rPr>
        <w:t>8</w:t>
      </w:r>
      <w:r w:rsidR="00DF7AA4" w:rsidRPr="00DF7AA4">
        <w:rPr>
          <w:lang w:val="fr-FR"/>
        </w:rPr>
        <w:t>.</w:t>
      </w:r>
      <w:r w:rsidRPr="00AB4DCC">
        <w:rPr>
          <w:lang w:val="fr-FR"/>
        </w:rPr>
        <w:t>2</w:t>
      </w:r>
      <w:r w:rsidRPr="00AB4DCC">
        <w:rPr>
          <w:lang w:val="fr-FR"/>
        </w:rPr>
        <w:tab/>
        <w:t xml:space="preserve">Tout véhicule homologué </w:t>
      </w:r>
      <w:r>
        <w:rPr>
          <w:lang w:val="fr-FR"/>
        </w:rPr>
        <w:t>au titre</w:t>
      </w:r>
      <w:r w:rsidRPr="00AB4DCC">
        <w:rPr>
          <w:lang w:val="fr-FR"/>
        </w:rPr>
        <w:t xml:space="preserve"> du présent Règlement doit être construit de façon à être conforme au type homologué en satisfaisant aux prescriptions du paragraphe 5 ci-dessus</w:t>
      </w:r>
      <w:r>
        <w:rPr>
          <w:lang w:val="fr-FR"/>
        </w:rPr>
        <w:t> ;</w:t>
      </w:r>
    </w:p>
    <w:p w14:paraId="4613BEB2" w14:textId="72519F0D" w:rsidR="00EE432D" w:rsidRPr="00AB4DCC" w:rsidRDefault="00EE432D" w:rsidP="006F5732">
      <w:pPr>
        <w:pStyle w:val="SingleTxtG"/>
        <w:tabs>
          <w:tab w:val="clear" w:pos="1701"/>
        </w:tabs>
        <w:ind w:left="2268" w:hanging="1134"/>
        <w:rPr>
          <w:lang w:val="fr-FR"/>
        </w:rPr>
      </w:pPr>
      <w:r w:rsidRPr="00AB4DCC">
        <w:rPr>
          <w:lang w:val="fr-FR"/>
        </w:rPr>
        <w:t>8</w:t>
      </w:r>
      <w:r w:rsidR="00DF7AA4" w:rsidRPr="00DF7AA4">
        <w:rPr>
          <w:lang w:val="fr-FR"/>
        </w:rPr>
        <w:t>.</w:t>
      </w:r>
      <w:r w:rsidRPr="00AB4DCC">
        <w:rPr>
          <w:lang w:val="fr-FR"/>
        </w:rPr>
        <w:t>3</w:t>
      </w:r>
      <w:r w:rsidRPr="00AB4DCC">
        <w:rPr>
          <w:lang w:val="fr-FR"/>
        </w:rPr>
        <w:tab/>
        <w:t>L</w:t>
      </w:r>
      <w:r>
        <w:rPr>
          <w:lang w:val="fr-FR"/>
        </w:rPr>
        <w:t>’</w:t>
      </w:r>
      <w:r w:rsidRPr="00AB4DCC">
        <w:rPr>
          <w:lang w:val="fr-FR"/>
        </w:rPr>
        <w:t>autorité d</w:t>
      </w:r>
      <w:r>
        <w:rPr>
          <w:lang w:val="fr-FR"/>
        </w:rPr>
        <w:t>’</w:t>
      </w:r>
      <w:r w:rsidRPr="00AB4DCC">
        <w:rPr>
          <w:lang w:val="fr-FR"/>
        </w:rPr>
        <w:t>homologation de type qui a accordé l</w:t>
      </w:r>
      <w:r>
        <w:rPr>
          <w:lang w:val="fr-FR"/>
        </w:rPr>
        <w:t>’</w:t>
      </w:r>
      <w:r w:rsidRPr="00AB4DCC">
        <w:rPr>
          <w:lang w:val="fr-FR"/>
        </w:rPr>
        <w:t>homologation peut à tout moment vérifier que les méthodes de contrôle de la conformité sont appliquées correctement dans chaque unité de production</w:t>
      </w:r>
      <w:r w:rsidR="00DF7AA4" w:rsidRPr="00DF7AA4">
        <w:rPr>
          <w:lang w:val="fr-FR"/>
        </w:rPr>
        <w:t>.</w:t>
      </w:r>
      <w:r w:rsidRPr="00AB4DCC">
        <w:rPr>
          <w:lang w:val="fr-FR"/>
        </w:rPr>
        <w:t xml:space="preserve"> La fréquence normale de ces vérifications doit être d</w:t>
      </w:r>
      <w:r>
        <w:rPr>
          <w:lang w:val="fr-FR"/>
        </w:rPr>
        <w:t>’</w:t>
      </w:r>
      <w:r w:rsidRPr="00AB4DCC">
        <w:rPr>
          <w:lang w:val="fr-FR"/>
        </w:rPr>
        <w:t>une fois tous les deux ans</w:t>
      </w:r>
      <w:r w:rsidR="00DF7AA4" w:rsidRPr="00DF7AA4">
        <w:rPr>
          <w:lang w:val="fr-FR"/>
        </w:rPr>
        <w:t>.</w:t>
      </w:r>
    </w:p>
    <w:p w14:paraId="7E879DA8" w14:textId="4A62751B" w:rsidR="00EE432D" w:rsidRPr="00AB4DCC" w:rsidRDefault="00EE432D" w:rsidP="00EE432D">
      <w:pPr>
        <w:pStyle w:val="HChG"/>
        <w:tabs>
          <w:tab w:val="clear" w:pos="851"/>
        </w:tabs>
        <w:ind w:left="2268"/>
        <w:rPr>
          <w:lang w:val="fr-FR"/>
        </w:rPr>
      </w:pPr>
      <w:r w:rsidRPr="00AB4DCC">
        <w:rPr>
          <w:bCs/>
          <w:lang w:val="fr-FR"/>
        </w:rPr>
        <w:t>9</w:t>
      </w:r>
      <w:r w:rsidR="00DF7AA4" w:rsidRPr="00DF7AA4">
        <w:rPr>
          <w:bCs/>
          <w:lang w:val="fr-FR"/>
        </w:rPr>
        <w:t>.</w:t>
      </w:r>
      <w:r w:rsidRPr="00AB4DCC">
        <w:rPr>
          <w:lang w:val="fr-FR"/>
        </w:rPr>
        <w:tab/>
      </w:r>
      <w:r w:rsidRPr="00AB4DCC">
        <w:rPr>
          <w:bCs/>
          <w:lang w:val="fr-FR"/>
        </w:rPr>
        <w:t>Sanctions pour non-conformité de la production</w:t>
      </w:r>
    </w:p>
    <w:p w14:paraId="33B844EC" w14:textId="1DFF1CAE" w:rsidR="00EE432D" w:rsidRPr="00AB4DCC" w:rsidRDefault="00EE432D" w:rsidP="006F5732">
      <w:pPr>
        <w:pStyle w:val="SingleTxtG"/>
        <w:tabs>
          <w:tab w:val="clear" w:pos="1701"/>
        </w:tabs>
        <w:ind w:left="2268" w:hanging="1134"/>
        <w:rPr>
          <w:color w:val="000000" w:themeColor="text1"/>
          <w:lang w:val="fr-FR"/>
        </w:rPr>
      </w:pPr>
      <w:r w:rsidRPr="00AB4DCC">
        <w:rPr>
          <w:lang w:val="fr-FR"/>
        </w:rPr>
        <w:t>9</w:t>
      </w:r>
      <w:r w:rsidR="00DF7AA4" w:rsidRPr="00DF7AA4">
        <w:rPr>
          <w:lang w:val="fr-FR"/>
        </w:rPr>
        <w:t>.</w:t>
      </w:r>
      <w:r w:rsidRPr="00AB4DCC">
        <w:rPr>
          <w:lang w:val="fr-FR"/>
        </w:rPr>
        <w:t>1</w:t>
      </w:r>
      <w:r w:rsidRPr="00AB4DCC">
        <w:rPr>
          <w:lang w:val="fr-FR"/>
        </w:rPr>
        <w:tab/>
        <w:t>L</w:t>
      </w:r>
      <w:r>
        <w:rPr>
          <w:lang w:val="fr-FR"/>
        </w:rPr>
        <w:t>’</w:t>
      </w:r>
      <w:r w:rsidRPr="00AB4DCC">
        <w:rPr>
          <w:lang w:val="fr-FR"/>
        </w:rPr>
        <w:t>homologation délivrée pour un type de véhicule en application du présent Règlement peut être retirée si les prescriptions énoncées au paragraphe 8 ne sont pas respectées</w:t>
      </w:r>
      <w:r w:rsidR="00DF7AA4" w:rsidRPr="00DF7AA4">
        <w:rPr>
          <w:lang w:val="fr-FR"/>
        </w:rPr>
        <w:t>.</w:t>
      </w:r>
    </w:p>
    <w:p w14:paraId="3F38D432" w14:textId="4271DFF3" w:rsidR="00EE432D" w:rsidRPr="00AB4DCC" w:rsidRDefault="00EE432D" w:rsidP="006F5732">
      <w:pPr>
        <w:pStyle w:val="SingleTxtG"/>
        <w:tabs>
          <w:tab w:val="clear" w:pos="1701"/>
        </w:tabs>
        <w:ind w:left="2268" w:hanging="1134"/>
        <w:rPr>
          <w:lang w:val="fr-FR"/>
        </w:rPr>
      </w:pPr>
      <w:r w:rsidRPr="00AB4DCC">
        <w:rPr>
          <w:lang w:val="fr-FR"/>
        </w:rPr>
        <w:t>9</w:t>
      </w:r>
      <w:r w:rsidR="00DF7AA4" w:rsidRPr="00DF7AA4">
        <w:rPr>
          <w:lang w:val="fr-FR"/>
        </w:rPr>
        <w:t>.</w:t>
      </w:r>
      <w:r w:rsidRPr="00AB4DCC">
        <w:rPr>
          <w:lang w:val="fr-FR"/>
        </w:rPr>
        <w:t>2</w:t>
      </w:r>
      <w:r w:rsidRPr="00AB4DCC">
        <w:rPr>
          <w:lang w:val="fr-FR"/>
        </w:rPr>
        <w:tab/>
        <w:t>Lorsqu</w:t>
      </w:r>
      <w:r>
        <w:rPr>
          <w:lang w:val="fr-FR"/>
        </w:rPr>
        <w:t>’</w:t>
      </w:r>
      <w:r w:rsidRPr="00AB4DCC">
        <w:rPr>
          <w:lang w:val="fr-FR"/>
        </w:rPr>
        <w:t>une Partie contractante retire une homologation qu</w:t>
      </w:r>
      <w:r>
        <w:rPr>
          <w:lang w:val="fr-FR"/>
        </w:rPr>
        <w:t>’</w:t>
      </w:r>
      <w:r w:rsidRPr="00AB4DCC">
        <w:rPr>
          <w:lang w:val="fr-FR"/>
        </w:rPr>
        <w:t>elle avait accordée, elle doit en aviser immédiatement les autres Parties contractantes appliquant le présent Règlement par l</w:t>
      </w:r>
      <w:r>
        <w:rPr>
          <w:lang w:val="fr-FR"/>
        </w:rPr>
        <w:t>’</w:t>
      </w:r>
      <w:r w:rsidRPr="00AB4DCC">
        <w:rPr>
          <w:lang w:val="fr-FR"/>
        </w:rPr>
        <w:t>envoi d</w:t>
      </w:r>
      <w:r>
        <w:rPr>
          <w:lang w:val="fr-FR"/>
        </w:rPr>
        <w:t>’</w:t>
      </w:r>
      <w:r w:rsidRPr="00AB4DCC">
        <w:rPr>
          <w:lang w:val="fr-FR"/>
        </w:rPr>
        <w:t>une fiche de communication conforme au modèle de l</w:t>
      </w:r>
      <w:r>
        <w:rPr>
          <w:lang w:val="fr-FR"/>
        </w:rPr>
        <w:t>’</w:t>
      </w:r>
      <w:r w:rsidRPr="00AB4DCC">
        <w:rPr>
          <w:lang w:val="fr-FR"/>
        </w:rPr>
        <w:t>annexe 1 du</w:t>
      </w:r>
      <w:r>
        <w:rPr>
          <w:lang w:val="fr-FR"/>
        </w:rPr>
        <w:t>dit</w:t>
      </w:r>
      <w:r w:rsidRPr="00AB4DCC">
        <w:rPr>
          <w:lang w:val="fr-FR"/>
        </w:rPr>
        <w:t xml:space="preserve"> Règlement</w:t>
      </w:r>
      <w:r w:rsidR="00DF7AA4" w:rsidRPr="00DF7AA4">
        <w:rPr>
          <w:lang w:val="fr-FR"/>
        </w:rPr>
        <w:t>.</w:t>
      </w:r>
    </w:p>
    <w:p w14:paraId="0231606E" w14:textId="6B986A5E" w:rsidR="00EE432D" w:rsidRPr="00AB4DCC" w:rsidRDefault="00EE432D" w:rsidP="00EE432D">
      <w:pPr>
        <w:pStyle w:val="HChG"/>
        <w:tabs>
          <w:tab w:val="clear" w:pos="851"/>
        </w:tabs>
        <w:ind w:left="2268"/>
        <w:rPr>
          <w:lang w:val="fr-FR"/>
        </w:rPr>
      </w:pPr>
      <w:r w:rsidRPr="00AB4DCC">
        <w:rPr>
          <w:bCs/>
          <w:lang w:val="fr-FR"/>
        </w:rPr>
        <w:t>10</w:t>
      </w:r>
      <w:r w:rsidR="00DF7AA4" w:rsidRPr="00DF7AA4">
        <w:rPr>
          <w:bCs/>
          <w:lang w:val="fr-FR"/>
        </w:rPr>
        <w:t>.</w:t>
      </w:r>
      <w:r w:rsidRPr="00AB4DCC">
        <w:rPr>
          <w:lang w:val="fr-FR"/>
        </w:rPr>
        <w:tab/>
      </w:r>
      <w:r w:rsidRPr="002F6850">
        <w:rPr>
          <w:bCs/>
          <w:lang w:val="fr-FR"/>
        </w:rPr>
        <w:t>Arrêt définitif de la production</w:t>
      </w:r>
    </w:p>
    <w:p w14:paraId="3B4CFC68" w14:textId="0E6ABA4F" w:rsidR="00EE432D" w:rsidRPr="00AB4DCC" w:rsidRDefault="00EE432D" w:rsidP="00EE432D">
      <w:pPr>
        <w:pStyle w:val="SingleTxtG"/>
        <w:ind w:left="2268"/>
        <w:rPr>
          <w:sz w:val="21"/>
          <w:szCs w:val="21"/>
          <w:lang w:val="fr-FR"/>
        </w:rPr>
      </w:pPr>
      <w:r w:rsidRPr="00AB4DCC">
        <w:rPr>
          <w:lang w:val="fr-FR"/>
        </w:rPr>
        <w:t>Si le titulaire de l</w:t>
      </w:r>
      <w:r>
        <w:rPr>
          <w:lang w:val="fr-FR"/>
        </w:rPr>
        <w:t>’</w:t>
      </w:r>
      <w:r w:rsidRPr="00AB4DCC">
        <w:rPr>
          <w:lang w:val="fr-FR"/>
        </w:rPr>
        <w:t>homologation arrête définitivement la fabrication d</w:t>
      </w:r>
      <w:r>
        <w:rPr>
          <w:lang w:val="fr-FR"/>
        </w:rPr>
        <w:t>’</w:t>
      </w:r>
      <w:r w:rsidRPr="00AB4DCC">
        <w:rPr>
          <w:lang w:val="fr-FR"/>
        </w:rPr>
        <w:t xml:space="preserve">un type de véhicule homologué </w:t>
      </w:r>
      <w:r>
        <w:rPr>
          <w:lang w:val="fr-FR"/>
        </w:rPr>
        <w:t>au titre du</w:t>
      </w:r>
      <w:r w:rsidRPr="00AB4DCC">
        <w:rPr>
          <w:lang w:val="fr-FR"/>
        </w:rPr>
        <w:t xml:space="preserve"> présent Règlement, il doit en informer l</w:t>
      </w:r>
      <w:r>
        <w:rPr>
          <w:lang w:val="fr-FR"/>
        </w:rPr>
        <w:t>’</w:t>
      </w:r>
      <w:r w:rsidRPr="00AB4DCC">
        <w:rPr>
          <w:lang w:val="fr-FR"/>
        </w:rPr>
        <w:t>autorité qui a délivré l</w:t>
      </w:r>
      <w:r>
        <w:rPr>
          <w:lang w:val="fr-FR"/>
        </w:rPr>
        <w:t>’</w:t>
      </w:r>
      <w:r w:rsidRPr="00AB4DCC">
        <w:rPr>
          <w:lang w:val="fr-FR"/>
        </w:rPr>
        <w:t>homologation, laquelle doit à son tour en informer immédiatement les autres Parties contractantes à l</w:t>
      </w:r>
      <w:r>
        <w:rPr>
          <w:lang w:val="fr-FR"/>
        </w:rPr>
        <w:t>’</w:t>
      </w:r>
      <w:r w:rsidRPr="00AB4DCC">
        <w:rPr>
          <w:lang w:val="fr-FR"/>
        </w:rPr>
        <w:t>Accord appliquant le</w:t>
      </w:r>
      <w:r>
        <w:rPr>
          <w:lang w:val="fr-FR"/>
        </w:rPr>
        <w:t>dit</w:t>
      </w:r>
      <w:r w:rsidRPr="00AB4DCC">
        <w:rPr>
          <w:lang w:val="fr-FR"/>
        </w:rPr>
        <w:t xml:space="preserve"> Règlement au moyen d</w:t>
      </w:r>
      <w:r>
        <w:rPr>
          <w:lang w:val="fr-FR"/>
        </w:rPr>
        <w:t>’</w:t>
      </w:r>
      <w:r w:rsidRPr="00AB4DCC">
        <w:rPr>
          <w:lang w:val="fr-FR"/>
        </w:rPr>
        <w:t>une fiche de communication conforme au modèle de l</w:t>
      </w:r>
      <w:r>
        <w:rPr>
          <w:lang w:val="fr-FR"/>
        </w:rPr>
        <w:t>’</w:t>
      </w:r>
      <w:r w:rsidRPr="00AB4DCC">
        <w:rPr>
          <w:lang w:val="fr-FR"/>
        </w:rPr>
        <w:t>annexe 1</w:t>
      </w:r>
      <w:r w:rsidR="00DF7AA4" w:rsidRPr="00DF7AA4">
        <w:rPr>
          <w:lang w:val="fr-FR"/>
        </w:rPr>
        <w:t>.</w:t>
      </w:r>
    </w:p>
    <w:p w14:paraId="137BEE37" w14:textId="795E6A1D" w:rsidR="00EE432D" w:rsidRPr="00AB4DCC" w:rsidRDefault="00EE432D" w:rsidP="00EE432D">
      <w:pPr>
        <w:pStyle w:val="Paragraphedeliste"/>
        <w:keepNext/>
        <w:keepLines/>
        <w:tabs>
          <w:tab w:val="right" w:pos="851"/>
        </w:tabs>
        <w:spacing w:before="360" w:after="240" w:line="300" w:lineRule="exact"/>
        <w:ind w:left="2268" w:right="1134" w:hanging="1134"/>
        <w:contextualSpacing w:val="0"/>
        <w:rPr>
          <w:sz w:val="28"/>
          <w:szCs w:val="28"/>
          <w:lang w:val="fr-FR"/>
        </w:rPr>
      </w:pPr>
      <w:bookmarkStart w:id="14" w:name="_Toc530068551"/>
      <w:r w:rsidRPr="00AB4DCC">
        <w:rPr>
          <w:b/>
          <w:bCs/>
          <w:sz w:val="28"/>
          <w:szCs w:val="28"/>
          <w:lang w:val="fr-FR"/>
        </w:rPr>
        <w:lastRenderedPageBreak/>
        <w:t>11</w:t>
      </w:r>
      <w:r w:rsidR="00DF7AA4" w:rsidRPr="00DF7AA4">
        <w:rPr>
          <w:b/>
          <w:bCs/>
          <w:sz w:val="28"/>
          <w:szCs w:val="28"/>
          <w:lang w:val="fr-FR"/>
        </w:rPr>
        <w:t>.</w:t>
      </w:r>
      <w:r w:rsidRPr="00AB4DCC">
        <w:rPr>
          <w:sz w:val="28"/>
          <w:szCs w:val="28"/>
          <w:lang w:val="fr-FR"/>
        </w:rPr>
        <w:tab/>
      </w:r>
      <w:r w:rsidRPr="00AB4DCC">
        <w:rPr>
          <w:sz w:val="28"/>
          <w:szCs w:val="28"/>
          <w:lang w:val="fr-FR"/>
        </w:rPr>
        <w:tab/>
      </w:r>
      <w:r w:rsidRPr="00AB4DCC">
        <w:rPr>
          <w:b/>
          <w:bCs/>
          <w:sz w:val="28"/>
          <w:szCs w:val="28"/>
          <w:lang w:val="fr-FR"/>
        </w:rPr>
        <w:t>Noms et adresses des services techniques chargés des essais d</w:t>
      </w:r>
      <w:r>
        <w:rPr>
          <w:b/>
          <w:bCs/>
          <w:sz w:val="28"/>
          <w:szCs w:val="28"/>
          <w:lang w:val="fr-FR"/>
        </w:rPr>
        <w:t>’</w:t>
      </w:r>
      <w:r w:rsidRPr="00AB4DCC">
        <w:rPr>
          <w:b/>
          <w:bCs/>
          <w:sz w:val="28"/>
          <w:szCs w:val="28"/>
          <w:lang w:val="fr-FR"/>
        </w:rPr>
        <w:t>homologation et des autorités d</w:t>
      </w:r>
      <w:r>
        <w:rPr>
          <w:b/>
          <w:bCs/>
          <w:sz w:val="28"/>
          <w:szCs w:val="28"/>
          <w:lang w:val="fr-FR"/>
        </w:rPr>
        <w:t>’</w:t>
      </w:r>
      <w:r w:rsidRPr="00AB4DCC">
        <w:rPr>
          <w:b/>
          <w:bCs/>
          <w:sz w:val="28"/>
          <w:szCs w:val="28"/>
          <w:lang w:val="fr-FR"/>
        </w:rPr>
        <w:t>homologation de type</w:t>
      </w:r>
      <w:bookmarkEnd w:id="14"/>
    </w:p>
    <w:p w14:paraId="2D7647AC" w14:textId="172BCA61" w:rsidR="00F9573C" w:rsidRDefault="00EE432D" w:rsidP="00EE432D">
      <w:pPr>
        <w:pStyle w:val="SingleTxtG"/>
        <w:ind w:left="2268"/>
        <w:rPr>
          <w:lang w:val="fr-FR"/>
        </w:rPr>
      </w:pPr>
      <w:r w:rsidRPr="00AB4DCC">
        <w:rPr>
          <w:lang w:val="fr-FR"/>
        </w:rPr>
        <w:t>Les Parties contractantes à l</w:t>
      </w:r>
      <w:r>
        <w:rPr>
          <w:lang w:val="fr-FR"/>
        </w:rPr>
        <w:t>’</w:t>
      </w:r>
      <w:r w:rsidRPr="00AB4DCC">
        <w:rPr>
          <w:lang w:val="fr-FR"/>
        </w:rPr>
        <w:t xml:space="preserve">Accord appliquant le présent Règlement </w:t>
      </w:r>
      <w:r>
        <w:rPr>
          <w:lang w:val="fr-FR"/>
        </w:rPr>
        <w:t xml:space="preserve">doivent </w:t>
      </w:r>
      <w:r w:rsidRPr="00AB4DCC">
        <w:rPr>
          <w:lang w:val="fr-FR"/>
        </w:rPr>
        <w:t>communique</w:t>
      </w:r>
      <w:r>
        <w:rPr>
          <w:lang w:val="fr-FR"/>
        </w:rPr>
        <w:t>r</w:t>
      </w:r>
      <w:r w:rsidRPr="00AB4DCC">
        <w:rPr>
          <w:lang w:val="fr-FR"/>
        </w:rPr>
        <w:t xml:space="preserve"> au Secrétariat de l</w:t>
      </w:r>
      <w:r>
        <w:rPr>
          <w:lang w:val="fr-FR"/>
        </w:rPr>
        <w:t>’</w:t>
      </w:r>
      <w:r w:rsidRPr="00AB4DCC">
        <w:rPr>
          <w:lang w:val="fr-FR"/>
        </w:rPr>
        <w:t>Organisation des Nations Unies</w:t>
      </w:r>
      <w:r w:rsidRPr="004B1B5A">
        <w:rPr>
          <w:rStyle w:val="Appelnotedebasdep"/>
        </w:rPr>
        <w:footnoteReference w:id="5"/>
      </w:r>
      <w:r w:rsidRPr="00AB4DCC">
        <w:rPr>
          <w:lang w:val="fr-FR"/>
        </w:rPr>
        <w:t xml:space="preserve"> les noms et adresses des services techniques </w:t>
      </w:r>
      <w:r>
        <w:rPr>
          <w:lang w:val="fr-FR"/>
        </w:rPr>
        <w:t>chargés</w:t>
      </w:r>
      <w:r w:rsidRPr="00AB4DCC">
        <w:rPr>
          <w:lang w:val="fr-FR"/>
        </w:rPr>
        <w:t xml:space="preserve"> des essais d</w:t>
      </w:r>
      <w:r>
        <w:rPr>
          <w:lang w:val="fr-FR"/>
        </w:rPr>
        <w:t>’</w:t>
      </w:r>
      <w:r w:rsidRPr="00AB4DCC">
        <w:rPr>
          <w:lang w:val="fr-FR"/>
        </w:rPr>
        <w:t xml:space="preserve">homologation et </w:t>
      </w:r>
      <w:r>
        <w:rPr>
          <w:lang w:val="fr-FR"/>
        </w:rPr>
        <w:t xml:space="preserve">ceux </w:t>
      </w:r>
      <w:r w:rsidRPr="00AB4DCC">
        <w:rPr>
          <w:lang w:val="fr-FR"/>
        </w:rPr>
        <w:t xml:space="preserve">des </w:t>
      </w:r>
      <w:r>
        <w:rPr>
          <w:lang w:val="fr-FR"/>
        </w:rPr>
        <w:t>autorités</w:t>
      </w:r>
      <w:r w:rsidRPr="00AB4DCC">
        <w:rPr>
          <w:lang w:val="fr-FR"/>
        </w:rPr>
        <w:t xml:space="preserve"> qui délivrent l</w:t>
      </w:r>
      <w:r>
        <w:rPr>
          <w:lang w:val="fr-FR"/>
        </w:rPr>
        <w:t xml:space="preserve">es </w:t>
      </w:r>
      <w:r w:rsidRPr="00AB4DCC">
        <w:rPr>
          <w:lang w:val="fr-FR"/>
        </w:rPr>
        <w:t>homologation</w:t>
      </w:r>
      <w:r>
        <w:rPr>
          <w:lang w:val="fr-FR"/>
        </w:rPr>
        <w:t>s</w:t>
      </w:r>
      <w:r w:rsidRPr="00AB4DCC">
        <w:rPr>
          <w:lang w:val="fr-FR"/>
        </w:rPr>
        <w:t xml:space="preserve"> et auxquel</w:t>
      </w:r>
      <w:r>
        <w:rPr>
          <w:lang w:val="fr-FR"/>
        </w:rPr>
        <w:t>le</w:t>
      </w:r>
      <w:r w:rsidRPr="00AB4DCC">
        <w:rPr>
          <w:lang w:val="fr-FR"/>
        </w:rPr>
        <w:t xml:space="preserve">s doivent être envoyées les </w:t>
      </w:r>
      <w:r w:rsidRPr="00462DE6">
        <w:rPr>
          <w:lang w:val="fr-FR"/>
        </w:rPr>
        <w:t>fiches de communication concernant la délivrance, l</w:t>
      </w:r>
      <w:r>
        <w:rPr>
          <w:lang w:val="fr-FR"/>
        </w:rPr>
        <w:t>’</w:t>
      </w:r>
      <w:r w:rsidRPr="00462DE6">
        <w:rPr>
          <w:lang w:val="fr-FR"/>
        </w:rPr>
        <w:t>extension, le refus ou le retrait d</w:t>
      </w:r>
      <w:r>
        <w:rPr>
          <w:lang w:val="fr-FR"/>
        </w:rPr>
        <w:t>’</w:t>
      </w:r>
      <w:r w:rsidRPr="00462DE6">
        <w:rPr>
          <w:lang w:val="fr-FR"/>
        </w:rPr>
        <w:t>une homologation établies dans les autres pays</w:t>
      </w:r>
      <w:r w:rsidR="00DF7AA4" w:rsidRPr="00DF7AA4">
        <w:rPr>
          <w:lang w:val="fr-FR"/>
        </w:rPr>
        <w:t>.</w:t>
      </w:r>
      <w:r>
        <w:rPr>
          <w:lang w:val="fr-FR"/>
        </w:rPr>
        <w:t xml:space="preserve"> </w:t>
      </w:r>
    </w:p>
    <w:p w14:paraId="1C877476" w14:textId="77777777" w:rsidR="006F5732" w:rsidRDefault="006F5732" w:rsidP="00EE432D">
      <w:pPr>
        <w:pStyle w:val="SingleTxtG"/>
        <w:ind w:left="2268"/>
        <w:rPr>
          <w:lang w:val="fr-FR"/>
        </w:rPr>
      </w:pPr>
    </w:p>
    <w:p w14:paraId="54DD99FA" w14:textId="77777777" w:rsidR="006F5732" w:rsidRDefault="006F5732" w:rsidP="00EE432D">
      <w:pPr>
        <w:pStyle w:val="SingleTxtG"/>
        <w:ind w:left="2268"/>
        <w:sectPr w:rsidR="006F5732" w:rsidSect="00EE432D">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pPr>
    </w:p>
    <w:p w14:paraId="58CAD941" w14:textId="77777777" w:rsidR="006F5732" w:rsidRPr="00AB4DCC" w:rsidRDefault="006F5732" w:rsidP="006F5732">
      <w:pPr>
        <w:pStyle w:val="HChG"/>
        <w:rPr>
          <w:lang w:val="fr-FR"/>
        </w:rPr>
      </w:pPr>
      <w:bookmarkStart w:id="15" w:name="_Toc530068552"/>
      <w:r w:rsidRPr="00AB4DCC">
        <w:rPr>
          <w:lang w:val="fr-FR"/>
        </w:rPr>
        <w:lastRenderedPageBreak/>
        <w:t>Annexe 1</w:t>
      </w:r>
      <w:bookmarkEnd w:id="15"/>
    </w:p>
    <w:p w14:paraId="78FD8088" w14:textId="77777777" w:rsidR="006F5732" w:rsidRPr="00AB4DCC" w:rsidRDefault="006F5732" w:rsidP="006F5732">
      <w:pPr>
        <w:pStyle w:val="HChG"/>
        <w:rPr>
          <w:lang w:val="fr-FR"/>
        </w:rPr>
      </w:pPr>
      <w:r w:rsidRPr="00AB4DCC">
        <w:rPr>
          <w:lang w:val="fr-FR"/>
        </w:rPr>
        <w:tab/>
      </w:r>
      <w:r w:rsidRPr="00AB4DCC">
        <w:rPr>
          <w:lang w:val="fr-FR"/>
        </w:rPr>
        <w:tab/>
        <w:t>Communication</w:t>
      </w:r>
    </w:p>
    <w:p w14:paraId="3038CD28" w14:textId="3E2499DD" w:rsidR="006F5732" w:rsidRPr="00AB4DCC" w:rsidRDefault="006F5732" w:rsidP="006F5732">
      <w:pPr>
        <w:pStyle w:val="SingleTxtG"/>
        <w:rPr>
          <w:lang w:val="fr-FR"/>
        </w:rPr>
      </w:pPr>
      <w:r w:rsidRPr="00AB4DCC">
        <w:rPr>
          <w:lang w:val="fr-FR"/>
        </w:rPr>
        <w:t>(Format maximal</w:t>
      </w:r>
      <w:r>
        <w:rPr>
          <w:lang w:val="fr-FR"/>
        </w:rPr>
        <w:t> :</w:t>
      </w:r>
      <w:r w:rsidRPr="00AB4DCC">
        <w:rPr>
          <w:lang w:val="fr-FR"/>
        </w:rPr>
        <w:t xml:space="preserve"> A</w:t>
      </w:r>
      <w:r w:rsidR="00DF7AA4" w:rsidRPr="00DF7AA4">
        <w:rPr>
          <w:lang w:val="fr-FR"/>
        </w:rPr>
        <w:t>.</w:t>
      </w:r>
      <w:r w:rsidRPr="00AB4DCC">
        <w:rPr>
          <w:lang w:val="fr-FR"/>
        </w:rPr>
        <w:t>4 (210 x 297 mm))</w:t>
      </w:r>
    </w:p>
    <w:p w14:paraId="0E2332CE" w14:textId="77777777" w:rsidR="006F5732" w:rsidRPr="00AB4DCC" w:rsidRDefault="006F5732" w:rsidP="006F5732">
      <w:pPr>
        <w:jc w:val="center"/>
        <w:rPr>
          <w:lang w:val="fr-FR"/>
        </w:rPr>
      </w:pPr>
    </w:p>
    <w:tbl>
      <w:tblPr>
        <w:tblW w:w="7513" w:type="dxa"/>
        <w:tblInd w:w="1134" w:type="dxa"/>
        <w:tblLayout w:type="fixed"/>
        <w:tblCellMar>
          <w:left w:w="70" w:type="dxa"/>
          <w:right w:w="70" w:type="dxa"/>
        </w:tblCellMar>
        <w:tblLook w:val="0000" w:firstRow="0" w:lastRow="0" w:firstColumn="0" w:lastColumn="0" w:noHBand="0" w:noVBand="0"/>
      </w:tblPr>
      <w:tblGrid>
        <w:gridCol w:w="3686"/>
        <w:gridCol w:w="3827"/>
      </w:tblGrid>
      <w:tr w:rsidR="006F5732" w:rsidRPr="00AB4DCC" w14:paraId="13F83BB6" w14:textId="77777777" w:rsidTr="00BC160F">
        <w:tc>
          <w:tcPr>
            <w:tcW w:w="3686" w:type="dxa"/>
          </w:tcPr>
          <w:p w14:paraId="7760AFF2" w14:textId="77777777" w:rsidR="006F5732" w:rsidRPr="00AB4DCC" w:rsidRDefault="006F5732" w:rsidP="00BC160F">
            <w:pPr>
              <w:jc w:val="both"/>
              <w:rPr>
                <w:lang w:val="fr-FR"/>
              </w:rPr>
            </w:pPr>
            <w:r w:rsidRPr="00AB4DCC">
              <w:rPr>
                <w:noProof/>
                <w:lang w:val="fr-FR" w:eastAsia="zh-CN"/>
              </w:rPr>
              <w:drawing>
                <wp:inline distT="0" distB="0" distL="0" distR="0" wp14:anchorId="7BCE0B6C" wp14:editId="2A99206D">
                  <wp:extent cx="933450" cy="904875"/>
                  <wp:effectExtent l="0" t="0" r="0" b="9525"/>
                  <wp:docPr id="15" name="Picture 15"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r w:rsidRPr="006F5732">
              <w:rPr>
                <w:rStyle w:val="Appelnotedebasdep"/>
                <w:color w:val="FFFFFF" w:themeColor="background1"/>
              </w:rPr>
              <w:footnoteReference w:id="6"/>
            </w:r>
          </w:p>
        </w:tc>
        <w:tc>
          <w:tcPr>
            <w:tcW w:w="3827" w:type="dxa"/>
          </w:tcPr>
          <w:p w14:paraId="534AD012" w14:textId="77777777" w:rsidR="006F5732" w:rsidRPr="00AB4DCC" w:rsidRDefault="006F5732" w:rsidP="00BC160F">
            <w:pPr>
              <w:tabs>
                <w:tab w:val="left" w:pos="1418"/>
              </w:tabs>
              <w:rPr>
                <w:lang w:val="fr-FR"/>
              </w:rPr>
            </w:pPr>
            <w:r w:rsidRPr="00AB4DCC">
              <w:rPr>
                <w:lang w:val="fr-FR"/>
              </w:rPr>
              <w:t>Émanant de</w:t>
            </w:r>
            <w:r>
              <w:rPr>
                <w:lang w:val="fr-FR"/>
              </w:rPr>
              <w:t> :</w:t>
            </w:r>
            <w:r w:rsidRPr="00AB4DCC">
              <w:rPr>
                <w:lang w:val="fr-FR"/>
              </w:rPr>
              <w:tab/>
              <w:t>(Nom de l</w:t>
            </w:r>
            <w:r>
              <w:rPr>
                <w:lang w:val="fr-FR"/>
              </w:rPr>
              <w:t>’</w:t>
            </w:r>
            <w:r w:rsidRPr="00AB4DCC">
              <w:rPr>
                <w:lang w:val="fr-FR"/>
              </w:rPr>
              <w:t>administration)</w:t>
            </w:r>
            <w:r>
              <w:rPr>
                <w:lang w:val="fr-FR"/>
              </w:rPr>
              <w:t> :</w:t>
            </w:r>
          </w:p>
          <w:p w14:paraId="781D37CC" w14:textId="77777777" w:rsidR="006F5732" w:rsidRDefault="006F5732" w:rsidP="00BC160F">
            <w:pPr>
              <w:tabs>
                <w:tab w:val="left" w:pos="-720"/>
                <w:tab w:val="left" w:pos="1418"/>
                <w:tab w:val="right" w:leader="dot" w:pos="3686"/>
              </w:tabs>
              <w:ind w:left="1418"/>
              <w:jc w:val="both"/>
              <w:rPr>
                <w:lang w:val="fr-FR"/>
              </w:rPr>
            </w:pPr>
            <w:r>
              <w:rPr>
                <w:lang w:val="fr-FR"/>
              </w:rPr>
              <w:tab/>
            </w:r>
          </w:p>
          <w:p w14:paraId="13F29794" w14:textId="77777777" w:rsidR="006F5732" w:rsidRPr="0037414E" w:rsidRDefault="006F5732" w:rsidP="00BC160F">
            <w:pPr>
              <w:tabs>
                <w:tab w:val="left" w:pos="-720"/>
                <w:tab w:val="left" w:pos="1418"/>
                <w:tab w:val="right" w:leader="dot" w:pos="3686"/>
              </w:tabs>
              <w:ind w:left="1418"/>
              <w:jc w:val="both"/>
              <w:rPr>
                <w:lang w:val="fr-FR"/>
              </w:rPr>
            </w:pPr>
            <w:r>
              <w:rPr>
                <w:lang w:val="fr-FR"/>
              </w:rPr>
              <w:tab/>
            </w:r>
          </w:p>
          <w:p w14:paraId="5CADD604" w14:textId="77777777" w:rsidR="006F5732" w:rsidRPr="00AB4DCC" w:rsidRDefault="006F5732" w:rsidP="00BC160F">
            <w:pPr>
              <w:tabs>
                <w:tab w:val="left" w:pos="-720"/>
                <w:tab w:val="left" w:pos="1418"/>
                <w:tab w:val="right" w:leader="dot" w:pos="3686"/>
              </w:tabs>
              <w:ind w:left="1418"/>
              <w:jc w:val="both"/>
              <w:rPr>
                <w:lang w:val="fr-FR"/>
              </w:rPr>
            </w:pPr>
            <w:r>
              <w:rPr>
                <w:lang w:val="fr-FR"/>
              </w:rPr>
              <w:tab/>
            </w:r>
          </w:p>
        </w:tc>
      </w:tr>
    </w:tbl>
    <w:p w14:paraId="351769F1" w14:textId="77777777" w:rsidR="006F5732" w:rsidRPr="00AB4DCC" w:rsidRDefault="006F5732" w:rsidP="006F5732">
      <w:pPr>
        <w:pStyle w:val="SingleTxtG"/>
        <w:tabs>
          <w:tab w:val="clear" w:pos="2268"/>
        </w:tabs>
        <w:spacing w:before="120" w:after="0"/>
        <w:ind w:left="2552" w:hanging="1418"/>
        <w:rPr>
          <w:lang w:val="fr-FR"/>
        </w:rPr>
      </w:pPr>
      <w:r w:rsidRPr="00AB4DCC">
        <w:rPr>
          <w:lang w:val="fr-FR"/>
        </w:rPr>
        <w:t>Concernant</w:t>
      </w:r>
      <w:r w:rsidRPr="004B1B5A">
        <w:rPr>
          <w:rStyle w:val="Appelnotedebasdep"/>
        </w:rPr>
        <w:footnoteReference w:id="7"/>
      </w:r>
      <w:r>
        <w:rPr>
          <w:lang w:val="fr-FR"/>
        </w:rPr>
        <w:t> :</w:t>
      </w:r>
      <w:r w:rsidRPr="00AB4DCC">
        <w:rPr>
          <w:lang w:val="fr-FR"/>
        </w:rPr>
        <w:tab/>
        <w:t>Délivrance d</w:t>
      </w:r>
      <w:r>
        <w:rPr>
          <w:lang w:val="fr-FR"/>
        </w:rPr>
        <w:t>’</w:t>
      </w:r>
      <w:r w:rsidRPr="00AB4DCC">
        <w:rPr>
          <w:lang w:val="fr-FR"/>
        </w:rPr>
        <w:t>une homologation</w:t>
      </w:r>
    </w:p>
    <w:p w14:paraId="5E481E90" w14:textId="77777777" w:rsidR="006F5732" w:rsidRPr="00AB4DCC" w:rsidRDefault="006F5732" w:rsidP="006F5732">
      <w:pPr>
        <w:pStyle w:val="SingleTxtG"/>
        <w:spacing w:after="0"/>
        <w:ind w:left="2552"/>
        <w:rPr>
          <w:lang w:val="fr-FR"/>
        </w:rPr>
      </w:pPr>
      <w:r w:rsidRPr="00AB4DCC">
        <w:rPr>
          <w:lang w:val="fr-FR"/>
        </w:rPr>
        <w:t>Extension d</w:t>
      </w:r>
      <w:r>
        <w:rPr>
          <w:lang w:val="fr-FR"/>
        </w:rPr>
        <w:t>’</w:t>
      </w:r>
      <w:r w:rsidRPr="00AB4DCC">
        <w:rPr>
          <w:lang w:val="fr-FR"/>
        </w:rPr>
        <w:t>homologation</w:t>
      </w:r>
    </w:p>
    <w:p w14:paraId="0FC95641" w14:textId="77777777" w:rsidR="006F5732" w:rsidRPr="00AB4DCC" w:rsidRDefault="006F5732" w:rsidP="006F5732">
      <w:pPr>
        <w:pStyle w:val="SingleTxtG"/>
        <w:spacing w:after="0"/>
        <w:ind w:left="2552"/>
        <w:rPr>
          <w:lang w:val="fr-FR"/>
        </w:rPr>
      </w:pPr>
      <w:r w:rsidRPr="00AB4DCC">
        <w:rPr>
          <w:lang w:val="fr-FR"/>
        </w:rPr>
        <w:t>Refus d</w:t>
      </w:r>
      <w:r>
        <w:rPr>
          <w:lang w:val="fr-FR"/>
        </w:rPr>
        <w:t>’</w:t>
      </w:r>
      <w:r w:rsidRPr="00AB4DCC">
        <w:rPr>
          <w:lang w:val="fr-FR"/>
        </w:rPr>
        <w:t>homologation</w:t>
      </w:r>
    </w:p>
    <w:p w14:paraId="39FEAA38" w14:textId="77777777" w:rsidR="006F5732" w:rsidRPr="00AB4DCC" w:rsidRDefault="006F5732" w:rsidP="006F5732">
      <w:pPr>
        <w:pStyle w:val="SingleTxtG"/>
        <w:spacing w:after="0"/>
        <w:ind w:left="2552"/>
        <w:rPr>
          <w:lang w:val="fr-FR"/>
        </w:rPr>
      </w:pPr>
      <w:r w:rsidRPr="00AB4DCC">
        <w:rPr>
          <w:lang w:val="fr-FR"/>
        </w:rPr>
        <w:t>Retrait d</w:t>
      </w:r>
      <w:r>
        <w:rPr>
          <w:lang w:val="fr-FR"/>
        </w:rPr>
        <w:t>’</w:t>
      </w:r>
      <w:r w:rsidRPr="00AB4DCC">
        <w:rPr>
          <w:lang w:val="fr-FR"/>
        </w:rPr>
        <w:t>homologation</w:t>
      </w:r>
    </w:p>
    <w:p w14:paraId="79D4FF6E" w14:textId="77777777" w:rsidR="006F5732" w:rsidRPr="00AB4DCC" w:rsidRDefault="006F5732" w:rsidP="006F5732">
      <w:pPr>
        <w:pStyle w:val="SingleTxtG"/>
        <w:ind w:left="2552"/>
        <w:rPr>
          <w:lang w:val="fr-FR"/>
        </w:rPr>
      </w:pPr>
      <w:r w:rsidRPr="00AB4DCC">
        <w:rPr>
          <w:lang w:val="fr-FR"/>
        </w:rPr>
        <w:t>Arrêt définitif de la production</w:t>
      </w:r>
    </w:p>
    <w:p w14:paraId="7B581E09" w14:textId="77777777" w:rsidR="006F5732" w:rsidRPr="00AB4DCC" w:rsidRDefault="006F5732" w:rsidP="006F5732">
      <w:pPr>
        <w:pStyle w:val="SingleTxtG"/>
        <w:rPr>
          <w:lang w:val="fr-FR"/>
        </w:rPr>
      </w:pPr>
      <w:r w:rsidRPr="00AB4DCC">
        <w:rPr>
          <w:lang w:val="fr-FR"/>
        </w:rPr>
        <w:t>d</w:t>
      </w:r>
      <w:r>
        <w:rPr>
          <w:lang w:val="fr-FR"/>
        </w:rPr>
        <w:t>’</w:t>
      </w:r>
      <w:r w:rsidRPr="00AB4DCC">
        <w:rPr>
          <w:lang w:val="fr-FR"/>
        </w:rPr>
        <w:t>un type de véhicule en ce qui concerne son système de contrôle de l</w:t>
      </w:r>
      <w:r>
        <w:rPr>
          <w:lang w:val="fr-FR"/>
        </w:rPr>
        <w:t>’</w:t>
      </w:r>
      <w:r w:rsidRPr="00AB4DCC">
        <w:rPr>
          <w:lang w:val="fr-FR"/>
        </w:rPr>
        <w:t>accélération en cas d</w:t>
      </w:r>
      <w:r>
        <w:rPr>
          <w:lang w:val="fr-FR"/>
        </w:rPr>
        <w:t>’</w:t>
      </w:r>
      <w:r w:rsidRPr="00AB4DCC">
        <w:rPr>
          <w:lang w:val="fr-FR"/>
        </w:rPr>
        <w:t>erreur de pédale, en application du Règlement ONU n</w:t>
      </w:r>
      <w:r w:rsidRPr="00AB4DCC">
        <w:rPr>
          <w:vertAlign w:val="superscript"/>
          <w:lang w:val="fr-FR"/>
        </w:rPr>
        <w:t>o</w:t>
      </w:r>
      <w:r w:rsidRPr="00AB4DCC">
        <w:rPr>
          <w:lang w:val="fr-FR"/>
        </w:rPr>
        <w:t xml:space="preserve"> </w:t>
      </w:r>
      <w:r>
        <w:rPr>
          <w:lang w:val="fr-FR"/>
        </w:rPr>
        <w:t>[17X]</w:t>
      </w:r>
    </w:p>
    <w:p w14:paraId="7E8541DE" w14:textId="3CAE3D1E" w:rsidR="006F5732" w:rsidRPr="00AB4DCC" w:rsidRDefault="006F5732" w:rsidP="00D1353B">
      <w:pPr>
        <w:pStyle w:val="SingleTxtG"/>
        <w:tabs>
          <w:tab w:val="clear" w:pos="2268"/>
          <w:tab w:val="clear" w:pos="2835"/>
          <w:tab w:val="right" w:leader="dot" w:pos="8505"/>
        </w:tabs>
        <w:ind w:left="1701" w:hanging="567"/>
        <w:jc w:val="left"/>
        <w:rPr>
          <w:lang w:val="fr-FR"/>
        </w:rPr>
      </w:pPr>
      <w:r w:rsidRPr="00AB4DCC">
        <w:rPr>
          <w:lang w:val="fr-FR"/>
        </w:rPr>
        <w:t>N</w:t>
      </w:r>
      <w:r w:rsidRPr="00AB4DCC">
        <w:rPr>
          <w:vertAlign w:val="superscript"/>
          <w:lang w:val="fr-FR"/>
        </w:rPr>
        <w:t xml:space="preserve">o </w:t>
      </w:r>
      <w:r w:rsidRPr="00AB4DCC">
        <w:rPr>
          <w:lang w:val="fr-FR"/>
        </w:rPr>
        <w:t>d</w:t>
      </w:r>
      <w:r>
        <w:rPr>
          <w:lang w:val="fr-FR"/>
        </w:rPr>
        <w:t>’</w:t>
      </w:r>
      <w:r w:rsidRPr="00AB4DCC">
        <w:rPr>
          <w:lang w:val="fr-FR"/>
        </w:rPr>
        <w:t>homologation</w:t>
      </w:r>
      <w:r>
        <w:rPr>
          <w:lang w:val="fr-FR"/>
        </w:rPr>
        <w:t> :</w:t>
      </w:r>
      <w:r>
        <w:rPr>
          <w:lang w:val="fr-FR"/>
        </w:rPr>
        <w:tab/>
      </w:r>
      <w:r w:rsidR="00D1353B">
        <w:rPr>
          <w:lang w:val="fr-FR"/>
        </w:rPr>
        <w:tab/>
      </w:r>
    </w:p>
    <w:p w14:paraId="593CD290" w14:textId="4379BF7B" w:rsidR="006F5732" w:rsidRPr="00AB4DCC" w:rsidRDefault="006F5732" w:rsidP="006F5732">
      <w:pPr>
        <w:pStyle w:val="SingleTxtG"/>
        <w:tabs>
          <w:tab w:val="right" w:leader="dot" w:pos="8505"/>
        </w:tabs>
        <w:ind w:left="1701" w:hanging="567"/>
        <w:jc w:val="left"/>
        <w:rPr>
          <w:lang w:val="fr-FR"/>
        </w:rPr>
      </w:pPr>
      <w:r w:rsidRPr="00AB4DCC">
        <w:rPr>
          <w:lang w:val="fr-FR"/>
        </w:rPr>
        <w:t>1</w:t>
      </w:r>
      <w:r w:rsidR="00DF7AA4" w:rsidRPr="00DF7AA4">
        <w:rPr>
          <w:lang w:val="fr-FR"/>
        </w:rPr>
        <w:t>.</w:t>
      </w:r>
      <w:r w:rsidRPr="00AB4DCC">
        <w:rPr>
          <w:lang w:val="fr-FR"/>
        </w:rPr>
        <w:tab/>
        <w:t>Marque (de fabrique ou de commerce)</w:t>
      </w:r>
      <w:r>
        <w:rPr>
          <w:lang w:val="fr-FR"/>
        </w:rPr>
        <w:t> :</w:t>
      </w:r>
      <w:r w:rsidRPr="00AB4DCC">
        <w:rPr>
          <w:lang w:val="fr-FR"/>
        </w:rPr>
        <w:tab/>
      </w:r>
    </w:p>
    <w:p w14:paraId="0D66D454" w14:textId="7591BED3" w:rsidR="006F5732" w:rsidRPr="00AB4DCC" w:rsidRDefault="006F5732" w:rsidP="006F5732">
      <w:pPr>
        <w:pStyle w:val="SingleTxtG"/>
        <w:tabs>
          <w:tab w:val="right" w:leader="dot" w:pos="8505"/>
        </w:tabs>
        <w:ind w:left="1701" w:hanging="567"/>
        <w:jc w:val="left"/>
        <w:rPr>
          <w:lang w:val="fr-FR"/>
        </w:rPr>
      </w:pPr>
      <w:r w:rsidRPr="00AB4DCC">
        <w:rPr>
          <w:lang w:val="fr-FR"/>
        </w:rPr>
        <w:t>2</w:t>
      </w:r>
      <w:r w:rsidR="00DF7AA4" w:rsidRPr="00DF7AA4">
        <w:rPr>
          <w:lang w:val="fr-FR"/>
        </w:rPr>
        <w:t>.</w:t>
      </w:r>
      <w:r w:rsidRPr="00AB4DCC">
        <w:rPr>
          <w:lang w:val="fr-FR"/>
        </w:rPr>
        <w:tab/>
        <w:t>Type et dénomination(s) commerciale(s)</w:t>
      </w:r>
      <w:r>
        <w:rPr>
          <w:lang w:val="fr-FR"/>
        </w:rPr>
        <w:t> :</w:t>
      </w:r>
      <w:r w:rsidRPr="00AB4DCC">
        <w:rPr>
          <w:lang w:val="fr-FR"/>
        </w:rPr>
        <w:tab/>
      </w:r>
    </w:p>
    <w:p w14:paraId="3CEC5137" w14:textId="45688D46" w:rsidR="006F5732" w:rsidRPr="00AB4DCC" w:rsidRDefault="006F5732" w:rsidP="006F5732">
      <w:pPr>
        <w:pStyle w:val="SingleTxtG"/>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ab/>
        <w:t>Nom et adresse du constructeur</w:t>
      </w:r>
      <w:r>
        <w:rPr>
          <w:lang w:val="fr-FR"/>
        </w:rPr>
        <w:t> :</w:t>
      </w:r>
      <w:r w:rsidRPr="00AB4DCC">
        <w:rPr>
          <w:lang w:val="fr-FR"/>
        </w:rPr>
        <w:tab/>
      </w:r>
    </w:p>
    <w:p w14:paraId="50F47562" w14:textId="4A0D8B5C" w:rsidR="006F5732" w:rsidRPr="00AB4DCC" w:rsidRDefault="006F5732" w:rsidP="006F5732">
      <w:pPr>
        <w:pStyle w:val="SingleTxtG"/>
        <w:tabs>
          <w:tab w:val="right" w:leader="dot" w:pos="8505"/>
        </w:tabs>
        <w:ind w:left="1701" w:hanging="567"/>
        <w:jc w:val="left"/>
        <w:rPr>
          <w:lang w:val="fr-FR"/>
        </w:rPr>
      </w:pPr>
      <w:r w:rsidRPr="00AB4DCC">
        <w:rPr>
          <w:lang w:val="fr-FR"/>
        </w:rPr>
        <w:t>4</w:t>
      </w:r>
      <w:r w:rsidR="00DF7AA4" w:rsidRPr="00DF7AA4">
        <w:rPr>
          <w:lang w:val="fr-FR"/>
        </w:rPr>
        <w:t>.</w:t>
      </w:r>
      <w:r w:rsidRPr="00AB4DCC">
        <w:rPr>
          <w:lang w:val="fr-FR"/>
        </w:rPr>
        <w:tab/>
        <w:t>Le cas échéant, nom et adresse du mandataire du constructeur</w:t>
      </w:r>
      <w:r>
        <w:rPr>
          <w:lang w:val="fr-FR"/>
        </w:rPr>
        <w:t> :</w:t>
      </w:r>
      <w:r w:rsidRPr="00AB4DCC">
        <w:rPr>
          <w:lang w:val="fr-FR"/>
        </w:rPr>
        <w:tab/>
      </w:r>
    </w:p>
    <w:p w14:paraId="4D48189A" w14:textId="43D7D7C0" w:rsidR="006F5732" w:rsidRPr="00AB4DCC" w:rsidRDefault="006F5732" w:rsidP="006F5732">
      <w:pPr>
        <w:pStyle w:val="SingleTxtG"/>
        <w:tabs>
          <w:tab w:val="right" w:leader="dot" w:pos="8505"/>
        </w:tabs>
        <w:ind w:left="1701" w:hanging="567"/>
        <w:jc w:val="left"/>
        <w:rPr>
          <w:color w:val="000000" w:themeColor="text1"/>
          <w:lang w:val="fr-FR"/>
        </w:rPr>
      </w:pPr>
      <w:r w:rsidRPr="00AB4DCC">
        <w:rPr>
          <w:lang w:val="fr-FR"/>
        </w:rPr>
        <w:t>5</w:t>
      </w:r>
      <w:r w:rsidR="00DF7AA4" w:rsidRPr="00DF7AA4">
        <w:rPr>
          <w:lang w:val="fr-FR"/>
        </w:rPr>
        <w:t>.</w:t>
      </w:r>
      <w:r w:rsidRPr="00AB4DCC">
        <w:rPr>
          <w:lang w:val="fr-FR"/>
        </w:rPr>
        <w:tab/>
        <w:t>Description sommaire du type de véhicule</w:t>
      </w:r>
      <w:r>
        <w:rPr>
          <w:lang w:val="fr-FR"/>
        </w:rPr>
        <w:t> :</w:t>
      </w:r>
      <w:r w:rsidRPr="00AB4DCC">
        <w:rPr>
          <w:lang w:val="fr-FR"/>
        </w:rPr>
        <w:tab/>
      </w:r>
    </w:p>
    <w:p w14:paraId="61E4AA47" w14:textId="2D348E5C" w:rsidR="006F5732" w:rsidRPr="00AB4DCC" w:rsidRDefault="006F5732" w:rsidP="006F5732">
      <w:pPr>
        <w:pStyle w:val="SingleTxtG"/>
        <w:tabs>
          <w:tab w:val="right" w:leader="dot" w:pos="8505"/>
        </w:tabs>
        <w:ind w:left="1701" w:hanging="567"/>
        <w:jc w:val="left"/>
        <w:rPr>
          <w:color w:val="000000" w:themeColor="text1"/>
          <w:lang w:val="fr-FR"/>
        </w:rPr>
      </w:pPr>
      <w:r w:rsidRPr="00AB4DCC">
        <w:rPr>
          <w:lang w:val="fr-FR"/>
        </w:rPr>
        <w:t>6</w:t>
      </w:r>
      <w:r w:rsidR="00DF7AA4" w:rsidRPr="00DF7AA4">
        <w:rPr>
          <w:lang w:val="fr-FR"/>
        </w:rPr>
        <w:t>.</w:t>
      </w:r>
      <w:r w:rsidRPr="00AB4DCC">
        <w:rPr>
          <w:lang w:val="fr-FR"/>
        </w:rPr>
        <w:tab/>
        <w:t>Le véhicule est équipé d</w:t>
      </w:r>
      <w:r>
        <w:rPr>
          <w:lang w:val="fr-FR"/>
        </w:rPr>
        <w:t>’</w:t>
      </w:r>
      <w:r w:rsidRPr="00AB4DCC">
        <w:rPr>
          <w:lang w:val="fr-FR"/>
        </w:rPr>
        <w:t>un système ACPE qui a été exempté des prescriptions pertinentes (marche avant ou arrière) du présent Règlement</w:t>
      </w:r>
      <w:r>
        <w:rPr>
          <w:lang w:val="fr-FR"/>
        </w:rPr>
        <w:t> :</w:t>
      </w:r>
      <w:r w:rsidRPr="00AB4DCC">
        <w:rPr>
          <w:lang w:val="fr-FR"/>
        </w:rPr>
        <w:t xml:space="preserve"> oui/non</w:t>
      </w:r>
      <w:r w:rsidRPr="00053BD0">
        <w:rPr>
          <w:sz w:val="18"/>
          <w:szCs w:val="18"/>
          <w:vertAlign w:val="superscript"/>
          <w:lang w:val="fr-FR"/>
        </w:rPr>
        <w:t>2</w:t>
      </w:r>
    </w:p>
    <w:p w14:paraId="1C6559EF" w14:textId="20300924" w:rsidR="006F5732" w:rsidRPr="00AB4DCC" w:rsidRDefault="006F5732" w:rsidP="006F5732">
      <w:pPr>
        <w:pStyle w:val="SingleTxtG"/>
        <w:tabs>
          <w:tab w:val="right" w:leader="dot" w:pos="8505"/>
        </w:tabs>
        <w:ind w:left="1701" w:hanging="567"/>
        <w:jc w:val="left"/>
        <w:rPr>
          <w:color w:val="000000" w:themeColor="text1"/>
          <w:lang w:val="fr-FR"/>
        </w:rPr>
      </w:pPr>
      <w:r w:rsidRPr="00AB4DCC">
        <w:rPr>
          <w:lang w:val="fr-FR"/>
        </w:rPr>
        <w:t>6</w:t>
      </w:r>
      <w:r w:rsidR="00DF7AA4" w:rsidRPr="00DF7AA4">
        <w:rPr>
          <w:lang w:val="fr-FR"/>
        </w:rPr>
        <w:t>.</w:t>
      </w:r>
      <w:r w:rsidRPr="00AB4DCC">
        <w:rPr>
          <w:lang w:val="fr-FR"/>
        </w:rPr>
        <w:t>1</w:t>
      </w:r>
      <w:r w:rsidRPr="00AB4DCC">
        <w:rPr>
          <w:lang w:val="fr-FR"/>
        </w:rPr>
        <w:tab/>
        <w:t>Dans l</w:t>
      </w:r>
      <w:r>
        <w:rPr>
          <w:lang w:val="fr-FR"/>
        </w:rPr>
        <w:t>’</w:t>
      </w:r>
      <w:r w:rsidRPr="00AB4DCC">
        <w:rPr>
          <w:lang w:val="fr-FR"/>
        </w:rPr>
        <w:t>affirmative, donner des précisions</w:t>
      </w:r>
      <w:r>
        <w:rPr>
          <w:lang w:val="fr-FR"/>
        </w:rPr>
        <w:t> :</w:t>
      </w:r>
    </w:p>
    <w:p w14:paraId="7737EE21" w14:textId="1721B9E9" w:rsidR="006F5732" w:rsidRPr="00AB4DCC" w:rsidRDefault="006F5732" w:rsidP="006F5732">
      <w:pPr>
        <w:pStyle w:val="SingleTxtG"/>
        <w:tabs>
          <w:tab w:val="right" w:leader="dot" w:pos="8505"/>
        </w:tabs>
        <w:ind w:left="1701" w:hanging="567"/>
        <w:jc w:val="left"/>
        <w:rPr>
          <w:color w:val="000000" w:themeColor="text1"/>
          <w:lang w:val="fr-FR"/>
        </w:rPr>
      </w:pPr>
      <w:r w:rsidRPr="00AB4DCC">
        <w:rPr>
          <w:lang w:val="fr-FR"/>
        </w:rPr>
        <w:t>7</w:t>
      </w:r>
      <w:r w:rsidR="00DF7AA4" w:rsidRPr="00DF7AA4">
        <w:rPr>
          <w:lang w:val="fr-FR"/>
        </w:rPr>
        <w:t>.</w:t>
      </w:r>
      <w:r w:rsidRPr="00AB4DCC">
        <w:rPr>
          <w:lang w:val="fr-FR"/>
        </w:rPr>
        <w:tab/>
        <w:t>Date de soumission du véhicule pour homologation</w:t>
      </w:r>
      <w:r>
        <w:rPr>
          <w:lang w:val="fr-FR"/>
        </w:rPr>
        <w:t> :</w:t>
      </w:r>
      <w:r w:rsidRPr="00AB4DCC">
        <w:rPr>
          <w:lang w:val="fr-FR"/>
        </w:rPr>
        <w:tab/>
      </w:r>
    </w:p>
    <w:p w14:paraId="37B74CB1" w14:textId="259E7E61" w:rsidR="006F5732" w:rsidRPr="00AB4DCC" w:rsidRDefault="006F5732" w:rsidP="006F5732">
      <w:pPr>
        <w:pStyle w:val="SingleTxtG"/>
        <w:tabs>
          <w:tab w:val="right" w:leader="dot" w:pos="8505"/>
        </w:tabs>
        <w:ind w:left="1701" w:hanging="567"/>
        <w:jc w:val="left"/>
        <w:rPr>
          <w:color w:val="000000" w:themeColor="text1"/>
          <w:lang w:val="fr-FR"/>
        </w:rPr>
      </w:pPr>
      <w:r w:rsidRPr="00AB4DCC">
        <w:rPr>
          <w:lang w:val="fr-FR"/>
        </w:rPr>
        <w:t>8</w:t>
      </w:r>
      <w:r w:rsidR="00DF7AA4" w:rsidRPr="00DF7AA4">
        <w:rPr>
          <w:lang w:val="fr-FR"/>
        </w:rPr>
        <w:t>.</w:t>
      </w:r>
      <w:r w:rsidRPr="00AB4DCC">
        <w:rPr>
          <w:lang w:val="fr-FR"/>
        </w:rPr>
        <w:tab/>
        <w:t>Service technique effectuant les essais d</w:t>
      </w:r>
      <w:r>
        <w:rPr>
          <w:lang w:val="fr-FR"/>
        </w:rPr>
        <w:t>’</w:t>
      </w:r>
      <w:r w:rsidRPr="00AB4DCC">
        <w:rPr>
          <w:lang w:val="fr-FR"/>
        </w:rPr>
        <w:t>homologation</w:t>
      </w:r>
      <w:r>
        <w:rPr>
          <w:lang w:val="fr-FR"/>
        </w:rPr>
        <w:t> :</w:t>
      </w:r>
      <w:r w:rsidRPr="00AB4DCC">
        <w:rPr>
          <w:lang w:val="fr-FR"/>
        </w:rPr>
        <w:tab/>
      </w:r>
    </w:p>
    <w:p w14:paraId="0E0600F0" w14:textId="11E404AF" w:rsidR="006F5732" w:rsidRPr="00AB4DCC" w:rsidRDefault="006F5732" w:rsidP="006F5732">
      <w:pPr>
        <w:pStyle w:val="SingleTxtG"/>
        <w:tabs>
          <w:tab w:val="right" w:leader="dot" w:pos="8505"/>
        </w:tabs>
        <w:ind w:left="1701" w:hanging="567"/>
        <w:jc w:val="left"/>
        <w:rPr>
          <w:color w:val="000000" w:themeColor="text1"/>
          <w:lang w:val="fr-FR"/>
        </w:rPr>
      </w:pPr>
      <w:r w:rsidRPr="00AB4DCC">
        <w:rPr>
          <w:lang w:val="fr-FR"/>
        </w:rPr>
        <w:t>9</w:t>
      </w:r>
      <w:r w:rsidR="00DF7AA4" w:rsidRPr="00DF7AA4">
        <w:rPr>
          <w:lang w:val="fr-FR"/>
        </w:rPr>
        <w:t>.</w:t>
      </w:r>
      <w:r w:rsidRPr="00AB4DCC">
        <w:rPr>
          <w:lang w:val="fr-FR"/>
        </w:rPr>
        <w:tab/>
        <w:t>Date du procès-verbal délivré par ce service</w:t>
      </w:r>
      <w:r>
        <w:rPr>
          <w:lang w:val="fr-FR"/>
        </w:rPr>
        <w:t> :</w:t>
      </w:r>
      <w:r w:rsidRPr="00AB4DCC">
        <w:rPr>
          <w:lang w:val="fr-FR"/>
        </w:rPr>
        <w:tab/>
      </w:r>
    </w:p>
    <w:p w14:paraId="175EBA7A" w14:textId="1FB4F1E1" w:rsidR="006F5732" w:rsidRPr="00AB4DCC" w:rsidRDefault="006F5732" w:rsidP="006F5732">
      <w:pPr>
        <w:pStyle w:val="SingleTxtG"/>
        <w:tabs>
          <w:tab w:val="right" w:leader="dot" w:pos="8505"/>
        </w:tabs>
        <w:ind w:left="1701" w:hanging="567"/>
        <w:jc w:val="left"/>
        <w:rPr>
          <w:lang w:val="fr-FR"/>
        </w:rPr>
      </w:pPr>
      <w:r w:rsidRPr="00AB4DCC">
        <w:rPr>
          <w:lang w:val="fr-FR"/>
        </w:rPr>
        <w:t>10</w:t>
      </w:r>
      <w:r w:rsidR="00DF7AA4" w:rsidRPr="00DF7AA4">
        <w:rPr>
          <w:lang w:val="fr-FR"/>
        </w:rPr>
        <w:t>.</w:t>
      </w:r>
      <w:r w:rsidRPr="00AB4DCC">
        <w:rPr>
          <w:lang w:val="fr-FR"/>
        </w:rPr>
        <w:tab/>
        <w:t>Numéro du procès-verbal délivré par ce service</w:t>
      </w:r>
      <w:r>
        <w:rPr>
          <w:lang w:val="fr-FR"/>
        </w:rPr>
        <w:t> :</w:t>
      </w:r>
      <w:r w:rsidRPr="00AB4DCC">
        <w:rPr>
          <w:lang w:val="fr-FR"/>
        </w:rPr>
        <w:tab/>
      </w:r>
    </w:p>
    <w:p w14:paraId="28249225" w14:textId="2967A0EE" w:rsidR="006F5732" w:rsidRPr="00AB4DCC" w:rsidRDefault="006F5732" w:rsidP="006F5732">
      <w:pPr>
        <w:pStyle w:val="SingleTxtG"/>
        <w:tabs>
          <w:tab w:val="right" w:leader="dot" w:pos="8505"/>
        </w:tabs>
        <w:ind w:left="1701" w:hanging="567"/>
        <w:jc w:val="left"/>
        <w:rPr>
          <w:lang w:val="fr-FR"/>
        </w:rPr>
      </w:pPr>
      <w:r w:rsidRPr="00AB4DCC">
        <w:rPr>
          <w:lang w:val="fr-FR"/>
        </w:rPr>
        <w:t>11</w:t>
      </w:r>
      <w:r w:rsidR="00DF7AA4" w:rsidRPr="00DF7AA4">
        <w:rPr>
          <w:lang w:val="fr-FR"/>
        </w:rPr>
        <w:t>.</w:t>
      </w:r>
      <w:r w:rsidRPr="00AB4DCC">
        <w:rPr>
          <w:lang w:val="fr-FR"/>
        </w:rPr>
        <w:tab/>
        <w:t>Homologation accordée/refusée/étendue/retirée</w:t>
      </w:r>
      <w:r w:rsidRPr="00053BD0">
        <w:rPr>
          <w:sz w:val="18"/>
          <w:szCs w:val="18"/>
          <w:vertAlign w:val="superscript"/>
          <w:lang w:val="fr-FR"/>
        </w:rPr>
        <w:t>2</w:t>
      </w:r>
      <w:r>
        <w:rPr>
          <w:lang w:val="fr-FR"/>
        </w:rPr>
        <w:t> :</w:t>
      </w:r>
    </w:p>
    <w:p w14:paraId="1E075548" w14:textId="0F6316F6" w:rsidR="006F5732" w:rsidRPr="00AB4DCC" w:rsidRDefault="006F5732" w:rsidP="00D1353B">
      <w:pPr>
        <w:pStyle w:val="SingleTxtG"/>
        <w:tabs>
          <w:tab w:val="clear" w:pos="2268"/>
          <w:tab w:val="clear" w:pos="2835"/>
          <w:tab w:val="right" w:leader="dot" w:pos="8505"/>
        </w:tabs>
        <w:ind w:left="1701" w:hanging="567"/>
        <w:jc w:val="left"/>
        <w:rPr>
          <w:lang w:val="fr-FR"/>
        </w:rPr>
      </w:pPr>
      <w:r w:rsidRPr="00AB4DCC">
        <w:rPr>
          <w:lang w:val="fr-FR"/>
        </w:rPr>
        <w:t>12</w:t>
      </w:r>
      <w:r w:rsidR="00DF7AA4" w:rsidRPr="00DF7AA4">
        <w:rPr>
          <w:lang w:val="fr-FR"/>
        </w:rPr>
        <w:t>.</w:t>
      </w:r>
      <w:r w:rsidRPr="00AB4DCC">
        <w:rPr>
          <w:lang w:val="fr-FR"/>
        </w:rPr>
        <w:tab/>
        <w:t>Lieu</w:t>
      </w:r>
      <w:r>
        <w:rPr>
          <w:lang w:val="fr-FR"/>
        </w:rPr>
        <w:t> :</w:t>
      </w:r>
      <w:r w:rsidRPr="00AB4DCC">
        <w:rPr>
          <w:lang w:val="fr-FR"/>
        </w:rPr>
        <w:tab/>
      </w:r>
    </w:p>
    <w:p w14:paraId="1A5F7BB5" w14:textId="014D5B78" w:rsidR="006F5732" w:rsidRPr="00AB4DCC" w:rsidRDefault="006F5732" w:rsidP="00D1353B">
      <w:pPr>
        <w:pStyle w:val="SingleTxtG"/>
        <w:tabs>
          <w:tab w:val="clear" w:pos="2268"/>
          <w:tab w:val="clear" w:pos="2835"/>
          <w:tab w:val="right" w:leader="dot" w:pos="8505"/>
        </w:tabs>
        <w:ind w:left="1701" w:hanging="567"/>
        <w:jc w:val="left"/>
        <w:rPr>
          <w:lang w:val="fr-FR"/>
        </w:rPr>
      </w:pPr>
      <w:r w:rsidRPr="00AB4DCC">
        <w:rPr>
          <w:lang w:val="fr-FR"/>
        </w:rPr>
        <w:t>13</w:t>
      </w:r>
      <w:r w:rsidR="00DF7AA4" w:rsidRPr="00DF7AA4">
        <w:rPr>
          <w:lang w:val="fr-FR"/>
        </w:rPr>
        <w:t>.</w:t>
      </w:r>
      <w:r w:rsidRPr="00AB4DCC">
        <w:rPr>
          <w:lang w:val="fr-FR"/>
        </w:rPr>
        <w:tab/>
        <w:t>Date</w:t>
      </w:r>
      <w:r>
        <w:rPr>
          <w:lang w:val="fr-FR"/>
        </w:rPr>
        <w:t> :</w:t>
      </w:r>
      <w:r w:rsidRPr="00AB4DCC">
        <w:rPr>
          <w:lang w:val="fr-FR"/>
        </w:rPr>
        <w:tab/>
      </w:r>
    </w:p>
    <w:p w14:paraId="5C198C58" w14:textId="077428BD" w:rsidR="006F5732" w:rsidRPr="00AB4DCC" w:rsidRDefault="006F5732" w:rsidP="00D1353B">
      <w:pPr>
        <w:pStyle w:val="SingleTxtG"/>
        <w:tabs>
          <w:tab w:val="clear" w:pos="2268"/>
          <w:tab w:val="clear" w:pos="2835"/>
          <w:tab w:val="right" w:leader="dot" w:pos="8505"/>
        </w:tabs>
        <w:ind w:left="1701" w:hanging="567"/>
        <w:jc w:val="left"/>
        <w:rPr>
          <w:lang w:val="fr-FR"/>
        </w:rPr>
      </w:pPr>
      <w:r w:rsidRPr="00AB4DCC">
        <w:rPr>
          <w:lang w:val="fr-FR"/>
        </w:rPr>
        <w:t>14</w:t>
      </w:r>
      <w:r w:rsidR="00DF7AA4" w:rsidRPr="00DF7AA4">
        <w:rPr>
          <w:lang w:val="fr-FR"/>
        </w:rPr>
        <w:t>.</w:t>
      </w:r>
      <w:r w:rsidRPr="00AB4DCC">
        <w:rPr>
          <w:lang w:val="fr-FR"/>
        </w:rPr>
        <w:tab/>
        <w:t>Signature</w:t>
      </w:r>
      <w:r>
        <w:rPr>
          <w:lang w:val="fr-FR"/>
        </w:rPr>
        <w:t> :</w:t>
      </w:r>
      <w:r w:rsidRPr="00AB4DCC">
        <w:rPr>
          <w:lang w:val="fr-FR"/>
        </w:rPr>
        <w:tab/>
      </w:r>
    </w:p>
    <w:p w14:paraId="5B29F1A5" w14:textId="01864E40" w:rsidR="006F5732" w:rsidRPr="00AB4DCC" w:rsidRDefault="006F5732" w:rsidP="006F5732">
      <w:pPr>
        <w:pStyle w:val="SingleTxtG"/>
        <w:tabs>
          <w:tab w:val="right" w:leader="dot" w:pos="8505"/>
        </w:tabs>
        <w:ind w:left="1701" w:hanging="567"/>
        <w:jc w:val="left"/>
        <w:rPr>
          <w:lang w:val="fr-FR"/>
        </w:rPr>
      </w:pPr>
      <w:r w:rsidRPr="00AB4DCC">
        <w:rPr>
          <w:lang w:val="fr-FR"/>
        </w:rPr>
        <w:t>15</w:t>
      </w:r>
      <w:r w:rsidR="00DF7AA4" w:rsidRPr="00DF7AA4">
        <w:rPr>
          <w:lang w:val="fr-FR"/>
        </w:rPr>
        <w:t>.</w:t>
      </w:r>
      <w:r w:rsidRPr="00AB4DCC">
        <w:rPr>
          <w:lang w:val="fr-FR"/>
        </w:rPr>
        <w:tab/>
        <w:t>Les documents suivants, portant le numéro d</w:t>
      </w:r>
      <w:r>
        <w:rPr>
          <w:lang w:val="fr-FR"/>
        </w:rPr>
        <w:t>’</w:t>
      </w:r>
      <w:r w:rsidRPr="00AB4DCC">
        <w:rPr>
          <w:lang w:val="fr-FR"/>
        </w:rPr>
        <w:t>homologation indiqué ci-dessus, sont annexés à la présente communication</w:t>
      </w:r>
      <w:r>
        <w:rPr>
          <w:lang w:val="fr-FR"/>
        </w:rPr>
        <w:t> :</w:t>
      </w:r>
      <w:r w:rsidRPr="00AB4DCC">
        <w:rPr>
          <w:lang w:val="fr-FR"/>
        </w:rPr>
        <w:tab/>
      </w:r>
      <w:r w:rsidRPr="00AB4DCC">
        <w:rPr>
          <w:lang w:val="fr-FR"/>
        </w:rPr>
        <w:tab/>
      </w:r>
    </w:p>
    <w:p w14:paraId="7328336F" w14:textId="4F0B8CE0" w:rsidR="006F5732" w:rsidRDefault="006F5732" w:rsidP="006F5732">
      <w:pPr>
        <w:pStyle w:val="SingleTxtG"/>
        <w:tabs>
          <w:tab w:val="right" w:leader="dot" w:pos="8505"/>
        </w:tabs>
        <w:ind w:left="1701" w:hanging="567"/>
        <w:jc w:val="left"/>
        <w:rPr>
          <w:lang w:val="fr-FR"/>
        </w:rPr>
      </w:pPr>
      <w:r w:rsidRPr="00AB4DCC">
        <w:rPr>
          <w:lang w:val="fr-FR"/>
        </w:rPr>
        <w:t>16</w:t>
      </w:r>
      <w:r w:rsidR="00DF7AA4" w:rsidRPr="00DF7AA4">
        <w:rPr>
          <w:lang w:val="fr-FR"/>
        </w:rPr>
        <w:t>.</w:t>
      </w:r>
      <w:r w:rsidRPr="00AB4DCC">
        <w:rPr>
          <w:lang w:val="fr-FR"/>
        </w:rPr>
        <w:tab/>
        <w:t>Observations éventuelles</w:t>
      </w:r>
      <w:r>
        <w:rPr>
          <w:lang w:val="fr-FR"/>
        </w:rPr>
        <w:t> :</w:t>
      </w:r>
      <w:r w:rsidRPr="00AB4DCC">
        <w:rPr>
          <w:lang w:val="fr-FR"/>
        </w:rPr>
        <w:tab/>
      </w:r>
    </w:p>
    <w:p w14:paraId="684A2A20" w14:textId="77777777" w:rsidR="006F5732" w:rsidRDefault="006F5732" w:rsidP="006F5732">
      <w:pPr>
        <w:pStyle w:val="SingleTxtG"/>
      </w:pPr>
      <w:r>
        <w:br w:type="page"/>
      </w:r>
    </w:p>
    <w:p w14:paraId="003EF0C2" w14:textId="77777777" w:rsidR="006F5732" w:rsidRPr="00AB4DCC" w:rsidRDefault="006F5732" w:rsidP="006F5732">
      <w:pPr>
        <w:pStyle w:val="HChG"/>
        <w:rPr>
          <w:lang w:val="fr-FR"/>
        </w:rPr>
      </w:pPr>
      <w:bookmarkStart w:id="16" w:name="_Toc530068553"/>
      <w:r w:rsidRPr="00AB4DCC">
        <w:rPr>
          <w:lang w:val="fr-FR"/>
        </w:rPr>
        <w:lastRenderedPageBreak/>
        <w:t>Annexe 2</w:t>
      </w:r>
      <w:bookmarkEnd w:id="16"/>
    </w:p>
    <w:p w14:paraId="09A701DF" w14:textId="77777777" w:rsidR="006F5732" w:rsidRPr="00AB4DCC" w:rsidRDefault="006F5732" w:rsidP="006F5732">
      <w:pPr>
        <w:pStyle w:val="HChG"/>
        <w:rPr>
          <w:lang w:val="fr-FR"/>
        </w:rPr>
      </w:pPr>
      <w:bookmarkStart w:id="17" w:name="_Toc108926533"/>
      <w:r w:rsidRPr="00AB4DCC">
        <w:rPr>
          <w:lang w:val="fr-FR"/>
        </w:rPr>
        <w:tab/>
      </w:r>
      <w:r w:rsidRPr="00AB4DCC">
        <w:rPr>
          <w:lang w:val="fr-FR"/>
        </w:rPr>
        <w:tab/>
        <w:t>Exemple de marque d</w:t>
      </w:r>
      <w:r>
        <w:rPr>
          <w:lang w:val="fr-FR"/>
        </w:rPr>
        <w:t>’</w:t>
      </w:r>
      <w:r w:rsidRPr="00AB4DCC">
        <w:rPr>
          <w:lang w:val="fr-FR"/>
        </w:rPr>
        <w:t>homologation</w:t>
      </w:r>
      <w:bookmarkEnd w:id="17"/>
    </w:p>
    <w:p w14:paraId="66FF6EC0" w14:textId="5790C431" w:rsidR="006F5732" w:rsidRPr="00AB4DCC" w:rsidRDefault="006F5732" w:rsidP="006F5732">
      <w:pPr>
        <w:pStyle w:val="SingleTxtG"/>
        <w:rPr>
          <w:lang w:val="fr-FR"/>
        </w:rPr>
      </w:pPr>
      <w:r w:rsidRPr="00AB4DCC">
        <w:rPr>
          <w:lang w:val="fr-FR"/>
        </w:rPr>
        <w:t>(Voir les paragraphes 4</w:t>
      </w:r>
      <w:r w:rsidR="00DF7AA4" w:rsidRPr="00DF7AA4">
        <w:rPr>
          <w:lang w:val="fr-FR"/>
        </w:rPr>
        <w:t>.</w:t>
      </w:r>
      <w:r w:rsidRPr="00AB4DCC">
        <w:rPr>
          <w:lang w:val="fr-FR"/>
        </w:rPr>
        <w:t>4 à 4</w:t>
      </w:r>
      <w:r w:rsidR="00DF7AA4" w:rsidRPr="00DF7AA4">
        <w:rPr>
          <w:lang w:val="fr-FR"/>
        </w:rPr>
        <w:t>.</w:t>
      </w:r>
      <w:r w:rsidRPr="00AB4DCC">
        <w:rPr>
          <w:lang w:val="fr-FR"/>
        </w:rPr>
        <w:t>4</w:t>
      </w:r>
      <w:r w:rsidR="00DF7AA4" w:rsidRPr="00DF7AA4">
        <w:rPr>
          <w:lang w:val="fr-FR"/>
        </w:rPr>
        <w:t>.</w:t>
      </w:r>
      <w:r w:rsidRPr="00AB4DCC">
        <w:rPr>
          <w:lang w:val="fr-FR"/>
        </w:rPr>
        <w:t>2 du présent Règlement)</w:t>
      </w:r>
    </w:p>
    <w:p w14:paraId="7048A071" w14:textId="77777777" w:rsidR="006F5732" w:rsidRPr="00AB4DCC" w:rsidRDefault="006F5732" w:rsidP="006F5732">
      <w:pPr>
        <w:pStyle w:val="SingleTxtG"/>
        <w:rPr>
          <w:lang w:val="fr-FR"/>
        </w:rPr>
      </w:pPr>
      <w:r>
        <w:rPr>
          <w:noProof/>
        </w:rPr>
        <mc:AlternateContent>
          <mc:Choice Requires="wps">
            <w:drawing>
              <wp:anchor distT="0" distB="0" distL="114300" distR="114300" simplePos="0" relativeHeight="251660288" behindDoc="0" locked="0" layoutInCell="1" allowOverlap="1" wp14:anchorId="4F7DC88B" wp14:editId="27835942">
                <wp:simplePos x="0" y="0"/>
                <wp:positionH relativeFrom="column">
                  <wp:posOffset>2431324</wp:posOffset>
                </wp:positionH>
                <wp:positionV relativeFrom="paragraph">
                  <wp:posOffset>243205</wp:posOffset>
                </wp:positionV>
                <wp:extent cx="1572986" cy="450112"/>
                <wp:effectExtent l="0" t="0" r="8255" b="762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986" cy="450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3550D" w14:textId="77777777" w:rsidR="006F5732" w:rsidRPr="00065AAC" w:rsidRDefault="006F5732" w:rsidP="006F5732">
                            <w:pPr>
                              <w:rPr>
                                <w:sz w:val="32"/>
                                <w:lang w:eastAsia="ja-JP"/>
                              </w:rPr>
                            </w:pPr>
                            <w:r>
                              <w:rPr>
                                <w:rFonts w:hint="eastAsia"/>
                                <w:sz w:val="32"/>
                                <w:lang w:eastAsia="ja-JP"/>
                              </w:rPr>
                              <w:t>[17</w:t>
                            </w:r>
                            <w:r w:rsidRPr="00065AAC">
                              <w:rPr>
                                <w:sz w:val="32"/>
                              </w:rPr>
                              <w:t>X</w:t>
                            </w:r>
                            <w:r>
                              <w:rPr>
                                <w:rFonts w:hint="eastAsia"/>
                                <w:sz w:val="32"/>
                                <w:lang w:eastAsia="ja-JP"/>
                              </w:rPr>
                              <w:t>]</w:t>
                            </w:r>
                            <w:r w:rsidRPr="00065AAC">
                              <w:rPr>
                                <w:sz w:val="32"/>
                              </w:rPr>
                              <w:t>R-</w:t>
                            </w:r>
                            <w:r w:rsidRPr="00065AAC">
                              <w:rPr>
                                <w:sz w:val="32"/>
                                <w:lang w:eastAsia="ja-JP"/>
                              </w:rPr>
                              <w:t>00185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4F7DC88B" id="_x0000_t202" coordsize="21600,21600" o:spt="202" path="m,l,21600r21600,l21600,xe">
                <v:stroke joinstyle="miter"/>
                <v:path gradientshapeok="t" o:connecttype="rect"/>
              </v:shapetype>
              <v:shape id="Text Box 10" o:spid="_x0000_s1026" type="#_x0000_t202" style="position:absolute;left:0;text-align:left;margin-left:191.45pt;margin-top:19.15pt;width:123.85pt;height:35.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" stroked="f">
                <v:textbox>
                  <w:txbxContent>
                    <w:p w14:paraId="6533550D" w14:textId="77777777" w:rsidR="006F5732" w:rsidRPr="00065AAC" w:rsidRDefault="006F5732" w:rsidP="006F5732">
                      <w:pPr>
                        <w:rPr>
                          <w:sz w:val="32"/>
                          <w:lang w:eastAsia="ja-JP"/>
                        </w:rPr>
                      </w:pPr>
                      <w:r>
                        <w:rPr>
                          <w:rFonts w:hint="eastAsia"/>
                          <w:sz w:val="32"/>
                          <w:lang w:eastAsia="ja-JP"/>
                        </w:rPr>
                        <w:t>[17</w:t>
                      </w:r>
                      <w:r w:rsidRPr="00065AAC">
                        <w:rPr>
                          <w:sz w:val="32"/>
                        </w:rPr>
                        <w:t>X</w:t>
                      </w:r>
                      <w:r>
                        <w:rPr>
                          <w:rFonts w:hint="eastAsia"/>
                          <w:sz w:val="32"/>
                          <w:lang w:eastAsia="ja-JP"/>
                        </w:rPr>
                        <w:t>]</w:t>
                      </w:r>
                      <w:r w:rsidRPr="00065AAC">
                        <w:rPr>
                          <w:sz w:val="32"/>
                        </w:rPr>
                        <w:t>R-</w:t>
                      </w:r>
                      <w:r w:rsidRPr="00065AAC">
                        <w:rPr>
                          <w:sz w:val="32"/>
                          <w:lang w:eastAsia="ja-JP"/>
                        </w:rPr>
                        <w:t>00185</w:t>
                      </w:r>
                    </w:p>
                  </w:txbxContent>
                </v:textbox>
              </v:shape>
            </w:pict>
          </mc:Fallback>
        </mc:AlternateContent>
      </w:r>
      <w:r>
        <w:rPr>
          <w:noProof/>
          <w:lang w:val="fr-FR" w:eastAsia="zh-CN"/>
        </w:rPr>
        <mc:AlternateContent>
          <mc:Choice Requires="wps">
            <w:drawing>
              <wp:anchor distT="0" distB="0" distL="114300" distR="114300" simplePos="0" relativeHeight="251659264" behindDoc="0" locked="0" layoutInCell="1" allowOverlap="1" wp14:anchorId="75040DDE" wp14:editId="3794F622">
                <wp:simplePos x="0" y="0"/>
                <wp:positionH relativeFrom="column">
                  <wp:posOffset>3471769</wp:posOffset>
                </wp:positionH>
                <wp:positionV relativeFrom="paragraph">
                  <wp:posOffset>371054</wp:posOffset>
                </wp:positionV>
                <wp:extent cx="130733" cy="187325"/>
                <wp:effectExtent l="0" t="0" r="3175" b="317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33"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2C4436" w14:textId="77777777" w:rsidR="006F5732" w:rsidRPr="00065AAC" w:rsidRDefault="006F5732" w:rsidP="006F5732"/>
                        </w:txbxContent>
                      </wps:txbx>
                      <wps:bodyPr rot="0" vert="horz" wrap="square" lIns="91440" tIns="45720" rIns="91440" bIns="45720" anchor="t" anchorCtr="0" upright="1">
                        <a:noAutofit/>
                      </wps:bodyPr>
                    </wps:wsp>
                  </a:graphicData>
                </a:graphic>
              </wp:anchor>
            </w:drawing>
          </mc:Choice>
          <mc:Fallback>
            <w:pict>
              <v:shape w14:anchorId="75040DDE" id="Text Box 9" o:spid="_x0000_s1027" type="#_x0000_t202" style="position:absolute;left:0;text-align:left;margin-left:273.35pt;margin-top:29.2pt;width:10.3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" filled="f" stroked="f">
                <v:textbox>
                  <w:txbxContent>
                    <w:p w14:paraId="6A2C4436" w14:textId="77777777" w:rsidR="006F5732" w:rsidRPr="00065AAC" w:rsidRDefault="006F5732" w:rsidP="006F5732"/>
                  </w:txbxContent>
                </v:textbox>
              </v:shape>
            </w:pict>
          </mc:Fallback>
        </mc:AlternateContent>
      </w:r>
      <w:bookmarkStart w:id="18" w:name="_MON_1339922715"/>
      <w:bookmarkEnd w:id="18"/>
      <w:r w:rsidRPr="00AB4DCC">
        <w:rPr>
          <w:lang w:val="fr-FR"/>
        </w:rPr>
        <w:object w:dxaOrig="6299" w:dyaOrig="1339" w14:anchorId="636CE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pt;height:67.15pt" o:ole="">
            <v:imagedata r:id="rId14" o:title=""/>
          </v:shape>
          <o:OLEObject Type="Embed" ProgID="Word.Picture.8" ShapeID="_x0000_i1025" DrawAspect="Content" ObjectID="_1788163359" r:id="rId15"/>
        </w:object>
      </w:r>
    </w:p>
    <w:p w14:paraId="2D4004C4" w14:textId="4D9DBC12" w:rsidR="006F5732" w:rsidRPr="00AB4DCC" w:rsidRDefault="006F5732" w:rsidP="00D24EF3">
      <w:pPr>
        <w:pStyle w:val="SingleTxtG"/>
        <w:spacing w:after="240"/>
        <w:ind w:left="1701"/>
        <w:rPr>
          <w:lang w:val="fr-FR"/>
        </w:rPr>
      </w:pPr>
      <w:r w:rsidRPr="00AB4DCC">
        <w:rPr>
          <w:lang w:val="fr-FR"/>
        </w:rPr>
        <w:tab/>
        <w:t>a = 8 mm min</w:t>
      </w:r>
      <w:r w:rsidR="00DF7AA4" w:rsidRPr="00DF7AA4">
        <w:rPr>
          <w:lang w:val="fr-FR"/>
        </w:rPr>
        <w:t>.</w:t>
      </w:r>
    </w:p>
    <w:p w14:paraId="0C039478" w14:textId="6B63BB0A" w:rsidR="006F5732" w:rsidRDefault="006F5732" w:rsidP="006F5732">
      <w:pPr>
        <w:pStyle w:val="SingleTxtG"/>
        <w:ind w:firstLine="567"/>
        <w:rPr>
          <w:lang w:val="fr-FR"/>
        </w:rPr>
      </w:pPr>
      <w:r w:rsidRPr="00AB4DCC">
        <w:rPr>
          <w:lang w:val="fr-FR"/>
        </w:rPr>
        <w:t>La marque d</w:t>
      </w:r>
      <w:r>
        <w:rPr>
          <w:lang w:val="fr-FR"/>
        </w:rPr>
        <w:t>’</w:t>
      </w:r>
      <w:r w:rsidRPr="00AB4DCC">
        <w:rPr>
          <w:lang w:val="fr-FR"/>
        </w:rPr>
        <w:t>homologation ci-dessus, apposée sur un véhicule, indique que le type de ce véhicule a été homologué en Belgique (E6) en ce qui concerne le système de contrôle de l</w:t>
      </w:r>
      <w:r>
        <w:rPr>
          <w:lang w:val="fr-FR"/>
        </w:rPr>
        <w:t>’</w:t>
      </w:r>
      <w:r w:rsidRPr="00AB4DCC">
        <w:rPr>
          <w:lang w:val="fr-FR"/>
        </w:rPr>
        <w:t>accélération en cas d</w:t>
      </w:r>
      <w:r>
        <w:rPr>
          <w:lang w:val="fr-FR"/>
        </w:rPr>
        <w:t>’</w:t>
      </w:r>
      <w:r w:rsidRPr="00AB4DCC">
        <w:rPr>
          <w:lang w:val="fr-FR"/>
        </w:rPr>
        <w:t xml:space="preserve">erreur de pédale (ACPE), </w:t>
      </w:r>
      <w:r>
        <w:rPr>
          <w:lang w:val="fr-FR"/>
        </w:rPr>
        <w:t>au titre</w:t>
      </w:r>
      <w:r w:rsidRPr="00AB4DCC">
        <w:rPr>
          <w:lang w:val="fr-FR"/>
        </w:rPr>
        <w:t xml:space="preserve"> du Règlement ONU n</w:t>
      </w:r>
      <w:r w:rsidRPr="00AB4DCC">
        <w:rPr>
          <w:vertAlign w:val="superscript"/>
          <w:lang w:val="fr-FR"/>
        </w:rPr>
        <w:t>o</w:t>
      </w:r>
      <w:r w:rsidRPr="00AB4DCC">
        <w:rPr>
          <w:lang w:val="fr-FR"/>
        </w:rPr>
        <w:t xml:space="preserve"> </w:t>
      </w:r>
      <w:r>
        <w:rPr>
          <w:lang w:val="fr-FR"/>
        </w:rPr>
        <w:t>[17X]</w:t>
      </w:r>
      <w:r w:rsidR="00DF7AA4" w:rsidRPr="00DF7AA4">
        <w:rPr>
          <w:lang w:val="fr-FR"/>
        </w:rPr>
        <w:t>.</w:t>
      </w:r>
      <w:r w:rsidRPr="00AB4DCC">
        <w:rPr>
          <w:lang w:val="fr-FR"/>
        </w:rPr>
        <w:t xml:space="preserve"> Les deux premiers chiffres du numéro d</w:t>
      </w:r>
      <w:r>
        <w:rPr>
          <w:lang w:val="fr-FR"/>
        </w:rPr>
        <w:t>’</w:t>
      </w:r>
      <w:r w:rsidRPr="00AB4DCC">
        <w:rPr>
          <w:lang w:val="fr-FR"/>
        </w:rPr>
        <w:t>homologation précisent que l</w:t>
      </w:r>
      <w:r>
        <w:rPr>
          <w:lang w:val="fr-FR"/>
        </w:rPr>
        <w:t>’</w:t>
      </w:r>
      <w:r w:rsidRPr="00AB4DCC">
        <w:rPr>
          <w:lang w:val="fr-FR"/>
        </w:rPr>
        <w:t>homologation a été délivrée conformément aux dispositions de la version originale du Règlement ONU n</w:t>
      </w:r>
      <w:r w:rsidRPr="00AB4DCC">
        <w:rPr>
          <w:vertAlign w:val="superscript"/>
          <w:lang w:val="fr-FR"/>
        </w:rPr>
        <w:t>o</w:t>
      </w:r>
      <w:r w:rsidRPr="00AB4DCC">
        <w:rPr>
          <w:lang w:val="fr-FR"/>
        </w:rPr>
        <w:t> </w:t>
      </w:r>
      <w:r>
        <w:rPr>
          <w:lang w:val="fr-FR"/>
        </w:rPr>
        <w:t>[17X]</w:t>
      </w:r>
      <w:r w:rsidR="00DF7AA4" w:rsidRPr="00DF7AA4">
        <w:rPr>
          <w:lang w:val="fr-FR"/>
        </w:rPr>
        <w:t>.</w:t>
      </w:r>
    </w:p>
    <w:p w14:paraId="00637B17" w14:textId="77777777" w:rsidR="006F5732" w:rsidRDefault="006F5732" w:rsidP="006F5732">
      <w:pPr>
        <w:pStyle w:val="SingleTxtG"/>
      </w:pPr>
      <w:r>
        <w:br w:type="page"/>
      </w:r>
    </w:p>
    <w:p w14:paraId="0375DD61" w14:textId="77777777" w:rsidR="006F5732" w:rsidRPr="00AB4DCC" w:rsidRDefault="006F5732" w:rsidP="00D1353B">
      <w:pPr>
        <w:pStyle w:val="HChG"/>
        <w:rPr>
          <w:lang w:val="fr-FR"/>
        </w:rPr>
      </w:pPr>
      <w:bookmarkStart w:id="19" w:name="_Toc530068554"/>
      <w:r w:rsidRPr="00AB4DCC">
        <w:rPr>
          <w:lang w:val="fr-FR"/>
        </w:rPr>
        <w:lastRenderedPageBreak/>
        <w:t>Annexe 3</w:t>
      </w:r>
      <w:bookmarkEnd w:id="19"/>
    </w:p>
    <w:p w14:paraId="5BBA724F" w14:textId="77777777" w:rsidR="006F5732" w:rsidRPr="00AB4DCC" w:rsidRDefault="006F5732" w:rsidP="00D1353B">
      <w:pPr>
        <w:pStyle w:val="HChG"/>
        <w:rPr>
          <w:lang w:val="fr-FR"/>
        </w:rPr>
      </w:pPr>
      <w:r w:rsidRPr="00AB4DCC">
        <w:rPr>
          <w:lang w:val="fr-FR"/>
        </w:rPr>
        <w:tab/>
      </w:r>
      <w:r w:rsidRPr="00AB4DCC">
        <w:rPr>
          <w:lang w:val="fr-FR"/>
        </w:rPr>
        <w:tab/>
        <w:t xml:space="preserve">Prescriptions spéciales applicables aux aspects liés </w:t>
      </w:r>
      <w:r>
        <w:rPr>
          <w:lang w:val="fr-FR"/>
        </w:rPr>
        <w:br/>
      </w:r>
      <w:r w:rsidRPr="00AB4DCC">
        <w:rPr>
          <w:lang w:val="fr-FR"/>
        </w:rPr>
        <w:t>à la sécurité des systèmes de commande électronique</w:t>
      </w:r>
    </w:p>
    <w:p w14:paraId="1AC01F06" w14:textId="0D93BA53" w:rsidR="006F5732" w:rsidRPr="0037414E" w:rsidRDefault="006F5732" w:rsidP="00D1353B">
      <w:pPr>
        <w:pStyle w:val="SingleTxtG"/>
        <w:tabs>
          <w:tab w:val="clear" w:pos="1701"/>
        </w:tabs>
        <w:ind w:left="2268" w:hanging="1134"/>
        <w:jc w:val="left"/>
        <w:rPr>
          <w:b/>
          <w:bCs/>
          <w:sz w:val="28"/>
          <w:szCs w:val="28"/>
          <w:lang w:val="fr-FR"/>
        </w:rPr>
      </w:pPr>
      <w:r w:rsidRPr="0037414E">
        <w:rPr>
          <w:b/>
          <w:bCs/>
          <w:sz w:val="28"/>
          <w:szCs w:val="28"/>
          <w:lang w:val="fr-FR"/>
        </w:rPr>
        <w:t>1</w:t>
      </w:r>
      <w:r w:rsidR="00DF7AA4" w:rsidRPr="00DF7AA4">
        <w:rPr>
          <w:b/>
          <w:bCs/>
          <w:sz w:val="28"/>
          <w:szCs w:val="28"/>
          <w:lang w:val="fr-FR"/>
        </w:rPr>
        <w:t>.</w:t>
      </w:r>
      <w:r w:rsidRPr="0037414E">
        <w:rPr>
          <w:b/>
          <w:bCs/>
          <w:sz w:val="28"/>
          <w:szCs w:val="28"/>
          <w:lang w:val="fr-FR"/>
        </w:rPr>
        <w:tab/>
        <w:t>Généralités</w:t>
      </w:r>
    </w:p>
    <w:p w14:paraId="5772E01A" w14:textId="30A577E3" w:rsidR="006F5732" w:rsidRPr="00AB4DCC" w:rsidRDefault="006F5732" w:rsidP="006F5732">
      <w:pPr>
        <w:pStyle w:val="SingleTxtG"/>
        <w:ind w:left="2268"/>
        <w:rPr>
          <w:lang w:val="fr-FR"/>
        </w:rPr>
      </w:pPr>
      <w:r w:rsidRPr="00AB4DCC">
        <w:rPr>
          <w:lang w:val="fr-FR"/>
        </w:rPr>
        <w:t>La présente annexe définit les prescriptions spéciales en matière de documentation, de stratégie concernant les défaillances et de vérification pour les questions de sécurité relatives aux systèmes complexes de commande électronique du véhicule (par</w:t>
      </w:r>
      <w:r w:rsidR="00DF7AA4" w:rsidRPr="00DF7AA4">
        <w:rPr>
          <w:lang w:val="fr-FR"/>
        </w:rPr>
        <w:t>.</w:t>
      </w:r>
      <w:r w:rsidRPr="00AB4DCC">
        <w:rPr>
          <w:lang w:val="fr-FR"/>
        </w:rPr>
        <w:t> 2</w:t>
      </w:r>
      <w:r w:rsidR="00DF7AA4" w:rsidRPr="00DF7AA4">
        <w:rPr>
          <w:lang w:val="fr-FR"/>
        </w:rPr>
        <w:t>.</w:t>
      </w:r>
      <w:r w:rsidRPr="00AB4DCC">
        <w:rPr>
          <w:lang w:val="fr-FR"/>
        </w:rPr>
        <w:t>4 ci-après) aux fins de l</w:t>
      </w:r>
      <w:r>
        <w:rPr>
          <w:lang w:val="fr-FR"/>
        </w:rPr>
        <w:t>’</w:t>
      </w:r>
      <w:r w:rsidRPr="00AB4DCC">
        <w:rPr>
          <w:lang w:val="fr-FR"/>
        </w:rPr>
        <w:t>application du présent Règlement</w:t>
      </w:r>
      <w:r w:rsidR="00DF7AA4" w:rsidRPr="00DF7AA4">
        <w:rPr>
          <w:lang w:val="fr-FR"/>
        </w:rPr>
        <w:t>.</w:t>
      </w:r>
    </w:p>
    <w:p w14:paraId="6D0C24C0" w14:textId="2FF061D9" w:rsidR="006F5732" w:rsidRPr="00AB4DCC" w:rsidRDefault="006F5732" w:rsidP="006F5732">
      <w:pPr>
        <w:pStyle w:val="SingleTxtG"/>
        <w:ind w:left="2268"/>
        <w:rPr>
          <w:lang w:val="fr-FR"/>
        </w:rPr>
      </w:pPr>
      <w:r w:rsidRPr="00AB4DCC">
        <w:rPr>
          <w:lang w:val="fr-FR"/>
        </w:rPr>
        <w:t>Elle s</w:t>
      </w:r>
      <w:r>
        <w:rPr>
          <w:lang w:val="fr-FR"/>
        </w:rPr>
        <w:t>’</w:t>
      </w:r>
      <w:r w:rsidRPr="00AB4DCC">
        <w:rPr>
          <w:lang w:val="fr-FR"/>
        </w:rPr>
        <w:t>applique également à des fonctions liées à la sécurité visées dans le présent Règlement qui sont contrôlées par un ou plusieurs systèmes électroniques (par</w:t>
      </w:r>
      <w:r w:rsidR="00DF7AA4" w:rsidRPr="00DF7AA4">
        <w:rPr>
          <w:lang w:val="fr-FR"/>
        </w:rPr>
        <w:t>.</w:t>
      </w:r>
      <w:r>
        <w:rPr>
          <w:lang w:val="fr-FR"/>
        </w:rPr>
        <w:t> </w:t>
      </w:r>
      <w:r w:rsidRPr="00AB4DCC">
        <w:rPr>
          <w:lang w:val="fr-FR"/>
        </w:rPr>
        <w:t>2</w:t>
      </w:r>
      <w:r w:rsidR="00DF7AA4" w:rsidRPr="00DF7AA4">
        <w:rPr>
          <w:lang w:val="fr-FR"/>
        </w:rPr>
        <w:t>.</w:t>
      </w:r>
      <w:r w:rsidRPr="00AB4DCC">
        <w:rPr>
          <w:lang w:val="fr-FR"/>
        </w:rPr>
        <w:t>3) aux fins de l</w:t>
      </w:r>
      <w:r>
        <w:rPr>
          <w:lang w:val="fr-FR"/>
        </w:rPr>
        <w:t>’</w:t>
      </w:r>
      <w:r w:rsidRPr="00AB4DCC">
        <w:rPr>
          <w:lang w:val="fr-FR"/>
        </w:rPr>
        <w:t>application du</w:t>
      </w:r>
      <w:r>
        <w:rPr>
          <w:lang w:val="fr-FR"/>
        </w:rPr>
        <w:t>dit</w:t>
      </w:r>
      <w:r w:rsidRPr="00AB4DCC">
        <w:rPr>
          <w:lang w:val="fr-FR"/>
        </w:rPr>
        <w:t xml:space="preserve"> Règlement</w:t>
      </w:r>
      <w:r w:rsidR="00DF7AA4" w:rsidRPr="00DF7AA4">
        <w:rPr>
          <w:lang w:val="fr-FR"/>
        </w:rPr>
        <w:t>.</w:t>
      </w:r>
    </w:p>
    <w:p w14:paraId="05EADBC1" w14:textId="2E962230" w:rsidR="006F5732" w:rsidRPr="00AB4DCC" w:rsidRDefault="006F5732" w:rsidP="006F5732">
      <w:pPr>
        <w:pStyle w:val="SingleTxtG"/>
        <w:ind w:left="2268"/>
        <w:rPr>
          <w:lang w:val="fr-FR"/>
        </w:rPr>
      </w:pPr>
      <w:r w:rsidRPr="00AB4DCC">
        <w:rPr>
          <w:lang w:val="fr-FR"/>
        </w:rPr>
        <w:t>La présente annexe ne traite pas des critères d</w:t>
      </w:r>
      <w:r>
        <w:rPr>
          <w:lang w:val="fr-FR"/>
        </w:rPr>
        <w:t>’</w:t>
      </w:r>
      <w:r w:rsidRPr="00AB4DCC">
        <w:rPr>
          <w:lang w:val="fr-FR"/>
        </w:rPr>
        <w:t>efficacité du «</w:t>
      </w:r>
      <w:r>
        <w:rPr>
          <w:lang w:val="fr-FR"/>
        </w:rPr>
        <w:t> </w:t>
      </w:r>
      <w:r w:rsidRPr="00AB4DCC">
        <w:rPr>
          <w:lang w:val="fr-FR"/>
        </w:rPr>
        <w:t>système</w:t>
      </w:r>
      <w:r>
        <w:rPr>
          <w:lang w:val="fr-FR"/>
        </w:rPr>
        <w:t> </w:t>
      </w:r>
      <w:r w:rsidRPr="00AB4DCC">
        <w:rPr>
          <w:lang w:val="fr-FR"/>
        </w:rPr>
        <w:t>», mais de la façon dont il est conçu et des informations qui doivent être communiquées au service technique aux fins de l</w:t>
      </w:r>
      <w:r>
        <w:rPr>
          <w:lang w:val="fr-FR"/>
        </w:rPr>
        <w:t>’</w:t>
      </w:r>
      <w:r w:rsidRPr="00AB4DCC">
        <w:rPr>
          <w:lang w:val="fr-FR"/>
        </w:rPr>
        <w:t>homologation de type</w:t>
      </w:r>
      <w:r w:rsidR="00DF7AA4" w:rsidRPr="00DF7AA4">
        <w:rPr>
          <w:lang w:val="fr-FR"/>
        </w:rPr>
        <w:t>.</w:t>
      </w:r>
    </w:p>
    <w:p w14:paraId="1DFD3449" w14:textId="30C32B95" w:rsidR="006F5732" w:rsidRPr="007412B6" w:rsidRDefault="006F5732" w:rsidP="006F5732">
      <w:pPr>
        <w:pStyle w:val="SingleTxtG"/>
        <w:ind w:left="2268"/>
        <w:rPr>
          <w:spacing w:val="-1"/>
          <w:lang w:val="fr-FR"/>
        </w:rPr>
      </w:pPr>
      <w:r w:rsidRPr="007412B6">
        <w:rPr>
          <w:spacing w:val="-1"/>
          <w:lang w:val="fr-FR"/>
        </w:rPr>
        <w:t>Ces informations doivent montrer que le « système » satisfait, en l</w:t>
      </w:r>
      <w:r>
        <w:rPr>
          <w:spacing w:val="-1"/>
          <w:lang w:val="fr-FR"/>
        </w:rPr>
        <w:t>’</w:t>
      </w:r>
      <w:r w:rsidRPr="007412B6">
        <w:rPr>
          <w:spacing w:val="-1"/>
          <w:lang w:val="fr-FR"/>
        </w:rPr>
        <w:t>absence de défaillance comme en cas de défaillance, à toutes les prescriptions fonctionnelles spécifiées ailleurs dans le présent Règlement, et qu</w:t>
      </w:r>
      <w:r>
        <w:rPr>
          <w:spacing w:val="-1"/>
          <w:lang w:val="fr-FR"/>
        </w:rPr>
        <w:t>’</w:t>
      </w:r>
      <w:r w:rsidRPr="007412B6">
        <w:rPr>
          <w:spacing w:val="-1"/>
          <w:lang w:val="fr-FR"/>
        </w:rPr>
        <w:t>il est conçu pour fonctionner de manière à n</w:t>
      </w:r>
      <w:r>
        <w:rPr>
          <w:spacing w:val="-1"/>
          <w:lang w:val="fr-FR"/>
        </w:rPr>
        <w:t>’</w:t>
      </w:r>
      <w:r w:rsidRPr="007412B6">
        <w:rPr>
          <w:spacing w:val="-1"/>
          <w:lang w:val="fr-FR"/>
        </w:rPr>
        <w:t>entraîner aucun risque critique pour la sécurité</w:t>
      </w:r>
      <w:r w:rsidR="00DF7AA4" w:rsidRPr="00DF7AA4">
        <w:rPr>
          <w:spacing w:val="-1"/>
          <w:lang w:val="fr-FR"/>
        </w:rPr>
        <w:t>.</w:t>
      </w:r>
    </w:p>
    <w:p w14:paraId="15CB9EB4" w14:textId="2397C3CC" w:rsidR="006F5732" w:rsidRPr="00AB4DCC" w:rsidRDefault="006F5732" w:rsidP="00D1353B">
      <w:pPr>
        <w:pStyle w:val="SingleTxtG"/>
        <w:tabs>
          <w:tab w:val="clear" w:pos="1701"/>
        </w:tabs>
        <w:ind w:left="2268" w:hanging="1134"/>
        <w:jc w:val="left"/>
        <w:rPr>
          <w:b/>
          <w:sz w:val="28"/>
          <w:szCs w:val="28"/>
          <w:lang w:val="fr-FR"/>
        </w:rPr>
      </w:pPr>
      <w:r w:rsidRPr="00AB4DCC">
        <w:rPr>
          <w:b/>
          <w:bCs/>
          <w:sz w:val="28"/>
          <w:szCs w:val="28"/>
          <w:lang w:val="fr-FR"/>
        </w:rPr>
        <w:t>2</w:t>
      </w:r>
      <w:r w:rsidR="00DF7AA4" w:rsidRPr="00DF7AA4">
        <w:rPr>
          <w:b/>
          <w:bCs/>
          <w:sz w:val="28"/>
          <w:szCs w:val="28"/>
          <w:lang w:val="fr-FR"/>
        </w:rPr>
        <w:t>.</w:t>
      </w:r>
      <w:r w:rsidRPr="00AB4DCC">
        <w:rPr>
          <w:sz w:val="28"/>
          <w:szCs w:val="28"/>
          <w:lang w:val="fr-FR"/>
        </w:rPr>
        <w:tab/>
      </w:r>
      <w:r w:rsidRPr="00AB4DCC">
        <w:rPr>
          <w:b/>
          <w:bCs/>
          <w:sz w:val="28"/>
          <w:szCs w:val="28"/>
          <w:lang w:val="fr-FR"/>
        </w:rPr>
        <w:t>Définitions</w:t>
      </w:r>
    </w:p>
    <w:p w14:paraId="3F940C20" w14:textId="77777777" w:rsidR="006F5732" w:rsidRPr="00AB4DCC" w:rsidRDefault="006F5732" w:rsidP="006F5732">
      <w:pPr>
        <w:pStyle w:val="SingleTxtG"/>
        <w:ind w:left="2268"/>
        <w:rPr>
          <w:lang w:val="fr-FR"/>
        </w:rPr>
      </w:pPr>
      <w:r w:rsidRPr="00AB4DCC">
        <w:rPr>
          <w:lang w:val="fr-FR"/>
        </w:rPr>
        <w:t>Aux fins de la présente annexe, on entend par</w:t>
      </w:r>
      <w:r>
        <w:rPr>
          <w:lang w:val="fr-FR"/>
        </w:rPr>
        <w:t> :</w:t>
      </w:r>
    </w:p>
    <w:p w14:paraId="2DA1EBF6" w14:textId="2856B3E7" w:rsidR="006F5732" w:rsidRPr="00AB4DCC" w:rsidRDefault="006F5732" w:rsidP="00D1353B">
      <w:pPr>
        <w:pStyle w:val="SingleTxtG"/>
        <w:tabs>
          <w:tab w:val="clear" w:pos="1701"/>
          <w:tab w:val="clear" w:pos="2835"/>
        </w:tabs>
        <w:ind w:left="2268" w:hanging="1134"/>
        <w:rPr>
          <w:lang w:val="fr-FR"/>
        </w:rPr>
      </w:pPr>
      <w:r w:rsidRPr="00AB4DCC">
        <w:rPr>
          <w:lang w:val="fr-FR"/>
        </w:rPr>
        <w:t>2</w:t>
      </w:r>
      <w:r w:rsidR="00DF7AA4" w:rsidRPr="00DF7AA4">
        <w:rPr>
          <w:lang w:val="fr-FR"/>
        </w:rPr>
        <w:t>.</w:t>
      </w:r>
      <w:r w:rsidRPr="00AB4DCC">
        <w:rPr>
          <w:lang w:val="fr-FR"/>
        </w:rPr>
        <w:t>1</w:t>
      </w:r>
      <w:r w:rsidRPr="00AB4DCC">
        <w:rPr>
          <w:lang w:val="fr-FR"/>
        </w:rPr>
        <w:tab/>
        <w:t>«</w:t>
      </w:r>
      <w:r>
        <w:rPr>
          <w:lang w:val="fr-FR"/>
        </w:rPr>
        <w:t> </w:t>
      </w:r>
      <w:r w:rsidRPr="00AB4DCC">
        <w:rPr>
          <w:i/>
          <w:iCs/>
          <w:lang w:val="fr-FR"/>
        </w:rPr>
        <w:t>Système</w:t>
      </w:r>
      <w:r>
        <w:rPr>
          <w:lang w:val="fr-FR"/>
        </w:rPr>
        <w:t> </w:t>
      </w:r>
      <w:r w:rsidRPr="00AB4DCC">
        <w:rPr>
          <w:lang w:val="fr-FR"/>
        </w:rPr>
        <w:t>», un système de commande électronique ou un système complexe de commande électronique qui constitue la transmission de commande d</w:t>
      </w:r>
      <w:r>
        <w:rPr>
          <w:lang w:val="fr-FR"/>
        </w:rPr>
        <w:t>’</w:t>
      </w:r>
      <w:r w:rsidRPr="00AB4DCC">
        <w:rPr>
          <w:lang w:val="fr-FR"/>
        </w:rPr>
        <w:t>une fonction visée par le présent Règlement ou qui en fait partie</w:t>
      </w:r>
      <w:r w:rsidR="00DF7AA4" w:rsidRPr="00DF7AA4">
        <w:rPr>
          <w:lang w:val="fr-FR"/>
        </w:rPr>
        <w:t>.</w:t>
      </w:r>
      <w:r w:rsidRPr="00AB4DCC">
        <w:rPr>
          <w:lang w:val="fr-FR"/>
        </w:rPr>
        <w:t xml:space="preserve"> Ce terme s</w:t>
      </w:r>
      <w:r>
        <w:rPr>
          <w:lang w:val="fr-FR"/>
        </w:rPr>
        <w:t>’</w:t>
      </w:r>
      <w:r w:rsidRPr="00AB4DCC">
        <w:rPr>
          <w:lang w:val="fr-FR"/>
        </w:rPr>
        <w:t>applique aussi à tout autre système entrant dans le champ d</w:t>
      </w:r>
      <w:r>
        <w:rPr>
          <w:lang w:val="fr-FR"/>
        </w:rPr>
        <w:t>’</w:t>
      </w:r>
      <w:r w:rsidRPr="00AB4DCC">
        <w:rPr>
          <w:lang w:val="fr-FR"/>
        </w:rPr>
        <w:t>application du présent Règlement, ainsi qu</w:t>
      </w:r>
      <w:r>
        <w:rPr>
          <w:lang w:val="fr-FR"/>
        </w:rPr>
        <w:t>’</w:t>
      </w:r>
      <w:r w:rsidRPr="00AB4DCC">
        <w:rPr>
          <w:lang w:val="fr-FR"/>
        </w:rPr>
        <w:t>aux liaisons de transmission avec d</w:t>
      </w:r>
      <w:r>
        <w:rPr>
          <w:lang w:val="fr-FR"/>
        </w:rPr>
        <w:t>’</w:t>
      </w:r>
      <w:r w:rsidRPr="00AB4DCC">
        <w:rPr>
          <w:lang w:val="fr-FR"/>
        </w:rPr>
        <w:t>autres systèmes qui ne relèvent pas du présent Règlement mais qui agissent sur une fonction visée par ledit Règlement</w:t>
      </w:r>
      <w:r w:rsidR="00DF7AA4" w:rsidRPr="00DF7AA4">
        <w:rPr>
          <w:lang w:val="fr-FR"/>
        </w:rPr>
        <w:t>.</w:t>
      </w:r>
    </w:p>
    <w:p w14:paraId="37E60905" w14:textId="051CBB73" w:rsidR="006F5732" w:rsidRPr="00AB4DCC" w:rsidRDefault="006F5732" w:rsidP="00D1353B">
      <w:pPr>
        <w:pStyle w:val="SingleTxtG"/>
        <w:tabs>
          <w:tab w:val="clear" w:pos="1701"/>
          <w:tab w:val="clear" w:pos="2835"/>
        </w:tabs>
        <w:ind w:left="2268" w:hanging="1134"/>
        <w:rPr>
          <w:lang w:val="fr-FR"/>
        </w:rPr>
      </w:pPr>
      <w:r w:rsidRPr="00AB4DCC">
        <w:rPr>
          <w:lang w:val="fr-FR"/>
        </w:rPr>
        <w:t>2</w:t>
      </w:r>
      <w:r w:rsidR="00DF7AA4" w:rsidRPr="00DF7AA4">
        <w:rPr>
          <w:lang w:val="fr-FR"/>
        </w:rPr>
        <w:t>.</w:t>
      </w:r>
      <w:r w:rsidRPr="00AB4DCC">
        <w:rPr>
          <w:lang w:val="fr-FR"/>
        </w:rPr>
        <w:t>2</w:t>
      </w:r>
      <w:r w:rsidRPr="00AB4DCC">
        <w:rPr>
          <w:lang w:val="fr-FR"/>
        </w:rPr>
        <w:tab/>
        <w:t>«</w:t>
      </w:r>
      <w:r>
        <w:rPr>
          <w:lang w:val="fr-FR"/>
        </w:rPr>
        <w:t> </w:t>
      </w:r>
      <w:r w:rsidRPr="00AB4DCC">
        <w:rPr>
          <w:i/>
          <w:iCs/>
          <w:lang w:val="fr-FR"/>
        </w:rPr>
        <w:t>Concept de sécurité</w:t>
      </w:r>
      <w:r>
        <w:rPr>
          <w:lang w:val="fr-FR"/>
        </w:rPr>
        <w:t> </w:t>
      </w:r>
      <w:r w:rsidRPr="00AB4DCC">
        <w:rPr>
          <w:lang w:val="fr-FR"/>
        </w:rPr>
        <w:t>», une description des mesures incorporées dans le système, par exemple dans les unités électroniques, de manière à en assurer l</w:t>
      </w:r>
      <w:r>
        <w:rPr>
          <w:lang w:val="fr-FR"/>
        </w:rPr>
        <w:t>’</w:t>
      </w:r>
      <w:r w:rsidRPr="00AB4DCC">
        <w:rPr>
          <w:lang w:val="fr-FR"/>
        </w:rPr>
        <w:t>intégrité et, partant, le fonctionnement sûr en l</w:t>
      </w:r>
      <w:r>
        <w:rPr>
          <w:lang w:val="fr-FR"/>
        </w:rPr>
        <w:t>’</w:t>
      </w:r>
      <w:r w:rsidRPr="00AB4DCC">
        <w:rPr>
          <w:lang w:val="fr-FR"/>
        </w:rPr>
        <w:t>absence de défaillance comme en cas de défaillance, y compris d</w:t>
      </w:r>
      <w:r>
        <w:rPr>
          <w:lang w:val="fr-FR"/>
        </w:rPr>
        <w:t>’</w:t>
      </w:r>
      <w:r w:rsidRPr="00AB4DCC">
        <w:rPr>
          <w:lang w:val="fr-FR"/>
        </w:rPr>
        <w:t>origine électrique</w:t>
      </w:r>
      <w:r w:rsidR="00DF7AA4" w:rsidRPr="00DF7AA4">
        <w:rPr>
          <w:lang w:val="fr-FR"/>
        </w:rPr>
        <w:t>.</w:t>
      </w:r>
      <w:r w:rsidRPr="00AB4DCC">
        <w:rPr>
          <w:lang w:val="fr-FR"/>
        </w:rPr>
        <w:t xml:space="preserve"> La possibilité de revenir à un fonctionnement partiel, voire de recourir à un système de secours pour les fonctions vitales du véhicule peut faire partie du concept de sécurité</w:t>
      </w:r>
      <w:r w:rsidR="00DF7AA4" w:rsidRPr="00DF7AA4">
        <w:rPr>
          <w:lang w:val="fr-FR"/>
        </w:rPr>
        <w:t>.</w:t>
      </w:r>
    </w:p>
    <w:p w14:paraId="0EF4D7B1" w14:textId="2211440E" w:rsidR="006F5732" w:rsidRPr="00AB4DCC" w:rsidRDefault="006F5732" w:rsidP="00D1353B">
      <w:pPr>
        <w:pStyle w:val="SingleTxtG"/>
        <w:tabs>
          <w:tab w:val="clear" w:pos="1701"/>
          <w:tab w:val="clear" w:pos="2835"/>
        </w:tabs>
        <w:ind w:left="2268" w:hanging="1134"/>
        <w:rPr>
          <w:lang w:val="fr-FR"/>
        </w:rPr>
      </w:pPr>
      <w:r w:rsidRPr="00AB4DCC">
        <w:rPr>
          <w:lang w:val="fr-FR"/>
        </w:rPr>
        <w:t>2</w:t>
      </w:r>
      <w:r w:rsidR="00DF7AA4" w:rsidRPr="00DF7AA4">
        <w:rPr>
          <w:lang w:val="fr-FR"/>
        </w:rPr>
        <w:t>.</w:t>
      </w:r>
      <w:r w:rsidRPr="00AB4DCC">
        <w:rPr>
          <w:lang w:val="fr-FR"/>
        </w:rPr>
        <w:t>3</w:t>
      </w:r>
      <w:r w:rsidRPr="00AB4DCC">
        <w:rPr>
          <w:lang w:val="fr-FR"/>
        </w:rPr>
        <w:tab/>
        <w:t>«</w:t>
      </w:r>
      <w:r>
        <w:rPr>
          <w:lang w:val="fr-FR"/>
        </w:rPr>
        <w:t> </w:t>
      </w:r>
      <w:r w:rsidRPr="00AB4DCC">
        <w:rPr>
          <w:i/>
          <w:iCs/>
          <w:lang w:val="fr-FR"/>
        </w:rPr>
        <w:t>Système de commande électronique</w:t>
      </w:r>
      <w:r>
        <w:rPr>
          <w:lang w:val="fr-FR"/>
        </w:rPr>
        <w:t> </w:t>
      </w:r>
      <w:r w:rsidRPr="00AB4DCC">
        <w:rPr>
          <w:lang w:val="fr-FR"/>
        </w:rPr>
        <w:t>», une combinaison d</w:t>
      </w:r>
      <w:r>
        <w:rPr>
          <w:lang w:val="fr-FR"/>
        </w:rPr>
        <w:t>’</w:t>
      </w:r>
      <w:r w:rsidRPr="00AB4DCC">
        <w:rPr>
          <w:lang w:val="fr-FR"/>
        </w:rPr>
        <w:t>unités conçue pour contribuer à assurer la fonction de commande du véhicule grâce au traitement de données électroniques</w:t>
      </w:r>
      <w:r w:rsidR="00DF7AA4" w:rsidRPr="00DF7AA4">
        <w:rPr>
          <w:lang w:val="fr-FR"/>
        </w:rPr>
        <w:t>.</w:t>
      </w:r>
      <w:r w:rsidRPr="00AB4DCC">
        <w:rPr>
          <w:lang w:val="fr-FR"/>
        </w:rPr>
        <w:t xml:space="preserve"> De tels systèmes, souvent commandés par un logiciel, sont conçus à partir d</w:t>
      </w:r>
      <w:r>
        <w:rPr>
          <w:lang w:val="fr-FR"/>
        </w:rPr>
        <w:t>’</w:t>
      </w:r>
      <w:r w:rsidRPr="00AB4DCC">
        <w:rPr>
          <w:lang w:val="fr-FR"/>
        </w:rPr>
        <w:t>organes fonctionnels discrets (capteurs, unités de commande électronique et actionneurs) et reliés entre eux par des liaisons de transmission</w:t>
      </w:r>
      <w:r w:rsidR="00DF7AA4" w:rsidRPr="00DF7AA4">
        <w:rPr>
          <w:lang w:val="fr-FR"/>
        </w:rPr>
        <w:t>.</w:t>
      </w:r>
      <w:r w:rsidRPr="00AB4DCC">
        <w:rPr>
          <w:lang w:val="fr-FR"/>
        </w:rPr>
        <w:t xml:space="preserve"> Ils peuvent comprendre des éléments mécaniques, électropneumatiques ou électrohydrauliques</w:t>
      </w:r>
      <w:r w:rsidR="00DF7AA4" w:rsidRPr="00DF7AA4">
        <w:rPr>
          <w:lang w:val="fr-FR"/>
        </w:rPr>
        <w:t>.</w:t>
      </w:r>
    </w:p>
    <w:p w14:paraId="620350BB" w14:textId="7AC26B6B" w:rsidR="006F5732" w:rsidRPr="00AB4DCC" w:rsidRDefault="006F5732" w:rsidP="00D1353B">
      <w:pPr>
        <w:pStyle w:val="SingleTxtG"/>
        <w:tabs>
          <w:tab w:val="clear" w:pos="1701"/>
          <w:tab w:val="clear" w:pos="2835"/>
        </w:tabs>
        <w:ind w:left="2268" w:hanging="1134"/>
        <w:rPr>
          <w:lang w:val="fr-FR"/>
        </w:rPr>
      </w:pPr>
      <w:r w:rsidRPr="00AB4DCC">
        <w:rPr>
          <w:lang w:val="fr-FR"/>
        </w:rPr>
        <w:t>2</w:t>
      </w:r>
      <w:r w:rsidR="00DF7AA4" w:rsidRPr="00DF7AA4">
        <w:rPr>
          <w:lang w:val="fr-FR"/>
        </w:rPr>
        <w:t>.</w:t>
      </w:r>
      <w:r w:rsidRPr="00AB4DCC">
        <w:rPr>
          <w:lang w:val="fr-FR"/>
        </w:rPr>
        <w:t>4</w:t>
      </w:r>
      <w:r w:rsidRPr="00AB4DCC">
        <w:rPr>
          <w:lang w:val="fr-FR"/>
        </w:rPr>
        <w:tab/>
        <w:t>«</w:t>
      </w:r>
      <w:r>
        <w:rPr>
          <w:lang w:val="fr-FR"/>
        </w:rPr>
        <w:t> </w:t>
      </w:r>
      <w:r w:rsidRPr="00AB4DCC">
        <w:rPr>
          <w:i/>
          <w:iCs/>
          <w:lang w:val="fr-FR"/>
        </w:rPr>
        <w:t>Systèmes complexes de commande électronique de véhicules</w:t>
      </w:r>
      <w:r>
        <w:rPr>
          <w:lang w:val="fr-FR"/>
        </w:rPr>
        <w:t> </w:t>
      </w:r>
      <w:r w:rsidRPr="00AB4DCC">
        <w:rPr>
          <w:lang w:val="fr-FR"/>
        </w:rPr>
        <w:t>», les systèmes de commande électronique au sein desquels une fonction contrôlée par un système électronique ou par le conducteur peut être neutralisée par un système/</w:t>
      </w:r>
      <w:r>
        <w:rPr>
          <w:lang w:val="fr-FR"/>
        </w:rPr>
        <w:t xml:space="preserve"> </w:t>
      </w:r>
      <w:r w:rsidRPr="00AB4DCC">
        <w:rPr>
          <w:lang w:val="fr-FR"/>
        </w:rPr>
        <w:t>une fonction de commande électronique supérieur(e)</w:t>
      </w:r>
      <w:r w:rsidR="00DF7AA4" w:rsidRPr="00DF7AA4">
        <w:rPr>
          <w:lang w:val="fr-FR"/>
        </w:rPr>
        <w:t>.</w:t>
      </w:r>
      <w:r w:rsidRPr="00AB4DCC">
        <w:rPr>
          <w:lang w:val="fr-FR"/>
        </w:rPr>
        <w:t xml:space="preserve"> Une fonction ainsi neutralisée devient partie intégrante du système complexe, de même que toute fonction/tout système prioritaire visé(e) par le présent Règlement</w:t>
      </w:r>
      <w:r w:rsidR="00DF7AA4" w:rsidRPr="00DF7AA4">
        <w:rPr>
          <w:lang w:val="fr-FR"/>
        </w:rPr>
        <w:t>.</w:t>
      </w:r>
      <w:r w:rsidRPr="00AB4DCC">
        <w:rPr>
          <w:lang w:val="fr-FR"/>
        </w:rPr>
        <w:t xml:space="preserve"> Les liaisons de transmission avec un système ou une fonction prioritaire qui ne relève pas du présent Règlement doivent aussi être incluses</w:t>
      </w:r>
      <w:r w:rsidR="00DF7AA4" w:rsidRPr="00DF7AA4">
        <w:rPr>
          <w:lang w:val="fr-FR"/>
        </w:rPr>
        <w:t>.</w:t>
      </w:r>
    </w:p>
    <w:p w14:paraId="343CEEF3" w14:textId="4230C598" w:rsidR="006F5732" w:rsidRPr="00AB4DCC" w:rsidRDefault="006F5732" w:rsidP="00D1353B">
      <w:pPr>
        <w:pStyle w:val="SingleTxtG"/>
        <w:tabs>
          <w:tab w:val="clear" w:pos="1701"/>
          <w:tab w:val="clear" w:pos="2835"/>
        </w:tabs>
        <w:ind w:left="2268" w:hanging="1134"/>
        <w:rPr>
          <w:lang w:val="fr-FR"/>
        </w:rPr>
      </w:pPr>
      <w:r w:rsidRPr="00AB4DCC">
        <w:rPr>
          <w:lang w:val="fr-FR"/>
        </w:rPr>
        <w:lastRenderedPageBreak/>
        <w:t>2</w:t>
      </w:r>
      <w:r w:rsidR="00DF7AA4" w:rsidRPr="00DF7AA4">
        <w:rPr>
          <w:lang w:val="fr-FR"/>
        </w:rPr>
        <w:t>.</w:t>
      </w:r>
      <w:r w:rsidRPr="00AB4DCC">
        <w:rPr>
          <w:lang w:val="fr-FR"/>
        </w:rPr>
        <w:t>5</w:t>
      </w:r>
      <w:r w:rsidRPr="00AB4DCC">
        <w:rPr>
          <w:lang w:val="fr-FR"/>
        </w:rPr>
        <w:tab/>
        <w:t>«</w:t>
      </w:r>
      <w:r>
        <w:rPr>
          <w:lang w:val="fr-FR"/>
        </w:rPr>
        <w:t> </w:t>
      </w:r>
      <w:r w:rsidRPr="00AB4DCC">
        <w:rPr>
          <w:i/>
          <w:iCs/>
          <w:lang w:val="fr-FR"/>
        </w:rPr>
        <w:t>Commande électronique supérieure</w:t>
      </w:r>
      <w:r>
        <w:rPr>
          <w:lang w:val="fr-FR"/>
        </w:rPr>
        <w:t> </w:t>
      </w:r>
      <w:r w:rsidRPr="00AB4DCC">
        <w:rPr>
          <w:lang w:val="fr-FR"/>
        </w:rPr>
        <w:t>», les systèmes/fonctions qui utilisent des dispositifs supplémentaires de traitement et/ou de détection pour modifier le comportement du véhicule en ordonnant des variations de la (des) fonction(s) du système de commande du véhicule</w:t>
      </w:r>
      <w:r w:rsidR="00DF7AA4" w:rsidRPr="00DF7AA4">
        <w:rPr>
          <w:lang w:val="fr-FR"/>
        </w:rPr>
        <w:t>.</w:t>
      </w:r>
      <w:r w:rsidRPr="00AB4DCC">
        <w:rPr>
          <w:lang w:val="fr-FR"/>
        </w:rPr>
        <w:t xml:space="preserve"> Cela permet à des systèmes complexes de modifier automatiquement leurs objectifs selon un ordre de priorité qui dépend des conditions relevées</w:t>
      </w:r>
      <w:r w:rsidR="00DF7AA4" w:rsidRPr="00DF7AA4">
        <w:rPr>
          <w:lang w:val="fr-FR"/>
        </w:rPr>
        <w:t>.</w:t>
      </w:r>
    </w:p>
    <w:p w14:paraId="20A7B207" w14:textId="64FE8D78" w:rsidR="006F5732" w:rsidRPr="00AB4DCC" w:rsidRDefault="006F5732" w:rsidP="00D1353B">
      <w:pPr>
        <w:pStyle w:val="SingleTxtG"/>
        <w:tabs>
          <w:tab w:val="clear" w:pos="1701"/>
          <w:tab w:val="clear" w:pos="2835"/>
        </w:tabs>
        <w:ind w:left="2268" w:hanging="1134"/>
        <w:rPr>
          <w:lang w:val="fr-FR"/>
        </w:rPr>
      </w:pPr>
      <w:r w:rsidRPr="00AB4DCC">
        <w:rPr>
          <w:lang w:val="fr-FR"/>
        </w:rPr>
        <w:t>2</w:t>
      </w:r>
      <w:r w:rsidR="00DF7AA4" w:rsidRPr="00DF7AA4">
        <w:rPr>
          <w:lang w:val="fr-FR"/>
        </w:rPr>
        <w:t>.</w:t>
      </w:r>
      <w:r w:rsidRPr="00AB4DCC">
        <w:rPr>
          <w:lang w:val="fr-FR"/>
        </w:rPr>
        <w:t>6</w:t>
      </w:r>
      <w:r w:rsidRPr="00AB4DCC">
        <w:rPr>
          <w:lang w:val="fr-FR"/>
        </w:rPr>
        <w:tab/>
        <w:t>«</w:t>
      </w:r>
      <w:r>
        <w:rPr>
          <w:lang w:val="fr-FR"/>
        </w:rPr>
        <w:t> </w:t>
      </w:r>
      <w:r w:rsidRPr="00AB4DCC">
        <w:rPr>
          <w:i/>
          <w:iCs/>
          <w:lang w:val="fr-FR"/>
        </w:rPr>
        <w:t>Unités</w:t>
      </w:r>
      <w:r>
        <w:rPr>
          <w:lang w:val="fr-FR"/>
        </w:rPr>
        <w:t> </w:t>
      </w:r>
      <w:r w:rsidRPr="00AB4DCC">
        <w:rPr>
          <w:lang w:val="fr-FR"/>
        </w:rPr>
        <w:t>», les plus petites subdivisions des organes du système faisant l</w:t>
      </w:r>
      <w:r>
        <w:rPr>
          <w:lang w:val="fr-FR"/>
        </w:rPr>
        <w:t>’</w:t>
      </w:r>
      <w:r w:rsidRPr="00AB4DCC">
        <w:rPr>
          <w:lang w:val="fr-FR"/>
        </w:rPr>
        <w:t>objet de la présente annexe</w:t>
      </w:r>
      <w:r>
        <w:rPr>
          <w:lang w:val="fr-FR"/>
        </w:rPr>
        <w:t> ;</w:t>
      </w:r>
      <w:r w:rsidRPr="00AB4DCC">
        <w:rPr>
          <w:lang w:val="fr-FR"/>
        </w:rPr>
        <w:t xml:space="preserve"> les combinaisons de ces organes seront considérées comme des entités uniques aux fins d</w:t>
      </w:r>
      <w:r>
        <w:rPr>
          <w:lang w:val="fr-FR"/>
        </w:rPr>
        <w:t>’</w:t>
      </w:r>
      <w:r w:rsidRPr="00AB4DCC">
        <w:rPr>
          <w:lang w:val="fr-FR"/>
        </w:rPr>
        <w:t>identification, d</w:t>
      </w:r>
      <w:r>
        <w:rPr>
          <w:lang w:val="fr-FR"/>
        </w:rPr>
        <w:t>’</w:t>
      </w:r>
      <w:r w:rsidRPr="00AB4DCC">
        <w:rPr>
          <w:lang w:val="fr-FR"/>
        </w:rPr>
        <w:t>analyse ou de remplacement</w:t>
      </w:r>
      <w:r w:rsidR="00DF7AA4" w:rsidRPr="00DF7AA4">
        <w:rPr>
          <w:lang w:val="fr-FR"/>
        </w:rPr>
        <w:t>.</w:t>
      </w:r>
    </w:p>
    <w:p w14:paraId="5C657089" w14:textId="3480DB5D" w:rsidR="006F5732" w:rsidRPr="00AB4DCC" w:rsidRDefault="006F5732" w:rsidP="00D1353B">
      <w:pPr>
        <w:pStyle w:val="SingleTxtG"/>
        <w:tabs>
          <w:tab w:val="clear" w:pos="1701"/>
          <w:tab w:val="clear" w:pos="2835"/>
        </w:tabs>
        <w:ind w:left="2268" w:hanging="1134"/>
        <w:rPr>
          <w:lang w:val="fr-FR"/>
        </w:rPr>
      </w:pPr>
      <w:r w:rsidRPr="00AB4DCC">
        <w:rPr>
          <w:lang w:val="fr-FR"/>
        </w:rPr>
        <w:t>2</w:t>
      </w:r>
      <w:r w:rsidR="00DF7AA4" w:rsidRPr="00DF7AA4">
        <w:rPr>
          <w:lang w:val="fr-FR"/>
        </w:rPr>
        <w:t>.</w:t>
      </w:r>
      <w:r w:rsidRPr="00AB4DCC">
        <w:rPr>
          <w:lang w:val="fr-FR"/>
        </w:rPr>
        <w:t>7</w:t>
      </w:r>
      <w:r w:rsidRPr="00AB4DCC">
        <w:rPr>
          <w:lang w:val="fr-FR"/>
        </w:rPr>
        <w:tab/>
        <w:t>«</w:t>
      </w:r>
      <w:r>
        <w:rPr>
          <w:lang w:val="fr-FR"/>
        </w:rPr>
        <w:t> </w:t>
      </w:r>
      <w:r w:rsidRPr="00AB4DCC">
        <w:rPr>
          <w:i/>
          <w:iCs/>
          <w:lang w:val="fr-FR"/>
        </w:rPr>
        <w:t>Liaisons de transmission</w:t>
      </w:r>
      <w:r>
        <w:rPr>
          <w:lang w:val="fr-FR"/>
        </w:rPr>
        <w:t> </w:t>
      </w:r>
      <w:r w:rsidRPr="00AB4DCC">
        <w:rPr>
          <w:lang w:val="fr-FR"/>
        </w:rPr>
        <w:t>», les moyens utilisés pour relier entre elles les différentes unités aux fins de la transmission de signaux et de données opérationnelles ou de l</w:t>
      </w:r>
      <w:r>
        <w:rPr>
          <w:lang w:val="fr-FR"/>
        </w:rPr>
        <w:t>’</w:t>
      </w:r>
      <w:r w:rsidRPr="00AB4DCC">
        <w:rPr>
          <w:lang w:val="fr-FR"/>
        </w:rPr>
        <w:t>alimentation en énergie</w:t>
      </w:r>
      <w:r w:rsidR="00DF7AA4" w:rsidRPr="00DF7AA4">
        <w:rPr>
          <w:lang w:val="fr-FR"/>
        </w:rPr>
        <w:t>.</w:t>
      </w:r>
      <w:r w:rsidRPr="00AB4DCC">
        <w:rPr>
          <w:lang w:val="fr-FR"/>
        </w:rPr>
        <w:t xml:space="preserve"> Cet équipement est généralement électrique mais peut parfois être mécanique, pneumatique ou hydraulique</w:t>
      </w:r>
      <w:r w:rsidR="00DF7AA4" w:rsidRPr="00DF7AA4">
        <w:rPr>
          <w:lang w:val="fr-FR"/>
        </w:rPr>
        <w:t>.</w:t>
      </w:r>
    </w:p>
    <w:p w14:paraId="3A9B283D" w14:textId="249D806C" w:rsidR="006F5732" w:rsidRPr="00AB4DCC" w:rsidRDefault="006F5732" w:rsidP="00D1353B">
      <w:pPr>
        <w:pStyle w:val="SingleTxtG"/>
        <w:tabs>
          <w:tab w:val="clear" w:pos="1701"/>
          <w:tab w:val="clear" w:pos="2835"/>
        </w:tabs>
        <w:ind w:left="2268" w:hanging="1134"/>
        <w:rPr>
          <w:lang w:val="fr-FR"/>
        </w:rPr>
      </w:pPr>
      <w:r w:rsidRPr="00AB4DCC">
        <w:rPr>
          <w:lang w:val="fr-FR"/>
        </w:rPr>
        <w:t>2</w:t>
      </w:r>
      <w:r w:rsidR="00DF7AA4" w:rsidRPr="00DF7AA4">
        <w:rPr>
          <w:lang w:val="fr-FR"/>
        </w:rPr>
        <w:t>.</w:t>
      </w:r>
      <w:r w:rsidRPr="00AB4DCC">
        <w:rPr>
          <w:lang w:val="fr-FR"/>
        </w:rPr>
        <w:t>8</w:t>
      </w:r>
      <w:r w:rsidRPr="00AB4DCC">
        <w:rPr>
          <w:lang w:val="fr-FR"/>
        </w:rPr>
        <w:tab/>
        <w:t>«</w:t>
      </w:r>
      <w:r>
        <w:rPr>
          <w:lang w:val="fr-FR"/>
        </w:rPr>
        <w:t> </w:t>
      </w:r>
      <w:r w:rsidRPr="00AB4DCC">
        <w:rPr>
          <w:i/>
          <w:iCs/>
          <w:lang w:val="fr-FR"/>
        </w:rPr>
        <w:t>Rayon d</w:t>
      </w:r>
      <w:r>
        <w:rPr>
          <w:i/>
          <w:iCs/>
          <w:lang w:val="fr-FR"/>
        </w:rPr>
        <w:t>’</w:t>
      </w:r>
      <w:r w:rsidRPr="00AB4DCC">
        <w:rPr>
          <w:i/>
          <w:iCs/>
          <w:lang w:val="fr-FR"/>
        </w:rPr>
        <w:t>action</w:t>
      </w:r>
      <w:r>
        <w:rPr>
          <w:lang w:val="fr-FR"/>
        </w:rPr>
        <w:t> </w:t>
      </w:r>
      <w:r w:rsidRPr="00AB4DCC">
        <w:rPr>
          <w:lang w:val="fr-FR"/>
        </w:rPr>
        <w:t>», une variable de rendement qui définit le rayon sur lequel le système est censé exercer son contrôle</w:t>
      </w:r>
      <w:r w:rsidR="00DF7AA4" w:rsidRPr="00DF7AA4">
        <w:rPr>
          <w:lang w:val="fr-FR"/>
        </w:rPr>
        <w:t>.</w:t>
      </w:r>
    </w:p>
    <w:p w14:paraId="6D637849" w14:textId="677084FD" w:rsidR="006F5732" w:rsidRPr="00AB4DCC" w:rsidRDefault="006F5732" w:rsidP="00D1353B">
      <w:pPr>
        <w:pStyle w:val="SingleTxtG"/>
        <w:tabs>
          <w:tab w:val="clear" w:pos="1701"/>
          <w:tab w:val="clear" w:pos="2835"/>
        </w:tabs>
        <w:ind w:left="2268" w:hanging="1134"/>
        <w:rPr>
          <w:lang w:val="fr-FR"/>
        </w:rPr>
      </w:pPr>
      <w:r w:rsidRPr="00AB4DCC">
        <w:rPr>
          <w:lang w:val="fr-FR"/>
        </w:rPr>
        <w:t>2</w:t>
      </w:r>
      <w:r w:rsidR="00DF7AA4" w:rsidRPr="00DF7AA4">
        <w:rPr>
          <w:lang w:val="fr-FR"/>
        </w:rPr>
        <w:t>.</w:t>
      </w:r>
      <w:r w:rsidRPr="00AB4DCC">
        <w:rPr>
          <w:lang w:val="fr-FR"/>
        </w:rPr>
        <w:t>9</w:t>
      </w:r>
      <w:r w:rsidRPr="00AB4DCC">
        <w:rPr>
          <w:lang w:val="fr-FR"/>
        </w:rPr>
        <w:tab/>
        <w:t>«</w:t>
      </w:r>
      <w:r>
        <w:rPr>
          <w:lang w:val="fr-FR"/>
        </w:rPr>
        <w:t> </w:t>
      </w:r>
      <w:r w:rsidRPr="00AB4DCC">
        <w:rPr>
          <w:i/>
          <w:iCs/>
          <w:lang w:val="fr-FR"/>
        </w:rPr>
        <w:t>Limite de fonctionnement</w:t>
      </w:r>
      <w:r>
        <w:rPr>
          <w:lang w:val="fr-FR"/>
        </w:rPr>
        <w:t> </w:t>
      </w:r>
      <w:r w:rsidRPr="00AB4DCC">
        <w:rPr>
          <w:lang w:val="fr-FR"/>
        </w:rPr>
        <w:t>», les limites physiques extérieures dans lesquelles le système est capable d</w:t>
      </w:r>
      <w:r>
        <w:rPr>
          <w:lang w:val="fr-FR"/>
        </w:rPr>
        <w:t>’</w:t>
      </w:r>
      <w:r w:rsidRPr="00AB4DCC">
        <w:rPr>
          <w:lang w:val="fr-FR"/>
        </w:rPr>
        <w:t>exercer un contrôle</w:t>
      </w:r>
      <w:r w:rsidR="00DF7AA4" w:rsidRPr="00DF7AA4">
        <w:rPr>
          <w:lang w:val="fr-FR"/>
        </w:rPr>
        <w:t>.</w:t>
      </w:r>
    </w:p>
    <w:p w14:paraId="1C0A7757" w14:textId="465D5159" w:rsidR="006F5732" w:rsidRPr="00AB4DCC" w:rsidRDefault="006F5732" w:rsidP="00D1353B">
      <w:pPr>
        <w:pStyle w:val="SingleTxtG"/>
        <w:tabs>
          <w:tab w:val="clear" w:pos="1701"/>
          <w:tab w:val="clear" w:pos="2835"/>
        </w:tabs>
        <w:ind w:left="2268" w:hanging="1134"/>
        <w:rPr>
          <w:lang w:val="fr-FR"/>
        </w:rPr>
      </w:pPr>
      <w:r w:rsidRPr="00AB4DCC">
        <w:rPr>
          <w:lang w:val="fr-FR"/>
        </w:rPr>
        <w:t>2</w:t>
      </w:r>
      <w:r w:rsidR="00DF7AA4" w:rsidRPr="00DF7AA4">
        <w:rPr>
          <w:lang w:val="fr-FR"/>
        </w:rPr>
        <w:t>.</w:t>
      </w:r>
      <w:r w:rsidRPr="00AB4DCC">
        <w:rPr>
          <w:lang w:val="fr-FR"/>
        </w:rPr>
        <w:t>10</w:t>
      </w:r>
      <w:r w:rsidRPr="00AB4DCC">
        <w:rPr>
          <w:lang w:val="fr-FR"/>
        </w:rPr>
        <w:tab/>
        <w:t>«</w:t>
      </w:r>
      <w:r>
        <w:rPr>
          <w:lang w:val="fr-FR"/>
        </w:rPr>
        <w:t> </w:t>
      </w:r>
      <w:r w:rsidRPr="00AB4DCC">
        <w:rPr>
          <w:i/>
          <w:iCs/>
          <w:lang w:val="fr-FR"/>
        </w:rPr>
        <w:t>Fonction liée à la sécurité</w:t>
      </w:r>
      <w:r>
        <w:rPr>
          <w:lang w:val="fr-FR"/>
        </w:rPr>
        <w:t> </w:t>
      </w:r>
      <w:r w:rsidRPr="00AB4DCC">
        <w:rPr>
          <w:lang w:val="fr-FR"/>
        </w:rPr>
        <w:t>», une fonction du «</w:t>
      </w:r>
      <w:r>
        <w:rPr>
          <w:lang w:val="fr-FR"/>
        </w:rPr>
        <w:t> </w:t>
      </w:r>
      <w:r w:rsidRPr="00AB4DCC">
        <w:rPr>
          <w:lang w:val="fr-FR"/>
        </w:rPr>
        <w:t>système</w:t>
      </w:r>
      <w:r>
        <w:rPr>
          <w:lang w:val="fr-FR"/>
        </w:rPr>
        <w:t> </w:t>
      </w:r>
      <w:r w:rsidRPr="00AB4DCC">
        <w:rPr>
          <w:lang w:val="fr-FR"/>
        </w:rPr>
        <w:t>» capable de modifier le comportement dynamique du véhicule</w:t>
      </w:r>
      <w:r w:rsidR="00DF7AA4" w:rsidRPr="00DF7AA4">
        <w:rPr>
          <w:lang w:val="fr-FR"/>
        </w:rPr>
        <w:t>.</w:t>
      </w:r>
      <w:r w:rsidRPr="00AB4DCC">
        <w:rPr>
          <w:lang w:val="fr-FR"/>
        </w:rPr>
        <w:t xml:space="preserve"> Le «</w:t>
      </w:r>
      <w:r>
        <w:rPr>
          <w:lang w:val="fr-FR"/>
        </w:rPr>
        <w:t> </w:t>
      </w:r>
      <w:r w:rsidRPr="00AB4DCC">
        <w:rPr>
          <w:lang w:val="fr-FR"/>
        </w:rPr>
        <w:t>système</w:t>
      </w:r>
      <w:r>
        <w:rPr>
          <w:lang w:val="fr-FR"/>
        </w:rPr>
        <w:t> </w:t>
      </w:r>
      <w:r w:rsidRPr="00AB4DCC">
        <w:rPr>
          <w:lang w:val="fr-FR"/>
        </w:rPr>
        <w:t>» peut être capable de remplir plusieurs fonctions liées à la sécurité</w:t>
      </w:r>
      <w:r w:rsidR="00DF7AA4" w:rsidRPr="00DF7AA4">
        <w:rPr>
          <w:lang w:val="fr-FR"/>
        </w:rPr>
        <w:t>.</w:t>
      </w:r>
    </w:p>
    <w:p w14:paraId="589110F5" w14:textId="68138650" w:rsidR="006F5732" w:rsidRPr="00AB4DCC" w:rsidRDefault="006F5732" w:rsidP="006F5732">
      <w:pPr>
        <w:pStyle w:val="SingleTxtG"/>
        <w:ind w:left="2268" w:hanging="1134"/>
        <w:jc w:val="left"/>
        <w:rPr>
          <w:b/>
          <w:sz w:val="28"/>
          <w:szCs w:val="28"/>
          <w:lang w:val="fr-FR"/>
        </w:rPr>
      </w:pPr>
      <w:r w:rsidRPr="00AB4DCC">
        <w:rPr>
          <w:b/>
          <w:bCs/>
          <w:sz w:val="28"/>
          <w:szCs w:val="28"/>
          <w:lang w:val="fr-FR"/>
        </w:rPr>
        <w:t>3</w:t>
      </w:r>
      <w:r w:rsidR="00DF7AA4" w:rsidRPr="00DF7AA4">
        <w:rPr>
          <w:b/>
          <w:bCs/>
          <w:sz w:val="28"/>
          <w:szCs w:val="28"/>
          <w:lang w:val="fr-FR"/>
        </w:rPr>
        <w:t>.</w:t>
      </w:r>
      <w:r w:rsidRPr="00AB4DCC">
        <w:rPr>
          <w:sz w:val="28"/>
          <w:szCs w:val="28"/>
          <w:lang w:val="fr-FR"/>
        </w:rPr>
        <w:tab/>
      </w:r>
      <w:r w:rsidRPr="00AB4DCC">
        <w:rPr>
          <w:b/>
          <w:bCs/>
          <w:sz w:val="28"/>
          <w:szCs w:val="28"/>
          <w:lang w:val="fr-FR"/>
        </w:rPr>
        <w:t>Dossier d</w:t>
      </w:r>
      <w:r>
        <w:rPr>
          <w:b/>
          <w:bCs/>
          <w:sz w:val="28"/>
          <w:szCs w:val="28"/>
          <w:lang w:val="fr-FR"/>
        </w:rPr>
        <w:t>’</w:t>
      </w:r>
      <w:r w:rsidRPr="00AB4DCC">
        <w:rPr>
          <w:b/>
          <w:bCs/>
          <w:sz w:val="28"/>
          <w:szCs w:val="28"/>
          <w:lang w:val="fr-FR"/>
        </w:rPr>
        <w:t>information</w:t>
      </w:r>
    </w:p>
    <w:p w14:paraId="5044645D" w14:textId="400D0EA4"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1</w:t>
      </w:r>
      <w:r w:rsidRPr="00AB4DCC">
        <w:rPr>
          <w:lang w:val="fr-FR"/>
        </w:rPr>
        <w:tab/>
        <w:t>Prescriptions</w:t>
      </w:r>
    </w:p>
    <w:p w14:paraId="6ACB2A0F" w14:textId="7A50C67B" w:rsidR="006F5732" w:rsidRPr="00AB4DCC" w:rsidRDefault="006F5732" w:rsidP="006F5732">
      <w:pPr>
        <w:pStyle w:val="SingleTxtG"/>
        <w:ind w:left="2268"/>
        <w:rPr>
          <w:lang w:val="fr-FR"/>
        </w:rPr>
      </w:pPr>
      <w:r w:rsidRPr="00AB4DCC">
        <w:rPr>
          <w:lang w:val="fr-FR"/>
        </w:rPr>
        <w:t>Le constructeur doit fournir un dossier d</w:t>
      </w:r>
      <w:r>
        <w:rPr>
          <w:lang w:val="fr-FR"/>
        </w:rPr>
        <w:t>’</w:t>
      </w:r>
      <w:r w:rsidRPr="00AB4DCC">
        <w:rPr>
          <w:lang w:val="fr-FR"/>
        </w:rPr>
        <w:t>information qui décrit la conception de base du «</w:t>
      </w:r>
      <w:r>
        <w:rPr>
          <w:lang w:val="fr-FR"/>
        </w:rPr>
        <w:t> </w:t>
      </w:r>
      <w:r w:rsidRPr="00AB4DCC">
        <w:rPr>
          <w:lang w:val="fr-FR"/>
        </w:rPr>
        <w:t>système</w:t>
      </w:r>
      <w:r>
        <w:rPr>
          <w:lang w:val="fr-FR"/>
        </w:rPr>
        <w:t> </w:t>
      </w:r>
      <w:r w:rsidRPr="00AB4DCC">
        <w:rPr>
          <w:lang w:val="fr-FR"/>
        </w:rPr>
        <w:t>» et indiquant les moyens par lesquels il est relié aux autres systèmes du véhicule ou par lesquels il contrôle directement les variables de sortie</w:t>
      </w:r>
      <w:r w:rsidR="00DF7AA4" w:rsidRPr="00DF7AA4">
        <w:rPr>
          <w:lang w:val="fr-FR"/>
        </w:rPr>
        <w:t>.</w:t>
      </w:r>
      <w:r w:rsidRPr="00AB4DCC">
        <w:rPr>
          <w:lang w:val="fr-FR"/>
        </w:rPr>
        <w:t xml:space="preserve"> La (les) fonction(s) du «</w:t>
      </w:r>
      <w:r>
        <w:rPr>
          <w:lang w:val="fr-FR"/>
        </w:rPr>
        <w:t> </w:t>
      </w:r>
      <w:r w:rsidRPr="00AB4DCC">
        <w:rPr>
          <w:lang w:val="fr-FR"/>
        </w:rPr>
        <w:t>système</w:t>
      </w:r>
      <w:r>
        <w:rPr>
          <w:lang w:val="fr-FR"/>
        </w:rPr>
        <w:t> </w:t>
      </w:r>
      <w:r w:rsidRPr="00AB4DCC">
        <w:rPr>
          <w:lang w:val="fr-FR"/>
        </w:rPr>
        <w:t>» et le concept de sécurité tels que définis par le constructeur doivent être expliqués</w:t>
      </w:r>
      <w:r w:rsidR="00DF7AA4" w:rsidRPr="00DF7AA4">
        <w:rPr>
          <w:lang w:val="fr-FR"/>
        </w:rPr>
        <w:t>.</w:t>
      </w:r>
      <w:r w:rsidRPr="00AB4DCC">
        <w:rPr>
          <w:lang w:val="fr-FR"/>
        </w:rPr>
        <w:t xml:space="preserve"> Le dossier doit être bref, tout en apportant la preuve que la conception et la mise au point ont bénéficié de l</w:t>
      </w:r>
      <w:r>
        <w:rPr>
          <w:lang w:val="fr-FR"/>
        </w:rPr>
        <w:t>’</w:t>
      </w:r>
      <w:r w:rsidRPr="00AB4DCC">
        <w:rPr>
          <w:lang w:val="fr-FR"/>
        </w:rPr>
        <w:t>avis d</w:t>
      </w:r>
      <w:r>
        <w:rPr>
          <w:lang w:val="fr-FR"/>
        </w:rPr>
        <w:t>’</w:t>
      </w:r>
      <w:r w:rsidRPr="00AB4DCC">
        <w:rPr>
          <w:lang w:val="fr-FR"/>
        </w:rPr>
        <w:t>experts dans tous les domaines du système qui sont concernés</w:t>
      </w:r>
      <w:r w:rsidR="00DF7AA4" w:rsidRPr="00DF7AA4">
        <w:rPr>
          <w:lang w:val="fr-FR"/>
        </w:rPr>
        <w:t>.</w:t>
      </w:r>
      <w:r w:rsidRPr="00AB4DCC">
        <w:rPr>
          <w:lang w:val="fr-FR"/>
        </w:rPr>
        <w:t xml:space="preserve"> En ce qui concerne les contrôles techniques périodiques, le dossier doit décrire la manière dont l</w:t>
      </w:r>
      <w:r>
        <w:rPr>
          <w:lang w:val="fr-FR"/>
        </w:rPr>
        <w:t>’</w:t>
      </w:r>
      <w:r w:rsidRPr="00AB4DCC">
        <w:rPr>
          <w:lang w:val="fr-FR"/>
        </w:rPr>
        <w:t>état fonctionnel du système à un moment donné peut être</w:t>
      </w:r>
      <w:r>
        <w:rPr>
          <w:lang w:val="fr-FR"/>
        </w:rPr>
        <w:t xml:space="preserve"> </w:t>
      </w:r>
      <w:r w:rsidRPr="00AB4DCC">
        <w:rPr>
          <w:lang w:val="fr-FR"/>
        </w:rPr>
        <w:t>vérifié</w:t>
      </w:r>
      <w:r w:rsidR="00DF7AA4" w:rsidRPr="00DF7AA4">
        <w:rPr>
          <w:lang w:val="fr-FR"/>
        </w:rPr>
        <w:t>.</w:t>
      </w:r>
    </w:p>
    <w:p w14:paraId="0F197F55" w14:textId="77777777" w:rsidR="006F5732" w:rsidRPr="00AB4DCC" w:rsidRDefault="006F5732" w:rsidP="006F5732">
      <w:pPr>
        <w:pStyle w:val="SingleTxtG"/>
        <w:ind w:left="2268"/>
        <w:rPr>
          <w:lang w:val="fr-FR"/>
        </w:rPr>
      </w:pPr>
      <w:r w:rsidRPr="00AB4DCC">
        <w:rPr>
          <w:lang w:val="fr-FR"/>
        </w:rPr>
        <w:t>Le service technique doit évaluer le dossier d</w:t>
      </w:r>
      <w:r>
        <w:rPr>
          <w:lang w:val="fr-FR"/>
        </w:rPr>
        <w:t>’</w:t>
      </w:r>
      <w:r w:rsidRPr="00AB4DCC">
        <w:rPr>
          <w:lang w:val="fr-FR"/>
        </w:rPr>
        <w:t>information afin de vérifier que le «</w:t>
      </w:r>
      <w:r>
        <w:rPr>
          <w:lang w:val="fr-FR"/>
        </w:rPr>
        <w:t> </w:t>
      </w:r>
      <w:r w:rsidRPr="00AB4DCC">
        <w:rPr>
          <w:lang w:val="fr-FR"/>
        </w:rPr>
        <w:t>système</w:t>
      </w:r>
      <w:r>
        <w:rPr>
          <w:lang w:val="fr-FR"/>
        </w:rPr>
        <w:t> </w:t>
      </w:r>
      <w:r w:rsidRPr="00AB4DCC">
        <w:rPr>
          <w:lang w:val="fr-FR"/>
        </w:rPr>
        <w:t>»</w:t>
      </w:r>
      <w:r>
        <w:rPr>
          <w:lang w:val="fr-FR"/>
        </w:rPr>
        <w:t> :</w:t>
      </w:r>
    </w:p>
    <w:p w14:paraId="60369959" w14:textId="77777777" w:rsidR="006F5732" w:rsidRPr="00AB4DCC" w:rsidRDefault="006F5732" w:rsidP="006F5732">
      <w:pPr>
        <w:pStyle w:val="SingleTxtG"/>
        <w:ind w:left="2835" w:hanging="567"/>
        <w:rPr>
          <w:lang w:val="fr-FR"/>
        </w:rPr>
      </w:pPr>
      <w:r w:rsidRPr="00AB4DCC">
        <w:rPr>
          <w:lang w:val="fr-FR"/>
        </w:rPr>
        <w:t>a)</w:t>
      </w:r>
      <w:r w:rsidRPr="00AB4DCC">
        <w:rPr>
          <w:lang w:val="fr-FR"/>
        </w:rPr>
        <w:tab/>
        <w:t>Est conçu pour fonctionner de manière à n</w:t>
      </w:r>
      <w:r>
        <w:rPr>
          <w:lang w:val="fr-FR"/>
        </w:rPr>
        <w:t>’</w:t>
      </w:r>
      <w:r w:rsidRPr="00AB4DCC">
        <w:rPr>
          <w:lang w:val="fr-FR"/>
        </w:rPr>
        <w:t>entraîner aucun risque critique pour la sécurité, en l</w:t>
      </w:r>
      <w:r>
        <w:rPr>
          <w:lang w:val="fr-FR"/>
        </w:rPr>
        <w:t>’</w:t>
      </w:r>
      <w:r w:rsidRPr="00AB4DCC">
        <w:rPr>
          <w:lang w:val="fr-FR"/>
        </w:rPr>
        <w:t>absence de défaillance comme en cas de défaillance</w:t>
      </w:r>
      <w:r>
        <w:rPr>
          <w:lang w:val="fr-FR"/>
        </w:rPr>
        <w:t> ;</w:t>
      </w:r>
    </w:p>
    <w:p w14:paraId="29A5D163" w14:textId="77777777" w:rsidR="006F5732" w:rsidRPr="00AB4DCC" w:rsidRDefault="006F5732" w:rsidP="006F5732">
      <w:pPr>
        <w:pStyle w:val="SingleTxtG"/>
        <w:ind w:left="2835" w:hanging="567"/>
        <w:rPr>
          <w:lang w:val="fr-FR"/>
        </w:rPr>
      </w:pPr>
      <w:r w:rsidRPr="00AB4DCC">
        <w:rPr>
          <w:lang w:val="fr-FR"/>
        </w:rPr>
        <w:t>b)</w:t>
      </w:r>
      <w:r w:rsidRPr="00AB4DCC">
        <w:rPr>
          <w:lang w:val="fr-FR"/>
        </w:rPr>
        <w:tab/>
        <w:t>Est conforme, en l</w:t>
      </w:r>
      <w:r>
        <w:rPr>
          <w:lang w:val="fr-FR"/>
        </w:rPr>
        <w:t>’</w:t>
      </w:r>
      <w:r w:rsidRPr="00AB4DCC">
        <w:rPr>
          <w:lang w:val="fr-FR"/>
        </w:rPr>
        <w:t>absence de défaillance comme en cas de défaillance, à toutes les prescriptions fonctionnelles pertinentes énoncées ailleurs dans le présent Règlement</w:t>
      </w:r>
      <w:r>
        <w:rPr>
          <w:lang w:val="fr-FR"/>
        </w:rPr>
        <w:t> ;</w:t>
      </w:r>
    </w:p>
    <w:p w14:paraId="595E8593" w14:textId="06D4B337" w:rsidR="006F5732" w:rsidRPr="00AB4DCC" w:rsidRDefault="006F5732" w:rsidP="006F5732">
      <w:pPr>
        <w:pStyle w:val="SingleTxtG"/>
        <w:ind w:left="2835" w:hanging="567"/>
        <w:rPr>
          <w:lang w:val="fr-FR"/>
        </w:rPr>
      </w:pPr>
      <w:r w:rsidRPr="00AB4DCC">
        <w:rPr>
          <w:lang w:val="fr-FR"/>
        </w:rPr>
        <w:t>c)</w:t>
      </w:r>
      <w:r w:rsidRPr="00AB4DCC">
        <w:rPr>
          <w:lang w:val="fr-FR"/>
        </w:rPr>
        <w:tab/>
        <w:t>A été mis au point conformément au processus ou à la méthode qu</w:t>
      </w:r>
      <w:r>
        <w:rPr>
          <w:lang w:val="fr-FR"/>
        </w:rPr>
        <w:t>’</w:t>
      </w:r>
      <w:r w:rsidRPr="00AB4DCC">
        <w:rPr>
          <w:lang w:val="fr-FR"/>
        </w:rPr>
        <w:t>a déclaré(e) le constructeur</w:t>
      </w:r>
      <w:r w:rsidR="00DF7AA4" w:rsidRPr="00DF7AA4">
        <w:rPr>
          <w:lang w:val="fr-FR"/>
        </w:rPr>
        <w:t>.</w:t>
      </w:r>
    </w:p>
    <w:p w14:paraId="1A37449A" w14:textId="55E8CFAC"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1</w:t>
      </w:r>
      <w:r w:rsidR="00DF7AA4" w:rsidRPr="00DF7AA4">
        <w:rPr>
          <w:lang w:val="fr-FR"/>
        </w:rPr>
        <w:t>.</w:t>
      </w:r>
      <w:r w:rsidRPr="00AB4DCC">
        <w:rPr>
          <w:lang w:val="fr-FR"/>
        </w:rPr>
        <w:t>1</w:t>
      </w:r>
      <w:r w:rsidRPr="00AB4DCC">
        <w:rPr>
          <w:lang w:val="fr-FR"/>
        </w:rPr>
        <w:tab/>
        <w:t>Le dossier d</w:t>
      </w:r>
      <w:r>
        <w:rPr>
          <w:lang w:val="fr-FR"/>
        </w:rPr>
        <w:t>’</w:t>
      </w:r>
      <w:r w:rsidRPr="00AB4DCC">
        <w:rPr>
          <w:lang w:val="fr-FR"/>
        </w:rPr>
        <w:t>information comporte deux parties</w:t>
      </w:r>
      <w:r>
        <w:rPr>
          <w:lang w:val="fr-FR"/>
        </w:rPr>
        <w:t> :</w:t>
      </w:r>
    </w:p>
    <w:p w14:paraId="554F8682" w14:textId="627DABBD" w:rsidR="006F5732" w:rsidRPr="00E201F8" w:rsidRDefault="006F5732" w:rsidP="006F5732">
      <w:pPr>
        <w:pStyle w:val="SingleTxtG"/>
        <w:ind w:left="2835" w:hanging="567"/>
        <w:rPr>
          <w:lang w:val="fr-FR"/>
        </w:rPr>
      </w:pPr>
      <w:r w:rsidRPr="00AB4DCC">
        <w:rPr>
          <w:lang w:val="fr-FR"/>
        </w:rPr>
        <w:t>a)</w:t>
      </w:r>
      <w:r w:rsidRPr="00AB4DCC">
        <w:rPr>
          <w:lang w:val="fr-FR"/>
        </w:rPr>
        <w:tab/>
        <w:t>Le dossier d</w:t>
      </w:r>
      <w:r>
        <w:rPr>
          <w:lang w:val="fr-FR"/>
        </w:rPr>
        <w:t>’</w:t>
      </w:r>
      <w:r w:rsidRPr="00AB4DCC">
        <w:rPr>
          <w:lang w:val="fr-FR"/>
        </w:rPr>
        <w:t>information officiel pour l</w:t>
      </w:r>
      <w:r>
        <w:rPr>
          <w:lang w:val="fr-FR"/>
        </w:rPr>
        <w:t>’</w:t>
      </w:r>
      <w:r w:rsidRPr="00AB4DCC">
        <w:rPr>
          <w:lang w:val="fr-FR"/>
        </w:rPr>
        <w:t>homologation, contenant les données énumérées au paragraphe 3 (à l</w:t>
      </w:r>
      <w:r>
        <w:rPr>
          <w:lang w:val="fr-FR"/>
        </w:rPr>
        <w:t>’</w:t>
      </w:r>
      <w:r w:rsidRPr="00AB4DCC">
        <w:rPr>
          <w:lang w:val="fr-FR"/>
        </w:rPr>
        <w:t>exception de celles qui figurent au paragraphe 3</w:t>
      </w:r>
      <w:r w:rsidR="00DF7AA4" w:rsidRPr="00DF7AA4">
        <w:rPr>
          <w:lang w:val="fr-FR"/>
        </w:rPr>
        <w:t>.</w:t>
      </w:r>
      <w:r w:rsidRPr="00AB4DCC">
        <w:rPr>
          <w:lang w:val="fr-FR"/>
        </w:rPr>
        <w:t>4</w:t>
      </w:r>
      <w:r w:rsidR="00DF7AA4" w:rsidRPr="00DF7AA4">
        <w:rPr>
          <w:lang w:val="fr-FR"/>
        </w:rPr>
        <w:t>.</w:t>
      </w:r>
      <w:r w:rsidRPr="00AB4DCC">
        <w:rPr>
          <w:lang w:val="fr-FR"/>
        </w:rPr>
        <w:t>4), à présenter au service technique au moment du dépôt de la demande d</w:t>
      </w:r>
      <w:r>
        <w:rPr>
          <w:lang w:val="fr-FR"/>
        </w:rPr>
        <w:t>’</w:t>
      </w:r>
      <w:r w:rsidRPr="00AB4DCC">
        <w:rPr>
          <w:lang w:val="fr-FR"/>
        </w:rPr>
        <w:t>homologation de type</w:t>
      </w:r>
      <w:r w:rsidR="00DF7AA4" w:rsidRPr="00DF7AA4">
        <w:rPr>
          <w:lang w:val="fr-FR"/>
        </w:rPr>
        <w:t>.</w:t>
      </w:r>
      <w:r w:rsidRPr="00AB4DCC">
        <w:rPr>
          <w:lang w:val="fr-FR"/>
        </w:rPr>
        <w:t xml:space="preserve"> Ce dossier d</w:t>
      </w:r>
      <w:r>
        <w:rPr>
          <w:lang w:val="fr-FR"/>
        </w:rPr>
        <w:t>’</w:t>
      </w:r>
      <w:r w:rsidRPr="00AB4DCC">
        <w:rPr>
          <w:lang w:val="fr-FR"/>
        </w:rPr>
        <w:t>information doit être utilisé par le service technique comme référence de base pour la procédure de vérification énoncée au paragraphe 4 de la présente annexe</w:t>
      </w:r>
      <w:r w:rsidR="00DF7AA4" w:rsidRPr="00DF7AA4">
        <w:rPr>
          <w:lang w:val="fr-FR"/>
        </w:rPr>
        <w:t>.</w:t>
      </w:r>
      <w:r w:rsidRPr="00AB4DCC">
        <w:rPr>
          <w:lang w:val="fr-FR"/>
        </w:rPr>
        <w:t xml:space="preserve"> Le service technique doit s</w:t>
      </w:r>
      <w:r>
        <w:rPr>
          <w:lang w:val="fr-FR"/>
        </w:rPr>
        <w:t>’</w:t>
      </w:r>
      <w:r w:rsidRPr="00AB4DCC">
        <w:rPr>
          <w:lang w:val="fr-FR"/>
        </w:rPr>
        <w:t xml:space="preserve">assurer que ce dossier reste </w:t>
      </w:r>
      <w:r w:rsidRPr="00AB4DCC">
        <w:rPr>
          <w:lang w:val="fr-FR"/>
        </w:rPr>
        <w:lastRenderedPageBreak/>
        <w:t>disponible pendant un délai fixé en accord avec l</w:t>
      </w:r>
      <w:r>
        <w:rPr>
          <w:lang w:val="fr-FR"/>
        </w:rPr>
        <w:t>’</w:t>
      </w:r>
      <w:r w:rsidRPr="00AB4DCC">
        <w:rPr>
          <w:lang w:val="fr-FR"/>
        </w:rPr>
        <w:t>autorité d</w:t>
      </w:r>
      <w:r>
        <w:rPr>
          <w:lang w:val="fr-FR"/>
        </w:rPr>
        <w:t>’</w:t>
      </w:r>
      <w:r w:rsidRPr="00AB4DCC">
        <w:rPr>
          <w:lang w:val="fr-FR"/>
        </w:rPr>
        <w:t>homologation</w:t>
      </w:r>
      <w:r w:rsidR="00DF7AA4" w:rsidRPr="00DF7AA4">
        <w:rPr>
          <w:lang w:val="fr-FR"/>
        </w:rPr>
        <w:t>.</w:t>
      </w:r>
      <w:r w:rsidRPr="00AB4DCC">
        <w:rPr>
          <w:lang w:val="fr-FR"/>
        </w:rPr>
        <w:t xml:space="preserve"> Ce délai doit être d</w:t>
      </w:r>
      <w:r>
        <w:rPr>
          <w:lang w:val="fr-FR"/>
        </w:rPr>
        <w:t>’</w:t>
      </w:r>
      <w:r w:rsidRPr="00AB4DCC">
        <w:rPr>
          <w:lang w:val="fr-FR"/>
        </w:rPr>
        <w:t xml:space="preserve">au moins </w:t>
      </w:r>
      <w:r>
        <w:rPr>
          <w:lang w:val="fr-FR"/>
        </w:rPr>
        <w:t>10 </w:t>
      </w:r>
      <w:r w:rsidRPr="00AB4DCC">
        <w:rPr>
          <w:lang w:val="fr-FR"/>
        </w:rPr>
        <w:t>ans à compter de la date de l</w:t>
      </w:r>
      <w:r>
        <w:rPr>
          <w:lang w:val="fr-FR"/>
        </w:rPr>
        <w:t>’</w:t>
      </w:r>
      <w:r w:rsidRPr="00AB4DCC">
        <w:rPr>
          <w:lang w:val="fr-FR"/>
        </w:rPr>
        <w:t>arrêt définitif de la production du véhicule</w:t>
      </w:r>
      <w:r>
        <w:rPr>
          <w:lang w:val="fr-FR"/>
        </w:rPr>
        <w:t> ;</w:t>
      </w:r>
    </w:p>
    <w:p w14:paraId="66E81CC4" w14:textId="502E0A9A" w:rsidR="006F5732" w:rsidRPr="00AB4DCC" w:rsidRDefault="006F5732" w:rsidP="006F5732">
      <w:pPr>
        <w:pStyle w:val="SingleTxtG"/>
        <w:ind w:left="2835" w:hanging="567"/>
        <w:rPr>
          <w:lang w:val="fr-FR"/>
        </w:rPr>
      </w:pPr>
      <w:r w:rsidRPr="00AB4DCC">
        <w:rPr>
          <w:lang w:val="fr-FR"/>
        </w:rPr>
        <w:t>b)</w:t>
      </w:r>
      <w:r w:rsidRPr="00AB4DCC">
        <w:rPr>
          <w:lang w:val="fr-FR"/>
        </w:rPr>
        <w:tab/>
        <w:t>Les compléments d</w:t>
      </w:r>
      <w:r>
        <w:rPr>
          <w:lang w:val="fr-FR"/>
        </w:rPr>
        <w:t>’</w:t>
      </w:r>
      <w:r w:rsidRPr="00AB4DCC">
        <w:rPr>
          <w:lang w:val="fr-FR"/>
        </w:rPr>
        <w:t>information et les données d</w:t>
      </w:r>
      <w:r>
        <w:rPr>
          <w:lang w:val="fr-FR"/>
        </w:rPr>
        <w:t>’</w:t>
      </w:r>
      <w:r w:rsidRPr="00AB4DCC">
        <w:rPr>
          <w:lang w:val="fr-FR"/>
        </w:rPr>
        <w:t>analyse dont il est question au paragraphe 3</w:t>
      </w:r>
      <w:r w:rsidR="00DF7AA4" w:rsidRPr="00DF7AA4">
        <w:rPr>
          <w:lang w:val="fr-FR"/>
        </w:rPr>
        <w:t>.</w:t>
      </w:r>
      <w:r w:rsidRPr="00AB4DCC">
        <w:rPr>
          <w:lang w:val="fr-FR"/>
        </w:rPr>
        <w:t>4</w:t>
      </w:r>
      <w:r w:rsidR="00DF7AA4" w:rsidRPr="00DF7AA4">
        <w:rPr>
          <w:lang w:val="fr-FR"/>
        </w:rPr>
        <w:t>.</w:t>
      </w:r>
      <w:r w:rsidRPr="00AB4DCC">
        <w:rPr>
          <w:lang w:val="fr-FR"/>
        </w:rPr>
        <w:t>4, qui doivent être conservés par le constructeur mais qui doivent pouvoir faire l</w:t>
      </w:r>
      <w:r>
        <w:rPr>
          <w:lang w:val="fr-FR"/>
        </w:rPr>
        <w:t>’</w:t>
      </w:r>
      <w:r w:rsidRPr="00AB4DCC">
        <w:rPr>
          <w:lang w:val="fr-FR"/>
        </w:rPr>
        <w:t>objet d</w:t>
      </w:r>
      <w:r>
        <w:rPr>
          <w:lang w:val="fr-FR"/>
        </w:rPr>
        <w:t>’</w:t>
      </w:r>
      <w:r w:rsidRPr="00AB4DCC">
        <w:rPr>
          <w:lang w:val="fr-FR"/>
        </w:rPr>
        <w:t>une inspection au moment de l</w:t>
      </w:r>
      <w:r>
        <w:rPr>
          <w:lang w:val="fr-FR"/>
        </w:rPr>
        <w:t>’</w:t>
      </w:r>
      <w:r w:rsidRPr="00AB4DCC">
        <w:rPr>
          <w:lang w:val="fr-FR"/>
        </w:rPr>
        <w:t>homologation de type</w:t>
      </w:r>
      <w:r w:rsidR="00DF7AA4" w:rsidRPr="00DF7AA4">
        <w:rPr>
          <w:lang w:val="fr-FR"/>
        </w:rPr>
        <w:t>.</w:t>
      </w:r>
      <w:r w:rsidRPr="00AB4DCC">
        <w:rPr>
          <w:lang w:val="fr-FR"/>
        </w:rPr>
        <w:t xml:space="preserve"> Le constructeur est tenu de faire en sorte que ces informations et données d</w:t>
      </w:r>
      <w:r>
        <w:rPr>
          <w:lang w:val="fr-FR"/>
        </w:rPr>
        <w:t>’</w:t>
      </w:r>
      <w:r w:rsidRPr="00AB4DCC">
        <w:rPr>
          <w:lang w:val="fr-FR"/>
        </w:rPr>
        <w:t xml:space="preserve">analyse restent disponibles pendant une période de </w:t>
      </w:r>
      <w:r>
        <w:rPr>
          <w:lang w:val="fr-FR"/>
        </w:rPr>
        <w:t>10 </w:t>
      </w:r>
      <w:r w:rsidRPr="00AB4DCC">
        <w:rPr>
          <w:lang w:val="fr-FR"/>
        </w:rPr>
        <w:t>ans à compter de la date de l</w:t>
      </w:r>
      <w:r>
        <w:rPr>
          <w:lang w:val="fr-FR"/>
        </w:rPr>
        <w:t>’</w:t>
      </w:r>
      <w:r w:rsidRPr="00AB4DCC">
        <w:rPr>
          <w:lang w:val="fr-FR"/>
        </w:rPr>
        <w:t>arrêt définitif de la production du véhicule</w:t>
      </w:r>
      <w:r w:rsidR="00DF7AA4" w:rsidRPr="00DF7AA4">
        <w:rPr>
          <w:lang w:val="fr-FR"/>
        </w:rPr>
        <w:t>.</w:t>
      </w:r>
    </w:p>
    <w:p w14:paraId="71A4687C" w14:textId="3294F336"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2</w:t>
      </w:r>
      <w:r w:rsidRPr="00AB4DCC">
        <w:rPr>
          <w:lang w:val="fr-FR"/>
        </w:rPr>
        <w:tab/>
        <w:t>Description des fonctions du «</w:t>
      </w:r>
      <w:r>
        <w:rPr>
          <w:lang w:val="fr-FR"/>
        </w:rPr>
        <w:t> </w:t>
      </w:r>
      <w:r w:rsidRPr="00AB4DCC">
        <w:rPr>
          <w:lang w:val="fr-FR"/>
        </w:rPr>
        <w:t>système</w:t>
      </w:r>
      <w:r>
        <w:rPr>
          <w:lang w:val="fr-FR"/>
        </w:rPr>
        <w:t> </w:t>
      </w:r>
      <w:r w:rsidRPr="00AB4DCC">
        <w:rPr>
          <w:lang w:val="fr-FR"/>
        </w:rPr>
        <w:t>»</w:t>
      </w:r>
    </w:p>
    <w:p w14:paraId="4B4962B8" w14:textId="08277A33" w:rsidR="006F5732" w:rsidRPr="00AB4DCC" w:rsidRDefault="006F5732" w:rsidP="006F5732">
      <w:pPr>
        <w:pStyle w:val="SingleTxtG"/>
        <w:ind w:left="2268"/>
        <w:rPr>
          <w:lang w:val="fr-FR"/>
        </w:rPr>
      </w:pPr>
      <w:r w:rsidRPr="00AB4DCC">
        <w:rPr>
          <w:lang w:val="fr-FR"/>
        </w:rPr>
        <w:t>Il doit être fourni une description contenant une explication simple de toutes les fonctions de commande du «</w:t>
      </w:r>
      <w:r>
        <w:rPr>
          <w:lang w:val="fr-FR"/>
        </w:rPr>
        <w:t> </w:t>
      </w:r>
      <w:r w:rsidRPr="00AB4DCC">
        <w:rPr>
          <w:lang w:val="fr-FR"/>
        </w:rPr>
        <w:t>système</w:t>
      </w:r>
      <w:r>
        <w:rPr>
          <w:lang w:val="fr-FR"/>
        </w:rPr>
        <w:t> </w:t>
      </w:r>
      <w:r w:rsidRPr="00AB4DCC">
        <w:rPr>
          <w:lang w:val="fr-FR"/>
        </w:rPr>
        <w:t>» et des méthodes appliquées pour atteindre les objectifs visés, accompagnée d</w:t>
      </w:r>
      <w:r>
        <w:rPr>
          <w:lang w:val="fr-FR"/>
        </w:rPr>
        <w:t>’</w:t>
      </w:r>
      <w:r w:rsidRPr="00AB4DCC">
        <w:rPr>
          <w:lang w:val="fr-FR"/>
        </w:rPr>
        <w:t>une description du (des) mécanisme(s) par lequel (lesquels) les fonctions de commande sont exercées</w:t>
      </w:r>
      <w:r w:rsidR="00DF7AA4" w:rsidRPr="00DF7AA4">
        <w:rPr>
          <w:lang w:val="fr-FR"/>
        </w:rPr>
        <w:t>.</w:t>
      </w:r>
    </w:p>
    <w:p w14:paraId="595D087B" w14:textId="068C5151" w:rsidR="006F5732" w:rsidRPr="00AB4DCC" w:rsidRDefault="006F5732" w:rsidP="006F5732">
      <w:pPr>
        <w:pStyle w:val="SingleTxtG"/>
        <w:ind w:left="2268"/>
        <w:rPr>
          <w:lang w:val="fr-FR"/>
        </w:rPr>
      </w:pPr>
      <w:r w:rsidRPr="00AB4DCC">
        <w:rPr>
          <w:lang w:val="fr-FR"/>
        </w:rPr>
        <w:t>Toute fonction qui peut être neutralisée doit être signalée comme telle et une description des incidences sur la logique de fonctionnement de la fonction doit être fournie</w:t>
      </w:r>
      <w:r w:rsidR="00DF7AA4" w:rsidRPr="00DF7AA4">
        <w:rPr>
          <w:lang w:val="fr-FR"/>
        </w:rPr>
        <w:t>.</w:t>
      </w:r>
    </w:p>
    <w:p w14:paraId="611B3624" w14:textId="26CE5E25"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2</w:t>
      </w:r>
      <w:r w:rsidR="00DF7AA4" w:rsidRPr="00DF7AA4">
        <w:rPr>
          <w:lang w:val="fr-FR"/>
        </w:rPr>
        <w:t>.</w:t>
      </w:r>
      <w:r w:rsidRPr="00AB4DCC">
        <w:rPr>
          <w:lang w:val="fr-FR"/>
        </w:rPr>
        <w:t>1</w:t>
      </w:r>
      <w:r w:rsidRPr="00AB4DCC">
        <w:rPr>
          <w:lang w:val="fr-FR"/>
        </w:rPr>
        <w:tab/>
        <w:t>Une liste de l</w:t>
      </w:r>
      <w:r>
        <w:rPr>
          <w:lang w:val="fr-FR"/>
        </w:rPr>
        <w:t>’</w:t>
      </w:r>
      <w:r w:rsidRPr="00AB4DCC">
        <w:rPr>
          <w:lang w:val="fr-FR"/>
        </w:rPr>
        <w:t>ensemble des variables d</w:t>
      </w:r>
      <w:r>
        <w:rPr>
          <w:lang w:val="fr-FR"/>
        </w:rPr>
        <w:t>’</w:t>
      </w:r>
      <w:r w:rsidRPr="00AB4DCC">
        <w:rPr>
          <w:lang w:val="fr-FR"/>
        </w:rPr>
        <w:t>entrée et des variables relevées doit être fournie et leur rayon d</w:t>
      </w:r>
      <w:r>
        <w:rPr>
          <w:lang w:val="fr-FR"/>
        </w:rPr>
        <w:t>’</w:t>
      </w:r>
      <w:r w:rsidRPr="00AB4DCC">
        <w:rPr>
          <w:lang w:val="fr-FR"/>
        </w:rPr>
        <w:t>action défini</w:t>
      </w:r>
      <w:r w:rsidR="00DF7AA4" w:rsidRPr="00DF7AA4">
        <w:rPr>
          <w:lang w:val="fr-FR"/>
        </w:rPr>
        <w:t>.</w:t>
      </w:r>
    </w:p>
    <w:p w14:paraId="6BF8ECA6" w14:textId="243B0E52"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2</w:t>
      </w:r>
      <w:r w:rsidR="00DF7AA4" w:rsidRPr="00DF7AA4">
        <w:rPr>
          <w:lang w:val="fr-FR"/>
        </w:rPr>
        <w:t>.</w:t>
      </w:r>
      <w:r w:rsidRPr="00AB4DCC">
        <w:rPr>
          <w:lang w:val="fr-FR"/>
        </w:rPr>
        <w:t>2</w:t>
      </w:r>
      <w:r w:rsidRPr="00AB4DCC">
        <w:rPr>
          <w:lang w:val="fr-FR"/>
        </w:rPr>
        <w:tab/>
        <w:t>Une liste de l</w:t>
      </w:r>
      <w:r>
        <w:rPr>
          <w:lang w:val="fr-FR"/>
        </w:rPr>
        <w:t>’</w:t>
      </w:r>
      <w:r w:rsidRPr="00AB4DCC">
        <w:rPr>
          <w:lang w:val="fr-FR"/>
        </w:rPr>
        <w:t>ensemble des variables de sortie contrôlées par le «</w:t>
      </w:r>
      <w:r>
        <w:rPr>
          <w:lang w:val="fr-FR"/>
        </w:rPr>
        <w:t> </w:t>
      </w:r>
      <w:r w:rsidRPr="00AB4DCC">
        <w:rPr>
          <w:lang w:val="fr-FR"/>
        </w:rPr>
        <w:t>système</w:t>
      </w:r>
      <w:r>
        <w:rPr>
          <w:lang w:val="fr-FR"/>
        </w:rPr>
        <w:t> </w:t>
      </w:r>
      <w:r w:rsidRPr="00AB4DCC">
        <w:rPr>
          <w:lang w:val="fr-FR"/>
        </w:rPr>
        <w:t>» doit être fournie</w:t>
      </w:r>
      <w:r>
        <w:rPr>
          <w:lang w:val="fr-FR"/>
        </w:rPr>
        <w:t> ;</w:t>
      </w:r>
      <w:r w:rsidRPr="00AB4DCC">
        <w:rPr>
          <w:lang w:val="fr-FR"/>
        </w:rPr>
        <w:t xml:space="preserve"> il convient d</w:t>
      </w:r>
      <w:r>
        <w:rPr>
          <w:lang w:val="fr-FR"/>
        </w:rPr>
        <w:t>’</w:t>
      </w:r>
      <w:r w:rsidRPr="00AB4DCC">
        <w:rPr>
          <w:lang w:val="fr-FR"/>
        </w:rPr>
        <w:t>indiquer, dans chaque cas, si le contrôle est direct ou s</w:t>
      </w:r>
      <w:r>
        <w:rPr>
          <w:lang w:val="fr-FR"/>
        </w:rPr>
        <w:t>’</w:t>
      </w:r>
      <w:r w:rsidRPr="00AB4DCC">
        <w:rPr>
          <w:lang w:val="fr-FR"/>
        </w:rPr>
        <w:t>il est exercé par l</w:t>
      </w:r>
      <w:r>
        <w:rPr>
          <w:lang w:val="fr-FR"/>
        </w:rPr>
        <w:t>’</w:t>
      </w:r>
      <w:r w:rsidRPr="00AB4DCC">
        <w:rPr>
          <w:lang w:val="fr-FR"/>
        </w:rPr>
        <w:t>intermédiaire d</w:t>
      </w:r>
      <w:r>
        <w:rPr>
          <w:lang w:val="fr-FR"/>
        </w:rPr>
        <w:t>’</w:t>
      </w:r>
      <w:r w:rsidRPr="00AB4DCC">
        <w:rPr>
          <w:lang w:val="fr-FR"/>
        </w:rPr>
        <w:t>un autre système du véhicule</w:t>
      </w:r>
      <w:r w:rsidR="00DF7AA4" w:rsidRPr="00DF7AA4">
        <w:rPr>
          <w:lang w:val="fr-FR"/>
        </w:rPr>
        <w:t>.</w:t>
      </w:r>
      <w:r w:rsidRPr="00AB4DCC">
        <w:rPr>
          <w:lang w:val="fr-FR"/>
        </w:rPr>
        <w:t xml:space="preserve"> Le rayon d</w:t>
      </w:r>
      <w:r>
        <w:rPr>
          <w:lang w:val="fr-FR"/>
        </w:rPr>
        <w:t>’</w:t>
      </w:r>
      <w:r w:rsidRPr="00AB4DCC">
        <w:rPr>
          <w:lang w:val="fr-FR"/>
        </w:rPr>
        <w:t>action (par</w:t>
      </w:r>
      <w:r w:rsidR="00DF7AA4" w:rsidRPr="00DF7AA4">
        <w:rPr>
          <w:lang w:val="fr-FR"/>
        </w:rPr>
        <w:t>.</w:t>
      </w:r>
      <w:r w:rsidRPr="00AB4DCC">
        <w:rPr>
          <w:lang w:val="fr-FR"/>
        </w:rPr>
        <w:t> 2</w:t>
      </w:r>
      <w:r w:rsidR="00DF7AA4" w:rsidRPr="00DF7AA4">
        <w:rPr>
          <w:lang w:val="fr-FR"/>
        </w:rPr>
        <w:t>.</w:t>
      </w:r>
      <w:r w:rsidRPr="00AB4DCC">
        <w:rPr>
          <w:lang w:val="fr-FR"/>
        </w:rPr>
        <w:t>8) du contrôle exercé sur chacune de ces variables doit être défini</w:t>
      </w:r>
      <w:r w:rsidR="00DF7AA4" w:rsidRPr="00DF7AA4">
        <w:rPr>
          <w:lang w:val="fr-FR"/>
        </w:rPr>
        <w:t>.</w:t>
      </w:r>
    </w:p>
    <w:p w14:paraId="479B99E2" w14:textId="26146170"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2</w:t>
      </w:r>
      <w:r w:rsidR="00DF7AA4" w:rsidRPr="00DF7AA4">
        <w:rPr>
          <w:lang w:val="fr-FR"/>
        </w:rPr>
        <w:t>.</w:t>
      </w:r>
      <w:r w:rsidRPr="00AB4DCC">
        <w:rPr>
          <w:lang w:val="fr-FR"/>
        </w:rPr>
        <w:t>3</w:t>
      </w:r>
      <w:r w:rsidRPr="00AB4DCC">
        <w:rPr>
          <w:lang w:val="fr-FR"/>
        </w:rPr>
        <w:tab/>
        <w:t>Les limites de fonctionnement (par</w:t>
      </w:r>
      <w:r w:rsidR="00DF7AA4" w:rsidRPr="00DF7AA4">
        <w:rPr>
          <w:lang w:val="fr-FR"/>
        </w:rPr>
        <w:t>.</w:t>
      </w:r>
      <w:r w:rsidRPr="00AB4DCC">
        <w:rPr>
          <w:lang w:val="fr-FR"/>
        </w:rPr>
        <w:t> 2</w:t>
      </w:r>
      <w:r w:rsidR="00DF7AA4" w:rsidRPr="00DF7AA4">
        <w:rPr>
          <w:lang w:val="fr-FR"/>
        </w:rPr>
        <w:t>.</w:t>
      </w:r>
      <w:r w:rsidRPr="00AB4DCC">
        <w:rPr>
          <w:lang w:val="fr-FR"/>
        </w:rPr>
        <w:t>9) doivent être indiquées, si cela s</w:t>
      </w:r>
      <w:r>
        <w:rPr>
          <w:lang w:val="fr-FR"/>
        </w:rPr>
        <w:t>’</w:t>
      </w:r>
      <w:r w:rsidRPr="00AB4DCC">
        <w:rPr>
          <w:lang w:val="fr-FR"/>
        </w:rPr>
        <w:t>impose au regard de l</w:t>
      </w:r>
      <w:r>
        <w:rPr>
          <w:lang w:val="fr-FR"/>
        </w:rPr>
        <w:t>’</w:t>
      </w:r>
      <w:r w:rsidRPr="00AB4DCC">
        <w:rPr>
          <w:lang w:val="fr-FR"/>
        </w:rPr>
        <w:t>efficacité du système</w:t>
      </w:r>
      <w:r w:rsidR="00DF7AA4" w:rsidRPr="00DF7AA4">
        <w:rPr>
          <w:lang w:val="fr-FR"/>
        </w:rPr>
        <w:t>.</w:t>
      </w:r>
    </w:p>
    <w:p w14:paraId="376B5D6D" w14:textId="2A07214E"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3</w:t>
      </w:r>
      <w:r w:rsidRPr="00AB4DCC">
        <w:rPr>
          <w:lang w:val="fr-FR"/>
        </w:rPr>
        <w:tab/>
        <w:t>Configuration et schémas du système</w:t>
      </w:r>
    </w:p>
    <w:p w14:paraId="2CEBEEC6" w14:textId="3600DDEF"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3</w:t>
      </w:r>
      <w:r w:rsidR="00DF7AA4" w:rsidRPr="00DF7AA4">
        <w:rPr>
          <w:lang w:val="fr-FR"/>
        </w:rPr>
        <w:t>.</w:t>
      </w:r>
      <w:r w:rsidRPr="00AB4DCC">
        <w:rPr>
          <w:lang w:val="fr-FR"/>
        </w:rPr>
        <w:t>1</w:t>
      </w:r>
      <w:r w:rsidRPr="00AB4DCC">
        <w:rPr>
          <w:lang w:val="fr-FR"/>
        </w:rPr>
        <w:tab/>
        <w:t>Inventaire des organes</w:t>
      </w:r>
    </w:p>
    <w:p w14:paraId="7233E30A" w14:textId="1E06DF0D" w:rsidR="006F5732" w:rsidRPr="00AB4DCC" w:rsidRDefault="006F5732" w:rsidP="006F5732">
      <w:pPr>
        <w:pStyle w:val="SingleTxtG"/>
        <w:ind w:left="2268"/>
        <w:rPr>
          <w:lang w:val="fr-FR"/>
        </w:rPr>
      </w:pPr>
      <w:r w:rsidRPr="00AB4DCC">
        <w:rPr>
          <w:lang w:val="fr-FR"/>
        </w:rPr>
        <w:t>Une liste doit être fournie, rassemblant toutes les unités du «</w:t>
      </w:r>
      <w:r>
        <w:rPr>
          <w:lang w:val="fr-FR"/>
        </w:rPr>
        <w:t> </w:t>
      </w:r>
      <w:r w:rsidRPr="00AB4DCC">
        <w:rPr>
          <w:lang w:val="fr-FR"/>
        </w:rPr>
        <w:t>système</w:t>
      </w:r>
      <w:r>
        <w:rPr>
          <w:lang w:val="fr-FR"/>
        </w:rPr>
        <w:t> </w:t>
      </w:r>
      <w:r w:rsidRPr="00AB4DCC">
        <w:rPr>
          <w:lang w:val="fr-FR"/>
        </w:rPr>
        <w:t>» et mentionnant les autres systèmes du véhicule qui sont nécessaires pour réaliser la fonction de commande en question</w:t>
      </w:r>
      <w:r w:rsidR="00DF7AA4" w:rsidRPr="00DF7AA4">
        <w:rPr>
          <w:lang w:val="fr-FR"/>
        </w:rPr>
        <w:t>.</w:t>
      </w:r>
    </w:p>
    <w:p w14:paraId="4B99F0EA" w14:textId="235AB7F8" w:rsidR="006F5732" w:rsidRPr="00AB4DCC" w:rsidRDefault="006F5732" w:rsidP="006F5732">
      <w:pPr>
        <w:pStyle w:val="SingleTxtG"/>
        <w:ind w:left="2268"/>
        <w:rPr>
          <w:lang w:val="fr-FR"/>
        </w:rPr>
      </w:pPr>
      <w:r w:rsidRPr="00AB4DCC">
        <w:rPr>
          <w:lang w:val="fr-FR"/>
        </w:rPr>
        <w:t>Un schéma montrant la combinaison de ces unités doit être fourni, accompagné de précisions sur la répartition des organes de l</w:t>
      </w:r>
      <w:r>
        <w:rPr>
          <w:lang w:val="fr-FR"/>
        </w:rPr>
        <w:t>’</w:t>
      </w:r>
      <w:r w:rsidRPr="00AB4DCC">
        <w:rPr>
          <w:lang w:val="fr-FR"/>
        </w:rPr>
        <w:t>équipement et les interconnexions entre eux</w:t>
      </w:r>
      <w:r w:rsidR="00DF7AA4" w:rsidRPr="00DF7AA4">
        <w:rPr>
          <w:lang w:val="fr-FR"/>
        </w:rPr>
        <w:t>.</w:t>
      </w:r>
    </w:p>
    <w:p w14:paraId="6BBC2BA1" w14:textId="067B95E2"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3</w:t>
      </w:r>
      <w:r w:rsidR="00DF7AA4" w:rsidRPr="00DF7AA4">
        <w:rPr>
          <w:lang w:val="fr-FR"/>
        </w:rPr>
        <w:t>.</w:t>
      </w:r>
      <w:r w:rsidRPr="00AB4DCC">
        <w:rPr>
          <w:lang w:val="fr-FR"/>
        </w:rPr>
        <w:t>2</w:t>
      </w:r>
      <w:r w:rsidRPr="00AB4DCC">
        <w:rPr>
          <w:lang w:val="fr-FR"/>
        </w:rPr>
        <w:tab/>
        <w:t>Fonctions des unités</w:t>
      </w:r>
    </w:p>
    <w:p w14:paraId="2CE2AB89" w14:textId="7B5A3276" w:rsidR="006F5732" w:rsidRPr="00AB4DCC" w:rsidRDefault="006F5732" w:rsidP="006F5732">
      <w:pPr>
        <w:pStyle w:val="SingleTxtG"/>
        <w:ind w:left="2268"/>
        <w:rPr>
          <w:lang w:val="fr-FR"/>
        </w:rPr>
      </w:pPr>
      <w:r w:rsidRPr="00AB4DCC">
        <w:rPr>
          <w:lang w:val="fr-FR"/>
        </w:rPr>
        <w:t>La fonction de chaque unité du «</w:t>
      </w:r>
      <w:r>
        <w:rPr>
          <w:lang w:val="fr-FR"/>
        </w:rPr>
        <w:t> </w:t>
      </w:r>
      <w:r w:rsidRPr="00AB4DCC">
        <w:rPr>
          <w:lang w:val="fr-FR"/>
        </w:rPr>
        <w:t>système</w:t>
      </w:r>
      <w:r>
        <w:rPr>
          <w:lang w:val="fr-FR"/>
        </w:rPr>
        <w:t> </w:t>
      </w:r>
      <w:r w:rsidRPr="00AB4DCC">
        <w:rPr>
          <w:lang w:val="fr-FR"/>
        </w:rPr>
        <w:t>» doit être définie et les signaux reliant chaque unité aux autres unités ou à d</w:t>
      </w:r>
      <w:r>
        <w:rPr>
          <w:lang w:val="fr-FR"/>
        </w:rPr>
        <w:t>’</w:t>
      </w:r>
      <w:r w:rsidRPr="00AB4DCC">
        <w:rPr>
          <w:lang w:val="fr-FR"/>
        </w:rPr>
        <w:t>autres systèmes du véhicule doivent être indiqués</w:t>
      </w:r>
      <w:r w:rsidR="00DF7AA4" w:rsidRPr="00DF7AA4">
        <w:rPr>
          <w:lang w:val="fr-FR"/>
        </w:rPr>
        <w:t>.</w:t>
      </w:r>
      <w:r w:rsidRPr="00AB4DCC">
        <w:rPr>
          <w:lang w:val="fr-FR"/>
        </w:rPr>
        <w:t xml:space="preserve"> Cette information peut être fournie au moyen d</w:t>
      </w:r>
      <w:r>
        <w:rPr>
          <w:lang w:val="fr-FR"/>
        </w:rPr>
        <w:t>’</w:t>
      </w:r>
      <w:r w:rsidRPr="00AB4DCC">
        <w:rPr>
          <w:lang w:val="fr-FR"/>
        </w:rPr>
        <w:t>un schéma fonctionnel ou d</w:t>
      </w:r>
      <w:r>
        <w:rPr>
          <w:lang w:val="fr-FR"/>
        </w:rPr>
        <w:t>’</w:t>
      </w:r>
      <w:r w:rsidRPr="00AB4DCC">
        <w:rPr>
          <w:lang w:val="fr-FR"/>
        </w:rPr>
        <w:t>une description accompagnée d</w:t>
      </w:r>
      <w:r>
        <w:rPr>
          <w:lang w:val="fr-FR"/>
        </w:rPr>
        <w:t>’</w:t>
      </w:r>
      <w:r w:rsidRPr="00AB4DCC">
        <w:rPr>
          <w:lang w:val="fr-FR"/>
        </w:rPr>
        <w:t>un tel schéma</w:t>
      </w:r>
      <w:r w:rsidR="00DF7AA4" w:rsidRPr="00DF7AA4">
        <w:rPr>
          <w:lang w:val="fr-FR"/>
        </w:rPr>
        <w:t>.</w:t>
      </w:r>
    </w:p>
    <w:p w14:paraId="0EDB7DEA" w14:textId="26592669"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3</w:t>
      </w:r>
      <w:r w:rsidR="00DF7AA4" w:rsidRPr="00DF7AA4">
        <w:rPr>
          <w:lang w:val="fr-FR"/>
        </w:rPr>
        <w:t>.</w:t>
      </w:r>
      <w:r w:rsidRPr="00AB4DCC">
        <w:rPr>
          <w:lang w:val="fr-FR"/>
        </w:rPr>
        <w:t>3</w:t>
      </w:r>
      <w:r w:rsidRPr="00AB4DCC">
        <w:rPr>
          <w:lang w:val="fr-FR"/>
        </w:rPr>
        <w:tab/>
        <w:t>Interconnexions</w:t>
      </w:r>
    </w:p>
    <w:p w14:paraId="157A3701" w14:textId="1547B001" w:rsidR="006F5732" w:rsidRPr="00AB4DCC" w:rsidRDefault="006F5732" w:rsidP="006F5732">
      <w:pPr>
        <w:pStyle w:val="SingleTxtG"/>
        <w:ind w:left="2268"/>
        <w:rPr>
          <w:lang w:val="fr-FR"/>
        </w:rPr>
      </w:pPr>
      <w:r w:rsidRPr="00AB4DCC">
        <w:rPr>
          <w:lang w:val="fr-FR"/>
        </w:rPr>
        <w:t>Les interconnexions au sein du «</w:t>
      </w:r>
      <w:r>
        <w:rPr>
          <w:lang w:val="fr-FR"/>
        </w:rPr>
        <w:t> </w:t>
      </w:r>
      <w:r w:rsidRPr="00AB4DCC">
        <w:rPr>
          <w:lang w:val="fr-FR"/>
        </w:rPr>
        <w:t>système</w:t>
      </w:r>
      <w:r>
        <w:rPr>
          <w:lang w:val="fr-FR"/>
        </w:rPr>
        <w:t> </w:t>
      </w:r>
      <w:r w:rsidRPr="00AB4DCC">
        <w:rPr>
          <w:lang w:val="fr-FR"/>
        </w:rPr>
        <w:t>» doivent être indiquées au moyen d</w:t>
      </w:r>
      <w:r>
        <w:rPr>
          <w:lang w:val="fr-FR"/>
        </w:rPr>
        <w:t>’</w:t>
      </w:r>
      <w:r w:rsidRPr="00AB4DCC">
        <w:rPr>
          <w:lang w:val="fr-FR"/>
        </w:rPr>
        <w:t>un schéma de circuit pour les liaisons de transmission électriques, d</w:t>
      </w:r>
      <w:r>
        <w:rPr>
          <w:lang w:val="fr-FR"/>
        </w:rPr>
        <w:t>’</w:t>
      </w:r>
      <w:r w:rsidRPr="00AB4DCC">
        <w:rPr>
          <w:lang w:val="fr-FR"/>
        </w:rPr>
        <w:t>un schéma de distribution de la timonerie pneumatique ou hydraulique et d</w:t>
      </w:r>
      <w:r>
        <w:rPr>
          <w:lang w:val="fr-FR"/>
        </w:rPr>
        <w:t>’</w:t>
      </w:r>
      <w:r w:rsidRPr="00AB4DCC">
        <w:rPr>
          <w:lang w:val="fr-FR"/>
        </w:rPr>
        <w:t>un schéma simplifié pour les liaisons mécaniques</w:t>
      </w:r>
      <w:r w:rsidR="00DF7AA4" w:rsidRPr="00DF7AA4">
        <w:rPr>
          <w:lang w:val="fr-FR"/>
        </w:rPr>
        <w:t>.</w:t>
      </w:r>
      <w:r w:rsidRPr="00AB4DCC">
        <w:rPr>
          <w:lang w:val="fr-FR"/>
        </w:rPr>
        <w:t xml:space="preserve"> Les liaisons de transmission avec d</w:t>
      </w:r>
      <w:r>
        <w:rPr>
          <w:lang w:val="fr-FR"/>
        </w:rPr>
        <w:t>’</w:t>
      </w:r>
      <w:r w:rsidRPr="00AB4DCC">
        <w:rPr>
          <w:lang w:val="fr-FR"/>
        </w:rPr>
        <w:t>autres systèmes doivent également être indiquées</w:t>
      </w:r>
      <w:r w:rsidR="00DF7AA4" w:rsidRPr="00DF7AA4">
        <w:rPr>
          <w:lang w:val="fr-FR"/>
        </w:rPr>
        <w:t>.</w:t>
      </w:r>
    </w:p>
    <w:p w14:paraId="0C9CCF4C" w14:textId="68753629"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3</w:t>
      </w:r>
      <w:r w:rsidR="00DF7AA4" w:rsidRPr="00DF7AA4">
        <w:rPr>
          <w:lang w:val="fr-FR"/>
        </w:rPr>
        <w:t>.</w:t>
      </w:r>
      <w:r w:rsidRPr="00AB4DCC">
        <w:rPr>
          <w:lang w:val="fr-FR"/>
        </w:rPr>
        <w:t>4</w:t>
      </w:r>
      <w:r w:rsidRPr="00AB4DCC">
        <w:rPr>
          <w:lang w:val="fr-FR"/>
        </w:rPr>
        <w:tab/>
        <w:t>Circulation des signaux et des données</w:t>
      </w:r>
      <w:r>
        <w:rPr>
          <w:lang w:val="fr-FR"/>
        </w:rPr>
        <w:t> :</w:t>
      </w:r>
      <w:r w:rsidRPr="00AB4DCC">
        <w:rPr>
          <w:lang w:val="fr-FR"/>
        </w:rPr>
        <w:t xml:space="preserve"> priorités</w:t>
      </w:r>
    </w:p>
    <w:p w14:paraId="76C95758" w14:textId="6F8045DA" w:rsidR="006F5732" w:rsidRPr="00E201F8" w:rsidRDefault="006F5732" w:rsidP="006F5732">
      <w:pPr>
        <w:pStyle w:val="SingleTxtG"/>
        <w:ind w:left="2268"/>
        <w:rPr>
          <w:lang w:val="fr-FR"/>
        </w:rPr>
      </w:pPr>
      <w:r w:rsidRPr="00AB4DCC">
        <w:rPr>
          <w:lang w:val="fr-FR"/>
        </w:rPr>
        <w:t>Une correspondance claire doit être établie entre ces liaisons de transmission et les signaux et/ou les données véhiculés entre les unités</w:t>
      </w:r>
      <w:r w:rsidR="00DF7AA4" w:rsidRPr="00DF7AA4">
        <w:rPr>
          <w:lang w:val="fr-FR"/>
        </w:rPr>
        <w:t>.</w:t>
      </w:r>
      <w:r w:rsidRPr="00AB4DCC">
        <w:rPr>
          <w:lang w:val="fr-FR"/>
        </w:rPr>
        <w:t xml:space="preserve"> Sur les voies de données multiplexées, les signaux et/ou les données prioritaires doivent être </w:t>
      </w:r>
      <w:r w:rsidRPr="00AB4DCC">
        <w:rPr>
          <w:lang w:val="fr-FR"/>
        </w:rPr>
        <w:lastRenderedPageBreak/>
        <w:t>mentionnés chaque fois que l</w:t>
      </w:r>
      <w:r>
        <w:rPr>
          <w:lang w:val="fr-FR"/>
        </w:rPr>
        <w:t>’</w:t>
      </w:r>
      <w:r w:rsidRPr="00AB4DCC">
        <w:rPr>
          <w:lang w:val="fr-FR"/>
        </w:rPr>
        <w:t>ordre de priorité peut avoir une incidence sur la performance ou la sécurité aux fins de l</w:t>
      </w:r>
      <w:r>
        <w:rPr>
          <w:lang w:val="fr-FR"/>
        </w:rPr>
        <w:t>’</w:t>
      </w:r>
      <w:r w:rsidRPr="00AB4DCC">
        <w:rPr>
          <w:lang w:val="fr-FR"/>
        </w:rPr>
        <w:t>application du présent Règlement</w:t>
      </w:r>
      <w:r w:rsidR="00DF7AA4" w:rsidRPr="00DF7AA4">
        <w:rPr>
          <w:lang w:val="fr-FR"/>
        </w:rPr>
        <w:t>.</w:t>
      </w:r>
    </w:p>
    <w:p w14:paraId="2528C8C6" w14:textId="277C3AA4"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3</w:t>
      </w:r>
      <w:r w:rsidR="00DF7AA4" w:rsidRPr="00DF7AA4">
        <w:rPr>
          <w:lang w:val="fr-FR"/>
        </w:rPr>
        <w:t>.</w:t>
      </w:r>
      <w:r w:rsidRPr="00AB4DCC">
        <w:rPr>
          <w:lang w:val="fr-FR"/>
        </w:rPr>
        <w:t>5</w:t>
      </w:r>
      <w:r w:rsidRPr="00AB4DCC">
        <w:rPr>
          <w:lang w:val="fr-FR"/>
        </w:rPr>
        <w:tab/>
        <w:t>Identification des unités</w:t>
      </w:r>
    </w:p>
    <w:p w14:paraId="28AB2CDF" w14:textId="7DCFBC22" w:rsidR="006F5732" w:rsidRPr="00AB4DCC" w:rsidRDefault="006F5732" w:rsidP="006F5732">
      <w:pPr>
        <w:pStyle w:val="SingleTxtG"/>
        <w:ind w:left="2268"/>
        <w:rPr>
          <w:lang w:val="fr-FR"/>
        </w:rPr>
      </w:pPr>
      <w:r w:rsidRPr="00AB4DCC">
        <w:rPr>
          <w:lang w:val="fr-FR"/>
        </w:rPr>
        <w:t>Il doit être possible d</w:t>
      </w:r>
      <w:r>
        <w:rPr>
          <w:lang w:val="fr-FR"/>
        </w:rPr>
        <w:t>’</w:t>
      </w:r>
      <w:r w:rsidRPr="00AB4DCC">
        <w:rPr>
          <w:lang w:val="fr-FR"/>
        </w:rPr>
        <w:t>identifier de manière claire et sans ambiguïté chaque unité (au moyen, par exemple, d</w:t>
      </w:r>
      <w:r>
        <w:rPr>
          <w:lang w:val="fr-FR"/>
        </w:rPr>
        <w:t>’</w:t>
      </w:r>
      <w:r w:rsidRPr="00AB4DCC">
        <w:rPr>
          <w:lang w:val="fr-FR"/>
        </w:rPr>
        <w:t>un marquage pour le matériel et d</w:t>
      </w:r>
      <w:r>
        <w:rPr>
          <w:lang w:val="fr-FR"/>
        </w:rPr>
        <w:t>’</w:t>
      </w:r>
      <w:r w:rsidRPr="00AB4DCC">
        <w:rPr>
          <w:lang w:val="fr-FR"/>
        </w:rPr>
        <w:t>un marquage ou d</w:t>
      </w:r>
      <w:r>
        <w:rPr>
          <w:lang w:val="fr-FR"/>
        </w:rPr>
        <w:t>’</w:t>
      </w:r>
      <w:r w:rsidRPr="00AB4DCC">
        <w:rPr>
          <w:lang w:val="fr-FR"/>
        </w:rPr>
        <w:t>un signal informatique pour les logiciels), de façon à faire correspondre le matériel et le dossier d</w:t>
      </w:r>
      <w:r>
        <w:rPr>
          <w:lang w:val="fr-FR"/>
        </w:rPr>
        <w:t>’</w:t>
      </w:r>
      <w:r w:rsidRPr="00AB4DCC">
        <w:rPr>
          <w:lang w:val="fr-FR"/>
        </w:rPr>
        <w:t>information</w:t>
      </w:r>
      <w:r w:rsidR="00DF7AA4" w:rsidRPr="00DF7AA4">
        <w:rPr>
          <w:lang w:val="fr-FR"/>
        </w:rPr>
        <w:t>.</w:t>
      </w:r>
    </w:p>
    <w:p w14:paraId="49E531CA" w14:textId="7E486A3C" w:rsidR="006F5732" w:rsidRPr="00AB4DCC" w:rsidRDefault="006F5732" w:rsidP="006F5732">
      <w:pPr>
        <w:pStyle w:val="SingleTxtG"/>
        <w:ind w:left="2268"/>
        <w:rPr>
          <w:lang w:val="fr-FR"/>
        </w:rPr>
      </w:pPr>
      <w:r w:rsidRPr="00AB4DCC">
        <w:rPr>
          <w:lang w:val="fr-FR"/>
        </w:rPr>
        <w:t>Lorsque des fonctions sont combinées au sein d</w:t>
      </w:r>
      <w:r>
        <w:rPr>
          <w:lang w:val="fr-FR"/>
        </w:rPr>
        <w:t>’</w:t>
      </w:r>
      <w:r w:rsidRPr="00AB4DCC">
        <w:rPr>
          <w:lang w:val="fr-FR"/>
        </w:rPr>
        <w:t>une même unité, voire d</w:t>
      </w:r>
      <w:r>
        <w:rPr>
          <w:lang w:val="fr-FR"/>
        </w:rPr>
        <w:t>’</w:t>
      </w:r>
      <w:r w:rsidRPr="00AB4DCC">
        <w:rPr>
          <w:lang w:val="fr-FR"/>
        </w:rPr>
        <w:t>un même ordinateur, mais sont indiquées dans plusieurs blocs au sein d</w:t>
      </w:r>
      <w:r>
        <w:rPr>
          <w:lang w:val="fr-FR"/>
        </w:rPr>
        <w:t>’</w:t>
      </w:r>
      <w:r w:rsidRPr="00AB4DCC">
        <w:rPr>
          <w:lang w:val="fr-FR"/>
        </w:rPr>
        <w:t>un schéma fonctionnel pour plus de clarté et de commodité, on ne doit utiliser qu</w:t>
      </w:r>
      <w:r>
        <w:rPr>
          <w:lang w:val="fr-FR"/>
        </w:rPr>
        <w:t>’</w:t>
      </w:r>
      <w:r w:rsidRPr="00AB4DCC">
        <w:rPr>
          <w:lang w:val="fr-FR"/>
        </w:rPr>
        <w:t>une seule marque d</w:t>
      </w:r>
      <w:r>
        <w:rPr>
          <w:lang w:val="fr-FR"/>
        </w:rPr>
        <w:t>’</w:t>
      </w:r>
      <w:r w:rsidRPr="00AB4DCC">
        <w:rPr>
          <w:lang w:val="fr-FR"/>
        </w:rPr>
        <w:t>identification du matériel</w:t>
      </w:r>
      <w:r w:rsidR="00DF7AA4" w:rsidRPr="00DF7AA4">
        <w:rPr>
          <w:lang w:val="fr-FR"/>
        </w:rPr>
        <w:t>.</w:t>
      </w:r>
      <w:r w:rsidRPr="00AB4DCC">
        <w:rPr>
          <w:lang w:val="fr-FR"/>
        </w:rPr>
        <w:t xml:space="preserve"> Le constructeur doit, en utilisant cette marque d</w:t>
      </w:r>
      <w:r>
        <w:rPr>
          <w:lang w:val="fr-FR"/>
        </w:rPr>
        <w:t>’</w:t>
      </w:r>
      <w:r w:rsidRPr="00AB4DCC">
        <w:rPr>
          <w:lang w:val="fr-FR"/>
        </w:rPr>
        <w:t>identification, confirmer que le matériel fourni est conforme au document correspondant</w:t>
      </w:r>
      <w:r w:rsidR="00DF7AA4" w:rsidRPr="00DF7AA4">
        <w:rPr>
          <w:lang w:val="fr-FR"/>
        </w:rPr>
        <w:t>.</w:t>
      </w:r>
    </w:p>
    <w:p w14:paraId="78B3F6DC" w14:textId="08781ECA"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3</w:t>
      </w:r>
      <w:r w:rsidR="00DF7AA4" w:rsidRPr="00DF7AA4">
        <w:rPr>
          <w:lang w:val="fr-FR"/>
        </w:rPr>
        <w:t>.</w:t>
      </w:r>
      <w:r w:rsidRPr="00AB4DCC">
        <w:rPr>
          <w:lang w:val="fr-FR"/>
        </w:rPr>
        <w:t>5</w:t>
      </w:r>
      <w:r w:rsidR="00DF7AA4" w:rsidRPr="00DF7AA4">
        <w:rPr>
          <w:lang w:val="fr-FR"/>
        </w:rPr>
        <w:t>.</w:t>
      </w:r>
      <w:r w:rsidRPr="00AB4DCC">
        <w:rPr>
          <w:lang w:val="fr-FR"/>
        </w:rPr>
        <w:t>1</w:t>
      </w:r>
      <w:r w:rsidRPr="00AB4DCC">
        <w:rPr>
          <w:lang w:val="fr-FR"/>
        </w:rPr>
        <w:tab/>
        <w:t>La marque d</w:t>
      </w:r>
      <w:r>
        <w:rPr>
          <w:lang w:val="fr-FR"/>
        </w:rPr>
        <w:t>’</w:t>
      </w:r>
      <w:r w:rsidRPr="00AB4DCC">
        <w:rPr>
          <w:lang w:val="fr-FR"/>
        </w:rPr>
        <w:t>identification renseigne sur la version du matériel et du logiciel</w:t>
      </w:r>
      <w:r>
        <w:rPr>
          <w:lang w:val="fr-FR"/>
        </w:rPr>
        <w:t> ;</w:t>
      </w:r>
      <w:r w:rsidRPr="00AB4DCC">
        <w:rPr>
          <w:lang w:val="fr-FR"/>
        </w:rPr>
        <w:t xml:space="preserve"> si cette dernière version change de façon à altérer la fonction de l</w:t>
      </w:r>
      <w:r>
        <w:rPr>
          <w:lang w:val="fr-FR"/>
        </w:rPr>
        <w:t>’</w:t>
      </w:r>
      <w:r w:rsidRPr="00AB4DCC">
        <w:rPr>
          <w:lang w:val="fr-FR"/>
        </w:rPr>
        <w:t>unité au regard du présent Règlement, cette marque d</w:t>
      </w:r>
      <w:r>
        <w:rPr>
          <w:lang w:val="fr-FR"/>
        </w:rPr>
        <w:t>’</w:t>
      </w:r>
      <w:r w:rsidRPr="00AB4DCC">
        <w:rPr>
          <w:lang w:val="fr-FR"/>
        </w:rPr>
        <w:t>identification doit également être modifiée</w:t>
      </w:r>
      <w:r w:rsidR="00DF7AA4" w:rsidRPr="00DF7AA4">
        <w:rPr>
          <w:lang w:val="fr-FR"/>
        </w:rPr>
        <w:t>.</w:t>
      </w:r>
    </w:p>
    <w:p w14:paraId="2B124604" w14:textId="1109AFDB" w:rsidR="006F5732" w:rsidRPr="00AB4DCC" w:rsidRDefault="006F5732" w:rsidP="006F5732">
      <w:pPr>
        <w:pStyle w:val="SingleTxtG"/>
        <w:ind w:left="2268" w:hanging="1134"/>
        <w:rPr>
          <w:lang w:val="fr-FR"/>
        </w:rPr>
      </w:pPr>
      <w:r w:rsidRPr="00AB4DCC">
        <w:rPr>
          <w:lang w:val="fr-FR"/>
        </w:rPr>
        <w:t>3</w:t>
      </w:r>
      <w:r w:rsidR="00DF7AA4" w:rsidRPr="00DF7AA4">
        <w:rPr>
          <w:lang w:val="fr-FR"/>
        </w:rPr>
        <w:t>.</w:t>
      </w:r>
      <w:r w:rsidRPr="00AB4DCC">
        <w:rPr>
          <w:lang w:val="fr-FR"/>
        </w:rPr>
        <w:t>4</w:t>
      </w:r>
      <w:r w:rsidRPr="00AB4DCC">
        <w:rPr>
          <w:lang w:val="fr-FR"/>
        </w:rPr>
        <w:tab/>
        <w:t>Concept de sécurité du constructeur</w:t>
      </w:r>
    </w:p>
    <w:p w14:paraId="7714D719" w14:textId="78E045E3"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4</w:t>
      </w:r>
      <w:r w:rsidR="00DF7AA4" w:rsidRPr="00DF7AA4">
        <w:rPr>
          <w:lang w:val="fr-FR"/>
        </w:rPr>
        <w:t>.</w:t>
      </w:r>
      <w:r w:rsidRPr="00AB4DCC">
        <w:rPr>
          <w:lang w:val="fr-FR"/>
        </w:rPr>
        <w:t>1</w:t>
      </w:r>
      <w:r w:rsidRPr="00AB4DCC">
        <w:rPr>
          <w:lang w:val="fr-FR"/>
        </w:rPr>
        <w:tab/>
        <w:t>Le constructeur doit fournir une déclaration affirmant que la stratégie choisie pour réaliser les objectifs du «</w:t>
      </w:r>
      <w:r>
        <w:rPr>
          <w:lang w:val="fr-FR"/>
        </w:rPr>
        <w:t> </w:t>
      </w:r>
      <w:r w:rsidRPr="00AB4DCC">
        <w:rPr>
          <w:lang w:val="fr-FR"/>
        </w:rPr>
        <w:t>système</w:t>
      </w:r>
      <w:r>
        <w:rPr>
          <w:lang w:val="fr-FR"/>
        </w:rPr>
        <w:t> </w:t>
      </w:r>
      <w:r w:rsidRPr="00AB4DCC">
        <w:rPr>
          <w:lang w:val="fr-FR"/>
        </w:rPr>
        <w:t>» ne compromettra pas, en l</w:t>
      </w:r>
      <w:r>
        <w:rPr>
          <w:lang w:val="fr-FR"/>
        </w:rPr>
        <w:t>’</w:t>
      </w:r>
      <w:r w:rsidRPr="00AB4DCC">
        <w:rPr>
          <w:lang w:val="fr-FR"/>
        </w:rPr>
        <w:t>absence de défaillances, le fonctionnement du véhicule</w:t>
      </w:r>
      <w:r w:rsidR="00DF7AA4" w:rsidRPr="00DF7AA4">
        <w:rPr>
          <w:lang w:val="fr-FR"/>
        </w:rPr>
        <w:t>.</w:t>
      </w:r>
    </w:p>
    <w:p w14:paraId="758CDD81" w14:textId="57388B45"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4</w:t>
      </w:r>
      <w:r w:rsidR="00DF7AA4" w:rsidRPr="00DF7AA4">
        <w:rPr>
          <w:lang w:val="fr-FR"/>
        </w:rPr>
        <w:t>.</w:t>
      </w:r>
      <w:r w:rsidRPr="00AB4DCC">
        <w:rPr>
          <w:lang w:val="fr-FR"/>
        </w:rPr>
        <w:t>2</w:t>
      </w:r>
      <w:r w:rsidRPr="00AB4DCC">
        <w:rPr>
          <w:lang w:val="fr-FR"/>
        </w:rPr>
        <w:tab/>
        <w:t>En ce qui concerne le logiciel employé dans le «</w:t>
      </w:r>
      <w:r>
        <w:rPr>
          <w:lang w:val="fr-FR"/>
        </w:rPr>
        <w:t> </w:t>
      </w:r>
      <w:r w:rsidRPr="00AB4DCC">
        <w:rPr>
          <w:lang w:val="fr-FR"/>
        </w:rPr>
        <w:t>système</w:t>
      </w:r>
      <w:r>
        <w:rPr>
          <w:lang w:val="fr-FR"/>
        </w:rPr>
        <w:t> </w:t>
      </w:r>
      <w:r w:rsidRPr="00AB4DCC">
        <w:rPr>
          <w:lang w:val="fr-FR"/>
        </w:rPr>
        <w:t>», il convient d</w:t>
      </w:r>
      <w:r>
        <w:rPr>
          <w:lang w:val="fr-FR"/>
        </w:rPr>
        <w:t>’</w:t>
      </w:r>
      <w:r w:rsidRPr="00AB4DCC">
        <w:rPr>
          <w:lang w:val="fr-FR"/>
        </w:rPr>
        <w:t>en expliquer la configuration et de définir les méthodes et outils de conception utilisés</w:t>
      </w:r>
      <w:r w:rsidR="00DF7AA4" w:rsidRPr="00DF7AA4">
        <w:rPr>
          <w:lang w:val="fr-FR"/>
        </w:rPr>
        <w:t>.</w:t>
      </w:r>
      <w:r w:rsidRPr="00AB4DCC">
        <w:rPr>
          <w:lang w:val="fr-FR"/>
        </w:rPr>
        <w:t xml:space="preserve"> Le constructeur doit démontrer, preuves à l</w:t>
      </w:r>
      <w:r>
        <w:rPr>
          <w:lang w:val="fr-FR"/>
        </w:rPr>
        <w:t>’</w:t>
      </w:r>
      <w:r w:rsidRPr="00AB4DCC">
        <w:rPr>
          <w:lang w:val="fr-FR"/>
        </w:rPr>
        <w:t>appui, comment a été déterminée la réalisation de la logique du système, durant la conception et la mise au point</w:t>
      </w:r>
      <w:r w:rsidR="00DF7AA4" w:rsidRPr="00DF7AA4">
        <w:rPr>
          <w:lang w:val="fr-FR"/>
        </w:rPr>
        <w:t>.</w:t>
      </w:r>
    </w:p>
    <w:p w14:paraId="381A8EC8" w14:textId="75CD4E58"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4</w:t>
      </w:r>
      <w:r w:rsidR="00DF7AA4" w:rsidRPr="00DF7AA4">
        <w:rPr>
          <w:lang w:val="fr-FR"/>
        </w:rPr>
        <w:t>.</w:t>
      </w:r>
      <w:r w:rsidRPr="00AB4DCC">
        <w:rPr>
          <w:lang w:val="fr-FR"/>
        </w:rPr>
        <w:t>3</w:t>
      </w:r>
      <w:r w:rsidRPr="00AB4DCC">
        <w:rPr>
          <w:lang w:val="fr-FR"/>
        </w:rPr>
        <w:tab/>
        <w:t>Le constructeur doit fournir au service technique une explication des prescriptions générales appliquées dans le «</w:t>
      </w:r>
      <w:r>
        <w:rPr>
          <w:lang w:val="fr-FR"/>
        </w:rPr>
        <w:t> </w:t>
      </w:r>
      <w:r w:rsidRPr="00AB4DCC">
        <w:rPr>
          <w:lang w:val="fr-FR"/>
        </w:rPr>
        <w:t>système</w:t>
      </w:r>
      <w:r>
        <w:rPr>
          <w:lang w:val="fr-FR"/>
        </w:rPr>
        <w:t> </w:t>
      </w:r>
      <w:r w:rsidRPr="00AB4DCC">
        <w:rPr>
          <w:lang w:val="fr-FR"/>
        </w:rPr>
        <w:t>» pour assurer un fonctionnement en cas de défaillance</w:t>
      </w:r>
      <w:r w:rsidR="00DF7AA4" w:rsidRPr="00DF7AA4">
        <w:rPr>
          <w:lang w:val="fr-FR"/>
        </w:rPr>
        <w:t>.</w:t>
      </w:r>
      <w:r w:rsidRPr="00AB4DCC">
        <w:rPr>
          <w:lang w:val="fr-FR"/>
        </w:rPr>
        <w:t xml:space="preserve"> Les prescriptions générales possibles en cas de défaillance du «</w:t>
      </w:r>
      <w:r>
        <w:rPr>
          <w:lang w:val="fr-FR"/>
        </w:rPr>
        <w:t> </w:t>
      </w:r>
      <w:r w:rsidRPr="00AB4DCC">
        <w:rPr>
          <w:lang w:val="fr-FR"/>
        </w:rPr>
        <w:t>système</w:t>
      </w:r>
      <w:r>
        <w:rPr>
          <w:lang w:val="fr-FR"/>
        </w:rPr>
        <w:t> </w:t>
      </w:r>
      <w:r w:rsidRPr="00AB4DCC">
        <w:rPr>
          <w:lang w:val="fr-FR"/>
        </w:rPr>
        <w:t>» sont par exemple les suivantes</w:t>
      </w:r>
      <w:r>
        <w:rPr>
          <w:lang w:val="fr-FR"/>
        </w:rPr>
        <w:t> :</w:t>
      </w:r>
    </w:p>
    <w:p w14:paraId="6DE45E4D" w14:textId="77777777" w:rsidR="006F5732" w:rsidRPr="00AB4DCC" w:rsidRDefault="006F5732" w:rsidP="006F5732">
      <w:pPr>
        <w:pStyle w:val="SingleTxtG"/>
        <w:ind w:left="2835" w:hanging="567"/>
        <w:rPr>
          <w:rFonts w:eastAsia="Yu Mincho"/>
          <w:lang w:val="fr-FR"/>
        </w:rPr>
      </w:pPr>
      <w:r w:rsidRPr="00AB4DCC">
        <w:rPr>
          <w:lang w:val="fr-FR"/>
        </w:rPr>
        <w:t>a)</w:t>
      </w:r>
      <w:r w:rsidRPr="00AB4DCC">
        <w:rPr>
          <w:lang w:val="fr-FR"/>
        </w:rPr>
        <w:tab/>
        <w:t>Le retour à un fonctionnement basé sur un système partiel</w:t>
      </w:r>
      <w:r>
        <w:rPr>
          <w:lang w:val="fr-FR"/>
        </w:rPr>
        <w:t> ;</w:t>
      </w:r>
    </w:p>
    <w:p w14:paraId="6D02B365" w14:textId="77777777" w:rsidR="006F5732" w:rsidRPr="00AB4DCC" w:rsidRDefault="006F5732" w:rsidP="006F5732">
      <w:pPr>
        <w:pStyle w:val="SingleTxtG"/>
        <w:ind w:left="2835" w:hanging="567"/>
        <w:rPr>
          <w:rFonts w:eastAsia="Yu Mincho"/>
          <w:lang w:val="fr-FR"/>
        </w:rPr>
      </w:pPr>
      <w:r w:rsidRPr="00AB4DCC">
        <w:rPr>
          <w:lang w:val="fr-FR"/>
        </w:rPr>
        <w:t>b)</w:t>
      </w:r>
      <w:r w:rsidRPr="00AB4DCC">
        <w:rPr>
          <w:lang w:val="fr-FR"/>
        </w:rPr>
        <w:tab/>
        <w:t>Le passage à un système de secours distinct</w:t>
      </w:r>
      <w:r>
        <w:rPr>
          <w:lang w:val="fr-FR"/>
        </w:rPr>
        <w:t> ;</w:t>
      </w:r>
    </w:p>
    <w:p w14:paraId="1BA91A9C" w14:textId="1AE0A7E7" w:rsidR="006F5732" w:rsidRPr="00AB4DCC" w:rsidRDefault="006F5732" w:rsidP="006F5732">
      <w:pPr>
        <w:pStyle w:val="SingleTxtG"/>
        <w:ind w:left="2835" w:hanging="567"/>
        <w:rPr>
          <w:rFonts w:eastAsia="Yu Mincho"/>
          <w:lang w:val="fr-FR"/>
        </w:rPr>
      </w:pPr>
      <w:r w:rsidRPr="00AB4DCC">
        <w:rPr>
          <w:lang w:val="fr-FR"/>
        </w:rPr>
        <w:t>c)</w:t>
      </w:r>
      <w:r w:rsidRPr="00AB4DCC">
        <w:rPr>
          <w:lang w:val="fr-FR"/>
        </w:rPr>
        <w:tab/>
        <w:t>L</w:t>
      </w:r>
      <w:r>
        <w:rPr>
          <w:lang w:val="fr-FR"/>
        </w:rPr>
        <w:t>’</w:t>
      </w:r>
      <w:r w:rsidRPr="00AB4DCC">
        <w:rPr>
          <w:lang w:val="fr-FR"/>
        </w:rPr>
        <w:t>interruption de la fonction supérieure</w:t>
      </w:r>
      <w:r w:rsidR="00DF7AA4" w:rsidRPr="00DF7AA4">
        <w:rPr>
          <w:lang w:val="fr-FR"/>
        </w:rPr>
        <w:t>.</w:t>
      </w:r>
    </w:p>
    <w:p w14:paraId="416EA252" w14:textId="46B34FF8" w:rsidR="006F5732" w:rsidRPr="00AB4DCC" w:rsidRDefault="006F5732" w:rsidP="006F5732">
      <w:pPr>
        <w:pStyle w:val="SingleTxtG"/>
        <w:ind w:left="2268"/>
        <w:rPr>
          <w:lang w:val="fr-FR"/>
        </w:rPr>
      </w:pPr>
      <w:r w:rsidRPr="00AB4DCC">
        <w:rPr>
          <w:lang w:val="fr-FR"/>
        </w:rPr>
        <w:t>En cas de défaillance, le conducteur doit être averti, par exemple au moyen d</w:t>
      </w:r>
      <w:r>
        <w:rPr>
          <w:lang w:val="fr-FR"/>
        </w:rPr>
        <w:t>’</w:t>
      </w:r>
      <w:r w:rsidRPr="00AB4DCC">
        <w:rPr>
          <w:lang w:val="fr-FR"/>
        </w:rPr>
        <w:t>un signal ou d</w:t>
      </w:r>
      <w:r>
        <w:rPr>
          <w:lang w:val="fr-FR"/>
        </w:rPr>
        <w:t>’</w:t>
      </w:r>
      <w:r w:rsidRPr="00AB4DCC">
        <w:rPr>
          <w:lang w:val="fr-FR"/>
        </w:rPr>
        <w:t>un message</w:t>
      </w:r>
      <w:r w:rsidR="00DF7AA4" w:rsidRPr="00DF7AA4">
        <w:rPr>
          <w:lang w:val="fr-FR"/>
        </w:rPr>
        <w:t>.</w:t>
      </w:r>
      <w:r w:rsidRPr="00AB4DCC">
        <w:rPr>
          <w:lang w:val="fr-FR"/>
        </w:rPr>
        <w:t xml:space="preserve"> Lorsque le système n</w:t>
      </w:r>
      <w:r>
        <w:rPr>
          <w:lang w:val="fr-FR"/>
        </w:rPr>
        <w:t>’</w:t>
      </w:r>
      <w:r w:rsidRPr="00AB4DCC">
        <w:rPr>
          <w:lang w:val="fr-FR"/>
        </w:rPr>
        <w:t>est pas désactivé par le conducteur, notamment en tournant le contacteur d</w:t>
      </w:r>
      <w:r>
        <w:rPr>
          <w:lang w:val="fr-FR"/>
        </w:rPr>
        <w:t>’</w:t>
      </w:r>
      <w:r w:rsidRPr="00AB4DCC">
        <w:rPr>
          <w:lang w:val="fr-FR"/>
        </w:rPr>
        <w:t>allumage (démarrage) vers la position «</w:t>
      </w:r>
      <w:r>
        <w:rPr>
          <w:lang w:val="fr-FR"/>
        </w:rPr>
        <w:t> </w:t>
      </w:r>
      <w:r w:rsidRPr="00AB4DCC">
        <w:rPr>
          <w:lang w:val="fr-FR"/>
        </w:rPr>
        <w:t>off</w:t>
      </w:r>
      <w:r>
        <w:rPr>
          <w:lang w:val="fr-FR"/>
        </w:rPr>
        <w:t> </w:t>
      </w:r>
      <w:r w:rsidRPr="00AB4DCC">
        <w:rPr>
          <w:lang w:val="fr-FR"/>
        </w:rPr>
        <w:t>» ou en coupant cette fonction particulière s</w:t>
      </w:r>
      <w:r>
        <w:rPr>
          <w:lang w:val="fr-FR"/>
        </w:rPr>
        <w:t>’</w:t>
      </w:r>
      <w:r w:rsidRPr="00AB4DCC">
        <w:rPr>
          <w:lang w:val="fr-FR"/>
        </w:rPr>
        <w:t>il existe un contacteur spécial à cet effet, l</w:t>
      </w:r>
      <w:r>
        <w:rPr>
          <w:lang w:val="fr-FR"/>
        </w:rPr>
        <w:t>’</w:t>
      </w:r>
      <w:r w:rsidRPr="00AB4DCC">
        <w:rPr>
          <w:lang w:val="fr-FR"/>
        </w:rPr>
        <w:t>avertissement doit durer aussi longtemps que persiste la défaillance</w:t>
      </w:r>
      <w:r w:rsidR="00DF7AA4" w:rsidRPr="00DF7AA4">
        <w:rPr>
          <w:lang w:val="fr-FR"/>
        </w:rPr>
        <w:t>.</w:t>
      </w:r>
    </w:p>
    <w:p w14:paraId="4C5600D9" w14:textId="47CACA79"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4</w:t>
      </w:r>
      <w:r w:rsidR="00DF7AA4" w:rsidRPr="00DF7AA4">
        <w:rPr>
          <w:lang w:val="fr-FR"/>
        </w:rPr>
        <w:t>.</w:t>
      </w:r>
      <w:r w:rsidRPr="00AB4DCC">
        <w:rPr>
          <w:lang w:val="fr-FR"/>
        </w:rPr>
        <w:t>3</w:t>
      </w:r>
      <w:r w:rsidR="00DF7AA4" w:rsidRPr="00DF7AA4">
        <w:rPr>
          <w:lang w:val="fr-FR"/>
        </w:rPr>
        <w:t>.</w:t>
      </w:r>
      <w:r w:rsidRPr="00AB4DCC">
        <w:rPr>
          <w:lang w:val="fr-FR"/>
        </w:rPr>
        <w:t>1</w:t>
      </w:r>
      <w:r w:rsidRPr="00AB4DCC">
        <w:rPr>
          <w:lang w:val="fr-FR"/>
        </w:rPr>
        <w:tab/>
        <w:t>Lorsque l</w:t>
      </w:r>
      <w:r>
        <w:rPr>
          <w:lang w:val="fr-FR"/>
        </w:rPr>
        <w:t>’</w:t>
      </w:r>
      <w:r w:rsidRPr="00AB4DCC">
        <w:rPr>
          <w:lang w:val="fr-FR"/>
        </w:rPr>
        <w:t>option choisie fait appel à un mode de fonctionnement partiel dans le cas de certaines défaillances, celles-ci doivent alors être indiquées et les limites d</w:t>
      </w:r>
      <w:r>
        <w:rPr>
          <w:lang w:val="fr-FR"/>
        </w:rPr>
        <w:t>’</w:t>
      </w:r>
      <w:r w:rsidRPr="00AB4DCC">
        <w:rPr>
          <w:lang w:val="fr-FR"/>
        </w:rPr>
        <w:t>efficacité qui en résultent doivent être définies</w:t>
      </w:r>
      <w:r w:rsidR="00DF7AA4" w:rsidRPr="00DF7AA4">
        <w:rPr>
          <w:lang w:val="fr-FR"/>
        </w:rPr>
        <w:t>.</w:t>
      </w:r>
    </w:p>
    <w:p w14:paraId="1A6B759A" w14:textId="0A1DD59D"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4</w:t>
      </w:r>
      <w:r w:rsidR="00DF7AA4" w:rsidRPr="00DF7AA4">
        <w:rPr>
          <w:lang w:val="fr-FR"/>
        </w:rPr>
        <w:t>.</w:t>
      </w:r>
      <w:r w:rsidRPr="00AB4DCC">
        <w:rPr>
          <w:lang w:val="fr-FR"/>
        </w:rPr>
        <w:t>3</w:t>
      </w:r>
      <w:r w:rsidR="00DF7AA4" w:rsidRPr="00DF7AA4">
        <w:rPr>
          <w:lang w:val="fr-FR"/>
        </w:rPr>
        <w:t>.</w:t>
      </w:r>
      <w:r w:rsidRPr="00AB4DCC">
        <w:rPr>
          <w:lang w:val="fr-FR"/>
        </w:rPr>
        <w:t>2</w:t>
      </w:r>
      <w:r w:rsidRPr="00AB4DCC">
        <w:rPr>
          <w:lang w:val="fr-FR"/>
        </w:rPr>
        <w:tab/>
        <w:t>Lorsque l</w:t>
      </w:r>
      <w:r>
        <w:rPr>
          <w:lang w:val="fr-FR"/>
        </w:rPr>
        <w:t>’</w:t>
      </w:r>
      <w:r w:rsidRPr="00AB4DCC">
        <w:rPr>
          <w:lang w:val="fr-FR"/>
        </w:rPr>
        <w:t>option choisie fait appel à une deuxième méthode (de secours) pour réaliser l</w:t>
      </w:r>
      <w:r>
        <w:rPr>
          <w:lang w:val="fr-FR"/>
        </w:rPr>
        <w:t>’</w:t>
      </w:r>
      <w:r w:rsidRPr="00AB4DCC">
        <w:rPr>
          <w:lang w:val="fr-FR"/>
        </w:rPr>
        <w:t>objectif du système de commande du véhicule, les principes du mécanisme de changement, la logique et le niveau de redondance ainsi que tout dispositif de vérification intégré doivent être expliqués et les limites d</w:t>
      </w:r>
      <w:r>
        <w:rPr>
          <w:lang w:val="fr-FR"/>
        </w:rPr>
        <w:t>’</w:t>
      </w:r>
      <w:r w:rsidRPr="00AB4DCC">
        <w:rPr>
          <w:lang w:val="fr-FR"/>
        </w:rPr>
        <w:t>efficacité qui en résultent doivent être définies</w:t>
      </w:r>
      <w:r w:rsidR="00DF7AA4" w:rsidRPr="00DF7AA4">
        <w:rPr>
          <w:lang w:val="fr-FR"/>
        </w:rPr>
        <w:t>.</w:t>
      </w:r>
    </w:p>
    <w:p w14:paraId="278B5696" w14:textId="6AF72874"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4</w:t>
      </w:r>
      <w:r w:rsidR="00DF7AA4" w:rsidRPr="00DF7AA4">
        <w:rPr>
          <w:lang w:val="fr-FR"/>
        </w:rPr>
        <w:t>.</w:t>
      </w:r>
      <w:r w:rsidRPr="00AB4DCC">
        <w:rPr>
          <w:lang w:val="fr-FR"/>
        </w:rPr>
        <w:t>3</w:t>
      </w:r>
      <w:r w:rsidR="00DF7AA4" w:rsidRPr="00DF7AA4">
        <w:rPr>
          <w:lang w:val="fr-FR"/>
        </w:rPr>
        <w:t>.</w:t>
      </w:r>
      <w:r w:rsidRPr="00AB4DCC">
        <w:rPr>
          <w:lang w:val="fr-FR"/>
        </w:rPr>
        <w:t>3</w:t>
      </w:r>
      <w:r w:rsidRPr="00AB4DCC">
        <w:rPr>
          <w:lang w:val="fr-FR"/>
        </w:rPr>
        <w:tab/>
        <w:t>Lorsque l</w:t>
      </w:r>
      <w:r>
        <w:rPr>
          <w:lang w:val="fr-FR"/>
        </w:rPr>
        <w:t>’</w:t>
      </w:r>
      <w:r w:rsidRPr="00AB4DCC">
        <w:rPr>
          <w:lang w:val="fr-FR"/>
        </w:rPr>
        <w:t>option choisie fait appel à l</w:t>
      </w:r>
      <w:r>
        <w:rPr>
          <w:lang w:val="fr-FR"/>
        </w:rPr>
        <w:t>’</w:t>
      </w:r>
      <w:r w:rsidRPr="00AB4DCC">
        <w:rPr>
          <w:lang w:val="fr-FR"/>
        </w:rPr>
        <w:t>élimination de la fonction supérieure, tous les signaux de contrôle du rendement associés à cette fonction doivent être bloqués, de manière à limiter les perturbations transitoires</w:t>
      </w:r>
      <w:r w:rsidR="00DF7AA4" w:rsidRPr="00DF7AA4">
        <w:rPr>
          <w:lang w:val="fr-FR"/>
        </w:rPr>
        <w:t>.</w:t>
      </w:r>
    </w:p>
    <w:p w14:paraId="27857077" w14:textId="0B99E0E5" w:rsidR="006F5732" w:rsidRPr="00AB4DCC" w:rsidRDefault="006F5732" w:rsidP="00D1353B">
      <w:pPr>
        <w:pStyle w:val="SingleTxtG"/>
        <w:tabs>
          <w:tab w:val="clear" w:pos="1701"/>
          <w:tab w:val="clear" w:pos="2835"/>
        </w:tabs>
        <w:ind w:left="2268" w:hanging="1134"/>
        <w:rPr>
          <w:lang w:val="fr-FR"/>
        </w:rPr>
      </w:pPr>
      <w:r w:rsidRPr="00AB4DCC">
        <w:rPr>
          <w:lang w:val="fr-FR"/>
        </w:rPr>
        <w:lastRenderedPageBreak/>
        <w:t>3</w:t>
      </w:r>
      <w:r w:rsidR="00DF7AA4" w:rsidRPr="00DF7AA4">
        <w:rPr>
          <w:lang w:val="fr-FR"/>
        </w:rPr>
        <w:t>.</w:t>
      </w:r>
      <w:r w:rsidRPr="00AB4DCC">
        <w:rPr>
          <w:lang w:val="fr-FR"/>
        </w:rPr>
        <w:t>4</w:t>
      </w:r>
      <w:r w:rsidR="00DF7AA4" w:rsidRPr="00DF7AA4">
        <w:rPr>
          <w:lang w:val="fr-FR"/>
        </w:rPr>
        <w:t>.</w:t>
      </w:r>
      <w:r w:rsidRPr="00AB4DCC">
        <w:rPr>
          <w:lang w:val="fr-FR"/>
        </w:rPr>
        <w:t>4</w:t>
      </w:r>
      <w:r w:rsidRPr="00AB4DCC">
        <w:rPr>
          <w:lang w:val="fr-FR"/>
        </w:rPr>
        <w:tab/>
        <w:t>Le dossier d</w:t>
      </w:r>
      <w:r>
        <w:rPr>
          <w:lang w:val="fr-FR"/>
        </w:rPr>
        <w:t>’</w:t>
      </w:r>
      <w:r w:rsidRPr="00AB4DCC">
        <w:rPr>
          <w:lang w:val="fr-FR"/>
        </w:rPr>
        <w:t>information doit être accompagné d</w:t>
      </w:r>
      <w:r>
        <w:rPr>
          <w:lang w:val="fr-FR"/>
        </w:rPr>
        <w:t>’</w:t>
      </w:r>
      <w:r w:rsidRPr="00AB4DCC">
        <w:rPr>
          <w:lang w:val="fr-FR"/>
        </w:rPr>
        <w:t>une analyse qui montre, en termes généraux, comment le système se comportera lorsque se présentera l</w:t>
      </w:r>
      <w:r>
        <w:rPr>
          <w:lang w:val="fr-FR"/>
        </w:rPr>
        <w:t>’</w:t>
      </w:r>
      <w:r w:rsidRPr="00AB4DCC">
        <w:rPr>
          <w:lang w:val="fr-FR"/>
        </w:rPr>
        <w:t>un des risques ou surviendra l</w:t>
      </w:r>
      <w:r>
        <w:rPr>
          <w:lang w:val="fr-FR"/>
        </w:rPr>
        <w:t>’</w:t>
      </w:r>
      <w:r w:rsidRPr="00AB4DCC">
        <w:rPr>
          <w:lang w:val="fr-FR"/>
        </w:rPr>
        <w:t>une des défaillances ayant une incidence sur l</w:t>
      </w:r>
      <w:r>
        <w:rPr>
          <w:lang w:val="fr-FR"/>
        </w:rPr>
        <w:t>’</w:t>
      </w:r>
      <w:r w:rsidRPr="00AB4DCC">
        <w:rPr>
          <w:lang w:val="fr-FR"/>
        </w:rPr>
        <w:t>efficacité ou la sécurité de la maîtrise du véhicule</w:t>
      </w:r>
      <w:r w:rsidR="00DF7AA4" w:rsidRPr="00DF7AA4">
        <w:rPr>
          <w:lang w:val="fr-FR"/>
        </w:rPr>
        <w:t>.</w:t>
      </w:r>
    </w:p>
    <w:p w14:paraId="45385302" w14:textId="4DCCD13B" w:rsidR="006F5732" w:rsidRPr="00AB4DCC" w:rsidRDefault="006F5732" w:rsidP="006F5732">
      <w:pPr>
        <w:pStyle w:val="SingleTxtG"/>
        <w:ind w:left="2268"/>
        <w:rPr>
          <w:lang w:val="fr-FR"/>
        </w:rPr>
      </w:pPr>
      <w:r w:rsidRPr="00AB4DCC">
        <w:rPr>
          <w:lang w:val="fr-FR"/>
        </w:rPr>
        <w:t>L</w:t>
      </w:r>
      <w:r>
        <w:rPr>
          <w:lang w:val="fr-FR"/>
        </w:rPr>
        <w:t>’</w:t>
      </w:r>
      <w:r w:rsidRPr="00AB4DCC">
        <w:rPr>
          <w:lang w:val="fr-FR"/>
        </w:rPr>
        <w:t>approche (les approches) analytique(s) choisie</w:t>
      </w:r>
      <w:r>
        <w:rPr>
          <w:lang w:val="fr-FR"/>
        </w:rPr>
        <w:t>(</w:t>
      </w:r>
      <w:r w:rsidRPr="00AB4DCC">
        <w:rPr>
          <w:lang w:val="fr-FR"/>
        </w:rPr>
        <w:t>s</w:t>
      </w:r>
      <w:r>
        <w:rPr>
          <w:lang w:val="fr-FR"/>
        </w:rPr>
        <w:t>)</w:t>
      </w:r>
      <w:r w:rsidRPr="00AB4DCC">
        <w:rPr>
          <w:lang w:val="fr-FR"/>
        </w:rPr>
        <w:t xml:space="preserve"> </w:t>
      </w:r>
      <w:proofErr w:type="spellStart"/>
      <w:r w:rsidRPr="00AB4DCC">
        <w:rPr>
          <w:lang w:val="fr-FR"/>
        </w:rPr>
        <w:t>doi</w:t>
      </w:r>
      <w:proofErr w:type="spellEnd"/>
      <w:r>
        <w:rPr>
          <w:lang w:val="fr-FR"/>
        </w:rPr>
        <w:t>(</w:t>
      </w:r>
      <w:proofErr w:type="spellStart"/>
      <w:r w:rsidRPr="00AB4DCC">
        <w:rPr>
          <w:lang w:val="fr-FR"/>
        </w:rPr>
        <w:t>ven</w:t>
      </w:r>
      <w:proofErr w:type="spellEnd"/>
      <w:r>
        <w:rPr>
          <w:lang w:val="fr-FR"/>
        </w:rPr>
        <w:t>)</w:t>
      </w:r>
      <w:r w:rsidRPr="00AB4DCC">
        <w:rPr>
          <w:lang w:val="fr-FR"/>
        </w:rPr>
        <w:t>t être mise</w:t>
      </w:r>
      <w:r>
        <w:rPr>
          <w:lang w:val="fr-FR"/>
        </w:rPr>
        <w:t>(</w:t>
      </w:r>
      <w:r w:rsidRPr="00AB4DCC">
        <w:rPr>
          <w:lang w:val="fr-FR"/>
        </w:rPr>
        <w:t>s</w:t>
      </w:r>
      <w:r>
        <w:rPr>
          <w:lang w:val="fr-FR"/>
        </w:rPr>
        <w:t>)</w:t>
      </w:r>
      <w:r w:rsidRPr="00AB4DCC">
        <w:rPr>
          <w:lang w:val="fr-FR"/>
        </w:rPr>
        <w:t xml:space="preserve"> au point et gérée</w:t>
      </w:r>
      <w:r>
        <w:rPr>
          <w:lang w:val="fr-FR"/>
        </w:rPr>
        <w:t>(</w:t>
      </w:r>
      <w:r w:rsidRPr="00AB4DCC">
        <w:rPr>
          <w:lang w:val="fr-FR"/>
        </w:rPr>
        <w:t>s</w:t>
      </w:r>
      <w:r>
        <w:rPr>
          <w:lang w:val="fr-FR"/>
        </w:rPr>
        <w:t>)</w:t>
      </w:r>
      <w:r w:rsidRPr="00AB4DCC">
        <w:rPr>
          <w:lang w:val="fr-FR"/>
        </w:rPr>
        <w:t xml:space="preserve"> par le constructeur et soumise</w:t>
      </w:r>
      <w:r>
        <w:rPr>
          <w:lang w:val="fr-FR"/>
        </w:rPr>
        <w:t>(</w:t>
      </w:r>
      <w:r w:rsidRPr="00AB4DCC">
        <w:rPr>
          <w:lang w:val="fr-FR"/>
        </w:rPr>
        <w:t>s</w:t>
      </w:r>
      <w:r>
        <w:rPr>
          <w:lang w:val="fr-FR"/>
        </w:rPr>
        <w:t>)</w:t>
      </w:r>
      <w:r w:rsidRPr="00AB4DCC">
        <w:rPr>
          <w:lang w:val="fr-FR"/>
        </w:rPr>
        <w:t xml:space="preserve"> à l</w:t>
      </w:r>
      <w:r>
        <w:rPr>
          <w:lang w:val="fr-FR"/>
        </w:rPr>
        <w:t>’</w:t>
      </w:r>
      <w:r w:rsidRPr="00AB4DCC">
        <w:rPr>
          <w:lang w:val="fr-FR"/>
        </w:rPr>
        <w:t>inspection du service technique au moment de l</w:t>
      </w:r>
      <w:r>
        <w:rPr>
          <w:lang w:val="fr-FR"/>
        </w:rPr>
        <w:t>’</w:t>
      </w:r>
      <w:r w:rsidRPr="00AB4DCC">
        <w:rPr>
          <w:lang w:val="fr-FR"/>
        </w:rPr>
        <w:t>homologation de type</w:t>
      </w:r>
      <w:r w:rsidR="00DF7AA4" w:rsidRPr="00DF7AA4">
        <w:rPr>
          <w:lang w:val="fr-FR"/>
        </w:rPr>
        <w:t>.</w:t>
      </w:r>
    </w:p>
    <w:p w14:paraId="1CD53C09" w14:textId="64D49B2E" w:rsidR="006F5732" w:rsidRPr="00AB4DCC" w:rsidRDefault="006F5732" w:rsidP="006F5732">
      <w:pPr>
        <w:pStyle w:val="SingleTxtG"/>
        <w:ind w:left="2268"/>
        <w:rPr>
          <w:lang w:val="fr-FR"/>
        </w:rPr>
      </w:pPr>
      <w:r w:rsidRPr="00AB4DCC">
        <w:rPr>
          <w:lang w:val="fr-FR"/>
        </w:rPr>
        <w:t>Le service technique doit évaluer la mise en œuvre de l</w:t>
      </w:r>
      <w:r>
        <w:rPr>
          <w:lang w:val="fr-FR"/>
        </w:rPr>
        <w:t>’</w:t>
      </w:r>
      <w:r w:rsidRPr="00AB4DCC">
        <w:rPr>
          <w:lang w:val="fr-FR"/>
        </w:rPr>
        <w:t>approche (des approches) analytique(s)</w:t>
      </w:r>
      <w:r w:rsidR="00DF7AA4" w:rsidRPr="00DF7AA4">
        <w:rPr>
          <w:lang w:val="fr-FR"/>
        </w:rPr>
        <w:t>.</w:t>
      </w:r>
      <w:r w:rsidRPr="00AB4DCC">
        <w:rPr>
          <w:lang w:val="fr-FR"/>
        </w:rPr>
        <w:t xml:space="preserve"> Cette vérification doit porter sur les éléments suivants</w:t>
      </w:r>
      <w:r>
        <w:rPr>
          <w:lang w:val="fr-FR"/>
        </w:rPr>
        <w:t> :</w:t>
      </w:r>
    </w:p>
    <w:p w14:paraId="3B6CE39C" w14:textId="26154970" w:rsidR="006F5732" w:rsidRPr="00AB4DCC" w:rsidRDefault="006F5732" w:rsidP="006F5732">
      <w:pPr>
        <w:pStyle w:val="SingleTxtG"/>
        <w:ind w:left="2835" w:hanging="567"/>
        <w:rPr>
          <w:lang w:val="fr-FR"/>
        </w:rPr>
      </w:pPr>
      <w:r w:rsidRPr="00AB4DCC">
        <w:rPr>
          <w:lang w:val="fr-FR"/>
        </w:rPr>
        <w:t>a)</w:t>
      </w:r>
      <w:r w:rsidRPr="00AB4DCC">
        <w:rPr>
          <w:lang w:val="fr-FR"/>
        </w:rPr>
        <w:tab/>
        <w:t>Vérification de l</w:t>
      </w:r>
      <w:r>
        <w:rPr>
          <w:lang w:val="fr-FR"/>
        </w:rPr>
        <w:t>’</w:t>
      </w:r>
      <w:r w:rsidRPr="00AB4DCC">
        <w:rPr>
          <w:lang w:val="fr-FR"/>
        </w:rPr>
        <w:t>approche en matière de sécurité au niveau du concept (véhicule) et confirmation que les interactions avec les autres systèmes du véhicule sont prises en compte</w:t>
      </w:r>
      <w:r w:rsidR="00DF7AA4" w:rsidRPr="00DF7AA4">
        <w:rPr>
          <w:lang w:val="fr-FR"/>
        </w:rPr>
        <w:t>.</w:t>
      </w:r>
      <w:r w:rsidRPr="00AB4DCC">
        <w:rPr>
          <w:lang w:val="fr-FR"/>
        </w:rPr>
        <w:t xml:space="preserve"> Pour ce faire, il faut s</w:t>
      </w:r>
      <w:r>
        <w:rPr>
          <w:lang w:val="fr-FR"/>
        </w:rPr>
        <w:t>’</w:t>
      </w:r>
      <w:r w:rsidRPr="00AB4DCC">
        <w:rPr>
          <w:lang w:val="fr-FR"/>
        </w:rPr>
        <w:t>appuyer sur une étude des risques adaptée aux considérations de sécurité du</w:t>
      </w:r>
      <w:r>
        <w:rPr>
          <w:lang w:val="fr-FR"/>
        </w:rPr>
        <w:t> </w:t>
      </w:r>
      <w:r w:rsidRPr="00AB4DCC">
        <w:rPr>
          <w:lang w:val="fr-FR"/>
        </w:rPr>
        <w:t>système</w:t>
      </w:r>
      <w:r>
        <w:rPr>
          <w:lang w:val="fr-FR"/>
        </w:rPr>
        <w:t> ;</w:t>
      </w:r>
    </w:p>
    <w:p w14:paraId="5B64B64E" w14:textId="6F3E9B34" w:rsidR="006F5732" w:rsidRPr="00AB4DCC" w:rsidRDefault="006F5732" w:rsidP="006F5732">
      <w:pPr>
        <w:pStyle w:val="SingleTxtG"/>
        <w:ind w:left="2835" w:hanging="567"/>
        <w:rPr>
          <w:lang w:val="fr-FR"/>
        </w:rPr>
      </w:pPr>
      <w:r w:rsidRPr="00AB4DCC">
        <w:rPr>
          <w:lang w:val="fr-FR"/>
        </w:rPr>
        <w:t>b)</w:t>
      </w:r>
      <w:r w:rsidRPr="00AB4DCC">
        <w:rPr>
          <w:lang w:val="fr-FR"/>
        </w:rPr>
        <w:tab/>
        <w:t>Vérification de la stratégie en matière de sécurité au niveau du système</w:t>
      </w:r>
      <w:r w:rsidR="00DF7AA4" w:rsidRPr="00DF7AA4">
        <w:rPr>
          <w:lang w:val="fr-FR"/>
        </w:rPr>
        <w:t>.</w:t>
      </w:r>
      <w:r w:rsidRPr="00AB4DCC">
        <w:rPr>
          <w:lang w:val="fr-FR"/>
        </w:rPr>
        <w:t xml:space="preserve"> Pour ce faire, il faut s</w:t>
      </w:r>
      <w:r>
        <w:rPr>
          <w:lang w:val="fr-FR"/>
        </w:rPr>
        <w:t>’</w:t>
      </w:r>
      <w:r w:rsidRPr="00AB4DCC">
        <w:rPr>
          <w:lang w:val="fr-FR"/>
        </w:rPr>
        <w:t>appuyer sur une analyse des modes de défaillance et de leurs effets, sur une analyse par arbre de défaillance ou sur toute procédure similaire adaptée aux considérations de sécurité du système</w:t>
      </w:r>
      <w:r>
        <w:rPr>
          <w:lang w:val="fr-FR"/>
        </w:rPr>
        <w:t> ;</w:t>
      </w:r>
    </w:p>
    <w:p w14:paraId="41B2B7FC" w14:textId="2410764B" w:rsidR="006F5732" w:rsidRPr="00AB4DCC" w:rsidRDefault="006F5732" w:rsidP="006F5732">
      <w:pPr>
        <w:pStyle w:val="SingleTxtG"/>
        <w:ind w:left="2835" w:hanging="567"/>
        <w:rPr>
          <w:lang w:val="fr-FR"/>
        </w:rPr>
      </w:pPr>
      <w:r w:rsidRPr="00AB4DCC">
        <w:rPr>
          <w:lang w:val="fr-FR"/>
        </w:rPr>
        <w:t>c)</w:t>
      </w:r>
      <w:r w:rsidRPr="00AB4DCC">
        <w:rPr>
          <w:lang w:val="fr-FR"/>
        </w:rPr>
        <w:tab/>
        <w:t>Vérification des plans et des résultats de validation</w:t>
      </w:r>
      <w:r w:rsidR="00DF7AA4" w:rsidRPr="00DF7AA4">
        <w:rPr>
          <w:lang w:val="fr-FR"/>
        </w:rPr>
        <w:t>.</w:t>
      </w:r>
      <w:r w:rsidRPr="00AB4DCC">
        <w:rPr>
          <w:lang w:val="fr-FR"/>
        </w:rPr>
        <w:t xml:space="preserve"> Pour ce faire, il faut procéder par exemple à des essais de type «</w:t>
      </w:r>
      <w:r>
        <w:rPr>
          <w:lang w:val="fr-FR"/>
        </w:rPr>
        <w:t> </w:t>
      </w:r>
      <w:r w:rsidRPr="00AB4DCC">
        <w:rPr>
          <w:lang w:val="fr-FR"/>
        </w:rPr>
        <w:t>matériel incorporé</w:t>
      </w:r>
      <w:r>
        <w:rPr>
          <w:lang w:val="fr-FR"/>
        </w:rPr>
        <w:t> </w:t>
      </w:r>
      <w:r w:rsidRPr="00AB4DCC">
        <w:rPr>
          <w:lang w:val="fr-FR"/>
        </w:rPr>
        <w:t>» (</w:t>
      </w:r>
      <w:r w:rsidRPr="004B1B5A">
        <w:t xml:space="preserve">hardware in the </w:t>
      </w:r>
      <w:proofErr w:type="spellStart"/>
      <w:r w:rsidRPr="004B1B5A">
        <w:t>loop</w:t>
      </w:r>
      <w:proofErr w:type="spellEnd"/>
      <w:r w:rsidRPr="00AB4DCC">
        <w:rPr>
          <w:lang w:val="fr-FR"/>
        </w:rPr>
        <w:t xml:space="preserve"> (</w:t>
      </w:r>
      <w:r w:rsidRPr="004B1B5A">
        <w:t>HIL</w:t>
      </w:r>
      <w:r w:rsidRPr="00AB4DCC">
        <w:rPr>
          <w:lang w:val="fr-FR"/>
        </w:rPr>
        <w:t>)) ou à des essais opérationnels sur route, ou avoir recours à toute autre méthode adaptée à la validation</w:t>
      </w:r>
      <w:r w:rsidR="00DF7AA4" w:rsidRPr="00DF7AA4">
        <w:rPr>
          <w:lang w:val="fr-FR"/>
        </w:rPr>
        <w:t>.</w:t>
      </w:r>
    </w:p>
    <w:p w14:paraId="00491CBC" w14:textId="079B864C" w:rsidR="006F5732" w:rsidRPr="00AB4DCC" w:rsidRDefault="006F5732" w:rsidP="006F5732">
      <w:pPr>
        <w:pStyle w:val="SingleTxtG"/>
        <w:ind w:left="2268"/>
        <w:rPr>
          <w:lang w:val="fr-FR"/>
        </w:rPr>
      </w:pPr>
      <w:r w:rsidRPr="00AB4DCC">
        <w:rPr>
          <w:lang w:val="fr-FR"/>
        </w:rPr>
        <w:t>L</w:t>
      </w:r>
      <w:r>
        <w:rPr>
          <w:lang w:val="fr-FR"/>
        </w:rPr>
        <w:t>’</w:t>
      </w:r>
      <w:r w:rsidRPr="00AB4DCC">
        <w:rPr>
          <w:lang w:val="fr-FR"/>
        </w:rPr>
        <w:t>évaluation doit comprendre des vérifications de risques et de défaillances sélectionnés par le service technique pour s</w:t>
      </w:r>
      <w:r>
        <w:rPr>
          <w:lang w:val="fr-FR"/>
        </w:rPr>
        <w:t>’</w:t>
      </w:r>
      <w:r w:rsidRPr="00AB4DCC">
        <w:rPr>
          <w:lang w:val="fr-FR"/>
        </w:rPr>
        <w:t>assurer que les explications relatives au concept de sécurité fournies par le constructeur sont compréhensibles et logiques et que les plans de validation sont adaptés et ont été appliqués intégralement</w:t>
      </w:r>
      <w:r w:rsidR="00DF7AA4" w:rsidRPr="00DF7AA4">
        <w:rPr>
          <w:lang w:val="fr-FR"/>
        </w:rPr>
        <w:t>.</w:t>
      </w:r>
    </w:p>
    <w:p w14:paraId="0FE01824" w14:textId="4D24B911" w:rsidR="006F5732" w:rsidRPr="00AB4DCC" w:rsidRDefault="006F5732" w:rsidP="006F5732">
      <w:pPr>
        <w:pStyle w:val="SingleTxtG"/>
        <w:ind w:left="2268"/>
        <w:rPr>
          <w:lang w:val="fr-FR"/>
        </w:rPr>
      </w:pPr>
      <w:r w:rsidRPr="00AB4DCC">
        <w:rPr>
          <w:lang w:val="fr-FR"/>
        </w:rPr>
        <w:t>Le service technique peut réaliser ou faire réaliser les essais visés au paragraphe 4 pour vérifier le concept de sécurité</w:t>
      </w:r>
      <w:r w:rsidR="00DF7AA4" w:rsidRPr="00DF7AA4">
        <w:rPr>
          <w:lang w:val="fr-FR"/>
        </w:rPr>
        <w:t>.</w:t>
      </w:r>
    </w:p>
    <w:p w14:paraId="230AC744" w14:textId="5D60C2C1"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4</w:t>
      </w:r>
      <w:r w:rsidR="00DF7AA4" w:rsidRPr="00DF7AA4">
        <w:rPr>
          <w:lang w:val="fr-FR"/>
        </w:rPr>
        <w:t>.</w:t>
      </w:r>
      <w:r w:rsidRPr="00AB4DCC">
        <w:rPr>
          <w:lang w:val="fr-FR"/>
        </w:rPr>
        <w:t>4</w:t>
      </w:r>
      <w:r w:rsidR="00DF7AA4" w:rsidRPr="00DF7AA4">
        <w:rPr>
          <w:lang w:val="fr-FR"/>
        </w:rPr>
        <w:t>.</w:t>
      </w:r>
      <w:r w:rsidRPr="00AB4DCC">
        <w:rPr>
          <w:lang w:val="fr-FR"/>
        </w:rPr>
        <w:t>1</w:t>
      </w:r>
      <w:r w:rsidRPr="00AB4DCC">
        <w:rPr>
          <w:lang w:val="fr-FR"/>
        </w:rPr>
        <w:tab/>
        <w:t>Le dossier d</w:t>
      </w:r>
      <w:r>
        <w:rPr>
          <w:lang w:val="fr-FR"/>
        </w:rPr>
        <w:t>’</w:t>
      </w:r>
      <w:r w:rsidRPr="00AB4DCC">
        <w:rPr>
          <w:lang w:val="fr-FR"/>
        </w:rPr>
        <w:t>information doit énumérer les paramètres faisant l</w:t>
      </w:r>
      <w:r>
        <w:rPr>
          <w:lang w:val="fr-FR"/>
        </w:rPr>
        <w:t>’</w:t>
      </w:r>
      <w:r w:rsidRPr="00AB4DCC">
        <w:rPr>
          <w:lang w:val="fr-FR"/>
        </w:rPr>
        <w:t>objet d</w:t>
      </w:r>
      <w:r>
        <w:rPr>
          <w:lang w:val="fr-FR"/>
        </w:rPr>
        <w:t>’</w:t>
      </w:r>
      <w:r w:rsidRPr="00AB4DCC">
        <w:rPr>
          <w:lang w:val="fr-FR"/>
        </w:rPr>
        <w:t>une surveillance et définir, pour chaque type de défaillance énoncé au paragraphe</w:t>
      </w:r>
      <w:r w:rsidR="00D24EF3">
        <w:rPr>
          <w:lang w:val="fr-FR"/>
        </w:rPr>
        <w:t> </w:t>
      </w:r>
      <w:r w:rsidRPr="00AB4DCC">
        <w:rPr>
          <w:lang w:val="fr-FR"/>
        </w:rPr>
        <w:t>3</w:t>
      </w:r>
      <w:r w:rsidR="00DF7AA4" w:rsidRPr="00DF7AA4">
        <w:rPr>
          <w:lang w:val="fr-FR"/>
        </w:rPr>
        <w:t>.</w:t>
      </w:r>
      <w:r w:rsidRPr="00AB4DCC">
        <w:rPr>
          <w:lang w:val="fr-FR"/>
        </w:rPr>
        <w:t>4</w:t>
      </w:r>
      <w:r w:rsidR="00DF7AA4" w:rsidRPr="00DF7AA4">
        <w:rPr>
          <w:lang w:val="fr-FR"/>
        </w:rPr>
        <w:t>.</w:t>
      </w:r>
      <w:r w:rsidRPr="00AB4DCC">
        <w:rPr>
          <w:lang w:val="fr-FR"/>
        </w:rPr>
        <w:t>4 de la présente annexe, le signal d</w:t>
      </w:r>
      <w:r>
        <w:rPr>
          <w:lang w:val="fr-FR"/>
        </w:rPr>
        <w:t>’</w:t>
      </w:r>
      <w:r w:rsidRPr="00AB4DCC">
        <w:rPr>
          <w:lang w:val="fr-FR"/>
        </w:rPr>
        <w:t>avertissement à donner au conducteur et/ou au personnel chargé du service ou de l</w:t>
      </w:r>
      <w:r>
        <w:rPr>
          <w:lang w:val="fr-FR"/>
        </w:rPr>
        <w:t>’</w:t>
      </w:r>
      <w:r w:rsidRPr="00AB4DCC">
        <w:rPr>
          <w:lang w:val="fr-FR"/>
        </w:rPr>
        <w:t>inspection technique</w:t>
      </w:r>
      <w:r w:rsidR="00DF7AA4" w:rsidRPr="00DF7AA4">
        <w:rPr>
          <w:lang w:val="fr-FR"/>
        </w:rPr>
        <w:t>.</w:t>
      </w:r>
    </w:p>
    <w:p w14:paraId="6F8B47A9" w14:textId="085C8FD2" w:rsidR="006F5732" w:rsidRPr="00AB4DCC" w:rsidRDefault="006F5732" w:rsidP="00D1353B">
      <w:pPr>
        <w:pStyle w:val="SingleTxtG"/>
        <w:tabs>
          <w:tab w:val="clear" w:pos="1701"/>
          <w:tab w:val="clear" w:pos="2835"/>
        </w:tabs>
        <w:ind w:left="2268" w:hanging="1134"/>
        <w:rPr>
          <w:lang w:val="fr-FR"/>
        </w:rPr>
      </w:pPr>
      <w:r w:rsidRPr="00AB4DCC">
        <w:rPr>
          <w:lang w:val="fr-FR"/>
        </w:rPr>
        <w:t>3</w:t>
      </w:r>
      <w:r w:rsidR="00DF7AA4" w:rsidRPr="00DF7AA4">
        <w:rPr>
          <w:lang w:val="fr-FR"/>
        </w:rPr>
        <w:t>.</w:t>
      </w:r>
      <w:r w:rsidRPr="00AB4DCC">
        <w:rPr>
          <w:lang w:val="fr-FR"/>
        </w:rPr>
        <w:t>4</w:t>
      </w:r>
      <w:r w:rsidR="00DF7AA4" w:rsidRPr="00DF7AA4">
        <w:rPr>
          <w:lang w:val="fr-FR"/>
        </w:rPr>
        <w:t>.</w:t>
      </w:r>
      <w:r w:rsidRPr="00AB4DCC">
        <w:rPr>
          <w:lang w:val="fr-FR"/>
        </w:rPr>
        <w:t>4</w:t>
      </w:r>
      <w:r w:rsidR="00DF7AA4" w:rsidRPr="00DF7AA4">
        <w:rPr>
          <w:lang w:val="fr-FR"/>
        </w:rPr>
        <w:t>.</w:t>
      </w:r>
      <w:r w:rsidRPr="00AB4DCC">
        <w:rPr>
          <w:lang w:val="fr-FR"/>
        </w:rPr>
        <w:t>2</w:t>
      </w:r>
      <w:r w:rsidRPr="00AB4DCC">
        <w:rPr>
          <w:lang w:val="fr-FR"/>
        </w:rPr>
        <w:tab/>
        <w:t>Ce dossier d</w:t>
      </w:r>
      <w:r>
        <w:rPr>
          <w:lang w:val="fr-FR"/>
        </w:rPr>
        <w:t>’</w:t>
      </w:r>
      <w:r w:rsidRPr="00AB4DCC">
        <w:rPr>
          <w:lang w:val="fr-FR"/>
        </w:rPr>
        <w:t>information doit décrire les mesures prises pour garantir que le «</w:t>
      </w:r>
      <w:r>
        <w:rPr>
          <w:lang w:val="fr-FR"/>
        </w:rPr>
        <w:t> </w:t>
      </w:r>
      <w:r w:rsidRPr="00AB4DCC">
        <w:rPr>
          <w:lang w:val="fr-FR"/>
        </w:rPr>
        <w:t>système</w:t>
      </w:r>
      <w:r>
        <w:rPr>
          <w:lang w:val="fr-FR"/>
        </w:rPr>
        <w:t> </w:t>
      </w:r>
      <w:r w:rsidRPr="00AB4DCC">
        <w:rPr>
          <w:lang w:val="fr-FR"/>
        </w:rPr>
        <w:t>» ne nuit en rien à la sécurité d</w:t>
      </w:r>
      <w:r>
        <w:rPr>
          <w:lang w:val="fr-FR"/>
        </w:rPr>
        <w:t>’</w:t>
      </w:r>
      <w:r w:rsidRPr="00AB4DCC">
        <w:rPr>
          <w:lang w:val="fr-FR"/>
        </w:rPr>
        <w:t>utilisation du véhicule lorsque le fonctionnement du «</w:t>
      </w:r>
      <w:r>
        <w:rPr>
          <w:lang w:val="fr-FR"/>
        </w:rPr>
        <w:t> </w:t>
      </w:r>
      <w:r w:rsidRPr="00AB4DCC">
        <w:rPr>
          <w:lang w:val="fr-FR"/>
        </w:rPr>
        <w:t>système</w:t>
      </w:r>
      <w:r>
        <w:rPr>
          <w:lang w:val="fr-FR"/>
        </w:rPr>
        <w:t> </w:t>
      </w:r>
      <w:r w:rsidRPr="00AB4DCC">
        <w:rPr>
          <w:lang w:val="fr-FR"/>
        </w:rPr>
        <w:t>» est affecté par des facteurs extérieurs tels que les conditions climatiques, la température, la pénétration de poussière ou d</w:t>
      </w:r>
      <w:r>
        <w:rPr>
          <w:lang w:val="fr-FR"/>
        </w:rPr>
        <w:t>’</w:t>
      </w:r>
      <w:r w:rsidRPr="00AB4DCC">
        <w:rPr>
          <w:lang w:val="fr-FR"/>
        </w:rPr>
        <w:t>eau, ou l</w:t>
      </w:r>
      <w:r>
        <w:rPr>
          <w:lang w:val="fr-FR"/>
        </w:rPr>
        <w:t>’</w:t>
      </w:r>
      <w:r w:rsidRPr="00AB4DCC">
        <w:rPr>
          <w:lang w:val="fr-FR"/>
        </w:rPr>
        <w:t>accumulation de glace</w:t>
      </w:r>
      <w:r w:rsidR="00DF7AA4" w:rsidRPr="00DF7AA4">
        <w:rPr>
          <w:lang w:val="fr-FR"/>
        </w:rPr>
        <w:t>.</w:t>
      </w:r>
    </w:p>
    <w:p w14:paraId="4D490725" w14:textId="20165408" w:rsidR="006F5732" w:rsidRPr="00AB4DCC" w:rsidRDefault="006F5732" w:rsidP="006F5732">
      <w:pPr>
        <w:pStyle w:val="SingleTxtG"/>
        <w:ind w:left="2268" w:hanging="1134"/>
        <w:jc w:val="left"/>
        <w:rPr>
          <w:b/>
          <w:sz w:val="28"/>
          <w:szCs w:val="28"/>
          <w:lang w:val="fr-FR"/>
        </w:rPr>
      </w:pPr>
      <w:r w:rsidRPr="00AB4DCC">
        <w:rPr>
          <w:b/>
          <w:bCs/>
          <w:sz w:val="28"/>
          <w:szCs w:val="28"/>
          <w:lang w:val="fr-FR"/>
        </w:rPr>
        <w:t>4</w:t>
      </w:r>
      <w:r w:rsidR="00DF7AA4" w:rsidRPr="00DF7AA4">
        <w:rPr>
          <w:b/>
          <w:bCs/>
          <w:sz w:val="28"/>
          <w:szCs w:val="28"/>
          <w:lang w:val="fr-FR"/>
        </w:rPr>
        <w:t>.</w:t>
      </w:r>
      <w:r w:rsidRPr="00AB4DCC">
        <w:rPr>
          <w:sz w:val="28"/>
          <w:szCs w:val="28"/>
          <w:lang w:val="fr-FR"/>
        </w:rPr>
        <w:tab/>
      </w:r>
      <w:r w:rsidRPr="00AB4DCC">
        <w:rPr>
          <w:b/>
          <w:bCs/>
          <w:sz w:val="28"/>
          <w:szCs w:val="28"/>
          <w:lang w:val="fr-FR"/>
        </w:rPr>
        <w:t>Vérification et essai</w:t>
      </w:r>
    </w:p>
    <w:p w14:paraId="05A3EDE3" w14:textId="5C6FD9E3" w:rsidR="006F5732" w:rsidRPr="00AB4DCC" w:rsidRDefault="006F5732" w:rsidP="00D1353B">
      <w:pPr>
        <w:pStyle w:val="SingleTxtG"/>
        <w:tabs>
          <w:tab w:val="clear" w:pos="1701"/>
          <w:tab w:val="clear" w:pos="2835"/>
        </w:tabs>
        <w:ind w:left="2268" w:hanging="1134"/>
        <w:rPr>
          <w:lang w:val="fr-FR"/>
        </w:rPr>
      </w:pPr>
      <w:r w:rsidRPr="00AB4DCC">
        <w:rPr>
          <w:lang w:val="fr-FR"/>
        </w:rPr>
        <w:t>4</w:t>
      </w:r>
      <w:r w:rsidR="00DF7AA4" w:rsidRPr="00DF7AA4">
        <w:rPr>
          <w:lang w:val="fr-FR"/>
        </w:rPr>
        <w:t>.</w:t>
      </w:r>
      <w:r w:rsidRPr="00AB4DCC">
        <w:rPr>
          <w:lang w:val="fr-FR"/>
        </w:rPr>
        <w:t>1</w:t>
      </w:r>
      <w:r w:rsidRPr="00AB4DCC">
        <w:rPr>
          <w:lang w:val="fr-FR"/>
        </w:rPr>
        <w:tab/>
        <w:t>Le fonctionnement du «</w:t>
      </w:r>
      <w:r>
        <w:rPr>
          <w:lang w:val="fr-FR"/>
        </w:rPr>
        <w:t> </w:t>
      </w:r>
      <w:r w:rsidRPr="00AB4DCC">
        <w:rPr>
          <w:lang w:val="fr-FR"/>
        </w:rPr>
        <w:t>système</w:t>
      </w:r>
      <w:r>
        <w:rPr>
          <w:lang w:val="fr-FR"/>
        </w:rPr>
        <w:t> </w:t>
      </w:r>
      <w:r w:rsidRPr="00AB4DCC">
        <w:rPr>
          <w:lang w:val="fr-FR"/>
        </w:rPr>
        <w:t>», tel qu</w:t>
      </w:r>
      <w:r>
        <w:rPr>
          <w:lang w:val="fr-FR"/>
        </w:rPr>
        <w:t>’</w:t>
      </w:r>
      <w:r w:rsidRPr="00AB4DCC">
        <w:rPr>
          <w:lang w:val="fr-FR"/>
        </w:rPr>
        <w:t>il est exposé dans les documents requis au titre du paragraphe 3, doit être soumis aux essais suivants</w:t>
      </w:r>
      <w:r>
        <w:rPr>
          <w:lang w:val="fr-FR"/>
        </w:rPr>
        <w:t> :</w:t>
      </w:r>
    </w:p>
    <w:p w14:paraId="7CE9CFF7" w14:textId="01480BCC" w:rsidR="006F5732" w:rsidRPr="00AB4DCC" w:rsidRDefault="006F5732" w:rsidP="00D1353B">
      <w:pPr>
        <w:pStyle w:val="SingleTxtG"/>
        <w:tabs>
          <w:tab w:val="clear" w:pos="1701"/>
          <w:tab w:val="clear" w:pos="2835"/>
        </w:tabs>
        <w:ind w:left="2268" w:hanging="1134"/>
        <w:rPr>
          <w:lang w:val="fr-FR"/>
        </w:rPr>
      </w:pPr>
      <w:r w:rsidRPr="00AB4DCC">
        <w:rPr>
          <w:lang w:val="fr-FR"/>
        </w:rPr>
        <w:t>4</w:t>
      </w:r>
      <w:r w:rsidR="00DF7AA4" w:rsidRPr="00DF7AA4">
        <w:rPr>
          <w:lang w:val="fr-FR"/>
        </w:rPr>
        <w:t>.</w:t>
      </w:r>
      <w:r w:rsidRPr="00AB4DCC">
        <w:rPr>
          <w:lang w:val="fr-FR"/>
        </w:rPr>
        <w:t>1</w:t>
      </w:r>
      <w:r w:rsidR="00DF7AA4" w:rsidRPr="00DF7AA4">
        <w:rPr>
          <w:lang w:val="fr-FR"/>
        </w:rPr>
        <w:t>.</w:t>
      </w:r>
      <w:r w:rsidRPr="00AB4DCC">
        <w:rPr>
          <w:lang w:val="fr-FR"/>
        </w:rPr>
        <w:t>1</w:t>
      </w:r>
      <w:r w:rsidRPr="00AB4DCC">
        <w:rPr>
          <w:lang w:val="fr-FR"/>
        </w:rPr>
        <w:tab/>
        <w:t>Vérification du fonctionnement du «</w:t>
      </w:r>
      <w:r>
        <w:rPr>
          <w:lang w:val="fr-FR"/>
        </w:rPr>
        <w:t> </w:t>
      </w:r>
      <w:r w:rsidRPr="00AB4DCC">
        <w:rPr>
          <w:lang w:val="fr-FR"/>
        </w:rPr>
        <w:t>système</w:t>
      </w:r>
      <w:r>
        <w:rPr>
          <w:lang w:val="fr-FR"/>
        </w:rPr>
        <w:t> </w:t>
      </w:r>
      <w:r w:rsidRPr="00AB4DCC">
        <w:rPr>
          <w:lang w:val="fr-FR"/>
        </w:rPr>
        <w:t>»</w:t>
      </w:r>
    </w:p>
    <w:p w14:paraId="30DC20E8" w14:textId="31AC1A19" w:rsidR="006F5732" w:rsidRPr="00AB4DCC" w:rsidRDefault="006F5732" w:rsidP="006F5732">
      <w:pPr>
        <w:pStyle w:val="SingleTxtG"/>
        <w:ind w:left="2268"/>
        <w:rPr>
          <w:lang w:val="fr-FR"/>
        </w:rPr>
      </w:pPr>
      <w:r w:rsidRPr="00AB4DCC">
        <w:rPr>
          <w:lang w:val="fr-FR"/>
        </w:rPr>
        <w:t>Le service technique doit vérifier le «</w:t>
      </w:r>
      <w:r>
        <w:rPr>
          <w:lang w:val="fr-FR"/>
        </w:rPr>
        <w:t> </w:t>
      </w:r>
      <w:r w:rsidRPr="00AB4DCC">
        <w:rPr>
          <w:lang w:val="fr-FR"/>
        </w:rPr>
        <w:t>système</w:t>
      </w:r>
      <w:r>
        <w:rPr>
          <w:lang w:val="fr-FR"/>
        </w:rPr>
        <w:t> </w:t>
      </w:r>
      <w:r w:rsidRPr="00AB4DCC">
        <w:rPr>
          <w:lang w:val="fr-FR"/>
        </w:rPr>
        <w:t>» en l</w:t>
      </w:r>
      <w:r>
        <w:rPr>
          <w:lang w:val="fr-FR"/>
        </w:rPr>
        <w:t>’</w:t>
      </w:r>
      <w:r w:rsidRPr="00AB4DCC">
        <w:rPr>
          <w:lang w:val="fr-FR"/>
        </w:rPr>
        <w:t>absence de défaillances en procédant à des essais de certaines fonctions choisies parmi celles qu</w:t>
      </w:r>
      <w:r>
        <w:rPr>
          <w:lang w:val="fr-FR"/>
        </w:rPr>
        <w:t>’</w:t>
      </w:r>
      <w:r w:rsidRPr="00AB4DCC">
        <w:rPr>
          <w:lang w:val="fr-FR"/>
        </w:rPr>
        <w:t>a déclarées le constructeur conformément aux dispositions du paragraphe</w:t>
      </w:r>
      <w:r>
        <w:rPr>
          <w:lang w:val="fr-FR"/>
        </w:rPr>
        <w:t xml:space="preserve"> </w:t>
      </w:r>
      <w:r w:rsidRPr="00AB4DCC">
        <w:rPr>
          <w:lang w:val="fr-FR"/>
        </w:rPr>
        <w:t>3</w:t>
      </w:r>
      <w:r w:rsidR="00DF7AA4" w:rsidRPr="00DF7AA4">
        <w:rPr>
          <w:lang w:val="fr-FR"/>
        </w:rPr>
        <w:t>.</w:t>
      </w:r>
      <w:r w:rsidRPr="00AB4DCC">
        <w:rPr>
          <w:lang w:val="fr-FR"/>
        </w:rPr>
        <w:t>2 ci</w:t>
      </w:r>
      <w:r>
        <w:rPr>
          <w:lang w:val="fr-FR"/>
        </w:rPr>
        <w:noBreakHyphen/>
      </w:r>
      <w:r w:rsidRPr="00AB4DCC">
        <w:rPr>
          <w:lang w:val="fr-FR"/>
        </w:rPr>
        <w:t>dessus</w:t>
      </w:r>
      <w:r w:rsidR="00DF7AA4" w:rsidRPr="00DF7AA4">
        <w:rPr>
          <w:lang w:val="fr-FR"/>
        </w:rPr>
        <w:t>.</w:t>
      </w:r>
    </w:p>
    <w:p w14:paraId="07E72699" w14:textId="5C700D86" w:rsidR="006F5732" w:rsidRPr="00AB4DCC" w:rsidRDefault="006F5732" w:rsidP="006F5732">
      <w:pPr>
        <w:pStyle w:val="SingleTxtG"/>
        <w:ind w:left="2268"/>
        <w:rPr>
          <w:lang w:val="fr-FR"/>
        </w:rPr>
      </w:pPr>
      <w:r w:rsidRPr="00AB4DCC">
        <w:rPr>
          <w:lang w:val="fr-FR"/>
        </w:rPr>
        <w:t>Pour les systèmes électroniques complexes, ces essais doivent prendre en compte différents cas de neutralisation d</w:t>
      </w:r>
      <w:r>
        <w:rPr>
          <w:lang w:val="fr-FR"/>
        </w:rPr>
        <w:t>’</w:t>
      </w:r>
      <w:r w:rsidRPr="00AB4DCC">
        <w:rPr>
          <w:lang w:val="fr-FR"/>
        </w:rPr>
        <w:t>une fonction déclarée</w:t>
      </w:r>
      <w:r w:rsidR="00DF7AA4" w:rsidRPr="00DF7AA4">
        <w:rPr>
          <w:lang w:val="fr-FR"/>
        </w:rPr>
        <w:t>.</w:t>
      </w:r>
    </w:p>
    <w:p w14:paraId="49C0658B" w14:textId="3C802A75" w:rsidR="006F5732" w:rsidRPr="00AB4DCC" w:rsidRDefault="006F5732" w:rsidP="006576A5">
      <w:pPr>
        <w:pStyle w:val="SingleTxtG"/>
        <w:keepNext/>
        <w:tabs>
          <w:tab w:val="clear" w:pos="1701"/>
          <w:tab w:val="clear" w:pos="2835"/>
        </w:tabs>
        <w:ind w:left="2268" w:hanging="1134"/>
        <w:rPr>
          <w:lang w:val="fr-FR"/>
        </w:rPr>
      </w:pPr>
      <w:r w:rsidRPr="00AB4DCC">
        <w:rPr>
          <w:lang w:val="fr-FR"/>
        </w:rPr>
        <w:lastRenderedPageBreak/>
        <w:t>4</w:t>
      </w:r>
      <w:r w:rsidR="00DF7AA4" w:rsidRPr="00DF7AA4">
        <w:rPr>
          <w:lang w:val="fr-FR"/>
        </w:rPr>
        <w:t>.</w:t>
      </w:r>
      <w:r w:rsidRPr="00AB4DCC">
        <w:rPr>
          <w:lang w:val="fr-FR"/>
        </w:rPr>
        <w:t>1</w:t>
      </w:r>
      <w:r w:rsidR="00DF7AA4" w:rsidRPr="00DF7AA4">
        <w:rPr>
          <w:lang w:val="fr-FR"/>
        </w:rPr>
        <w:t>.</w:t>
      </w:r>
      <w:r w:rsidRPr="00AB4DCC">
        <w:rPr>
          <w:lang w:val="fr-FR"/>
        </w:rPr>
        <w:t>2</w:t>
      </w:r>
      <w:r w:rsidRPr="00AB4DCC">
        <w:rPr>
          <w:lang w:val="fr-FR"/>
        </w:rPr>
        <w:tab/>
        <w:t>Vérification du concept de sécurité visé au paragraphe 3</w:t>
      </w:r>
      <w:r w:rsidR="00DF7AA4" w:rsidRPr="00DF7AA4">
        <w:rPr>
          <w:lang w:val="fr-FR"/>
        </w:rPr>
        <w:t>.</w:t>
      </w:r>
      <w:r w:rsidRPr="00AB4DCC">
        <w:rPr>
          <w:lang w:val="fr-FR"/>
        </w:rPr>
        <w:t>4</w:t>
      </w:r>
    </w:p>
    <w:p w14:paraId="7504548B" w14:textId="28BED376" w:rsidR="006F5732" w:rsidRPr="00AB4DCC" w:rsidRDefault="006F5732" w:rsidP="006F5732">
      <w:pPr>
        <w:pStyle w:val="SingleTxtG"/>
        <w:ind w:left="2268"/>
        <w:rPr>
          <w:lang w:val="fr-FR"/>
        </w:rPr>
      </w:pPr>
      <w:r w:rsidRPr="00AB4DCC">
        <w:rPr>
          <w:lang w:val="fr-FR"/>
        </w:rPr>
        <w:t>La réaction du «</w:t>
      </w:r>
      <w:r>
        <w:rPr>
          <w:lang w:val="fr-FR"/>
        </w:rPr>
        <w:t> </w:t>
      </w:r>
      <w:r w:rsidRPr="00AB4DCC">
        <w:rPr>
          <w:lang w:val="fr-FR"/>
        </w:rPr>
        <w:t>système</w:t>
      </w:r>
      <w:r>
        <w:rPr>
          <w:lang w:val="fr-FR"/>
        </w:rPr>
        <w:t> </w:t>
      </w:r>
      <w:r w:rsidRPr="00AB4DCC">
        <w:rPr>
          <w:lang w:val="fr-FR"/>
        </w:rPr>
        <w:t>» doit être vérifiée dans les conditions d</w:t>
      </w:r>
      <w:r>
        <w:rPr>
          <w:lang w:val="fr-FR"/>
        </w:rPr>
        <w:t>’</w:t>
      </w:r>
      <w:r w:rsidRPr="00AB4DCC">
        <w:rPr>
          <w:lang w:val="fr-FR"/>
        </w:rPr>
        <w:t>une défaillance de telle ou telle unité, en appliquant les signaux correspondant aux unités électriques ou aux éléments mécaniques afin de simuler les effets de défaillances internes à l</w:t>
      </w:r>
      <w:r>
        <w:rPr>
          <w:lang w:val="fr-FR"/>
        </w:rPr>
        <w:t>’</w:t>
      </w:r>
      <w:r w:rsidRPr="00AB4DCC">
        <w:rPr>
          <w:lang w:val="fr-FR"/>
        </w:rPr>
        <w:t>unité</w:t>
      </w:r>
      <w:r w:rsidR="00DF7AA4" w:rsidRPr="00DF7AA4">
        <w:rPr>
          <w:lang w:val="fr-FR"/>
        </w:rPr>
        <w:t>.</w:t>
      </w:r>
      <w:r w:rsidRPr="00AB4DCC">
        <w:rPr>
          <w:lang w:val="fr-FR"/>
        </w:rPr>
        <w:t xml:space="preserve"> Le service technique doit effectuer cette vérification sur au moins une unité mais ne doit pas vérifier la réaction du «</w:t>
      </w:r>
      <w:r>
        <w:rPr>
          <w:lang w:val="fr-FR"/>
        </w:rPr>
        <w:t> </w:t>
      </w:r>
      <w:r w:rsidRPr="00AB4DCC">
        <w:rPr>
          <w:lang w:val="fr-FR"/>
        </w:rPr>
        <w:t>système</w:t>
      </w:r>
      <w:r>
        <w:rPr>
          <w:lang w:val="fr-FR"/>
        </w:rPr>
        <w:t> </w:t>
      </w:r>
      <w:r w:rsidRPr="00AB4DCC">
        <w:rPr>
          <w:lang w:val="fr-FR"/>
        </w:rPr>
        <w:t>» à la défaillance simultanée de plusieurs unités distinctes</w:t>
      </w:r>
      <w:r w:rsidR="00DF7AA4" w:rsidRPr="00DF7AA4">
        <w:rPr>
          <w:lang w:val="fr-FR"/>
        </w:rPr>
        <w:t>.</w:t>
      </w:r>
    </w:p>
    <w:p w14:paraId="422C4A8A" w14:textId="468EEC84" w:rsidR="006F5732" w:rsidRPr="00AB4DCC" w:rsidRDefault="006F5732" w:rsidP="006F5732">
      <w:pPr>
        <w:pStyle w:val="SingleTxtG"/>
        <w:ind w:left="2268"/>
        <w:rPr>
          <w:lang w:val="fr-FR"/>
        </w:rPr>
      </w:pPr>
      <w:r w:rsidRPr="00AB4DCC">
        <w:rPr>
          <w:lang w:val="fr-FR"/>
        </w:rPr>
        <w:t>Le service technique doit s</w:t>
      </w:r>
      <w:r>
        <w:rPr>
          <w:lang w:val="fr-FR"/>
        </w:rPr>
        <w:t>’</w:t>
      </w:r>
      <w:r w:rsidRPr="00AB4DCC">
        <w:rPr>
          <w:lang w:val="fr-FR"/>
        </w:rPr>
        <w:t>assurer que ces essais portent notamment sur des éléments qui pourraient avoir une incidence sur le contrôle du véhicule et sur les informations de l</w:t>
      </w:r>
      <w:r>
        <w:rPr>
          <w:lang w:val="fr-FR"/>
        </w:rPr>
        <w:t>’</w:t>
      </w:r>
      <w:r w:rsidRPr="00AB4DCC">
        <w:rPr>
          <w:lang w:val="fr-FR"/>
        </w:rPr>
        <w:t>utilisateur (éléments relatifs à l</w:t>
      </w:r>
      <w:r>
        <w:rPr>
          <w:lang w:val="fr-FR"/>
        </w:rPr>
        <w:t>’</w:t>
      </w:r>
      <w:r w:rsidRPr="00AB4DCC">
        <w:rPr>
          <w:lang w:val="fr-FR"/>
        </w:rPr>
        <w:t>interface humain</w:t>
      </w:r>
      <w:r>
        <w:rPr>
          <w:lang w:val="fr-FR"/>
        </w:rPr>
        <w:noBreakHyphen/>
      </w:r>
      <w:r w:rsidRPr="00AB4DCC">
        <w:rPr>
          <w:lang w:val="fr-FR"/>
        </w:rPr>
        <w:t>machine)</w:t>
      </w:r>
      <w:r w:rsidR="00DF7AA4" w:rsidRPr="00DF7AA4">
        <w:rPr>
          <w:lang w:val="fr-FR"/>
        </w:rPr>
        <w:t>.</w:t>
      </w:r>
    </w:p>
    <w:p w14:paraId="3834554B" w14:textId="06EA0292" w:rsidR="006F5732" w:rsidRPr="00AB4DCC" w:rsidRDefault="006F5732" w:rsidP="00D1353B">
      <w:pPr>
        <w:pStyle w:val="SingleTxtG"/>
        <w:tabs>
          <w:tab w:val="clear" w:pos="1701"/>
          <w:tab w:val="clear" w:pos="2835"/>
        </w:tabs>
        <w:ind w:left="2268" w:hanging="1134"/>
        <w:rPr>
          <w:lang w:val="fr-FR"/>
        </w:rPr>
      </w:pPr>
      <w:r w:rsidRPr="00AB4DCC">
        <w:rPr>
          <w:lang w:val="fr-FR"/>
        </w:rPr>
        <w:t>4</w:t>
      </w:r>
      <w:r w:rsidR="00DF7AA4" w:rsidRPr="00DF7AA4">
        <w:rPr>
          <w:lang w:val="fr-FR"/>
        </w:rPr>
        <w:t>.</w:t>
      </w:r>
      <w:r w:rsidRPr="00AB4DCC">
        <w:rPr>
          <w:lang w:val="fr-FR"/>
        </w:rPr>
        <w:t>1</w:t>
      </w:r>
      <w:r w:rsidR="00DF7AA4" w:rsidRPr="00DF7AA4">
        <w:rPr>
          <w:lang w:val="fr-FR"/>
        </w:rPr>
        <w:t>.</w:t>
      </w:r>
      <w:r w:rsidRPr="00AB4DCC">
        <w:rPr>
          <w:lang w:val="fr-FR"/>
        </w:rPr>
        <w:t>2</w:t>
      </w:r>
      <w:r w:rsidR="00DF7AA4" w:rsidRPr="00DF7AA4">
        <w:rPr>
          <w:lang w:val="fr-FR"/>
        </w:rPr>
        <w:t>.</w:t>
      </w:r>
      <w:r w:rsidRPr="00AB4DCC">
        <w:rPr>
          <w:lang w:val="fr-FR"/>
        </w:rPr>
        <w:t>1</w:t>
      </w:r>
      <w:r w:rsidRPr="00AB4DCC">
        <w:rPr>
          <w:lang w:val="fr-FR"/>
        </w:rPr>
        <w:tab/>
        <w:t>Les résultats de la vérification doivent correspondre au récapitulatif circonstancié de l</w:t>
      </w:r>
      <w:r>
        <w:rPr>
          <w:lang w:val="fr-FR"/>
        </w:rPr>
        <w:t>’</w:t>
      </w:r>
      <w:r w:rsidRPr="00AB4DCC">
        <w:rPr>
          <w:lang w:val="fr-FR"/>
        </w:rPr>
        <w:t>analyse des défaillances, à un niveau d</w:t>
      </w:r>
      <w:r>
        <w:rPr>
          <w:lang w:val="fr-FR"/>
        </w:rPr>
        <w:t>’</w:t>
      </w:r>
      <w:r w:rsidRPr="00AB4DCC">
        <w:rPr>
          <w:lang w:val="fr-FR"/>
        </w:rPr>
        <w:t>incidence permettant de confirmer que la sécurité est suffisante, du point de vue du concept comme de l</w:t>
      </w:r>
      <w:r>
        <w:rPr>
          <w:lang w:val="fr-FR"/>
        </w:rPr>
        <w:t>’</w:t>
      </w:r>
      <w:r w:rsidRPr="00AB4DCC">
        <w:rPr>
          <w:lang w:val="fr-FR"/>
        </w:rPr>
        <w:t>exécution</w:t>
      </w:r>
      <w:r w:rsidR="00DF7AA4" w:rsidRPr="00DF7AA4">
        <w:rPr>
          <w:lang w:val="fr-FR"/>
        </w:rPr>
        <w:t>.</w:t>
      </w:r>
    </w:p>
    <w:p w14:paraId="4AB8EAD3" w14:textId="4631A2E5" w:rsidR="006F5732" w:rsidRPr="00AB4DCC" w:rsidRDefault="006F5732" w:rsidP="00D1353B">
      <w:pPr>
        <w:pStyle w:val="SingleTxtG"/>
        <w:tabs>
          <w:tab w:val="clear" w:pos="1701"/>
        </w:tabs>
        <w:ind w:left="2268" w:hanging="1134"/>
        <w:jc w:val="left"/>
        <w:rPr>
          <w:b/>
          <w:sz w:val="28"/>
          <w:szCs w:val="28"/>
          <w:lang w:val="fr-FR"/>
        </w:rPr>
      </w:pPr>
      <w:r w:rsidRPr="00AB4DCC">
        <w:rPr>
          <w:b/>
          <w:bCs/>
          <w:sz w:val="28"/>
          <w:szCs w:val="28"/>
          <w:lang w:val="fr-FR"/>
        </w:rPr>
        <w:t>5</w:t>
      </w:r>
      <w:r w:rsidR="00DF7AA4" w:rsidRPr="00DF7AA4">
        <w:rPr>
          <w:b/>
          <w:bCs/>
          <w:sz w:val="28"/>
          <w:szCs w:val="28"/>
          <w:lang w:val="fr-FR"/>
        </w:rPr>
        <w:t>.</w:t>
      </w:r>
      <w:r w:rsidRPr="00AB4DCC">
        <w:rPr>
          <w:sz w:val="28"/>
          <w:szCs w:val="28"/>
          <w:lang w:val="fr-FR"/>
        </w:rPr>
        <w:tab/>
      </w:r>
      <w:r w:rsidRPr="00AB4DCC">
        <w:rPr>
          <w:b/>
          <w:bCs/>
          <w:sz w:val="28"/>
          <w:szCs w:val="28"/>
          <w:lang w:val="fr-FR"/>
        </w:rPr>
        <w:t>Rapports établis par le service technique</w:t>
      </w:r>
    </w:p>
    <w:p w14:paraId="33156C8E" w14:textId="1B1C35F8" w:rsidR="006F5732" w:rsidRPr="00AB4DCC" w:rsidRDefault="006F5732" w:rsidP="006F5732">
      <w:pPr>
        <w:pStyle w:val="SingleTxtG"/>
        <w:ind w:left="2268"/>
        <w:rPr>
          <w:lang w:val="fr-FR"/>
        </w:rPr>
      </w:pPr>
      <w:r w:rsidRPr="00AB4DCC">
        <w:rPr>
          <w:lang w:val="fr-FR"/>
        </w:rPr>
        <w:t>Les rapports d</w:t>
      </w:r>
      <w:r>
        <w:rPr>
          <w:lang w:val="fr-FR"/>
        </w:rPr>
        <w:t>’</w:t>
      </w:r>
      <w:r w:rsidRPr="00AB4DCC">
        <w:rPr>
          <w:lang w:val="fr-FR"/>
        </w:rPr>
        <w:t>évaluation doivent être établis par le service technique de manière à permettre la traçabilité, par exemple en attribuant des codes aux versions des documents inspectés et en les inscrivant dans les registres du service concerné</w:t>
      </w:r>
      <w:r w:rsidR="00DF7AA4" w:rsidRPr="00DF7AA4">
        <w:rPr>
          <w:lang w:val="fr-FR"/>
        </w:rPr>
        <w:t>.</w:t>
      </w:r>
    </w:p>
    <w:p w14:paraId="57F25D80" w14:textId="0C208406" w:rsidR="006F5732" w:rsidRDefault="006F5732" w:rsidP="006F5732">
      <w:pPr>
        <w:pStyle w:val="SingleTxtG"/>
        <w:ind w:left="2268"/>
        <w:rPr>
          <w:lang w:val="fr-FR"/>
        </w:rPr>
      </w:pPr>
      <w:r w:rsidRPr="00AB4DCC">
        <w:rPr>
          <w:lang w:val="fr-FR"/>
        </w:rPr>
        <w:t>On trouvera dans l</w:t>
      </w:r>
      <w:r>
        <w:rPr>
          <w:lang w:val="fr-FR"/>
        </w:rPr>
        <w:t>’</w:t>
      </w:r>
      <w:r w:rsidRPr="00AB4DCC">
        <w:rPr>
          <w:lang w:val="fr-FR"/>
        </w:rPr>
        <w:t>appendice</w:t>
      </w:r>
      <w:r>
        <w:rPr>
          <w:lang w:val="fr-FR"/>
        </w:rPr>
        <w:t xml:space="preserve"> </w:t>
      </w:r>
      <w:r w:rsidRPr="00AB4DCC">
        <w:rPr>
          <w:lang w:val="fr-FR"/>
        </w:rPr>
        <w:t>1 de la présente annexe un modèle envisageable de fiche d</w:t>
      </w:r>
      <w:r>
        <w:rPr>
          <w:lang w:val="fr-FR"/>
        </w:rPr>
        <w:t>’</w:t>
      </w:r>
      <w:r w:rsidRPr="00AB4DCC">
        <w:rPr>
          <w:lang w:val="fr-FR"/>
        </w:rPr>
        <w:t>évaluation établie par un service technique à l</w:t>
      </w:r>
      <w:r>
        <w:rPr>
          <w:lang w:val="fr-FR"/>
        </w:rPr>
        <w:t>’</w:t>
      </w:r>
      <w:r w:rsidRPr="00AB4DCC">
        <w:rPr>
          <w:lang w:val="fr-FR"/>
        </w:rPr>
        <w:t>intention de l</w:t>
      </w:r>
      <w:r>
        <w:rPr>
          <w:lang w:val="fr-FR"/>
        </w:rPr>
        <w:t>’</w:t>
      </w:r>
      <w:r w:rsidRPr="00AB4DCC">
        <w:rPr>
          <w:lang w:val="fr-FR"/>
        </w:rPr>
        <w:t>autorité d</w:t>
      </w:r>
      <w:r>
        <w:rPr>
          <w:lang w:val="fr-FR"/>
        </w:rPr>
        <w:t>’</w:t>
      </w:r>
      <w:r w:rsidRPr="00AB4DCC">
        <w:rPr>
          <w:lang w:val="fr-FR"/>
        </w:rPr>
        <w:t>homologation de type</w:t>
      </w:r>
      <w:r w:rsidR="00DF7AA4" w:rsidRPr="00DF7AA4">
        <w:rPr>
          <w:lang w:val="fr-FR"/>
        </w:rPr>
        <w:t>.</w:t>
      </w:r>
    </w:p>
    <w:p w14:paraId="07F9D025" w14:textId="77777777" w:rsidR="006F5732" w:rsidRDefault="006F5732" w:rsidP="006F5732">
      <w:pPr>
        <w:pStyle w:val="SingleTxtG"/>
        <w:rPr>
          <w:lang w:val="fr-FR"/>
        </w:rPr>
      </w:pPr>
      <w:r>
        <w:rPr>
          <w:lang w:val="fr-FR"/>
        </w:rPr>
        <w:br w:type="page"/>
      </w:r>
    </w:p>
    <w:p w14:paraId="15B2CA59" w14:textId="77777777" w:rsidR="006F5732" w:rsidRPr="00AB4DCC" w:rsidRDefault="006F5732" w:rsidP="00D1353B">
      <w:pPr>
        <w:pStyle w:val="HChG"/>
        <w:rPr>
          <w:lang w:val="fr-FR"/>
        </w:rPr>
      </w:pPr>
      <w:r w:rsidRPr="00AB4DCC">
        <w:rPr>
          <w:lang w:val="fr-FR"/>
        </w:rPr>
        <w:lastRenderedPageBreak/>
        <w:t xml:space="preserve">Annexe 3 </w:t>
      </w:r>
      <w:r>
        <w:rPr>
          <w:lang w:val="fr-FR"/>
        </w:rPr>
        <w:t>−</w:t>
      </w:r>
      <w:r w:rsidRPr="00AB4DCC">
        <w:rPr>
          <w:lang w:val="fr-FR"/>
        </w:rPr>
        <w:t xml:space="preserve"> Appendice 1</w:t>
      </w:r>
    </w:p>
    <w:p w14:paraId="070986F0" w14:textId="77777777" w:rsidR="006F5732" w:rsidRPr="00AB4DCC" w:rsidRDefault="006F5732" w:rsidP="00D1353B">
      <w:pPr>
        <w:pStyle w:val="HChG"/>
        <w:rPr>
          <w:lang w:val="fr-FR"/>
        </w:rPr>
      </w:pPr>
      <w:r w:rsidRPr="00AB4DCC">
        <w:rPr>
          <w:lang w:val="fr-FR"/>
        </w:rPr>
        <w:tab/>
      </w:r>
      <w:r w:rsidRPr="00AB4DCC">
        <w:rPr>
          <w:lang w:val="fr-FR"/>
        </w:rPr>
        <w:tab/>
        <w:t>Modèle de rapport d</w:t>
      </w:r>
      <w:r>
        <w:rPr>
          <w:lang w:val="fr-FR"/>
        </w:rPr>
        <w:t>’</w:t>
      </w:r>
      <w:r w:rsidRPr="00AB4DCC">
        <w:rPr>
          <w:lang w:val="fr-FR"/>
        </w:rPr>
        <w:t>évaluation des systèmes électroniques</w:t>
      </w:r>
    </w:p>
    <w:p w14:paraId="138A470F" w14:textId="77777777" w:rsidR="006F5732" w:rsidRPr="00AB4DCC" w:rsidRDefault="006F5732" w:rsidP="006F5732">
      <w:pPr>
        <w:pStyle w:val="SingleTxtG"/>
        <w:tabs>
          <w:tab w:val="right" w:leader="dot" w:pos="8505"/>
        </w:tabs>
        <w:rPr>
          <w:lang w:val="fr-FR"/>
        </w:rPr>
      </w:pPr>
      <w:r w:rsidRPr="00AB4DCC">
        <w:rPr>
          <w:lang w:val="fr-FR"/>
        </w:rPr>
        <w:t>Procès-verbal d</w:t>
      </w:r>
      <w:r>
        <w:rPr>
          <w:lang w:val="fr-FR"/>
        </w:rPr>
        <w:t>’</w:t>
      </w:r>
      <w:r w:rsidRPr="00AB4DCC">
        <w:rPr>
          <w:lang w:val="fr-FR"/>
        </w:rPr>
        <w:t>essai n</w:t>
      </w:r>
      <w:r w:rsidRPr="00AB4DCC">
        <w:rPr>
          <w:vertAlign w:val="superscript"/>
          <w:lang w:val="fr-FR"/>
        </w:rPr>
        <w:t>o</w:t>
      </w:r>
      <w:r>
        <w:rPr>
          <w:lang w:val="fr-FR"/>
        </w:rPr>
        <w:t> :</w:t>
      </w:r>
      <w:r w:rsidRPr="00AB4DCC">
        <w:rPr>
          <w:lang w:val="fr-FR"/>
        </w:rPr>
        <w:tab/>
      </w:r>
    </w:p>
    <w:p w14:paraId="3AD4C1D2" w14:textId="75A304E4" w:rsidR="006F5732" w:rsidRPr="00AB4DCC" w:rsidRDefault="006F5732" w:rsidP="006F5732">
      <w:pPr>
        <w:pStyle w:val="SingleTxtG"/>
        <w:tabs>
          <w:tab w:val="right" w:leader="dot" w:pos="8505"/>
        </w:tabs>
        <w:ind w:left="1701" w:hanging="567"/>
        <w:jc w:val="left"/>
        <w:rPr>
          <w:lang w:val="fr-FR"/>
        </w:rPr>
      </w:pPr>
      <w:r w:rsidRPr="00AB4DCC">
        <w:rPr>
          <w:lang w:val="fr-FR"/>
        </w:rPr>
        <w:t>1</w:t>
      </w:r>
      <w:r w:rsidR="00DF7AA4" w:rsidRPr="00DF7AA4">
        <w:rPr>
          <w:lang w:val="fr-FR"/>
        </w:rPr>
        <w:t>.</w:t>
      </w:r>
      <w:r w:rsidRPr="00AB4DCC">
        <w:rPr>
          <w:lang w:val="fr-FR"/>
        </w:rPr>
        <w:tab/>
        <w:t>Identification</w:t>
      </w:r>
    </w:p>
    <w:p w14:paraId="0F1C780C" w14:textId="2E344B47" w:rsidR="006F5732" w:rsidRPr="00AB4DCC" w:rsidRDefault="006F5732" w:rsidP="006F5732">
      <w:pPr>
        <w:pStyle w:val="SingleTxtG"/>
        <w:tabs>
          <w:tab w:val="right" w:leader="dot" w:pos="8505"/>
        </w:tabs>
        <w:ind w:left="1701" w:hanging="567"/>
        <w:jc w:val="left"/>
        <w:rPr>
          <w:lang w:val="fr-FR"/>
        </w:rPr>
      </w:pPr>
      <w:r w:rsidRPr="00AB4DCC">
        <w:rPr>
          <w:lang w:val="fr-FR"/>
        </w:rPr>
        <w:t>1</w:t>
      </w:r>
      <w:r w:rsidR="00DF7AA4" w:rsidRPr="00DF7AA4">
        <w:rPr>
          <w:lang w:val="fr-FR"/>
        </w:rPr>
        <w:t>.</w:t>
      </w:r>
      <w:r w:rsidRPr="00AB4DCC">
        <w:rPr>
          <w:lang w:val="fr-FR"/>
        </w:rPr>
        <w:t>1</w:t>
      </w:r>
      <w:r w:rsidRPr="00AB4DCC">
        <w:rPr>
          <w:lang w:val="fr-FR"/>
        </w:rPr>
        <w:tab/>
        <w:t>Marque du véhicule</w:t>
      </w:r>
      <w:r>
        <w:rPr>
          <w:lang w:val="fr-FR"/>
        </w:rPr>
        <w:t> :</w:t>
      </w:r>
      <w:r w:rsidRPr="00AB4DCC">
        <w:rPr>
          <w:lang w:val="fr-FR"/>
        </w:rPr>
        <w:tab/>
      </w:r>
    </w:p>
    <w:p w14:paraId="52362745" w14:textId="41EF3AF8" w:rsidR="006F5732" w:rsidRPr="00AB4DCC" w:rsidRDefault="006F5732" w:rsidP="006576A5">
      <w:pPr>
        <w:pStyle w:val="SingleTxtG"/>
        <w:tabs>
          <w:tab w:val="clear" w:pos="2268"/>
          <w:tab w:val="clear" w:pos="2835"/>
          <w:tab w:val="right" w:leader="dot" w:pos="8505"/>
        </w:tabs>
        <w:ind w:left="1701" w:hanging="567"/>
        <w:jc w:val="left"/>
        <w:rPr>
          <w:lang w:val="fr-FR"/>
        </w:rPr>
      </w:pPr>
      <w:r w:rsidRPr="00AB4DCC">
        <w:rPr>
          <w:lang w:val="fr-FR"/>
        </w:rPr>
        <w:t>1</w:t>
      </w:r>
      <w:r w:rsidR="00DF7AA4" w:rsidRPr="00DF7AA4">
        <w:rPr>
          <w:lang w:val="fr-FR"/>
        </w:rPr>
        <w:t>.</w:t>
      </w:r>
      <w:r w:rsidRPr="00AB4DCC">
        <w:rPr>
          <w:lang w:val="fr-FR"/>
        </w:rPr>
        <w:t>2</w:t>
      </w:r>
      <w:r w:rsidRPr="00AB4DCC">
        <w:rPr>
          <w:lang w:val="fr-FR"/>
        </w:rPr>
        <w:tab/>
        <w:t>Type</w:t>
      </w:r>
      <w:r>
        <w:rPr>
          <w:lang w:val="fr-FR"/>
        </w:rPr>
        <w:t> :</w:t>
      </w:r>
      <w:r w:rsidRPr="00AB4DCC">
        <w:rPr>
          <w:lang w:val="fr-FR"/>
        </w:rPr>
        <w:tab/>
      </w:r>
    </w:p>
    <w:p w14:paraId="028D63C7" w14:textId="12AD9567" w:rsidR="006F5732" w:rsidRPr="00AB4DCC" w:rsidRDefault="006F5732" w:rsidP="006F5732">
      <w:pPr>
        <w:pStyle w:val="SingleTxtG"/>
        <w:tabs>
          <w:tab w:val="right" w:leader="dot" w:pos="8505"/>
        </w:tabs>
        <w:ind w:left="1701" w:hanging="567"/>
        <w:jc w:val="left"/>
        <w:rPr>
          <w:lang w:val="fr-FR"/>
        </w:rPr>
      </w:pPr>
      <w:r w:rsidRPr="00AB4DCC">
        <w:rPr>
          <w:lang w:val="fr-FR"/>
        </w:rPr>
        <w:t>1</w:t>
      </w:r>
      <w:r w:rsidR="00DF7AA4" w:rsidRPr="00DF7AA4">
        <w:rPr>
          <w:lang w:val="fr-FR"/>
        </w:rPr>
        <w:t>.</w:t>
      </w:r>
      <w:r w:rsidRPr="00AB4DCC">
        <w:rPr>
          <w:lang w:val="fr-FR"/>
        </w:rPr>
        <w:t>3</w:t>
      </w:r>
      <w:r w:rsidRPr="00AB4DCC">
        <w:rPr>
          <w:lang w:val="fr-FR"/>
        </w:rPr>
        <w:tab/>
        <w:t>Moyens d</w:t>
      </w:r>
      <w:r>
        <w:rPr>
          <w:lang w:val="fr-FR"/>
        </w:rPr>
        <w:t>’</w:t>
      </w:r>
      <w:r w:rsidRPr="00AB4DCC">
        <w:rPr>
          <w:lang w:val="fr-FR"/>
        </w:rPr>
        <w:t>identification du type, s</w:t>
      </w:r>
      <w:r>
        <w:rPr>
          <w:lang w:val="fr-FR"/>
        </w:rPr>
        <w:t>’</w:t>
      </w:r>
      <w:r w:rsidRPr="00AB4DCC">
        <w:rPr>
          <w:lang w:val="fr-FR"/>
        </w:rPr>
        <w:t>il est indiqué sur le véhicule</w:t>
      </w:r>
      <w:r>
        <w:rPr>
          <w:lang w:val="fr-FR"/>
        </w:rPr>
        <w:t> :</w:t>
      </w:r>
      <w:r w:rsidRPr="00AB4DCC">
        <w:rPr>
          <w:lang w:val="fr-FR"/>
        </w:rPr>
        <w:tab/>
      </w:r>
    </w:p>
    <w:p w14:paraId="05397761" w14:textId="1F59875F" w:rsidR="006F5732" w:rsidRPr="00AB4DCC" w:rsidRDefault="006F5732" w:rsidP="006F5732">
      <w:pPr>
        <w:pStyle w:val="SingleTxtG"/>
        <w:tabs>
          <w:tab w:val="right" w:leader="dot" w:pos="8505"/>
        </w:tabs>
        <w:ind w:left="1701" w:hanging="567"/>
        <w:jc w:val="left"/>
        <w:rPr>
          <w:lang w:val="fr-FR"/>
        </w:rPr>
      </w:pPr>
      <w:r w:rsidRPr="00AB4DCC">
        <w:rPr>
          <w:lang w:val="fr-FR"/>
        </w:rPr>
        <w:t>1</w:t>
      </w:r>
      <w:r w:rsidR="00DF7AA4" w:rsidRPr="00DF7AA4">
        <w:rPr>
          <w:lang w:val="fr-FR"/>
        </w:rPr>
        <w:t>.</w:t>
      </w:r>
      <w:r w:rsidRPr="00AB4DCC">
        <w:rPr>
          <w:lang w:val="fr-FR"/>
        </w:rPr>
        <w:t>4</w:t>
      </w:r>
      <w:r w:rsidRPr="00AB4DCC">
        <w:rPr>
          <w:lang w:val="fr-FR"/>
        </w:rPr>
        <w:tab/>
        <w:t>Emplacement de cette inscription</w:t>
      </w:r>
      <w:r>
        <w:rPr>
          <w:lang w:val="fr-FR"/>
        </w:rPr>
        <w:t> :</w:t>
      </w:r>
      <w:r w:rsidRPr="00AB4DCC">
        <w:rPr>
          <w:lang w:val="fr-FR"/>
        </w:rPr>
        <w:tab/>
      </w:r>
    </w:p>
    <w:p w14:paraId="08A56C8E" w14:textId="66064411" w:rsidR="006F5732" w:rsidRPr="00AB4DCC" w:rsidRDefault="006F5732" w:rsidP="006F5732">
      <w:pPr>
        <w:pStyle w:val="SingleTxtG"/>
        <w:tabs>
          <w:tab w:val="right" w:leader="dot" w:pos="8505"/>
        </w:tabs>
        <w:ind w:left="1701" w:hanging="567"/>
        <w:jc w:val="left"/>
        <w:rPr>
          <w:lang w:val="fr-FR"/>
        </w:rPr>
      </w:pPr>
      <w:r w:rsidRPr="00AB4DCC">
        <w:rPr>
          <w:lang w:val="fr-FR"/>
        </w:rPr>
        <w:t>1</w:t>
      </w:r>
      <w:r w:rsidR="00DF7AA4" w:rsidRPr="00DF7AA4">
        <w:rPr>
          <w:lang w:val="fr-FR"/>
        </w:rPr>
        <w:t>.</w:t>
      </w:r>
      <w:r w:rsidRPr="00AB4DCC">
        <w:rPr>
          <w:lang w:val="fr-FR"/>
        </w:rPr>
        <w:t>5</w:t>
      </w:r>
      <w:r w:rsidRPr="00AB4DCC">
        <w:rPr>
          <w:lang w:val="fr-FR"/>
        </w:rPr>
        <w:tab/>
        <w:t>Nom et adresse du constructeur</w:t>
      </w:r>
      <w:r>
        <w:rPr>
          <w:lang w:val="fr-FR"/>
        </w:rPr>
        <w:t> :</w:t>
      </w:r>
      <w:r w:rsidRPr="00AB4DCC">
        <w:rPr>
          <w:lang w:val="fr-FR"/>
        </w:rPr>
        <w:tab/>
      </w:r>
    </w:p>
    <w:p w14:paraId="4D42436A" w14:textId="32D15BA1" w:rsidR="006F5732" w:rsidRPr="00AB4DCC" w:rsidRDefault="006F5732" w:rsidP="006F5732">
      <w:pPr>
        <w:pStyle w:val="SingleTxtG"/>
        <w:tabs>
          <w:tab w:val="right" w:leader="dot" w:pos="8505"/>
        </w:tabs>
        <w:ind w:left="1701" w:hanging="567"/>
        <w:jc w:val="left"/>
        <w:rPr>
          <w:lang w:val="fr-FR"/>
        </w:rPr>
      </w:pPr>
      <w:r w:rsidRPr="00AB4DCC">
        <w:rPr>
          <w:lang w:val="fr-FR"/>
        </w:rPr>
        <w:t>1</w:t>
      </w:r>
      <w:r w:rsidR="00DF7AA4" w:rsidRPr="00DF7AA4">
        <w:rPr>
          <w:lang w:val="fr-FR"/>
        </w:rPr>
        <w:t>.</w:t>
      </w:r>
      <w:r w:rsidRPr="00AB4DCC">
        <w:rPr>
          <w:lang w:val="fr-FR"/>
        </w:rPr>
        <w:t>6</w:t>
      </w:r>
      <w:r w:rsidRPr="00AB4DCC">
        <w:rPr>
          <w:lang w:val="fr-FR"/>
        </w:rPr>
        <w:tab/>
        <w:t>Le cas échéant, nom et adresse du mandataire du constructeur</w:t>
      </w:r>
      <w:r>
        <w:rPr>
          <w:lang w:val="fr-FR"/>
        </w:rPr>
        <w:t> :</w:t>
      </w:r>
      <w:r w:rsidRPr="00AB4DCC">
        <w:rPr>
          <w:lang w:val="fr-FR"/>
        </w:rPr>
        <w:tab/>
      </w:r>
    </w:p>
    <w:p w14:paraId="0221212A" w14:textId="51280232" w:rsidR="006F5732" w:rsidRPr="00AB4DCC" w:rsidRDefault="006F5732" w:rsidP="006F5732">
      <w:pPr>
        <w:pStyle w:val="SingleTxtG"/>
        <w:tabs>
          <w:tab w:val="right" w:leader="dot" w:pos="8505"/>
        </w:tabs>
        <w:ind w:left="1701" w:hanging="567"/>
        <w:jc w:val="left"/>
        <w:rPr>
          <w:lang w:val="fr-FR"/>
        </w:rPr>
      </w:pPr>
      <w:r w:rsidRPr="00AB4DCC">
        <w:rPr>
          <w:lang w:val="fr-FR"/>
        </w:rPr>
        <w:t>1</w:t>
      </w:r>
      <w:r w:rsidR="00DF7AA4" w:rsidRPr="00DF7AA4">
        <w:rPr>
          <w:lang w:val="fr-FR"/>
        </w:rPr>
        <w:t>.</w:t>
      </w:r>
      <w:r w:rsidRPr="00AB4DCC">
        <w:rPr>
          <w:lang w:val="fr-FR"/>
        </w:rPr>
        <w:t>7</w:t>
      </w:r>
      <w:r w:rsidRPr="00AB4DCC">
        <w:rPr>
          <w:lang w:val="fr-FR"/>
        </w:rPr>
        <w:tab/>
        <w:t>Dossier d</w:t>
      </w:r>
      <w:r>
        <w:rPr>
          <w:lang w:val="fr-FR"/>
        </w:rPr>
        <w:t>’</w:t>
      </w:r>
      <w:r w:rsidRPr="00AB4DCC">
        <w:rPr>
          <w:lang w:val="fr-FR"/>
        </w:rPr>
        <w:t>information officiel du constructeur</w:t>
      </w:r>
      <w:r>
        <w:rPr>
          <w:lang w:val="fr-FR"/>
        </w:rPr>
        <w:t> :</w:t>
      </w:r>
    </w:p>
    <w:p w14:paraId="4C020B2B" w14:textId="77777777" w:rsidR="006F5732" w:rsidRPr="00AB4DCC" w:rsidRDefault="006F5732" w:rsidP="006F5732">
      <w:pPr>
        <w:tabs>
          <w:tab w:val="left" w:leader="dot" w:pos="5670"/>
        </w:tabs>
        <w:ind w:left="1701" w:right="1134"/>
        <w:rPr>
          <w:lang w:val="fr-FR"/>
        </w:rPr>
      </w:pPr>
      <w:r w:rsidRPr="00AB4DCC">
        <w:rPr>
          <w:lang w:val="fr-FR"/>
        </w:rPr>
        <w:t>Numéro de référence du dossier</w:t>
      </w:r>
      <w:r>
        <w:rPr>
          <w:lang w:val="fr-FR"/>
        </w:rPr>
        <w:t> :</w:t>
      </w:r>
      <w:r w:rsidRPr="00AB4DCC">
        <w:rPr>
          <w:lang w:val="fr-FR"/>
        </w:rPr>
        <w:tab/>
      </w:r>
    </w:p>
    <w:p w14:paraId="05735255" w14:textId="77777777" w:rsidR="006F5732" w:rsidRPr="00AB4DCC" w:rsidRDefault="006F5732" w:rsidP="006F5732">
      <w:pPr>
        <w:tabs>
          <w:tab w:val="left" w:leader="dot" w:pos="5670"/>
        </w:tabs>
        <w:ind w:left="1701" w:right="1134"/>
        <w:rPr>
          <w:lang w:val="fr-FR"/>
        </w:rPr>
      </w:pPr>
      <w:r w:rsidRPr="00AB4DCC">
        <w:rPr>
          <w:lang w:val="fr-FR"/>
        </w:rPr>
        <w:t>Date de la première version</w:t>
      </w:r>
      <w:r>
        <w:rPr>
          <w:lang w:val="fr-FR"/>
        </w:rPr>
        <w:t> :</w:t>
      </w:r>
      <w:r w:rsidRPr="00AB4DCC">
        <w:rPr>
          <w:lang w:val="fr-FR"/>
        </w:rPr>
        <w:tab/>
      </w:r>
    </w:p>
    <w:p w14:paraId="342A4BF7" w14:textId="77777777" w:rsidR="006F5732" w:rsidRPr="00AB4DCC" w:rsidRDefault="006F5732" w:rsidP="006F5732">
      <w:pPr>
        <w:tabs>
          <w:tab w:val="left" w:leader="dot" w:pos="5670"/>
        </w:tabs>
        <w:spacing w:after="120"/>
        <w:ind w:left="1701" w:right="1134"/>
        <w:rPr>
          <w:lang w:val="fr-FR"/>
        </w:rPr>
      </w:pPr>
      <w:r w:rsidRPr="00AB4DCC">
        <w:rPr>
          <w:lang w:val="fr-FR"/>
        </w:rPr>
        <w:t>Date de la dernière mise à jour</w:t>
      </w:r>
      <w:r>
        <w:rPr>
          <w:lang w:val="fr-FR"/>
        </w:rPr>
        <w:t> :</w:t>
      </w:r>
      <w:r w:rsidRPr="00AB4DCC">
        <w:rPr>
          <w:lang w:val="fr-FR"/>
        </w:rPr>
        <w:tab/>
      </w:r>
    </w:p>
    <w:p w14:paraId="55B10856" w14:textId="3592AB7A" w:rsidR="006F5732" w:rsidRPr="00AB4DCC" w:rsidRDefault="006F5732" w:rsidP="006F5732">
      <w:pPr>
        <w:pStyle w:val="SingleTxtG"/>
        <w:tabs>
          <w:tab w:val="right" w:leader="dot" w:pos="8505"/>
        </w:tabs>
        <w:ind w:left="1701" w:hanging="567"/>
        <w:jc w:val="left"/>
        <w:rPr>
          <w:lang w:val="fr-FR"/>
        </w:rPr>
      </w:pPr>
      <w:r w:rsidRPr="00AB4DCC">
        <w:rPr>
          <w:lang w:val="fr-FR"/>
        </w:rPr>
        <w:t>2</w:t>
      </w:r>
      <w:r w:rsidR="00DF7AA4" w:rsidRPr="00DF7AA4">
        <w:rPr>
          <w:lang w:val="fr-FR"/>
        </w:rPr>
        <w:t>.</w:t>
      </w:r>
      <w:r w:rsidRPr="00AB4DCC">
        <w:rPr>
          <w:lang w:val="fr-FR"/>
        </w:rPr>
        <w:tab/>
        <w:t>Description du ou des véhicule(s)/système(s) à l</w:t>
      </w:r>
      <w:r>
        <w:rPr>
          <w:lang w:val="fr-FR"/>
        </w:rPr>
        <w:t>’</w:t>
      </w:r>
      <w:r w:rsidRPr="00AB4DCC">
        <w:rPr>
          <w:lang w:val="fr-FR"/>
        </w:rPr>
        <w:t>essai</w:t>
      </w:r>
    </w:p>
    <w:p w14:paraId="0399C1A2" w14:textId="00DB7ED2" w:rsidR="006F5732" w:rsidRPr="00AB4DCC" w:rsidRDefault="006F5732" w:rsidP="006F5732">
      <w:pPr>
        <w:pStyle w:val="SingleTxtG"/>
        <w:tabs>
          <w:tab w:val="right" w:leader="dot" w:pos="8505"/>
        </w:tabs>
        <w:ind w:left="1701" w:hanging="567"/>
        <w:jc w:val="left"/>
        <w:rPr>
          <w:lang w:val="fr-FR"/>
        </w:rPr>
      </w:pPr>
      <w:r w:rsidRPr="00AB4DCC">
        <w:rPr>
          <w:lang w:val="fr-FR"/>
        </w:rPr>
        <w:t>2</w:t>
      </w:r>
      <w:r w:rsidR="00DF7AA4" w:rsidRPr="00DF7AA4">
        <w:rPr>
          <w:lang w:val="fr-FR"/>
        </w:rPr>
        <w:t>.</w:t>
      </w:r>
      <w:r w:rsidRPr="00AB4DCC">
        <w:rPr>
          <w:lang w:val="fr-FR"/>
        </w:rPr>
        <w:t>1</w:t>
      </w:r>
      <w:r w:rsidRPr="00AB4DCC">
        <w:rPr>
          <w:lang w:val="fr-FR"/>
        </w:rPr>
        <w:tab/>
        <w:t>Description générale</w:t>
      </w:r>
      <w:r>
        <w:rPr>
          <w:lang w:val="fr-FR"/>
        </w:rPr>
        <w:t> :</w:t>
      </w:r>
      <w:r w:rsidRPr="00AB4DCC">
        <w:rPr>
          <w:lang w:val="fr-FR"/>
        </w:rPr>
        <w:tab/>
      </w:r>
    </w:p>
    <w:p w14:paraId="3CA61707" w14:textId="44DF47C3" w:rsidR="006F5732" w:rsidRPr="00AB4DCC" w:rsidRDefault="006F5732" w:rsidP="006F5732">
      <w:pPr>
        <w:pStyle w:val="SingleTxtG"/>
        <w:tabs>
          <w:tab w:val="right" w:leader="dot" w:pos="8505"/>
        </w:tabs>
        <w:ind w:left="1701" w:hanging="567"/>
        <w:jc w:val="left"/>
        <w:rPr>
          <w:lang w:val="fr-FR"/>
        </w:rPr>
      </w:pPr>
      <w:r w:rsidRPr="00AB4DCC">
        <w:rPr>
          <w:lang w:val="fr-FR"/>
        </w:rPr>
        <w:t>2</w:t>
      </w:r>
      <w:r w:rsidR="00DF7AA4" w:rsidRPr="00DF7AA4">
        <w:rPr>
          <w:lang w:val="fr-FR"/>
        </w:rPr>
        <w:t>.</w:t>
      </w:r>
      <w:r w:rsidRPr="00AB4DCC">
        <w:rPr>
          <w:lang w:val="fr-FR"/>
        </w:rPr>
        <w:t>2</w:t>
      </w:r>
      <w:r w:rsidRPr="00AB4DCC">
        <w:rPr>
          <w:lang w:val="fr-FR"/>
        </w:rPr>
        <w:tab/>
        <w:t>Description de l</w:t>
      </w:r>
      <w:r>
        <w:rPr>
          <w:lang w:val="fr-FR"/>
        </w:rPr>
        <w:t>’</w:t>
      </w:r>
      <w:r w:rsidRPr="00AB4DCC">
        <w:rPr>
          <w:lang w:val="fr-FR"/>
        </w:rPr>
        <w:t>ensemble des fonctions de commande du «</w:t>
      </w:r>
      <w:r>
        <w:rPr>
          <w:lang w:val="fr-FR"/>
        </w:rPr>
        <w:t> </w:t>
      </w:r>
      <w:r w:rsidRPr="00AB4DCC">
        <w:rPr>
          <w:lang w:val="fr-FR"/>
        </w:rPr>
        <w:t>système</w:t>
      </w:r>
      <w:r>
        <w:rPr>
          <w:lang w:val="fr-FR"/>
        </w:rPr>
        <w:t> </w:t>
      </w:r>
      <w:r w:rsidRPr="00AB4DCC">
        <w:rPr>
          <w:lang w:val="fr-FR"/>
        </w:rPr>
        <w:t>» et des modes de fonctionnement</w:t>
      </w:r>
      <w:r>
        <w:rPr>
          <w:lang w:val="fr-FR"/>
        </w:rPr>
        <w:t> :</w:t>
      </w:r>
      <w:r w:rsidRPr="00AB4DCC">
        <w:rPr>
          <w:lang w:val="fr-FR"/>
        </w:rPr>
        <w:tab/>
      </w:r>
    </w:p>
    <w:p w14:paraId="4ACE43B4" w14:textId="1B62330F" w:rsidR="006F5732" w:rsidRPr="00AB4DCC" w:rsidRDefault="006F5732" w:rsidP="006576A5">
      <w:pPr>
        <w:pStyle w:val="SingleTxtG"/>
        <w:tabs>
          <w:tab w:val="clear" w:pos="2268"/>
          <w:tab w:val="clear" w:pos="2835"/>
          <w:tab w:val="right" w:leader="dot" w:pos="8505"/>
        </w:tabs>
        <w:ind w:left="1701" w:hanging="567"/>
        <w:jc w:val="left"/>
        <w:rPr>
          <w:lang w:val="fr-FR"/>
        </w:rPr>
      </w:pPr>
      <w:r w:rsidRPr="00AB4DCC">
        <w:rPr>
          <w:lang w:val="fr-FR"/>
        </w:rPr>
        <w:t>2</w:t>
      </w:r>
      <w:r w:rsidR="00DF7AA4" w:rsidRPr="00DF7AA4">
        <w:rPr>
          <w:lang w:val="fr-FR"/>
        </w:rPr>
        <w:t>.</w:t>
      </w:r>
      <w:r w:rsidRPr="00AB4DCC">
        <w:rPr>
          <w:lang w:val="fr-FR"/>
        </w:rPr>
        <w:t>3</w:t>
      </w:r>
      <w:r w:rsidRPr="00AB4DCC">
        <w:rPr>
          <w:lang w:val="fr-FR"/>
        </w:rPr>
        <w:tab/>
        <w:t>Description des éléments et schémas des interconnexions internes du «</w:t>
      </w:r>
      <w:r>
        <w:rPr>
          <w:lang w:val="fr-FR"/>
        </w:rPr>
        <w:t> </w:t>
      </w:r>
      <w:r w:rsidRPr="00AB4DCC">
        <w:rPr>
          <w:lang w:val="fr-FR"/>
        </w:rPr>
        <w:t>système</w:t>
      </w:r>
      <w:r>
        <w:rPr>
          <w:lang w:val="fr-FR"/>
        </w:rPr>
        <w:t> </w:t>
      </w:r>
      <w:r w:rsidRPr="00AB4DCC">
        <w:rPr>
          <w:lang w:val="fr-FR"/>
        </w:rPr>
        <w:t>»</w:t>
      </w:r>
      <w:r>
        <w:rPr>
          <w:lang w:val="fr-FR"/>
        </w:rPr>
        <w:t> :</w:t>
      </w:r>
      <w:r>
        <w:rPr>
          <w:lang w:val="fr-FR"/>
        </w:rPr>
        <w:br/>
      </w:r>
      <w:r>
        <w:rPr>
          <w:lang w:val="fr-FR"/>
        </w:rPr>
        <w:tab/>
      </w:r>
    </w:p>
    <w:p w14:paraId="66083A43" w14:textId="35EEF7E4" w:rsidR="006F5732" w:rsidRPr="00AB4DCC" w:rsidRDefault="006F5732" w:rsidP="006F5732">
      <w:pPr>
        <w:pStyle w:val="SingleTxtG"/>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ab/>
        <w:t>Concept de sécurité du constructeur/fabricant</w:t>
      </w:r>
    </w:p>
    <w:p w14:paraId="64B00F6E" w14:textId="7FCE82D4" w:rsidR="006F5732" w:rsidRPr="00AB4DCC" w:rsidRDefault="006F5732" w:rsidP="006F5732">
      <w:pPr>
        <w:pStyle w:val="SingleTxtG"/>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1</w:t>
      </w:r>
      <w:r w:rsidRPr="00AB4DCC">
        <w:rPr>
          <w:lang w:val="fr-FR"/>
        </w:rPr>
        <w:tab/>
        <w:t>Description des priorités en matière de circulation de signaux et de données</w:t>
      </w:r>
      <w:r>
        <w:rPr>
          <w:lang w:val="fr-FR"/>
        </w:rPr>
        <w:t> :</w:t>
      </w:r>
      <w:r w:rsidRPr="00AB4DCC">
        <w:rPr>
          <w:lang w:val="fr-FR"/>
        </w:rPr>
        <w:tab/>
      </w:r>
    </w:p>
    <w:p w14:paraId="514CC8CD" w14:textId="26A25983" w:rsidR="006F5732" w:rsidRPr="00401B26" w:rsidRDefault="006F5732" w:rsidP="006F5732">
      <w:pPr>
        <w:pStyle w:val="SingleTxtG"/>
        <w:tabs>
          <w:tab w:val="right" w:leader="dot" w:pos="7797"/>
        </w:tabs>
        <w:ind w:left="1701" w:hanging="567"/>
        <w:jc w:val="left"/>
        <w:rPr>
          <w:i/>
          <w:iCs/>
          <w:spacing w:val="-2"/>
          <w:lang w:val="fr-FR"/>
        </w:rPr>
      </w:pPr>
      <w:r w:rsidRPr="00AB4DCC">
        <w:rPr>
          <w:lang w:val="fr-FR"/>
        </w:rPr>
        <w:t>3</w:t>
      </w:r>
      <w:r w:rsidR="00DF7AA4" w:rsidRPr="00DF7AA4">
        <w:rPr>
          <w:lang w:val="fr-FR"/>
        </w:rPr>
        <w:t>.</w:t>
      </w:r>
      <w:r w:rsidRPr="00AB4DCC">
        <w:rPr>
          <w:lang w:val="fr-FR"/>
        </w:rPr>
        <w:t>2</w:t>
      </w:r>
      <w:r w:rsidRPr="00AB4DCC">
        <w:rPr>
          <w:lang w:val="fr-FR"/>
        </w:rPr>
        <w:tab/>
        <w:t>Déclaration du constructeur/fabricant</w:t>
      </w:r>
      <w:r>
        <w:rPr>
          <w:lang w:val="fr-FR"/>
        </w:rPr>
        <w:t> :</w:t>
      </w:r>
      <w:r>
        <w:rPr>
          <w:lang w:val="fr-FR"/>
        </w:rPr>
        <w:br/>
      </w:r>
      <w:r w:rsidRPr="00401B26">
        <w:rPr>
          <w:i/>
          <w:iCs/>
          <w:spacing w:val="-2"/>
          <w:lang w:val="fr-FR"/>
        </w:rPr>
        <w:t xml:space="preserve">Le(s) constructeur(s)/fabricant(s) </w:t>
      </w:r>
      <w:r w:rsidRPr="00401B26">
        <w:rPr>
          <w:i/>
          <w:iCs/>
          <w:spacing w:val="-2"/>
          <w:lang w:val="fr-FR"/>
        </w:rPr>
        <w:tab/>
      </w:r>
      <w:r w:rsidRPr="00401B26">
        <w:rPr>
          <w:i/>
          <w:iCs/>
          <w:spacing w:val="-2"/>
          <w:lang w:val="fr-FR"/>
        </w:rPr>
        <w:br/>
        <w:t xml:space="preserve">certifie(nt) que la démarche suivie pour réaliser les objectifs du </w:t>
      </w:r>
      <w:r w:rsidRPr="00401B26">
        <w:rPr>
          <w:spacing w:val="-2"/>
          <w:lang w:val="fr-FR"/>
        </w:rPr>
        <w:t>« </w:t>
      </w:r>
      <w:r w:rsidRPr="00401B26">
        <w:rPr>
          <w:i/>
          <w:iCs/>
          <w:spacing w:val="-2"/>
          <w:lang w:val="fr-FR"/>
        </w:rPr>
        <w:t>système</w:t>
      </w:r>
      <w:r w:rsidRPr="00401B26">
        <w:rPr>
          <w:spacing w:val="-2"/>
          <w:lang w:val="fr-FR"/>
        </w:rPr>
        <w:t> »</w:t>
      </w:r>
      <w:r w:rsidRPr="00401B26">
        <w:rPr>
          <w:i/>
          <w:iCs/>
          <w:spacing w:val="-2"/>
          <w:lang w:val="fr-FR"/>
        </w:rPr>
        <w:t xml:space="preserve"> ne compromet pas, en l</w:t>
      </w:r>
      <w:r>
        <w:rPr>
          <w:i/>
          <w:iCs/>
          <w:spacing w:val="-2"/>
          <w:lang w:val="fr-FR"/>
        </w:rPr>
        <w:t>’</w:t>
      </w:r>
      <w:r w:rsidRPr="00401B26">
        <w:rPr>
          <w:i/>
          <w:iCs/>
          <w:spacing w:val="-2"/>
          <w:lang w:val="fr-FR"/>
        </w:rPr>
        <w:t>absence de défaillances, la sécurité de fonctionnement du véhicule</w:t>
      </w:r>
      <w:r w:rsidR="00DF7AA4" w:rsidRPr="00DF7AA4">
        <w:rPr>
          <w:i/>
          <w:iCs/>
          <w:spacing w:val="-2"/>
          <w:lang w:val="fr-FR"/>
        </w:rPr>
        <w:t>.</w:t>
      </w:r>
    </w:p>
    <w:p w14:paraId="09C03226" w14:textId="5F420A2D" w:rsidR="006F5732" w:rsidRPr="00AB4DCC" w:rsidRDefault="006F5732" w:rsidP="006F5732">
      <w:pPr>
        <w:pStyle w:val="SingleTxtG"/>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3</w:t>
      </w:r>
      <w:r w:rsidRPr="00AB4DCC">
        <w:rPr>
          <w:lang w:val="fr-FR"/>
        </w:rPr>
        <w:tab/>
        <w:t>Configuration du logiciel et méthodes et outils de conception utilisés</w:t>
      </w:r>
      <w:r>
        <w:rPr>
          <w:lang w:val="fr-FR"/>
        </w:rPr>
        <w:t> :</w:t>
      </w:r>
      <w:r w:rsidRPr="00AB4DCC">
        <w:rPr>
          <w:lang w:val="fr-FR"/>
        </w:rPr>
        <w:tab/>
      </w:r>
    </w:p>
    <w:p w14:paraId="2D508ED5" w14:textId="5E56DA14" w:rsidR="006F5732" w:rsidRPr="00AB4DCC" w:rsidRDefault="006F5732" w:rsidP="006F5732">
      <w:pPr>
        <w:pStyle w:val="SingleTxtG"/>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4</w:t>
      </w:r>
      <w:r w:rsidRPr="00AB4DCC">
        <w:rPr>
          <w:lang w:val="fr-FR"/>
        </w:rPr>
        <w:tab/>
        <w:t>Explication des prescriptions générales appliquées dans le «</w:t>
      </w:r>
      <w:r>
        <w:rPr>
          <w:lang w:val="fr-FR"/>
        </w:rPr>
        <w:t> </w:t>
      </w:r>
      <w:r w:rsidRPr="00AB4DCC">
        <w:rPr>
          <w:lang w:val="fr-FR"/>
        </w:rPr>
        <w:t>système</w:t>
      </w:r>
      <w:r>
        <w:rPr>
          <w:lang w:val="fr-FR"/>
        </w:rPr>
        <w:t> </w:t>
      </w:r>
      <w:r w:rsidRPr="00AB4DCC">
        <w:rPr>
          <w:lang w:val="fr-FR"/>
        </w:rPr>
        <w:t>» en cas de</w:t>
      </w:r>
      <w:r>
        <w:rPr>
          <w:lang w:val="fr-FR"/>
        </w:rPr>
        <w:t> </w:t>
      </w:r>
      <w:r w:rsidRPr="00AB4DCC">
        <w:rPr>
          <w:lang w:val="fr-FR"/>
        </w:rPr>
        <w:t>défaillance</w:t>
      </w:r>
      <w:r>
        <w:rPr>
          <w:lang w:val="fr-FR"/>
        </w:rPr>
        <w:t> :</w:t>
      </w:r>
      <w:r w:rsidRPr="00AB4DCC">
        <w:rPr>
          <w:lang w:val="fr-FR"/>
        </w:rPr>
        <w:tab/>
      </w:r>
    </w:p>
    <w:p w14:paraId="06844F9C" w14:textId="244258EB" w:rsidR="006F5732" w:rsidRPr="00AB4DCC" w:rsidRDefault="006F5732" w:rsidP="006F5732">
      <w:pPr>
        <w:pStyle w:val="SingleTxtG"/>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5</w:t>
      </w:r>
      <w:r w:rsidRPr="00AB4DCC">
        <w:rPr>
          <w:lang w:val="fr-FR"/>
        </w:rPr>
        <w:tab/>
        <w:t>Analyses étayées du comportement du «</w:t>
      </w:r>
      <w:r>
        <w:rPr>
          <w:lang w:val="fr-FR"/>
        </w:rPr>
        <w:t> </w:t>
      </w:r>
      <w:r w:rsidRPr="00AB4DCC">
        <w:rPr>
          <w:lang w:val="fr-FR"/>
        </w:rPr>
        <w:t>système</w:t>
      </w:r>
      <w:r>
        <w:rPr>
          <w:lang w:val="fr-FR"/>
        </w:rPr>
        <w:t> </w:t>
      </w:r>
      <w:r w:rsidRPr="00AB4DCC">
        <w:rPr>
          <w:lang w:val="fr-FR"/>
        </w:rPr>
        <w:t>» face à chaque défaillance ou devant chaque risque</w:t>
      </w:r>
      <w:r>
        <w:rPr>
          <w:lang w:val="fr-FR"/>
        </w:rPr>
        <w:t> :</w:t>
      </w:r>
      <w:r w:rsidRPr="00AB4DCC">
        <w:rPr>
          <w:lang w:val="fr-FR"/>
        </w:rPr>
        <w:tab/>
      </w:r>
    </w:p>
    <w:p w14:paraId="1CEEB910" w14:textId="35F2B2E4" w:rsidR="006F5732" w:rsidRPr="00AB4DCC" w:rsidRDefault="006F5732" w:rsidP="006F5732">
      <w:pPr>
        <w:pStyle w:val="SingleTxtG"/>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6</w:t>
      </w:r>
      <w:r w:rsidRPr="00AB4DCC">
        <w:rPr>
          <w:lang w:val="fr-FR"/>
        </w:rPr>
        <w:tab/>
        <w:t>Description des mesures prises face aux facteurs extérieurs</w:t>
      </w:r>
      <w:r>
        <w:rPr>
          <w:lang w:val="fr-FR"/>
        </w:rPr>
        <w:t> :</w:t>
      </w:r>
      <w:r w:rsidRPr="00AB4DCC">
        <w:rPr>
          <w:lang w:val="fr-FR"/>
        </w:rPr>
        <w:tab/>
      </w:r>
    </w:p>
    <w:p w14:paraId="0D3E66CB" w14:textId="56E5A094" w:rsidR="006F5732" w:rsidRPr="00AB4DCC" w:rsidRDefault="006F5732" w:rsidP="006F5732">
      <w:pPr>
        <w:pStyle w:val="SingleTxtG"/>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7</w:t>
      </w:r>
      <w:r w:rsidRPr="00AB4DCC">
        <w:rPr>
          <w:lang w:val="fr-FR"/>
        </w:rPr>
        <w:tab/>
        <w:t>Dispositions relatives au contrôle technique périodique du «</w:t>
      </w:r>
      <w:r>
        <w:rPr>
          <w:lang w:val="fr-FR"/>
        </w:rPr>
        <w:t> </w:t>
      </w:r>
      <w:r w:rsidRPr="00AB4DCC">
        <w:rPr>
          <w:lang w:val="fr-FR"/>
        </w:rPr>
        <w:t>système</w:t>
      </w:r>
      <w:r>
        <w:rPr>
          <w:lang w:val="fr-FR"/>
        </w:rPr>
        <w:t> </w:t>
      </w:r>
      <w:r w:rsidRPr="00AB4DCC">
        <w:rPr>
          <w:lang w:val="fr-FR"/>
        </w:rPr>
        <w:t>»</w:t>
      </w:r>
      <w:r>
        <w:rPr>
          <w:lang w:val="fr-FR"/>
        </w:rPr>
        <w:t> :</w:t>
      </w:r>
      <w:r w:rsidRPr="00AB4DCC">
        <w:rPr>
          <w:lang w:val="fr-FR"/>
        </w:rPr>
        <w:tab/>
      </w:r>
    </w:p>
    <w:p w14:paraId="2DFA3444" w14:textId="47BCE6D3" w:rsidR="006F5732" w:rsidRPr="00AB4DCC" w:rsidRDefault="006F5732" w:rsidP="006576A5">
      <w:pPr>
        <w:pStyle w:val="SingleTxtG"/>
        <w:tabs>
          <w:tab w:val="clear" w:pos="2268"/>
          <w:tab w:val="clear" w:pos="2835"/>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8</w:t>
      </w:r>
      <w:r w:rsidRPr="00AB4DCC">
        <w:rPr>
          <w:lang w:val="fr-FR"/>
        </w:rPr>
        <w:tab/>
        <w:t>Résultats des essais de vérification de l</w:t>
      </w:r>
      <w:r>
        <w:rPr>
          <w:lang w:val="fr-FR"/>
        </w:rPr>
        <w:t>’</w:t>
      </w:r>
      <w:r w:rsidRPr="00AB4DCC">
        <w:rPr>
          <w:lang w:val="fr-FR"/>
        </w:rPr>
        <w:t>efficacité du «</w:t>
      </w:r>
      <w:r>
        <w:rPr>
          <w:lang w:val="fr-FR"/>
        </w:rPr>
        <w:t> </w:t>
      </w:r>
      <w:r w:rsidRPr="00AB4DCC">
        <w:rPr>
          <w:lang w:val="fr-FR"/>
        </w:rPr>
        <w:t>système</w:t>
      </w:r>
      <w:r>
        <w:rPr>
          <w:lang w:val="fr-FR"/>
        </w:rPr>
        <w:t> </w:t>
      </w:r>
      <w:r w:rsidRPr="00AB4DCC">
        <w:rPr>
          <w:lang w:val="fr-FR"/>
        </w:rPr>
        <w:t>», en application des dispositions du paragraphe 4</w:t>
      </w:r>
      <w:r w:rsidR="00DF7AA4" w:rsidRPr="00DF7AA4">
        <w:rPr>
          <w:lang w:val="fr-FR"/>
        </w:rPr>
        <w:t>.</w:t>
      </w:r>
      <w:r w:rsidRPr="00AB4DCC">
        <w:rPr>
          <w:lang w:val="fr-FR"/>
        </w:rPr>
        <w:t>1</w:t>
      </w:r>
      <w:r w:rsidR="00DF7AA4" w:rsidRPr="00DF7AA4">
        <w:rPr>
          <w:lang w:val="fr-FR"/>
        </w:rPr>
        <w:t>.</w:t>
      </w:r>
      <w:r w:rsidRPr="00AB4DCC">
        <w:rPr>
          <w:lang w:val="fr-FR"/>
        </w:rPr>
        <w:t>1 de l</w:t>
      </w:r>
      <w:r>
        <w:rPr>
          <w:lang w:val="fr-FR"/>
        </w:rPr>
        <w:t>’</w:t>
      </w:r>
      <w:r w:rsidRPr="00AB4DCC">
        <w:rPr>
          <w:lang w:val="fr-FR"/>
        </w:rPr>
        <w:t>annexe 3 du Règlement ONU n</w:t>
      </w:r>
      <w:r w:rsidRPr="00AB4DCC">
        <w:rPr>
          <w:vertAlign w:val="superscript"/>
          <w:lang w:val="fr-FR"/>
        </w:rPr>
        <w:t>o</w:t>
      </w:r>
      <w:r w:rsidRPr="00AB4DCC">
        <w:rPr>
          <w:lang w:val="fr-FR"/>
        </w:rPr>
        <w:t xml:space="preserve"> </w:t>
      </w:r>
      <w:r>
        <w:rPr>
          <w:lang w:val="fr-FR"/>
        </w:rPr>
        <w:t>[17X] :</w:t>
      </w:r>
      <w:r w:rsidRPr="00AB4DCC">
        <w:rPr>
          <w:lang w:val="fr-FR"/>
        </w:rPr>
        <w:tab/>
      </w:r>
      <w:r>
        <w:rPr>
          <w:lang w:val="fr-FR"/>
        </w:rPr>
        <w:br/>
      </w:r>
      <w:r>
        <w:rPr>
          <w:lang w:val="fr-FR"/>
        </w:rPr>
        <w:tab/>
      </w:r>
    </w:p>
    <w:p w14:paraId="72B3E938" w14:textId="6C904C03" w:rsidR="006F5732" w:rsidRPr="00AB4DCC" w:rsidRDefault="006F5732" w:rsidP="006576A5">
      <w:pPr>
        <w:pStyle w:val="SingleTxtG"/>
        <w:tabs>
          <w:tab w:val="clear" w:pos="2268"/>
          <w:tab w:val="clear" w:pos="2835"/>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9</w:t>
      </w:r>
      <w:r w:rsidRPr="00AB4DCC">
        <w:rPr>
          <w:lang w:val="fr-FR"/>
        </w:rPr>
        <w:tab/>
        <w:t>Résultats des essais de vérification du concept de sécurité, en application des dispositions du paragraphe 4</w:t>
      </w:r>
      <w:r w:rsidR="00DF7AA4" w:rsidRPr="00DF7AA4">
        <w:rPr>
          <w:lang w:val="fr-FR"/>
        </w:rPr>
        <w:t>.</w:t>
      </w:r>
      <w:r w:rsidRPr="00AB4DCC">
        <w:rPr>
          <w:lang w:val="fr-FR"/>
        </w:rPr>
        <w:t>1</w:t>
      </w:r>
      <w:r w:rsidR="00DF7AA4" w:rsidRPr="00DF7AA4">
        <w:rPr>
          <w:lang w:val="fr-FR"/>
        </w:rPr>
        <w:t>.</w:t>
      </w:r>
      <w:r w:rsidRPr="00AB4DCC">
        <w:rPr>
          <w:lang w:val="fr-FR"/>
        </w:rPr>
        <w:t>2 de l</w:t>
      </w:r>
      <w:r>
        <w:rPr>
          <w:lang w:val="fr-FR"/>
        </w:rPr>
        <w:t>’</w:t>
      </w:r>
      <w:r w:rsidRPr="00AB4DCC">
        <w:rPr>
          <w:lang w:val="fr-FR"/>
        </w:rPr>
        <w:t>annexe 3 du Règlement ONU n</w:t>
      </w:r>
      <w:r w:rsidRPr="00AB4DCC">
        <w:rPr>
          <w:vertAlign w:val="superscript"/>
          <w:lang w:val="fr-FR"/>
        </w:rPr>
        <w:t>o</w:t>
      </w:r>
      <w:r w:rsidRPr="00AB4DCC">
        <w:rPr>
          <w:lang w:val="fr-FR"/>
        </w:rPr>
        <w:t xml:space="preserve"> </w:t>
      </w:r>
      <w:r w:rsidRPr="00AB761E">
        <w:rPr>
          <w:lang w:val="fr-FR"/>
        </w:rPr>
        <w:t>[17X]</w:t>
      </w:r>
      <w:r>
        <w:rPr>
          <w:lang w:val="fr-FR"/>
        </w:rPr>
        <w:t> :</w:t>
      </w:r>
      <w:r w:rsidRPr="00AB4DCC">
        <w:rPr>
          <w:lang w:val="fr-FR"/>
        </w:rPr>
        <w:tab/>
      </w:r>
      <w:r>
        <w:rPr>
          <w:lang w:val="fr-FR"/>
        </w:rPr>
        <w:br/>
      </w:r>
      <w:r>
        <w:rPr>
          <w:lang w:val="fr-FR"/>
        </w:rPr>
        <w:tab/>
      </w:r>
      <w:r w:rsidRPr="00AB4DCC">
        <w:rPr>
          <w:lang w:val="fr-FR"/>
        </w:rPr>
        <w:tab/>
      </w:r>
    </w:p>
    <w:p w14:paraId="7B070559" w14:textId="636C9058" w:rsidR="006F5732" w:rsidRPr="00AB4DCC" w:rsidRDefault="006F5732" w:rsidP="006576A5">
      <w:pPr>
        <w:pStyle w:val="SingleTxtG"/>
        <w:keepNext/>
        <w:keepLines/>
        <w:tabs>
          <w:tab w:val="right" w:leader="dot" w:pos="8505"/>
        </w:tabs>
        <w:ind w:left="1701" w:hanging="567"/>
        <w:jc w:val="left"/>
        <w:rPr>
          <w:lang w:val="fr-FR"/>
        </w:rPr>
      </w:pPr>
      <w:r w:rsidRPr="00AB4DCC">
        <w:rPr>
          <w:lang w:val="fr-FR"/>
        </w:rPr>
        <w:lastRenderedPageBreak/>
        <w:t>3</w:t>
      </w:r>
      <w:r w:rsidR="00DF7AA4" w:rsidRPr="00DF7AA4">
        <w:rPr>
          <w:lang w:val="fr-FR"/>
        </w:rPr>
        <w:t>.</w:t>
      </w:r>
      <w:r w:rsidRPr="00AB4DCC">
        <w:rPr>
          <w:lang w:val="fr-FR"/>
        </w:rPr>
        <w:t>10</w:t>
      </w:r>
      <w:r w:rsidRPr="00AB4DCC">
        <w:rPr>
          <w:lang w:val="fr-FR"/>
        </w:rPr>
        <w:tab/>
        <w:t>Date de l</w:t>
      </w:r>
      <w:r>
        <w:rPr>
          <w:lang w:val="fr-FR"/>
        </w:rPr>
        <w:t>’</w:t>
      </w:r>
      <w:r w:rsidRPr="00AB4DCC">
        <w:rPr>
          <w:lang w:val="fr-FR"/>
        </w:rPr>
        <w:t>essai</w:t>
      </w:r>
      <w:r>
        <w:rPr>
          <w:lang w:val="fr-FR"/>
        </w:rPr>
        <w:t> :</w:t>
      </w:r>
      <w:r w:rsidRPr="00AB4DCC">
        <w:rPr>
          <w:lang w:val="fr-FR"/>
        </w:rPr>
        <w:tab/>
      </w:r>
    </w:p>
    <w:p w14:paraId="576518D9" w14:textId="0130AE4F" w:rsidR="006F5732" w:rsidRPr="00AB4DCC" w:rsidRDefault="006F5732" w:rsidP="006576A5">
      <w:pPr>
        <w:pStyle w:val="SingleTxtG"/>
        <w:keepNext/>
        <w:keepLines/>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11</w:t>
      </w:r>
      <w:r w:rsidRPr="00AB4DCC">
        <w:rPr>
          <w:lang w:val="fr-FR"/>
        </w:rPr>
        <w:tab/>
        <w:t>Cet essai a été effectué et ses résultats ont été consignés conformément …</w:t>
      </w:r>
      <w:r>
        <w:rPr>
          <w:lang w:val="fr-FR"/>
        </w:rPr>
        <w:t>…</w:t>
      </w:r>
      <w:r w:rsidRPr="00AB4DCC">
        <w:rPr>
          <w:lang w:val="fr-FR"/>
        </w:rPr>
        <w:t xml:space="preserve"> du Règlement ONU n</w:t>
      </w:r>
      <w:r w:rsidRPr="00AB4DCC">
        <w:rPr>
          <w:vertAlign w:val="superscript"/>
          <w:lang w:val="fr-FR"/>
        </w:rPr>
        <w:t>o</w:t>
      </w:r>
      <w:r w:rsidRPr="00AB4DCC">
        <w:rPr>
          <w:lang w:val="fr-FR"/>
        </w:rPr>
        <w:t xml:space="preserve"> </w:t>
      </w:r>
      <w:r w:rsidRPr="00AB761E">
        <w:rPr>
          <w:lang w:val="fr-FR"/>
        </w:rPr>
        <w:t>[17X]</w:t>
      </w:r>
      <w:r w:rsidRPr="00AB4DCC">
        <w:rPr>
          <w:lang w:val="fr-FR"/>
        </w:rPr>
        <w:t>, tel que modifié par la série … d</w:t>
      </w:r>
      <w:r>
        <w:rPr>
          <w:lang w:val="fr-FR"/>
        </w:rPr>
        <w:t>’</w:t>
      </w:r>
      <w:r w:rsidRPr="00AB4DCC">
        <w:rPr>
          <w:lang w:val="fr-FR"/>
        </w:rPr>
        <w:t>amendements</w:t>
      </w:r>
      <w:r w:rsidR="00DF7AA4" w:rsidRPr="00DF7AA4">
        <w:rPr>
          <w:lang w:val="fr-FR"/>
        </w:rPr>
        <w:t>.</w:t>
      </w:r>
      <w:r w:rsidR="006576A5">
        <w:rPr>
          <w:lang w:val="fr-FR"/>
        </w:rPr>
        <w:br/>
      </w:r>
      <w:r w:rsidR="006576A5">
        <w:rPr>
          <w:lang w:val="fr-FR"/>
        </w:rPr>
        <w:br/>
      </w:r>
    </w:p>
    <w:p w14:paraId="5C771DDD" w14:textId="151E599F" w:rsidR="006F5732" w:rsidRPr="00AB4DCC" w:rsidRDefault="006F5732" w:rsidP="006576A5">
      <w:pPr>
        <w:keepNext/>
        <w:keepLines/>
        <w:tabs>
          <w:tab w:val="right" w:leader="dot" w:pos="4536"/>
          <w:tab w:val="left" w:pos="4962"/>
          <w:tab w:val="right" w:leader="dot" w:pos="7655"/>
        </w:tabs>
        <w:spacing w:after="120" w:line="280" w:lineRule="atLeast"/>
        <w:ind w:left="1701" w:right="1134"/>
        <w:rPr>
          <w:lang w:val="fr-FR"/>
        </w:rPr>
      </w:pPr>
      <w:r w:rsidRPr="00AB4DCC">
        <w:rPr>
          <w:lang w:val="fr-FR"/>
        </w:rPr>
        <w:t>Signature</w:t>
      </w:r>
      <w:r>
        <w:rPr>
          <w:lang w:val="fr-FR"/>
        </w:rPr>
        <w:t> :</w:t>
      </w:r>
      <w:r>
        <w:rPr>
          <w:lang w:val="fr-FR"/>
        </w:rPr>
        <w:tab/>
      </w:r>
      <w:r w:rsidRPr="00AB4DCC">
        <w:rPr>
          <w:lang w:val="fr-FR"/>
        </w:rPr>
        <w:tab/>
        <w:t>Date</w:t>
      </w:r>
      <w:r>
        <w:rPr>
          <w:lang w:val="fr-FR"/>
        </w:rPr>
        <w:t> :</w:t>
      </w:r>
      <w:r>
        <w:rPr>
          <w:lang w:val="fr-FR"/>
        </w:rPr>
        <w:tab/>
      </w:r>
      <w:r w:rsidR="006576A5">
        <w:rPr>
          <w:lang w:val="fr-FR"/>
        </w:rPr>
        <w:br/>
      </w:r>
    </w:p>
    <w:p w14:paraId="6E41703D" w14:textId="47B2A0D5" w:rsidR="006F5732" w:rsidRDefault="006F5732" w:rsidP="006576A5">
      <w:pPr>
        <w:pStyle w:val="SingleTxtG"/>
        <w:keepNext/>
        <w:keepLines/>
        <w:tabs>
          <w:tab w:val="right" w:leader="dot" w:pos="8505"/>
        </w:tabs>
        <w:ind w:left="1701" w:hanging="567"/>
        <w:jc w:val="left"/>
        <w:rPr>
          <w:lang w:val="fr-FR"/>
        </w:rPr>
      </w:pPr>
      <w:r w:rsidRPr="00AB4DCC">
        <w:rPr>
          <w:lang w:val="fr-FR"/>
        </w:rPr>
        <w:t>3</w:t>
      </w:r>
      <w:r w:rsidR="00DF7AA4" w:rsidRPr="00DF7AA4">
        <w:rPr>
          <w:lang w:val="fr-FR"/>
        </w:rPr>
        <w:t>.</w:t>
      </w:r>
      <w:r w:rsidRPr="00AB4DCC">
        <w:rPr>
          <w:lang w:val="fr-FR"/>
        </w:rPr>
        <w:t>13</w:t>
      </w:r>
      <w:r w:rsidRPr="00AB4DCC">
        <w:rPr>
          <w:lang w:val="fr-FR"/>
        </w:rPr>
        <w:tab/>
        <w:t>Observations</w:t>
      </w:r>
      <w:r>
        <w:rPr>
          <w:lang w:val="fr-FR"/>
        </w:rPr>
        <w:t> :</w:t>
      </w:r>
      <w:r w:rsidRPr="00AB4DCC">
        <w:rPr>
          <w:lang w:val="fr-FR"/>
        </w:rPr>
        <w:tab/>
      </w:r>
    </w:p>
    <w:p w14:paraId="0958A7F9" w14:textId="2930C364" w:rsidR="006F5732" w:rsidRPr="006F5732" w:rsidRDefault="006F5732" w:rsidP="006F5732">
      <w:pPr>
        <w:pStyle w:val="SingleTxtG"/>
        <w:spacing w:before="240" w:after="0"/>
        <w:jc w:val="center"/>
        <w:rPr>
          <w:u w:val="single"/>
        </w:rPr>
      </w:pPr>
      <w:r>
        <w:rPr>
          <w:u w:val="single"/>
        </w:rPr>
        <w:tab/>
      </w:r>
      <w:r>
        <w:rPr>
          <w:u w:val="single"/>
        </w:rPr>
        <w:tab/>
      </w:r>
      <w:r>
        <w:rPr>
          <w:u w:val="single"/>
        </w:rPr>
        <w:tab/>
      </w:r>
    </w:p>
    <w:sectPr w:rsidR="006F5732" w:rsidRPr="006F5732" w:rsidSect="006F5732">
      <w:headerReference w:type="even" r:id="rId16"/>
      <w:footerReference w:type="even" r:id="rId17"/>
      <w:headerReference w:type="first" r:id="rId18"/>
      <w:footerReference w:type="first" r:id="rId19"/>
      <w:footnotePr>
        <w:numRestart w:val="eachSect"/>
      </w:footnotePr>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E685F" w14:textId="77777777" w:rsidR="00B359DA" w:rsidRDefault="00B359DA" w:rsidP="00F95C08">
      <w:pPr>
        <w:spacing w:line="240" w:lineRule="auto"/>
      </w:pPr>
    </w:p>
  </w:endnote>
  <w:endnote w:type="continuationSeparator" w:id="0">
    <w:p w14:paraId="1A0FDA64" w14:textId="77777777" w:rsidR="00B359DA" w:rsidRPr="00AC3823" w:rsidRDefault="00B359DA" w:rsidP="00AC3823">
      <w:pPr>
        <w:pStyle w:val="Pieddepage"/>
      </w:pPr>
    </w:p>
  </w:endnote>
  <w:endnote w:type="continuationNotice" w:id="1">
    <w:p w14:paraId="63DFC7BE" w14:textId="77777777" w:rsidR="00B359DA" w:rsidRDefault="00B359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23F1" w14:textId="05352288" w:rsidR="00EE432D" w:rsidRPr="00EE432D" w:rsidRDefault="00EE432D" w:rsidP="00EE432D">
    <w:pPr>
      <w:pStyle w:val="Pieddepage"/>
      <w:tabs>
        <w:tab w:val="right" w:pos="9638"/>
      </w:tabs>
    </w:pPr>
    <w:r w:rsidRPr="00EE432D">
      <w:rPr>
        <w:b/>
        <w:sz w:val="18"/>
      </w:rPr>
      <w:fldChar w:fldCharType="begin"/>
    </w:r>
    <w:r w:rsidRPr="00EE432D">
      <w:rPr>
        <w:b/>
        <w:sz w:val="18"/>
      </w:rPr>
      <w:instrText xml:space="preserve"> PAGE  \* MERGEFORMAT </w:instrText>
    </w:r>
    <w:r w:rsidRPr="00EE432D">
      <w:rPr>
        <w:b/>
        <w:sz w:val="18"/>
      </w:rPr>
      <w:fldChar w:fldCharType="separate"/>
    </w:r>
    <w:r w:rsidRPr="00EE432D">
      <w:rPr>
        <w:b/>
        <w:noProof/>
        <w:sz w:val="18"/>
      </w:rPr>
      <w:t>2</w:t>
    </w:r>
    <w:r w:rsidRPr="00EE432D">
      <w:rPr>
        <w:b/>
        <w:sz w:val="18"/>
      </w:rPr>
      <w:fldChar w:fldCharType="end"/>
    </w:r>
    <w:r>
      <w:rPr>
        <w:b/>
        <w:sz w:val="18"/>
      </w:rPr>
      <w:tab/>
    </w:r>
    <w:r>
      <w:t>GE</w:t>
    </w:r>
    <w:r w:rsidR="00DF7AA4" w:rsidRPr="00DF7AA4">
      <w:t>.</w:t>
    </w:r>
    <w:r>
      <w:t>24-15684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AA24" w14:textId="0B50848E" w:rsidR="00EE432D" w:rsidRPr="006F5732" w:rsidRDefault="006F5732" w:rsidP="006F5732">
    <w:pPr>
      <w:pStyle w:val="Pieddepage"/>
      <w:tabs>
        <w:tab w:val="right" w:pos="9638"/>
      </w:tabs>
      <w:rPr>
        <w:b/>
        <w:sz w:val="18"/>
      </w:rPr>
    </w:pPr>
    <w:r>
      <w:t>GE</w:t>
    </w:r>
    <w:r w:rsidR="00DF7AA4" w:rsidRPr="00DF7AA4">
      <w:t>.</w:t>
    </w:r>
    <w:r w:rsidRPr="006F5732">
      <w:t>24</w:t>
    </w:r>
    <w:r>
      <w:t>-</w:t>
    </w:r>
    <w:r w:rsidRPr="006F5732">
      <w:t>15684</w:t>
    </w:r>
    <w:r>
      <w:tab/>
    </w:r>
    <w:r>
      <w:rPr>
        <w:b/>
        <w:sz w:val="18"/>
      </w:rPr>
      <w:fldChar w:fldCharType="begin"/>
    </w:r>
    <w:r>
      <w:rPr>
        <w:b/>
        <w:sz w:val="18"/>
      </w:rPr>
      <w:instrText xml:space="preserve"> PAGE  \* MERGEFORMAT </w:instrText>
    </w:r>
    <w:r>
      <w:rPr>
        <w:b/>
        <w:sz w:val="18"/>
      </w:rPr>
      <w:fldChar w:fldCharType="separate"/>
    </w:r>
    <w:r>
      <w:rPr>
        <w:b/>
        <w:noProof/>
        <w:sz w:val="18"/>
      </w:rPr>
      <w:t>15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CF93" w14:textId="548565C1" w:rsidR="007F20FA" w:rsidRPr="00EE432D" w:rsidRDefault="00EE432D" w:rsidP="00EE432D">
    <w:pPr>
      <w:pStyle w:val="Pieddepage"/>
      <w:spacing w:before="120"/>
      <w:rPr>
        <w:sz w:val="20"/>
      </w:rPr>
    </w:pPr>
    <w:r>
      <w:rPr>
        <w:sz w:val="20"/>
      </w:rPr>
      <w:t>GE</w:t>
    </w:r>
    <w:r w:rsidR="00DF7AA4" w:rsidRPr="00DF7AA4">
      <w:rPr>
        <w:sz w:val="20"/>
      </w:rPr>
      <w:t>.</w:t>
    </w:r>
    <w:r w:rsidR="007F20FA">
      <w:rPr>
        <w:noProof/>
        <w:lang w:eastAsia="fr-CH"/>
      </w:rPr>
      <w:drawing>
        <wp:anchor distT="0" distB="0" distL="114300" distR="114300" simplePos="0" relativeHeight="251659264" behindDoc="0" locked="0" layoutInCell="1" allowOverlap="0" wp14:anchorId="46E45134" wp14:editId="07F47BE2">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24-15684  (F)</w:t>
    </w:r>
    <w:r>
      <w:rPr>
        <w:noProof/>
        <w:sz w:val="20"/>
      </w:rPr>
      <w:drawing>
        <wp:anchor distT="0" distB="0" distL="114300" distR="114300" simplePos="0" relativeHeight="251660288" behindDoc="0" locked="0" layoutInCell="1" allowOverlap="1" wp14:anchorId="54618BC0" wp14:editId="70A666E7">
          <wp:simplePos x="0" y="0"/>
          <wp:positionH relativeFrom="margin">
            <wp:posOffset>5489575</wp:posOffset>
          </wp:positionH>
          <wp:positionV relativeFrom="margin">
            <wp:posOffset>8891905</wp:posOffset>
          </wp:positionV>
          <wp:extent cx="628650" cy="628650"/>
          <wp:effectExtent l="0" t="0" r="0" b="0"/>
          <wp:wrapNone/>
          <wp:docPr id="18010450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170924    180924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09F58" w14:textId="10A04040" w:rsidR="006F5732" w:rsidRPr="006F5732" w:rsidRDefault="006F5732" w:rsidP="006F5732">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16</w:t>
    </w:r>
    <w:r>
      <w:rPr>
        <w:b/>
        <w:sz w:val="18"/>
      </w:rPr>
      <w:fldChar w:fldCharType="end"/>
    </w:r>
    <w:r>
      <w:rPr>
        <w:b/>
        <w:sz w:val="18"/>
      </w:rPr>
      <w:tab/>
    </w:r>
    <w:r w:rsidRPr="006F5732">
      <w:t>GE</w:t>
    </w:r>
    <w:r w:rsidR="00DF7AA4" w:rsidRPr="00DF7AA4">
      <w:t>.</w:t>
    </w:r>
    <w:r w:rsidRPr="006F5732">
      <w:t>24</w:t>
    </w:r>
    <w:r w:rsidRPr="006F5732">
      <w:t>-</w:t>
    </w:r>
    <w:r w:rsidRPr="006F5732">
      <w:t>15684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3139" w14:textId="79A06680" w:rsidR="006F5732" w:rsidRPr="00EE432D" w:rsidRDefault="006F5732" w:rsidP="00EE432D">
    <w:pPr>
      <w:pStyle w:val="Pieddepage"/>
      <w:spacing w:before="120"/>
      <w:rPr>
        <w:sz w:val="20"/>
      </w:rPr>
    </w:pPr>
    <w:r>
      <w:rPr>
        <w:sz w:val="20"/>
      </w:rPr>
      <w:t>GE</w:t>
    </w:r>
    <w:r w:rsidR="00DF7AA4" w:rsidRPr="00DF7AA4">
      <w:rPr>
        <w:sz w:val="20"/>
      </w:rPr>
      <w:t>.</w:t>
    </w:r>
    <w:r>
      <w:rPr>
        <w:noProof/>
        <w:lang w:eastAsia="fr-CH"/>
      </w:rPr>
      <w:drawing>
        <wp:anchor distT="0" distB="0" distL="114300" distR="114300" simplePos="0" relativeHeight="251662336" behindDoc="0" locked="0" layoutInCell="1" allowOverlap="0" wp14:anchorId="2D7325C9" wp14:editId="357D4DD6">
          <wp:simplePos x="0" y="0"/>
          <wp:positionH relativeFrom="margin">
            <wp:posOffset>4319905</wp:posOffset>
          </wp:positionH>
          <wp:positionV relativeFrom="margin">
            <wp:posOffset>9144000</wp:posOffset>
          </wp:positionV>
          <wp:extent cx="1105200" cy="234000"/>
          <wp:effectExtent l="0" t="0" r="0" b="0"/>
          <wp:wrapNone/>
          <wp:docPr id="1470754534" name="Image 1470754534"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24-15684  (F)</w:t>
    </w:r>
    <w:r>
      <w:rPr>
        <w:noProof/>
        <w:sz w:val="20"/>
      </w:rPr>
      <w:drawing>
        <wp:anchor distT="0" distB="0" distL="114300" distR="114300" simplePos="0" relativeHeight="251663360" behindDoc="0" locked="0" layoutInCell="1" allowOverlap="1" wp14:anchorId="231FDEF7" wp14:editId="18B96381">
          <wp:simplePos x="0" y="0"/>
          <wp:positionH relativeFrom="margin">
            <wp:posOffset>5489575</wp:posOffset>
          </wp:positionH>
          <wp:positionV relativeFrom="margin">
            <wp:posOffset>8891905</wp:posOffset>
          </wp:positionV>
          <wp:extent cx="628650" cy="628650"/>
          <wp:effectExtent l="0" t="0" r="0" b="0"/>
          <wp:wrapNone/>
          <wp:docPr id="12422006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170924    180924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AD6A7" w14:textId="77777777" w:rsidR="00B359DA" w:rsidRPr="00AC3823" w:rsidRDefault="00B359DA" w:rsidP="00AC3823">
      <w:pPr>
        <w:pStyle w:val="Pieddepage"/>
        <w:tabs>
          <w:tab w:val="right" w:pos="2155"/>
        </w:tabs>
        <w:spacing w:after="80" w:line="240" w:lineRule="atLeast"/>
        <w:ind w:left="680"/>
        <w:rPr>
          <w:u w:val="single"/>
        </w:rPr>
      </w:pPr>
      <w:r>
        <w:rPr>
          <w:u w:val="single"/>
        </w:rPr>
        <w:tab/>
      </w:r>
    </w:p>
  </w:footnote>
  <w:footnote w:type="continuationSeparator" w:id="0">
    <w:p w14:paraId="6CE3B1CE" w14:textId="77777777" w:rsidR="00B359DA" w:rsidRPr="00AC3823" w:rsidRDefault="00B359DA" w:rsidP="00AC3823">
      <w:pPr>
        <w:pStyle w:val="Pieddepage"/>
        <w:tabs>
          <w:tab w:val="right" w:pos="2155"/>
        </w:tabs>
        <w:spacing w:after="80" w:line="240" w:lineRule="atLeast"/>
        <w:ind w:left="680"/>
        <w:rPr>
          <w:u w:val="single"/>
        </w:rPr>
      </w:pPr>
      <w:r>
        <w:rPr>
          <w:u w:val="single"/>
        </w:rPr>
        <w:tab/>
      </w:r>
    </w:p>
  </w:footnote>
  <w:footnote w:type="continuationNotice" w:id="1">
    <w:p w14:paraId="229A03D4" w14:textId="77777777" w:rsidR="00B359DA" w:rsidRPr="00AC3823" w:rsidRDefault="00B359DA">
      <w:pPr>
        <w:spacing w:line="240" w:lineRule="auto"/>
        <w:rPr>
          <w:sz w:val="2"/>
          <w:szCs w:val="2"/>
        </w:rPr>
      </w:pPr>
    </w:p>
  </w:footnote>
  <w:footnote w:id="2">
    <w:p w14:paraId="69C8ED94" w14:textId="1F63D981" w:rsidR="00EE432D" w:rsidRDefault="00EE432D" w:rsidP="00EE432D">
      <w:pPr>
        <w:pStyle w:val="Notedebasdepage"/>
        <w:rPr>
          <w:lang w:val="fr-FR"/>
        </w:rPr>
      </w:pPr>
      <w:r w:rsidRPr="00AB4DCC">
        <w:rPr>
          <w:lang w:val="fr-FR"/>
        </w:rPr>
        <w:tab/>
      </w:r>
      <w:r w:rsidRPr="00DE2924">
        <w:rPr>
          <w:sz w:val="20"/>
          <w:lang w:val="fr-FR"/>
        </w:rPr>
        <w:t>*</w:t>
      </w:r>
      <w:r w:rsidRPr="00AB4DCC">
        <w:rPr>
          <w:lang w:val="fr-FR"/>
        </w:rPr>
        <w:tab/>
      </w:r>
      <w:r w:rsidRPr="00AB4DCC">
        <w:rPr>
          <w:lang w:val="fr-FR"/>
        </w:rPr>
        <w:tab/>
        <w:t>Conformément au programme de travail du Comité des transports intérieurs pour 2024 tel qu</w:t>
      </w:r>
      <w:r>
        <w:rPr>
          <w:lang w:val="fr-FR"/>
        </w:rPr>
        <w:t>’</w:t>
      </w:r>
      <w:r w:rsidRPr="00AB4DCC">
        <w:rPr>
          <w:lang w:val="fr-FR"/>
        </w:rPr>
        <w:t>il figure dans le projet de budget-programme pour 2024 (A/78/6 (Sect</w:t>
      </w:r>
      <w:r w:rsidR="00DF7AA4" w:rsidRPr="00DF7AA4">
        <w:rPr>
          <w:lang w:val="fr-FR"/>
        </w:rPr>
        <w:t>.</w:t>
      </w:r>
      <w:r w:rsidRPr="00AB4DCC">
        <w:rPr>
          <w:lang w:val="fr-FR"/>
        </w:rPr>
        <w:t xml:space="preserve"> 20), tableau 20</w:t>
      </w:r>
      <w:r w:rsidR="00DF7AA4" w:rsidRPr="00DF7AA4">
        <w:rPr>
          <w:lang w:val="fr-FR"/>
        </w:rPr>
        <w:t>.</w:t>
      </w:r>
      <w:r w:rsidRPr="00AB4DCC">
        <w:rPr>
          <w:lang w:val="fr-FR"/>
        </w:rPr>
        <w:t>5), le Forum mondial a pour mission d</w:t>
      </w:r>
      <w:r>
        <w:rPr>
          <w:lang w:val="fr-FR"/>
        </w:rPr>
        <w:t>’</w:t>
      </w:r>
      <w:r w:rsidRPr="00AB4DCC">
        <w:rPr>
          <w:lang w:val="fr-FR"/>
        </w:rPr>
        <w:t>élaborer, d</w:t>
      </w:r>
      <w:r>
        <w:rPr>
          <w:lang w:val="fr-FR"/>
        </w:rPr>
        <w:t>’</w:t>
      </w:r>
      <w:r w:rsidRPr="00AB4DCC">
        <w:rPr>
          <w:lang w:val="fr-FR"/>
        </w:rPr>
        <w:t>harmoniser et de mettre à jour les Règlements ONU en vue d</w:t>
      </w:r>
      <w:r>
        <w:rPr>
          <w:lang w:val="fr-FR"/>
        </w:rPr>
        <w:t>’</w:t>
      </w:r>
      <w:r w:rsidRPr="00AB4DCC">
        <w:rPr>
          <w:lang w:val="fr-FR"/>
        </w:rPr>
        <w:t>améliorer les caractéristiques fonctionnelles des véhicules</w:t>
      </w:r>
      <w:r w:rsidR="00DF7AA4" w:rsidRPr="00DF7AA4">
        <w:rPr>
          <w:lang w:val="fr-FR"/>
        </w:rPr>
        <w:t>.</w:t>
      </w:r>
      <w:r w:rsidRPr="00AB4DCC">
        <w:rPr>
          <w:lang w:val="fr-FR"/>
        </w:rPr>
        <w:t xml:space="preserve"> Le présent document est soumis en vertu de ce mandat</w:t>
      </w:r>
      <w:r w:rsidR="00DF7AA4" w:rsidRPr="00DF7AA4">
        <w:rPr>
          <w:lang w:val="fr-FR"/>
        </w:rPr>
        <w:t>.</w:t>
      </w:r>
    </w:p>
    <w:p w14:paraId="1859C980" w14:textId="77777777" w:rsidR="006F5732" w:rsidRPr="00AB4DCC" w:rsidRDefault="006F5732" w:rsidP="00EE432D">
      <w:pPr>
        <w:pStyle w:val="Notedebasdepage"/>
        <w:rPr>
          <w:lang w:val="fr-FR"/>
        </w:rPr>
      </w:pPr>
    </w:p>
  </w:footnote>
  <w:footnote w:id="3">
    <w:p w14:paraId="5C4F45D8" w14:textId="40C232FF" w:rsidR="00EE432D" w:rsidRPr="00AB4DCC" w:rsidRDefault="00EE432D" w:rsidP="00EE432D">
      <w:pPr>
        <w:pStyle w:val="Notedebasdepage"/>
        <w:rPr>
          <w:lang w:val="fr-FR"/>
        </w:rPr>
      </w:pPr>
      <w:r>
        <w:rPr>
          <w:lang w:val="fr-FR"/>
        </w:rPr>
        <w:tab/>
      </w:r>
      <w:r w:rsidRPr="004B1B5A">
        <w:rPr>
          <w:rStyle w:val="Appelnotedebasdep"/>
        </w:rPr>
        <w:footnoteRef/>
      </w:r>
      <w:r>
        <w:rPr>
          <w:lang w:val="fr-FR"/>
        </w:rPr>
        <w:tab/>
      </w:r>
      <w:r w:rsidRPr="00AB4DCC">
        <w:rPr>
          <w:lang w:val="fr-FR"/>
        </w:rPr>
        <w:t>Selon les définitions figurant dans la Résolution d</w:t>
      </w:r>
      <w:r>
        <w:rPr>
          <w:lang w:val="fr-FR"/>
        </w:rPr>
        <w:t>’</w:t>
      </w:r>
      <w:r w:rsidRPr="00AB4DCC">
        <w:rPr>
          <w:lang w:val="fr-FR"/>
        </w:rPr>
        <w:t>ensemble sur la construction des véhicules (R</w:t>
      </w:r>
      <w:r w:rsidR="00DF7AA4" w:rsidRPr="00DF7AA4">
        <w:rPr>
          <w:lang w:val="fr-FR"/>
        </w:rPr>
        <w:t>.</w:t>
      </w:r>
      <w:r w:rsidRPr="00AB4DCC">
        <w:rPr>
          <w:lang w:val="fr-FR"/>
        </w:rPr>
        <w:t>E</w:t>
      </w:r>
      <w:r w:rsidR="00DF7AA4" w:rsidRPr="00DF7AA4">
        <w:rPr>
          <w:lang w:val="fr-FR"/>
        </w:rPr>
        <w:t>.</w:t>
      </w:r>
      <w:r w:rsidRPr="00AB4DCC">
        <w:rPr>
          <w:lang w:val="fr-FR"/>
        </w:rPr>
        <w:t>3), document ECE/TRANS/WP</w:t>
      </w:r>
      <w:r w:rsidR="00DF7AA4" w:rsidRPr="00DF7AA4">
        <w:rPr>
          <w:lang w:val="fr-FR"/>
        </w:rPr>
        <w:t>.</w:t>
      </w:r>
      <w:r w:rsidRPr="00AB4DCC">
        <w:rPr>
          <w:lang w:val="fr-FR"/>
        </w:rPr>
        <w:t>29/78/Rev</w:t>
      </w:r>
      <w:r w:rsidR="00DF7AA4" w:rsidRPr="00DF7AA4">
        <w:rPr>
          <w:lang w:val="fr-FR"/>
        </w:rPr>
        <w:t>.</w:t>
      </w:r>
      <w:r w:rsidRPr="00AB4DCC">
        <w:rPr>
          <w:lang w:val="fr-FR"/>
        </w:rPr>
        <w:t>6, par</w:t>
      </w:r>
      <w:r w:rsidR="00DF7AA4" w:rsidRPr="00DF7AA4">
        <w:rPr>
          <w:lang w:val="fr-FR"/>
        </w:rPr>
        <w:t>.</w:t>
      </w:r>
      <w:r>
        <w:rPr>
          <w:lang w:val="fr-FR"/>
        </w:rPr>
        <w:t> </w:t>
      </w:r>
      <w:r w:rsidRPr="00AB4DCC">
        <w:rPr>
          <w:lang w:val="fr-FR"/>
        </w:rPr>
        <w:t>2</w:t>
      </w:r>
      <w:r w:rsidR="006F5732">
        <w:rPr>
          <w:lang w:val="fr-FR"/>
        </w:rPr>
        <w:t xml:space="preserve"> </w:t>
      </w:r>
      <w:r w:rsidRPr="00AB4DCC">
        <w:rPr>
          <w:lang w:val="fr-FR"/>
        </w:rPr>
        <w:t>(</w:t>
      </w:r>
      <w:hyperlink r:id="rId1" w:history="1">
        <w:r w:rsidR="006F5732" w:rsidRPr="00C930FD">
          <w:rPr>
            <w:rStyle w:val="Lienhypertexte"/>
            <w:lang w:val="fr-FR"/>
          </w:rPr>
          <w:t>https://unece</w:t>
        </w:r>
        <w:r w:rsidR="00DF7AA4" w:rsidRPr="00DF7AA4">
          <w:rPr>
            <w:rStyle w:val="Lienhypertexte"/>
            <w:lang w:val="fr-FR"/>
          </w:rPr>
          <w:t>.</w:t>
        </w:r>
        <w:r w:rsidR="006F5732" w:rsidRPr="00C930FD">
          <w:rPr>
            <w:rStyle w:val="Lienhypertexte"/>
            <w:lang w:val="fr-FR"/>
          </w:rPr>
          <w:t>org/transport/standards/transport/vehicle-regulations-wp29/resolutions</w:t>
        </w:r>
      </w:hyperlink>
      <w:hyperlink r:id="rId2" w:history="1"/>
      <w:r w:rsidRPr="00AB4DCC">
        <w:rPr>
          <w:lang w:val="fr-FR"/>
        </w:rPr>
        <w:t>)</w:t>
      </w:r>
      <w:r w:rsidR="00DF7AA4" w:rsidRPr="00DF7AA4">
        <w:rPr>
          <w:lang w:val="fr-FR"/>
        </w:rPr>
        <w:t>.</w:t>
      </w:r>
    </w:p>
  </w:footnote>
  <w:footnote w:id="4">
    <w:p w14:paraId="68374BB4" w14:textId="736B29A1" w:rsidR="00EE432D" w:rsidRPr="00AB4DCC" w:rsidRDefault="00EE432D" w:rsidP="00EE432D">
      <w:pPr>
        <w:pStyle w:val="Notedebasdepage"/>
        <w:rPr>
          <w:szCs w:val="18"/>
          <w:lang w:val="fr-FR"/>
        </w:rPr>
      </w:pPr>
      <w:r>
        <w:rPr>
          <w:lang w:val="fr-FR"/>
        </w:rPr>
        <w:tab/>
      </w:r>
      <w:r w:rsidRPr="004B1B5A">
        <w:rPr>
          <w:rStyle w:val="Appelnotedebasdep"/>
        </w:rPr>
        <w:footnoteRef/>
      </w:r>
      <w:r>
        <w:rPr>
          <w:lang w:val="fr-FR"/>
        </w:rPr>
        <w:tab/>
      </w:r>
      <w:r w:rsidRPr="00AB4DCC">
        <w:rPr>
          <w:rStyle w:val="ui-provider"/>
          <w:lang w:val="fr-FR"/>
        </w:rPr>
        <w:t>Les numéros distinctifs des Parties contractantes à l</w:t>
      </w:r>
      <w:r>
        <w:rPr>
          <w:rStyle w:val="ui-provider"/>
          <w:lang w:val="fr-FR"/>
        </w:rPr>
        <w:t>’</w:t>
      </w:r>
      <w:r w:rsidRPr="00AB4DCC">
        <w:rPr>
          <w:rStyle w:val="ui-provider"/>
          <w:lang w:val="fr-FR"/>
        </w:rPr>
        <w:t>Accord de 1958 sont indiqués à l</w:t>
      </w:r>
      <w:r>
        <w:rPr>
          <w:rStyle w:val="ui-provider"/>
          <w:lang w:val="fr-FR"/>
        </w:rPr>
        <w:t>’</w:t>
      </w:r>
      <w:r w:rsidRPr="00AB4DCC">
        <w:rPr>
          <w:rStyle w:val="ui-provider"/>
          <w:lang w:val="fr-FR"/>
        </w:rPr>
        <w:t>annexe 3 de la Résolution d</w:t>
      </w:r>
      <w:r>
        <w:rPr>
          <w:rStyle w:val="ui-provider"/>
          <w:lang w:val="fr-FR"/>
        </w:rPr>
        <w:t>’</w:t>
      </w:r>
      <w:r w:rsidRPr="00AB4DCC">
        <w:rPr>
          <w:rStyle w:val="ui-provider"/>
          <w:lang w:val="fr-FR"/>
        </w:rPr>
        <w:t>ensemble sur la construction des véhicules (R</w:t>
      </w:r>
      <w:r w:rsidR="00DF7AA4" w:rsidRPr="00DF7AA4">
        <w:rPr>
          <w:rStyle w:val="ui-provider"/>
          <w:lang w:val="fr-FR"/>
        </w:rPr>
        <w:t>.</w:t>
      </w:r>
      <w:r w:rsidRPr="00AB4DCC">
        <w:rPr>
          <w:rStyle w:val="ui-provider"/>
          <w:lang w:val="fr-FR"/>
        </w:rPr>
        <w:t>E</w:t>
      </w:r>
      <w:r w:rsidR="00DF7AA4" w:rsidRPr="00DF7AA4">
        <w:rPr>
          <w:rStyle w:val="ui-provider"/>
          <w:lang w:val="fr-FR"/>
        </w:rPr>
        <w:t>.</w:t>
      </w:r>
      <w:r w:rsidRPr="00AB4DCC">
        <w:rPr>
          <w:rStyle w:val="ui-provider"/>
          <w:lang w:val="fr-FR"/>
        </w:rPr>
        <w:t xml:space="preserve">3), document </w:t>
      </w:r>
      <w:r w:rsidRPr="00AB4DCC">
        <w:rPr>
          <w:lang w:val="fr-FR"/>
        </w:rPr>
        <w:t>ECE/TRANS/WP</w:t>
      </w:r>
      <w:r w:rsidR="00DF7AA4" w:rsidRPr="00DF7AA4">
        <w:rPr>
          <w:lang w:val="fr-FR"/>
        </w:rPr>
        <w:t>.</w:t>
      </w:r>
      <w:r w:rsidRPr="00AB4DCC">
        <w:rPr>
          <w:lang w:val="fr-FR"/>
        </w:rPr>
        <w:t>29/78/Rev</w:t>
      </w:r>
      <w:r w:rsidR="00DF7AA4" w:rsidRPr="00DF7AA4">
        <w:rPr>
          <w:lang w:val="fr-FR"/>
        </w:rPr>
        <w:t>.</w:t>
      </w:r>
      <w:r w:rsidRPr="00AB4DCC">
        <w:rPr>
          <w:lang w:val="fr-FR"/>
        </w:rPr>
        <w:t>6, annexe</w:t>
      </w:r>
      <w:r w:rsidR="00D24EF3">
        <w:rPr>
          <w:lang w:val="fr-FR"/>
        </w:rPr>
        <w:t> </w:t>
      </w:r>
      <w:r w:rsidRPr="00AB4DCC">
        <w:rPr>
          <w:lang w:val="fr-FR"/>
        </w:rPr>
        <w:t>3 (</w:t>
      </w:r>
      <w:hyperlink r:id="rId3" w:history="1">
        <w:r w:rsidR="006F5732" w:rsidRPr="00C930FD">
          <w:rPr>
            <w:rStyle w:val="Lienhypertexte"/>
            <w:lang w:val="fr-FR"/>
          </w:rPr>
          <w:t>https://unece</w:t>
        </w:r>
        <w:r w:rsidR="00DF7AA4" w:rsidRPr="00DF7AA4">
          <w:rPr>
            <w:rStyle w:val="Lienhypertexte"/>
            <w:lang w:val="fr-FR"/>
          </w:rPr>
          <w:t>.</w:t>
        </w:r>
        <w:r w:rsidR="006F5732" w:rsidRPr="00C930FD">
          <w:rPr>
            <w:rStyle w:val="Lienhypertexte"/>
            <w:lang w:val="fr-FR"/>
          </w:rPr>
          <w:t>org/transport/standards/transport/vehicle-regulations-wp29/resolutions</w:t>
        </w:r>
      </w:hyperlink>
      <w:hyperlink r:id="rId4" w:history="1"/>
      <w:r w:rsidRPr="00AB4DCC">
        <w:rPr>
          <w:lang w:val="fr-FR"/>
        </w:rPr>
        <w:t>)</w:t>
      </w:r>
      <w:r w:rsidR="00DF7AA4" w:rsidRPr="00DF7AA4">
        <w:rPr>
          <w:lang w:val="fr-FR"/>
        </w:rPr>
        <w:t>.</w:t>
      </w:r>
    </w:p>
  </w:footnote>
  <w:footnote w:id="5">
    <w:p w14:paraId="2C60293C" w14:textId="2FD6CE59" w:rsidR="00EE432D" w:rsidRPr="00AB4DCC" w:rsidRDefault="00EE432D" w:rsidP="00EE432D">
      <w:pPr>
        <w:pStyle w:val="Notedebasdepage"/>
        <w:rPr>
          <w:lang w:val="fr-FR"/>
        </w:rPr>
      </w:pPr>
      <w:r w:rsidRPr="00AB4DCC">
        <w:rPr>
          <w:lang w:val="fr-FR"/>
        </w:rPr>
        <w:tab/>
      </w:r>
      <w:r w:rsidRPr="004B1B5A">
        <w:rPr>
          <w:rStyle w:val="Appelnotedebasdep"/>
        </w:rPr>
        <w:footnoteRef/>
      </w:r>
      <w:r w:rsidRPr="00AB4DCC">
        <w:rPr>
          <w:lang w:val="fr-FR"/>
        </w:rPr>
        <w:tab/>
        <w:t xml:space="preserve">Le secrétariat de la CEE fournit la </w:t>
      </w:r>
      <w:proofErr w:type="spellStart"/>
      <w:r w:rsidRPr="00AB4DCC">
        <w:rPr>
          <w:lang w:val="fr-FR"/>
        </w:rPr>
        <w:t>plateforme</w:t>
      </w:r>
      <w:proofErr w:type="spellEnd"/>
      <w:r w:rsidRPr="00AB4DCC">
        <w:rPr>
          <w:lang w:val="fr-FR"/>
        </w:rPr>
        <w:t xml:space="preserve"> en ligne («</w:t>
      </w:r>
      <w:r>
        <w:rPr>
          <w:lang w:val="fr-FR"/>
        </w:rPr>
        <w:t> </w:t>
      </w:r>
      <w:r w:rsidRPr="00AB4DCC">
        <w:rPr>
          <w:lang w:val="fr-FR"/>
        </w:rPr>
        <w:t>/343 Application</w:t>
      </w:r>
      <w:r>
        <w:rPr>
          <w:lang w:val="fr-FR"/>
        </w:rPr>
        <w:t> </w:t>
      </w:r>
      <w:r w:rsidRPr="00AB4DCC">
        <w:rPr>
          <w:lang w:val="fr-FR"/>
        </w:rPr>
        <w:t>») pour la communication de ces données</w:t>
      </w:r>
      <w:r>
        <w:rPr>
          <w:lang w:val="fr-FR"/>
        </w:rPr>
        <w:t> :</w:t>
      </w:r>
      <w:r w:rsidRPr="00AB4DCC">
        <w:rPr>
          <w:lang w:val="fr-FR"/>
        </w:rPr>
        <w:t xml:space="preserve"> </w:t>
      </w:r>
      <w:hyperlink r:id="rId5" w:history="1">
        <w:r w:rsidRPr="00A1087B">
          <w:rPr>
            <w:rStyle w:val="Lienhypertexte"/>
            <w:lang w:val="fr-FR"/>
          </w:rPr>
          <w:t>https://www</w:t>
        </w:r>
        <w:r w:rsidR="00DF7AA4" w:rsidRPr="00DF7AA4">
          <w:rPr>
            <w:rStyle w:val="Lienhypertexte"/>
            <w:lang w:val="fr-FR"/>
          </w:rPr>
          <w:t>.</w:t>
        </w:r>
        <w:r w:rsidRPr="00A1087B">
          <w:rPr>
            <w:rStyle w:val="Lienhypertexte"/>
            <w:lang w:val="fr-FR"/>
          </w:rPr>
          <w:t>unece</w:t>
        </w:r>
        <w:r w:rsidR="00DF7AA4" w:rsidRPr="00DF7AA4">
          <w:rPr>
            <w:rStyle w:val="Lienhypertexte"/>
            <w:lang w:val="fr-FR"/>
          </w:rPr>
          <w:t>.</w:t>
        </w:r>
        <w:r w:rsidRPr="00A1087B">
          <w:rPr>
            <w:rStyle w:val="Lienhypertexte"/>
            <w:lang w:val="fr-FR"/>
          </w:rPr>
          <w:t>org/trans/main/wp29/datasharing</w:t>
        </w:r>
        <w:r w:rsidR="00DF7AA4" w:rsidRPr="00DF7AA4">
          <w:rPr>
            <w:rStyle w:val="Lienhypertexte"/>
            <w:lang w:val="fr-FR"/>
          </w:rPr>
          <w:t>.</w:t>
        </w:r>
        <w:r w:rsidRPr="00A1087B">
          <w:rPr>
            <w:rStyle w:val="Lienhypertexte"/>
            <w:lang w:val="fr-FR"/>
          </w:rPr>
          <w:t>html</w:t>
        </w:r>
      </w:hyperlink>
      <w:r w:rsidR="00DF7AA4" w:rsidRPr="00DF7AA4">
        <w:rPr>
          <w:lang w:val="fr-FR"/>
        </w:rPr>
        <w:t>.</w:t>
      </w:r>
    </w:p>
  </w:footnote>
  <w:footnote w:id="6">
    <w:p w14:paraId="68B35330" w14:textId="2CA5CC7B" w:rsidR="006F5732" w:rsidRPr="00AB4DCC" w:rsidRDefault="006F5732" w:rsidP="006F5732">
      <w:pPr>
        <w:pStyle w:val="Notedebasdepage"/>
        <w:rPr>
          <w:lang w:val="fr-FR"/>
        </w:rPr>
      </w:pPr>
      <w:r w:rsidRPr="00AB4DCC">
        <w:rPr>
          <w:lang w:val="fr-FR"/>
        </w:rPr>
        <w:tab/>
      </w:r>
      <w:r w:rsidRPr="004B1B5A">
        <w:rPr>
          <w:rStyle w:val="Appelnotedebasdep"/>
        </w:rPr>
        <w:footnoteRef/>
      </w:r>
      <w:r w:rsidRPr="00AB4DCC">
        <w:rPr>
          <w:lang w:val="fr-FR"/>
        </w:rPr>
        <w:tab/>
        <w:t>Numéro distinctif du pays qui a accordé/étendu/refusé/retiré l</w:t>
      </w:r>
      <w:r>
        <w:rPr>
          <w:lang w:val="fr-FR"/>
        </w:rPr>
        <w:t>’</w:t>
      </w:r>
      <w:r w:rsidRPr="00AB4DCC">
        <w:rPr>
          <w:lang w:val="fr-FR"/>
        </w:rPr>
        <w:t>homologation (voir les dispositions du</w:t>
      </w:r>
      <w:r>
        <w:rPr>
          <w:lang w:val="fr-FR"/>
        </w:rPr>
        <w:t> </w:t>
      </w:r>
      <w:r w:rsidRPr="00AB4DCC">
        <w:rPr>
          <w:lang w:val="fr-FR"/>
        </w:rPr>
        <w:t>Règlement relatives à l</w:t>
      </w:r>
      <w:r>
        <w:rPr>
          <w:lang w:val="fr-FR"/>
        </w:rPr>
        <w:t>’</w:t>
      </w:r>
      <w:r w:rsidRPr="00AB4DCC">
        <w:rPr>
          <w:lang w:val="fr-FR"/>
        </w:rPr>
        <w:t>homologation)</w:t>
      </w:r>
      <w:r w:rsidR="00DF7AA4" w:rsidRPr="00DF7AA4">
        <w:rPr>
          <w:lang w:val="fr-FR"/>
        </w:rPr>
        <w:t>.</w:t>
      </w:r>
    </w:p>
  </w:footnote>
  <w:footnote w:id="7">
    <w:p w14:paraId="428B344D" w14:textId="3FD849D1" w:rsidR="006F5732" w:rsidRPr="00AB4DCC" w:rsidRDefault="006F5732" w:rsidP="006F5732">
      <w:pPr>
        <w:pStyle w:val="Notedebasdepage"/>
        <w:rPr>
          <w:lang w:val="fr-FR"/>
        </w:rPr>
      </w:pPr>
      <w:r w:rsidRPr="00AB4DCC">
        <w:rPr>
          <w:lang w:val="fr-FR"/>
        </w:rPr>
        <w:tab/>
      </w:r>
      <w:r w:rsidRPr="004B1B5A">
        <w:rPr>
          <w:rStyle w:val="Appelnotedebasdep"/>
        </w:rPr>
        <w:footnoteRef/>
      </w:r>
      <w:r w:rsidRPr="00AB4DCC">
        <w:rPr>
          <w:lang w:val="fr-FR"/>
        </w:rPr>
        <w:tab/>
        <w:t>Biffer les mentions inutiles</w:t>
      </w:r>
      <w:r w:rsidR="00DF7AA4" w:rsidRPr="00DF7AA4">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0964" w14:textId="5F6A11C7" w:rsidR="00EE432D" w:rsidRPr="00EE432D" w:rsidRDefault="00EE432D">
    <w:pPr>
      <w:pStyle w:val="En-tte"/>
    </w:pPr>
    <w:fldSimple w:instr=" TITLE  \* MERGEFORMAT ">
      <w:r w:rsidR="00873317">
        <w:t>ECE/TRANS/WP.29/2024/154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96F1" w14:textId="372B1C4F" w:rsidR="00EE432D" w:rsidRPr="00EE432D" w:rsidRDefault="00EE432D" w:rsidP="00EE432D">
    <w:pPr>
      <w:pStyle w:val="En-tte"/>
      <w:jc w:val="right"/>
    </w:pPr>
    <w:fldSimple w:instr=" TITLE  \* MERGEFORMAT ">
      <w:r w:rsidR="00873317">
        <w:t>ECE/TRANS/WP.29/2024/154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852F" w14:textId="2434B487" w:rsidR="006F5732" w:rsidRPr="006F5732" w:rsidRDefault="006F5732" w:rsidP="006F5732">
    <w:pPr>
      <w:pStyle w:val="En-tte"/>
    </w:pPr>
    <w:fldSimple w:instr=" TITLE  \* MERGEFORMAT ">
      <w:r w:rsidR="00873317">
        <w:t>ECE/TRANS/WP.29/2024/154</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A4CC" w14:textId="7E626AF2" w:rsidR="006F5732" w:rsidRPr="006F5732" w:rsidRDefault="006F5732" w:rsidP="006F5732">
    <w:pPr>
      <w:pStyle w:val="En-tte"/>
      <w:jc w:val="right"/>
    </w:pPr>
    <w:fldSimple w:instr=" TITLE  \* MERGEFORMAT ">
      <w:r w:rsidR="00873317">
        <w:t>ECE/TRANS/WP.29/2024/154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A545D7C"/>
    <w:multiLevelType w:val="hybridMultilevel"/>
    <w:tmpl w:val="54CA200E"/>
    <w:lvl w:ilvl="0" w:tplc="12B4FDB8">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E271A65"/>
    <w:multiLevelType w:val="multilevel"/>
    <w:tmpl w:val="71AC3450"/>
    <w:lvl w:ilvl="0">
      <w:start w:val="7"/>
      <w:numFmt w:val="decimal"/>
      <w:lvlText w:val="%1."/>
      <w:lvlJc w:val="left"/>
      <w:pPr>
        <w:ind w:left="1440" w:hanging="1440"/>
      </w:pPr>
      <w:rPr>
        <w:rFonts w:hint="default"/>
        <w:b/>
        <w:bCs w:val="0"/>
        <w:i w:val="0"/>
        <w:iCs w:val="0"/>
        <w:color w:val="auto"/>
        <w:sz w:val="24"/>
        <w:szCs w:val="24"/>
      </w:rPr>
    </w:lvl>
    <w:lvl w:ilvl="1">
      <w:start w:val="1"/>
      <w:numFmt w:val="decimal"/>
      <w:isLgl/>
      <w:lvlText w:val="%1.%2."/>
      <w:lvlJc w:val="left"/>
      <w:pPr>
        <w:ind w:left="1440" w:hanging="1440"/>
      </w:pPr>
      <w:rPr>
        <w:rFonts w:hint="default"/>
        <w:sz w:val="22"/>
        <w:szCs w:val="16"/>
      </w:rPr>
    </w:lvl>
    <w:lvl w:ilvl="2">
      <w:start w:val="1"/>
      <w:numFmt w:val="decimal"/>
      <w:isLgl/>
      <w:lvlText w:val="%1.%2.%3."/>
      <w:lvlJc w:val="left"/>
      <w:pPr>
        <w:ind w:left="1440" w:hanging="1440"/>
      </w:pPr>
      <w:rPr>
        <w:rFonts w:hint="default"/>
        <w:strike w:val="0"/>
      </w:rPr>
    </w:lvl>
    <w:lvl w:ilvl="3">
      <w:start w:val="1"/>
      <w:numFmt w:val="decimal"/>
      <w:isLgl/>
      <w:lvlText w:val="%1.%2.%3.%4."/>
      <w:lvlJc w:val="left"/>
      <w:pPr>
        <w:ind w:left="1440" w:hanging="1440"/>
      </w:pPr>
      <w:rPr>
        <w:rFonts w:hint="default"/>
        <w:b w:val="0"/>
        <w:bCs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0EC432E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43B5FC4"/>
    <w:multiLevelType w:val="multilevel"/>
    <w:tmpl w:val="9C7602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355CD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BE37C6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202A117D"/>
    <w:multiLevelType w:val="hybridMultilevel"/>
    <w:tmpl w:val="175C868A"/>
    <w:lvl w:ilvl="0" w:tplc="FFFFFFFF">
      <w:start w:val="1"/>
      <w:numFmt w:val="lowerLetter"/>
      <w:lvlText w:val="(%1)"/>
      <w:lvlJc w:val="left"/>
      <w:pPr>
        <w:ind w:left="1800" w:hanging="360"/>
      </w:pPr>
      <w:rPr>
        <w:rFonts w:hint="default"/>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1DF248D"/>
    <w:multiLevelType w:val="multilevel"/>
    <w:tmpl w:val="A1E4388E"/>
    <w:lvl w:ilvl="0">
      <w:start w:val="1"/>
      <w:numFmt w:val="decimal"/>
      <w:lvlText w:val="%1."/>
      <w:lvlJc w:val="left"/>
      <w:pPr>
        <w:ind w:left="1440" w:hanging="1440"/>
      </w:pPr>
      <w:rPr>
        <w:rFonts w:hint="default"/>
      </w:rPr>
    </w:lvl>
    <w:lvl w:ilvl="1">
      <w:start w:val="1"/>
      <w:numFmt w:val="decimal"/>
      <w:isLgl/>
      <w:lvlText w:val="%1.%2."/>
      <w:lvlJc w:val="left"/>
      <w:pPr>
        <w:ind w:left="144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B3F49C6"/>
    <w:multiLevelType w:val="singleLevel"/>
    <w:tmpl w:val="82A8E700"/>
    <w:lvl w:ilvl="0">
      <w:start w:val="1"/>
      <w:numFmt w:val="lowerRoman"/>
      <w:lvlText w:val="%1)"/>
      <w:lvlJc w:val="right"/>
      <w:pPr>
        <w:tabs>
          <w:tab w:val="num" w:pos="927"/>
        </w:tabs>
        <w:ind w:left="567" w:firstLine="0"/>
      </w:pPr>
    </w:lvl>
  </w:abstractNum>
  <w:abstractNum w:abstractNumId="22" w15:restartNumberingAfterBreak="0">
    <w:nsid w:val="2C62588C"/>
    <w:multiLevelType w:val="multilevel"/>
    <w:tmpl w:val="93FCA72E"/>
    <w:lvl w:ilvl="0">
      <w:start w:val="2"/>
      <w:numFmt w:val="decimal"/>
      <w:lvlText w:val="%1."/>
      <w:lvlJc w:val="left"/>
      <w:pPr>
        <w:ind w:left="1440" w:hanging="1440"/>
      </w:pPr>
      <w:rPr>
        <w:rFonts w:hint="default"/>
        <w:b/>
        <w:bCs w:val="0"/>
        <w:i w:val="0"/>
        <w:iCs w:val="0"/>
        <w:color w:val="auto"/>
        <w:sz w:val="24"/>
        <w:szCs w:val="24"/>
      </w:rPr>
    </w:lvl>
    <w:lvl w:ilvl="1">
      <w:start w:val="1"/>
      <w:numFmt w:val="decimal"/>
      <w:isLgl/>
      <w:lvlText w:val="%1.%2."/>
      <w:lvlJc w:val="left"/>
      <w:pPr>
        <w:ind w:left="1440" w:hanging="1440"/>
      </w:pPr>
      <w:rPr>
        <w:rFonts w:hint="default"/>
        <w:sz w:val="22"/>
        <w:szCs w:val="16"/>
      </w:rPr>
    </w:lvl>
    <w:lvl w:ilvl="2">
      <w:start w:val="1"/>
      <w:numFmt w:val="decimal"/>
      <w:isLgl/>
      <w:lvlText w:val="%1.%2.%3."/>
      <w:lvlJc w:val="left"/>
      <w:pPr>
        <w:ind w:left="1440" w:hanging="1440"/>
      </w:pPr>
      <w:rPr>
        <w:rFonts w:hint="default"/>
        <w:strike w:val="0"/>
      </w:rPr>
    </w:lvl>
    <w:lvl w:ilvl="3">
      <w:start w:val="1"/>
      <w:numFmt w:val="decimal"/>
      <w:isLgl/>
      <w:lvlText w:val="%1.%2.%3.%4."/>
      <w:lvlJc w:val="left"/>
      <w:pPr>
        <w:ind w:left="1440" w:hanging="1440"/>
      </w:pPr>
      <w:rPr>
        <w:rFonts w:hint="default"/>
        <w:b w:val="0"/>
        <w:bCs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FB73E94"/>
    <w:multiLevelType w:val="hybridMultilevel"/>
    <w:tmpl w:val="175C868A"/>
    <w:lvl w:ilvl="0" w:tplc="E774FB28">
      <w:start w:val="1"/>
      <w:numFmt w:val="lowerLetter"/>
      <w:lvlText w:val="(%1)"/>
      <w:lvlJc w:val="left"/>
      <w:pPr>
        <w:ind w:left="1800" w:hanging="360"/>
      </w:pPr>
      <w:rPr>
        <w:rFonts w:hint="default"/>
        <w:sz w:val="20"/>
        <w:szCs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5" w15:restartNumberingAfterBreak="0">
    <w:nsid w:val="3CB061AB"/>
    <w:multiLevelType w:val="singleLevel"/>
    <w:tmpl w:val="1C1E1026"/>
    <w:lvl w:ilvl="0">
      <w:start w:val="1"/>
      <w:numFmt w:val="decimal"/>
      <w:lvlText w:val="%1."/>
      <w:lvlJc w:val="left"/>
      <w:pPr>
        <w:tabs>
          <w:tab w:val="num" w:pos="360"/>
        </w:tabs>
        <w:ind w:left="-1" w:firstLine="1"/>
      </w:pPr>
      <w:rPr>
        <w:rFonts w:hint="default"/>
      </w:rPr>
    </w:lvl>
  </w:abstractNum>
  <w:abstractNum w:abstractNumId="26"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27" w15:restartNumberingAfterBreak="0">
    <w:nsid w:val="65925DC1"/>
    <w:multiLevelType w:val="hybridMultilevel"/>
    <w:tmpl w:val="FAA66F24"/>
    <w:lvl w:ilvl="0" w:tplc="1A4C4822">
      <w:start w:val="1"/>
      <w:numFmt w:val="bullet"/>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75E223DA"/>
    <w:multiLevelType w:val="hybridMultilevel"/>
    <w:tmpl w:val="5B7ACB42"/>
    <w:lvl w:ilvl="0" w:tplc="A2CE5F8E">
      <w:start w:val="1"/>
      <w:numFmt w:val="bullet"/>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349BD"/>
    <w:multiLevelType w:val="singleLevel"/>
    <w:tmpl w:val="DCB8FA36"/>
    <w:lvl w:ilvl="0">
      <w:start w:val="1"/>
      <w:numFmt w:val="lowerRoman"/>
      <w:lvlText w:val="%1)"/>
      <w:lvlJc w:val="right"/>
      <w:pPr>
        <w:tabs>
          <w:tab w:val="num" w:pos="504"/>
        </w:tabs>
        <w:ind w:left="504" w:hanging="216"/>
      </w:pPr>
    </w:lvl>
  </w:abstractNum>
  <w:num w:numId="1" w16cid:durableId="956716814">
    <w:abstractNumId w:val="28"/>
  </w:num>
  <w:num w:numId="2" w16cid:durableId="1714765659">
    <w:abstractNumId w:val="24"/>
  </w:num>
  <w:num w:numId="3" w16cid:durableId="1533760671">
    <w:abstractNumId w:val="13"/>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28"/>
  </w:num>
  <w:num w:numId="15" w16cid:durableId="69542872">
    <w:abstractNumId w:val="24"/>
  </w:num>
  <w:num w:numId="16" w16cid:durableId="1390105543">
    <w:abstractNumId w:val="13"/>
  </w:num>
  <w:num w:numId="17" w16cid:durableId="1411272786">
    <w:abstractNumId w:val="13"/>
  </w:num>
  <w:num w:numId="18" w16cid:durableId="1553614473">
    <w:abstractNumId w:val="18"/>
  </w:num>
  <w:num w:numId="19" w16cid:durableId="1998266970">
    <w:abstractNumId w:val="15"/>
  </w:num>
  <w:num w:numId="20" w16cid:durableId="1485466633">
    <w:abstractNumId w:val="17"/>
  </w:num>
  <w:num w:numId="21" w16cid:durableId="2128231266">
    <w:abstractNumId w:val="27"/>
  </w:num>
  <w:num w:numId="22" w16cid:durableId="86118656">
    <w:abstractNumId w:val="29"/>
  </w:num>
  <w:num w:numId="23" w16cid:durableId="1907646263">
    <w:abstractNumId w:val="26"/>
  </w:num>
  <w:num w:numId="24" w16cid:durableId="1392734015">
    <w:abstractNumId w:val="25"/>
  </w:num>
  <w:num w:numId="25" w16cid:durableId="2003964653">
    <w:abstractNumId w:val="30"/>
  </w:num>
  <w:num w:numId="26" w16cid:durableId="499733778">
    <w:abstractNumId w:val="21"/>
  </w:num>
  <w:num w:numId="27" w16cid:durableId="1781485837">
    <w:abstractNumId w:val="10"/>
    <w:lvlOverride w:ilvl="0">
      <w:startOverride w:val="1"/>
      <w:lvl w:ilvl="0">
        <w:start w:val="1"/>
        <w:numFmt w:val="decimal"/>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696470100">
    <w:abstractNumId w:val="12"/>
  </w:num>
  <w:num w:numId="29" w16cid:durableId="1541284169">
    <w:abstractNumId w:val="11"/>
  </w:num>
  <w:num w:numId="30" w16cid:durableId="2012953896">
    <w:abstractNumId w:val="22"/>
  </w:num>
  <w:num w:numId="31" w16cid:durableId="580911567">
    <w:abstractNumId w:val="16"/>
  </w:num>
  <w:num w:numId="32" w16cid:durableId="1343318107">
    <w:abstractNumId w:val="20"/>
  </w:num>
  <w:num w:numId="33" w16cid:durableId="1728912308">
    <w:abstractNumId w:val="14"/>
  </w:num>
  <w:num w:numId="34" w16cid:durableId="796529528">
    <w:abstractNumId w:val="23"/>
  </w:num>
  <w:num w:numId="35" w16cid:durableId="6503260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DA"/>
    <w:rsid w:val="00017F94"/>
    <w:rsid w:val="00023842"/>
    <w:rsid w:val="000334F9"/>
    <w:rsid w:val="00045FEB"/>
    <w:rsid w:val="0007796D"/>
    <w:rsid w:val="000B7790"/>
    <w:rsid w:val="00111F2F"/>
    <w:rsid w:val="0014365E"/>
    <w:rsid w:val="00143C66"/>
    <w:rsid w:val="00176178"/>
    <w:rsid w:val="001772E5"/>
    <w:rsid w:val="001F525A"/>
    <w:rsid w:val="00201148"/>
    <w:rsid w:val="00223272"/>
    <w:rsid w:val="0024779E"/>
    <w:rsid w:val="00257168"/>
    <w:rsid w:val="002672D9"/>
    <w:rsid w:val="002744B8"/>
    <w:rsid w:val="002832AC"/>
    <w:rsid w:val="002D7C93"/>
    <w:rsid w:val="00305801"/>
    <w:rsid w:val="003916DE"/>
    <w:rsid w:val="00421996"/>
    <w:rsid w:val="004345A4"/>
    <w:rsid w:val="00441C3B"/>
    <w:rsid w:val="00446FE5"/>
    <w:rsid w:val="00452396"/>
    <w:rsid w:val="00477EB2"/>
    <w:rsid w:val="004837D8"/>
    <w:rsid w:val="004E2EED"/>
    <w:rsid w:val="004E468C"/>
    <w:rsid w:val="005505B7"/>
    <w:rsid w:val="00573BE5"/>
    <w:rsid w:val="00586ED3"/>
    <w:rsid w:val="00596AA9"/>
    <w:rsid w:val="006576A5"/>
    <w:rsid w:val="006F5732"/>
    <w:rsid w:val="0071601D"/>
    <w:rsid w:val="007A62E6"/>
    <w:rsid w:val="007F20FA"/>
    <w:rsid w:val="0080684C"/>
    <w:rsid w:val="00871C75"/>
    <w:rsid w:val="00873317"/>
    <w:rsid w:val="008776DC"/>
    <w:rsid w:val="008D5EF9"/>
    <w:rsid w:val="009446C0"/>
    <w:rsid w:val="009705C8"/>
    <w:rsid w:val="009C1CF4"/>
    <w:rsid w:val="009F6B74"/>
    <w:rsid w:val="00A3029F"/>
    <w:rsid w:val="00A30353"/>
    <w:rsid w:val="00A97604"/>
    <w:rsid w:val="00AC3823"/>
    <w:rsid w:val="00AE323C"/>
    <w:rsid w:val="00AF0CB5"/>
    <w:rsid w:val="00AF1D08"/>
    <w:rsid w:val="00B00181"/>
    <w:rsid w:val="00B00B0D"/>
    <w:rsid w:val="00B359DA"/>
    <w:rsid w:val="00B45F2E"/>
    <w:rsid w:val="00B765F7"/>
    <w:rsid w:val="00B77993"/>
    <w:rsid w:val="00BA0CA9"/>
    <w:rsid w:val="00BE7809"/>
    <w:rsid w:val="00C00931"/>
    <w:rsid w:val="00C02897"/>
    <w:rsid w:val="00C97039"/>
    <w:rsid w:val="00D1353B"/>
    <w:rsid w:val="00D24EF3"/>
    <w:rsid w:val="00D3439C"/>
    <w:rsid w:val="00D7622E"/>
    <w:rsid w:val="00DB1831"/>
    <w:rsid w:val="00DD3BFD"/>
    <w:rsid w:val="00DF6678"/>
    <w:rsid w:val="00DF7AA4"/>
    <w:rsid w:val="00E0299A"/>
    <w:rsid w:val="00E85C74"/>
    <w:rsid w:val="00EA6547"/>
    <w:rsid w:val="00ED7237"/>
    <w:rsid w:val="00EE0DB7"/>
    <w:rsid w:val="00EE432D"/>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27AED"/>
  <w15:docId w15:val="{DD249695-19DC-4204-A51D-B31D8A8C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aliases w:val="h2"/>
    <w:basedOn w:val="Normal"/>
    <w:next w:val="Normal"/>
    <w:link w:val="Titre2Car"/>
    <w:qFormat/>
    <w:rsid w:val="00023842"/>
    <w:pPr>
      <w:outlineLvl w:val="1"/>
    </w:pPr>
  </w:style>
  <w:style w:type="paragraph" w:styleId="Titre3">
    <w:name w:val="heading 3"/>
    <w:aliases w:val="h3"/>
    <w:basedOn w:val="Normal"/>
    <w:next w:val="Normal"/>
    <w:link w:val="Titre3Car"/>
    <w:qFormat/>
    <w:rsid w:val="00023842"/>
    <w:pPr>
      <w:outlineLvl w:val="2"/>
    </w:pPr>
  </w:style>
  <w:style w:type="paragraph" w:styleId="Titre4">
    <w:name w:val="heading 4"/>
    <w:aliases w:val="h4"/>
    <w:basedOn w:val="Normal"/>
    <w:next w:val="Normal"/>
    <w:link w:val="Titre4Car"/>
    <w:qFormat/>
    <w:rsid w:val="00023842"/>
    <w:pPr>
      <w:outlineLvl w:val="3"/>
    </w:pPr>
  </w:style>
  <w:style w:type="paragraph" w:styleId="Titre5">
    <w:name w:val="heading 5"/>
    <w:aliases w:val="h5"/>
    <w:basedOn w:val="Normal"/>
    <w:next w:val="Normal"/>
    <w:link w:val="Titre5Car"/>
    <w:qFormat/>
    <w:rsid w:val="00023842"/>
    <w:pPr>
      <w:outlineLvl w:val="4"/>
    </w:pPr>
  </w:style>
  <w:style w:type="paragraph" w:styleId="Titre6">
    <w:name w:val="heading 6"/>
    <w:aliases w:val="h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aliases w:val="h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aliases w:val="h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aliases w:val="h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aliases w:val="h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aliases w:val="h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EE432D"/>
    <w:rPr>
      <w:rFonts w:ascii="Times New Roman" w:eastAsiaTheme="minorHAnsi" w:hAnsi="Times New Roman" w:cs="Times New Roman"/>
      <w:sz w:val="20"/>
      <w:szCs w:val="20"/>
      <w:lang w:eastAsia="en-US"/>
    </w:rPr>
  </w:style>
  <w:style w:type="paragraph" w:customStyle="1" w:styleId="Rvision1">
    <w:name w:val="Révision1"/>
    <w:hidden/>
    <w:uiPriority w:val="99"/>
    <w:semiHidden/>
    <w:rsid w:val="00EE432D"/>
    <w:pPr>
      <w:spacing w:after="0" w:line="240" w:lineRule="auto"/>
    </w:pPr>
    <w:rPr>
      <w:rFonts w:ascii="Times New Roman" w:eastAsiaTheme="minorEastAsia" w:hAnsi="Times New Roman" w:cs="Times New Roman"/>
      <w:sz w:val="24"/>
      <w:szCs w:val="24"/>
      <w:lang w:val="en-GB" w:eastAsia="en-US"/>
    </w:rPr>
  </w:style>
  <w:style w:type="character" w:customStyle="1" w:styleId="HChGChar">
    <w:name w:val="_ H _Ch_G Char"/>
    <w:link w:val="HChG"/>
    <w:qFormat/>
    <w:rsid w:val="00EE432D"/>
    <w:rPr>
      <w:rFonts w:ascii="Times New Roman" w:eastAsiaTheme="minorHAnsi" w:hAnsi="Times New Roman" w:cs="Times New Roman"/>
      <w:b/>
      <w:sz w:val="28"/>
      <w:szCs w:val="20"/>
      <w:lang w:eastAsia="en-US"/>
    </w:rPr>
  </w:style>
  <w:style w:type="paragraph" w:styleId="Paragraphedeliste">
    <w:name w:val="List Paragraph"/>
    <w:basedOn w:val="Normal"/>
    <w:uiPriority w:val="34"/>
    <w:qFormat/>
    <w:rsid w:val="00EE432D"/>
    <w:pPr>
      <w:ind w:left="720"/>
      <w:contextualSpacing/>
    </w:pPr>
  </w:style>
  <w:style w:type="paragraph" w:styleId="Rvision">
    <w:name w:val="Revision"/>
    <w:hidden/>
    <w:uiPriority w:val="99"/>
    <w:semiHidden/>
    <w:rsid w:val="00EE432D"/>
    <w:pPr>
      <w:spacing w:after="0" w:line="240" w:lineRule="auto"/>
    </w:pPr>
    <w:rPr>
      <w:rFonts w:ascii="Times New Roman" w:eastAsiaTheme="minorEastAsia" w:hAnsi="Times New Roman" w:cs="Times New Roman"/>
      <w:sz w:val="20"/>
      <w:szCs w:val="20"/>
      <w:lang w:val="en-GB" w:eastAsia="en-US"/>
    </w:rPr>
  </w:style>
  <w:style w:type="character" w:customStyle="1" w:styleId="H1GChar">
    <w:name w:val="_ H_1_G Char"/>
    <w:link w:val="H1G"/>
    <w:rsid w:val="00EE432D"/>
    <w:rPr>
      <w:rFonts w:ascii="Times New Roman" w:eastAsiaTheme="minorHAnsi" w:hAnsi="Times New Roman" w:cs="Times New Roman"/>
      <w:b/>
      <w:sz w:val="24"/>
      <w:szCs w:val="20"/>
      <w:lang w:eastAsia="en-US"/>
    </w:rPr>
  </w:style>
  <w:style w:type="paragraph" w:customStyle="1" w:styleId="para">
    <w:name w:val="para"/>
    <w:basedOn w:val="SingleTxtG"/>
    <w:link w:val="paraChar"/>
    <w:qFormat/>
    <w:rsid w:val="00EE432D"/>
    <w:pPr>
      <w:ind w:left="2268" w:hanging="1134"/>
    </w:pPr>
    <w:rPr>
      <w:rFonts w:eastAsia="Yu Mincho"/>
      <w:lang w:val="x-none"/>
    </w:rPr>
  </w:style>
  <w:style w:type="character" w:customStyle="1" w:styleId="paraChar">
    <w:name w:val="para Char"/>
    <w:link w:val="para"/>
    <w:locked/>
    <w:rsid w:val="00EE432D"/>
    <w:rPr>
      <w:rFonts w:ascii="Times New Roman" w:eastAsia="Yu Mincho" w:hAnsi="Times New Roman" w:cs="Times New Roman"/>
      <w:sz w:val="20"/>
      <w:szCs w:val="20"/>
      <w:lang w:val="x-none" w:eastAsia="en-US"/>
    </w:rPr>
  </w:style>
  <w:style w:type="character" w:customStyle="1" w:styleId="ui-provider">
    <w:name w:val="ui-provider"/>
    <w:basedOn w:val="Policepardfaut"/>
    <w:rsid w:val="00EE432D"/>
  </w:style>
  <w:style w:type="character" w:styleId="Mentionnonrsolue">
    <w:name w:val="Unresolved Mention"/>
    <w:basedOn w:val="Policepardfaut"/>
    <w:uiPriority w:val="99"/>
    <w:semiHidden/>
    <w:unhideWhenUsed/>
    <w:rsid w:val="00EE4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wmf"/><Relationship Id="rId22" Type="http://schemas.openxmlformats.org/officeDocument/2006/relationships/customXml" Target="../customXml/item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transport/standards/transport/vehicle-regulations-wp29/resolutions" TargetMode="External"/><Relationship Id="rId2" Type="http://schemas.openxmlformats.org/officeDocument/2006/relationships/hyperlink" Target="NULL" TargetMode="External"/><Relationship Id="rId1" Type="http://schemas.openxmlformats.org/officeDocument/2006/relationships/hyperlink" Target="https://unece.org/transport/standards/transport/vehicle-regulations-wp29/resolutions" TargetMode="External"/><Relationship Id="rId5" Type="http://schemas.openxmlformats.org/officeDocument/2006/relationships/hyperlink" Target="https://www.unece.org/trans/main/wp29/datasharing.html" TargetMode="External"/><Relationship Id="rId4" Type="http://schemas.openxmlformats.org/officeDocument/2006/relationships/hyperlink" Target="N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36BC6-B8D6-4E31-86F1-C3CEC2429EB7}"/>
</file>

<file path=customXml/itemProps2.xml><?xml version="1.0" encoding="utf-8"?>
<ds:datastoreItem xmlns:ds="http://schemas.openxmlformats.org/officeDocument/2006/customXml" ds:itemID="{0AB5579A-C6BF-4AED-8AB5-11A2B82EE9E7}"/>
</file>

<file path=docProps/app.xml><?xml version="1.0" encoding="utf-8"?>
<Properties xmlns="http://schemas.openxmlformats.org/officeDocument/2006/extended-properties" xmlns:vt="http://schemas.openxmlformats.org/officeDocument/2006/docPropsVTypes">
  <Template>ECE_TRANS.dotm</Template>
  <TotalTime>0</TotalTime>
  <Pages>25</Pages>
  <Words>7459</Words>
  <Characters>52220</Characters>
  <Application>Microsoft Office Word</Application>
  <DocSecurity>0</DocSecurity>
  <Lines>4351</Lines>
  <Paragraphs>2387</Paragraphs>
  <ScaleCrop>false</ScaleCrop>
  <HeadingPairs>
    <vt:vector size="2" baseType="variant">
      <vt:variant>
        <vt:lpstr>Titre</vt:lpstr>
      </vt:variant>
      <vt:variant>
        <vt:i4>1</vt:i4>
      </vt:variant>
    </vt:vector>
  </HeadingPairs>
  <TitlesOfParts>
    <vt:vector size="1" baseType="lpstr">
      <vt:lpstr>ECE/TRANS/WP.29/2024/154</vt:lpstr>
    </vt:vector>
  </TitlesOfParts>
  <Company>DCM</Company>
  <LinksUpToDate>false</LinksUpToDate>
  <CharactersWithSpaces>57292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ECE/TRANS/WP.29/2024/154</dc:title>
  <dc:subject/>
  <dc:creator>Maud DARICHE</dc:creator>
  <cp:keywords/>
  <cp:lastModifiedBy>Maud DARICHE</cp:lastModifiedBy>
  <cp:revision>3</cp:revision>
  <cp:lastPrinted>2024-09-18T09:16:00Z</cp:lastPrinted>
  <dcterms:created xsi:type="dcterms:W3CDTF">2024-09-18T09:16:00Z</dcterms:created>
  <dcterms:modified xsi:type="dcterms:W3CDTF">2024-09-18T09:16:00Z</dcterms:modified>
</cp:coreProperties>
</file>