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5AED65D6" w14:textId="77777777" w:rsidTr="00C97039">
        <w:trPr>
          <w:trHeight w:hRule="exact" w:val="851"/>
        </w:trPr>
        <w:tc>
          <w:tcPr>
            <w:tcW w:w="1276" w:type="dxa"/>
            <w:tcBorders>
              <w:bottom w:val="single" w:sz="4" w:space="0" w:color="auto"/>
            </w:tcBorders>
          </w:tcPr>
          <w:p w14:paraId="0A5846C7" w14:textId="77777777" w:rsidR="00F35BAF" w:rsidRPr="00DB58B5" w:rsidRDefault="00F35BAF" w:rsidP="00C8567A"/>
        </w:tc>
        <w:tc>
          <w:tcPr>
            <w:tcW w:w="2268" w:type="dxa"/>
            <w:tcBorders>
              <w:bottom w:val="single" w:sz="4" w:space="0" w:color="auto"/>
            </w:tcBorders>
            <w:vAlign w:val="bottom"/>
          </w:tcPr>
          <w:p w14:paraId="779FFFE7"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50294949" w14:textId="2442EADC" w:rsidR="00F35BAF" w:rsidRPr="00DB58B5" w:rsidRDefault="00C8567A" w:rsidP="00C8567A">
            <w:pPr>
              <w:jc w:val="right"/>
            </w:pPr>
            <w:r w:rsidRPr="00C8567A">
              <w:rPr>
                <w:sz w:val="40"/>
              </w:rPr>
              <w:t>ECE</w:t>
            </w:r>
            <w:r>
              <w:t>/TRANS/WP.29/2024/153</w:t>
            </w:r>
          </w:p>
        </w:tc>
      </w:tr>
      <w:tr w:rsidR="00F35BAF" w:rsidRPr="00DB58B5" w14:paraId="54FC7F81" w14:textId="77777777" w:rsidTr="00C97039">
        <w:trPr>
          <w:trHeight w:hRule="exact" w:val="2835"/>
        </w:trPr>
        <w:tc>
          <w:tcPr>
            <w:tcW w:w="1276" w:type="dxa"/>
            <w:tcBorders>
              <w:top w:val="single" w:sz="4" w:space="0" w:color="auto"/>
              <w:bottom w:val="single" w:sz="12" w:space="0" w:color="auto"/>
            </w:tcBorders>
          </w:tcPr>
          <w:p w14:paraId="6068A74B" w14:textId="77777777" w:rsidR="00F35BAF" w:rsidRPr="00DB58B5" w:rsidRDefault="00F35BAF" w:rsidP="00C97039">
            <w:pPr>
              <w:spacing w:before="120"/>
              <w:jc w:val="center"/>
            </w:pPr>
            <w:r>
              <w:rPr>
                <w:noProof/>
                <w:lang w:eastAsia="fr-CH"/>
              </w:rPr>
              <w:drawing>
                <wp:inline distT="0" distB="0" distL="0" distR="0" wp14:anchorId="201B7881" wp14:editId="58EABD1C">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9E6DF4F"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48BC1D2C" w14:textId="77777777" w:rsidR="00F35BAF" w:rsidRDefault="00C8567A" w:rsidP="00C97039">
            <w:pPr>
              <w:spacing w:before="240"/>
            </w:pPr>
            <w:proofErr w:type="spellStart"/>
            <w:r>
              <w:t>Distr</w:t>
            </w:r>
            <w:proofErr w:type="spellEnd"/>
            <w:r>
              <w:t>. générale</w:t>
            </w:r>
          </w:p>
          <w:p w14:paraId="04AB9634" w14:textId="77777777" w:rsidR="00C8567A" w:rsidRDefault="00C8567A" w:rsidP="00C8567A">
            <w:pPr>
              <w:spacing w:line="240" w:lineRule="exact"/>
            </w:pPr>
            <w:r>
              <w:t>29 août 2024</w:t>
            </w:r>
          </w:p>
          <w:p w14:paraId="7B31B23E" w14:textId="77777777" w:rsidR="00C8567A" w:rsidRDefault="00C8567A" w:rsidP="00C8567A">
            <w:pPr>
              <w:spacing w:line="240" w:lineRule="exact"/>
            </w:pPr>
            <w:r>
              <w:t>Français</w:t>
            </w:r>
          </w:p>
          <w:p w14:paraId="1911A53B" w14:textId="6F64F257" w:rsidR="00C8567A" w:rsidRPr="00DB58B5" w:rsidRDefault="00C8567A" w:rsidP="00C8567A">
            <w:pPr>
              <w:spacing w:line="240" w:lineRule="exact"/>
            </w:pPr>
            <w:r>
              <w:t>Original</w:t>
            </w:r>
            <w:r w:rsidR="00B46129">
              <w:t> :</w:t>
            </w:r>
            <w:r>
              <w:t xml:space="preserve"> anglais</w:t>
            </w:r>
          </w:p>
        </w:tc>
      </w:tr>
    </w:tbl>
    <w:p w14:paraId="75B4651B" w14:textId="77777777" w:rsidR="007F20FA" w:rsidRPr="000312C0" w:rsidRDefault="007F20FA" w:rsidP="007F20FA">
      <w:pPr>
        <w:spacing w:before="120"/>
        <w:rPr>
          <w:b/>
          <w:sz w:val="28"/>
          <w:szCs w:val="28"/>
        </w:rPr>
      </w:pPr>
      <w:r w:rsidRPr="000312C0">
        <w:rPr>
          <w:b/>
          <w:sz w:val="28"/>
          <w:szCs w:val="28"/>
        </w:rPr>
        <w:t>Commission économique pour l’Europe</w:t>
      </w:r>
    </w:p>
    <w:p w14:paraId="2497B692" w14:textId="77777777" w:rsidR="007F20FA" w:rsidRDefault="007F20FA" w:rsidP="007F20FA">
      <w:pPr>
        <w:spacing w:before="120"/>
        <w:rPr>
          <w:sz w:val="28"/>
          <w:szCs w:val="28"/>
        </w:rPr>
      </w:pPr>
      <w:r w:rsidRPr="00685843">
        <w:rPr>
          <w:sz w:val="28"/>
          <w:szCs w:val="28"/>
        </w:rPr>
        <w:t>Comité des transports intérieurs</w:t>
      </w:r>
    </w:p>
    <w:p w14:paraId="18DBDC02" w14:textId="77777777" w:rsidR="00C8567A" w:rsidRPr="00CE4453" w:rsidRDefault="00C8567A" w:rsidP="00C8567A">
      <w:pPr>
        <w:spacing w:before="120"/>
        <w:rPr>
          <w:b/>
          <w:sz w:val="24"/>
          <w:szCs w:val="24"/>
        </w:rPr>
      </w:pPr>
      <w:r w:rsidRPr="00CE4453">
        <w:rPr>
          <w:b/>
          <w:sz w:val="24"/>
          <w:szCs w:val="24"/>
        </w:rPr>
        <w:t>Forum mondial de l</w:t>
      </w:r>
      <w:r>
        <w:rPr>
          <w:b/>
          <w:sz w:val="24"/>
          <w:szCs w:val="24"/>
        </w:rPr>
        <w:t>’</w:t>
      </w:r>
      <w:r w:rsidRPr="00CE4453">
        <w:rPr>
          <w:b/>
          <w:sz w:val="24"/>
          <w:szCs w:val="24"/>
        </w:rPr>
        <w:t>harmonisation</w:t>
      </w:r>
      <w:r w:rsidRPr="00CE4453">
        <w:rPr>
          <w:b/>
          <w:sz w:val="24"/>
          <w:szCs w:val="24"/>
        </w:rPr>
        <w:br/>
        <w:t>des Règlements concernant les véhicules</w:t>
      </w:r>
    </w:p>
    <w:p w14:paraId="4593E935" w14:textId="77777777" w:rsidR="00C8567A" w:rsidRPr="00CE4453" w:rsidRDefault="00C8567A" w:rsidP="00C8567A">
      <w:pPr>
        <w:spacing w:before="120"/>
        <w:rPr>
          <w:rFonts w:asciiTheme="majorBidi" w:hAnsiTheme="majorBidi" w:cstheme="majorBidi"/>
          <w:b/>
        </w:rPr>
      </w:pPr>
      <w:r>
        <w:rPr>
          <w:b/>
          <w:bCs/>
        </w:rPr>
        <w:t>194</w:t>
      </w:r>
      <w:r w:rsidRPr="0094133B">
        <w:rPr>
          <w:b/>
          <w:bCs/>
          <w:vertAlign w:val="superscript"/>
        </w:rPr>
        <w:t>e</w:t>
      </w:r>
      <w:r>
        <w:rPr>
          <w:b/>
          <w:bCs/>
        </w:rPr>
        <w:t xml:space="preserve"> </w:t>
      </w:r>
      <w:r w:rsidRPr="00CE4453">
        <w:rPr>
          <w:b/>
          <w:bCs/>
        </w:rPr>
        <w:t>session</w:t>
      </w:r>
    </w:p>
    <w:p w14:paraId="56665DBC" w14:textId="77777777" w:rsidR="00C8567A" w:rsidRPr="00CE4453" w:rsidRDefault="00C8567A" w:rsidP="00C8567A">
      <w:pPr>
        <w:rPr>
          <w:rFonts w:asciiTheme="majorBidi" w:hAnsiTheme="majorBidi" w:cstheme="majorBidi"/>
        </w:rPr>
      </w:pPr>
      <w:r w:rsidRPr="00CE4453">
        <w:t xml:space="preserve">Genève, </w:t>
      </w:r>
      <w:r>
        <w:t>12-15 novembre</w:t>
      </w:r>
      <w:r w:rsidRPr="00CE4453">
        <w:t xml:space="preserve"> 2024</w:t>
      </w:r>
    </w:p>
    <w:p w14:paraId="3026DA14" w14:textId="77777777" w:rsidR="00C8567A" w:rsidRDefault="00C8567A" w:rsidP="00C8567A">
      <w:r w:rsidRPr="00CE4453">
        <w:t xml:space="preserve">Point </w:t>
      </w:r>
      <w:r>
        <w:t>4.12.2</w:t>
      </w:r>
      <w:r w:rsidRPr="00CE4453">
        <w:t xml:space="preserve"> de l</w:t>
      </w:r>
      <w:r>
        <w:t>’</w:t>
      </w:r>
      <w:r w:rsidRPr="00CE4453">
        <w:t>ordre du jour provisoire</w:t>
      </w:r>
    </w:p>
    <w:p w14:paraId="5D88F081" w14:textId="16098E2D" w:rsidR="00C8567A" w:rsidRPr="0094133B" w:rsidRDefault="00C8567A" w:rsidP="00C8567A">
      <w:pPr>
        <w:rPr>
          <w:rFonts w:asciiTheme="majorBidi" w:hAnsiTheme="majorBidi" w:cstheme="majorBidi"/>
          <w:b/>
          <w:bCs/>
        </w:rPr>
      </w:pPr>
      <w:r w:rsidRPr="0094133B">
        <w:rPr>
          <w:b/>
          <w:bCs/>
        </w:rPr>
        <w:t>Accord de 1958</w:t>
      </w:r>
      <w:r w:rsidR="00B46129">
        <w:rPr>
          <w:b/>
          <w:bCs/>
        </w:rPr>
        <w:t> :</w:t>
      </w:r>
    </w:p>
    <w:p w14:paraId="697F6A64" w14:textId="0524EDCB" w:rsidR="00C8567A" w:rsidRPr="00CE4453" w:rsidRDefault="00C8567A" w:rsidP="00C8567A">
      <w:r w:rsidRPr="0077688E">
        <w:rPr>
          <w:b/>
          <w:bCs/>
        </w:rPr>
        <w:t>Examen de propositions de nouveaux Règlements ONU</w:t>
      </w:r>
      <w:r w:rsidR="00B46129">
        <w:rPr>
          <w:b/>
          <w:bCs/>
        </w:rPr>
        <w:br/>
      </w:r>
      <w:r w:rsidRPr="0077688E">
        <w:rPr>
          <w:b/>
          <w:bCs/>
        </w:rPr>
        <w:t xml:space="preserve">soumises par les groupes de travail subsidiaires </w:t>
      </w:r>
      <w:r w:rsidR="00B46129">
        <w:rPr>
          <w:b/>
          <w:bCs/>
        </w:rPr>
        <w:br/>
      </w:r>
      <w:r w:rsidRPr="0077688E">
        <w:rPr>
          <w:b/>
          <w:bCs/>
        </w:rPr>
        <w:t>du Forum mondial</w:t>
      </w:r>
    </w:p>
    <w:p w14:paraId="58215CE3" w14:textId="760F0274" w:rsidR="00C8567A" w:rsidRPr="00CE4453" w:rsidRDefault="00C8567A" w:rsidP="00B46129">
      <w:pPr>
        <w:pStyle w:val="HChG"/>
      </w:pPr>
      <w:r w:rsidRPr="00CE4453">
        <w:tab/>
      </w:r>
      <w:r w:rsidRPr="00CE4453">
        <w:tab/>
      </w:r>
      <w:r w:rsidRPr="00CE4453">
        <w:tab/>
        <w:t xml:space="preserve">Proposition de nouveau Règlement ONU sur les témoins </w:t>
      </w:r>
      <w:r w:rsidRPr="00CE4453">
        <w:br/>
        <w:t>de port de ceinture</w:t>
      </w:r>
    </w:p>
    <w:p w14:paraId="12F55326" w14:textId="77777777" w:rsidR="00C8567A" w:rsidRPr="00CE4453" w:rsidRDefault="00C8567A" w:rsidP="00B46129">
      <w:pPr>
        <w:pStyle w:val="H1G"/>
      </w:pPr>
      <w:r w:rsidRPr="00CE4453">
        <w:footnoteReference w:customMarkFollows="1" w:id="2"/>
        <w:tab/>
      </w:r>
      <w:r w:rsidRPr="00CE4453">
        <w:tab/>
        <w:t xml:space="preserve">Communication du </w:t>
      </w:r>
      <w:r w:rsidRPr="0077688E">
        <w:t>Groupe de travail de la sécurité passive</w:t>
      </w:r>
      <w:r w:rsidRPr="00B46129">
        <w:rPr>
          <w:b w:val="0"/>
          <w:bCs/>
          <w:sz w:val="20"/>
        </w:rPr>
        <w:t>*</w:t>
      </w:r>
    </w:p>
    <w:p w14:paraId="688394BF" w14:textId="48E1E84D" w:rsidR="00C8567A" w:rsidRPr="00CE4453" w:rsidRDefault="00C8567A" w:rsidP="00C8567A">
      <w:pPr>
        <w:pStyle w:val="SingleTxtG"/>
        <w:ind w:firstLine="567"/>
      </w:pPr>
      <w:r w:rsidRPr="00354EC8">
        <w:t xml:space="preserve">Le texte ci-après, adopté par le Groupe de travail de la sécurité passive (GRSP) à sa soixante-quinzième session (ECE/TRANS/WP.29/GRSP/75, </w:t>
      </w:r>
      <w:r w:rsidR="00B46129">
        <w:t>par. </w:t>
      </w:r>
      <w:r w:rsidRPr="00354EC8">
        <w:t>12), est fondé sur le document ECE/TRANS/WP.29/GRSP/2024/</w:t>
      </w:r>
      <w:r>
        <w:t>3</w:t>
      </w:r>
      <w:r w:rsidRPr="00354EC8">
        <w:t>, tel que modifié par l</w:t>
      </w:r>
      <w:r>
        <w:t>’</w:t>
      </w:r>
      <w:r w:rsidRPr="00354EC8">
        <w:t>annexe</w:t>
      </w:r>
      <w:r w:rsidR="00B46129">
        <w:t> </w:t>
      </w:r>
      <w:r w:rsidRPr="00354EC8">
        <w:t>II</w:t>
      </w:r>
      <w:r>
        <w:t>I</w:t>
      </w:r>
      <w:r w:rsidRPr="00354EC8">
        <w:t xml:space="preserve"> du rapport. Il</w:t>
      </w:r>
      <w:r w:rsidR="00B46129">
        <w:t> </w:t>
      </w:r>
      <w:r w:rsidRPr="00354EC8">
        <w:t>est soumis au Forum mondial de l</w:t>
      </w:r>
      <w:r>
        <w:t>’</w:t>
      </w:r>
      <w:r w:rsidRPr="00354EC8">
        <w:t>harmonisation des Règlements concernant les véhicules (WP.29) et au Comité d</w:t>
      </w:r>
      <w:r>
        <w:t>’</w:t>
      </w:r>
      <w:r w:rsidRPr="00354EC8">
        <w:t>administration de l</w:t>
      </w:r>
      <w:r>
        <w:t>’</w:t>
      </w:r>
      <w:r w:rsidRPr="00354EC8">
        <w:t>Accord de 1958 (AC.1) pour examen à leurs sessions de novembre 2024.</w:t>
      </w:r>
    </w:p>
    <w:p w14:paraId="1AEE4938" w14:textId="77777777" w:rsidR="00C8567A" w:rsidRDefault="00C8567A" w:rsidP="00C8567A">
      <w:pPr>
        <w:suppressAutoHyphens w:val="0"/>
        <w:kinsoku/>
        <w:overflowPunct/>
        <w:autoSpaceDE/>
        <w:autoSpaceDN/>
        <w:adjustRightInd/>
        <w:snapToGrid/>
        <w:spacing w:after="200" w:line="276" w:lineRule="auto"/>
      </w:pPr>
      <w:r w:rsidRPr="00CE4453">
        <w:br w:type="page"/>
      </w:r>
    </w:p>
    <w:p w14:paraId="427B970D" w14:textId="01395EB4" w:rsidR="00C8567A" w:rsidRPr="00CE4453" w:rsidRDefault="00C8567A" w:rsidP="00B46129">
      <w:pPr>
        <w:pStyle w:val="HChG"/>
        <w:tabs>
          <w:tab w:val="left" w:pos="2268"/>
        </w:tabs>
        <w:kinsoku/>
        <w:overflowPunct/>
        <w:autoSpaceDE/>
        <w:autoSpaceDN/>
        <w:adjustRightInd/>
        <w:snapToGrid/>
        <w:ind w:left="2268"/>
      </w:pPr>
      <w:bookmarkStart w:id="0" w:name="_Toc120016730"/>
      <w:r w:rsidRPr="00CE4453">
        <w:lastRenderedPageBreak/>
        <w:t>0.</w:t>
      </w:r>
      <w:r w:rsidRPr="00CE4453">
        <w:tab/>
      </w:r>
      <w:r w:rsidRPr="00CE4453">
        <w:tab/>
      </w:r>
      <w:r w:rsidRPr="00B46129">
        <w:rPr>
          <w:rFonts w:eastAsia="Times New Roman"/>
          <w:bCs/>
          <w:lang w:val="ru-RU" w:eastAsia="ru-RU"/>
        </w:rPr>
        <w:t>Introduction</w:t>
      </w:r>
      <w:bookmarkEnd w:id="0"/>
    </w:p>
    <w:p w14:paraId="1A5E9FEC" w14:textId="2D2FE76A" w:rsidR="00C8567A" w:rsidRPr="00CE4453" w:rsidRDefault="00C8567A" w:rsidP="00B46129">
      <w:pPr>
        <w:pStyle w:val="SingleTxtG"/>
        <w:ind w:left="2268"/>
      </w:pPr>
      <w:r w:rsidRPr="00CE4453">
        <w:t>À la soixante-treizième session du Groupe de travail de la sécurité passive (GRSP), tenue en mai 2023, il a été décidé de scinder le Règlement ONU n</w:t>
      </w:r>
      <w:r w:rsidRPr="00CE4453">
        <w:rPr>
          <w:vertAlign w:val="superscript"/>
        </w:rPr>
        <w:t>o</w:t>
      </w:r>
      <w:r w:rsidRPr="00CE4453">
        <w:t> 16 en trois Règlements ONU qui porteraient sur</w:t>
      </w:r>
      <w:r w:rsidR="00B46129">
        <w:t> :</w:t>
      </w:r>
    </w:p>
    <w:p w14:paraId="3B29DE2D" w14:textId="42DBD72A" w:rsidR="00C8567A" w:rsidRPr="00CE4453" w:rsidRDefault="00C8567A" w:rsidP="00B46129">
      <w:pPr>
        <w:pStyle w:val="SingleTxtG"/>
        <w:ind w:left="2268"/>
      </w:pPr>
      <w:r w:rsidRPr="00CE4453">
        <w:t>- Les ceintures de sécurité et systèmes de retenue (composants)</w:t>
      </w:r>
      <w:r w:rsidR="00B46129">
        <w:t> ;</w:t>
      </w:r>
    </w:p>
    <w:p w14:paraId="503D3C17" w14:textId="06DA40ED" w:rsidR="00C8567A" w:rsidRPr="00CE4453" w:rsidRDefault="00C8567A" w:rsidP="00C8567A">
      <w:pPr>
        <w:pStyle w:val="SingleTxtG"/>
        <w:ind w:left="2268"/>
      </w:pPr>
      <w:r w:rsidRPr="00CE4453">
        <w:t>- L</w:t>
      </w:r>
      <w:r>
        <w:t>’</w:t>
      </w:r>
      <w:r w:rsidRPr="00CE4453">
        <w:t>installation des ceintures de sécurité et systèmes de retenue pour enfants (véhicule)</w:t>
      </w:r>
      <w:r w:rsidR="00B46129">
        <w:t> ;</w:t>
      </w:r>
      <w:r w:rsidRPr="00CE4453">
        <w:t xml:space="preserve"> </w:t>
      </w:r>
    </w:p>
    <w:p w14:paraId="58370CBB" w14:textId="7DF96F54" w:rsidR="00C8567A" w:rsidRPr="00CE4453" w:rsidRDefault="00C8567A" w:rsidP="00C8567A">
      <w:pPr>
        <w:pStyle w:val="SingleTxtG"/>
        <w:ind w:left="2268"/>
      </w:pPr>
      <w:r w:rsidRPr="00CE4453">
        <w:t>- Les témoins de port de ceinture (véhicule).</w:t>
      </w:r>
    </w:p>
    <w:p w14:paraId="52F03B9F" w14:textId="6530E24C" w:rsidR="00C8567A" w:rsidRPr="00CE4453" w:rsidRDefault="00C8567A" w:rsidP="00C8567A">
      <w:pPr>
        <w:pStyle w:val="SingleTxtG"/>
        <w:ind w:left="2268"/>
      </w:pPr>
      <w:r w:rsidRPr="00CE4453">
        <w:t>Le Règlement ONU n</w:t>
      </w:r>
      <w:r w:rsidRPr="00CE4453">
        <w:rPr>
          <w:vertAlign w:val="superscript"/>
        </w:rPr>
        <w:t>o</w:t>
      </w:r>
      <w:r w:rsidRPr="00CE4453">
        <w:t> XXX concerne les prescriptions particulières et le processus d</w:t>
      </w:r>
      <w:r>
        <w:t>’</w:t>
      </w:r>
      <w:r w:rsidRPr="00CE4453">
        <w:t>homologation d</w:t>
      </w:r>
      <w:r>
        <w:t>’</w:t>
      </w:r>
      <w:r w:rsidRPr="00CE4453">
        <w:t>un type de véhicule en ce qui concerne ses témoins de port de ceinture. Les prescriptions sont reprises du Règlement ONU n</w:t>
      </w:r>
      <w:r w:rsidRPr="00CE4453">
        <w:rPr>
          <w:vertAlign w:val="superscript"/>
        </w:rPr>
        <w:t>o</w:t>
      </w:r>
      <w:r w:rsidRPr="00CE4453">
        <w:t> 16 tel qu</w:t>
      </w:r>
      <w:r>
        <w:t>’</w:t>
      </w:r>
      <w:r w:rsidRPr="00CE4453">
        <w:t>il a été modifié par la série 09 d</w:t>
      </w:r>
      <w:r>
        <w:t>’</w:t>
      </w:r>
      <w:r w:rsidRPr="00CE4453">
        <w:t>amendements. D</w:t>
      </w:r>
      <w:r>
        <w:t>’</w:t>
      </w:r>
      <w:r w:rsidRPr="00CE4453">
        <w:t>un point de vue technique, les prescriptions sont identiques. Par conséquent, il est important de définir des dispositions transitoires claires dans la dernière version du Règlement ONU n</w:t>
      </w:r>
      <w:r w:rsidRPr="00CE4453">
        <w:rPr>
          <w:vertAlign w:val="superscript"/>
        </w:rPr>
        <w:t>o</w:t>
      </w:r>
      <w:r w:rsidRPr="00CE4453">
        <w:t> 16, tel que modifié par la série 10 d</w:t>
      </w:r>
      <w:r>
        <w:t>’</w:t>
      </w:r>
      <w:r w:rsidRPr="00CE4453">
        <w:t>amendements, en expliquant l</w:t>
      </w:r>
      <w:r>
        <w:t>’</w:t>
      </w:r>
      <w:r w:rsidRPr="00CE4453">
        <w:t>équivalence entre les homologation</w:t>
      </w:r>
      <w:r w:rsidR="00B46129">
        <w:t>s</w:t>
      </w:r>
      <w:r w:rsidRPr="00CE4453">
        <w:t xml:space="preserve"> délivrées </w:t>
      </w:r>
      <w:r>
        <w:t>au titre d</w:t>
      </w:r>
      <w:r w:rsidRPr="00CE4453">
        <w:t xml:space="preserve">u présent Règlement ONU et celles délivrées </w:t>
      </w:r>
      <w:r>
        <w:t>au titre d</w:t>
      </w:r>
      <w:r w:rsidRPr="00CE4453">
        <w:t>u Règlement ONU n</w:t>
      </w:r>
      <w:r w:rsidRPr="00CE4453">
        <w:rPr>
          <w:vertAlign w:val="superscript"/>
        </w:rPr>
        <w:t>o</w:t>
      </w:r>
      <w:r w:rsidRPr="00CE4453">
        <w:t> 16 tel que modifié par la série 09 d</w:t>
      </w:r>
      <w:r>
        <w:t>’</w:t>
      </w:r>
      <w:r w:rsidRPr="00CE4453">
        <w:t>amendements.</w:t>
      </w:r>
    </w:p>
    <w:p w14:paraId="652C2CDC" w14:textId="77777777" w:rsidR="00C8567A" w:rsidRPr="00CE4453" w:rsidRDefault="00C8567A" w:rsidP="00C8567A">
      <w:pPr>
        <w:pStyle w:val="HChG"/>
        <w:tabs>
          <w:tab w:val="left" w:pos="2268"/>
        </w:tabs>
        <w:ind w:left="2268"/>
      </w:pPr>
      <w:bookmarkStart w:id="1" w:name="_Ref116901334"/>
      <w:bookmarkStart w:id="2" w:name="_Toc120016731"/>
      <w:r w:rsidRPr="00CE4453">
        <w:rPr>
          <w:bCs/>
        </w:rPr>
        <w:t>1.</w:t>
      </w:r>
      <w:r w:rsidRPr="00CE4453">
        <w:tab/>
      </w:r>
      <w:r w:rsidRPr="00CE4453">
        <w:tab/>
      </w:r>
      <w:r w:rsidRPr="00CE4453">
        <w:rPr>
          <w:bCs/>
        </w:rPr>
        <w:t>Domaine d</w:t>
      </w:r>
      <w:r>
        <w:rPr>
          <w:bCs/>
        </w:rPr>
        <w:t>’</w:t>
      </w:r>
      <w:r w:rsidRPr="00CE4453">
        <w:rPr>
          <w:bCs/>
        </w:rPr>
        <w:t>application</w:t>
      </w:r>
      <w:bookmarkEnd w:id="1"/>
      <w:bookmarkEnd w:id="2"/>
    </w:p>
    <w:p w14:paraId="6AC1D58D" w14:textId="6B2F4042" w:rsidR="00C8567A" w:rsidRPr="00CE4453" w:rsidRDefault="00C8567A" w:rsidP="00C8567A">
      <w:pPr>
        <w:pStyle w:val="SingleTxtG"/>
        <w:ind w:left="2268"/>
      </w:pPr>
      <w:r w:rsidRPr="00CE4453">
        <w:t>Le présent Règlement s</w:t>
      </w:r>
      <w:r>
        <w:t>’</w:t>
      </w:r>
      <w:r w:rsidRPr="00CE4453">
        <w:t>applique à toutes les places assises des véhicules des catégories M et N équipées de ceintures de sécurité en ce qui concerne les témoins de port de ceinture</w:t>
      </w:r>
      <w:r w:rsidRPr="0094133B">
        <w:rPr>
          <w:rStyle w:val="Appelnotedebasdep"/>
        </w:rPr>
        <w:footnoteReference w:id="3"/>
      </w:r>
      <w:r w:rsidRPr="00CE4453">
        <w:t>.</w:t>
      </w:r>
    </w:p>
    <w:p w14:paraId="292A7610" w14:textId="77777777" w:rsidR="00C8567A" w:rsidRPr="00CE4453" w:rsidRDefault="00C8567A" w:rsidP="00C8567A">
      <w:pPr>
        <w:pStyle w:val="HChG"/>
        <w:tabs>
          <w:tab w:val="left" w:pos="2268"/>
        </w:tabs>
        <w:spacing w:line="240" w:lineRule="auto"/>
        <w:ind w:left="2268"/>
        <w:rPr>
          <w:sz w:val="20"/>
          <w:szCs w:val="14"/>
        </w:rPr>
      </w:pPr>
      <w:bookmarkStart w:id="3" w:name="_Toc120016732"/>
      <w:r w:rsidRPr="00CE4453">
        <w:rPr>
          <w:bCs/>
        </w:rPr>
        <w:t>2.</w:t>
      </w:r>
      <w:r w:rsidRPr="00CE4453">
        <w:tab/>
      </w:r>
      <w:r w:rsidRPr="00CE4453">
        <w:tab/>
      </w:r>
      <w:r w:rsidRPr="00CE4453">
        <w:rPr>
          <w:bCs/>
        </w:rPr>
        <w:t>Définitions</w:t>
      </w:r>
      <w:bookmarkEnd w:id="3"/>
    </w:p>
    <w:p w14:paraId="5D00169B" w14:textId="333B0942" w:rsidR="00C8567A" w:rsidRPr="00CE4453" w:rsidRDefault="00C8567A" w:rsidP="00B46129">
      <w:pPr>
        <w:pStyle w:val="para"/>
        <w:tabs>
          <w:tab w:val="clear" w:pos="1701"/>
        </w:tabs>
        <w:rPr>
          <w:lang w:val="fr-CH"/>
        </w:rPr>
      </w:pPr>
      <w:r w:rsidRPr="00CE4453">
        <w:rPr>
          <w:lang w:val="fr-CH"/>
        </w:rPr>
        <w:t>2.1</w:t>
      </w:r>
      <w:r w:rsidRPr="00CE4453">
        <w:rPr>
          <w:lang w:val="fr-CH"/>
        </w:rPr>
        <w:tab/>
        <w:t xml:space="preserve">Par </w:t>
      </w:r>
      <w:r w:rsidR="00B46129">
        <w:rPr>
          <w:lang w:val="fr-CH"/>
        </w:rPr>
        <w:t>« </w:t>
      </w:r>
      <w:r w:rsidRPr="00CE4453">
        <w:rPr>
          <w:i/>
          <w:iCs/>
          <w:lang w:val="fr-CH"/>
        </w:rPr>
        <w:t>témoin de port de ceinture</w:t>
      </w:r>
      <w:r w:rsidR="00B46129">
        <w:rPr>
          <w:lang w:val="fr-CH"/>
        </w:rPr>
        <w:t> »</w:t>
      </w:r>
      <w:r w:rsidRPr="00CE4453">
        <w:rPr>
          <w:lang w:val="fr-CH"/>
        </w:rPr>
        <w:t>, on entend un système servant à prévenir le conducteur que l</w:t>
      </w:r>
      <w:r>
        <w:rPr>
          <w:lang w:val="fr-CH"/>
        </w:rPr>
        <w:t>’</w:t>
      </w:r>
      <w:r w:rsidRPr="00CE4453">
        <w:rPr>
          <w:lang w:val="fr-CH"/>
        </w:rPr>
        <w:t>un des occupants n</w:t>
      </w:r>
      <w:r>
        <w:rPr>
          <w:lang w:val="fr-CH"/>
        </w:rPr>
        <w:t>’</w:t>
      </w:r>
      <w:r w:rsidRPr="00CE4453">
        <w:rPr>
          <w:lang w:val="fr-CH"/>
        </w:rPr>
        <w:t>a pas bouclé sa ceinture de sécurité. Le système détecte les ceintures non bouclées et prévient le conducteur par un premier niveau d</w:t>
      </w:r>
      <w:r>
        <w:rPr>
          <w:lang w:val="fr-CH"/>
        </w:rPr>
        <w:t>’</w:t>
      </w:r>
      <w:r w:rsidRPr="00CE4453">
        <w:rPr>
          <w:lang w:val="fr-CH"/>
        </w:rPr>
        <w:t>alerte puis un second niveau d</w:t>
      </w:r>
      <w:r>
        <w:rPr>
          <w:lang w:val="fr-CH"/>
        </w:rPr>
        <w:t>’</w:t>
      </w:r>
      <w:r w:rsidRPr="00CE4453">
        <w:rPr>
          <w:lang w:val="fr-CH"/>
        </w:rPr>
        <w:t>alerte.</w:t>
      </w:r>
    </w:p>
    <w:p w14:paraId="67702D7F" w14:textId="71FA6F23" w:rsidR="00C8567A" w:rsidRPr="00CE4453" w:rsidRDefault="00C8567A" w:rsidP="00B46129">
      <w:pPr>
        <w:pStyle w:val="para"/>
        <w:tabs>
          <w:tab w:val="clear" w:pos="1701"/>
        </w:tabs>
        <w:rPr>
          <w:lang w:val="fr-CH"/>
        </w:rPr>
      </w:pPr>
      <w:r w:rsidRPr="00CE4453">
        <w:rPr>
          <w:lang w:val="fr-CH"/>
        </w:rPr>
        <w:t>2.2</w:t>
      </w:r>
      <w:r w:rsidRPr="00CE4453">
        <w:rPr>
          <w:lang w:val="fr-CH"/>
        </w:rPr>
        <w:tab/>
        <w:t xml:space="preserve">Par </w:t>
      </w:r>
      <w:r w:rsidR="00B46129">
        <w:rPr>
          <w:lang w:val="fr-CH"/>
        </w:rPr>
        <w:t>« </w:t>
      </w:r>
      <w:r w:rsidRPr="00CE4453">
        <w:rPr>
          <w:i/>
          <w:iCs/>
          <w:lang w:val="fr-CH"/>
        </w:rPr>
        <w:t>alerte visuelle</w:t>
      </w:r>
      <w:r w:rsidR="00B46129">
        <w:rPr>
          <w:lang w:val="fr-CH"/>
        </w:rPr>
        <w:t> »</w:t>
      </w:r>
      <w:r w:rsidRPr="00CE4453">
        <w:rPr>
          <w:lang w:val="fr-CH"/>
        </w:rPr>
        <w:t>, on entend une alerte par un signal visuel (lumineux, clignotant ou affichage d</w:t>
      </w:r>
      <w:r>
        <w:rPr>
          <w:lang w:val="fr-CH"/>
        </w:rPr>
        <w:t>’</w:t>
      </w:r>
      <w:r w:rsidRPr="00CE4453">
        <w:rPr>
          <w:lang w:val="fr-CH"/>
        </w:rPr>
        <w:t>un symbole ou d</w:t>
      </w:r>
      <w:r>
        <w:rPr>
          <w:lang w:val="fr-CH"/>
        </w:rPr>
        <w:t>’</w:t>
      </w:r>
      <w:r w:rsidRPr="00CE4453">
        <w:rPr>
          <w:lang w:val="fr-CH"/>
        </w:rPr>
        <w:t>un message).</w:t>
      </w:r>
    </w:p>
    <w:p w14:paraId="558E3E46" w14:textId="5500DF80" w:rsidR="00C8567A" w:rsidRPr="00CE4453" w:rsidRDefault="00C8567A" w:rsidP="00B46129">
      <w:pPr>
        <w:pStyle w:val="para"/>
        <w:tabs>
          <w:tab w:val="clear" w:pos="1701"/>
        </w:tabs>
        <w:rPr>
          <w:lang w:val="fr-CH"/>
        </w:rPr>
      </w:pPr>
      <w:r w:rsidRPr="00CE4453">
        <w:rPr>
          <w:lang w:val="fr-CH"/>
        </w:rPr>
        <w:t>2.3</w:t>
      </w:r>
      <w:r w:rsidRPr="00CE4453">
        <w:rPr>
          <w:lang w:val="fr-CH"/>
        </w:rPr>
        <w:tab/>
        <w:t xml:space="preserve">Par </w:t>
      </w:r>
      <w:r w:rsidR="00B46129">
        <w:rPr>
          <w:lang w:val="fr-CH"/>
        </w:rPr>
        <w:t>« </w:t>
      </w:r>
      <w:r w:rsidRPr="00CE4453">
        <w:rPr>
          <w:i/>
          <w:iCs/>
          <w:lang w:val="fr-CH"/>
        </w:rPr>
        <w:t>alerte sonore</w:t>
      </w:r>
      <w:r w:rsidR="00B46129">
        <w:rPr>
          <w:lang w:val="fr-CH"/>
        </w:rPr>
        <w:t> »</w:t>
      </w:r>
      <w:r w:rsidRPr="00CE4453">
        <w:rPr>
          <w:lang w:val="fr-CH"/>
        </w:rPr>
        <w:t>, on entend une alerte par un signal sonore.</w:t>
      </w:r>
    </w:p>
    <w:p w14:paraId="4CF7D4CD" w14:textId="7D60D631" w:rsidR="00C8567A" w:rsidRPr="00CE4453" w:rsidRDefault="00C8567A" w:rsidP="00B46129">
      <w:pPr>
        <w:pStyle w:val="SingleTxtG"/>
        <w:tabs>
          <w:tab w:val="clear" w:pos="1701"/>
        </w:tabs>
        <w:ind w:left="2268" w:hanging="1134"/>
      </w:pPr>
      <w:r w:rsidRPr="00CE4453">
        <w:t>2.4</w:t>
      </w:r>
      <w:r w:rsidRPr="00CE4453">
        <w:tab/>
        <w:t xml:space="preserve">Par </w:t>
      </w:r>
      <w:r w:rsidR="00B46129">
        <w:t>« </w:t>
      </w:r>
      <w:r w:rsidRPr="00CE4453">
        <w:rPr>
          <w:i/>
          <w:iCs/>
        </w:rPr>
        <w:t>alerte de premier niveau</w:t>
      </w:r>
      <w:r w:rsidR="00B46129">
        <w:t> »</w:t>
      </w:r>
      <w:r w:rsidRPr="00CE4453">
        <w:t>, on entend une alerte visuelle qui se déclenche lorsque le contact moteur est mis ou que le commutateur de contact est activé et que la ceinture de l</w:t>
      </w:r>
      <w:r>
        <w:t>’</w:t>
      </w:r>
      <w:r w:rsidRPr="00CE4453">
        <w:t>un des occupants n</w:t>
      </w:r>
      <w:r>
        <w:t>’</w:t>
      </w:r>
      <w:r w:rsidRPr="00CE4453">
        <w:t>est pas bouclée. L</w:t>
      </w:r>
      <w:r>
        <w:t>’</w:t>
      </w:r>
      <w:r w:rsidRPr="00CE4453">
        <w:t>alerte visuelle peut être doublée d</w:t>
      </w:r>
      <w:r>
        <w:t>’</w:t>
      </w:r>
      <w:r w:rsidRPr="00CE4453">
        <w:t>une alerte sonore.</w:t>
      </w:r>
    </w:p>
    <w:p w14:paraId="5AABA05A" w14:textId="0FA0D4E0" w:rsidR="00C8567A" w:rsidRPr="00CE4453" w:rsidRDefault="00C8567A" w:rsidP="00B46129">
      <w:pPr>
        <w:pStyle w:val="SingleTxtG"/>
        <w:tabs>
          <w:tab w:val="clear" w:pos="1701"/>
        </w:tabs>
        <w:ind w:left="2268" w:hanging="1134"/>
      </w:pPr>
      <w:r w:rsidRPr="00CE4453">
        <w:t>2.5</w:t>
      </w:r>
      <w:r w:rsidRPr="00CE4453">
        <w:tab/>
        <w:t xml:space="preserve">Par </w:t>
      </w:r>
      <w:r w:rsidR="00B46129">
        <w:t>« </w:t>
      </w:r>
      <w:r w:rsidRPr="00CE4453">
        <w:rPr>
          <w:i/>
          <w:iCs/>
        </w:rPr>
        <w:t>alerte de second niveau</w:t>
      </w:r>
      <w:r w:rsidR="00B46129">
        <w:t> »</w:t>
      </w:r>
      <w:r w:rsidRPr="00CE4453">
        <w:t>, on entend une alerte visuelle et sonore qui se déclenche lorsque le véhicule est conduit conformément aux paragraphes</w:t>
      </w:r>
      <w:r>
        <w:t> </w:t>
      </w:r>
      <w:r w:rsidRPr="00CE4453">
        <w:t>8.4.2.4.1.1 à 8.4.2.4.1.3 et qu</w:t>
      </w:r>
      <w:r>
        <w:t>’</w:t>
      </w:r>
      <w:r w:rsidRPr="00CE4453">
        <w:t>un occupant n</w:t>
      </w:r>
      <w:r>
        <w:t>’</w:t>
      </w:r>
      <w:r w:rsidRPr="00CE4453">
        <w:t>a pas bouclé sa ceinture ou la détache, en fonction des prescriptions qui s</w:t>
      </w:r>
      <w:r>
        <w:t>’</w:t>
      </w:r>
      <w:r w:rsidRPr="00CE4453">
        <w:t>appliquent à la place assise qu</w:t>
      </w:r>
      <w:r>
        <w:t>’</w:t>
      </w:r>
      <w:r w:rsidRPr="00CE4453">
        <w:t>il occupe.</w:t>
      </w:r>
    </w:p>
    <w:p w14:paraId="05337B69" w14:textId="06FE4373" w:rsidR="00C8567A" w:rsidRPr="00CE4453" w:rsidRDefault="00C8567A" w:rsidP="00B46129">
      <w:pPr>
        <w:pStyle w:val="SingleTxtG"/>
        <w:tabs>
          <w:tab w:val="clear" w:pos="1701"/>
        </w:tabs>
        <w:ind w:left="2268" w:hanging="1134"/>
      </w:pPr>
      <w:r w:rsidRPr="00CE4453">
        <w:t>2.6</w:t>
      </w:r>
      <w:r w:rsidRPr="00CE4453">
        <w:tab/>
        <w:t xml:space="preserve">Par </w:t>
      </w:r>
      <w:r w:rsidR="00B46129">
        <w:t>« </w:t>
      </w:r>
      <w:r w:rsidRPr="00CE4453">
        <w:rPr>
          <w:i/>
          <w:iCs/>
        </w:rPr>
        <w:t>ceinture de sécurité non bouclée</w:t>
      </w:r>
      <w:r w:rsidR="00B46129">
        <w:t> »</w:t>
      </w:r>
      <w:r w:rsidRPr="00CE4453">
        <w:t>, on entend, au choix du constructeur, soit que la ceinture d</w:t>
      </w:r>
      <w:r>
        <w:t>’</w:t>
      </w:r>
      <w:r w:rsidRPr="00CE4453">
        <w:t>un occupant n</w:t>
      </w:r>
      <w:r>
        <w:t>’</w:t>
      </w:r>
      <w:r w:rsidRPr="00CE4453">
        <w:t>est pas bouclée, soit que la longueur de sangle déroulée est inférieure à la longueur de sangle nécessaire pour boucler la ceinture d</w:t>
      </w:r>
      <w:r>
        <w:t>’</w:t>
      </w:r>
      <w:r w:rsidRPr="00CE4453">
        <w:t>un siège inoccupé placé dans sa position la plus en arrière.</w:t>
      </w:r>
    </w:p>
    <w:p w14:paraId="23120F0A" w14:textId="176D6A17" w:rsidR="00C8567A" w:rsidRPr="00CE4453" w:rsidRDefault="00C8567A" w:rsidP="00B46129">
      <w:pPr>
        <w:pStyle w:val="para"/>
        <w:tabs>
          <w:tab w:val="clear" w:pos="1701"/>
        </w:tabs>
        <w:rPr>
          <w:lang w:val="fr-CH"/>
        </w:rPr>
      </w:pPr>
      <w:r w:rsidRPr="00CE4453">
        <w:rPr>
          <w:lang w:val="fr-CH"/>
        </w:rPr>
        <w:lastRenderedPageBreak/>
        <w:t>2.7</w:t>
      </w:r>
      <w:r w:rsidRPr="00CE4453">
        <w:rPr>
          <w:lang w:val="fr-CH"/>
        </w:rPr>
        <w:tab/>
        <w:t xml:space="preserve">Par </w:t>
      </w:r>
      <w:r w:rsidR="00B46129">
        <w:rPr>
          <w:lang w:val="fr-CH"/>
        </w:rPr>
        <w:t>« </w:t>
      </w:r>
      <w:r w:rsidRPr="00CE4453">
        <w:rPr>
          <w:i/>
          <w:iCs/>
          <w:lang w:val="fr-CH"/>
        </w:rPr>
        <w:t>véhicule en utilisation normale</w:t>
      </w:r>
      <w:r w:rsidR="00B46129">
        <w:rPr>
          <w:lang w:val="fr-CH"/>
        </w:rPr>
        <w:t> »</w:t>
      </w:r>
      <w:r w:rsidRPr="00CE4453">
        <w:rPr>
          <w:lang w:val="fr-CH"/>
        </w:rPr>
        <w:t>, on entend un véhicule circulant en marche avant à une vitesse supérieure à 10 km/h.</w:t>
      </w:r>
    </w:p>
    <w:p w14:paraId="06D7A656" w14:textId="1B475ECC" w:rsidR="00C8567A" w:rsidRPr="00CE4453" w:rsidRDefault="00C8567A" w:rsidP="00B46129">
      <w:pPr>
        <w:pStyle w:val="para"/>
        <w:tabs>
          <w:tab w:val="clear" w:pos="1701"/>
        </w:tabs>
        <w:rPr>
          <w:lang w:val="fr-CH"/>
        </w:rPr>
      </w:pPr>
      <w:r w:rsidRPr="00CE4453">
        <w:rPr>
          <w:lang w:val="fr-CH"/>
        </w:rPr>
        <w:t>2.8</w:t>
      </w:r>
      <w:r w:rsidRPr="00CE4453">
        <w:rPr>
          <w:lang w:val="fr-CH"/>
        </w:rPr>
        <w:tab/>
        <w:t xml:space="preserve">Par </w:t>
      </w:r>
      <w:r w:rsidR="00B46129">
        <w:rPr>
          <w:lang w:val="fr-CH"/>
        </w:rPr>
        <w:t>« </w:t>
      </w:r>
      <w:r w:rsidRPr="00CE4453">
        <w:rPr>
          <w:i/>
          <w:iCs/>
          <w:lang w:val="fr-CH"/>
        </w:rPr>
        <w:t>type de véhicule en ce qui concerne le témoin de port de ceinture</w:t>
      </w:r>
      <w:r w:rsidR="00B46129">
        <w:rPr>
          <w:lang w:val="fr-CH"/>
        </w:rPr>
        <w:t> »</w:t>
      </w:r>
      <w:r w:rsidRPr="00CE4453">
        <w:rPr>
          <w:lang w:val="fr-CH"/>
        </w:rPr>
        <w:t>, on entend des véhicules ne présentant pas entre eux de différences en ce qui concerne l</w:t>
      </w:r>
      <w:r>
        <w:rPr>
          <w:lang w:val="fr-CH"/>
        </w:rPr>
        <w:t>’</w:t>
      </w:r>
      <w:r w:rsidRPr="00CE4453">
        <w:rPr>
          <w:lang w:val="fr-CH"/>
        </w:rPr>
        <w:t>emplacement de l</w:t>
      </w:r>
      <w:r>
        <w:rPr>
          <w:lang w:val="fr-CH"/>
        </w:rPr>
        <w:t>’</w:t>
      </w:r>
      <w:r w:rsidRPr="00CE4453">
        <w:rPr>
          <w:lang w:val="fr-CH"/>
        </w:rPr>
        <w:t>alerte visuelle, le type d</w:t>
      </w:r>
      <w:r>
        <w:rPr>
          <w:lang w:val="fr-CH"/>
        </w:rPr>
        <w:t>’</w:t>
      </w:r>
      <w:r w:rsidRPr="00CE4453">
        <w:rPr>
          <w:lang w:val="fr-CH"/>
        </w:rPr>
        <w:t>alerte sonore, la stratégie relative aux alertes de premier niveau et de second niveau et le nombre maximal de places assises.</w:t>
      </w:r>
    </w:p>
    <w:p w14:paraId="1A14F175" w14:textId="0C1A205B" w:rsidR="00C8567A" w:rsidRPr="00CE4453" w:rsidRDefault="00C8567A" w:rsidP="00B46129">
      <w:pPr>
        <w:pStyle w:val="para"/>
        <w:tabs>
          <w:tab w:val="clear" w:pos="1701"/>
        </w:tabs>
        <w:rPr>
          <w:lang w:val="fr-CH"/>
        </w:rPr>
      </w:pPr>
      <w:r w:rsidRPr="00CE4453">
        <w:rPr>
          <w:lang w:val="fr-CH"/>
        </w:rPr>
        <w:t>2.9</w:t>
      </w:r>
      <w:r w:rsidRPr="00CE4453">
        <w:rPr>
          <w:lang w:val="fr-CH"/>
        </w:rPr>
        <w:tab/>
        <w:t xml:space="preserve">Par </w:t>
      </w:r>
      <w:r w:rsidR="00B46129">
        <w:rPr>
          <w:lang w:val="fr-CH"/>
        </w:rPr>
        <w:t>« </w:t>
      </w:r>
      <w:r w:rsidRPr="00CE4453">
        <w:rPr>
          <w:i/>
          <w:iCs/>
          <w:lang w:val="fr-CH"/>
        </w:rPr>
        <w:t>ceinture de sécurité (ceinture)</w:t>
      </w:r>
      <w:r w:rsidR="00B46129">
        <w:rPr>
          <w:lang w:val="fr-CH"/>
        </w:rPr>
        <w:t> »</w:t>
      </w:r>
      <w:r w:rsidRPr="00CE4453">
        <w:rPr>
          <w:lang w:val="fr-CH"/>
        </w:rPr>
        <w:t>, on entend un assemblage de sangles avec boucle de fermeture, dispositifs de réglage et pièces de fixation pouvant être ancré à l</w:t>
      </w:r>
      <w:r>
        <w:rPr>
          <w:lang w:val="fr-CH"/>
        </w:rPr>
        <w:t>’</w:t>
      </w:r>
      <w:r w:rsidRPr="00CE4453">
        <w:rPr>
          <w:lang w:val="fr-CH"/>
        </w:rPr>
        <w:t>intérieur d</w:t>
      </w:r>
      <w:r>
        <w:rPr>
          <w:lang w:val="fr-CH"/>
        </w:rPr>
        <w:t>’</w:t>
      </w:r>
      <w:r w:rsidRPr="00CE4453">
        <w:rPr>
          <w:lang w:val="fr-CH"/>
        </w:rPr>
        <w:t>un véhicule à moteur et conçu de manière à réduire le risque de blessures pour l</w:t>
      </w:r>
      <w:r>
        <w:rPr>
          <w:lang w:val="fr-CH"/>
        </w:rPr>
        <w:t>’</w:t>
      </w:r>
      <w:r w:rsidRPr="00CE4453">
        <w:rPr>
          <w:lang w:val="fr-CH"/>
        </w:rPr>
        <w:t>utilisateur en cas de collision ou de décélération brusque du véhicule, en limitant les possibilités de mouvement du corps de l</w:t>
      </w:r>
      <w:r>
        <w:rPr>
          <w:lang w:val="fr-CH"/>
        </w:rPr>
        <w:t>’</w:t>
      </w:r>
      <w:r w:rsidRPr="00CE4453">
        <w:rPr>
          <w:lang w:val="fr-CH"/>
        </w:rPr>
        <w:t>utilisateur. Cet assemblage est désigné d</w:t>
      </w:r>
      <w:r>
        <w:rPr>
          <w:lang w:val="fr-CH"/>
        </w:rPr>
        <w:t>’</w:t>
      </w:r>
      <w:r w:rsidRPr="00CE4453">
        <w:rPr>
          <w:lang w:val="fr-CH"/>
        </w:rPr>
        <w:t xml:space="preserve">une façon générale par le terme </w:t>
      </w:r>
      <w:r w:rsidR="00B46129">
        <w:rPr>
          <w:lang w:val="fr-CH"/>
        </w:rPr>
        <w:t>« </w:t>
      </w:r>
      <w:r w:rsidRPr="00CE4453">
        <w:rPr>
          <w:lang w:val="fr-CH"/>
        </w:rPr>
        <w:t>ceinture</w:t>
      </w:r>
      <w:r w:rsidR="00B46129">
        <w:rPr>
          <w:lang w:val="fr-CH"/>
        </w:rPr>
        <w:t> »</w:t>
      </w:r>
      <w:r w:rsidRPr="00CE4453">
        <w:rPr>
          <w:lang w:val="fr-CH"/>
        </w:rPr>
        <w:t>, qui englobe également tout dispositif d</w:t>
      </w:r>
      <w:r>
        <w:rPr>
          <w:lang w:val="fr-CH"/>
        </w:rPr>
        <w:t>’</w:t>
      </w:r>
      <w:r w:rsidRPr="00CE4453">
        <w:rPr>
          <w:lang w:val="fr-CH"/>
        </w:rPr>
        <w:t>absorption d</w:t>
      </w:r>
      <w:r>
        <w:rPr>
          <w:lang w:val="fr-CH"/>
        </w:rPr>
        <w:t>’</w:t>
      </w:r>
      <w:r w:rsidRPr="00CE4453">
        <w:rPr>
          <w:lang w:val="fr-CH"/>
        </w:rPr>
        <w:t>énergie ou de rétraction de la ceinture.</w:t>
      </w:r>
      <w:bookmarkStart w:id="4" w:name="_Hlk159752941"/>
    </w:p>
    <w:bookmarkEnd w:id="4"/>
    <w:p w14:paraId="307FE288" w14:textId="0538275A" w:rsidR="00C8567A" w:rsidRPr="00CE4453" w:rsidRDefault="00C8567A" w:rsidP="00B46129">
      <w:pPr>
        <w:pStyle w:val="para"/>
        <w:tabs>
          <w:tab w:val="clear" w:pos="1701"/>
        </w:tabs>
        <w:rPr>
          <w:lang w:val="fr-CH"/>
        </w:rPr>
      </w:pPr>
      <w:r w:rsidRPr="00CE4453">
        <w:rPr>
          <w:lang w:val="fr-CH"/>
        </w:rPr>
        <w:t>2.9.1</w:t>
      </w:r>
      <w:r w:rsidRPr="00CE4453">
        <w:rPr>
          <w:lang w:val="fr-CH"/>
        </w:rPr>
        <w:tab/>
        <w:t xml:space="preserve">Par </w:t>
      </w:r>
      <w:r w:rsidR="00B46129">
        <w:rPr>
          <w:lang w:val="fr-CH"/>
        </w:rPr>
        <w:t>« </w:t>
      </w:r>
      <w:r w:rsidRPr="00CE4453">
        <w:rPr>
          <w:i/>
          <w:iCs/>
          <w:lang w:val="fr-CH"/>
        </w:rPr>
        <w:t>ceinture abdominale</w:t>
      </w:r>
      <w:r w:rsidR="00B46129">
        <w:rPr>
          <w:lang w:val="fr-CH"/>
        </w:rPr>
        <w:t> »</w:t>
      </w:r>
      <w:r w:rsidRPr="00CE4453">
        <w:rPr>
          <w:lang w:val="fr-CH"/>
        </w:rPr>
        <w:t>, on entend une ceinture deux points passant devant le corps de l</w:t>
      </w:r>
      <w:r>
        <w:rPr>
          <w:lang w:val="fr-CH"/>
        </w:rPr>
        <w:t>’</w:t>
      </w:r>
      <w:r w:rsidRPr="00CE4453">
        <w:rPr>
          <w:lang w:val="fr-CH"/>
        </w:rPr>
        <w:t>utilisateur à la hauteur du bassin.</w:t>
      </w:r>
      <w:bookmarkStart w:id="5" w:name="_Hlk159752995"/>
      <w:bookmarkEnd w:id="5"/>
    </w:p>
    <w:p w14:paraId="35224AC2" w14:textId="7EC08B55" w:rsidR="00C8567A" w:rsidRPr="00CE4453" w:rsidRDefault="00C8567A" w:rsidP="00B46129">
      <w:pPr>
        <w:pStyle w:val="para"/>
        <w:keepNext/>
        <w:tabs>
          <w:tab w:val="clear" w:pos="1701"/>
        </w:tabs>
        <w:rPr>
          <w:lang w:val="fr-CH"/>
        </w:rPr>
      </w:pPr>
      <w:r w:rsidRPr="00CE4453">
        <w:rPr>
          <w:lang w:val="fr-CH"/>
        </w:rPr>
        <w:t>2.9.2</w:t>
      </w:r>
      <w:r w:rsidRPr="00CE4453">
        <w:rPr>
          <w:lang w:val="fr-CH"/>
        </w:rPr>
        <w:tab/>
        <w:t xml:space="preserve">Par </w:t>
      </w:r>
      <w:r w:rsidR="00B46129">
        <w:rPr>
          <w:lang w:val="fr-CH"/>
        </w:rPr>
        <w:t>« </w:t>
      </w:r>
      <w:r w:rsidRPr="00CE4453">
        <w:rPr>
          <w:i/>
          <w:iCs/>
          <w:lang w:val="fr-CH"/>
        </w:rPr>
        <w:t>ceinture diagonale</w:t>
      </w:r>
      <w:r w:rsidR="00B46129">
        <w:rPr>
          <w:lang w:val="fr-CH"/>
        </w:rPr>
        <w:t> »</w:t>
      </w:r>
      <w:r w:rsidRPr="00CE4453">
        <w:rPr>
          <w:lang w:val="fr-CH"/>
        </w:rPr>
        <w:t>, on entend une ceinture passant en diagonale devant le thorax, de la hanche jusqu</w:t>
      </w:r>
      <w:r>
        <w:rPr>
          <w:lang w:val="fr-CH"/>
        </w:rPr>
        <w:t>’</w:t>
      </w:r>
      <w:r w:rsidRPr="00CE4453">
        <w:rPr>
          <w:lang w:val="fr-CH"/>
        </w:rPr>
        <w:t>à l</w:t>
      </w:r>
      <w:r>
        <w:rPr>
          <w:lang w:val="fr-CH"/>
        </w:rPr>
        <w:t>’</w:t>
      </w:r>
      <w:r w:rsidRPr="00CE4453">
        <w:rPr>
          <w:lang w:val="fr-CH"/>
        </w:rPr>
        <w:t>épaule du côté opposé.</w:t>
      </w:r>
      <w:bookmarkStart w:id="6" w:name="_Hlk159753036"/>
      <w:bookmarkEnd w:id="6"/>
    </w:p>
    <w:p w14:paraId="7F9AB5A9" w14:textId="25D3A859" w:rsidR="00C8567A" w:rsidRPr="00CE4453" w:rsidRDefault="00C8567A" w:rsidP="00B46129">
      <w:pPr>
        <w:pStyle w:val="para"/>
        <w:tabs>
          <w:tab w:val="clear" w:pos="1701"/>
        </w:tabs>
        <w:rPr>
          <w:lang w:val="fr-CH"/>
        </w:rPr>
      </w:pPr>
      <w:r w:rsidRPr="00CE4453">
        <w:rPr>
          <w:lang w:val="fr-CH"/>
        </w:rPr>
        <w:t>2.9.3</w:t>
      </w:r>
      <w:r w:rsidRPr="00CE4453">
        <w:rPr>
          <w:lang w:val="fr-CH"/>
        </w:rPr>
        <w:tab/>
        <w:t xml:space="preserve">Par </w:t>
      </w:r>
      <w:r w:rsidR="00B46129">
        <w:rPr>
          <w:lang w:val="fr-CH"/>
        </w:rPr>
        <w:t>« </w:t>
      </w:r>
      <w:r w:rsidRPr="00CE4453">
        <w:rPr>
          <w:i/>
          <w:iCs/>
          <w:lang w:val="fr-CH"/>
        </w:rPr>
        <w:t>ceinture trois points</w:t>
      </w:r>
      <w:r w:rsidR="00B46129">
        <w:rPr>
          <w:lang w:val="fr-CH"/>
        </w:rPr>
        <w:t> »</w:t>
      </w:r>
      <w:r w:rsidRPr="00CE4453">
        <w:rPr>
          <w:lang w:val="fr-CH"/>
        </w:rPr>
        <w:t>, on entend une ceinture constituée essentiellement d</w:t>
      </w:r>
      <w:r>
        <w:rPr>
          <w:lang w:val="fr-CH"/>
        </w:rPr>
        <w:t>’</w:t>
      </w:r>
      <w:r w:rsidRPr="00CE4453">
        <w:rPr>
          <w:lang w:val="fr-CH"/>
        </w:rPr>
        <w:t>une sangle abdominale combinée à une sangle diagonale.</w:t>
      </w:r>
      <w:bookmarkStart w:id="7" w:name="_Hlk159753062"/>
      <w:bookmarkEnd w:id="7"/>
    </w:p>
    <w:p w14:paraId="6D3815A5" w14:textId="2033981B" w:rsidR="00C8567A" w:rsidRPr="00CE4453" w:rsidRDefault="00C8567A" w:rsidP="00B46129">
      <w:pPr>
        <w:pStyle w:val="para"/>
        <w:tabs>
          <w:tab w:val="clear" w:pos="1701"/>
        </w:tabs>
        <w:rPr>
          <w:lang w:val="fr-CH"/>
        </w:rPr>
      </w:pPr>
      <w:r w:rsidRPr="00CE4453">
        <w:rPr>
          <w:lang w:val="fr-CH"/>
        </w:rPr>
        <w:t>2.9.4</w:t>
      </w:r>
      <w:r w:rsidRPr="00CE4453">
        <w:rPr>
          <w:lang w:val="fr-CH"/>
        </w:rPr>
        <w:tab/>
        <w:t xml:space="preserve">Par </w:t>
      </w:r>
      <w:r w:rsidR="00B46129">
        <w:rPr>
          <w:lang w:val="fr-CH"/>
        </w:rPr>
        <w:t>« </w:t>
      </w:r>
      <w:r w:rsidRPr="00CE4453">
        <w:rPr>
          <w:i/>
          <w:iCs/>
          <w:lang w:val="fr-CH"/>
        </w:rPr>
        <w:t>ceinture du type S</w:t>
      </w:r>
      <w:r w:rsidR="00B46129">
        <w:rPr>
          <w:lang w:val="fr-CH"/>
        </w:rPr>
        <w:t> »</w:t>
      </w:r>
      <w:r w:rsidRPr="00CE4453">
        <w:rPr>
          <w:lang w:val="fr-CH"/>
        </w:rPr>
        <w:t>, on entend une ceinture autre qu</w:t>
      </w:r>
      <w:r>
        <w:rPr>
          <w:lang w:val="fr-CH"/>
        </w:rPr>
        <w:t>’</w:t>
      </w:r>
      <w:r w:rsidRPr="00CE4453">
        <w:rPr>
          <w:lang w:val="fr-CH"/>
        </w:rPr>
        <w:t>une ceinture de sécurité trois points ou une ceinture abdominale.</w:t>
      </w:r>
      <w:bookmarkStart w:id="8" w:name="_Hlk159753083"/>
      <w:bookmarkEnd w:id="8"/>
    </w:p>
    <w:p w14:paraId="1BA34185" w14:textId="357ACF19" w:rsidR="00C8567A" w:rsidRPr="00CE4453" w:rsidRDefault="00C8567A" w:rsidP="00B46129">
      <w:pPr>
        <w:pStyle w:val="para"/>
        <w:tabs>
          <w:tab w:val="clear" w:pos="1701"/>
        </w:tabs>
        <w:rPr>
          <w:lang w:val="fr-CH"/>
        </w:rPr>
      </w:pPr>
      <w:r w:rsidRPr="00CE4453">
        <w:rPr>
          <w:lang w:val="fr-CH"/>
        </w:rPr>
        <w:t>2.9.5</w:t>
      </w:r>
      <w:r w:rsidRPr="00CE4453">
        <w:rPr>
          <w:lang w:val="fr-CH"/>
        </w:rPr>
        <w:tab/>
        <w:t xml:space="preserve">Par </w:t>
      </w:r>
      <w:r w:rsidR="00B46129">
        <w:rPr>
          <w:lang w:val="fr-CH"/>
        </w:rPr>
        <w:t>« </w:t>
      </w:r>
      <w:r w:rsidRPr="00CE4453">
        <w:rPr>
          <w:i/>
          <w:iCs/>
          <w:lang w:val="fr-CH"/>
        </w:rPr>
        <w:t>ceinture harnais</w:t>
      </w:r>
      <w:r w:rsidR="00B46129">
        <w:rPr>
          <w:lang w:val="fr-CH"/>
        </w:rPr>
        <w:t> »</w:t>
      </w:r>
      <w:r w:rsidRPr="00CE4453">
        <w:rPr>
          <w:lang w:val="fr-CH"/>
        </w:rPr>
        <w:t>, on entend une ceinture du type S comprenant une sangle abdominale et des bretelles</w:t>
      </w:r>
      <w:r w:rsidR="00B46129">
        <w:rPr>
          <w:lang w:val="fr-CH"/>
        </w:rPr>
        <w:t> ;</w:t>
      </w:r>
      <w:r w:rsidRPr="00CE4453">
        <w:rPr>
          <w:lang w:val="fr-CH"/>
        </w:rPr>
        <w:t xml:space="preserve"> une ceinture harnais peut être complétée par une sangle d</w:t>
      </w:r>
      <w:r>
        <w:rPr>
          <w:lang w:val="fr-CH"/>
        </w:rPr>
        <w:t>’</w:t>
      </w:r>
      <w:proofErr w:type="spellStart"/>
      <w:r w:rsidRPr="00CE4453">
        <w:rPr>
          <w:lang w:val="fr-CH"/>
        </w:rPr>
        <w:t>entrejambe</w:t>
      </w:r>
      <w:proofErr w:type="spellEnd"/>
      <w:r w:rsidRPr="00CE4453">
        <w:rPr>
          <w:lang w:val="fr-CH"/>
        </w:rPr>
        <w:t>.</w:t>
      </w:r>
      <w:bookmarkStart w:id="9" w:name="_Hlk159753103"/>
      <w:bookmarkEnd w:id="9"/>
    </w:p>
    <w:p w14:paraId="6115586A" w14:textId="7BE51DFF" w:rsidR="00C8567A" w:rsidRPr="00CE4453" w:rsidRDefault="00C8567A" w:rsidP="00B46129">
      <w:pPr>
        <w:pStyle w:val="para"/>
        <w:tabs>
          <w:tab w:val="clear" w:pos="1701"/>
        </w:tabs>
        <w:rPr>
          <w:lang w:val="fr-CH"/>
        </w:rPr>
      </w:pPr>
      <w:r w:rsidRPr="00CE4453">
        <w:rPr>
          <w:lang w:val="fr-CH"/>
        </w:rPr>
        <w:t>2.10</w:t>
      </w:r>
      <w:r w:rsidRPr="00CE4453">
        <w:rPr>
          <w:lang w:val="fr-CH"/>
        </w:rPr>
        <w:tab/>
        <w:t xml:space="preserve">Par </w:t>
      </w:r>
      <w:r w:rsidR="00B46129">
        <w:rPr>
          <w:lang w:val="fr-CH"/>
        </w:rPr>
        <w:t>« </w:t>
      </w:r>
      <w:r w:rsidRPr="00CE4453">
        <w:rPr>
          <w:i/>
          <w:iCs/>
          <w:lang w:val="fr-CH"/>
        </w:rPr>
        <w:t>sangle</w:t>
      </w:r>
      <w:r w:rsidR="00B46129">
        <w:rPr>
          <w:lang w:val="fr-CH"/>
        </w:rPr>
        <w:t> »</w:t>
      </w:r>
      <w:r w:rsidRPr="00CE4453">
        <w:rPr>
          <w:lang w:val="fr-CH"/>
        </w:rPr>
        <w:t>, on entend un élément souple destiné à maintenir le corps et à transmettre les efforts aux ancrages.</w:t>
      </w:r>
      <w:bookmarkStart w:id="10" w:name="_Hlk159753414"/>
      <w:bookmarkEnd w:id="10"/>
    </w:p>
    <w:p w14:paraId="0AEDD731" w14:textId="24554CAB" w:rsidR="00C8567A" w:rsidRPr="00CE4453" w:rsidRDefault="00C8567A" w:rsidP="00B46129">
      <w:pPr>
        <w:pStyle w:val="para"/>
        <w:tabs>
          <w:tab w:val="clear" w:pos="1701"/>
        </w:tabs>
        <w:rPr>
          <w:lang w:val="fr-CH"/>
        </w:rPr>
      </w:pPr>
      <w:r w:rsidRPr="00CE4453">
        <w:rPr>
          <w:lang w:val="fr-CH"/>
        </w:rPr>
        <w:t>2.11</w:t>
      </w:r>
      <w:r w:rsidRPr="00CE4453">
        <w:rPr>
          <w:lang w:val="fr-CH"/>
        </w:rPr>
        <w:tab/>
        <w:t xml:space="preserve">Par </w:t>
      </w:r>
      <w:r w:rsidR="00B46129">
        <w:rPr>
          <w:lang w:val="fr-CH"/>
        </w:rPr>
        <w:t>« </w:t>
      </w:r>
      <w:r w:rsidRPr="00CE4453">
        <w:rPr>
          <w:i/>
          <w:iCs/>
          <w:lang w:val="fr-CH"/>
        </w:rPr>
        <w:t>boucle de fermeture</w:t>
      </w:r>
      <w:r w:rsidR="00B46129">
        <w:rPr>
          <w:lang w:val="fr-CH"/>
        </w:rPr>
        <w:t> »</w:t>
      </w:r>
      <w:r w:rsidRPr="00CE4453">
        <w:rPr>
          <w:lang w:val="fr-CH"/>
        </w:rPr>
        <w:t>, on entend un dispositif à déverrouillage rapide, permettant à l</w:t>
      </w:r>
      <w:r>
        <w:rPr>
          <w:lang w:val="fr-CH"/>
        </w:rPr>
        <w:t>’</w:t>
      </w:r>
      <w:r w:rsidRPr="00CE4453">
        <w:rPr>
          <w:lang w:val="fr-CH"/>
        </w:rPr>
        <w:t>utilisateur d</w:t>
      </w:r>
      <w:r>
        <w:rPr>
          <w:lang w:val="fr-CH"/>
        </w:rPr>
        <w:t>’</w:t>
      </w:r>
      <w:r w:rsidRPr="00CE4453">
        <w:rPr>
          <w:lang w:val="fr-CH"/>
        </w:rPr>
        <w:t>être maintenu par la ceinture. La boucle peut comprendre le dispositif de réglage, sauf dans le cas d</w:t>
      </w:r>
      <w:r>
        <w:rPr>
          <w:lang w:val="fr-CH"/>
        </w:rPr>
        <w:t>’</w:t>
      </w:r>
      <w:r w:rsidRPr="00CE4453">
        <w:rPr>
          <w:lang w:val="fr-CH"/>
        </w:rPr>
        <w:t>une boucle de ceinture harnais.</w:t>
      </w:r>
      <w:bookmarkStart w:id="11" w:name="_Hlk159753440"/>
      <w:bookmarkEnd w:id="11"/>
    </w:p>
    <w:p w14:paraId="61652FDE" w14:textId="5FE34ACF" w:rsidR="00C8567A" w:rsidRPr="00CE4453" w:rsidRDefault="00C8567A" w:rsidP="00B46129">
      <w:pPr>
        <w:pStyle w:val="para"/>
        <w:tabs>
          <w:tab w:val="clear" w:pos="1701"/>
        </w:tabs>
        <w:rPr>
          <w:lang w:val="fr-CH"/>
        </w:rPr>
      </w:pPr>
      <w:r w:rsidRPr="00CE4453">
        <w:rPr>
          <w:lang w:val="fr-CH"/>
        </w:rPr>
        <w:t>2.12</w:t>
      </w:r>
      <w:r w:rsidRPr="00CE4453">
        <w:rPr>
          <w:lang w:val="fr-CH"/>
        </w:rPr>
        <w:tab/>
        <w:t xml:space="preserve">Par </w:t>
      </w:r>
      <w:r w:rsidR="00B46129">
        <w:rPr>
          <w:lang w:val="fr-CH"/>
        </w:rPr>
        <w:t>« </w:t>
      </w:r>
      <w:r w:rsidRPr="00CE4453">
        <w:rPr>
          <w:i/>
          <w:iCs/>
          <w:lang w:val="fr-CH"/>
        </w:rPr>
        <w:t>dispositif de réglage de la ceinture</w:t>
      </w:r>
      <w:r w:rsidR="00B46129">
        <w:rPr>
          <w:lang w:val="fr-CH"/>
        </w:rPr>
        <w:t> »</w:t>
      </w:r>
      <w:r w:rsidRPr="00CE4453">
        <w:rPr>
          <w:lang w:val="fr-CH"/>
        </w:rPr>
        <w:t>, on entend un dispositif permettant de régler la ceinture selon les besoins de l</w:t>
      </w:r>
      <w:r>
        <w:rPr>
          <w:lang w:val="fr-CH"/>
        </w:rPr>
        <w:t>’</w:t>
      </w:r>
      <w:r w:rsidRPr="00CE4453">
        <w:rPr>
          <w:lang w:val="fr-CH"/>
        </w:rPr>
        <w:t>utilisateur individuel et la position du siège. Le dispositif de réglage peut soit faire partie de la boucle, soit être un rétracteur ou toute autre partie de la ceinture de sécurité.</w:t>
      </w:r>
      <w:bookmarkStart w:id="12" w:name="_Hlk159753461"/>
      <w:bookmarkEnd w:id="12"/>
    </w:p>
    <w:p w14:paraId="01EA32EA" w14:textId="4B7CDF4D" w:rsidR="00C8567A" w:rsidRPr="00CE4453" w:rsidRDefault="00C8567A" w:rsidP="00B46129">
      <w:pPr>
        <w:pStyle w:val="para"/>
        <w:tabs>
          <w:tab w:val="clear" w:pos="1701"/>
        </w:tabs>
        <w:rPr>
          <w:lang w:val="fr-CH"/>
        </w:rPr>
      </w:pPr>
      <w:r w:rsidRPr="00CE4453">
        <w:rPr>
          <w:lang w:val="fr-CH"/>
        </w:rPr>
        <w:t>2.13</w:t>
      </w:r>
      <w:r w:rsidRPr="00CE4453">
        <w:rPr>
          <w:lang w:val="fr-CH"/>
        </w:rPr>
        <w:tab/>
        <w:t xml:space="preserve">Par </w:t>
      </w:r>
      <w:r w:rsidR="00B46129">
        <w:rPr>
          <w:lang w:val="fr-CH"/>
        </w:rPr>
        <w:t>« </w:t>
      </w:r>
      <w:r w:rsidRPr="00CE4453">
        <w:rPr>
          <w:i/>
          <w:iCs/>
          <w:lang w:val="fr-CH"/>
        </w:rPr>
        <w:t>rétracteur</w:t>
      </w:r>
      <w:r w:rsidR="00B46129">
        <w:rPr>
          <w:lang w:val="fr-CH"/>
        </w:rPr>
        <w:t> »</w:t>
      </w:r>
      <w:r w:rsidRPr="00CE4453">
        <w:rPr>
          <w:lang w:val="fr-CH"/>
        </w:rPr>
        <w:t>, on entend un dispositif pour le logement en partie ou en totalité de la sangle d</w:t>
      </w:r>
      <w:r>
        <w:rPr>
          <w:lang w:val="fr-CH"/>
        </w:rPr>
        <w:t>’</w:t>
      </w:r>
      <w:r w:rsidRPr="00CE4453">
        <w:rPr>
          <w:lang w:val="fr-CH"/>
        </w:rPr>
        <w:t>une ceinture de sécurité.</w:t>
      </w:r>
    </w:p>
    <w:p w14:paraId="10AFF7A1" w14:textId="6B702850" w:rsidR="00C8567A" w:rsidRPr="00CE4453" w:rsidRDefault="00C8567A" w:rsidP="00B46129">
      <w:pPr>
        <w:pStyle w:val="para"/>
        <w:tabs>
          <w:tab w:val="clear" w:pos="1701"/>
        </w:tabs>
        <w:rPr>
          <w:lang w:val="fr-CH"/>
        </w:rPr>
      </w:pPr>
      <w:r w:rsidRPr="00CE4453">
        <w:rPr>
          <w:lang w:val="fr-CH"/>
        </w:rPr>
        <w:t>2.14</w:t>
      </w:r>
      <w:r w:rsidRPr="00CE4453">
        <w:rPr>
          <w:lang w:val="fr-CH"/>
        </w:rPr>
        <w:tab/>
        <w:t xml:space="preserve">Par </w:t>
      </w:r>
      <w:r w:rsidR="00B46129">
        <w:rPr>
          <w:lang w:val="fr-CH"/>
        </w:rPr>
        <w:t>« </w:t>
      </w:r>
      <w:r w:rsidRPr="00CE4453">
        <w:rPr>
          <w:i/>
          <w:iCs/>
          <w:lang w:val="fr-CH"/>
        </w:rPr>
        <w:t>siège</w:t>
      </w:r>
      <w:r w:rsidR="00B46129">
        <w:rPr>
          <w:lang w:val="fr-CH"/>
        </w:rPr>
        <w:t> »</w:t>
      </w:r>
      <w:r w:rsidRPr="00CE4453">
        <w:rPr>
          <w:lang w:val="fr-CH"/>
        </w:rPr>
        <w:t>, on entend une structure faisant ou non partie intégrante de la structure du véhicule, y compris sa garniture, offrant une place assise pour un adulte. Le terme désigne aussi bien un siège individuel que la partie d</w:t>
      </w:r>
      <w:r>
        <w:rPr>
          <w:lang w:val="fr-CH"/>
        </w:rPr>
        <w:t>’</w:t>
      </w:r>
      <w:r w:rsidRPr="00CE4453">
        <w:rPr>
          <w:lang w:val="fr-CH"/>
        </w:rPr>
        <w:t>une banquette correspondant à une place assise.</w:t>
      </w:r>
    </w:p>
    <w:p w14:paraId="49BB8CF1" w14:textId="7D1FDE32" w:rsidR="00C8567A" w:rsidRPr="00CE4453" w:rsidRDefault="00C8567A" w:rsidP="00B46129">
      <w:pPr>
        <w:pStyle w:val="para"/>
        <w:tabs>
          <w:tab w:val="clear" w:pos="1701"/>
        </w:tabs>
        <w:rPr>
          <w:lang w:val="fr-CH"/>
        </w:rPr>
      </w:pPr>
      <w:r w:rsidRPr="00CE4453">
        <w:rPr>
          <w:lang w:val="fr-CH"/>
        </w:rPr>
        <w:t>2.14.1</w:t>
      </w:r>
      <w:r w:rsidRPr="00CE4453">
        <w:rPr>
          <w:lang w:val="fr-CH"/>
        </w:rPr>
        <w:tab/>
        <w:t xml:space="preserve">Par </w:t>
      </w:r>
      <w:r w:rsidR="00B46129">
        <w:rPr>
          <w:lang w:val="fr-CH"/>
        </w:rPr>
        <w:t>« </w:t>
      </w:r>
      <w:r w:rsidRPr="00CE4453">
        <w:rPr>
          <w:i/>
          <w:iCs/>
          <w:lang w:val="fr-CH"/>
        </w:rPr>
        <w:t>siège avant</w:t>
      </w:r>
      <w:r w:rsidR="00B46129">
        <w:rPr>
          <w:lang w:val="fr-CH"/>
        </w:rPr>
        <w:t> »</w:t>
      </w:r>
      <w:r w:rsidRPr="00CE4453">
        <w:rPr>
          <w:lang w:val="fr-CH"/>
        </w:rPr>
        <w:t xml:space="preserve">, on entend tout siège dont le </w:t>
      </w:r>
      <w:r w:rsidR="00B46129">
        <w:rPr>
          <w:lang w:val="fr-CH"/>
        </w:rPr>
        <w:t>« </w:t>
      </w:r>
      <w:r w:rsidRPr="00CE4453">
        <w:rPr>
          <w:lang w:val="fr-CH"/>
        </w:rPr>
        <w:t>point H le plus avancé</w:t>
      </w:r>
      <w:r w:rsidR="00B46129">
        <w:rPr>
          <w:lang w:val="fr-CH"/>
        </w:rPr>
        <w:t> »</w:t>
      </w:r>
      <w:r w:rsidRPr="00CE4453">
        <w:rPr>
          <w:lang w:val="fr-CH"/>
        </w:rPr>
        <w:t xml:space="preserve"> est situé dans le plan transversal vertical passant par le point R du conducteur ou à l</w:t>
      </w:r>
      <w:r>
        <w:rPr>
          <w:lang w:val="fr-CH"/>
        </w:rPr>
        <w:t>’</w:t>
      </w:r>
      <w:r w:rsidRPr="00CE4453">
        <w:rPr>
          <w:lang w:val="fr-CH"/>
        </w:rPr>
        <w:t>avant de ce plan.</w:t>
      </w:r>
    </w:p>
    <w:p w14:paraId="3B1AE5E6" w14:textId="5F970513" w:rsidR="00C8567A" w:rsidRPr="00CE4453" w:rsidRDefault="00C8567A" w:rsidP="00B46129">
      <w:pPr>
        <w:pStyle w:val="para"/>
        <w:tabs>
          <w:tab w:val="clear" w:pos="1701"/>
        </w:tabs>
        <w:rPr>
          <w:lang w:val="fr-CH"/>
        </w:rPr>
      </w:pPr>
      <w:r w:rsidRPr="00CE4453">
        <w:rPr>
          <w:lang w:val="fr-CH"/>
        </w:rPr>
        <w:t>2.14.2</w:t>
      </w:r>
      <w:r w:rsidRPr="00CE4453">
        <w:rPr>
          <w:lang w:val="fr-CH"/>
        </w:rPr>
        <w:tab/>
        <w:t xml:space="preserve">Par </w:t>
      </w:r>
      <w:r w:rsidR="00B46129">
        <w:rPr>
          <w:lang w:val="fr-CH"/>
        </w:rPr>
        <w:t>« </w:t>
      </w:r>
      <w:r w:rsidRPr="00CE4453">
        <w:rPr>
          <w:i/>
          <w:iCs/>
          <w:lang w:val="fr-CH"/>
        </w:rPr>
        <w:t>siège orienté vers l</w:t>
      </w:r>
      <w:r>
        <w:rPr>
          <w:i/>
          <w:iCs/>
          <w:lang w:val="fr-CH"/>
        </w:rPr>
        <w:t>’</w:t>
      </w:r>
      <w:r w:rsidRPr="00CE4453">
        <w:rPr>
          <w:i/>
          <w:iCs/>
          <w:lang w:val="fr-CH"/>
        </w:rPr>
        <w:t>avant</w:t>
      </w:r>
      <w:r w:rsidR="00B46129">
        <w:rPr>
          <w:lang w:val="fr-CH"/>
        </w:rPr>
        <w:t> »</w:t>
      </w:r>
      <w:r w:rsidRPr="00CE4453">
        <w:rPr>
          <w:lang w:val="fr-CH"/>
        </w:rPr>
        <w:t>, on entend un siège pouvant être utilisé lorsque le véhicule est en mouvement et qui est orienté vers l</w:t>
      </w:r>
      <w:r>
        <w:rPr>
          <w:lang w:val="fr-CH"/>
        </w:rPr>
        <w:t>’</w:t>
      </w:r>
      <w:r w:rsidRPr="00CE4453">
        <w:rPr>
          <w:lang w:val="fr-CH"/>
        </w:rPr>
        <w:t>avant du véhicule de manière que le plan vertical de symétrie du siège forme un angle inférieur à +10° ou -10° par rapport au plan vertical de symétrie du véhicule.</w:t>
      </w:r>
    </w:p>
    <w:p w14:paraId="11F2750F" w14:textId="0D0570C2" w:rsidR="00C8567A" w:rsidRPr="00CE4453" w:rsidRDefault="00C8567A" w:rsidP="00B46129">
      <w:pPr>
        <w:pStyle w:val="para"/>
        <w:keepNext/>
        <w:keepLines/>
        <w:tabs>
          <w:tab w:val="clear" w:pos="1701"/>
        </w:tabs>
        <w:rPr>
          <w:lang w:val="fr-CH"/>
        </w:rPr>
      </w:pPr>
      <w:r w:rsidRPr="00CE4453">
        <w:rPr>
          <w:lang w:val="fr-CH"/>
        </w:rPr>
        <w:lastRenderedPageBreak/>
        <w:t>2.14.3</w:t>
      </w:r>
      <w:r w:rsidRPr="00CE4453">
        <w:rPr>
          <w:lang w:val="fr-CH"/>
        </w:rPr>
        <w:tab/>
        <w:t xml:space="preserve">Par </w:t>
      </w:r>
      <w:r w:rsidR="00B46129">
        <w:rPr>
          <w:lang w:val="fr-CH"/>
        </w:rPr>
        <w:t>« </w:t>
      </w:r>
      <w:r w:rsidRPr="00CE4453">
        <w:rPr>
          <w:i/>
          <w:iCs/>
          <w:lang w:val="fr-CH"/>
        </w:rPr>
        <w:t>siège orienté vers l</w:t>
      </w:r>
      <w:r>
        <w:rPr>
          <w:i/>
          <w:iCs/>
          <w:lang w:val="fr-CH"/>
        </w:rPr>
        <w:t>’</w:t>
      </w:r>
      <w:r w:rsidRPr="00CE4453">
        <w:rPr>
          <w:i/>
          <w:iCs/>
          <w:lang w:val="fr-CH"/>
        </w:rPr>
        <w:t>arrière</w:t>
      </w:r>
      <w:r w:rsidR="00B46129">
        <w:rPr>
          <w:lang w:val="fr-CH"/>
        </w:rPr>
        <w:t> »</w:t>
      </w:r>
      <w:r w:rsidRPr="00CE4453">
        <w:rPr>
          <w:lang w:val="fr-CH"/>
        </w:rPr>
        <w:t>, on entend un siège pouvant être utilisé lorsque le véhicule est en mouvement et qui est orienté vers l</w:t>
      </w:r>
      <w:r>
        <w:rPr>
          <w:lang w:val="fr-CH"/>
        </w:rPr>
        <w:t>’</w:t>
      </w:r>
      <w:r w:rsidRPr="00CE4453">
        <w:rPr>
          <w:lang w:val="fr-CH"/>
        </w:rPr>
        <w:t>arrière du véhicule de manière que le plan vertical de symétrie du siège forme un angle inférieur à +10° ou -10° par rapport au plan vertical de symétrie du véhicule.</w:t>
      </w:r>
    </w:p>
    <w:p w14:paraId="1D818563" w14:textId="791548DF" w:rsidR="00C8567A" w:rsidRPr="00CE4453" w:rsidRDefault="00C8567A" w:rsidP="00B46129">
      <w:pPr>
        <w:pStyle w:val="para"/>
        <w:tabs>
          <w:tab w:val="clear" w:pos="1701"/>
        </w:tabs>
        <w:rPr>
          <w:lang w:val="fr-CH"/>
        </w:rPr>
      </w:pPr>
      <w:r w:rsidRPr="00CE4453">
        <w:rPr>
          <w:lang w:val="fr-CH"/>
        </w:rPr>
        <w:t>2.14.4</w:t>
      </w:r>
      <w:r w:rsidRPr="00CE4453">
        <w:rPr>
          <w:lang w:val="fr-CH"/>
        </w:rPr>
        <w:tab/>
        <w:t xml:space="preserve">Par </w:t>
      </w:r>
      <w:r w:rsidR="00B46129">
        <w:rPr>
          <w:lang w:val="fr-CH"/>
        </w:rPr>
        <w:t>« </w:t>
      </w:r>
      <w:r w:rsidRPr="00CE4453">
        <w:rPr>
          <w:i/>
          <w:iCs/>
          <w:lang w:val="fr-CH"/>
        </w:rPr>
        <w:t>siège orienté vers le côté</w:t>
      </w:r>
      <w:r w:rsidR="00B46129">
        <w:rPr>
          <w:lang w:val="fr-CH"/>
        </w:rPr>
        <w:t> »</w:t>
      </w:r>
      <w:r w:rsidRPr="00CE4453">
        <w:rPr>
          <w:lang w:val="fr-CH"/>
        </w:rPr>
        <w:t>, on entend un siège pouvant être utilisé lorsque le véhicule est en mouvement et qui est orienté vers un côté du véhicule de manière que le plan vertical de symétrie du siège forme un angle de 90° (</w:t>
      </w:r>
      <w:r w:rsidRPr="00CE4453">
        <w:rPr>
          <w:lang w:val="fr-CH"/>
        </w:rPr>
        <w:sym w:font="Symbol" w:char="F0B1"/>
      </w:r>
      <w:r w:rsidRPr="00CE4453">
        <w:rPr>
          <w:lang w:val="fr-CH"/>
        </w:rPr>
        <w:t>10°) par rapport au plan vertical de symétrie du véhicule.</w:t>
      </w:r>
    </w:p>
    <w:p w14:paraId="0CE6DEA4" w14:textId="5C6FB0CC" w:rsidR="00C8567A" w:rsidRPr="00CE4453" w:rsidRDefault="00C8567A" w:rsidP="00B46129">
      <w:pPr>
        <w:pStyle w:val="para"/>
        <w:tabs>
          <w:tab w:val="clear" w:pos="1701"/>
        </w:tabs>
        <w:rPr>
          <w:lang w:val="fr-CH"/>
        </w:rPr>
      </w:pPr>
      <w:r w:rsidRPr="00CE4453">
        <w:rPr>
          <w:lang w:val="fr-CH"/>
        </w:rPr>
        <w:t>2.15</w:t>
      </w:r>
      <w:r w:rsidRPr="00CE4453">
        <w:rPr>
          <w:lang w:val="fr-CH"/>
        </w:rPr>
        <w:tab/>
        <w:t xml:space="preserve">Par </w:t>
      </w:r>
      <w:r w:rsidR="00B46129">
        <w:rPr>
          <w:lang w:val="fr-CH"/>
        </w:rPr>
        <w:t>« </w:t>
      </w:r>
      <w:r w:rsidRPr="00CE4453">
        <w:rPr>
          <w:i/>
          <w:iCs/>
          <w:lang w:val="fr-CH"/>
        </w:rPr>
        <w:t>groupe de sièges</w:t>
      </w:r>
      <w:r w:rsidR="00B46129">
        <w:rPr>
          <w:lang w:val="fr-CH"/>
        </w:rPr>
        <w:t> »</w:t>
      </w:r>
      <w:r w:rsidRPr="00CE4453">
        <w:rPr>
          <w:lang w:val="fr-CH"/>
        </w:rPr>
        <w:t>, on entend une banquette ou des sièges distincts mais côte à côte (c</w:t>
      </w:r>
      <w:r>
        <w:rPr>
          <w:lang w:val="fr-CH"/>
        </w:rPr>
        <w:t>’</w:t>
      </w:r>
      <w:r w:rsidRPr="00CE4453">
        <w:rPr>
          <w:lang w:val="fr-CH"/>
        </w:rPr>
        <w:t>est-à-dire fixés de telle manière que les ancrages avant de l</w:t>
      </w:r>
      <w:r>
        <w:rPr>
          <w:lang w:val="fr-CH"/>
        </w:rPr>
        <w:t>’</w:t>
      </w:r>
      <w:r w:rsidRPr="00CE4453">
        <w:rPr>
          <w:lang w:val="fr-CH"/>
        </w:rPr>
        <w:t>un de ces sièges soient alignés sur les ancrages avant ou arrière d</w:t>
      </w:r>
      <w:r>
        <w:rPr>
          <w:lang w:val="fr-CH"/>
        </w:rPr>
        <w:t>’</w:t>
      </w:r>
      <w:r w:rsidRPr="00CE4453">
        <w:rPr>
          <w:lang w:val="fr-CH"/>
        </w:rPr>
        <w:t>un autre siège ou situés entre les ancrages de cet autre siège) et offrant une ou plusieurs places assises pour adultes.</w:t>
      </w:r>
    </w:p>
    <w:p w14:paraId="0FF7EB7C" w14:textId="4426EEB3" w:rsidR="00C8567A" w:rsidRPr="00CE4453" w:rsidRDefault="00C8567A" w:rsidP="00B46129">
      <w:pPr>
        <w:pStyle w:val="para"/>
        <w:tabs>
          <w:tab w:val="clear" w:pos="1701"/>
        </w:tabs>
        <w:rPr>
          <w:lang w:val="fr-CH"/>
        </w:rPr>
      </w:pPr>
      <w:r w:rsidRPr="00CE4453">
        <w:rPr>
          <w:lang w:val="fr-CH"/>
        </w:rPr>
        <w:t>2.16</w:t>
      </w:r>
      <w:r w:rsidRPr="00CE4453">
        <w:rPr>
          <w:lang w:val="fr-CH"/>
        </w:rPr>
        <w:tab/>
        <w:t xml:space="preserve">Par </w:t>
      </w:r>
      <w:r w:rsidR="00B46129">
        <w:rPr>
          <w:lang w:val="fr-CH"/>
        </w:rPr>
        <w:t>« </w:t>
      </w:r>
      <w:r w:rsidRPr="00CE4453">
        <w:rPr>
          <w:i/>
          <w:iCs/>
          <w:lang w:val="fr-CH"/>
        </w:rPr>
        <w:t>banquette</w:t>
      </w:r>
      <w:r w:rsidR="00B46129">
        <w:rPr>
          <w:lang w:val="fr-CH"/>
        </w:rPr>
        <w:t> »</w:t>
      </w:r>
      <w:r w:rsidRPr="00CE4453">
        <w:rPr>
          <w:lang w:val="fr-CH"/>
        </w:rPr>
        <w:t>, on entend une structure complète avec sa garniture, offrant au moins deux places assises pour adultes.</w:t>
      </w:r>
    </w:p>
    <w:p w14:paraId="3511A67A" w14:textId="2EFEC978" w:rsidR="00C8567A" w:rsidRPr="00CE4453" w:rsidRDefault="00C8567A" w:rsidP="00B46129">
      <w:pPr>
        <w:pStyle w:val="para"/>
        <w:tabs>
          <w:tab w:val="clear" w:pos="1701"/>
        </w:tabs>
        <w:rPr>
          <w:lang w:val="fr-CH"/>
        </w:rPr>
      </w:pPr>
      <w:r w:rsidRPr="00CE4453">
        <w:rPr>
          <w:lang w:val="fr-CH"/>
        </w:rPr>
        <w:t>2.17</w:t>
      </w:r>
      <w:r w:rsidRPr="00CE4453">
        <w:rPr>
          <w:lang w:val="fr-CH"/>
        </w:rPr>
        <w:tab/>
        <w:t xml:space="preserve">Par </w:t>
      </w:r>
      <w:r w:rsidR="00B46129">
        <w:rPr>
          <w:lang w:val="fr-CH"/>
        </w:rPr>
        <w:t>« </w:t>
      </w:r>
      <w:r w:rsidRPr="00CE4453">
        <w:rPr>
          <w:i/>
          <w:iCs/>
          <w:lang w:val="fr-CH"/>
        </w:rPr>
        <w:t>ancrage du siège</w:t>
      </w:r>
      <w:r w:rsidR="00B46129">
        <w:rPr>
          <w:lang w:val="fr-CH"/>
        </w:rPr>
        <w:t> »</w:t>
      </w:r>
      <w:r w:rsidRPr="00CE4453">
        <w:rPr>
          <w:lang w:val="fr-CH"/>
        </w:rPr>
        <w:t>, on entend le système de fixation de l</w:t>
      </w:r>
      <w:r>
        <w:rPr>
          <w:lang w:val="fr-CH"/>
        </w:rPr>
        <w:t>’</w:t>
      </w:r>
      <w:r w:rsidRPr="00CE4453">
        <w:rPr>
          <w:lang w:val="fr-CH"/>
        </w:rPr>
        <w:t>ensemble du siège à la structure du véhicule, y compris les parties en cause de la structure du véhicule.</w:t>
      </w:r>
    </w:p>
    <w:p w14:paraId="012C532B" w14:textId="77777777" w:rsidR="00C8567A" w:rsidRPr="008C29E1" w:rsidRDefault="00C8567A" w:rsidP="00C8567A">
      <w:pPr>
        <w:pStyle w:val="HChG"/>
        <w:tabs>
          <w:tab w:val="left" w:pos="2268"/>
        </w:tabs>
        <w:ind w:left="2268"/>
      </w:pPr>
      <w:bookmarkStart w:id="13" w:name="_Toc120016733"/>
      <w:r w:rsidRPr="008C29E1">
        <w:rPr>
          <w:bCs/>
        </w:rPr>
        <w:t>3.</w:t>
      </w:r>
      <w:r w:rsidRPr="008C29E1">
        <w:tab/>
      </w:r>
      <w:r w:rsidRPr="008C29E1">
        <w:rPr>
          <w:bCs/>
        </w:rPr>
        <w:t>Demande d</w:t>
      </w:r>
      <w:r>
        <w:rPr>
          <w:bCs/>
        </w:rPr>
        <w:t>’</w:t>
      </w:r>
      <w:r w:rsidRPr="008C29E1">
        <w:rPr>
          <w:bCs/>
        </w:rPr>
        <w:t>homologation</w:t>
      </w:r>
      <w:bookmarkEnd w:id="13"/>
    </w:p>
    <w:p w14:paraId="1C7F389E" w14:textId="77777777" w:rsidR="00C8567A" w:rsidRPr="008C29E1" w:rsidRDefault="00C8567A" w:rsidP="00B46129">
      <w:pPr>
        <w:pStyle w:val="para"/>
        <w:tabs>
          <w:tab w:val="clear" w:pos="1701"/>
        </w:tabs>
        <w:rPr>
          <w:lang w:val="fr-CH"/>
        </w:rPr>
      </w:pPr>
      <w:bookmarkStart w:id="14" w:name="_Toc120016734"/>
      <w:r w:rsidRPr="008C29E1">
        <w:rPr>
          <w:lang w:val="fr-CH"/>
        </w:rPr>
        <w:t>3.1.1</w:t>
      </w:r>
      <w:r w:rsidRPr="008C29E1">
        <w:rPr>
          <w:lang w:val="fr-CH"/>
        </w:rPr>
        <w:tab/>
        <w:t>La demande d</w:t>
      </w:r>
      <w:r>
        <w:rPr>
          <w:lang w:val="fr-CH"/>
        </w:rPr>
        <w:t>’</w:t>
      </w:r>
      <w:r w:rsidRPr="008C29E1">
        <w:rPr>
          <w:lang w:val="fr-CH"/>
        </w:rPr>
        <w:t>homologation d</w:t>
      </w:r>
      <w:r>
        <w:rPr>
          <w:lang w:val="fr-CH"/>
        </w:rPr>
        <w:t>’</w:t>
      </w:r>
      <w:r w:rsidRPr="008C29E1">
        <w:rPr>
          <w:lang w:val="fr-CH"/>
        </w:rPr>
        <w:t>un type de véhicule en ce qui concerne le témoin de port de ceinture est présentée par le constructeur du véhicule ou son représentant dûment accrédité</w:t>
      </w:r>
      <w:r>
        <w:rPr>
          <w:lang w:val="fr-CH"/>
        </w:rPr>
        <w:t xml:space="preserve">, </w:t>
      </w:r>
      <w:r w:rsidRPr="00354EC8">
        <w:rPr>
          <w:lang w:val="fr-CH"/>
        </w:rPr>
        <w:t>conformément à la procédure définie dans l</w:t>
      </w:r>
      <w:r>
        <w:rPr>
          <w:lang w:val="fr-CH"/>
        </w:rPr>
        <w:t>’</w:t>
      </w:r>
      <w:r w:rsidRPr="00354EC8">
        <w:rPr>
          <w:lang w:val="fr-CH"/>
        </w:rPr>
        <w:t>annexe 3 de l</w:t>
      </w:r>
      <w:r>
        <w:rPr>
          <w:lang w:val="fr-CH"/>
        </w:rPr>
        <w:t>’</w:t>
      </w:r>
      <w:r w:rsidRPr="00354EC8">
        <w:rPr>
          <w:lang w:val="fr-CH"/>
        </w:rPr>
        <w:t>Accord (E/ECE/TRANS/505/Rev.3)</w:t>
      </w:r>
      <w:r w:rsidRPr="008C29E1">
        <w:rPr>
          <w:lang w:val="fr-CH"/>
        </w:rPr>
        <w:t>.</w:t>
      </w:r>
    </w:p>
    <w:p w14:paraId="57ABCE61" w14:textId="4ECE1234" w:rsidR="00C8567A" w:rsidRPr="008C29E1" w:rsidRDefault="00C8567A" w:rsidP="00B46129">
      <w:pPr>
        <w:pStyle w:val="para"/>
        <w:tabs>
          <w:tab w:val="clear" w:pos="1701"/>
        </w:tabs>
        <w:rPr>
          <w:lang w:val="fr-CH"/>
        </w:rPr>
      </w:pPr>
      <w:r w:rsidRPr="008C29E1">
        <w:rPr>
          <w:lang w:val="fr-CH"/>
        </w:rPr>
        <w:t>3.1.2</w:t>
      </w:r>
      <w:r w:rsidRPr="008C29E1">
        <w:rPr>
          <w:lang w:val="fr-CH"/>
        </w:rPr>
        <w:tab/>
        <w:t>Elle est accompagnée des pièces mentionnées ci-après et des indications suivantes</w:t>
      </w:r>
      <w:r w:rsidR="00B46129">
        <w:rPr>
          <w:lang w:val="fr-CH"/>
        </w:rPr>
        <w:t> :</w:t>
      </w:r>
    </w:p>
    <w:p w14:paraId="7519416E" w14:textId="0058A10D" w:rsidR="00C8567A" w:rsidRPr="008C29E1" w:rsidRDefault="00C8567A" w:rsidP="00B46129">
      <w:pPr>
        <w:pStyle w:val="para"/>
        <w:tabs>
          <w:tab w:val="clear" w:pos="1701"/>
        </w:tabs>
        <w:rPr>
          <w:strike/>
          <w:lang w:val="fr-CH"/>
        </w:rPr>
      </w:pPr>
      <w:r w:rsidRPr="008C29E1">
        <w:rPr>
          <w:lang w:val="fr-CH"/>
        </w:rPr>
        <w:t>3.1.2.1</w:t>
      </w:r>
      <w:r w:rsidRPr="008C29E1">
        <w:rPr>
          <w:lang w:val="fr-CH"/>
        </w:rPr>
        <w:tab/>
        <w:t>Des dessins donnant une vue d</w:t>
      </w:r>
      <w:r>
        <w:rPr>
          <w:lang w:val="fr-CH"/>
        </w:rPr>
        <w:t>’</w:t>
      </w:r>
      <w:r w:rsidRPr="008C29E1">
        <w:rPr>
          <w:lang w:val="fr-CH"/>
        </w:rPr>
        <w:t>ensemble de la structure du véhicule à une échelle appropriée, avec l</w:t>
      </w:r>
      <w:r>
        <w:rPr>
          <w:lang w:val="fr-CH"/>
        </w:rPr>
        <w:t>’</w:t>
      </w:r>
      <w:r w:rsidRPr="008C29E1">
        <w:rPr>
          <w:lang w:val="fr-CH"/>
        </w:rPr>
        <w:t>indication des emplacements des ceintures de sécurité</w:t>
      </w:r>
      <w:r w:rsidR="00B46129">
        <w:rPr>
          <w:lang w:val="fr-CH"/>
        </w:rPr>
        <w:t> ;</w:t>
      </w:r>
    </w:p>
    <w:p w14:paraId="64F0078E" w14:textId="715877DC" w:rsidR="00C8567A" w:rsidRPr="00CE4453" w:rsidRDefault="00C8567A" w:rsidP="00B46129">
      <w:pPr>
        <w:pStyle w:val="para"/>
        <w:tabs>
          <w:tab w:val="clear" w:pos="1701"/>
        </w:tabs>
        <w:rPr>
          <w:lang w:val="fr-CH"/>
        </w:rPr>
      </w:pPr>
      <w:r w:rsidRPr="008C29E1">
        <w:rPr>
          <w:lang w:val="fr-CH"/>
        </w:rPr>
        <w:t>3.1.2.2</w:t>
      </w:r>
      <w:r w:rsidRPr="008C29E1">
        <w:rPr>
          <w:lang w:val="fr-CH"/>
        </w:rPr>
        <w:tab/>
        <w:t>Une description du type de ceinture de sécurité</w:t>
      </w:r>
      <w:r w:rsidR="00B46129">
        <w:rPr>
          <w:lang w:val="fr-CH"/>
        </w:rPr>
        <w:t> ;</w:t>
      </w:r>
    </w:p>
    <w:p w14:paraId="675EB052" w14:textId="77777777" w:rsidR="00C8567A" w:rsidRPr="00CE4453" w:rsidRDefault="00C8567A" w:rsidP="00B46129">
      <w:pPr>
        <w:pStyle w:val="para"/>
        <w:tabs>
          <w:tab w:val="clear" w:pos="1701"/>
        </w:tabs>
        <w:rPr>
          <w:b/>
          <w:lang w:val="fr-CH"/>
        </w:rPr>
      </w:pPr>
      <w:r w:rsidRPr="00CE4453">
        <w:rPr>
          <w:lang w:val="fr-CH"/>
        </w:rPr>
        <w:t>3.1.2.3</w:t>
      </w:r>
      <w:r w:rsidRPr="00CE4453">
        <w:rPr>
          <w:lang w:val="fr-CH"/>
        </w:rPr>
        <w:tab/>
        <w:t>Une description du système témoin de port de ceinture.</w:t>
      </w:r>
    </w:p>
    <w:p w14:paraId="369F1C8C" w14:textId="77777777" w:rsidR="00C8567A" w:rsidRPr="00CE4453" w:rsidRDefault="00C8567A" w:rsidP="00B46129">
      <w:pPr>
        <w:pStyle w:val="para"/>
        <w:tabs>
          <w:tab w:val="clear" w:pos="1701"/>
        </w:tabs>
        <w:rPr>
          <w:lang w:val="fr-CH"/>
        </w:rPr>
      </w:pPr>
      <w:r w:rsidRPr="00CE4453">
        <w:rPr>
          <w:lang w:val="fr-CH"/>
        </w:rPr>
        <w:t>3.1.3</w:t>
      </w:r>
      <w:r w:rsidRPr="00CE4453">
        <w:rPr>
          <w:lang w:val="fr-CH"/>
        </w:rPr>
        <w:tab/>
        <w:t>Un véhicule représentatif du type à homologuer doit être présenté au service technique chargé des essais d</w:t>
      </w:r>
      <w:r>
        <w:rPr>
          <w:lang w:val="fr-CH"/>
        </w:rPr>
        <w:t>’</w:t>
      </w:r>
      <w:r w:rsidRPr="00CE4453">
        <w:rPr>
          <w:lang w:val="fr-CH"/>
        </w:rPr>
        <w:t>homologation.</w:t>
      </w:r>
      <w:bookmarkStart w:id="15" w:name="_Hlk159755635"/>
      <w:bookmarkEnd w:id="15"/>
    </w:p>
    <w:p w14:paraId="1116E9C6" w14:textId="77777777" w:rsidR="00C8567A" w:rsidRPr="00CE4453" w:rsidRDefault="00C8567A" w:rsidP="00C8567A">
      <w:pPr>
        <w:pStyle w:val="HChG"/>
        <w:tabs>
          <w:tab w:val="left" w:pos="2268"/>
        </w:tabs>
        <w:ind w:left="2268"/>
      </w:pPr>
      <w:bookmarkStart w:id="16" w:name="_Toc120016735"/>
      <w:bookmarkEnd w:id="14"/>
      <w:r w:rsidRPr="00CE4453">
        <w:rPr>
          <w:bCs/>
        </w:rPr>
        <w:t>4.</w:t>
      </w:r>
      <w:r w:rsidRPr="00CE4453">
        <w:tab/>
      </w:r>
      <w:r w:rsidRPr="00CE4453">
        <w:tab/>
      </w:r>
      <w:r w:rsidRPr="00CE4453">
        <w:rPr>
          <w:bCs/>
        </w:rPr>
        <w:t>Homologation</w:t>
      </w:r>
      <w:bookmarkEnd w:id="16"/>
    </w:p>
    <w:p w14:paraId="37130C46" w14:textId="77777777" w:rsidR="00C8567A" w:rsidRPr="00CE4453" w:rsidRDefault="00C8567A" w:rsidP="00B46129">
      <w:pPr>
        <w:pStyle w:val="para"/>
        <w:tabs>
          <w:tab w:val="clear" w:pos="1701"/>
        </w:tabs>
        <w:rPr>
          <w:lang w:val="fr-CH"/>
        </w:rPr>
      </w:pPr>
      <w:bookmarkStart w:id="17" w:name="_Hlk159755972"/>
      <w:r w:rsidRPr="00CE4453">
        <w:rPr>
          <w:lang w:val="fr-CH"/>
        </w:rPr>
        <w:t>4.1</w:t>
      </w:r>
      <w:r w:rsidRPr="00CE4453">
        <w:rPr>
          <w:lang w:val="fr-CH"/>
        </w:rPr>
        <w:tab/>
        <w:t>Si le véhicule présenté à l</w:t>
      </w:r>
      <w:r>
        <w:rPr>
          <w:lang w:val="fr-CH"/>
        </w:rPr>
        <w:t>’</w:t>
      </w:r>
      <w:r w:rsidRPr="00CE4453">
        <w:rPr>
          <w:lang w:val="fr-CH"/>
        </w:rPr>
        <w:t xml:space="preserve">homologation </w:t>
      </w:r>
      <w:r>
        <w:rPr>
          <w:lang w:val="fr-CH"/>
        </w:rPr>
        <w:t>au titre</w:t>
      </w:r>
      <w:r w:rsidRPr="00CE4453">
        <w:rPr>
          <w:lang w:val="fr-CH"/>
        </w:rPr>
        <w:t xml:space="preserve"> du présent Règlement satisfait aux prescriptions du</w:t>
      </w:r>
      <w:r>
        <w:rPr>
          <w:lang w:val="fr-CH"/>
        </w:rPr>
        <w:t>dit</w:t>
      </w:r>
      <w:r w:rsidRPr="00CE4453">
        <w:rPr>
          <w:lang w:val="fr-CH"/>
        </w:rPr>
        <w:t xml:space="preserve"> Règlement, l</w:t>
      </w:r>
      <w:r>
        <w:rPr>
          <w:lang w:val="fr-CH"/>
        </w:rPr>
        <w:t>’</w:t>
      </w:r>
      <w:r w:rsidRPr="00CE4453">
        <w:rPr>
          <w:lang w:val="fr-CH"/>
        </w:rPr>
        <w:t>homologation pour ce type de véhicule est accordée.</w:t>
      </w:r>
    </w:p>
    <w:p w14:paraId="70CAADDF" w14:textId="77777777" w:rsidR="00C8567A" w:rsidRPr="00CE4453" w:rsidRDefault="00C8567A" w:rsidP="00B46129">
      <w:pPr>
        <w:pStyle w:val="para"/>
        <w:tabs>
          <w:tab w:val="clear" w:pos="1701"/>
        </w:tabs>
        <w:rPr>
          <w:lang w:val="fr-CH"/>
        </w:rPr>
      </w:pPr>
      <w:r w:rsidRPr="00CE4453">
        <w:rPr>
          <w:lang w:val="fr-CH"/>
        </w:rPr>
        <w:t>4.</w:t>
      </w:r>
      <w:r>
        <w:rPr>
          <w:lang w:val="fr-CH"/>
        </w:rPr>
        <w:t>2</w:t>
      </w:r>
      <w:r w:rsidRPr="00CE4453">
        <w:rPr>
          <w:lang w:val="fr-CH"/>
        </w:rPr>
        <w:tab/>
      </w:r>
      <w:r w:rsidRPr="00354EC8">
        <w:rPr>
          <w:lang w:val="fr-CH"/>
        </w:rPr>
        <w:t>Un numéro d</w:t>
      </w:r>
      <w:r>
        <w:rPr>
          <w:lang w:val="fr-CH"/>
        </w:rPr>
        <w:t>’</w:t>
      </w:r>
      <w:r w:rsidRPr="00354EC8">
        <w:rPr>
          <w:lang w:val="fr-CH"/>
        </w:rPr>
        <w:t>homologation de type doit être attribué à chaque type homologué conformément à l</w:t>
      </w:r>
      <w:r>
        <w:rPr>
          <w:lang w:val="fr-CH"/>
        </w:rPr>
        <w:t>’</w:t>
      </w:r>
      <w:r w:rsidRPr="00354EC8">
        <w:rPr>
          <w:lang w:val="fr-CH"/>
        </w:rPr>
        <w:t>annexe 4 de l</w:t>
      </w:r>
      <w:r>
        <w:rPr>
          <w:lang w:val="fr-CH"/>
        </w:rPr>
        <w:t>’</w:t>
      </w:r>
      <w:r w:rsidRPr="00354EC8">
        <w:rPr>
          <w:lang w:val="fr-CH"/>
        </w:rPr>
        <w:t>Accord (E/ECE/TRANS/505/Rev.3).</w:t>
      </w:r>
    </w:p>
    <w:p w14:paraId="2A7D390D" w14:textId="77777777" w:rsidR="00C8567A" w:rsidRPr="00CE4453" w:rsidRDefault="00C8567A" w:rsidP="00B46129">
      <w:pPr>
        <w:pStyle w:val="para"/>
        <w:tabs>
          <w:tab w:val="clear" w:pos="1701"/>
        </w:tabs>
        <w:rPr>
          <w:lang w:val="fr-CH"/>
        </w:rPr>
      </w:pPr>
      <w:r w:rsidRPr="00CE4453">
        <w:rPr>
          <w:lang w:val="fr-CH"/>
        </w:rPr>
        <w:t>4.</w:t>
      </w:r>
      <w:r>
        <w:rPr>
          <w:lang w:val="fr-CH"/>
        </w:rPr>
        <w:t>3</w:t>
      </w:r>
      <w:r w:rsidRPr="00CE4453">
        <w:rPr>
          <w:lang w:val="fr-CH"/>
        </w:rPr>
        <w:tab/>
        <w:t>L</w:t>
      </w:r>
      <w:r>
        <w:rPr>
          <w:lang w:val="fr-CH"/>
        </w:rPr>
        <w:t>’</w:t>
      </w:r>
      <w:r w:rsidRPr="00CE4453">
        <w:rPr>
          <w:lang w:val="fr-CH"/>
        </w:rPr>
        <w:t>homologation, l</w:t>
      </w:r>
      <w:r>
        <w:rPr>
          <w:lang w:val="fr-CH"/>
        </w:rPr>
        <w:t>’</w:t>
      </w:r>
      <w:r w:rsidRPr="00CE4453">
        <w:rPr>
          <w:lang w:val="fr-CH"/>
        </w:rPr>
        <w:t>extension, le refus ou le retrait de l</w:t>
      </w:r>
      <w:r>
        <w:rPr>
          <w:lang w:val="fr-CH"/>
        </w:rPr>
        <w:t>’</w:t>
      </w:r>
      <w:r w:rsidRPr="00CE4453">
        <w:rPr>
          <w:lang w:val="fr-CH"/>
        </w:rPr>
        <w:t>homologation ou l</w:t>
      </w:r>
      <w:r>
        <w:rPr>
          <w:lang w:val="fr-CH"/>
        </w:rPr>
        <w:t>’</w:t>
      </w:r>
      <w:r w:rsidRPr="00CE4453">
        <w:rPr>
          <w:lang w:val="fr-CH"/>
        </w:rPr>
        <w:t>arrêt définitif de la production d</w:t>
      </w:r>
      <w:r>
        <w:rPr>
          <w:lang w:val="fr-CH"/>
        </w:rPr>
        <w:t>’</w:t>
      </w:r>
      <w:r w:rsidRPr="00CE4453">
        <w:rPr>
          <w:lang w:val="fr-CH"/>
        </w:rPr>
        <w:t xml:space="preserve">un type de véhicule, </w:t>
      </w:r>
      <w:r>
        <w:rPr>
          <w:lang w:val="fr-CH"/>
        </w:rPr>
        <w:t>au titre</w:t>
      </w:r>
      <w:r w:rsidRPr="00CE4453">
        <w:rPr>
          <w:lang w:val="fr-CH"/>
        </w:rPr>
        <w:t xml:space="preserve"> du présent Règlement, est communiqué aux Parties à l</w:t>
      </w:r>
      <w:r>
        <w:rPr>
          <w:lang w:val="fr-CH"/>
        </w:rPr>
        <w:t>’</w:t>
      </w:r>
      <w:r w:rsidRPr="00CE4453">
        <w:rPr>
          <w:lang w:val="fr-CH"/>
        </w:rPr>
        <w:t>Accord de 1958 appliquant le</w:t>
      </w:r>
      <w:r>
        <w:rPr>
          <w:lang w:val="fr-CH"/>
        </w:rPr>
        <w:t>dit</w:t>
      </w:r>
      <w:r w:rsidRPr="00CE4453">
        <w:rPr>
          <w:lang w:val="fr-CH"/>
        </w:rPr>
        <w:t xml:space="preserve"> Règlement au moyen d</w:t>
      </w:r>
      <w:r>
        <w:rPr>
          <w:lang w:val="fr-CH"/>
        </w:rPr>
        <w:t>’</w:t>
      </w:r>
      <w:r w:rsidRPr="00CE4453">
        <w:rPr>
          <w:lang w:val="fr-CH"/>
        </w:rPr>
        <w:t>une fiche conforme au modèle visé à l</w:t>
      </w:r>
      <w:r>
        <w:rPr>
          <w:lang w:val="fr-CH"/>
        </w:rPr>
        <w:t>’</w:t>
      </w:r>
      <w:r w:rsidRPr="00CE4453">
        <w:rPr>
          <w:lang w:val="fr-CH"/>
        </w:rPr>
        <w:t>annexe 1.</w:t>
      </w:r>
    </w:p>
    <w:p w14:paraId="21027713" w14:textId="0D087A15" w:rsidR="00C8567A" w:rsidRPr="00CE4453" w:rsidRDefault="00C8567A" w:rsidP="00B46129">
      <w:pPr>
        <w:pStyle w:val="para"/>
        <w:tabs>
          <w:tab w:val="clear" w:pos="1701"/>
        </w:tabs>
        <w:spacing w:before="120" w:after="0"/>
        <w:rPr>
          <w:lang w:val="fr-CH"/>
        </w:rPr>
      </w:pPr>
      <w:r w:rsidRPr="00CE4453">
        <w:rPr>
          <w:lang w:val="fr-CH"/>
        </w:rPr>
        <w:t>4.</w:t>
      </w:r>
      <w:r>
        <w:rPr>
          <w:lang w:val="fr-CH"/>
        </w:rPr>
        <w:t>4</w:t>
      </w:r>
      <w:r w:rsidRPr="00CE4453">
        <w:rPr>
          <w:lang w:val="fr-CH"/>
        </w:rPr>
        <w:tab/>
        <w:t xml:space="preserve">Sur tout véhicule conforme à un type de véhicule homologué </w:t>
      </w:r>
      <w:r>
        <w:rPr>
          <w:lang w:val="fr-CH"/>
        </w:rPr>
        <w:t>au titre</w:t>
      </w:r>
      <w:r w:rsidRPr="00CE4453">
        <w:rPr>
          <w:lang w:val="fr-CH"/>
        </w:rPr>
        <w:t xml:space="preserve"> du présent Règlement, il est apposé de manière visible, en un endroit facilement accessible et indiqué sur la fiche d</w:t>
      </w:r>
      <w:r>
        <w:rPr>
          <w:lang w:val="fr-CH"/>
        </w:rPr>
        <w:t>’</w:t>
      </w:r>
      <w:r w:rsidRPr="00CE4453">
        <w:rPr>
          <w:lang w:val="fr-CH"/>
        </w:rPr>
        <w:t>homologation, une marque d</w:t>
      </w:r>
      <w:r>
        <w:rPr>
          <w:lang w:val="fr-CH"/>
        </w:rPr>
        <w:t>’</w:t>
      </w:r>
      <w:r w:rsidRPr="00CE4453">
        <w:rPr>
          <w:lang w:val="fr-CH"/>
        </w:rPr>
        <w:t>homologation internationale composée</w:t>
      </w:r>
      <w:r w:rsidR="00B46129">
        <w:rPr>
          <w:lang w:val="fr-CH"/>
        </w:rPr>
        <w:t> :</w:t>
      </w:r>
      <w:r w:rsidRPr="00CE4453">
        <w:rPr>
          <w:lang w:val="fr-CH"/>
        </w:rPr>
        <w:t xml:space="preserve"> </w:t>
      </w:r>
    </w:p>
    <w:p w14:paraId="769ED516" w14:textId="7C51F4AE" w:rsidR="00C8567A" w:rsidRPr="00CE4453" w:rsidRDefault="00C8567A" w:rsidP="00C8567A">
      <w:pPr>
        <w:spacing w:before="120"/>
        <w:ind w:left="2268" w:right="1134" w:hanging="1134"/>
      </w:pPr>
      <w:r w:rsidRPr="00CE4453">
        <w:lastRenderedPageBreak/>
        <w:t>4.</w:t>
      </w:r>
      <w:r>
        <w:t>4</w:t>
      </w:r>
      <w:r w:rsidRPr="00CE4453">
        <w:t>.1</w:t>
      </w:r>
      <w:r w:rsidRPr="00CE4453">
        <w:tab/>
      </w:r>
      <w:r w:rsidRPr="00CE4453">
        <w:tab/>
        <w:t>D</w:t>
      </w:r>
      <w:r>
        <w:t>’</w:t>
      </w:r>
      <w:r w:rsidRPr="00CE4453">
        <w:t>un cercle à l</w:t>
      </w:r>
      <w:r>
        <w:t>’</w:t>
      </w:r>
      <w:r w:rsidRPr="00CE4453">
        <w:t xml:space="preserve">intérieur duquel est placée </w:t>
      </w:r>
      <w:r w:rsidRPr="00B1252F">
        <w:t xml:space="preserve">la lettre </w:t>
      </w:r>
      <w:r w:rsidR="00B46129">
        <w:t>« </w:t>
      </w:r>
      <w:r w:rsidRPr="00B1252F">
        <w:t>E</w:t>
      </w:r>
      <w:r w:rsidR="00B46129">
        <w:t> »</w:t>
      </w:r>
      <w:r w:rsidRPr="00B1252F">
        <w:t xml:space="preserve"> suivie</w:t>
      </w:r>
      <w:r w:rsidRPr="00CE4453">
        <w:t xml:space="preserve"> du numéro distinctif du pays ayant délivré l</w:t>
      </w:r>
      <w:r>
        <w:t>’</w:t>
      </w:r>
      <w:r w:rsidRPr="00CE4453">
        <w:t>homologation</w:t>
      </w:r>
      <w:r w:rsidRPr="0094133B">
        <w:rPr>
          <w:rStyle w:val="Appelnotedebasdep"/>
        </w:rPr>
        <w:footnoteReference w:id="4"/>
      </w:r>
      <w:r w:rsidR="00B46129">
        <w:t> ;</w:t>
      </w:r>
    </w:p>
    <w:p w14:paraId="4661AE3E" w14:textId="49629EE0" w:rsidR="00C8567A" w:rsidRPr="00CE4453" w:rsidRDefault="00C8567A" w:rsidP="00B46129">
      <w:pPr>
        <w:pStyle w:val="para"/>
        <w:tabs>
          <w:tab w:val="clear" w:pos="1701"/>
        </w:tabs>
        <w:suppressAutoHyphens w:val="0"/>
        <w:spacing w:before="120" w:after="0"/>
        <w:rPr>
          <w:lang w:val="fr-CH"/>
        </w:rPr>
      </w:pPr>
      <w:r w:rsidRPr="00CE4453">
        <w:rPr>
          <w:lang w:val="fr-CH"/>
        </w:rPr>
        <w:t>4.</w:t>
      </w:r>
      <w:r>
        <w:rPr>
          <w:lang w:val="fr-CH"/>
        </w:rPr>
        <w:t>4</w:t>
      </w:r>
      <w:r w:rsidRPr="00CE4453">
        <w:rPr>
          <w:lang w:val="fr-CH"/>
        </w:rPr>
        <w:t>.2</w:t>
      </w:r>
      <w:r w:rsidRPr="00CE4453">
        <w:rPr>
          <w:lang w:val="fr-CH"/>
        </w:rPr>
        <w:tab/>
        <w:t>Du numéro du présent Règlement, suivi de la lettre R, d</w:t>
      </w:r>
      <w:r>
        <w:rPr>
          <w:lang w:val="fr-CH"/>
        </w:rPr>
        <w:t>’</w:t>
      </w:r>
      <w:r w:rsidRPr="00CE4453">
        <w:rPr>
          <w:lang w:val="fr-CH"/>
        </w:rPr>
        <w:t>un tiret et du numéro d</w:t>
      </w:r>
      <w:r>
        <w:rPr>
          <w:lang w:val="fr-CH"/>
        </w:rPr>
        <w:t>’</w:t>
      </w:r>
      <w:r w:rsidRPr="00CE4453">
        <w:rPr>
          <w:lang w:val="fr-CH"/>
        </w:rPr>
        <w:t>homologation, placé à la droite du cercle prévu au paragraphe</w:t>
      </w:r>
      <w:r w:rsidR="00F81ECD">
        <w:rPr>
          <w:lang w:val="fr-CH"/>
        </w:rPr>
        <w:t> </w:t>
      </w:r>
      <w:r w:rsidRPr="00CE4453">
        <w:rPr>
          <w:lang w:val="fr-CH"/>
        </w:rPr>
        <w:t>4.5.1 ci</w:t>
      </w:r>
      <w:r w:rsidRPr="00CE4453">
        <w:rPr>
          <w:lang w:val="fr-CH"/>
        </w:rPr>
        <w:noBreakHyphen/>
        <w:t>dessus.</w:t>
      </w:r>
    </w:p>
    <w:p w14:paraId="2C66671A" w14:textId="288A9A62" w:rsidR="00C8567A" w:rsidRDefault="00C8567A" w:rsidP="00B46129">
      <w:pPr>
        <w:pStyle w:val="para"/>
        <w:tabs>
          <w:tab w:val="clear" w:pos="1701"/>
        </w:tabs>
        <w:suppressAutoHyphens w:val="0"/>
        <w:spacing w:before="120" w:after="0"/>
        <w:rPr>
          <w:lang w:val="fr-CH"/>
        </w:rPr>
      </w:pPr>
      <w:r w:rsidRPr="00CE4453">
        <w:rPr>
          <w:lang w:val="fr-CH"/>
        </w:rPr>
        <w:t>4.</w:t>
      </w:r>
      <w:r>
        <w:rPr>
          <w:lang w:val="fr-CH"/>
        </w:rPr>
        <w:t>5</w:t>
      </w:r>
      <w:r w:rsidRPr="00CE4453">
        <w:rPr>
          <w:lang w:val="fr-CH"/>
        </w:rPr>
        <w:tab/>
      </w:r>
      <w:r w:rsidRPr="00354EC8">
        <w:rPr>
          <w:lang w:val="fr-CH"/>
        </w:rPr>
        <w:t>Si le véhicule est conforme à un type homologué au titre d</w:t>
      </w:r>
      <w:r>
        <w:rPr>
          <w:lang w:val="fr-CH"/>
        </w:rPr>
        <w:t>’</w:t>
      </w:r>
      <w:r w:rsidRPr="00354EC8">
        <w:rPr>
          <w:lang w:val="fr-CH"/>
        </w:rPr>
        <w:t>un ou de plusieurs autres Règlements annexés à l</w:t>
      </w:r>
      <w:r>
        <w:rPr>
          <w:lang w:val="fr-CH"/>
        </w:rPr>
        <w:t>’</w:t>
      </w:r>
      <w:r w:rsidRPr="00354EC8">
        <w:rPr>
          <w:lang w:val="fr-CH"/>
        </w:rPr>
        <w:t>Accord dans le pays qui a accordé l</w:t>
      </w:r>
      <w:r>
        <w:rPr>
          <w:lang w:val="fr-CH"/>
        </w:rPr>
        <w:t>’</w:t>
      </w:r>
      <w:r w:rsidRPr="00354EC8">
        <w:rPr>
          <w:lang w:val="fr-CH"/>
        </w:rPr>
        <w:t>homologation au titre du présent Règlement, il n</w:t>
      </w:r>
      <w:r>
        <w:rPr>
          <w:lang w:val="fr-CH"/>
        </w:rPr>
        <w:t>’</w:t>
      </w:r>
      <w:r w:rsidRPr="00354EC8">
        <w:rPr>
          <w:lang w:val="fr-CH"/>
        </w:rPr>
        <w:t>est pas nécessaire de répéter le symbole prescrit au paragraphe 4.4.1 ci-dessus</w:t>
      </w:r>
      <w:r w:rsidR="00B46129">
        <w:rPr>
          <w:lang w:val="fr-CH"/>
        </w:rPr>
        <w:t> ;</w:t>
      </w:r>
      <w:r w:rsidRPr="00354EC8">
        <w:rPr>
          <w:lang w:val="fr-CH"/>
        </w:rPr>
        <w:t xml:space="preserve"> en pareil cas, les numéros de Règlement et d</w:t>
      </w:r>
      <w:r>
        <w:rPr>
          <w:lang w:val="fr-CH"/>
        </w:rPr>
        <w:t>’</w:t>
      </w:r>
      <w:r w:rsidRPr="00354EC8">
        <w:rPr>
          <w:lang w:val="fr-CH"/>
        </w:rPr>
        <w:t>homologation ainsi que les symboles additionnels de tous les Règlements au titre desquels l</w:t>
      </w:r>
      <w:r>
        <w:rPr>
          <w:lang w:val="fr-CH"/>
        </w:rPr>
        <w:t>’</w:t>
      </w:r>
      <w:r w:rsidRPr="00354EC8">
        <w:rPr>
          <w:lang w:val="fr-CH"/>
        </w:rPr>
        <w:t>homologation a été accordée par le même pays doivent être inscrits les uns au-dessous des autres à droite du symbole prescrit au paragraphe 4.4.1.</w:t>
      </w:r>
    </w:p>
    <w:p w14:paraId="6F8E1D78" w14:textId="77777777" w:rsidR="00C8567A" w:rsidRPr="00CE4453" w:rsidRDefault="00C8567A" w:rsidP="00B46129">
      <w:pPr>
        <w:pStyle w:val="para"/>
        <w:tabs>
          <w:tab w:val="clear" w:pos="1701"/>
        </w:tabs>
        <w:suppressAutoHyphens w:val="0"/>
        <w:spacing w:before="120" w:after="0"/>
        <w:rPr>
          <w:lang w:val="fr-CH"/>
        </w:rPr>
      </w:pPr>
      <w:r>
        <w:rPr>
          <w:lang w:val="fr-CH"/>
        </w:rPr>
        <w:t>4.6</w:t>
      </w:r>
      <w:r>
        <w:rPr>
          <w:lang w:val="fr-CH"/>
        </w:rPr>
        <w:tab/>
      </w:r>
      <w:r w:rsidRPr="00CE4453">
        <w:rPr>
          <w:lang w:val="fr-CH"/>
        </w:rPr>
        <w:t>La marque d</w:t>
      </w:r>
      <w:r>
        <w:rPr>
          <w:lang w:val="fr-CH"/>
        </w:rPr>
        <w:t>’</w:t>
      </w:r>
      <w:r w:rsidRPr="00CE4453">
        <w:rPr>
          <w:lang w:val="fr-CH"/>
        </w:rPr>
        <w:t>homologation doit être nettement lisible et indélébile.</w:t>
      </w:r>
    </w:p>
    <w:p w14:paraId="3A0D7A4F" w14:textId="77777777" w:rsidR="00C8567A" w:rsidRPr="00CE4453" w:rsidRDefault="00C8567A" w:rsidP="00B46129">
      <w:pPr>
        <w:pStyle w:val="para"/>
        <w:tabs>
          <w:tab w:val="clear" w:pos="1701"/>
        </w:tabs>
        <w:spacing w:before="120" w:after="0"/>
        <w:rPr>
          <w:lang w:val="fr-CH"/>
        </w:rPr>
      </w:pPr>
      <w:r w:rsidRPr="00CE4453">
        <w:rPr>
          <w:lang w:val="fr-CH"/>
        </w:rPr>
        <w:t>4.7</w:t>
      </w:r>
      <w:r w:rsidRPr="00CE4453">
        <w:rPr>
          <w:lang w:val="fr-CH"/>
        </w:rPr>
        <w:tab/>
        <w:t>La marque d</w:t>
      </w:r>
      <w:r>
        <w:rPr>
          <w:lang w:val="fr-CH"/>
        </w:rPr>
        <w:t>’</w:t>
      </w:r>
      <w:r w:rsidRPr="00CE4453">
        <w:rPr>
          <w:lang w:val="fr-CH"/>
        </w:rPr>
        <w:t>homologation est placée sur la plaque signalétique du véhicule apposée par le constructeur, ou à proximité.</w:t>
      </w:r>
    </w:p>
    <w:p w14:paraId="3219E9F7" w14:textId="77777777" w:rsidR="00C8567A" w:rsidRPr="00CE4453" w:rsidRDefault="00C8567A" w:rsidP="00B46129">
      <w:pPr>
        <w:pStyle w:val="para"/>
        <w:tabs>
          <w:tab w:val="clear" w:pos="1701"/>
        </w:tabs>
        <w:spacing w:before="120" w:after="0"/>
        <w:rPr>
          <w:lang w:val="fr-CH"/>
        </w:rPr>
      </w:pPr>
      <w:r w:rsidRPr="00CE4453">
        <w:rPr>
          <w:lang w:val="fr-CH"/>
        </w:rPr>
        <w:t>4.8</w:t>
      </w:r>
      <w:r w:rsidRPr="00CE4453">
        <w:rPr>
          <w:lang w:val="fr-CH"/>
        </w:rPr>
        <w:tab/>
        <w:t>L</w:t>
      </w:r>
      <w:r>
        <w:rPr>
          <w:lang w:val="fr-CH"/>
        </w:rPr>
        <w:t>’</w:t>
      </w:r>
      <w:r w:rsidRPr="00CE4453">
        <w:rPr>
          <w:lang w:val="fr-CH"/>
        </w:rPr>
        <w:t>annexe 2 du présent Règlement donne un exemple de la marque d</w:t>
      </w:r>
      <w:r>
        <w:rPr>
          <w:lang w:val="fr-CH"/>
        </w:rPr>
        <w:t>’</w:t>
      </w:r>
      <w:r w:rsidRPr="00CE4453">
        <w:rPr>
          <w:lang w:val="fr-CH"/>
        </w:rPr>
        <w:t>homologation.</w:t>
      </w:r>
    </w:p>
    <w:p w14:paraId="2731643A" w14:textId="77777777" w:rsidR="00C8567A" w:rsidRPr="00CE4453" w:rsidRDefault="00C8567A" w:rsidP="00C8567A">
      <w:pPr>
        <w:pStyle w:val="HChG"/>
        <w:tabs>
          <w:tab w:val="left" w:pos="2268"/>
        </w:tabs>
        <w:ind w:left="2268"/>
      </w:pPr>
      <w:bookmarkStart w:id="18" w:name="_Toc120016736"/>
      <w:bookmarkEnd w:id="17"/>
      <w:r w:rsidRPr="00CE4453">
        <w:rPr>
          <w:bCs/>
        </w:rPr>
        <w:t>5.</w:t>
      </w:r>
      <w:r w:rsidRPr="00CE4453">
        <w:tab/>
      </w:r>
      <w:r w:rsidRPr="00CE4453">
        <w:rPr>
          <w:bCs/>
        </w:rPr>
        <w:t>Spécifications générales</w:t>
      </w:r>
      <w:bookmarkEnd w:id="18"/>
    </w:p>
    <w:p w14:paraId="2CDEC117" w14:textId="77777777" w:rsidR="00C8567A" w:rsidRPr="00CE4453" w:rsidRDefault="00C8567A" w:rsidP="00B46129">
      <w:pPr>
        <w:pStyle w:val="para"/>
        <w:tabs>
          <w:tab w:val="clear" w:pos="1701"/>
        </w:tabs>
        <w:rPr>
          <w:lang w:val="fr-CH"/>
        </w:rPr>
      </w:pPr>
      <w:bookmarkStart w:id="19" w:name="_Toc120016737"/>
      <w:r w:rsidRPr="00CE4453">
        <w:rPr>
          <w:lang w:val="fr-CH"/>
        </w:rPr>
        <w:t>5.1</w:t>
      </w:r>
      <w:r w:rsidRPr="00CE4453">
        <w:rPr>
          <w:lang w:val="fr-CH"/>
        </w:rPr>
        <w:tab/>
        <w:t>Prescriptions applicables à certaines places assises et dérogations</w:t>
      </w:r>
    </w:p>
    <w:p w14:paraId="78A255C9" w14:textId="77777777" w:rsidR="00C8567A" w:rsidRPr="00CE4453" w:rsidRDefault="00C8567A" w:rsidP="00B46129">
      <w:pPr>
        <w:pStyle w:val="para"/>
        <w:tabs>
          <w:tab w:val="clear" w:pos="1701"/>
        </w:tabs>
        <w:rPr>
          <w:lang w:val="fr-CH"/>
        </w:rPr>
      </w:pPr>
      <w:r w:rsidRPr="00CE4453">
        <w:rPr>
          <w:lang w:val="fr-CH"/>
        </w:rPr>
        <w:t>5.1.1</w:t>
      </w:r>
      <w:r w:rsidRPr="00CE4453">
        <w:rPr>
          <w:lang w:val="fr-CH"/>
        </w:rPr>
        <w:tab/>
        <w:t>Le siège du conducteur des véhicules des catégories M et N</w:t>
      </w:r>
      <w:r w:rsidRPr="0094133B">
        <w:rPr>
          <w:rStyle w:val="Appelnotedebasdep"/>
        </w:rPr>
        <w:footnoteReference w:id="5"/>
      </w:r>
      <w:r w:rsidRPr="00CE4453">
        <w:rPr>
          <w:lang w:val="fr-CH"/>
        </w:rPr>
        <w:t xml:space="preserve"> ainsi que les autres sièges de la même rangée doivent être équipés d</w:t>
      </w:r>
      <w:r>
        <w:rPr>
          <w:lang w:val="fr-CH"/>
        </w:rPr>
        <w:t>’</w:t>
      </w:r>
      <w:r w:rsidRPr="00CE4453">
        <w:rPr>
          <w:lang w:val="fr-CH"/>
        </w:rPr>
        <w:t>un témoin de port de ceinture conforme aux prescriptions du paragraphe 5.3.</w:t>
      </w:r>
    </w:p>
    <w:p w14:paraId="06C1F656" w14:textId="77777777" w:rsidR="00C8567A" w:rsidRPr="00CE4453" w:rsidRDefault="00C8567A" w:rsidP="00B46129">
      <w:pPr>
        <w:pStyle w:val="para"/>
        <w:tabs>
          <w:tab w:val="clear" w:pos="1701"/>
        </w:tabs>
        <w:rPr>
          <w:rFonts w:ascii="TimesNewRomanPS-ItalicMT" w:hAnsi="TimesNewRomanPS-ItalicMT" w:cs="TimesNewRomanPS-ItalicMT"/>
          <w:iCs/>
          <w:lang w:val="fr-CH"/>
        </w:rPr>
      </w:pPr>
      <w:r w:rsidRPr="00CE4453">
        <w:rPr>
          <w:lang w:val="fr-CH"/>
        </w:rPr>
        <w:t>5.1.2</w:t>
      </w:r>
      <w:r w:rsidRPr="00CE4453">
        <w:rPr>
          <w:lang w:val="fr-CH"/>
        </w:rPr>
        <w:tab/>
        <w:t>Toutes les places assises de la ou des rangées de sièges arrière des véhicules des catégories M</w:t>
      </w:r>
      <w:r w:rsidRPr="00CE4453">
        <w:rPr>
          <w:vertAlign w:val="subscript"/>
          <w:lang w:val="fr-CH"/>
        </w:rPr>
        <w:t>1</w:t>
      </w:r>
      <w:r w:rsidRPr="00CE4453">
        <w:rPr>
          <w:lang w:val="fr-CH"/>
        </w:rPr>
        <w:t xml:space="preserve"> et N</w:t>
      </w:r>
      <w:r w:rsidRPr="00CE4453">
        <w:rPr>
          <w:vertAlign w:val="subscript"/>
          <w:lang w:val="fr-CH"/>
        </w:rPr>
        <w:t>1</w:t>
      </w:r>
      <w:r w:rsidRPr="00CE4453">
        <w:rPr>
          <w:vertAlign w:val="superscript"/>
          <w:lang w:val="fr-CH"/>
        </w:rPr>
        <w:t>3</w:t>
      </w:r>
      <w:r w:rsidRPr="00CE4453">
        <w:rPr>
          <w:lang w:val="fr-CH"/>
        </w:rPr>
        <w:t xml:space="preserve"> doivent être équipées d</w:t>
      </w:r>
      <w:r>
        <w:rPr>
          <w:lang w:val="fr-CH"/>
        </w:rPr>
        <w:t>’</w:t>
      </w:r>
      <w:r w:rsidRPr="00CE4453">
        <w:rPr>
          <w:lang w:val="fr-CH"/>
        </w:rPr>
        <w:t>un témoin de port de ceinture satisfaisant aux prescriptions du paragraphe 5.4.</w:t>
      </w:r>
    </w:p>
    <w:p w14:paraId="5A13ED86" w14:textId="6775C440" w:rsidR="00C8567A" w:rsidRPr="00CE4453" w:rsidRDefault="00C8567A" w:rsidP="00B46129">
      <w:pPr>
        <w:pStyle w:val="para"/>
        <w:tabs>
          <w:tab w:val="clear" w:pos="1701"/>
        </w:tabs>
        <w:ind w:firstLine="0"/>
        <w:rPr>
          <w:rFonts w:ascii="TimesNewRomanPS-ItalicMT" w:hAnsi="TimesNewRomanPS-ItalicMT" w:cs="TimesNewRomanPS-ItalicMT"/>
          <w:iCs/>
          <w:lang w:val="fr-CH"/>
        </w:rPr>
      </w:pPr>
      <w:r w:rsidRPr="00CE4453">
        <w:rPr>
          <w:lang w:val="fr-CH"/>
        </w:rPr>
        <w:t>Si le constructeur du véhicule équipe d</w:t>
      </w:r>
      <w:r>
        <w:rPr>
          <w:lang w:val="fr-CH"/>
        </w:rPr>
        <w:t>’</w:t>
      </w:r>
      <w:r w:rsidRPr="00CE4453">
        <w:rPr>
          <w:lang w:val="fr-CH"/>
        </w:rPr>
        <w:t>un témoin de port de ceinture un siège arrière d</w:t>
      </w:r>
      <w:r>
        <w:rPr>
          <w:lang w:val="fr-CH"/>
        </w:rPr>
        <w:t>’</w:t>
      </w:r>
      <w:r w:rsidRPr="00CE4453">
        <w:rPr>
          <w:lang w:val="fr-CH"/>
        </w:rPr>
        <w:t xml:space="preserve">une autre catégorie de véhicule, ce témoin peut être homologué au </w:t>
      </w:r>
      <w:r>
        <w:rPr>
          <w:lang w:val="fr-CH"/>
        </w:rPr>
        <w:t xml:space="preserve">titre du </w:t>
      </w:r>
      <w:r w:rsidRPr="00CE4453">
        <w:rPr>
          <w:lang w:val="fr-CH"/>
        </w:rPr>
        <w:t>présent Règlement.</w:t>
      </w:r>
    </w:p>
    <w:p w14:paraId="498C14EE" w14:textId="77777777" w:rsidR="00C8567A" w:rsidRPr="00CE4453" w:rsidRDefault="00C8567A" w:rsidP="00B46129">
      <w:pPr>
        <w:pStyle w:val="para"/>
        <w:tabs>
          <w:tab w:val="clear" w:pos="1701"/>
        </w:tabs>
        <w:rPr>
          <w:lang w:val="fr-CH"/>
        </w:rPr>
      </w:pPr>
      <w:r w:rsidRPr="00CE4453">
        <w:rPr>
          <w:lang w:val="fr-CH"/>
        </w:rPr>
        <w:t>5.1.3</w:t>
      </w:r>
      <w:r w:rsidRPr="00CE4453">
        <w:rPr>
          <w:lang w:val="fr-CH"/>
        </w:rPr>
        <w:tab/>
        <w:t>Le témoin de port de ceinture n</w:t>
      </w:r>
      <w:r>
        <w:rPr>
          <w:lang w:val="fr-CH"/>
        </w:rPr>
        <w:t>’</w:t>
      </w:r>
      <w:r w:rsidRPr="00CE4453">
        <w:rPr>
          <w:lang w:val="fr-CH"/>
        </w:rPr>
        <w:t>est pas obligatoire sur les strapontins (qui sont généralement repliés et conçus pour un usage occasionnel, à l</w:t>
      </w:r>
      <w:r>
        <w:rPr>
          <w:lang w:val="fr-CH"/>
        </w:rPr>
        <w:t>’</w:t>
      </w:r>
      <w:r w:rsidRPr="00CE4453">
        <w:rPr>
          <w:lang w:val="fr-CH"/>
        </w:rPr>
        <w:t>instar des strapontins destinés aux équipages des autobus et des autocars), ni sur les places assises équipées d</w:t>
      </w:r>
      <w:r>
        <w:rPr>
          <w:lang w:val="fr-CH"/>
        </w:rPr>
        <w:t>’</w:t>
      </w:r>
      <w:r w:rsidRPr="00CE4453">
        <w:rPr>
          <w:lang w:val="fr-CH"/>
        </w:rPr>
        <w:t>une ceinture de type S (par exemple, une ceinture harnais).</w:t>
      </w:r>
    </w:p>
    <w:p w14:paraId="1E0BD3D7" w14:textId="5F1C0F0E" w:rsidR="00C8567A" w:rsidRPr="00CE4453" w:rsidRDefault="00C8567A" w:rsidP="00B46129">
      <w:pPr>
        <w:pStyle w:val="para"/>
        <w:tabs>
          <w:tab w:val="clear" w:pos="1701"/>
        </w:tabs>
        <w:ind w:firstLine="0"/>
        <w:rPr>
          <w:lang w:val="fr-CH"/>
        </w:rPr>
      </w:pPr>
      <w:r w:rsidRPr="00CE4453">
        <w:rPr>
          <w:lang w:val="fr-CH"/>
        </w:rPr>
        <w:t>Nonobstant les paragraphes 5.1.1 et 5.1.2 ci-dessus, les témoins de port de ceinture ne sont pas exigés non plus aux places arrière des ambulances, des corbillards et des autocaravanes, ni pour les sièges des véhicules de transport de personnes handicapées et des véhicules destinés aux forces armées, à la protection civile, aux pompiers et aux forces de maintien de l</w:t>
      </w:r>
      <w:r>
        <w:rPr>
          <w:lang w:val="fr-CH"/>
        </w:rPr>
        <w:t>’</w:t>
      </w:r>
      <w:r w:rsidRPr="00CE4453">
        <w:rPr>
          <w:lang w:val="fr-CH"/>
        </w:rPr>
        <w:t>ordre.</w:t>
      </w:r>
    </w:p>
    <w:p w14:paraId="46CAAFBA" w14:textId="77777777" w:rsidR="00C8567A" w:rsidRPr="00CE4453" w:rsidRDefault="00C8567A" w:rsidP="00B46129">
      <w:pPr>
        <w:pStyle w:val="para"/>
        <w:keepNext/>
        <w:tabs>
          <w:tab w:val="clear" w:pos="1701"/>
        </w:tabs>
        <w:rPr>
          <w:lang w:val="fr-CH"/>
        </w:rPr>
      </w:pPr>
      <w:r w:rsidRPr="00CE4453">
        <w:rPr>
          <w:lang w:val="fr-CH"/>
        </w:rPr>
        <w:lastRenderedPageBreak/>
        <w:t>5.2</w:t>
      </w:r>
      <w:r w:rsidRPr="00CE4453">
        <w:rPr>
          <w:lang w:val="fr-CH"/>
        </w:rPr>
        <w:tab/>
        <w:t>Prescriptions générales</w:t>
      </w:r>
    </w:p>
    <w:p w14:paraId="68C45D7E" w14:textId="77777777" w:rsidR="00C8567A" w:rsidRPr="00CE4453" w:rsidRDefault="00C8567A" w:rsidP="00B46129">
      <w:pPr>
        <w:pStyle w:val="para"/>
        <w:keepNext/>
        <w:tabs>
          <w:tab w:val="clear" w:pos="1701"/>
        </w:tabs>
        <w:rPr>
          <w:lang w:val="fr-CH"/>
        </w:rPr>
      </w:pPr>
      <w:r w:rsidRPr="00CE4453">
        <w:rPr>
          <w:lang w:val="fr-CH"/>
        </w:rPr>
        <w:t>5.2.1</w:t>
      </w:r>
      <w:r w:rsidRPr="00CE4453">
        <w:rPr>
          <w:lang w:val="fr-CH"/>
        </w:rPr>
        <w:tab/>
        <w:t>Alerte visuelle</w:t>
      </w:r>
    </w:p>
    <w:p w14:paraId="50438C54" w14:textId="77777777" w:rsidR="00C8567A" w:rsidRPr="00CE4453" w:rsidRDefault="00C8567A" w:rsidP="00B46129">
      <w:pPr>
        <w:pStyle w:val="para"/>
        <w:tabs>
          <w:tab w:val="clear" w:pos="1701"/>
        </w:tabs>
        <w:rPr>
          <w:lang w:val="fr-CH"/>
        </w:rPr>
      </w:pPr>
      <w:r w:rsidRPr="00CE4453">
        <w:rPr>
          <w:lang w:val="fr-CH"/>
        </w:rPr>
        <w:t>5.2.1.1</w:t>
      </w:r>
      <w:r w:rsidRPr="00CE4453">
        <w:rPr>
          <w:lang w:val="fr-CH"/>
        </w:rPr>
        <w:tab/>
        <w:t>Le dispositif d</w:t>
      </w:r>
      <w:r>
        <w:rPr>
          <w:lang w:val="fr-CH"/>
        </w:rPr>
        <w:t>’</w:t>
      </w:r>
      <w:r w:rsidRPr="00CE4453">
        <w:rPr>
          <w:lang w:val="fr-CH"/>
        </w:rPr>
        <w:t>alerte visuelle doit être situé de façon à être visible et reconnaissable par le conducteur de jour comme de nuit et ne doit pas pouvoir être confondu avec un autre dispositif d</w:t>
      </w:r>
      <w:r>
        <w:rPr>
          <w:lang w:val="fr-CH"/>
        </w:rPr>
        <w:t>’</w:t>
      </w:r>
      <w:r w:rsidRPr="00CE4453">
        <w:rPr>
          <w:lang w:val="fr-CH"/>
        </w:rPr>
        <w:t>alerte.</w:t>
      </w:r>
    </w:p>
    <w:p w14:paraId="4A6B5F63" w14:textId="77777777" w:rsidR="00C8567A" w:rsidRPr="00CE4453" w:rsidRDefault="00C8567A" w:rsidP="00B46129">
      <w:pPr>
        <w:pStyle w:val="para"/>
        <w:tabs>
          <w:tab w:val="clear" w:pos="1701"/>
        </w:tabs>
        <w:rPr>
          <w:lang w:val="fr-CH"/>
        </w:rPr>
      </w:pPr>
      <w:r w:rsidRPr="00CE4453">
        <w:rPr>
          <w:lang w:val="fr-CH"/>
        </w:rPr>
        <w:t>5.2.1.2</w:t>
      </w:r>
      <w:r w:rsidRPr="00CE4453">
        <w:rPr>
          <w:lang w:val="fr-CH"/>
        </w:rPr>
        <w:tab/>
        <w:t>L</w:t>
      </w:r>
      <w:r>
        <w:rPr>
          <w:lang w:val="fr-CH"/>
        </w:rPr>
        <w:t>’</w:t>
      </w:r>
      <w:r w:rsidRPr="00CE4453">
        <w:rPr>
          <w:lang w:val="fr-CH"/>
        </w:rPr>
        <w:t>alerte visuelle doit être donnée par un témoin continu ou clignotant.</w:t>
      </w:r>
    </w:p>
    <w:p w14:paraId="14372FE2" w14:textId="77777777" w:rsidR="00C8567A" w:rsidRPr="00CE4453" w:rsidRDefault="00C8567A" w:rsidP="00B46129">
      <w:pPr>
        <w:pStyle w:val="para"/>
        <w:tabs>
          <w:tab w:val="clear" w:pos="1701"/>
        </w:tabs>
        <w:rPr>
          <w:lang w:val="fr-CH"/>
        </w:rPr>
      </w:pPr>
      <w:r w:rsidRPr="00CE4453">
        <w:rPr>
          <w:lang w:val="fr-CH"/>
        </w:rPr>
        <w:t>5.2.2</w:t>
      </w:r>
      <w:r w:rsidRPr="00CE4453">
        <w:rPr>
          <w:lang w:val="fr-CH"/>
        </w:rPr>
        <w:tab/>
        <w:t>Alerte sonore</w:t>
      </w:r>
    </w:p>
    <w:p w14:paraId="2434BF8E" w14:textId="77777777" w:rsidR="00C8567A" w:rsidRPr="00CE4453" w:rsidRDefault="00C8567A" w:rsidP="00B46129">
      <w:pPr>
        <w:pStyle w:val="para"/>
        <w:tabs>
          <w:tab w:val="clear" w:pos="1701"/>
        </w:tabs>
        <w:rPr>
          <w:lang w:val="fr-CH"/>
        </w:rPr>
      </w:pPr>
      <w:r w:rsidRPr="00CE4453">
        <w:rPr>
          <w:lang w:val="fr-CH"/>
        </w:rPr>
        <w:t>5.2.2.1</w:t>
      </w:r>
      <w:r w:rsidRPr="00CE4453">
        <w:rPr>
          <w:lang w:val="fr-CH"/>
        </w:rPr>
        <w:tab/>
        <w:t>L</w:t>
      </w:r>
      <w:r>
        <w:rPr>
          <w:lang w:val="fr-CH"/>
        </w:rPr>
        <w:t>’</w:t>
      </w:r>
      <w:r w:rsidRPr="00CE4453">
        <w:rPr>
          <w:lang w:val="fr-CH"/>
        </w:rPr>
        <w:t>alerte sonore doit consister en un signal sonore continu ou intermittent (la</w:t>
      </w:r>
      <w:r>
        <w:rPr>
          <w:lang w:val="fr-CH"/>
        </w:rPr>
        <w:t> </w:t>
      </w:r>
      <w:r w:rsidRPr="00CE4453">
        <w:rPr>
          <w:lang w:val="fr-CH"/>
        </w:rPr>
        <w:t>durée des silences ne doit pas excéder 1 s) ou en un message vocal continu. S</w:t>
      </w:r>
      <w:r>
        <w:rPr>
          <w:lang w:val="fr-CH"/>
        </w:rPr>
        <w:t>’</w:t>
      </w:r>
      <w:r w:rsidRPr="00CE4453">
        <w:rPr>
          <w:lang w:val="fr-CH"/>
        </w:rPr>
        <w:t>il s</w:t>
      </w:r>
      <w:r>
        <w:rPr>
          <w:lang w:val="fr-CH"/>
        </w:rPr>
        <w:t>’</w:t>
      </w:r>
      <w:r w:rsidRPr="00CE4453">
        <w:rPr>
          <w:lang w:val="fr-CH"/>
        </w:rPr>
        <w:t>agit d</w:t>
      </w:r>
      <w:r>
        <w:rPr>
          <w:lang w:val="fr-CH"/>
        </w:rPr>
        <w:t>’</w:t>
      </w:r>
      <w:r w:rsidRPr="00CE4453">
        <w:rPr>
          <w:lang w:val="fr-CH"/>
        </w:rPr>
        <w:t>un message vocal, le constructeur du véhicule doit veiller à ce que les langues dans lesquelles il peut être formulé soient celles des pays auxquels le véhicule est destiné.</w:t>
      </w:r>
    </w:p>
    <w:p w14:paraId="16A564E2" w14:textId="77777777" w:rsidR="00C8567A" w:rsidRPr="00CE4453" w:rsidRDefault="00C8567A" w:rsidP="00B46129">
      <w:pPr>
        <w:pStyle w:val="para"/>
        <w:tabs>
          <w:tab w:val="clear" w:pos="1701"/>
        </w:tabs>
        <w:rPr>
          <w:lang w:val="fr-CH"/>
        </w:rPr>
      </w:pPr>
      <w:r w:rsidRPr="00CE4453">
        <w:rPr>
          <w:lang w:val="fr-CH"/>
        </w:rPr>
        <w:t>5.2.2</w:t>
      </w:r>
      <w:r w:rsidRPr="00CE4453">
        <w:rPr>
          <w:lang w:val="fr-CH"/>
        </w:rPr>
        <w:tab/>
        <w:t>L</w:t>
      </w:r>
      <w:r>
        <w:rPr>
          <w:lang w:val="fr-CH"/>
        </w:rPr>
        <w:t>’</w:t>
      </w:r>
      <w:r w:rsidRPr="00CE4453">
        <w:rPr>
          <w:lang w:val="fr-CH"/>
        </w:rPr>
        <w:t>alerte sonore doit être facilement identifiée par le conducteur.</w:t>
      </w:r>
    </w:p>
    <w:p w14:paraId="621BF1B7" w14:textId="77777777" w:rsidR="00C8567A" w:rsidRPr="00CE4453" w:rsidRDefault="00C8567A" w:rsidP="00B46129">
      <w:pPr>
        <w:pStyle w:val="para"/>
        <w:tabs>
          <w:tab w:val="clear" w:pos="1701"/>
        </w:tabs>
        <w:rPr>
          <w:lang w:val="fr-CH"/>
        </w:rPr>
      </w:pPr>
      <w:r w:rsidRPr="00CE4453">
        <w:rPr>
          <w:lang w:val="fr-CH"/>
        </w:rPr>
        <w:t>5.2.3</w:t>
      </w:r>
      <w:r w:rsidRPr="00CE4453">
        <w:rPr>
          <w:lang w:val="fr-CH"/>
        </w:rPr>
        <w:tab/>
        <w:t xml:space="preserve">Alerte de premier niveau </w:t>
      </w:r>
    </w:p>
    <w:p w14:paraId="6514DB7C" w14:textId="77777777" w:rsidR="00C8567A" w:rsidRPr="00CE4453" w:rsidRDefault="00C8567A" w:rsidP="00B46129">
      <w:pPr>
        <w:pStyle w:val="para"/>
        <w:tabs>
          <w:tab w:val="clear" w:pos="1701"/>
        </w:tabs>
        <w:rPr>
          <w:lang w:val="fr-CH"/>
        </w:rPr>
      </w:pPr>
      <w:r w:rsidRPr="00CE4453">
        <w:rPr>
          <w:lang w:val="fr-CH"/>
        </w:rPr>
        <w:t>5.2.3.1</w:t>
      </w:r>
      <w:r w:rsidRPr="00CE4453">
        <w:rPr>
          <w:lang w:val="fr-CH"/>
        </w:rPr>
        <w:tab/>
        <w:t>L</w:t>
      </w:r>
      <w:r>
        <w:rPr>
          <w:lang w:val="fr-CH"/>
        </w:rPr>
        <w:t>’</w:t>
      </w:r>
      <w:r w:rsidRPr="00CE4453">
        <w:rPr>
          <w:lang w:val="fr-CH"/>
        </w:rPr>
        <w:t>alerte de premier niveau doit être au moins une alerte visuelle activée pendant au moins 30 secondes pour les places assises visées au paragraphe 5.1.1 et pendant au moins 60 secondes pour celles qui sont visées au paragraphe 5.1.2, lorsque la ceinture de sécurité d</w:t>
      </w:r>
      <w:r>
        <w:rPr>
          <w:lang w:val="fr-CH"/>
        </w:rPr>
        <w:t>’</w:t>
      </w:r>
      <w:r w:rsidRPr="00CE4453">
        <w:rPr>
          <w:lang w:val="fr-CH"/>
        </w:rPr>
        <w:t>au moins un des sièges n</w:t>
      </w:r>
      <w:r>
        <w:rPr>
          <w:lang w:val="fr-CH"/>
        </w:rPr>
        <w:t>’</w:t>
      </w:r>
      <w:r w:rsidRPr="00CE4453">
        <w:rPr>
          <w:lang w:val="fr-CH"/>
        </w:rPr>
        <w:t xml:space="preserve">est pas bouclée et que le contact moteur est mis ou que le commutateur de contact est activé. </w:t>
      </w:r>
    </w:p>
    <w:p w14:paraId="6C35145D" w14:textId="79D7696B" w:rsidR="00C8567A" w:rsidRPr="00CE4453" w:rsidRDefault="00C8567A" w:rsidP="00B46129">
      <w:pPr>
        <w:pStyle w:val="para"/>
        <w:tabs>
          <w:tab w:val="clear" w:pos="1701"/>
        </w:tabs>
        <w:rPr>
          <w:lang w:val="fr-CH"/>
        </w:rPr>
      </w:pPr>
      <w:r w:rsidRPr="00CE4453">
        <w:rPr>
          <w:lang w:val="fr-CH"/>
        </w:rPr>
        <w:t>5.2.3.2</w:t>
      </w:r>
      <w:r w:rsidRPr="00CE4453">
        <w:rPr>
          <w:lang w:val="fr-CH"/>
        </w:rPr>
        <w:tab/>
        <w:t>L</w:t>
      </w:r>
      <w:r>
        <w:rPr>
          <w:lang w:val="fr-CH"/>
        </w:rPr>
        <w:t>’</w:t>
      </w:r>
      <w:r w:rsidRPr="00CE4453">
        <w:rPr>
          <w:lang w:val="fr-CH"/>
        </w:rPr>
        <w:t>alerte de premier niveau peut s</w:t>
      </w:r>
      <w:r>
        <w:rPr>
          <w:lang w:val="fr-CH"/>
        </w:rPr>
        <w:t>’</w:t>
      </w:r>
      <w:r w:rsidRPr="00CE4453">
        <w:rPr>
          <w:lang w:val="fr-CH"/>
        </w:rPr>
        <w:t>arrêter lorsque</w:t>
      </w:r>
      <w:r w:rsidR="00B46129">
        <w:rPr>
          <w:lang w:val="fr-CH"/>
        </w:rPr>
        <w:t> :</w:t>
      </w:r>
    </w:p>
    <w:p w14:paraId="4B5B1857" w14:textId="207A2E07" w:rsidR="00C8567A" w:rsidRPr="00CE4453" w:rsidRDefault="00C8567A" w:rsidP="00B46129">
      <w:pPr>
        <w:pStyle w:val="a"/>
        <w:tabs>
          <w:tab w:val="left" w:pos="2835"/>
        </w:tabs>
        <w:rPr>
          <w:lang w:val="fr-CH"/>
        </w:rPr>
      </w:pPr>
      <w:r w:rsidRPr="00CE4453">
        <w:rPr>
          <w:lang w:val="fr-CH"/>
        </w:rPr>
        <w:t>a)</w:t>
      </w:r>
      <w:r w:rsidRPr="00CE4453">
        <w:rPr>
          <w:lang w:val="fr-CH"/>
        </w:rPr>
        <w:tab/>
        <w:t>La ou les ceintures de sécurité ayant déclenché l</w:t>
      </w:r>
      <w:r>
        <w:rPr>
          <w:lang w:val="fr-CH"/>
        </w:rPr>
        <w:t>’</w:t>
      </w:r>
      <w:r w:rsidRPr="00CE4453">
        <w:rPr>
          <w:lang w:val="fr-CH"/>
        </w:rPr>
        <w:t>alerte sont bouclées</w:t>
      </w:r>
      <w:r w:rsidR="00B46129">
        <w:rPr>
          <w:lang w:val="fr-CH"/>
        </w:rPr>
        <w:t> ;</w:t>
      </w:r>
      <w:r w:rsidRPr="00CE4453">
        <w:rPr>
          <w:lang w:val="fr-CH"/>
        </w:rPr>
        <w:t xml:space="preserve"> </w:t>
      </w:r>
      <w:proofErr w:type="gramStart"/>
      <w:r w:rsidRPr="00CE4453">
        <w:rPr>
          <w:lang w:val="fr-CH"/>
        </w:rPr>
        <w:t>ou</w:t>
      </w:r>
      <w:proofErr w:type="gramEnd"/>
    </w:p>
    <w:p w14:paraId="00C19275" w14:textId="77777777" w:rsidR="00C8567A" w:rsidRPr="00CE4453" w:rsidRDefault="00C8567A" w:rsidP="00B46129">
      <w:pPr>
        <w:pStyle w:val="a"/>
        <w:tabs>
          <w:tab w:val="left" w:pos="2835"/>
        </w:tabs>
        <w:rPr>
          <w:lang w:val="fr-CH"/>
        </w:rPr>
      </w:pPr>
      <w:r w:rsidRPr="00CE4453">
        <w:rPr>
          <w:lang w:val="fr-CH"/>
        </w:rPr>
        <w:t>b)</w:t>
      </w:r>
      <w:r w:rsidRPr="00CE4453">
        <w:rPr>
          <w:lang w:val="fr-CH"/>
        </w:rPr>
        <w:tab/>
        <w:t>Le ou les sièges ayant déclenché l</w:t>
      </w:r>
      <w:r>
        <w:rPr>
          <w:lang w:val="fr-CH"/>
        </w:rPr>
        <w:t>’</w:t>
      </w:r>
      <w:r w:rsidRPr="00CE4453">
        <w:rPr>
          <w:lang w:val="fr-CH"/>
        </w:rPr>
        <w:t>alerte ne sont plus occupés.</w:t>
      </w:r>
    </w:p>
    <w:p w14:paraId="1D1C459C" w14:textId="77777777" w:rsidR="00C8567A" w:rsidRPr="00CE4453" w:rsidRDefault="00C8567A" w:rsidP="00B46129">
      <w:pPr>
        <w:pStyle w:val="para"/>
        <w:tabs>
          <w:tab w:val="clear" w:pos="1701"/>
        </w:tabs>
        <w:rPr>
          <w:lang w:val="fr-CH"/>
        </w:rPr>
      </w:pPr>
      <w:r w:rsidRPr="00CE4453">
        <w:rPr>
          <w:lang w:val="fr-CH"/>
        </w:rPr>
        <w:t>5.2.3.3</w:t>
      </w:r>
      <w:r w:rsidRPr="00CE4453">
        <w:rPr>
          <w:lang w:val="fr-CH"/>
        </w:rPr>
        <w:tab/>
        <w:t>L</w:t>
      </w:r>
      <w:r>
        <w:rPr>
          <w:lang w:val="fr-CH"/>
        </w:rPr>
        <w:t>’</w:t>
      </w:r>
      <w:r w:rsidRPr="00CE4453">
        <w:rPr>
          <w:lang w:val="fr-CH"/>
        </w:rPr>
        <w:t>activation de l</w:t>
      </w:r>
      <w:r>
        <w:rPr>
          <w:lang w:val="fr-CH"/>
        </w:rPr>
        <w:t>’</w:t>
      </w:r>
      <w:r w:rsidRPr="00CE4453">
        <w:rPr>
          <w:lang w:val="fr-CH"/>
        </w:rPr>
        <w:t>alerte de premier niveau est vérifiée selon la procédure d</w:t>
      </w:r>
      <w:r>
        <w:rPr>
          <w:lang w:val="fr-CH"/>
        </w:rPr>
        <w:t>’</w:t>
      </w:r>
      <w:r w:rsidRPr="00CE4453">
        <w:rPr>
          <w:lang w:val="fr-CH"/>
        </w:rPr>
        <w:t>essai définie à l</w:t>
      </w:r>
      <w:r>
        <w:rPr>
          <w:lang w:val="fr-CH"/>
        </w:rPr>
        <w:t>’</w:t>
      </w:r>
      <w:r w:rsidRPr="00CE4453">
        <w:rPr>
          <w:lang w:val="fr-CH"/>
        </w:rPr>
        <w:t>annexe 3, paragraphe 1.</w:t>
      </w:r>
    </w:p>
    <w:p w14:paraId="60A72080" w14:textId="77777777" w:rsidR="00C8567A" w:rsidRPr="00CE4453" w:rsidRDefault="00C8567A" w:rsidP="00B46129">
      <w:pPr>
        <w:pStyle w:val="para"/>
        <w:tabs>
          <w:tab w:val="clear" w:pos="1701"/>
        </w:tabs>
        <w:rPr>
          <w:lang w:val="fr-CH"/>
        </w:rPr>
      </w:pPr>
      <w:r w:rsidRPr="00CE4453">
        <w:rPr>
          <w:lang w:val="fr-CH"/>
        </w:rPr>
        <w:t>5.2.4</w:t>
      </w:r>
      <w:r w:rsidRPr="00CE4453">
        <w:rPr>
          <w:lang w:val="fr-CH"/>
        </w:rPr>
        <w:tab/>
        <w:t>Alerte de second niveau</w:t>
      </w:r>
    </w:p>
    <w:p w14:paraId="0696C800" w14:textId="77777777" w:rsidR="00C8567A" w:rsidRPr="00CE4453" w:rsidRDefault="00C8567A" w:rsidP="00B46129">
      <w:pPr>
        <w:pStyle w:val="para"/>
        <w:tabs>
          <w:tab w:val="clear" w:pos="1701"/>
        </w:tabs>
        <w:rPr>
          <w:lang w:val="fr-CH"/>
        </w:rPr>
      </w:pPr>
      <w:r w:rsidRPr="00CE4453">
        <w:rPr>
          <w:lang w:val="fr-CH"/>
        </w:rPr>
        <w:t>5.2.4.1</w:t>
      </w:r>
      <w:r w:rsidRPr="00CE4453">
        <w:rPr>
          <w:lang w:val="fr-CH"/>
        </w:rPr>
        <w:tab/>
        <w:t>L</w:t>
      </w:r>
      <w:r>
        <w:rPr>
          <w:lang w:val="fr-CH"/>
        </w:rPr>
        <w:t>’</w:t>
      </w:r>
      <w:r w:rsidRPr="00CE4453">
        <w:rPr>
          <w:lang w:val="fr-CH"/>
        </w:rPr>
        <w:t>alerte de deuxième niveau est une alerte à la fois visuelle et sonore activée pendant au moins 30 secondes sans compter les périodes où l</w:t>
      </w:r>
      <w:r>
        <w:rPr>
          <w:lang w:val="fr-CH"/>
        </w:rPr>
        <w:t>’</w:t>
      </w:r>
      <w:r w:rsidRPr="00CE4453">
        <w:rPr>
          <w:lang w:val="fr-CH"/>
        </w:rPr>
        <w:t>alerte pourrait s</w:t>
      </w:r>
      <w:r>
        <w:rPr>
          <w:lang w:val="fr-CH"/>
        </w:rPr>
        <w:t>’</w:t>
      </w:r>
      <w:r w:rsidRPr="00CE4453">
        <w:rPr>
          <w:lang w:val="fr-CH"/>
        </w:rPr>
        <w:t>arrêter pendant 3 secondes au plus lorsque soit une seule soit plusieurs des conditions énoncées aux paragraphes 6.2.4.1.1 à 6.2.4.1.3, au choix du constructeur, sont remplies. L</w:t>
      </w:r>
      <w:r>
        <w:rPr>
          <w:lang w:val="fr-CH"/>
        </w:rPr>
        <w:t>’</w:t>
      </w:r>
      <w:r w:rsidRPr="00CE4453">
        <w:rPr>
          <w:lang w:val="fr-CH"/>
        </w:rPr>
        <w:t>alerte de second niveau doit remplacer l</w:t>
      </w:r>
      <w:r>
        <w:rPr>
          <w:lang w:val="fr-CH"/>
        </w:rPr>
        <w:t>’</w:t>
      </w:r>
      <w:r w:rsidRPr="00CE4453">
        <w:rPr>
          <w:lang w:val="fr-CH"/>
        </w:rPr>
        <w:t>alerte de premier niveau alors que celle-ci est encore active.</w:t>
      </w:r>
    </w:p>
    <w:p w14:paraId="61835C99" w14:textId="77777777" w:rsidR="00C8567A" w:rsidRPr="00CE4453" w:rsidRDefault="00C8567A" w:rsidP="00B46129">
      <w:pPr>
        <w:tabs>
          <w:tab w:val="left" w:pos="2268"/>
        </w:tabs>
        <w:spacing w:after="120"/>
        <w:ind w:left="2268" w:right="1134" w:hanging="1134"/>
        <w:jc w:val="both"/>
      </w:pPr>
      <w:r w:rsidRPr="00CE4453">
        <w:t>5.2.4.1.1</w:t>
      </w:r>
      <w:r w:rsidRPr="00CE4453">
        <w:tab/>
        <w:t>La distance parcourue est supérieure à la valeur seuil de déclenchement, qui ne doit pas être supérieure à 500 m. La distance pendant laquelle le véhicule n</w:t>
      </w:r>
      <w:r>
        <w:t>’</w:t>
      </w:r>
      <w:r w:rsidRPr="00CE4453">
        <w:t>est pas en utilisation normale doit être exclue.</w:t>
      </w:r>
    </w:p>
    <w:p w14:paraId="0784470E" w14:textId="77777777" w:rsidR="00C8567A" w:rsidRPr="00CE4453" w:rsidRDefault="00C8567A" w:rsidP="00B46129">
      <w:pPr>
        <w:tabs>
          <w:tab w:val="left" w:pos="2268"/>
        </w:tabs>
        <w:spacing w:after="120"/>
        <w:ind w:left="2268" w:right="1134" w:hanging="1134"/>
        <w:jc w:val="both"/>
      </w:pPr>
      <w:r w:rsidRPr="00CE4453">
        <w:t>5.2.4.1.2</w:t>
      </w:r>
      <w:r w:rsidRPr="00CE4453">
        <w:tab/>
        <w:t>La vitesse du véhicule est supérieure à la valeur seuil de déclenchement, qui ne doit pas être supérieure à 25 km/h.</w:t>
      </w:r>
    </w:p>
    <w:p w14:paraId="78A6A605" w14:textId="77777777" w:rsidR="00C8567A" w:rsidRPr="00CE4453" w:rsidRDefault="00C8567A" w:rsidP="00B46129">
      <w:pPr>
        <w:tabs>
          <w:tab w:val="left" w:pos="2268"/>
        </w:tabs>
        <w:spacing w:after="120"/>
        <w:ind w:left="2268" w:right="1134" w:hanging="1134"/>
        <w:jc w:val="both"/>
      </w:pPr>
      <w:r w:rsidRPr="00CE4453">
        <w:t>5.2.4.1.3</w:t>
      </w:r>
      <w:r w:rsidRPr="00CE4453">
        <w:tab/>
      </w:r>
      <w:r w:rsidRPr="007C3706">
        <w:t>La durée d</w:t>
      </w:r>
      <w:r>
        <w:t>’</w:t>
      </w:r>
      <w:r w:rsidRPr="007C3706">
        <w:t>utilisation (moteur tournant, système de propulsion activé, etc.) est supérieure à la valeur seuil de déclenchement, qui ne doit pas être supérieure à 60 secondes. La durée de l</w:t>
      </w:r>
      <w:r>
        <w:t>’</w:t>
      </w:r>
      <w:r w:rsidRPr="007C3706">
        <w:t>alerte de premier niveau ainsi que le temps durant lequel le véhicule</w:t>
      </w:r>
      <w:r w:rsidRPr="00CE4453">
        <w:t xml:space="preserve"> n</w:t>
      </w:r>
      <w:r>
        <w:t>’</w:t>
      </w:r>
      <w:r w:rsidRPr="00CE4453">
        <w:t>est pas en utilisation normale doivent être exclus.</w:t>
      </w:r>
    </w:p>
    <w:p w14:paraId="2C3C0807" w14:textId="4D142699" w:rsidR="00C8567A" w:rsidRPr="00CE4453" w:rsidRDefault="00C8567A" w:rsidP="00B46129">
      <w:pPr>
        <w:pStyle w:val="para"/>
        <w:tabs>
          <w:tab w:val="clear" w:pos="1701"/>
        </w:tabs>
        <w:rPr>
          <w:lang w:val="fr-CH"/>
        </w:rPr>
      </w:pPr>
      <w:r w:rsidRPr="00CE4453">
        <w:rPr>
          <w:lang w:val="fr-CH"/>
        </w:rPr>
        <w:t>5.2.4.2</w:t>
      </w:r>
      <w:r w:rsidRPr="00CE4453">
        <w:rPr>
          <w:lang w:val="fr-CH"/>
        </w:rPr>
        <w:tab/>
        <w:t>Les valeurs seuils de déclenchement du témoin de port de ceinture indiquées aux paragraphes 5.2.4.1.1 à 5.2.4.1.3 peuvent être redéfinies lorsque</w:t>
      </w:r>
      <w:r w:rsidR="00B46129">
        <w:rPr>
          <w:lang w:val="fr-CH"/>
        </w:rPr>
        <w:t> :</w:t>
      </w:r>
      <w:r w:rsidRPr="00CE4453">
        <w:rPr>
          <w:lang w:val="fr-CH"/>
        </w:rPr>
        <w:t xml:space="preserve"> </w:t>
      </w:r>
    </w:p>
    <w:p w14:paraId="160CB1EA" w14:textId="0133BB30" w:rsidR="00C8567A" w:rsidRPr="00CE4453" w:rsidRDefault="00C8567A" w:rsidP="00C8567A">
      <w:pPr>
        <w:pStyle w:val="a"/>
        <w:tabs>
          <w:tab w:val="left" w:pos="2268"/>
        </w:tabs>
        <w:ind w:left="2829" w:hanging="561"/>
        <w:rPr>
          <w:lang w:val="fr-CH"/>
        </w:rPr>
      </w:pPr>
      <w:r w:rsidRPr="00CE4453">
        <w:rPr>
          <w:lang w:val="fr-CH"/>
        </w:rPr>
        <w:t>a)</w:t>
      </w:r>
      <w:r w:rsidRPr="00CE4453">
        <w:rPr>
          <w:lang w:val="fr-CH"/>
        </w:rPr>
        <w:tab/>
        <w:t>L</w:t>
      </w:r>
      <w:r>
        <w:rPr>
          <w:lang w:val="fr-CH"/>
        </w:rPr>
        <w:t>’</w:t>
      </w:r>
      <w:r w:rsidRPr="00CE4453">
        <w:rPr>
          <w:lang w:val="fr-CH"/>
        </w:rPr>
        <w:t>une des portes a été ouverte alors que le véhicule n</w:t>
      </w:r>
      <w:r>
        <w:rPr>
          <w:lang w:val="fr-CH"/>
        </w:rPr>
        <w:t>’</w:t>
      </w:r>
      <w:r w:rsidRPr="00CE4453">
        <w:rPr>
          <w:lang w:val="fr-CH"/>
        </w:rPr>
        <w:t>était pas en utilisation normale</w:t>
      </w:r>
      <w:r w:rsidR="00B46129">
        <w:rPr>
          <w:lang w:val="fr-CH"/>
        </w:rPr>
        <w:t> ;</w:t>
      </w:r>
      <w:r w:rsidRPr="00CE4453">
        <w:rPr>
          <w:lang w:val="fr-CH"/>
        </w:rPr>
        <w:t xml:space="preserve"> </w:t>
      </w:r>
      <w:proofErr w:type="gramStart"/>
      <w:r w:rsidRPr="00CE4453">
        <w:rPr>
          <w:lang w:val="fr-CH"/>
        </w:rPr>
        <w:t>ou</w:t>
      </w:r>
      <w:proofErr w:type="gramEnd"/>
      <w:r w:rsidRPr="00CE4453">
        <w:rPr>
          <w:lang w:val="fr-CH"/>
        </w:rPr>
        <w:t xml:space="preserve"> </w:t>
      </w:r>
    </w:p>
    <w:p w14:paraId="0012086C" w14:textId="77777777" w:rsidR="00C8567A" w:rsidRPr="00CE4453" w:rsidRDefault="00C8567A" w:rsidP="00C8567A">
      <w:pPr>
        <w:pStyle w:val="a"/>
        <w:tabs>
          <w:tab w:val="left" w:pos="2268"/>
        </w:tabs>
        <w:ind w:left="2829" w:hanging="561"/>
        <w:rPr>
          <w:lang w:val="fr-CH"/>
        </w:rPr>
      </w:pPr>
      <w:r w:rsidRPr="00CE4453">
        <w:rPr>
          <w:lang w:val="fr-CH"/>
        </w:rPr>
        <w:t>b)</w:t>
      </w:r>
      <w:r w:rsidRPr="00CE4453">
        <w:rPr>
          <w:lang w:val="fr-CH"/>
        </w:rPr>
        <w:tab/>
        <w:t>Le ou les sièges ayant déclenché l</w:t>
      </w:r>
      <w:r>
        <w:rPr>
          <w:lang w:val="fr-CH"/>
        </w:rPr>
        <w:t>’</w:t>
      </w:r>
      <w:r w:rsidRPr="00CE4453">
        <w:rPr>
          <w:lang w:val="fr-CH"/>
        </w:rPr>
        <w:t>alerte ne sont plus occupés.</w:t>
      </w:r>
    </w:p>
    <w:p w14:paraId="4ED9C35E" w14:textId="0629FA8A" w:rsidR="00C8567A" w:rsidRPr="00CE4453" w:rsidRDefault="00C8567A" w:rsidP="00B46129">
      <w:pPr>
        <w:pStyle w:val="para"/>
        <w:keepNext/>
        <w:tabs>
          <w:tab w:val="clear" w:pos="1701"/>
        </w:tabs>
        <w:rPr>
          <w:lang w:val="fr-CH"/>
        </w:rPr>
      </w:pPr>
      <w:r w:rsidRPr="00CE4453">
        <w:rPr>
          <w:lang w:val="fr-CH"/>
        </w:rPr>
        <w:lastRenderedPageBreak/>
        <w:t>5.2.4.3</w:t>
      </w:r>
      <w:r w:rsidRPr="00CE4453">
        <w:rPr>
          <w:lang w:val="fr-CH"/>
        </w:rPr>
        <w:tab/>
        <w:t>L</w:t>
      </w:r>
      <w:r>
        <w:rPr>
          <w:lang w:val="fr-CH"/>
        </w:rPr>
        <w:t>’</w:t>
      </w:r>
      <w:r w:rsidRPr="00CE4453">
        <w:rPr>
          <w:lang w:val="fr-CH"/>
        </w:rPr>
        <w:t>alerte de second niveau peut s</w:t>
      </w:r>
      <w:r>
        <w:rPr>
          <w:lang w:val="fr-CH"/>
        </w:rPr>
        <w:t>’</w:t>
      </w:r>
      <w:r w:rsidRPr="00CE4453">
        <w:rPr>
          <w:lang w:val="fr-CH"/>
        </w:rPr>
        <w:t>arrêter lorsque</w:t>
      </w:r>
      <w:r w:rsidR="00B46129">
        <w:rPr>
          <w:lang w:val="fr-CH"/>
        </w:rPr>
        <w:t> :</w:t>
      </w:r>
    </w:p>
    <w:p w14:paraId="1328C678" w14:textId="0DA3A189" w:rsidR="00C8567A" w:rsidRPr="00CE4453" w:rsidRDefault="00C8567A" w:rsidP="00B46129">
      <w:pPr>
        <w:pStyle w:val="a"/>
        <w:tabs>
          <w:tab w:val="left" w:pos="2835"/>
        </w:tabs>
        <w:rPr>
          <w:lang w:val="fr-CH"/>
        </w:rPr>
      </w:pPr>
      <w:r w:rsidRPr="00CE4453">
        <w:rPr>
          <w:lang w:val="fr-CH"/>
        </w:rPr>
        <w:t>a)</w:t>
      </w:r>
      <w:r w:rsidRPr="00CE4453">
        <w:rPr>
          <w:lang w:val="fr-CH"/>
        </w:rPr>
        <w:tab/>
        <w:t>La ou les ceintures de sécurité ayant déclenché l</w:t>
      </w:r>
      <w:r>
        <w:rPr>
          <w:lang w:val="fr-CH"/>
        </w:rPr>
        <w:t>’</w:t>
      </w:r>
      <w:r w:rsidRPr="00CE4453">
        <w:rPr>
          <w:lang w:val="fr-CH"/>
        </w:rPr>
        <w:t>alerte sont bouclées</w:t>
      </w:r>
      <w:r w:rsidR="00B46129">
        <w:rPr>
          <w:lang w:val="fr-CH"/>
        </w:rPr>
        <w:t> ;</w:t>
      </w:r>
      <w:r w:rsidRPr="00CE4453">
        <w:rPr>
          <w:lang w:val="fr-CH"/>
        </w:rPr>
        <w:t xml:space="preserve"> </w:t>
      </w:r>
    </w:p>
    <w:p w14:paraId="1E529820" w14:textId="0A3DB829" w:rsidR="00C8567A" w:rsidRPr="00CE4453" w:rsidRDefault="00C8567A" w:rsidP="00B46129">
      <w:pPr>
        <w:pStyle w:val="a"/>
        <w:tabs>
          <w:tab w:val="left" w:pos="2835"/>
        </w:tabs>
        <w:rPr>
          <w:lang w:val="fr-CH"/>
        </w:rPr>
      </w:pPr>
      <w:r w:rsidRPr="00CE4453">
        <w:rPr>
          <w:lang w:val="fr-CH"/>
        </w:rPr>
        <w:t>b)</w:t>
      </w:r>
      <w:r w:rsidRPr="00CE4453">
        <w:rPr>
          <w:lang w:val="fr-CH"/>
        </w:rPr>
        <w:tab/>
        <w:t>Le véhicule cesse d</w:t>
      </w:r>
      <w:r>
        <w:rPr>
          <w:lang w:val="fr-CH"/>
        </w:rPr>
        <w:t>’</w:t>
      </w:r>
      <w:r w:rsidRPr="00CE4453">
        <w:rPr>
          <w:lang w:val="fr-CH"/>
        </w:rPr>
        <w:t>être en utilisation normale</w:t>
      </w:r>
      <w:r w:rsidR="00B46129">
        <w:rPr>
          <w:lang w:val="fr-CH"/>
        </w:rPr>
        <w:t> ;</w:t>
      </w:r>
      <w:r w:rsidRPr="00CE4453">
        <w:rPr>
          <w:lang w:val="fr-CH"/>
        </w:rPr>
        <w:t xml:space="preserve"> </w:t>
      </w:r>
      <w:proofErr w:type="gramStart"/>
      <w:r w:rsidRPr="00CE4453">
        <w:rPr>
          <w:lang w:val="fr-CH"/>
        </w:rPr>
        <w:t>ou</w:t>
      </w:r>
      <w:proofErr w:type="gramEnd"/>
    </w:p>
    <w:p w14:paraId="61A2D5BF" w14:textId="77777777" w:rsidR="00C8567A" w:rsidRPr="00CE4453" w:rsidRDefault="00C8567A" w:rsidP="00B46129">
      <w:pPr>
        <w:pStyle w:val="a"/>
        <w:tabs>
          <w:tab w:val="left" w:pos="2835"/>
        </w:tabs>
        <w:rPr>
          <w:lang w:val="fr-CH"/>
        </w:rPr>
      </w:pPr>
      <w:r w:rsidRPr="00CE4453">
        <w:rPr>
          <w:lang w:val="fr-CH"/>
        </w:rPr>
        <w:t>c)</w:t>
      </w:r>
      <w:r w:rsidRPr="00CE4453">
        <w:rPr>
          <w:lang w:val="fr-CH"/>
        </w:rPr>
        <w:tab/>
        <w:t>Le ou les sièges ayant déclenché l</w:t>
      </w:r>
      <w:r>
        <w:rPr>
          <w:lang w:val="fr-CH"/>
        </w:rPr>
        <w:t>’</w:t>
      </w:r>
      <w:r w:rsidRPr="00CE4453">
        <w:rPr>
          <w:lang w:val="fr-CH"/>
        </w:rPr>
        <w:t>alerte ne sont plus occupés.</w:t>
      </w:r>
    </w:p>
    <w:p w14:paraId="3EEEDD39" w14:textId="77777777" w:rsidR="00C8567A" w:rsidRPr="00CE4453" w:rsidRDefault="00C8567A" w:rsidP="00B46129">
      <w:pPr>
        <w:pStyle w:val="para"/>
        <w:tabs>
          <w:tab w:val="clear" w:pos="1701"/>
        </w:tabs>
        <w:rPr>
          <w:lang w:val="fr-CH"/>
        </w:rPr>
      </w:pPr>
      <w:r w:rsidRPr="00CE4453">
        <w:rPr>
          <w:lang w:val="fr-CH"/>
        </w:rPr>
        <w:t>5.2.4.4</w:t>
      </w:r>
      <w:r w:rsidRPr="00CE4453">
        <w:rPr>
          <w:lang w:val="fr-CH"/>
        </w:rPr>
        <w:tab/>
        <w:t>L</w:t>
      </w:r>
      <w:r>
        <w:rPr>
          <w:lang w:val="fr-CH"/>
        </w:rPr>
        <w:t>’</w:t>
      </w:r>
      <w:r w:rsidRPr="00CE4453">
        <w:rPr>
          <w:lang w:val="fr-CH"/>
        </w:rPr>
        <w:t>alerte de second niveau doit se réactiver pendant le restant de la durée prescrite lorsque soit une seule soit plusieurs des conditions énoncées aux paragraphes 5.2.4.1.1 à 5.2.4.1.3, au choix du constructeur, sont de nouveau remplies.</w:t>
      </w:r>
    </w:p>
    <w:p w14:paraId="6CA9AF91" w14:textId="77777777" w:rsidR="00C8567A" w:rsidRPr="00CE4453" w:rsidRDefault="00C8567A" w:rsidP="00B46129">
      <w:pPr>
        <w:pStyle w:val="para"/>
        <w:tabs>
          <w:tab w:val="clear" w:pos="1701"/>
        </w:tabs>
        <w:rPr>
          <w:lang w:val="fr-CH"/>
        </w:rPr>
      </w:pPr>
      <w:r w:rsidRPr="00CE4453">
        <w:rPr>
          <w:lang w:val="fr-CH"/>
        </w:rPr>
        <w:t>5.2.4.5</w:t>
      </w:r>
      <w:r w:rsidRPr="00CE4453">
        <w:rPr>
          <w:lang w:val="fr-CH"/>
        </w:rPr>
        <w:tab/>
        <w:t>Dans le cas du débouclage d</w:t>
      </w:r>
      <w:r>
        <w:rPr>
          <w:lang w:val="fr-CH"/>
        </w:rPr>
        <w:t>’</w:t>
      </w:r>
      <w:r w:rsidRPr="00CE4453">
        <w:rPr>
          <w:lang w:val="fr-CH"/>
        </w:rPr>
        <w:t>une ceinture de sécurité dans la situation décrite aux paragraphes 5.3.3 et 5.4.5, les valeurs seuils fixées aux paragraphes 5.2.4.1.1 à 5.2.4.1.3 sont mesurées à partir du moment où la ceinture est détachée.</w:t>
      </w:r>
    </w:p>
    <w:p w14:paraId="44C1420A" w14:textId="77777777" w:rsidR="00C8567A" w:rsidRPr="00CE4453" w:rsidRDefault="00C8567A" w:rsidP="00B46129">
      <w:pPr>
        <w:pStyle w:val="para"/>
        <w:tabs>
          <w:tab w:val="clear" w:pos="1701"/>
        </w:tabs>
        <w:rPr>
          <w:lang w:val="fr-CH"/>
        </w:rPr>
      </w:pPr>
      <w:r w:rsidRPr="00CE4453">
        <w:rPr>
          <w:lang w:val="fr-CH"/>
        </w:rPr>
        <w:t>5.2.4.6</w:t>
      </w:r>
      <w:r w:rsidRPr="00CE4453">
        <w:rPr>
          <w:lang w:val="fr-CH"/>
        </w:rPr>
        <w:tab/>
        <w:t>L</w:t>
      </w:r>
      <w:r>
        <w:rPr>
          <w:lang w:val="fr-CH"/>
        </w:rPr>
        <w:t>’</w:t>
      </w:r>
      <w:r w:rsidRPr="00CE4453">
        <w:rPr>
          <w:lang w:val="fr-CH"/>
        </w:rPr>
        <w:t>activation de l</w:t>
      </w:r>
      <w:r>
        <w:rPr>
          <w:lang w:val="fr-CH"/>
        </w:rPr>
        <w:t>’</w:t>
      </w:r>
      <w:r w:rsidRPr="00CE4453">
        <w:rPr>
          <w:lang w:val="fr-CH"/>
        </w:rPr>
        <w:t>alerte de second niveau est vérifiée selon la procédure d</w:t>
      </w:r>
      <w:r>
        <w:rPr>
          <w:lang w:val="fr-CH"/>
        </w:rPr>
        <w:t>’</w:t>
      </w:r>
      <w:r w:rsidRPr="00CE4453">
        <w:rPr>
          <w:lang w:val="fr-CH"/>
        </w:rPr>
        <w:t>essai définie à l</w:t>
      </w:r>
      <w:r>
        <w:rPr>
          <w:lang w:val="fr-CH"/>
        </w:rPr>
        <w:t>’</w:t>
      </w:r>
      <w:r w:rsidRPr="00CE4453">
        <w:rPr>
          <w:lang w:val="fr-CH"/>
        </w:rPr>
        <w:t>annexe 3, paragraphe 2.</w:t>
      </w:r>
    </w:p>
    <w:p w14:paraId="450F56EB" w14:textId="77777777" w:rsidR="00C8567A" w:rsidRPr="00CE4453" w:rsidRDefault="00C8567A" w:rsidP="00B46129">
      <w:pPr>
        <w:pStyle w:val="para"/>
        <w:tabs>
          <w:tab w:val="clear" w:pos="1701"/>
        </w:tabs>
        <w:rPr>
          <w:lang w:val="fr-CH"/>
        </w:rPr>
      </w:pPr>
      <w:r w:rsidRPr="00CE4453">
        <w:rPr>
          <w:lang w:val="fr-CH"/>
        </w:rPr>
        <w:t>5.3</w:t>
      </w:r>
      <w:r w:rsidRPr="00CE4453">
        <w:rPr>
          <w:lang w:val="fr-CH"/>
        </w:rPr>
        <w:tab/>
        <w:t>Témoin de port de ceinture du siège du conducteur et des autres sièges de la même rangée</w:t>
      </w:r>
    </w:p>
    <w:p w14:paraId="788654AD" w14:textId="77777777" w:rsidR="00C8567A" w:rsidRPr="00CE4453" w:rsidRDefault="00C8567A" w:rsidP="00B46129">
      <w:pPr>
        <w:pStyle w:val="para"/>
        <w:tabs>
          <w:tab w:val="clear" w:pos="1701"/>
        </w:tabs>
        <w:rPr>
          <w:lang w:val="fr-CH"/>
        </w:rPr>
      </w:pPr>
      <w:r w:rsidRPr="00CE4453">
        <w:rPr>
          <w:lang w:val="fr-CH"/>
        </w:rPr>
        <w:t>5.3.1</w:t>
      </w:r>
      <w:r w:rsidRPr="00CE4453">
        <w:rPr>
          <w:lang w:val="fr-CH"/>
        </w:rPr>
        <w:tab/>
        <w:t>Les témoins de port de ceinture du siège du conducteur et des autres sièges de la même rangée doivent satisfaire aux prescriptions du paragraphe 5.2.</w:t>
      </w:r>
    </w:p>
    <w:p w14:paraId="546B72D9" w14:textId="77777777" w:rsidR="00C8567A" w:rsidRPr="00CE4453" w:rsidRDefault="00C8567A" w:rsidP="00B46129">
      <w:pPr>
        <w:pStyle w:val="para"/>
        <w:tabs>
          <w:tab w:val="clear" w:pos="1701"/>
        </w:tabs>
        <w:rPr>
          <w:lang w:val="fr-CH"/>
        </w:rPr>
      </w:pPr>
      <w:r w:rsidRPr="00CE4453">
        <w:rPr>
          <w:lang w:val="fr-CH"/>
        </w:rPr>
        <w:t>5.3.2</w:t>
      </w:r>
      <w:r w:rsidRPr="00CE4453">
        <w:rPr>
          <w:lang w:val="fr-CH"/>
        </w:rPr>
        <w:tab/>
        <w:t>L</w:t>
      </w:r>
      <w:r>
        <w:rPr>
          <w:lang w:val="fr-CH"/>
        </w:rPr>
        <w:t>’</w:t>
      </w:r>
      <w:r w:rsidRPr="00CE4453">
        <w:rPr>
          <w:lang w:val="fr-CH"/>
        </w:rPr>
        <w:t xml:space="preserve">alerte visuelle doit être représentée au moyen de la couleur et du symbole indiqués au point </w:t>
      </w:r>
      <w:r w:rsidRPr="007C3706">
        <w:rPr>
          <w:rFonts w:eastAsia="MS Mincho"/>
          <w:szCs w:val="22"/>
          <w:lang w:val="fr-CH"/>
        </w:rPr>
        <w:t>n</w:t>
      </w:r>
      <w:r w:rsidRPr="007C3706">
        <w:rPr>
          <w:rFonts w:eastAsia="MS Mincho"/>
          <w:szCs w:val="22"/>
          <w:vertAlign w:val="superscript"/>
          <w:lang w:val="fr-CH"/>
        </w:rPr>
        <w:t>o</w:t>
      </w:r>
      <w:r>
        <w:rPr>
          <w:lang w:val="fr-CH"/>
        </w:rPr>
        <w:t> </w:t>
      </w:r>
      <w:r w:rsidRPr="00CE4453">
        <w:rPr>
          <w:lang w:val="fr-CH"/>
        </w:rPr>
        <w:t xml:space="preserve">21 du tableau 1 du Règlement ONU </w:t>
      </w:r>
      <w:r w:rsidRPr="00CE4453">
        <w:rPr>
          <w:rFonts w:eastAsia="MS Mincho"/>
          <w:szCs w:val="22"/>
          <w:lang w:val="fr-CH"/>
        </w:rPr>
        <w:t>n</w:t>
      </w:r>
      <w:r w:rsidRPr="00CE4453">
        <w:rPr>
          <w:rFonts w:eastAsia="MS Mincho"/>
          <w:szCs w:val="22"/>
          <w:vertAlign w:val="superscript"/>
          <w:lang w:val="fr-CH"/>
        </w:rPr>
        <w:t>o</w:t>
      </w:r>
      <w:r w:rsidRPr="00CE4453">
        <w:rPr>
          <w:lang w:val="fr-CH"/>
        </w:rPr>
        <w:t> 121.</w:t>
      </w:r>
    </w:p>
    <w:p w14:paraId="3921CE5E" w14:textId="77777777" w:rsidR="00C8567A" w:rsidRPr="00CE4453" w:rsidRDefault="00C8567A" w:rsidP="00B46129">
      <w:pPr>
        <w:pStyle w:val="para"/>
        <w:tabs>
          <w:tab w:val="clear" w:pos="1701"/>
        </w:tabs>
        <w:rPr>
          <w:lang w:val="fr-CH"/>
        </w:rPr>
      </w:pPr>
      <w:r w:rsidRPr="00CE4453">
        <w:rPr>
          <w:lang w:val="fr-CH"/>
        </w:rPr>
        <w:t>5.3.3</w:t>
      </w:r>
      <w:r w:rsidRPr="00CE4453">
        <w:rPr>
          <w:lang w:val="fr-CH"/>
        </w:rPr>
        <w:tab/>
        <w:t>L</w:t>
      </w:r>
      <w:r>
        <w:rPr>
          <w:lang w:val="fr-CH"/>
        </w:rPr>
        <w:t>’</w:t>
      </w:r>
      <w:r w:rsidRPr="00CE4453">
        <w:rPr>
          <w:lang w:val="fr-CH"/>
        </w:rPr>
        <w:t>alerte de second niveau doit être activée lorsqu</w:t>
      </w:r>
      <w:r>
        <w:rPr>
          <w:lang w:val="fr-CH"/>
        </w:rPr>
        <w:t>’</w:t>
      </w:r>
      <w:r w:rsidRPr="00CE4453">
        <w:rPr>
          <w:lang w:val="fr-CH"/>
        </w:rPr>
        <w:t>une ceinture de sécurité n</w:t>
      </w:r>
      <w:r>
        <w:rPr>
          <w:lang w:val="fr-CH"/>
        </w:rPr>
        <w:t>’</w:t>
      </w:r>
      <w:r w:rsidRPr="00CE4453">
        <w:rPr>
          <w:lang w:val="fr-CH"/>
        </w:rPr>
        <w:t>est pas bouclée ou est détachée alors que le véhicule est en utilisation normale et que soit une seule soit plusieurs des conditions énoncées aux paragraphes 5.2.4.1.1 à 5.2.4.1.3, au choix du constructeur, sont remplies.</w:t>
      </w:r>
    </w:p>
    <w:p w14:paraId="60F6B653" w14:textId="77777777" w:rsidR="00C8567A" w:rsidRPr="00CE4453" w:rsidRDefault="00C8567A" w:rsidP="00B46129">
      <w:pPr>
        <w:pStyle w:val="para"/>
        <w:tabs>
          <w:tab w:val="clear" w:pos="1701"/>
        </w:tabs>
        <w:rPr>
          <w:lang w:val="fr-CH"/>
        </w:rPr>
      </w:pPr>
      <w:r w:rsidRPr="00CE4453">
        <w:rPr>
          <w:lang w:val="fr-CH"/>
        </w:rPr>
        <w:t>5.4</w:t>
      </w:r>
      <w:r w:rsidRPr="00CE4453">
        <w:rPr>
          <w:lang w:val="fr-CH"/>
        </w:rPr>
        <w:tab/>
        <w:t>Témoin de port de ceinture des sièges de la ou des rangées arrière</w:t>
      </w:r>
    </w:p>
    <w:p w14:paraId="73BD879C" w14:textId="77777777" w:rsidR="00C8567A" w:rsidRPr="00CE4453" w:rsidRDefault="00C8567A" w:rsidP="00B46129">
      <w:pPr>
        <w:pStyle w:val="para"/>
        <w:tabs>
          <w:tab w:val="clear" w:pos="1701"/>
        </w:tabs>
        <w:rPr>
          <w:lang w:val="fr-CH"/>
        </w:rPr>
      </w:pPr>
      <w:r w:rsidRPr="00CE4453">
        <w:rPr>
          <w:lang w:val="fr-CH"/>
        </w:rPr>
        <w:t>5.4.1</w:t>
      </w:r>
      <w:r w:rsidRPr="00CE4453">
        <w:rPr>
          <w:lang w:val="fr-CH"/>
        </w:rPr>
        <w:tab/>
        <w:t>Les témoins de port de ceinture des sièges de la ou des rangées arrière doivent satisfaire aux prescriptions du paragraphe 5.2.</w:t>
      </w:r>
    </w:p>
    <w:p w14:paraId="4908565F" w14:textId="77777777" w:rsidR="00C8567A" w:rsidRPr="00CE4453" w:rsidRDefault="00C8567A" w:rsidP="00B46129">
      <w:pPr>
        <w:pStyle w:val="para"/>
        <w:tabs>
          <w:tab w:val="clear" w:pos="1701"/>
        </w:tabs>
        <w:rPr>
          <w:lang w:val="fr-CH"/>
        </w:rPr>
      </w:pPr>
      <w:r w:rsidRPr="00CE4453">
        <w:rPr>
          <w:lang w:val="fr-CH"/>
        </w:rPr>
        <w:t>5.4.2</w:t>
      </w:r>
      <w:r w:rsidRPr="00CE4453">
        <w:rPr>
          <w:lang w:val="fr-CH"/>
        </w:rPr>
        <w:tab/>
        <w:t>L</w:t>
      </w:r>
      <w:r>
        <w:rPr>
          <w:lang w:val="fr-CH"/>
        </w:rPr>
        <w:t>’</w:t>
      </w:r>
      <w:r w:rsidRPr="00CE4453">
        <w:rPr>
          <w:lang w:val="fr-CH"/>
        </w:rPr>
        <w:t>alerte visuelle doit couvrir au moins toutes les places arrière pour permettre au conducteur de savoir de sa place sur quels sièges la ceinture n</w:t>
      </w:r>
      <w:r>
        <w:rPr>
          <w:lang w:val="fr-CH"/>
        </w:rPr>
        <w:t>’</w:t>
      </w:r>
      <w:r w:rsidRPr="00CE4453">
        <w:rPr>
          <w:lang w:val="fr-CH"/>
        </w:rPr>
        <w:t>est pas bouclée. Pour les véhicules dans lesquels le conducteur sait quels sont les sièges occupés, il n</w:t>
      </w:r>
      <w:r>
        <w:rPr>
          <w:lang w:val="fr-CH"/>
        </w:rPr>
        <w:t>’</w:t>
      </w:r>
      <w:r w:rsidRPr="00CE4453">
        <w:rPr>
          <w:lang w:val="fr-CH"/>
        </w:rPr>
        <w:t>est pas nécessaire que l</w:t>
      </w:r>
      <w:r>
        <w:rPr>
          <w:lang w:val="fr-CH"/>
        </w:rPr>
        <w:t>’</w:t>
      </w:r>
      <w:r w:rsidRPr="00CE4453">
        <w:rPr>
          <w:lang w:val="fr-CH"/>
        </w:rPr>
        <w:t>alerte visuelle signale les ceintures non bouclées sur les sièges qui sont inoccupés. Pour les sièges qui peuvent être fixés dans les différentes positions prévues à l</w:t>
      </w:r>
      <w:r>
        <w:rPr>
          <w:lang w:val="fr-CH"/>
        </w:rPr>
        <w:t>’</w:t>
      </w:r>
      <w:r w:rsidRPr="00CE4453">
        <w:rPr>
          <w:lang w:val="fr-CH"/>
        </w:rPr>
        <w:t>intérieur du véhicule (par</w:t>
      </w:r>
      <w:r>
        <w:rPr>
          <w:lang w:val="fr-CH"/>
        </w:rPr>
        <w:t> </w:t>
      </w:r>
      <w:r w:rsidRPr="00CE4453">
        <w:rPr>
          <w:lang w:val="fr-CH"/>
        </w:rPr>
        <w:t>exemple lorsqu</w:t>
      </w:r>
      <w:r>
        <w:rPr>
          <w:lang w:val="fr-CH"/>
        </w:rPr>
        <w:t>’</w:t>
      </w:r>
      <w:r w:rsidRPr="00CE4453">
        <w:rPr>
          <w:lang w:val="fr-CH"/>
        </w:rPr>
        <w:t>ils sont montés sur un rail au plancher), l</w:t>
      </w:r>
      <w:r>
        <w:rPr>
          <w:lang w:val="fr-CH"/>
        </w:rPr>
        <w:t>’</w:t>
      </w:r>
      <w:r w:rsidRPr="00CE4453">
        <w:rPr>
          <w:lang w:val="fr-CH"/>
        </w:rPr>
        <w:t>alerte visuelle doit au moins signaler toute ceinture de sécurité arrière non bouclée.</w:t>
      </w:r>
    </w:p>
    <w:p w14:paraId="5FE64729" w14:textId="77777777" w:rsidR="00C8567A" w:rsidRPr="00CE4453" w:rsidRDefault="00C8567A" w:rsidP="00B46129">
      <w:pPr>
        <w:pStyle w:val="para"/>
        <w:tabs>
          <w:tab w:val="clear" w:pos="1701"/>
        </w:tabs>
        <w:rPr>
          <w:lang w:val="fr-CH"/>
        </w:rPr>
      </w:pPr>
      <w:r w:rsidRPr="00CE4453">
        <w:rPr>
          <w:lang w:val="fr-CH"/>
        </w:rPr>
        <w:t>5.4.3</w:t>
      </w:r>
      <w:r w:rsidRPr="00CE4453">
        <w:rPr>
          <w:lang w:val="fr-CH"/>
        </w:rPr>
        <w:tab/>
        <w:t>La couleur de l</w:t>
      </w:r>
      <w:r>
        <w:rPr>
          <w:lang w:val="fr-CH"/>
        </w:rPr>
        <w:t>’</w:t>
      </w:r>
      <w:r w:rsidRPr="00CE4453">
        <w:rPr>
          <w:lang w:val="fr-CH"/>
        </w:rPr>
        <w:t>alerte visuelle peut être une couleur autre que le rouge, et dans le cas des ceintures de sécurité visées au paragraphe 5.1.2, l</w:t>
      </w:r>
      <w:r>
        <w:rPr>
          <w:lang w:val="fr-CH"/>
        </w:rPr>
        <w:t>’</w:t>
      </w:r>
      <w:r w:rsidRPr="00CE4453">
        <w:rPr>
          <w:lang w:val="fr-CH"/>
        </w:rPr>
        <w:t>alerte visuelle peut contenir d</w:t>
      </w:r>
      <w:r>
        <w:rPr>
          <w:lang w:val="fr-CH"/>
        </w:rPr>
        <w:t>’</w:t>
      </w:r>
      <w:r w:rsidRPr="00CE4453">
        <w:rPr>
          <w:lang w:val="fr-CH"/>
        </w:rPr>
        <w:t>autres symboles que ceux qui sont prévus dans le Règlement ONU n</w:t>
      </w:r>
      <w:r w:rsidRPr="00CE4453">
        <w:rPr>
          <w:vertAlign w:val="superscript"/>
          <w:lang w:val="fr-CH"/>
        </w:rPr>
        <w:t>o</w:t>
      </w:r>
      <w:r w:rsidRPr="00CE4453">
        <w:rPr>
          <w:lang w:val="fr-CH"/>
        </w:rPr>
        <w:t> 121. De plus, le conducteur peut annuler, par une action délibérée, l</w:t>
      </w:r>
      <w:r>
        <w:rPr>
          <w:lang w:val="fr-CH"/>
        </w:rPr>
        <w:t>’</w:t>
      </w:r>
      <w:r w:rsidRPr="00CE4453">
        <w:rPr>
          <w:lang w:val="fr-CH"/>
        </w:rPr>
        <w:t>alerte de premier niveau pour les places assises visées au paragraphe 5.1.2.</w:t>
      </w:r>
    </w:p>
    <w:p w14:paraId="2044E921" w14:textId="77777777" w:rsidR="00C8567A" w:rsidRPr="00CE4453" w:rsidRDefault="00C8567A" w:rsidP="00B46129">
      <w:pPr>
        <w:pStyle w:val="para"/>
        <w:tabs>
          <w:tab w:val="clear" w:pos="1701"/>
        </w:tabs>
        <w:rPr>
          <w:lang w:val="fr-CH"/>
        </w:rPr>
      </w:pPr>
      <w:r w:rsidRPr="00CE4453">
        <w:rPr>
          <w:lang w:val="fr-CH"/>
        </w:rPr>
        <w:t>5.4.4</w:t>
      </w:r>
      <w:r w:rsidRPr="00CE4453">
        <w:rPr>
          <w:lang w:val="fr-CH"/>
        </w:rPr>
        <w:tab/>
        <w:t>Un témoin commun peut être utilisé pour toutes les ceintures de sécurité visées aux paragraphes 5.1.1 et 5.1.2.</w:t>
      </w:r>
    </w:p>
    <w:p w14:paraId="0EB06CC9" w14:textId="77777777" w:rsidR="00C8567A" w:rsidRPr="00CE4453" w:rsidRDefault="00C8567A" w:rsidP="00B46129">
      <w:pPr>
        <w:pStyle w:val="para"/>
        <w:tabs>
          <w:tab w:val="clear" w:pos="1701"/>
        </w:tabs>
        <w:rPr>
          <w:lang w:val="fr-CH"/>
        </w:rPr>
      </w:pPr>
      <w:r w:rsidRPr="00CE4453">
        <w:rPr>
          <w:lang w:val="fr-CH"/>
        </w:rPr>
        <w:t>5.4.5</w:t>
      </w:r>
      <w:r w:rsidRPr="00CE4453">
        <w:rPr>
          <w:lang w:val="fr-CH"/>
        </w:rPr>
        <w:tab/>
        <w:t>L</w:t>
      </w:r>
      <w:r>
        <w:rPr>
          <w:lang w:val="fr-CH"/>
        </w:rPr>
        <w:t>’</w:t>
      </w:r>
      <w:r w:rsidRPr="00CE4453">
        <w:rPr>
          <w:lang w:val="fr-CH"/>
        </w:rPr>
        <w:t>alerte de second niveau doit être activée lorsqu</w:t>
      </w:r>
      <w:r>
        <w:rPr>
          <w:lang w:val="fr-CH"/>
        </w:rPr>
        <w:t>’</w:t>
      </w:r>
      <w:r w:rsidRPr="00CE4453">
        <w:rPr>
          <w:lang w:val="fr-CH"/>
        </w:rPr>
        <w:t>une ceinture de sécurité est détachée alors que le véhicule est en utilisation normale ou, au choix du constructeur, lorsqu</w:t>
      </w:r>
      <w:r>
        <w:rPr>
          <w:lang w:val="fr-CH"/>
        </w:rPr>
        <w:t>’</w:t>
      </w:r>
      <w:r w:rsidRPr="00CE4453">
        <w:rPr>
          <w:lang w:val="fr-CH"/>
        </w:rPr>
        <w:t>une ceinture de sécurité n</w:t>
      </w:r>
      <w:r>
        <w:rPr>
          <w:lang w:val="fr-CH"/>
        </w:rPr>
        <w:t>’</w:t>
      </w:r>
      <w:r w:rsidRPr="00CE4453">
        <w:rPr>
          <w:lang w:val="fr-CH"/>
        </w:rPr>
        <w:t>est pas bouclée ou est détachée alors que le véhicule est en utilisation normale, et que soit une seule soit plusieurs des conditions énoncées aux paragraphes 5.2.4.1.1 à 5.2.4.1.3, au choix du constructeur, sont remplies.</w:t>
      </w:r>
    </w:p>
    <w:p w14:paraId="214A0DAC" w14:textId="77777777" w:rsidR="00C8567A" w:rsidRPr="00CE4453" w:rsidRDefault="00C8567A" w:rsidP="00B46129">
      <w:pPr>
        <w:tabs>
          <w:tab w:val="left" w:pos="2268"/>
        </w:tabs>
        <w:spacing w:after="120"/>
        <w:ind w:left="2268" w:right="1134" w:hanging="1134"/>
        <w:jc w:val="both"/>
      </w:pPr>
      <w:r w:rsidRPr="00CE4453">
        <w:t>5.5</w:t>
      </w:r>
      <w:r w:rsidRPr="00CE4453">
        <w:tab/>
        <w:t>Le témoin de port de ceinture peut être conçu de manière à pouvoir être désactivé.</w:t>
      </w:r>
    </w:p>
    <w:p w14:paraId="30FB513B" w14:textId="77777777" w:rsidR="00C8567A" w:rsidRPr="00CE4453" w:rsidRDefault="00C8567A" w:rsidP="00C8567A">
      <w:pPr>
        <w:tabs>
          <w:tab w:val="left" w:pos="2268"/>
        </w:tabs>
        <w:spacing w:after="120"/>
        <w:ind w:left="2268" w:right="1134" w:hanging="1134"/>
        <w:jc w:val="both"/>
      </w:pPr>
      <w:r w:rsidRPr="00CE4453">
        <w:lastRenderedPageBreak/>
        <w:t>5.5.1</w:t>
      </w:r>
      <w:r w:rsidRPr="00CE4453">
        <w:tab/>
        <w:t>Dans le cas d</w:t>
      </w:r>
      <w:r>
        <w:t>’</w:t>
      </w:r>
      <w:r w:rsidRPr="00CE4453">
        <w:t>une désactivation de courte durée, il doit être beaucoup plus compliqué de désactiver le témoin de port de ceinture que de boucler et de détacher la ceinture (il doit s</w:t>
      </w:r>
      <w:r>
        <w:t>’</w:t>
      </w:r>
      <w:r w:rsidRPr="00CE4453">
        <w:t>agir d</w:t>
      </w:r>
      <w:r>
        <w:t>’</w:t>
      </w:r>
      <w:r w:rsidRPr="00CE4453">
        <w:t>actionner certaines commandes qui ne sont pas intégrées dans la boucle de la ceinture) et cette opération ne doit être possible que lorsque le véhicule est à l</w:t>
      </w:r>
      <w:r>
        <w:t>’</w:t>
      </w:r>
      <w:r w:rsidRPr="00CE4453">
        <w:t>arrêt. Quand le contact moteur est coupé ou que le commutateur de contact est désactivé pendant plus de 30 minutes puis que le contact moteur est remis ou que le commutateur de contact est réactivé, le témoin de port de ceinture brièvement désactivé doit se réactiver. Une désactivation de courte durée de l</w:t>
      </w:r>
      <w:r>
        <w:t>’</w:t>
      </w:r>
      <w:r w:rsidRPr="00CE4453">
        <w:t>alerte ou des alertes visuelles correspondantes ne doit pas être possible.</w:t>
      </w:r>
    </w:p>
    <w:p w14:paraId="346824CB" w14:textId="77777777" w:rsidR="00C8567A" w:rsidRPr="00CE4453" w:rsidRDefault="00C8567A" w:rsidP="00B46129">
      <w:pPr>
        <w:pStyle w:val="para"/>
        <w:tabs>
          <w:tab w:val="clear" w:pos="1701"/>
        </w:tabs>
        <w:rPr>
          <w:lang w:val="fr-CH"/>
        </w:rPr>
      </w:pPr>
      <w:r w:rsidRPr="00CE4453">
        <w:rPr>
          <w:lang w:val="fr-CH"/>
        </w:rPr>
        <w:t>5.5.2</w:t>
      </w:r>
      <w:r w:rsidRPr="00CE4453">
        <w:rPr>
          <w:lang w:val="fr-CH"/>
        </w:rPr>
        <w:tab/>
        <w:t>Dans le cas d</w:t>
      </w:r>
      <w:r>
        <w:rPr>
          <w:lang w:val="fr-CH"/>
        </w:rPr>
        <w:t>’</w:t>
      </w:r>
      <w:r w:rsidRPr="00CE4453">
        <w:rPr>
          <w:lang w:val="fr-CH"/>
        </w:rPr>
        <w:t>une désactivation de longue durée, la désactivation doit nécessiter une séquence d</w:t>
      </w:r>
      <w:r>
        <w:rPr>
          <w:lang w:val="fr-CH"/>
        </w:rPr>
        <w:t>’</w:t>
      </w:r>
      <w:r w:rsidRPr="00CE4453">
        <w:rPr>
          <w:lang w:val="fr-CH"/>
        </w:rPr>
        <w:t>opérations qui sont détaillées uniquement dans le manuel technique du constructeur et/ou qui nécessitent l</w:t>
      </w:r>
      <w:r>
        <w:rPr>
          <w:lang w:val="fr-CH"/>
        </w:rPr>
        <w:t>’</w:t>
      </w:r>
      <w:r w:rsidRPr="00CE4453">
        <w:rPr>
          <w:lang w:val="fr-CH"/>
        </w:rPr>
        <w:t>utilisation d</w:t>
      </w:r>
      <w:r>
        <w:rPr>
          <w:lang w:val="fr-CH"/>
        </w:rPr>
        <w:t>’</w:t>
      </w:r>
      <w:r w:rsidRPr="00CE4453">
        <w:rPr>
          <w:lang w:val="fr-CH"/>
        </w:rPr>
        <w:t>outils (mécaniques, électriques, numériques, etc.) qui ne sont pas fournis avec le véhicule. Une désactivation de longue durée de l</w:t>
      </w:r>
      <w:r>
        <w:rPr>
          <w:lang w:val="fr-CH"/>
        </w:rPr>
        <w:t>’</w:t>
      </w:r>
      <w:r w:rsidRPr="00CE4453">
        <w:rPr>
          <w:lang w:val="fr-CH"/>
        </w:rPr>
        <w:t>alerte ou des alertes visuelles correspondantes ne doit pas être possible.</w:t>
      </w:r>
    </w:p>
    <w:p w14:paraId="1A5849DA" w14:textId="77777777" w:rsidR="00C8567A" w:rsidRPr="00CE4453" w:rsidRDefault="00C8567A" w:rsidP="00B46129">
      <w:pPr>
        <w:tabs>
          <w:tab w:val="left" w:pos="2268"/>
        </w:tabs>
        <w:spacing w:after="120" w:line="240" w:lineRule="auto"/>
        <w:ind w:left="2268" w:right="1134" w:hanging="1134"/>
        <w:jc w:val="both"/>
        <w:rPr>
          <w:bCs/>
          <w:i/>
        </w:rPr>
      </w:pPr>
      <w:r w:rsidRPr="00CE4453">
        <w:t>5.6</w:t>
      </w:r>
      <w:r w:rsidRPr="00CE4453">
        <w:tab/>
        <w:t>Prescriptions relatives à la connexion d</w:t>
      </w:r>
      <w:r>
        <w:t>’</w:t>
      </w:r>
      <w:r w:rsidRPr="00CE4453">
        <w:t>un système témoin de port de ceinture pour les sièges amovibles</w:t>
      </w:r>
    </w:p>
    <w:p w14:paraId="4815FC53" w14:textId="77777777" w:rsidR="00C8567A" w:rsidRPr="00CE4453" w:rsidRDefault="00C8567A" w:rsidP="00B46129">
      <w:pPr>
        <w:pStyle w:val="SingleTxtG"/>
        <w:tabs>
          <w:tab w:val="clear" w:pos="1701"/>
        </w:tabs>
        <w:ind w:left="2268" w:hanging="1134"/>
        <w:rPr>
          <w:bCs/>
        </w:rPr>
      </w:pPr>
      <w:r w:rsidRPr="00CE4453">
        <w:t>5.6.1</w:t>
      </w:r>
      <w:r w:rsidRPr="00CE4453">
        <w:tab/>
        <w:t>Sièges amovibles sans connexion manuelle</w:t>
      </w:r>
    </w:p>
    <w:p w14:paraId="0E7DC49D" w14:textId="77777777" w:rsidR="00C8567A" w:rsidRPr="00CE4453" w:rsidRDefault="00C8567A" w:rsidP="00B46129">
      <w:pPr>
        <w:tabs>
          <w:tab w:val="left" w:pos="2268"/>
        </w:tabs>
        <w:spacing w:after="120" w:line="240" w:lineRule="auto"/>
        <w:ind w:left="2268" w:right="1134" w:hanging="1134"/>
        <w:jc w:val="both"/>
        <w:rPr>
          <w:bCs/>
          <w:i/>
        </w:rPr>
      </w:pPr>
      <w:r w:rsidRPr="00CE4453">
        <w:t>5.6.1.1</w:t>
      </w:r>
      <w:r w:rsidRPr="00CE4453">
        <w:tab/>
      </w:r>
      <w:r w:rsidRPr="00B46129">
        <w:rPr>
          <w:spacing w:val="-2"/>
        </w:rPr>
        <w:t>La connexion doit être automatique lorsque le siège est installé dans le véhicule.</w:t>
      </w:r>
    </w:p>
    <w:p w14:paraId="09EC60F4" w14:textId="77777777" w:rsidR="00C8567A" w:rsidRPr="00CE4453" w:rsidRDefault="00C8567A" w:rsidP="00B46129">
      <w:pPr>
        <w:pStyle w:val="Paragraphedeliste"/>
        <w:tabs>
          <w:tab w:val="left" w:pos="2268"/>
        </w:tabs>
        <w:spacing w:after="120"/>
        <w:ind w:left="2268" w:hanging="1134"/>
        <w:rPr>
          <w:bCs/>
          <w:sz w:val="16"/>
          <w:szCs w:val="16"/>
          <w:lang w:val="fr-CH"/>
        </w:rPr>
      </w:pPr>
      <w:r w:rsidRPr="00CE4453">
        <w:rPr>
          <w:sz w:val="20"/>
          <w:szCs w:val="20"/>
          <w:lang w:val="fr-CH"/>
        </w:rPr>
        <w:t>5.6.2</w:t>
      </w:r>
      <w:r w:rsidRPr="00CE4453">
        <w:rPr>
          <w:sz w:val="20"/>
          <w:szCs w:val="20"/>
          <w:lang w:val="fr-CH"/>
        </w:rPr>
        <w:tab/>
        <w:t>Sièges amovibles avec connexion manuelle</w:t>
      </w:r>
    </w:p>
    <w:p w14:paraId="4C5020AB" w14:textId="77777777" w:rsidR="00C8567A" w:rsidRPr="00CE4453" w:rsidRDefault="00C8567A" w:rsidP="00B46129">
      <w:pPr>
        <w:tabs>
          <w:tab w:val="left" w:pos="2268"/>
        </w:tabs>
        <w:spacing w:after="120" w:line="240" w:lineRule="auto"/>
        <w:ind w:left="2268" w:right="1134" w:hanging="1134"/>
        <w:jc w:val="both"/>
        <w:rPr>
          <w:bCs/>
          <w:i/>
        </w:rPr>
      </w:pPr>
      <w:r w:rsidRPr="00CE4453">
        <w:t>5.6.2.1</w:t>
      </w:r>
      <w:r w:rsidRPr="00CE4453">
        <w:tab/>
        <w:t>Les connecteurs des sièges amovibles doivent être facilement visibles pendant l</w:t>
      </w:r>
      <w:r>
        <w:t>’</w:t>
      </w:r>
      <w:r w:rsidRPr="00CE4453">
        <w:t>installation.</w:t>
      </w:r>
    </w:p>
    <w:p w14:paraId="39022A85" w14:textId="77777777" w:rsidR="00C8567A" w:rsidRPr="00CE4453" w:rsidRDefault="00C8567A" w:rsidP="00B46129">
      <w:pPr>
        <w:tabs>
          <w:tab w:val="left" w:pos="2268"/>
        </w:tabs>
        <w:spacing w:after="120" w:line="240" w:lineRule="auto"/>
        <w:ind w:left="2268" w:right="1134" w:hanging="1134"/>
        <w:jc w:val="both"/>
        <w:rPr>
          <w:bCs/>
          <w:i/>
        </w:rPr>
      </w:pPr>
      <w:r w:rsidRPr="00CE4453">
        <w:t>5.6.2.2</w:t>
      </w:r>
      <w:r w:rsidRPr="00CE4453">
        <w:tab/>
        <w:t>Le véhicule doit porter une étiquette arborant un pictogramme, éventuellement accompagné d</w:t>
      </w:r>
      <w:r>
        <w:t>’</w:t>
      </w:r>
      <w:r w:rsidRPr="00CE4453">
        <w:t>un texte explicatif, qui indique l</w:t>
      </w:r>
      <w:r>
        <w:t>’</w:t>
      </w:r>
      <w:r w:rsidRPr="00CE4453">
        <w:t>objet de la connexion et les modalités de connexion et de déconnexion du système témoin de port de ceinture.</w:t>
      </w:r>
    </w:p>
    <w:p w14:paraId="23260776" w14:textId="77777777" w:rsidR="00C8567A" w:rsidRPr="00CE4453" w:rsidRDefault="00C8567A" w:rsidP="00B46129">
      <w:pPr>
        <w:tabs>
          <w:tab w:val="left" w:pos="2268"/>
        </w:tabs>
        <w:spacing w:after="120" w:line="240" w:lineRule="auto"/>
        <w:ind w:left="2268" w:right="1134" w:hanging="1134"/>
        <w:jc w:val="both"/>
        <w:rPr>
          <w:bCs/>
          <w:i/>
        </w:rPr>
      </w:pPr>
      <w:r w:rsidRPr="00CE4453">
        <w:t>5.6.2.3</w:t>
      </w:r>
      <w:r w:rsidRPr="00CE4453">
        <w:tab/>
        <w:t>L</w:t>
      </w:r>
      <w:r>
        <w:t>’</w:t>
      </w:r>
      <w:r w:rsidRPr="00CE4453">
        <w:t>étiquette doit être apposée de façon permanente sur le véhicule et placée de manière à être clairement visible pendant l</w:t>
      </w:r>
      <w:r>
        <w:t>’</w:t>
      </w:r>
      <w:r w:rsidRPr="00CE4453">
        <w:t>installation.</w:t>
      </w:r>
    </w:p>
    <w:p w14:paraId="04F8F6DD" w14:textId="77777777" w:rsidR="00C8567A" w:rsidRPr="00CE4453" w:rsidRDefault="00C8567A" w:rsidP="00B46129">
      <w:pPr>
        <w:tabs>
          <w:tab w:val="left" w:pos="2268"/>
        </w:tabs>
        <w:spacing w:after="120" w:line="240" w:lineRule="auto"/>
        <w:ind w:left="2268" w:right="1134" w:hanging="1134"/>
        <w:jc w:val="both"/>
        <w:rPr>
          <w:bCs/>
        </w:rPr>
      </w:pPr>
      <w:r w:rsidRPr="00CE4453">
        <w:t>5.6.2.4</w:t>
      </w:r>
      <w:r w:rsidRPr="00CE4453">
        <w:tab/>
        <w:t>Si un connecteur est mal branché ou débranché pour les sièges amovibles visés au paragraphe 5.1.1, une alerte visible par le conducteur doit être activée pendant 30 secondes lorsque le contact moteur est mis ou que le commutateur de contact est activé.</w:t>
      </w:r>
    </w:p>
    <w:p w14:paraId="5E232A37" w14:textId="77777777" w:rsidR="00C8567A" w:rsidRPr="00CE4453" w:rsidRDefault="00C8567A" w:rsidP="00B46129">
      <w:pPr>
        <w:tabs>
          <w:tab w:val="left" w:pos="2268"/>
        </w:tabs>
        <w:spacing w:after="120" w:line="240" w:lineRule="auto"/>
        <w:ind w:left="2268" w:right="1134" w:hanging="1134"/>
        <w:jc w:val="both"/>
        <w:rPr>
          <w:bCs/>
        </w:rPr>
      </w:pPr>
      <w:r w:rsidRPr="00CE4453">
        <w:t>5.6.2.5</w:t>
      </w:r>
      <w:r w:rsidRPr="00CE4453">
        <w:tab/>
        <w:t>Pour les sièges amovibles visés au paragraphe 5.1.2, l</w:t>
      </w:r>
      <w:r>
        <w:t>’</w:t>
      </w:r>
      <w:r w:rsidRPr="00CE4453">
        <w:t>alerte visuelle visée au paragraphe 5.4.2 doit couvrir au moins toutes les places arrière pour permettre au conducteur de savoir de sa place si le connecteur de l</w:t>
      </w:r>
      <w:r>
        <w:t>’</w:t>
      </w:r>
      <w:r w:rsidRPr="00CE4453">
        <w:t>un quelconque des sièges amovibles est mal branché ou débranché, et être activée pendant 60 secondes lorsque le contact moteur est mis ou que le commutateur de contact est activé.</w:t>
      </w:r>
    </w:p>
    <w:p w14:paraId="06176716" w14:textId="77777777" w:rsidR="00C8567A" w:rsidRPr="00CE4453" w:rsidRDefault="00C8567A" w:rsidP="00C8567A">
      <w:pPr>
        <w:tabs>
          <w:tab w:val="left" w:pos="2268"/>
        </w:tabs>
        <w:spacing w:after="120" w:line="240" w:lineRule="auto"/>
        <w:ind w:left="2268" w:right="1134"/>
        <w:jc w:val="both"/>
        <w:rPr>
          <w:bCs/>
        </w:rPr>
      </w:pPr>
      <w:r w:rsidRPr="00CE4453">
        <w:tab/>
        <w:t>Pour les sièges qui peuvent être fixés dans les différentes positions prévues à l</w:t>
      </w:r>
      <w:r>
        <w:t>’</w:t>
      </w:r>
      <w:r w:rsidRPr="00CE4453">
        <w:t>intérieur du véhicule (par exemple lorsqu</w:t>
      </w:r>
      <w:r>
        <w:t>’</w:t>
      </w:r>
      <w:r w:rsidRPr="00CE4453">
        <w:t>ils sont montés sur un rail au plancher), l</w:t>
      </w:r>
      <w:r>
        <w:t>’</w:t>
      </w:r>
      <w:r w:rsidRPr="00CE4453">
        <w:t>alerte visuelle doit au moins signaler si le connecteur de l</w:t>
      </w:r>
      <w:r>
        <w:t>’</w:t>
      </w:r>
      <w:r w:rsidRPr="00CE4453">
        <w:t>un quelconque des sièges amovibles arrière est mal branché ou débranché.</w:t>
      </w:r>
    </w:p>
    <w:p w14:paraId="4ADA6812" w14:textId="77777777" w:rsidR="00C8567A" w:rsidRPr="00CE4453" w:rsidRDefault="00C8567A" w:rsidP="00C8567A">
      <w:pPr>
        <w:tabs>
          <w:tab w:val="left" w:pos="2268"/>
        </w:tabs>
        <w:spacing w:after="120" w:line="240" w:lineRule="auto"/>
        <w:ind w:left="2268" w:right="1134" w:hanging="1134"/>
        <w:jc w:val="both"/>
        <w:rPr>
          <w:bCs/>
          <w:i/>
        </w:rPr>
      </w:pPr>
      <w:r w:rsidRPr="00CE4453">
        <w:t>5.6.3</w:t>
      </w:r>
      <w:r w:rsidRPr="00CE4453">
        <w:tab/>
      </w:r>
      <w:r w:rsidRPr="00B46129">
        <w:rPr>
          <w:spacing w:val="-2"/>
        </w:rPr>
        <w:t>La présence ou l’absence du siège amovible ne doit pas compromettre le fonctionnement du système témoin de port de ceinture des autres places assises.</w:t>
      </w:r>
    </w:p>
    <w:p w14:paraId="37D75368" w14:textId="77777777" w:rsidR="00C8567A" w:rsidRDefault="00C8567A" w:rsidP="00B46129">
      <w:pPr>
        <w:pStyle w:val="para"/>
        <w:tabs>
          <w:tab w:val="clear" w:pos="1701"/>
        </w:tabs>
        <w:rPr>
          <w:lang w:val="fr-CH"/>
        </w:rPr>
      </w:pPr>
      <w:r w:rsidRPr="00CE4453">
        <w:rPr>
          <w:lang w:val="fr-CH"/>
        </w:rPr>
        <w:t>5.6.4</w:t>
      </w:r>
      <w:r w:rsidRPr="00CE4453">
        <w:rPr>
          <w:lang w:val="fr-CH"/>
        </w:rPr>
        <w:tab/>
        <w:t>Le système témoin de port de ceinture des sièges amovibles ne doit donner aucune fausse indication concernant le port de ceinture, que les sièges soient installés ou non dans le véhicule.</w:t>
      </w:r>
    </w:p>
    <w:p w14:paraId="5AA78097" w14:textId="6E5FB2C3" w:rsidR="00C8567A" w:rsidRPr="00CE4453" w:rsidRDefault="00C8567A" w:rsidP="00B46129">
      <w:pPr>
        <w:pStyle w:val="para"/>
        <w:widowControl w:val="0"/>
        <w:tabs>
          <w:tab w:val="clear" w:pos="1701"/>
        </w:tabs>
        <w:rPr>
          <w:lang w:val="fr-CH"/>
        </w:rPr>
      </w:pPr>
      <w:r>
        <w:rPr>
          <w:lang w:val="fr-CH"/>
        </w:rPr>
        <w:t>5.7</w:t>
      </w:r>
      <w:r>
        <w:rPr>
          <w:lang w:val="fr-CH"/>
        </w:rPr>
        <w:tab/>
      </w:r>
      <w:r w:rsidRPr="009B3903">
        <w:rPr>
          <w:lang w:val="fr-CH"/>
        </w:rPr>
        <w:t>Les types de véhicules des catégories M</w:t>
      </w:r>
      <w:r>
        <w:rPr>
          <w:lang w:val="fr-CH"/>
        </w:rPr>
        <w:t xml:space="preserve"> et</w:t>
      </w:r>
      <w:r w:rsidRPr="009B3903">
        <w:rPr>
          <w:lang w:val="fr-CH"/>
        </w:rPr>
        <w:t xml:space="preserve"> N homologués avant le 1</w:t>
      </w:r>
      <w:r w:rsidRPr="00B46129">
        <w:rPr>
          <w:vertAlign w:val="superscript"/>
          <w:lang w:val="fr-CH"/>
        </w:rPr>
        <w:t>er</w:t>
      </w:r>
      <w:r w:rsidR="00B46129">
        <w:rPr>
          <w:lang w:val="fr-CH"/>
        </w:rPr>
        <w:t> </w:t>
      </w:r>
      <w:r w:rsidRPr="009B3903">
        <w:rPr>
          <w:lang w:val="fr-CH"/>
        </w:rPr>
        <w:t>septembre 2026 au titre du Règlement ONU n</w:t>
      </w:r>
      <w:r w:rsidRPr="00B46129">
        <w:rPr>
          <w:vertAlign w:val="superscript"/>
          <w:lang w:val="fr-CH"/>
        </w:rPr>
        <w:t>o</w:t>
      </w:r>
      <w:r w:rsidR="00B46129">
        <w:rPr>
          <w:lang w:val="fr-CH"/>
        </w:rPr>
        <w:t> </w:t>
      </w:r>
      <w:r w:rsidRPr="009B3903">
        <w:rPr>
          <w:lang w:val="fr-CH"/>
        </w:rPr>
        <w:t>16 tel que modifié par la série</w:t>
      </w:r>
      <w:r w:rsidR="00B46129">
        <w:rPr>
          <w:lang w:val="fr-CH"/>
        </w:rPr>
        <w:t> </w:t>
      </w:r>
      <w:r w:rsidRPr="009B3903">
        <w:rPr>
          <w:lang w:val="fr-CH"/>
        </w:rPr>
        <w:t>08 d</w:t>
      </w:r>
      <w:r>
        <w:rPr>
          <w:lang w:val="fr-CH"/>
        </w:rPr>
        <w:t>’</w:t>
      </w:r>
      <w:r w:rsidRPr="009B3903">
        <w:rPr>
          <w:lang w:val="fr-CH"/>
        </w:rPr>
        <w:t>amendements ou avant le 1</w:t>
      </w:r>
      <w:r w:rsidRPr="00B46129">
        <w:rPr>
          <w:vertAlign w:val="superscript"/>
          <w:lang w:val="fr-CH"/>
        </w:rPr>
        <w:t>er</w:t>
      </w:r>
      <w:r w:rsidR="00F81ECD">
        <w:rPr>
          <w:lang w:val="fr-CH"/>
        </w:rPr>
        <w:t> </w:t>
      </w:r>
      <w:r w:rsidRPr="009B3903">
        <w:rPr>
          <w:lang w:val="fr-CH"/>
        </w:rPr>
        <w:t>septembre 2027 au titre dudit Règlement tel que modifié par la série</w:t>
      </w:r>
      <w:r w:rsidR="00B46129">
        <w:rPr>
          <w:lang w:val="fr-CH"/>
        </w:rPr>
        <w:t> </w:t>
      </w:r>
      <w:r w:rsidRPr="009B3903">
        <w:rPr>
          <w:lang w:val="fr-CH"/>
        </w:rPr>
        <w:t>09 d</w:t>
      </w:r>
      <w:r>
        <w:rPr>
          <w:lang w:val="fr-CH"/>
        </w:rPr>
        <w:t>’</w:t>
      </w:r>
      <w:r w:rsidRPr="009B3903">
        <w:rPr>
          <w:lang w:val="fr-CH"/>
        </w:rPr>
        <w:t>amendements sont réputés conformes aux prescriptions du paragraphe</w:t>
      </w:r>
      <w:r w:rsidR="00F81ECD">
        <w:rPr>
          <w:lang w:val="fr-CH"/>
        </w:rPr>
        <w:t> </w:t>
      </w:r>
      <w:r w:rsidRPr="009B3903">
        <w:rPr>
          <w:lang w:val="fr-CH"/>
        </w:rPr>
        <w:t>5 du présent Règlement.</w:t>
      </w:r>
    </w:p>
    <w:p w14:paraId="66FD0974" w14:textId="77777777" w:rsidR="00C8567A" w:rsidRPr="00CE4453" w:rsidRDefault="00C8567A" w:rsidP="00C8567A">
      <w:pPr>
        <w:pStyle w:val="HChG"/>
        <w:tabs>
          <w:tab w:val="left" w:pos="2268"/>
        </w:tabs>
        <w:ind w:left="2268"/>
      </w:pPr>
      <w:bookmarkStart w:id="20" w:name="_Toc120016739"/>
      <w:bookmarkEnd w:id="19"/>
      <w:r w:rsidRPr="00CE4453">
        <w:rPr>
          <w:bCs/>
        </w:rPr>
        <w:lastRenderedPageBreak/>
        <w:t>6.</w:t>
      </w:r>
      <w:r w:rsidRPr="00CE4453">
        <w:tab/>
      </w:r>
      <w:r w:rsidRPr="00CE4453">
        <w:rPr>
          <w:bCs/>
        </w:rPr>
        <w:t>Conformité de la production</w:t>
      </w:r>
      <w:bookmarkEnd w:id="20"/>
    </w:p>
    <w:p w14:paraId="146096DD" w14:textId="049FF157" w:rsidR="00C8567A" w:rsidRPr="00CE4453" w:rsidRDefault="00C8567A" w:rsidP="00C8567A">
      <w:pPr>
        <w:tabs>
          <w:tab w:val="left" w:pos="2268"/>
        </w:tabs>
        <w:spacing w:after="120" w:line="240" w:lineRule="auto"/>
        <w:ind w:left="2268" w:right="1134"/>
        <w:jc w:val="both"/>
      </w:pPr>
      <w:r w:rsidRPr="00CE4453">
        <w:tab/>
        <w:t xml:space="preserve">Les procédures </w:t>
      </w:r>
      <w:r>
        <w:t>de contrôle de</w:t>
      </w:r>
      <w:r w:rsidRPr="00CE4453">
        <w:t xml:space="preserve"> la conformité de la production doivent correspondre à celles qui sont énoncées </w:t>
      </w:r>
      <w:r>
        <w:t>à l’annexe</w:t>
      </w:r>
      <w:r w:rsidR="00B46129">
        <w:t> </w:t>
      </w:r>
      <w:r>
        <w:t>1 de</w:t>
      </w:r>
      <w:r w:rsidRPr="00CE4453">
        <w:t xml:space="preserve"> l</w:t>
      </w:r>
      <w:r>
        <w:t>’</w:t>
      </w:r>
      <w:r w:rsidRPr="00CE4453">
        <w:t>Accord (E/ECE/TRANS/505/Rev.3) et satisfaire aux prescriptions suivantes</w:t>
      </w:r>
      <w:r w:rsidR="00B46129">
        <w:t> :</w:t>
      </w:r>
    </w:p>
    <w:p w14:paraId="58884917" w14:textId="4901CFEF" w:rsidR="00C8567A" w:rsidRPr="00CE4453" w:rsidRDefault="00C8567A" w:rsidP="00C8567A">
      <w:pPr>
        <w:pStyle w:val="SingleTxtG"/>
        <w:ind w:left="2268"/>
      </w:pPr>
      <w:r w:rsidRPr="009B3903">
        <w:t xml:space="preserve">Tout véhicule </w:t>
      </w:r>
      <w:r>
        <w:t>faisant l’objet d’une homologation</w:t>
      </w:r>
      <w:r w:rsidRPr="009B3903">
        <w:t xml:space="preserve"> au titre du présent Règlement doit être conforme au type homologué en satisfaisant aux prescriptions du paragraphe</w:t>
      </w:r>
      <w:r w:rsidR="00B46129">
        <w:t> </w:t>
      </w:r>
      <w:r w:rsidRPr="009B3903">
        <w:t>5 ci-dessus.</w:t>
      </w:r>
    </w:p>
    <w:p w14:paraId="7F68E905" w14:textId="77777777" w:rsidR="00C8567A" w:rsidRPr="00CE4453" w:rsidRDefault="00C8567A" w:rsidP="00C8567A">
      <w:pPr>
        <w:pStyle w:val="HChG"/>
        <w:tabs>
          <w:tab w:val="left" w:pos="2268"/>
        </w:tabs>
        <w:ind w:left="2268"/>
      </w:pPr>
      <w:r w:rsidRPr="00CE4453">
        <w:rPr>
          <w:bCs/>
        </w:rPr>
        <w:t>7.</w:t>
      </w:r>
      <w:r w:rsidRPr="00CE4453">
        <w:tab/>
      </w:r>
      <w:r w:rsidRPr="00CE4453">
        <w:rPr>
          <w:bCs/>
        </w:rPr>
        <w:t>Sanctions pour non-conformité de la production</w:t>
      </w:r>
    </w:p>
    <w:p w14:paraId="76C053B5" w14:textId="77777777" w:rsidR="00C8567A" w:rsidRPr="00CE4453" w:rsidRDefault="00C8567A" w:rsidP="00B46129">
      <w:pPr>
        <w:pStyle w:val="para"/>
        <w:tabs>
          <w:tab w:val="clear" w:pos="1701"/>
        </w:tabs>
        <w:rPr>
          <w:lang w:val="fr-CH"/>
        </w:rPr>
      </w:pPr>
      <w:r w:rsidRPr="00CE4453">
        <w:rPr>
          <w:lang w:val="fr-CH"/>
        </w:rPr>
        <w:t>7.1</w:t>
      </w:r>
      <w:r w:rsidRPr="00CE4453">
        <w:rPr>
          <w:lang w:val="fr-CH"/>
        </w:rPr>
        <w:tab/>
        <w:t>L</w:t>
      </w:r>
      <w:r>
        <w:rPr>
          <w:lang w:val="fr-CH"/>
        </w:rPr>
        <w:t>’</w:t>
      </w:r>
      <w:r w:rsidRPr="00CE4453">
        <w:rPr>
          <w:lang w:val="fr-CH"/>
        </w:rPr>
        <w:t xml:space="preserve">homologation délivrée pour un </w:t>
      </w:r>
      <w:r>
        <w:rPr>
          <w:lang w:val="fr-CH"/>
        </w:rPr>
        <w:t xml:space="preserve">type de </w:t>
      </w:r>
      <w:r w:rsidRPr="00CE4453">
        <w:rPr>
          <w:lang w:val="fr-CH"/>
        </w:rPr>
        <w:t xml:space="preserve">véhicule </w:t>
      </w:r>
      <w:r>
        <w:rPr>
          <w:lang w:val="fr-CH"/>
        </w:rPr>
        <w:t xml:space="preserve">au titre du présent Règlement </w:t>
      </w:r>
      <w:r w:rsidRPr="00CE4453">
        <w:rPr>
          <w:lang w:val="fr-CH"/>
        </w:rPr>
        <w:t>peut être retirée si la condition énoncée au paragraphe 6.1 ci-dessus n</w:t>
      </w:r>
      <w:r>
        <w:rPr>
          <w:lang w:val="fr-CH"/>
        </w:rPr>
        <w:t>’</w:t>
      </w:r>
      <w:r w:rsidRPr="00CE4453">
        <w:rPr>
          <w:lang w:val="fr-CH"/>
        </w:rPr>
        <w:t>est pas respectée.</w:t>
      </w:r>
    </w:p>
    <w:p w14:paraId="4B58405D" w14:textId="77777777" w:rsidR="00C8567A" w:rsidRPr="00CE4453" w:rsidRDefault="00C8567A" w:rsidP="00B46129">
      <w:pPr>
        <w:pStyle w:val="para"/>
        <w:tabs>
          <w:tab w:val="clear" w:pos="1701"/>
        </w:tabs>
        <w:rPr>
          <w:lang w:val="fr-CH"/>
        </w:rPr>
      </w:pPr>
      <w:r w:rsidRPr="00CE4453">
        <w:rPr>
          <w:lang w:val="fr-CH"/>
        </w:rPr>
        <w:t>7.2</w:t>
      </w:r>
      <w:r w:rsidRPr="00CE4453">
        <w:rPr>
          <w:lang w:val="fr-CH"/>
        </w:rPr>
        <w:tab/>
        <w:t>Si une Partie contractante à l</w:t>
      </w:r>
      <w:r>
        <w:rPr>
          <w:lang w:val="fr-CH"/>
        </w:rPr>
        <w:t>’</w:t>
      </w:r>
      <w:r w:rsidRPr="00CE4453">
        <w:rPr>
          <w:lang w:val="fr-CH"/>
        </w:rPr>
        <w:t>Accord appliquant le présent Règlement retire une homologation qu</w:t>
      </w:r>
      <w:r>
        <w:rPr>
          <w:lang w:val="fr-CH"/>
        </w:rPr>
        <w:t>’</w:t>
      </w:r>
      <w:r w:rsidRPr="00CE4453">
        <w:rPr>
          <w:lang w:val="fr-CH"/>
        </w:rPr>
        <w:t>elle a précédemment accordée, elle en informe aussitôt les autres Parties contractantes appliquant le</w:t>
      </w:r>
      <w:r>
        <w:rPr>
          <w:lang w:val="fr-CH"/>
        </w:rPr>
        <w:t xml:space="preserve">dit </w:t>
      </w:r>
      <w:r w:rsidRPr="00CE4453">
        <w:rPr>
          <w:lang w:val="fr-CH"/>
        </w:rPr>
        <w:t>Règlement au moyen d</w:t>
      </w:r>
      <w:r>
        <w:rPr>
          <w:lang w:val="fr-CH"/>
        </w:rPr>
        <w:t>’</w:t>
      </w:r>
      <w:r w:rsidRPr="00CE4453">
        <w:rPr>
          <w:lang w:val="fr-CH"/>
        </w:rPr>
        <w:t>une fiche de communication conforme au modèle de l</w:t>
      </w:r>
      <w:r>
        <w:rPr>
          <w:lang w:val="fr-CH"/>
        </w:rPr>
        <w:t>’</w:t>
      </w:r>
      <w:r w:rsidRPr="00CE4453">
        <w:rPr>
          <w:lang w:val="fr-CH"/>
        </w:rPr>
        <w:t>annexe 1.</w:t>
      </w:r>
    </w:p>
    <w:p w14:paraId="13AA0222" w14:textId="77777777" w:rsidR="00C8567A" w:rsidRPr="00CE4453" w:rsidRDefault="00C8567A" w:rsidP="00B46129">
      <w:pPr>
        <w:pStyle w:val="HChG"/>
        <w:tabs>
          <w:tab w:val="left" w:pos="2268"/>
        </w:tabs>
        <w:ind w:left="2268"/>
      </w:pPr>
      <w:r w:rsidRPr="00CE4453">
        <w:rPr>
          <w:bCs/>
        </w:rPr>
        <w:t>8.</w:t>
      </w:r>
      <w:r w:rsidRPr="00CE4453">
        <w:tab/>
      </w:r>
      <w:r w:rsidRPr="00CE4453">
        <w:rPr>
          <w:bCs/>
        </w:rPr>
        <w:t>Modifications et extension de l</w:t>
      </w:r>
      <w:r>
        <w:rPr>
          <w:bCs/>
        </w:rPr>
        <w:t>’</w:t>
      </w:r>
      <w:r w:rsidRPr="00CE4453">
        <w:rPr>
          <w:bCs/>
        </w:rPr>
        <w:t>homologation</w:t>
      </w:r>
    </w:p>
    <w:p w14:paraId="7C209DBA" w14:textId="13B5158A" w:rsidR="00C8567A" w:rsidRPr="00C201D2" w:rsidRDefault="00C8567A" w:rsidP="00B46129">
      <w:pPr>
        <w:pStyle w:val="SingleTxtG"/>
        <w:tabs>
          <w:tab w:val="clear" w:pos="1701"/>
        </w:tabs>
        <w:ind w:left="2268" w:hanging="1134"/>
        <w:rPr>
          <w:lang w:val="fr-FR"/>
        </w:rPr>
      </w:pPr>
      <w:r w:rsidRPr="00C201D2">
        <w:rPr>
          <w:lang w:val="fr-FR"/>
        </w:rPr>
        <w:t>8.1</w:t>
      </w:r>
      <w:r w:rsidRPr="00C201D2">
        <w:rPr>
          <w:lang w:val="fr-FR"/>
        </w:rPr>
        <w:tab/>
        <w:t xml:space="preserve">Toute modification du type de véhicule </w:t>
      </w:r>
      <w:r>
        <w:rPr>
          <w:lang w:val="fr-FR"/>
        </w:rPr>
        <w:t xml:space="preserve">concernant le présent Règlement </w:t>
      </w:r>
      <w:r w:rsidRPr="00C201D2">
        <w:rPr>
          <w:lang w:val="fr-FR"/>
        </w:rPr>
        <w:t>doit être portée à la connaissance de l</w:t>
      </w:r>
      <w:r>
        <w:rPr>
          <w:lang w:val="fr-FR"/>
        </w:rPr>
        <w:t>’</w:t>
      </w:r>
      <w:r w:rsidRPr="00C201D2">
        <w:rPr>
          <w:lang w:val="fr-FR"/>
        </w:rPr>
        <w:t xml:space="preserve">autorité ayant </w:t>
      </w:r>
      <w:r>
        <w:rPr>
          <w:lang w:val="fr-FR"/>
        </w:rPr>
        <w:t>homologué le</w:t>
      </w:r>
      <w:r w:rsidRPr="00C201D2">
        <w:rPr>
          <w:lang w:val="fr-FR"/>
        </w:rPr>
        <w:t xml:space="preserve"> type </w:t>
      </w:r>
      <w:r>
        <w:rPr>
          <w:lang w:val="fr-FR"/>
        </w:rPr>
        <w:t>visé, laquelle</w:t>
      </w:r>
      <w:r w:rsidRPr="00C201D2">
        <w:rPr>
          <w:lang w:val="fr-FR"/>
        </w:rPr>
        <w:t xml:space="preserve"> peut alors</w:t>
      </w:r>
      <w:r w:rsidR="00B46129">
        <w:rPr>
          <w:lang w:val="fr-FR"/>
        </w:rPr>
        <w:t> :</w:t>
      </w:r>
    </w:p>
    <w:p w14:paraId="0A4FDE70" w14:textId="3749520F" w:rsidR="00C8567A" w:rsidRPr="00C201D2" w:rsidRDefault="00C8567A" w:rsidP="00B46129">
      <w:pPr>
        <w:pStyle w:val="SingleTxtG"/>
        <w:tabs>
          <w:tab w:val="clear" w:pos="1701"/>
        </w:tabs>
        <w:ind w:left="2268"/>
        <w:rPr>
          <w:lang w:val="fr-FR"/>
        </w:rPr>
      </w:pPr>
      <w:r>
        <w:rPr>
          <w:lang w:val="fr-FR"/>
        </w:rPr>
        <w:t>a)</w:t>
      </w:r>
      <w:r>
        <w:rPr>
          <w:lang w:val="fr-FR"/>
        </w:rPr>
        <w:tab/>
      </w:r>
      <w:r w:rsidRPr="0092501F">
        <w:rPr>
          <w:lang w:val="fr-FR"/>
        </w:rPr>
        <w:t>Soit décider, en concertation avec le constructeur, qu</w:t>
      </w:r>
      <w:r>
        <w:rPr>
          <w:lang w:val="fr-FR"/>
        </w:rPr>
        <w:t>’</w:t>
      </w:r>
      <w:r w:rsidRPr="0092501F">
        <w:rPr>
          <w:lang w:val="fr-FR"/>
        </w:rPr>
        <w:t>il convient d</w:t>
      </w:r>
      <w:r>
        <w:rPr>
          <w:lang w:val="fr-FR"/>
        </w:rPr>
        <w:t>’</w:t>
      </w:r>
      <w:r w:rsidRPr="0092501F">
        <w:rPr>
          <w:lang w:val="fr-FR"/>
        </w:rPr>
        <w:t>accorder une nouvelle homologation de type</w:t>
      </w:r>
      <w:r w:rsidR="00B46129">
        <w:rPr>
          <w:lang w:val="fr-FR"/>
        </w:rPr>
        <w:t> ;</w:t>
      </w:r>
    </w:p>
    <w:p w14:paraId="35151786" w14:textId="77777777" w:rsidR="00C8567A" w:rsidRDefault="00C8567A" w:rsidP="00B46129">
      <w:pPr>
        <w:pStyle w:val="SingleTxtG"/>
        <w:tabs>
          <w:tab w:val="clear" w:pos="1701"/>
        </w:tabs>
        <w:ind w:left="2268"/>
        <w:rPr>
          <w:lang w:val="fr-FR"/>
        </w:rPr>
      </w:pPr>
      <w:r>
        <w:rPr>
          <w:lang w:val="fr-FR"/>
        </w:rPr>
        <w:t>b)</w:t>
      </w:r>
      <w:r>
        <w:rPr>
          <w:lang w:val="fr-FR"/>
        </w:rPr>
        <w:tab/>
      </w:r>
      <w:r w:rsidRPr="0092501F">
        <w:rPr>
          <w:lang w:val="fr-FR"/>
        </w:rPr>
        <w:t xml:space="preserve">Soit appliquer la procédure décrite au paragraphe </w:t>
      </w:r>
      <w:r>
        <w:rPr>
          <w:lang w:val="fr-FR"/>
        </w:rPr>
        <w:t>8</w:t>
      </w:r>
      <w:r w:rsidRPr="0092501F">
        <w:rPr>
          <w:lang w:val="fr-FR"/>
        </w:rPr>
        <w:t xml:space="preserve">.1.1 (révision) et, le cas échéant, la procédure décrite au paragraphe </w:t>
      </w:r>
      <w:r>
        <w:rPr>
          <w:lang w:val="fr-FR"/>
        </w:rPr>
        <w:t>8</w:t>
      </w:r>
      <w:r w:rsidRPr="0092501F">
        <w:rPr>
          <w:lang w:val="fr-FR"/>
        </w:rPr>
        <w:t>.1.2 (extension).</w:t>
      </w:r>
    </w:p>
    <w:p w14:paraId="0534494C" w14:textId="52D839D1" w:rsidR="00C8567A" w:rsidRDefault="00C8567A" w:rsidP="00B46129">
      <w:pPr>
        <w:pStyle w:val="SingleTxtG"/>
        <w:tabs>
          <w:tab w:val="clear" w:pos="1701"/>
        </w:tabs>
        <w:rPr>
          <w:lang w:val="fr-FR"/>
        </w:rPr>
      </w:pPr>
      <w:r>
        <w:rPr>
          <w:lang w:val="fr-FR"/>
        </w:rPr>
        <w:t>8.1.1</w:t>
      </w:r>
      <w:r>
        <w:rPr>
          <w:lang w:val="fr-FR"/>
        </w:rPr>
        <w:tab/>
        <w:t>Révision</w:t>
      </w:r>
    </w:p>
    <w:p w14:paraId="41ECA560" w14:textId="4C2EF944" w:rsidR="00C8567A" w:rsidRDefault="00C8567A" w:rsidP="00B46129">
      <w:pPr>
        <w:pStyle w:val="SingleTxtG"/>
        <w:tabs>
          <w:tab w:val="clear" w:pos="1701"/>
        </w:tabs>
        <w:ind w:left="2268" w:hanging="1134"/>
        <w:rPr>
          <w:lang w:val="fr-FR"/>
        </w:rPr>
      </w:pPr>
      <w:r>
        <w:rPr>
          <w:lang w:val="fr-FR"/>
        </w:rPr>
        <w:tab/>
      </w:r>
      <w:r w:rsidRPr="000E7EA4">
        <w:rPr>
          <w:lang w:val="fr-FR"/>
        </w:rPr>
        <w:t>Lorsque des renseignements consignés dans le dossier d</w:t>
      </w:r>
      <w:r>
        <w:rPr>
          <w:lang w:val="fr-FR"/>
        </w:rPr>
        <w:t>’</w:t>
      </w:r>
      <w:r w:rsidRPr="000E7EA4">
        <w:rPr>
          <w:lang w:val="fr-FR"/>
        </w:rPr>
        <w:t>information ont été modifiés et que l</w:t>
      </w:r>
      <w:r>
        <w:rPr>
          <w:lang w:val="fr-FR"/>
        </w:rPr>
        <w:t>’</w:t>
      </w:r>
      <w:r w:rsidRPr="000E7EA4">
        <w:rPr>
          <w:lang w:val="fr-FR"/>
        </w:rPr>
        <w:t>autorité d</w:t>
      </w:r>
      <w:r>
        <w:rPr>
          <w:lang w:val="fr-FR"/>
        </w:rPr>
        <w:t>’</w:t>
      </w:r>
      <w:r w:rsidRPr="000E7EA4">
        <w:rPr>
          <w:lang w:val="fr-FR"/>
        </w:rPr>
        <w:t>homologation de type considère que ces modifications ne risquent pas d</w:t>
      </w:r>
      <w:r>
        <w:rPr>
          <w:lang w:val="fr-FR"/>
        </w:rPr>
        <w:t>’</w:t>
      </w:r>
      <w:r w:rsidRPr="000E7EA4">
        <w:rPr>
          <w:lang w:val="fr-FR"/>
        </w:rPr>
        <w:t>avoir une influence défavorable notable, et qu</w:t>
      </w:r>
      <w:r>
        <w:rPr>
          <w:lang w:val="fr-FR"/>
        </w:rPr>
        <w:t>’</w:t>
      </w:r>
      <w:r w:rsidRPr="000E7EA4">
        <w:rPr>
          <w:lang w:val="fr-FR"/>
        </w:rPr>
        <w:t>en tout cas le véhicule satisfait encore aux prescriptions, lesdites modifications sont qualifiées de « révisions ».</w:t>
      </w:r>
    </w:p>
    <w:p w14:paraId="2E9139A1" w14:textId="77777777" w:rsidR="00C8567A" w:rsidRDefault="00C8567A" w:rsidP="00B46129">
      <w:pPr>
        <w:pStyle w:val="SingleTxtG"/>
        <w:tabs>
          <w:tab w:val="clear" w:pos="1701"/>
        </w:tabs>
        <w:ind w:left="2268" w:hanging="1134"/>
        <w:rPr>
          <w:lang w:val="fr-FR"/>
        </w:rPr>
      </w:pPr>
      <w:r>
        <w:rPr>
          <w:lang w:val="fr-FR"/>
        </w:rPr>
        <w:tab/>
      </w:r>
      <w:r w:rsidRPr="000E7EA4">
        <w:rPr>
          <w:lang w:val="fr-FR"/>
        </w:rPr>
        <w:t>En pareil cas, l</w:t>
      </w:r>
      <w:r>
        <w:rPr>
          <w:lang w:val="fr-FR"/>
        </w:rPr>
        <w:t>’</w:t>
      </w:r>
      <w:r w:rsidRPr="000E7EA4">
        <w:rPr>
          <w:lang w:val="fr-FR"/>
        </w:rPr>
        <w:t>autorité d</w:t>
      </w:r>
      <w:r>
        <w:rPr>
          <w:lang w:val="fr-FR"/>
        </w:rPr>
        <w:t>’</w:t>
      </w:r>
      <w:r w:rsidRPr="000E7EA4">
        <w:rPr>
          <w:lang w:val="fr-FR"/>
        </w:rPr>
        <w:t>homologation de type publie, si besoin est, les pages révisées du dossier d</w:t>
      </w:r>
      <w:r>
        <w:rPr>
          <w:lang w:val="fr-FR"/>
        </w:rPr>
        <w:t>’</w:t>
      </w:r>
      <w:r w:rsidRPr="000E7EA4">
        <w:rPr>
          <w:lang w:val="fr-FR"/>
        </w:rPr>
        <w:t>information, en faisant clairement apparaître sur chacune des pages révisées la nature de la modification et la date de republication.</w:t>
      </w:r>
      <w:r>
        <w:rPr>
          <w:lang w:val="fr-FR"/>
        </w:rPr>
        <w:t xml:space="preserve"> </w:t>
      </w:r>
      <w:r w:rsidRPr="00760667">
        <w:rPr>
          <w:lang w:val="fr-FR"/>
        </w:rPr>
        <w:t>Une version de synthèse actualisée du dossier d</w:t>
      </w:r>
      <w:r>
        <w:rPr>
          <w:lang w:val="fr-FR"/>
        </w:rPr>
        <w:t>’</w:t>
      </w:r>
      <w:r w:rsidRPr="00760667">
        <w:rPr>
          <w:lang w:val="fr-FR"/>
        </w:rPr>
        <w:t>information, accompagnée d</w:t>
      </w:r>
      <w:r>
        <w:rPr>
          <w:lang w:val="fr-FR"/>
        </w:rPr>
        <w:t>’</w:t>
      </w:r>
      <w:r w:rsidRPr="00760667">
        <w:rPr>
          <w:lang w:val="fr-FR"/>
        </w:rPr>
        <w:t>une description détaillée de la modification, est réputée satisfaire à cette prescription.</w:t>
      </w:r>
    </w:p>
    <w:p w14:paraId="145CA298" w14:textId="77777777" w:rsidR="00C8567A" w:rsidRDefault="00C8567A" w:rsidP="00B46129">
      <w:pPr>
        <w:pStyle w:val="SingleTxtG"/>
        <w:tabs>
          <w:tab w:val="clear" w:pos="1701"/>
        </w:tabs>
        <w:ind w:left="2268" w:hanging="1134"/>
        <w:rPr>
          <w:lang w:val="fr-FR"/>
        </w:rPr>
      </w:pPr>
      <w:r>
        <w:rPr>
          <w:lang w:val="fr-FR"/>
        </w:rPr>
        <w:t>8.1.2</w:t>
      </w:r>
      <w:r>
        <w:rPr>
          <w:lang w:val="fr-FR"/>
        </w:rPr>
        <w:tab/>
        <w:t>Extension</w:t>
      </w:r>
    </w:p>
    <w:p w14:paraId="40D6512C" w14:textId="669A604E" w:rsidR="00C8567A" w:rsidRDefault="00C8567A" w:rsidP="00B46129">
      <w:pPr>
        <w:pStyle w:val="SingleTxtG"/>
        <w:tabs>
          <w:tab w:val="clear" w:pos="1701"/>
        </w:tabs>
        <w:ind w:left="2268" w:hanging="1134"/>
        <w:rPr>
          <w:lang w:val="fr-FR"/>
        </w:rPr>
      </w:pPr>
      <w:r>
        <w:rPr>
          <w:lang w:val="fr-FR"/>
        </w:rPr>
        <w:tab/>
      </w:r>
      <w:r w:rsidRPr="00760667">
        <w:rPr>
          <w:lang w:val="fr-FR"/>
        </w:rPr>
        <w:t>La modification est considérée comme une «</w:t>
      </w:r>
      <w:r w:rsidR="00B46129">
        <w:rPr>
          <w:lang w:val="fr-FR"/>
        </w:rPr>
        <w:t> </w:t>
      </w:r>
      <w:r w:rsidRPr="00760667">
        <w:rPr>
          <w:lang w:val="fr-FR"/>
        </w:rPr>
        <w:t>extension</w:t>
      </w:r>
      <w:r w:rsidR="00B46129">
        <w:rPr>
          <w:lang w:val="fr-FR"/>
        </w:rPr>
        <w:t> </w:t>
      </w:r>
      <w:r w:rsidRPr="00760667">
        <w:rPr>
          <w:lang w:val="fr-FR"/>
        </w:rPr>
        <w:t>» si, outre les modifications apportées aux renseignements consignés dans le dossier d</w:t>
      </w:r>
      <w:r>
        <w:rPr>
          <w:lang w:val="fr-FR"/>
        </w:rPr>
        <w:t>’</w:t>
      </w:r>
      <w:r w:rsidRPr="00760667">
        <w:rPr>
          <w:lang w:val="fr-FR"/>
        </w:rPr>
        <w:t>information</w:t>
      </w:r>
      <w:r w:rsidR="00B46129">
        <w:rPr>
          <w:lang w:val="fr-FR"/>
        </w:rPr>
        <w:t> :</w:t>
      </w:r>
    </w:p>
    <w:p w14:paraId="34FC184F" w14:textId="7D745E2A" w:rsidR="00EA0F39" w:rsidRDefault="00EA0F39" w:rsidP="00EA0F39">
      <w:pPr>
        <w:pStyle w:val="SingleTxtG"/>
        <w:numPr>
          <w:ilvl w:val="0"/>
          <w:numId w:val="19"/>
        </w:numPr>
        <w:ind w:left="2835" w:hanging="567"/>
        <w:rPr>
          <w:lang w:val="fr-FR"/>
        </w:rPr>
      </w:pPr>
      <w:r w:rsidRPr="00760667">
        <w:rPr>
          <w:lang w:val="fr-FR"/>
        </w:rPr>
        <w:t>D</w:t>
      </w:r>
      <w:r>
        <w:rPr>
          <w:lang w:val="fr-FR"/>
        </w:rPr>
        <w:t>’</w:t>
      </w:r>
      <w:r w:rsidRPr="00760667">
        <w:rPr>
          <w:lang w:val="fr-FR"/>
        </w:rPr>
        <w:t>autres contrôles ou essais sont nécessaires</w:t>
      </w:r>
      <w:r>
        <w:rPr>
          <w:lang w:val="fr-FR"/>
        </w:rPr>
        <w:t> </w:t>
      </w:r>
      <w:r w:rsidRPr="00760667">
        <w:rPr>
          <w:lang w:val="fr-FR"/>
        </w:rPr>
        <w:t>;</w:t>
      </w:r>
    </w:p>
    <w:p w14:paraId="463D6817" w14:textId="77777777" w:rsidR="00EA0F39" w:rsidRDefault="00EA0F39" w:rsidP="00EA0F39">
      <w:pPr>
        <w:pStyle w:val="SingleTxtG"/>
        <w:numPr>
          <w:ilvl w:val="0"/>
          <w:numId w:val="19"/>
        </w:numPr>
        <w:ind w:left="2835" w:hanging="567"/>
        <w:rPr>
          <w:lang w:val="fr-FR"/>
        </w:rPr>
      </w:pPr>
      <w:r w:rsidRPr="00760667">
        <w:rPr>
          <w:lang w:val="fr-FR"/>
        </w:rPr>
        <w:t>Une quelconque information figurant sur la fiche de communication (à l</w:t>
      </w:r>
      <w:r>
        <w:rPr>
          <w:lang w:val="fr-FR"/>
        </w:rPr>
        <w:t>’</w:t>
      </w:r>
      <w:r w:rsidRPr="00760667">
        <w:rPr>
          <w:lang w:val="fr-FR"/>
        </w:rPr>
        <w:t>exception des pièces jointes) a été modifiée ;</w:t>
      </w:r>
      <w:r>
        <w:rPr>
          <w:lang w:val="fr-FR"/>
        </w:rPr>
        <w:t xml:space="preserve"> </w:t>
      </w:r>
      <w:proofErr w:type="gramStart"/>
      <w:r>
        <w:rPr>
          <w:lang w:val="fr-FR"/>
        </w:rPr>
        <w:t>ou</w:t>
      </w:r>
      <w:proofErr w:type="gramEnd"/>
    </w:p>
    <w:p w14:paraId="3CCF0895" w14:textId="77777777" w:rsidR="00EA0F39" w:rsidRDefault="00EA0F39" w:rsidP="00EA0F39">
      <w:pPr>
        <w:pStyle w:val="SingleTxtG"/>
        <w:numPr>
          <w:ilvl w:val="0"/>
          <w:numId w:val="19"/>
        </w:numPr>
        <w:ind w:left="2835" w:hanging="567"/>
        <w:rPr>
          <w:lang w:val="fr-FR"/>
        </w:rPr>
      </w:pPr>
      <w:bookmarkStart w:id="21" w:name="_Hlk177542952"/>
      <w:r w:rsidRPr="00760667">
        <w:rPr>
          <w:lang w:val="fr-FR"/>
        </w:rPr>
        <w:t>L</w:t>
      </w:r>
      <w:r>
        <w:rPr>
          <w:lang w:val="fr-FR"/>
        </w:rPr>
        <w:t>’</w:t>
      </w:r>
      <w:r w:rsidRPr="00760667">
        <w:rPr>
          <w:lang w:val="fr-FR"/>
        </w:rPr>
        <w:t>homologation au titre d</w:t>
      </w:r>
      <w:r>
        <w:rPr>
          <w:lang w:val="fr-FR"/>
        </w:rPr>
        <w:t>’</w:t>
      </w:r>
      <w:r w:rsidRPr="00760667">
        <w:rPr>
          <w:lang w:val="fr-FR"/>
        </w:rPr>
        <w:t>une série ultérieure d</w:t>
      </w:r>
      <w:r>
        <w:rPr>
          <w:lang w:val="fr-FR"/>
        </w:rPr>
        <w:t>’</w:t>
      </w:r>
      <w:r w:rsidRPr="00760667">
        <w:rPr>
          <w:lang w:val="fr-FR"/>
        </w:rPr>
        <w:t xml:space="preserve">amendements est demandée après </w:t>
      </w:r>
      <w:r>
        <w:rPr>
          <w:lang w:val="fr-FR"/>
        </w:rPr>
        <w:t>l’</w:t>
      </w:r>
      <w:r w:rsidRPr="00760667">
        <w:rPr>
          <w:lang w:val="fr-FR"/>
        </w:rPr>
        <w:t>entrée en vigueur</w:t>
      </w:r>
      <w:r>
        <w:rPr>
          <w:lang w:val="fr-FR"/>
        </w:rPr>
        <w:t xml:space="preserve"> de ladite série</w:t>
      </w:r>
      <w:r w:rsidRPr="00760667">
        <w:rPr>
          <w:lang w:val="fr-FR"/>
        </w:rPr>
        <w:t>.</w:t>
      </w:r>
    </w:p>
    <w:bookmarkEnd w:id="21"/>
    <w:p w14:paraId="3321476B" w14:textId="2B59DB25" w:rsidR="00C8567A" w:rsidRPr="00C201D2" w:rsidRDefault="00C8567A" w:rsidP="00B46129">
      <w:pPr>
        <w:pStyle w:val="SingleTxtG"/>
        <w:keepNext/>
        <w:keepLines/>
        <w:tabs>
          <w:tab w:val="clear" w:pos="1701"/>
        </w:tabs>
        <w:ind w:left="2268" w:hanging="1134"/>
        <w:rPr>
          <w:lang w:val="fr-FR"/>
        </w:rPr>
      </w:pPr>
      <w:r w:rsidRPr="00C201D2">
        <w:rPr>
          <w:lang w:val="fr-FR"/>
        </w:rPr>
        <w:lastRenderedPageBreak/>
        <w:t>8.</w:t>
      </w:r>
      <w:r>
        <w:rPr>
          <w:lang w:val="fr-FR"/>
        </w:rPr>
        <w:t>2</w:t>
      </w:r>
      <w:r w:rsidRPr="00C201D2">
        <w:rPr>
          <w:lang w:val="fr-FR"/>
        </w:rPr>
        <w:tab/>
      </w:r>
      <w:r w:rsidRPr="00760667">
        <w:rPr>
          <w:lang w:val="fr-FR"/>
        </w:rPr>
        <w:t>La confirmation, l</w:t>
      </w:r>
      <w:r>
        <w:rPr>
          <w:lang w:val="fr-FR"/>
        </w:rPr>
        <w:t>’</w:t>
      </w:r>
      <w:r w:rsidRPr="00760667">
        <w:rPr>
          <w:lang w:val="fr-FR"/>
        </w:rPr>
        <w:t>extension ou le refus de l</w:t>
      </w:r>
      <w:r>
        <w:rPr>
          <w:lang w:val="fr-FR"/>
        </w:rPr>
        <w:t>’</w:t>
      </w:r>
      <w:r w:rsidRPr="00760667">
        <w:rPr>
          <w:lang w:val="fr-FR"/>
        </w:rPr>
        <w:t>homologation doivent être communiqués aux Parties contractantes à l</w:t>
      </w:r>
      <w:r>
        <w:rPr>
          <w:lang w:val="fr-FR"/>
        </w:rPr>
        <w:t>’</w:t>
      </w:r>
      <w:r w:rsidRPr="00760667">
        <w:rPr>
          <w:lang w:val="fr-FR"/>
        </w:rPr>
        <w:t>Accord appliquant le présent Règlement conformément à la procédure décrite au paragraphe</w:t>
      </w:r>
      <w:r w:rsidR="00283E38">
        <w:rPr>
          <w:lang w:val="fr-FR"/>
        </w:rPr>
        <w:t> </w:t>
      </w:r>
      <w:r w:rsidRPr="00760667">
        <w:rPr>
          <w:lang w:val="fr-FR"/>
        </w:rPr>
        <w:t>4.3 ci dessus.</w:t>
      </w:r>
      <w:r w:rsidR="00283E38">
        <w:rPr>
          <w:lang w:val="fr-FR"/>
        </w:rPr>
        <w:t xml:space="preserve"> </w:t>
      </w:r>
      <w:r w:rsidRPr="00760667">
        <w:rPr>
          <w:lang w:val="fr-FR"/>
        </w:rPr>
        <w:t>En outre, la liste des pièces constituant le dossier d</w:t>
      </w:r>
      <w:r>
        <w:rPr>
          <w:lang w:val="fr-FR"/>
        </w:rPr>
        <w:t>’</w:t>
      </w:r>
      <w:r w:rsidRPr="00760667">
        <w:rPr>
          <w:lang w:val="fr-FR"/>
        </w:rPr>
        <w:t>information et des procès-verbaux d</w:t>
      </w:r>
      <w:r>
        <w:rPr>
          <w:lang w:val="fr-FR"/>
        </w:rPr>
        <w:t>’</w:t>
      </w:r>
      <w:r w:rsidRPr="00760667">
        <w:rPr>
          <w:lang w:val="fr-FR"/>
        </w:rPr>
        <w:t>essai, annexée à la fiche de communication de l</w:t>
      </w:r>
      <w:r>
        <w:rPr>
          <w:lang w:val="fr-FR"/>
        </w:rPr>
        <w:t>’</w:t>
      </w:r>
      <w:r w:rsidRPr="00760667">
        <w:rPr>
          <w:lang w:val="fr-FR"/>
        </w:rPr>
        <w:t>annexe</w:t>
      </w:r>
      <w:r w:rsidR="00283E38">
        <w:rPr>
          <w:lang w:val="fr-FR"/>
        </w:rPr>
        <w:t> </w:t>
      </w:r>
      <w:r w:rsidRPr="00760667">
        <w:rPr>
          <w:lang w:val="fr-FR"/>
        </w:rPr>
        <w:t>1, doit être modifiée en conséquence de manière que soit indiquée la date de la révision ou de l</w:t>
      </w:r>
      <w:r>
        <w:rPr>
          <w:lang w:val="fr-FR"/>
        </w:rPr>
        <w:t>’</w:t>
      </w:r>
      <w:r w:rsidRPr="00760667">
        <w:rPr>
          <w:lang w:val="fr-FR"/>
        </w:rPr>
        <w:t>extension la plus récente.</w:t>
      </w:r>
    </w:p>
    <w:p w14:paraId="1EBDA0FA" w14:textId="77777777" w:rsidR="00C8567A" w:rsidRPr="00CE4453" w:rsidRDefault="00C8567A" w:rsidP="00B46129">
      <w:pPr>
        <w:pStyle w:val="para"/>
        <w:tabs>
          <w:tab w:val="clear" w:pos="1701"/>
        </w:tabs>
        <w:rPr>
          <w:lang w:val="fr-CH"/>
        </w:rPr>
      </w:pPr>
      <w:r w:rsidRPr="00C201D2">
        <w:rPr>
          <w:lang w:val="fr-FR"/>
        </w:rPr>
        <w:t>8.</w:t>
      </w:r>
      <w:r>
        <w:rPr>
          <w:lang w:val="fr-FR"/>
        </w:rPr>
        <w:t>3</w:t>
      </w:r>
      <w:r w:rsidRPr="00C201D2">
        <w:rPr>
          <w:lang w:val="fr-FR"/>
        </w:rPr>
        <w:tab/>
      </w:r>
      <w:r w:rsidRPr="00760667">
        <w:rPr>
          <w:lang w:val="fr-FR"/>
        </w:rPr>
        <w:t>L</w:t>
      </w:r>
      <w:r>
        <w:rPr>
          <w:lang w:val="fr-FR"/>
        </w:rPr>
        <w:t>’</w:t>
      </w:r>
      <w:r w:rsidRPr="00760667">
        <w:rPr>
          <w:lang w:val="fr-FR"/>
        </w:rPr>
        <w:t>autorité d</w:t>
      </w:r>
      <w:r>
        <w:rPr>
          <w:lang w:val="fr-FR"/>
        </w:rPr>
        <w:t>’</w:t>
      </w:r>
      <w:r w:rsidRPr="00760667">
        <w:rPr>
          <w:lang w:val="fr-FR"/>
        </w:rPr>
        <w:t>homologation de type qui délivre l</w:t>
      </w:r>
      <w:r>
        <w:rPr>
          <w:lang w:val="fr-FR"/>
        </w:rPr>
        <w:t>’</w:t>
      </w:r>
      <w:r w:rsidRPr="00760667">
        <w:rPr>
          <w:lang w:val="fr-FR"/>
        </w:rPr>
        <w:t>extension d</w:t>
      </w:r>
      <w:r>
        <w:rPr>
          <w:lang w:val="fr-FR"/>
        </w:rPr>
        <w:t>’</w:t>
      </w:r>
      <w:r w:rsidRPr="00760667">
        <w:rPr>
          <w:lang w:val="fr-FR"/>
        </w:rPr>
        <w:t xml:space="preserve">homologation doit attribuer un numéro de série à chaque fiche de communication établie pour </w:t>
      </w:r>
      <w:r>
        <w:rPr>
          <w:lang w:val="fr-FR"/>
        </w:rPr>
        <w:t>une telle</w:t>
      </w:r>
      <w:r w:rsidRPr="00760667">
        <w:rPr>
          <w:lang w:val="fr-FR"/>
        </w:rPr>
        <w:t xml:space="preserve"> extension.</w:t>
      </w:r>
    </w:p>
    <w:p w14:paraId="6BD546C6" w14:textId="6A05CC22" w:rsidR="00C8567A" w:rsidRPr="00CE4453" w:rsidRDefault="00C8567A" w:rsidP="00B46129">
      <w:pPr>
        <w:pStyle w:val="HChG"/>
        <w:tabs>
          <w:tab w:val="left" w:pos="2268"/>
        </w:tabs>
        <w:ind w:left="2268"/>
      </w:pPr>
      <w:r w:rsidRPr="00CE4453">
        <w:t>9.</w:t>
      </w:r>
      <w:r w:rsidRPr="00CE4453">
        <w:tab/>
        <w:t>Arrêt définitif de la production</w:t>
      </w:r>
    </w:p>
    <w:p w14:paraId="7008FD5B" w14:textId="25F94E23" w:rsidR="00C8567A" w:rsidRPr="00CE4453" w:rsidRDefault="00C8567A" w:rsidP="00C8567A">
      <w:pPr>
        <w:pStyle w:val="SingleTxtG"/>
        <w:ind w:left="2268"/>
      </w:pPr>
      <w:r w:rsidRPr="00CE4453">
        <w:t>Si le titulaire d</w:t>
      </w:r>
      <w:r>
        <w:t>’</w:t>
      </w:r>
      <w:r w:rsidRPr="00CE4453">
        <w:t>une homologation arrête définitivement la production d</w:t>
      </w:r>
      <w:r>
        <w:t>’</w:t>
      </w:r>
      <w:r w:rsidRPr="00CE4453">
        <w:t xml:space="preserve">un type de véhicule homologué </w:t>
      </w:r>
      <w:r>
        <w:t>au titre d</w:t>
      </w:r>
      <w:r w:rsidRPr="00CE4453">
        <w:t>u présent Règlement, il en informe l</w:t>
      </w:r>
      <w:r>
        <w:t>’</w:t>
      </w:r>
      <w:r w:rsidRPr="00CE4453">
        <w:t>autorité d</w:t>
      </w:r>
      <w:r>
        <w:t>’</w:t>
      </w:r>
      <w:r w:rsidRPr="00CE4453">
        <w:t>homologation de type qui a délivré l</w:t>
      </w:r>
      <w:r>
        <w:t>’</w:t>
      </w:r>
      <w:r w:rsidRPr="00CE4453">
        <w:t>homologation qui, à son tour, le notifie aux autres Parties à l</w:t>
      </w:r>
      <w:r>
        <w:t>’</w:t>
      </w:r>
      <w:r w:rsidRPr="00CE4453">
        <w:t>Accord de 1958 appliquant le</w:t>
      </w:r>
      <w:r>
        <w:t>dit</w:t>
      </w:r>
      <w:r w:rsidRPr="00CE4453">
        <w:t xml:space="preserve"> Règlement au moyen d</w:t>
      </w:r>
      <w:r>
        <w:t>’</w:t>
      </w:r>
      <w:r w:rsidRPr="00CE4453">
        <w:t>une fiche de communication conforme au modèle de l</w:t>
      </w:r>
      <w:r>
        <w:t>’</w:t>
      </w:r>
      <w:r w:rsidRPr="00CE4453">
        <w:t>annexe 1.</w:t>
      </w:r>
    </w:p>
    <w:p w14:paraId="23EC8DC3" w14:textId="0BAE8909" w:rsidR="00C8567A" w:rsidRPr="00CE4453" w:rsidRDefault="00C8567A" w:rsidP="00B46129">
      <w:pPr>
        <w:pStyle w:val="HChG"/>
        <w:tabs>
          <w:tab w:val="left" w:pos="2268"/>
        </w:tabs>
        <w:ind w:left="2268"/>
      </w:pPr>
      <w:r w:rsidRPr="00CE4453">
        <w:t>10.</w:t>
      </w:r>
      <w:r w:rsidR="00B46129">
        <w:tab/>
      </w:r>
      <w:r w:rsidRPr="00CE4453">
        <w:tab/>
        <w:t>Noms et adresses des services techniques chargés des essais d</w:t>
      </w:r>
      <w:r>
        <w:t>’</w:t>
      </w:r>
      <w:r w:rsidRPr="00CE4453">
        <w:t>homologation et des autorités d</w:t>
      </w:r>
      <w:r>
        <w:t>’</w:t>
      </w:r>
      <w:r w:rsidRPr="00CE4453">
        <w:t>homologation de type</w:t>
      </w:r>
    </w:p>
    <w:p w14:paraId="2F7F1749" w14:textId="74FF39C3" w:rsidR="00C8567A" w:rsidRDefault="00C8567A" w:rsidP="008608AA">
      <w:pPr>
        <w:pStyle w:val="SingleTxtG"/>
        <w:ind w:left="2268"/>
      </w:pPr>
      <w:r w:rsidRPr="00CE4453">
        <w:t>Les Parties contractantes à l</w:t>
      </w:r>
      <w:r>
        <w:t>’</w:t>
      </w:r>
      <w:r w:rsidRPr="00CE4453">
        <w:t xml:space="preserve">Accord de 1958 appliquant le présent Règlement </w:t>
      </w:r>
      <w:r>
        <w:t xml:space="preserve">doivent </w:t>
      </w:r>
      <w:r w:rsidRPr="00CE4453">
        <w:t>communique</w:t>
      </w:r>
      <w:r>
        <w:t>r</w:t>
      </w:r>
      <w:r w:rsidRPr="00CE4453">
        <w:t xml:space="preserve"> au Secrétariat de l</w:t>
      </w:r>
      <w:r>
        <w:t>’</w:t>
      </w:r>
      <w:r w:rsidRPr="00CE4453">
        <w:t>Organisation des Nations</w:t>
      </w:r>
      <w:r w:rsidR="008608AA">
        <w:t> </w:t>
      </w:r>
      <w:r w:rsidRPr="00CE4453">
        <w:t>Unies les noms et adresses des services techniques chargés des essais d</w:t>
      </w:r>
      <w:r>
        <w:t>’</w:t>
      </w:r>
      <w:r w:rsidRPr="00CE4453">
        <w:t>homologation et ceux des autorités qui délivrent l</w:t>
      </w:r>
      <w:r>
        <w:t xml:space="preserve">es </w:t>
      </w:r>
      <w:r w:rsidRPr="00CE4453">
        <w:t>homologation</w:t>
      </w:r>
      <w:r>
        <w:t>s</w:t>
      </w:r>
      <w:r w:rsidRPr="00CE4453">
        <w:t xml:space="preserve"> et auxquel</w:t>
      </w:r>
      <w:r>
        <w:t>le</w:t>
      </w:r>
      <w:r w:rsidRPr="00CE4453">
        <w:t xml:space="preserve">s doivent être envoyées les fiches </w:t>
      </w:r>
      <w:r w:rsidRPr="00616AEB">
        <w:t>de communication concernant la délivrance, l</w:t>
      </w:r>
      <w:r>
        <w:t>’</w:t>
      </w:r>
      <w:r w:rsidRPr="00616AEB">
        <w:t>extension, le refus ou le retrait d</w:t>
      </w:r>
      <w:r>
        <w:t>’</w:t>
      </w:r>
      <w:r w:rsidRPr="00616AEB">
        <w:t xml:space="preserve">une homologation établies </w:t>
      </w:r>
      <w:r w:rsidRPr="00CE4453">
        <w:t>dans les autres pays</w:t>
      </w:r>
      <w:r>
        <w:t>.</w:t>
      </w:r>
    </w:p>
    <w:p w14:paraId="4167BFAE" w14:textId="77777777" w:rsidR="007016FE" w:rsidRDefault="007016FE" w:rsidP="00C8567A">
      <w:pPr>
        <w:sectPr w:rsidR="007016FE" w:rsidSect="00C8567A">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pPr>
    </w:p>
    <w:p w14:paraId="55F669F1" w14:textId="77777777" w:rsidR="007016FE" w:rsidRPr="00E32F39" w:rsidRDefault="007016FE" w:rsidP="008608AA">
      <w:pPr>
        <w:pStyle w:val="HChG"/>
        <w:rPr>
          <w:strike/>
          <w:lang w:val="fr-FR"/>
        </w:rPr>
      </w:pPr>
      <w:r w:rsidRPr="0094133B">
        <w:lastRenderedPageBreak/>
        <w:t>Annexe</w:t>
      </w:r>
      <w:r>
        <w:rPr>
          <w:lang w:val="fr-FR"/>
        </w:rPr>
        <w:t xml:space="preserve"> 1</w:t>
      </w:r>
    </w:p>
    <w:p w14:paraId="694B2A19" w14:textId="77777777" w:rsidR="007016FE" w:rsidRPr="00E32F39" w:rsidRDefault="007016FE" w:rsidP="008608AA">
      <w:pPr>
        <w:pStyle w:val="HChG"/>
        <w:rPr>
          <w:lang w:val="fr-FR"/>
        </w:rPr>
      </w:pPr>
      <w:r>
        <w:rPr>
          <w:lang w:val="fr-FR"/>
        </w:rPr>
        <w:tab/>
      </w:r>
      <w:r>
        <w:rPr>
          <w:lang w:val="fr-FR"/>
        </w:rPr>
        <w:tab/>
      </w:r>
      <w:r w:rsidRPr="0094133B">
        <w:t>Communication</w:t>
      </w:r>
    </w:p>
    <w:p w14:paraId="039B0256" w14:textId="05063B5C" w:rsidR="007016FE" w:rsidRPr="00E32F39" w:rsidRDefault="007016FE" w:rsidP="007016FE">
      <w:pPr>
        <w:pStyle w:val="SingleTxtG"/>
        <w:rPr>
          <w:lang w:val="fr-FR"/>
        </w:rPr>
      </w:pPr>
      <w:r>
        <w:rPr>
          <w:lang w:val="fr-FR"/>
        </w:rPr>
        <w:t>(format maximal</w:t>
      </w:r>
      <w:r w:rsidR="00B46129">
        <w:rPr>
          <w:lang w:val="fr-FR"/>
        </w:rPr>
        <w:t> :</w:t>
      </w:r>
      <w:r>
        <w:rPr>
          <w:lang w:val="fr-FR"/>
        </w:rPr>
        <w:t xml:space="preserve"> A4 (210 x 297 mm))</w:t>
      </w:r>
    </w:p>
    <w:p w14:paraId="6CB55D61" w14:textId="77777777" w:rsidR="007016FE" w:rsidRPr="00E32F39" w:rsidRDefault="007016FE" w:rsidP="007016FE">
      <w:pPr>
        <w:pStyle w:val="SingleTxtG"/>
        <w:rPr>
          <w:lang w:val="fr-FR"/>
        </w:rPr>
      </w:pPr>
      <w:r w:rsidRPr="00B16B68">
        <w:rPr>
          <w:noProof/>
          <w:lang w:eastAsia="en-GB"/>
        </w:rPr>
        <mc:AlternateContent>
          <mc:Choice Requires="wps">
            <w:drawing>
              <wp:anchor distT="0" distB="0" distL="114300" distR="114300" simplePos="0" relativeHeight="251659264" behindDoc="0" locked="0" layoutInCell="1" allowOverlap="1" wp14:anchorId="44746F78" wp14:editId="41E51F11">
                <wp:simplePos x="0" y="0"/>
                <wp:positionH relativeFrom="column">
                  <wp:posOffset>2933700</wp:posOffset>
                </wp:positionH>
                <wp:positionV relativeFrom="paragraph">
                  <wp:posOffset>12700</wp:posOffset>
                </wp:positionV>
                <wp:extent cx="3429000" cy="662305"/>
                <wp:effectExtent l="0" t="3175" r="0" b="1270"/>
                <wp:wrapNone/>
                <wp:docPr id="7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F2507" w14:textId="2DC2134B" w:rsidR="007016FE" w:rsidRPr="00E32F39" w:rsidRDefault="007016FE" w:rsidP="007016FE">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fr-FR"/>
                              </w:rPr>
                            </w:pPr>
                            <w:r>
                              <w:rPr>
                                <w:lang w:val="fr-FR"/>
                              </w:rPr>
                              <w:t>Émanant de</w:t>
                            </w:r>
                            <w:r w:rsidR="00B46129">
                              <w:rPr>
                                <w:lang w:val="fr-FR"/>
                              </w:rPr>
                              <w:t> :</w:t>
                            </w:r>
                            <w:r>
                              <w:rPr>
                                <w:lang w:val="fr-FR"/>
                              </w:rPr>
                              <w:tab/>
                              <w:t>Nom de l’administration</w:t>
                            </w:r>
                            <w:r w:rsidR="00B46129">
                              <w:rPr>
                                <w:lang w:val="fr-FR"/>
                              </w:rPr>
                              <w:t> :</w:t>
                            </w:r>
                          </w:p>
                          <w:p w14:paraId="38BC6E29" w14:textId="77777777" w:rsidR="007016FE" w:rsidRPr="00752DEF" w:rsidRDefault="007016FE" w:rsidP="007016FE">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pPr>
                            <w:r>
                              <w:rPr>
                                <w:lang w:val="fr-FR"/>
                              </w:rPr>
                              <w:t>......................................</w:t>
                            </w:r>
                          </w:p>
                          <w:p w14:paraId="2FDAF4F6" w14:textId="77777777" w:rsidR="007016FE" w:rsidRPr="00752DEF" w:rsidRDefault="007016FE" w:rsidP="007016FE">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pPr>
                            <w:r>
                              <w:rPr>
                                <w:lang w:val="fr-FR"/>
                              </w:rPr>
                              <w:t>......................................</w:t>
                            </w:r>
                          </w:p>
                          <w:p w14:paraId="7DF44194" w14:textId="77777777" w:rsidR="007016FE" w:rsidRPr="00752DEF" w:rsidRDefault="007016FE" w:rsidP="007016FE">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pPr>
                            <w:r>
                              <w:rPr>
                                <w:lang w:val="fr-F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46F78" id="_x0000_t202" coordsize="21600,21600" o:spt="202" path="m,l,21600r21600,l21600,xe">
                <v:stroke joinstyle="miter"/>
                <v:path gradientshapeok="t" o:connecttype="rect"/>
              </v:shapetype>
              <v:shape id="Text Box 5" o:spid="_x0000_s1026" type="#_x0000_t202" style="position:absolute;left:0;text-align:left;margin-left:231pt;margin-top:1pt;width:270pt;height:5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" stroked="f">
                <v:textbox inset="0,0,0,0">
                  <w:txbxContent>
                    <w:p w14:paraId="507F2507" w14:textId="2DC2134B" w:rsidR="007016FE" w:rsidRPr="00E32F39" w:rsidRDefault="007016FE" w:rsidP="007016FE">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2126"/>
                        <w:rPr>
                          <w:lang w:val="fr-FR"/>
                        </w:rPr>
                      </w:pPr>
                      <w:r>
                        <w:rPr>
                          <w:lang w:val="fr-FR"/>
                        </w:rPr>
                        <w:t>Émanant de</w:t>
                      </w:r>
                      <w:r w:rsidR="00B46129">
                        <w:rPr>
                          <w:lang w:val="fr-FR"/>
                        </w:rPr>
                        <w:t> :</w:t>
                      </w:r>
                      <w:r>
                        <w:rPr>
                          <w:lang w:val="fr-FR"/>
                        </w:rPr>
                        <w:tab/>
                        <w:t>Nom de l’administration</w:t>
                      </w:r>
                      <w:r w:rsidR="00B46129">
                        <w:rPr>
                          <w:lang w:val="fr-FR"/>
                        </w:rPr>
                        <w:t> :</w:t>
                      </w:r>
                    </w:p>
                    <w:p w14:paraId="38BC6E29" w14:textId="77777777" w:rsidR="007016FE" w:rsidRPr="00752DEF" w:rsidRDefault="007016FE" w:rsidP="007016FE">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left="2835" w:hanging="675"/>
                      </w:pPr>
                      <w:r>
                        <w:rPr>
                          <w:lang w:val="fr-FR"/>
                        </w:rPr>
                        <w:t>......................................</w:t>
                      </w:r>
                    </w:p>
                    <w:p w14:paraId="2FDAF4F6" w14:textId="77777777" w:rsidR="007016FE" w:rsidRPr="00752DEF" w:rsidRDefault="007016FE" w:rsidP="007016FE">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pPr>
                      <w:r>
                        <w:rPr>
                          <w:lang w:val="fr-FR"/>
                        </w:rPr>
                        <w:t>......................................</w:t>
                      </w:r>
                    </w:p>
                    <w:p w14:paraId="7DF44194" w14:textId="77777777" w:rsidR="007016FE" w:rsidRPr="00752DEF" w:rsidRDefault="007016FE" w:rsidP="007016FE">
                      <w:pPr>
                        <w:tabs>
                          <w:tab w:val="left" w:pos="-720"/>
                          <w:tab w:val="left" w:pos="0"/>
                          <w:tab w:val="left" w:pos="680"/>
                          <w:tab w:val="left" w:pos="1394"/>
                          <w:tab w:val="left" w:pos="1707"/>
                          <w:tab w:val="left" w:pos="2114"/>
                          <w:tab w:val="left" w:pos="2834"/>
                          <w:tab w:val="left" w:pos="3554"/>
                          <w:tab w:val="left" w:pos="4682"/>
                          <w:tab w:val="left" w:pos="4988"/>
                          <w:tab w:val="left" w:pos="6423"/>
                          <w:tab w:val="left" w:pos="7143"/>
                          <w:tab w:val="left" w:pos="7857"/>
                          <w:tab w:val="left" w:pos="8577"/>
                        </w:tabs>
                        <w:ind w:firstLine="2160"/>
                      </w:pPr>
                      <w:r>
                        <w:rPr>
                          <w:lang w:val="fr-FR"/>
                        </w:rPr>
                        <w:t>......................................</w:t>
                      </w:r>
                    </w:p>
                  </w:txbxContent>
                </v:textbox>
              </v:shape>
            </w:pict>
          </mc:Fallback>
        </mc:AlternateContent>
      </w:r>
      <w:r w:rsidRPr="00E32F39">
        <w:rPr>
          <w:lang w:val="fr-FR"/>
        </w:rPr>
        <w:tab/>
      </w:r>
    </w:p>
    <w:p w14:paraId="04CC3EAA" w14:textId="14057EF5" w:rsidR="007016FE" w:rsidRPr="00B16B68" w:rsidRDefault="007016FE" w:rsidP="007016FE">
      <w:pPr>
        <w:pStyle w:val="SingleTxtG"/>
        <w:tabs>
          <w:tab w:val="left" w:pos="5100"/>
        </w:tabs>
      </w:pPr>
      <w:r w:rsidRPr="00B16B68">
        <w:rPr>
          <w:noProof/>
          <w:lang w:eastAsia="en-GB"/>
        </w:rPr>
        <mc:AlternateContent>
          <mc:Choice Requires="wps">
            <w:drawing>
              <wp:anchor distT="0" distB="0" distL="114300" distR="114300" simplePos="0" relativeHeight="251660288" behindDoc="0" locked="0" layoutInCell="1" allowOverlap="1" wp14:anchorId="0DE5AC2A" wp14:editId="3F0A8AB2">
                <wp:simplePos x="0" y="0"/>
                <wp:positionH relativeFrom="column">
                  <wp:posOffset>1299210</wp:posOffset>
                </wp:positionH>
                <wp:positionV relativeFrom="paragraph">
                  <wp:posOffset>270419</wp:posOffset>
                </wp:positionV>
                <wp:extent cx="336187" cy="245836"/>
                <wp:effectExtent l="0" t="0" r="6985" b="1905"/>
                <wp:wrapNone/>
                <wp:docPr id="7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87" cy="245836"/>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57FD3E1" w14:textId="77777777" w:rsidR="007016FE" w:rsidRPr="00492A6E" w:rsidRDefault="007016FE" w:rsidP="007016FE">
                            <w:pPr>
                              <w:jc w:val="center"/>
                              <w:rPr>
                                <w:rFonts w:eastAsia="Arial Unicode MS"/>
                                <w:b/>
                                <w:w w:val="80"/>
                                <w:sz w:val="24"/>
                                <w:szCs w:val="24"/>
                                <w:vertAlign w:val="superscript"/>
                              </w:rPr>
                            </w:pPr>
                            <w:r w:rsidRPr="00492A6E">
                              <w:rPr>
                                <w:rFonts w:eastAsia="Arial Unicode MS"/>
                                <w:b/>
                                <w:w w:val="80"/>
                                <w:sz w:val="24"/>
                                <w:szCs w:val="24"/>
                                <w:vertAlign w:val="superscript"/>
                              </w:rPr>
                              <w:t>1</w:t>
                            </w:r>
                          </w:p>
                          <w:p w14:paraId="73F04649" w14:textId="77777777" w:rsidR="007016FE" w:rsidRPr="004508D9" w:rsidRDefault="007016FE" w:rsidP="007016FE">
                            <w:pPr>
                              <w:rPr>
                                <w:rFonts w:eastAsia="Arial Unicode MS"/>
                                <w:sz w:val="16"/>
                                <w:szCs w:val="16"/>
                              </w:rPr>
                            </w:pPr>
                            <w:r>
                              <w:rPr>
                                <w:rFonts w:eastAsia="Arial Unicode MS"/>
                                <w:noProof/>
                                <w:sz w:val="16"/>
                                <w:szCs w:val="16"/>
                              </w:rPr>
                              <w:drawing>
                                <wp:inline distT="0" distB="0" distL="0" distR="0" wp14:anchorId="25F7EF25" wp14:editId="339E2B78">
                                  <wp:extent cx="163830" cy="252730"/>
                                  <wp:effectExtent l="0" t="0" r="7620" b="0"/>
                                  <wp:docPr id="1039805473" name="Afbeelding 1039805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 cy="25273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5AC2A" id="Text Box 6" o:spid="_x0000_s1027" type="#_x0000_t202" style="position:absolute;left:0;text-align:left;margin-left:102.3pt;margin-top:21.3pt;width:26.4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" stroked="f" strokecolor="white">
                <v:textbox inset="0,0,0,0">
                  <w:txbxContent>
                    <w:p w14:paraId="657FD3E1" w14:textId="77777777" w:rsidR="007016FE" w:rsidRPr="00492A6E" w:rsidRDefault="007016FE" w:rsidP="007016FE">
                      <w:pPr>
                        <w:jc w:val="center"/>
                        <w:rPr>
                          <w:rFonts w:eastAsia="Arial Unicode MS"/>
                          <w:b/>
                          <w:w w:val="80"/>
                          <w:sz w:val="24"/>
                          <w:szCs w:val="24"/>
                          <w:vertAlign w:val="superscript"/>
                        </w:rPr>
                      </w:pPr>
                      <w:r w:rsidRPr="00492A6E">
                        <w:rPr>
                          <w:rFonts w:eastAsia="Arial Unicode MS"/>
                          <w:b/>
                          <w:w w:val="80"/>
                          <w:sz w:val="24"/>
                          <w:szCs w:val="24"/>
                          <w:vertAlign w:val="superscript"/>
                        </w:rPr>
                        <w:t>1</w:t>
                      </w:r>
                    </w:p>
                    <w:p w14:paraId="73F04649" w14:textId="77777777" w:rsidR="007016FE" w:rsidRPr="004508D9" w:rsidRDefault="007016FE" w:rsidP="007016FE">
                      <w:pPr>
                        <w:rPr>
                          <w:rFonts w:eastAsia="Arial Unicode MS"/>
                          <w:sz w:val="16"/>
                          <w:szCs w:val="16"/>
                        </w:rPr>
                      </w:pPr>
                      <w:r>
                        <w:rPr>
                          <w:rFonts w:eastAsia="Arial Unicode MS"/>
                          <w:noProof/>
                          <w:sz w:val="16"/>
                          <w:szCs w:val="16"/>
                        </w:rPr>
                        <w:drawing>
                          <wp:inline distT="0" distB="0" distL="0" distR="0" wp14:anchorId="25F7EF25" wp14:editId="339E2B78">
                            <wp:extent cx="163830" cy="252730"/>
                            <wp:effectExtent l="0" t="0" r="7620" b="0"/>
                            <wp:docPr id="1039805473" name="Afbeelding 1039805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 cy="252730"/>
                                    </a:xfrm>
                                    <a:prstGeom prst="rect">
                                      <a:avLst/>
                                    </a:prstGeom>
                                    <a:noFill/>
                                    <a:ln>
                                      <a:noFill/>
                                    </a:ln>
                                  </pic:spPr>
                                </pic:pic>
                              </a:graphicData>
                            </a:graphic>
                          </wp:inline>
                        </w:drawing>
                      </w:r>
                    </w:p>
                  </w:txbxContent>
                </v:textbox>
              </v:shape>
            </w:pict>
          </mc:Fallback>
        </mc:AlternateContent>
      </w:r>
      <w:r w:rsidRPr="00B16B68">
        <w:rPr>
          <w:noProof/>
          <w:lang w:eastAsia="en-GB"/>
        </w:rPr>
        <w:drawing>
          <wp:inline distT="0" distB="0" distL="0" distR="0" wp14:anchorId="1277946D" wp14:editId="1085D133">
            <wp:extent cx="1064260" cy="1009650"/>
            <wp:effectExtent l="0" t="0" r="2540" b="0"/>
            <wp:docPr id="1871122696" name="Afbeelding 1871122696" descr="Afbeelding met symbool, cirkel, Lettertyp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122696" name="Afbeelding 1871122696" descr="Afbeelding met symbool, cirkel, Lettertype, Graphics&#10;&#10;Automatisch gegenereerde beschrijving"/>
                    <pic:cNvPicPr>
                      <a:picLocks noChangeAspect="1" noChangeArrowheads="1"/>
                    </pic:cNvPicPr>
                  </pic:nvPicPr>
                  <pic:blipFill>
                    <a:blip r:embed="rId15" cstate="print">
                      <a:extLst>
                        <a:ext uri="{28A0092B-C50C-407E-A947-70E740481C1C}">
                          <a14:useLocalDpi xmlns:a14="http://schemas.microsoft.com/office/drawing/2010/main" val="0"/>
                        </a:ext>
                      </a:extLst>
                    </a:blip>
                    <a:srcRect l="-1199" t="-1198" r="-1199" b="-1198"/>
                    <a:stretch>
                      <a:fillRect/>
                    </a:stretch>
                  </pic:blipFill>
                  <pic:spPr bwMode="auto">
                    <a:xfrm>
                      <a:off x="0" y="0"/>
                      <a:ext cx="1064260" cy="1009650"/>
                    </a:xfrm>
                    <a:prstGeom prst="rect">
                      <a:avLst/>
                    </a:prstGeom>
                    <a:noFill/>
                    <a:ln>
                      <a:noFill/>
                    </a:ln>
                  </pic:spPr>
                </pic:pic>
              </a:graphicData>
            </a:graphic>
          </wp:inline>
        </w:drawing>
      </w:r>
      <w:r w:rsidR="008608AA" w:rsidRPr="008608AA">
        <w:rPr>
          <w:rStyle w:val="Appelnotedebasdep"/>
          <w:color w:val="FFFFFF" w:themeColor="background1"/>
        </w:rPr>
        <w:footnoteReference w:id="6"/>
      </w:r>
    </w:p>
    <w:p w14:paraId="2A8CACF1" w14:textId="56A3A7D4" w:rsidR="007016FE" w:rsidRPr="00E32F39" w:rsidRDefault="007016FE" w:rsidP="007016FE">
      <w:pPr>
        <w:pStyle w:val="SingleTxtG"/>
        <w:kinsoku/>
        <w:overflowPunct/>
        <w:autoSpaceDE/>
        <w:autoSpaceDN/>
        <w:adjustRightInd/>
        <w:snapToGrid/>
        <w:spacing w:after="0"/>
        <w:rPr>
          <w:lang w:val="fr-FR"/>
        </w:rPr>
      </w:pPr>
      <w:r>
        <w:rPr>
          <w:lang w:val="fr-FR"/>
        </w:rPr>
        <w:t>Concernant</w:t>
      </w:r>
      <w:r w:rsidRPr="0094133B">
        <w:rPr>
          <w:rStyle w:val="Appelnotedebasdep"/>
        </w:rPr>
        <w:footnoteReference w:id="7"/>
      </w:r>
      <w:r w:rsidR="00B46129">
        <w:rPr>
          <w:lang w:val="fr-FR"/>
        </w:rPr>
        <w:t> :</w:t>
      </w:r>
      <w:r>
        <w:rPr>
          <w:lang w:val="fr-FR"/>
        </w:rPr>
        <w:tab/>
      </w:r>
      <w:r w:rsidR="008608AA">
        <w:rPr>
          <w:lang w:val="fr-FR"/>
        </w:rPr>
        <w:tab/>
      </w:r>
      <w:r>
        <w:rPr>
          <w:lang w:val="fr-FR"/>
        </w:rPr>
        <w:t>Délivrance d’une homologation</w:t>
      </w:r>
    </w:p>
    <w:p w14:paraId="71D36154" w14:textId="77777777" w:rsidR="007016FE" w:rsidRPr="00E32F39" w:rsidRDefault="007016FE" w:rsidP="007016FE">
      <w:pPr>
        <w:pStyle w:val="SingleTxtG"/>
        <w:spacing w:after="0"/>
        <w:rPr>
          <w:lang w:val="fr-FR"/>
        </w:rPr>
      </w:pPr>
      <w:r>
        <w:rPr>
          <w:lang w:val="fr-FR"/>
        </w:rPr>
        <w:tab/>
      </w:r>
      <w:r>
        <w:rPr>
          <w:lang w:val="fr-FR"/>
        </w:rPr>
        <w:tab/>
      </w:r>
      <w:r>
        <w:rPr>
          <w:lang w:val="fr-FR"/>
        </w:rPr>
        <w:tab/>
      </w:r>
      <w:r>
        <w:rPr>
          <w:lang w:val="fr-FR"/>
        </w:rPr>
        <w:tab/>
        <w:t>Extension d’homologation</w:t>
      </w:r>
    </w:p>
    <w:p w14:paraId="5549D42B" w14:textId="77777777" w:rsidR="007016FE" w:rsidRPr="00E32F39" w:rsidRDefault="007016FE" w:rsidP="007016FE">
      <w:pPr>
        <w:pStyle w:val="SingleTxtG"/>
        <w:spacing w:after="0"/>
        <w:rPr>
          <w:lang w:val="fr-FR"/>
        </w:rPr>
      </w:pPr>
      <w:r>
        <w:rPr>
          <w:lang w:val="fr-FR"/>
        </w:rPr>
        <w:tab/>
      </w:r>
      <w:r>
        <w:rPr>
          <w:lang w:val="fr-FR"/>
        </w:rPr>
        <w:tab/>
      </w:r>
      <w:r>
        <w:rPr>
          <w:lang w:val="fr-FR"/>
        </w:rPr>
        <w:tab/>
      </w:r>
      <w:r>
        <w:rPr>
          <w:lang w:val="fr-FR"/>
        </w:rPr>
        <w:tab/>
        <w:t>Refus d’homologation</w:t>
      </w:r>
    </w:p>
    <w:p w14:paraId="0C5D4AD1" w14:textId="77777777" w:rsidR="007016FE" w:rsidRPr="00E32F39" w:rsidRDefault="007016FE" w:rsidP="007016FE">
      <w:pPr>
        <w:pStyle w:val="SingleTxtG"/>
        <w:spacing w:after="0"/>
        <w:rPr>
          <w:lang w:val="fr-FR"/>
        </w:rPr>
      </w:pPr>
      <w:r>
        <w:rPr>
          <w:lang w:val="fr-FR"/>
        </w:rPr>
        <w:tab/>
      </w:r>
      <w:r>
        <w:rPr>
          <w:lang w:val="fr-FR"/>
        </w:rPr>
        <w:tab/>
      </w:r>
      <w:r>
        <w:rPr>
          <w:lang w:val="fr-FR"/>
        </w:rPr>
        <w:tab/>
      </w:r>
      <w:r>
        <w:rPr>
          <w:lang w:val="fr-FR"/>
        </w:rPr>
        <w:tab/>
        <w:t>Retrait d’homologation</w:t>
      </w:r>
    </w:p>
    <w:p w14:paraId="720BFB8E" w14:textId="77777777" w:rsidR="007016FE" w:rsidRPr="00E32F39" w:rsidRDefault="007016FE" w:rsidP="007016FE">
      <w:pPr>
        <w:pStyle w:val="SingleTxtG"/>
        <w:spacing w:after="240"/>
        <w:rPr>
          <w:lang w:val="fr-FR"/>
        </w:rPr>
      </w:pPr>
      <w:r>
        <w:rPr>
          <w:lang w:val="fr-FR"/>
        </w:rPr>
        <w:tab/>
      </w:r>
      <w:r>
        <w:rPr>
          <w:lang w:val="fr-FR"/>
        </w:rPr>
        <w:tab/>
      </w:r>
      <w:r>
        <w:rPr>
          <w:lang w:val="fr-FR"/>
        </w:rPr>
        <w:tab/>
      </w:r>
      <w:r>
        <w:rPr>
          <w:lang w:val="fr-FR"/>
        </w:rPr>
        <w:tab/>
        <w:t>Arrêt définitif de la production</w:t>
      </w:r>
    </w:p>
    <w:p w14:paraId="50BE694D" w14:textId="0BCD2AEB" w:rsidR="007016FE" w:rsidRPr="00E32F39" w:rsidRDefault="007016FE" w:rsidP="007016FE">
      <w:pPr>
        <w:pStyle w:val="SingleTxtG"/>
        <w:rPr>
          <w:lang w:val="fr-FR"/>
        </w:rPr>
      </w:pPr>
      <w:r>
        <w:rPr>
          <w:lang w:val="fr-FR"/>
        </w:rPr>
        <w:t>d’un type de véhicule en ce qui concerne les témoins de port de ceinture au titre du Règlement</w:t>
      </w:r>
      <w:r w:rsidR="00283E38">
        <w:rPr>
          <w:lang w:val="fr-FR"/>
        </w:rPr>
        <w:t> </w:t>
      </w:r>
      <w:r>
        <w:rPr>
          <w:lang w:val="fr-FR"/>
        </w:rPr>
        <w:t xml:space="preserve">ONU </w:t>
      </w:r>
      <w:r w:rsidRPr="001E79AD">
        <w:rPr>
          <w:rFonts w:eastAsia="MS Mincho"/>
          <w:szCs w:val="22"/>
          <w:lang w:val="fr-FR"/>
        </w:rPr>
        <w:t>n</w:t>
      </w:r>
      <w:r w:rsidRPr="001E79AD">
        <w:rPr>
          <w:rFonts w:eastAsia="MS Mincho"/>
          <w:szCs w:val="22"/>
          <w:vertAlign w:val="superscript"/>
          <w:lang w:val="fr-FR"/>
        </w:rPr>
        <w:t>o</w:t>
      </w:r>
      <w:r>
        <w:rPr>
          <w:lang w:val="fr-FR"/>
        </w:rPr>
        <w:t> XXX.</w:t>
      </w:r>
    </w:p>
    <w:p w14:paraId="33DA8C69" w14:textId="0B106EB3" w:rsidR="007016FE" w:rsidRPr="00E32F39" w:rsidRDefault="007016FE" w:rsidP="007016FE">
      <w:pPr>
        <w:pStyle w:val="SingleTxtG"/>
        <w:tabs>
          <w:tab w:val="right" w:leader="dot" w:pos="8505"/>
        </w:tabs>
        <w:rPr>
          <w:lang w:val="fr-FR"/>
        </w:rPr>
      </w:pPr>
      <w:r>
        <w:rPr>
          <w:lang w:val="fr-FR"/>
        </w:rPr>
        <w:t>N</w:t>
      </w:r>
      <w:r>
        <w:rPr>
          <w:vertAlign w:val="superscript"/>
          <w:lang w:val="fr-FR"/>
        </w:rPr>
        <w:t>o</w:t>
      </w:r>
      <w:r>
        <w:rPr>
          <w:lang w:val="fr-FR"/>
        </w:rPr>
        <w:t xml:space="preserve"> d’homologation</w:t>
      </w:r>
    </w:p>
    <w:p w14:paraId="62495F06" w14:textId="5F6A461B" w:rsidR="007016FE" w:rsidRPr="00E32F39" w:rsidRDefault="007016FE" w:rsidP="00283E38">
      <w:pPr>
        <w:pStyle w:val="SingleTxtG"/>
        <w:tabs>
          <w:tab w:val="clear" w:pos="1701"/>
          <w:tab w:val="right" w:leader="dot" w:pos="8505"/>
        </w:tabs>
        <w:rPr>
          <w:lang w:val="fr-FR"/>
        </w:rPr>
      </w:pPr>
      <w:r>
        <w:rPr>
          <w:lang w:val="fr-FR"/>
        </w:rPr>
        <w:t>1.</w:t>
      </w:r>
      <w:r>
        <w:rPr>
          <w:lang w:val="fr-FR"/>
        </w:rPr>
        <w:tab/>
        <w:t>Généralités</w:t>
      </w:r>
    </w:p>
    <w:p w14:paraId="33CF62F0" w14:textId="77777777" w:rsidR="007016FE" w:rsidRPr="00E32F39" w:rsidRDefault="007016FE" w:rsidP="00283E38">
      <w:pPr>
        <w:pStyle w:val="SingleTxtG"/>
        <w:tabs>
          <w:tab w:val="clear" w:pos="1701"/>
          <w:tab w:val="right" w:leader="dot" w:pos="8505"/>
        </w:tabs>
        <w:rPr>
          <w:lang w:val="fr-FR"/>
        </w:rPr>
      </w:pPr>
      <w:r>
        <w:rPr>
          <w:lang w:val="fr-FR"/>
        </w:rPr>
        <w:t>1.1</w:t>
      </w:r>
      <w:r>
        <w:rPr>
          <w:lang w:val="fr-FR"/>
        </w:rPr>
        <w:tab/>
        <w:t>Fabricant (marque commerciale du constructeur)</w:t>
      </w:r>
      <w:r>
        <w:rPr>
          <w:lang w:val="fr-FR"/>
        </w:rPr>
        <w:tab/>
      </w:r>
    </w:p>
    <w:p w14:paraId="36137165" w14:textId="77777777" w:rsidR="007016FE" w:rsidRPr="00E32F39" w:rsidRDefault="007016FE" w:rsidP="00283E38">
      <w:pPr>
        <w:pStyle w:val="SingleTxtG"/>
        <w:tabs>
          <w:tab w:val="clear" w:pos="1701"/>
          <w:tab w:val="right" w:leader="dot" w:pos="8505"/>
        </w:tabs>
        <w:rPr>
          <w:lang w:val="fr-FR"/>
        </w:rPr>
      </w:pPr>
      <w:r>
        <w:rPr>
          <w:lang w:val="fr-FR"/>
        </w:rPr>
        <w:t>1.2</w:t>
      </w:r>
      <w:r>
        <w:rPr>
          <w:lang w:val="fr-FR"/>
        </w:rPr>
        <w:tab/>
        <w:t>Type et dénomination(s) commerciale(s) générale(s)</w:t>
      </w:r>
      <w:r>
        <w:rPr>
          <w:lang w:val="fr-FR"/>
        </w:rPr>
        <w:tab/>
      </w:r>
    </w:p>
    <w:p w14:paraId="26AFB0C9" w14:textId="77777777" w:rsidR="00283E38" w:rsidRPr="00E32F39" w:rsidRDefault="00283E38" w:rsidP="00283E38">
      <w:pPr>
        <w:pStyle w:val="SingleTxtG"/>
        <w:tabs>
          <w:tab w:val="clear" w:pos="1701"/>
          <w:tab w:val="right" w:leader="dot" w:pos="8505"/>
        </w:tabs>
        <w:rPr>
          <w:lang w:val="fr-FR"/>
        </w:rPr>
      </w:pPr>
      <w:r>
        <w:rPr>
          <w:lang w:val="fr-FR"/>
        </w:rPr>
        <w:t>1.3</w:t>
      </w:r>
      <w:r>
        <w:rPr>
          <w:lang w:val="fr-FR"/>
        </w:rPr>
        <w:tab/>
        <w:t>Moyen d’identification du type, s’il est marqué sur le véhicule</w:t>
      </w:r>
      <w:r>
        <w:rPr>
          <w:lang w:val="fr-FR"/>
        </w:rPr>
        <w:tab/>
      </w:r>
    </w:p>
    <w:p w14:paraId="2D6BAFD9" w14:textId="4FD15D99" w:rsidR="00283E38" w:rsidRPr="00E32F39" w:rsidRDefault="00283E38" w:rsidP="00283E38">
      <w:pPr>
        <w:pStyle w:val="SingleTxtG"/>
        <w:tabs>
          <w:tab w:val="clear" w:pos="1701"/>
          <w:tab w:val="clear" w:pos="2835"/>
          <w:tab w:val="right" w:leader="dot" w:pos="8505"/>
        </w:tabs>
        <w:rPr>
          <w:lang w:val="fr-FR"/>
        </w:rPr>
      </w:pPr>
      <w:r w:rsidRPr="00E32F39">
        <w:rPr>
          <w:lang w:val="fr-FR"/>
        </w:rPr>
        <w:tab/>
      </w:r>
      <w:r w:rsidRPr="00E32F39">
        <w:rPr>
          <w:lang w:val="fr-FR"/>
        </w:rPr>
        <w:tab/>
      </w:r>
      <w:r>
        <w:rPr>
          <w:lang w:val="fr-FR"/>
        </w:rPr>
        <w:tab/>
      </w:r>
    </w:p>
    <w:p w14:paraId="33476BF9" w14:textId="77777777" w:rsidR="007016FE" w:rsidRPr="00E32F39" w:rsidRDefault="007016FE" w:rsidP="00283E38">
      <w:pPr>
        <w:pStyle w:val="SingleTxtG"/>
        <w:tabs>
          <w:tab w:val="clear" w:pos="1701"/>
          <w:tab w:val="right" w:leader="dot" w:pos="8505"/>
        </w:tabs>
        <w:rPr>
          <w:lang w:val="fr-FR"/>
        </w:rPr>
      </w:pPr>
      <w:r>
        <w:rPr>
          <w:lang w:val="fr-FR"/>
        </w:rPr>
        <w:t>1.3.1</w:t>
      </w:r>
      <w:r>
        <w:rPr>
          <w:lang w:val="fr-FR"/>
        </w:rPr>
        <w:tab/>
        <w:t>Emplacement de ce marquage</w:t>
      </w:r>
      <w:r>
        <w:rPr>
          <w:lang w:val="fr-FR"/>
        </w:rPr>
        <w:tab/>
      </w:r>
    </w:p>
    <w:p w14:paraId="560602C7" w14:textId="77777777" w:rsidR="007016FE" w:rsidRPr="00E32F39" w:rsidRDefault="007016FE" w:rsidP="00283E38">
      <w:pPr>
        <w:pStyle w:val="SingleTxtG"/>
        <w:tabs>
          <w:tab w:val="clear" w:pos="1701"/>
          <w:tab w:val="right" w:leader="dot" w:pos="8505"/>
        </w:tabs>
        <w:rPr>
          <w:lang w:val="fr-FR"/>
        </w:rPr>
      </w:pPr>
      <w:r>
        <w:rPr>
          <w:lang w:val="fr-FR"/>
        </w:rPr>
        <w:t>1.4</w:t>
      </w:r>
      <w:r>
        <w:rPr>
          <w:lang w:val="fr-FR"/>
        </w:rPr>
        <w:tab/>
        <w:t>Catégorie de véhicule</w:t>
      </w:r>
      <w:r>
        <w:rPr>
          <w:lang w:val="fr-FR"/>
        </w:rPr>
        <w:tab/>
      </w:r>
    </w:p>
    <w:p w14:paraId="3FA56588" w14:textId="77777777" w:rsidR="007016FE" w:rsidRPr="00E32F39" w:rsidRDefault="007016FE" w:rsidP="00283E38">
      <w:pPr>
        <w:pStyle w:val="SingleTxtG"/>
        <w:tabs>
          <w:tab w:val="clear" w:pos="1701"/>
          <w:tab w:val="right" w:leader="dot" w:pos="8505"/>
        </w:tabs>
        <w:rPr>
          <w:lang w:val="fr-FR"/>
        </w:rPr>
      </w:pPr>
      <w:r>
        <w:rPr>
          <w:lang w:val="fr-FR"/>
        </w:rPr>
        <w:t>1.5</w:t>
      </w:r>
      <w:r>
        <w:rPr>
          <w:lang w:val="fr-FR"/>
        </w:rPr>
        <w:tab/>
        <w:t>Nom et adresse du constructeur</w:t>
      </w:r>
      <w:r>
        <w:rPr>
          <w:lang w:val="fr-FR"/>
        </w:rPr>
        <w:tab/>
      </w:r>
    </w:p>
    <w:p w14:paraId="4734F90F" w14:textId="77777777" w:rsidR="007016FE" w:rsidRPr="00E32F39" w:rsidRDefault="007016FE" w:rsidP="00283E38">
      <w:pPr>
        <w:pStyle w:val="SingleTxtG"/>
        <w:tabs>
          <w:tab w:val="clear" w:pos="1701"/>
          <w:tab w:val="right" w:leader="dot" w:pos="8505"/>
        </w:tabs>
        <w:rPr>
          <w:lang w:val="fr-FR"/>
        </w:rPr>
      </w:pPr>
      <w:r>
        <w:rPr>
          <w:lang w:val="fr-FR"/>
        </w:rPr>
        <w:t>1.6</w:t>
      </w:r>
      <w:r>
        <w:rPr>
          <w:lang w:val="fr-FR"/>
        </w:rPr>
        <w:tab/>
        <w:t>Adresse(s) du ou des ateliers de montage</w:t>
      </w:r>
      <w:r>
        <w:rPr>
          <w:lang w:val="fr-FR"/>
        </w:rPr>
        <w:tab/>
      </w:r>
    </w:p>
    <w:p w14:paraId="56438871" w14:textId="77777777" w:rsidR="007016FE" w:rsidRPr="00E32F39" w:rsidRDefault="007016FE" w:rsidP="00283E38">
      <w:pPr>
        <w:pStyle w:val="SingleTxtG"/>
        <w:tabs>
          <w:tab w:val="clear" w:pos="1701"/>
          <w:tab w:val="right" w:leader="dot" w:pos="8505"/>
        </w:tabs>
        <w:rPr>
          <w:lang w:val="fr-FR"/>
        </w:rPr>
      </w:pPr>
      <w:r>
        <w:rPr>
          <w:lang w:val="fr-FR"/>
        </w:rPr>
        <w:t>1.7</w:t>
      </w:r>
      <w:r>
        <w:rPr>
          <w:lang w:val="fr-FR"/>
        </w:rPr>
        <w:tab/>
        <w:t>Service technique chargé de la conduite des essais</w:t>
      </w:r>
      <w:r>
        <w:rPr>
          <w:lang w:val="fr-FR"/>
        </w:rPr>
        <w:tab/>
      </w:r>
    </w:p>
    <w:p w14:paraId="77D648A4" w14:textId="77777777" w:rsidR="007016FE" w:rsidRPr="00E32F39" w:rsidRDefault="007016FE" w:rsidP="00283E38">
      <w:pPr>
        <w:pStyle w:val="SingleTxtG"/>
        <w:tabs>
          <w:tab w:val="clear" w:pos="1701"/>
          <w:tab w:val="right" w:leader="dot" w:pos="8505"/>
        </w:tabs>
        <w:rPr>
          <w:lang w:val="fr-FR"/>
        </w:rPr>
      </w:pPr>
      <w:r>
        <w:rPr>
          <w:lang w:val="fr-FR"/>
        </w:rPr>
        <w:t>1.8</w:t>
      </w:r>
      <w:r>
        <w:rPr>
          <w:lang w:val="fr-FR"/>
        </w:rPr>
        <w:tab/>
        <w:t>Date du procès-verbal d’essai</w:t>
      </w:r>
      <w:r>
        <w:rPr>
          <w:lang w:val="fr-FR"/>
        </w:rPr>
        <w:tab/>
      </w:r>
    </w:p>
    <w:p w14:paraId="72ADA380" w14:textId="77777777" w:rsidR="007016FE" w:rsidRPr="00E32F39" w:rsidRDefault="007016FE" w:rsidP="00283E38">
      <w:pPr>
        <w:pStyle w:val="SingleTxtG"/>
        <w:tabs>
          <w:tab w:val="clear" w:pos="1701"/>
          <w:tab w:val="right" w:leader="dot" w:pos="8505"/>
        </w:tabs>
        <w:rPr>
          <w:lang w:val="fr-FR"/>
        </w:rPr>
      </w:pPr>
      <w:r>
        <w:rPr>
          <w:lang w:val="fr-FR"/>
        </w:rPr>
        <w:t>1.9</w:t>
      </w:r>
      <w:r>
        <w:rPr>
          <w:lang w:val="fr-FR"/>
        </w:rPr>
        <w:tab/>
        <w:t>Numéro du procès-verbal d’essai</w:t>
      </w:r>
      <w:r>
        <w:rPr>
          <w:lang w:val="fr-FR"/>
        </w:rPr>
        <w:tab/>
      </w:r>
    </w:p>
    <w:p w14:paraId="0A66634F" w14:textId="77777777" w:rsidR="007016FE" w:rsidRPr="00E32F39" w:rsidRDefault="007016FE" w:rsidP="00283E38">
      <w:pPr>
        <w:pStyle w:val="SingleTxtG"/>
        <w:keepNext/>
        <w:tabs>
          <w:tab w:val="clear" w:pos="1701"/>
          <w:tab w:val="right" w:leader="dot" w:pos="8505"/>
        </w:tabs>
        <w:rPr>
          <w:lang w:val="fr-FR"/>
        </w:rPr>
      </w:pPr>
      <w:r>
        <w:rPr>
          <w:lang w:val="fr-FR"/>
        </w:rPr>
        <w:t>2.</w:t>
      </w:r>
      <w:r>
        <w:rPr>
          <w:lang w:val="fr-FR"/>
        </w:rPr>
        <w:tab/>
        <w:t>Caractéristiques générales de construction du véhicule</w:t>
      </w:r>
    </w:p>
    <w:p w14:paraId="14FC8047" w14:textId="77777777" w:rsidR="007016FE" w:rsidRPr="00E32F39" w:rsidRDefault="007016FE" w:rsidP="00283E38">
      <w:pPr>
        <w:pStyle w:val="SingleTxtG"/>
        <w:tabs>
          <w:tab w:val="clear" w:pos="1701"/>
          <w:tab w:val="right" w:leader="dot" w:pos="8505"/>
        </w:tabs>
        <w:rPr>
          <w:lang w:val="fr-FR"/>
        </w:rPr>
      </w:pPr>
      <w:r>
        <w:rPr>
          <w:lang w:val="fr-FR"/>
        </w:rPr>
        <w:t>2.1</w:t>
      </w:r>
      <w:r>
        <w:rPr>
          <w:lang w:val="fr-FR"/>
        </w:rPr>
        <w:tab/>
        <w:t>Photographies ou dessins d’un véhicule représentatif</w:t>
      </w:r>
      <w:r>
        <w:rPr>
          <w:lang w:val="fr-FR"/>
        </w:rPr>
        <w:tab/>
      </w:r>
    </w:p>
    <w:p w14:paraId="35D1EE93" w14:textId="77777777" w:rsidR="007016FE" w:rsidRPr="00E32F39" w:rsidRDefault="007016FE" w:rsidP="00283E38">
      <w:pPr>
        <w:pStyle w:val="SingleTxtG"/>
        <w:tabs>
          <w:tab w:val="clear" w:pos="1701"/>
          <w:tab w:val="right" w:leader="dot" w:pos="8505"/>
        </w:tabs>
        <w:rPr>
          <w:lang w:val="fr-FR"/>
        </w:rPr>
      </w:pPr>
      <w:r>
        <w:rPr>
          <w:lang w:val="fr-FR"/>
        </w:rPr>
        <w:t>3.</w:t>
      </w:r>
      <w:r>
        <w:rPr>
          <w:lang w:val="fr-FR"/>
        </w:rPr>
        <w:tab/>
        <w:t>Carrosserie</w:t>
      </w:r>
    </w:p>
    <w:p w14:paraId="51BA3B84" w14:textId="77777777" w:rsidR="007016FE" w:rsidRPr="00E32F39" w:rsidRDefault="007016FE" w:rsidP="00283E38">
      <w:pPr>
        <w:pStyle w:val="SingleTxtG"/>
        <w:tabs>
          <w:tab w:val="clear" w:pos="1701"/>
          <w:tab w:val="right" w:leader="dot" w:pos="8505"/>
        </w:tabs>
        <w:rPr>
          <w:lang w:val="fr-FR"/>
        </w:rPr>
      </w:pPr>
      <w:r>
        <w:rPr>
          <w:lang w:val="fr-FR"/>
        </w:rPr>
        <w:t>3.1</w:t>
      </w:r>
      <w:r>
        <w:rPr>
          <w:lang w:val="fr-FR"/>
        </w:rPr>
        <w:tab/>
        <w:t>Sièges</w:t>
      </w:r>
    </w:p>
    <w:p w14:paraId="708A270B" w14:textId="10738A4B" w:rsidR="007016FE" w:rsidRPr="00E32F39" w:rsidRDefault="007016FE" w:rsidP="00283E38">
      <w:pPr>
        <w:pStyle w:val="SingleTxtG"/>
        <w:tabs>
          <w:tab w:val="clear" w:pos="1701"/>
          <w:tab w:val="right" w:leader="dot" w:pos="8505"/>
        </w:tabs>
        <w:rPr>
          <w:lang w:val="fr-FR"/>
        </w:rPr>
      </w:pPr>
      <w:r>
        <w:rPr>
          <w:lang w:val="fr-FR"/>
        </w:rPr>
        <w:t>3.1.1</w:t>
      </w:r>
      <w:r>
        <w:rPr>
          <w:lang w:val="fr-FR"/>
        </w:rPr>
        <w:tab/>
        <w:t>Nombre</w:t>
      </w:r>
    </w:p>
    <w:p w14:paraId="7F08C701" w14:textId="77777777" w:rsidR="007016FE" w:rsidRPr="00E32F39" w:rsidRDefault="007016FE" w:rsidP="00283E38">
      <w:pPr>
        <w:pStyle w:val="SingleTxtG"/>
        <w:tabs>
          <w:tab w:val="clear" w:pos="1701"/>
          <w:tab w:val="right" w:leader="dot" w:pos="8505"/>
        </w:tabs>
        <w:rPr>
          <w:lang w:val="fr-FR"/>
        </w:rPr>
      </w:pPr>
      <w:r>
        <w:rPr>
          <w:lang w:val="fr-FR"/>
        </w:rPr>
        <w:t>3.1.2</w:t>
      </w:r>
      <w:r>
        <w:rPr>
          <w:lang w:val="fr-FR"/>
        </w:rPr>
        <w:tab/>
        <w:t>Emplacement et agencement</w:t>
      </w:r>
      <w:r>
        <w:rPr>
          <w:lang w:val="fr-FR"/>
        </w:rPr>
        <w:tab/>
      </w:r>
    </w:p>
    <w:p w14:paraId="0EC774DE" w14:textId="765D723A" w:rsidR="007016FE" w:rsidRPr="00E32F39" w:rsidRDefault="007016FE" w:rsidP="00283E38">
      <w:pPr>
        <w:pStyle w:val="SingleTxtG"/>
        <w:tabs>
          <w:tab w:val="clear" w:pos="1701"/>
          <w:tab w:val="right" w:leader="dot" w:pos="8505"/>
        </w:tabs>
        <w:ind w:left="2268" w:hanging="1134"/>
        <w:rPr>
          <w:lang w:val="fr-FR"/>
        </w:rPr>
      </w:pPr>
      <w:r>
        <w:rPr>
          <w:lang w:val="fr-FR"/>
        </w:rPr>
        <w:lastRenderedPageBreak/>
        <w:t>3.1.2.1</w:t>
      </w:r>
      <w:r>
        <w:rPr>
          <w:lang w:val="fr-FR"/>
        </w:rPr>
        <w:tab/>
        <w:t>Place(s) assise(s) destinée(s) à être utilisées uniquement lorsque le véhicule est à l’arrêt</w:t>
      </w:r>
      <w:r w:rsidR="00283E38">
        <w:rPr>
          <w:lang w:val="fr-FR"/>
        </w:rPr>
        <w:tab/>
      </w:r>
    </w:p>
    <w:p w14:paraId="14DB13BC" w14:textId="444ED70A" w:rsidR="007016FE" w:rsidRPr="00E32F39" w:rsidRDefault="007016FE" w:rsidP="00283E38">
      <w:pPr>
        <w:pStyle w:val="SingleTxtG"/>
        <w:tabs>
          <w:tab w:val="clear" w:pos="1701"/>
          <w:tab w:val="right" w:leader="dot" w:pos="8505"/>
        </w:tabs>
        <w:rPr>
          <w:lang w:val="fr-FR"/>
        </w:rPr>
      </w:pPr>
      <w:r>
        <w:rPr>
          <w:lang w:val="fr-FR"/>
        </w:rPr>
        <w:t>3.1.3</w:t>
      </w:r>
      <w:r>
        <w:rPr>
          <w:lang w:val="fr-FR"/>
        </w:rPr>
        <w:tab/>
        <w:t>Caractéristiques</w:t>
      </w:r>
      <w:r w:rsidR="00B46129">
        <w:rPr>
          <w:lang w:val="fr-FR"/>
        </w:rPr>
        <w:t> :</w:t>
      </w:r>
      <w:r>
        <w:rPr>
          <w:lang w:val="fr-FR"/>
        </w:rPr>
        <w:t xml:space="preserve"> description et dessins des</w:t>
      </w:r>
      <w:r w:rsidR="00B46129">
        <w:rPr>
          <w:lang w:val="fr-FR"/>
        </w:rPr>
        <w:t> :</w:t>
      </w:r>
      <w:r>
        <w:rPr>
          <w:lang w:val="fr-FR"/>
        </w:rPr>
        <w:t xml:space="preserve"> (fournir s’il y a lieu)</w:t>
      </w:r>
    </w:p>
    <w:p w14:paraId="3390D7C8" w14:textId="77777777" w:rsidR="007016FE" w:rsidRPr="00E32F39" w:rsidRDefault="007016FE" w:rsidP="00283E38">
      <w:pPr>
        <w:pStyle w:val="SingleTxtG"/>
        <w:tabs>
          <w:tab w:val="clear" w:pos="1701"/>
          <w:tab w:val="right" w:leader="dot" w:pos="8505"/>
        </w:tabs>
        <w:rPr>
          <w:lang w:val="fr-FR"/>
        </w:rPr>
      </w:pPr>
      <w:r>
        <w:rPr>
          <w:lang w:val="fr-FR"/>
        </w:rPr>
        <w:t>3.1.3.1</w:t>
      </w:r>
      <w:r>
        <w:rPr>
          <w:lang w:val="fr-FR"/>
        </w:rPr>
        <w:tab/>
        <w:t>Sièges et leurs ancrages</w:t>
      </w:r>
      <w:r>
        <w:rPr>
          <w:lang w:val="fr-FR"/>
        </w:rPr>
        <w:tab/>
      </w:r>
    </w:p>
    <w:p w14:paraId="56B2EE3E" w14:textId="77777777" w:rsidR="007016FE" w:rsidRPr="00E32F39" w:rsidRDefault="007016FE" w:rsidP="00283E38">
      <w:pPr>
        <w:pStyle w:val="SingleTxtG"/>
        <w:tabs>
          <w:tab w:val="clear" w:pos="1701"/>
          <w:tab w:val="right" w:leader="dot" w:pos="8505"/>
        </w:tabs>
        <w:rPr>
          <w:lang w:val="fr-FR"/>
        </w:rPr>
      </w:pPr>
      <w:r>
        <w:rPr>
          <w:lang w:val="fr-FR"/>
        </w:rPr>
        <w:t>3.1.3.2</w:t>
      </w:r>
      <w:r>
        <w:rPr>
          <w:lang w:val="fr-FR"/>
        </w:rPr>
        <w:tab/>
        <w:t>Système de réglage</w:t>
      </w:r>
      <w:r>
        <w:rPr>
          <w:lang w:val="fr-FR"/>
        </w:rPr>
        <w:tab/>
      </w:r>
    </w:p>
    <w:p w14:paraId="296AB184" w14:textId="77777777" w:rsidR="007016FE" w:rsidRPr="00E32F39" w:rsidRDefault="007016FE" w:rsidP="00283E38">
      <w:pPr>
        <w:pStyle w:val="SingleTxtG"/>
        <w:tabs>
          <w:tab w:val="clear" w:pos="1701"/>
          <w:tab w:val="right" w:leader="dot" w:pos="8505"/>
        </w:tabs>
        <w:rPr>
          <w:lang w:val="fr-FR"/>
        </w:rPr>
      </w:pPr>
      <w:r>
        <w:rPr>
          <w:lang w:val="fr-FR"/>
        </w:rPr>
        <w:t>3.1.3.3</w:t>
      </w:r>
      <w:r>
        <w:rPr>
          <w:lang w:val="fr-FR"/>
        </w:rPr>
        <w:tab/>
        <w:t>Systèmes d’entraînement et de verrouillage</w:t>
      </w:r>
      <w:r>
        <w:rPr>
          <w:lang w:val="fr-FR"/>
        </w:rPr>
        <w:tab/>
      </w:r>
    </w:p>
    <w:p w14:paraId="7D28EB7E" w14:textId="77777777" w:rsidR="007016FE" w:rsidRPr="00E32F39" w:rsidRDefault="007016FE" w:rsidP="00283E38">
      <w:pPr>
        <w:pStyle w:val="SingleTxtG"/>
        <w:tabs>
          <w:tab w:val="clear" w:pos="1701"/>
          <w:tab w:val="right" w:leader="dot" w:pos="8505"/>
        </w:tabs>
        <w:rPr>
          <w:lang w:val="fr-FR"/>
        </w:rPr>
      </w:pPr>
      <w:r>
        <w:rPr>
          <w:lang w:val="fr-FR"/>
        </w:rPr>
        <w:t>3.1.3.4</w:t>
      </w:r>
      <w:r>
        <w:rPr>
          <w:lang w:val="fr-FR"/>
        </w:rPr>
        <w:tab/>
        <w:t>Ancrages de ceintures de sécurité, si incorporés dans l’ossature du siège</w:t>
      </w:r>
      <w:r>
        <w:rPr>
          <w:lang w:val="fr-FR"/>
        </w:rPr>
        <w:tab/>
      </w:r>
    </w:p>
    <w:p w14:paraId="25DF391C" w14:textId="77777777" w:rsidR="007016FE" w:rsidRPr="00E32F39" w:rsidRDefault="007016FE" w:rsidP="00283E38">
      <w:pPr>
        <w:pStyle w:val="SingleTxtG"/>
        <w:tabs>
          <w:tab w:val="clear" w:pos="1701"/>
          <w:tab w:val="right" w:leader="dot" w:pos="8505"/>
        </w:tabs>
        <w:ind w:left="2268" w:hanging="1134"/>
        <w:rPr>
          <w:lang w:val="fr-FR"/>
        </w:rPr>
      </w:pPr>
      <w:r>
        <w:rPr>
          <w:lang w:val="fr-FR"/>
        </w:rPr>
        <w:t>3.2</w:t>
      </w:r>
      <w:r>
        <w:rPr>
          <w:lang w:val="fr-FR"/>
        </w:rPr>
        <w:tab/>
        <w:t>Ceintures de sécurité et/ou autres systèmes de retenue et témoins de port de ceinture</w:t>
      </w:r>
    </w:p>
    <w:p w14:paraId="7F9EB638" w14:textId="70B6F93E" w:rsidR="007016FE" w:rsidRPr="00E32F39" w:rsidRDefault="007016FE" w:rsidP="00283E38">
      <w:pPr>
        <w:pStyle w:val="SingleTxtG"/>
        <w:tabs>
          <w:tab w:val="clear" w:pos="1701"/>
          <w:tab w:val="right" w:leader="dot" w:pos="8505"/>
        </w:tabs>
        <w:ind w:left="2268" w:hanging="567"/>
        <w:rPr>
          <w:lang w:val="fr-FR"/>
        </w:rPr>
      </w:pPr>
      <w:r>
        <w:rPr>
          <w:lang w:val="fr-FR"/>
        </w:rPr>
        <w:tab/>
        <w:t xml:space="preserve">Nombre et emplacement des ceintures de sécurité ou systèmes de retenue et des </w:t>
      </w:r>
      <w:proofErr w:type="spellStart"/>
      <w:r w:rsidR="008608AA">
        <w:rPr>
          <w:lang w:val="fr-FR"/>
        </w:rPr>
        <w:t>é</w:t>
      </w:r>
      <w:r>
        <w:rPr>
          <w:lang w:val="fr-FR"/>
        </w:rPr>
        <w:t>témoins</w:t>
      </w:r>
      <w:proofErr w:type="spellEnd"/>
      <w:r>
        <w:rPr>
          <w:lang w:val="fr-FR"/>
        </w:rPr>
        <w:t xml:space="preserve"> de port de ceinture et des sièges où ils peuvent être utilisés</w:t>
      </w:r>
      <w:r>
        <w:rPr>
          <w:lang w:val="fr-FR"/>
        </w:rPr>
        <w:tab/>
      </w:r>
    </w:p>
    <w:tbl>
      <w:tblPr>
        <w:tblW w:w="7370" w:type="dxa"/>
        <w:tblInd w:w="1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1382"/>
        <w:gridCol w:w="458"/>
        <w:gridCol w:w="1775"/>
        <w:gridCol w:w="1435"/>
        <w:gridCol w:w="2320"/>
      </w:tblGrid>
      <w:tr w:rsidR="007016FE" w:rsidRPr="0094133B" w14:paraId="592FD6A9" w14:textId="77777777" w:rsidTr="00D90254">
        <w:trPr>
          <w:tblHeader/>
        </w:trPr>
        <w:tc>
          <w:tcPr>
            <w:tcW w:w="1840" w:type="dxa"/>
            <w:gridSpan w:val="2"/>
            <w:tcBorders>
              <w:bottom w:val="single" w:sz="12" w:space="0" w:color="auto"/>
            </w:tcBorders>
            <w:shd w:val="clear" w:color="auto" w:fill="auto"/>
            <w:vAlign w:val="bottom"/>
          </w:tcPr>
          <w:p w14:paraId="06C17463" w14:textId="77777777" w:rsidR="007016FE" w:rsidRPr="009529D4" w:rsidRDefault="007016FE" w:rsidP="00D90254">
            <w:pPr>
              <w:suppressAutoHyphens w:val="0"/>
              <w:spacing w:before="80" w:after="80" w:line="200" w:lineRule="exact"/>
              <w:ind w:left="113" w:right="113"/>
              <w:rPr>
                <w:i/>
                <w:sz w:val="16"/>
                <w:szCs w:val="16"/>
                <w:lang w:val="fr-FR"/>
              </w:rPr>
            </w:pPr>
          </w:p>
        </w:tc>
        <w:tc>
          <w:tcPr>
            <w:tcW w:w="1775" w:type="dxa"/>
            <w:tcBorders>
              <w:bottom w:val="single" w:sz="12" w:space="0" w:color="auto"/>
            </w:tcBorders>
            <w:shd w:val="clear" w:color="auto" w:fill="auto"/>
            <w:vAlign w:val="bottom"/>
          </w:tcPr>
          <w:p w14:paraId="469ABF20" w14:textId="77777777" w:rsidR="007016FE" w:rsidRPr="009529D4" w:rsidRDefault="007016FE" w:rsidP="00D90254">
            <w:pPr>
              <w:suppressAutoHyphens w:val="0"/>
              <w:spacing w:before="80" w:after="80" w:line="200" w:lineRule="exact"/>
              <w:ind w:left="113" w:right="71"/>
              <w:rPr>
                <w:i/>
                <w:sz w:val="16"/>
                <w:szCs w:val="16"/>
              </w:rPr>
            </w:pPr>
            <w:r w:rsidRPr="009529D4">
              <w:rPr>
                <w:i/>
                <w:iCs/>
                <w:sz w:val="16"/>
                <w:szCs w:val="16"/>
                <w:lang w:val="fr-FR"/>
              </w:rPr>
              <w:t>Marque d</w:t>
            </w:r>
            <w:r>
              <w:rPr>
                <w:i/>
                <w:iCs/>
                <w:sz w:val="16"/>
                <w:szCs w:val="16"/>
                <w:lang w:val="fr-FR"/>
              </w:rPr>
              <w:t>’</w:t>
            </w:r>
            <w:r w:rsidRPr="009529D4">
              <w:rPr>
                <w:i/>
                <w:iCs/>
                <w:sz w:val="16"/>
                <w:szCs w:val="16"/>
                <w:lang w:val="fr-FR"/>
              </w:rPr>
              <w:t>homologation complète</w:t>
            </w:r>
          </w:p>
        </w:tc>
        <w:tc>
          <w:tcPr>
            <w:tcW w:w="1435" w:type="dxa"/>
            <w:tcBorders>
              <w:bottom w:val="single" w:sz="12" w:space="0" w:color="auto"/>
            </w:tcBorders>
            <w:shd w:val="clear" w:color="auto" w:fill="auto"/>
            <w:vAlign w:val="bottom"/>
          </w:tcPr>
          <w:p w14:paraId="39A2FB34" w14:textId="77777777" w:rsidR="007016FE" w:rsidRPr="009529D4" w:rsidRDefault="007016FE" w:rsidP="00D90254">
            <w:pPr>
              <w:suppressAutoHyphens w:val="0"/>
              <w:spacing w:before="80" w:after="80" w:line="200" w:lineRule="exact"/>
              <w:ind w:left="113" w:right="113"/>
              <w:rPr>
                <w:i/>
                <w:sz w:val="16"/>
                <w:szCs w:val="16"/>
              </w:rPr>
            </w:pPr>
            <w:r w:rsidRPr="009529D4">
              <w:rPr>
                <w:i/>
                <w:iCs/>
                <w:sz w:val="16"/>
                <w:szCs w:val="16"/>
                <w:lang w:val="fr-FR"/>
              </w:rPr>
              <w:t xml:space="preserve">Variante </w:t>
            </w:r>
            <w:r>
              <w:rPr>
                <w:i/>
                <w:iCs/>
                <w:sz w:val="16"/>
                <w:szCs w:val="16"/>
                <w:lang w:val="fr-FR"/>
              </w:rPr>
              <w:br/>
            </w:r>
            <w:r w:rsidRPr="009529D4">
              <w:rPr>
                <w:i/>
                <w:iCs/>
                <w:sz w:val="16"/>
                <w:szCs w:val="16"/>
                <w:lang w:val="fr-FR"/>
              </w:rPr>
              <w:t>(le cas échéant)</w:t>
            </w:r>
          </w:p>
        </w:tc>
        <w:tc>
          <w:tcPr>
            <w:tcW w:w="2320" w:type="dxa"/>
            <w:tcBorders>
              <w:bottom w:val="single" w:sz="12" w:space="0" w:color="auto"/>
            </w:tcBorders>
            <w:shd w:val="clear" w:color="auto" w:fill="auto"/>
            <w:vAlign w:val="bottom"/>
          </w:tcPr>
          <w:p w14:paraId="3C8BC5CB" w14:textId="77777777" w:rsidR="007016FE" w:rsidRPr="009529D4" w:rsidRDefault="007016FE" w:rsidP="00D90254">
            <w:pPr>
              <w:suppressAutoHyphens w:val="0"/>
              <w:spacing w:before="80" w:after="80" w:line="200" w:lineRule="exact"/>
              <w:ind w:left="113" w:right="113"/>
              <w:rPr>
                <w:i/>
                <w:sz w:val="16"/>
                <w:szCs w:val="16"/>
                <w:lang w:val="fr-FR"/>
              </w:rPr>
            </w:pPr>
            <w:r w:rsidRPr="009529D4">
              <w:rPr>
                <w:i/>
                <w:iCs/>
                <w:sz w:val="16"/>
                <w:szCs w:val="16"/>
                <w:lang w:val="fr-FR"/>
              </w:rPr>
              <w:t>Témoin de port de ceinture (indiquer oui/non/option)</w:t>
            </w:r>
          </w:p>
        </w:tc>
      </w:tr>
      <w:tr w:rsidR="007016FE" w:rsidRPr="00B16B68" w14:paraId="3EDB9D0D" w14:textId="77777777" w:rsidTr="00D90254">
        <w:trPr>
          <w:trHeight w:val="20"/>
        </w:trPr>
        <w:tc>
          <w:tcPr>
            <w:tcW w:w="1382" w:type="dxa"/>
            <w:vMerge w:val="restart"/>
            <w:tcBorders>
              <w:top w:val="single" w:sz="12" w:space="0" w:color="auto"/>
            </w:tcBorders>
            <w:shd w:val="clear" w:color="auto" w:fill="auto"/>
          </w:tcPr>
          <w:p w14:paraId="1B4AEA0A" w14:textId="77777777" w:rsidR="007016FE" w:rsidRPr="00B16B68" w:rsidRDefault="007016FE" w:rsidP="00D90254">
            <w:pPr>
              <w:suppressAutoHyphens w:val="0"/>
              <w:spacing w:before="40" w:after="120" w:line="220" w:lineRule="exact"/>
              <w:ind w:left="113" w:right="113"/>
            </w:pPr>
            <w:r>
              <w:rPr>
                <w:lang w:val="fr-FR"/>
              </w:rPr>
              <w:t>Première rangée de sièges</w:t>
            </w:r>
          </w:p>
        </w:tc>
        <w:tc>
          <w:tcPr>
            <w:tcW w:w="458" w:type="dxa"/>
            <w:tcBorders>
              <w:top w:val="single" w:sz="12" w:space="0" w:color="auto"/>
            </w:tcBorders>
            <w:shd w:val="clear" w:color="auto" w:fill="auto"/>
          </w:tcPr>
          <w:p w14:paraId="2401308A" w14:textId="77777777" w:rsidR="007016FE" w:rsidRPr="00B16B68" w:rsidRDefault="007016FE" w:rsidP="00D90254">
            <w:pPr>
              <w:suppressAutoHyphens w:val="0"/>
              <w:spacing w:before="40" w:after="120" w:line="220" w:lineRule="exact"/>
              <w:ind w:left="113" w:right="113"/>
              <w:jc w:val="center"/>
            </w:pPr>
            <w:r>
              <w:rPr>
                <w:lang w:val="fr-FR"/>
              </w:rPr>
              <w:t>D</w:t>
            </w:r>
          </w:p>
        </w:tc>
        <w:tc>
          <w:tcPr>
            <w:tcW w:w="1775" w:type="dxa"/>
            <w:tcBorders>
              <w:top w:val="single" w:sz="12" w:space="0" w:color="auto"/>
            </w:tcBorders>
            <w:shd w:val="clear" w:color="auto" w:fill="auto"/>
          </w:tcPr>
          <w:p w14:paraId="5CAFECBB" w14:textId="77777777" w:rsidR="007016FE" w:rsidRPr="00B16B68" w:rsidRDefault="007016FE" w:rsidP="00D90254">
            <w:pPr>
              <w:suppressAutoHyphens w:val="0"/>
              <w:spacing w:before="40" w:after="120" w:line="220" w:lineRule="exact"/>
              <w:ind w:left="113" w:right="113"/>
            </w:pPr>
          </w:p>
        </w:tc>
        <w:tc>
          <w:tcPr>
            <w:tcW w:w="1435" w:type="dxa"/>
            <w:tcBorders>
              <w:top w:val="single" w:sz="12" w:space="0" w:color="auto"/>
            </w:tcBorders>
            <w:shd w:val="clear" w:color="auto" w:fill="auto"/>
          </w:tcPr>
          <w:p w14:paraId="6419B087" w14:textId="77777777" w:rsidR="007016FE" w:rsidRPr="00B16B68" w:rsidRDefault="007016FE" w:rsidP="00D90254">
            <w:pPr>
              <w:suppressAutoHyphens w:val="0"/>
              <w:spacing w:before="40" w:after="120" w:line="220" w:lineRule="exact"/>
              <w:ind w:left="113" w:right="113"/>
            </w:pPr>
          </w:p>
        </w:tc>
        <w:tc>
          <w:tcPr>
            <w:tcW w:w="2320" w:type="dxa"/>
            <w:tcBorders>
              <w:top w:val="single" w:sz="12" w:space="0" w:color="auto"/>
            </w:tcBorders>
            <w:shd w:val="clear" w:color="auto" w:fill="auto"/>
          </w:tcPr>
          <w:p w14:paraId="489608C7" w14:textId="77777777" w:rsidR="007016FE" w:rsidRPr="00B16B68" w:rsidRDefault="007016FE" w:rsidP="00D90254">
            <w:pPr>
              <w:suppressAutoHyphens w:val="0"/>
              <w:spacing w:before="40" w:after="120" w:line="220" w:lineRule="exact"/>
              <w:ind w:left="113" w:right="113"/>
            </w:pPr>
          </w:p>
        </w:tc>
      </w:tr>
      <w:tr w:rsidR="007016FE" w:rsidRPr="00B16B68" w14:paraId="7BEF71F1" w14:textId="77777777" w:rsidTr="00D90254">
        <w:trPr>
          <w:trHeight w:val="20"/>
        </w:trPr>
        <w:tc>
          <w:tcPr>
            <w:tcW w:w="1382" w:type="dxa"/>
            <w:vMerge/>
            <w:shd w:val="clear" w:color="auto" w:fill="auto"/>
          </w:tcPr>
          <w:p w14:paraId="0A24BEA3" w14:textId="77777777" w:rsidR="007016FE" w:rsidRPr="00B16B68" w:rsidRDefault="007016FE" w:rsidP="00D90254">
            <w:pPr>
              <w:suppressAutoHyphens w:val="0"/>
              <w:spacing w:before="40" w:after="100" w:line="220" w:lineRule="exact"/>
              <w:ind w:left="1134" w:right="1134"/>
            </w:pPr>
          </w:p>
        </w:tc>
        <w:tc>
          <w:tcPr>
            <w:tcW w:w="458" w:type="dxa"/>
            <w:shd w:val="clear" w:color="auto" w:fill="auto"/>
          </w:tcPr>
          <w:p w14:paraId="3EB22E8F" w14:textId="77777777" w:rsidR="007016FE" w:rsidRPr="00B16B68" w:rsidRDefault="007016FE" w:rsidP="00D90254">
            <w:pPr>
              <w:suppressAutoHyphens w:val="0"/>
              <w:spacing w:before="40" w:after="120" w:line="220" w:lineRule="exact"/>
              <w:ind w:left="113" w:right="113"/>
              <w:jc w:val="center"/>
            </w:pPr>
            <w:r>
              <w:rPr>
                <w:lang w:val="fr-FR"/>
              </w:rPr>
              <w:t>C</w:t>
            </w:r>
          </w:p>
        </w:tc>
        <w:tc>
          <w:tcPr>
            <w:tcW w:w="1775" w:type="dxa"/>
            <w:shd w:val="clear" w:color="auto" w:fill="auto"/>
          </w:tcPr>
          <w:p w14:paraId="54B0F864" w14:textId="77777777" w:rsidR="007016FE" w:rsidRPr="00B16B68" w:rsidRDefault="007016FE" w:rsidP="00D90254">
            <w:pPr>
              <w:suppressAutoHyphens w:val="0"/>
              <w:spacing w:before="40" w:after="120" w:line="220" w:lineRule="exact"/>
              <w:ind w:left="113" w:right="113"/>
            </w:pPr>
          </w:p>
        </w:tc>
        <w:tc>
          <w:tcPr>
            <w:tcW w:w="1435" w:type="dxa"/>
            <w:shd w:val="clear" w:color="auto" w:fill="auto"/>
          </w:tcPr>
          <w:p w14:paraId="2436095E" w14:textId="77777777" w:rsidR="007016FE" w:rsidRPr="00B16B68" w:rsidRDefault="007016FE" w:rsidP="00D90254">
            <w:pPr>
              <w:suppressAutoHyphens w:val="0"/>
              <w:spacing w:before="40" w:after="120" w:line="220" w:lineRule="exact"/>
              <w:ind w:left="113" w:right="113"/>
            </w:pPr>
          </w:p>
        </w:tc>
        <w:tc>
          <w:tcPr>
            <w:tcW w:w="2320" w:type="dxa"/>
            <w:shd w:val="clear" w:color="auto" w:fill="auto"/>
          </w:tcPr>
          <w:p w14:paraId="48122A59" w14:textId="77777777" w:rsidR="007016FE" w:rsidRPr="00B16B68" w:rsidRDefault="007016FE" w:rsidP="00D90254">
            <w:pPr>
              <w:suppressAutoHyphens w:val="0"/>
              <w:spacing w:before="40" w:after="120" w:line="220" w:lineRule="exact"/>
              <w:ind w:left="113" w:right="113"/>
            </w:pPr>
          </w:p>
        </w:tc>
      </w:tr>
      <w:tr w:rsidR="007016FE" w:rsidRPr="00B16B68" w14:paraId="493A6565" w14:textId="77777777" w:rsidTr="00D90254">
        <w:trPr>
          <w:trHeight w:val="20"/>
        </w:trPr>
        <w:tc>
          <w:tcPr>
            <w:tcW w:w="1382" w:type="dxa"/>
            <w:vMerge/>
            <w:shd w:val="clear" w:color="auto" w:fill="auto"/>
          </w:tcPr>
          <w:p w14:paraId="2BF3340C" w14:textId="77777777" w:rsidR="007016FE" w:rsidRPr="00B16B68" w:rsidRDefault="007016FE" w:rsidP="00D90254">
            <w:pPr>
              <w:suppressAutoHyphens w:val="0"/>
              <w:spacing w:before="40" w:after="100" w:line="220" w:lineRule="exact"/>
              <w:ind w:left="1134" w:right="1134"/>
            </w:pPr>
          </w:p>
        </w:tc>
        <w:tc>
          <w:tcPr>
            <w:tcW w:w="458" w:type="dxa"/>
            <w:shd w:val="clear" w:color="auto" w:fill="auto"/>
          </w:tcPr>
          <w:p w14:paraId="2C206FD3" w14:textId="77777777" w:rsidR="007016FE" w:rsidRPr="00B16B68" w:rsidRDefault="007016FE" w:rsidP="00D90254">
            <w:pPr>
              <w:suppressAutoHyphens w:val="0"/>
              <w:spacing w:before="40" w:after="120" w:line="220" w:lineRule="exact"/>
              <w:ind w:left="113" w:right="113"/>
              <w:jc w:val="center"/>
            </w:pPr>
            <w:r>
              <w:rPr>
                <w:lang w:val="fr-FR"/>
              </w:rPr>
              <w:t>G</w:t>
            </w:r>
          </w:p>
        </w:tc>
        <w:tc>
          <w:tcPr>
            <w:tcW w:w="1775" w:type="dxa"/>
            <w:shd w:val="clear" w:color="auto" w:fill="auto"/>
          </w:tcPr>
          <w:p w14:paraId="736EC5B8" w14:textId="77777777" w:rsidR="007016FE" w:rsidRPr="00B16B68" w:rsidRDefault="007016FE" w:rsidP="00D90254">
            <w:pPr>
              <w:suppressAutoHyphens w:val="0"/>
              <w:spacing w:before="40" w:after="120" w:line="220" w:lineRule="exact"/>
              <w:ind w:left="113" w:right="113"/>
            </w:pPr>
          </w:p>
        </w:tc>
        <w:tc>
          <w:tcPr>
            <w:tcW w:w="1435" w:type="dxa"/>
            <w:shd w:val="clear" w:color="auto" w:fill="auto"/>
          </w:tcPr>
          <w:p w14:paraId="7BA41C66" w14:textId="77777777" w:rsidR="007016FE" w:rsidRPr="00B16B68" w:rsidRDefault="007016FE" w:rsidP="00D90254">
            <w:pPr>
              <w:suppressAutoHyphens w:val="0"/>
              <w:spacing w:before="40" w:after="120" w:line="220" w:lineRule="exact"/>
              <w:ind w:left="113" w:right="113"/>
            </w:pPr>
          </w:p>
        </w:tc>
        <w:tc>
          <w:tcPr>
            <w:tcW w:w="2320" w:type="dxa"/>
            <w:shd w:val="clear" w:color="auto" w:fill="auto"/>
          </w:tcPr>
          <w:p w14:paraId="61E27F4C" w14:textId="77777777" w:rsidR="007016FE" w:rsidRPr="00B16B68" w:rsidRDefault="007016FE" w:rsidP="00D90254">
            <w:pPr>
              <w:suppressAutoHyphens w:val="0"/>
              <w:spacing w:before="40" w:after="120" w:line="220" w:lineRule="exact"/>
              <w:ind w:left="113" w:right="113"/>
            </w:pPr>
          </w:p>
        </w:tc>
      </w:tr>
      <w:tr w:rsidR="007016FE" w:rsidRPr="00B16B68" w14:paraId="3BFC6DAC" w14:textId="77777777" w:rsidTr="00D90254">
        <w:trPr>
          <w:trHeight w:val="215"/>
        </w:trPr>
        <w:tc>
          <w:tcPr>
            <w:tcW w:w="1382" w:type="dxa"/>
            <w:vMerge w:val="restart"/>
            <w:shd w:val="clear" w:color="auto" w:fill="auto"/>
          </w:tcPr>
          <w:p w14:paraId="6050A4E9" w14:textId="77777777" w:rsidR="007016FE" w:rsidRPr="00B16B68" w:rsidRDefault="007016FE" w:rsidP="00D90254">
            <w:pPr>
              <w:suppressAutoHyphens w:val="0"/>
              <w:spacing w:before="40" w:after="120" w:line="220" w:lineRule="exact"/>
              <w:ind w:left="113" w:right="113"/>
            </w:pPr>
            <w:r>
              <w:rPr>
                <w:lang w:val="fr-FR"/>
              </w:rPr>
              <w:t>Deuxième rangée de sièges</w:t>
            </w:r>
          </w:p>
        </w:tc>
        <w:tc>
          <w:tcPr>
            <w:tcW w:w="458" w:type="dxa"/>
            <w:shd w:val="clear" w:color="auto" w:fill="auto"/>
          </w:tcPr>
          <w:p w14:paraId="10D37AF4" w14:textId="77777777" w:rsidR="007016FE" w:rsidRPr="00B16B68" w:rsidRDefault="007016FE" w:rsidP="00D90254">
            <w:pPr>
              <w:suppressAutoHyphens w:val="0"/>
              <w:spacing w:before="40" w:after="120" w:line="220" w:lineRule="exact"/>
              <w:ind w:left="113" w:right="113"/>
              <w:jc w:val="center"/>
            </w:pPr>
            <w:r>
              <w:rPr>
                <w:lang w:val="fr-FR"/>
              </w:rPr>
              <w:t>D</w:t>
            </w:r>
          </w:p>
        </w:tc>
        <w:tc>
          <w:tcPr>
            <w:tcW w:w="1775" w:type="dxa"/>
            <w:shd w:val="clear" w:color="auto" w:fill="auto"/>
          </w:tcPr>
          <w:p w14:paraId="1C20A33B" w14:textId="77777777" w:rsidR="007016FE" w:rsidRPr="00B16B68" w:rsidRDefault="007016FE" w:rsidP="00D90254">
            <w:pPr>
              <w:suppressAutoHyphens w:val="0"/>
              <w:spacing w:before="40" w:after="120" w:line="220" w:lineRule="exact"/>
              <w:ind w:left="113" w:right="113"/>
            </w:pPr>
          </w:p>
        </w:tc>
        <w:tc>
          <w:tcPr>
            <w:tcW w:w="1435" w:type="dxa"/>
            <w:shd w:val="clear" w:color="auto" w:fill="auto"/>
          </w:tcPr>
          <w:p w14:paraId="2B22D7F1" w14:textId="77777777" w:rsidR="007016FE" w:rsidRPr="00B16B68" w:rsidRDefault="007016FE" w:rsidP="00D90254">
            <w:pPr>
              <w:suppressAutoHyphens w:val="0"/>
              <w:spacing w:before="40" w:after="120" w:line="220" w:lineRule="exact"/>
              <w:ind w:left="113" w:right="113"/>
            </w:pPr>
          </w:p>
        </w:tc>
        <w:tc>
          <w:tcPr>
            <w:tcW w:w="2320" w:type="dxa"/>
            <w:shd w:val="clear" w:color="auto" w:fill="auto"/>
          </w:tcPr>
          <w:p w14:paraId="72C2F34B" w14:textId="77777777" w:rsidR="007016FE" w:rsidRPr="00B16B68" w:rsidRDefault="007016FE" w:rsidP="00D90254">
            <w:pPr>
              <w:suppressAutoHyphens w:val="0"/>
              <w:spacing w:before="40" w:after="120" w:line="220" w:lineRule="exact"/>
              <w:ind w:left="113" w:right="113"/>
            </w:pPr>
          </w:p>
        </w:tc>
      </w:tr>
      <w:tr w:rsidR="007016FE" w:rsidRPr="00B16B68" w14:paraId="34E0E552" w14:textId="77777777" w:rsidTr="00D90254">
        <w:trPr>
          <w:trHeight w:val="215"/>
        </w:trPr>
        <w:tc>
          <w:tcPr>
            <w:tcW w:w="1382" w:type="dxa"/>
            <w:vMerge/>
            <w:shd w:val="clear" w:color="auto" w:fill="auto"/>
          </w:tcPr>
          <w:p w14:paraId="5E0828D6" w14:textId="77777777" w:rsidR="007016FE" w:rsidRPr="00B16B68" w:rsidRDefault="007016FE" w:rsidP="00D90254">
            <w:pPr>
              <w:suppressAutoHyphens w:val="0"/>
              <w:spacing w:before="40" w:after="100" w:line="220" w:lineRule="exact"/>
              <w:ind w:left="113" w:right="113"/>
            </w:pPr>
          </w:p>
        </w:tc>
        <w:tc>
          <w:tcPr>
            <w:tcW w:w="458" w:type="dxa"/>
            <w:shd w:val="clear" w:color="auto" w:fill="auto"/>
          </w:tcPr>
          <w:p w14:paraId="7A139346" w14:textId="77777777" w:rsidR="007016FE" w:rsidRPr="00B16B68" w:rsidRDefault="007016FE" w:rsidP="00D90254">
            <w:pPr>
              <w:suppressAutoHyphens w:val="0"/>
              <w:spacing w:before="40" w:after="120" w:line="220" w:lineRule="exact"/>
              <w:ind w:left="113" w:right="113"/>
              <w:jc w:val="center"/>
            </w:pPr>
            <w:r>
              <w:rPr>
                <w:lang w:val="fr-FR"/>
              </w:rPr>
              <w:t>C</w:t>
            </w:r>
          </w:p>
        </w:tc>
        <w:tc>
          <w:tcPr>
            <w:tcW w:w="1775" w:type="dxa"/>
            <w:shd w:val="clear" w:color="auto" w:fill="auto"/>
          </w:tcPr>
          <w:p w14:paraId="5C05D618" w14:textId="77777777" w:rsidR="007016FE" w:rsidRPr="00B16B68" w:rsidRDefault="007016FE" w:rsidP="00D90254">
            <w:pPr>
              <w:suppressAutoHyphens w:val="0"/>
              <w:spacing w:before="40" w:after="120" w:line="220" w:lineRule="exact"/>
              <w:ind w:left="113" w:right="113"/>
            </w:pPr>
          </w:p>
        </w:tc>
        <w:tc>
          <w:tcPr>
            <w:tcW w:w="1435" w:type="dxa"/>
            <w:shd w:val="clear" w:color="auto" w:fill="auto"/>
          </w:tcPr>
          <w:p w14:paraId="66F345AF" w14:textId="77777777" w:rsidR="007016FE" w:rsidRPr="00B16B68" w:rsidRDefault="007016FE" w:rsidP="00D90254">
            <w:pPr>
              <w:suppressAutoHyphens w:val="0"/>
              <w:spacing w:before="40" w:after="120" w:line="220" w:lineRule="exact"/>
              <w:ind w:left="113" w:right="113"/>
            </w:pPr>
          </w:p>
        </w:tc>
        <w:tc>
          <w:tcPr>
            <w:tcW w:w="2320" w:type="dxa"/>
            <w:shd w:val="clear" w:color="auto" w:fill="auto"/>
          </w:tcPr>
          <w:p w14:paraId="1DC54B27" w14:textId="77777777" w:rsidR="007016FE" w:rsidRPr="00B16B68" w:rsidRDefault="007016FE" w:rsidP="00D90254">
            <w:pPr>
              <w:suppressAutoHyphens w:val="0"/>
              <w:spacing w:before="40" w:after="120" w:line="220" w:lineRule="exact"/>
              <w:ind w:left="113" w:right="113"/>
            </w:pPr>
          </w:p>
        </w:tc>
      </w:tr>
      <w:tr w:rsidR="007016FE" w:rsidRPr="00B16B68" w14:paraId="67011958" w14:textId="77777777" w:rsidTr="00D90254">
        <w:trPr>
          <w:trHeight w:val="215"/>
        </w:trPr>
        <w:tc>
          <w:tcPr>
            <w:tcW w:w="1382" w:type="dxa"/>
            <w:vMerge/>
            <w:tcBorders>
              <w:bottom w:val="single" w:sz="2" w:space="0" w:color="auto"/>
            </w:tcBorders>
            <w:shd w:val="clear" w:color="auto" w:fill="auto"/>
          </w:tcPr>
          <w:p w14:paraId="32CA3F93" w14:textId="77777777" w:rsidR="007016FE" w:rsidRPr="00B16B68" w:rsidRDefault="007016FE" w:rsidP="00D90254">
            <w:pPr>
              <w:suppressAutoHyphens w:val="0"/>
              <w:spacing w:before="40" w:after="100" w:line="220" w:lineRule="exact"/>
              <w:ind w:left="113" w:right="113"/>
            </w:pPr>
          </w:p>
        </w:tc>
        <w:tc>
          <w:tcPr>
            <w:tcW w:w="458" w:type="dxa"/>
            <w:tcBorders>
              <w:bottom w:val="single" w:sz="2" w:space="0" w:color="auto"/>
            </w:tcBorders>
            <w:shd w:val="clear" w:color="auto" w:fill="auto"/>
          </w:tcPr>
          <w:p w14:paraId="13F5BA81" w14:textId="77777777" w:rsidR="007016FE" w:rsidRPr="00B16B68" w:rsidRDefault="007016FE" w:rsidP="00D90254">
            <w:pPr>
              <w:suppressAutoHyphens w:val="0"/>
              <w:spacing w:before="40" w:after="120" w:line="220" w:lineRule="exact"/>
              <w:ind w:left="113" w:right="113"/>
              <w:jc w:val="center"/>
            </w:pPr>
            <w:r>
              <w:rPr>
                <w:lang w:val="fr-FR"/>
              </w:rPr>
              <w:t>G</w:t>
            </w:r>
          </w:p>
        </w:tc>
        <w:tc>
          <w:tcPr>
            <w:tcW w:w="1775" w:type="dxa"/>
            <w:tcBorders>
              <w:bottom w:val="single" w:sz="2" w:space="0" w:color="auto"/>
            </w:tcBorders>
            <w:shd w:val="clear" w:color="auto" w:fill="auto"/>
          </w:tcPr>
          <w:p w14:paraId="5500A102" w14:textId="77777777" w:rsidR="007016FE" w:rsidRPr="00B16B68" w:rsidRDefault="007016FE" w:rsidP="00D90254">
            <w:pPr>
              <w:suppressAutoHyphens w:val="0"/>
              <w:spacing w:before="40" w:after="120" w:line="220" w:lineRule="exact"/>
              <w:ind w:left="113" w:right="113"/>
            </w:pPr>
          </w:p>
        </w:tc>
        <w:tc>
          <w:tcPr>
            <w:tcW w:w="1435" w:type="dxa"/>
            <w:tcBorders>
              <w:bottom w:val="single" w:sz="2" w:space="0" w:color="auto"/>
            </w:tcBorders>
            <w:shd w:val="clear" w:color="auto" w:fill="auto"/>
          </w:tcPr>
          <w:p w14:paraId="142DA1C5" w14:textId="77777777" w:rsidR="007016FE" w:rsidRPr="00B16B68" w:rsidRDefault="007016FE" w:rsidP="00D90254">
            <w:pPr>
              <w:suppressAutoHyphens w:val="0"/>
              <w:spacing w:before="40" w:after="120" w:line="220" w:lineRule="exact"/>
              <w:ind w:left="113" w:right="113"/>
            </w:pPr>
          </w:p>
        </w:tc>
        <w:tc>
          <w:tcPr>
            <w:tcW w:w="2320" w:type="dxa"/>
            <w:tcBorders>
              <w:bottom w:val="single" w:sz="2" w:space="0" w:color="auto"/>
            </w:tcBorders>
            <w:shd w:val="clear" w:color="auto" w:fill="auto"/>
          </w:tcPr>
          <w:p w14:paraId="35A3C674" w14:textId="77777777" w:rsidR="007016FE" w:rsidRPr="00B16B68" w:rsidRDefault="007016FE" w:rsidP="00D90254">
            <w:pPr>
              <w:suppressAutoHyphens w:val="0"/>
              <w:spacing w:before="40" w:after="120" w:line="220" w:lineRule="exact"/>
              <w:ind w:left="113" w:right="113"/>
            </w:pPr>
          </w:p>
        </w:tc>
      </w:tr>
      <w:tr w:rsidR="007016FE" w:rsidRPr="0094133B" w14:paraId="29F1FE39" w14:textId="77777777" w:rsidTr="00D90254">
        <w:trPr>
          <w:trHeight w:val="215"/>
        </w:trPr>
        <w:tc>
          <w:tcPr>
            <w:tcW w:w="7370" w:type="dxa"/>
            <w:gridSpan w:val="5"/>
            <w:tcBorders>
              <w:bottom w:val="single" w:sz="12" w:space="0" w:color="auto"/>
            </w:tcBorders>
            <w:shd w:val="clear" w:color="auto" w:fill="auto"/>
          </w:tcPr>
          <w:p w14:paraId="30363091" w14:textId="77777777" w:rsidR="007016FE" w:rsidRPr="00E32F39" w:rsidRDefault="007016FE" w:rsidP="00D90254">
            <w:pPr>
              <w:suppressAutoHyphens w:val="0"/>
              <w:spacing w:before="40" w:after="120" w:line="220" w:lineRule="exact"/>
              <w:ind w:left="113" w:right="113"/>
              <w:rPr>
                <w:lang w:val="fr-FR"/>
              </w:rPr>
            </w:pPr>
            <w:r>
              <w:rPr>
                <w:lang w:val="fr-FR"/>
              </w:rPr>
              <w:t>(D = sièges de droite, C = sièges du centre, G = sièges de gauche)</w:t>
            </w:r>
          </w:p>
        </w:tc>
      </w:tr>
    </w:tbl>
    <w:p w14:paraId="43B2987D" w14:textId="699AF78D" w:rsidR="007016FE" w:rsidRPr="0094133B" w:rsidRDefault="007016FE" w:rsidP="00711662">
      <w:pPr>
        <w:pStyle w:val="SingleTxtG"/>
        <w:tabs>
          <w:tab w:val="right" w:leader="dot" w:pos="8505"/>
        </w:tabs>
        <w:spacing w:before="240"/>
      </w:pPr>
      <w:r>
        <w:rPr>
          <w:lang w:val="fr-FR"/>
        </w:rPr>
        <w:t>4.</w:t>
      </w:r>
      <w:r>
        <w:rPr>
          <w:lang w:val="fr-FR"/>
        </w:rPr>
        <w:tab/>
        <w:t>Lieu</w:t>
      </w:r>
    </w:p>
    <w:p w14:paraId="3590CDB3" w14:textId="7917CD23" w:rsidR="007016FE" w:rsidRPr="0094133B" w:rsidRDefault="007016FE" w:rsidP="007016FE">
      <w:pPr>
        <w:pStyle w:val="SingleTxtG"/>
        <w:tabs>
          <w:tab w:val="right" w:leader="dot" w:pos="8505"/>
        </w:tabs>
      </w:pPr>
      <w:r>
        <w:rPr>
          <w:lang w:val="fr-FR"/>
        </w:rPr>
        <w:t>5.</w:t>
      </w:r>
      <w:r>
        <w:rPr>
          <w:lang w:val="fr-FR"/>
        </w:rPr>
        <w:tab/>
        <w:t>Date</w:t>
      </w:r>
    </w:p>
    <w:p w14:paraId="1128697D" w14:textId="2125ADA7" w:rsidR="007016FE" w:rsidRDefault="007016FE" w:rsidP="007016FE">
      <w:pPr>
        <w:pStyle w:val="SingleTxtG"/>
        <w:tabs>
          <w:tab w:val="right" w:leader="dot" w:pos="8505"/>
        </w:tabs>
        <w:rPr>
          <w:lang w:val="fr-FR"/>
        </w:rPr>
      </w:pPr>
      <w:r>
        <w:rPr>
          <w:lang w:val="fr-FR"/>
        </w:rPr>
        <w:t>6.</w:t>
      </w:r>
      <w:r>
        <w:rPr>
          <w:lang w:val="fr-FR"/>
        </w:rPr>
        <w:tab/>
        <w:t>Signature</w:t>
      </w:r>
    </w:p>
    <w:p w14:paraId="3F62165B" w14:textId="77777777" w:rsidR="000464EE" w:rsidRDefault="000464EE" w:rsidP="007016FE">
      <w:pPr>
        <w:pStyle w:val="SingleTxtG"/>
        <w:tabs>
          <w:tab w:val="right" w:leader="dot" w:pos="8505"/>
        </w:tabs>
        <w:sectPr w:rsidR="000464EE" w:rsidSect="007016FE">
          <w:headerReference w:type="even" r:id="rId16"/>
          <w:footerReference w:type="even" r:id="rId17"/>
          <w:headerReference w:type="first" r:id="rId18"/>
          <w:footerReference w:type="first" r:id="rId19"/>
          <w:footnotePr>
            <w:numRestart w:val="eachSect"/>
          </w:footnotePr>
          <w:endnotePr>
            <w:numFmt w:val="decimal"/>
          </w:endnotePr>
          <w:pgSz w:w="11906" w:h="16838" w:code="9"/>
          <w:pgMar w:top="1417" w:right="1134" w:bottom="1134" w:left="1134" w:header="850" w:footer="567" w:gutter="0"/>
          <w:cols w:space="708"/>
          <w:docGrid w:linePitch="360"/>
        </w:sectPr>
      </w:pPr>
    </w:p>
    <w:p w14:paraId="79581C33" w14:textId="77777777" w:rsidR="000464EE" w:rsidRPr="00CE4453" w:rsidRDefault="000464EE" w:rsidP="000464EE">
      <w:pPr>
        <w:pStyle w:val="HChG"/>
      </w:pPr>
      <w:bookmarkStart w:id="22" w:name="_Toc354410601"/>
      <w:r w:rsidRPr="00CE4453">
        <w:lastRenderedPageBreak/>
        <w:t>Annexe 2</w:t>
      </w:r>
      <w:bookmarkEnd w:id="22"/>
    </w:p>
    <w:p w14:paraId="443ED719" w14:textId="77777777" w:rsidR="000464EE" w:rsidRPr="00CE4453" w:rsidRDefault="000464EE" w:rsidP="000464EE">
      <w:pPr>
        <w:pStyle w:val="HChG"/>
        <w:rPr>
          <w:sz w:val="40"/>
          <w:szCs w:val="40"/>
        </w:rPr>
      </w:pPr>
      <w:r w:rsidRPr="00CE4453">
        <w:tab/>
      </w:r>
      <w:r w:rsidRPr="00CE4453">
        <w:tab/>
        <w:t>Exemple de marque d</w:t>
      </w:r>
      <w:r>
        <w:t>’</w:t>
      </w:r>
      <w:r w:rsidRPr="00CE4453">
        <w:t>homologation</w:t>
      </w:r>
    </w:p>
    <w:p w14:paraId="39CEBC9D" w14:textId="77777777" w:rsidR="000464EE" w:rsidRPr="00CE4453" w:rsidRDefault="000464EE" w:rsidP="000464EE">
      <w:pPr>
        <w:tabs>
          <w:tab w:val="left" w:pos="396"/>
          <w:tab w:val="left" w:leader="dot" w:pos="963"/>
          <w:tab w:val="left" w:leader="dot" w:pos="8505"/>
        </w:tabs>
        <w:suppressAutoHyphens w:val="0"/>
        <w:spacing w:after="240"/>
        <w:ind w:left="1134"/>
      </w:pPr>
      <w:r w:rsidRPr="00CE4453">
        <w:t>(voir les paragraphes 4.5 à 4.5.2 du présent Règlement)</w:t>
      </w:r>
    </w:p>
    <w:p w14:paraId="4B26A767" w14:textId="77777777" w:rsidR="000464EE" w:rsidRPr="00CE4453" w:rsidRDefault="000464EE" w:rsidP="000464EE">
      <w:pPr>
        <w:tabs>
          <w:tab w:val="left" w:pos="396"/>
          <w:tab w:val="left" w:leader="dot" w:pos="963"/>
          <w:tab w:val="left" w:leader="dot" w:pos="8505"/>
        </w:tabs>
        <w:suppressAutoHyphens w:val="0"/>
        <w:spacing w:after="240"/>
        <w:ind w:left="1134" w:right="1134"/>
        <w:jc w:val="right"/>
      </w:pPr>
      <w:r>
        <w:rPr>
          <w:noProof/>
        </w:rPr>
        <mc:AlternateContent>
          <mc:Choice Requires="wps">
            <w:drawing>
              <wp:anchor distT="45720" distB="45720" distL="114300" distR="114300" simplePos="0" relativeHeight="251662336" behindDoc="0" locked="0" layoutInCell="1" allowOverlap="1" wp14:anchorId="4DDF76BB" wp14:editId="10DABD2D">
                <wp:simplePos x="0" y="0"/>
                <wp:positionH relativeFrom="column">
                  <wp:posOffset>2954565</wp:posOffset>
                </wp:positionH>
                <wp:positionV relativeFrom="paragraph">
                  <wp:posOffset>232500</wp:posOffset>
                </wp:positionV>
                <wp:extent cx="1863725" cy="1404620"/>
                <wp:effectExtent l="0" t="0" r="3175" b="889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1404620"/>
                        </a:xfrm>
                        <a:prstGeom prst="rect">
                          <a:avLst/>
                        </a:prstGeom>
                        <a:solidFill>
                          <a:srgbClr val="FFFFFF"/>
                        </a:solidFill>
                        <a:ln w="9525">
                          <a:noFill/>
                          <a:miter lim="800000"/>
                          <a:headEnd/>
                          <a:tailEnd/>
                        </a:ln>
                      </wps:spPr>
                      <wps:txbx>
                        <w:txbxContent>
                          <w:p w14:paraId="492CCD8C" w14:textId="77777777" w:rsidR="000464EE" w:rsidRPr="000C2F96" w:rsidRDefault="000464EE" w:rsidP="000464EE">
                            <w:pPr>
                              <w:rPr>
                                <w:sz w:val="32"/>
                                <w:szCs w:val="32"/>
                              </w:rPr>
                            </w:pPr>
                            <w:r w:rsidRPr="000C2F96">
                              <w:rPr>
                                <w:sz w:val="32"/>
                                <w:szCs w:val="32"/>
                              </w:rPr>
                              <w:t>XXXR</w:t>
                            </w:r>
                            <w:r w:rsidRPr="000C2F96">
                              <w:rPr>
                                <w:sz w:val="32"/>
                                <w:szCs w:val="32"/>
                              </w:rPr>
                              <w:tab/>
                              <w:t xml:space="preserve">    - 001234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DDF76BB" id="Text Box 217" o:spid="_x0000_s1028" type="#_x0000_t202" style="position:absolute;left:0;text-align:left;margin-left:232.65pt;margin-top:18.3pt;width:146.75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" stroked="f">
                <v:textbox style="mso-fit-shape-to-text:t">
                  <w:txbxContent>
                    <w:p w14:paraId="492CCD8C" w14:textId="77777777" w:rsidR="000464EE" w:rsidRPr="000C2F96" w:rsidRDefault="000464EE" w:rsidP="000464EE">
                      <w:pPr>
                        <w:rPr>
                          <w:sz w:val="32"/>
                          <w:szCs w:val="32"/>
                        </w:rPr>
                      </w:pPr>
                      <w:r w:rsidRPr="000C2F96">
                        <w:rPr>
                          <w:sz w:val="32"/>
                          <w:szCs w:val="32"/>
                        </w:rPr>
                        <w:t>XXXR</w:t>
                      </w:r>
                      <w:r w:rsidRPr="000C2F96">
                        <w:rPr>
                          <w:sz w:val="32"/>
                          <w:szCs w:val="32"/>
                        </w:rPr>
                        <w:tab/>
                        <w:t xml:space="preserve">    - 001234</w:t>
                      </w:r>
                    </w:p>
                  </w:txbxContent>
                </v:textbox>
              </v:shape>
            </w:pict>
          </mc:Fallback>
        </mc:AlternateContent>
      </w:r>
      <w:r w:rsidRPr="00CE4453">
        <w:rPr>
          <w:noProof/>
        </w:rPr>
        <w:drawing>
          <wp:inline distT="0" distB="0" distL="0" distR="0" wp14:anchorId="329827A3" wp14:editId="12356C36">
            <wp:extent cx="4768850" cy="1047750"/>
            <wp:effectExtent l="0" t="0" r="0" b="0"/>
            <wp:docPr id="1347083373" name="Afbeelding 1" descr="Afbeelding met tekst, Lettertype, wi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083373" name="Afbeelding 1" descr="Afbeelding met tekst, Lettertype, wit, diagram&#10;&#10;Automatisch gegenereerde beschrijv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8850" cy="1047750"/>
                    </a:xfrm>
                    <a:prstGeom prst="rect">
                      <a:avLst/>
                    </a:prstGeom>
                    <a:noFill/>
                    <a:ln>
                      <a:noFill/>
                    </a:ln>
                  </pic:spPr>
                </pic:pic>
              </a:graphicData>
            </a:graphic>
          </wp:inline>
        </w:drawing>
      </w:r>
      <w:r w:rsidRPr="00CE4453">
        <w:t>a = 8 mm min.</w:t>
      </w:r>
    </w:p>
    <w:p w14:paraId="78D6CDFA" w14:textId="24F1087D" w:rsidR="000464EE" w:rsidRDefault="000464EE" w:rsidP="008608AA">
      <w:pPr>
        <w:pStyle w:val="SingleTxtG"/>
        <w:ind w:firstLine="567"/>
      </w:pPr>
      <w:r w:rsidRPr="00CE4453">
        <w:t>La marque d</w:t>
      </w:r>
      <w:r>
        <w:t>’</w:t>
      </w:r>
      <w:r w:rsidRPr="00CE4453">
        <w:t xml:space="preserve">homologation ci-dessus, apposée sur un véhicule, indique que le type de ce véhicule a été homologué aux Pays-Bas (E4), </w:t>
      </w:r>
      <w:r>
        <w:t>au titre</w:t>
      </w:r>
      <w:r w:rsidRPr="00CE4453">
        <w:t xml:space="preserve"> du Règlement ONU n</w:t>
      </w:r>
      <w:r w:rsidRPr="00CE4453">
        <w:rPr>
          <w:vertAlign w:val="superscript"/>
        </w:rPr>
        <w:t>o</w:t>
      </w:r>
      <w:r w:rsidRPr="00CE4453">
        <w:t> XXX, sous le numéro d</w:t>
      </w:r>
      <w:r>
        <w:t>’</w:t>
      </w:r>
      <w:r w:rsidRPr="00CE4453">
        <w:t>homologation 001234. Les deux premiers chiffres (00) de ce dernier indiquent que l</w:t>
      </w:r>
      <w:r>
        <w:t>’</w:t>
      </w:r>
      <w:r w:rsidRPr="00CE4453">
        <w:t xml:space="preserve">homologation a été accordée conformément aux prescriptions du Règlement ONU </w:t>
      </w:r>
      <w:r w:rsidRPr="00AF26FF">
        <w:rPr>
          <w:rFonts w:eastAsia="MS Mincho"/>
          <w:szCs w:val="22"/>
        </w:rPr>
        <w:t>n</w:t>
      </w:r>
      <w:r w:rsidRPr="00AF26FF">
        <w:rPr>
          <w:rFonts w:eastAsia="MS Mincho"/>
          <w:szCs w:val="22"/>
          <w:vertAlign w:val="superscript"/>
        </w:rPr>
        <w:t>o</w:t>
      </w:r>
      <w:r>
        <w:t> </w:t>
      </w:r>
      <w:r w:rsidRPr="00CE4453">
        <w:t>XXX dans sa version originale</w:t>
      </w:r>
    </w:p>
    <w:p w14:paraId="33768249" w14:textId="77777777" w:rsidR="00D65940" w:rsidRDefault="00D65940" w:rsidP="007016FE">
      <w:pPr>
        <w:pStyle w:val="SingleTxtG"/>
        <w:tabs>
          <w:tab w:val="right" w:leader="dot" w:pos="8505"/>
        </w:tabs>
        <w:sectPr w:rsidR="00D65940" w:rsidSect="000464EE">
          <w:headerReference w:type="even" r:id="rId21"/>
          <w:headerReference w:type="default" r:id="rId22"/>
          <w:footerReference w:type="even" r:id="rId23"/>
          <w:footerReference w:type="default" r:id="rId24"/>
          <w:endnotePr>
            <w:numFmt w:val="decimal"/>
          </w:endnotePr>
          <w:pgSz w:w="11906" w:h="16838" w:code="9"/>
          <w:pgMar w:top="1417" w:right="1134" w:bottom="1134" w:left="1134" w:header="850" w:footer="567" w:gutter="0"/>
          <w:cols w:space="708"/>
          <w:docGrid w:linePitch="360"/>
        </w:sectPr>
      </w:pPr>
    </w:p>
    <w:p w14:paraId="128D8181" w14:textId="77777777" w:rsidR="00D65940" w:rsidRPr="00CE4453" w:rsidRDefault="00D65940" w:rsidP="00D65940">
      <w:pPr>
        <w:pStyle w:val="HChG"/>
      </w:pPr>
      <w:r w:rsidRPr="00CE4453">
        <w:lastRenderedPageBreak/>
        <w:t>Annexe 3</w:t>
      </w:r>
    </w:p>
    <w:p w14:paraId="59ADEBC8" w14:textId="77777777" w:rsidR="00D65940" w:rsidRPr="00CE4453" w:rsidRDefault="00D65940" w:rsidP="00D65940">
      <w:pPr>
        <w:pStyle w:val="HChG"/>
      </w:pPr>
      <w:r w:rsidRPr="00CE4453">
        <w:tab/>
      </w:r>
      <w:r w:rsidRPr="00CE4453">
        <w:tab/>
        <w:t>Essais du témoin de port de ceinture</w:t>
      </w:r>
    </w:p>
    <w:p w14:paraId="003B4129" w14:textId="50247804" w:rsidR="00D65940" w:rsidRPr="00CE4453" w:rsidRDefault="00D65940" w:rsidP="00D65940">
      <w:pPr>
        <w:spacing w:after="120" w:line="240" w:lineRule="auto"/>
        <w:ind w:left="2268" w:right="1134" w:hanging="1134"/>
        <w:jc w:val="both"/>
        <w:rPr>
          <w:bCs/>
        </w:rPr>
      </w:pPr>
      <w:r w:rsidRPr="00CE4453">
        <w:t>1.</w:t>
      </w:r>
      <w:r w:rsidRPr="00CE4453">
        <w:tab/>
        <w:t>L</w:t>
      </w:r>
      <w:r>
        <w:t>’</w:t>
      </w:r>
      <w:r w:rsidRPr="00CE4453">
        <w:t>alerte de premier niveau doit être vérifiée dans les conditions suivantes</w:t>
      </w:r>
      <w:r w:rsidR="00B46129">
        <w:t> :</w:t>
      </w:r>
    </w:p>
    <w:p w14:paraId="7C3F6BC7" w14:textId="5403F5B9" w:rsidR="00D65940" w:rsidRPr="00CE4453" w:rsidRDefault="00D65940" w:rsidP="00D65940">
      <w:pPr>
        <w:spacing w:after="120" w:line="240" w:lineRule="auto"/>
        <w:ind w:left="2835" w:right="1134" w:hanging="567"/>
        <w:jc w:val="both"/>
        <w:rPr>
          <w:bCs/>
        </w:rPr>
      </w:pPr>
      <w:r w:rsidRPr="00CE4453">
        <w:t>a)</w:t>
      </w:r>
      <w:r w:rsidRPr="00CE4453">
        <w:tab/>
        <w:t>La ceinture de sécurité n</w:t>
      </w:r>
      <w:r>
        <w:t>’</w:t>
      </w:r>
      <w:r w:rsidRPr="00CE4453">
        <w:t>est pas bouclée</w:t>
      </w:r>
      <w:r w:rsidR="00B46129">
        <w:t> ;</w:t>
      </w:r>
    </w:p>
    <w:p w14:paraId="28169FBE" w14:textId="2C8642F0" w:rsidR="00D65940" w:rsidRPr="00CE4453" w:rsidRDefault="00D65940" w:rsidP="00D65940">
      <w:pPr>
        <w:spacing w:after="120" w:line="240" w:lineRule="auto"/>
        <w:ind w:left="2835" w:right="1134" w:hanging="567"/>
        <w:jc w:val="both"/>
        <w:rPr>
          <w:bCs/>
        </w:rPr>
      </w:pPr>
      <w:r w:rsidRPr="00CE4453">
        <w:t>b)</w:t>
      </w:r>
      <w:r w:rsidRPr="00CE4453">
        <w:tab/>
        <w:t>Le moteur ou le système de propulsion est arrêté ou tourne au ralenti, et le véhicule n</w:t>
      </w:r>
      <w:r>
        <w:t>’</w:t>
      </w:r>
      <w:r w:rsidRPr="00CE4453">
        <w:t>est ni en marche avant ni en marche arrière</w:t>
      </w:r>
      <w:r w:rsidR="00B46129">
        <w:t> ;</w:t>
      </w:r>
    </w:p>
    <w:p w14:paraId="06FAF3D9" w14:textId="0B754E6B" w:rsidR="00D65940" w:rsidRPr="00CE4453" w:rsidRDefault="00D65940" w:rsidP="00D65940">
      <w:pPr>
        <w:spacing w:after="120" w:line="240" w:lineRule="auto"/>
        <w:ind w:left="2835" w:right="1134" w:hanging="567"/>
        <w:jc w:val="both"/>
        <w:rPr>
          <w:bCs/>
        </w:rPr>
      </w:pPr>
      <w:r w:rsidRPr="00CE4453">
        <w:t>c)</w:t>
      </w:r>
      <w:r w:rsidRPr="00CE4453">
        <w:tab/>
        <w:t>La boîte de vitesse est au point mort</w:t>
      </w:r>
      <w:r w:rsidR="00B46129">
        <w:t> ;</w:t>
      </w:r>
    </w:p>
    <w:p w14:paraId="64698BAB" w14:textId="05B7FFC6" w:rsidR="00D65940" w:rsidRPr="00CE4453" w:rsidRDefault="00D65940" w:rsidP="00D65940">
      <w:pPr>
        <w:spacing w:after="120" w:line="240" w:lineRule="auto"/>
        <w:ind w:left="2835" w:right="1134" w:hanging="567"/>
        <w:jc w:val="both"/>
        <w:rPr>
          <w:bCs/>
        </w:rPr>
      </w:pPr>
      <w:r w:rsidRPr="00CE4453">
        <w:t>d)</w:t>
      </w:r>
      <w:r w:rsidRPr="00CE4453">
        <w:tab/>
        <w:t>Le contact moteur est mis ou le commutateur de contact est activé</w:t>
      </w:r>
      <w:r w:rsidR="00B46129">
        <w:t> ;</w:t>
      </w:r>
    </w:p>
    <w:p w14:paraId="40201608" w14:textId="606CB992" w:rsidR="00D65940" w:rsidRPr="00CE4453" w:rsidRDefault="00D65940" w:rsidP="00D65940">
      <w:pPr>
        <w:spacing w:after="120" w:line="240" w:lineRule="auto"/>
        <w:ind w:left="2835" w:right="1134" w:hanging="567"/>
        <w:jc w:val="both"/>
        <w:rPr>
          <w:bCs/>
        </w:rPr>
      </w:pPr>
      <w:r w:rsidRPr="00CE4453">
        <w:t>e)</w:t>
      </w:r>
      <w:r w:rsidRPr="00CE4453">
        <w:tab/>
        <w:t>Une charge de 40</w:t>
      </w:r>
      <w:r w:rsidR="008608AA">
        <w:t> </w:t>
      </w:r>
      <w:r w:rsidRPr="00CE4453">
        <w:t>kg est placée sur chaque siège de la rangée du conducteur, ou alors la présence d</w:t>
      </w:r>
      <w:r>
        <w:t>’</w:t>
      </w:r>
      <w:r w:rsidRPr="00CE4453">
        <w:t>occupants à bord du véhicule est simulée à l</w:t>
      </w:r>
      <w:r>
        <w:t>’</w:t>
      </w:r>
      <w:r w:rsidRPr="00CE4453">
        <w:t>aide d</w:t>
      </w:r>
      <w:r>
        <w:t>’</w:t>
      </w:r>
      <w:r w:rsidRPr="00CE4453">
        <w:t>une autre méthode définie par le constructeur, pour autant que la masse d</w:t>
      </w:r>
      <w:r>
        <w:t>’</w:t>
      </w:r>
      <w:r w:rsidRPr="00CE4453">
        <w:t>un occupant ne dépasse pas 40</w:t>
      </w:r>
      <w:r w:rsidR="008608AA">
        <w:t> </w:t>
      </w:r>
      <w:r w:rsidRPr="00CE4453">
        <w:t>kg.</w:t>
      </w:r>
    </w:p>
    <w:p w14:paraId="29FA14DD" w14:textId="5B1C0281" w:rsidR="00D65940" w:rsidRPr="00CE4453" w:rsidRDefault="00D65940" w:rsidP="00D65940">
      <w:pPr>
        <w:spacing w:after="120" w:line="240" w:lineRule="auto"/>
        <w:ind w:left="2835" w:right="1134"/>
        <w:jc w:val="both"/>
        <w:rPr>
          <w:bCs/>
        </w:rPr>
      </w:pPr>
      <w:r w:rsidRPr="00CE4453">
        <w:t>Cela peut également se faire pour les sièges arrière à la demande du constructeur du véhicule</w:t>
      </w:r>
      <w:r w:rsidR="00125CF0">
        <w:t> ;</w:t>
      </w:r>
    </w:p>
    <w:p w14:paraId="79FF2199" w14:textId="5110195B" w:rsidR="00D65940" w:rsidRPr="00CE4453" w:rsidRDefault="00D65940" w:rsidP="00D65940">
      <w:pPr>
        <w:spacing w:after="120" w:line="240" w:lineRule="auto"/>
        <w:ind w:left="2835" w:right="1134"/>
        <w:jc w:val="both"/>
        <w:rPr>
          <w:bCs/>
        </w:rPr>
      </w:pPr>
      <w:r w:rsidRPr="00CE4453">
        <w:t>Ou (au choix du constructeur)</w:t>
      </w:r>
      <w:r w:rsidR="00B46129">
        <w:t> :</w:t>
      </w:r>
    </w:p>
    <w:p w14:paraId="4BB8D714" w14:textId="586C4BED" w:rsidR="00D65940" w:rsidRPr="00CE4453" w:rsidRDefault="00D65940" w:rsidP="00D65940">
      <w:pPr>
        <w:spacing w:after="120" w:line="240" w:lineRule="auto"/>
        <w:ind w:left="2835" w:right="1134"/>
        <w:jc w:val="both"/>
        <w:rPr>
          <w:bCs/>
        </w:rPr>
      </w:pPr>
      <w:r w:rsidRPr="00CE4453">
        <w:t>Soit un objet ou être humain dont les mensurations correspondent à celles d</w:t>
      </w:r>
      <w:r>
        <w:t>’</w:t>
      </w:r>
      <w:r w:rsidRPr="00CE4453">
        <w:t>un mannequin femme du 5</w:t>
      </w:r>
      <w:r w:rsidRPr="00CE4453">
        <w:rPr>
          <w:vertAlign w:val="superscript"/>
        </w:rPr>
        <w:t>e</w:t>
      </w:r>
      <w:r w:rsidRPr="00CE4453">
        <w:t xml:space="preserve"> centile</w:t>
      </w:r>
      <w:r w:rsidRPr="00CE4453">
        <w:rPr>
          <w:rStyle w:val="Appelnotedebasdep"/>
          <w:bCs/>
        </w:rPr>
        <w:footnoteReference w:customMarkFollows="1" w:id="8"/>
        <w:t>1</w:t>
      </w:r>
      <w:r w:rsidRPr="00CE4453">
        <w:t xml:space="preserve"> est placé sur chaque siège de la rangée du conducteur, dans les conditions fixées par le constructeur</w:t>
      </w:r>
      <w:r w:rsidR="00B46129">
        <w:t> ;</w:t>
      </w:r>
      <w:r w:rsidRPr="00CE4453">
        <w:t xml:space="preserve"> </w:t>
      </w:r>
    </w:p>
    <w:p w14:paraId="0D1FF4B5" w14:textId="77777777" w:rsidR="00D65940" w:rsidRPr="00CE4453" w:rsidRDefault="00D65940" w:rsidP="00D65940">
      <w:pPr>
        <w:spacing w:after="120" w:line="240" w:lineRule="auto"/>
        <w:ind w:left="2835" w:right="1134"/>
        <w:jc w:val="both"/>
        <w:rPr>
          <w:bCs/>
        </w:rPr>
      </w:pPr>
      <w:r w:rsidRPr="00CE4453">
        <w:t>Soit la présence d</w:t>
      </w:r>
      <w:r>
        <w:t>’</w:t>
      </w:r>
      <w:r w:rsidRPr="00CE4453">
        <w:t>occupants dont les mensurations correspondent à celles de ce mannequin</w:t>
      </w:r>
      <w:r w:rsidRPr="00CE4453">
        <w:rPr>
          <w:vertAlign w:val="superscript"/>
        </w:rPr>
        <w:t>1</w:t>
      </w:r>
      <w:r w:rsidRPr="00CE4453">
        <w:t xml:space="preserve"> à bord du véhicule est simulée à l</w:t>
      </w:r>
      <w:r>
        <w:t>’</w:t>
      </w:r>
      <w:r w:rsidRPr="00CE4453">
        <w:t>aide d</w:t>
      </w:r>
      <w:r>
        <w:t>’</w:t>
      </w:r>
      <w:r w:rsidRPr="00CE4453">
        <w:t>une autre méthode définie par le constructeur du véhicule avec l</w:t>
      </w:r>
      <w:r>
        <w:t>’</w:t>
      </w:r>
      <w:r w:rsidRPr="00CE4453">
        <w:t>aval du service technique et de l</w:t>
      </w:r>
      <w:r>
        <w:t>’</w:t>
      </w:r>
      <w:r w:rsidRPr="00CE4453">
        <w:t>autorité d</w:t>
      </w:r>
      <w:r>
        <w:t>’</w:t>
      </w:r>
      <w:r w:rsidRPr="00CE4453">
        <w:t xml:space="preserve">homologation de type. </w:t>
      </w:r>
    </w:p>
    <w:p w14:paraId="1DFB8073" w14:textId="02F00715" w:rsidR="00D65940" w:rsidRPr="00CE4453" w:rsidRDefault="00D65940" w:rsidP="00D65940">
      <w:pPr>
        <w:spacing w:after="120" w:line="240" w:lineRule="auto"/>
        <w:ind w:left="2835" w:right="1134"/>
        <w:jc w:val="both"/>
        <w:rPr>
          <w:bCs/>
        </w:rPr>
      </w:pPr>
      <w:r w:rsidRPr="00CE4453">
        <w:t>Cela peut également se faire pour les sièges arrière à la demande du constructeur du véhicule</w:t>
      </w:r>
      <w:r w:rsidR="00B46129">
        <w:t> ;</w:t>
      </w:r>
    </w:p>
    <w:p w14:paraId="547B7433" w14:textId="4617EE14" w:rsidR="00D65940" w:rsidRPr="00CE4453" w:rsidRDefault="00D65940" w:rsidP="00D65940">
      <w:pPr>
        <w:pStyle w:val="a"/>
        <w:spacing w:line="240" w:lineRule="auto"/>
        <w:rPr>
          <w:lang w:val="fr-CH"/>
        </w:rPr>
      </w:pPr>
      <w:r w:rsidRPr="00CE4453">
        <w:rPr>
          <w:lang w:val="fr-CH"/>
        </w:rPr>
        <w:t>f)</w:t>
      </w:r>
      <w:r w:rsidRPr="00CE4453">
        <w:rPr>
          <w:lang w:val="fr-CH"/>
        </w:rPr>
        <w:tab/>
        <w:t>L</w:t>
      </w:r>
      <w:r>
        <w:rPr>
          <w:lang w:val="fr-CH"/>
        </w:rPr>
        <w:t>’</w:t>
      </w:r>
      <w:r w:rsidRPr="00CE4453">
        <w:rPr>
          <w:lang w:val="fr-CH"/>
        </w:rPr>
        <w:t>état du témoin de port de ceinture est vérifié pour tous les sièges concernés, pour chacune des conditions a) à e).</w:t>
      </w:r>
    </w:p>
    <w:p w14:paraId="1F2599C0" w14:textId="77777777" w:rsidR="00D65940" w:rsidRPr="00CE4453" w:rsidRDefault="00D65940" w:rsidP="008608AA">
      <w:pPr>
        <w:pStyle w:val="SingleTxtG"/>
        <w:tabs>
          <w:tab w:val="clear" w:pos="1701"/>
        </w:tabs>
        <w:ind w:left="2268" w:hanging="1134"/>
        <w:rPr>
          <w:bCs/>
        </w:rPr>
      </w:pPr>
      <w:r w:rsidRPr="00CE4453">
        <w:t>2.</w:t>
      </w:r>
      <w:r w:rsidRPr="00CE4453">
        <w:tab/>
        <w:t>L</w:t>
      </w:r>
      <w:r>
        <w:t>’</w:t>
      </w:r>
      <w:r w:rsidRPr="00CE4453">
        <w:t>alerte de second niveau doit être vérifiée dans les conditions énoncées aux paragraphes 2.1 à 2.3 de la présente annexe.</w:t>
      </w:r>
    </w:p>
    <w:p w14:paraId="008830B2" w14:textId="1F155F84" w:rsidR="00D65940" w:rsidRPr="00CE4453" w:rsidRDefault="00D65940" w:rsidP="008608AA">
      <w:pPr>
        <w:pStyle w:val="para"/>
        <w:tabs>
          <w:tab w:val="clear" w:pos="1701"/>
        </w:tabs>
        <w:rPr>
          <w:bCs/>
          <w:lang w:val="fr-CH"/>
        </w:rPr>
      </w:pPr>
      <w:r w:rsidRPr="00CE4453">
        <w:rPr>
          <w:lang w:val="fr-CH"/>
        </w:rPr>
        <w:t>2.1</w:t>
      </w:r>
      <w:r w:rsidRPr="00CE4453">
        <w:rPr>
          <w:lang w:val="fr-CH"/>
        </w:rPr>
        <w:tab/>
        <w:t>Essai du siège du conducteur</w:t>
      </w:r>
    </w:p>
    <w:p w14:paraId="03C0DD42" w14:textId="10C7DC4F" w:rsidR="00D65940" w:rsidRPr="00CE4453" w:rsidRDefault="00D65940" w:rsidP="008608AA">
      <w:pPr>
        <w:pStyle w:val="para"/>
        <w:tabs>
          <w:tab w:val="clear" w:pos="1701"/>
        </w:tabs>
        <w:rPr>
          <w:bCs/>
          <w:lang w:val="fr-CH"/>
        </w:rPr>
      </w:pPr>
      <w:r w:rsidRPr="00CE4453">
        <w:rPr>
          <w:lang w:val="fr-CH"/>
        </w:rPr>
        <w:t>2.1.1</w:t>
      </w:r>
      <w:r w:rsidRPr="00CE4453">
        <w:rPr>
          <w:lang w:val="fr-CH"/>
        </w:rPr>
        <w:tab/>
        <w:t>Essai du siège du conducteur quand la ceinture n</w:t>
      </w:r>
      <w:r>
        <w:rPr>
          <w:lang w:val="fr-CH"/>
        </w:rPr>
        <w:t>’</w:t>
      </w:r>
      <w:r w:rsidRPr="00CE4453">
        <w:rPr>
          <w:lang w:val="fr-CH"/>
        </w:rPr>
        <w:t>est pas bouclée, avant le départ</w:t>
      </w:r>
      <w:r w:rsidR="00B46129">
        <w:rPr>
          <w:lang w:val="fr-CH"/>
        </w:rPr>
        <w:t> :</w:t>
      </w:r>
    </w:p>
    <w:p w14:paraId="18F4D01F" w14:textId="066FB413" w:rsidR="00D65940" w:rsidRPr="00CE4453" w:rsidRDefault="00D65940" w:rsidP="00D65940">
      <w:pPr>
        <w:pStyle w:val="a"/>
        <w:spacing w:line="240" w:lineRule="auto"/>
        <w:rPr>
          <w:lang w:val="fr-CH"/>
        </w:rPr>
      </w:pPr>
      <w:r w:rsidRPr="00CE4453">
        <w:rPr>
          <w:lang w:val="fr-CH"/>
        </w:rPr>
        <w:t>a)</w:t>
      </w:r>
      <w:r w:rsidRPr="00CE4453">
        <w:rPr>
          <w:lang w:val="fr-CH"/>
        </w:rPr>
        <w:tab/>
        <w:t>La ceinture de sécurité du siège du conducteur n</w:t>
      </w:r>
      <w:r>
        <w:rPr>
          <w:lang w:val="fr-CH"/>
        </w:rPr>
        <w:t>’</w:t>
      </w:r>
      <w:r w:rsidRPr="00CE4453">
        <w:rPr>
          <w:lang w:val="fr-CH"/>
        </w:rPr>
        <w:t>est pas bouclée</w:t>
      </w:r>
      <w:r w:rsidR="00B46129">
        <w:rPr>
          <w:lang w:val="fr-CH"/>
        </w:rPr>
        <w:t> ;</w:t>
      </w:r>
    </w:p>
    <w:p w14:paraId="02E0FB82" w14:textId="0E9D7C5F" w:rsidR="00D65940" w:rsidRPr="00CE4453" w:rsidRDefault="00D65940" w:rsidP="00D65940">
      <w:pPr>
        <w:pStyle w:val="a"/>
        <w:spacing w:line="240" w:lineRule="auto"/>
        <w:rPr>
          <w:lang w:val="fr-CH"/>
        </w:rPr>
      </w:pPr>
      <w:r w:rsidRPr="00CE4453">
        <w:rPr>
          <w:lang w:val="fr-CH"/>
        </w:rPr>
        <w:t>b)</w:t>
      </w:r>
      <w:r w:rsidRPr="00CE4453">
        <w:rPr>
          <w:lang w:val="fr-CH"/>
        </w:rPr>
        <w:tab/>
        <w:t>Les ceintures de sécurité des sièges autres que celui du conducteur sont bouclées</w:t>
      </w:r>
      <w:r w:rsidR="00B46129">
        <w:rPr>
          <w:lang w:val="fr-CH"/>
        </w:rPr>
        <w:t> ;</w:t>
      </w:r>
    </w:p>
    <w:p w14:paraId="0C1D4DF4" w14:textId="38796A1F" w:rsidR="00D65940" w:rsidRPr="00CE4453" w:rsidRDefault="00D65940" w:rsidP="00D65940">
      <w:pPr>
        <w:pStyle w:val="a"/>
        <w:spacing w:line="240" w:lineRule="auto"/>
        <w:rPr>
          <w:lang w:val="fr-CH"/>
        </w:rPr>
      </w:pPr>
      <w:r w:rsidRPr="00CE4453">
        <w:rPr>
          <w:lang w:val="fr-CH"/>
        </w:rPr>
        <w:t>c)</w:t>
      </w:r>
      <w:r w:rsidRPr="00CE4453">
        <w:rPr>
          <w:lang w:val="fr-CH"/>
        </w:rPr>
        <w:tab/>
        <w:t>Le véhicule d</w:t>
      </w:r>
      <w:r>
        <w:rPr>
          <w:lang w:val="fr-CH"/>
        </w:rPr>
        <w:t>’</w:t>
      </w:r>
      <w:r w:rsidRPr="00CE4453">
        <w:rPr>
          <w:lang w:val="fr-CH"/>
        </w:rPr>
        <w:t>essai est conduit en respectant soit une seule soit plusieurs des conditions énoncées aux paragraphes 2.1.1.1 à 2.1.1.3 de la présente annexe, au choix du constructeur</w:t>
      </w:r>
      <w:r w:rsidR="00B46129">
        <w:rPr>
          <w:lang w:val="fr-CH"/>
        </w:rPr>
        <w:t> ;</w:t>
      </w:r>
    </w:p>
    <w:p w14:paraId="5B443741" w14:textId="77777777" w:rsidR="00D65940" w:rsidRPr="00CE4453" w:rsidRDefault="00D65940" w:rsidP="00D65940">
      <w:pPr>
        <w:pStyle w:val="a"/>
        <w:spacing w:line="240" w:lineRule="auto"/>
        <w:rPr>
          <w:lang w:val="fr-CH"/>
        </w:rPr>
      </w:pPr>
      <w:r w:rsidRPr="00CE4453">
        <w:rPr>
          <w:lang w:val="fr-CH"/>
        </w:rPr>
        <w:t>d)</w:t>
      </w:r>
      <w:r w:rsidRPr="00CE4453">
        <w:rPr>
          <w:lang w:val="fr-CH"/>
        </w:rPr>
        <w:tab/>
        <w:t>L</w:t>
      </w:r>
      <w:r>
        <w:rPr>
          <w:lang w:val="fr-CH"/>
        </w:rPr>
        <w:t>’</w:t>
      </w:r>
      <w:r w:rsidRPr="00CE4453">
        <w:rPr>
          <w:lang w:val="fr-CH"/>
        </w:rPr>
        <w:t>état du témoin de port de ceinture est vérifié pour le siège du conducteur, pour chacune des conditions a) à c).</w:t>
      </w:r>
    </w:p>
    <w:p w14:paraId="6308A2AF" w14:textId="77777777" w:rsidR="00D65940" w:rsidRPr="00CE4453" w:rsidRDefault="00D65940" w:rsidP="008E441F">
      <w:pPr>
        <w:pStyle w:val="para"/>
        <w:tabs>
          <w:tab w:val="clear" w:pos="1701"/>
        </w:tabs>
        <w:rPr>
          <w:bCs/>
          <w:lang w:val="fr-CH"/>
        </w:rPr>
      </w:pPr>
      <w:r w:rsidRPr="00CE4453">
        <w:rPr>
          <w:lang w:val="fr-CH"/>
        </w:rPr>
        <w:lastRenderedPageBreak/>
        <w:t>2.1.1.1</w:t>
      </w:r>
      <w:r w:rsidRPr="00CE4453">
        <w:rPr>
          <w:lang w:val="fr-CH"/>
        </w:rPr>
        <w:tab/>
        <w:t>Accélérer le véhicule soumis à l</w:t>
      </w:r>
      <w:r>
        <w:rPr>
          <w:lang w:val="fr-CH"/>
        </w:rPr>
        <w:t>’</w:t>
      </w:r>
      <w:r w:rsidRPr="00CE4453">
        <w:rPr>
          <w:lang w:val="fr-CH"/>
        </w:rPr>
        <w:t>essai jusqu</w:t>
      </w:r>
      <w:r>
        <w:rPr>
          <w:lang w:val="fr-CH"/>
        </w:rPr>
        <w:t>’</w:t>
      </w:r>
      <w:r w:rsidRPr="00CE4453">
        <w:rPr>
          <w:lang w:val="fr-CH"/>
        </w:rPr>
        <w:t>à une vitesse de 25 -0/+10 km/h depuis l</w:t>
      </w:r>
      <w:r>
        <w:rPr>
          <w:lang w:val="fr-CH"/>
        </w:rPr>
        <w:t>’</w:t>
      </w:r>
      <w:r w:rsidRPr="00CE4453">
        <w:rPr>
          <w:lang w:val="fr-CH"/>
        </w:rPr>
        <w:t>arrêt et continuer à la même vitesse.</w:t>
      </w:r>
    </w:p>
    <w:p w14:paraId="5D55EDC9" w14:textId="7A555501" w:rsidR="00D65940" w:rsidRPr="00CE4453" w:rsidRDefault="00D65940" w:rsidP="008E441F">
      <w:pPr>
        <w:pStyle w:val="para"/>
        <w:tabs>
          <w:tab w:val="clear" w:pos="1701"/>
        </w:tabs>
        <w:rPr>
          <w:bCs/>
          <w:lang w:val="fr-CH"/>
        </w:rPr>
      </w:pPr>
      <w:r w:rsidRPr="00CE4453">
        <w:rPr>
          <w:lang w:val="fr-CH"/>
        </w:rPr>
        <w:t>2.1.1.2</w:t>
      </w:r>
      <w:r w:rsidRPr="00CE4453">
        <w:rPr>
          <w:lang w:val="fr-CH"/>
        </w:rPr>
        <w:tab/>
        <w:t>En utilisation normale, le véhicule d</w:t>
      </w:r>
      <w:r>
        <w:rPr>
          <w:lang w:val="fr-CH"/>
        </w:rPr>
        <w:t>’</w:t>
      </w:r>
      <w:r w:rsidRPr="00CE4453">
        <w:rPr>
          <w:lang w:val="fr-CH"/>
        </w:rPr>
        <w:t>essai parcourt, en marche avant, une distance d</w:t>
      </w:r>
      <w:r>
        <w:rPr>
          <w:lang w:val="fr-CH"/>
        </w:rPr>
        <w:t>’</w:t>
      </w:r>
      <w:r w:rsidRPr="00CE4453">
        <w:rPr>
          <w:lang w:val="fr-CH"/>
        </w:rPr>
        <w:t>au moins 500</w:t>
      </w:r>
      <w:r w:rsidR="008E441F">
        <w:rPr>
          <w:lang w:val="fr-CH"/>
        </w:rPr>
        <w:t> </w:t>
      </w:r>
      <w:r w:rsidRPr="00CE4453">
        <w:rPr>
          <w:lang w:val="fr-CH"/>
        </w:rPr>
        <w:t>m depuis l</w:t>
      </w:r>
      <w:r>
        <w:rPr>
          <w:lang w:val="fr-CH"/>
        </w:rPr>
        <w:t>’</w:t>
      </w:r>
      <w:r w:rsidRPr="00CE4453">
        <w:rPr>
          <w:lang w:val="fr-CH"/>
        </w:rPr>
        <w:t>arrêt.</w:t>
      </w:r>
    </w:p>
    <w:p w14:paraId="44902C88" w14:textId="77777777" w:rsidR="00D65940" w:rsidRPr="00CE4453" w:rsidRDefault="00D65940" w:rsidP="008E441F">
      <w:pPr>
        <w:pStyle w:val="para"/>
        <w:tabs>
          <w:tab w:val="clear" w:pos="1701"/>
        </w:tabs>
        <w:rPr>
          <w:bCs/>
          <w:lang w:val="fr-CH"/>
        </w:rPr>
      </w:pPr>
      <w:r w:rsidRPr="00CE4453">
        <w:rPr>
          <w:lang w:val="fr-CH"/>
        </w:rPr>
        <w:t>2.1.1.3</w:t>
      </w:r>
      <w:r w:rsidRPr="00CE4453">
        <w:rPr>
          <w:lang w:val="fr-CH"/>
        </w:rPr>
        <w:tab/>
        <w:t>Le véhicule est soumis à l</w:t>
      </w:r>
      <w:r>
        <w:rPr>
          <w:lang w:val="fr-CH"/>
        </w:rPr>
        <w:t>’</w:t>
      </w:r>
      <w:r w:rsidRPr="00CE4453">
        <w:rPr>
          <w:lang w:val="fr-CH"/>
        </w:rPr>
        <w:t>essai lorsque son moteur tourne en utilisation normale depuis au moins 60 secondes.</w:t>
      </w:r>
    </w:p>
    <w:p w14:paraId="6A09488D" w14:textId="760AEB6E" w:rsidR="00D65940" w:rsidRPr="00CE4453" w:rsidRDefault="00D65940" w:rsidP="008E441F">
      <w:pPr>
        <w:spacing w:after="120" w:line="240" w:lineRule="auto"/>
        <w:ind w:left="2268" w:right="1134" w:hanging="1134"/>
        <w:jc w:val="both"/>
        <w:rPr>
          <w:bCs/>
        </w:rPr>
      </w:pPr>
      <w:r w:rsidRPr="00CE4453">
        <w:t>2.1.2</w:t>
      </w:r>
      <w:r w:rsidRPr="00CE4453">
        <w:tab/>
        <w:t>Essai du siège du conducteur quand la ceinture est détachée en cours de route</w:t>
      </w:r>
      <w:r w:rsidR="00B46129">
        <w:t> :</w:t>
      </w:r>
      <w:r w:rsidRPr="00CE4453">
        <w:t xml:space="preserve"> </w:t>
      </w:r>
    </w:p>
    <w:p w14:paraId="01313FB0" w14:textId="1A017270" w:rsidR="00D65940" w:rsidRPr="00CE4453" w:rsidRDefault="00D65940" w:rsidP="00D65940">
      <w:pPr>
        <w:spacing w:after="120" w:line="240" w:lineRule="auto"/>
        <w:ind w:left="2835" w:right="1134" w:hanging="567"/>
        <w:jc w:val="both"/>
        <w:rPr>
          <w:bCs/>
        </w:rPr>
      </w:pPr>
      <w:r w:rsidRPr="00CE4453">
        <w:t>a)</w:t>
      </w:r>
      <w:r w:rsidRPr="00CE4453">
        <w:tab/>
        <w:t>Les ceintures de sécurité du siège du conducteur et des autres sièges sont bouclées</w:t>
      </w:r>
      <w:r w:rsidR="00B46129">
        <w:t> ;</w:t>
      </w:r>
    </w:p>
    <w:p w14:paraId="5964FD15" w14:textId="62E4A3BE" w:rsidR="00D65940" w:rsidRPr="00CE4453" w:rsidRDefault="00D65940" w:rsidP="00D65940">
      <w:pPr>
        <w:spacing w:after="120" w:line="240" w:lineRule="auto"/>
        <w:ind w:left="2835" w:right="1134" w:hanging="567"/>
        <w:jc w:val="both"/>
        <w:rPr>
          <w:bCs/>
        </w:rPr>
      </w:pPr>
      <w:r w:rsidRPr="00CE4453">
        <w:t>b)</w:t>
      </w:r>
      <w:r w:rsidRPr="00CE4453">
        <w:tab/>
        <w:t>Le véhicule est en utilisation normale</w:t>
      </w:r>
      <w:r w:rsidR="00B46129">
        <w:t> ;</w:t>
      </w:r>
    </w:p>
    <w:p w14:paraId="124DE6AD" w14:textId="2CBE77DC" w:rsidR="00D65940" w:rsidRPr="00CE4453" w:rsidRDefault="00D65940" w:rsidP="00D65940">
      <w:pPr>
        <w:spacing w:after="120" w:line="240" w:lineRule="auto"/>
        <w:ind w:left="2835" w:right="1134" w:hanging="567"/>
        <w:jc w:val="both"/>
        <w:rPr>
          <w:bCs/>
        </w:rPr>
      </w:pPr>
      <w:r w:rsidRPr="00CE4453">
        <w:t>c)</w:t>
      </w:r>
      <w:r w:rsidRPr="00CE4453">
        <w:tab/>
        <w:t>La ceinture de sécurité du siège du conducteur est détachée</w:t>
      </w:r>
      <w:r w:rsidR="00B46129">
        <w:t> ;</w:t>
      </w:r>
    </w:p>
    <w:p w14:paraId="519723D5" w14:textId="77777777" w:rsidR="00D65940" w:rsidRPr="00CE4453" w:rsidRDefault="00D65940" w:rsidP="00D65940">
      <w:pPr>
        <w:spacing w:after="120" w:line="240" w:lineRule="auto"/>
        <w:ind w:left="2835" w:right="1134" w:hanging="567"/>
        <w:jc w:val="both"/>
        <w:rPr>
          <w:bCs/>
        </w:rPr>
      </w:pPr>
      <w:r w:rsidRPr="00CE4453">
        <w:t>d)</w:t>
      </w:r>
      <w:r w:rsidRPr="00CE4453">
        <w:tab/>
        <w:t>Le véhicule d</w:t>
      </w:r>
      <w:r>
        <w:t>’</w:t>
      </w:r>
      <w:r w:rsidRPr="00CE4453">
        <w:t>essai est conduit en respectant soit une seule soit plusieurs des conditions énoncées aux paragraphes 2.1.2.1 à 2.1.2.3 de la présente annexe, au choix du constructeur.</w:t>
      </w:r>
    </w:p>
    <w:p w14:paraId="2E4689EE" w14:textId="77777777" w:rsidR="00D65940" w:rsidRPr="00CE4453" w:rsidRDefault="00D65940" w:rsidP="00D65940">
      <w:pPr>
        <w:spacing w:after="120" w:line="240" w:lineRule="auto"/>
        <w:ind w:left="2268" w:right="1134" w:hanging="1134"/>
        <w:jc w:val="both"/>
        <w:rPr>
          <w:bCs/>
        </w:rPr>
      </w:pPr>
      <w:r w:rsidRPr="00CE4453">
        <w:t>2.1.2.1</w:t>
      </w:r>
      <w:r w:rsidRPr="00CE4453">
        <w:tab/>
        <w:t>Accélérer le véhicule soumis à l</w:t>
      </w:r>
      <w:r>
        <w:t>’</w:t>
      </w:r>
      <w:r w:rsidRPr="00CE4453">
        <w:t>essai jusqu</w:t>
      </w:r>
      <w:r>
        <w:t>’</w:t>
      </w:r>
      <w:r w:rsidRPr="00CE4453">
        <w:t xml:space="preserve">à une vitesse de 25 -0/+10 km/h et continuer à la même vitesse. </w:t>
      </w:r>
    </w:p>
    <w:p w14:paraId="63264A59" w14:textId="5B67CABF" w:rsidR="00D65940" w:rsidRPr="00CE4453" w:rsidRDefault="00D65940" w:rsidP="00D65940">
      <w:pPr>
        <w:spacing w:after="120" w:line="240" w:lineRule="auto"/>
        <w:ind w:left="2268" w:right="1134" w:hanging="1134"/>
        <w:jc w:val="both"/>
        <w:rPr>
          <w:bCs/>
        </w:rPr>
      </w:pPr>
      <w:r w:rsidRPr="00CE4453">
        <w:t>2.1.2.2</w:t>
      </w:r>
      <w:r w:rsidRPr="00CE4453">
        <w:tab/>
        <w:t>Le véhicule d</w:t>
      </w:r>
      <w:r>
        <w:t>’</w:t>
      </w:r>
      <w:r w:rsidRPr="00CE4453">
        <w:t>essai parcourt, en marche avant, une distance d</w:t>
      </w:r>
      <w:r>
        <w:t>’</w:t>
      </w:r>
      <w:r w:rsidRPr="00CE4453">
        <w:t>au moins 500</w:t>
      </w:r>
      <w:r w:rsidR="008E441F">
        <w:t> </w:t>
      </w:r>
      <w:r w:rsidRPr="00CE4453">
        <w:t>m après débouclage de la ceinture de sécurité.</w:t>
      </w:r>
    </w:p>
    <w:p w14:paraId="4EFF1ED5" w14:textId="3F6DC732" w:rsidR="00D65940" w:rsidRPr="00CE4453" w:rsidRDefault="00D65940" w:rsidP="008E441F">
      <w:pPr>
        <w:pStyle w:val="para"/>
        <w:tabs>
          <w:tab w:val="clear" w:pos="1701"/>
        </w:tabs>
        <w:rPr>
          <w:bCs/>
          <w:lang w:val="fr-CH"/>
        </w:rPr>
      </w:pPr>
      <w:r w:rsidRPr="00CE4453">
        <w:rPr>
          <w:lang w:val="fr-CH"/>
        </w:rPr>
        <w:t>2.1.2.3</w:t>
      </w:r>
      <w:r w:rsidRPr="00CE4453">
        <w:rPr>
          <w:lang w:val="fr-CH"/>
        </w:rPr>
        <w:tab/>
        <w:t>Le véhicule d</w:t>
      </w:r>
      <w:r>
        <w:rPr>
          <w:lang w:val="fr-CH"/>
        </w:rPr>
        <w:t>’</w:t>
      </w:r>
      <w:r w:rsidRPr="00CE4453">
        <w:rPr>
          <w:lang w:val="fr-CH"/>
        </w:rPr>
        <w:t>essai avance pendant au moins 60</w:t>
      </w:r>
      <w:r w:rsidR="008E441F">
        <w:rPr>
          <w:lang w:val="fr-CH"/>
        </w:rPr>
        <w:t> </w:t>
      </w:r>
      <w:r w:rsidRPr="00CE4453">
        <w:rPr>
          <w:lang w:val="fr-CH"/>
        </w:rPr>
        <w:t>secondes après débouclage de la ceinture de sécurité.</w:t>
      </w:r>
    </w:p>
    <w:p w14:paraId="2C4EBDCD" w14:textId="77777777" w:rsidR="00D65940" w:rsidRPr="00CE4453" w:rsidRDefault="00D65940" w:rsidP="008E441F">
      <w:pPr>
        <w:pStyle w:val="para"/>
        <w:tabs>
          <w:tab w:val="clear" w:pos="1701"/>
        </w:tabs>
        <w:rPr>
          <w:bCs/>
          <w:lang w:val="fr-CH"/>
        </w:rPr>
      </w:pPr>
      <w:r w:rsidRPr="00CE4453">
        <w:rPr>
          <w:lang w:val="fr-CH"/>
        </w:rPr>
        <w:t>2.2</w:t>
      </w:r>
      <w:r w:rsidRPr="00CE4453">
        <w:rPr>
          <w:lang w:val="fr-CH"/>
        </w:rPr>
        <w:tab/>
        <w:t>Essai du ou des autres sièges de la rangée du conducteur</w:t>
      </w:r>
    </w:p>
    <w:p w14:paraId="63D434F1" w14:textId="6756F69B" w:rsidR="00D65940" w:rsidRPr="00CE4453" w:rsidRDefault="00D65940" w:rsidP="00D65940">
      <w:pPr>
        <w:spacing w:after="120" w:line="240" w:lineRule="auto"/>
        <w:ind w:left="2268" w:right="1134" w:hanging="1134"/>
        <w:jc w:val="both"/>
        <w:rPr>
          <w:bCs/>
        </w:rPr>
      </w:pPr>
      <w:r w:rsidRPr="00CE4453">
        <w:t>2.2.1</w:t>
      </w:r>
      <w:r w:rsidRPr="00CE4453">
        <w:tab/>
        <w:t>Essai du ou des autres sièges de la rangée du conducteur quand la ceinture n</w:t>
      </w:r>
      <w:r>
        <w:t>’</w:t>
      </w:r>
      <w:r w:rsidRPr="00CE4453">
        <w:t>est pas bouclée, avant le départ</w:t>
      </w:r>
      <w:r w:rsidR="00B46129">
        <w:t> :</w:t>
      </w:r>
    </w:p>
    <w:p w14:paraId="5EFFE8BA" w14:textId="4F32F269" w:rsidR="00D65940" w:rsidRPr="00CE4453" w:rsidRDefault="00D65940" w:rsidP="00D65940">
      <w:pPr>
        <w:spacing w:after="120" w:line="240" w:lineRule="auto"/>
        <w:ind w:left="2790" w:right="1134" w:hanging="522"/>
        <w:jc w:val="both"/>
        <w:rPr>
          <w:bCs/>
        </w:rPr>
      </w:pPr>
      <w:r w:rsidRPr="00CE4453">
        <w:t>a)</w:t>
      </w:r>
      <w:r w:rsidRPr="00CE4453">
        <w:tab/>
        <w:t>La ou les ceintures de sécurité du ou des sièges de la rangée du conducteur ne sont pas bouclées</w:t>
      </w:r>
      <w:r w:rsidR="00B46129">
        <w:t> ;</w:t>
      </w:r>
    </w:p>
    <w:p w14:paraId="1A9005FC" w14:textId="0B9F00C2" w:rsidR="00D65940" w:rsidRPr="00CE4453" w:rsidRDefault="00D65940" w:rsidP="00D65940">
      <w:pPr>
        <w:spacing w:after="120" w:line="240" w:lineRule="auto"/>
        <w:ind w:left="2790" w:right="1134" w:hanging="522"/>
        <w:jc w:val="both"/>
        <w:rPr>
          <w:bCs/>
        </w:rPr>
      </w:pPr>
      <w:r w:rsidRPr="00CE4453">
        <w:t>b)</w:t>
      </w:r>
      <w:r w:rsidRPr="00CE4453">
        <w:tab/>
        <w:t>Les ceintures des sièges qui ne sont pas dans la rangée de celui du conducteur sont bouclées</w:t>
      </w:r>
      <w:r w:rsidR="00B46129">
        <w:t> ;</w:t>
      </w:r>
    </w:p>
    <w:p w14:paraId="224242EE" w14:textId="7234BEC1" w:rsidR="00D65940" w:rsidRPr="00CE4453" w:rsidRDefault="00D65940" w:rsidP="00D65940">
      <w:pPr>
        <w:pStyle w:val="a"/>
        <w:rPr>
          <w:lang w:val="fr-CH"/>
        </w:rPr>
      </w:pPr>
      <w:r w:rsidRPr="00CE4453">
        <w:rPr>
          <w:lang w:val="fr-CH"/>
        </w:rPr>
        <w:t>c)</w:t>
      </w:r>
      <w:r w:rsidRPr="00CE4453">
        <w:rPr>
          <w:lang w:val="fr-CH"/>
        </w:rPr>
        <w:tab/>
        <w:t>Une charge de 40</w:t>
      </w:r>
      <w:r w:rsidR="008E441F">
        <w:rPr>
          <w:lang w:val="fr-CH"/>
        </w:rPr>
        <w:t> </w:t>
      </w:r>
      <w:r w:rsidRPr="00CE4453">
        <w:rPr>
          <w:lang w:val="fr-CH"/>
        </w:rPr>
        <w:t>kg est appliquée sur le ou les autres sièges de la rangée du conducteur, ou alors la présence d</w:t>
      </w:r>
      <w:r>
        <w:rPr>
          <w:lang w:val="fr-CH"/>
        </w:rPr>
        <w:t>’</w:t>
      </w:r>
      <w:r w:rsidRPr="00CE4453">
        <w:rPr>
          <w:lang w:val="fr-CH"/>
        </w:rPr>
        <w:t>occupants à bord du véhicule est simulée à l</w:t>
      </w:r>
      <w:r>
        <w:rPr>
          <w:lang w:val="fr-CH"/>
        </w:rPr>
        <w:t>’</w:t>
      </w:r>
      <w:r w:rsidRPr="00CE4453">
        <w:rPr>
          <w:lang w:val="fr-CH"/>
        </w:rPr>
        <w:t>aide d</w:t>
      </w:r>
      <w:r>
        <w:rPr>
          <w:lang w:val="fr-CH"/>
        </w:rPr>
        <w:t>’</w:t>
      </w:r>
      <w:r w:rsidRPr="00CE4453">
        <w:rPr>
          <w:lang w:val="fr-CH"/>
        </w:rPr>
        <w:t>une méthode définie par le constructeur, pour autant que la masse d</w:t>
      </w:r>
      <w:r>
        <w:rPr>
          <w:lang w:val="fr-CH"/>
        </w:rPr>
        <w:t>’</w:t>
      </w:r>
      <w:r w:rsidRPr="00CE4453">
        <w:rPr>
          <w:lang w:val="fr-CH"/>
        </w:rPr>
        <w:t>un occupant ne dépasse pas 40</w:t>
      </w:r>
      <w:r w:rsidR="008E441F">
        <w:rPr>
          <w:lang w:val="fr-CH"/>
        </w:rPr>
        <w:t> </w:t>
      </w:r>
      <w:r w:rsidRPr="00CE4453">
        <w:rPr>
          <w:lang w:val="fr-CH"/>
        </w:rPr>
        <w:t>kg</w:t>
      </w:r>
      <w:r w:rsidR="008E441F">
        <w:rPr>
          <w:lang w:val="fr-CH"/>
        </w:rPr>
        <w:t> ;</w:t>
      </w:r>
    </w:p>
    <w:p w14:paraId="630E68A5" w14:textId="38AB0CAF" w:rsidR="00D65940" w:rsidRPr="00CE4453" w:rsidRDefault="00D65940" w:rsidP="00D65940">
      <w:pPr>
        <w:pStyle w:val="a"/>
        <w:ind w:firstLine="0"/>
        <w:rPr>
          <w:lang w:val="fr-CH"/>
        </w:rPr>
      </w:pPr>
      <w:r w:rsidRPr="00CE4453">
        <w:rPr>
          <w:lang w:val="fr-CH"/>
        </w:rPr>
        <w:t>Ou (au choix du constructeur)</w:t>
      </w:r>
      <w:r w:rsidR="00B46129">
        <w:rPr>
          <w:lang w:val="fr-CH"/>
        </w:rPr>
        <w:t> :</w:t>
      </w:r>
    </w:p>
    <w:p w14:paraId="3AD16705" w14:textId="2FE5EE24" w:rsidR="00D65940" w:rsidRPr="00CE4453" w:rsidRDefault="00D65940" w:rsidP="00D65940">
      <w:pPr>
        <w:pStyle w:val="a"/>
        <w:ind w:firstLine="0"/>
        <w:rPr>
          <w:lang w:val="fr-CH"/>
        </w:rPr>
      </w:pPr>
      <w:r w:rsidRPr="00CE4453">
        <w:rPr>
          <w:lang w:val="fr-CH"/>
        </w:rPr>
        <w:t>Un objet ou être humain dont les mensurations correspondent à celles d</w:t>
      </w:r>
      <w:r>
        <w:rPr>
          <w:lang w:val="fr-CH"/>
        </w:rPr>
        <w:t>’</w:t>
      </w:r>
      <w:r w:rsidRPr="00CE4453">
        <w:rPr>
          <w:lang w:val="fr-CH"/>
        </w:rPr>
        <w:t>un mannequin femme du 5</w:t>
      </w:r>
      <w:r w:rsidRPr="00CE4453">
        <w:rPr>
          <w:vertAlign w:val="superscript"/>
          <w:lang w:val="fr-CH"/>
        </w:rPr>
        <w:t>e</w:t>
      </w:r>
      <w:r w:rsidRPr="00CE4453">
        <w:rPr>
          <w:lang w:val="fr-CH"/>
        </w:rPr>
        <w:t xml:space="preserve"> centile est placé sur chaque siège de la rangée du conducteur, dans les conditions fixées par le constructeur, ou alors la présence d</w:t>
      </w:r>
      <w:r>
        <w:rPr>
          <w:lang w:val="fr-CH"/>
        </w:rPr>
        <w:t>’</w:t>
      </w:r>
      <w:r w:rsidRPr="00CE4453">
        <w:rPr>
          <w:lang w:val="fr-CH"/>
        </w:rPr>
        <w:t>occupants à bord du véhicule est simulée à l</w:t>
      </w:r>
      <w:r>
        <w:rPr>
          <w:lang w:val="fr-CH"/>
        </w:rPr>
        <w:t>’</w:t>
      </w:r>
      <w:r w:rsidRPr="00CE4453">
        <w:rPr>
          <w:lang w:val="fr-CH"/>
        </w:rPr>
        <w:t>aide d</w:t>
      </w:r>
      <w:r>
        <w:rPr>
          <w:lang w:val="fr-CH"/>
        </w:rPr>
        <w:t>’</w:t>
      </w:r>
      <w:r w:rsidRPr="00CE4453">
        <w:rPr>
          <w:lang w:val="fr-CH"/>
        </w:rPr>
        <w:t>une autre méthode définie par le constructeur du véhicule avec l</w:t>
      </w:r>
      <w:r>
        <w:rPr>
          <w:lang w:val="fr-CH"/>
        </w:rPr>
        <w:t>’</w:t>
      </w:r>
      <w:r w:rsidRPr="00CE4453">
        <w:rPr>
          <w:lang w:val="fr-CH"/>
        </w:rPr>
        <w:t>aval du service technique et de l</w:t>
      </w:r>
      <w:r>
        <w:rPr>
          <w:lang w:val="fr-CH"/>
        </w:rPr>
        <w:t>’</w:t>
      </w:r>
      <w:r w:rsidRPr="00CE4453">
        <w:rPr>
          <w:lang w:val="fr-CH"/>
        </w:rPr>
        <w:t>autorité d</w:t>
      </w:r>
      <w:r>
        <w:rPr>
          <w:lang w:val="fr-CH"/>
        </w:rPr>
        <w:t>’</w:t>
      </w:r>
      <w:r w:rsidRPr="00CE4453">
        <w:rPr>
          <w:lang w:val="fr-CH"/>
        </w:rPr>
        <w:t>homologation de type. Cela peut également se faire pour les sièges arrière à la demande du constructeur du véhicule</w:t>
      </w:r>
      <w:r w:rsidR="00B46129">
        <w:rPr>
          <w:lang w:val="fr-CH"/>
        </w:rPr>
        <w:t> ;</w:t>
      </w:r>
    </w:p>
    <w:p w14:paraId="0E6A05EF" w14:textId="12820139" w:rsidR="00D65940" w:rsidRPr="00CE4453" w:rsidRDefault="00D65940" w:rsidP="00D65940">
      <w:pPr>
        <w:pStyle w:val="a"/>
        <w:rPr>
          <w:lang w:val="fr-CH"/>
        </w:rPr>
      </w:pPr>
      <w:r w:rsidRPr="00CE4453">
        <w:rPr>
          <w:lang w:val="fr-CH"/>
        </w:rPr>
        <w:t>d)</w:t>
      </w:r>
      <w:r w:rsidRPr="00CE4453">
        <w:rPr>
          <w:lang w:val="fr-CH"/>
        </w:rPr>
        <w:tab/>
        <w:t>Le véhicule d</w:t>
      </w:r>
      <w:r>
        <w:rPr>
          <w:lang w:val="fr-CH"/>
        </w:rPr>
        <w:t>’</w:t>
      </w:r>
      <w:r w:rsidRPr="00CE4453">
        <w:rPr>
          <w:lang w:val="fr-CH"/>
        </w:rPr>
        <w:t>essai est conduit en respectant soit une seule soit plusieurs des conditions énoncées aux paragraphes 2.1.1.1 à 2.1.1.3 de la présente annexe, au choix du constructeur</w:t>
      </w:r>
      <w:r w:rsidR="00B46129">
        <w:rPr>
          <w:lang w:val="fr-CH"/>
        </w:rPr>
        <w:t> ;</w:t>
      </w:r>
    </w:p>
    <w:p w14:paraId="14725082" w14:textId="77777777" w:rsidR="00D65940" w:rsidRPr="00CE4453" w:rsidRDefault="00D65940" w:rsidP="00D65940">
      <w:pPr>
        <w:pStyle w:val="a"/>
        <w:rPr>
          <w:lang w:val="fr-CH"/>
        </w:rPr>
      </w:pPr>
      <w:r w:rsidRPr="00CE4453">
        <w:rPr>
          <w:lang w:val="fr-CH"/>
        </w:rPr>
        <w:t>e)</w:t>
      </w:r>
      <w:r w:rsidRPr="00CE4453">
        <w:rPr>
          <w:lang w:val="fr-CH"/>
        </w:rPr>
        <w:tab/>
        <w:t>L</w:t>
      </w:r>
      <w:r>
        <w:rPr>
          <w:lang w:val="fr-CH"/>
        </w:rPr>
        <w:t>’</w:t>
      </w:r>
      <w:r w:rsidRPr="00CE4453">
        <w:rPr>
          <w:lang w:val="fr-CH"/>
        </w:rPr>
        <w:t>état du témoin de port de ceinture est vérifié pour tous les sièges de la rangée du conducteur, pour chacune des conditions a) à d).</w:t>
      </w:r>
    </w:p>
    <w:p w14:paraId="008744ED" w14:textId="00431BEF" w:rsidR="00D65940" w:rsidRPr="00CE4453" w:rsidRDefault="00D65940" w:rsidP="00D65940">
      <w:pPr>
        <w:spacing w:after="120" w:line="240" w:lineRule="auto"/>
        <w:ind w:left="2268" w:right="1134" w:hanging="1134"/>
        <w:jc w:val="both"/>
        <w:rPr>
          <w:bCs/>
        </w:rPr>
      </w:pPr>
      <w:r w:rsidRPr="00CE4453">
        <w:t>2.2.2</w:t>
      </w:r>
      <w:r w:rsidRPr="00CE4453">
        <w:tab/>
        <w:t>Essai du ou des sièges de la rangée du conducteur quand la ceinture est détachée en cours de route</w:t>
      </w:r>
      <w:r w:rsidR="00B46129">
        <w:t> :</w:t>
      </w:r>
    </w:p>
    <w:p w14:paraId="606BE654" w14:textId="59597C8F" w:rsidR="00D65940" w:rsidRPr="00CE4453" w:rsidRDefault="00D65940" w:rsidP="00D65940">
      <w:pPr>
        <w:spacing w:after="120" w:line="240" w:lineRule="auto"/>
        <w:ind w:left="2880" w:right="1134" w:hanging="612"/>
        <w:jc w:val="both"/>
        <w:rPr>
          <w:bCs/>
        </w:rPr>
      </w:pPr>
      <w:r w:rsidRPr="00CE4453">
        <w:t>a)</w:t>
      </w:r>
      <w:r w:rsidRPr="00CE4453">
        <w:tab/>
        <w:t>Les ceintures de sécurité du siège du conducteur et des autres sièges sont bouclées</w:t>
      </w:r>
      <w:r w:rsidR="00B46129">
        <w:t> ;</w:t>
      </w:r>
    </w:p>
    <w:p w14:paraId="26700121" w14:textId="4B3F5CD3" w:rsidR="00D65940" w:rsidRPr="00CE4453" w:rsidRDefault="00D65940" w:rsidP="00D65940">
      <w:pPr>
        <w:spacing w:after="120" w:line="240" w:lineRule="auto"/>
        <w:ind w:left="2880" w:right="1134" w:hanging="612"/>
        <w:jc w:val="both"/>
        <w:rPr>
          <w:bCs/>
        </w:rPr>
      </w:pPr>
      <w:r w:rsidRPr="00CE4453">
        <w:lastRenderedPageBreak/>
        <w:t>b)</w:t>
      </w:r>
      <w:r w:rsidRPr="00CE4453">
        <w:tab/>
        <w:t>Une charge de 40</w:t>
      </w:r>
      <w:r w:rsidR="008E441F">
        <w:t> </w:t>
      </w:r>
      <w:r w:rsidRPr="00CE4453">
        <w:t>kg est appliquée sur le ou les autres sièges de la rangée du conducteur, ou alors la présence d</w:t>
      </w:r>
      <w:r>
        <w:t>’</w:t>
      </w:r>
      <w:r w:rsidRPr="00CE4453">
        <w:t>occupants à bord du véhicule est simulée à l</w:t>
      </w:r>
      <w:r>
        <w:t>’</w:t>
      </w:r>
      <w:r w:rsidRPr="00CE4453">
        <w:t>aide d</w:t>
      </w:r>
      <w:r>
        <w:t>’</w:t>
      </w:r>
      <w:r w:rsidRPr="00CE4453">
        <w:t>une méthode définie par le constructeur, pour autant que la masse d</w:t>
      </w:r>
      <w:r>
        <w:t>’</w:t>
      </w:r>
      <w:r w:rsidRPr="00CE4453">
        <w:t>un occupant ne dépasse pas 40</w:t>
      </w:r>
      <w:r w:rsidR="008E441F">
        <w:t> </w:t>
      </w:r>
      <w:r w:rsidRPr="00CE4453">
        <w:t>kg</w:t>
      </w:r>
      <w:r w:rsidR="00B46129">
        <w:t> ;</w:t>
      </w:r>
    </w:p>
    <w:p w14:paraId="31E82169" w14:textId="11E17A51" w:rsidR="00D65940" w:rsidRPr="00CE4453" w:rsidRDefault="00D65940" w:rsidP="00D65940">
      <w:pPr>
        <w:spacing w:after="120" w:line="240" w:lineRule="auto"/>
        <w:ind w:left="2835" w:right="1134"/>
        <w:jc w:val="both"/>
        <w:rPr>
          <w:bCs/>
        </w:rPr>
      </w:pPr>
      <w:r w:rsidRPr="00CE4453">
        <w:t>Ou (au choix du constructeur)</w:t>
      </w:r>
      <w:r w:rsidR="00B46129">
        <w:t> :</w:t>
      </w:r>
    </w:p>
    <w:p w14:paraId="31568B7E" w14:textId="43A298DF" w:rsidR="00D65940" w:rsidRPr="00CE4453" w:rsidRDefault="00D65940" w:rsidP="00D65940">
      <w:pPr>
        <w:spacing w:after="120" w:line="240" w:lineRule="auto"/>
        <w:ind w:left="2835" w:right="1134"/>
        <w:jc w:val="both"/>
        <w:rPr>
          <w:bCs/>
        </w:rPr>
      </w:pPr>
      <w:r w:rsidRPr="00CE4453">
        <w:t>Un objet ou être humain dont les mensurations correspondent à celles d</w:t>
      </w:r>
      <w:r>
        <w:t>’</w:t>
      </w:r>
      <w:r w:rsidRPr="00CE4453">
        <w:t>un mannequin femme du 5</w:t>
      </w:r>
      <w:r w:rsidRPr="00CE4453">
        <w:rPr>
          <w:vertAlign w:val="superscript"/>
        </w:rPr>
        <w:t>e</w:t>
      </w:r>
      <w:r w:rsidRPr="00CE4453">
        <w:t> centile est placé sur chaque siège de la rangée du conducteur, dans les conditions fixées par le constructeur, ou alors la présence d</w:t>
      </w:r>
      <w:r>
        <w:t>’</w:t>
      </w:r>
      <w:r w:rsidRPr="00CE4453">
        <w:t>occupants dont les mensurations correspondent à celles de ce mannequin à bord du véhicule est simulée à l</w:t>
      </w:r>
      <w:r>
        <w:t>’</w:t>
      </w:r>
      <w:r w:rsidRPr="00CE4453">
        <w:t>aide d</w:t>
      </w:r>
      <w:r>
        <w:t>’</w:t>
      </w:r>
      <w:r w:rsidRPr="00CE4453">
        <w:t>une autre méthode définie par le constructeur du véhicule avec l</w:t>
      </w:r>
      <w:r>
        <w:t>’</w:t>
      </w:r>
      <w:r w:rsidRPr="00CE4453">
        <w:t>aval du service technique et de l</w:t>
      </w:r>
      <w:r>
        <w:t>’</w:t>
      </w:r>
      <w:r w:rsidRPr="00CE4453">
        <w:t>autorité d</w:t>
      </w:r>
      <w:r>
        <w:t>’</w:t>
      </w:r>
      <w:r w:rsidRPr="00CE4453">
        <w:t>homologation de type. Cela peut également se faire pour les sièges arrière, à la demande du constructeur du véhicule</w:t>
      </w:r>
      <w:r w:rsidR="00B46129">
        <w:t> ;</w:t>
      </w:r>
    </w:p>
    <w:p w14:paraId="60322C26" w14:textId="4F039955" w:rsidR="00D65940" w:rsidRPr="00CE4453" w:rsidRDefault="00D65940" w:rsidP="00D65940">
      <w:pPr>
        <w:spacing w:after="120" w:line="240" w:lineRule="auto"/>
        <w:ind w:left="2835" w:right="1134" w:hanging="567"/>
        <w:jc w:val="both"/>
        <w:rPr>
          <w:bCs/>
        </w:rPr>
      </w:pPr>
      <w:r w:rsidRPr="00CE4453">
        <w:t>c)</w:t>
      </w:r>
      <w:r w:rsidRPr="00CE4453">
        <w:tab/>
        <w:t>Le véhicule est en utilisation normale</w:t>
      </w:r>
      <w:r w:rsidR="00B46129">
        <w:t> ;</w:t>
      </w:r>
    </w:p>
    <w:p w14:paraId="7FD4A3AA" w14:textId="199F7696" w:rsidR="00D65940" w:rsidRPr="00CE4453" w:rsidRDefault="00D65940" w:rsidP="00D65940">
      <w:pPr>
        <w:spacing w:after="120" w:line="240" w:lineRule="auto"/>
        <w:ind w:left="2835" w:right="1134" w:hanging="567"/>
        <w:jc w:val="both"/>
        <w:rPr>
          <w:bCs/>
        </w:rPr>
      </w:pPr>
      <w:r w:rsidRPr="00CE4453">
        <w:t>d)</w:t>
      </w:r>
      <w:r w:rsidRPr="00CE4453">
        <w:tab/>
        <w:t>Les ceintures de sécurité des sièges autres que celui du conducteur sont détachées</w:t>
      </w:r>
      <w:r w:rsidR="00B46129">
        <w:t> ;</w:t>
      </w:r>
    </w:p>
    <w:p w14:paraId="1B97A63F" w14:textId="13632A79" w:rsidR="00D65940" w:rsidRPr="00CE4453" w:rsidRDefault="00D65940" w:rsidP="00D65940">
      <w:pPr>
        <w:spacing w:after="120" w:line="240" w:lineRule="auto"/>
        <w:ind w:left="2835" w:right="1134" w:hanging="567"/>
        <w:jc w:val="both"/>
        <w:rPr>
          <w:bCs/>
        </w:rPr>
      </w:pPr>
      <w:r w:rsidRPr="00CE4453">
        <w:t>e)</w:t>
      </w:r>
      <w:r w:rsidRPr="00CE4453">
        <w:tab/>
        <w:t>Le véhicule d</w:t>
      </w:r>
      <w:r>
        <w:t>’</w:t>
      </w:r>
      <w:r w:rsidRPr="00CE4453">
        <w:t>essai est conduit en respectant soit une seule soit plusieurs des conditions énoncées aux paragraphes 2.1.2.1 à 2.1.2.3 de la présente annexe, au choix du constructeur</w:t>
      </w:r>
      <w:r w:rsidR="00B46129">
        <w:t> ;</w:t>
      </w:r>
      <w:r w:rsidRPr="00CE4453">
        <w:t xml:space="preserve"> </w:t>
      </w:r>
    </w:p>
    <w:p w14:paraId="23D19189" w14:textId="6DF74F1A" w:rsidR="00D65940" w:rsidRPr="00CE4453" w:rsidRDefault="00D65940" w:rsidP="00D65940">
      <w:pPr>
        <w:pStyle w:val="a"/>
        <w:rPr>
          <w:lang w:val="fr-CH"/>
        </w:rPr>
      </w:pPr>
      <w:r w:rsidRPr="00CE4453">
        <w:rPr>
          <w:lang w:val="fr-CH"/>
        </w:rPr>
        <w:t>f)</w:t>
      </w:r>
      <w:r w:rsidRPr="00CE4453">
        <w:rPr>
          <w:lang w:val="fr-CH"/>
        </w:rPr>
        <w:tab/>
        <w:t>L</w:t>
      </w:r>
      <w:r>
        <w:rPr>
          <w:lang w:val="fr-CH"/>
        </w:rPr>
        <w:t>’</w:t>
      </w:r>
      <w:r w:rsidRPr="00CE4453">
        <w:rPr>
          <w:lang w:val="fr-CH"/>
        </w:rPr>
        <w:t>état du témoin de port de ceinture est vérifié pour tous les sièges de la rangée du conducteur, pour chacune des conditions a) à e).</w:t>
      </w:r>
    </w:p>
    <w:p w14:paraId="39C8F5A8" w14:textId="2A33962B" w:rsidR="00D65940" w:rsidRPr="00CE4453" w:rsidRDefault="00D65940" w:rsidP="008E441F">
      <w:pPr>
        <w:pStyle w:val="para"/>
        <w:tabs>
          <w:tab w:val="clear" w:pos="1701"/>
        </w:tabs>
        <w:rPr>
          <w:bCs/>
          <w:lang w:val="fr-CH"/>
        </w:rPr>
      </w:pPr>
      <w:r w:rsidRPr="00CE4453">
        <w:rPr>
          <w:lang w:val="fr-CH"/>
        </w:rPr>
        <w:t>2.3</w:t>
      </w:r>
      <w:r w:rsidRPr="00CE4453">
        <w:rPr>
          <w:lang w:val="fr-CH"/>
        </w:rPr>
        <w:tab/>
        <w:t>Essai des sièges arrière</w:t>
      </w:r>
      <w:r w:rsidR="00B46129">
        <w:rPr>
          <w:lang w:val="fr-CH"/>
        </w:rPr>
        <w:t> :</w:t>
      </w:r>
    </w:p>
    <w:p w14:paraId="6D851368" w14:textId="5067B0FE" w:rsidR="00D65940" w:rsidRPr="00CE4453" w:rsidRDefault="00D65940" w:rsidP="00D65940">
      <w:pPr>
        <w:pStyle w:val="a"/>
        <w:rPr>
          <w:lang w:val="fr-CH"/>
        </w:rPr>
      </w:pPr>
      <w:r w:rsidRPr="00CE4453">
        <w:rPr>
          <w:lang w:val="fr-CH"/>
        </w:rPr>
        <w:t>a)</w:t>
      </w:r>
      <w:r w:rsidRPr="00CE4453">
        <w:rPr>
          <w:lang w:val="fr-CH"/>
        </w:rPr>
        <w:tab/>
        <w:t>Le véhicule étant immobile, les ceintures de sécurité de tous les sièges sont bouclées</w:t>
      </w:r>
      <w:r w:rsidR="00B46129">
        <w:rPr>
          <w:lang w:val="fr-CH"/>
        </w:rPr>
        <w:t> ;</w:t>
      </w:r>
    </w:p>
    <w:p w14:paraId="254673C5" w14:textId="0A0717D0" w:rsidR="00D65940" w:rsidRPr="00CE4453" w:rsidRDefault="00D65940" w:rsidP="00D65940">
      <w:pPr>
        <w:pStyle w:val="a"/>
        <w:rPr>
          <w:lang w:val="fr-CH"/>
        </w:rPr>
      </w:pPr>
      <w:r w:rsidRPr="00CE4453">
        <w:rPr>
          <w:lang w:val="fr-CH"/>
        </w:rPr>
        <w:t>b)</w:t>
      </w:r>
      <w:r w:rsidRPr="00CE4453">
        <w:rPr>
          <w:lang w:val="fr-CH"/>
        </w:rPr>
        <w:tab/>
        <w:t>Le véhicule d</w:t>
      </w:r>
      <w:r>
        <w:rPr>
          <w:lang w:val="fr-CH"/>
        </w:rPr>
        <w:t>’</w:t>
      </w:r>
      <w:r w:rsidRPr="00CE4453">
        <w:rPr>
          <w:lang w:val="fr-CH"/>
        </w:rPr>
        <w:t>essai est en utilisation normale et se déplace</w:t>
      </w:r>
      <w:r w:rsidR="00B46129">
        <w:rPr>
          <w:lang w:val="fr-CH"/>
        </w:rPr>
        <w:t> ;</w:t>
      </w:r>
    </w:p>
    <w:p w14:paraId="1AD41121" w14:textId="4392CD10" w:rsidR="00D65940" w:rsidRPr="00CE4453" w:rsidRDefault="00D65940" w:rsidP="00D65940">
      <w:pPr>
        <w:pStyle w:val="a"/>
        <w:rPr>
          <w:lang w:val="fr-CH"/>
        </w:rPr>
      </w:pPr>
      <w:r w:rsidRPr="00CE4453">
        <w:rPr>
          <w:lang w:val="fr-CH"/>
        </w:rPr>
        <w:t>c)</w:t>
      </w:r>
      <w:r w:rsidRPr="00CE4453">
        <w:rPr>
          <w:lang w:val="fr-CH"/>
        </w:rPr>
        <w:tab/>
        <w:t>La ceinture de sécurité de l</w:t>
      </w:r>
      <w:r>
        <w:rPr>
          <w:lang w:val="fr-CH"/>
        </w:rPr>
        <w:t>’</w:t>
      </w:r>
      <w:r w:rsidRPr="00CE4453">
        <w:rPr>
          <w:lang w:val="fr-CH"/>
        </w:rPr>
        <w:t>un des sièges arrière est détachée</w:t>
      </w:r>
      <w:r w:rsidR="00B46129">
        <w:rPr>
          <w:lang w:val="fr-CH"/>
        </w:rPr>
        <w:t> ;</w:t>
      </w:r>
    </w:p>
    <w:p w14:paraId="54A1DA2E" w14:textId="12D710AD" w:rsidR="00D65940" w:rsidRPr="00CE4453" w:rsidRDefault="00D65940" w:rsidP="00D65940">
      <w:pPr>
        <w:pStyle w:val="a"/>
        <w:rPr>
          <w:lang w:val="fr-CH"/>
        </w:rPr>
      </w:pPr>
      <w:r w:rsidRPr="00CE4453">
        <w:rPr>
          <w:lang w:val="fr-CH"/>
        </w:rPr>
        <w:t>d)</w:t>
      </w:r>
      <w:r w:rsidRPr="00CE4453">
        <w:rPr>
          <w:lang w:val="fr-CH"/>
        </w:rPr>
        <w:tab/>
        <w:t>Le fonctionnement du témoin de port de ceinture est vérifié pour tous les sièges de toutes les rangées</w:t>
      </w:r>
      <w:r w:rsidR="00B46129">
        <w:rPr>
          <w:lang w:val="fr-CH"/>
        </w:rPr>
        <w:t> ;</w:t>
      </w:r>
    </w:p>
    <w:p w14:paraId="603C0395" w14:textId="77777777" w:rsidR="00D65940" w:rsidRPr="00CE4453" w:rsidRDefault="00D65940" w:rsidP="00D65940">
      <w:pPr>
        <w:pStyle w:val="a"/>
        <w:rPr>
          <w:lang w:val="fr-CH"/>
        </w:rPr>
      </w:pPr>
      <w:r w:rsidRPr="00CE4453">
        <w:rPr>
          <w:lang w:val="fr-CH"/>
        </w:rPr>
        <w:t>e)</w:t>
      </w:r>
      <w:r w:rsidRPr="00CE4453">
        <w:rPr>
          <w:lang w:val="fr-CH"/>
        </w:rPr>
        <w:tab/>
        <w:t>Si le constructeur du véhicule le demande, les procédures d</w:t>
      </w:r>
      <w:r>
        <w:rPr>
          <w:lang w:val="fr-CH"/>
        </w:rPr>
        <w:t>’</w:t>
      </w:r>
      <w:r w:rsidRPr="00CE4453">
        <w:rPr>
          <w:lang w:val="fr-CH"/>
        </w:rPr>
        <w:t>essai décrites aux paragraphes 2.2 à 2.2.2 pour les sièges de la rangée du conducteur peuvent être appliquées également à n</w:t>
      </w:r>
      <w:r>
        <w:rPr>
          <w:lang w:val="fr-CH"/>
        </w:rPr>
        <w:t>’</w:t>
      </w:r>
      <w:r w:rsidRPr="00CE4453">
        <w:rPr>
          <w:lang w:val="fr-CH"/>
        </w:rPr>
        <w:t>importe quel siège arrière.</w:t>
      </w:r>
    </w:p>
    <w:p w14:paraId="25741E00" w14:textId="000B3543" w:rsidR="00D65940" w:rsidRDefault="00D65940" w:rsidP="008E441F">
      <w:pPr>
        <w:pStyle w:val="SingleTxtG"/>
        <w:tabs>
          <w:tab w:val="clear" w:pos="1701"/>
          <w:tab w:val="right" w:leader="dot" w:pos="8505"/>
        </w:tabs>
        <w:ind w:left="2268" w:hanging="1134"/>
      </w:pPr>
      <w:r w:rsidRPr="00CE4453">
        <w:t>3.</w:t>
      </w:r>
      <w:r w:rsidRPr="00CE4453">
        <w:tab/>
        <w:t>La durée de l</w:t>
      </w:r>
      <w:r>
        <w:t>’</w:t>
      </w:r>
      <w:r w:rsidRPr="00CE4453">
        <w:t>alerte de premier niveau doit être au moins égale au minimum requis au paragraphe</w:t>
      </w:r>
      <w:r w:rsidR="008E441F">
        <w:t> </w:t>
      </w:r>
      <w:r w:rsidRPr="00CE4453">
        <w:t>5.2.3 du présent Règlement. Il est possible de démarrer l</w:t>
      </w:r>
      <w:r>
        <w:t>’</w:t>
      </w:r>
      <w:r w:rsidRPr="00CE4453">
        <w:t>essai de l</w:t>
      </w:r>
      <w:r>
        <w:t>’</w:t>
      </w:r>
      <w:r w:rsidRPr="00CE4453">
        <w:t>alerte de second niveau directement après l</w:t>
      </w:r>
      <w:r>
        <w:t>’</w:t>
      </w:r>
      <w:r w:rsidRPr="00CE4453">
        <w:t>achèvement de l</w:t>
      </w:r>
      <w:r>
        <w:t>’</w:t>
      </w:r>
      <w:r w:rsidRPr="00CE4453">
        <w:t>essai de l</w:t>
      </w:r>
      <w:r>
        <w:t>’</w:t>
      </w:r>
      <w:r w:rsidRPr="00CE4453">
        <w:t>alerte de premier niveau. Il importe toutefois de veiller à ce que l</w:t>
      </w:r>
      <w:r>
        <w:t>’</w:t>
      </w:r>
      <w:r w:rsidRPr="00CE4453">
        <w:t>alerte de second niveau remplace l</w:t>
      </w:r>
      <w:r>
        <w:t>’</w:t>
      </w:r>
      <w:r w:rsidRPr="00CE4453">
        <w:t>alerte de premier niveau alors que celle-ci est encore active. ».</w:t>
      </w:r>
    </w:p>
    <w:p w14:paraId="67E3F29F" w14:textId="2EDFAB3C" w:rsidR="008E441F" w:rsidRPr="008E441F" w:rsidRDefault="008E441F" w:rsidP="008E441F">
      <w:pPr>
        <w:pStyle w:val="SingleTxtG"/>
        <w:spacing w:before="240" w:after="0"/>
        <w:jc w:val="center"/>
        <w:rPr>
          <w:u w:val="single"/>
        </w:rPr>
      </w:pPr>
      <w:r>
        <w:rPr>
          <w:u w:val="single"/>
        </w:rPr>
        <w:tab/>
      </w:r>
      <w:r>
        <w:rPr>
          <w:u w:val="single"/>
        </w:rPr>
        <w:tab/>
      </w:r>
      <w:r>
        <w:rPr>
          <w:u w:val="single"/>
        </w:rPr>
        <w:tab/>
      </w:r>
    </w:p>
    <w:sectPr w:rsidR="008E441F" w:rsidRPr="008E441F" w:rsidSect="00D65940">
      <w:headerReference w:type="even" r:id="rId25"/>
      <w:headerReference w:type="default" r:id="rId26"/>
      <w:footerReference w:type="even" r:id="rId27"/>
      <w:footerReference w:type="default" r:id="rId28"/>
      <w:endnotePr>
        <w:numFmt w:val="decimal"/>
      </w:endnotePr>
      <w:pgSz w:w="11906" w:h="16838" w:code="9"/>
      <w:pgMar w:top="1417" w:right="1134" w:bottom="1134"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7894A" w14:textId="77777777" w:rsidR="008052FE" w:rsidRDefault="008052FE" w:rsidP="00F95C08">
      <w:pPr>
        <w:spacing w:line="240" w:lineRule="auto"/>
      </w:pPr>
    </w:p>
  </w:endnote>
  <w:endnote w:type="continuationSeparator" w:id="0">
    <w:p w14:paraId="4A00D49E" w14:textId="77777777" w:rsidR="008052FE" w:rsidRPr="00AC3823" w:rsidRDefault="008052FE" w:rsidP="00AC3823">
      <w:pPr>
        <w:pStyle w:val="Pieddepage"/>
      </w:pPr>
    </w:p>
  </w:endnote>
  <w:endnote w:type="continuationNotice" w:id="1">
    <w:p w14:paraId="479AC8CE" w14:textId="77777777" w:rsidR="008052FE" w:rsidRDefault="008052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913FC" w14:textId="0421C618" w:rsidR="00C8567A" w:rsidRPr="00C8567A" w:rsidRDefault="00C8567A" w:rsidP="00C8567A">
    <w:pPr>
      <w:pStyle w:val="Pieddepage"/>
      <w:tabs>
        <w:tab w:val="right" w:pos="9638"/>
      </w:tabs>
    </w:pPr>
    <w:r w:rsidRPr="00C8567A">
      <w:rPr>
        <w:b/>
        <w:sz w:val="18"/>
      </w:rPr>
      <w:fldChar w:fldCharType="begin"/>
    </w:r>
    <w:r w:rsidRPr="00C8567A">
      <w:rPr>
        <w:b/>
        <w:sz w:val="18"/>
      </w:rPr>
      <w:instrText xml:space="preserve"> PAGE  \* MERGEFORMAT </w:instrText>
    </w:r>
    <w:r w:rsidRPr="00C8567A">
      <w:rPr>
        <w:b/>
        <w:sz w:val="18"/>
      </w:rPr>
      <w:fldChar w:fldCharType="separate"/>
    </w:r>
    <w:r w:rsidRPr="00C8567A">
      <w:rPr>
        <w:b/>
        <w:noProof/>
        <w:sz w:val="18"/>
      </w:rPr>
      <w:t>2</w:t>
    </w:r>
    <w:r w:rsidRPr="00C8567A">
      <w:rPr>
        <w:b/>
        <w:sz w:val="18"/>
      </w:rPr>
      <w:fldChar w:fldCharType="end"/>
    </w:r>
    <w:r>
      <w:rPr>
        <w:b/>
        <w:sz w:val="18"/>
      </w:rPr>
      <w:tab/>
    </w:r>
    <w:r>
      <w:t>GE.24-15552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17BEB" w14:textId="0EE83303" w:rsidR="00C8567A" w:rsidRPr="007016FE" w:rsidRDefault="007016FE" w:rsidP="007016FE">
    <w:pPr>
      <w:pStyle w:val="Pieddepage"/>
      <w:tabs>
        <w:tab w:val="right" w:pos="9638"/>
      </w:tabs>
      <w:rPr>
        <w:b/>
        <w:sz w:val="18"/>
      </w:rPr>
    </w:pPr>
    <w:r>
      <w:t>GE.</w:t>
    </w:r>
    <w:r w:rsidRPr="007016FE">
      <w:t>24</w:t>
    </w:r>
    <w:r>
      <w:t>-</w:t>
    </w:r>
    <w:r w:rsidRPr="007016FE">
      <w:t>15552</w:t>
    </w:r>
    <w:r>
      <w:tab/>
    </w:r>
    <w:r>
      <w:rPr>
        <w:b/>
        <w:sz w:val="18"/>
      </w:rPr>
      <w:fldChar w:fldCharType="begin"/>
    </w:r>
    <w:r>
      <w:rPr>
        <w:b/>
        <w:sz w:val="18"/>
      </w:rPr>
      <w:instrText xml:space="preserve"> PAGE  \* MERGEFORMAT </w:instrText>
    </w:r>
    <w:r>
      <w:rPr>
        <w:b/>
        <w:sz w:val="18"/>
      </w:rPr>
      <w:fldChar w:fldCharType="separate"/>
    </w:r>
    <w:r>
      <w:rPr>
        <w:b/>
        <w:noProof/>
        <w:sz w:val="18"/>
      </w:rPr>
      <w:t>11</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4BEA6" w14:textId="15B03065" w:rsidR="007F20FA" w:rsidRPr="00C8567A" w:rsidRDefault="00C8567A" w:rsidP="00C8567A">
    <w:pPr>
      <w:pStyle w:val="Pieddepage"/>
      <w:spacing w:before="120"/>
      <w:rPr>
        <w:sz w:val="20"/>
      </w:rPr>
    </w:pPr>
    <w:r>
      <w:rPr>
        <w:sz w:val="20"/>
      </w:rPr>
      <w:t>GE.</w:t>
    </w:r>
    <w:r w:rsidR="007F20FA">
      <w:rPr>
        <w:noProof/>
        <w:lang w:eastAsia="fr-CH"/>
      </w:rPr>
      <w:drawing>
        <wp:anchor distT="0" distB="0" distL="114300" distR="114300" simplePos="0" relativeHeight="251659264" behindDoc="0" locked="0" layoutInCell="1" allowOverlap="0" wp14:anchorId="68FDFF91" wp14:editId="5B2E2976">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24-15552  (F)</w:t>
    </w:r>
    <w:r>
      <w:rPr>
        <w:noProof/>
        <w:sz w:val="20"/>
      </w:rPr>
      <w:drawing>
        <wp:anchor distT="0" distB="0" distL="114300" distR="114300" simplePos="0" relativeHeight="251660288" behindDoc="0" locked="0" layoutInCell="1" allowOverlap="1" wp14:anchorId="34D185E6" wp14:editId="18BC3157">
          <wp:simplePos x="0" y="0"/>
          <wp:positionH relativeFrom="margin">
            <wp:posOffset>5489575</wp:posOffset>
          </wp:positionH>
          <wp:positionV relativeFrom="margin">
            <wp:posOffset>8891905</wp:posOffset>
          </wp:positionV>
          <wp:extent cx="628650" cy="628650"/>
          <wp:effectExtent l="0" t="0" r="0" b="0"/>
          <wp:wrapNone/>
          <wp:docPr id="2077242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170924    180924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A189E" w14:textId="2B1A8536" w:rsidR="007016FE" w:rsidRPr="007016FE" w:rsidRDefault="007016FE" w:rsidP="007016FE">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12</w:t>
    </w:r>
    <w:r>
      <w:rPr>
        <w:b/>
        <w:sz w:val="18"/>
      </w:rPr>
      <w:fldChar w:fldCharType="end"/>
    </w:r>
    <w:r>
      <w:rPr>
        <w:b/>
        <w:sz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E2922" w14:textId="77777777" w:rsidR="007016FE" w:rsidRPr="00C8567A" w:rsidRDefault="007016FE" w:rsidP="00C8567A">
    <w:pPr>
      <w:pStyle w:val="Pieddepage"/>
      <w:spacing w:before="120"/>
      <w:rPr>
        <w:sz w:val="20"/>
      </w:rPr>
    </w:pPr>
    <w:r>
      <w:rPr>
        <w:sz w:val="20"/>
      </w:rPr>
      <w:t>GE.</w:t>
    </w:r>
    <w:r>
      <w:rPr>
        <w:noProof/>
        <w:lang w:eastAsia="fr-CH"/>
      </w:rPr>
      <w:drawing>
        <wp:anchor distT="0" distB="0" distL="114300" distR="114300" simplePos="0" relativeHeight="251662336" behindDoc="0" locked="0" layoutInCell="1" allowOverlap="0" wp14:anchorId="0F9CC237" wp14:editId="0BD368B0">
          <wp:simplePos x="0" y="0"/>
          <wp:positionH relativeFrom="margin">
            <wp:posOffset>4319905</wp:posOffset>
          </wp:positionH>
          <wp:positionV relativeFrom="margin">
            <wp:posOffset>9144000</wp:posOffset>
          </wp:positionV>
          <wp:extent cx="1105200" cy="234000"/>
          <wp:effectExtent l="0" t="0" r="0" b="0"/>
          <wp:wrapNone/>
          <wp:docPr id="505204066" name="Image 505204066"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24-15552  (F)</w:t>
    </w:r>
    <w:r>
      <w:rPr>
        <w:noProof/>
        <w:sz w:val="20"/>
      </w:rPr>
      <w:drawing>
        <wp:anchor distT="0" distB="0" distL="114300" distR="114300" simplePos="0" relativeHeight="251663360" behindDoc="0" locked="0" layoutInCell="1" allowOverlap="1" wp14:anchorId="4863DDF6" wp14:editId="3A46FEC9">
          <wp:simplePos x="0" y="0"/>
          <wp:positionH relativeFrom="margin">
            <wp:posOffset>5489575</wp:posOffset>
          </wp:positionH>
          <wp:positionV relativeFrom="margin">
            <wp:posOffset>8891905</wp:posOffset>
          </wp:positionV>
          <wp:extent cx="628650" cy="628650"/>
          <wp:effectExtent l="0" t="0" r="0" b="0"/>
          <wp:wrapNone/>
          <wp:docPr id="19411705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170924    180924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5588E" w14:textId="1C301821" w:rsidR="000464EE" w:rsidRPr="000464EE" w:rsidRDefault="000464EE" w:rsidP="000464EE">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14</w:t>
    </w:r>
    <w:r>
      <w:rPr>
        <w:b/>
        <w:sz w:val="18"/>
      </w:rPr>
      <w:fldChar w:fldCharType="end"/>
    </w:r>
    <w:r>
      <w:rPr>
        <w:b/>
        <w:sz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CECA6" w14:textId="797B141F" w:rsidR="000464EE" w:rsidRPr="000464EE" w:rsidRDefault="000464EE" w:rsidP="000464EE">
    <w:pPr>
      <w:pStyle w:val="Pieddepage"/>
      <w:tabs>
        <w:tab w:val="right" w:pos="9638"/>
      </w:tabs>
      <w:rPr>
        <w:b/>
        <w:sz w:val="18"/>
      </w:rPr>
    </w:pPr>
    <w:r>
      <w:t>GE.</w:t>
    </w:r>
    <w:r w:rsidRPr="000464EE">
      <w:t>24</w:t>
    </w:r>
    <w:r>
      <w:t>-</w:t>
    </w:r>
    <w:r w:rsidRPr="000464EE">
      <w:t>15552</w:t>
    </w:r>
    <w:r>
      <w:tab/>
    </w:r>
    <w:r>
      <w:rPr>
        <w:b/>
        <w:sz w:val="18"/>
      </w:rPr>
      <w:fldChar w:fldCharType="begin"/>
    </w:r>
    <w:r>
      <w:rPr>
        <w:b/>
        <w:sz w:val="18"/>
      </w:rPr>
      <w:instrText xml:space="preserve"> PAGE  \* MERGEFORMAT </w:instrText>
    </w:r>
    <w:r>
      <w:rPr>
        <w:b/>
        <w:sz w:val="18"/>
      </w:rPr>
      <w:fldChar w:fldCharType="separate"/>
    </w:r>
    <w:r>
      <w:rPr>
        <w:b/>
        <w:noProof/>
        <w:sz w:val="18"/>
      </w:rPr>
      <w:t>13</w:t>
    </w:r>
    <w:r>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962E2" w14:textId="14596C0B" w:rsidR="00D65940" w:rsidRPr="00D65940" w:rsidRDefault="00D65940" w:rsidP="00D65940">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14</w:t>
    </w:r>
    <w:r>
      <w:rPr>
        <w:b/>
        <w:sz w:val="18"/>
      </w:rPr>
      <w:fldChar w:fldCharType="end"/>
    </w:r>
    <w:r>
      <w:rPr>
        <w:b/>
        <w:sz w:val="18"/>
      </w:rPr>
      <w:tab/>
    </w:r>
    <w:r w:rsidRPr="00D65940">
      <w:t>GE.</w:t>
    </w:r>
    <w:r w:rsidRPr="00D65940">
      <w:t>24</w:t>
    </w:r>
    <w:r w:rsidRPr="00D65940">
      <w:t>-</w:t>
    </w:r>
    <w:r w:rsidRPr="00D65940">
      <w:t>15552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C507F" w14:textId="25EB0820" w:rsidR="00D65940" w:rsidRPr="00D65940" w:rsidRDefault="00E42B7D" w:rsidP="00D65940">
    <w:pPr>
      <w:pStyle w:val="Pieddepage"/>
      <w:tabs>
        <w:tab w:val="right" w:pos="9638"/>
      </w:tabs>
    </w:pPr>
    <w:r>
      <w:t>GE.</w:t>
    </w:r>
    <w:r w:rsidRPr="000464EE">
      <w:t>24</w:t>
    </w:r>
    <w:r>
      <w:t>-</w:t>
    </w:r>
    <w:r w:rsidRPr="000464EE">
      <w:t>15552</w:t>
    </w:r>
    <w:r>
      <w:tab/>
    </w:r>
    <w:r>
      <w:rPr>
        <w:b/>
        <w:sz w:val="18"/>
      </w:rPr>
      <w:fldChar w:fldCharType="begin"/>
    </w:r>
    <w:r>
      <w:rPr>
        <w:b/>
        <w:sz w:val="18"/>
      </w:rPr>
      <w:instrText xml:space="preserve"> PAGE  \* MERGEFORMAT </w:instrText>
    </w:r>
    <w:r>
      <w:rPr>
        <w:b/>
        <w:sz w:val="18"/>
      </w:rPr>
      <w:fldChar w:fldCharType="separate"/>
    </w:r>
    <w:r>
      <w:rPr>
        <w:b/>
        <w:sz w:val="18"/>
      </w:rPr>
      <w:t>13</w:t>
    </w:r>
    <w:r>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48233" w14:textId="77777777" w:rsidR="008052FE" w:rsidRPr="00AC3823" w:rsidRDefault="008052FE" w:rsidP="00AC3823">
      <w:pPr>
        <w:pStyle w:val="Pieddepage"/>
        <w:tabs>
          <w:tab w:val="right" w:pos="2155"/>
        </w:tabs>
        <w:spacing w:after="80" w:line="240" w:lineRule="atLeast"/>
        <w:ind w:left="680"/>
        <w:rPr>
          <w:u w:val="single"/>
        </w:rPr>
      </w:pPr>
      <w:r>
        <w:rPr>
          <w:u w:val="single"/>
        </w:rPr>
        <w:tab/>
      </w:r>
    </w:p>
  </w:footnote>
  <w:footnote w:type="continuationSeparator" w:id="0">
    <w:p w14:paraId="6E07446B" w14:textId="77777777" w:rsidR="008052FE" w:rsidRPr="00AC3823" w:rsidRDefault="008052FE" w:rsidP="00AC3823">
      <w:pPr>
        <w:pStyle w:val="Pieddepage"/>
        <w:tabs>
          <w:tab w:val="right" w:pos="2155"/>
        </w:tabs>
        <w:spacing w:after="80" w:line="240" w:lineRule="atLeast"/>
        <w:ind w:left="680"/>
        <w:rPr>
          <w:u w:val="single"/>
        </w:rPr>
      </w:pPr>
      <w:r>
        <w:rPr>
          <w:u w:val="single"/>
        </w:rPr>
        <w:tab/>
      </w:r>
    </w:p>
  </w:footnote>
  <w:footnote w:type="continuationNotice" w:id="1">
    <w:p w14:paraId="3D569C34" w14:textId="77777777" w:rsidR="008052FE" w:rsidRPr="00AC3823" w:rsidRDefault="008052FE">
      <w:pPr>
        <w:spacing w:line="240" w:lineRule="auto"/>
        <w:rPr>
          <w:sz w:val="2"/>
          <w:szCs w:val="2"/>
        </w:rPr>
      </w:pPr>
    </w:p>
  </w:footnote>
  <w:footnote w:id="2">
    <w:p w14:paraId="409C4A2A" w14:textId="77777777" w:rsidR="00C8567A" w:rsidRPr="00CE4453" w:rsidRDefault="00C8567A" w:rsidP="00C8567A">
      <w:pPr>
        <w:pStyle w:val="Notedebasdepage"/>
      </w:pPr>
      <w:r w:rsidRPr="00CE4453">
        <w:tab/>
      </w:r>
      <w:r w:rsidRPr="00CE4453">
        <w:rPr>
          <w:sz w:val="20"/>
        </w:rPr>
        <w:t>*</w:t>
      </w:r>
      <w:r w:rsidRPr="00CE4453">
        <w:tab/>
        <w:t>Conformément au programme de travail du Comité des transports intérieurs pour 2024 tel qu’il figure dans le projet de budget-programme pour 2024 (A/78/6 (Sect. 20), tableau 20.5), le Forum mondial a pour mission d’élaborer, d’harmoniser et de mettre à jour les Règlements ONU en vue d’améliorer les caractéristiques fonctionnelles des véhicules. Le présent document est soumis en vertu de ce mandat.</w:t>
      </w:r>
    </w:p>
  </w:footnote>
  <w:footnote w:id="3">
    <w:p w14:paraId="46D5FEDB" w14:textId="22D5079D" w:rsidR="00C8567A" w:rsidRPr="00CE4453" w:rsidRDefault="00C8567A" w:rsidP="00C8567A">
      <w:pPr>
        <w:pStyle w:val="Notedebasdepage"/>
      </w:pPr>
      <w:r w:rsidRPr="00CE4453">
        <w:tab/>
      </w:r>
      <w:r w:rsidRPr="0094133B">
        <w:rPr>
          <w:rStyle w:val="Appelnotedebasdep"/>
        </w:rPr>
        <w:footnoteRef/>
      </w:r>
      <w:r w:rsidRPr="00CE4453">
        <w:tab/>
        <w:t xml:space="preserve">Selon les définitions figurant dans la Résolution d’ensemble sur la construction des véhicules (R.E.3), document ECE/TRANS/WP29/78/Rev.7, </w:t>
      </w:r>
      <w:r w:rsidR="00B46129">
        <w:t>par. </w:t>
      </w:r>
      <w:r w:rsidRPr="00CE4453">
        <w:t>2 (</w:t>
      </w:r>
      <w:hyperlink r:id="rId1" w:history="1">
        <w:r w:rsidRPr="00B46129">
          <w:rPr>
            <w:rStyle w:val="Lienhypertexte"/>
          </w:rPr>
          <w:t xml:space="preserve">https://unece.org/transport/vehicle-regulations/wp29/ </w:t>
        </w:r>
        <w:proofErr w:type="spellStart"/>
        <w:r w:rsidRPr="00B46129">
          <w:rPr>
            <w:rStyle w:val="Lienhypertexte"/>
          </w:rPr>
          <w:t>resolutions</w:t>
        </w:r>
        <w:proofErr w:type="spellEnd"/>
      </w:hyperlink>
      <w:r w:rsidRPr="00CE4453">
        <w:t>).</w:t>
      </w:r>
    </w:p>
  </w:footnote>
  <w:footnote w:id="4">
    <w:p w14:paraId="1A9EE9FB" w14:textId="1D6BC7F0" w:rsidR="00C8567A" w:rsidRPr="00CE4453" w:rsidRDefault="00C8567A" w:rsidP="00C8567A">
      <w:pPr>
        <w:pStyle w:val="Notedebasdepage"/>
      </w:pPr>
      <w:r w:rsidRPr="00CE4453">
        <w:tab/>
      </w:r>
      <w:r w:rsidRPr="0094133B">
        <w:rPr>
          <w:rStyle w:val="Appelnotedebasdep"/>
        </w:rPr>
        <w:footnoteRef/>
      </w:r>
      <w:r w:rsidRPr="00CE4453">
        <w:tab/>
        <w:t>Les numéros distinctifs des Parties contractantes à l’Accord de 1958 sont indiqués à l’annexe</w:t>
      </w:r>
      <w:r w:rsidR="00B46129">
        <w:t> </w:t>
      </w:r>
      <w:r w:rsidRPr="00CE4453">
        <w:t>3 de</w:t>
      </w:r>
      <w:r>
        <w:t> </w:t>
      </w:r>
      <w:r w:rsidRPr="00CE4453">
        <w:t>la</w:t>
      </w:r>
      <w:r>
        <w:t> </w:t>
      </w:r>
      <w:r w:rsidRPr="00CE4453">
        <w:t>Résolution d’ensemble sur la construction des véhicules (R.E.3), document ECE/TRANS/</w:t>
      </w:r>
      <w:r w:rsidR="00B46129">
        <w:br/>
      </w:r>
      <w:r w:rsidRPr="00CE4453">
        <w:t>WP.29/78/Rev.7, annexe 3 (</w:t>
      </w:r>
      <w:hyperlink r:id="rId2" w:history="1">
        <w:r w:rsidRPr="00B46129">
          <w:rPr>
            <w:rStyle w:val="Lienhypertexte"/>
          </w:rPr>
          <w:t xml:space="preserve">https://unece.org/transport/vehicle-regulations/wp29/ </w:t>
        </w:r>
        <w:proofErr w:type="spellStart"/>
        <w:r w:rsidRPr="00B46129">
          <w:rPr>
            <w:rStyle w:val="Lienhypertexte"/>
          </w:rPr>
          <w:t>resolutions</w:t>
        </w:r>
        <w:proofErr w:type="spellEnd"/>
      </w:hyperlink>
      <w:r w:rsidRPr="00CE4453">
        <w:t>).</w:t>
      </w:r>
    </w:p>
  </w:footnote>
  <w:footnote w:id="5">
    <w:p w14:paraId="5D831487" w14:textId="527A6852" w:rsidR="00C8567A" w:rsidRPr="00CE4453" w:rsidRDefault="00C8567A" w:rsidP="00C8567A">
      <w:pPr>
        <w:pStyle w:val="Notedebasdepage"/>
      </w:pPr>
      <w:r w:rsidRPr="00CE4453">
        <w:tab/>
      </w:r>
      <w:r w:rsidRPr="0094133B">
        <w:rPr>
          <w:rStyle w:val="Appelnotedebasdep"/>
        </w:rPr>
        <w:footnoteRef/>
      </w:r>
      <w:r w:rsidRPr="00CE4453">
        <w:tab/>
        <w:t xml:space="preserve">Selon les définitions figurant dans la Résolution d’ensemble sur la construction des véhicules (R.E.3), document ECE/TRANS/WP29/78/Rev.7, </w:t>
      </w:r>
      <w:r w:rsidR="00B46129">
        <w:t>par. </w:t>
      </w:r>
      <w:r w:rsidRPr="00CE4453">
        <w:t>2 (</w:t>
      </w:r>
      <w:hyperlink r:id="rId3" w:history="1">
        <w:r w:rsidRPr="00B46129">
          <w:rPr>
            <w:rStyle w:val="Lienhypertexte"/>
          </w:rPr>
          <w:t xml:space="preserve">https://unece.org/transport/vehicle-regulations/wp29/ </w:t>
        </w:r>
        <w:proofErr w:type="spellStart"/>
        <w:r w:rsidRPr="00B46129">
          <w:rPr>
            <w:rStyle w:val="Lienhypertexte"/>
          </w:rPr>
          <w:t>resolutions</w:t>
        </w:r>
        <w:proofErr w:type="spellEnd"/>
      </w:hyperlink>
      <w:r w:rsidRPr="00CE4453">
        <w:t>).</w:t>
      </w:r>
    </w:p>
  </w:footnote>
  <w:footnote w:id="6">
    <w:p w14:paraId="31E44204" w14:textId="77777777" w:rsidR="008608AA" w:rsidRPr="001E79AD" w:rsidRDefault="008608AA" w:rsidP="008608AA">
      <w:pPr>
        <w:pStyle w:val="Notedebasdepage"/>
      </w:pPr>
      <w:r w:rsidRPr="00E32F39">
        <w:rPr>
          <w:lang w:val="fr-FR"/>
        </w:rPr>
        <w:tab/>
      </w:r>
      <w:r w:rsidRPr="0094133B">
        <w:rPr>
          <w:rStyle w:val="Appelnotedebasdep"/>
        </w:rPr>
        <w:footnoteRef/>
      </w:r>
      <w:r w:rsidRPr="001E79AD">
        <w:tab/>
      </w:r>
      <w:r w:rsidRPr="001E79AD">
        <w:rPr>
          <w:lang w:val="fr-FR"/>
        </w:rPr>
        <w:t>Numéro distinctif du pays qui a accordé/étendu/refusé/retiré l’homologation (voir les dispositions relatives à l’homologation dans le Règlement)</w:t>
      </w:r>
      <w:r w:rsidRPr="001E79AD">
        <w:t>.</w:t>
      </w:r>
    </w:p>
  </w:footnote>
  <w:footnote w:id="7">
    <w:p w14:paraId="289757C8" w14:textId="77777777" w:rsidR="007016FE" w:rsidRPr="00E32F39" w:rsidRDefault="007016FE" w:rsidP="007016FE">
      <w:pPr>
        <w:pStyle w:val="Notedebasdepage"/>
        <w:rPr>
          <w:lang w:val="fr-FR"/>
        </w:rPr>
      </w:pPr>
      <w:r w:rsidRPr="001E79AD">
        <w:tab/>
      </w:r>
      <w:r w:rsidRPr="0094133B">
        <w:rPr>
          <w:rStyle w:val="Appelnotedebasdep"/>
        </w:rPr>
        <w:footnoteRef/>
      </w:r>
      <w:r>
        <w:rPr>
          <w:lang w:val="fr-FR"/>
        </w:rPr>
        <w:tab/>
        <w:t>Biffer les mentions inutiles.</w:t>
      </w:r>
    </w:p>
  </w:footnote>
  <w:footnote w:id="8">
    <w:p w14:paraId="498C94CF" w14:textId="5534BDEB" w:rsidR="00D65940" w:rsidRPr="00CE4453" w:rsidRDefault="00D65940" w:rsidP="00D65940">
      <w:pPr>
        <w:pStyle w:val="Notedebasdepage"/>
      </w:pPr>
      <w:r w:rsidRPr="00CE4453">
        <w:tab/>
      </w:r>
      <w:r w:rsidRPr="00CE4453">
        <w:rPr>
          <w:vertAlign w:val="superscript"/>
        </w:rPr>
        <w:t>1</w:t>
      </w:r>
      <w:r w:rsidRPr="00CE4453">
        <w:tab/>
        <w:t>Les caractéristiques techniques et les schémas détaillés du mannequin hybride III, reproduisant les principales mensurations d’une femme du 5</w:t>
      </w:r>
      <w:r w:rsidRPr="00CE4453">
        <w:rPr>
          <w:vertAlign w:val="superscript"/>
        </w:rPr>
        <w:t>e</w:t>
      </w:r>
      <w:r w:rsidRPr="00CE4453">
        <w:t xml:space="preserve"> centile aux États-Unis d’Amérique, et les spécifications de réglage pour cet essai ont été déposés auprès du Secrétaire général de l’Organisation des Nations</w:t>
      </w:r>
      <w:r w:rsidR="008E441F">
        <w:t> </w:t>
      </w:r>
      <w:r w:rsidRPr="00CE4453">
        <w:t>Unies et peuvent être consultés sur demande au secrétariat de la Commission économique pour l’Europe, Palais des Nations, Genève (Suisse). Une personne de sexe féminin pesant entre 46,7 et 51,25</w:t>
      </w:r>
      <w:r w:rsidR="008E441F">
        <w:t> </w:t>
      </w:r>
      <w:r w:rsidRPr="00CE4453">
        <w:t>kg et mesurant entre 139,7 et 150</w:t>
      </w:r>
      <w:r w:rsidR="008E441F">
        <w:t> </w:t>
      </w:r>
      <w:r w:rsidRPr="00CE4453">
        <w:t>cm peut être utilisée.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940F7" w14:textId="2960B9DF" w:rsidR="00C8567A" w:rsidRPr="00C8567A" w:rsidRDefault="00C8567A">
    <w:pPr>
      <w:pStyle w:val="En-tte"/>
    </w:pPr>
    <w:fldSimple w:instr=" TITLE  \* MERGEFORMAT ">
      <w:r w:rsidR="0031693D">
        <w:t>ECE/TRANS/WP.29/2024/153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14AE4" w14:textId="43DA060B" w:rsidR="00C8567A" w:rsidRPr="00C8567A" w:rsidRDefault="00C8567A" w:rsidP="00C8567A">
    <w:pPr>
      <w:pStyle w:val="En-tte"/>
      <w:jc w:val="right"/>
    </w:pPr>
    <w:fldSimple w:instr=" TITLE  \* MERGEFORMAT ">
      <w:r w:rsidR="0031693D">
        <w:t>ECE/TRANS/WP.29/2024/153</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97534" w14:textId="4B77CCF8" w:rsidR="007016FE" w:rsidRPr="007016FE" w:rsidRDefault="007016FE" w:rsidP="007016FE">
    <w:pPr>
      <w:pStyle w:val="En-tte"/>
    </w:pPr>
    <w:fldSimple w:instr=" TITLE  \* MERGEFORMAT ">
      <w:r w:rsidR="0031693D">
        <w:t>ECE/TRANS/WP.29/2024/153</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59B3A" w14:textId="4DF7B6D3" w:rsidR="007016FE" w:rsidRPr="007016FE" w:rsidRDefault="007016FE" w:rsidP="007016FE">
    <w:pPr>
      <w:pStyle w:val="En-tte"/>
      <w:jc w:val="right"/>
    </w:pPr>
    <w:fldSimple w:instr=" TITLE  \* MERGEFORMAT ">
      <w:r w:rsidR="0031693D">
        <w:t>ECE/TRANS/WP.29/2024/153</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14E25" w14:textId="79269818" w:rsidR="000464EE" w:rsidRPr="000464EE" w:rsidRDefault="000464EE" w:rsidP="000464EE">
    <w:pPr>
      <w:pStyle w:val="En-tte"/>
    </w:pPr>
    <w:fldSimple w:instr=" TITLE  \* MERGEFORMAT ">
      <w:r w:rsidR="0031693D">
        <w:t>ECE/TRANS/WP.29/2024/153</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86BBE" w14:textId="6BEB03E0" w:rsidR="000464EE" w:rsidRPr="000464EE" w:rsidRDefault="000464EE" w:rsidP="000464EE">
    <w:pPr>
      <w:pStyle w:val="En-tte"/>
      <w:jc w:val="right"/>
    </w:pPr>
    <w:fldSimple w:instr=" TITLE  \* MERGEFORMAT ">
      <w:r w:rsidR="0031693D">
        <w:t>ECE/TRANS/WP.29/2024/153</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582E0" w14:textId="5D4A7334" w:rsidR="00D65940" w:rsidRPr="00D65940" w:rsidRDefault="00D65940" w:rsidP="00D65940">
    <w:pPr>
      <w:pStyle w:val="En-tte"/>
    </w:pPr>
    <w:fldSimple w:instr=" TITLE  \* MERGEFORMAT ">
      <w:r w:rsidR="0031693D">
        <w:t>ECE/TRANS/WP.29/2024/153</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8B5FC" w14:textId="09BFA40B" w:rsidR="00D65940" w:rsidRPr="00D65940" w:rsidRDefault="00D65940" w:rsidP="00D65940">
    <w:pPr>
      <w:pStyle w:val="En-tte"/>
      <w:jc w:val="right"/>
    </w:pPr>
    <w:fldSimple w:instr=" TITLE  \* MERGEFORMAT ">
      <w:r w:rsidR="0031693D">
        <w:t>ECE/TRANS/WP.29/2024/153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27C633E0"/>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E60449F"/>
    <w:multiLevelType w:val="hybridMultilevel"/>
    <w:tmpl w:val="F25EC186"/>
    <w:lvl w:ilvl="0" w:tplc="FC420DA0">
      <w:start w:val="1"/>
      <w:numFmt w:val="lowerLetter"/>
      <w:lvlText w:val="%1)"/>
      <w:lvlJc w:val="left"/>
      <w:pPr>
        <w:ind w:left="2988" w:hanging="360"/>
      </w:pPr>
      <w:rPr>
        <w:rFonts w:hint="default"/>
      </w:rPr>
    </w:lvl>
    <w:lvl w:ilvl="1" w:tplc="100C0019" w:tentative="1">
      <w:start w:val="1"/>
      <w:numFmt w:val="lowerLetter"/>
      <w:lvlText w:val="%2."/>
      <w:lvlJc w:val="left"/>
      <w:pPr>
        <w:ind w:left="3708" w:hanging="360"/>
      </w:pPr>
    </w:lvl>
    <w:lvl w:ilvl="2" w:tplc="100C001B" w:tentative="1">
      <w:start w:val="1"/>
      <w:numFmt w:val="lowerRoman"/>
      <w:lvlText w:val="%3."/>
      <w:lvlJc w:val="right"/>
      <w:pPr>
        <w:ind w:left="4428" w:hanging="180"/>
      </w:pPr>
    </w:lvl>
    <w:lvl w:ilvl="3" w:tplc="100C000F" w:tentative="1">
      <w:start w:val="1"/>
      <w:numFmt w:val="decimal"/>
      <w:lvlText w:val="%4."/>
      <w:lvlJc w:val="left"/>
      <w:pPr>
        <w:ind w:left="5148" w:hanging="360"/>
      </w:pPr>
    </w:lvl>
    <w:lvl w:ilvl="4" w:tplc="100C0019" w:tentative="1">
      <w:start w:val="1"/>
      <w:numFmt w:val="lowerLetter"/>
      <w:lvlText w:val="%5."/>
      <w:lvlJc w:val="left"/>
      <w:pPr>
        <w:ind w:left="5868" w:hanging="360"/>
      </w:pPr>
    </w:lvl>
    <w:lvl w:ilvl="5" w:tplc="100C001B" w:tentative="1">
      <w:start w:val="1"/>
      <w:numFmt w:val="lowerRoman"/>
      <w:lvlText w:val="%6."/>
      <w:lvlJc w:val="right"/>
      <w:pPr>
        <w:ind w:left="6588" w:hanging="180"/>
      </w:pPr>
    </w:lvl>
    <w:lvl w:ilvl="6" w:tplc="100C000F" w:tentative="1">
      <w:start w:val="1"/>
      <w:numFmt w:val="decimal"/>
      <w:lvlText w:val="%7."/>
      <w:lvlJc w:val="left"/>
      <w:pPr>
        <w:ind w:left="7308" w:hanging="360"/>
      </w:pPr>
    </w:lvl>
    <w:lvl w:ilvl="7" w:tplc="100C0019" w:tentative="1">
      <w:start w:val="1"/>
      <w:numFmt w:val="lowerLetter"/>
      <w:lvlText w:val="%8."/>
      <w:lvlJc w:val="left"/>
      <w:pPr>
        <w:ind w:left="8028" w:hanging="360"/>
      </w:pPr>
    </w:lvl>
    <w:lvl w:ilvl="8" w:tplc="100C001B" w:tentative="1">
      <w:start w:val="1"/>
      <w:numFmt w:val="lowerRoman"/>
      <w:lvlText w:val="%9."/>
      <w:lvlJc w:val="right"/>
      <w:pPr>
        <w:ind w:left="8748" w:hanging="180"/>
      </w:pPr>
    </w:lvl>
  </w:abstractNum>
  <w:abstractNum w:abstractNumId="12"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3"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4" w15:restartNumberingAfterBreak="0">
    <w:nsid w:val="7A084F47"/>
    <w:multiLevelType w:val="hybridMultilevel"/>
    <w:tmpl w:val="021084EA"/>
    <w:lvl w:ilvl="0" w:tplc="5E5A25A8">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num w:numId="1" w16cid:durableId="956716814">
    <w:abstractNumId w:val="13"/>
  </w:num>
  <w:num w:numId="2" w16cid:durableId="1714765659">
    <w:abstractNumId w:val="12"/>
  </w:num>
  <w:num w:numId="3" w16cid:durableId="1533760671">
    <w:abstractNumId w:val="10"/>
  </w:num>
  <w:num w:numId="4" w16cid:durableId="2058313733">
    <w:abstractNumId w:val="8"/>
  </w:num>
  <w:num w:numId="5" w16cid:durableId="1518302162">
    <w:abstractNumId w:val="3"/>
  </w:num>
  <w:num w:numId="6" w16cid:durableId="1231036781">
    <w:abstractNumId w:val="2"/>
  </w:num>
  <w:num w:numId="7" w16cid:durableId="1980986741">
    <w:abstractNumId w:val="1"/>
  </w:num>
  <w:num w:numId="8" w16cid:durableId="380174430">
    <w:abstractNumId w:val="0"/>
  </w:num>
  <w:num w:numId="9" w16cid:durableId="769546365">
    <w:abstractNumId w:val="9"/>
  </w:num>
  <w:num w:numId="10" w16cid:durableId="1332564825">
    <w:abstractNumId w:val="7"/>
  </w:num>
  <w:num w:numId="11" w16cid:durableId="51851542">
    <w:abstractNumId w:val="6"/>
  </w:num>
  <w:num w:numId="12" w16cid:durableId="1979920322">
    <w:abstractNumId w:val="5"/>
  </w:num>
  <w:num w:numId="13" w16cid:durableId="892695419">
    <w:abstractNumId w:val="4"/>
  </w:num>
  <w:num w:numId="14" w16cid:durableId="2041584480">
    <w:abstractNumId w:val="13"/>
  </w:num>
  <w:num w:numId="15" w16cid:durableId="69542872">
    <w:abstractNumId w:val="12"/>
  </w:num>
  <w:num w:numId="16" w16cid:durableId="1390105543">
    <w:abstractNumId w:val="10"/>
  </w:num>
  <w:num w:numId="17" w16cid:durableId="1411272786">
    <w:abstractNumId w:val="10"/>
  </w:num>
  <w:num w:numId="18" w16cid:durableId="1544437473">
    <w:abstractNumId w:val="11"/>
  </w:num>
  <w:num w:numId="19" w16cid:durableId="15314587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FE"/>
    <w:rsid w:val="00017F94"/>
    <w:rsid w:val="00023842"/>
    <w:rsid w:val="000334F9"/>
    <w:rsid w:val="00045FEB"/>
    <w:rsid w:val="000464EE"/>
    <w:rsid w:val="0007796D"/>
    <w:rsid w:val="000B7790"/>
    <w:rsid w:val="00111F2F"/>
    <w:rsid w:val="00125CF0"/>
    <w:rsid w:val="0014365E"/>
    <w:rsid w:val="00143C66"/>
    <w:rsid w:val="00176178"/>
    <w:rsid w:val="001772E5"/>
    <w:rsid w:val="001F525A"/>
    <w:rsid w:val="00201148"/>
    <w:rsid w:val="00223272"/>
    <w:rsid w:val="0024779E"/>
    <w:rsid w:val="00254EF8"/>
    <w:rsid w:val="00257168"/>
    <w:rsid w:val="002672D9"/>
    <w:rsid w:val="002744B8"/>
    <w:rsid w:val="002832AC"/>
    <w:rsid w:val="00283E38"/>
    <w:rsid w:val="00297C35"/>
    <w:rsid w:val="002D7C93"/>
    <w:rsid w:val="00305801"/>
    <w:rsid w:val="0031693D"/>
    <w:rsid w:val="003916DE"/>
    <w:rsid w:val="00421357"/>
    <w:rsid w:val="00421996"/>
    <w:rsid w:val="00441C3B"/>
    <w:rsid w:val="00446FE5"/>
    <w:rsid w:val="00452396"/>
    <w:rsid w:val="00477EB2"/>
    <w:rsid w:val="004837D8"/>
    <w:rsid w:val="004E2EED"/>
    <w:rsid w:val="004E468C"/>
    <w:rsid w:val="005505B7"/>
    <w:rsid w:val="00573BE5"/>
    <w:rsid w:val="00586ED3"/>
    <w:rsid w:val="00596AA9"/>
    <w:rsid w:val="007016FE"/>
    <w:rsid w:val="00711662"/>
    <w:rsid w:val="0071601D"/>
    <w:rsid w:val="007A62E6"/>
    <w:rsid w:val="007F20FA"/>
    <w:rsid w:val="008052FE"/>
    <w:rsid w:val="0080684C"/>
    <w:rsid w:val="008608AA"/>
    <w:rsid w:val="00871B8C"/>
    <w:rsid w:val="00871C75"/>
    <w:rsid w:val="008776DC"/>
    <w:rsid w:val="008D5EF9"/>
    <w:rsid w:val="008E441F"/>
    <w:rsid w:val="009446C0"/>
    <w:rsid w:val="009705C8"/>
    <w:rsid w:val="009C1CF4"/>
    <w:rsid w:val="009F6B74"/>
    <w:rsid w:val="00A3029F"/>
    <w:rsid w:val="00A30353"/>
    <w:rsid w:val="00A62C4F"/>
    <w:rsid w:val="00A77887"/>
    <w:rsid w:val="00A909FF"/>
    <w:rsid w:val="00AC3823"/>
    <w:rsid w:val="00AE323C"/>
    <w:rsid w:val="00AF0CB5"/>
    <w:rsid w:val="00B00181"/>
    <w:rsid w:val="00B00B0D"/>
    <w:rsid w:val="00B45F2E"/>
    <w:rsid w:val="00B46129"/>
    <w:rsid w:val="00B721F5"/>
    <w:rsid w:val="00B765F7"/>
    <w:rsid w:val="00B77993"/>
    <w:rsid w:val="00BA0CA9"/>
    <w:rsid w:val="00C02897"/>
    <w:rsid w:val="00C8567A"/>
    <w:rsid w:val="00C97039"/>
    <w:rsid w:val="00D3439C"/>
    <w:rsid w:val="00D65940"/>
    <w:rsid w:val="00D7622E"/>
    <w:rsid w:val="00DB1831"/>
    <w:rsid w:val="00DD3BFD"/>
    <w:rsid w:val="00DF6678"/>
    <w:rsid w:val="00E0299A"/>
    <w:rsid w:val="00E03D28"/>
    <w:rsid w:val="00E05BCD"/>
    <w:rsid w:val="00E42B7D"/>
    <w:rsid w:val="00E85C74"/>
    <w:rsid w:val="00EA0F39"/>
    <w:rsid w:val="00EA6547"/>
    <w:rsid w:val="00ED7237"/>
    <w:rsid w:val="00EE0DB7"/>
    <w:rsid w:val="00EF2E22"/>
    <w:rsid w:val="00F35BAF"/>
    <w:rsid w:val="00F660DF"/>
    <w:rsid w:val="00F81ECD"/>
    <w:rsid w:val="00F94664"/>
    <w:rsid w:val="00F9573C"/>
    <w:rsid w:val="00F95C08"/>
    <w:rsid w:val="00FC6D4B"/>
    <w:rsid w:val="00FE28D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BD1AC"/>
  <w15:docId w15:val="{8930627E-8027-4B2C-BF4C-5020D838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spacing w:after="0" w:line="240" w:lineRule="auto"/>
      <w:ind w:right="0"/>
      <w:jc w:val="left"/>
      <w:outlineLvl w:val="0"/>
    </w:pPr>
  </w:style>
  <w:style w:type="paragraph" w:styleId="Titre2">
    <w:name w:val="heading 2"/>
    <w:basedOn w:val="Normal"/>
    <w:next w:val="Normal"/>
    <w:link w:val="Titre2Car"/>
    <w:semiHidden/>
    <w:qFormat/>
    <w:rsid w:val="00023842"/>
    <w:pPr>
      <w:outlineLvl w:val="1"/>
    </w:pPr>
  </w:style>
  <w:style w:type="paragraph" w:styleId="Titre3">
    <w:name w:val="heading 3"/>
    <w:basedOn w:val="Normal"/>
    <w:next w:val="Normal"/>
    <w:link w:val="Titre3Car"/>
    <w:semiHidden/>
    <w:qFormat/>
    <w:rsid w:val="00023842"/>
    <w:pPr>
      <w:outlineLvl w:val="2"/>
    </w:pPr>
  </w:style>
  <w:style w:type="paragraph" w:styleId="Titre4">
    <w:name w:val="heading 4"/>
    <w:basedOn w:val="Normal"/>
    <w:next w:val="Normal"/>
    <w:link w:val="Titre4Car"/>
    <w:semiHidden/>
    <w:qFormat/>
    <w:rsid w:val="00023842"/>
    <w:pPr>
      <w:outlineLvl w:val="3"/>
    </w:pPr>
  </w:style>
  <w:style w:type="paragraph" w:styleId="Titre5">
    <w:name w:val="heading 5"/>
    <w:basedOn w:val="Normal"/>
    <w:next w:val="Normal"/>
    <w:link w:val="Titre5Car"/>
    <w:semiHidden/>
    <w:qFormat/>
    <w:rsid w:val="00023842"/>
    <w:pPr>
      <w:outlineLvl w:val="4"/>
    </w:pPr>
  </w:style>
  <w:style w:type="paragraph" w:styleId="Titre6">
    <w:name w:val="heading 6"/>
    <w:basedOn w:val="Normal"/>
    <w:next w:val="Normal"/>
    <w:link w:val="Titre6Car"/>
    <w:semiHidden/>
    <w:qFormat/>
    <w:rsid w:val="00023842"/>
    <w:pPr>
      <w:outlineLvl w:val="5"/>
    </w:pPr>
  </w:style>
  <w:style w:type="paragraph" w:styleId="Titre7">
    <w:name w:val="heading 7"/>
    <w:basedOn w:val="Normal"/>
    <w:next w:val="Normal"/>
    <w:link w:val="Titre7Car"/>
    <w:semiHidden/>
    <w:qFormat/>
    <w:rsid w:val="00023842"/>
    <w:pPr>
      <w:outlineLvl w:val="6"/>
    </w:pPr>
  </w:style>
  <w:style w:type="paragraph" w:styleId="Titre8">
    <w:name w:val="heading 8"/>
    <w:basedOn w:val="Normal"/>
    <w:next w:val="Normal"/>
    <w:link w:val="Titre8Car"/>
    <w:semiHidden/>
    <w:qFormat/>
    <w:rsid w:val="00023842"/>
    <w:pPr>
      <w:outlineLvl w:val="7"/>
    </w:pPr>
  </w:style>
  <w:style w:type="paragraph" w:styleId="Titre9">
    <w:name w:val="heading 9"/>
    <w:basedOn w:val="Normal"/>
    <w:next w:val="Normal"/>
    <w:link w:val="Titre9Car"/>
    <w:semiHidden/>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2672D9"/>
    <w:pPr>
      <w:tabs>
        <w:tab w:val="left" w:pos="1701"/>
        <w:tab w:val="left" w:pos="2268"/>
        <w:tab w:val="left" w:pos="2835"/>
      </w:tabs>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2672D9"/>
    <w:pPr>
      <w:numPr>
        <w:numId w:val="17"/>
      </w:numPr>
      <w:tabs>
        <w:tab w:val="left" w:pos="1701"/>
        <w:tab w:val="left" w:pos="2268"/>
        <w:tab w:val="left" w:pos="2835"/>
      </w:tabs>
      <w:spacing w:after="120"/>
      <w:ind w:right="1134"/>
      <w:jc w:val="both"/>
    </w:pPr>
  </w:style>
  <w:style w:type="character" w:styleId="Appelnotedebasdep">
    <w:name w:val="footnote reference"/>
    <w:aliases w:val="4_G,(Footnote Reference),-E Fußnotenzeichen,BVI fnr, BVI fnr,Footnote symbol,Footnote,Footnote Reference Superscript,SUPERS,4_GR"/>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semiHidden/>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semiHidden/>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semiHidden/>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semiHidden/>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semiHidden/>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semiHidden/>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semiHidden/>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semiHidden/>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semiHidden/>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5BAF"/>
    <w:rPr>
      <w:rFonts w:ascii="Tahoma" w:hAnsi="Tahoma" w:cs="Tahoma"/>
      <w:sz w:val="16"/>
      <w:szCs w:val="16"/>
      <w:lang w:eastAsia="en-US"/>
    </w:rPr>
  </w:style>
  <w:style w:type="character" w:customStyle="1" w:styleId="HChGChar">
    <w:name w:val="_ H _Ch_G Char"/>
    <w:link w:val="HChG"/>
    <w:qFormat/>
    <w:locked/>
    <w:rsid w:val="00C8567A"/>
    <w:rPr>
      <w:rFonts w:ascii="Times New Roman" w:eastAsiaTheme="minorHAnsi" w:hAnsi="Times New Roman" w:cs="Times New Roman"/>
      <w:b/>
      <w:sz w:val="28"/>
      <w:szCs w:val="20"/>
      <w:lang w:eastAsia="en-US"/>
    </w:rPr>
  </w:style>
  <w:style w:type="character" w:customStyle="1" w:styleId="H1GChar">
    <w:name w:val="_ H_1_G Char"/>
    <w:link w:val="H1G"/>
    <w:locked/>
    <w:rsid w:val="00C8567A"/>
    <w:rPr>
      <w:rFonts w:ascii="Times New Roman" w:eastAsiaTheme="minorHAnsi" w:hAnsi="Times New Roman" w:cs="Times New Roman"/>
      <w:b/>
      <w:sz w:val="24"/>
      <w:szCs w:val="20"/>
      <w:lang w:eastAsia="en-US"/>
    </w:rPr>
  </w:style>
  <w:style w:type="paragraph" w:styleId="Paragraphedeliste">
    <w:name w:val="List Paragraph"/>
    <w:basedOn w:val="Normal"/>
    <w:uiPriority w:val="34"/>
    <w:qFormat/>
    <w:rsid w:val="00C8567A"/>
    <w:pPr>
      <w:suppressAutoHyphens w:val="0"/>
      <w:kinsoku/>
      <w:overflowPunct/>
      <w:autoSpaceDE/>
      <w:autoSpaceDN/>
      <w:adjustRightInd/>
      <w:snapToGrid/>
      <w:spacing w:line="240" w:lineRule="auto"/>
      <w:ind w:left="720"/>
      <w:contextualSpacing/>
    </w:pPr>
    <w:rPr>
      <w:rFonts w:eastAsia="MS Mincho"/>
      <w:sz w:val="24"/>
      <w:szCs w:val="24"/>
      <w:lang w:val="en-GB" w:eastAsia="ja-JP"/>
    </w:rPr>
  </w:style>
  <w:style w:type="character" w:customStyle="1" w:styleId="SingleTxtGChar">
    <w:name w:val="_ Single Txt_G Char"/>
    <w:link w:val="SingleTxtG"/>
    <w:qFormat/>
    <w:rsid w:val="00C8567A"/>
    <w:rPr>
      <w:rFonts w:ascii="Times New Roman" w:eastAsiaTheme="minorHAnsi" w:hAnsi="Times New Roman" w:cs="Times New Roman"/>
      <w:sz w:val="20"/>
      <w:szCs w:val="20"/>
      <w:lang w:eastAsia="en-US"/>
    </w:rPr>
  </w:style>
  <w:style w:type="paragraph" w:customStyle="1" w:styleId="para">
    <w:name w:val="para"/>
    <w:basedOn w:val="SingleTxtG"/>
    <w:link w:val="paraChar"/>
    <w:qFormat/>
    <w:rsid w:val="00C8567A"/>
    <w:pPr>
      <w:kinsoku/>
      <w:overflowPunct/>
      <w:autoSpaceDE/>
      <w:autoSpaceDN/>
      <w:adjustRightInd/>
      <w:snapToGrid/>
      <w:spacing w:line="240" w:lineRule="exact"/>
      <w:ind w:left="2268" w:hanging="1134"/>
    </w:pPr>
    <w:rPr>
      <w:rFonts w:eastAsia="Times New Roman"/>
      <w:lang w:val="en-GB"/>
    </w:rPr>
  </w:style>
  <w:style w:type="character" w:customStyle="1" w:styleId="paraChar">
    <w:name w:val="para Char"/>
    <w:link w:val="para"/>
    <w:locked/>
    <w:rsid w:val="00C8567A"/>
    <w:rPr>
      <w:rFonts w:ascii="Times New Roman" w:hAnsi="Times New Roman" w:cs="Times New Roman"/>
      <w:sz w:val="20"/>
      <w:szCs w:val="20"/>
      <w:lang w:val="en-GB" w:eastAsia="en-US"/>
    </w:rPr>
  </w:style>
  <w:style w:type="paragraph" w:customStyle="1" w:styleId="a">
    <w:name w:val="(a)"/>
    <w:basedOn w:val="Normal"/>
    <w:qFormat/>
    <w:rsid w:val="00C8567A"/>
    <w:pPr>
      <w:kinsoku/>
      <w:overflowPunct/>
      <w:autoSpaceDE/>
      <w:autoSpaceDN/>
      <w:adjustRightInd/>
      <w:snapToGrid/>
      <w:spacing w:after="120" w:line="240" w:lineRule="exact"/>
      <w:ind w:left="2835" w:right="1134" w:hanging="567"/>
      <w:jc w:val="both"/>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unece.org/transport/vehicle-regulations/wp29/%20resolutions" TargetMode="External"/><Relationship Id="rId2" Type="http://schemas.openxmlformats.org/officeDocument/2006/relationships/hyperlink" Target="https://unece.org/transport/vehicle-regulations/wp29/%20resolutions" TargetMode="External"/><Relationship Id="rId1" Type="http://schemas.openxmlformats.org/officeDocument/2006/relationships/hyperlink" Target="https://unece.org/transport/vehicle-regulations/wp29/%20r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8A1EE-3E61-4074-9DC6-FDDE06667FA7}">
  <ds:schemaRefs>
    <ds:schemaRef ds:uri="http://schemas.openxmlformats.org/officeDocument/2006/bibliography"/>
  </ds:schemaRefs>
</ds:datastoreItem>
</file>

<file path=customXml/itemProps2.xml><?xml version="1.0" encoding="utf-8"?>
<ds:datastoreItem xmlns:ds="http://schemas.openxmlformats.org/officeDocument/2006/customXml" ds:itemID="{D09E1AFF-059F-4BB5-8446-CC344127ADCB}"/>
</file>

<file path=customXml/itemProps3.xml><?xml version="1.0" encoding="utf-8"?>
<ds:datastoreItem xmlns:ds="http://schemas.openxmlformats.org/officeDocument/2006/customXml" ds:itemID="{91A78193-9E20-4882-99C4-4F28E0FD1A2A}"/>
</file>

<file path=docProps/app.xml><?xml version="1.0" encoding="utf-8"?>
<Properties xmlns="http://schemas.openxmlformats.org/officeDocument/2006/extended-properties" xmlns:vt="http://schemas.openxmlformats.org/officeDocument/2006/docPropsVTypes">
  <Template>ECE_TRANS.dotm</Template>
  <TotalTime>1</TotalTime>
  <Pages>16</Pages>
  <Words>4625</Words>
  <Characters>32376</Characters>
  <Application>Microsoft Office Word</Application>
  <DocSecurity>0</DocSecurity>
  <Lines>2698</Lines>
  <Paragraphs>1480</Paragraphs>
  <ScaleCrop>false</ScaleCrop>
  <HeadingPairs>
    <vt:vector size="2" baseType="variant">
      <vt:variant>
        <vt:lpstr>Titre</vt:lpstr>
      </vt:variant>
      <vt:variant>
        <vt:i4>1</vt:i4>
      </vt:variant>
    </vt:vector>
  </HeadingPairs>
  <TitlesOfParts>
    <vt:vector size="1" baseType="lpstr">
      <vt:lpstr>ECE/TRANS/WP.29/2024/153</vt:lpstr>
    </vt:vector>
  </TitlesOfParts>
  <Company>DCM</Company>
  <LinksUpToDate>false</LinksUpToDate>
  <CharactersWithSpaces>35521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ECE/TRANS/WP.29/2024/153</dc:title>
  <dc:subject/>
  <dc:creator>Estelle-Delphine DITTA</dc:creator>
  <cp:keywords/>
  <cp:lastModifiedBy>Estelle-Delphine DITTA</cp:lastModifiedBy>
  <cp:revision>3</cp:revision>
  <cp:lastPrinted>2024-09-18T07:29:00Z</cp:lastPrinted>
  <dcterms:created xsi:type="dcterms:W3CDTF">2024-09-18T07:29:00Z</dcterms:created>
  <dcterms:modified xsi:type="dcterms:W3CDTF">2024-09-18T07:30:00Z</dcterms:modified>
</cp:coreProperties>
</file>