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397356B7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4B7377">
              <w:t>2</w:t>
            </w:r>
            <w:r w:rsidR="004C41C5">
              <w:t>5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3C9036C1" w:rsidR="009A3E62" w:rsidRDefault="009A3E62" w:rsidP="009A3E62">
            <w:pPr>
              <w:spacing w:line="240" w:lineRule="exact"/>
            </w:pPr>
            <w:r>
              <w:t>2</w:t>
            </w:r>
            <w:r w:rsidR="00114B26">
              <w:t>7</w:t>
            </w:r>
            <w:r>
              <w:t xml:space="preserve"> </w:t>
            </w:r>
            <w:r w:rsidR="00114B26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7CD720DC" w:rsidR="009A3E62" w:rsidRDefault="009A3E62" w:rsidP="009A3E62">
      <w:r>
        <w:t>Item 4.8.</w:t>
      </w:r>
      <w:r w:rsidR="00D80EC9">
        <w:t>8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4B8B8FFE" w:rsidR="009A3E62" w:rsidRDefault="00E71D6A" w:rsidP="009A3E62">
      <w:pPr>
        <w:pStyle w:val="HChG"/>
        <w:ind w:left="1124" w:right="1138" w:firstLine="0"/>
      </w:pPr>
      <w:r w:rsidRPr="006A290A">
        <w:t xml:space="preserve">Proposal for </w:t>
      </w:r>
      <w:r>
        <w:t>S</w:t>
      </w:r>
      <w:r w:rsidRPr="006A290A">
        <w:t xml:space="preserve">upplement 1 to the 11 </w:t>
      </w:r>
      <w:r w:rsidR="008A5684">
        <w:t>S</w:t>
      </w:r>
      <w:r w:rsidRPr="006A290A">
        <w:t xml:space="preserve">eries of </w:t>
      </w:r>
      <w:r w:rsidR="008A5684">
        <w:t>A</w:t>
      </w:r>
      <w:r w:rsidRPr="006A290A">
        <w:t>mendments to UN Regulation No. 17 (Strength of seats</w:t>
      </w:r>
      <w:r>
        <w:t>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6DBFF209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9149F2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EE415F">
        <w:rPr>
          <w:lang w:eastAsia="en-GB"/>
        </w:rPr>
        <w:t xml:space="preserve">on </w:t>
      </w:r>
      <w:r w:rsidR="0080166C" w:rsidRPr="00D26608">
        <w:t>ECE/TRANS/WP.29/GRSP/2024/</w:t>
      </w:r>
      <w:r w:rsidR="0080166C">
        <w:t>7</w:t>
      </w:r>
      <w:r w:rsidR="0080166C" w:rsidRPr="00D26608">
        <w:t xml:space="preserve"> as amended by annex </w:t>
      </w:r>
      <w:r w:rsidR="0080166C">
        <w:t>V</w:t>
      </w:r>
      <w:r w:rsidR="0080166C" w:rsidRPr="00D26608">
        <w:t>II to th</w:t>
      </w:r>
      <w:r w:rsidR="0080166C">
        <w:t>e</w:t>
      </w:r>
      <w:r w:rsidR="0080166C" w:rsidRPr="00D26608">
        <w:t xml:space="preserve">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245B90A1" w14:textId="77777777" w:rsidR="00B76B1F" w:rsidRDefault="00B76B1F" w:rsidP="00B76B1F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lastRenderedPageBreak/>
        <w:t xml:space="preserve">Paragraph 1., footnote 1, </w:t>
      </w:r>
      <w:r w:rsidRPr="00C72D10">
        <w:rPr>
          <w:bCs/>
        </w:rPr>
        <w:t>amend to read:</w:t>
      </w:r>
    </w:p>
    <w:p w14:paraId="67C82383" w14:textId="378E7559" w:rsidR="00B76B1F" w:rsidRPr="004C72BE" w:rsidRDefault="00B76B1F" w:rsidP="00B76B1F">
      <w:pPr>
        <w:pStyle w:val="Para"/>
        <w:spacing w:before="120"/>
        <w:ind w:left="1426" w:right="1138" w:hanging="288"/>
        <w:jc w:val="left"/>
        <w:rPr>
          <w:bCs/>
          <w:sz w:val="18"/>
          <w:szCs w:val="18"/>
        </w:rPr>
      </w:pPr>
      <w:r w:rsidRPr="004C72BE">
        <w:rPr>
          <w:bCs/>
          <w:sz w:val="18"/>
          <w:szCs w:val="18"/>
          <w:vertAlign w:val="superscript"/>
        </w:rPr>
        <w:t>"1</w:t>
      </w:r>
      <w:r w:rsidRPr="004C72BE">
        <w:rPr>
          <w:bCs/>
          <w:sz w:val="18"/>
          <w:szCs w:val="18"/>
        </w:rPr>
        <w:tab/>
        <w:t xml:space="preserve">As defined in the Consolidated Resolution on the Construction of Vehicles (R.E.3.), document ECE/TRANS/WP.29/78/Rev.7, para. 2 - </w:t>
      </w:r>
      <w:hyperlink r:id="rId12" w:history="1">
        <w:r w:rsidRPr="004C72BE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4C72BE">
        <w:rPr>
          <w:rStyle w:val="Hyperlink"/>
          <w:bCs/>
          <w:color w:val="auto"/>
          <w:sz w:val="18"/>
          <w:szCs w:val="18"/>
        </w:rPr>
        <w:t>"</w:t>
      </w:r>
    </w:p>
    <w:p w14:paraId="04074D2F" w14:textId="77777777" w:rsidR="00B76B1F" w:rsidRPr="004C72BE" w:rsidRDefault="00B76B1F" w:rsidP="00B76B1F">
      <w:pPr>
        <w:pStyle w:val="Para"/>
        <w:spacing w:after="0"/>
        <w:jc w:val="left"/>
        <w:rPr>
          <w:bCs/>
        </w:rPr>
      </w:pPr>
      <w:r w:rsidRPr="004C72BE">
        <w:rPr>
          <w:bCs/>
          <w:i/>
          <w:iCs/>
        </w:rPr>
        <w:t xml:space="preserve">Paragraph 4.4.1., footnote 2, </w:t>
      </w:r>
      <w:r w:rsidRPr="004C72BE">
        <w:rPr>
          <w:bCs/>
        </w:rPr>
        <w:t>amend to read:</w:t>
      </w:r>
    </w:p>
    <w:p w14:paraId="5DFA0635" w14:textId="6C6C55E5" w:rsidR="00B76B1F" w:rsidRPr="004C72BE" w:rsidRDefault="00B76B1F" w:rsidP="004C72BE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</w:rPr>
      </w:pPr>
      <w:r w:rsidRPr="004C72BE">
        <w:rPr>
          <w:bCs/>
          <w:sz w:val="18"/>
          <w:szCs w:val="18"/>
          <w:vertAlign w:val="superscript"/>
        </w:rPr>
        <w:t>"2</w:t>
      </w:r>
      <w:r w:rsidRPr="004C72BE">
        <w:rPr>
          <w:bCs/>
          <w:sz w:val="18"/>
          <w:szCs w:val="18"/>
        </w:rPr>
        <w:tab/>
        <w:t xml:space="preserve">The distinguishing numbers of the Contracting Parties to the 1958 Agreement are reproduced in Annex 3 to the Consolidated Resolution on the Construction of Vehicles (R.E.3), document ECE/TRANS/WP.29/78/Rev.7, Annex 3 - </w:t>
      </w:r>
      <w:hyperlink r:id="rId13" w:history="1">
        <w:r w:rsidR="004C72BE" w:rsidRPr="004C72BE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4C72BE">
        <w:rPr>
          <w:rStyle w:val="Hyperlink"/>
          <w:bCs/>
          <w:color w:val="auto"/>
          <w:sz w:val="18"/>
          <w:szCs w:val="18"/>
        </w:rPr>
        <w:t>"</w:t>
      </w:r>
    </w:p>
    <w:p w14:paraId="5BCD0023" w14:textId="77777777" w:rsidR="00B76B1F" w:rsidRPr="004C72BE" w:rsidRDefault="00B76B1F" w:rsidP="00B76B1F">
      <w:pPr>
        <w:pStyle w:val="Para"/>
        <w:spacing w:before="120"/>
        <w:ind w:left="2276" w:right="1138" w:hanging="1138"/>
        <w:jc w:val="left"/>
        <w:rPr>
          <w:bCs/>
        </w:rPr>
      </w:pPr>
      <w:r w:rsidRPr="004C72BE">
        <w:rPr>
          <w:bCs/>
          <w:i/>
          <w:iCs/>
        </w:rPr>
        <w:t xml:space="preserve">Annex 3, footnote 1, </w:t>
      </w:r>
      <w:r w:rsidRPr="004C72BE">
        <w:rPr>
          <w:bCs/>
        </w:rPr>
        <w:t>amend to read:</w:t>
      </w:r>
    </w:p>
    <w:p w14:paraId="628B133B" w14:textId="3BB1EDC6" w:rsidR="00B76B1F" w:rsidRPr="004C72BE" w:rsidRDefault="00B76B1F" w:rsidP="00B76B1F">
      <w:pPr>
        <w:pStyle w:val="Para"/>
        <w:ind w:left="1418" w:right="567" w:hanging="284"/>
        <w:jc w:val="left"/>
        <w:rPr>
          <w:bCs/>
          <w:sz w:val="18"/>
          <w:szCs w:val="18"/>
        </w:rPr>
      </w:pPr>
      <w:r w:rsidRPr="004C72BE">
        <w:rPr>
          <w:bCs/>
          <w:sz w:val="18"/>
          <w:szCs w:val="18"/>
          <w:vertAlign w:val="superscript"/>
        </w:rPr>
        <w:t>"1</w:t>
      </w:r>
      <w:r w:rsidRPr="004C72BE">
        <w:rPr>
          <w:bCs/>
          <w:sz w:val="18"/>
          <w:szCs w:val="18"/>
        </w:rPr>
        <w:tab/>
        <w:t xml:space="preserve">The procedure is described in Addendum 6 of Mutual Resolution No. 1 (M.R.1) (document ECE/TRANS/WP.29/1101/Amend.5); see </w:t>
      </w:r>
      <w:hyperlink r:id="rId14" w:history="1">
        <w:r w:rsidRPr="004C72BE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4C72BE">
        <w:rPr>
          <w:rStyle w:val="Hyperlink"/>
          <w:bCs/>
          <w:color w:val="auto"/>
          <w:sz w:val="18"/>
          <w:szCs w:val="18"/>
        </w:rPr>
        <w:t>"</w:t>
      </w:r>
    </w:p>
    <w:p w14:paraId="5AA911B3" w14:textId="5C0C1F3B" w:rsidR="001C6663" w:rsidRPr="009A3E62" w:rsidRDefault="009A3E62" w:rsidP="009A3E6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9A3E62" w:rsidSect="009A3E6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9BBD" w14:textId="77777777" w:rsidR="003B3131" w:rsidRDefault="003B3131"/>
  </w:endnote>
  <w:endnote w:type="continuationSeparator" w:id="0">
    <w:p w14:paraId="69E2275B" w14:textId="77777777" w:rsidR="003B3131" w:rsidRDefault="003B3131"/>
  </w:endnote>
  <w:endnote w:type="continuationNotice" w:id="1">
    <w:p w14:paraId="15020F30" w14:textId="77777777" w:rsidR="003B3131" w:rsidRDefault="003B3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5DF6" w14:textId="18F3533E" w:rsidR="004C5DAA" w:rsidRDefault="004C5DAA" w:rsidP="004C5DAA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9CD33D6" wp14:editId="604A6910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1CFCC0" w14:textId="75604623" w:rsidR="004C5DAA" w:rsidRPr="004C5DAA" w:rsidRDefault="004C5DAA" w:rsidP="004C5DAA">
    <w:pPr>
      <w:pStyle w:val="Footer"/>
      <w:ind w:right="1134"/>
      <w:rPr>
        <w:sz w:val="20"/>
      </w:rPr>
    </w:pPr>
    <w:r>
      <w:rPr>
        <w:sz w:val="20"/>
      </w:rPr>
      <w:t>GE.24-15328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68AD592" wp14:editId="4052BB79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BF6C" w14:textId="77777777" w:rsidR="003B3131" w:rsidRPr="000B175B" w:rsidRDefault="003B313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55DE598" w14:textId="77777777" w:rsidR="003B3131" w:rsidRPr="00FC68B7" w:rsidRDefault="003B313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81D13AE" w14:textId="77777777" w:rsidR="003B3131" w:rsidRDefault="003B3131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04F25D09" w:rsidR="009A3E62" w:rsidRPr="00AF1840" w:rsidRDefault="00AF1840">
    <w:pPr>
      <w:pStyle w:val="Header"/>
      <w:rPr>
        <w:lang w:val="fr-CH"/>
      </w:rPr>
    </w:pPr>
    <w:r>
      <w:rPr>
        <w:lang w:val="fr-CH"/>
      </w:rPr>
      <w:t>ECE/TRANS/WP.29/2024/125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3C96FA20" w:rsidR="009A3E62" w:rsidRPr="009A3E62" w:rsidRDefault="00F36571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FD5738">
      <w:t>ECE/TRANS/WP.29/2024/119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50F6B"/>
    <w:rsid w:val="00055F16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14B26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5475"/>
    <w:rsid w:val="001F1599"/>
    <w:rsid w:val="001F19C4"/>
    <w:rsid w:val="002043F0"/>
    <w:rsid w:val="00211E0B"/>
    <w:rsid w:val="002300C5"/>
    <w:rsid w:val="00232575"/>
    <w:rsid w:val="00233B08"/>
    <w:rsid w:val="00247258"/>
    <w:rsid w:val="00252D76"/>
    <w:rsid w:val="00257CAC"/>
    <w:rsid w:val="0027237A"/>
    <w:rsid w:val="002961AF"/>
    <w:rsid w:val="002974E9"/>
    <w:rsid w:val="002A306B"/>
    <w:rsid w:val="002A7F94"/>
    <w:rsid w:val="002B109A"/>
    <w:rsid w:val="002C3BA8"/>
    <w:rsid w:val="002C45AE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1780"/>
    <w:rsid w:val="00375DCA"/>
    <w:rsid w:val="00383439"/>
    <w:rsid w:val="003A46BB"/>
    <w:rsid w:val="003A4EC7"/>
    <w:rsid w:val="003A7295"/>
    <w:rsid w:val="003B1F60"/>
    <w:rsid w:val="003B3131"/>
    <w:rsid w:val="003C2CC4"/>
    <w:rsid w:val="003D4B23"/>
    <w:rsid w:val="003D69DE"/>
    <w:rsid w:val="003E278A"/>
    <w:rsid w:val="00413520"/>
    <w:rsid w:val="00416398"/>
    <w:rsid w:val="004325CB"/>
    <w:rsid w:val="00440A07"/>
    <w:rsid w:val="00462880"/>
    <w:rsid w:val="0046451E"/>
    <w:rsid w:val="00476F24"/>
    <w:rsid w:val="004A5D33"/>
    <w:rsid w:val="004B7377"/>
    <w:rsid w:val="004C3F07"/>
    <w:rsid w:val="004C41C5"/>
    <w:rsid w:val="004C55B0"/>
    <w:rsid w:val="004C5DAA"/>
    <w:rsid w:val="004C72BE"/>
    <w:rsid w:val="004D3EA6"/>
    <w:rsid w:val="004F6BA0"/>
    <w:rsid w:val="00503BEA"/>
    <w:rsid w:val="005214AC"/>
    <w:rsid w:val="00533616"/>
    <w:rsid w:val="00535ABA"/>
    <w:rsid w:val="0053768B"/>
    <w:rsid w:val="00541188"/>
    <w:rsid w:val="005420F2"/>
    <w:rsid w:val="0054285C"/>
    <w:rsid w:val="00552842"/>
    <w:rsid w:val="00584173"/>
    <w:rsid w:val="00595520"/>
    <w:rsid w:val="005A44B9"/>
    <w:rsid w:val="005A64F6"/>
    <w:rsid w:val="005B1BA0"/>
    <w:rsid w:val="005B3DB3"/>
    <w:rsid w:val="005C0268"/>
    <w:rsid w:val="005D15CA"/>
    <w:rsid w:val="005E2038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5927"/>
    <w:rsid w:val="0070701E"/>
    <w:rsid w:val="0072632A"/>
    <w:rsid w:val="007358E8"/>
    <w:rsid w:val="00736ECE"/>
    <w:rsid w:val="00740908"/>
    <w:rsid w:val="0074533B"/>
    <w:rsid w:val="007643BC"/>
    <w:rsid w:val="00780C68"/>
    <w:rsid w:val="00785C0C"/>
    <w:rsid w:val="007959FE"/>
    <w:rsid w:val="007A0CF1"/>
    <w:rsid w:val="007A2592"/>
    <w:rsid w:val="007A7D93"/>
    <w:rsid w:val="007B6BA5"/>
    <w:rsid w:val="007C3390"/>
    <w:rsid w:val="007C42D8"/>
    <w:rsid w:val="007C4F4B"/>
    <w:rsid w:val="007D6F65"/>
    <w:rsid w:val="007D7362"/>
    <w:rsid w:val="007F5CE2"/>
    <w:rsid w:val="007F6611"/>
    <w:rsid w:val="0080166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66893"/>
    <w:rsid w:val="00866F02"/>
    <w:rsid w:val="00867D18"/>
    <w:rsid w:val="00871F9A"/>
    <w:rsid w:val="00871FD5"/>
    <w:rsid w:val="00877F79"/>
    <w:rsid w:val="0088172E"/>
    <w:rsid w:val="00881EFA"/>
    <w:rsid w:val="008879CB"/>
    <w:rsid w:val="008979B1"/>
    <w:rsid w:val="008A5684"/>
    <w:rsid w:val="008A6B25"/>
    <w:rsid w:val="008A6C4F"/>
    <w:rsid w:val="008B367B"/>
    <w:rsid w:val="008B389E"/>
    <w:rsid w:val="008D045E"/>
    <w:rsid w:val="008D3F25"/>
    <w:rsid w:val="008D4D82"/>
    <w:rsid w:val="008E0E46"/>
    <w:rsid w:val="008E6C4F"/>
    <w:rsid w:val="008E7116"/>
    <w:rsid w:val="008F1099"/>
    <w:rsid w:val="008F143B"/>
    <w:rsid w:val="008F3882"/>
    <w:rsid w:val="008F4B7C"/>
    <w:rsid w:val="009149F2"/>
    <w:rsid w:val="009156D6"/>
    <w:rsid w:val="0092556A"/>
    <w:rsid w:val="00926E47"/>
    <w:rsid w:val="00947162"/>
    <w:rsid w:val="00950C31"/>
    <w:rsid w:val="009610D0"/>
    <w:rsid w:val="00962E39"/>
    <w:rsid w:val="0096375C"/>
    <w:rsid w:val="009662E6"/>
    <w:rsid w:val="00966F79"/>
    <w:rsid w:val="0097095E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C0FD8"/>
    <w:rsid w:val="009D01C0"/>
    <w:rsid w:val="009D6A08"/>
    <w:rsid w:val="009E0A16"/>
    <w:rsid w:val="009E6CB7"/>
    <w:rsid w:val="009E7970"/>
    <w:rsid w:val="009F2E66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0A5"/>
    <w:rsid w:val="00A76A69"/>
    <w:rsid w:val="00A879A4"/>
    <w:rsid w:val="00A93F31"/>
    <w:rsid w:val="00AA0FF8"/>
    <w:rsid w:val="00AC0F2C"/>
    <w:rsid w:val="00AC502A"/>
    <w:rsid w:val="00AE1E26"/>
    <w:rsid w:val="00AF1840"/>
    <w:rsid w:val="00AF58C1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47BBE"/>
    <w:rsid w:val="00B51732"/>
    <w:rsid w:val="00B55900"/>
    <w:rsid w:val="00B570DE"/>
    <w:rsid w:val="00B70B63"/>
    <w:rsid w:val="00B72A1E"/>
    <w:rsid w:val="00B76B1F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212E1"/>
    <w:rsid w:val="00C463DD"/>
    <w:rsid w:val="00C745C3"/>
    <w:rsid w:val="00C92FBE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80EC9"/>
    <w:rsid w:val="00D978C6"/>
    <w:rsid w:val="00DA0956"/>
    <w:rsid w:val="00DA357F"/>
    <w:rsid w:val="00DA3E12"/>
    <w:rsid w:val="00DB211F"/>
    <w:rsid w:val="00DC18AD"/>
    <w:rsid w:val="00DE6555"/>
    <w:rsid w:val="00DF7CAE"/>
    <w:rsid w:val="00E423C0"/>
    <w:rsid w:val="00E50486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415F"/>
    <w:rsid w:val="00EF1D7F"/>
    <w:rsid w:val="00F0137E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68B7"/>
    <w:rsid w:val="00FD5738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231</Words>
  <Characters>1531</Characters>
  <Application>Microsoft Office Word</Application>
  <DocSecurity>0</DocSecurity>
  <Lines>41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1747</CharactersWithSpaces>
  <SharedDoc>false</SharedDoc>
  <HLinks>
    <vt:vector size="18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https://unece.org/transport/vehicle-regulations/wp29/resolutions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https://unece.org/transport/vehicle-regulations/wp29/resolutions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https://unece.org/transport/vehicle-regulations/wp29/resolutions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ECE/TRANS/WP.29/2024/125</dc:title>
  <dc:subject>2415328</dc:subject>
  <dc:creator>Edoardo Gianotti</dc:creator>
  <cp:keywords/>
  <dc:description/>
  <cp:lastModifiedBy>Maria Rosario Corazon Gatmaytan</cp:lastModifiedBy>
  <cp:revision>2</cp:revision>
  <cp:lastPrinted>2024-08-27T12:14:00Z</cp:lastPrinted>
  <dcterms:created xsi:type="dcterms:W3CDTF">2024-08-27T13:02:00Z</dcterms:created>
  <dcterms:modified xsi:type="dcterms:W3CDTF">2024-08-27T13:02:00Z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