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D03CFD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8DDADAE" w14:textId="77777777" w:rsidR="002D5AAC" w:rsidRDefault="002D5AAC" w:rsidP="00C45F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B5CEB3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6B8723F" w14:textId="22E1F342" w:rsidR="002D5AAC" w:rsidRDefault="00C45F8F" w:rsidP="00C45F8F">
            <w:pPr>
              <w:jc w:val="right"/>
            </w:pPr>
            <w:r w:rsidRPr="00C45F8F">
              <w:rPr>
                <w:sz w:val="40"/>
              </w:rPr>
              <w:t>ECE</w:t>
            </w:r>
            <w:r>
              <w:t>/TRANS/WP.29/2024/101</w:t>
            </w:r>
          </w:p>
        </w:tc>
      </w:tr>
      <w:tr w:rsidR="002D5AAC" w:rsidRPr="00C45F8F" w14:paraId="71C23C2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649A66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B2DECD5" wp14:editId="7BE3503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828156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7F0CF24C" w14:textId="77777777" w:rsidR="002D5AAC" w:rsidRDefault="00C45F8F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B6FE4F1" w14:textId="77777777" w:rsidR="00C45F8F" w:rsidRDefault="00C45F8F" w:rsidP="00C45F8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23 August 2024</w:t>
            </w:r>
          </w:p>
          <w:p w14:paraId="3F926FD6" w14:textId="77777777" w:rsidR="00C45F8F" w:rsidRDefault="00C45F8F" w:rsidP="00C45F8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3A87CA3" w14:textId="7E7052B5" w:rsidR="00C45F8F" w:rsidRPr="008D53B6" w:rsidRDefault="00C45F8F" w:rsidP="00C45F8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4389795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E9200AC" w14:textId="77777777" w:rsidR="00C45F8F" w:rsidRPr="00614454" w:rsidRDefault="00C45F8F" w:rsidP="00C45F8F">
      <w:pPr>
        <w:spacing w:before="120"/>
        <w:rPr>
          <w:sz w:val="28"/>
          <w:szCs w:val="28"/>
        </w:rPr>
      </w:pPr>
      <w:r w:rsidRPr="00614454">
        <w:rPr>
          <w:sz w:val="28"/>
          <w:szCs w:val="28"/>
        </w:rPr>
        <w:t>Комитет по внутреннему транспорту</w:t>
      </w:r>
    </w:p>
    <w:p w14:paraId="0B478713" w14:textId="5E45DE17" w:rsidR="00C45F8F" w:rsidRPr="00C45F8F" w:rsidRDefault="00C45F8F" w:rsidP="00C45F8F">
      <w:pPr>
        <w:spacing w:before="120"/>
        <w:rPr>
          <w:b/>
          <w:bCs/>
          <w:sz w:val="24"/>
          <w:szCs w:val="24"/>
        </w:rPr>
      </w:pPr>
      <w:r w:rsidRPr="00C45F8F">
        <w:rPr>
          <w:b/>
          <w:bCs/>
          <w:sz w:val="24"/>
          <w:szCs w:val="24"/>
        </w:rPr>
        <w:t>Всемирный форум для согласования</w:t>
      </w:r>
      <w:r w:rsidRPr="00C45F8F">
        <w:rPr>
          <w:b/>
          <w:bCs/>
          <w:sz w:val="24"/>
          <w:szCs w:val="24"/>
        </w:rPr>
        <w:br/>
      </w:r>
      <w:r w:rsidRPr="00C45F8F">
        <w:rPr>
          <w:b/>
          <w:bCs/>
          <w:sz w:val="24"/>
          <w:szCs w:val="24"/>
        </w:rPr>
        <w:t>правил в области транспортных средств</w:t>
      </w:r>
    </w:p>
    <w:p w14:paraId="52159488" w14:textId="77777777" w:rsidR="00C45F8F" w:rsidRPr="00614454" w:rsidRDefault="00C45F8F" w:rsidP="00C45F8F">
      <w:pPr>
        <w:spacing w:before="120"/>
        <w:rPr>
          <w:b/>
        </w:rPr>
      </w:pPr>
      <w:r>
        <w:rPr>
          <w:b/>
          <w:bCs/>
        </w:rPr>
        <w:t>194-я сессия</w:t>
      </w:r>
    </w:p>
    <w:p w14:paraId="20EFFAD4" w14:textId="77777777" w:rsidR="00C45F8F" w:rsidRPr="00614454" w:rsidRDefault="00C45F8F" w:rsidP="00C45F8F">
      <w:pPr>
        <w:tabs>
          <w:tab w:val="left" w:pos="5560"/>
        </w:tabs>
      </w:pPr>
      <w:r>
        <w:t>Женева, 12–15 ноября 2024 года</w:t>
      </w:r>
      <w:r>
        <w:tab/>
      </w:r>
    </w:p>
    <w:p w14:paraId="31764D31" w14:textId="77777777" w:rsidR="00C45F8F" w:rsidRPr="00614454" w:rsidRDefault="00C45F8F" w:rsidP="00C45F8F">
      <w:r>
        <w:t>Пункт 4.7.5 предварительной повестки дня</w:t>
      </w:r>
    </w:p>
    <w:p w14:paraId="227C10CB" w14:textId="77777777" w:rsidR="00C45F8F" w:rsidRPr="00614454" w:rsidRDefault="00C45F8F" w:rsidP="00C45F8F">
      <w:pPr>
        <w:rPr>
          <w:b/>
        </w:rPr>
      </w:pPr>
      <w:r>
        <w:rPr>
          <w:b/>
          <w:bCs/>
        </w:rPr>
        <w:t>Соглашение 1958 года:</w:t>
      </w:r>
    </w:p>
    <w:p w14:paraId="0C9CF3DF" w14:textId="77777777" w:rsidR="00C45F8F" w:rsidRPr="00614454" w:rsidRDefault="00C45F8F" w:rsidP="00C45F8F">
      <w:pPr>
        <w:rPr>
          <w:b/>
        </w:rPr>
      </w:pPr>
      <w:r>
        <w:rPr>
          <w:b/>
          <w:bCs/>
        </w:rPr>
        <w:t>Рассмотрение проектов поправок к существующим</w:t>
      </w:r>
    </w:p>
    <w:p w14:paraId="7C44675B" w14:textId="77777777" w:rsidR="00C45F8F" w:rsidRPr="00614454" w:rsidRDefault="00C45F8F" w:rsidP="00C45F8F">
      <w:pPr>
        <w:rPr>
          <w:b/>
          <w:bCs/>
        </w:rPr>
      </w:pPr>
      <w:r>
        <w:rPr>
          <w:b/>
          <w:bCs/>
        </w:rPr>
        <w:t>правилам ООН, представленных GRSG</w:t>
      </w:r>
    </w:p>
    <w:p w14:paraId="673E1AD9" w14:textId="294D3CA7" w:rsidR="00C45F8F" w:rsidRPr="00614454" w:rsidRDefault="00C45F8F" w:rsidP="00C45F8F">
      <w:pPr>
        <w:pStyle w:val="HChG"/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Предложение по дополнению 1 к </w:t>
      </w:r>
      <w:r w:rsidRPr="00C45F8F">
        <w:t>поправкам</w:t>
      </w:r>
      <w:r>
        <w:t xml:space="preserve"> серии 06 </w:t>
      </w:r>
      <w:r>
        <w:rPr>
          <w:lang w:val="en-US"/>
        </w:rPr>
        <w:br/>
      </w:r>
      <w:r>
        <w:t>к Правилам № 46 ООН (устройства непрямого обзора)</w:t>
      </w:r>
    </w:p>
    <w:p w14:paraId="5498DC5C" w14:textId="2B7B8B53" w:rsidR="00C45F8F" w:rsidRPr="00614454" w:rsidRDefault="00C45F8F" w:rsidP="00C45F8F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общим предписаниям, касающимся безопасности</w:t>
      </w:r>
      <w:r w:rsidRPr="00C45F8F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074A93FC" w14:textId="77777777" w:rsidR="00C45F8F" w:rsidRPr="00614454" w:rsidRDefault="00C45F8F" w:rsidP="00C45F8F">
      <w:pPr>
        <w:pStyle w:val="SingleTxtG"/>
        <w:rPr>
          <w:sz w:val="24"/>
          <w:szCs w:val="24"/>
        </w:rPr>
      </w:pPr>
      <w:r>
        <w:footnoteReference w:customMarkFollows="1" w:id="2"/>
        <w:tab/>
        <w:t xml:space="preserve">Воспроизведенный ниже текст был принят Рабочей группой по общим предписаниям, касающимся безопасности (GRSG), на ее сто двадцать седьмой сессии (ECE/TRANS/WP.29/GRSG/106, пункты 11 и 12). В его основу положены документ GRSG-127-04-Rev.2, воспроизведенный в приложении II к докладу, и документ ECE/TRANS/WP.29/GRSG/2024/21 с поправками, содержащимися в пункте 12 доклада.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марте 2024 года.  </w:t>
      </w:r>
    </w:p>
    <w:p w14:paraId="531BE6DD" w14:textId="77777777" w:rsidR="00C45F8F" w:rsidRPr="00614454" w:rsidRDefault="00C45F8F" w:rsidP="00C45F8F">
      <w:pPr>
        <w:pStyle w:val="SingleTxtG"/>
        <w:rPr>
          <w:sz w:val="24"/>
          <w:szCs w:val="24"/>
          <w:lang w:eastAsia="zh-CN"/>
        </w:rPr>
      </w:pPr>
      <w:r w:rsidRPr="00614454">
        <w:rPr>
          <w:sz w:val="24"/>
          <w:szCs w:val="24"/>
          <w:lang w:eastAsia="zh-CN"/>
        </w:rPr>
        <w:br w:type="page"/>
      </w:r>
    </w:p>
    <w:p w14:paraId="70748E97" w14:textId="77777777" w:rsidR="00C45F8F" w:rsidRPr="00614454" w:rsidRDefault="00C45F8F" w:rsidP="00C45F8F">
      <w:pPr>
        <w:pStyle w:val="Para"/>
        <w:spacing w:after="0"/>
        <w:jc w:val="left"/>
        <w:rPr>
          <w:bCs/>
          <w:lang w:val="ru-RU"/>
        </w:rPr>
      </w:pPr>
      <w:r>
        <w:rPr>
          <w:i/>
          <w:iCs/>
          <w:lang w:val="ru-RU"/>
        </w:rPr>
        <w:lastRenderedPageBreak/>
        <w:t>Пункт 8.1</w:t>
      </w:r>
      <w:r>
        <w:rPr>
          <w:lang w:val="ru-RU"/>
        </w:rPr>
        <w:t xml:space="preserve"> изменить следующим образом:</w:t>
      </w:r>
    </w:p>
    <w:p w14:paraId="428F1CAF" w14:textId="77777777" w:rsidR="00C45F8F" w:rsidRPr="00614454" w:rsidRDefault="00C45F8F" w:rsidP="00C45F8F">
      <w:pPr>
        <w:keepNext/>
        <w:keepLines/>
        <w:spacing w:before="120" w:after="120"/>
        <w:ind w:left="2276" w:right="1138" w:hanging="1138"/>
        <w:jc w:val="both"/>
        <w:rPr>
          <w:bCs/>
        </w:rPr>
      </w:pPr>
      <w:r>
        <w:t xml:space="preserve">«8.1 </w:t>
      </w:r>
      <w:r>
        <w:tab/>
        <w:t>Процедуры обеспечения соответствия производства должны соответствовать общим положениям, содержащимся в статье 2 и в приложении 1 к Соглашению 1958 года (E/ECE/TRANS/505/Rev.3), и отвечать нижеследующим требованиям:».</w:t>
      </w:r>
    </w:p>
    <w:p w14:paraId="074C39B9" w14:textId="77777777" w:rsidR="00C45F8F" w:rsidRPr="00614454" w:rsidRDefault="00C45F8F" w:rsidP="00C45F8F">
      <w:pPr>
        <w:spacing w:before="120" w:after="120"/>
        <w:ind w:left="1134" w:right="1134"/>
        <w:jc w:val="both"/>
        <w:rPr>
          <w:i/>
          <w:iCs/>
        </w:rPr>
      </w:pPr>
      <w:r>
        <w:rPr>
          <w:i/>
          <w:iCs/>
        </w:rPr>
        <w:t xml:space="preserve">Пункт 16.1.1 </w:t>
      </w:r>
      <w:r>
        <w:t>изменить следующим образом:</w:t>
      </w:r>
    </w:p>
    <w:p w14:paraId="124F2103" w14:textId="77777777" w:rsidR="00C45F8F" w:rsidRPr="00614454" w:rsidRDefault="00C45F8F" w:rsidP="00C45F8F">
      <w:pPr>
        <w:spacing w:after="120"/>
        <w:ind w:left="2259" w:right="1134" w:hanging="1113"/>
        <w:jc w:val="both"/>
        <w:rPr>
          <w:iCs/>
        </w:rPr>
      </w:pPr>
      <w:r>
        <w:t>«16.1.1</w:t>
      </w:r>
      <w:r>
        <w:tab/>
      </w:r>
      <w:r>
        <w:tab/>
        <w:t>Предполагаемое использование, включение и выключение</w:t>
      </w:r>
    </w:p>
    <w:p w14:paraId="00B2296A" w14:textId="77777777" w:rsidR="00C45F8F" w:rsidRPr="00614454" w:rsidRDefault="00C45F8F" w:rsidP="00C45F8F">
      <w:pPr>
        <w:spacing w:after="120"/>
        <w:ind w:left="2259" w:right="1134"/>
        <w:jc w:val="both"/>
        <w:rPr>
          <w:iCs/>
        </w:rPr>
      </w:pPr>
      <w:r>
        <w:t>Предполагаемое использование указывают в руководстве по эксплуатации».</w:t>
      </w:r>
    </w:p>
    <w:p w14:paraId="4DEB7942" w14:textId="77777777" w:rsidR="00C45F8F" w:rsidRPr="00614454" w:rsidRDefault="00C45F8F" w:rsidP="00C45F8F">
      <w:pPr>
        <w:spacing w:before="120" w:after="120"/>
        <w:ind w:left="1134" w:right="1134"/>
        <w:jc w:val="both"/>
        <w:rPr>
          <w:i/>
          <w:iCs/>
        </w:rPr>
      </w:pPr>
      <w:r>
        <w:rPr>
          <w:i/>
          <w:iCs/>
        </w:rPr>
        <w:t>Включить новые пункты 16.1.1.4–16.1.1.4.1</w:t>
      </w:r>
      <w:r>
        <w:t xml:space="preserve"> следующего содержания:</w:t>
      </w:r>
    </w:p>
    <w:p w14:paraId="5D97CA31" w14:textId="77777777" w:rsidR="00C45F8F" w:rsidRPr="00614454" w:rsidRDefault="00C45F8F" w:rsidP="00C45F8F">
      <w:pPr>
        <w:autoSpaceDE w:val="0"/>
        <w:autoSpaceDN w:val="0"/>
        <w:adjustRightInd w:val="0"/>
        <w:spacing w:after="120" w:line="240" w:lineRule="auto"/>
        <w:ind w:left="2268" w:right="1133" w:hanging="1134"/>
        <w:jc w:val="both"/>
        <w:rPr>
          <w:iCs/>
          <w:noProof/>
        </w:rPr>
      </w:pPr>
      <w:r>
        <w:t>«16.1.1.4</w:t>
      </w:r>
      <w:r>
        <w:tab/>
        <w:t xml:space="preserve">Порядок включения и выключения СВМ классов II и III должен обеспечивать безопасную эксплуатацию транспортного средства. </w:t>
      </w:r>
    </w:p>
    <w:p w14:paraId="2334B0B7" w14:textId="77777777" w:rsidR="00C45F8F" w:rsidRPr="00614454" w:rsidRDefault="00C45F8F" w:rsidP="00C45F8F">
      <w:pPr>
        <w:autoSpaceDE w:val="0"/>
        <w:autoSpaceDN w:val="0"/>
        <w:adjustRightInd w:val="0"/>
        <w:spacing w:after="120" w:line="240" w:lineRule="auto"/>
        <w:ind w:left="2268" w:right="1133"/>
        <w:jc w:val="both"/>
        <w:rPr>
          <w:iCs/>
          <w:noProof/>
        </w:rPr>
      </w:pPr>
      <w:r>
        <w:t xml:space="preserve">СВМ должен включаться при открытии транспортного средства (например, при разблокировании дверей, открытии передней двери или иным способом по выбору изготовителя). </w:t>
      </w:r>
    </w:p>
    <w:p w14:paraId="376C1A13" w14:textId="7CBD9103" w:rsidR="00C45F8F" w:rsidRPr="00614454" w:rsidRDefault="00C45F8F" w:rsidP="00C45F8F">
      <w:pPr>
        <w:autoSpaceDE w:val="0"/>
        <w:autoSpaceDN w:val="0"/>
        <w:adjustRightInd w:val="0"/>
        <w:spacing w:after="120" w:line="240" w:lineRule="auto"/>
        <w:ind w:left="2268" w:right="1133"/>
        <w:jc w:val="both"/>
        <w:rPr>
          <w:iCs/>
          <w:noProof/>
        </w:rPr>
      </w:pPr>
      <w:r>
        <w:t>В дополнение к требованиям, указанным в пункте 15.2.1.1.2, после каждого выключения двигателя система остается в рабочем состоянии в течение периода продолжительностью не менее T1 = 120 с. По истечении периода Т1 и в течение, по крайней мере, T2 = (420–Т1) секунд должна быть предусмотрена возможность повторного включения системы, с тем чтобы предписываемое поле обзора становилось доступным в течение 1</w:t>
      </w:r>
      <w:r>
        <w:rPr>
          <w:lang w:val="en-US"/>
        </w:rPr>
        <w:t> </w:t>
      </w:r>
      <w:r>
        <w:t xml:space="preserve">секунды путем открытия любой передней двери автоматически и, если есть такая возможность, вручную водителем. По истечении периода T2 должна быть предусмотрена возможность повторного включения системы в течение 7 секунд (например, в момент открытия любой передней двери). </w:t>
      </w:r>
    </w:p>
    <w:p w14:paraId="49310A37" w14:textId="77777777" w:rsidR="00C45F8F" w:rsidRPr="00614454" w:rsidRDefault="00C45F8F" w:rsidP="00C45F8F">
      <w:pPr>
        <w:spacing w:after="120"/>
        <w:ind w:left="2268" w:right="1133"/>
        <w:jc w:val="both"/>
        <w:rPr>
          <w:iCs/>
          <w:noProof/>
        </w:rPr>
      </w:pPr>
      <w:r>
        <w:t>Независимо от положений, указанных выше, любая иная концепция, обеспечивающая по меньшей мере такой же уровень безопасности, должна быть подтверждена технической службе и органу по официальному утверждению с учетом концепции безопасности в соответствии с положениями пункта 2 приложения 12».</w:t>
      </w:r>
    </w:p>
    <w:p w14:paraId="7961CC79" w14:textId="77777777" w:rsidR="00C45F8F" w:rsidRPr="00614454" w:rsidRDefault="00C45F8F" w:rsidP="00C45F8F">
      <w:pPr>
        <w:autoSpaceDE w:val="0"/>
        <w:autoSpaceDN w:val="0"/>
        <w:adjustRightInd w:val="0"/>
        <w:spacing w:after="120" w:line="240" w:lineRule="auto"/>
        <w:ind w:left="2268" w:right="1133" w:hanging="1134"/>
        <w:jc w:val="both"/>
        <w:rPr>
          <w:iCs/>
          <w:noProof/>
        </w:rPr>
      </w:pPr>
      <w:bookmarkStart w:id="0" w:name="_Hlk164248568"/>
      <w:r>
        <w:t>«16.1.1.4.1</w:t>
      </w:r>
      <w:r>
        <w:tab/>
        <w:t xml:space="preserve">Положения пункта 16.1.1.4 не применяются к транспортным средствам, если: </w:t>
      </w:r>
    </w:p>
    <w:p w14:paraId="37EE3EC2" w14:textId="77777777" w:rsidR="00C45F8F" w:rsidRPr="00614454" w:rsidRDefault="00C45F8F" w:rsidP="00C45F8F">
      <w:pPr>
        <w:autoSpaceDE w:val="0"/>
        <w:autoSpaceDN w:val="0"/>
        <w:adjustRightInd w:val="0"/>
        <w:spacing w:after="120" w:line="240" w:lineRule="auto"/>
        <w:ind w:left="2268" w:right="1133"/>
        <w:jc w:val="both"/>
        <w:rPr>
          <w:iCs/>
          <w:noProof/>
        </w:rPr>
      </w:pPr>
      <w:r>
        <w:t xml:space="preserve">– они оснащены специальной функцией, обеспечивающей обесточивание электрических цепей в соответствии с Соглашением о международной дорожной перевозке опасных грузов (ДОПОГ); </w:t>
      </w:r>
    </w:p>
    <w:p w14:paraId="49EA7B9B" w14:textId="77777777" w:rsidR="00C45F8F" w:rsidRPr="00614454" w:rsidRDefault="00C45F8F" w:rsidP="00C45F8F">
      <w:pPr>
        <w:autoSpaceDE w:val="0"/>
        <w:autoSpaceDN w:val="0"/>
        <w:adjustRightInd w:val="0"/>
        <w:spacing w:after="120" w:line="240" w:lineRule="auto"/>
        <w:ind w:left="2268" w:right="1133"/>
        <w:jc w:val="both"/>
        <w:rPr>
          <w:iCs/>
          <w:noProof/>
        </w:rPr>
      </w:pPr>
      <w:r>
        <w:t xml:space="preserve">– они оснащены устройством управления функцией, обеспечивающей обесточивание электрических цепей, установленным вне кабины; и </w:t>
      </w:r>
    </w:p>
    <w:bookmarkEnd w:id="0"/>
    <w:p w14:paraId="4394CF10" w14:textId="7943F308" w:rsidR="00C45F8F" w:rsidRPr="00614454" w:rsidRDefault="0026268C" w:rsidP="00C45F8F">
      <w:pPr>
        <w:autoSpaceDE w:val="0"/>
        <w:autoSpaceDN w:val="0"/>
        <w:adjustRightInd w:val="0"/>
        <w:spacing w:after="120" w:line="240" w:lineRule="auto"/>
        <w:ind w:left="2268" w:right="1133"/>
        <w:jc w:val="both"/>
        <w:rPr>
          <w:iCs/>
          <w:noProof/>
        </w:rPr>
      </w:pPr>
      <w:r w:rsidRPr="0026268C">
        <w:rPr>
          <w:iCs/>
          <w:noProof/>
        </w:rPr>
        <w:t>–</w:t>
      </w:r>
      <w:r w:rsidR="00C45F8F">
        <w:rPr>
          <w:iCs/>
          <w:noProof/>
        </w:rPr>
        <w:t xml:space="preserve"> </w:t>
      </w:r>
      <w:r w:rsidR="00C45F8F">
        <w:t>функция, обеспечивающая обесточивание электрических цепей, активируется с помощью этого устройства управления, установленного вне кабины».</w:t>
      </w:r>
    </w:p>
    <w:p w14:paraId="3ED865EA" w14:textId="77777777" w:rsidR="00C45F8F" w:rsidRPr="00614454" w:rsidRDefault="00C45F8F" w:rsidP="00C45F8F">
      <w:pPr>
        <w:pStyle w:val="Para"/>
        <w:spacing w:after="0"/>
        <w:jc w:val="left"/>
        <w:rPr>
          <w:bCs/>
          <w:lang w:val="ru-RU"/>
        </w:rPr>
      </w:pPr>
      <w:r>
        <w:rPr>
          <w:i/>
          <w:iCs/>
          <w:lang w:val="ru-RU"/>
        </w:rPr>
        <w:t>Пункт 18.1</w:t>
      </w:r>
      <w:r>
        <w:rPr>
          <w:lang w:val="ru-RU"/>
        </w:rPr>
        <w:t xml:space="preserve"> изменить следующим образом:</w:t>
      </w:r>
    </w:p>
    <w:p w14:paraId="0ECA9854" w14:textId="77777777" w:rsidR="00C45F8F" w:rsidRPr="00614454" w:rsidRDefault="00C45F8F" w:rsidP="00C45F8F">
      <w:pPr>
        <w:keepNext/>
        <w:keepLines/>
        <w:spacing w:before="120" w:after="120"/>
        <w:ind w:left="2276" w:right="1138" w:hanging="1138"/>
        <w:jc w:val="both"/>
        <w:rPr>
          <w:b/>
        </w:rPr>
      </w:pPr>
      <w:r>
        <w:t>«18.1</w:t>
      </w:r>
      <w:r>
        <w:tab/>
        <w:t>Процедуры обеспечения соответствия производства должны соответствовать общим положениям, содержащимся в статье 2 и в приложении 1 к Соглашению 1958 года (E/ECE/TRANS/505/Rev.3), и отвечать нижеследующим требованиям:».</w:t>
      </w:r>
    </w:p>
    <w:p w14:paraId="0D428B96" w14:textId="77777777" w:rsidR="00C45F8F" w:rsidRPr="00614454" w:rsidRDefault="00C45F8F" w:rsidP="00C45F8F">
      <w:pPr>
        <w:pStyle w:val="Para"/>
        <w:spacing w:before="120"/>
        <w:ind w:left="2276" w:right="1138" w:hanging="1138"/>
        <w:jc w:val="left"/>
        <w:rPr>
          <w:bCs/>
          <w:lang w:val="ru-RU"/>
        </w:rPr>
      </w:pPr>
      <w:r>
        <w:rPr>
          <w:i/>
          <w:iCs/>
          <w:lang w:val="ru-RU"/>
        </w:rPr>
        <w:t xml:space="preserve">Пункт 8, сноску </w:t>
      </w:r>
      <w:r>
        <w:rPr>
          <w:i/>
          <w:iCs/>
          <w:vertAlign w:val="superscript"/>
          <w:lang w:val="ru-RU"/>
        </w:rPr>
        <w:t>1</w:t>
      </w:r>
      <w:r>
        <w:rPr>
          <w:lang w:val="ru-RU"/>
        </w:rPr>
        <w:t xml:space="preserve"> изменить следующим образом:</w:t>
      </w:r>
    </w:p>
    <w:p w14:paraId="6EBC154E" w14:textId="1A10F064" w:rsidR="00C45F8F" w:rsidRPr="00614454" w:rsidRDefault="00C45F8F" w:rsidP="00C45F8F">
      <w:pPr>
        <w:pStyle w:val="Para"/>
        <w:spacing w:before="120"/>
        <w:ind w:left="2276" w:right="1138" w:hanging="1138"/>
        <w:jc w:val="left"/>
        <w:rPr>
          <w:u w:val="single"/>
          <w:lang w:val="ru-RU"/>
        </w:rPr>
      </w:pPr>
      <w:r w:rsidRPr="0021260A">
        <w:rPr>
          <w:lang w:val="ru-RU"/>
        </w:rPr>
        <w:t>«</w:t>
      </w:r>
      <w:r>
        <w:rPr>
          <w:vertAlign w:val="superscript"/>
          <w:lang w:val="ru-RU"/>
        </w:rPr>
        <w:t>1</w:t>
      </w:r>
      <w:r>
        <w:rPr>
          <w:lang w:val="ru-RU"/>
        </w:rPr>
        <w:tab/>
        <w:t xml:space="preserve">Данная процедура описана в добавлении 6 к Общей резолюции № 1 (ОР.1) (документ ECE/TRANS/WP.29/1101/Amend.5); см. </w:t>
      </w:r>
      <w:bookmarkStart w:id="1" w:name="_Hlk156421770"/>
      <w:r>
        <w:fldChar w:fldCharType="begin"/>
      </w:r>
      <w:r>
        <w:instrText>HYPERLINK</w:instrText>
      </w:r>
      <w:r w:rsidRPr="002204D5">
        <w:rPr>
          <w:lang w:val="ru-RU"/>
        </w:rPr>
        <w:instrText xml:space="preserve"> "</w:instrText>
      </w:r>
      <w:r>
        <w:instrText>https</w:instrText>
      </w:r>
      <w:r w:rsidRPr="002204D5">
        <w:rPr>
          <w:lang w:val="ru-RU"/>
        </w:rPr>
        <w:instrText>://</w:instrText>
      </w:r>
      <w:r>
        <w:instrText>unece</w:instrText>
      </w:r>
      <w:r w:rsidRPr="002204D5">
        <w:rPr>
          <w:lang w:val="ru-RU"/>
        </w:rPr>
        <w:instrText>.</w:instrText>
      </w:r>
      <w:r>
        <w:instrText>org</w:instrText>
      </w:r>
      <w:r w:rsidRPr="002204D5">
        <w:rPr>
          <w:lang w:val="ru-RU"/>
        </w:rPr>
        <w:instrText>/</w:instrText>
      </w:r>
      <w:r>
        <w:instrText>transport</w:instrText>
      </w:r>
      <w:r w:rsidRPr="002204D5">
        <w:rPr>
          <w:lang w:val="ru-RU"/>
        </w:rPr>
        <w:instrText>/</w:instrText>
      </w:r>
      <w:r>
        <w:instrText>vehicle</w:instrText>
      </w:r>
      <w:r w:rsidRPr="002204D5">
        <w:rPr>
          <w:lang w:val="ru-RU"/>
        </w:rPr>
        <w:instrText>-</w:instrText>
      </w:r>
      <w:r>
        <w:instrText>regulations</w:instrText>
      </w:r>
      <w:r w:rsidRPr="002204D5">
        <w:rPr>
          <w:lang w:val="ru-RU"/>
        </w:rPr>
        <w:instrText>/</w:instrText>
      </w:r>
      <w:r>
        <w:instrText>wp</w:instrText>
      </w:r>
      <w:r w:rsidRPr="002204D5">
        <w:rPr>
          <w:lang w:val="ru-RU"/>
        </w:rPr>
        <w:instrText>29/</w:instrText>
      </w:r>
      <w:r>
        <w:instrText>resolutions</w:instrText>
      </w:r>
      <w:r w:rsidRPr="002204D5">
        <w:rPr>
          <w:lang w:val="ru-RU"/>
        </w:rPr>
        <w:instrText>"</w:instrText>
      </w:r>
      <w:r>
        <w:fldChar w:fldCharType="separate"/>
      </w:r>
      <w:r w:rsidRPr="00C10F88">
        <w:rPr>
          <w:rStyle w:val="af1"/>
          <w:b/>
          <w:sz w:val="18"/>
          <w:szCs w:val="18"/>
        </w:rPr>
        <w:t>https://unece.org/transport/vehicle-regulations/wp29/resolutions</w:t>
      </w:r>
      <w:r>
        <w:rPr>
          <w:rStyle w:val="af1"/>
          <w:b/>
          <w:sz w:val="18"/>
          <w:szCs w:val="18"/>
        </w:rPr>
        <w:fldChar w:fldCharType="end"/>
      </w:r>
      <w:r w:rsidRPr="0026268C">
        <w:rPr>
          <w:rStyle w:val="af1"/>
          <w:bCs/>
          <w:color w:val="auto"/>
          <w:sz w:val="18"/>
          <w:szCs w:val="18"/>
          <w:lang w:val="ru-RU"/>
        </w:rPr>
        <w:t>».</w:t>
      </w:r>
      <w:bookmarkEnd w:id="1"/>
    </w:p>
    <w:p w14:paraId="56356C7D" w14:textId="16E2F084" w:rsidR="00E12C5F" w:rsidRPr="00C45F8F" w:rsidRDefault="00C45F8F" w:rsidP="00C45F8F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C45F8F" w:rsidSect="00C45F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C909" w14:textId="77777777" w:rsidR="003043B9" w:rsidRPr="00A312BC" w:rsidRDefault="003043B9" w:rsidP="00A312BC"/>
  </w:endnote>
  <w:endnote w:type="continuationSeparator" w:id="0">
    <w:p w14:paraId="0A6E4B4B" w14:textId="77777777" w:rsidR="003043B9" w:rsidRPr="00A312BC" w:rsidRDefault="003043B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3AA1" w14:textId="2142E8F1" w:rsidR="00C45F8F" w:rsidRPr="00C45F8F" w:rsidRDefault="00C45F8F">
    <w:pPr>
      <w:pStyle w:val="a8"/>
    </w:pPr>
    <w:r w:rsidRPr="00C45F8F">
      <w:rPr>
        <w:b/>
        <w:sz w:val="18"/>
      </w:rPr>
      <w:fldChar w:fldCharType="begin"/>
    </w:r>
    <w:r w:rsidRPr="00C45F8F">
      <w:rPr>
        <w:b/>
        <w:sz w:val="18"/>
      </w:rPr>
      <w:instrText xml:space="preserve"> PAGE  \* MERGEFORMAT </w:instrText>
    </w:r>
    <w:r w:rsidRPr="00C45F8F">
      <w:rPr>
        <w:b/>
        <w:sz w:val="18"/>
      </w:rPr>
      <w:fldChar w:fldCharType="separate"/>
    </w:r>
    <w:r w:rsidRPr="00C45F8F">
      <w:rPr>
        <w:b/>
        <w:noProof/>
        <w:sz w:val="18"/>
      </w:rPr>
      <w:t>2</w:t>
    </w:r>
    <w:r w:rsidRPr="00C45F8F">
      <w:rPr>
        <w:b/>
        <w:sz w:val="18"/>
      </w:rPr>
      <w:fldChar w:fldCharType="end"/>
    </w:r>
    <w:r>
      <w:rPr>
        <w:b/>
        <w:sz w:val="18"/>
      </w:rPr>
      <w:tab/>
    </w:r>
    <w:r>
      <w:t>GE.24-15155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F7DA" w14:textId="0B4D4B79" w:rsidR="00C45F8F" w:rsidRPr="00C45F8F" w:rsidRDefault="00C45F8F" w:rsidP="00C45F8F">
    <w:pPr>
      <w:pStyle w:val="a8"/>
      <w:tabs>
        <w:tab w:val="clear" w:pos="9639"/>
        <w:tab w:val="right" w:pos="9638"/>
      </w:tabs>
      <w:rPr>
        <w:b/>
        <w:sz w:val="18"/>
      </w:rPr>
    </w:pPr>
    <w:r>
      <w:t>GE.24-15155</w:t>
    </w:r>
    <w:r>
      <w:tab/>
    </w:r>
    <w:r w:rsidRPr="00C45F8F">
      <w:rPr>
        <w:b/>
        <w:sz w:val="18"/>
      </w:rPr>
      <w:fldChar w:fldCharType="begin"/>
    </w:r>
    <w:r w:rsidRPr="00C45F8F">
      <w:rPr>
        <w:b/>
        <w:sz w:val="18"/>
      </w:rPr>
      <w:instrText xml:space="preserve"> PAGE  \* MERGEFORMAT </w:instrText>
    </w:r>
    <w:r w:rsidRPr="00C45F8F">
      <w:rPr>
        <w:b/>
        <w:sz w:val="18"/>
      </w:rPr>
      <w:fldChar w:fldCharType="separate"/>
    </w:r>
    <w:r w:rsidRPr="00C45F8F">
      <w:rPr>
        <w:b/>
        <w:noProof/>
        <w:sz w:val="18"/>
      </w:rPr>
      <w:t>3</w:t>
    </w:r>
    <w:r w:rsidRPr="00C45F8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0DD8" w14:textId="038DCCF5" w:rsidR="00042B72" w:rsidRPr="00C45F8F" w:rsidRDefault="00C45F8F" w:rsidP="00C45F8F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372057E" wp14:editId="5B29F54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24-15155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6F2A2DE" wp14:editId="58F255D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260824   030924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2798" w14:textId="77777777" w:rsidR="003043B9" w:rsidRPr="001075E9" w:rsidRDefault="003043B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2C59D16" w14:textId="77777777" w:rsidR="003043B9" w:rsidRDefault="003043B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D9CAE64" w14:textId="35E4E5B6" w:rsidR="00C45F8F" w:rsidRPr="00C45F8F" w:rsidRDefault="00C45F8F">
      <w:pPr>
        <w:pStyle w:val="ad"/>
        <w:rPr>
          <w:sz w:val="20"/>
        </w:rPr>
      </w:pPr>
      <w:r>
        <w:tab/>
      </w:r>
      <w:r w:rsidRPr="00C45F8F">
        <w:rPr>
          <w:rStyle w:val="aa"/>
          <w:sz w:val="20"/>
          <w:vertAlign w:val="baseline"/>
        </w:rPr>
        <w:t>*</w:t>
      </w:r>
      <w:r w:rsidRPr="00C45F8F">
        <w:rPr>
          <w:rStyle w:val="aa"/>
          <w:vertAlign w:val="baseline"/>
        </w:rPr>
        <w:tab/>
      </w:r>
      <w:r w:rsidRPr="00C45F8F"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>
        <w:rPr>
          <w:lang w:val="en-US"/>
        </w:rPr>
        <w:t> </w:t>
      </w:r>
      <w:r w:rsidRPr="00C45F8F"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  <w:footnote w:id="2">
    <w:p w14:paraId="072A492E" w14:textId="005F8A15" w:rsidR="00C45F8F" w:rsidRDefault="00C45F8F" w:rsidP="00C45F8F">
      <w:pPr>
        <w:pStyle w:val="ad"/>
        <w:jc w:val="both"/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3214" w14:textId="02A77CE3" w:rsidR="00C45F8F" w:rsidRPr="00C45F8F" w:rsidRDefault="00C45F8F">
    <w:pPr>
      <w:pStyle w:val="a5"/>
    </w:pPr>
    <w:fldSimple w:instr=" TITLE  \* MERGEFORMAT ">
      <w:r w:rsidR="00C34953">
        <w:t>ECE/TRANS/WP.29/2024/101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7B47" w14:textId="27A82586" w:rsidR="00C45F8F" w:rsidRPr="00C45F8F" w:rsidRDefault="00C45F8F" w:rsidP="00C45F8F">
    <w:pPr>
      <w:pStyle w:val="a5"/>
      <w:jc w:val="right"/>
    </w:pPr>
    <w:fldSimple w:instr=" TITLE  \* MERGEFORMAT ">
      <w:r w:rsidR="00C34953">
        <w:t>ECE/TRANS/WP.29/2024/101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9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6268C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43B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34953"/>
    <w:rsid w:val="00C45F8F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CF10D"/>
  <w15:docId w15:val="{1D949F37-EDF1-414D-AA09-5789CBE0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uiPriority w:val="99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C45F8F"/>
    <w:rPr>
      <w:lang w:val="ru-RU" w:eastAsia="en-US"/>
    </w:rPr>
  </w:style>
  <w:style w:type="character" w:customStyle="1" w:styleId="HChGChar">
    <w:name w:val="_ H _Ch_G Char"/>
    <w:link w:val="HChG"/>
    <w:qFormat/>
    <w:locked/>
    <w:rsid w:val="00C45F8F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C45F8F"/>
    <w:rPr>
      <w:b/>
      <w:sz w:val="24"/>
      <w:lang w:val="ru-RU" w:eastAsia="ru-RU"/>
    </w:rPr>
  </w:style>
  <w:style w:type="paragraph" w:customStyle="1" w:styleId="Para">
    <w:name w:val="Para"/>
    <w:basedOn w:val="a"/>
    <w:qFormat/>
    <w:rsid w:val="00C45F8F"/>
    <w:pPr>
      <w:suppressAutoHyphens w:val="0"/>
      <w:spacing w:after="120"/>
      <w:ind w:left="2268" w:right="1134" w:hanging="1134"/>
      <w:jc w:val="both"/>
    </w:pPr>
    <w:rPr>
      <w:rFonts w:eastAsia="Times New Roman" w:cs="Times New Roman"/>
      <w:szCs w:val="20"/>
      <w:lang w:val="en-GB"/>
    </w:rPr>
  </w:style>
  <w:style w:type="character" w:styleId="af3">
    <w:name w:val="Unresolved Mention"/>
    <w:basedOn w:val="a0"/>
    <w:uiPriority w:val="99"/>
    <w:semiHidden/>
    <w:unhideWhenUsed/>
    <w:rsid w:val="00C45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6A4EC-A331-4B76-9054-D3DEA2C53A26}"/>
</file>

<file path=customXml/itemProps2.xml><?xml version="1.0" encoding="utf-8"?>
<ds:datastoreItem xmlns:ds="http://schemas.openxmlformats.org/officeDocument/2006/customXml" ds:itemID="{C70F53D0-1A02-479A-8C48-FB0A80CA1C1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7</TotalTime>
  <Pages>2</Pages>
  <Words>490</Words>
  <Characters>3500</Characters>
  <Application>Microsoft Office Word</Application>
  <DocSecurity>0</DocSecurity>
  <Lines>84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ECE/TRANS/WP.29/2024/101</vt:lpstr>
      <vt:lpstr>A/</vt:lpstr>
      <vt:lpstr>A/</vt:lpstr>
    </vt:vector>
  </TitlesOfParts>
  <Company>DCM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ECE/TRANS/WP.29/2024/101</dc:title>
  <dc:subject/>
  <dc:creator>Anna BLAGODATSKIKH</dc:creator>
  <cp:keywords/>
  <cp:lastModifiedBy>Anna Blagodatskikh</cp:lastModifiedBy>
  <cp:revision>3</cp:revision>
  <cp:lastPrinted>2024-09-03T12:32:00Z</cp:lastPrinted>
  <dcterms:created xsi:type="dcterms:W3CDTF">2024-09-03T12:32:00Z</dcterms:created>
  <dcterms:modified xsi:type="dcterms:W3CDTF">2024-09-03T12:33:00Z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