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8E05557" w14:textId="77777777" w:rsidTr="00C97039">
        <w:trPr>
          <w:trHeight w:hRule="exact" w:val="851"/>
        </w:trPr>
        <w:tc>
          <w:tcPr>
            <w:tcW w:w="1276" w:type="dxa"/>
            <w:tcBorders>
              <w:bottom w:val="single" w:sz="4" w:space="0" w:color="auto"/>
            </w:tcBorders>
          </w:tcPr>
          <w:p w14:paraId="317725E6" w14:textId="77777777" w:rsidR="00F35BAF" w:rsidRPr="00DB58B5" w:rsidRDefault="00F35BAF" w:rsidP="00683AB8"/>
        </w:tc>
        <w:tc>
          <w:tcPr>
            <w:tcW w:w="2268" w:type="dxa"/>
            <w:tcBorders>
              <w:bottom w:val="single" w:sz="4" w:space="0" w:color="auto"/>
            </w:tcBorders>
            <w:vAlign w:val="bottom"/>
          </w:tcPr>
          <w:p w14:paraId="42F5B1D6"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6B42AF1" w14:textId="204D225D" w:rsidR="00F35BAF" w:rsidRPr="00DB58B5" w:rsidRDefault="00683AB8" w:rsidP="00683AB8">
            <w:pPr>
              <w:jc w:val="right"/>
            </w:pPr>
            <w:r w:rsidRPr="00683AB8">
              <w:rPr>
                <w:sz w:val="40"/>
              </w:rPr>
              <w:t>ECE</w:t>
            </w:r>
            <w:r>
              <w:t>/TRANS/WP.29/2024/101</w:t>
            </w:r>
          </w:p>
        </w:tc>
      </w:tr>
      <w:tr w:rsidR="00F35BAF" w:rsidRPr="00DB58B5" w14:paraId="1D5431FA" w14:textId="77777777" w:rsidTr="00C97039">
        <w:trPr>
          <w:trHeight w:hRule="exact" w:val="2835"/>
        </w:trPr>
        <w:tc>
          <w:tcPr>
            <w:tcW w:w="1276" w:type="dxa"/>
            <w:tcBorders>
              <w:top w:val="single" w:sz="4" w:space="0" w:color="auto"/>
              <w:bottom w:val="single" w:sz="12" w:space="0" w:color="auto"/>
            </w:tcBorders>
          </w:tcPr>
          <w:p w14:paraId="4136B2C3" w14:textId="77777777" w:rsidR="00F35BAF" w:rsidRPr="00DB58B5" w:rsidRDefault="00F35BAF" w:rsidP="00C97039">
            <w:pPr>
              <w:spacing w:before="120"/>
              <w:jc w:val="center"/>
            </w:pPr>
            <w:r>
              <w:rPr>
                <w:noProof/>
                <w:lang w:eastAsia="fr-CH"/>
              </w:rPr>
              <w:drawing>
                <wp:inline distT="0" distB="0" distL="0" distR="0" wp14:anchorId="629A0EE7" wp14:editId="4B3AA7D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74B99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E42EC10" w14:textId="77777777" w:rsidR="00F35BAF" w:rsidRDefault="00683AB8" w:rsidP="00C97039">
            <w:pPr>
              <w:spacing w:before="240"/>
            </w:pPr>
            <w:proofErr w:type="spellStart"/>
            <w:r>
              <w:t>Distr</w:t>
            </w:r>
            <w:proofErr w:type="spellEnd"/>
            <w:r>
              <w:t>. générale</w:t>
            </w:r>
          </w:p>
          <w:p w14:paraId="79C2C919" w14:textId="77777777" w:rsidR="00683AB8" w:rsidRDefault="00683AB8" w:rsidP="00683AB8">
            <w:pPr>
              <w:spacing w:line="240" w:lineRule="exact"/>
            </w:pPr>
            <w:r>
              <w:t>23 août 2024</w:t>
            </w:r>
          </w:p>
          <w:p w14:paraId="40CFDA1F" w14:textId="77777777" w:rsidR="00683AB8" w:rsidRDefault="00683AB8" w:rsidP="00683AB8">
            <w:pPr>
              <w:spacing w:line="240" w:lineRule="exact"/>
            </w:pPr>
            <w:r>
              <w:t>Français</w:t>
            </w:r>
          </w:p>
          <w:p w14:paraId="1B015630" w14:textId="083BAF2C" w:rsidR="00683AB8" w:rsidRPr="00DB58B5" w:rsidRDefault="00683AB8" w:rsidP="00683AB8">
            <w:pPr>
              <w:spacing w:line="240" w:lineRule="exact"/>
            </w:pPr>
            <w:r>
              <w:t>Original : anglais</w:t>
            </w:r>
          </w:p>
        </w:tc>
      </w:tr>
    </w:tbl>
    <w:p w14:paraId="420E02AF" w14:textId="77777777" w:rsidR="007F20FA" w:rsidRPr="000312C0" w:rsidRDefault="007F20FA" w:rsidP="007F20FA">
      <w:pPr>
        <w:spacing w:before="120"/>
        <w:rPr>
          <w:b/>
          <w:sz w:val="28"/>
          <w:szCs w:val="28"/>
        </w:rPr>
      </w:pPr>
      <w:r w:rsidRPr="000312C0">
        <w:rPr>
          <w:b/>
          <w:sz w:val="28"/>
          <w:szCs w:val="28"/>
        </w:rPr>
        <w:t>Commission économique pour l’Europe</w:t>
      </w:r>
    </w:p>
    <w:p w14:paraId="2E89DCA0" w14:textId="77777777" w:rsidR="007F20FA" w:rsidRDefault="007F20FA" w:rsidP="007F20FA">
      <w:pPr>
        <w:spacing w:before="120"/>
        <w:rPr>
          <w:sz w:val="28"/>
          <w:szCs w:val="28"/>
        </w:rPr>
      </w:pPr>
      <w:r w:rsidRPr="00685843">
        <w:rPr>
          <w:sz w:val="28"/>
          <w:szCs w:val="28"/>
        </w:rPr>
        <w:t>Comité des transports intérieurs</w:t>
      </w:r>
    </w:p>
    <w:p w14:paraId="4DE31C39" w14:textId="201FC23B" w:rsidR="00683AB8" w:rsidRPr="00683AB8" w:rsidRDefault="00683AB8" w:rsidP="00683AB8">
      <w:pPr>
        <w:spacing w:before="120"/>
        <w:rPr>
          <w:b/>
          <w:bCs/>
          <w:sz w:val="24"/>
          <w:szCs w:val="24"/>
        </w:rPr>
      </w:pPr>
      <w:r w:rsidRPr="00683AB8">
        <w:rPr>
          <w:b/>
          <w:bCs/>
          <w:sz w:val="24"/>
          <w:szCs w:val="24"/>
          <w:lang w:val="fr-FR"/>
        </w:rPr>
        <w:t xml:space="preserve">Forum mondial de l’harmonisation des Règlements </w:t>
      </w:r>
      <w:r>
        <w:rPr>
          <w:b/>
          <w:bCs/>
          <w:sz w:val="24"/>
          <w:szCs w:val="24"/>
          <w:lang w:val="fr-FR"/>
        </w:rPr>
        <w:br/>
      </w:r>
      <w:r w:rsidRPr="00683AB8">
        <w:rPr>
          <w:b/>
          <w:bCs/>
          <w:sz w:val="24"/>
          <w:szCs w:val="24"/>
          <w:lang w:val="fr-FR"/>
        </w:rPr>
        <w:t>concernant les véhicules</w:t>
      </w:r>
    </w:p>
    <w:p w14:paraId="1CBE8E9A" w14:textId="7789BF0F" w:rsidR="00683AB8" w:rsidRPr="00E805E2" w:rsidRDefault="00683AB8" w:rsidP="00683AB8">
      <w:pPr>
        <w:spacing w:before="120"/>
        <w:rPr>
          <w:b/>
        </w:rPr>
      </w:pPr>
      <w:r>
        <w:rPr>
          <w:b/>
          <w:bCs/>
          <w:lang w:val="fr-FR"/>
        </w:rPr>
        <w:t>194</w:t>
      </w:r>
      <w:r w:rsidRPr="00683AB8">
        <w:rPr>
          <w:b/>
          <w:bCs/>
          <w:vertAlign w:val="superscript"/>
          <w:lang w:val="fr-FR"/>
        </w:rPr>
        <w:t>e</w:t>
      </w:r>
      <w:r>
        <w:rPr>
          <w:b/>
          <w:bCs/>
          <w:lang w:val="fr-FR"/>
        </w:rPr>
        <w:t xml:space="preserve"> session</w:t>
      </w:r>
    </w:p>
    <w:p w14:paraId="55715FE5" w14:textId="7A73A3C6" w:rsidR="00683AB8" w:rsidRPr="00E805E2" w:rsidRDefault="00683AB8" w:rsidP="00683AB8">
      <w:pPr>
        <w:tabs>
          <w:tab w:val="left" w:pos="5560"/>
        </w:tabs>
      </w:pPr>
      <w:r>
        <w:rPr>
          <w:lang w:val="fr-FR"/>
        </w:rPr>
        <w:t>Genève, 12-15 novembre 2024</w:t>
      </w:r>
    </w:p>
    <w:p w14:paraId="7978A5A3" w14:textId="77777777" w:rsidR="00683AB8" w:rsidRPr="00E805E2" w:rsidRDefault="00683AB8" w:rsidP="00683AB8">
      <w:r>
        <w:rPr>
          <w:lang w:val="fr-FR"/>
        </w:rPr>
        <w:t>Point 4.7.5 de l’ordre du jour provisoire</w:t>
      </w:r>
    </w:p>
    <w:p w14:paraId="24774911" w14:textId="77777777" w:rsidR="00683AB8" w:rsidRPr="00E805E2" w:rsidRDefault="00683AB8" w:rsidP="00683AB8">
      <w:pPr>
        <w:rPr>
          <w:b/>
        </w:rPr>
      </w:pPr>
      <w:r>
        <w:rPr>
          <w:b/>
          <w:bCs/>
          <w:lang w:val="fr-FR"/>
        </w:rPr>
        <w:t>Accord de 1958 :</w:t>
      </w:r>
    </w:p>
    <w:p w14:paraId="5CB98AC9" w14:textId="032F478F" w:rsidR="00683AB8" w:rsidRPr="00E805E2" w:rsidRDefault="00683AB8" w:rsidP="00683AB8">
      <w:pPr>
        <w:rPr>
          <w:b/>
          <w:bCs/>
        </w:rPr>
      </w:pPr>
      <w:r>
        <w:rPr>
          <w:b/>
          <w:bCs/>
          <w:lang w:val="fr-FR"/>
        </w:rPr>
        <w:t xml:space="preserve">Examen de projets d’amendements à des Règlements ONU </w:t>
      </w:r>
      <w:r>
        <w:rPr>
          <w:b/>
          <w:bCs/>
          <w:lang w:val="fr-FR"/>
        </w:rPr>
        <w:br/>
      </w:r>
      <w:r>
        <w:rPr>
          <w:b/>
          <w:bCs/>
          <w:lang w:val="fr-FR"/>
        </w:rPr>
        <w:t>existants</w:t>
      </w:r>
      <w:r>
        <w:rPr>
          <w:b/>
          <w:bCs/>
          <w:lang w:val="fr-FR"/>
        </w:rPr>
        <w:t xml:space="preserve"> </w:t>
      </w:r>
      <w:r>
        <w:rPr>
          <w:b/>
          <w:bCs/>
          <w:lang w:val="fr-FR"/>
        </w:rPr>
        <w:t>soumis par le GRSG</w:t>
      </w:r>
    </w:p>
    <w:p w14:paraId="550E35AF" w14:textId="59079EAA" w:rsidR="00683AB8" w:rsidRPr="00E805E2" w:rsidRDefault="00683AB8" w:rsidP="00683AB8">
      <w:pPr>
        <w:pStyle w:val="HChG"/>
      </w:pPr>
      <w:r>
        <w:rPr>
          <w:lang w:val="fr-FR"/>
        </w:rPr>
        <w:tab/>
      </w:r>
      <w:r>
        <w:rPr>
          <w:lang w:val="fr-FR"/>
        </w:rPr>
        <w:tab/>
      </w:r>
      <w:r>
        <w:rPr>
          <w:lang w:val="fr-FR"/>
        </w:rPr>
        <w:t xml:space="preserve">Proposition de complément 1 à la série 06 d’amendements </w:t>
      </w:r>
      <w:r>
        <w:rPr>
          <w:lang w:val="fr-FR"/>
        </w:rPr>
        <w:br/>
      </w:r>
      <w:r>
        <w:rPr>
          <w:lang w:val="fr-FR"/>
        </w:rPr>
        <w:t xml:space="preserve">au Règlement ONU </w:t>
      </w:r>
      <w:r w:rsidRPr="00683AB8">
        <w:rPr>
          <w:rFonts w:eastAsia="MS Mincho"/>
          <w:lang w:val="fr-FR"/>
        </w:rPr>
        <w:t>n</w:t>
      </w:r>
      <w:r w:rsidRPr="00683AB8">
        <w:rPr>
          <w:rFonts w:eastAsia="MS Mincho"/>
          <w:vertAlign w:val="superscript"/>
          <w:lang w:val="fr-FR"/>
        </w:rPr>
        <w:t>o</w:t>
      </w:r>
      <w:r>
        <w:rPr>
          <w:lang w:val="fr-FR"/>
        </w:rPr>
        <w:t> </w:t>
      </w:r>
      <w:r>
        <w:rPr>
          <w:lang w:val="fr-FR"/>
        </w:rPr>
        <w:t xml:space="preserve">46 (Dispositifs de vision indirecte) </w:t>
      </w:r>
    </w:p>
    <w:p w14:paraId="1D2E4D4C" w14:textId="0B8C8995" w:rsidR="00683AB8" w:rsidRPr="00E805E2" w:rsidRDefault="00683AB8" w:rsidP="00683AB8">
      <w:pPr>
        <w:pStyle w:val="H1G"/>
        <w:rPr>
          <w:szCs w:val="24"/>
        </w:rPr>
      </w:pPr>
      <w:r>
        <w:rPr>
          <w:lang w:val="fr-FR"/>
        </w:rPr>
        <w:tab/>
      </w:r>
      <w:r>
        <w:rPr>
          <w:lang w:val="fr-FR"/>
        </w:rPr>
        <w:tab/>
        <w:t xml:space="preserve">Communication du Groupe de travail des dispositions générales </w:t>
      </w:r>
      <w:r>
        <w:rPr>
          <w:lang w:val="fr-FR"/>
        </w:rPr>
        <w:br/>
      </w:r>
      <w:r>
        <w:rPr>
          <w:lang w:val="fr-FR"/>
        </w:rPr>
        <w:t>de sécurité</w:t>
      </w:r>
      <w:r w:rsidR="002F06FF" w:rsidRPr="002F06FF">
        <w:rPr>
          <w:rStyle w:val="Appelnotedebasdep"/>
          <w:b w:val="0"/>
          <w:bCs/>
          <w:sz w:val="20"/>
          <w:vertAlign w:val="baseline"/>
        </w:rPr>
        <w:footnoteReference w:customMarkFollows="1" w:id="2"/>
        <w:t>*</w:t>
      </w:r>
    </w:p>
    <w:p w14:paraId="14582478" w14:textId="4FDFE11C" w:rsidR="00683AB8" w:rsidRPr="00683AB8" w:rsidRDefault="00683AB8" w:rsidP="00683AB8">
      <w:pPr>
        <w:pStyle w:val="SingleTxtG"/>
        <w:ind w:firstLine="567"/>
        <w:rPr>
          <w:lang w:val="fr-FR"/>
        </w:rPr>
      </w:pPr>
      <w:r>
        <w:rPr>
          <w:lang w:val="fr-FR"/>
        </w:rPr>
        <w:t>Le texte ci-après, adopté par le Groupe de travail des dispositions générales de sécurité (GRSG) à sa 127</w:t>
      </w:r>
      <w:r w:rsidRPr="00683AB8">
        <w:rPr>
          <w:vertAlign w:val="superscript"/>
          <w:lang w:val="fr-FR"/>
        </w:rPr>
        <w:t>e</w:t>
      </w:r>
      <w:r>
        <w:rPr>
          <w:lang w:val="fr-FR"/>
        </w:rPr>
        <w:t> </w:t>
      </w:r>
      <w:r>
        <w:rPr>
          <w:lang w:val="fr-FR"/>
        </w:rPr>
        <w:t>session (ECE/TRANS/WP.29/GRSG/106, par.</w:t>
      </w:r>
      <w:r>
        <w:rPr>
          <w:lang w:val="fr-FR"/>
        </w:rPr>
        <w:t> </w:t>
      </w:r>
      <w:r>
        <w:rPr>
          <w:lang w:val="fr-FR"/>
        </w:rPr>
        <w:t>11 et 12), est fondé sur le document informel GRSG-127-04-Rev.2, tel que reproduit à l’annexe II du rapport, et sur le document ECE/TRANS/WP.29/GRSG/2024/21, tel que modifié par le paragraphe</w:t>
      </w:r>
      <w:r>
        <w:rPr>
          <w:lang w:val="fr-FR"/>
        </w:rPr>
        <w:t> </w:t>
      </w:r>
      <w:r>
        <w:rPr>
          <w:lang w:val="fr-FR"/>
        </w:rPr>
        <w:t xml:space="preserve">12 du rapport. Il est soumis au Forum mondial de l’harmonisation des Règlements concernant les véhicules (WP.29) et au Comité d’administration de l’Accord de 1958 (AC.1) pour examen à leurs sessions de novembre 2024.  </w:t>
      </w:r>
    </w:p>
    <w:p w14:paraId="147BCA7E" w14:textId="77777777" w:rsidR="00683AB8" w:rsidRPr="00E805E2" w:rsidRDefault="00683AB8" w:rsidP="00683AB8">
      <w:pPr>
        <w:pStyle w:val="SingleTxtG"/>
        <w:rPr>
          <w:sz w:val="24"/>
          <w:szCs w:val="24"/>
          <w:lang w:eastAsia="zh-CN"/>
        </w:rPr>
      </w:pPr>
      <w:r w:rsidRPr="00E805E2">
        <w:rPr>
          <w:sz w:val="24"/>
          <w:szCs w:val="24"/>
          <w:lang w:eastAsia="zh-CN"/>
        </w:rPr>
        <w:br w:type="page"/>
      </w:r>
    </w:p>
    <w:p w14:paraId="6C13EE68" w14:textId="77777777" w:rsidR="00683AB8" w:rsidRPr="00E805E2" w:rsidRDefault="00683AB8" w:rsidP="00683AB8">
      <w:pPr>
        <w:pStyle w:val="SingleTxtG"/>
        <w:keepNext/>
        <w:rPr>
          <w:bCs/>
        </w:rPr>
      </w:pPr>
      <w:r w:rsidRPr="00683AB8">
        <w:rPr>
          <w:bCs/>
          <w:i/>
          <w:iCs/>
        </w:rPr>
        <w:lastRenderedPageBreak/>
        <w:t>Paragraphe 8.1</w:t>
      </w:r>
      <w:r>
        <w:rPr>
          <w:lang w:val="fr-FR"/>
        </w:rPr>
        <w:t>, lire :</w:t>
      </w:r>
    </w:p>
    <w:p w14:paraId="53ADF32E" w14:textId="66E653E0" w:rsidR="00683AB8" w:rsidRPr="00E805E2" w:rsidRDefault="00683AB8" w:rsidP="00683AB8">
      <w:pPr>
        <w:pStyle w:val="SingleTxtG"/>
        <w:tabs>
          <w:tab w:val="clear" w:pos="1701"/>
        </w:tabs>
        <w:ind w:left="2268" w:hanging="1134"/>
        <w:rPr>
          <w:bCs/>
        </w:rPr>
      </w:pPr>
      <w:r>
        <w:rPr>
          <w:lang w:val="fr-FR"/>
        </w:rPr>
        <w:t xml:space="preserve">« 8.1 </w:t>
      </w:r>
      <w:r>
        <w:rPr>
          <w:lang w:val="fr-FR"/>
        </w:rPr>
        <w:tab/>
        <w:t>Les procédures de contrôle de la conformité de la production doivent correspondre à celles qui sont énoncées à l’article 2 et à l’annexe 1 de l’Accord de 1958 (E/ECE/TRANS/505/Rev.3) et satisfaire aux prescriptions ci</w:t>
      </w:r>
      <w:r>
        <w:rPr>
          <w:lang w:val="fr-FR"/>
        </w:rPr>
        <w:noBreakHyphen/>
      </w:r>
      <w:r>
        <w:rPr>
          <w:lang w:val="fr-FR"/>
        </w:rPr>
        <w:t>après</w:t>
      </w:r>
      <w:r>
        <w:rPr>
          <w:lang w:val="fr-FR"/>
        </w:rPr>
        <w:t> </w:t>
      </w:r>
      <w:r>
        <w:rPr>
          <w:lang w:val="fr-FR"/>
        </w:rPr>
        <w:t>:</w:t>
      </w:r>
      <w:r>
        <w:rPr>
          <w:lang w:val="fr-FR"/>
        </w:rPr>
        <w:t> </w:t>
      </w:r>
      <w:r>
        <w:rPr>
          <w:lang w:val="fr-FR"/>
        </w:rPr>
        <w:t>».</w:t>
      </w:r>
    </w:p>
    <w:p w14:paraId="53571F06" w14:textId="77777777" w:rsidR="00683AB8" w:rsidRPr="00E805E2" w:rsidRDefault="00683AB8" w:rsidP="00683AB8">
      <w:pPr>
        <w:pStyle w:val="SingleTxtG"/>
        <w:keepNext/>
        <w:rPr>
          <w:i/>
          <w:iCs/>
        </w:rPr>
      </w:pPr>
      <w:r>
        <w:rPr>
          <w:i/>
          <w:iCs/>
          <w:lang w:val="fr-FR"/>
        </w:rPr>
        <w:t xml:space="preserve">Paragraphe 16.1.1, </w:t>
      </w:r>
      <w:r>
        <w:rPr>
          <w:lang w:val="fr-FR"/>
        </w:rPr>
        <w:t>lire :</w:t>
      </w:r>
    </w:p>
    <w:p w14:paraId="504E17EC" w14:textId="27FE06FC" w:rsidR="00683AB8" w:rsidRPr="00E805E2" w:rsidRDefault="00683AB8" w:rsidP="00683AB8">
      <w:pPr>
        <w:pStyle w:val="SingleTxtG"/>
        <w:tabs>
          <w:tab w:val="clear" w:pos="1701"/>
        </w:tabs>
        <w:ind w:left="2268" w:hanging="1134"/>
        <w:rPr>
          <w:iCs/>
        </w:rPr>
      </w:pPr>
      <w:r>
        <w:rPr>
          <w:lang w:val="fr-FR"/>
        </w:rPr>
        <w:t>« 16.1.1</w:t>
      </w:r>
      <w:r>
        <w:rPr>
          <w:lang w:val="fr-FR"/>
        </w:rPr>
        <w:tab/>
        <w:t>Usage prévu, activation et désactivation.</w:t>
      </w:r>
    </w:p>
    <w:p w14:paraId="5EF8A468" w14:textId="77777777" w:rsidR="00683AB8" w:rsidRPr="00E805E2" w:rsidRDefault="00683AB8" w:rsidP="00F67632">
      <w:pPr>
        <w:pStyle w:val="SingleTxtG"/>
        <w:ind w:left="2268"/>
        <w:rPr>
          <w:iCs/>
        </w:rPr>
      </w:pPr>
      <w:r>
        <w:rPr>
          <w:lang w:val="fr-FR"/>
        </w:rPr>
        <w:t>L’usage prévu doit être mentionné dans le manuel d’utilisation. ».</w:t>
      </w:r>
    </w:p>
    <w:p w14:paraId="03C8044C" w14:textId="77777777" w:rsidR="00683AB8" w:rsidRPr="00E805E2" w:rsidRDefault="00683AB8" w:rsidP="00683AB8">
      <w:pPr>
        <w:spacing w:before="120" w:after="120"/>
        <w:ind w:left="1134" w:right="1134"/>
        <w:jc w:val="both"/>
        <w:rPr>
          <w:i/>
          <w:iCs/>
        </w:rPr>
      </w:pPr>
      <w:r>
        <w:rPr>
          <w:i/>
          <w:iCs/>
          <w:lang w:val="fr-FR"/>
        </w:rPr>
        <w:t xml:space="preserve">Ajouter les nouveaux paragraphes 16.1.1.4 à 16.1.1.4.1, </w:t>
      </w:r>
      <w:r w:rsidRPr="002F06FF">
        <w:rPr>
          <w:lang w:val="fr-FR"/>
        </w:rPr>
        <w:t>libellés comme suit</w:t>
      </w:r>
      <w:r>
        <w:rPr>
          <w:i/>
          <w:iCs/>
          <w:lang w:val="fr-FR"/>
        </w:rPr>
        <w:t> :</w:t>
      </w:r>
    </w:p>
    <w:p w14:paraId="2B599B45" w14:textId="77777777" w:rsidR="00683AB8" w:rsidRPr="00E805E2" w:rsidRDefault="00683AB8" w:rsidP="005E349B">
      <w:pPr>
        <w:pStyle w:val="SingleTxtG"/>
        <w:tabs>
          <w:tab w:val="clear" w:pos="1701"/>
        </w:tabs>
        <w:ind w:left="2268" w:hanging="1134"/>
        <w:rPr>
          <w:iCs/>
          <w:noProof/>
        </w:rPr>
      </w:pPr>
      <w:r>
        <w:rPr>
          <w:lang w:val="fr-FR"/>
        </w:rPr>
        <w:t>« 16.1.1.4</w:t>
      </w:r>
      <w:r>
        <w:rPr>
          <w:lang w:val="fr-FR"/>
        </w:rPr>
        <w:tab/>
        <w:t xml:space="preserve">La procédure d’activation et de désactivation des CMS des classes II et III doit permettre d’utiliser le véhicule de manière sûre. </w:t>
      </w:r>
    </w:p>
    <w:p w14:paraId="27A680BB" w14:textId="77777777" w:rsidR="00683AB8" w:rsidRPr="00E805E2" w:rsidRDefault="00683AB8" w:rsidP="00F67632">
      <w:pPr>
        <w:pStyle w:val="SingleTxtG"/>
        <w:ind w:left="2268"/>
        <w:rPr>
          <w:iCs/>
          <w:noProof/>
        </w:rPr>
      </w:pPr>
      <w:r>
        <w:rPr>
          <w:lang w:val="fr-FR"/>
        </w:rPr>
        <w:t xml:space="preserve">Le CMS doit être activé lorsque le véhicule est ouvert (par déverrouillage des portes, ouverture d’une porte avant ou de toute autre manière au choix du constructeur). </w:t>
      </w:r>
    </w:p>
    <w:p w14:paraId="39A55788" w14:textId="753E27E0" w:rsidR="00683AB8" w:rsidRPr="00E805E2" w:rsidRDefault="00683AB8" w:rsidP="00F67632">
      <w:pPr>
        <w:pStyle w:val="SingleTxtG"/>
        <w:ind w:left="2268"/>
        <w:rPr>
          <w:iCs/>
          <w:noProof/>
        </w:rPr>
      </w:pPr>
      <w:r>
        <w:rPr>
          <w:lang w:val="fr-FR"/>
        </w:rPr>
        <w:t>Outre les prescriptions du paragraphe 15.2.1.1.2, après chaque arrêt du moteur, le système doit rester opérationnel pendant une période T1 = 120</w:t>
      </w:r>
      <w:r w:rsidR="00290502">
        <w:rPr>
          <w:lang w:val="fr-FR"/>
        </w:rPr>
        <w:t> </w:t>
      </w:r>
      <w:r>
        <w:rPr>
          <w:lang w:val="fr-FR"/>
        </w:rPr>
        <w:t>s. Après la période T1 et pendant une période T2 au moins égale à (420-T1)</w:t>
      </w:r>
      <w:r w:rsidR="00290502">
        <w:rPr>
          <w:lang w:val="fr-FR"/>
        </w:rPr>
        <w:t> </w:t>
      </w:r>
      <w:r>
        <w:rPr>
          <w:lang w:val="fr-FR"/>
        </w:rPr>
        <w:t>s, le système doit pouvoir être réactivé de telle sorte que le champ de vision requis soit rendu disponible dans un délai de 1</w:t>
      </w:r>
      <w:r w:rsidR="00290502">
        <w:rPr>
          <w:lang w:val="fr-FR"/>
        </w:rPr>
        <w:t> </w:t>
      </w:r>
      <w:r>
        <w:rPr>
          <w:lang w:val="fr-FR"/>
        </w:rPr>
        <w:t>s lorsqu’une des portes avant est manœuvrée automatiquement ou, le cas échéant, par une action manuelle du conducteur. Après une période T2, il doit être possible de réactiver le système dans un délai de 7</w:t>
      </w:r>
      <w:r w:rsidR="00290502">
        <w:rPr>
          <w:lang w:val="fr-FR"/>
        </w:rPr>
        <w:t> </w:t>
      </w:r>
      <w:r>
        <w:rPr>
          <w:lang w:val="fr-FR"/>
        </w:rPr>
        <w:t xml:space="preserve">s (par exemple en commençant à ouvrir une porte avant). </w:t>
      </w:r>
    </w:p>
    <w:p w14:paraId="171BCED5" w14:textId="77777777" w:rsidR="00683AB8" w:rsidRPr="00E805E2" w:rsidRDefault="00683AB8" w:rsidP="00F67632">
      <w:pPr>
        <w:pStyle w:val="SingleTxtG"/>
        <w:ind w:left="2268"/>
        <w:rPr>
          <w:iCs/>
          <w:noProof/>
        </w:rPr>
      </w:pPr>
      <w:r>
        <w:rPr>
          <w:lang w:val="fr-FR"/>
        </w:rPr>
        <w:t>Nonobstant les dispositions ci-dessus, tout autre concept présentant au moins le même niveau de sécurité doit faire l’objet d’une démonstration au service technique et à l’autorité d’homologation de type dans le cadre du concept de sécurité conforme aux dispositions du paragraphe 2 de l’annexe 12. ».</w:t>
      </w:r>
    </w:p>
    <w:p w14:paraId="20DA6D5D" w14:textId="77777777" w:rsidR="00683AB8" w:rsidRPr="00E805E2" w:rsidRDefault="00683AB8" w:rsidP="005E349B">
      <w:pPr>
        <w:pStyle w:val="SingleTxtG"/>
        <w:tabs>
          <w:tab w:val="clear" w:pos="1701"/>
        </w:tabs>
        <w:ind w:left="2268" w:hanging="1134"/>
        <w:rPr>
          <w:iCs/>
          <w:noProof/>
        </w:rPr>
      </w:pPr>
      <w:bookmarkStart w:id="0" w:name="_Hlk164248568"/>
      <w:r>
        <w:rPr>
          <w:lang w:val="fr-FR"/>
        </w:rPr>
        <w:t>« 16.1.1.4.1</w:t>
      </w:r>
      <w:r>
        <w:rPr>
          <w:lang w:val="fr-FR"/>
        </w:rPr>
        <w:tab/>
        <w:t xml:space="preserve">Les dispositions du paragraphe 16.1.1.4 ne s’appliquent pas aux véhicules si : </w:t>
      </w:r>
    </w:p>
    <w:p w14:paraId="6B1D965D" w14:textId="6DC0F05F" w:rsidR="00F67632" w:rsidRDefault="00683AB8" w:rsidP="00F67632">
      <w:pPr>
        <w:pStyle w:val="SingleTxtG"/>
        <w:ind w:left="2495" w:hanging="227"/>
        <w:rPr>
          <w:iCs/>
          <w:noProof/>
        </w:rPr>
      </w:pPr>
      <w:r>
        <w:rPr>
          <w:lang w:val="fr-FR"/>
        </w:rPr>
        <w:t>–</w:t>
      </w:r>
      <w:r w:rsidR="00F67632">
        <w:rPr>
          <w:lang w:val="fr-FR"/>
        </w:rPr>
        <w:tab/>
      </w:r>
      <w:r>
        <w:rPr>
          <w:lang w:val="fr-FR"/>
        </w:rPr>
        <w:t>Ils sont équipés d’une fonction spécialement conçue pour mettre hors tension les circuits électriques conformément à l’Accord relatif au transport international des marchandises dangereuses par route (ADR)</w:t>
      </w:r>
      <w:r w:rsidR="00290502">
        <w:rPr>
          <w:lang w:val="fr-FR"/>
        </w:rPr>
        <w:t> </w:t>
      </w:r>
      <w:r>
        <w:rPr>
          <w:lang w:val="fr-FR"/>
        </w:rPr>
        <w:t xml:space="preserve">; </w:t>
      </w:r>
    </w:p>
    <w:p w14:paraId="706E47AC" w14:textId="28C4A6B8" w:rsidR="00683AB8" w:rsidRPr="00E805E2" w:rsidRDefault="00683AB8" w:rsidP="00F67632">
      <w:pPr>
        <w:pStyle w:val="SingleTxtG"/>
        <w:numPr>
          <w:ilvl w:val="0"/>
          <w:numId w:val="20"/>
        </w:numPr>
        <w:tabs>
          <w:tab w:val="clear" w:pos="2835"/>
        </w:tabs>
        <w:ind w:left="2495" w:hanging="227"/>
        <w:rPr>
          <w:iCs/>
          <w:noProof/>
        </w:rPr>
      </w:pPr>
      <w:r>
        <w:rPr>
          <w:lang w:val="fr-FR"/>
        </w:rPr>
        <w:t>Ils disposent d’un dispositif de commande de la fonction de mise hors tension des circuits électriques, installé à l’extérieur de la cabine</w:t>
      </w:r>
      <w:r w:rsidR="00290502">
        <w:rPr>
          <w:lang w:val="fr-FR"/>
        </w:rPr>
        <w:t> </w:t>
      </w:r>
      <w:r>
        <w:rPr>
          <w:lang w:val="fr-FR"/>
        </w:rPr>
        <w:t xml:space="preserve">; et </w:t>
      </w:r>
      <w:bookmarkEnd w:id="0"/>
      <w:r w:rsidRPr="00655640">
        <w:rPr>
          <w:noProof/>
          <w:lang w:val="de-DE" w:eastAsia="de-DE"/>
        </w:rPr>
        <mc:AlternateContent>
          <mc:Choice Requires="wps">
            <w:drawing>
              <wp:anchor distT="0" distB="0" distL="114300" distR="114300" simplePos="0" relativeHeight="251659264" behindDoc="0" locked="0" layoutInCell="1" allowOverlap="1" wp14:anchorId="540D4C39" wp14:editId="1D3201F9">
                <wp:simplePos x="0" y="0"/>
                <wp:positionH relativeFrom="column">
                  <wp:posOffset>5921375</wp:posOffset>
                </wp:positionH>
                <wp:positionV relativeFrom="paragraph">
                  <wp:posOffset>182245</wp:posOffset>
                </wp:positionV>
                <wp:extent cx="141670" cy="293390"/>
                <wp:effectExtent l="0" t="0" r="10795" b="11430"/>
                <wp:wrapNone/>
                <wp:docPr id="18" name="Rectangle 18"/>
                <wp:cNvGraphicFramePr/>
                <a:graphic xmlns:a="http://schemas.openxmlformats.org/drawingml/2006/main">
                  <a:graphicData uri="http://schemas.microsoft.com/office/word/2010/wordprocessingShape">
                    <wps:wsp>
                      <wps:cNvSpPr/>
                      <wps:spPr>
                        <a:xfrm>
                          <a:off x="0" y="0"/>
                          <a:ext cx="141670" cy="2933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FE05" id="Rectangle 18" o:spid="_x0000_s1026" style="position:absolute;margin-left:466.25pt;margin-top:14.35pt;width:11.1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" fillcolor="window" strokecolor="window" strokeweight="2pt"/>
            </w:pict>
          </mc:Fallback>
        </mc:AlternateContent>
      </w:r>
    </w:p>
    <w:p w14:paraId="51C09176" w14:textId="20CAC998" w:rsidR="00683AB8" w:rsidRPr="00E805E2" w:rsidRDefault="00683AB8" w:rsidP="00F67632">
      <w:pPr>
        <w:pStyle w:val="SingleTxtG"/>
        <w:numPr>
          <w:ilvl w:val="0"/>
          <w:numId w:val="20"/>
        </w:numPr>
        <w:tabs>
          <w:tab w:val="clear" w:pos="2835"/>
        </w:tabs>
        <w:ind w:left="2495" w:hanging="227"/>
        <w:rPr>
          <w:iCs/>
          <w:noProof/>
        </w:rPr>
      </w:pPr>
      <w:r>
        <w:rPr>
          <w:lang w:val="fr-FR"/>
        </w:rPr>
        <w:t>La fonction de mise hors tension des circuits électriques est activée par l’intermédiaire du dispositif de commande situé à l’extérieur de la cabine. ».</w:t>
      </w:r>
    </w:p>
    <w:p w14:paraId="63993EFF" w14:textId="77777777" w:rsidR="00683AB8" w:rsidRPr="00E805E2" w:rsidRDefault="00683AB8" w:rsidP="00683AB8">
      <w:pPr>
        <w:pStyle w:val="SingleTxtG"/>
        <w:keepNext/>
        <w:rPr>
          <w:bCs/>
        </w:rPr>
      </w:pPr>
      <w:r w:rsidRPr="00683AB8">
        <w:rPr>
          <w:i/>
          <w:iCs/>
          <w:lang w:val="fr-FR"/>
        </w:rPr>
        <w:t>Paragraphe 18.1</w:t>
      </w:r>
      <w:r>
        <w:rPr>
          <w:lang w:val="fr-FR"/>
        </w:rPr>
        <w:t>, lire :</w:t>
      </w:r>
    </w:p>
    <w:p w14:paraId="0912A265" w14:textId="20C1A4B2" w:rsidR="00683AB8" w:rsidRPr="00E805E2" w:rsidRDefault="00683AB8" w:rsidP="005E349B">
      <w:pPr>
        <w:pStyle w:val="SingleTxtG"/>
        <w:tabs>
          <w:tab w:val="clear" w:pos="1701"/>
        </w:tabs>
        <w:ind w:left="2268" w:hanging="1134"/>
        <w:rPr>
          <w:b/>
        </w:rPr>
      </w:pPr>
      <w:r>
        <w:rPr>
          <w:lang w:val="fr-FR"/>
        </w:rPr>
        <w:t>« 18.1</w:t>
      </w:r>
      <w:r>
        <w:rPr>
          <w:lang w:val="fr-FR"/>
        </w:rPr>
        <w:tab/>
        <w:t>Les procédures de contrôle de la conformité de la production doivent correspondre à celles qui sont énoncées à l’article 2 et à l’annexe 1 de l’Accord de 1958 (E/ECE/TRANS/505/Rev.3) et satisfaire aux prescriptions ci</w:t>
      </w:r>
      <w:r w:rsidR="00F67632">
        <w:rPr>
          <w:lang w:val="fr-FR"/>
        </w:rPr>
        <w:noBreakHyphen/>
      </w:r>
      <w:r>
        <w:rPr>
          <w:lang w:val="fr-FR"/>
        </w:rPr>
        <w:t>après</w:t>
      </w:r>
      <w:r w:rsidR="00F67632">
        <w:rPr>
          <w:lang w:val="fr-FR"/>
        </w:rPr>
        <w:t> </w:t>
      </w:r>
      <w:r>
        <w:rPr>
          <w:lang w:val="fr-FR"/>
        </w:rPr>
        <w:t>:</w:t>
      </w:r>
      <w:r w:rsidR="00F67632">
        <w:rPr>
          <w:lang w:val="fr-FR"/>
        </w:rPr>
        <w:t> </w:t>
      </w:r>
      <w:r>
        <w:rPr>
          <w:lang w:val="fr-FR"/>
        </w:rPr>
        <w:t>».</w:t>
      </w:r>
    </w:p>
    <w:p w14:paraId="2AECA36E" w14:textId="77777777" w:rsidR="00683AB8" w:rsidRPr="00E805E2" w:rsidRDefault="00683AB8" w:rsidP="00683AB8">
      <w:pPr>
        <w:pStyle w:val="SingleTxtG"/>
        <w:keepNext/>
        <w:rPr>
          <w:bCs/>
        </w:rPr>
      </w:pPr>
      <w:r w:rsidRPr="00683AB8">
        <w:rPr>
          <w:i/>
          <w:iCs/>
          <w:lang w:val="fr-FR"/>
        </w:rPr>
        <w:t>Annexe 8, note de bas de page 1</w:t>
      </w:r>
      <w:r>
        <w:rPr>
          <w:lang w:val="fr-FR"/>
        </w:rPr>
        <w:t>, lire :</w:t>
      </w:r>
    </w:p>
    <w:p w14:paraId="229B9129" w14:textId="78466300" w:rsidR="00F9573C" w:rsidRDefault="00683AB8" w:rsidP="00290502">
      <w:pPr>
        <w:pStyle w:val="SingleTxtG"/>
        <w:tabs>
          <w:tab w:val="clear" w:pos="1701"/>
          <w:tab w:val="clear" w:pos="2268"/>
          <w:tab w:val="clear" w:pos="2835"/>
        </w:tabs>
        <w:spacing w:line="220" w:lineRule="atLeast"/>
        <w:ind w:left="2268" w:hanging="1134"/>
        <w:jc w:val="left"/>
        <w:rPr>
          <w:lang w:val="fr-FR"/>
        </w:rPr>
      </w:pPr>
      <w:r>
        <w:rPr>
          <w:lang w:val="fr-FR"/>
        </w:rPr>
        <w:t>« </w:t>
      </w:r>
      <w:r>
        <w:rPr>
          <w:vertAlign w:val="superscript"/>
          <w:lang w:val="fr-FR"/>
        </w:rPr>
        <w:t>1</w:t>
      </w:r>
      <w:r>
        <w:rPr>
          <w:lang w:val="fr-FR"/>
        </w:rPr>
        <w:tab/>
      </w:r>
      <w:r w:rsidRPr="007353D5">
        <w:rPr>
          <w:sz w:val="18"/>
          <w:szCs w:val="18"/>
          <w:lang w:val="fr-FR"/>
        </w:rPr>
        <w:t xml:space="preserve">La procédure est décrite dans l’additif 6 à la Résolution mutuelle </w:t>
      </w:r>
      <w:r w:rsidR="007353D5" w:rsidRPr="007353D5">
        <w:rPr>
          <w:rFonts w:eastAsia="MS Mincho"/>
          <w:sz w:val="18"/>
          <w:szCs w:val="18"/>
          <w:lang w:val="fr-FR"/>
        </w:rPr>
        <w:t>n</w:t>
      </w:r>
      <w:r w:rsidR="007353D5" w:rsidRPr="007353D5">
        <w:rPr>
          <w:rFonts w:eastAsia="MS Mincho"/>
          <w:sz w:val="18"/>
          <w:szCs w:val="18"/>
          <w:vertAlign w:val="superscript"/>
          <w:lang w:val="fr-FR"/>
        </w:rPr>
        <w:t>o</w:t>
      </w:r>
      <w:r w:rsidR="007353D5">
        <w:rPr>
          <w:sz w:val="18"/>
          <w:szCs w:val="18"/>
          <w:lang w:val="fr-FR"/>
        </w:rPr>
        <w:t> </w:t>
      </w:r>
      <w:r w:rsidRPr="007353D5">
        <w:rPr>
          <w:sz w:val="18"/>
          <w:szCs w:val="18"/>
          <w:lang w:val="fr-FR"/>
        </w:rPr>
        <w:t xml:space="preserve">1 (R.M.1), document ECE/TRANS/WP.29/1101/Amend.5 (voir </w:t>
      </w:r>
      <w:hyperlink r:id="rId9" w:history="1">
        <w:r w:rsidR="00290502" w:rsidRPr="005C47C2">
          <w:rPr>
            <w:rStyle w:val="Lienhypertexte"/>
            <w:sz w:val="18"/>
            <w:szCs w:val="18"/>
            <w:lang w:val="fr-FR"/>
          </w:rPr>
          <w:t>https://unece.org/transport/</w:t>
        </w:r>
        <w:r w:rsidR="00290502" w:rsidRPr="005C47C2">
          <w:rPr>
            <w:rStyle w:val="Lienhypertexte"/>
            <w:sz w:val="18"/>
            <w:szCs w:val="18"/>
            <w:lang w:val="fr-FR"/>
          </w:rPr>
          <w:t xml:space="preserve"> </w:t>
        </w:r>
        <w:r w:rsidR="00290502" w:rsidRPr="005C47C2">
          <w:rPr>
            <w:rStyle w:val="Lienhypertexte"/>
            <w:sz w:val="18"/>
            <w:szCs w:val="18"/>
            <w:lang w:val="fr-FR"/>
          </w:rPr>
          <w:t>vehicle-regulations/wp29/resolutions</w:t>
        </w:r>
      </w:hyperlink>
      <w:r w:rsidRPr="007353D5">
        <w:rPr>
          <w:sz w:val="18"/>
          <w:szCs w:val="18"/>
          <w:lang w:val="fr-FR"/>
        </w:rPr>
        <w:t>).</w:t>
      </w:r>
      <w:r>
        <w:rPr>
          <w:lang w:val="fr-FR"/>
        </w:rPr>
        <w:t> ».</w:t>
      </w:r>
    </w:p>
    <w:p w14:paraId="13DB2F17" w14:textId="5AAA353C" w:rsidR="00683AB8" w:rsidRPr="00683AB8" w:rsidRDefault="00683AB8" w:rsidP="00683AB8">
      <w:pPr>
        <w:pStyle w:val="SingleTxtG"/>
        <w:spacing w:before="240" w:after="0"/>
        <w:jc w:val="center"/>
        <w:rPr>
          <w:u w:val="single"/>
        </w:rPr>
      </w:pPr>
      <w:r>
        <w:rPr>
          <w:u w:val="single"/>
        </w:rPr>
        <w:tab/>
      </w:r>
      <w:r>
        <w:rPr>
          <w:u w:val="single"/>
        </w:rPr>
        <w:tab/>
      </w:r>
      <w:r>
        <w:rPr>
          <w:u w:val="single"/>
        </w:rPr>
        <w:tab/>
      </w:r>
    </w:p>
    <w:sectPr w:rsidR="00683AB8" w:rsidRPr="00683AB8" w:rsidSect="00683AB8">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4D48" w14:textId="77777777" w:rsidR="00DD0B39" w:rsidRDefault="00DD0B39" w:rsidP="00F95C08">
      <w:pPr>
        <w:spacing w:line="240" w:lineRule="auto"/>
      </w:pPr>
    </w:p>
  </w:endnote>
  <w:endnote w:type="continuationSeparator" w:id="0">
    <w:p w14:paraId="3799ED74" w14:textId="77777777" w:rsidR="00DD0B39" w:rsidRPr="00AC3823" w:rsidRDefault="00DD0B39" w:rsidP="00AC3823">
      <w:pPr>
        <w:pStyle w:val="Pieddepage"/>
      </w:pPr>
    </w:p>
  </w:endnote>
  <w:endnote w:type="continuationNotice" w:id="1">
    <w:p w14:paraId="1167CB7D" w14:textId="77777777" w:rsidR="00DD0B39" w:rsidRDefault="00DD0B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9AC1" w14:textId="2B280BB9" w:rsidR="00683AB8" w:rsidRPr="00683AB8" w:rsidRDefault="00683AB8" w:rsidP="00683AB8">
    <w:pPr>
      <w:pStyle w:val="Pieddepage"/>
      <w:tabs>
        <w:tab w:val="right" w:pos="9638"/>
      </w:tabs>
    </w:pPr>
    <w:r w:rsidRPr="00683AB8">
      <w:rPr>
        <w:b/>
        <w:sz w:val="18"/>
      </w:rPr>
      <w:fldChar w:fldCharType="begin"/>
    </w:r>
    <w:r w:rsidRPr="00683AB8">
      <w:rPr>
        <w:b/>
        <w:sz w:val="18"/>
      </w:rPr>
      <w:instrText xml:space="preserve"> PAGE  \* MERGEFORMAT </w:instrText>
    </w:r>
    <w:r w:rsidRPr="00683AB8">
      <w:rPr>
        <w:b/>
        <w:sz w:val="18"/>
      </w:rPr>
      <w:fldChar w:fldCharType="separate"/>
    </w:r>
    <w:r w:rsidRPr="00683AB8">
      <w:rPr>
        <w:b/>
        <w:noProof/>
        <w:sz w:val="18"/>
      </w:rPr>
      <w:t>2</w:t>
    </w:r>
    <w:r w:rsidRPr="00683AB8">
      <w:rPr>
        <w:b/>
        <w:sz w:val="18"/>
      </w:rPr>
      <w:fldChar w:fldCharType="end"/>
    </w:r>
    <w:r>
      <w:rPr>
        <w:b/>
        <w:sz w:val="18"/>
      </w:rPr>
      <w:tab/>
    </w:r>
    <w:r>
      <w:t>GE.24-15155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1E31" w14:textId="11508013" w:rsidR="00683AB8" w:rsidRPr="00683AB8" w:rsidRDefault="00683AB8" w:rsidP="00683AB8">
    <w:pPr>
      <w:pStyle w:val="Pieddepage"/>
      <w:tabs>
        <w:tab w:val="right" w:pos="9638"/>
      </w:tabs>
      <w:rPr>
        <w:b/>
        <w:sz w:val="18"/>
      </w:rPr>
    </w:pPr>
    <w:r>
      <w:t>GE.24-15155</w:t>
    </w:r>
    <w:r>
      <w:tab/>
    </w:r>
    <w:r w:rsidRPr="00683AB8">
      <w:rPr>
        <w:b/>
        <w:sz w:val="18"/>
      </w:rPr>
      <w:fldChar w:fldCharType="begin"/>
    </w:r>
    <w:r w:rsidRPr="00683AB8">
      <w:rPr>
        <w:b/>
        <w:sz w:val="18"/>
      </w:rPr>
      <w:instrText xml:space="preserve"> PAGE  \* MERGEFORMAT </w:instrText>
    </w:r>
    <w:r w:rsidRPr="00683AB8">
      <w:rPr>
        <w:b/>
        <w:sz w:val="18"/>
      </w:rPr>
      <w:fldChar w:fldCharType="separate"/>
    </w:r>
    <w:r w:rsidRPr="00683AB8">
      <w:rPr>
        <w:b/>
        <w:noProof/>
        <w:sz w:val="18"/>
      </w:rPr>
      <w:t>3</w:t>
    </w:r>
    <w:r w:rsidRPr="00683AB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D80F" w14:textId="77DBB985" w:rsidR="007F20FA" w:rsidRPr="00683AB8" w:rsidRDefault="00683AB8" w:rsidP="00683AB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74C0D91" wp14:editId="7CCDC96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24-15155  (F)</w:t>
    </w:r>
    <w:r>
      <w:rPr>
        <w:noProof/>
        <w:sz w:val="20"/>
      </w:rPr>
      <w:drawing>
        <wp:anchor distT="0" distB="0" distL="114300" distR="114300" simplePos="0" relativeHeight="251660288" behindDoc="0" locked="0" layoutInCell="1" allowOverlap="1" wp14:anchorId="3A9B4B3F" wp14:editId="780CD92A">
          <wp:simplePos x="0" y="0"/>
          <wp:positionH relativeFrom="margin">
            <wp:posOffset>5489575</wp:posOffset>
          </wp:positionH>
          <wp:positionV relativeFrom="margin">
            <wp:posOffset>8891905</wp:posOffset>
          </wp:positionV>
          <wp:extent cx="628650" cy="628650"/>
          <wp:effectExtent l="0" t="0" r="0" b="0"/>
          <wp:wrapNone/>
          <wp:docPr id="8036454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0626" w14:textId="77777777" w:rsidR="00DD0B39" w:rsidRPr="00AC3823" w:rsidRDefault="00DD0B39" w:rsidP="00AC3823">
      <w:pPr>
        <w:pStyle w:val="Pieddepage"/>
        <w:tabs>
          <w:tab w:val="right" w:pos="2155"/>
        </w:tabs>
        <w:spacing w:after="80" w:line="240" w:lineRule="atLeast"/>
        <w:ind w:left="680"/>
        <w:rPr>
          <w:u w:val="single"/>
        </w:rPr>
      </w:pPr>
      <w:r>
        <w:rPr>
          <w:u w:val="single"/>
        </w:rPr>
        <w:tab/>
      </w:r>
    </w:p>
  </w:footnote>
  <w:footnote w:type="continuationSeparator" w:id="0">
    <w:p w14:paraId="660FDC7D" w14:textId="77777777" w:rsidR="00DD0B39" w:rsidRPr="00AC3823" w:rsidRDefault="00DD0B39" w:rsidP="00AC3823">
      <w:pPr>
        <w:pStyle w:val="Pieddepage"/>
        <w:tabs>
          <w:tab w:val="right" w:pos="2155"/>
        </w:tabs>
        <w:spacing w:after="80" w:line="240" w:lineRule="atLeast"/>
        <w:ind w:left="680"/>
        <w:rPr>
          <w:u w:val="single"/>
        </w:rPr>
      </w:pPr>
      <w:r>
        <w:rPr>
          <w:u w:val="single"/>
        </w:rPr>
        <w:tab/>
      </w:r>
    </w:p>
  </w:footnote>
  <w:footnote w:type="continuationNotice" w:id="1">
    <w:p w14:paraId="25BA95D1" w14:textId="77777777" w:rsidR="00DD0B39" w:rsidRPr="00AC3823" w:rsidRDefault="00DD0B39">
      <w:pPr>
        <w:spacing w:line="240" w:lineRule="auto"/>
        <w:rPr>
          <w:sz w:val="2"/>
          <w:szCs w:val="2"/>
        </w:rPr>
      </w:pPr>
    </w:p>
  </w:footnote>
  <w:footnote w:id="2">
    <w:p w14:paraId="2986DE97" w14:textId="637E94D6" w:rsidR="002F06FF" w:rsidRDefault="002F06FF">
      <w:pPr>
        <w:pStyle w:val="Notedebasdepage"/>
        <w:rPr>
          <w:lang w:val="fr-FR"/>
        </w:rPr>
      </w:pPr>
      <w:r>
        <w:rPr>
          <w:rStyle w:val="Appelnotedebasdep"/>
        </w:rPr>
        <w:tab/>
      </w:r>
      <w:r w:rsidRPr="002F06FF">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p w14:paraId="187ADD67" w14:textId="77777777" w:rsidR="002F06FF" w:rsidRPr="002F06FF" w:rsidRDefault="002F06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8086" w14:textId="0A236384" w:rsidR="00683AB8" w:rsidRPr="00683AB8" w:rsidRDefault="00683AB8">
    <w:pPr>
      <w:pStyle w:val="En-tte"/>
    </w:pPr>
    <w:fldSimple w:instr=" TITLE  \* MERGEFORMAT ">
      <w:r>
        <w:t>ECE/TRANS/WP.29/2024/101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D55A" w14:textId="0902A7E9" w:rsidR="00683AB8" w:rsidRPr="00683AB8" w:rsidRDefault="00683AB8" w:rsidP="00683AB8">
    <w:pPr>
      <w:pStyle w:val="En-tte"/>
      <w:jc w:val="right"/>
    </w:pPr>
    <w:fldSimple w:instr=" TITLE  \* MERGEFORMAT ">
      <w:r>
        <w:t>ECE/TRANS/WP.29/2024/101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3E46545B"/>
    <w:multiLevelType w:val="hybridMultilevel"/>
    <w:tmpl w:val="26A617AA"/>
    <w:lvl w:ilvl="0" w:tplc="67B2A2C0">
      <w:start w:val="1"/>
      <w:numFmt w:val="bullet"/>
      <w:lvlText w:val="–"/>
      <w:lvlJc w:val="left"/>
      <w:pPr>
        <w:ind w:left="2628" w:hanging="360"/>
      </w:pPr>
      <w:rPr>
        <w:rFonts w:ascii="Times New Roman" w:eastAsiaTheme="minorHAnsi" w:hAnsi="Times New Roman" w:cs="Times New Roman" w:hint="default"/>
      </w:rPr>
    </w:lvl>
    <w:lvl w:ilvl="1" w:tplc="100C0003" w:tentative="1">
      <w:start w:val="1"/>
      <w:numFmt w:val="bullet"/>
      <w:lvlText w:val="o"/>
      <w:lvlJc w:val="left"/>
      <w:pPr>
        <w:ind w:left="3348" w:hanging="360"/>
      </w:pPr>
      <w:rPr>
        <w:rFonts w:ascii="Courier New" w:hAnsi="Courier New" w:cs="Courier New" w:hint="default"/>
      </w:rPr>
    </w:lvl>
    <w:lvl w:ilvl="2" w:tplc="100C0005" w:tentative="1">
      <w:start w:val="1"/>
      <w:numFmt w:val="bullet"/>
      <w:lvlText w:val=""/>
      <w:lvlJc w:val="left"/>
      <w:pPr>
        <w:ind w:left="4068" w:hanging="360"/>
      </w:pPr>
      <w:rPr>
        <w:rFonts w:ascii="Wingdings" w:hAnsi="Wingdings" w:hint="default"/>
      </w:rPr>
    </w:lvl>
    <w:lvl w:ilvl="3" w:tplc="100C0001" w:tentative="1">
      <w:start w:val="1"/>
      <w:numFmt w:val="bullet"/>
      <w:lvlText w:val=""/>
      <w:lvlJc w:val="left"/>
      <w:pPr>
        <w:ind w:left="4788" w:hanging="360"/>
      </w:pPr>
      <w:rPr>
        <w:rFonts w:ascii="Symbol" w:hAnsi="Symbol" w:hint="default"/>
      </w:rPr>
    </w:lvl>
    <w:lvl w:ilvl="4" w:tplc="100C0003" w:tentative="1">
      <w:start w:val="1"/>
      <w:numFmt w:val="bullet"/>
      <w:lvlText w:val="o"/>
      <w:lvlJc w:val="left"/>
      <w:pPr>
        <w:ind w:left="5508" w:hanging="360"/>
      </w:pPr>
      <w:rPr>
        <w:rFonts w:ascii="Courier New" w:hAnsi="Courier New" w:cs="Courier New" w:hint="default"/>
      </w:rPr>
    </w:lvl>
    <w:lvl w:ilvl="5" w:tplc="100C0005" w:tentative="1">
      <w:start w:val="1"/>
      <w:numFmt w:val="bullet"/>
      <w:lvlText w:val=""/>
      <w:lvlJc w:val="left"/>
      <w:pPr>
        <w:ind w:left="6228" w:hanging="360"/>
      </w:pPr>
      <w:rPr>
        <w:rFonts w:ascii="Wingdings" w:hAnsi="Wingdings" w:hint="default"/>
      </w:rPr>
    </w:lvl>
    <w:lvl w:ilvl="6" w:tplc="100C0001" w:tentative="1">
      <w:start w:val="1"/>
      <w:numFmt w:val="bullet"/>
      <w:lvlText w:val=""/>
      <w:lvlJc w:val="left"/>
      <w:pPr>
        <w:ind w:left="6948" w:hanging="360"/>
      </w:pPr>
      <w:rPr>
        <w:rFonts w:ascii="Symbol" w:hAnsi="Symbol" w:hint="default"/>
      </w:rPr>
    </w:lvl>
    <w:lvl w:ilvl="7" w:tplc="100C0003" w:tentative="1">
      <w:start w:val="1"/>
      <w:numFmt w:val="bullet"/>
      <w:lvlText w:val="o"/>
      <w:lvlJc w:val="left"/>
      <w:pPr>
        <w:ind w:left="7668" w:hanging="360"/>
      </w:pPr>
      <w:rPr>
        <w:rFonts w:ascii="Courier New" w:hAnsi="Courier New" w:cs="Courier New" w:hint="default"/>
      </w:rPr>
    </w:lvl>
    <w:lvl w:ilvl="8" w:tplc="100C0005" w:tentative="1">
      <w:start w:val="1"/>
      <w:numFmt w:val="bullet"/>
      <w:lvlText w:val=""/>
      <w:lvlJc w:val="left"/>
      <w:pPr>
        <w:ind w:left="8388" w:hanging="360"/>
      </w:pPr>
      <w:rPr>
        <w:rFonts w:ascii="Wingdings" w:hAnsi="Wingdings" w:hint="default"/>
      </w:rPr>
    </w:lvl>
  </w:abstractNum>
  <w:abstractNum w:abstractNumId="13" w15:restartNumberingAfterBreak="0">
    <w:nsid w:val="683F1211"/>
    <w:multiLevelType w:val="hybridMultilevel"/>
    <w:tmpl w:val="07C689DE"/>
    <w:lvl w:ilvl="0" w:tplc="3AF29FB2">
      <w:start w:val="1"/>
      <w:numFmt w:val="bullet"/>
      <w:lvlText w:val="–"/>
      <w:lvlJc w:val="left"/>
      <w:pPr>
        <w:ind w:left="2628" w:hanging="360"/>
      </w:pPr>
      <w:rPr>
        <w:rFonts w:ascii="Times New Roman" w:eastAsiaTheme="minorHAnsi" w:hAnsi="Times New Roman" w:cs="Times New Roman" w:hint="default"/>
      </w:rPr>
    </w:lvl>
    <w:lvl w:ilvl="1" w:tplc="100C0003" w:tentative="1">
      <w:start w:val="1"/>
      <w:numFmt w:val="bullet"/>
      <w:lvlText w:val="o"/>
      <w:lvlJc w:val="left"/>
      <w:pPr>
        <w:ind w:left="3348" w:hanging="360"/>
      </w:pPr>
      <w:rPr>
        <w:rFonts w:ascii="Courier New" w:hAnsi="Courier New" w:cs="Courier New" w:hint="default"/>
      </w:rPr>
    </w:lvl>
    <w:lvl w:ilvl="2" w:tplc="100C0005" w:tentative="1">
      <w:start w:val="1"/>
      <w:numFmt w:val="bullet"/>
      <w:lvlText w:val=""/>
      <w:lvlJc w:val="left"/>
      <w:pPr>
        <w:ind w:left="4068" w:hanging="360"/>
      </w:pPr>
      <w:rPr>
        <w:rFonts w:ascii="Wingdings" w:hAnsi="Wingdings" w:hint="default"/>
      </w:rPr>
    </w:lvl>
    <w:lvl w:ilvl="3" w:tplc="100C0001" w:tentative="1">
      <w:start w:val="1"/>
      <w:numFmt w:val="bullet"/>
      <w:lvlText w:val=""/>
      <w:lvlJc w:val="left"/>
      <w:pPr>
        <w:ind w:left="4788" w:hanging="360"/>
      </w:pPr>
      <w:rPr>
        <w:rFonts w:ascii="Symbol" w:hAnsi="Symbol" w:hint="default"/>
      </w:rPr>
    </w:lvl>
    <w:lvl w:ilvl="4" w:tplc="100C0003" w:tentative="1">
      <w:start w:val="1"/>
      <w:numFmt w:val="bullet"/>
      <w:lvlText w:val="o"/>
      <w:lvlJc w:val="left"/>
      <w:pPr>
        <w:ind w:left="5508" w:hanging="360"/>
      </w:pPr>
      <w:rPr>
        <w:rFonts w:ascii="Courier New" w:hAnsi="Courier New" w:cs="Courier New" w:hint="default"/>
      </w:rPr>
    </w:lvl>
    <w:lvl w:ilvl="5" w:tplc="100C0005" w:tentative="1">
      <w:start w:val="1"/>
      <w:numFmt w:val="bullet"/>
      <w:lvlText w:val=""/>
      <w:lvlJc w:val="left"/>
      <w:pPr>
        <w:ind w:left="6228" w:hanging="360"/>
      </w:pPr>
      <w:rPr>
        <w:rFonts w:ascii="Wingdings" w:hAnsi="Wingdings" w:hint="default"/>
      </w:rPr>
    </w:lvl>
    <w:lvl w:ilvl="6" w:tplc="100C0001" w:tentative="1">
      <w:start w:val="1"/>
      <w:numFmt w:val="bullet"/>
      <w:lvlText w:val=""/>
      <w:lvlJc w:val="left"/>
      <w:pPr>
        <w:ind w:left="6948" w:hanging="360"/>
      </w:pPr>
      <w:rPr>
        <w:rFonts w:ascii="Symbol" w:hAnsi="Symbol" w:hint="default"/>
      </w:rPr>
    </w:lvl>
    <w:lvl w:ilvl="7" w:tplc="100C0003" w:tentative="1">
      <w:start w:val="1"/>
      <w:numFmt w:val="bullet"/>
      <w:lvlText w:val="o"/>
      <w:lvlJc w:val="left"/>
      <w:pPr>
        <w:ind w:left="7668" w:hanging="360"/>
      </w:pPr>
      <w:rPr>
        <w:rFonts w:ascii="Courier New" w:hAnsi="Courier New" w:cs="Courier New" w:hint="default"/>
      </w:rPr>
    </w:lvl>
    <w:lvl w:ilvl="8" w:tplc="100C0005" w:tentative="1">
      <w:start w:val="1"/>
      <w:numFmt w:val="bullet"/>
      <w:lvlText w:val=""/>
      <w:lvlJc w:val="left"/>
      <w:pPr>
        <w:ind w:left="8388" w:hanging="360"/>
      </w:pPr>
      <w:rPr>
        <w:rFonts w:ascii="Wingdings" w:hAnsi="Wingdings" w:hint="default"/>
      </w:rPr>
    </w:lvl>
  </w:abstractNum>
  <w:abstractNum w:abstractNumId="14"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7CBC0B22"/>
    <w:multiLevelType w:val="hybridMultilevel"/>
    <w:tmpl w:val="CE402DC6"/>
    <w:lvl w:ilvl="0" w:tplc="9BC683C6">
      <w:start w:val="1"/>
      <w:numFmt w:val="bullet"/>
      <w:lvlText w:val="-"/>
      <w:lvlJc w:val="left"/>
      <w:pPr>
        <w:ind w:left="2628" w:hanging="360"/>
      </w:pPr>
      <w:rPr>
        <w:rFonts w:ascii="Times New Roman" w:eastAsiaTheme="minorHAnsi" w:hAnsi="Times New Roman" w:cs="Times New Roman" w:hint="default"/>
      </w:rPr>
    </w:lvl>
    <w:lvl w:ilvl="1" w:tplc="100C0003" w:tentative="1">
      <w:start w:val="1"/>
      <w:numFmt w:val="bullet"/>
      <w:lvlText w:val="o"/>
      <w:lvlJc w:val="left"/>
      <w:pPr>
        <w:ind w:left="3348" w:hanging="360"/>
      </w:pPr>
      <w:rPr>
        <w:rFonts w:ascii="Courier New" w:hAnsi="Courier New" w:cs="Courier New" w:hint="default"/>
      </w:rPr>
    </w:lvl>
    <w:lvl w:ilvl="2" w:tplc="100C0005" w:tentative="1">
      <w:start w:val="1"/>
      <w:numFmt w:val="bullet"/>
      <w:lvlText w:val=""/>
      <w:lvlJc w:val="left"/>
      <w:pPr>
        <w:ind w:left="4068" w:hanging="360"/>
      </w:pPr>
      <w:rPr>
        <w:rFonts w:ascii="Wingdings" w:hAnsi="Wingdings" w:hint="default"/>
      </w:rPr>
    </w:lvl>
    <w:lvl w:ilvl="3" w:tplc="100C0001" w:tentative="1">
      <w:start w:val="1"/>
      <w:numFmt w:val="bullet"/>
      <w:lvlText w:val=""/>
      <w:lvlJc w:val="left"/>
      <w:pPr>
        <w:ind w:left="4788" w:hanging="360"/>
      </w:pPr>
      <w:rPr>
        <w:rFonts w:ascii="Symbol" w:hAnsi="Symbol" w:hint="default"/>
      </w:rPr>
    </w:lvl>
    <w:lvl w:ilvl="4" w:tplc="100C0003" w:tentative="1">
      <w:start w:val="1"/>
      <w:numFmt w:val="bullet"/>
      <w:lvlText w:val="o"/>
      <w:lvlJc w:val="left"/>
      <w:pPr>
        <w:ind w:left="5508" w:hanging="360"/>
      </w:pPr>
      <w:rPr>
        <w:rFonts w:ascii="Courier New" w:hAnsi="Courier New" w:cs="Courier New" w:hint="default"/>
      </w:rPr>
    </w:lvl>
    <w:lvl w:ilvl="5" w:tplc="100C0005" w:tentative="1">
      <w:start w:val="1"/>
      <w:numFmt w:val="bullet"/>
      <w:lvlText w:val=""/>
      <w:lvlJc w:val="left"/>
      <w:pPr>
        <w:ind w:left="6228" w:hanging="360"/>
      </w:pPr>
      <w:rPr>
        <w:rFonts w:ascii="Wingdings" w:hAnsi="Wingdings" w:hint="default"/>
      </w:rPr>
    </w:lvl>
    <w:lvl w:ilvl="6" w:tplc="100C0001" w:tentative="1">
      <w:start w:val="1"/>
      <w:numFmt w:val="bullet"/>
      <w:lvlText w:val=""/>
      <w:lvlJc w:val="left"/>
      <w:pPr>
        <w:ind w:left="6948" w:hanging="360"/>
      </w:pPr>
      <w:rPr>
        <w:rFonts w:ascii="Symbol" w:hAnsi="Symbol" w:hint="default"/>
      </w:rPr>
    </w:lvl>
    <w:lvl w:ilvl="7" w:tplc="100C0003" w:tentative="1">
      <w:start w:val="1"/>
      <w:numFmt w:val="bullet"/>
      <w:lvlText w:val="o"/>
      <w:lvlJc w:val="left"/>
      <w:pPr>
        <w:ind w:left="7668" w:hanging="360"/>
      </w:pPr>
      <w:rPr>
        <w:rFonts w:ascii="Courier New" w:hAnsi="Courier New" w:cs="Courier New" w:hint="default"/>
      </w:rPr>
    </w:lvl>
    <w:lvl w:ilvl="8" w:tplc="100C0005" w:tentative="1">
      <w:start w:val="1"/>
      <w:numFmt w:val="bullet"/>
      <w:lvlText w:val=""/>
      <w:lvlJc w:val="left"/>
      <w:pPr>
        <w:ind w:left="8388" w:hanging="360"/>
      </w:pPr>
      <w:rPr>
        <w:rFonts w:ascii="Wingdings" w:hAnsi="Wingdings" w:hint="default"/>
      </w:rPr>
    </w:lvl>
  </w:abstractNum>
  <w:num w:numId="1" w16cid:durableId="956716814">
    <w:abstractNumId w:val="14"/>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4"/>
  </w:num>
  <w:num w:numId="15" w16cid:durableId="69542872">
    <w:abstractNumId w:val="11"/>
  </w:num>
  <w:num w:numId="16" w16cid:durableId="1390105543">
    <w:abstractNumId w:val="10"/>
  </w:num>
  <w:num w:numId="17" w16cid:durableId="1411272786">
    <w:abstractNumId w:val="10"/>
  </w:num>
  <w:num w:numId="18" w16cid:durableId="997803109">
    <w:abstractNumId w:val="13"/>
  </w:num>
  <w:num w:numId="19" w16cid:durableId="275865574">
    <w:abstractNumId w:val="15"/>
  </w:num>
  <w:num w:numId="20" w16cid:durableId="741099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39"/>
    <w:rsid w:val="00017F94"/>
    <w:rsid w:val="00023842"/>
    <w:rsid w:val="000334F9"/>
    <w:rsid w:val="00045FEB"/>
    <w:rsid w:val="0007796D"/>
    <w:rsid w:val="000B7790"/>
    <w:rsid w:val="00111F2F"/>
    <w:rsid w:val="0014365E"/>
    <w:rsid w:val="00143C66"/>
    <w:rsid w:val="00176178"/>
    <w:rsid w:val="001772E5"/>
    <w:rsid w:val="001C3A03"/>
    <w:rsid w:val="001F525A"/>
    <w:rsid w:val="00201148"/>
    <w:rsid w:val="00223272"/>
    <w:rsid w:val="0024779E"/>
    <w:rsid w:val="00257168"/>
    <w:rsid w:val="002672D9"/>
    <w:rsid w:val="002744B8"/>
    <w:rsid w:val="002832AC"/>
    <w:rsid w:val="00290502"/>
    <w:rsid w:val="002D7C93"/>
    <w:rsid w:val="002F06FF"/>
    <w:rsid w:val="00305801"/>
    <w:rsid w:val="003916DE"/>
    <w:rsid w:val="00421996"/>
    <w:rsid w:val="00441C3B"/>
    <w:rsid w:val="00446FE5"/>
    <w:rsid w:val="00452396"/>
    <w:rsid w:val="00477EB2"/>
    <w:rsid w:val="004837D8"/>
    <w:rsid w:val="004E2EED"/>
    <w:rsid w:val="004E468C"/>
    <w:rsid w:val="005505B7"/>
    <w:rsid w:val="00573BE5"/>
    <w:rsid w:val="00586ED3"/>
    <w:rsid w:val="00596AA9"/>
    <w:rsid w:val="005E349B"/>
    <w:rsid w:val="00683AB8"/>
    <w:rsid w:val="0071601D"/>
    <w:rsid w:val="007353D5"/>
    <w:rsid w:val="007A62E6"/>
    <w:rsid w:val="007F20FA"/>
    <w:rsid w:val="0080684C"/>
    <w:rsid w:val="00871C75"/>
    <w:rsid w:val="008776DC"/>
    <w:rsid w:val="008D5EF9"/>
    <w:rsid w:val="00915A1E"/>
    <w:rsid w:val="009446C0"/>
    <w:rsid w:val="009705C8"/>
    <w:rsid w:val="009C1CF4"/>
    <w:rsid w:val="009F6B74"/>
    <w:rsid w:val="00A3029F"/>
    <w:rsid w:val="00A30353"/>
    <w:rsid w:val="00AC3823"/>
    <w:rsid w:val="00AE323C"/>
    <w:rsid w:val="00AF0CB5"/>
    <w:rsid w:val="00B00181"/>
    <w:rsid w:val="00B00B0D"/>
    <w:rsid w:val="00B034E3"/>
    <w:rsid w:val="00B45F2E"/>
    <w:rsid w:val="00B765F7"/>
    <w:rsid w:val="00B77993"/>
    <w:rsid w:val="00BA0CA9"/>
    <w:rsid w:val="00C02897"/>
    <w:rsid w:val="00C97039"/>
    <w:rsid w:val="00D3439C"/>
    <w:rsid w:val="00D7622E"/>
    <w:rsid w:val="00DB1831"/>
    <w:rsid w:val="00DD0B39"/>
    <w:rsid w:val="00DD3BFD"/>
    <w:rsid w:val="00DF6678"/>
    <w:rsid w:val="00E0299A"/>
    <w:rsid w:val="00E85C74"/>
    <w:rsid w:val="00EA6547"/>
    <w:rsid w:val="00ED7237"/>
    <w:rsid w:val="00EE0DB7"/>
    <w:rsid w:val="00EF2E22"/>
    <w:rsid w:val="00F35BAF"/>
    <w:rsid w:val="00F660DF"/>
    <w:rsid w:val="00F67632"/>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6255"/>
  <w15:docId w15:val="{E001E971-5299-4991-97DD-F5A6AC3D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683AB8"/>
    <w:rPr>
      <w:rFonts w:ascii="Times New Roman" w:eastAsiaTheme="minorHAnsi" w:hAnsi="Times New Roman" w:cs="Times New Roman"/>
      <w:sz w:val="20"/>
      <w:szCs w:val="20"/>
      <w:lang w:eastAsia="en-US"/>
    </w:rPr>
  </w:style>
  <w:style w:type="character" w:customStyle="1" w:styleId="HChGChar">
    <w:name w:val="_ H _Ch_G Char"/>
    <w:link w:val="HChG"/>
    <w:qFormat/>
    <w:locked/>
    <w:rsid w:val="00683AB8"/>
    <w:rPr>
      <w:rFonts w:ascii="Times New Roman" w:eastAsiaTheme="minorHAnsi" w:hAnsi="Times New Roman" w:cs="Times New Roman"/>
      <w:b/>
      <w:sz w:val="28"/>
      <w:szCs w:val="20"/>
      <w:lang w:eastAsia="en-US"/>
    </w:rPr>
  </w:style>
  <w:style w:type="character" w:customStyle="1" w:styleId="H1GChar">
    <w:name w:val="_ H_1_G Char"/>
    <w:link w:val="H1G"/>
    <w:locked/>
    <w:rsid w:val="00683AB8"/>
    <w:rPr>
      <w:rFonts w:ascii="Times New Roman" w:eastAsiaTheme="minorHAnsi" w:hAnsi="Times New Roman" w:cs="Times New Roman"/>
      <w:b/>
      <w:sz w:val="24"/>
      <w:szCs w:val="20"/>
      <w:lang w:eastAsia="en-US"/>
    </w:rPr>
  </w:style>
  <w:style w:type="character" w:styleId="Mentionnonrsolue">
    <w:name w:val="Unresolved Mention"/>
    <w:basedOn w:val="Policepardfaut"/>
    <w:uiPriority w:val="99"/>
    <w:semiHidden/>
    <w:unhideWhenUsed/>
    <w:rsid w:val="00735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ece.org/transport/%20vehicle-regulations/wp29/resolution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6D451-3A44-402B-B837-0ECE42D80B40}">
  <ds:schemaRefs>
    <ds:schemaRef ds:uri="http://schemas.openxmlformats.org/officeDocument/2006/bibliography"/>
  </ds:schemaRefs>
</ds:datastoreItem>
</file>

<file path=customXml/itemProps2.xml><?xml version="1.0" encoding="utf-8"?>
<ds:datastoreItem xmlns:ds="http://schemas.openxmlformats.org/officeDocument/2006/customXml" ds:itemID="{FF61F248-565F-4041-B90A-BA12852783C2}"/>
</file>

<file path=customXml/itemProps3.xml><?xml version="1.0" encoding="utf-8"?>
<ds:datastoreItem xmlns:ds="http://schemas.openxmlformats.org/officeDocument/2006/customXml" ds:itemID="{B72B56D4-C147-404C-B2A4-594212EEF97D}"/>
</file>

<file path=docProps/app.xml><?xml version="1.0" encoding="utf-8"?>
<Properties xmlns="http://schemas.openxmlformats.org/officeDocument/2006/extended-properties" xmlns:vt="http://schemas.openxmlformats.org/officeDocument/2006/docPropsVTypes">
  <Template>ECE_TRANS.dotm</Template>
  <TotalTime>0</TotalTime>
  <Pages>2</Pages>
  <Words>513</Words>
  <Characters>3591</Characters>
  <Application>Microsoft Office Word</Application>
  <DocSecurity>0</DocSecurity>
  <Lines>299</Lines>
  <Paragraphs>164</Paragraphs>
  <ScaleCrop>false</ScaleCrop>
  <HeadingPairs>
    <vt:vector size="2" baseType="variant">
      <vt:variant>
        <vt:lpstr>Titre</vt:lpstr>
      </vt:variant>
      <vt:variant>
        <vt:i4>1</vt:i4>
      </vt:variant>
    </vt:vector>
  </HeadingPairs>
  <TitlesOfParts>
    <vt:vector size="1" baseType="lpstr">
      <vt:lpstr>ECE/TRANS/WP.29/2024/101</vt:lpstr>
    </vt:vector>
  </TitlesOfParts>
  <Company>DCM</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ECE/TRANS/WP.29/2024/101</dc:title>
  <dc:subject/>
  <dc:creator>Nathalie VITTOZ</dc:creator>
  <cp:keywords/>
  <cp:lastModifiedBy>Nathalie VITTOZ</cp:lastModifiedBy>
  <cp:revision>2</cp:revision>
  <cp:lastPrinted>2014-05-14T10:59:00Z</cp:lastPrinted>
  <dcterms:created xsi:type="dcterms:W3CDTF">2024-09-17T10:20:00Z</dcterms:created>
  <dcterms:modified xsi:type="dcterms:W3CDTF">2024-09-17T10:20:00Z</dcterms:modified>
</cp:coreProperties>
</file>