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22D4B78" w14:textId="77777777" w:rsidTr="00B20551">
        <w:trPr>
          <w:cantSplit/>
          <w:trHeight w:hRule="exact" w:val="851"/>
        </w:trPr>
        <w:tc>
          <w:tcPr>
            <w:tcW w:w="1276" w:type="dxa"/>
            <w:tcBorders>
              <w:bottom w:val="single" w:sz="4" w:space="0" w:color="auto"/>
            </w:tcBorders>
            <w:vAlign w:val="bottom"/>
          </w:tcPr>
          <w:p w14:paraId="0CCA2E9E" w14:textId="77777777" w:rsidR="009E6CB7" w:rsidRDefault="009E6CB7" w:rsidP="00B20551">
            <w:pPr>
              <w:spacing w:after="80"/>
            </w:pPr>
          </w:p>
        </w:tc>
        <w:tc>
          <w:tcPr>
            <w:tcW w:w="2268" w:type="dxa"/>
            <w:tcBorders>
              <w:bottom w:val="single" w:sz="4" w:space="0" w:color="auto"/>
            </w:tcBorders>
            <w:vAlign w:val="bottom"/>
          </w:tcPr>
          <w:p w14:paraId="436B191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EAF9D2A" w14:textId="7A0DD19E" w:rsidR="009E6CB7" w:rsidRPr="00D47EEA" w:rsidRDefault="009E2B3A" w:rsidP="009E2B3A">
            <w:pPr>
              <w:jc w:val="right"/>
            </w:pPr>
            <w:r w:rsidRPr="009E2B3A">
              <w:rPr>
                <w:sz w:val="40"/>
              </w:rPr>
              <w:t>ECE</w:t>
            </w:r>
            <w:r>
              <w:t>/TRANS/WP.29/2024/101</w:t>
            </w:r>
          </w:p>
        </w:tc>
      </w:tr>
      <w:tr w:rsidR="009E6CB7" w14:paraId="15F918F6" w14:textId="77777777" w:rsidTr="00B20551">
        <w:trPr>
          <w:cantSplit/>
          <w:trHeight w:hRule="exact" w:val="2835"/>
        </w:trPr>
        <w:tc>
          <w:tcPr>
            <w:tcW w:w="1276" w:type="dxa"/>
            <w:tcBorders>
              <w:top w:val="single" w:sz="4" w:space="0" w:color="auto"/>
              <w:bottom w:val="single" w:sz="12" w:space="0" w:color="auto"/>
            </w:tcBorders>
          </w:tcPr>
          <w:p w14:paraId="0EB51423" w14:textId="77777777" w:rsidR="009E6CB7" w:rsidRDefault="00686A48" w:rsidP="00B20551">
            <w:pPr>
              <w:spacing w:before="120"/>
            </w:pPr>
            <w:r>
              <w:rPr>
                <w:noProof/>
                <w:lang w:val="fr-CH" w:eastAsia="fr-CH"/>
              </w:rPr>
              <w:drawing>
                <wp:inline distT="0" distB="0" distL="0" distR="0" wp14:anchorId="66DA5823" wp14:editId="6174367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3D2388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3DF4886" w14:textId="77777777" w:rsidR="009E6CB7" w:rsidRDefault="009E2B3A" w:rsidP="009E2B3A">
            <w:pPr>
              <w:spacing w:before="240" w:line="240" w:lineRule="exact"/>
            </w:pPr>
            <w:r>
              <w:t>Distr.: General</w:t>
            </w:r>
          </w:p>
          <w:p w14:paraId="4F002DD7" w14:textId="4140B651" w:rsidR="009E2B3A" w:rsidRDefault="00933053" w:rsidP="009E2B3A">
            <w:pPr>
              <w:spacing w:line="240" w:lineRule="exact"/>
            </w:pPr>
            <w:r>
              <w:t>23 August</w:t>
            </w:r>
            <w:r w:rsidR="009E2B3A">
              <w:t xml:space="preserve"> 2024</w:t>
            </w:r>
          </w:p>
          <w:p w14:paraId="6478AE58" w14:textId="77777777" w:rsidR="009E2B3A" w:rsidRDefault="009E2B3A" w:rsidP="009E2B3A">
            <w:pPr>
              <w:spacing w:line="240" w:lineRule="exact"/>
            </w:pPr>
          </w:p>
          <w:p w14:paraId="42CEE377" w14:textId="04C56221" w:rsidR="009E2B3A" w:rsidRDefault="009E2B3A" w:rsidP="009E2B3A">
            <w:pPr>
              <w:spacing w:line="240" w:lineRule="exact"/>
            </w:pPr>
            <w:r>
              <w:t>Original: English</w:t>
            </w:r>
          </w:p>
        </w:tc>
      </w:tr>
    </w:tbl>
    <w:p w14:paraId="254E3ECE" w14:textId="77777777" w:rsidR="002301C7" w:rsidRDefault="002301C7" w:rsidP="002301C7">
      <w:pPr>
        <w:spacing w:before="120"/>
        <w:rPr>
          <w:b/>
          <w:sz w:val="28"/>
          <w:szCs w:val="28"/>
        </w:rPr>
      </w:pPr>
      <w:r>
        <w:rPr>
          <w:b/>
          <w:sz w:val="28"/>
          <w:szCs w:val="28"/>
        </w:rPr>
        <w:t>Economic Commission for Europe</w:t>
      </w:r>
    </w:p>
    <w:p w14:paraId="45CC3083" w14:textId="77777777" w:rsidR="002301C7" w:rsidRDefault="002301C7" w:rsidP="002301C7">
      <w:pPr>
        <w:spacing w:before="120"/>
        <w:rPr>
          <w:sz w:val="28"/>
          <w:szCs w:val="28"/>
        </w:rPr>
      </w:pPr>
      <w:r>
        <w:rPr>
          <w:sz w:val="28"/>
          <w:szCs w:val="28"/>
        </w:rPr>
        <w:t>Inland Transport Committee</w:t>
      </w:r>
    </w:p>
    <w:p w14:paraId="456DFCF6" w14:textId="77777777" w:rsidR="002301C7" w:rsidRDefault="002301C7" w:rsidP="002301C7">
      <w:pPr>
        <w:spacing w:before="120"/>
        <w:rPr>
          <w:b/>
          <w:sz w:val="24"/>
          <w:szCs w:val="24"/>
        </w:rPr>
      </w:pPr>
      <w:r>
        <w:rPr>
          <w:b/>
          <w:sz w:val="24"/>
          <w:szCs w:val="24"/>
        </w:rPr>
        <w:t>World Forum for Harmonization of Vehicle Regulations</w:t>
      </w:r>
    </w:p>
    <w:p w14:paraId="278E4E5F" w14:textId="77777777" w:rsidR="002301C7" w:rsidRDefault="002301C7" w:rsidP="002301C7">
      <w:pPr>
        <w:spacing w:before="120"/>
        <w:rPr>
          <w:b/>
          <w:lang w:val="en-US"/>
        </w:rPr>
      </w:pPr>
      <w:r>
        <w:rPr>
          <w:b/>
          <w:lang w:val="en-US"/>
        </w:rPr>
        <w:t>194th session</w:t>
      </w:r>
    </w:p>
    <w:p w14:paraId="196166A9" w14:textId="77777777" w:rsidR="002301C7" w:rsidRDefault="002301C7" w:rsidP="002301C7">
      <w:pPr>
        <w:tabs>
          <w:tab w:val="left" w:pos="5560"/>
        </w:tabs>
      </w:pPr>
      <w:r>
        <w:t>Geneva, 12–15 November 2024</w:t>
      </w:r>
      <w:r>
        <w:tab/>
      </w:r>
    </w:p>
    <w:p w14:paraId="48AC1432" w14:textId="7D76C8C7" w:rsidR="002301C7" w:rsidRDefault="002301C7" w:rsidP="002301C7">
      <w:r>
        <w:t>Item 4.7.5 of the provisional agenda</w:t>
      </w:r>
    </w:p>
    <w:p w14:paraId="0C8FA1DA" w14:textId="77777777" w:rsidR="002301C7" w:rsidRDefault="002301C7" w:rsidP="002301C7">
      <w:pPr>
        <w:rPr>
          <w:b/>
        </w:rPr>
      </w:pPr>
      <w:r>
        <w:rPr>
          <w:b/>
        </w:rPr>
        <w:t>1958 Agreement:</w:t>
      </w:r>
    </w:p>
    <w:p w14:paraId="7D40D9F2" w14:textId="77777777" w:rsidR="002301C7" w:rsidRDefault="002301C7" w:rsidP="002301C7">
      <w:pPr>
        <w:rPr>
          <w:b/>
        </w:rPr>
      </w:pPr>
      <w:r>
        <w:rPr>
          <w:b/>
        </w:rPr>
        <w:t>Consideration of draft amendments to existing</w:t>
      </w:r>
    </w:p>
    <w:p w14:paraId="3BF60A22" w14:textId="77777777" w:rsidR="002301C7" w:rsidRDefault="002301C7" w:rsidP="002301C7">
      <w:pPr>
        <w:rPr>
          <w:b/>
          <w:bCs/>
        </w:rPr>
      </w:pPr>
      <w:r>
        <w:rPr>
          <w:b/>
        </w:rPr>
        <w:t xml:space="preserve">UN Regulations submitted by </w:t>
      </w:r>
      <w:proofErr w:type="gramStart"/>
      <w:r>
        <w:rPr>
          <w:b/>
        </w:rPr>
        <w:t>GRSG</w:t>
      </w:r>
      <w:proofErr w:type="gramEnd"/>
    </w:p>
    <w:p w14:paraId="68EF7F82" w14:textId="4DA55C58" w:rsidR="002301C7" w:rsidRDefault="002301C7" w:rsidP="002301C7">
      <w:pPr>
        <w:pStyle w:val="HChG"/>
        <w:ind w:left="1124" w:right="1138" w:firstLine="0"/>
      </w:pPr>
      <w:r>
        <w:rPr>
          <w:lang w:eastAsia="en-GB"/>
        </w:rPr>
        <w:t>Proposal for Supplement 1 to the 0</w:t>
      </w:r>
      <w:r w:rsidR="004A3B37">
        <w:rPr>
          <w:lang w:eastAsia="en-GB"/>
        </w:rPr>
        <w:t>6</w:t>
      </w:r>
      <w:r>
        <w:rPr>
          <w:lang w:eastAsia="en-GB"/>
        </w:rPr>
        <w:t xml:space="preserve"> Series of </w:t>
      </w:r>
      <w:r w:rsidR="00CF044B">
        <w:rPr>
          <w:lang w:eastAsia="en-GB"/>
        </w:rPr>
        <w:t>A</w:t>
      </w:r>
      <w:r>
        <w:rPr>
          <w:lang w:eastAsia="en-GB"/>
        </w:rPr>
        <w:t>mendments to UN Regulation No. 4</w:t>
      </w:r>
      <w:r w:rsidR="004A3B37">
        <w:rPr>
          <w:lang w:eastAsia="en-GB"/>
        </w:rPr>
        <w:t>6</w:t>
      </w:r>
      <w:r>
        <w:rPr>
          <w:lang w:eastAsia="en-GB"/>
        </w:rPr>
        <w:t xml:space="preserve"> (</w:t>
      </w:r>
      <w:r w:rsidR="00746ADA">
        <w:rPr>
          <w:lang w:eastAsia="en-GB"/>
        </w:rPr>
        <w:t>Devices for indirect vision</w:t>
      </w:r>
      <w:r>
        <w:rPr>
          <w:lang w:eastAsia="en-GB"/>
        </w:rPr>
        <w:t>)</w:t>
      </w:r>
      <w:r>
        <w:t xml:space="preserve"> </w:t>
      </w:r>
    </w:p>
    <w:p w14:paraId="46FB912B" w14:textId="77777777" w:rsidR="002301C7" w:rsidRDefault="002301C7" w:rsidP="002301C7">
      <w:pPr>
        <w:pStyle w:val="H1G"/>
        <w:rPr>
          <w:szCs w:val="24"/>
        </w:rPr>
      </w:pPr>
      <w:r>
        <w:tab/>
      </w:r>
      <w:r>
        <w:tab/>
      </w:r>
      <w:r>
        <w:rPr>
          <w:szCs w:val="24"/>
        </w:rPr>
        <w:t>Submitted by the Working Party on General Safety Provisions</w:t>
      </w:r>
      <w:r>
        <w:footnoteReference w:customMarkFollows="1" w:id="2"/>
        <w:t>*</w:t>
      </w:r>
    </w:p>
    <w:p w14:paraId="3BFCEA86" w14:textId="2A882432" w:rsidR="002301C7" w:rsidRDefault="002301C7" w:rsidP="002301C7">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w:t>
      </w:r>
      <w:r w:rsidR="001D5C87">
        <w:rPr>
          <w:lang w:val="en-US"/>
        </w:rPr>
        <w:t>s</w:t>
      </w:r>
      <w:r>
        <w:rPr>
          <w:lang w:val="en-US"/>
        </w:rPr>
        <w:t>. 1</w:t>
      </w:r>
      <w:r w:rsidR="00746ADA">
        <w:rPr>
          <w:lang w:val="en-US"/>
        </w:rPr>
        <w:t>1 and</w:t>
      </w:r>
      <w:r w:rsidR="001D5C87">
        <w:rPr>
          <w:lang w:val="en-US"/>
        </w:rPr>
        <w:t xml:space="preserve"> </w:t>
      </w:r>
      <w:r w:rsidR="00746ADA">
        <w:rPr>
          <w:lang w:val="en-US"/>
        </w:rPr>
        <w:t>12</w:t>
      </w:r>
      <w:r>
        <w:rPr>
          <w:lang w:val="en-US"/>
        </w:rPr>
        <w:t>).</w:t>
      </w:r>
      <w:r>
        <w:rPr>
          <w:lang w:val="en-US" w:eastAsia="en-GB"/>
        </w:rPr>
        <w:t xml:space="preserve"> </w:t>
      </w:r>
      <w:r>
        <w:rPr>
          <w:lang w:eastAsia="en-GB"/>
        </w:rPr>
        <w:t>It is based on GRSG</w:t>
      </w:r>
      <w:r w:rsidR="001D5C87">
        <w:rPr>
          <w:lang w:eastAsia="en-GB"/>
        </w:rPr>
        <w:t>-</w:t>
      </w:r>
      <w:r w:rsidR="00DA24F9">
        <w:rPr>
          <w:lang w:eastAsia="en-GB"/>
        </w:rPr>
        <w:t>127-04-Rev.2</w:t>
      </w:r>
      <w:r>
        <w:t xml:space="preserve">, as </w:t>
      </w:r>
      <w:r w:rsidR="00DA24F9">
        <w:t>reproduced</w:t>
      </w:r>
      <w:r>
        <w:t xml:space="preserve"> by </w:t>
      </w:r>
      <w:r w:rsidR="00DA24F9">
        <w:t>annex II</w:t>
      </w:r>
      <w:r>
        <w:t xml:space="preserve"> to the report </w:t>
      </w:r>
      <w:r>
        <w:rPr>
          <w:lang w:eastAsia="en-GB"/>
        </w:rPr>
        <w:t>a</w:t>
      </w:r>
      <w:r w:rsidR="00FC7D51">
        <w:rPr>
          <w:lang w:eastAsia="en-GB"/>
        </w:rPr>
        <w:t xml:space="preserve">nd on </w:t>
      </w:r>
      <w:r w:rsidR="00FC7D51">
        <w:rPr>
          <w:lang w:val="en-US"/>
        </w:rPr>
        <w:t>ECE/TRANS/WP.29/GRSG/2024/</w:t>
      </w:r>
      <w:r w:rsidR="00754861">
        <w:rPr>
          <w:lang w:val="en-US"/>
        </w:rPr>
        <w:t>21 as amended by para. 12 to the report</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70BDF097" w14:textId="77777777" w:rsidR="002301C7" w:rsidRDefault="002301C7" w:rsidP="002301C7">
      <w:pPr>
        <w:pStyle w:val="SingleTxtG"/>
        <w:rPr>
          <w:sz w:val="24"/>
          <w:szCs w:val="24"/>
          <w:lang w:eastAsia="zh-CN"/>
        </w:rPr>
      </w:pPr>
      <w:r>
        <w:rPr>
          <w:sz w:val="24"/>
          <w:szCs w:val="24"/>
          <w:lang w:eastAsia="zh-CN"/>
        </w:rPr>
        <w:br w:type="page"/>
      </w:r>
    </w:p>
    <w:p w14:paraId="2063A21F" w14:textId="0EC51413" w:rsidR="008E48BD" w:rsidRPr="008E48BD" w:rsidRDefault="008E48BD" w:rsidP="008E48BD">
      <w:pPr>
        <w:pStyle w:val="Para"/>
        <w:spacing w:after="0"/>
        <w:jc w:val="left"/>
        <w:rPr>
          <w:bCs/>
        </w:rPr>
      </w:pPr>
      <w:r w:rsidRPr="008E48BD">
        <w:rPr>
          <w:bCs/>
          <w:i/>
          <w:iCs/>
        </w:rPr>
        <w:lastRenderedPageBreak/>
        <w:t xml:space="preserve">Paragraph 8.1., </w:t>
      </w:r>
      <w:r w:rsidRPr="008E48BD">
        <w:rPr>
          <w:bCs/>
        </w:rPr>
        <w:t>amend to read:</w:t>
      </w:r>
    </w:p>
    <w:p w14:paraId="294F464C" w14:textId="21972B4C" w:rsidR="008E48BD" w:rsidRPr="008E48BD" w:rsidRDefault="008E48BD" w:rsidP="008E48BD">
      <w:pPr>
        <w:keepNext/>
        <w:keepLines/>
        <w:spacing w:before="120" w:after="120"/>
        <w:ind w:left="2276" w:right="1138" w:hanging="1138"/>
        <w:jc w:val="both"/>
        <w:rPr>
          <w:bCs/>
        </w:rPr>
      </w:pPr>
      <w:r w:rsidRPr="008E48BD">
        <w:rPr>
          <w:bCs/>
        </w:rPr>
        <w:t xml:space="preserve">"8.1. </w:t>
      </w:r>
      <w:r w:rsidRPr="008E48BD">
        <w:rPr>
          <w:bCs/>
        </w:rPr>
        <w:tab/>
        <w:t>The procedures for the conformity of production shall conform to the general provisions defined in Article 2 and Schedule 1 to the 1958 Agreement (E/ECE/TRANS/505/Rev.3) and meet the following requirements:"</w:t>
      </w:r>
    </w:p>
    <w:p w14:paraId="6D0FA987" w14:textId="77777777" w:rsidR="00655640" w:rsidRPr="005A3B22" w:rsidRDefault="00655640" w:rsidP="00655640">
      <w:pPr>
        <w:spacing w:before="120" w:after="120"/>
        <w:ind w:left="1134" w:right="1134"/>
        <w:jc w:val="both"/>
        <w:rPr>
          <w:i/>
          <w:iCs/>
        </w:rPr>
      </w:pPr>
      <w:r w:rsidRPr="005A3B22">
        <w:rPr>
          <w:i/>
          <w:iCs/>
        </w:rPr>
        <w:t xml:space="preserve">Paragraph 16.1.1., </w:t>
      </w:r>
      <w:r>
        <w:rPr>
          <w:i/>
          <w:iCs/>
        </w:rPr>
        <w:t xml:space="preserve">amend </w:t>
      </w:r>
      <w:r w:rsidRPr="005A3B22">
        <w:rPr>
          <w:i/>
          <w:iCs/>
        </w:rPr>
        <w:t>to read:</w:t>
      </w:r>
    </w:p>
    <w:p w14:paraId="0CE78952" w14:textId="4DAE2162" w:rsidR="00655640" w:rsidRPr="005A3B22" w:rsidRDefault="00655640" w:rsidP="00655640">
      <w:pPr>
        <w:spacing w:after="120"/>
        <w:ind w:left="2259" w:right="1134" w:hanging="1113"/>
        <w:jc w:val="both"/>
        <w:rPr>
          <w:iCs/>
        </w:rPr>
      </w:pPr>
      <w:r>
        <w:rPr>
          <w:iCs/>
        </w:rPr>
        <w:t>"</w:t>
      </w:r>
      <w:r w:rsidRPr="005A3B22">
        <w:rPr>
          <w:iCs/>
        </w:rPr>
        <w:t>16.1.1.</w:t>
      </w:r>
      <w:r w:rsidRPr="005A3B22">
        <w:rPr>
          <w:iCs/>
        </w:rPr>
        <w:tab/>
      </w:r>
      <w:r w:rsidRPr="005A3B22">
        <w:rPr>
          <w:iCs/>
        </w:rPr>
        <w:tab/>
        <w:t xml:space="preserve">Intended use, </w:t>
      </w:r>
      <w:proofErr w:type="gramStart"/>
      <w:r w:rsidRPr="005A3B22">
        <w:rPr>
          <w:iCs/>
        </w:rPr>
        <w:t>activation</w:t>
      </w:r>
      <w:proofErr w:type="gramEnd"/>
      <w:r w:rsidRPr="005A3B22">
        <w:rPr>
          <w:iCs/>
        </w:rPr>
        <w:t xml:space="preserve"> and deactivation</w:t>
      </w:r>
      <w:r>
        <w:rPr>
          <w:iCs/>
        </w:rPr>
        <w:t>.</w:t>
      </w:r>
    </w:p>
    <w:p w14:paraId="298BCA35" w14:textId="35E84A75" w:rsidR="00655640" w:rsidRDefault="00655640" w:rsidP="00655640">
      <w:pPr>
        <w:spacing w:after="120"/>
        <w:ind w:left="2259" w:right="1134"/>
        <w:jc w:val="both"/>
        <w:rPr>
          <w:iCs/>
        </w:rPr>
      </w:pPr>
      <w:r w:rsidRPr="005A3B22">
        <w:rPr>
          <w:iCs/>
        </w:rPr>
        <w:t xml:space="preserve">The intended use shall be mentioned within the operator's </w:t>
      </w:r>
      <w:r w:rsidRPr="00655640">
        <w:rPr>
          <w:iCs/>
        </w:rPr>
        <w:t>manual."</w:t>
      </w:r>
    </w:p>
    <w:p w14:paraId="72D92EAA" w14:textId="77777777" w:rsidR="00655640" w:rsidRPr="00655640" w:rsidRDefault="00655640" w:rsidP="00655640">
      <w:pPr>
        <w:spacing w:before="120" w:after="120"/>
        <w:ind w:left="1134" w:right="1134"/>
        <w:jc w:val="both"/>
        <w:rPr>
          <w:i/>
          <w:iCs/>
        </w:rPr>
      </w:pPr>
      <w:r w:rsidRPr="00655640">
        <w:rPr>
          <w:i/>
          <w:iCs/>
        </w:rPr>
        <w:t>Insert new Paragraphs 16.1.1.4. to 16.1.1.4.1., to read:</w:t>
      </w:r>
    </w:p>
    <w:p w14:paraId="10E020AE" w14:textId="7C807A7F" w:rsidR="00655640" w:rsidRPr="00655640" w:rsidRDefault="00655640" w:rsidP="00655640">
      <w:pPr>
        <w:pStyle w:val="Default"/>
        <w:spacing w:after="120"/>
        <w:ind w:left="2268" w:right="1133" w:hanging="1134"/>
        <w:jc w:val="both"/>
        <w:rPr>
          <w:iCs/>
          <w:noProof/>
          <w:color w:val="auto"/>
          <w:sz w:val="20"/>
          <w:szCs w:val="20"/>
        </w:rPr>
      </w:pPr>
      <w:r>
        <w:rPr>
          <w:iCs/>
          <w:noProof/>
          <w:color w:val="auto"/>
          <w:sz w:val="20"/>
          <w:szCs w:val="20"/>
        </w:rPr>
        <w:t>"</w:t>
      </w:r>
      <w:r w:rsidRPr="00655640">
        <w:rPr>
          <w:iCs/>
          <w:noProof/>
          <w:color w:val="auto"/>
          <w:sz w:val="20"/>
          <w:szCs w:val="20"/>
        </w:rPr>
        <w:t>16.1.1.4.</w:t>
      </w:r>
      <w:r w:rsidRPr="00655640">
        <w:rPr>
          <w:iCs/>
          <w:noProof/>
          <w:color w:val="auto"/>
          <w:sz w:val="20"/>
          <w:szCs w:val="20"/>
        </w:rPr>
        <w:tab/>
        <w:t xml:space="preserve">The procedure for activation and deactivation of the CMS of Classes II and III shall allow a safe use of the vehicle. </w:t>
      </w:r>
    </w:p>
    <w:p w14:paraId="01525C80" w14:textId="77777777" w:rsidR="00655640" w:rsidRPr="00655640" w:rsidRDefault="00655640" w:rsidP="00655640">
      <w:pPr>
        <w:pStyle w:val="Default"/>
        <w:spacing w:after="120"/>
        <w:ind w:left="2268" w:right="1133"/>
        <w:jc w:val="both"/>
        <w:rPr>
          <w:iCs/>
          <w:noProof/>
          <w:color w:val="auto"/>
          <w:sz w:val="20"/>
          <w:szCs w:val="20"/>
        </w:rPr>
      </w:pPr>
      <w:r w:rsidRPr="00655640">
        <w:rPr>
          <w:iCs/>
          <w:noProof/>
          <w:color w:val="auto"/>
          <w:sz w:val="20"/>
          <w:szCs w:val="20"/>
        </w:rPr>
        <w:t xml:space="preserve">The CMS shall be activated when the vehicle is opened (e.g. unlocking of the doors, opening of a front door or any other means by the choice of the manufacturer). </w:t>
      </w:r>
    </w:p>
    <w:p w14:paraId="4FB35132" w14:textId="77777777" w:rsidR="00655640" w:rsidRPr="00655640" w:rsidRDefault="00655640" w:rsidP="00655640">
      <w:pPr>
        <w:pStyle w:val="Default"/>
        <w:spacing w:after="120"/>
        <w:ind w:left="2268" w:right="1133"/>
        <w:jc w:val="both"/>
        <w:rPr>
          <w:iCs/>
          <w:noProof/>
          <w:color w:val="auto"/>
          <w:sz w:val="20"/>
          <w:szCs w:val="20"/>
        </w:rPr>
      </w:pPr>
      <w:r w:rsidRPr="00655640">
        <w:rPr>
          <w:iCs/>
          <w:noProof/>
          <w:color w:val="auto"/>
          <w:sz w:val="20"/>
          <w:szCs w:val="20"/>
        </w:rPr>
        <w:t xml:space="preserve">In addition to the requirements mentioned in paragraph 15.2.1.1.2., after each engine switch-off the system shall remain operational for a period of at least T1 = 120 s. After T1 period and for a period of at least T2 = (420-T1) seconds the system shall be able to be reactivated such that the required field of vision is made available within 1 second by manoeuvring any front door opening automatically and, if available, manually by the driver. After T2 period the system shall be able to be reactivated within 7 seconds (e.g. by initiating any front door opening process). </w:t>
      </w:r>
    </w:p>
    <w:p w14:paraId="2D3EDBEF" w14:textId="55970788" w:rsidR="00655640" w:rsidRPr="00655640" w:rsidRDefault="00655640" w:rsidP="00655640">
      <w:pPr>
        <w:spacing w:after="120"/>
        <w:ind w:left="2268" w:right="1133"/>
        <w:jc w:val="both"/>
        <w:rPr>
          <w:iCs/>
          <w:noProof/>
        </w:rPr>
      </w:pPr>
      <w:r w:rsidRPr="00655640">
        <w:rPr>
          <w:iCs/>
          <w:noProof/>
        </w:rPr>
        <w:t>Notwithstanding the provisions above, any other concept providing at least the same level of safety shall be demonstrated to the Technical Service and to the Approval Authority within the safety concept that is provided according to the provisions in Annex 12, paragraph 2.</w:t>
      </w:r>
      <w:r>
        <w:rPr>
          <w:iCs/>
          <w:noProof/>
        </w:rPr>
        <w:t>"</w:t>
      </w:r>
    </w:p>
    <w:p w14:paraId="5F882CED" w14:textId="507C5E23" w:rsidR="00655640" w:rsidRPr="00655640" w:rsidRDefault="00655640" w:rsidP="00655640">
      <w:pPr>
        <w:pStyle w:val="Default"/>
        <w:spacing w:after="120"/>
        <w:ind w:left="2268" w:right="1133" w:hanging="1134"/>
        <w:jc w:val="both"/>
        <w:rPr>
          <w:iCs/>
          <w:noProof/>
        </w:rPr>
      </w:pPr>
      <w:bookmarkStart w:id="0" w:name="_Hlk164248568"/>
      <w:r>
        <w:rPr>
          <w:rFonts w:eastAsia="Times New Roman"/>
          <w:iCs/>
          <w:noProof/>
          <w:color w:val="auto"/>
          <w:sz w:val="20"/>
          <w:szCs w:val="20"/>
          <w:lang w:eastAsia="nl-NL"/>
        </w:rPr>
        <w:t>"</w:t>
      </w:r>
      <w:r w:rsidRPr="00655640">
        <w:rPr>
          <w:rFonts w:eastAsia="Times New Roman"/>
          <w:iCs/>
          <w:noProof/>
          <w:color w:val="auto"/>
          <w:sz w:val="20"/>
          <w:szCs w:val="20"/>
          <w:lang w:eastAsia="nl-NL"/>
        </w:rPr>
        <w:t>16.1.1.4.1.</w:t>
      </w:r>
      <w:r>
        <w:rPr>
          <w:rFonts w:eastAsia="Times New Roman"/>
          <w:iCs/>
          <w:noProof/>
          <w:color w:val="auto"/>
          <w:sz w:val="20"/>
          <w:szCs w:val="20"/>
          <w:lang w:eastAsia="nl-NL"/>
        </w:rPr>
        <w:tab/>
      </w:r>
      <w:r w:rsidRPr="00655640">
        <w:rPr>
          <w:rFonts w:eastAsia="Times New Roman"/>
          <w:iCs/>
          <w:noProof/>
          <w:color w:val="auto"/>
          <w:sz w:val="20"/>
          <w:szCs w:val="20"/>
          <w:lang w:eastAsia="nl-NL"/>
        </w:rPr>
        <w:t xml:space="preserve">The provisions of paragraph 16.1.1.4. do not apply to vehicles, if: </w:t>
      </w:r>
    </w:p>
    <w:p w14:paraId="0630566B" w14:textId="01405122" w:rsidR="00655640" w:rsidRPr="00655640" w:rsidRDefault="00655640" w:rsidP="00655640">
      <w:pPr>
        <w:pStyle w:val="Default"/>
        <w:spacing w:after="120"/>
        <w:ind w:left="2268" w:right="1133"/>
        <w:jc w:val="both"/>
        <w:rPr>
          <w:iCs/>
          <w:noProof/>
        </w:rPr>
      </w:pPr>
      <w:r w:rsidRPr="00655640">
        <w:rPr>
          <w:rFonts w:eastAsia="Times New Roman"/>
          <w:iCs/>
          <w:noProof/>
          <w:color w:val="auto"/>
          <w:sz w:val="20"/>
          <w:szCs w:val="20"/>
          <w:lang w:eastAsia="nl-NL"/>
        </w:rPr>
        <w:t xml:space="preserve">- they are equipped with a feature specifically to enable the de-energization of the electrical circuits according to the </w:t>
      </w:r>
      <w:r>
        <w:rPr>
          <w:rFonts w:eastAsia="Times New Roman"/>
          <w:iCs/>
          <w:noProof/>
          <w:color w:val="auto"/>
          <w:sz w:val="20"/>
          <w:szCs w:val="20"/>
          <w:lang w:eastAsia="nl-NL"/>
        </w:rPr>
        <w:t>"</w:t>
      </w:r>
      <w:r w:rsidRPr="00655640">
        <w:rPr>
          <w:rFonts w:eastAsia="Times New Roman"/>
          <w:iCs/>
          <w:noProof/>
          <w:color w:val="auto"/>
          <w:sz w:val="20"/>
          <w:szCs w:val="20"/>
          <w:lang w:eastAsia="nl-NL"/>
        </w:rPr>
        <w:t>Agreement concerning the International Carriage of Dangerous Goods by Road (ADR)</w:t>
      </w:r>
      <w:r>
        <w:rPr>
          <w:rFonts w:eastAsia="Times New Roman"/>
          <w:iCs/>
          <w:noProof/>
          <w:color w:val="auto"/>
          <w:sz w:val="20"/>
          <w:szCs w:val="20"/>
          <w:lang w:eastAsia="nl-NL"/>
        </w:rPr>
        <w:t>"</w:t>
      </w:r>
      <w:r w:rsidRPr="00655640">
        <w:rPr>
          <w:iCs/>
          <w:noProof/>
          <w:color w:val="auto"/>
          <w:sz w:val="20"/>
          <w:szCs w:val="20"/>
        </w:rPr>
        <w:t>;</w:t>
      </w:r>
      <w:r w:rsidRPr="00655640">
        <w:rPr>
          <w:rFonts w:eastAsia="Times New Roman"/>
          <w:iCs/>
          <w:noProof/>
          <w:color w:val="auto"/>
          <w:sz w:val="20"/>
          <w:szCs w:val="20"/>
          <w:lang w:eastAsia="nl-NL"/>
        </w:rPr>
        <w:t xml:space="preserve"> </w:t>
      </w:r>
    </w:p>
    <w:p w14:paraId="077003F1" w14:textId="77777777" w:rsidR="00655640" w:rsidRPr="00655640" w:rsidRDefault="00655640" w:rsidP="00655640">
      <w:pPr>
        <w:pStyle w:val="Default"/>
        <w:spacing w:after="120"/>
        <w:ind w:left="2268" w:right="1133"/>
        <w:jc w:val="both"/>
        <w:rPr>
          <w:iCs/>
          <w:noProof/>
        </w:rPr>
      </w:pPr>
      <w:r w:rsidRPr="00655640">
        <w:rPr>
          <w:rFonts w:eastAsia="Times New Roman"/>
          <w:iCs/>
          <w:noProof/>
          <w:color w:val="auto"/>
          <w:sz w:val="20"/>
          <w:szCs w:val="20"/>
          <w:lang w:eastAsia="nl-NL"/>
        </w:rPr>
        <w:t xml:space="preserve">- they have a control device for the feature to enable the de-energization of the electrical circuits, installed outside of the cabin; and </w:t>
      </w:r>
    </w:p>
    <w:p w14:paraId="6F53E973" w14:textId="470EEC46" w:rsidR="00655640" w:rsidRPr="00655640" w:rsidRDefault="00655640" w:rsidP="00655640">
      <w:pPr>
        <w:pStyle w:val="Default"/>
        <w:spacing w:after="120"/>
        <w:ind w:left="2268" w:right="1133"/>
        <w:jc w:val="both"/>
        <w:rPr>
          <w:iCs/>
          <w:noProof/>
        </w:rPr>
      </w:pPr>
      <w:r w:rsidRPr="00655640">
        <w:rPr>
          <w:noProof/>
          <w:lang w:val="de-DE" w:eastAsia="de-DE"/>
        </w:rPr>
        <mc:AlternateContent>
          <mc:Choice Requires="wps">
            <w:drawing>
              <wp:anchor distT="0" distB="0" distL="114300" distR="114300" simplePos="0" relativeHeight="251659264" behindDoc="0" locked="0" layoutInCell="1" allowOverlap="1" wp14:anchorId="012FC3C3" wp14:editId="2075C15F">
                <wp:simplePos x="0" y="0"/>
                <wp:positionH relativeFrom="column">
                  <wp:posOffset>5921375</wp:posOffset>
                </wp:positionH>
                <wp:positionV relativeFrom="paragraph">
                  <wp:posOffset>182245</wp:posOffset>
                </wp:positionV>
                <wp:extent cx="141670" cy="293390"/>
                <wp:effectExtent l="0" t="0" r="10795" b="11430"/>
                <wp:wrapNone/>
                <wp:docPr id="18" name="Rectangle 18"/>
                <wp:cNvGraphicFramePr/>
                <a:graphic xmlns:a="http://schemas.openxmlformats.org/drawingml/2006/main">
                  <a:graphicData uri="http://schemas.microsoft.com/office/word/2010/wordprocessingShape">
                    <wps:wsp>
                      <wps:cNvSpPr/>
                      <wps:spPr>
                        <a:xfrm>
                          <a:off x="0" y="0"/>
                          <a:ext cx="141670" cy="2933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9C24" id="Rectangle 18" o:spid="_x0000_s1026" style="position:absolute;margin-left:466.25pt;margin-top:14.35pt;width:11.1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" fillcolor="window" strokecolor="window" strokeweight="2pt"/>
            </w:pict>
          </mc:Fallback>
        </mc:AlternateContent>
      </w:r>
      <w:r w:rsidRPr="00655640">
        <w:rPr>
          <w:rFonts w:eastAsia="Times New Roman"/>
          <w:iCs/>
          <w:noProof/>
          <w:color w:val="auto"/>
          <w:sz w:val="20"/>
          <w:szCs w:val="20"/>
          <w:lang w:eastAsia="nl-NL"/>
        </w:rPr>
        <w:t>- the feature to enable the de-energization of the electrical circuits is activated via the control device outside of the cabin.</w:t>
      </w:r>
      <w:bookmarkEnd w:id="0"/>
      <w:r>
        <w:rPr>
          <w:rFonts w:eastAsia="Times New Roman"/>
          <w:iCs/>
          <w:noProof/>
          <w:color w:val="auto"/>
          <w:sz w:val="20"/>
          <w:szCs w:val="20"/>
          <w:lang w:eastAsia="nl-NL"/>
        </w:rPr>
        <w:t>"</w:t>
      </w:r>
    </w:p>
    <w:p w14:paraId="2586879C" w14:textId="5305B3CA" w:rsidR="00AB49EE" w:rsidRPr="00C10F88" w:rsidRDefault="00AB49EE" w:rsidP="00AB49EE">
      <w:pPr>
        <w:pStyle w:val="Para"/>
        <w:spacing w:after="0"/>
        <w:jc w:val="left"/>
        <w:rPr>
          <w:bCs/>
        </w:rPr>
      </w:pPr>
      <w:r w:rsidRPr="00C10F88">
        <w:rPr>
          <w:bCs/>
          <w:i/>
          <w:iCs/>
        </w:rPr>
        <w:t xml:space="preserve">Paragraph 18.1., </w:t>
      </w:r>
      <w:r w:rsidRPr="00C10F88">
        <w:rPr>
          <w:bCs/>
        </w:rPr>
        <w:t>amend to read:</w:t>
      </w:r>
    </w:p>
    <w:p w14:paraId="350D44D6" w14:textId="3FD3615A" w:rsidR="00AB49EE" w:rsidRPr="00C10F88" w:rsidRDefault="00AB49EE" w:rsidP="00AB49EE">
      <w:pPr>
        <w:keepNext/>
        <w:keepLines/>
        <w:spacing w:before="120" w:after="120"/>
        <w:ind w:left="2276" w:right="1138" w:hanging="1138"/>
        <w:jc w:val="both"/>
        <w:rPr>
          <w:b/>
        </w:rPr>
      </w:pPr>
      <w:r w:rsidRPr="00C10F88">
        <w:rPr>
          <w:bCs/>
        </w:rPr>
        <w:t>"</w:t>
      </w:r>
      <w:r w:rsidRPr="00C10F88">
        <w:t>18.1.</w:t>
      </w:r>
      <w:r w:rsidRPr="00C10F88">
        <w:tab/>
      </w:r>
      <w:r w:rsidRPr="00AB49EE">
        <w:rPr>
          <w:bCs/>
        </w:rPr>
        <w:t>The procedures for the conformity of production shall conform to the general provisions defined in Article 2 and Schedule 1 to the 1958 Agreement (E/ECE/TRANS/505/Rev.3) and meet the following requirements:</w:t>
      </w:r>
      <w:r w:rsidRPr="00C10F88">
        <w:rPr>
          <w:bCs/>
        </w:rPr>
        <w:t>"</w:t>
      </w:r>
    </w:p>
    <w:p w14:paraId="0412907C" w14:textId="77777777" w:rsidR="00527A81" w:rsidRPr="00C10F88" w:rsidRDefault="00527A81" w:rsidP="00527A81">
      <w:pPr>
        <w:pStyle w:val="Para"/>
        <w:spacing w:before="120"/>
        <w:ind w:left="2276" w:right="1138" w:hanging="1138"/>
        <w:jc w:val="left"/>
        <w:rPr>
          <w:bCs/>
        </w:rPr>
      </w:pPr>
      <w:r w:rsidRPr="00C10F88">
        <w:rPr>
          <w:bCs/>
          <w:i/>
          <w:iCs/>
        </w:rPr>
        <w:t xml:space="preserve">Annex 8, footnote </w:t>
      </w:r>
      <w:r w:rsidRPr="00527A81">
        <w:rPr>
          <w:bCs/>
          <w:i/>
          <w:iCs/>
          <w:vertAlign w:val="superscript"/>
        </w:rPr>
        <w:t>1</w:t>
      </w:r>
      <w:r w:rsidRPr="00C10F88">
        <w:rPr>
          <w:bCs/>
          <w:i/>
          <w:iCs/>
        </w:rPr>
        <w:t xml:space="preserve">, </w:t>
      </w:r>
      <w:r w:rsidRPr="00C10F88">
        <w:rPr>
          <w:bCs/>
        </w:rPr>
        <w:t>amend to read:</w:t>
      </w:r>
    </w:p>
    <w:p w14:paraId="573D8EA2" w14:textId="2E494E40" w:rsidR="00527A81" w:rsidRPr="00C10F88" w:rsidRDefault="00527A81" w:rsidP="00527A81">
      <w:pPr>
        <w:pStyle w:val="Para"/>
        <w:spacing w:before="120"/>
        <w:ind w:left="2276" w:right="1138" w:hanging="1138"/>
        <w:jc w:val="left"/>
        <w:rPr>
          <w:b/>
          <w:sz w:val="18"/>
          <w:szCs w:val="18"/>
        </w:rPr>
      </w:pPr>
      <w:r w:rsidRPr="00C10F88">
        <w:rPr>
          <w:bCs/>
          <w:sz w:val="18"/>
          <w:szCs w:val="18"/>
        </w:rPr>
        <w:t xml:space="preserve"> "</w:t>
      </w:r>
      <w:r w:rsidRPr="00C10F88">
        <w:rPr>
          <w:bCs/>
          <w:sz w:val="18"/>
          <w:szCs w:val="18"/>
          <w:vertAlign w:val="superscript"/>
        </w:rPr>
        <w:t>1</w:t>
      </w:r>
      <w:r w:rsidRPr="00C10F88">
        <w:rPr>
          <w:bCs/>
          <w:sz w:val="18"/>
          <w:szCs w:val="18"/>
        </w:rPr>
        <w:tab/>
      </w:r>
      <w:r w:rsidRPr="00C10F88">
        <w:rPr>
          <w:sz w:val="18"/>
          <w:szCs w:val="18"/>
        </w:rPr>
        <w:t xml:space="preserve">The procedure is described in </w:t>
      </w:r>
      <w:bookmarkStart w:id="1" w:name="_Hlk156421770"/>
      <w:r w:rsidRPr="00527A81">
        <w:rPr>
          <w:bCs/>
          <w:sz w:val="18"/>
          <w:szCs w:val="18"/>
        </w:rPr>
        <w:t xml:space="preserve">Addendum 6 of Mutual Resolution No. 1 (M.R.1) (document ECE/TRANS/WP.29/1101/Amend.5); see </w:t>
      </w:r>
      <w:hyperlink r:id="rId12" w:history="1">
        <w:r w:rsidRPr="00C10F88">
          <w:rPr>
            <w:rStyle w:val="Hyperlink"/>
            <w:b/>
            <w:sz w:val="18"/>
            <w:szCs w:val="18"/>
          </w:rPr>
          <w:t>https://unece.org/transport/vehicle-regulations/wp29/resolutions</w:t>
        </w:r>
      </w:hyperlink>
      <w:r w:rsidRPr="00C10F88">
        <w:rPr>
          <w:rStyle w:val="Hyperlink"/>
          <w:bCs/>
          <w:color w:val="auto"/>
          <w:sz w:val="18"/>
          <w:szCs w:val="18"/>
        </w:rPr>
        <w:t>"</w:t>
      </w:r>
    </w:p>
    <w:bookmarkEnd w:id="1"/>
    <w:p w14:paraId="39734201" w14:textId="1C077A46" w:rsidR="001C6663" w:rsidRPr="00827DE5" w:rsidRDefault="00827DE5" w:rsidP="00827DE5">
      <w:pPr>
        <w:spacing w:before="240"/>
        <w:jc w:val="center"/>
        <w:rPr>
          <w:u w:val="single"/>
        </w:rPr>
      </w:pPr>
      <w:r>
        <w:rPr>
          <w:u w:val="single"/>
        </w:rPr>
        <w:tab/>
      </w:r>
      <w:r>
        <w:rPr>
          <w:u w:val="single"/>
        </w:rPr>
        <w:tab/>
      </w:r>
      <w:r>
        <w:rPr>
          <w:u w:val="single"/>
        </w:rPr>
        <w:tab/>
      </w:r>
    </w:p>
    <w:sectPr w:rsidR="001C6663" w:rsidRPr="00827DE5" w:rsidSect="009E2B3A">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45DC" w14:textId="77777777" w:rsidR="00993E15" w:rsidRDefault="00993E15"/>
  </w:endnote>
  <w:endnote w:type="continuationSeparator" w:id="0">
    <w:p w14:paraId="38F646B6" w14:textId="77777777" w:rsidR="00993E15" w:rsidRDefault="00993E15"/>
  </w:endnote>
  <w:endnote w:type="continuationNotice" w:id="1">
    <w:p w14:paraId="3158ADF7" w14:textId="77777777" w:rsidR="00993E15" w:rsidRDefault="00993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8172" w14:textId="1ABC113D" w:rsidR="009E2B3A" w:rsidRPr="009E2B3A" w:rsidRDefault="009E2B3A" w:rsidP="009E2B3A">
    <w:pPr>
      <w:pStyle w:val="Footer"/>
      <w:tabs>
        <w:tab w:val="right" w:pos="9638"/>
      </w:tabs>
      <w:rPr>
        <w:sz w:val="18"/>
      </w:rPr>
    </w:pPr>
    <w:r w:rsidRPr="009E2B3A">
      <w:rPr>
        <w:b/>
        <w:sz w:val="18"/>
      </w:rPr>
      <w:fldChar w:fldCharType="begin"/>
    </w:r>
    <w:r w:rsidRPr="009E2B3A">
      <w:rPr>
        <w:b/>
        <w:sz w:val="18"/>
      </w:rPr>
      <w:instrText xml:space="preserve"> PAGE  \* MERGEFORMAT </w:instrText>
    </w:r>
    <w:r w:rsidRPr="009E2B3A">
      <w:rPr>
        <w:b/>
        <w:sz w:val="18"/>
      </w:rPr>
      <w:fldChar w:fldCharType="separate"/>
    </w:r>
    <w:r w:rsidRPr="009E2B3A">
      <w:rPr>
        <w:b/>
        <w:noProof/>
        <w:sz w:val="18"/>
      </w:rPr>
      <w:t>2</w:t>
    </w:r>
    <w:r w:rsidRPr="009E2B3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233E" w14:textId="2B23138D" w:rsidR="009E2B3A" w:rsidRPr="009E2B3A" w:rsidRDefault="009E2B3A" w:rsidP="009E2B3A">
    <w:pPr>
      <w:pStyle w:val="Footer"/>
      <w:tabs>
        <w:tab w:val="right" w:pos="9638"/>
      </w:tabs>
      <w:rPr>
        <w:b/>
        <w:sz w:val="18"/>
      </w:rPr>
    </w:pPr>
    <w:r>
      <w:tab/>
    </w:r>
    <w:r w:rsidRPr="009E2B3A">
      <w:rPr>
        <w:b/>
        <w:sz w:val="18"/>
      </w:rPr>
      <w:fldChar w:fldCharType="begin"/>
    </w:r>
    <w:r w:rsidRPr="009E2B3A">
      <w:rPr>
        <w:b/>
        <w:sz w:val="18"/>
      </w:rPr>
      <w:instrText xml:space="preserve"> PAGE  \* MERGEFORMAT </w:instrText>
    </w:r>
    <w:r w:rsidRPr="009E2B3A">
      <w:rPr>
        <w:b/>
        <w:sz w:val="18"/>
      </w:rPr>
      <w:fldChar w:fldCharType="separate"/>
    </w:r>
    <w:r w:rsidRPr="009E2B3A">
      <w:rPr>
        <w:b/>
        <w:noProof/>
        <w:sz w:val="18"/>
      </w:rPr>
      <w:t>3</w:t>
    </w:r>
    <w:r w:rsidRPr="009E2B3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25A3" w14:textId="7468CA10" w:rsidR="00CF7A48" w:rsidRDefault="00CF7A48" w:rsidP="00CF7A48">
    <w:pPr>
      <w:pStyle w:val="Footer"/>
    </w:pPr>
    <w:r w:rsidRPr="0027112F">
      <w:rPr>
        <w:noProof/>
        <w:lang w:val="en-US"/>
      </w:rPr>
      <w:drawing>
        <wp:anchor distT="0" distB="0" distL="114300" distR="114300" simplePos="0" relativeHeight="251659264" behindDoc="0" locked="1" layoutInCell="1" allowOverlap="1" wp14:anchorId="731CBBA6" wp14:editId="3057C89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9AC45DF" w14:textId="20CF07B8" w:rsidR="00CF7A48" w:rsidRPr="00CF7A48" w:rsidRDefault="00CF7A48" w:rsidP="00CF7A48">
    <w:pPr>
      <w:pStyle w:val="Footer"/>
      <w:ind w:right="1134"/>
      <w:rPr>
        <w:sz w:val="20"/>
      </w:rPr>
    </w:pPr>
    <w:r>
      <w:rPr>
        <w:sz w:val="20"/>
      </w:rPr>
      <w:t>GE.24-</w:t>
    </w:r>
    <w:proofErr w:type="gramStart"/>
    <w:r>
      <w:rPr>
        <w:sz w:val="20"/>
      </w:rPr>
      <w:t>15155  (</w:t>
    </w:r>
    <w:proofErr w:type="gramEnd"/>
    <w:r>
      <w:rPr>
        <w:sz w:val="20"/>
      </w:rPr>
      <w:t>E)</w:t>
    </w:r>
    <w:r>
      <w:rPr>
        <w:noProof/>
        <w:sz w:val="20"/>
      </w:rPr>
      <w:drawing>
        <wp:anchor distT="0" distB="0" distL="114300" distR="114300" simplePos="0" relativeHeight="251660288" behindDoc="0" locked="0" layoutInCell="1" allowOverlap="1" wp14:anchorId="467F7698" wp14:editId="7420271F">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63FD" w14:textId="77777777" w:rsidR="00993E15" w:rsidRPr="000B175B" w:rsidRDefault="00993E15" w:rsidP="000B175B">
      <w:pPr>
        <w:tabs>
          <w:tab w:val="right" w:pos="2155"/>
        </w:tabs>
        <w:spacing w:after="80"/>
        <w:ind w:left="680"/>
        <w:rPr>
          <w:u w:val="single"/>
        </w:rPr>
      </w:pPr>
      <w:r>
        <w:rPr>
          <w:u w:val="single"/>
        </w:rPr>
        <w:tab/>
      </w:r>
    </w:p>
  </w:footnote>
  <w:footnote w:type="continuationSeparator" w:id="0">
    <w:p w14:paraId="41D15E7D" w14:textId="77777777" w:rsidR="00993E15" w:rsidRPr="00FC68B7" w:rsidRDefault="00993E15" w:rsidP="00FC68B7">
      <w:pPr>
        <w:tabs>
          <w:tab w:val="left" w:pos="2155"/>
        </w:tabs>
        <w:spacing w:after="80"/>
        <w:ind w:left="680"/>
        <w:rPr>
          <w:u w:val="single"/>
        </w:rPr>
      </w:pPr>
      <w:r>
        <w:rPr>
          <w:u w:val="single"/>
        </w:rPr>
        <w:tab/>
      </w:r>
    </w:p>
  </w:footnote>
  <w:footnote w:type="continuationNotice" w:id="1">
    <w:p w14:paraId="06B000D9" w14:textId="77777777" w:rsidR="00993E15" w:rsidRDefault="00993E15"/>
  </w:footnote>
  <w:footnote w:id="2">
    <w:p w14:paraId="41C3CFDC" w14:textId="77777777" w:rsidR="002301C7" w:rsidRDefault="002301C7" w:rsidP="002301C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10AF" w14:textId="1480AC46" w:rsidR="009E2B3A" w:rsidRPr="009E2B3A" w:rsidRDefault="00CF7A48">
    <w:pPr>
      <w:pStyle w:val="Header"/>
    </w:pPr>
    <w:r>
      <w:fldChar w:fldCharType="begin"/>
    </w:r>
    <w:r>
      <w:instrText xml:space="preserve"> TITLE  \* MERGEFORMAT </w:instrText>
    </w:r>
    <w:r>
      <w:fldChar w:fldCharType="separate"/>
    </w:r>
    <w:r w:rsidR="009E2B3A">
      <w:t>ECE/TRANS/WP.29/2024/101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176E" w14:textId="0A7D56EE" w:rsidR="009E2B3A" w:rsidRPr="009E2B3A" w:rsidRDefault="00CF7A48" w:rsidP="009E2B3A">
    <w:pPr>
      <w:pStyle w:val="Header"/>
      <w:jc w:val="right"/>
    </w:pPr>
    <w:r>
      <w:fldChar w:fldCharType="begin"/>
    </w:r>
    <w:r>
      <w:instrText xml:space="preserve"> TITLE  \* MERGEFORMAT </w:instrText>
    </w:r>
    <w:r>
      <w:fldChar w:fldCharType="separate"/>
    </w:r>
    <w:r w:rsidR="009E2B3A">
      <w:t>ECE/TRANS/WP.29/2024/101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15623550">
    <w:abstractNumId w:val="1"/>
  </w:num>
  <w:num w:numId="2" w16cid:durableId="719130371">
    <w:abstractNumId w:val="0"/>
  </w:num>
  <w:num w:numId="3" w16cid:durableId="927693992">
    <w:abstractNumId w:val="2"/>
  </w:num>
  <w:num w:numId="4" w16cid:durableId="1145395548">
    <w:abstractNumId w:val="3"/>
  </w:num>
  <w:num w:numId="5" w16cid:durableId="349798150">
    <w:abstractNumId w:val="8"/>
  </w:num>
  <w:num w:numId="6" w16cid:durableId="827792167">
    <w:abstractNumId w:val="9"/>
  </w:num>
  <w:num w:numId="7" w16cid:durableId="889535869">
    <w:abstractNumId w:val="7"/>
  </w:num>
  <w:num w:numId="8" w16cid:durableId="1510178045">
    <w:abstractNumId w:val="6"/>
  </w:num>
  <w:num w:numId="9" w16cid:durableId="376782238">
    <w:abstractNumId w:val="5"/>
  </w:num>
  <w:num w:numId="10" w16cid:durableId="1479302240">
    <w:abstractNumId w:val="4"/>
  </w:num>
  <w:num w:numId="11" w16cid:durableId="116872461">
    <w:abstractNumId w:val="15"/>
  </w:num>
  <w:num w:numId="12" w16cid:durableId="1910337362">
    <w:abstractNumId w:val="14"/>
  </w:num>
  <w:num w:numId="13" w16cid:durableId="1149857829">
    <w:abstractNumId w:val="10"/>
  </w:num>
  <w:num w:numId="14" w16cid:durableId="895313123">
    <w:abstractNumId w:val="12"/>
  </w:num>
  <w:num w:numId="15" w16cid:durableId="1203784407">
    <w:abstractNumId w:val="16"/>
  </w:num>
  <w:num w:numId="16" w16cid:durableId="271088177">
    <w:abstractNumId w:val="13"/>
  </w:num>
  <w:num w:numId="17" w16cid:durableId="342703984">
    <w:abstractNumId w:val="17"/>
  </w:num>
  <w:num w:numId="18" w16cid:durableId="101926175">
    <w:abstractNumId w:val="18"/>
  </w:num>
  <w:num w:numId="19" w16cid:durableId="17226333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3A"/>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D5C87"/>
    <w:rsid w:val="001E26F6"/>
    <w:rsid w:val="001F1599"/>
    <w:rsid w:val="001F19C4"/>
    <w:rsid w:val="002043F0"/>
    <w:rsid w:val="00211E0B"/>
    <w:rsid w:val="002301C7"/>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3B37"/>
    <w:rsid w:val="004A5D33"/>
    <w:rsid w:val="004C55B0"/>
    <w:rsid w:val="004F6BA0"/>
    <w:rsid w:val="00503BEA"/>
    <w:rsid w:val="00527A81"/>
    <w:rsid w:val="00533616"/>
    <w:rsid w:val="00535ABA"/>
    <w:rsid w:val="0053768B"/>
    <w:rsid w:val="005420F2"/>
    <w:rsid w:val="0054285C"/>
    <w:rsid w:val="00584173"/>
    <w:rsid w:val="00595520"/>
    <w:rsid w:val="005A44B9"/>
    <w:rsid w:val="005B1BA0"/>
    <w:rsid w:val="005B3DB3"/>
    <w:rsid w:val="005C0268"/>
    <w:rsid w:val="005D05A6"/>
    <w:rsid w:val="005D15CA"/>
    <w:rsid w:val="005F08DF"/>
    <w:rsid w:val="005F3066"/>
    <w:rsid w:val="005F3E61"/>
    <w:rsid w:val="00604DDD"/>
    <w:rsid w:val="006107D6"/>
    <w:rsid w:val="006115CC"/>
    <w:rsid w:val="00611FC4"/>
    <w:rsid w:val="006176FB"/>
    <w:rsid w:val="00630FCB"/>
    <w:rsid w:val="00640B26"/>
    <w:rsid w:val="00655640"/>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46ADA"/>
    <w:rsid w:val="00754861"/>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27DE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48BD"/>
    <w:rsid w:val="008E5E11"/>
    <w:rsid w:val="008E7116"/>
    <w:rsid w:val="008F143B"/>
    <w:rsid w:val="008F3882"/>
    <w:rsid w:val="008F4B7C"/>
    <w:rsid w:val="0092556A"/>
    <w:rsid w:val="00926E47"/>
    <w:rsid w:val="00933053"/>
    <w:rsid w:val="00947162"/>
    <w:rsid w:val="009610D0"/>
    <w:rsid w:val="0096375C"/>
    <w:rsid w:val="009662E6"/>
    <w:rsid w:val="0097095E"/>
    <w:rsid w:val="0098592B"/>
    <w:rsid w:val="00985FC4"/>
    <w:rsid w:val="00990766"/>
    <w:rsid w:val="00991261"/>
    <w:rsid w:val="00993E15"/>
    <w:rsid w:val="009964C4"/>
    <w:rsid w:val="009A7B81"/>
    <w:rsid w:val="009B011B"/>
    <w:rsid w:val="009B7EB7"/>
    <w:rsid w:val="009D01C0"/>
    <w:rsid w:val="009D6A08"/>
    <w:rsid w:val="009E0A16"/>
    <w:rsid w:val="009E2B3A"/>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B49EE"/>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44B"/>
    <w:rsid w:val="00CF071D"/>
    <w:rsid w:val="00CF7A48"/>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24F9"/>
    <w:rsid w:val="00DA357F"/>
    <w:rsid w:val="00DA3E12"/>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C7D51"/>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83764"/>
  <w15:docId w15:val="{95CEA154-0419-4790-B436-1A5FE21D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2301C7"/>
    <w:rPr>
      <w:lang w:val="en-GB"/>
    </w:rPr>
  </w:style>
  <w:style w:type="character" w:customStyle="1" w:styleId="HChGChar">
    <w:name w:val="_ H _Ch_G Char"/>
    <w:link w:val="HChG"/>
    <w:qFormat/>
    <w:locked/>
    <w:rsid w:val="002301C7"/>
    <w:rPr>
      <w:b/>
      <w:sz w:val="28"/>
      <w:lang w:val="en-GB"/>
    </w:rPr>
  </w:style>
  <w:style w:type="character" w:customStyle="1" w:styleId="H1GChar">
    <w:name w:val="_ H_1_G Char"/>
    <w:link w:val="H1G"/>
    <w:locked/>
    <w:rsid w:val="002301C7"/>
    <w:rPr>
      <w:b/>
      <w:sz w:val="24"/>
      <w:lang w:val="en-GB"/>
    </w:rPr>
  </w:style>
  <w:style w:type="paragraph" w:customStyle="1" w:styleId="Default">
    <w:name w:val="Default"/>
    <w:rsid w:val="00655640"/>
    <w:pPr>
      <w:autoSpaceDE w:val="0"/>
      <w:autoSpaceDN w:val="0"/>
      <w:adjustRightInd w:val="0"/>
      <w:spacing w:line="240" w:lineRule="auto"/>
    </w:pPr>
    <w:rPr>
      <w:rFonts w:eastAsia="SimSun"/>
      <w:color w:val="000000"/>
      <w:sz w:val="24"/>
      <w:szCs w:val="24"/>
      <w:lang w:val="en-GB" w:eastAsia="en-GB"/>
    </w:rPr>
  </w:style>
  <w:style w:type="paragraph" w:customStyle="1" w:styleId="Para">
    <w:name w:val="Para"/>
    <w:basedOn w:val="Normal"/>
    <w:qFormat/>
    <w:rsid w:val="008E48BD"/>
    <w:pPr>
      <w:spacing w:after="120"/>
      <w:ind w:left="2268" w:right="1134" w:hanging="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66AF123B-B94F-48E3-B132-8F64C05FF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563</Words>
  <Characters>3128</Characters>
  <Application>Microsoft Office Word</Application>
  <DocSecurity>0</DocSecurity>
  <Lines>70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ECE/TRANS/WP.29/2024/101</dc:title>
  <dc:subject>2415155</dc:subject>
  <dc:creator>Edoardo Gianotti</dc:creator>
  <cp:keywords/>
  <dc:description/>
  <cp:lastModifiedBy>Pauline Anne Escalante</cp:lastModifiedBy>
  <cp:revision>2</cp:revision>
  <cp:lastPrinted>2009-02-18T09:36:00Z</cp:lastPrinted>
  <dcterms:created xsi:type="dcterms:W3CDTF">2024-08-26T07:19:00Z</dcterms:created>
  <dcterms:modified xsi:type="dcterms:W3CDTF">2024-08-26T07:19:00Z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