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C8BE03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6480266" w14:textId="77777777" w:rsidR="002D5AAC" w:rsidRDefault="002D5AAC" w:rsidP="00E54D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390EFB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A488E68" w14:textId="14A77346" w:rsidR="002D5AAC" w:rsidRDefault="00E54D25" w:rsidP="00E54D25">
            <w:pPr>
              <w:jc w:val="right"/>
            </w:pPr>
            <w:r w:rsidRPr="00E54D25">
              <w:rPr>
                <w:sz w:val="40"/>
              </w:rPr>
              <w:t>ECE</w:t>
            </w:r>
            <w:r>
              <w:t>/TRANS/WP.11/2024/24</w:t>
            </w:r>
          </w:p>
        </w:tc>
      </w:tr>
      <w:tr w:rsidR="002D5AAC" w:rsidRPr="00E54D25" w14:paraId="44C4117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D2616F8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FAD5DEA" wp14:editId="48F8AFE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4BF245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344CB80" w14:textId="77777777" w:rsidR="00E54D25" w:rsidRPr="00E54D25" w:rsidRDefault="00E54D25" w:rsidP="00E54D25">
            <w:pPr>
              <w:spacing w:before="240"/>
              <w:rPr>
                <w:lang w:val="en-US"/>
              </w:rPr>
            </w:pPr>
            <w:r w:rsidRPr="00E54D25">
              <w:rPr>
                <w:lang w:val="en-US"/>
              </w:rPr>
              <w:t>Distr.: General</w:t>
            </w:r>
          </w:p>
          <w:p w14:paraId="513FB847" w14:textId="77777777" w:rsidR="00E54D25" w:rsidRPr="00E54D25" w:rsidRDefault="00E54D25" w:rsidP="00E54D25">
            <w:pPr>
              <w:suppressAutoHyphens w:val="0"/>
              <w:rPr>
                <w:lang w:val="en-US"/>
              </w:rPr>
            </w:pPr>
            <w:r w:rsidRPr="00E54D25">
              <w:rPr>
                <w:lang w:val="en-US"/>
              </w:rPr>
              <w:t>16 August 2024</w:t>
            </w:r>
          </w:p>
          <w:p w14:paraId="148D6046" w14:textId="77777777" w:rsidR="00E54D25" w:rsidRPr="00E54D25" w:rsidRDefault="00E54D25" w:rsidP="00E54D25">
            <w:pPr>
              <w:suppressAutoHyphens w:val="0"/>
              <w:rPr>
                <w:lang w:val="en-US"/>
              </w:rPr>
            </w:pPr>
            <w:r w:rsidRPr="00E54D25">
              <w:rPr>
                <w:lang w:val="en-US"/>
              </w:rPr>
              <w:t>English</w:t>
            </w:r>
          </w:p>
          <w:p w14:paraId="719A3A86" w14:textId="0EB3272A" w:rsidR="00E54D25" w:rsidRPr="00E54D25" w:rsidRDefault="00E54D25" w:rsidP="00E54D25">
            <w:pPr>
              <w:spacing w:line="240" w:lineRule="exact"/>
              <w:rPr>
                <w:lang w:val="en-US"/>
              </w:rPr>
            </w:pPr>
            <w:r w:rsidRPr="00E54D25">
              <w:rPr>
                <w:lang w:val="en-US"/>
              </w:rPr>
              <w:t>Original: French</w:t>
            </w:r>
          </w:p>
        </w:tc>
      </w:tr>
    </w:tbl>
    <w:p w14:paraId="30DE62D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431C30C" w14:textId="77777777" w:rsidR="008E5CDF" w:rsidRPr="006C5D76" w:rsidRDefault="008E5CDF" w:rsidP="008E5CDF">
      <w:pPr>
        <w:spacing w:before="120"/>
        <w:rPr>
          <w:rFonts w:asciiTheme="majorBidi" w:hAnsiTheme="majorBidi" w:cstheme="majorBidi"/>
          <w:sz w:val="28"/>
          <w:szCs w:val="28"/>
        </w:rPr>
      </w:pPr>
      <w:r w:rsidRPr="006C5D76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141481FF" w14:textId="77777777" w:rsidR="008E5CDF" w:rsidRPr="006C5D76" w:rsidRDefault="008E5CDF" w:rsidP="008E5CDF">
      <w:pPr>
        <w:spacing w:before="120" w:after="120"/>
        <w:rPr>
          <w:rFonts w:asciiTheme="majorBidi" w:hAnsiTheme="majorBidi" w:cstheme="majorBidi"/>
          <w:b/>
          <w:sz w:val="24"/>
          <w:szCs w:val="24"/>
        </w:rPr>
      </w:pPr>
      <w:r w:rsidRPr="006C5D76">
        <w:rPr>
          <w:rFonts w:asciiTheme="majorBidi" w:hAnsiTheme="majorBidi" w:cstheme="majorBidi"/>
          <w:b/>
          <w:bCs/>
          <w:sz w:val="24"/>
          <w:szCs w:val="24"/>
        </w:rPr>
        <w:t xml:space="preserve">Рабочая группа по перевозкам скоропортящихся </w:t>
      </w:r>
      <w:r w:rsidRPr="006C5D76">
        <w:rPr>
          <w:rFonts w:asciiTheme="majorBidi" w:hAnsiTheme="majorBidi" w:cstheme="majorBidi"/>
          <w:b/>
          <w:bCs/>
          <w:sz w:val="24"/>
          <w:szCs w:val="24"/>
        </w:rPr>
        <w:br/>
        <w:t>пищевых продуктов</w:t>
      </w:r>
    </w:p>
    <w:p w14:paraId="3400F9EC" w14:textId="77777777" w:rsidR="008E5CDF" w:rsidRPr="006C5D76" w:rsidRDefault="008E5CDF" w:rsidP="008E5CDF">
      <w:r w:rsidRPr="006C5D76">
        <w:rPr>
          <w:b/>
          <w:bCs/>
        </w:rPr>
        <w:t>Восемьдесят первая сессия</w:t>
      </w:r>
      <w:r w:rsidRPr="006C5D76">
        <w:rPr>
          <w:b/>
          <w:bCs/>
        </w:rPr>
        <w:br/>
      </w:r>
      <w:r w:rsidRPr="006C5D76">
        <w:t xml:space="preserve">Женева, 29 октября — 1 ноября 2024 года </w:t>
      </w:r>
    </w:p>
    <w:p w14:paraId="248092A6" w14:textId="77777777" w:rsidR="008E5CDF" w:rsidRPr="006C5D76" w:rsidRDefault="008E5CDF" w:rsidP="008E5CDF">
      <w:r>
        <w:t>Пункт 5 a) предварительной повестки дня</w:t>
      </w:r>
    </w:p>
    <w:p w14:paraId="7386C1D1" w14:textId="77777777" w:rsidR="008E5CDF" w:rsidRPr="006C5D76" w:rsidRDefault="008E5CDF" w:rsidP="008E5CDF">
      <w:pPr>
        <w:rPr>
          <w:b/>
          <w:bCs/>
        </w:rPr>
      </w:pPr>
      <w:r>
        <w:rPr>
          <w:b/>
          <w:bCs/>
        </w:rPr>
        <w:t>Предложения по поправкам к СПС:</w:t>
      </w:r>
    </w:p>
    <w:p w14:paraId="13C67520" w14:textId="77777777" w:rsidR="008E5CDF" w:rsidRPr="006C5D76" w:rsidRDefault="008E5CDF" w:rsidP="008E5CDF">
      <w:pPr>
        <w:rPr>
          <w:b/>
          <w:bCs/>
        </w:rPr>
      </w:pPr>
      <w:r>
        <w:rPr>
          <w:b/>
          <w:bCs/>
        </w:rPr>
        <w:t>предложения, по которым еще не приняты решения</w:t>
      </w:r>
    </w:p>
    <w:p w14:paraId="3F880C64" w14:textId="77777777" w:rsidR="008E5CDF" w:rsidRPr="006C5D76" w:rsidRDefault="008E5CDF" w:rsidP="008E5CDF">
      <w:pPr>
        <w:pStyle w:val="HChG"/>
      </w:pPr>
      <w:r w:rsidRPr="006C5D76">
        <w:tab/>
      </w:r>
      <w:r w:rsidRPr="006C5D76">
        <w:tab/>
      </w:r>
      <w:r>
        <w:t>Классификация</w:t>
      </w:r>
      <w:r w:rsidRPr="006C5D76">
        <w:t xml:space="preserve"> «автономных» транспортных средств, работающих от источника электроэнергии</w:t>
      </w:r>
    </w:p>
    <w:p w14:paraId="615021E8" w14:textId="77777777" w:rsidR="008E5CDF" w:rsidRDefault="008E5CDF" w:rsidP="008E5CDF">
      <w:pPr>
        <w:pStyle w:val="H1G"/>
        <w:rPr>
          <w:bCs/>
          <w:lang w:val="en-US"/>
        </w:rPr>
      </w:pPr>
      <w:r>
        <w:tab/>
      </w:r>
      <w:r>
        <w:tab/>
      </w:r>
      <w:r>
        <w:rPr>
          <w:bCs/>
        </w:rPr>
        <w:t>Передано правительством Франции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8E5CDF" w:rsidRPr="008E5CDF" w14:paraId="54EED904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1117B105" w14:textId="77777777" w:rsidR="008E5CDF" w:rsidRPr="008E5CDF" w:rsidRDefault="008E5CDF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8E5CDF">
              <w:rPr>
                <w:rFonts w:cs="Times New Roman"/>
              </w:rPr>
              <w:tab/>
            </w:r>
            <w:r w:rsidRPr="008E5CDF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8E5CDF" w:rsidRPr="008E5CDF" w14:paraId="5EFA66AE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6A08643D" w14:textId="19C2612D" w:rsidR="008E5CDF" w:rsidRPr="008E5CDF" w:rsidRDefault="008E5CDF" w:rsidP="008E5CDF">
            <w:pPr>
              <w:pStyle w:val="SingleTxtG"/>
              <w:tabs>
                <w:tab w:val="left" w:pos="3740"/>
              </w:tabs>
              <w:ind w:left="3969" w:hanging="2835"/>
            </w:pPr>
            <w:r>
              <w:rPr>
                <w:b/>
                <w:bCs/>
              </w:rPr>
              <w:t>Существо предложения:</w:t>
            </w:r>
            <w:r>
              <w:tab/>
            </w:r>
            <w:r w:rsidRPr="008E5CDF">
              <w:tab/>
            </w:r>
            <w:r>
              <w:t>Цель данного предложения заключается в том, чтобы уточнить классификацию транспортных средств, работающих от источника электроэнергии на всех этапах перевозки</w:t>
            </w:r>
            <w:r w:rsidRPr="008E5CDF">
              <w:t>.</w:t>
            </w:r>
          </w:p>
        </w:tc>
      </w:tr>
      <w:tr w:rsidR="008E5CDF" w:rsidRPr="008E5CDF" w14:paraId="2D9E75F7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533EDC83" w14:textId="44FB0848" w:rsidR="008E5CDF" w:rsidRPr="008E5CDF" w:rsidRDefault="008E5CDF" w:rsidP="008E5CDF">
            <w:pPr>
              <w:pStyle w:val="SingleTxtG"/>
              <w:ind w:left="3402" w:hanging="2268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Предлагаемое решение:</w:t>
            </w:r>
            <w:r>
              <w:tab/>
            </w:r>
            <w:r>
              <w:tab/>
            </w:r>
            <w:r>
              <w:rPr>
                <w:lang w:val="en-US"/>
              </w:rPr>
              <w:tab/>
            </w:r>
            <w:r>
              <w:t>Отсутствует</w:t>
            </w:r>
            <w:r>
              <w:rPr>
                <w:lang w:val="en-US"/>
              </w:rPr>
              <w:t>.</w:t>
            </w:r>
          </w:p>
        </w:tc>
      </w:tr>
      <w:tr w:rsidR="008E5CDF" w:rsidRPr="008E5CDF" w14:paraId="5AC0F3BC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053EF16F" w14:textId="41779F6E" w:rsidR="008E5CDF" w:rsidRDefault="008E5CDF" w:rsidP="008E5CDF">
            <w:pPr>
              <w:pStyle w:val="SingleTxtG"/>
              <w:ind w:left="3402" w:hanging="2268"/>
              <w:rPr>
                <w:b/>
                <w:bCs/>
              </w:rPr>
            </w:pPr>
            <w:r>
              <w:rPr>
                <w:b/>
                <w:bCs/>
              </w:rPr>
              <w:t>Справочные документы:</w:t>
            </w:r>
            <w:r>
              <w:tab/>
              <w:t>ECE/TRANS/WP.11/2023/8</w:t>
            </w:r>
          </w:p>
        </w:tc>
      </w:tr>
      <w:tr w:rsidR="008E5CDF" w:rsidRPr="008E5CDF" w14:paraId="48D318B2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4741F7FA" w14:textId="77777777" w:rsidR="008E5CDF" w:rsidRPr="008E5CDF" w:rsidRDefault="008E5CDF" w:rsidP="00850215">
            <w:pPr>
              <w:rPr>
                <w:rFonts w:cs="Times New Roman"/>
              </w:rPr>
            </w:pPr>
          </w:p>
        </w:tc>
      </w:tr>
    </w:tbl>
    <w:p w14:paraId="2FA78B07" w14:textId="77777777" w:rsidR="008E5CDF" w:rsidRPr="006C5D76" w:rsidRDefault="008E5CDF" w:rsidP="008E5CDF">
      <w:pPr>
        <w:pStyle w:val="HChG"/>
      </w:pPr>
      <w:r>
        <w:tab/>
      </w:r>
      <w:r>
        <w:tab/>
      </w:r>
      <w:r>
        <w:rPr>
          <w:bCs/>
        </w:rPr>
        <w:t>Введение</w:t>
      </w:r>
      <w:bookmarkStart w:id="0" w:name="OLE_LINK2"/>
      <w:bookmarkStart w:id="1" w:name="OLE_LINK1"/>
      <w:bookmarkEnd w:id="0"/>
      <w:bookmarkEnd w:id="1"/>
    </w:p>
    <w:p w14:paraId="498D635C" w14:textId="77777777" w:rsidR="008E5CDF" w:rsidRPr="006C5D76" w:rsidRDefault="008E5CDF" w:rsidP="008E5CDF">
      <w:pPr>
        <w:pStyle w:val="SingleTxtG"/>
      </w:pPr>
      <w:r>
        <w:t>1.</w:t>
      </w:r>
      <w:r>
        <w:tab/>
        <w:t>Данное предложение связано с предложением, касающимся определения понятия автономности транспортного средства.</w:t>
      </w:r>
    </w:p>
    <w:p w14:paraId="502995C4" w14:textId="77777777" w:rsidR="008E5CDF" w:rsidRPr="006C5D76" w:rsidRDefault="008E5CDF" w:rsidP="008E5CDF">
      <w:pPr>
        <w:pStyle w:val="SingleTxtG"/>
      </w:pPr>
      <w:r>
        <w:t>2.</w:t>
      </w:r>
      <w:r>
        <w:tab/>
        <w:t>Статья 4 Соглашения о международной перевозке скоропортящихся пищевых продуктов и о специальных транспортных средствах, предназначенных для этой перевозки (СПС), гласит: «Эти транспортные средства [специальные транспортные средства, упомянутые в статье 1] выбираются и используются таким образом, чтобы в течение всей перевозки могли соблюдаться температурные условия, предписанные в этих приложениях [приложения 2 и 3]. Таким образом, технология, используемая в специальных транспортных средствах, должна обеспечивать возможность перевозки скоропортящихся продуктов питания в температурных условиях, предусмотренных СПС, и перевозчик должен иметь представление об ограничениях по их эксплуатации.</w:t>
      </w:r>
    </w:p>
    <w:p w14:paraId="4C1A43B9" w14:textId="77777777" w:rsidR="008E5CDF" w:rsidRDefault="008E5CDF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666355C5" w14:textId="36E6B77F" w:rsidR="008E5CDF" w:rsidRPr="006C5D76" w:rsidRDefault="008E5CDF" w:rsidP="008E5CDF">
      <w:pPr>
        <w:pStyle w:val="SingleTxtG"/>
      </w:pPr>
      <w:r>
        <w:lastRenderedPageBreak/>
        <w:t>3.</w:t>
      </w:r>
      <w:r>
        <w:tab/>
        <w:t>Сертификация соответствия СПС призвана дать перевозчику гарантии того, что параметры специального транспортного средства подходят для поддержания заданных температурных условий на протяжении всей перевозки, а также предоставить перевозчику объективную информацию об эксплуатационных ограничениях транспортного средства.</w:t>
      </w:r>
    </w:p>
    <w:p w14:paraId="0BDE510B" w14:textId="77777777" w:rsidR="008E5CDF" w:rsidRPr="006C5D76" w:rsidRDefault="008E5CDF" w:rsidP="008E5CDF">
      <w:pPr>
        <w:pStyle w:val="SingleTxtG"/>
      </w:pPr>
      <w:r>
        <w:t>4.</w:t>
      </w:r>
      <w:r>
        <w:tab/>
        <w:t xml:space="preserve">С учетом целей по декарбонизации изготовители вынуждены внедрять новые технологии для энергообеспечения термического оборудования, влияющие на условия сертификации транспортных средств. Среди представленных на рынке систем речь идет, в первую очередь, о транспортных средствах, работающих от </w:t>
      </w:r>
      <w:proofErr w:type="spellStart"/>
      <w:r>
        <w:t>электроаккумуляторов</w:t>
      </w:r>
      <w:proofErr w:type="spellEnd"/>
      <w:r>
        <w:t xml:space="preserve">, независимо от того, предназначены ли они исключительно для питания транспортных средств или нет. В некоторых случаях подзарядка этих аккумуляторов возможна при работающем тепловом двигателе, когда транспортное средство </w:t>
      </w:r>
      <w:r w:rsidRPr="006C5D76">
        <w:t>—</w:t>
      </w:r>
      <w:r>
        <w:t xml:space="preserve"> рефрижератор и/или отапливаемое транспортное средство производит холод и/или тепло. Гибкость, которую обеспечивают </w:t>
      </w:r>
      <w:proofErr w:type="spellStart"/>
      <w:r>
        <w:t>электроаккумуляторы</w:t>
      </w:r>
      <w:proofErr w:type="spellEnd"/>
      <w:r>
        <w:t>, неоспорима, однако при рассмотрении транспортных средств, работающих от смешанных источников энергии, возникают затруднения с определением их категории согласно СПС и предоставлением пользователям четкой информации об ограничениях по их эксплуатации.</w:t>
      </w:r>
    </w:p>
    <w:p w14:paraId="6AD7CABE" w14:textId="77777777" w:rsidR="008E5CDF" w:rsidRPr="006C5D76" w:rsidRDefault="008E5CDF" w:rsidP="008E5CDF">
      <w:pPr>
        <w:pStyle w:val="SingleTxtG"/>
      </w:pPr>
      <w:r>
        <w:t>5.</w:t>
      </w:r>
      <w:r>
        <w:tab/>
        <w:t>Так, в пункте 6.2.2 (подпункт i)) добавления 2 к приложению 1 содержится следующее определение неавтономных транспортных средств: «Неавтономные транспортные средства, у которых холодильная установка приводится в действие их двигателем». Такие транспортные средства маркируются специальным знаком «X» для облегчения их идентификации, особенно при прохождении пунктов пересечения границ, а также для информирования перевозчика о том, что термическое оборудование не может функционировать в автономном режиме независимо от работы транспортного средства. Транспортные средства любого другого типа, включая некоторые транспортные средства с электрическим приводом, во время перевозки фактически считаются «автономными», и в этом случае перевозчик должен быть уверен в продолжительности работы термического оборудования, чтобы иметь возможность выбрать транспортное средство в соответствии со своими потребностями.</w:t>
      </w:r>
    </w:p>
    <w:p w14:paraId="7389BA41" w14:textId="77777777" w:rsidR="008E5CDF" w:rsidRPr="006C5D76" w:rsidRDefault="008E5CDF" w:rsidP="008E5CDF">
      <w:pPr>
        <w:pStyle w:val="SingleTxtG"/>
      </w:pPr>
      <w:r>
        <w:t>6.</w:t>
      </w:r>
      <w:r>
        <w:tab/>
        <w:t>Свидетельство СПС и маркировка транспортного средства СПС не содержат сведений о продолжительности функционирования оборудования в автономном режиме независимо от работы транспортного средства. Вместо того чтобы множить знаки маркировки, было бы проще установить критерий минимальной работы</w:t>
      </w:r>
      <w:r w:rsidRPr="00795FF0">
        <w:t xml:space="preserve"> </w:t>
      </w:r>
      <w:r>
        <w:t>для выдачи свидетельств СПС. СПС не содержит никаких определенных критериев, касающихся продолжительности работы и позволяющих отнести термическое оборудование к категории «автономного». В связи с этим предлагается включить серию из двух предложений, направленных на то, чтобы:</w:t>
      </w:r>
    </w:p>
    <w:p w14:paraId="05BB4AB9" w14:textId="26A50014" w:rsidR="008E5CDF" w:rsidRPr="006C5D76" w:rsidRDefault="008E5CDF" w:rsidP="008E5CDF">
      <w:pPr>
        <w:pStyle w:val="SingleTxtG"/>
      </w:pPr>
      <w:r>
        <w:rPr>
          <w:lang w:val="en-US"/>
        </w:rPr>
        <w:tab/>
      </w:r>
      <w:r>
        <w:t>a)</w:t>
      </w:r>
      <w:r>
        <w:tab/>
        <w:t>уточнить определение автономного транспортного средства и критерий минимальной продолжительности функционирования в автономном режиме независимо от работы транспортного средства;</w:t>
      </w:r>
    </w:p>
    <w:p w14:paraId="7D2E5F77" w14:textId="2300BA03" w:rsidR="008E5CDF" w:rsidRPr="006C5D76" w:rsidRDefault="008E5CDF" w:rsidP="008E5CDF">
      <w:pPr>
        <w:pStyle w:val="SingleTxtG"/>
      </w:pPr>
      <w:r>
        <w:rPr>
          <w:lang w:val="en-US"/>
        </w:rPr>
        <w:tab/>
      </w:r>
      <w:r>
        <w:t>b)</w:t>
      </w:r>
      <w:r>
        <w:tab/>
        <w:t>уточнить характеристики термического оборудования с источником электропитания (для режима перевозки), позволяющие отнести его к категории «автономного».</w:t>
      </w:r>
    </w:p>
    <w:p w14:paraId="77114446" w14:textId="6DECC826" w:rsidR="008E5CDF" w:rsidRPr="006C5D76" w:rsidRDefault="008E5CDF" w:rsidP="008E5CDF">
      <w:pPr>
        <w:pStyle w:val="HChG"/>
      </w:pPr>
      <w:r>
        <w:rPr>
          <w:bCs/>
          <w:lang w:val="en-US"/>
        </w:rPr>
        <w:tab/>
      </w:r>
      <w:r>
        <w:rPr>
          <w:bCs/>
        </w:rPr>
        <w:t>I.</w:t>
      </w:r>
      <w:r>
        <w:tab/>
      </w:r>
      <w:r>
        <w:rPr>
          <w:bCs/>
        </w:rPr>
        <w:t>Предложение</w:t>
      </w:r>
    </w:p>
    <w:p w14:paraId="6C752EEF" w14:textId="77777777" w:rsidR="008E5CDF" w:rsidRPr="006C5D76" w:rsidRDefault="008E5CDF" w:rsidP="008E5CDF">
      <w:pPr>
        <w:pStyle w:val="SingleTxtG"/>
      </w:pPr>
      <w:bookmarkStart w:id="2" w:name="_Hlk30687072"/>
      <w:r>
        <w:t>7.</w:t>
      </w:r>
      <w:r>
        <w:tab/>
        <w:t>Предлагается считать, что транспортное средство с термическим оборудованием, работающим от источника электрической энергии, по умолчанию является «неавтономным».</w:t>
      </w:r>
      <w:bookmarkEnd w:id="2"/>
    </w:p>
    <w:p w14:paraId="66966A41" w14:textId="77777777" w:rsidR="008E5CDF" w:rsidRDefault="008E5CDF" w:rsidP="008E5CDF">
      <w:pPr>
        <w:pStyle w:val="SingleTxtG"/>
      </w:pPr>
      <w:r>
        <w:t>8.</w:t>
      </w:r>
      <w:r>
        <w:tab/>
        <w:t xml:space="preserve">С учетом описания неавтономных транспортных средств, которое содержится в пункте 6.2.2 (подпункт i)) добавления 2 к приложению 1 к СПС, и в соответствии с предлагаемым определением понятия автономности транспортного средства, любые </w:t>
      </w:r>
      <w:r>
        <w:lastRenderedPageBreak/>
        <w:t>транспортные средства, работающие от источников электроэнергии на всех этапах перевозки, предлагается относить к категории «автономных».</w:t>
      </w:r>
    </w:p>
    <w:p w14:paraId="33771AF4" w14:textId="2FC74973" w:rsidR="008E5CDF" w:rsidRDefault="008E5CDF" w:rsidP="008E5CDF">
      <w:pPr>
        <w:pStyle w:val="HChG"/>
      </w:pPr>
      <w:r>
        <w:rPr>
          <w:bCs/>
          <w:lang w:val="en-US"/>
        </w:rPr>
        <w:tab/>
      </w:r>
      <w:r>
        <w:rPr>
          <w:bCs/>
        </w:rPr>
        <w:t>II.</w:t>
      </w:r>
      <w:r>
        <w:tab/>
      </w:r>
      <w:r>
        <w:rPr>
          <w:bCs/>
        </w:rPr>
        <w:t>Последствия</w:t>
      </w:r>
    </w:p>
    <w:tbl>
      <w:tblPr>
        <w:tblW w:w="8046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1985"/>
        <w:gridCol w:w="6061"/>
      </w:tblGrid>
      <w:tr w:rsidR="008E5CDF" w:rsidRPr="006C5D76" w14:paraId="506B596A" w14:textId="77777777" w:rsidTr="008E5CDF"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B51C639" w14:textId="77777777" w:rsidR="008E5CDF" w:rsidRDefault="008E5CDF" w:rsidP="00C422FA">
            <w:pPr>
              <w:pStyle w:val="SingleTxtG"/>
              <w:ind w:left="0" w:right="31"/>
              <w:rPr>
                <w:iCs/>
              </w:rPr>
            </w:pPr>
            <w:r>
              <w:t>Обоснование:</w:t>
            </w:r>
          </w:p>
        </w:tc>
        <w:tc>
          <w:tcPr>
            <w:tcW w:w="60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2E72C5" w14:textId="46B265DF" w:rsidR="008E5CDF" w:rsidRPr="006C5D76" w:rsidRDefault="008E5CDF" w:rsidP="00C422FA">
            <w:pPr>
              <w:pStyle w:val="SingleTxtG"/>
              <w:ind w:left="142" w:right="0"/>
            </w:pPr>
            <w:r>
              <w:t xml:space="preserve">Унификация правил маркировки транспортных средств, </w:t>
            </w:r>
            <w:r>
              <w:rPr>
                <w:lang w:val="en-US"/>
              </w:rPr>
              <w:br/>
            </w:r>
            <w:r>
              <w:t>в частности в том, что касается нанесения знака «X».</w:t>
            </w:r>
          </w:p>
          <w:p w14:paraId="0FF59F00" w14:textId="77777777" w:rsidR="008E5CDF" w:rsidRPr="006C5D76" w:rsidRDefault="008E5CDF" w:rsidP="00C422FA">
            <w:pPr>
              <w:pStyle w:val="SingleTxtG"/>
              <w:ind w:left="142" w:right="0"/>
            </w:pPr>
            <w:r>
              <w:t>Унификация формулировок и упорядочение идентификации автономного оборудования.</w:t>
            </w:r>
          </w:p>
          <w:p w14:paraId="5CE175A6" w14:textId="77777777" w:rsidR="008E5CDF" w:rsidRPr="006C5D76" w:rsidRDefault="008E5CDF" w:rsidP="00C422FA">
            <w:pPr>
              <w:pStyle w:val="SingleTxtG"/>
              <w:ind w:left="142"/>
            </w:pPr>
            <w:r>
              <w:t>Информирование перевозчика о параметрах транспортного средства и его эксплуатационных ограничениях.</w:t>
            </w:r>
          </w:p>
        </w:tc>
      </w:tr>
      <w:tr w:rsidR="008E5CDF" w14:paraId="5E67DD3D" w14:textId="77777777" w:rsidTr="008E5CDF">
        <w:tc>
          <w:tcPr>
            <w:tcW w:w="1985" w:type="dxa"/>
            <w:hideMark/>
          </w:tcPr>
          <w:p w14:paraId="415217DE" w14:textId="77777777" w:rsidR="008E5CDF" w:rsidRDefault="008E5CDF" w:rsidP="00C422FA">
            <w:pPr>
              <w:pStyle w:val="SingleTxtG"/>
              <w:ind w:left="0" w:right="31"/>
              <w:rPr>
                <w:iCs/>
              </w:rPr>
            </w:pPr>
            <w:r>
              <w:t>Затраты:</w:t>
            </w:r>
          </w:p>
        </w:tc>
        <w:tc>
          <w:tcPr>
            <w:tcW w:w="6061" w:type="dxa"/>
            <w:vAlign w:val="bottom"/>
            <w:hideMark/>
          </w:tcPr>
          <w:p w14:paraId="056A69C2" w14:textId="77777777" w:rsidR="008E5CDF" w:rsidRPr="00494A99" w:rsidRDefault="008E5CDF" w:rsidP="00C422FA">
            <w:pPr>
              <w:pStyle w:val="SingleTxtG"/>
              <w:ind w:left="142" w:right="27"/>
              <w:rPr>
                <w:iCs/>
              </w:rPr>
            </w:pPr>
            <w:r>
              <w:t>Отсутствуют.</w:t>
            </w:r>
          </w:p>
        </w:tc>
      </w:tr>
      <w:tr w:rsidR="008E5CDF" w:rsidRPr="006C5D76" w14:paraId="19521D43" w14:textId="77777777" w:rsidTr="008E5CDF">
        <w:tc>
          <w:tcPr>
            <w:tcW w:w="1985" w:type="dxa"/>
            <w:hideMark/>
          </w:tcPr>
          <w:p w14:paraId="519F5BFA" w14:textId="77777777" w:rsidR="008E5CDF" w:rsidRDefault="008E5CDF" w:rsidP="00C422FA">
            <w:pPr>
              <w:pStyle w:val="SingleTxtG"/>
              <w:ind w:left="0" w:right="31"/>
              <w:rPr>
                <w:iCs/>
              </w:rPr>
            </w:pPr>
            <w:r>
              <w:t>Экологическое воздействие:</w:t>
            </w:r>
          </w:p>
        </w:tc>
        <w:tc>
          <w:tcPr>
            <w:tcW w:w="6061" w:type="dxa"/>
            <w:vAlign w:val="bottom"/>
            <w:hideMark/>
          </w:tcPr>
          <w:p w14:paraId="69987875" w14:textId="77777777" w:rsidR="008E5CDF" w:rsidRPr="006C5D76" w:rsidRDefault="008E5CDF" w:rsidP="00C422FA">
            <w:pPr>
              <w:pStyle w:val="SingleTxtG"/>
              <w:ind w:left="142" w:right="27"/>
              <w:rPr>
                <w:iCs/>
              </w:rPr>
            </w:pPr>
            <w:r>
              <w:t>Данное предложение направлено на унификацию толкования СПС и ограничение нарушений конкуренции.</w:t>
            </w:r>
          </w:p>
        </w:tc>
      </w:tr>
      <w:tr w:rsidR="008E5CDF" w:rsidRPr="006C5D76" w14:paraId="57CDDDE2" w14:textId="77777777" w:rsidTr="008E5CDF">
        <w:tc>
          <w:tcPr>
            <w:tcW w:w="1985" w:type="dxa"/>
            <w:hideMark/>
          </w:tcPr>
          <w:p w14:paraId="7E39575F" w14:textId="77777777" w:rsidR="008E5CDF" w:rsidRDefault="008E5CDF" w:rsidP="00C422FA">
            <w:pPr>
              <w:pStyle w:val="SingleTxtG"/>
              <w:ind w:left="0" w:right="31"/>
              <w:rPr>
                <w:iCs/>
              </w:rPr>
            </w:pPr>
            <w:r>
              <w:t>Осуществимость:</w:t>
            </w:r>
          </w:p>
        </w:tc>
        <w:tc>
          <w:tcPr>
            <w:tcW w:w="6061" w:type="dxa"/>
            <w:vAlign w:val="bottom"/>
            <w:hideMark/>
          </w:tcPr>
          <w:p w14:paraId="78D9D503" w14:textId="77777777" w:rsidR="008E5CDF" w:rsidRPr="006C5D76" w:rsidRDefault="008E5CDF" w:rsidP="00C422FA">
            <w:pPr>
              <w:pStyle w:val="SingleTxtG"/>
              <w:ind w:left="142" w:right="27"/>
            </w:pPr>
            <w:r>
              <w:t>Никаких дополнительных требований для официальных испытательных станций СПС.</w:t>
            </w:r>
          </w:p>
        </w:tc>
      </w:tr>
      <w:tr w:rsidR="008E5CDF" w:rsidRPr="006C5D76" w14:paraId="6D4C7CE8" w14:textId="77777777" w:rsidTr="008E5CDF"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FC60271" w14:textId="77777777" w:rsidR="008E5CDF" w:rsidRDefault="008E5CDF" w:rsidP="00C422FA">
            <w:pPr>
              <w:pStyle w:val="SingleTxtG"/>
              <w:ind w:left="0" w:right="31"/>
              <w:rPr>
                <w:iCs/>
              </w:rPr>
            </w:pPr>
            <w:r>
              <w:t>Обеспечение применения: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586CA3" w14:textId="77777777" w:rsidR="008E5CDF" w:rsidRPr="006C5D76" w:rsidRDefault="008E5CDF" w:rsidP="00C422FA">
            <w:pPr>
              <w:pStyle w:val="SingleTxtG"/>
              <w:ind w:left="142" w:right="0"/>
              <w:rPr>
                <w:iCs/>
              </w:rPr>
            </w:pPr>
            <w:r>
              <w:t>Никаких трудностей не предвидится. Переходный период не требуется.</w:t>
            </w:r>
          </w:p>
        </w:tc>
      </w:tr>
    </w:tbl>
    <w:p w14:paraId="2A60CC5D" w14:textId="77777777" w:rsidR="008E5CDF" w:rsidRPr="006C5D76" w:rsidRDefault="008E5CDF" w:rsidP="008E5CDF">
      <w:pPr>
        <w:spacing w:before="240"/>
        <w:jc w:val="center"/>
        <w:rPr>
          <w:u w:val="single"/>
        </w:rPr>
      </w:pPr>
      <w:r w:rsidRPr="006C5D76">
        <w:rPr>
          <w:u w:val="single"/>
        </w:rPr>
        <w:tab/>
      </w:r>
      <w:r w:rsidRPr="006C5D76">
        <w:rPr>
          <w:u w:val="single"/>
        </w:rPr>
        <w:tab/>
      </w:r>
      <w:r w:rsidRPr="006C5D76">
        <w:rPr>
          <w:u w:val="single"/>
        </w:rPr>
        <w:tab/>
      </w:r>
    </w:p>
    <w:p w14:paraId="5E8CDDD5" w14:textId="77777777" w:rsidR="008E5CDF" w:rsidRPr="006C5D76" w:rsidRDefault="008E5CDF" w:rsidP="008E5CDF"/>
    <w:p w14:paraId="01ACC3FA" w14:textId="77777777" w:rsidR="00E12C5F" w:rsidRPr="008D53B6" w:rsidRDefault="00E12C5F" w:rsidP="00D9145B"/>
    <w:sectPr w:rsidR="00E12C5F" w:rsidRPr="008D53B6" w:rsidSect="00E54D2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E2040" w14:textId="77777777" w:rsidR="0067374A" w:rsidRPr="00A312BC" w:rsidRDefault="0067374A" w:rsidP="00A312BC"/>
  </w:endnote>
  <w:endnote w:type="continuationSeparator" w:id="0">
    <w:p w14:paraId="6C68649C" w14:textId="77777777" w:rsidR="0067374A" w:rsidRPr="00A312BC" w:rsidRDefault="0067374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02BD" w14:textId="314E762C" w:rsidR="00E54D25" w:rsidRPr="00E54D25" w:rsidRDefault="00E54D25">
    <w:pPr>
      <w:pStyle w:val="a8"/>
    </w:pPr>
    <w:r w:rsidRPr="00E54D25">
      <w:rPr>
        <w:b/>
        <w:sz w:val="18"/>
      </w:rPr>
      <w:fldChar w:fldCharType="begin"/>
    </w:r>
    <w:r w:rsidRPr="00E54D25">
      <w:rPr>
        <w:b/>
        <w:sz w:val="18"/>
      </w:rPr>
      <w:instrText xml:space="preserve"> PAGE  \* MERGEFORMAT </w:instrText>
    </w:r>
    <w:r w:rsidRPr="00E54D25">
      <w:rPr>
        <w:b/>
        <w:sz w:val="18"/>
      </w:rPr>
      <w:fldChar w:fldCharType="separate"/>
    </w:r>
    <w:r w:rsidRPr="00E54D25">
      <w:rPr>
        <w:b/>
        <w:noProof/>
        <w:sz w:val="18"/>
      </w:rPr>
      <w:t>2</w:t>
    </w:r>
    <w:r w:rsidRPr="00E54D25">
      <w:rPr>
        <w:b/>
        <w:sz w:val="18"/>
      </w:rPr>
      <w:fldChar w:fldCharType="end"/>
    </w:r>
    <w:r>
      <w:rPr>
        <w:b/>
        <w:sz w:val="18"/>
      </w:rPr>
      <w:tab/>
    </w:r>
    <w:r>
      <w:t>GE.24-14781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30331" w14:textId="24DAD25F" w:rsidR="00E54D25" w:rsidRPr="00E54D25" w:rsidRDefault="00E54D25" w:rsidP="00E54D25">
    <w:pPr>
      <w:pStyle w:val="a8"/>
      <w:tabs>
        <w:tab w:val="clear" w:pos="9639"/>
        <w:tab w:val="right" w:pos="9638"/>
      </w:tabs>
      <w:rPr>
        <w:b/>
        <w:sz w:val="18"/>
      </w:rPr>
    </w:pPr>
    <w:r>
      <w:t>GE.24-14781</w:t>
    </w:r>
    <w:r>
      <w:tab/>
    </w:r>
    <w:r w:rsidRPr="00E54D25">
      <w:rPr>
        <w:b/>
        <w:sz w:val="18"/>
      </w:rPr>
      <w:fldChar w:fldCharType="begin"/>
    </w:r>
    <w:r w:rsidRPr="00E54D25">
      <w:rPr>
        <w:b/>
        <w:sz w:val="18"/>
      </w:rPr>
      <w:instrText xml:space="preserve"> PAGE  \* MERGEFORMAT </w:instrText>
    </w:r>
    <w:r w:rsidRPr="00E54D25">
      <w:rPr>
        <w:b/>
        <w:sz w:val="18"/>
      </w:rPr>
      <w:fldChar w:fldCharType="separate"/>
    </w:r>
    <w:r w:rsidRPr="00E54D25">
      <w:rPr>
        <w:b/>
        <w:noProof/>
        <w:sz w:val="18"/>
      </w:rPr>
      <w:t>3</w:t>
    </w:r>
    <w:r w:rsidRPr="00E54D2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9C97" w14:textId="043791C0" w:rsidR="00042B72" w:rsidRPr="00E54D25" w:rsidRDefault="00E54D25" w:rsidP="00E54D25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B5D2C6A" wp14:editId="695FF31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24-14781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C6FC409" wp14:editId="3FFEC77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020924  030924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40B0C" w14:textId="77777777" w:rsidR="0067374A" w:rsidRPr="001075E9" w:rsidRDefault="0067374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40EDB4E" w14:textId="77777777" w:rsidR="0067374A" w:rsidRDefault="0067374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C58A" w14:textId="3ED101CE" w:rsidR="00E54D25" w:rsidRPr="00E54D25" w:rsidRDefault="00E54D25">
    <w:pPr>
      <w:pStyle w:val="a5"/>
    </w:pPr>
    <w:fldSimple w:instr=" TITLE  \* MERGEFORMAT ">
      <w:r w:rsidR="00BF2B1F">
        <w:t>ECE/TRANS/WP.11/2024/24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11B6" w14:textId="549CF1A0" w:rsidR="00E54D25" w:rsidRPr="00E54D25" w:rsidRDefault="00E54D25" w:rsidP="00E54D25">
    <w:pPr>
      <w:pStyle w:val="a5"/>
      <w:jc w:val="right"/>
    </w:pPr>
    <w:fldSimple w:instr=" TITLE  \* MERGEFORMAT ">
      <w:r w:rsidR="00BF2B1F">
        <w:t>ECE/TRANS/WP.11/2024/24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4A"/>
    <w:rsid w:val="00033EE1"/>
    <w:rsid w:val="00042B72"/>
    <w:rsid w:val="000558BD"/>
    <w:rsid w:val="00056913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7374A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A4D55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E5CDF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BF2B1F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A7661"/>
    <w:rsid w:val="00DD78D1"/>
    <w:rsid w:val="00DE32CD"/>
    <w:rsid w:val="00DF5767"/>
    <w:rsid w:val="00DF71B9"/>
    <w:rsid w:val="00E12C5F"/>
    <w:rsid w:val="00E54D25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27AF6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F6F80"/>
  <w15:docId w15:val="{B1A5F3B9-DFD9-403A-A2D4-74641820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8E5CDF"/>
    <w:rPr>
      <w:lang w:val="ru-RU" w:eastAsia="en-US"/>
    </w:rPr>
  </w:style>
  <w:style w:type="character" w:customStyle="1" w:styleId="HChGChar">
    <w:name w:val="_ H _Ch_G Char"/>
    <w:link w:val="HChG"/>
    <w:rsid w:val="008E5CDF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018CF-991E-4391-811C-4E673C219A63}"/>
</file>

<file path=customXml/itemProps2.xml><?xml version="1.0" encoding="utf-8"?>
<ds:datastoreItem xmlns:ds="http://schemas.openxmlformats.org/officeDocument/2006/customXml" ds:itemID="{72D63E99-1658-4023-875D-AD36D7E47E4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686</Words>
  <Characters>5249</Characters>
  <Application>Microsoft Office Word</Application>
  <DocSecurity>0</DocSecurity>
  <Lines>121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ECE/TRANS/WP.11/2024/24</dc:title>
  <dc:subject/>
  <dc:creator>Ekaterina SALYNSKAYA</dc:creator>
  <cp:keywords/>
  <cp:lastModifiedBy>Ekaterina Salynskaya</cp:lastModifiedBy>
  <cp:revision>3</cp:revision>
  <cp:lastPrinted>2024-09-03T07:29:00Z</cp:lastPrinted>
  <dcterms:created xsi:type="dcterms:W3CDTF">2024-09-03T07:29:00Z</dcterms:created>
  <dcterms:modified xsi:type="dcterms:W3CDTF">2024-09-03T07:30:00Z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