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5" w:tblpY="285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8"/>
        <w:gridCol w:w="3398"/>
        <w:gridCol w:w="2268"/>
        <w:gridCol w:w="2693"/>
      </w:tblGrid>
      <w:tr w:rsidR="002D5AAC" w14:paraId="0086D694" w14:textId="77777777" w:rsidTr="00387CD4">
        <w:trPr>
          <w:trHeight w:hRule="exact" w:val="851"/>
        </w:trPr>
        <w:tc>
          <w:tcPr>
            <w:tcW w:w="142" w:type="dxa"/>
            <w:tcBorders>
              <w:bottom w:val="single" w:sz="4" w:space="0" w:color="auto"/>
            </w:tcBorders>
          </w:tcPr>
          <w:p w14:paraId="4753EE86" w14:textId="77777777" w:rsidR="002D5AAC" w:rsidRDefault="002D5AAC" w:rsidP="00AC477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bottom"/>
          </w:tcPr>
          <w:p w14:paraId="79F253E2" w14:textId="77777777" w:rsidR="002D5AAC" w:rsidRPr="00BD33EE" w:rsidRDefault="00DF71B9" w:rsidP="00387CD4">
            <w:pPr>
              <w:spacing w:after="80" w:line="300" w:lineRule="exact"/>
              <w:rPr>
                <w:sz w:val="28"/>
              </w:rPr>
            </w:pPr>
            <w:r>
              <w:rPr>
                <w:sz w:val="28"/>
              </w:rPr>
              <w:t>Организация Объединенных Наций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bottom"/>
          </w:tcPr>
          <w:p w14:paraId="6088F0B2" w14:textId="28B418BF" w:rsidR="002D5AAC" w:rsidRDefault="00AC477B" w:rsidP="00AC477B">
            <w:pPr>
              <w:jc w:val="right"/>
            </w:pPr>
            <w:r w:rsidRPr="00AC477B">
              <w:rPr>
                <w:sz w:val="40"/>
              </w:rPr>
              <w:t>ECE</w:t>
            </w:r>
            <w:r>
              <w:t>/TRANS/WP.11/2024/20</w:t>
            </w:r>
          </w:p>
        </w:tc>
      </w:tr>
      <w:tr w:rsidR="002D5AAC" w:rsidRPr="00601F75" w14:paraId="00FD1329" w14:textId="77777777" w:rsidTr="00387CD4">
        <w:trPr>
          <w:trHeight w:hRule="exact" w:val="2835"/>
        </w:trPr>
        <w:tc>
          <w:tcPr>
            <w:tcW w:w="128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FE28D2F" w14:textId="77777777" w:rsidR="002D5AAC" w:rsidRDefault="002E5067" w:rsidP="00387CD4">
            <w:pPr>
              <w:spacing w:before="120"/>
              <w:jc w:val="center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524D308" wp14:editId="00C0CDDD">
                  <wp:extent cx="714375" cy="590550"/>
                  <wp:effectExtent l="0" t="0" r="0" b="0"/>
                  <wp:docPr id="2" name="Imagen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14F1E5D" w14:textId="77777777" w:rsidR="002D5AAC" w:rsidRPr="00033EE1" w:rsidRDefault="008A37C8" w:rsidP="00387CD4">
            <w:pPr>
              <w:spacing w:before="120" w:line="460" w:lineRule="exact"/>
              <w:rPr>
                <w:b/>
                <w:sz w:val="34"/>
                <w:szCs w:val="34"/>
              </w:rPr>
            </w:pP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t xml:space="preserve">Экономический </w:t>
            </w:r>
            <w:r w:rsidRPr="008A37C8">
              <w:rPr>
                <w:rFonts w:eastAsia="Times New Roman" w:cs="Times New Roman"/>
                <w:b/>
                <w:spacing w:val="-4"/>
                <w:sz w:val="40"/>
                <w:szCs w:val="40"/>
              </w:rPr>
              <w:br/>
              <w:t>и Социальный 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14:paraId="04DA15CC" w14:textId="77777777" w:rsidR="002D5AAC" w:rsidRDefault="00AC477B" w:rsidP="00387CD4">
            <w:pPr>
              <w:spacing w:before="240"/>
              <w:rPr>
                <w:lang w:val="en-US"/>
              </w:rPr>
            </w:pPr>
            <w:r>
              <w:rPr>
                <w:lang w:val="en-US"/>
              </w:rPr>
              <w:t>Distr.: General</w:t>
            </w:r>
          </w:p>
          <w:p w14:paraId="551DF594" w14:textId="5EF71640" w:rsidR="00601F75" w:rsidRPr="00601F75" w:rsidRDefault="00601F75" w:rsidP="00601F75">
            <w:pPr>
              <w:spacing w:line="240" w:lineRule="exact"/>
              <w:rPr>
                <w:lang w:val="fr-CH"/>
              </w:rPr>
            </w:pPr>
            <w:r w:rsidRPr="00601F75">
              <w:rPr>
                <w:lang w:val="fr-CH"/>
              </w:rPr>
              <w:t xml:space="preserve">15 </w:t>
            </w:r>
            <w:r>
              <w:rPr>
                <w:lang w:val="fr-CH"/>
              </w:rPr>
              <w:t>August</w:t>
            </w:r>
            <w:r w:rsidRPr="00601F75">
              <w:rPr>
                <w:lang w:val="fr-CH"/>
              </w:rPr>
              <w:t xml:space="preserve"> 2024</w:t>
            </w:r>
          </w:p>
          <w:p w14:paraId="47A248E2" w14:textId="77777777" w:rsidR="00AC477B" w:rsidRDefault="00AC477B" w:rsidP="00AC47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Russian</w:t>
            </w:r>
          </w:p>
          <w:p w14:paraId="134CB65F" w14:textId="49D1BB3A" w:rsidR="00AC477B" w:rsidRPr="008D53B6" w:rsidRDefault="00AC477B" w:rsidP="00AC477B">
            <w:pPr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 xml:space="preserve">Original: </w:t>
            </w:r>
            <w:r w:rsidR="00507BE0">
              <w:rPr>
                <w:lang w:val="en-US"/>
              </w:rPr>
              <w:t>French</w:t>
            </w:r>
          </w:p>
        </w:tc>
      </w:tr>
    </w:tbl>
    <w:p w14:paraId="796332A3" w14:textId="77777777" w:rsidR="00AC477B" w:rsidRDefault="00AC477B" w:rsidP="00AC477B">
      <w:pPr>
        <w:spacing w:before="120"/>
        <w:rPr>
          <w:b/>
          <w:sz w:val="28"/>
          <w:szCs w:val="28"/>
        </w:rPr>
      </w:pPr>
      <w:r w:rsidRPr="00245892">
        <w:rPr>
          <w:b/>
          <w:sz w:val="28"/>
          <w:szCs w:val="28"/>
        </w:rPr>
        <w:t>Европейская экономическая комиссия</w:t>
      </w:r>
    </w:p>
    <w:p w14:paraId="6D9A92FE" w14:textId="77777777" w:rsidR="00AC477B" w:rsidRPr="006D0AF6" w:rsidRDefault="00AC477B" w:rsidP="00AC477B">
      <w:pPr>
        <w:spacing w:before="120"/>
        <w:rPr>
          <w:rFonts w:asciiTheme="majorBidi" w:hAnsiTheme="majorBidi" w:cstheme="majorBidi"/>
          <w:sz w:val="28"/>
          <w:szCs w:val="28"/>
        </w:rPr>
      </w:pPr>
      <w:r w:rsidRPr="006D0AF6">
        <w:rPr>
          <w:rFonts w:asciiTheme="majorBidi" w:hAnsiTheme="majorBidi" w:cstheme="majorBidi"/>
          <w:sz w:val="28"/>
          <w:szCs w:val="28"/>
        </w:rPr>
        <w:t>Комитет по внутреннему транспорту</w:t>
      </w:r>
    </w:p>
    <w:p w14:paraId="5E061D2C" w14:textId="77777777" w:rsidR="00AC477B" w:rsidRPr="006D0AF6" w:rsidRDefault="00AC477B" w:rsidP="00AC477B">
      <w:pPr>
        <w:spacing w:before="120" w:after="120"/>
        <w:rPr>
          <w:rFonts w:asciiTheme="majorBidi" w:hAnsiTheme="majorBidi" w:cstheme="majorBidi"/>
          <w:b/>
          <w:sz w:val="24"/>
          <w:szCs w:val="24"/>
        </w:rPr>
      </w:pPr>
      <w:r w:rsidRPr="006D0AF6">
        <w:rPr>
          <w:rFonts w:asciiTheme="majorBidi" w:hAnsiTheme="majorBidi" w:cstheme="majorBidi"/>
          <w:b/>
          <w:bCs/>
          <w:sz w:val="24"/>
          <w:szCs w:val="24"/>
        </w:rPr>
        <w:t xml:space="preserve">Рабочая группа по перевозкам скоропортящихся </w:t>
      </w:r>
      <w:r w:rsidRPr="006D0AF6">
        <w:rPr>
          <w:rFonts w:asciiTheme="majorBidi" w:hAnsiTheme="majorBidi" w:cstheme="majorBidi"/>
          <w:b/>
          <w:bCs/>
          <w:sz w:val="24"/>
          <w:szCs w:val="24"/>
        </w:rPr>
        <w:br/>
        <w:t>пищевых продуктов</w:t>
      </w:r>
    </w:p>
    <w:p w14:paraId="274276E5" w14:textId="77777777" w:rsidR="00F92AA4" w:rsidRPr="00F92AA4" w:rsidRDefault="00AC477B" w:rsidP="00AC477B">
      <w:pPr>
        <w:rPr>
          <w:b/>
          <w:bCs/>
        </w:rPr>
      </w:pPr>
      <w:r>
        <w:rPr>
          <w:b/>
          <w:bCs/>
        </w:rPr>
        <w:t>Восемьдесят первая сессия</w:t>
      </w:r>
    </w:p>
    <w:p w14:paraId="4F1B2C99" w14:textId="4AD6A345" w:rsidR="00AC477B" w:rsidRDefault="00AC477B" w:rsidP="00AC477B">
      <w:r>
        <w:t xml:space="preserve">Женева, 29 октября — 1 ноября 2024 года </w:t>
      </w:r>
    </w:p>
    <w:p w14:paraId="608AC12C" w14:textId="77777777" w:rsidR="00AC477B" w:rsidRDefault="00AC477B" w:rsidP="00AC477B">
      <w:r>
        <w:t>Пункт 5 b) предварительной повестки дня</w:t>
      </w:r>
    </w:p>
    <w:p w14:paraId="46219BC9" w14:textId="77777777" w:rsidR="00AC477B" w:rsidRPr="005F502D" w:rsidRDefault="00AC477B" w:rsidP="00AC477B">
      <w:pPr>
        <w:pStyle w:val="2"/>
        <w:spacing w:before="15"/>
        <w:rPr>
          <w:b/>
          <w:bCs w:val="0"/>
        </w:rPr>
      </w:pPr>
      <w:r>
        <w:rPr>
          <w:b/>
        </w:rPr>
        <w:t>Предложения по поправкам к СПС:</w:t>
      </w:r>
    </w:p>
    <w:p w14:paraId="12624FF4" w14:textId="77777777" w:rsidR="00AC477B" w:rsidRDefault="00AC477B" w:rsidP="00AC477B">
      <w:pPr>
        <w:rPr>
          <w:b/>
        </w:rPr>
      </w:pPr>
      <w:r>
        <w:rPr>
          <w:b/>
          <w:bCs/>
        </w:rPr>
        <w:t>новые предложения</w:t>
      </w:r>
    </w:p>
    <w:p w14:paraId="60A206A0" w14:textId="77777777" w:rsidR="00AC477B" w:rsidRDefault="00AC477B" w:rsidP="00AC477B">
      <w:pPr>
        <w:pStyle w:val="HChG"/>
      </w:pPr>
      <w:r>
        <w:tab/>
      </w:r>
      <w:r>
        <w:tab/>
      </w:r>
      <w:r>
        <w:rPr>
          <w:bCs/>
        </w:rPr>
        <w:t>Определение понятия автономности транспортного средства</w:t>
      </w:r>
    </w:p>
    <w:p w14:paraId="42E510CD" w14:textId="77777777" w:rsidR="00AC477B" w:rsidRDefault="00AC477B" w:rsidP="00AC477B">
      <w:pPr>
        <w:pStyle w:val="H1G"/>
        <w:rPr>
          <w:bCs/>
          <w:lang w:val="fr-CH"/>
        </w:rPr>
      </w:pPr>
      <w:r>
        <w:tab/>
      </w:r>
      <w:r>
        <w:tab/>
      </w:r>
      <w:r>
        <w:rPr>
          <w:bCs/>
        </w:rPr>
        <w:t>Передано правительством Франции</w:t>
      </w:r>
    </w:p>
    <w:tbl>
      <w:tblPr>
        <w:tblStyle w:val="ac"/>
        <w:tblW w:w="0" w:type="auto"/>
        <w:jc w:val="center"/>
        <w:tblLook w:val="05E0" w:firstRow="1" w:lastRow="1" w:firstColumn="1" w:lastColumn="1" w:noHBand="0" w:noVBand="1"/>
      </w:tblPr>
      <w:tblGrid>
        <w:gridCol w:w="9628"/>
      </w:tblGrid>
      <w:tr w:rsidR="00AC477B" w:rsidRPr="00AC477B" w14:paraId="6D7AE5D7" w14:textId="77777777" w:rsidTr="00850215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7645C3F1" w14:textId="77777777" w:rsidR="00AC477B" w:rsidRPr="00AC477B" w:rsidRDefault="00AC477B" w:rsidP="00850215">
            <w:pPr>
              <w:tabs>
                <w:tab w:val="left" w:pos="255"/>
              </w:tabs>
              <w:spacing w:before="240" w:after="120"/>
              <w:rPr>
                <w:rFonts w:cs="Times New Roman"/>
                <w:sz w:val="24"/>
              </w:rPr>
            </w:pPr>
            <w:r w:rsidRPr="00AC477B">
              <w:rPr>
                <w:rFonts w:cs="Times New Roman"/>
              </w:rPr>
              <w:tab/>
            </w:r>
            <w:r w:rsidRPr="00AC477B">
              <w:rPr>
                <w:rFonts w:cs="Times New Roman"/>
                <w:i/>
                <w:sz w:val="24"/>
              </w:rPr>
              <w:t>Резюме</w:t>
            </w:r>
          </w:p>
        </w:tc>
      </w:tr>
      <w:tr w:rsidR="00AC477B" w:rsidRPr="00AC477B" w14:paraId="3A53E53E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1ED05B86" w14:textId="799906F6" w:rsidR="00AC477B" w:rsidRPr="00AC477B" w:rsidRDefault="00AC477B" w:rsidP="00AC477B">
            <w:pPr>
              <w:pStyle w:val="SingleTxtG"/>
              <w:ind w:left="3819" w:hanging="2552"/>
            </w:pPr>
            <w:r>
              <w:rPr>
                <w:b/>
                <w:bCs/>
              </w:rPr>
              <w:t>Существо предложения:</w:t>
            </w:r>
            <w:r>
              <w:tab/>
              <w:t>Цель данного предложения заключается в том, чтобы дать определение понятия автономности специального транспортного средства с учетом новых технологий энергоснабжения термического оборудования.</w:t>
            </w:r>
          </w:p>
        </w:tc>
      </w:tr>
      <w:tr w:rsidR="00AC477B" w:rsidRPr="00AC477B" w14:paraId="0A62B1C8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7ABB9C28" w14:textId="106F2253" w:rsidR="00AC477B" w:rsidRDefault="00AC477B" w:rsidP="00AC477B">
            <w:pPr>
              <w:pStyle w:val="SingleTxtG"/>
              <w:ind w:left="3819" w:hanging="2552"/>
              <w:rPr>
                <w:b/>
                <w:bCs/>
              </w:rPr>
            </w:pPr>
            <w:r w:rsidRPr="00AC477B">
              <w:rPr>
                <w:b/>
                <w:bCs/>
              </w:rPr>
              <w:t>Предлагаемое решение:</w:t>
            </w:r>
            <w:r>
              <w:tab/>
              <w:t>Включить определение в пункт 7 приложения 1 к СПС</w:t>
            </w:r>
            <w:r w:rsidRPr="00AC477B">
              <w:t>.</w:t>
            </w:r>
          </w:p>
        </w:tc>
      </w:tr>
      <w:tr w:rsidR="00AC477B" w:rsidRPr="00AC477B" w14:paraId="44894F87" w14:textId="77777777" w:rsidTr="00850215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4DE425C2" w14:textId="23ECA967" w:rsidR="00AC477B" w:rsidRPr="00AC477B" w:rsidRDefault="00AC477B" w:rsidP="00AC477B">
            <w:pPr>
              <w:pStyle w:val="SingleTxtG"/>
              <w:ind w:left="3819" w:hanging="2552"/>
              <w:rPr>
                <w:b/>
                <w:bCs/>
                <w:lang w:val="fr-CH"/>
              </w:rPr>
            </w:pPr>
            <w:r w:rsidRPr="00AC477B">
              <w:rPr>
                <w:b/>
                <w:bCs/>
              </w:rPr>
              <w:t>Справочные документы:</w:t>
            </w:r>
            <w:r>
              <w:tab/>
              <w:t>Отсутствуют</w:t>
            </w:r>
            <w:r>
              <w:t>.</w:t>
            </w:r>
          </w:p>
        </w:tc>
      </w:tr>
      <w:tr w:rsidR="00AC477B" w:rsidRPr="00AC477B" w14:paraId="520EC6B9" w14:textId="77777777" w:rsidTr="00850215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3F8E52E4" w14:textId="77777777" w:rsidR="00AC477B" w:rsidRPr="00AC477B" w:rsidRDefault="00AC477B" w:rsidP="00850215">
            <w:pPr>
              <w:rPr>
                <w:rFonts w:cs="Times New Roman"/>
              </w:rPr>
            </w:pPr>
          </w:p>
        </w:tc>
      </w:tr>
    </w:tbl>
    <w:p w14:paraId="0DDA5EB3" w14:textId="77777777" w:rsidR="00AC477B" w:rsidRDefault="00AC477B" w:rsidP="00AC477B">
      <w:pPr>
        <w:pStyle w:val="HChG"/>
      </w:pPr>
      <w:r>
        <w:tab/>
      </w:r>
      <w:r>
        <w:tab/>
      </w:r>
      <w:r>
        <w:rPr>
          <w:bCs/>
        </w:rPr>
        <w:t>Введение</w:t>
      </w:r>
      <w:bookmarkStart w:id="0" w:name="OLE_LINK2"/>
      <w:bookmarkStart w:id="1" w:name="OLE_LINK1"/>
      <w:bookmarkEnd w:id="0"/>
      <w:bookmarkEnd w:id="1"/>
    </w:p>
    <w:p w14:paraId="0D6FA1A4" w14:textId="77777777" w:rsidR="00AC477B" w:rsidRPr="00EE45D3" w:rsidRDefault="00AC477B" w:rsidP="00AC477B">
      <w:pPr>
        <w:pStyle w:val="SingleTxtG"/>
      </w:pPr>
      <w:r>
        <w:t>1.</w:t>
      </w:r>
      <w:r>
        <w:tab/>
        <w:t>Статья 4 Соглашения о международной перевозке скоропортящихся пищевых продуктов и о специальных транспортных средствах, предназначенных для этой перевозки (СПС), гласит: «Эти транспортные средства [специальные транспортные средства, упомянутые в статье 1] выбираются и используются таким образом, чтобы в течение всей перевозки могли соблюдаться температурные условия, предписанные в этих приложениях [приложения 2 и 3]. Таким образом, технология, используемая в специальных транспортных средствах, должна обеспечивать возможность перевозки скоропортящихся продуктов питания в температурных условиях, предусмотренных СПС, и перевозчик должен иметь представление об ограничениях по их эксплуатации.</w:t>
      </w:r>
    </w:p>
    <w:p w14:paraId="0E98D54A" w14:textId="77777777" w:rsidR="00AC477B" w:rsidRPr="00EE45D3" w:rsidRDefault="00AC477B" w:rsidP="00AC477B">
      <w:pPr>
        <w:pStyle w:val="SingleTxtG"/>
      </w:pPr>
      <w:r>
        <w:t>2.</w:t>
      </w:r>
      <w:r>
        <w:tab/>
        <w:t xml:space="preserve">Сертификация соответствия СПС призвана дать перевозчику гарантии того, что параметры специального транспортного средства подходят для поддержания заданных температурных условий на протяжении всей перевозки, а также предоставить </w:t>
      </w:r>
      <w:r>
        <w:lastRenderedPageBreak/>
        <w:t>перевозчику объективную информацию об эксплуатационных ограничениях транспортного средства.</w:t>
      </w:r>
    </w:p>
    <w:p w14:paraId="183B4104" w14:textId="77777777" w:rsidR="00AC477B" w:rsidRPr="00EE45D3" w:rsidRDefault="00AC477B" w:rsidP="00AC477B">
      <w:pPr>
        <w:pStyle w:val="SingleTxtG"/>
      </w:pPr>
      <w:r>
        <w:t>3.</w:t>
      </w:r>
      <w:r>
        <w:tab/>
        <w:t>С учетом целей по декарбонизации изготовители вынуждены внедрять новые технологии для энергообеспечения термического оборудования, влияющие на условия сертификации транспортных средств. Среди представленных на рынке систем речь идет, в первую очередь, о транспортных средствах, работающих от электроаккумуляторов, независимо от того, предназначены ли они исключительно для питания транспортных средств или нет. В некоторых случаях подзарядка этих аккумуляторов возможна при работающем тепловом двигателе, когда транспортное средство — рефрижератор и/или отапливаемое транспортное средство производит холод и/или тепло. Гибкость, которую обеспечивают электроаккумуляторы, неоспорима, однако при рассмотрении транспортных средств, работающих от смешанных источников энергии, возникают затруднения с определением их категории согласно СПС и предоставлением пользователям четкой информации об ограничениях по их эксплуатации.</w:t>
      </w:r>
    </w:p>
    <w:p w14:paraId="3439F4B8" w14:textId="77777777" w:rsidR="00AC477B" w:rsidRPr="00EE45D3" w:rsidRDefault="00AC477B" w:rsidP="00AC477B">
      <w:pPr>
        <w:pStyle w:val="SingleTxtG"/>
      </w:pPr>
      <w:r>
        <w:t>4.</w:t>
      </w:r>
      <w:r>
        <w:tab/>
        <w:t>Так, в пункте 6.2.2 (подпункт i)) добавления 2 к приложению 1 содержится следующее определение неавтономных транспортных средств: «Неавтономные транспортные средства, у которых холодильная установка приводится в действие их двигателем». Такие транспортные средства маркируются специальным знаком «X» для облегчения их идентификации, особенно при прохождении пунктов пересечения границ, а также для информирования перевозчика о том, что термическое оборудование не может функционировать в автономном режиме независимо от работы транспортного средства. Транспортные средства любого другого типа, включая некоторые транспортные средства с электрическим приводом, во время перевозки фактически считаются «автономными», и в этом случае перевозчик должен быть уверен в продолжительности работы термического оборудования, чтобы иметь возможность выбрать транспортное средство в соответствии со своими потребностями.</w:t>
      </w:r>
    </w:p>
    <w:p w14:paraId="2E6E0E83" w14:textId="77777777" w:rsidR="00AC477B" w:rsidRPr="00EE45D3" w:rsidRDefault="00AC477B" w:rsidP="00AC477B">
      <w:pPr>
        <w:pStyle w:val="SingleTxtG"/>
      </w:pPr>
      <w:r>
        <w:t>5.</w:t>
      </w:r>
      <w:r>
        <w:tab/>
        <w:t>Свидетельство СПС и маркировка транспортного средства СПС не содержат сведений о продолжительности функционирования оборудования в автономном режиме независимо от работы транспортного средства. Вместо того чтобы множить знаки маркировки, было бы проще установить критерий минимальной работы</w:t>
      </w:r>
      <w:r w:rsidRPr="00795FF0">
        <w:t xml:space="preserve"> </w:t>
      </w:r>
      <w:r>
        <w:t>для выдачи свидетельств СПС. СПС не содержит никаких определенных критериев, касающихся продолжительности работы и позволяющих отнести термическое оборудование к категории «автономного». В связи с этим предлагается включить серию из двух предложений, направленных на то, чтобы:</w:t>
      </w:r>
    </w:p>
    <w:p w14:paraId="4F2F7EFF" w14:textId="77777777" w:rsidR="00AC477B" w:rsidRPr="008236AF" w:rsidRDefault="00AC477B" w:rsidP="007D4401">
      <w:pPr>
        <w:pStyle w:val="SingleTxtG"/>
        <w:ind w:firstLine="567"/>
      </w:pPr>
      <w:r>
        <w:t>a)</w:t>
      </w:r>
      <w:r>
        <w:tab/>
        <w:t>уточнить определение автономного транспортного средства и критерий минимальной продолжительности функционирования в автономном режиме независимо от работы транспортного средства;</w:t>
      </w:r>
    </w:p>
    <w:p w14:paraId="6C27DA72" w14:textId="77777777" w:rsidR="00AC477B" w:rsidRPr="008236AF" w:rsidRDefault="00AC477B" w:rsidP="007D4401">
      <w:pPr>
        <w:pStyle w:val="SingleTxtG"/>
        <w:ind w:firstLine="567"/>
      </w:pPr>
      <w:r>
        <w:t>b)</w:t>
      </w:r>
      <w:r>
        <w:tab/>
        <w:t>уточнить характеристики термического оборудования с источником электропитания (для режима перевозки), позволяющие отнести его к категории «автономного».</w:t>
      </w:r>
    </w:p>
    <w:p w14:paraId="4FF43123" w14:textId="5C5AAE64" w:rsidR="00AC477B" w:rsidRDefault="00AC477B" w:rsidP="00AC477B">
      <w:pPr>
        <w:pStyle w:val="HChG"/>
      </w:pPr>
      <w:r>
        <w:rPr>
          <w:bCs/>
          <w:lang w:val="fr-CH"/>
        </w:rPr>
        <w:tab/>
      </w:r>
      <w:r>
        <w:rPr>
          <w:bCs/>
        </w:rPr>
        <w:t>I.</w:t>
      </w:r>
      <w:r>
        <w:tab/>
      </w:r>
      <w:r>
        <w:rPr>
          <w:bCs/>
        </w:rPr>
        <w:t>Предложение</w:t>
      </w:r>
    </w:p>
    <w:p w14:paraId="660DF0F1" w14:textId="5D90EDD3" w:rsidR="00AC477B" w:rsidRPr="00805D44" w:rsidRDefault="00AC477B" w:rsidP="00AC477B">
      <w:pPr>
        <w:pStyle w:val="SingleTxtG"/>
      </w:pPr>
      <w:bookmarkStart w:id="2" w:name="_Hlk30687072"/>
      <w:r>
        <w:t>6.</w:t>
      </w:r>
      <w:r>
        <w:tab/>
        <w:t>Включить в пункт 7 («Определения») приложения 1 определение понятия автономности транспортного средства:</w:t>
      </w:r>
    </w:p>
    <w:bookmarkEnd w:id="2"/>
    <w:p w14:paraId="3FE1369A" w14:textId="4C355019" w:rsidR="00AC477B" w:rsidRPr="00805D44" w:rsidRDefault="00AC477B" w:rsidP="00AC477B">
      <w:pPr>
        <w:pStyle w:val="SingleTxtG"/>
        <w:rPr>
          <w:b/>
          <w:iCs/>
        </w:rPr>
      </w:pPr>
      <w:r w:rsidRPr="00AC477B">
        <w:t>«</w:t>
      </w:r>
      <w:r>
        <w:rPr>
          <w:b/>
          <w:bCs/>
        </w:rPr>
        <w:t xml:space="preserve">Транспортное средство является </w:t>
      </w:r>
      <w:r w:rsidRPr="00AC477B">
        <w:rPr>
          <w:b/>
          <w:bCs/>
        </w:rPr>
        <w:t>“</w:t>
      </w:r>
      <w:r>
        <w:rPr>
          <w:b/>
          <w:bCs/>
        </w:rPr>
        <w:t>автономным</w:t>
      </w:r>
      <w:r w:rsidRPr="00AC477B">
        <w:rPr>
          <w:b/>
          <w:bCs/>
        </w:rPr>
        <w:t>”</w:t>
      </w:r>
      <w:r>
        <w:rPr>
          <w:b/>
          <w:bCs/>
        </w:rPr>
        <w:t>, если:</w:t>
      </w:r>
    </w:p>
    <w:p w14:paraId="3DF87EBF" w14:textId="77777777" w:rsidR="00AC477B" w:rsidRPr="00805D44" w:rsidRDefault="00AC477B" w:rsidP="00AC477B">
      <w:pPr>
        <w:pStyle w:val="Bullet1G"/>
        <w:kinsoku w:val="0"/>
        <w:overflowPunct w:val="0"/>
        <w:autoSpaceDE w:val="0"/>
        <w:autoSpaceDN w:val="0"/>
        <w:adjustRightInd w:val="0"/>
        <w:snapToGrid w:val="0"/>
      </w:pPr>
      <w:r>
        <w:t>производство холода или холода и теплоты зависит от источника энергии, который:</w:t>
      </w:r>
    </w:p>
    <w:p w14:paraId="01234633" w14:textId="77777777" w:rsidR="00AC477B" w:rsidRPr="00805D44" w:rsidRDefault="00AC477B" w:rsidP="00AC477B">
      <w:pPr>
        <w:pStyle w:val="Bullet2G"/>
        <w:kinsoku w:val="0"/>
        <w:overflowPunct w:val="0"/>
        <w:autoSpaceDE w:val="0"/>
        <w:autoSpaceDN w:val="0"/>
        <w:adjustRightInd w:val="0"/>
        <w:snapToGrid w:val="0"/>
      </w:pPr>
      <w:r>
        <w:t>предназначен только для термического оборудования или питает его в приоритетном порядке;</w:t>
      </w:r>
    </w:p>
    <w:p w14:paraId="4148B9B7" w14:textId="77777777" w:rsidR="00AC477B" w:rsidRPr="00805D44" w:rsidRDefault="00AC477B" w:rsidP="00AC477B">
      <w:pPr>
        <w:pStyle w:val="Bullet2G"/>
        <w:kinsoku w:val="0"/>
        <w:overflowPunct w:val="0"/>
        <w:autoSpaceDE w:val="0"/>
        <w:autoSpaceDN w:val="0"/>
        <w:adjustRightInd w:val="0"/>
        <w:snapToGrid w:val="0"/>
      </w:pPr>
      <w:r>
        <w:t>всегда доступен;</w:t>
      </w:r>
    </w:p>
    <w:p w14:paraId="1E097B40" w14:textId="77777777" w:rsidR="00AC477B" w:rsidRPr="00805D44" w:rsidRDefault="00AC477B" w:rsidP="00AC477B">
      <w:pPr>
        <w:pStyle w:val="Bullet2G"/>
        <w:kinsoku w:val="0"/>
        <w:overflowPunct w:val="0"/>
        <w:autoSpaceDE w:val="0"/>
        <w:autoSpaceDN w:val="0"/>
        <w:adjustRightInd w:val="0"/>
        <w:snapToGrid w:val="0"/>
      </w:pPr>
      <w:r>
        <w:t>не может быть отключен на протяжении всей перевозки;</w:t>
      </w:r>
    </w:p>
    <w:p w14:paraId="6CC9F60D" w14:textId="77777777" w:rsidR="00AC477B" w:rsidRPr="00805D44" w:rsidRDefault="00AC477B" w:rsidP="00AC477B">
      <w:pPr>
        <w:pStyle w:val="Bullet1G"/>
        <w:kinsoku w:val="0"/>
        <w:overflowPunct w:val="0"/>
        <w:autoSpaceDE w:val="0"/>
        <w:autoSpaceDN w:val="0"/>
        <w:adjustRightInd w:val="0"/>
        <w:snapToGrid w:val="0"/>
      </w:pPr>
      <w:r w:rsidRPr="00BE28C6">
        <w:t>при полной нагрузке в наиболее энергоемком режиме, когда температура окружающей среды составляет 30 °C, продолжительность его автономной работы превышает один час».</w:t>
      </w:r>
      <w:r>
        <w:t xml:space="preserve"> </w:t>
      </w:r>
    </w:p>
    <w:p w14:paraId="1AF14C95" w14:textId="77777777" w:rsidR="00AC477B" w:rsidRPr="00805D44" w:rsidRDefault="00AC477B" w:rsidP="00AC477B">
      <w:pPr>
        <w:pStyle w:val="H23G"/>
      </w:pPr>
      <w:r>
        <w:tab/>
      </w:r>
      <w:r>
        <w:tab/>
      </w:r>
      <w:r>
        <w:rPr>
          <w:bCs/>
        </w:rPr>
        <w:t>Перевод:</w:t>
      </w:r>
    </w:p>
    <w:p w14:paraId="3613AD59" w14:textId="5864AEBD" w:rsidR="00AC477B" w:rsidRPr="00797E1B" w:rsidRDefault="00AC477B" w:rsidP="00AC477B">
      <w:pPr>
        <w:pStyle w:val="SingleTxtG"/>
        <w:rPr>
          <w:i/>
          <w:iCs/>
        </w:rPr>
      </w:pPr>
      <w:r>
        <w:t>автономный:</w:t>
      </w:r>
      <w:r>
        <w:tab/>
      </w:r>
      <w:r>
        <w:tab/>
      </w:r>
      <w:r>
        <w:tab/>
      </w:r>
      <w:r w:rsidR="009E3104">
        <w:rPr>
          <w:lang w:val="fr-CH"/>
        </w:rPr>
        <w:tab/>
      </w:r>
      <w:r w:rsidR="009E3104">
        <w:rPr>
          <w:lang w:val="fr-CH"/>
        </w:rPr>
        <w:tab/>
      </w:r>
      <w:r w:rsidR="009E3104">
        <w:rPr>
          <w:lang w:val="fr-CH"/>
        </w:rPr>
        <w:tab/>
      </w:r>
      <w:r w:rsidR="005434AB">
        <w:rPr>
          <w:lang w:val="fr-CH"/>
        </w:rPr>
        <w:tab/>
      </w:r>
      <w:r>
        <w:rPr>
          <w:i/>
          <w:iCs/>
        </w:rPr>
        <w:t>independent;</w:t>
      </w:r>
    </w:p>
    <w:p w14:paraId="2BEDF22B" w14:textId="77777777" w:rsidR="00AC477B" w:rsidRDefault="00AC477B" w:rsidP="00AC477B">
      <w:pPr>
        <w:pStyle w:val="SingleTxtG"/>
        <w:rPr>
          <w:i/>
          <w:iCs/>
        </w:rPr>
      </w:pPr>
      <w:r>
        <w:t xml:space="preserve">продолжительность автономной работы: </w:t>
      </w:r>
      <w:r>
        <w:tab/>
      </w:r>
      <w:r>
        <w:rPr>
          <w:i/>
          <w:iCs/>
        </w:rPr>
        <w:t>independence duration.</w:t>
      </w:r>
    </w:p>
    <w:p w14:paraId="05E23FFE" w14:textId="506AADEA" w:rsidR="00AC477B" w:rsidRPr="005D0761" w:rsidRDefault="00AC477B" w:rsidP="00AC477B">
      <w:pPr>
        <w:pStyle w:val="HChG"/>
      </w:pPr>
      <w:r>
        <w:rPr>
          <w:bCs/>
          <w:lang w:val="en-US"/>
        </w:rPr>
        <w:tab/>
      </w:r>
      <w:r>
        <w:rPr>
          <w:bCs/>
        </w:rPr>
        <w:t>II.</w:t>
      </w:r>
      <w:r>
        <w:tab/>
      </w:r>
      <w:r>
        <w:rPr>
          <w:bCs/>
        </w:rPr>
        <w:t>Последствия</w:t>
      </w:r>
    </w:p>
    <w:tbl>
      <w:tblPr>
        <w:tblW w:w="8505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1763"/>
        <w:gridCol w:w="6742"/>
      </w:tblGrid>
      <w:tr w:rsidR="00AC477B" w:rsidRPr="00E3749D" w14:paraId="177F3E20" w14:textId="77777777" w:rsidTr="00AC477B">
        <w:tc>
          <w:tcPr>
            <w:tcW w:w="176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3BD9B36" w14:textId="77777777" w:rsidR="00AC477B" w:rsidRPr="00E3749D" w:rsidRDefault="00AC477B" w:rsidP="00460FB7">
            <w:pPr>
              <w:pStyle w:val="SingleTxtG"/>
              <w:ind w:left="0" w:right="31"/>
              <w:rPr>
                <w:iCs/>
              </w:rPr>
            </w:pPr>
            <w:r>
              <w:t>Обоснование:</w:t>
            </w:r>
          </w:p>
        </w:tc>
        <w:tc>
          <w:tcPr>
            <w:tcW w:w="67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BF83957" w14:textId="77777777" w:rsidR="00AC477B" w:rsidRDefault="00AC477B" w:rsidP="00460FB7">
            <w:pPr>
              <w:pStyle w:val="SingleTxtG"/>
              <w:ind w:left="179" w:right="27"/>
            </w:pPr>
            <w:r>
              <w:t>Унификация формулировок и упорядочение идентификации автономного оборудования.</w:t>
            </w:r>
          </w:p>
          <w:p w14:paraId="6CBC8676" w14:textId="77777777" w:rsidR="00AC477B" w:rsidRPr="00E3749D" w:rsidRDefault="00AC477B" w:rsidP="00460FB7">
            <w:pPr>
              <w:pStyle w:val="SingleTxtG"/>
              <w:ind w:left="179" w:right="27"/>
              <w:rPr>
                <w:iCs/>
              </w:rPr>
            </w:pPr>
            <w:r>
              <w:t>Информирование перевозчика о параметрах транспортного средства и ограничениях по их эксплуатации.</w:t>
            </w:r>
          </w:p>
        </w:tc>
      </w:tr>
      <w:tr w:rsidR="00AC477B" w:rsidRPr="00E3749D" w14:paraId="3E1EB567" w14:textId="77777777" w:rsidTr="00AC477B">
        <w:tc>
          <w:tcPr>
            <w:tcW w:w="1763" w:type="dxa"/>
          </w:tcPr>
          <w:p w14:paraId="077F22C7" w14:textId="77777777" w:rsidR="00AC477B" w:rsidRPr="00E3749D" w:rsidRDefault="00AC477B" w:rsidP="00460FB7">
            <w:pPr>
              <w:pStyle w:val="SingleTxtG"/>
              <w:ind w:left="0" w:right="31"/>
              <w:rPr>
                <w:iCs/>
              </w:rPr>
            </w:pPr>
            <w:r>
              <w:t>Затраты:</w:t>
            </w:r>
          </w:p>
        </w:tc>
        <w:tc>
          <w:tcPr>
            <w:tcW w:w="6742" w:type="dxa"/>
            <w:vAlign w:val="bottom"/>
          </w:tcPr>
          <w:p w14:paraId="3365D4E8" w14:textId="77777777" w:rsidR="00AC477B" w:rsidRDefault="00AC477B" w:rsidP="00460FB7">
            <w:pPr>
              <w:pStyle w:val="SingleTxtG"/>
              <w:ind w:left="179" w:right="27"/>
            </w:pPr>
            <w:r>
              <w:t>Никаких затрат, связанных с изменением текста СПС и проведением сертификации. Предложение предусматривает сохранение существующей маркировки для транспортных средств СПС.</w:t>
            </w:r>
          </w:p>
          <w:p w14:paraId="64A58CFD" w14:textId="77777777" w:rsidR="00AC477B" w:rsidRPr="00E3749D" w:rsidRDefault="00AC477B" w:rsidP="00460FB7">
            <w:pPr>
              <w:pStyle w:val="SingleTxtG"/>
              <w:ind w:left="179" w:right="27"/>
              <w:rPr>
                <w:iCs/>
              </w:rPr>
            </w:pPr>
            <w:r>
              <w:t>Внедрение официальными испытательными станциями испытаний для определения категории источника энергии может повлечь за собой расходы.</w:t>
            </w:r>
          </w:p>
        </w:tc>
      </w:tr>
      <w:tr w:rsidR="00AC477B" w:rsidRPr="00E3749D" w14:paraId="5DFAE4F3" w14:textId="77777777" w:rsidTr="00AC477B">
        <w:tc>
          <w:tcPr>
            <w:tcW w:w="1763" w:type="dxa"/>
            <w:hideMark/>
          </w:tcPr>
          <w:p w14:paraId="3B22150C" w14:textId="77777777" w:rsidR="00AC477B" w:rsidRPr="00E3749D" w:rsidRDefault="00AC477B" w:rsidP="00460FB7">
            <w:pPr>
              <w:pStyle w:val="SingleTxtG"/>
              <w:ind w:left="0" w:right="31"/>
              <w:rPr>
                <w:iCs/>
              </w:rPr>
            </w:pPr>
            <w:r>
              <w:t>Экологическое воздействие:</w:t>
            </w:r>
          </w:p>
        </w:tc>
        <w:tc>
          <w:tcPr>
            <w:tcW w:w="6742" w:type="dxa"/>
            <w:vAlign w:val="bottom"/>
            <w:hideMark/>
          </w:tcPr>
          <w:p w14:paraId="258E4507" w14:textId="77777777" w:rsidR="00AC477B" w:rsidRPr="00E3749D" w:rsidRDefault="00AC477B" w:rsidP="00460FB7">
            <w:pPr>
              <w:pStyle w:val="SingleTxtG"/>
              <w:ind w:left="179" w:right="27"/>
              <w:rPr>
                <w:iCs/>
              </w:rPr>
            </w:pPr>
            <w:r>
              <w:t>Данное предложение направлено на унификацию толкования СПС и предотвращение нарушений конкуренции.</w:t>
            </w:r>
          </w:p>
        </w:tc>
      </w:tr>
      <w:tr w:rsidR="00AC477B" w:rsidRPr="00E3749D" w14:paraId="0FC98EB6" w14:textId="77777777" w:rsidTr="00AC477B">
        <w:tc>
          <w:tcPr>
            <w:tcW w:w="1763" w:type="dxa"/>
            <w:hideMark/>
          </w:tcPr>
          <w:p w14:paraId="7D2E1C16" w14:textId="77777777" w:rsidR="00AC477B" w:rsidRPr="00E3749D" w:rsidRDefault="00AC477B" w:rsidP="00460FB7">
            <w:pPr>
              <w:pStyle w:val="SingleTxtG"/>
              <w:ind w:left="0" w:right="31"/>
              <w:rPr>
                <w:iCs/>
              </w:rPr>
            </w:pPr>
            <w:r>
              <w:t>Осуществимость:</w:t>
            </w:r>
          </w:p>
        </w:tc>
        <w:tc>
          <w:tcPr>
            <w:tcW w:w="6742" w:type="dxa"/>
            <w:vAlign w:val="bottom"/>
            <w:hideMark/>
          </w:tcPr>
          <w:p w14:paraId="6CF861B7" w14:textId="77777777" w:rsidR="00AC477B" w:rsidRPr="00E3749D" w:rsidRDefault="00AC477B" w:rsidP="00460FB7">
            <w:pPr>
              <w:pStyle w:val="SingleTxtG"/>
              <w:ind w:left="179" w:right="27"/>
            </w:pPr>
            <w:r>
              <w:t>Официальные испытательные станции СПС в некоторых случаях (при отсутствии существующего сертификата на источники энергии) должны будут внедрить метод испытания для определения категории источника энергии.</w:t>
            </w:r>
          </w:p>
        </w:tc>
      </w:tr>
      <w:tr w:rsidR="00AC477B" w:rsidRPr="00E3749D" w14:paraId="0BE0E4EB" w14:textId="77777777" w:rsidTr="00AC477B">
        <w:tc>
          <w:tcPr>
            <w:tcW w:w="176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2749EE1" w14:textId="77777777" w:rsidR="00AC477B" w:rsidRPr="00E3749D" w:rsidRDefault="00AC477B" w:rsidP="00460FB7">
            <w:pPr>
              <w:pStyle w:val="SingleTxtG"/>
              <w:ind w:left="0" w:right="31"/>
              <w:rPr>
                <w:iCs/>
              </w:rPr>
            </w:pPr>
            <w:r>
              <w:t>Обеспечение применения:</w:t>
            </w:r>
          </w:p>
        </w:tc>
        <w:tc>
          <w:tcPr>
            <w:tcW w:w="67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0EFFF183" w14:textId="77777777" w:rsidR="00AC477B" w:rsidRPr="00E3749D" w:rsidRDefault="00AC477B" w:rsidP="00460FB7">
            <w:pPr>
              <w:pStyle w:val="SingleTxtG"/>
              <w:ind w:left="179" w:right="0"/>
              <w:rPr>
                <w:iCs/>
              </w:rPr>
            </w:pPr>
            <w:r>
              <w:t>Никаких трудностей не предвидится. Переходный период не требуется.</w:t>
            </w:r>
          </w:p>
        </w:tc>
      </w:tr>
    </w:tbl>
    <w:p w14:paraId="44051D40" w14:textId="005629D4" w:rsidR="00E12C5F" w:rsidRPr="008D53B6" w:rsidRDefault="00AC477B" w:rsidP="00AC477B">
      <w:pPr>
        <w:spacing w:before="240"/>
        <w:jc w:val="center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12C5F" w:rsidRPr="008D53B6" w:rsidSect="00AC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6718" w14:textId="77777777" w:rsidR="00920E9E" w:rsidRPr="00A312BC" w:rsidRDefault="00920E9E" w:rsidP="00A312BC"/>
  </w:endnote>
  <w:endnote w:type="continuationSeparator" w:id="0">
    <w:p w14:paraId="0C65CAE5" w14:textId="77777777" w:rsidR="00920E9E" w:rsidRPr="00A312BC" w:rsidRDefault="00920E9E" w:rsidP="00A3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AE2D" w14:textId="11223735" w:rsidR="00AC477B" w:rsidRPr="00AC477B" w:rsidRDefault="00AC477B">
    <w:pPr>
      <w:pStyle w:val="a8"/>
    </w:pPr>
    <w:r w:rsidRPr="00AC477B">
      <w:rPr>
        <w:b/>
        <w:sz w:val="18"/>
      </w:rPr>
      <w:fldChar w:fldCharType="begin"/>
    </w:r>
    <w:r w:rsidRPr="00AC477B">
      <w:rPr>
        <w:b/>
        <w:sz w:val="18"/>
      </w:rPr>
      <w:instrText xml:space="preserve"> PAGE  \* MERGEFORMAT </w:instrText>
    </w:r>
    <w:r w:rsidRPr="00AC477B">
      <w:rPr>
        <w:b/>
        <w:sz w:val="18"/>
      </w:rPr>
      <w:fldChar w:fldCharType="separate"/>
    </w:r>
    <w:r w:rsidRPr="00AC477B">
      <w:rPr>
        <w:b/>
        <w:noProof/>
        <w:sz w:val="18"/>
      </w:rPr>
      <w:t>2</w:t>
    </w:r>
    <w:r w:rsidRPr="00AC477B">
      <w:rPr>
        <w:b/>
        <w:sz w:val="18"/>
      </w:rPr>
      <w:fldChar w:fldCharType="end"/>
    </w:r>
    <w:r>
      <w:rPr>
        <w:b/>
        <w:sz w:val="18"/>
      </w:rPr>
      <w:tab/>
    </w:r>
    <w:r>
      <w:t>GE.24-14775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C7E9" w14:textId="031835FB" w:rsidR="00AC477B" w:rsidRPr="00AC477B" w:rsidRDefault="00AC477B" w:rsidP="00AC477B">
    <w:pPr>
      <w:pStyle w:val="a8"/>
      <w:tabs>
        <w:tab w:val="clear" w:pos="9639"/>
        <w:tab w:val="right" w:pos="9638"/>
      </w:tabs>
      <w:rPr>
        <w:b/>
        <w:sz w:val="18"/>
      </w:rPr>
    </w:pPr>
    <w:r>
      <w:t>GE.24-14775</w:t>
    </w:r>
    <w:r>
      <w:tab/>
    </w:r>
    <w:r w:rsidRPr="00AC477B">
      <w:rPr>
        <w:b/>
        <w:sz w:val="18"/>
      </w:rPr>
      <w:fldChar w:fldCharType="begin"/>
    </w:r>
    <w:r w:rsidRPr="00AC477B">
      <w:rPr>
        <w:b/>
        <w:sz w:val="18"/>
      </w:rPr>
      <w:instrText xml:space="preserve"> PAGE  \* MERGEFORMAT </w:instrText>
    </w:r>
    <w:r w:rsidRPr="00AC477B">
      <w:rPr>
        <w:b/>
        <w:sz w:val="18"/>
      </w:rPr>
      <w:fldChar w:fldCharType="separate"/>
    </w:r>
    <w:r w:rsidRPr="00AC477B">
      <w:rPr>
        <w:b/>
        <w:noProof/>
        <w:sz w:val="18"/>
      </w:rPr>
      <w:t>3</w:t>
    </w:r>
    <w:r w:rsidRPr="00AC477B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41AA" w14:textId="56A80DD5" w:rsidR="00042B72" w:rsidRPr="00AC477B" w:rsidRDefault="00AC477B" w:rsidP="00AC477B">
    <w:pPr>
      <w:spacing w:before="120" w:line="240" w:lineRule="auto"/>
      <w:rPr>
        <w:lang w:val="fr-CH"/>
      </w:rPr>
    </w:pPr>
    <w:r>
      <w:t>GE.</w:t>
    </w:r>
    <w:r w:rsidR="00DF71B9">
      <w:rPr>
        <w:b/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3E6FF248" wp14:editId="3C7B36C6">
          <wp:simplePos x="0" y="0"/>
          <wp:positionH relativeFrom="margin">
            <wp:posOffset>2699385</wp:posOffset>
          </wp:positionH>
          <wp:positionV relativeFrom="margin">
            <wp:posOffset>9179560</wp:posOffset>
          </wp:positionV>
          <wp:extent cx="2656800" cy="277200"/>
          <wp:effectExtent l="0" t="0" r="0" b="8890"/>
          <wp:wrapNone/>
          <wp:docPr id="3" name="Рисунок 2" descr="recycle_Russi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Russian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2647"/>
                  <a:stretch/>
                </pic:blipFill>
                <pic:spPr bwMode="auto">
                  <a:xfrm>
                    <a:off x="0" y="0"/>
                    <a:ext cx="2656800" cy="2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24-14775  (R)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D5DD1BF" wp14:editId="41D7BCD0">
          <wp:simplePos x="0" y="0"/>
          <wp:positionH relativeFrom="margin">
            <wp:posOffset>5489575</wp:posOffset>
          </wp:positionH>
          <wp:positionV relativeFrom="margin">
            <wp:posOffset>8855710</wp:posOffset>
          </wp:positionV>
          <wp:extent cx="628650" cy="6286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CH"/>
      </w:rPr>
      <w:t xml:space="preserve">  020924  030924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3AF3" w14:textId="77777777" w:rsidR="00920E9E" w:rsidRPr="001075E9" w:rsidRDefault="00920E9E" w:rsidP="001075E9">
      <w:pPr>
        <w:tabs>
          <w:tab w:val="right" w:pos="2155"/>
        </w:tabs>
        <w:spacing w:after="80" w:line="240" w:lineRule="auto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070AFBAB" w14:textId="77777777" w:rsidR="00920E9E" w:rsidRDefault="00920E9E" w:rsidP="00407B78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EFD8" w14:textId="13CE9723" w:rsidR="00AC477B" w:rsidRPr="00AC477B" w:rsidRDefault="00AC477B">
    <w:pPr>
      <w:pStyle w:val="a5"/>
    </w:pPr>
    <w:fldSimple w:instr=" TITLE  \* MERGEFORMAT ">
      <w:r w:rsidR="001C08BA">
        <w:t>ECE/TRANS/WP.11/2024/20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049" w14:textId="571A9820" w:rsidR="00AC477B" w:rsidRPr="00AC477B" w:rsidRDefault="00AC477B" w:rsidP="00AC477B">
    <w:pPr>
      <w:pStyle w:val="a5"/>
      <w:jc w:val="right"/>
    </w:pPr>
    <w:fldSimple w:instr=" TITLE  \* MERGEFORMAT ">
      <w:r w:rsidR="001C08BA">
        <w:t>ECE/TRANS/WP.11/2024/20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F9D0" w14:textId="77777777" w:rsidR="00AC477B" w:rsidRDefault="00AC477B" w:rsidP="00AC477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4F9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4A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66A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364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E641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4A4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C4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463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8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70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E1417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6A7743B"/>
    <w:multiLevelType w:val="hybridMultilevel"/>
    <w:tmpl w:val="165289D8"/>
    <w:lvl w:ilvl="0" w:tplc="14C64E84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CF5"/>
    <w:multiLevelType w:val="hybridMultilevel"/>
    <w:tmpl w:val="93FCAD22"/>
    <w:lvl w:ilvl="0" w:tplc="F73C6636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34FFF"/>
    <w:multiLevelType w:val="multilevel"/>
    <w:tmpl w:val="0C0A0023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5BC90228"/>
    <w:multiLevelType w:val="hybridMultilevel"/>
    <w:tmpl w:val="E5464F8E"/>
    <w:lvl w:ilvl="0" w:tplc="FD0C5992">
      <w:start w:val="1"/>
      <w:numFmt w:val="decimal"/>
      <w:pStyle w:val="ParaNoG"/>
      <w:lvlText w:val="%1."/>
      <w:lvlJc w:val="left"/>
      <w:pPr>
        <w:tabs>
          <w:tab w:val="num" w:pos="1491"/>
        </w:tabs>
        <w:ind w:left="113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BF12F8"/>
    <w:multiLevelType w:val="hybridMultilevel"/>
    <w:tmpl w:val="43A6C61A"/>
    <w:lvl w:ilvl="0" w:tplc="A65245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D3DE4"/>
    <w:multiLevelType w:val="hybridMultilevel"/>
    <w:tmpl w:val="569E52D4"/>
    <w:lvl w:ilvl="0" w:tplc="E77E5F5E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E38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056733885">
    <w:abstractNumId w:val="16"/>
  </w:num>
  <w:num w:numId="2" w16cid:durableId="966817556">
    <w:abstractNumId w:val="11"/>
  </w:num>
  <w:num w:numId="3" w16cid:durableId="1816291531">
    <w:abstractNumId w:val="10"/>
  </w:num>
  <w:num w:numId="4" w16cid:durableId="1492480875">
    <w:abstractNumId w:val="17"/>
  </w:num>
  <w:num w:numId="5" w16cid:durableId="1298685170">
    <w:abstractNumId w:val="13"/>
  </w:num>
  <w:num w:numId="6" w16cid:durableId="1283070902">
    <w:abstractNumId w:val="8"/>
  </w:num>
  <w:num w:numId="7" w16cid:durableId="1699626965">
    <w:abstractNumId w:val="3"/>
  </w:num>
  <w:num w:numId="8" w16cid:durableId="1329138966">
    <w:abstractNumId w:val="2"/>
  </w:num>
  <w:num w:numId="9" w16cid:durableId="972639926">
    <w:abstractNumId w:val="1"/>
  </w:num>
  <w:num w:numId="10" w16cid:durableId="1379890997">
    <w:abstractNumId w:val="0"/>
  </w:num>
  <w:num w:numId="11" w16cid:durableId="395789326">
    <w:abstractNumId w:val="9"/>
  </w:num>
  <w:num w:numId="12" w16cid:durableId="767236370">
    <w:abstractNumId w:val="7"/>
  </w:num>
  <w:num w:numId="13" w16cid:durableId="1427002435">
    <w:abstractNumId w:val="6"/>
  </w:num>
  <w:num w:numId="14" w16cid:durableId="731152056">
    <w:abstractNumId w:val="5"/>
  </w:num>
  <w:num w:numId="15" w16cid:durableId="2099473488">
    <w:abstractNumId w:val="4"/>
  </w:num>
  <w:num w:numId="16" w16cid:durableId="746810400">
    <w:abstractNumId w:val="15"/>
  </w:num>
  <w:num w:numId="17" w16cid:durableId="53941411">
    <w:abstractNumId w:val="12"/>
  </w:num>
  <w:num w:numId="18" w16cid:durableId="961153681">
    <w:abstractNumId w:val="14"/>
  </w:num>
  <w:num w:numId="19" w16cid:durableId="1272468768">
    <w:abstractNumId w:val="15"/>
  </w:num>
  <w:num w:numId="20" w16cid:durableId="807743971">
    <w:abstractNumId w:val="12"/>
  </w:num>
  <w:num w:numId="21" w16cid:durableId="159116218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oNotHyphenateCaps/>
  <w:evenAndOddHeaders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9E"/>
    <w:rsid w:val="00033EE1"/>
    <w:rsid w:val="00042B72"/>
    <w:rsid w:val="000558BD"/>
    <w:rsid w:val="000B57E7"/>
    <w:rsid w:val="000B6373"/>
    <w:rsid w:val="000E4E5B"/>
    <w:rsid w:val="000F09DF"/>
    <w:rsid w:val="000F61B2"/>
    <w:rsid w:val="00105B7B"/>
    <w:rsid w:val="001075E9"/>
    <w:rsid w:val="0014152F"/>
    <w:rsid w:val="00180183"/>
    <w:rsid w:val="0018024D"/>
    <w:rsid w:val="0018649F"/>
    <w:rsid w:val="00196389"/>
    <w:rsid w:val="001B3EF6"/>
    <w:rsid w:val="001C08BA"/>
    <w:rsid w:val="001C7A89"/>
    <w:rsid w:val="00255343"/>
    <w:rsid w:val="0027151D"/>
    <w:rsid w:val="002A2EFC"/>
    <w:rsid w:val="002B0106"/>
    <w:rsid w:val="002B74B1"/>
    <w:rsid w:val="002C0E18"/>
    <w:rsid w:val="002D5AAC"/>
    <w:rsid w:val="002E5067"/>
    <w:rsid w:val="002F405F"/>
    <w:rsid w:val="002F7EEC"/>
    <w:rsid w:val="00301299"/>
    <w:rsid w:val="00305C08"/>
    <w:rsid w:val="00307FB6"/>
    <w:rsid w:val="00317339"/>
    <w:rsid w:val="00322004"/>
    <w:rsid w:val="003402C2"/>
    <w:rsid w:val="00381C24"/>
    <w:rsid w:val="00387CD4"/>
    <w:rsid w:val="003958D0"/>
    <w:rsid w:val="003A0D43"/>
    <w:rsid w:val="003A48CE"/>
    <w:rsid w:val="003B00E5"/>
    <w:rsid w:val="003E0B46"/>
    <w:rsid w:val="00407B78"/>
    <w:rsid w:val="00424203"/>
    <w:rsid w:val="00452493"/>
    <w:rsid w:val="00453318"/>
    <w:rsid w:val="00454AF2"/>
    <w:rsid w:val="00454E07"/>
    <w:rsid w:val="00472C5C"/>
    <w:rsid w:val="00485F8A"/>
    <w:rsid w:val="004E05B7"/>
    <w:rsid w:val="0050108D"/>
    <w:rsid w:val="00507BE0"/>
    <w:rsid w:val="00513081"/>
    <w:rsid w:val="00517901"/>
    <w:rsid w:val="00526683"/>
    <w:rsid w:val="00526DB8"/>
    <w:rsid w:val="005434AB"/>
    <w:rsid w:val="005639C1"/>
    <w:rsid w:val="005709E0"/>
    <w:rsid w:val="00572E19"/>
    <w:rsid w:val="005961C8"/>
    <w:rsid w:val="005966F1"/>
    <w:rsid w:val="005D7914"/>
    <w:rsid w:val="005E2B41"/>
    <w:rsid w:val="005F0B42"/>
    <w:rsid w:val="00601F75"/>
    <w:rsid w:val="00617A43"/>
    <w:rsid w:val="006345DB"/>
    <w:rsid w:val="00640F49"/>
    <w:rsid w:val="00680D03"/>
    <w:rsid w:val="00681A10"/>
    <w:rsid w:val="006A1ED8"/>
    <w:rsid w:val="006C2031"/>
    <w:rsid w:val="006D461A"/>
    <w:rsid w:val="006F35EE"/>
    <w:rsid w:val="007021FF"/>
    <w:rsid w:val="00712895"/>
    <w:rsid w:val="00734ACB"/>
    <w:rsid w:val="00757357"/>
    <w:rsid w:val="00792497"/>
    <w:rsid w:val="007D3596"/>
    <w:rsid w:val="007D4401"/>
    <w:rsid w:val="00806737"/>
    <w:rsid w:val="00825F8D"/>
    <w:rsid w:val="00834B71"/>
    <w:rsid w:val="0086445C"/>
    <w:rsid w:val="00894693"/>
    <w:rsid w:val="008A08D7"/>
    <w:rsid w:val="008A37C8"/>
    <w:rsid w:val="008B6909"/>
    <w:rsid w:val="008D53B6"/>
    <w:rsid w:val="008F7609"/>
    <w:rsid w:val="00906890"/>
    <w:rsid w:val="00911BE4"/>
    <w:rsid w:val="00920E9E"/>
    <w:rsid w:val="00951972"/>
    <w:rsid w:val="009608F3"/>
    <w:rsid w:val="009A24AC"/>
    <w:rsid w:val="009C59D7"/>
    <w:rsid w:val="009C6FE6"/>
    <w:rsid w:val="009D7E7D"/>
    <w:rsid w:val="009E3104"/>
    <w:rsid w:val="00A14DA8"/>
    <w:rsid w:val="00A312BC"/>
    <w:rsid w:val="00A84021"/>
    <w:rsid w:val="00A84D35"/>
    <w:rsid w:val="00A917B3"/>
    <w:rsid w:val="00AB4B51"/>
    <w:rsid w:val="00AC477B"/>
    <w:rsid w:val="00B10CC7"/>
    <w:rsid w:val="00B36DF7"/>
    <w:rsid w:val="00B539E7"/>
    <w:rsid w:val="00B62458"/>
    <w:rsid w:val="00BC18B2"/>
    <w:rsid w:val="00BD33EE"/>
    <w:rsid w:val="00BE1CC7"/>
    <w:rsid w:val="00BF7A13"/>
    <w:rsid w:val="00C106D6"/>
    <w:rsid w:val="00C119AE"/>
    <w:rsid w:val="00C60F0C"/>
    <w:rsid w:val="00C71E84"/>
    <w:rsid w:val="00C805C9"/>
    <w:rsid w:val="00C92939"/>
    <w:rsid w:val="00CA1679"/>
    <w:rsid w:val="00CB151C"/>
    <w:rsid w:val="00CE5A1A"/>
    <w:rsid w:val="00CF55F6"/>
    <w:rsid w:val="00D33D63"/>
    <w:rsid w:val="00D5253A"/>
    <w:rsid w:val="00D873A8"/>
    <w:rsid w:val="00D90028"/>
    <w:rsid w:val="00D90138"/>
    <w:rsid w:val="00D9145B"/>
    <w:rsid w:val="00DD78D1"/>
    <w:rsid w:val="00DE32CD"/>
    <w:rsid w:val="00DF5767"/>
    <w:rsid w:val="00DF71B9"/>
    <w:rsid w:val="00E12C5F"/>
    <w:rsid w:val="00E73F76"/>
    <w:rsid w:val="00E91A4A"/>
    <w:rsid w:val="00EA2C9F"/>
    <w:rsid w:val="00EA420E"/>
    <w:rsid w:val="00ED0BDA"/>
    <w:rsid w:val="00EE142A"/>
    <w:rsid w:val="00EF1360"/>
    <w:rsid w:val="00EF3220"/>
    <w:rsid w:val="00F2523A"/>
    <w:rsid w:val="00F43903"/>
    <w:rsid w:val="00F73C9D"/>
    <w:rsid w:val="00F92AA4"/>
    <w:rsid w:val="00F94155"/>
    <w:rsid w:val="00F9783F"/>
    <w:rsid w:val="00FD2EF7"/>
    <w:rsid w:val="00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4C185"/>
  <w15:docId w15:val="{DF65928C-75A2-402A-8BB1-7D14F72F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/>
    <w:lsdException w:name="List 2" w:semiHidden="1" w:unhideWhenUsed="1"/>
    <w:lsdException w:name="List 3" w:semiHidden="1" w:unhideWhenUsed="1"/>
    <w:lsdException w:name="List 4" w:semiHidden="1" w:uiPriority="1"/>
    <w:lsdException w:name="List 5" w:semiHidden="1" w:uiPriority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/>
    <w:lsdException w:name="Salutation" w:semiHidden="1" w:uiPriority="1"/>
    <w:lsdException w:name="Date" w:semiHidden="1" w:uiPriority="1"/>
    <w:lsdException w:name="Body Text First Indent" w:semiHidden="1" w:uiPriority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/>
    <w:lsdException w:name="Emphasis" w:semiHidden="1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45B"/>
    <w:pPr>
      <w:suppressAutoHyphens/>
      <w:spacing w:line="240" w:lineRule="atLeast"/>
    </w:pPr>
    <w:rPr>
      <w:rFonts w:eastAsiaTheme="minorHAnsi" w:cstheme="minorBidi"/>
      <w:szCs w:val="22"/>
      <w:lang w:val="ru-RU" w:eastAsia="en-US"/>
    </w:rPr>
  </w:style>
  <w:style w:type="paragraph" w:styleId="1">
    <w:name w:val="heading 1"/>
    <w:aliases w:val="Table_G"/>
    <w:basedOn w:val="a"/>
    <w:next w:val="a"/>
    <w:link w:val="10"/>
    <w:qFormat/>
    <w:rsid w:val="00617A43"/>
    <w:pPr>
      <w:keepNext/>
      <w:tabs>
        <w:tab w:val="left" w:pos="567"/>
      </w:tabs>
      <w:jc w:val="both"/>
      <w:outlineLvl w:val="0"/>
    </w:pPr>
    <w:rPr>
      <w:rFonts w:eastAsia="Times New Roman" w:cs="Arial"/>
      <w:b/>
      <w:bCs/>
      <w:szCs w:val="32"/>
      <w:lang w:eastAsia="ru-RU"/>
    </w:rPr>
  </w:style>
  <w:style w:type="paragraph" w:styleId="2">
    <w:name w:val="heading 2"/>
    <w:basedOn w:val="a"/>
    <w:next w:val="a"/>
    <w:link w:val="20"/>
    <w:semiHidden/>
    <w:qFormat/>
    <w:rsid w:val="009C6FE6"/>
    <w:pPr>
      <w:keepNext/>
      <w:outlineLvl w:val="1"/>
    </w:pPr>
    <w:rPr>
      <w:rFonts w:cs="Arial"/>
      <w:bCs/>
      <w:iCs/>
      <w:szCs w:val="28"/>
    </w:rPr>
  </w:style>
  <w:style w:type="paragraph" w:styleId="3">
    <w:name w:val="heading 3"/>
    <w:basedOn w:val="a"/>
    <w:next w:val="a"/>
    <w:semiHidden/>
    <w:rsid w:val="009C6F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semiHidden/>
    <w:rsid w:val="009C6F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semiHidden/>
    <w:rsid w:val="009C6F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semiHidden/>
    <w:rsid w:val="009C6FE6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semiHidden/>
    <w:rsid w:val="009C6FE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semiHidden/>
    <w:rsid w:val="009C6FE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semiHidden/>
    <w:rsid w:val="009C6FE6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1"/>
    <w:semiHidden/>
    <w:rsid w:val="009C6F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1"/>
    <w:semiHidden/>
    <w:rsid w:val="00C71E84"/>
    <w:rPr>
      <w:rFonts w:ascii="Tahoma" w:eastAsiaTheme="minorHAnsi" w:hAnsi="Tahoma" w:cs="Tahoma"/>
      <w:sz w:val="16"/>
      <w:szCs w:val="16"/>
      <w:lang w:val="ru-RU" w:eastAsia="en-US"/>
    </w:rPr>
  </w:style>
  <w:style w:type="paragraph" w:customStyle="1" w:styleId="HMG">
    <w:name w:val="_ H __M_G"/>
    <w:basedOn w:val="a"/>
    <w:next w:val="a"/>
    <w:qFormat/>
    <w:rsid w:val="00617A43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rFonts w:eastAsia="Times New Roman" w:cs="Times New Roman"/>
      <w:b/>
      <w:sz w:val="34"/>
      <w:szCs w:val="20"/>
      <w:lang w:eastAsia="ru-RU"/>
    </w:rPr>
  </w:style>
  <w:style w:type="paragraph" w:customStyle="1" w:styleId="HChG">
    <w:name w:val="_ H _Ch_G"/>
    <w:basedOn w:val="a"/>
    <w:next w:val="a"/>
    <w:link w:val="HChGChar"/>
    <w:qFormat/>
    <w:rsid w:val="00617A43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H1G">
    <w:name w:val="_ H_1_G"/>
    <w:basedOn w:val="a"/>
    <w:next w:val="a"/>
    <w:qFormat/>
    <w:rsid w:val="00617A43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23G">
    <w:name w:val="_ H_2/3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rFonts w:eastAsia="Times New Roman" w:cs="Times New Roman"/>
      <w:b/>
      <w:szCs w:val="20"/>
      <w:lang w:eastAsia="ru-RU"/>
    </w:rPr>
  </w:style>
  <w:style w:type="paragraph" w:customStyle="1" w:styleId="H4G">
    <w:name w:val="_ H_4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rFonts w:eastAsia="Times New Roman" w:cs="Times New Roman"/>
      <w:i/>
      <w:szCs w:val="20"/>
      <w:lang w:eastAsia="ru-RU"/>
    </w:rPr>
  </w:style>
  <w:style w:type="paragraph" w:customStyle="1" w:styleId="H56G">
    <w:name w:val="_ H_5/6_G"/>
    <w:basedOn w:val="a"/>
    <w:next w:val="a"/>
    <w:qFormat/>
    <w:rsid w:val="00617A43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  <w:rPr>
      <w:rFonts w:eastAsia="Times New Roman" w:cs="Times New Roman"/>
      <w:szCs w:val="20"/>
      <w:lang w:eastAsia="ru-RU"/>
    </w:rPr>
  </w:style>
  <w:style w:type="paragraph" w:customStyle="1" w:styleId="SingleTxtG">
    <w:name w:val="_ Single Txt_G"/>
    <w:basedOn w:val="a"/>
    <w:link w:val="SingleTxtGChar"/>
    <w:qFormat/>
    <w:rsid w:val="00C71E84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  <w:rPr>
      <w:rFonts w:eastAsia="Times New Roman" w:cs="Times New Roman"/>
      <w:szCs w:val="20"/>
    </w:rPr>
  </w:style>
  <w:style w:type="paragraph" w:customStyle="1" w:styleId="SLG">
    <w:name w:val="__S_L_G"/>
    <w:basedOn w:val="a"/>
    <w:next w:val="a"/>
    <w:qFormat/>
    <w:rsid w:val="00617A43"/>
    <w:pPr>
      <w:keepNext/>
      <w:keepLines/>
      <w:spacing w:before="240" w:after="240" w:line="580" w:lineRule="exact"/>
      <w:ind w:left="1134" w:right="1134"/>
    </w:pPr>
    <w:rPr>
      <w:rFonts w:eastAsia="Times New Roman" w:cs="Times New Roman"/>
      <w:b/>
      <w:sz w:val="56"/>
      <w:szCs w:val="20"/>
      <w:lang w:eastAsia="ru-RU"/>
    </w:rPr>
  </w:style>
  <w:style w:type="paragraph" w:customStyle="1" w:styleId="SMG">
    <w:name w:val="__S_M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SSG">
    <w:name w:val="__S_S_G"/>
    <w:basedOn w:val="a"/>
    <w:next w:val="a"/>
    <w:qFormat/>
    <w:rsid w:val="00617A43"/>
    <w:pPr>
      <w:keepNext/>
      <w:keepLines/>
      <w:spacing w:before="240" w:after="240" w:line="300" w:lineRule="exact"/>
      <w:ind w:left="1134" w:right="1134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XLargeG">
    <w:name w:val="__XLarge_G"/>
    <w:basedOn w:val="a"/>
    <w:next w:val="a"/>
    <w:qFormat/>
    <w:rsid w:val="00617A43"/>
    <w:pPr>
      <w:keepNext/>
      <w:keepLines/>
      <w:spacing w:before="240" w:after="240" w:line="420" w:lineRule="exact"/>
      <w:ind w:left="1134" w:right="1134"/>
    </w:pPr>
    <w:rPr>
      <w:rFonts w:eastAsia="Times New Roman" w:cs="Times New Roman"/>
      <w:b/>
      <w:sz w:val="40"/>
      <w:szCs w:val="20"/>
      <w:lang w:eastAsia="ru-RU"/>
    </w:rPr>
  </w:style>
  <w:style w:type="paragraph" w:customStyle="1" w:styleId="Bullet1G">
    <w:name w:val="_Bullet 1_G"/>
    <w:basedOn w:val="a"/>
    <w:qFormat/>
    <w:rsid w:val="00617A43"/>
    <w:pPr>
      <w:numPr>
        <w:numId w:val="19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Bullet2G">
    <w:name w:val="_Bullet 2_G"/>
    <w:basedOn w:val="a"/>
    <w:qFormat/>
    <w:rsid w:val="00617A43"/>
    <w:pPr>
      <w:numPr>
        <w:numId w:val="20"/>
      </w:numPr>
      <w:spacing w:after="120"/>
      <w:ind w:right="1134"/>
      <w:jc w:val="both"/>
    </w:pPr>
    <w:rPr>
      <w:rFonts w:eastAsia="Times New Roman" w:cs="Times New Roman"/>
      <w:szCs w:val="20"/>
      <w:lang w:eastAsia="ru-RU"/>
    </w:rPr>
  </w:style>
  <w:style w:type="paragraph" w:customStyle="1" w:styleId="ParaNoG">
    <w:name w:val="_ParaNo._G"/>
    <w:basedOn w:val="a"/>
    <w:next w:val="a"/>
    <w:qFormat/>
    <w:rsid w:val="00C71E84"/>
    <w:pPr>
      <w:numPr>
        <w:numId w:val="21"/>
      </w:numPr>
      <w:tabs>
        <w:tab w:val="clear" w:pos="1491"/>
      </w:tabs>
      <w:spacing w:after="120"/>
      <w:ind w:right="1134"/>
      <w:jc w:val="both"/>
      <w:outlineLvl w:val="0"/>
    </w:pPr>
    <w:rPr>
      <w:rFonts w:eastAsia="Times New Roman" w:cs="Times New Roman"/>
      <w:szCs w:val="20"/>
      <w:lang w:eastAsia="ru-RU"/>
    </w:rPr>
  </w:style>
  <w:style w:type="table" w:customStyle="1" w:styleId="TabNum">
    <w:name w:val="_TabNum"/>
    <w:basedOn w:val="a1"/>
    <w:rsid w:val="00617A43"/>
    <w:pPr>
      <w:spacing w:before="40" w:after="40" w:line="220" w:lineRule="exact"/>
      <w:jc w:val="right"/>
    </w:pPr>
    <w:rPr>
      <w:sz w:val="18"/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cPr>
      <w:vAlign w:val="bottom"/>
    </w:tcPr>
    <w:tblStylePr w:type="firstCol">
      <w:pPr>
        <w:jc w:val="left"/>
      </w:pPr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Txt">
    <w:name w:val="_TabTxt"/>
    <w:basedOn w:val="a1"/>
    <w:rsid w:val="00617A43"/>
    <w:pPr>
      <w:spacing w:before="40" w:after="120" w:line="240" w:lineRule="atLeast"/>
    </w:pPr>
    <w:rPr>
      <w:lang w:val="ru-RU" w:eastAsia="ru-RU"/>
    </w:rPr>
    <w:tblPr>
      <w:tblBorders>
        <w:top w:val="single" w:sz="4" w:space="0" w:color="auto"/>
        <w:bottom w:val="single" w:sz="12" w:space="0" w:color="auto"/>
      </w:tblBorders>
      <w:tblCellMar>
        <w:left w:w="28" w:type="dxa"/>
        <w:right w:w="28" w:type="dxa"/>
      </w:tblCellMar>
    </w:tblPr>
    <w:tblStylePr w:type="lastCol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aliases w:val="6_G"/>
    <w:basedOn w:val="a"/>
    <w:next w:val="a"/>
    <w:link w:val="a6"/>
    <w:qFormat/>
    <w:rsid w:val="00617A43"/>
    <w:pPr>
      <w:pBdr>
        <w:bottom w:val="single" w:sz="4" w:space="4" w:color="auto"/>
      </w:pBdr>
      <w:tabs>
        <w:tab w:val="right" w:pos="9639"/>
      </w:tabs>
    </w:pPr>
    <w:rPr>
      <w:rFonts w:eastAsia="Times New Roman" w:cs="Times New Roman"/>
      <w:b/>
      <w:sz w:val="18"/>
      <w:szCs w:val="20"/>
      <w:lang w:val="en-GB" w:eastAsia="ru-RU"/>
    </w:rPr>
  </w:style>
  <w:style w:type="character" w:customStyle="1" w:styleId="a6">
    <w:name w:val="Верхний колонтитул Знак"/>
    <w:aliases w:val="6_G Знак"/>
    <w:basedOn w:val="a0"/>
    <w:link w:val="a5"/>
    <w:rsid w:val="00617A43"/>
    <w:rPr>
      <w:b/>
      <w:sz w:val="18"/>
      <w:lang w:val="en-GB" w:eastAsia="ru-RU"/>
    </w:rPr>
  </w:style>
  <w:style w:type="character" w:styleId="a7">
    <w:name w:val="page number"/>
    <w:aliases w:val="7_G"/>
    <w:basedOn w:val="a0"/>
    <w:qFormat/>
    <w:rsid w:val="00617A43"/>
    <w:rPr>
      <w:rFonts w:ascii="Times New Roman" w:hAnsi="Times New Roman"/>
      <w:b/>
      <w:sz w:val="18"/>
    </w:rPr>
  </w:style>
  <w:style w:type="paragraph" w:styleId="a8">
    <w:name w:val="footer"/>
    <w:aliases w:val="3_G"/>
    <w:basedOn w:val="a"/>
    <w:link w:val="a9"/>
    <w:qFormat/>
    <w:rsid w:val="00617A43"/>
    <w:pPr>
      <w:tabs>
        <w:tab w:val="right" w:pos="9639"/>
      </w:tabs>
    </w:pPr>
    <w:rPr>
      <w:rFonts w:eastAsia="Times New Roman" w:cs="Times New Roman"/>
      <w:sz w:val="16"/>
      <w:szCs w:val="20"/>
      <w:lang w:val="en-GB" w:eastAsia="ru-RU"/>
    </w:rPr>
  </w:style>
  <w:style w:type="character" w:customStyle="1" w:styleId="a9">
    <w:name w:val="Нижний колонтитул Знак"/>
    <w:aliases w:val="3_G Знак"/>
    <w:basedOn w:val="a0"/>
    <w:link w:val="a8"/>
    <w:rsid w:val="00617A43"/>
    <w:rPr>
      <w:sz w:val="16"/>
      <w:lang w:val="en-GB" w:eastAsia="ru-RU"/>
    </w:rPr>
  </w:style>
  <w:style w:type="character" w:styleId="aa">
    <w:name w:val="footnote reference"/>
    <w:aliases w:val="4_G"/>
    <w:basedOn w:val="a0"/>
    <w:qFormat/>
    <w:rsid w:val="00617A43"/>
    <w:rPr>
      <w:rFonts w:ascii="Times New Roman" w:hAnsi="Times New Roman"/>
      <w:dstrike w:val="0"/>
      <w:sz w:val="18"/>
      <w:vertAlign w:val="superscript"/>
    </w:rPr>
  </w:style>
  <w:style w:type="character" w:styleId="ab">
    <w:name w:val="endnote reference"/>
    <w:aliases w:val="1_G"/>
    <w:basedOn w:val="aa"/>
    <w:qFormat/>
    <w:rsid w:val="00617A43"/>
    <w:rPr>
      <w:rFonts w:ascii="Times New Roman" w:hAnsi="Times New Roman"/>
      <w:dstrike w:val="0"/>
      <w:sz w:val="18"/>
      <w:vertAlign w:val="superscript"/>
    </w:rPr>
  </w:style>
  <w:style w:type="table" w:styleId="ac">
    <w:name w:val="Table Grid"/>
    <w:basedOn w:val="a1"/>
    <w:rsid w:val="00D9145B"/>
    <w:rPr>
      <w:rFonts w:eastAsiaTheme="minorHAnsi" w:cstheme="minorBidi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d">
    <w:name w:val="footnote text"/>
    <w:aliases w:val="5_G"/>
    <w:basedOn w:val="a"/>
    <w:link w:val="ae"/>
    <w:qFormat/>
    <w:rsid w:val="00617A43"/>
    <w:pPr>
      <w:tabs>
        <w:tab w:val="right" w:pos="1021"/>
      </w:tabs>
      <w:spacing w:line="220" w:lineRule="exact"/>
      <w:ind w:left="1134" w:right="1134" w:hanging="1134"/>
    </w:pPr>
    <w:rPr>
      <w:rFonts w:eastAsia="Times New Roman" w:cs="Times New Roman"/>
      <w:sz w:val="18"/>
      <w:szCs w:val="20"/>
      <w:lang w:eastAsia="ru-RU"/>
    </w:rPr>
  </w:style>
  <w:style w:type="character" w:customStyle="1" w:styleId="ae">
    <w:name w:val="Текст сноски Знак"/>
    <w:aliases w:val="5_G Знак"/>
    <w:basedOn w:val="a0"/>
    <w:link w:val="ad"/>
    <w:rsid w:val="00617A43"/>
    <w:rPr>
      <w:sz w:val="18"/>
      <w:lang w:val="ru-RU" w:eastAsia="ru-RU"/>
    </w:rPr>
  </w:style>
  <w:style w:type="paragraph" w:styleId="af">
    <w:name w:val="endnote text"/>
    <w:aliases w:val="2_G"/>
    <w:basedOn w:val="ad"/>
    <w:link w:val="af0"/>
    <w:qFormat/>
    <w:rsid w:val="00617A43"/>
  </w:style>
  <w:style w:type="character" w:customStyle="1" w:styleId="af0">
    <w:name w:val="Текст концевой сноски Знак"/>
    <w:aliases w:val="2_G Знак"/>
    <w:basedOn w:val="a0"/>
    <w:link w:val="af"/>
    <w:rsid w:val="00617A43"/>
    <w:rPr>
      <w:sz w:val="18"/>
      <w:lang w:val="ru-RU" w:eastAsia="ru-RU"/>
    </w:rPr>
  </w:style>
  <w:style w:type="character" w:customStyle="1" w:styleId="10">
    <w:name w:val="Заголовок 1 Знак"/>
    <w:aliases w:val="Table_G Знак"/>
    <w:basedOn w:val="a0"/>
    <w:link w:val="1"/>
    <w:rsid w:val="00617A43"/>
    <w:rPr>
      <w:rFonts w:cs="Arial"/>
      <w:b/>
      <w:bCs/>
      <w:szCs w:val="32"/>
      <w:lang w:val="ru-RU" w:eastAsia="ru-RU"/>
    </w:rPr>
  </w:style>
  <w:style w:type="character" w:styleId="af1">
    <w:name w:val="Hyperlink"/>
    <w:basedOn w:val="a0"/>
    <w:rsid w:val="00617A43"/>
    <w:rPr>
      <w:color w:val="0000FF" w:themeColor="hyperlink"/>
      <w:u w:val="none"/>
    </w:rPr>
  </w:style>
  <w:style w:type="character" w:styleId="af2">
    <w:name w:val="FollowedHyperlink"/>
    <w:basedOn w:val="a0"/>
    <w:rsid w:val="00617A43"/>
    <w:rPr>
      <w:color w:val="800080" w:themeColor="followedHyperlink"/>
      <w:u w:val="none"/>
    </w:rPr>
  </w:style>
  <w:style w:type="character" w:customStyle="1" w:styleId="20">
    <w:name w:val="Заголовок 2 Знак"/>
    <w:basedOn w:val="a0"/>
    <w:link w:val="2"/>
    <w:semiHidden/>
    <w:rsid w:val="00AC477B"/>
    <w:rPr>
      <w:rFonts w:eastAsiaTheme="minorHAnsi" w:cs="Arial"/>
      <w:bCs/>
      <w:iCs/>
      <w:szCs w:val="28"/>
      <w:lang w:val="ru-RU" w:eastAsia="en-US"/>
    </w:rPr>
  </w:style>
  <w:style w:type="character" w:customStyle="1" w:styleId="SingleTxtGChar">
    <w:name w:val="_ Single Txt_G Char"/>
    <w:link w:val="SingleTxtG"/>
    <w:rsid w:val="00AC477B"/>
    <w:rPr>
      <w:lang w:val="ru-RU" w:eastAsia="en-US"/>
    </w:rPr>
  </w:style>
  <w:style w:type="character" w:customStyle="1" w:styleId="HChGChar">
    <w:name w:val="_ H _Ch_G Char"/>
    <w:link w:val="HChG"/>
    <w:rsid w:val="00AC477B"/>
    <w:rPr>
      <w:b/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7A611-F231-49FE-AD6F-6A5B9FBB3FBE}"/>
</file>

<file path=customXml/itemProps2.xml><?xml version="1.0" encoding="utf-8"?>
<ds:datastoreItem xmlns:ds="http://schemas.openxmlformats.org/officeDocument/2006/customXml" ds:itemID="{A8925549-D03A-4E21-9FA7-CE68DA3D44A3}"/>
</file>

<file path=docProps/app.xml><?xml version="1.0" encoding="utf-8"?>
<Properties xmlns="http://schemas.openxmlformats.org/officeDocument/2006/extended-properties" xmlns:vt="http://schemas.openxmlformats.org/officeDocument/2006/docPropsVTypes">
  <Template>ECE.dotm</Template>
  <TotalTime>0</TotalTime>
  <Pages>3</Pages>
  <Words>726</Words>
  <Characters>5538</Characters>
  <Application>Microsoft Office Word</Application>
  <DocSecurity>0</DocSecurity>
  <Lines>127</Lines>
  <Paragraphs>53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A/</vt:lpstr>
      <vt:lpstr>A/</vt:lpstr>
      <vt:lpstr>A/</vt:lpstr>
    </vt:vector>
  </TitlesOfParts>
  <Company>DCM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ECE/TRANS/WP.11/2024/20</dc:title>
  <dc:subject/>
  <dc:creator>Olga OVTCHINNIKOVA</dc:creator>
  <cp:keywords/>
  <cp:lastModifiedBy>Olga Ovchinnikova</cp:lastModifiedBy>
  <cp:revision>3</cp:revision>
  <cp:lastPrinted>2024-09-03T13:49:00Z</cp:lastPrinted>
  <dcterms:created xsi:type="dcterms:W3CDTF">2024-09-03T13:49:00Z</dcterms:created>
  <dcterms:modified xsi:type="dcterms:W3CDTF">2024-09-03T13:51:00Z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.">
    <vt:lpwstr> </vt:lpwstr>
  </property>
  <property fmtid="{D5CDD505-2E9C-101B-9397-08002B2CF9AE}" pid="3" name="ODSRef1">
    <vt:lpwstr> </vt:lpwstr>
  </property>
  <property fmtid="{D5CDD505-2E9C-101B-9397-08002B2CF9AE}" pid="4" name="Symbol1">
    <vt:lpwstr> </vt:lpwstr>
  </property>
  <property fmtid="{D5CDD505-2E9C-101B-9397-08002B2CF9AE}" pid="5" name="Symbol2">
    <vt:lpwstr> </vt:lpwstr>
  </property>
  <property fmtid="{D5CDD505-2E9C-101B-9397-08002B2CF9AE}" pid="6" name="Traductor">
    <vt:lpwstr> </vt:lpwstr>
  </property>
  <property fmtid="{D5CDD505-2E9C-101B-9397-08002B2CF9AE}" pid="7" name="Distribución">
    <vt:lpwstr> </vt:lpwstr>
  </property>
  <property fmtid="{D5CDD505-2E9C-101B-9397-08002B2CF9AE}" pid="8" name="Publicación">
    <vt:lpwstr> </vt:lpwstr>
  </property>
  <property fmtid="{D5CDD505-2E9C-101B-9397-08002B2CF9AE}" pid="9" name="Original">
    <vt:lpwstr> </vt:lpwstr>
  </property>
  <property fmtid="{D5CDD505-2E9C-101B-9397-08002B2CF9AE}" pid="10" name="Release">
    <vt:lpwstr> </vt:lpwstr>
  </property>
  <property fmtid="{D5CDD505-2E9C-101B-9397-08002B2CF9AE}" pid="11" name="Comment">
    <vt:lpwstr> </vt:lpwstr>
  </property>
  <property fmtid="{D5CDD505-2E9C-101B-9397-08002B2CF9AE}" pid="12" name="DraftPages">
    <vt:lpwstr> </vt:lpwstr>
  </property>
  <property fmtid="{D5CDD505-2E9C-101B-9397-08002B2CF9AE}" pid="13" name="Operador">
    <vt:lpwstr> </vt:lpwstr>
  </property>
</Properties>
</file>