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34360A3A" w14:textId="77777777" w:rsidTr="005316B0">
        <w:trPr>
          <w:trHeight w:hRule="exact" w:val="851"/>
        </w:trPr>
        <w:tc>
          <w:tcPr>
            <w:tcW w:w="1276" w:type="dxa"/>
            <w:tcBorders>
              <w:bottom w:val="single" w:sz="4" w:space="0" w:color="auto"/>
            </w:tcBorders>
          </w:tcPr>
          <w:p w14:paraId="111ECA61" w14:textId="77777777" w:rsidR="001433FD" w:rsidRPr="00DB58B5" w:rsidRDefault="001433FD" w:rsidP="0001207F"/>
        </w:tc>
        <w:tc>
          <w:tcPr>
            <w:tcW w:w="2268" w:type="dxa"/>
            <w:tcBorders>
              <w:bottom w:val="single" w:sz="4" w:space="0" w:color="auto"/>
            </w:tcBorders>
            <w:vAlign w:val="bottom"/>
          </w:tcPr>
          <w:p w14:paraId="65469A24" w14:textId="77777777" w:rsidR="001433FD" w:rsidRPr="00DB58B5" w:rsidRDefault="001433FD" w:rsidP="007D3236">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0944C0A" w14:textId="4ECCBD47" w:rsidR="001433FD" w:rsidRPr="00D206D4" w:rsidRDefault="00D206D4" w:rsidP="00D206D4">
            <w:pPr>
              <w:jc w:val="right"/>
            </w:pPr>
            <w:r w:rsidRPr="00D206D4">
              <w:rPr>
                <w:sz w:val="40"/>
              </w:rPr>
              <w:t>ECE</w:t>
            </w:r>
            <w:r>
              <w:t>/TRANS/WP.11/2024/20</w:t>
            </w:r>
          </w:p>
        </w:tc>
      </w:tr>
      <w:tr w:rsidR="001433FD" w:rsidRPr="00DB58B5" w14:paraId="21E0133C" w14:textId="77777777" w:rsidTr="007D3236">
        <w:trPr>
          <w:trHeight w:hRule="exact" w:val="2835"/>
        </w:trPr>
        <w:tc>
          <w:tcPr>
            <w:tcW w:w="1276" w:type="dxa"/>
            <w:tcBorders>
              <w:top w:val="single" w:sz="4" w:space="0" w:color="auto"/>
              <w:bottom w:val="single" w:sz="12" w:space="0" w:color="auto"/>
            </w:tcBorders>
          </w:tcPr>
          <w:p w14:paraId="183330CF" w14:textId="77777777" w:rsidR="001433FD" w:rsidRPr="00DB58B5" w:rsidRDefault="001433FD" w:rsidP="007D3236">
            <w:pPr>
              <w:spacing w:before="120"/>
              <w:jc w:val="center"/>
            </w:pPr>
            <w:r>
              <w:rPr>
                <w:noProof/>
                <w:lang w:eastAsia="fr-CH"/>
              </w:rPr>
              <w:drawing>
                <wp:inline distT="0" distB="0" distL="0" distR="0" wp14:anchorId="63648B5A" wp14:editId="2342E353">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EE43197" w14:textId="77777777" w:rsidR="001433FD" w:rsidRPr="00740562" w:rsidRDefault="001433FD" w:rsidP="007D3236">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134F5722" w14:textId="77777777" w:rsidR="0001207F" w:rsidRDefault="003823F5" w:rsidP="003823F5">
            <w:pPr>
              <w:spacing w:before="240" w:line="240" w:lineRule="exact"/>
            </w:pPr>
            <w:proofErr w:type="spellStart"/>
            <w:r>
              <w:t>Distr</w:t>
            </w:r>
            <w:proofErr w:type="spellEnd"/>
            <w:r>
              <w:t>. générale</w:t>
            </w:r>
          </w:p>
          <w:p w14:paraId="65CE6EC5" w14:textId="65851918" w:rsidR="003823F5" w:rsidRDefault="003823F5" w:rsidP="003823F5">
            <w:pPr>
              <w:spacing w:line="240" w:lineRule="exact"/>
            </w:pPr>
            <w:r>
              <w:t>1</w:t>
            </w:r>
            <w:r w:rsidR="00400160">
              <w:t>5</w:t>
            </w:r>
            <w:r>
              <w:t xml:space="preserve"> août 2024</w:t>
            </w:r>
          </w:p>
          <w:p w14:paraId="3B7C56FB" w14:textId="77777777" w:rsidR="003823F5" w:rsidRDefault="003823F5" w:rsidP="003823F5">
            <w:pPr>
              <w:spacing w:line="240" w:lineRule="exact"/>
            </w:pPr>
          </w:p>
          <w:p w14:paraId="2C21A5BD" w14:textId="77777777" w:rsidR="003823F5" w:rsidRPr="00DB58B5" w:rsidRDefault="003823F5" w:rsidP="003823F5">
            <w:pPr>
              <w:spacing w:line="240" w:lineRule="exact"/>
            </w:pPr>
            <w:r>
              <w:t>Original : français</w:t>
            </w:r>
          </w:p>
        </w:tc>
      </w:tr>
    </w:tbl>
    <w:p w14:paraId="091C89AB" w14:textId="45EBE18F" w:rsidR="003823F5" w:rsidRDefault="003823F5" w:rsidP="00177140">
      <w:pPr>
        <w:spacing w:before="120"/>
        <w:rPr>
          <w:b/>
          <w:sz w:val="28"/>
          <w:szCs w:val="28"/>
        </w:rPr>
      </w:pPr>
      <w:r w:rsidRPr="00883605">
        <w:rPr>
          <w:b/>
          <w:sz w:val="28"/>
          <w:szCs w:val="28"/>
        </w:rPr>
        <w:t>Commission économique pour l</w:t>
      </w:r>
      <w:r w:rsidR="00927ADA">
        <w:rPr>
          <w:b/>
          <w:sz w:val="28"/>
          <w:szCs w:val="28"/>
        </w:rPr>
        <w:t>’</w:t>
      </w:r>
      <w:r w:rsidRPr="00883605">
        <w:rPr>
          <w:b/>
          <w:sz w:val="28"/>
          <w:szCs w:val="28"/>
        </w:rPr>
        <w:t>Europe</w:t>
      </w:r>
    </w:p>
    <w:p w14:paraId="26DA23FD" w14:textId="77777777" w:rsidR="003823F5" w:rsidRPr="009E01B8" w:rsidRDefault="003823F5" w:rsidP="00177140">
      <w:pPr>
        <w:spacing w:before="120"/>
        <w:rPr>
          <w:sz w:val="28"/>
          <w:szCs w:val="28"/>
        </w:rPr>
      </w:pPr>
      <w:r w:rsidRPr="009E01B8">
        <w:rPr>
          <w:sz w:val="28"/>
          <w:szCs w:val="28"/>
        </w:rPr>
        <w:t>Comité des transports intérieurs</w:t>
      </w:r>
    </w:p>
    <w:p w14:paraId="19A36399" w14:textId="77777777" w:rsidR="003823F5" w:rsidRPr="009E01B8" w:rsidRDefault="003823F5" w:rsidP="00177140">
      <w:pPr>
        <w:spacing w:before="120"/>
        <w:rPr>
          <w:b/>
          <w:sz w:val="24"/>
          <w:szCs w:val="24"/>
        </w:rPr>
      </w:pPr>
      <w:r w:rsidRPr="009E01B8">
        <w:rPr>
          <w:b/>
          <w:sz w:val="24"/>
          <w:szCs w:val="24"/>
        </w:rPr>
        <w:t>Groupe de travail d</w:t>
      </w:r>
      <w:r>
        <w:rPr>
          <w:b/>
          <w:sz w:val="24"/>
          <w:szCs w:val="24"/>
        </w:rPr>
        <w:t>u transport</w:t>
      </w:r>
      <w:r>
        <w:rPr>
          <w:b/>
          <w:sz w:val="24"/>
          <w:szCs w:val="24"/>
        </w:rPr>
        <w:br/>
      </w:r>
      <w:r w:rsidRPr="009E01B8">
        <w:rPr>
          <w:b/>
          <w:sz w:val="24"/>
          <w:szCs w:val="24"/>
        </w:rPr>
        <w:t>de</w:t>
      </w:r>
      <w:r>
        <w:rPr>
          <w:b/>
          <w:sz w:val="24"/>
          <w:szCs w:val="24"/>
        </w:rPr>
        <w:t>s denrées périssables</w:t>
      </w:r>
    </w:p>
    <w:p w14:paraId="1ACA064E" w14:textId="599A56FF" w:rsidR="0096384A" w:rsidRPr="00265E07" w:rsidRDefault="0096384A" w:rsidP="0096384A">
      <w:pPr>
        <w:spacing w:before="120"/>
        <w:rPr>
          <w:b/>
        </w:rPr>
      </w:pPr>
      <w:r>
        <w:rPr>
          <w:b/>
          <w:color w:val="212121"/>
          <w:lang w:val="fr-FR" w:eastAsia="en-GB"/>
        </w:rPr>
        <w:t>Quatre-vingt</w:t>
      </w:r>
      <w:r w:rsidR="000D7EDB">
        <w:rPr>
          <w:b/>
          <w:color w:val="212121"/>
          <w:lang w:val="fr-FR" w:eastAsia="en-GB"/>
        </w:rPr>
        <w:t>-</w:t>
      </w:r>
      <w:r>
        <w:rPr>
          <w:b/>
          <w:color w:val="212121"/>
          <w:lang w:val="fr-FR" w:eastAsia="en-GB"/>
        </w:rPr>
        <w:t xml:space="preserve">unième </w:t>
      </w:r>
      <w:r w:rsidRPr="00265E07">
        <w:rPr>
          <w:b/>
        </w:rPr>
        <w:t>session</w:t>
      </w:r>
    </w:p>
    <w:p w14:paraId="5360A1EC" w14:textId="5513E220" w:rsidR="0096384A" w:rsidRDefault="0096384A" w:rsidP="0096384A">
      <w:pPr>
        <w:rPr>
          <w:bCs/>
          <w:lang w:val="fr-FR"/>
        </w:rPr>
      </w:pPr>
      <w:r w:rsidRPr="00265E07">
        <w:t xml:space="preserve">Genève, </w:t>
      </w:r>
      <w:r>
        <w:t>29 octobre</w:t>
      </w:r>
      <w:r w:rsidR="00570150">
        <w:t>-</w:t>
      </w:r>
      <w:r>
        <w:t>1</w:t>
      </w:r>
      <w:r w:rsidR="00570150" w:rsidRPr="00570150">
        <w:rPr>
          <w:vertAlign w:val="superscript"/>
        </w:rPr>
        <w:t>er</w:t>
      </w:r>
      <w:r w:rsidR="00570150">
        <w:t> </w:t>
      </w:r>
      <w:r>
        <w:t>novembre 2024</w:t>
      </w:r>
    </w:p>
    <w:p w14:paraId="3D30AE6E" w14:textId="78E3BAC2" w:rsidR="0096384A" w:rsidRDefault="0096384A" w:rsidP="0096384A">
      <w:r w:rsidRPr="00A3434C">
        <w:t xml:space="preserve">Point 5 </w:t>
      </w:r>
      <w:r>
        <w:t>b</w:t>
      </w:r>
      <w:r w:rsidRPr="00A3434C">
        <w:t>)</w:t>
      </w:r>
      <w:r>
        <w:t xml:space="preserve"> de l</w:t>
      </w:r>
      <w:r w:rsidR="00927ADA">
        <w:t>’</w:t>
      </w:r>
      <w:r>
        <w:t>ordre du jour provisoire</w:t>
      </w:r>
    </w:p>
    <w:p w14:paraId="0FA087AF" w14:textId="2E91141E" w:rsidR="0096384A" w:rsidRPr="005F502D" w:rsidRDefault="0096384A" w:rsidP="0096384A">
      <w:pPr>
        <w:pStyle w:val="Titre2"/>
        <w:spacing w:before="15"/>
        <w:rPr>
          <w:b/>
          <w:bCs/>
        </w:rPr>
      </w:pPr>
      <w:r w:rsidRPr="005F502D">
        <w:rPr>
          <w:b/>
          <w:bCs/>
        </w:rPr>
        <w:t>Proposition</w:t>
      </w:r>
      <w:r w:rsidR="002D59D8">
        <w:rPr>
          <w:b/>
          <w:bCs/>
        </w:rPr>
        <w:t>s</w:t>
      </w:r>
      <w:r w:rsidRPr="005F502D">
        <w:rPr>
          <w:b/>
          <w:bCs/>
          <w:spacing w:val="-8"/>
        </w:rPr>
        <w:t xml:space="preserve"> </w:t>
      </w:r>
      <w:r w:rsidRPr="005F502D">
        <w:rPr>
          <w:b/>
          <w:bCs/>
        </w:rPr>
        <w:t>d</w:t>
      </w:r>
      <w:r w:rsidR="00927ADA">
        <w:rPr>
          <w:b/>
          <w:bCs/>
        </w:rPr>
        <w:t>’</w:t>
      </w:r>
      <w:r w:rsidRPr="005F502D">
        <w:rPr>
          <w:b/>
          <w:bCs/>
        </w:rPr>
        <w:t>amendement</w:t>
      </w:r>
      <w:r w:rsidR="002D59D8">
        <w:rPr>
          <w:b/>
          <w:bCs/>
        </w:rPr>
        <w:t>s</w:t>
      </w:r>
      <w:r w:rsidRPr="005F502D">
        <w:rPr>
          <w:b/>
          <w:bCs/>
          <w:spacing w:val="-8"/>
        </w:rPr>
        <w:t xml:space="preserve"> </w:t>
      </w:r>
      <w:r w:rsidRPr="005F502D">
        <w:rPr>
          <w:b/>
          <w:bCs/>
        </w:rPr>
        <w:t>à</w:t>
      </w:r>
      <w:r w:rsidRPr="005F502D">
        <w:rPr>
          <w:b/>
          <w:bCs/>
          <w:spacing w:val="-6"/>
        </w:rPr>
        <w:t xml:space="preserve"> </w:t>
      </w:r>
      <w:r w:rsidRPr="005F502D">
        <w:rPr>
          <w:b/>
          <w:bCs/>
        </w:rPr>
        <w:t>l</w:t>
      </w:r>
      <w:r w:rsidR="00927ADA">
        <w:rPr>
          <w:b/>
          <w:bCs/>
        </w:rPr>
        <w:t>’</w:t>
      </w:r>
      <w:r w:rsidRPr="005F502D">
        <w:rPr>
          <w:b/>
          <w:bCs/>
        </w:rPr>
        <w:t>ATP</w:t>
      </w:r>
      <w:r w:rsidRPr="005F502D">
        <w:rPr>
          <w:b/>
          <w:bCs/>
          <w:spacing w:val="-4"/>
        </w:rPr>
        <w:t xml:space="preserve"> </w:t>
      </w:r>
      <w:r w:rsidRPr="005F502D">
        <w:rPr>
          <w:b/>
          <w:bCs/>
        </w:rPr>
        <w:t>:</w:t>
      </w:r>
    </w:p>
    <w:p w14:paraId="1C81F043" w14:textId="77777777" w:rsidR="0096384A" w:rsidRDefault="0096384A" w:rsidP="0096384A">
      <w:pPr>
        <w:rPr>
          <w:b/>
        </w:rPr>
      </w:pPr>
      <w:r>
        <w:rPr>
          <w:b/>
        </w:rPr>
        <w:t>n</w:t>
      </w:r>
      <w:r w:rsidRPr="001F16A5">
        <w:rPr>
          <w:b/>
        </w:rPr>
        <w:t>ouvelles propositions</w:t>
      </w:r>
    </w:p>
    <w:p w14:paraId="1DFB16CB" w14:textId="7D3EFF5D" w:rsidR="002643A1" w:rsidRDefault="002643A1" w:rsidP="002643A1">
      <w:pPr>
        <w:pStyle w:val="HChG"/>
        <w:rPr>
          <w:lang w:val="fr-FR"/>
        </w:rPr>
      </w:pPr>
      <w:r>
        <w:rPr>
          <w:lang w:val="fr-FR"/>
        </w:rPr>
        <w:tab/>
      </w:r>
      <w:r>
        <w:rPr>
          <w:lang w:val="fr-FR"/>
        </w:rPr>
        <w:tab/>
        <w:t xml:space="preserve">Définition de </w:t>
      </w:r>
      <w:r w:rsidRPr="005D0761">
        <w:t>l</w:t>
      </w:r>
      <w:r w:rsidR="00927ADA">
        <w:t>’</w:t>
      </w:r>
      <w:r>
        <w:t xml:space="preserve">autonomie </w:t>
      </w:r>
      <w:r>
        <w:rPr>
          <w:lang w:val="fr-FR"/>
        </w:rPr>
        <w:t>d</w:t>
      </w:r>
      <w:r w:rsidR="00927ADA">
        <w:rPr>
          <w:lang w:val="fr-FR"/>
        </w:rPr>
        <w:t>’</w:t>
      </w:r>
      <w:r>
        <w:rPr>
          <w:lang w:val="fr-FR"/>
        </w:rPr>
        <w:t>un engin</w:t>
      </w:r>
    </w:p>
    <w:p w14:paraId="44A62637" w14:textId="77777777" w:rsidR="002643A1" w:rsidRDefault="002643A1" w:rsidP="002643A1">
      <w:pPr>
        <w:pStyle w:val="H1G"/>
        <w:rPr>
          <w:lang w:val="fr-FR"/>
        </w:rPr>
      </w:pPr>
      <w:r>
        <w:rPr>
          <w:lang w:val="fr-FR"/>
        </w:rPr>
        <w:tab/>
      </w:r>
      <w:r>
        <w:rPr>
          <w:lang w:val="fr-FR"/>
        </w:rPr>
        <w:tab/>
        <w:t xml:space="preserve">Communication du </w:t>
      </w:r>
      <w:r w:rsidRPr="005D0761">
        <w:t>Gouvernement</w:t>
      </w:r>
      <w:r>
        <w:rPr>
          <w:lang w:val="fr-FR"/>
        </w:rPr>
        <w:t xml:space="preserve"> de la France</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2643A1" w14:paraId="7B5D3681" w14:textId="77777777" w:rsidTr="00D74CD3">
        <w:trPr>
          <w:jc w:val="center"/>
        </w:trPr>
        <w:tc>
          <w:tcPr>
            <w:tcW w:w="9628" w:type="dxa"/>
            <w:shd w:val="clear" w:color="auto" w:fill="auto"/>
          </w:tcPr>
          <w:p w14:paraId="3514D5DC" w14:textId="77777777" w:rsidR="002643A1" w:rsidRPr="00C6263E" w:rsidRDefault="002643A1" w:rsidP="00D74CD3">
            <w:pPr>
              <w:spacing w:before="240" w:after="120"/>
              <w:ind w:left="255"/>
              <w:rPr>
                <w:i/>
                <w:sz w:val="24"/>
              </w:rPr>
            </w:pPr>
            <w:r w:rsidRPr="00C6263E">
              <w:rPr>
                <w:i/>
                <w:sz w:val="24"/>
              </w:rPr>
              <w:t xml:space="preserve">Résumé </w:t>
            </w:r>
          </w:p>
        </w:tc>
      </w:tr>
      <w:tr w:rsidR="002643A1" w14:paraId="24214559" w14:textId="77777777" w:rsidTr="00D74CD3">
        <w:trPr>
          <w:jc w:val="center"/>
        </w:trPr>
        <w:tc>
          <w:tcPr>
            <w:tcW w:w="9628" w:type="dxa"/>
            <w:shd w:val="clear" w:color="auto" w:fill="auto"/>
          </w:tcPr>
          <w:p w14:paraId="4200EE0C" w14:textId="6B4ED1F9" w:rsidR="002643A1" w:rsidRDefault="002643A1" w:rsidP="00D74CD3">
            <w:pPr>
              <w:pStyle w:val="SingleTxtG"/>
              <w:ind w:left="3402" w:hanging="2268"/>
              <w:rPr>
                <w:rFonts w:eastAsia="Calibri"/>
                <w:lang w:val="fr-FR" w:eastAsia="en-US"/>
              </w:rPr>
            </w:pPr>
            <w:r>
              <w:rPr>
                <w:rFonts w:eastAsia="Calibri"/>
                <w:b/>
                <w:lang w:eastAsia="en-US"/>
              </w:rPr>
              <w:t>Résumé analytique </w:t>
            </w:r>
            <w:r>
              <w:rPr>
                <w:rFonts w:eastAsia="Calibri"/>
                <w:lang w:eastAsia="en-US"/>
              </w:rPr>
              <w:t>:</w:t>
            </w:r>
            <w:r>
              <w:rPr>
                <w:rFonts w:eastAsia="Calibri"/>
                <w:lang w:eastAsia="en-US"/>
              </w:rPr>
              <w:tab/>
            </w:r>
            <w:r>
              <w:rPr>
                <w:rFonts w:eastAsia="Calibri"/>
                <w:lang w:val="fr-FR" w:eastAsia="en-US"/>
              </w:rPr>
              <w:t>La présente proposition a pour objet de définir l</w:t>
            </w:r>
            <w:r w:rsidR="00927ADA">
              <w:rPr>
                <w:rFonts w:eastAsia="Calibri"/>
                <w:lang w:val="fr-FR" w:eastAsia="en-US"/>
              </w:rPr>
              <w:t>’</w:t>
            </w:r>
            <w:r>
              <w:rPr>
                <w:rFonts w:eastAsia="Calibri"/>
                <w:lang w:val="fr-FR" w:eastAsia="en-US"/>
              </w:rPr>
              <w:t>autonomie d</w:t>
            </w:r>
            <w:r w:rsidR="00927ADA">
              <w:rPr>
                <w:rFonts w:eastAsia="Calibri"/>
                <w:lang w:val="fr-FR" w:eastAsia="en-US"/>
              </w:rPr>
              <w:t>’</w:t>
            </w:r>
            <w:r>
              <w:rPr>
                <w:rFonts w:eastAsia="Calibri"/>
                <w:lang w:val="fr-FR" w:eastAsia="en-US"/>
              </w:rPr>
              <w:t>un engin de transport spécial en tenant compte des nouvelles technologies d</w:t>
            </w:r>
            <w:r w:rsidR="00927ADA">
              <w:rPr>
                <w:rFonts w:eastAsia="Calibri"/>
                <w:lang w:val="fr-FR" w:eastAsia="en-US"/>
              </w:rPr>
              <w:t>’</w:t>
            </w:r>
            <w:r>
              <w:rPr>
                <w:rFonts w:eastAsia="Calibri"/>
                <w:lang w:val="fr-FR" w:eastAsia="en-US"/>
              </w:rPr>
              <w:t>alimentation en énergie des dispositifs thermiques.</w:t>
            </w:r>
          </w:p>
          <w:p w14:paraId="38B90D83" w14:textId="4594C69B" w:rsidR="002643A1" w:rsidRDefault="002643A1" w:rsidP="00D74CD3">
            <w:pPr>
              <w:pStyle w:val="SingleTxtG"/>
              <w:tabs>
                <w:tab w:val="clear" w:pos="1701"/>
                <w:tab w:val="clear" w:pos="2268"/>
                <w:tab w:val="clear" w:pos="2835"/>
              </w:tabs>
              <w:ind w:left="3397" w:hanging="2263"/>
              <w:rPr>
                <w:rFonts w:eastAsia="Calibri"/>
                <w:lang w:eastAsia="en-US"/>
              </w:rPr>
            </w:pPr>
            <w:r>
              <w:rPr>
                <w:rFonts w:eastAsia="Calibri"/>
                <w:b/>
                <w:lang w:eastAsia="en-US"/>
              </w:rPr>
              <w:t>Mesure à prendre </w:t>
            </w:r>
            <w:r>
              <w:rPr>
                <w:rFonts w:eastAsia="Calibri"/>
                <w:lang w:eastAsia="en-US"/>
              </w:rPr>
              <w:t>:</w:t>
            </w:r>
            <w:r>
              <w:rPr>
                <w:rFonts w:eastAsia="Calibri"/>
                <w:lang w:eastAsia="en-US"/>
              </w:rPr>
              <w:tab/>
              <w:t>Ajout d</w:t>
            </w:r>
            <w:r w:rsidR="00927ADA">
              <w:rPr>
                <w:rFonts w:eastAsia="Calibri"/>
                <w:lang w:eastAsia="en-US"/>
              </w:rPr>
              <w:t>’</w:t>
            </w:r>
            <w:r>
              <w:rPr>
                <w:rFonts w:eastAsia="Calibri"/>
                <w:lang w:eastAsia="en-US"/>
              </w:rPr>
              <w:t>une définition au sein de l</w:t>
            </w:r>
            <w:r w:rsidR="00927ADA">
              <w:rPr>
                <w:rFonts w:eastAsia="Calibri"/>
                <w:lang w:eastAsia="en-US"/>
              </w:rPr>
              <w:t>’</w:t>
            </w:r>
            <w:r>
              <w:rPr>
                <w:rFonts w:eastAsia="Calibri"/>
                <w:lang w:eastAsia="en-US"/>
              </w:rPr>
              <w:t>annexe 1 point 7 de l</w:t>
            </w:r>
            <w:r w:rsidR="00927ADA">
              <w:rPr>
                <w:rFonts w:eastAsia="Calibri"/>
                <w:lang w:eastAsia="en-US"/>
              </w:rPr>
              <w:t>’</w:t>
            </w:r>
            <w:r>
              <w:rPr>
                <w:rFonts w:eastAsia="Calibri"/>
                <w:lang w:eastAsia="en-US"/>
              </w:rPr>
              <w:t>Accord ATP</w:t>
            </w:r>
          </w:p>
          <w:p w14:paraId="2E483B8C" w14:textId="77777777" w:rsidR="002643A1" w:rsidRDefault="002643A1" w:rsidP="00D74CD3">
            <w:pPr>
              <w:pStyle w:val="SingleTxtG"/>
            </w:pPr>
            <w:r>
              <w:rPr>
                <w:rFonts w:eastAsia="Calibri"/>
                <w:b/>
                <w:lang w:eastAsia="en-US"/>
              </w:rPr>
              <w:t>Documents connexes </w:t>
            </w:r>
            <w:r>
              <w:rPr>
                <w:rFonts w:eastAsia="Calibri"/>
                <w:lang w:eastAsia="en-US"/>
              </w:rPr>
              <w:t>:</w:t>
            </w:r>
            <w:r>
              <w:rPr>
                <w:rFonts w:eastAsia="Calibri"/>
                <w:lang w:eastAsia="en-US"/>
              </w:rPr>
              <w:tab/>
            </w:r>
            <w:r>
              <w:t>Aucun</w:t>
            </w:r>
          </w:p>
        </w:tc>
      </w:tr>
      <w:tr w:rsidR="002643A1" w14:paraId="3E87F503" w14:textId="77777777" w:rsidTr="00D74CD3">
        <w:trPr>
          <w:jc w:val="center"/>
        </w:trPr>
        <w:tc>
          <w:tcPr>
            <w:tcW w:w="9628" w:type="dxa"/>
            <w:shd w:val="clear" w:color="auto" w:fill="auto"/>
          </w:tcPr>
          <w:p w14:paraId="2B6E38DB" w14:textId="77777777" w:rsidR="002643A1" w:rsidRDefault="002643A1" w:rsidP="00D74CD3"/>
        </w:tc>
      </w:tr>
    </w:tbl>
    <w:p w14:paraId="00CF4A90" w14:textId="77777777" w:rsidR="002643A1" w:rsidRDefault="002643A1" w:rsidP="002643A1">
      <w:pPr>
        <w:pStyle w:val="HChG"/>
      </w:pPr>
      <w:r>
        <w:tab/>
      </w:r>
      <w:r>
        <w:tab/>
        <w:t>Introduction</w:t>
      </w:r>
      <w:bookmarkStart w:id="0" w:name="OLE_LINK2"/>
      <w:bookmarkStart w:id="1" w:name="OLE_LINK1"/>
      <w:bookmarkEnd w:id="0"/>
      <w:bookmarkEnd w:id="1"/>
    </w:p>
    <w:p w14:paraId="2B6C1AF4" w14:textId="2417B9EC" w:rsidR="002643A1" w:rsidRPr="00EE45D3" w:rsidRDefault="00EE45D3" w:rsidP="00EE45D3">
      <w:pPr>
        <w:pStyle w:val="SingleTxtG"/>
      </w:pPr>
      <w:r>
        <w:t>1.</w:t>
      </w:r>
      <w:r>
        <w:tab/>
      </w:r>
      <w:r w:rsidR="002643A1" w:rsidRPr="00EE45D3">
        <w:t>L</w:t>
      </w:r>
      <w:r w:rsidR="00927ADA">
        <w:t>’</w:t>
      </w:r>
      <w:r w:rsidR="002643A1" w:rsidRPr="00EE45D3">
        <w:t>Accord relatif aux transports internationaux de denrées périssables et aux engins spéciaux à utiliser pour ces transports (ATP) dispose, dans son article 4, que « Le choix et l</w:t>
      </w:r>
      <w:r w:rsidR="00927ADA">
        <w:t>’</w:t>
      </w:r>
      <w:r w:rsidR="002643A1" w:rsidRPr="00EE45D3">
        <w:t>utilisation de cet équipement [engin de transport spéciaux mentionné à l</w:t>
      </w:r>
      <w:r w:rsidR="00927ADA">
        <w:t>’</w:t>
      </w:r>
      <w:r w:rsidR="002643A1" w:rsidRPr="00EE45D3">
        <w:t>article 1] devront être tels qu</w:t>
      </w:r>
      <w:r w:rsidR="00927ADA">
        <w:t>’</w:t>
      </w:r>
      <w:r w:rsidR="002643A1" w:rsidRPr="00EE45D3">
        <w:t>il soit possible de respecter les conditions fixées dans ces annexes [conditions de température fixées aux annexes 2 et 3] pendant toute la durée du transport ». La technologie utilisée dans les engins de transport spéciaux devrait donc permettre de transporter les denrées périssables dans les conditions de température fixées dans l</w:t>
      </w:r>
      <w:r w:rsidR="00927ADA">
        <w:t>’</w:t>
      </w:r>
      <w:r w:rsidR="002643A1" w:rsidRPr="00EE45D3">
        <w:t>Accord ATP, et le transporteur doit en connaître les limites d</w:t>
      </w:r>
      <w:r w:rsidR="00927ADA">
        <w:t>’</w:t>
      </w:r>
      <w:r w:rsidR="002643A1" w:rsidRPr="00EE45D3">
        <w:t>utilisation.</w:t>
      </w:r>
    </w:p>
    <w:p w14:paraId="6D52D5A9" w14:textId="01808B40" w:rsidR="002643A1" w:rsidRPr="00EE45D3" w:rsidRDefault="00EE45D3" w:rsidP="00EE45D3">
      <w:pPr>
        <w:pStyle w:val="SingleTxtG"/>
      </w:pPr>
      <w:r>
        <w:t>2.</w:t>
      </w:r>
      <w:r>
        <w:tab/>
      </w:r>
      <w:r w:rsidR="002643A1" w:rsidRPr="00EE45D3">
        <w:t>La certification de conformité à l</w:t>
      </w:r>
      <w:r w:rsidR="00927ADA">
        <w:t>’</w:t>
      </w:r>
      <w:r w:rsidR="002643A1" w:rsidRPr="00EE45D3">
        <w:t>ATP vise à donner l</w:t>
      </w:r>
      <w:r w:rsidR="00927ADA">
        <w:t>’</w:t>
      </w:r>
      <w:r w:rsidR="002643A1" w:rsidRPr="00EE45D3">
        <w:t>assurance au transporteur que l</w:t>
      </w:r>
      <w:r w:rsidR="00927ADA">
        <w:t>’</w:t>
      </w:r>
      <w:r w:rsidR="002643A1" w:rsidRPr="00EE45D3">
        <w:t xml:space="preserve">engin de transport spécial est correctement dimensionné pour maintenir les conditions de </w:t>
      </w:r>
      <w:r w:rsidR="002643A1" w:rsidRPr="00EE45D3">
        <w:lastRenderedPageBreak/>
        <w:t>température définies pendant toute la durée du transport, et à fournir au transporteur une information indépendante sur les limites d</w:t>
      </w:r>
      <w:r w:rsidR="00927ADA">
        <w:t>’</w:t>
      </w:r>
      <w:r w:rsidR="002643A1" w:rsidRPr="00EE45D3">
        <w:t>utilisation de l</w:t>
      </w:r>
      <w:r w:rsidR="00927ADA">
        <w:t>’</w:t>
      </w:r>
      <w:r w:rsidR="002643A1" w:rsidRPr="00EE45D3">
        <w:t>engin.</w:t>
      </w:r>
    </w:p>
    <w:p w14:paraId="1DDBA3A1" w14:textId="2A8B4B9F" w:rsidR="002643A1" w:rsidRPr="00EE45D3" w:rsidRDefault="00EE45D3" w:rsidP="00EE45D3">
      <w:pPr>
        <w:pStyle w:val="SingleTxtG"/>
      </w:pPr>
      <w:r>
        <w:t>3.</w:t>
      </w:r>
      <w:r>
        <w:tab/>
      </w:r>
      <w:r w:rsidR="002643A1" w:rsidRPr="00EE45D3">
        <w:t>Les objectifs de décarbonation ont amené les industriels à introduire de nouvelles technologies d</w:t>
      </w:r>
      <w:r w:rsidR="00927ADA">
        <w:t>’</w:t>
      </w:r>
      <w:r w:rsidR="002643A1" w:rsidRPr="00EE45D3">
        <w:t>alimentation en énergie des dispositifs thermiques, qui ont un impact sur les conditions de certification des engins. En première ligne des systèmes commercialisés, on trouve des engins alimentés par des accumulateurs électriques, que ces derniers leur soient uniquement dédiés ou non. Le rechargement de ces accumulateurs est parfois possible, lorsque le moteur thermique du véhicule est en fonctionnement et que l</w:t>
      </w:r>
      <w:r w:rsidR="00927ADA">
        <w:t>’</w:t>
      </w:r>
      <w:r w:rsidR="002643A1" w:rsidRPr="00EE45D3">
        <w:t>engin frigorifique et/ou calorifique produit du froid et/ou du chaud. La flexibilité apportée par les accumulateurs électriques est indéniable, mais la typologie d</w:t>
      </w:r>
      <w:r w:rsidR="00927ADA">
        <w:t>’</w:t>
      </w:r>
      <w:r w:rsidR="002643A1" w:rsidRPr="00EE45D3">
        <w:t>engins alimentés par des sources d</w:t>
      </w:r>
      <w:r w:rsidR="00927ADA">
        <w:t>’</w:t>
      </w:r>
      <w:r w:rsidR="002643A1" w:rsidRPr="00EE45D3">
        <w:t>énergie mixtes pose des problématiques de classification ATP et d</w:t>
      </w:r>
      <w:r w:rsidR="00927ADA">
        <w:t>’</w:t>
      </w:r>
      <w:r w:rsidR="002643A1" w:rsidRPr="00EE45D3">
        <w:t>information claire aux utilisateurs sur les limites d</w:t>
      </w:r>
      <w:r w:rsidR="00927ADA">
        <w:t>’</w:t>
      </w:r>
      <w:r w:rsidR="002643A1" w:rsidRPr="00EE45D3">
        <w:t>utilisation de l</w:t>
      </w:r>
      <w:r w:rsidR="00927ADA">
        <w:t>’</w:t>
      </w:r>
      <w:r w:rsidR="002643A1" w:rsidRPr="00EE45D3">
        <w:t>engin</w:t>
      </w:r>
    </w:p>
    <w:p w14:paraId="0E2110A9" w14:textId="7BCF4F98" w:rsidR="002643A1" w:rsidRPr="00EE45D3" w:rsidRDefault="006478A8" w:rsidP="00EE45D3">
      <w:pPr>
        <w:pStyle w:val="SingleTxtG"/>
      </w:pPr>
      <w:r>
        <w:t>4.</w:t>
      </w:r>
      <w:r>
        <w:tab/>
      </w:r>
      <w:r w:rsidR="002643A1" w:rsidRPr="00EE45D3">
        <w:t>En effet, un engin non autonome est défini au sein de l</w:t>
      </w:r>
      <w:r w:rsidR="00927ADA">
        <w:t>’</w:t>
      </w:r>
      <w:r w:rsidR="002643A1" w:rsidRPr="00EE45D3">
        <w:t>annexe 1 appendice 2 point 6.2.2</w:t>
      </w:r>
      <w:r w:rsidR="009B2A28">
        <w:t xml:space="preserve"> </w:t>
      </w:r>
      <w:r w:rsidR="002643A1" w:rsidRPr="00EE45D3">
        <w:t>i</w:t>
      </w:r>
      <w:r w:rsidR="009B2A28">
        <w:t>)</w:t>
      </w:r>
      <w:r w:rsidR="002643A1" w:rsidRPr="00EE45D3">
        <w:t xml:space="preserve"> « Engins non autonomes dont le groupe de réfrigération est entraîné par le moteur du véhicule ». Cet engin fait l</w:t>
      </w:r>
      <w:r w:rsidR="00927ADA">
        <w:t>’</w:t>
      </w:r>
      <w:r w:rsidR="002643A1" w:rsidRPr="00EE45D3">
        <w:t>objet d</w:t>
      </w:r>
      <w:r w:rsidR="00927ADA">
        <w:t>’</w:t>
      </w:r>
      <w:r w:rsidR="002643A1" w:rsidRPr="00EE45D3">
        <w:t>un marquage spécifique « X » visant à faciliter son identification, notamment lors du passage de l</w:t>
      </w:r>
      <w:r w:rsidR="00927ADA">
        <w:t>’</w:t>
      </w:r>
      <w:r w:rsidR="002643A1" w:rsidRPr="00EE45D3">
        <w:t>engin au poste frontière, et qui informe le transporteur que le dispositif thermique ne peut pas fonctionner indépendamment du fonctionnement du véhicule. Tout autre type d</w:t>
      </w:r>
      <w:r w:rsidR="00927ADA">
        <w:t>’</w:t>
      </w:r>
      <w:r w:rsidR="002643A1" w:rsidRPr="00EE45D3">
        <w:t>engin, incluant certains engins disposant de technologies à alimentation électrique, est de fait considéré comme « autonome » pendant la phase de transport, et il convient dans ce cas d</w:t>
      </w:r>
      <w:r w:rsidR="00927ADA">
        <w:t>’</w:t>
      </w:r>
      <w:r w:rsidR="002643A1" w:rsidRPr="00EE45D3">
        <w:t>assurer au transporteur une durée de fonctionnement du dispositif thermique de façon que le transporteur choisisse l</w:t>
      </w:r>
      <w:r w:rsidR="00927ADA">
        <w:t>’</w:t>
      </w:r>
      <w:r w:rsidR="002643A1" w:rsidRPr="00EE45D3">
        <w:t>engin de transport qui réponde à son besoin.</w:t>
      </w:r>
    </w:p>
    <w:p w14:paraId="2588ED93" w14:textId="633759DB" w:rsidR="002643A1" w:rsidRPr="00EE45D3" w:rsidRDefault="006478A8" w:rsidP="00EE45D3">
      <w:pPr>
        <w:pStyle w:val="SingleTxtG"/>
      </w:pPr>
      <w:r>
        <w:t>5.</w:t>
      </w:r>
      <w:r>
        <w:tab/>
      </w:r>
      <w:r w:rsidR="002643A1" w:rsidRPr="00EE45D3">
        <w:t>Aucune durée de fonctionnement indépendamment du fonctionnement du véhicule n</w:t>
      </w:r>
      <w:r w:rsidR="00927ADA">
        <w:t>’</w:t>
      </w:r>
      <w:r w:rsidR="002643A1" w:rsidRPr="00EE45D3">
        <w:t>est mentionnée sur l</w:t>
      </w:r>
      <w:r w:rsidR="00927ADA">
        <w:t>’</w:t>
      </w:r>
      <w:r w:rsidR="002643A1" w:rsidRPr="00EE45D3">
        <w:t>attestation ATP et le marquage de l</w:t>
      </w:r>
      <w:r w:rsidR="00927ADA">
        <w:t>’</w:t>
      </w:r>
      <w:r w:rsidR="002643A1" w:rsidRPr="00EE45D3">
        <w:t>engin ATP. Plutôt que de multiplier les marquages, il semble plus simple d</w:t>
      </w:r>
      <w:r w:rsidR="00927ADA">
        <w:t>’</w:t>
      </w:r>
      <w:r w:rsidR="002643A1" w:rsidRPr="00EE45D3">
        <w:t>établir un critère de durée de fonctionnement minimale pour la délivrance d</w:t>
      </w:r>
      <w:r w:rsidR="00927ADA">
        <w:t>’</w:t>
      </w:r>
      <w:r w:rsidR="002643A1" w:rsidRPr="00EE45D3">
        <w:t>une attestation ATP. Aucun critère de durée de fonctionnement n</w:t>
      </w:r>
      <w:r w:rsidR="00927ADA">
        <w:t>’</w:t>
      </w:r>
      <w:r w:rsidR="002643A1" w:rsidRPr="00EE45D3">
        <w:t>est défini dans l</w:t>
      </w:r>
      <w:r w:rsidR="00927ADA">
        <w:t>’</w:t>
      </w:r>
      <w:r w:rsidR="002643A1" w:rsidRPr="00EE45D3">
        <w:t>Accord ATP pour obtenir une caractérisation « autonome ». Il est donc proposé d</w:t>
      </w:r>
      <w:r w:rsidR="00927ADA">
        <w:t>’</w:t>
      </w:r>
      <w:r w:rsidR="002643A1" w:rsidRPr="00EE45D3">
        <w:t>inscrire une série de deux propositions visant à :</w:t>
      </w:r>
    </w:p>
    <w:p w14:paraId="110EF380" w14:textId="5D58924B" w:rsidR="002643A1" w:rsidRPr="008236AF" w:rsidRDefault="008236AF" w:rsidP="008236AF">
      <w:pPr>
        <w:pStyle w:val="SingleTxtG"/>
      </w:pPr>
      <w:r>
        <w:tab/>
      </w:r>
      <w:r w:rsidR="00C757E1">
        <w:t>a)</w:t>
      </w:r>
      <w:r w:rsidR="006478A8" w:rsidRPr="008236AF">
        <w:tab/>
      </w:r>
      <w:r w:rsidR="002643A1" w:rsidRPr="008236AF">
        <w:t>Préciser la définition d</w:t>
      </w:r>
      <w:r w:rsidR="00927ADA">
        <w:t>’</w:t>
      </w:r>
      <w:r w:rsidR="002643A1" w:rsidRPr="008236AF">
        <w:t>un engin autonome et le critère sur la durée minimale de fonctionnement indépendamment du fonctionnement de l</w:t>
      </w:r>
      <w:r w:rsidR="00927ADA">
        <w:t>’</w:t>
      </w:r>
      <w:r w:rsidR="002643A1" w:rsidRPr="008236AF">
        <w:t>engin.</w:t>
      </w:r>
    </w:p>
    <w:p w14:paraId="05A039D7" w14:textId="26B0EB13" w:rsidR="002643A1" w:rsidRPr="008236AF" w:rsidRDefault="00C757E1" w:rsidP="008236AF">
      <w:pPr>
        <w:pStyle w:val="SingleTxtG"/>
      </w:pPr>
      <w:r>
        <w:tab/>
        <w:t>b)</w:t>
      </w:r>
      <w:r w:rsidR="006478A8" w:rsidRPr="008236AF">
        <w:tab/>
      </w:r>
      <w:r w:rsidR="002643A1" w:rsidRPr="008236AF">
        <w:t>Préciser la caractérisation « autonome » d</w:t>
      </w:r>
      <w:r w:rsidR="00927ADA">
        <w:t>’</w:t>
      </w:r>
      <w:r w:rsidR="002643A1" w:rsidRPr="008236AF">
        <w:t>un dispositif thermique à alimentation électrique (pour son mode route)</w:t>
      </w:r>
    </w:p>
    <w:p w14:paraId="6ED79364" w14:textId="77777777" w:rsidR="002643A1" w:rsidRDefault="002643A1" w:rsidP="002643A1">
      <w:pPr>
        <w:pStyle w:val="HChG"/>
      </w:pPr>
      <w:r>
        <w:tab/>
        <w:t>I.</w:t>
      </w:r>
      <w:r>
        <w:tab/>
      </w:r>
      <w:r w:rsidRPr="00794400">
        <w:t>Proposition</w:t>
      </w:r>
    </w:p>
    <w:p w14:paraId="5F3E5C8F" w14:textId="2B7641FD" w:rsidR="002643A1" w:rsidRPr="00805D44" w:rsidRDefault="002643A1" w:rsidP="002643A1">
      <w:pPr>
        <w:pStyle w:val="SingleTxtG"/>
      </w:pPr>
      <w:bookmarkStart w:id="2" w:name="_Hlk30687072"/>
      <w:r>
        <w:rPr>
          <w:rFonts w:cs="Garamond"/>
          <w:lang w:val="fr-FR" w:eastAsia="ar-SA"/>
        </w:rPr>
        <w:t>6.</w:t>
      </w:r>
      <w:r>
        <w:rPr>
          <w:rFonts w:cs="Garamond"/>
          <w:lang w:val="fr-FR" w:eastAsia="ar-SA"/>
        </w:rPr>
        <w:tab/>
      </w:r>
      <w:r>
        <w:rPr>
          <w:lang w:val="fr-FR" w:eastAsia="ar-SA"/>
        </w:rPr>
        <w:t>Introduire une définition de l</w:t>
      </w:r>
      <w:r w:rsidR="00927ADA">
        <w:rPr>
          <w:lang w:val="fr-FR" w:eastAsia="ar-SA"/>
        </w:rPr>
        <w:t>’</w:t>
      </w:r>
      <w:r>
        <w:rPr>
          <w:lang w:val="fr-FR" w:eastAsia="ar-SA"/>
        </w:rPr>
        <w:t>autonomie d</w:t>
      </w:r>
      <w:r w:rsidR="00927ADA">
        <w:rPr>
          <w:lang w:val="fr-FR" w:eastAsia="ar-SA"/>
        </w:rPr>
        <w:t>’</w:t>
      </w:r>
      <w:r>
        <w:rPr>
          <w:lang w:val="fr-FR" w:eastAsia="ar-SA"/>
        </w:rPr>
        <w:t>un engin au sein de l</w:t>
      </w:r>
      <w:r w:rsidR="00927ADA">
        <w:rPr>
          <w:lang w:val="fr-FR" w:eastAsia="ar-SA"/>
        </w:rPr>
        <w:t>’</w:t>
      </w:r>
      <w:r>
        <w:rPr>
          <w:lang w:val="fr-FR" w:eastAsia="ar-SA"/>
        </w:rPr>
        <w:t xml:space="preserve">annexe 1 point 7 </w:t>
      </w:r>
      <w:r w:rsidRPr="00805D44">
        <w:rPr>
          <w:lang w:val="fr-FR" w:eastAsia="ar-SA"/>
        </w:rPr>
        <w:t>(définitions):</w:t>
      </w:r>
    </w:p>
    <w:bookmarkEnd w:id="2"/>
    <w:p w14:paraId="7671D641" w14:textId="77777777" w:rsidR="002643A1" w:rsidRPr="00805D44" w:rsidRDefault="002643A1" w:rsidP="002643A1">
      <w:pPr>
        <w:pStyle w:val="SingleTxtG"/>
        <w:rPr>
          <w:b/>
          <w:iCs/>
        </w:rPr>
      </w:pPr>
      <w:r>
        <w:rPr>
          <w:b/>
          <w:iCs/>
        </w:rPr>
        <w:t>« </w:t>
      </w:r>
      <w:r w:rsidRPr="00805D44">
        <w:rPr>
          <w:b/>
          <w:iCs/>
        </w:rPr>
        <w:t>Un engin est « autonome » si :</w:t>
      </w:r>
    </w:p>
    <w:p w14:paraId="08356292" w14:textId="6C97520A" w:rsidR="002643A1" w:rsidRPr="00805D44" w:rsidRDefault="002643A1" w:rsidP="002643A1">
      <w:pPr>
        <w:pStyle w:val="Bullet1G"/>
        <w:suppressAutoHyphens/>
        <w:kinsoku w:val="0"/>
        <w:overflowPunct w:val="0"/>
        <w:autoSpaceDE w:val="0"/>
        <w:autoSpaceDN w:val="0"/>
        <w:adjustRightInd w:val="0"/>
        <w:snapToGrid w:val="0"/>
      </w:pPr>
      <w:r w:rsidRPr="00805D44">
        <w:t>La production frigorifique ou frigorifique et calorifique est dépendante d</w:t>
      </w:r>
      <w:r w:rsidR="00927ADA">
        <w:t>’</w:t>
      </w:r>
      <w:r w:rsidRPr="00805D44">
        <w:t>une source</w:t>
      </w:r>
      <w:r>
        <w:t xml:space="preserve"> d</w:t>
      </w:r>
      <w:r w:rsidR="00927ADA">
        <w:t>’</w:t>
      </w:r>
      <w:r>
        <w:t>énergie</w:t>
      </w:r>
      <w:r w:rsidRPr="00805D44">
        <w:t> :</w:t>
      </w:r>
    </w:p>
    <w:p w14:paraId="03131E56" w14:textId="77777777" w:rsidR="002643A1" w:rsidRPr="00805D44" w:rsidRDefault="002643A1" w:rsidP="002643A1">
      <w:pPr>
        <w:pStyle w:val="Bullet2G"/>
        <w:suppressAutoHyphens/>
        <w:kinsoku w:val="0"/>
        <w:overflowPunct w:val="0"/>
        <w:autoSpaceDE w:val="0"/>
        <w:autoSpaceDN w:val="0"/>
        <w:adjustRightInd w:val="0"/>
        <w:snapToGrid w:val="0"/>
      </w:pPr>
      <w:r w:rsidRPr="00805D44">
        <w:t>Dédiée ou partagée avec priorisation pour le dispositif thermique</w:t>
      </w:r>
    </w:p>
    <w:p w14:paraId="0F7F6B90" w14:textId="77777777" w:rsidR="002643A1" w:rsidRPr="00805D44" w:rsidRDefault="002643A1" w:rsidP="002643A1">
      <w:pPr>
        <w:pStyle w:val="Bullet2G"/>
        <w:suppressAutoHyphens/>
        <w:kinsoku w:val="0"/>
        <w:overflowPunct w:val="0"/>
        <w:autoSpaceDE w:val="0"/>
        <w:autoSpaceDN w:val="0"/>
        <w:adjustRightInd w:val="0"/>
        <w:snapToGrid w:val="0"/>
      </w:pPr>
      <w:r w:rsidRPr="00805D44">
        <w:t>Toujours disponible</w:t>
      </w:r>
    </w:p>
    <w:p w14:paraId="264E2E23" w14:textId="77777777" w:rsidR="002643A1" w:rsidRPr="00805D44" w:rsidRDefault="002643A1" w:rsidP="002643A1">
      <w:pPr>
        <w:pStyle w:val="Bullet2G"/>
        <w:suppressAutoHyphens/>
        <w:kinsoku w:val="0"/>
        <w:overflowPunct w:val="0"/>
        <w:autoSpaceDE w:val="0"/>
        <w:autoSpaceDN w:val="0"/>
        <w:adjustRightInd w:val="0"/>
        <w:snapToGrid w:val="0"/>
      </w:pPr>
      <w:r>
        <w:t>Qui ne peut être interrompue pendant toute la phase de transport</w:t>
      </w:r>
      <w:r w:rsidRPr="00805D44">
        <w:t>,</w:t>
      </w:r>
    </w:p>
    <w:p w14:paraId="204CAF63" w14:textId="7A5C028A" w:rsidR="002643A1" w:rsidRPr="00805D44" w:rsidRDefault="002643A1" w:rsidP="002643A1">
      <w:pPr>
        <w:pStyle w:val="Bullet1G"/>
        <w:suppressAutoHyphens/>
        <w:kinsoku w:val="0"/>
        <w:overflowPunct w:val="0"/>
        <w:autoSpaceDE w:val="0"/>
        <w:autoSpaceDN w:val="0"/>
        <w:adjustRightInd w:val="0"/>
        <w:snapToGrid w:val="0"/>
        <w:rPr>
          <w:lang w:val="fr-FR" w:eastAsia="ar-SA"/>
        </w:rPr>
      </w:pPr>
      <w:r w:rsidRPr="00805D44">
        <w:t>Sa durée d</w:t>
      </w:r>
      <w:r w:rsidR="00927ADA">
        <w:t>’</w:t>
      </w:r>
      <w:r w:rsidRPr="00805D44">
        <w:t>autonomie est supérieure à une 1 heure à pleine charge sur le mode le plus consommateur d</w:t>
      </w:r>
      <w:r w:rsidR="00927ADA">
        <w:t>’</w:t>
      </w:r>
      <w:r w:rsidRPr="00805D44">
        <w:t>énergie par une température de 30°C extérieure.</w:t>
      </w:r>
      <w:r>
        <w:t> »</w:t>
      </w:r>
    </w:p>
    <w:p w14:paraId="38F1250F" w14:textId="77777777" w:rsidR="002643A1" w:rsidRPr="00805D44" w:rsidRDefault="002643A1" w:rsidP="002643A1">
      <w:pPr>
        <w:pStyle w:val="H23G"/>
        <w:rPr>
          <w:lang w:val="fr-FR" w:eastAsia="ar-SA"/>
        </w:rPr>
      </w:pPr>
      <w:r>
        <w:rPr>
          <w:lang w:val="fr-FR" w:eastAsia="ar-SA"/>
        </w:rPr>
        <w:tab/>
      </w:r>
      <w:r>
        <w:rPr>
          <w:lang w:val="fr-FR" w:eastAsia="ar-SA"/>
        </w:rPr>
        <w:tab/>
      </w:r>
      <w:r w:rsidRPr="00805D44">
        <w:rPr>
          <w:lang w:val="fr-FR" w:eastAsia="ar-SA"/>
        </w:rPr>
        <w:t>Traduction :</w:t>
      </w:r>
    </w:p>
    <w:p w14:paraId="16277DDA" w14:textId="77777777" w:rsidR="002643A1" w:rsidRPr="00797E1B" w:rsidRDefault="002643A1" w:rsidP="002643A1">
      <w:pPr>
        <w:pStyle w:val="SingleTxtG"/>
        <w:rPr>
          <w:i/>
          <w:iCs/>
          <w:lang w:val="fr-FR" w:eastAsia="ar-SA"/>
        </w:rPr>
      </w:pPr>
      <w:r w:rsidRPr="00805D44">
        <w:rPr>
          <w:lang w:val="fr-FR" w:eastAsia="ar-SA"/>
        </w:rPr>
        <w:t>Autonome :</w:t>
      </w:r>
      <w:r>
        <w:rPr>
          <w:lang w:val="fr-FR" w:eastAsia="ar-SA"/>
        </w:rPr>
        <w:tab/>
      </w:r>
      <w:r>
        <w:rPr>
          <w:lang w:val="fr-FR" w:eastAsia="ar-SA"/>
        </w:rPr>
        <w:tab/>
      </w:r>
      <w:r w:rsidRPr="00805D44">
        <w:rPr>
          <w:lang w:val="fr-FR" w:eastAsia="ar-SA"/>
        </w:rPr>
        <w:t xml:space="preserve"> </w:t>
      </w:r>
      <w:r>
        <w:rPr>
          <w:lang w:val="fr-FR" w:eastAsia="ar-SA"/>
        </w:rPr>
        <w:tab/>
      </w:r>
      <w:proofErr w:type="spellStart"/>
      <w:r w:rsidRPr="00797E1B">
        <w:rPr>
          <w:i/>
          <w:iCs/>
          <w:lang w:val="fr-FR" w:eastAsia="ar-SA"/>
        </w:rPr>
        <w:t>independ</w:t>
      </w:r>
      <w:r>
        <w:rPr>
          <w:i/>
          <w:iCs/>
          <w:lang w:val="fr-FR" w:eastAsia="ar-SA"/>
        </w:rPr>
        <w:t>e</w:t>
      </w:r>
      <w:r w:rsidRPr="00797E1B">
        <w:rPr>
          <w:i/>
          <w:iCs/>
          <w:lang w:val="fr-FR" w:eastAsia="ar-SA"/>
        </w:rPr>
        <w:t>nt</w:t>
      </w:r>
      <w:proofErr w:type="spellEnd"/>
    </w:p>
    <w:p w14:paraId="0413E007" w14:textId="70ED7EED" w:rsidR="002643A1" w:rsidRDefault="002643A1" w:rsidP="002643A1">
      <w:pPr>
        <w:pStyle w:val="SingleTxtG"/>
        <w:rPr>
          <w:i/>
          <w:iCs/>
          <w:lang w:val="fr-FR" w:eastAsia="ar-SA"/>
        </w:rPr>
      </w:pPr>
      <w:r w:rsidRPr="00805D44">
        <w:rPr>
          <w:lang w:val="fr-FR" w:eastAsia="ar-SA"/>
        </w:rPr>
        <w:t>Durée d</w:t>
      </w:r>
      <w:r w:rsidR="00927ADA">
        <w:rPr>
          <w:lang w:val="fr-FR" w:eastAsia="ar-SA"/>
        </w:rPr>
        <w:t>’</w:t>
      </w:r>
      <w:r w:rsidRPr="00805D44">
        <w:rPr>
          <w:lang w:val="fr-FR" w:eastAsia="ar-SA"/>
        </w:rPr>
        <w:t xml:space="preserve">autonomie : </w:t>
      </w:r>
      <w:r>
        <w:rPr>
          <w:lang w:val="fr-FR" w:eastAsia="ar-SA"/>
        </w:rPr>
        <w:tab/>
      </w:r>
      <w:proofErr w:type="spellStart"/>
      <w:r w:rsidRPr="00797E1B">
        <w:rPr>
          <w:i/>
          <w:iCs/>
          <w:lang w:val="fr-FR" w:eastAsia="ar-SA"/>
        </w:rPr>
        <w:t>independ</w:t>
      </w:r>
      <w:r>
        <w:rPr>
          <w:i/>
          <w:iCs/>
          <w:lang w:val="fr-FR" w:eastAsia="ar-SA"/>
        </w:rPr>
        <w:t>e</w:t>
      </w:r>
      <w:r w:rsidRPr="00797E1B">
        <w:rPr>
          <w:i/>
          <w:iCs/>
          <w:lang w:val="fr-FR" w:eastAsia="ar-SA"/>
        </w:rPr>
        <w:t>nce</w:t>
      </w:r>
      <w:proofErr w:type="spellEnd"/>
      <w:r w:rsidRPr="00797E1B">
        <w:rPr>
          <w:i/>
          <w:iCs/>
          <w:lang w:val="fr-FR" w:eastAsia="ar-SA"/>
        </w:rPr>
        <w:t xml:space="preserve"> duration</w:t>
      </w:r>
    </w:p>
    <w:p w14:paraId="09861921" w14:textId="77777777" w:rsidR="002643A1" w:rsidRDefault="002643A1" w:rsidP="002643A1">
      <w:pPr>
        <w:pStyle w:val="SingleTxtG"/>
        <w:ind w:left="0"/>
        <w:rPr>
          <w:lang w:val="fr-FR" w:eastAsia="ar-SA"/>
        </w:rPr>
      </w:pPr>
    </w:p>
    <w:p w14:paraId="787EBD62" w14:textId="77777777" w:rsidR="002643A1" w:rsidRPr="005D0761" w:rsidRDefault="002643A1" w:rsidP="002643A1">
      <w:pPr>
        <w:pStyle w:val="HChG"/>
      </w:pPr>
      <w:r w:rsidRPr="005D0761">
        <w:lastRenderedPageBreak/>
        <w:tab/>
        <w:t>II.</w:t>
      </w:r>
      <w:r w:rsidRPr="005D0761">
        <w:tab/>
      </w:r>
      <w:r>
        <w:t>Incidence</w:t>
      </w:r>
    </w:p>
    <w:tbl>
      <w:tblPr>
        <w:tblW w:w="8505" w:type="dxa"/>
        <w:tblInd w:w="57" w:type="dxa"/>
        <w:tblLayout w:type="fixed"/>
        <w:tblLook w:val="01E0" w:firstRow="1" w:lastRow="1" w:firstColumn="1" w:lastColumn="1" w:noHBand="0" w:noVBand="0"/>
      </w:tblPr>
      <w:tblGrid>
        <w:gridCol w:w="1701"/>
        <w:gridCol w:w="6804"/>
      </w:tblGrid>
      <w:tr w:rsidR="002643A1" w:rsidRPr="00E3749D" w14:paraId="1FF7A422" w14:textId="77777777" w:rsidTr="00D74CD3">
        <w:tc>
          <w:tcPr>
            <w:tcW w:w="1701" w:type="dxa"/>
            <w:tcBorders>
              <w:top w:val="single" w:sz="12" w:space="0" w:color="auto"/>
              <w:left w:val="nil"/>
              <w:bottom w:val="nil"/>
              <w:right w:val="nil"/>
            </w:tcBorders>
            <w:hideMark/>
          </w:tcPr>
          <w:p w14:paraId="313453DC" w14:textId="77777777" w:rsidR="002643A1" w:rsidRPr="00E3749D" w:rsidRDefault="002643A1" w:rsidP="00D74CD3">
            <w:pPr>
              <w:pStyle w:val="SingleTxtG"/>
              <w:ind w:left="0" w:right="31"/>
              <w:rPr>
                <w:iCs/>
                <w:lang w:val="en-US"/>
              </w:rPr>
            </w:pPr>
            <w:r>
              <w:rPr>
                <w:iCs/>
                <w:lang w:val="en-US"/>
              </w:rPr>
              <w:t>Justification</w:t>
            </w:r>
            <w:r w:rsidRPr="00E3749D">
              <w:rPr>
                <w:i/>
                <w:iCs/>
                <w:lang w:val="en-US"/>
              </w:rPr>
              <w:t xml:space="preserve"> </w:t>
            </w:r>
            <w:r w:rsidRPr="00E3749D">
              <w:rPr>
                <w:iCs/>
                <w:lang w:val="en-US"/>
              </w:rPr>
              <w:t>:</w:t>
            </w:r>
          </w:p>
        </w:tc>
        <w:tc>
          <w:tcPr>
            <w:tcW w:w="6804" w:type="dxa"/>
            <w:tcBorders>
              <w:top w:val="single" w:sz="12" w:space="0" w:color="auto"/>
              <w:left w:val="nil"/>
              <w:bottom w:val="nil"/>
              <w:right w:val="nil"/>
            </w:tcBorders>
            <w:vAlign w:val="bottom"/>
            <w:hideMark/>
          </w:tcPr>
          <w:p w14:paraId="3F81F11E" w14:textId="461FCC02" w:rsidR="002643A1" w:rsidRDefault="002643A1" w:rsidP="00D74CD3">
            <w:pPr>
              <w:pStyle w:val="SingleTxtG"/>
              <w:ind w:left="179" w:right="27"/>
            </w:pPr>
            <w:r w:rsidRPr="00794400">
              <w:t>Harmon</w:t>
            </w:r>
            <w:r>
              <w:t xml:space="preserve">iser le </w:t>
            </w:r>
            <w:r w:rsidRPr="00794400">
              <w:t>langage</w:t>
            </w:r>
            <w:r>
              <w:t xml:space="preserve"> </w:t>
            </w:r>
            <w:r w:rsidRPr="00794400">
              <w:t>et l</w:t>
            </w:r>
            <w:r w:rsidR="00927ADA">
              <w:t>’</w:t>
            </w:r>
            <w:r w:rsidRPr="00794400">
              <w:t>identification d</w:t>
            </w:r>
            <w:r w:rsidR="00927ADA">
              <w:t>’</w:t>
            </w:r>
            <w:r w:rsidRPr="00794400">
              <w:t>un matériel autonome.</w:t>
            </w:r>
          </w:p>
          <w:p w14:paraId="770BEFB3" w14:textId="2642C5F2" w:rsidR="002643A1" w:rsidRPr="00570150" w:rsidRDefault="002643A1" w:rsidP="00D74CD3">
            <w:pPr>
              <w:pStyle w:val="SingleTxtG"/>
              <w:ind w:left="179" w:right="27"/>
              <w:rPr>
                <w:iCs/>
              </w:rPr>
            </w:pPr>
            <w:r>
              <w:t>Informer le transporteur sur le dimensionnement et les limites d</w:t>
            </w:r>
            <w:r w:rsidR="00927ADA">
              <w:t>’</w:t>
            </w:r>
            <w:r>
              <w:t>utilisation de l</w:t>
            </w:r>
            <w:r w:rsidR="00927ADA">
              <w:t>’</w:t>
            </w:r>
            <w:r>
              <w:t>engin.</w:t>
            </w:r>
          </w:p>
        </w:tc>
      </w:tr>
      <w:tr w:rsidR="002643A1" w:rsidRPr="00E3749D" w14:paraId="13FF437B" w14:textId="77777777" w:rsidTr="00D74CD3">
        <w:tc>
          <w:tcPr>
            <w:tcW w:w="1701" w:type="dxa"/>
          </w:tcPr>
          <w:p w14:paraId="7A607ACC" w14:textId="77777777" w:rsidR="002643A1" w:rsidRPr="00E3749D" w:rsidRDefault="002643A1" w:rsidP="00D74CD3">
            <w:pPr>
              <w:pStyle w:val="SingleTxtG"/>
              <w:ind w:left="0" w:right="31"/>
              <w:rPr>
                <w:iCs/>
                <w:lang w:val="en-US"/>
              </w:rPr>
            </w:pPr>
            <w:proofErr w:type="spellStart"/>
            <w:r w:rsidRPr="00E3749D">
              <w:rPr>
                <w:iCs/>
                <w:lang w:val="en-US"/>
              </w:rPr>
              <w:t>Coût</w:t>
            </w:r>
            <w:r>
              <w:rPr>
                <w:iCs/>
                <w:lang w:val="en-US"/>
              </w:rPr>
              <w:t>s</w:t>
            </w:r>
            <w:proofErr w:type="spellEnd"/>
            <w:r w:rsidRPr="00E3749D">
              <w:rPr>
                <w:i/>
                <w:iCs/>
                <w:lang w:val="en-US"/>
              </w:rPr>
              <w:t xml:space="preserve"> </w:t>
            </w:r>
            <w:r w:rsidRPr="00E3749D">
              <w:rPr>
                <w:iCs/>
                <w:lang w:val="en-US"/>
              </w:rPr>
              <w:t>:</w:t>
            </w:r>
          </w:p>
        </w:tc>
        <w:tc>
          <w:tcPr>
            <w:tcW w:w="6804" w:type="dxa"/>
            <w:vAlign w:val="bottom"/>
          </w:tcPr>
          <w:p w14:paraId="6253EB21" w14:textId="152D4ACF" w:rsidR="002643A1" w:rsidRDefault="002643A1" w:rsidP="00D74CD3">
            <w:pPr>
              <w:pStyle w:val="SingleTxtG"/>
              <w:ind w:left="179" w:right="27"/>
            </w:pPr>
            <w:r>
              <w:t>Aucun coût lié à la modification du texte de l</w:t>
            </w:r>
            <w:r w:rsidR="00927ADA">
              <w:t>’</w:t>
            </w:r>
            <w:r>
              <w:t>ATP et à la mise en œuvre de la certification. La proposition vise à conserver le type de marquage existant pour les engins ATP.</w:t>
            </w:r>
          </w:p>
          <w:p w14:paraId="4870371E" w14:textId="5456F455" w:rsidR="002643A1" w:rsidRPr="00570150" w:rsidRDefault="002643A1" w:rsidP="00D74CD3">
            <w:pPr>
              <w:pStyle w:val="SingleTxtG"/>
              <w:ind w:left="179" w:right="27"/>
              <w:rPr>
                <w:iCs/>
              </w:rPr>
            </w:pPr>
            <w:r>
              <w:rPr>
                <w:lang w:val="fr-FR"/>
              </w:rPr>
              <w:t>La mise en œuvre des essais de qualification des sources d</w:t>
            </w:r>
            <w:r w:rsidR="00927ADA">
              <w:rPr>
                <w:lang w:val="fr-FR"/>
              </w:rPr>
              <w:t>’</w:t>
            </w:r>
            <w:r>
              <w:rPr>
                <w:lang w:val="fr-FR"/>
              </w:rPr>
              <w:t>énergie en stations d</w:t>
            </w:r>
            <w:r w:rsidR="00927ADA">
              <w:rPr>
                <w:lang w:val="fr-FR"/>
              </w:rPr>
              <w:t>’</w:t>
            </w:r>
            <w:r>
              <w:rPr>
                <w:lang w:val="fr-FR"/>
              </w:rPr>
              <w:t>essai officielles peut générer des coûts.</w:t>
            </w:r>
          </w:p>
        </w:tc>
      </w:tr>
      <w:tr w:rsidR="002643A1" w:rsidRPr="00E3749D" w14:paraId="48AC8A4B" w14:textId="77777777" w:rsidTr="00D74CD3">
        <w:tc>
          <w:tcPr>
            <w:tcW w:w="1701" w:type="dxa"/>
            <w:hideMark/>
          </w:tcPr>
          <w:p w14:paraId="42CC8765" w14:textId="77777777" w:rsidR="002643A1" w:rsidRPr="00E3749D" w:rsidRDefault="002643A1" w:rsidP="00D74CD3">
            <w:pPr>
              <w:pStyle w:val="SingleTxtG"/>
              <w:ind w:left="0" w:right="31"/>
              <w:rPr>
                <w:iCs/>
                <w:lang w:val="en-US"/>
              </w:rPr>
            </w:pPr>
            <w:proofErr w:type="spellStart"/>
            <w:r w:rsidRPr="00E3749D">
              <w:rPr>
                <w:iCs/>
                <w:lang w:val="en-US"/>
              </w:rPr>
              <w:t>Environnement</w:t>
            </w:r>
            <w:proofErr w:type="spellEnd"/>
            <w:r w:rsidRPr="00E3749D">
              <w:rPr>
                <w:iCs/>
                <w:lang w:val="en-US"/>
              </w:rPr>
              <w:t xml:space="preserve"> :</w:t>
            </w:r>
          </w:p>
        </w:tc>
        <w:tc>
          <w:tcPr>
            <w:tcW w:w="6804" w:type="dxa"/>
            <w:vAlign w:val="bottom"/>
            <w:hideMark/>
          </w:tcPr>
          <w:p w14:paraId="3B7312FF" w14:textId="4B5D144A" w:rsidR="002643A1" w:rsidRPr="00570150" w:rsidRDefault="002643A1" w:rsidP="00D74CD3">
            <w:pPr>
              <w:pStyle w:val="SingleTxtG"/>
              <w:ind w:left="179" w:right="27"/>
              <w:rPr>
                <w:iCs/>
              </w:rPr>
            </w:pPr>
            <w:r w:rsidRPr="00570150">
              <w:rPr>
                <w:iCs/>
              </w:rPr>
              <w:t>Cette proposition vise à harmoniser l</w:t>
            </w:r>
            <w:r w:rsidR="00927ADA">
              <w:rPr>
                <w:iCs/>
              </w:rPr>
              <w:t>’</w:t>
            </w:r>
            <w:r w:rsidRPr="00570150">
              <w:rPr>
                <w:iCs/>
              </w:rPr>
              <w:t>interprétation de l</w:t>
            </w:r>
            <w:r w:rsidR="00927ADA">
              <w:rPr>
                <w:iCs/>
              </w:rPr>
              <w:t>’</w:t>
            </w:r>
            <w:r w:rsidRPr="00570150">
              <w:rPr>
                <w:iCs/>
              </w:rPr>
              <w:t xml:space="preserve">ATP et prévenir les </w:t>
            </w:r>
            <w:proofErr w:type="spellStart"/>
            <w:r w:rsidRPr="00570150">
              <w:rPr>
                <w:iCs/>
              </w:rPr>
              <w:t>distortions</w:t>
            </w:r>
            <w:proofErr w:type="spellEnd"/>
            <w:r w:rsidRPr="00570150">
              <w:rPr>
                <w:iCs/>
              </w:rPr>
              <w:t xml:space="preserve"> de concurrence</w:t>
            </w:r>
          </w:p>
        </w:tc>
      </w:tr>
      <w:tr w:rsidR="002643A1" w:rsidRPr="00E3749D" w14:paraId="5C65E42F" w14:textId="77777777" w:rsidTr="00D74CD3">
        <w:tc>
          <w:tcPr>
            <w:tcW w:w="1701" w:type="dxa"/>
            <w:hideMark/>
          </w:tcPr>
          <w:p w14:paraId="1E4227EE" w14:textId="77777777" w:rsidR="002643A1" w:rsidRPr="00E3749D" w:rsidRDefault="002643A1" w:rsidP="00D74CD3">
            <w:pPr>
              <w:pStyle w:val="SingleTxtG"/>
              <w:ind w:left="0" w:right="31"/>
              <w:rPr>
                <w:iCs/>
                <w:lang w:val="en-US"/>
              </w:rPr>
            </w:pPr>
            <w:proofErr w:type="spellStart"/>
            <w:r w:rsidRPr="00E3749D">
              <w:rPr>
                <w:iCs/>
                <w:lang w:val="en-US"/>
              </w:rPr>
              <w:t>Faisabilité</w:t>
            </w:r>
            <w:proofErr w:type="spellEnd"/>
            <w:r w:rsidRPr="00E3749D">
              <w:rPr>
                <w:iCs/>
                <w:lang w:val="en-US"/>
              </w:rPr>
              <w:t xml:space="preserve"> :</w:t>
            </w:r>
          </w:p>
        </w:tc>
        <w:tc>
          <w:tcPr>
            <w:tcW w:w="6804" w:type="dxa"/>
            <w:vAlign w:val="bottom"/>
            <w:hideMark/>
          </w:tcPr>
          <w:p w14:paraId="6B029047" w14:textId="39063C15" w:rsidR="002643A1" w:rsidRPr="00E3749D" w:rsidRDefault="002643A1" w:rsidP="00D74CD3">
            <w:pPr>
              <w:pStyle w:val="SingleTxtG"/>
              <w:ind w:left="179" w:right="27"/>
            </w:pPr>
            <w:r>
              <w:t>L</w:t>
            </w:r>
            <w:r w:rsidRPr="005C3A9D">
              <w:t>es stations d</w:t>
            </w:r>
            <w:r w:rsidR="00927ADA">
              <w:t>’</w:t>
            </w:r>
            <w:r w:rsidRPr="005C3A9D">
              <w:t>essai officielles ATP</w:t>
            </w:r>
            <w:r>
              <w:t xml:space="preserve"> seront dans certains cas (en l</w:t>
            </w:r>
            <w:r w:rsidR="00927ADA">
              <w:t>’</w:t>
            </w:r>
            <w:r>
              <w:t>absence de certificat existant sur les sources d</w:t>
            </w:r>
            <w:r w:rsidR="00927ADA">
              <w:t>’</w:t>
            </w:r>
            <w:r>
              <w:t>énergie) amenées à mettre en œuvre une méthode d</w:t>
            </w:r>
            <w:r w:rsidR="00927ADA">
              <w:t>’</w:t>
            </w:r>
            <w:r>
              <w:t>essai pour qualifier la source d</w:t>
            </w:r>
            <w:r w:rsidR="00927ADA">
              <w:t>’</w:t>
            </w:r>
            <w:r>
              <w:t>énergie</w:t>
            </w:r>
            <w:r w:rsidRPr="005C3A9D">
              <w:t>.</w:t>
            </w:r>
          </w:p>
        </w:tc>
      </w:tr>
      <w:tr w:rsidR="002643A1" w:rsidRPr="00E3749D" w14:paraId="22111CCD" w14:textId="77777777" w:rsidTr="00D74CD3">
        <w:tc>
          <w:tcPr>
            <w:tcW w:w="1701" w:type="dxa"/>
            <w:tcBorders>
              <w:top w:val="nil"/>
              <w:left w:val="nil"/>
              <w:bottom w:val="single" w:sz="12" w:space="0" w:color="auto"/>
              <w:right w:val="nil"/>
            </w:tcBorders>
            <w:hideMark/>
          </w:tcPr>
          <w:p w14:paraId="4BEFCA99" w14:textId="77777777" w:rsidR="002643A1" w:rsidRPr="00E3749D" w:rsidRDefault="002643A1" w:rsidP="00D74CD3">
            <w:pPr>
              <w:pStyle w:val="SingleTxtG"/>
              <w:ind w:left="0" w:right="31"/>
              <w:rPr>
                <w:iCs/>
                <w:lang w:val="en-US"/>
              </w:rPr>
            </w:pPr>
            <w:proofErr w:type="spellStart"/>
            <w:r w:rsidRPr="00E3749D">
              <w:rPr>
                <w:iCs/>
                <w:lang w:val="en-US"/>
              </w:rPr>
              <w:t>Applicabilité</w:t>
            </w:r>
            <w:proofErr w:type="spellEnd"/>
            <w:r w:rsidRPr="00E3749D">
              <w:rPr>
                <w:iCs/>
                <w:lang w:val="en-US"/>
              </w:rPr>
              <w:t xml:space="preserve"> :</w:t>
            </w:r>
          </w:p>
        </w:tc>
        <w:tc>
          <w:tcPr>
            <w:tcW w:w="6804" w:type="dxa"/>
            <w:tcBorders>
              <w:top w:val="nil"/>
              <w:left w:val="nil"/>
              <w:bottom w:val="single" w:sz="12" w:space="0" w:color="auto"/>
              <w:right w:val="nil"/>
            </w:tcBorders>
            <w:vAlign w:val="bottom"/>
            <w:hideMark/>
          </w:tcPr>
          <w:p w14:paraId="493C1C29" w14:textId="6524A17F" w:rsidR="002643A1" w:rsidRPr="00570150" w:rsidRDefault="002643A1" w:rsidP="00D74CD3">
            <w:pPr>
              <w:pStyle w:val="SingleTxtG"/>
              <w:ind w:left="179" w:right="0"/>
              <w:rPr>
                <w:iCs/>
              </w:rPr>
            </w:pPr>
            <w:r w:rsidRPr="00570150">
              <w:rPr>
                <w:iCs/>
              </w:rPr>
              <w:t>Aucune difficulté n</w:t>
            </w:r>
            <w:r w:rsidR="00927ADA">
              <w:rPr>
                <w:iCs/>
              </w:rPr>
              <w:t>’</w:t>
            </w:r>
            <w:r w:rsidRPr="00570150">
              <w:rPr>
                <w:iCs/>
              </w:rPr>
              <w:t>est à prévoir. Il n</w:t>
            </w:r>
            <w:r w:rsidR="00927ADA">
              <w:rPr>
                <w:iCs/>
              </w:rPr>
              <w:t>’</w:t>
            </w:r>
            <w:r w:rsidRPr="00570150">
              <w:rPr>
                <w:iCs/>
              </w:rPr>
              <w:t>est pas nécessaire de prévoir une période de transition</w:t>
            </w:r>
          </w:p>
        </w:tc>
      </w:tr>
    </w:tbl>
    <w:p w14:paraId="2C4EBAE4" w14:textId="55B1F507" w:rsidR="00C1626B" w:rsidRPr="00113DD8" w:rsidRDefault="00113DD8" w:rsidP="00113DD8">
      <w:pPr>
        <w:spacing w:before="240"/>
        <w:jc w:val="center"/>
        <w:rPr>
          <w:u w:val="single"/>
        </w:rPr>
      </w:pPr>
      <w:r>
        <w:rPr>
          <w:u w:val="single"/>
        </w:rPr>
        <w:tab/>
      </w:r>
      <w:r>
        <w:rPr>
          <w:u w:val="single"/>
        </w:rPr>
        <w:tab/>
      </w:r>
      <w:r>
        <w:rPr>
          <w:u w:val="single"/>
        </w:rPr>
        <w:tab/>
      </w:r>
    </w:p>
    <w:sectPr w:rsidR="00C1626B" w:rsidRPr="00113DD8" w:rsidSect="003823F5">
      <w:headerReference w:type="even" r:id="rId12"/>
      <w:headerReference w:type="default" r:id="rId13"/>
      <w:footerReference w:type="even" r:id="rId14"/>
      <w:footerReference w:type="default" r:id="rId15"/>
      <w:footerReference w:type="first" r:id="rId16"/>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A1B5F" w14:textId="77777777" w:rsidR="00C80043" w:rsidRDefault="00C80043" w:rsidP="00F95C08">
      <w:pPr>
        <w:spacing w:line="240" w:lineRule="auto"/>
      </w:pPr>
    </w:p>
  </w:endnote>
  <w:endnote w:type="continuationSeparator" w:id="0">
    <w:p w14:paraId="7F442D67" w14:textId="77777777" w:rsidR="00C80043" w:rsidRPr="00AC3823" w:rsidRDefault="00C80043" w:rsidP="00AC3823">
      <w:pPr>
        <w:pStyle w:val="Pieddepage"/>
      </w:pPr>
    </w:p>
  </w:endnote>
  <w:endnote w:type="continuationNotice" w:id="1">
    <w:p w14:paraId="03067E41" w14:textId="77777777" w:rsidR="00C80043" w:rsidRDefault="00C800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27E2" w14:textId="77777777" w:rsidR="003823F5" w:rsidRPr="003823F5" w:rsidRDefault="003823F5" w:rsidP="003823F5">
    <w:pPr>
      <w:pStyle w:val="Pieddepage"/>
      <w:tabs>
        <w:tab w:val="right" w:pos="9638"/>
      </w:tabs>
      <w:rPr>
        <w:sz w:val="18"/>
      </w:rPr>
    </w:pPr>
    <w:r w:rsidRPr="003823F5">
      <w:rPr>
        <w:b/>
        <w:sz w:val="18"/>
      </w:rPr>
      <w:fldChar w:fldCharType="begin"/>
    </w:r>
    <w:r w:rsidRPr="003823F5">
      <w:rPr>
        <w:b/>
        <w:sz w:val="18"/>
      </w:rPr>
      <w:instrText xml:space="preserve"> PAGE  \* MERGEFORMAT </w:instrText>
    </w:r>
    <w:r w:rsidRPr="003823F5">
      <w:rPr>
        <w:b/>
        <w:sz w:val="18"/>
      </w:rPr>
      <w:fldChar w:fldCharType="separate"/>
    </w:r>
    <w:r w:rsidRPr="003823F5">
      <w:rPr>
        <w:b/>
        <w:noProof/>
        <w:sz w:val="18"/>
      </w:rPr>
      <w:t>2</w:t>
    </w:r>
    <w:r w:rsidRPr="003823F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A2F9E" w14:textId="77777777" w:rsidR="003823F5" w:rsidRPr="003823F5" w:rsidRDefault="003823F5" w:rsidP="003823F5">
    <w:pPr>
      <w:pStyle w:val="Pieddepage"/>
      <w:tabs>
        <w:tab w:val="right" w:pos="9638"/>
      </w:tabs>
      <w:rPr>
        <w:b/>
        <w:sz w:val="18"/>
      </w:rPr>
    </w:pPr>
    <w:r>
      <w:tab/>
    </w:r>
    <w:r w:rsidRPr="003823F5">
      <w:rPr>
        <w:b/>
        <w:sz w:val="18"/>
      </w:rPr>
      <w:fldChar w:fldCharType="begin"/>
    </w:r>
    <w:r w:rsidRPr="003823F5">
      <w:rPr>
        <w:b/>
        <w:sz w:val="18"/>
      </w:rPr>
      <w:instrText xml:space="preserve"> PAGE  \* MERGEFORMAT </w:instrText>
    </w:r>
    <w:r w:rsidRPr="003823F5">
      <w:rPr>
        <w:b/>
        <w:sz w:val="18"/>
      </w:rPr>
      <w:fldChar w:fldCharType="separate"/>
    </w:r>
    <w:r w:rsidRPr="003823F5">
      <w:rPr>
        <w:b/>
        <w:noProof/>
        <w:sz w:val="18"/>
      </w:rPr>
      <w:t>3</w:t>
    </w:r>
    <w:r w:rsidRPr="003823F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FA74" w14:textId="076DE729" w:rsidR="000D3EE9" w:rsidRPr="00D206D4" w:rsidRDefault="00D206D4" w:rsidP="00D206D4">
    <w:pPr>
      <w:pStyle w:val="Pieddepage"/>
      <w:tabs>
        <w:tab w:val="left" w:pos="6520"/>
        <w:tab w:val="right" w:pos="9638"/>
      </w:tabs>
      <w:spacing w:before="120"/>
      <w:rPr>
        <w:sz w:val="20"/>
      </w:rPr>
    </w:pPr>
    <w:r>
      <w:rPr>
        <w:sz w:val="20"/>
      </w:rPr>
      <w:t>GE.24-14775  (F)</w:t>
    </w:r>
    <w:bookmarkStart w:id="3" w:name="_GoBack"/>
    <w:bookmarkEnd w:id="3"/>
    <w:r>
      <w:rPr>
        <w:sz w:val="20"/>
      </w:rPr>
      <w:tab/>
    </w:r>
    <w:r w:rsidRPr="00D206D4">
      <w:rPr>
        <w:noProof/>
        <w:sz w:val="20"/>
        <w:lang w:eastAsia="fr-CH"/>
      </w:rPr>
      <w:drawing>
        <wp:inline distT="0" distB="0" distL="0" distR="0" wp14:anchorId="2F02F095" wp14:editId="1ED45175">
          <wp:extent cx="1105200" cy="234000"/>
          <wp:effectExtent l="0" t="0" r="0" b="0"/>
          <wp:docPr id="1"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rPr>
      <w:drawing>
        <wp:inline distT="0" distB="0" distL="0" distR="0" wp14:anchorId="465C7F95" wp14:editId="27219CBE">
          <wp:extent cx="628650" cy="628650"/>
          <wp:effectExtent l="0" t="0" r="0" b="0"/>
          <wp:docPr id="7310004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964DF" w14:textId="77777777" w:rsidR="00C80043" w:rsidRPr="00AC3823" w:rsidRDefault="00C80043" w:rsidP="00AC3823">
      <w:pPr>
        <w:pStyle w:val="Pieddepage"/>
        <w:tabs>
          <w:tab w:val="right" w:pos="2155"/>
        </w:tabs>
        <w:spacing w:after="80" w:line="240" w:lineRule="atLeast"/>
        <w:ind w:left="680"/>
        <w:rPr>
          <w:u w:val="single"/>
        </w:rPr>
      </w:pPr>
      <w:r>
        <w:rPr>
          <w:u w:val="single"/>
        </w:rPr>
        <w:tab/>
      </w:r>
    </w:p>
  </w:footnote>
  <w:footnote w:type="continuationSeparator" w:id="0">
    <w:p w14:paraId="366BFD4E" w14:textId="77777777" w:rsidR="00C80043" w:rsidRPr="00AC3823" w:rsidRDefault="00C80043" w:rsidP="00AC3823">
      <w:pPr>
        <w:pStyle w:val="Pieddepage"/>
        <w:tabs>
          <w:tab w:val="right" w:pos="2155"/>
        </w:tabs>
        <w:spacing w:after="80" w:line="240" w:lineRule="atLeast"/>
        <w:ind w:left="680"/>
        <w:rPr>
          <w:u w:val="single"/>
        </w:rPr>
      </w:pPr>
      <w:r>
        <w:rPr>
          <w:u w:val="single"/>
        </w:rPr>
        <w:tab/>
      </w:r>
    </w:p>
  </w:footnote>
  <w:footnote w:type="continuationNotice" w:id="1">
    <w:p w14:paraId="4E995C31" w14:textId="77777777" w:rsidR="00C80043" w:rsidRPr="00AC3823" w:rsidRDefault="00C80043">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F6C3B" w14:textId="77777777" w:rsidR="003823F5" w:rsidRPr="003823F5" w:rsidRDefault="00927ADA">
    <w:pPr>
      <w:pStyle w:val="En-tte"/>
    </w:pPr>
    <w:r>
      <w:fldChar w:fldCharType="begin"/>
    </w:r>
    <w:r>
      <w:instrText xml:space="preserve"> TITLE  \* MERGEFORMAT </w:instrText>
    </w:r>
    <w:r>
      <w:fldChar w:fldCharType="separate"/>
    </w:r>
    <w:r w:rsidR="003823F5">
      <w:t>ECE/TRANS/WP.11/2024/20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02BFC" w14:textId="77777777" w:rsidR="003823F5" w:rsidRPr="003823F5" w:rsidRDefault="00927ADA" w:rsidP="003823F5">
    <w:pPr>
      <w:pStyle w:val="En-tte"/>
      <w:jc w:val="right"/>
    </w:pPr>
    <w:r>
      <w:fldChar w:fldCharType="begin"/>
    </w:r>
    <w:r>
      <w:instrText xml:space="preserve"> TITLE  \* MERGEFORMAT </w:instrText>
    </w:r>
    <w:r>
      <w:fldChar w:fldCharType="separate"/>
    </w:r>
    <w:r w:rsidR="003823F5">
      <w:t>ECE/TRANS/WP.11/2024/20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9C878E5"/>
    <w:multiLevelType w:val="hybridMultilevel"/>
    <w:tmpl w:val="099CF8D4"/>
    <w:lvl w:ilvl="0" w:tplc="F09887D2">
      <w:start w:val="1"/>
      <w:numFmt w:val="decimal"/>
      <w:lvlText w:val="%1."/>
      <w:lvlJc w:val="left"/>
      <w:pPr>
        <w:ind w:left="1689" w:hanging="555"/>
      </w:pPr>
      <w:rPr>
        <w:rFonts w:hint="default"/>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53E947CA"/>
    <w:multiLevelType w:val="hybridMultilevel"/>
    <w:tmpl w:val="63CA946C"/>
    <w:lvl w:ilvl="0" w:tplc="08F6401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543369568">
    <w:abstractNumId w:val="14"/>
  </w:num>
  <w:num w:numId="2" w16cid:durableId="1952201514">
    <w:abstractNumId w:val="12"/>
  </w:num>
  <w:num w:numId="3" w16cid:durableId="913705169">
    <w:abstractNumId w:val="10"/>
  </w:num>
  <w:num w:numId="4" w16cid:durableId="48959792">
    <w:abstractNumId w:val="8"/>
  </w:num>
  <w:num w:numId="5" w16cid:durableId="1045833961">
    <w:abstractNumId w:val="3"/>
  </w:num>
  <w:num w:numId="6" w16cid:durableId="47531403">
    <w:abstractNumId w:val="2"/>
  </w:num>
  <w:num w:numId="7" w16cid:durableId="907574466">
    <w:abstractNumId w:val="1"/>
  </w:num>
  <w:num w:numId="8" w16cid:durableId="1271358620">
    <w:abstractNumId w:val="0"/>
  </w:num>
  <w:num w:numId="9" w16cid:durableId="263652337">
    <w:abstractNumId w:val="9"/>
  </w:num>
  <w:num w:numId="10" w16cid:durableId="700865669">
    <w:abstractNumId w:val="7"/>
  </w:num>
  <w:num w:numId="11" w16cid:durableId="1352142605">
    <w:abstractNumId w:val="6"/>
  </w:num>
  <w:num w:numId="12" w16cid:durableId="1953121678">
    <w:abstractNumId w:val="5"/>
  </w:num>
  <w:num w:numId="13" w16cid:durableId="1170678604">
    <w:abstractNumId w:val="4"/>
  </w:num>
  <w:num w:numId="14" w16cid:durableId="1212959807">
    <w:abstractNumId w:val="11"/>
  </w:num>
  <w:num w:numId="15" w16cid:durableId="19497012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2324AE-7E1B-46E0-BE39-6171A5137F5D}"/>
    <w:docVar w:name="dgnword-eventsink" w:val="646185176"/>
  </w:docVars>
  <w:rsids>
    <w:rsidRoot w:val="003823F5"/>
    <w:rsid w:val="0001207F"/>
    <w:rsid w:val="00017F94"/>
    <w:rsid w:val="00023842"/>
    <w:rsid w:val="000334F9"/>
    <w:rsid w:val="0004639C"/>
    <w:rsid w:val="0007796D"/>
    <w:rsid w:val="000942EE"/>
    <w:rsid w:val="000A52BF"/>
    <w:rsid w:val="000B7790"/>
    <w:rsid w:val="000D3EE9"/>
    <w:rsid w:val="000D62F3"/>
    <w:rsid w:val="000D7EDB"/>
    <w:rsid w:val="00111F2F"/>
    <w:rsid w:val="00113DD8"/>
    <w:rsid w:val="001433FD"/>
    <w:rsid w:val="0014365E"/>
    <w:rsid w:val="001541D3"/>
    <w:rsid w:val="00156B77"/>
    <w:rsid w:val="00176178"/>
    <w:rsid w:val="00177140"/>
    <w:rsid w:val="001D400F"/>
    <w:rsid w:val="001F525A"/>
    <w:rsid w:val="00223272"/>
    <w:rsid w:val="00240333"/>
    <w:rsid w:val="0024779E"/>
    <w:rsid w:val="002643A1"/>
    <w:rsid w:val="002832AC"/>
    <w:rsid w:val="002A4E75"/>
    <w:rsid w:val="002D59D8"/>
    <w:rsid w:val="002D7C93"/>
    <w:rsid w:val="003324C0"/>
    <w:rsid w:val="0037241C"/>
    <w:rsid w:val="003819FF"/>
    <w:rsid w:val="003823F5"/>
    <w:rsid w:val="00400160"/>
    <w:rsid w:val="00441C3B"/>
    <w:rsid w:val="00446B0A"/>
    <w:rsid w:val="00446FE5"/>
    <w:rsid w:val="00452396"/>
    <w:rsid w:val="00471288"/>
    <w:rsid w:val="0049687C"/>
    <w:rsid w:val="004D4C4F"/>
    <w:rsid w:val="004E468C"/>
    <w:rsid w:val="005316B0"/>
    <w:rsid w:val="005505B7"/>
    <w:rsid w:val="00570150"/>
    <w:rsid w:val="00573BE5"/>
    <w:rsid w:val="00586ED3"/>
    <w:rsid w:val="00596AA9"/>
    <w:rsid w:val="005A1CB2"/>
    <w:rsid w:val="005B4D0F"/>
    <w:rsid w:val="006478A8"/>
    <w:rsid w:val="00703D0F"/>
    <w:rsid w:val="00706363"/>
    <w:rsid w:val="007158BB"/>
    <w:rsid w:val="0071601D"/>
    <w:rsid w:val="0075410D"/>
    <w:rsid w:val="007A62E6"/>
    <w:rsid w:val="0080684C"/>
    <w:rsid w:val="008204DA"/>
    <w:rsid w:val="008236AF"/>
    <w:rsid w:val="008535AD"/>
    <w:rsid w:val="00871C75"/>
    <w:rsid w:val="008767E8"/>
    <w:rsid w:val="008776DC"/>
    <w:rsid w:val="00883605"/>
    <w:rsid w:val="00885E92"/>
    <w:rsid w:val="008E6043"/>
    <w:rsid w:val="00927ADA"/>
    <w:rsid w:val="00946BC8"/>
    <w:rsid w:val="00961E7B"/>
    <w:rsid w:val="0096384A"/>
    <w:rsid w:val="009705C8"/>
    <w:rsid w:val="009B2A28"/>
    <w:rsid w:val="009C1CF4"/>
    <w:rsid w:val="009F02C9"/>
    <w:rsid w:val="00A30353"/>
    <w:rsid w:val="00A62D91"/>
    <w:rsid w:val="00A90D54"/>
    <w:rsid w:val="00AA113A"/>
    <w:rsid w:val="00AC3823"/>
    <w:rsid w:val="00AE323C"/>
    <w:rsid w:val="00AE4175"/>
    <w:rsid w:val="00AF774C"/>
    <w:rsid w:val="00B00181"/>
    <w:rsid w:val="00B00B0D"/>
    <w:rsid w:val="00B247C1"/>
    <w:rsid w:val="00B40927"/>
    <w:rsid w:val="00B50E25"/>
    <w:rsid w:val="00B64918"/>
    <w:rsid w:val="00B765F7"/>
    <w:rsid w:val="00BA0CA9"/>
    <w:rsid w:val="00C02897"/>
    <w:rsid w:val="00C1626B"/>
    <w:rsid w:val="00C66A47"/>
    <w:rsid w:val="00C757E1"/>
    <w:rsid w:val="00C7616F"/>
    <w:rsid w:val="00C80043"/>
    <w:rsid w:val="00CB16B5"/>
    <w:rsid w:val="00CE0608"/>
    <w:rsid w:val="00D206D4"/>
    <w:rsid w:val="00D227D0"/>
    <w:rsid w:val="00D3439C"/>
    <w:rsid w:val="00D44CF3"/>
    <w:rsid w:val="00D46C8C"/>
    <w:rsid w:val="00DB1831"/>
    <w:rsid w:val="00DD3BFD"/>
    <w:rsid w:val="00DE239D"/>
    <w:rsid w:val="00DF431C"/>
    <w:rsid w:val="00DF6678"/>
    <w:rsid w:val="00E368F7"/>
    <w:rsid w:val="00E428C8"/>
    <w:rsid w:val="00EA0158"/>
    <w:rsid w:val="00EC031B"/>
    <w:rsid w:val="00ED38A4"/>
    <w:rsid w:val="00EE45D3"/>
    <w:rsid w:val="00EF2E22"/>
    <w:rsid w:val="00F0592C"/>
    <w:rsid w:val="00F06ED4"/>
    <w:rsid w:val="00F308DD"/>
    <w:rsid w:val="00F43289"/>
    <w:rsid w:val="00F660DF"/>
    <w:rsid w:val="00F95C08"/>
    <w:rsid w:val="00FD1581"/>
    <w:rsid w:val="00FF194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C04EB"/>
  <w15:docId w15:val="{4B1E4600-4F71-4CE4-9242-457C4805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F7"/>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80684C"/>
    <w:pPr>
      <w:tabs>
        <w:tab w:val="left" w:pos="1701"/>
        <w:tab w:val="left" w:pos="2268"/>
        <w:tab w:val="left" w:pos="2835"/>
      </w:tabs>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02384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06363"/>
    <w:rPr>
      <w:color w:val="0000FF"/>
      <w:u w:val="none"/>
    </w:rPr>
  </w:style>
  <w:style w:type="character" w:styleId="Lienhypertextesuivivisit">
    <w:name w:val="FollowedHyperlink"/>
    <w:basedOn w:val="Policepardfaut"/>
    <w:unhideWhenUsed/>
    <w:rsid w:val="00706363"/>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 w:type="character" w:customStyle="1" w:styleId="SingleTxtGChar">
    <w:name w:val="_ Single Txt_G Char"/>
    <w:link w:val="SingleTxtG"/>
    <w:rsid w:val="0001207F"/>
  </w:style>
  <w:style w:type="character" w:customStyle="1" w:styleId="HChGChar">
    <w:name w:val="_ H _Ch_G Char"/>
    <w:link w:val="HChG"/>
    <w:rsid w:val="0001207F"/>
    <w:rPr>
      <w:b/>
      <w:sz w:val="28"/>
    </w:rPr>
  </w:style>
  <w:style w:type="paragraph" w:styleId="Rvision">
    <w:name w:val="Revision"/>
    <w:hidden/>
    <w:uiPriority w:val="99"/>
    <w:semiHidden/>
    <w:rsid w:val="00EA015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07320-C528-4032-AB5A-73B861CDA11F}">
  <ds:schemaRefs>
    <ds:schemaRef ds:uri="http://schemas.microsoft.com/sharepoint/v3/contenttype/forms"/>
  </ds:schemaRefs>
</ds:datastoreItem>
</file>

<file path=customXml/itemProps2.xml><?xml version="1.0" encoding="utf-8"?>
<ds:datastoreItem xmlns:ds="http://schemas.openxmlformats.org/officeDocument/2006/customXml" ds:itemID="{9BC14563-ACB7-44AD-B0EF-E55148CFDD3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44F63EBF-3BF2-404C-BF65-D01CEEC89C1E}">
  <ds:schemaRefs>
    <ds:schemaRef ds:uri="http://schemas.openxmlformats.org/officeDocument/2006/bibliography"/>
  </ds:schemaRefs>
</ds:datastoreItem>
</file>

<file path=customXml/itemProps4.xml><?xml version="1.0" encoding="utf-8"?>
<ds:datastoreItem xmlns:ds="http://schemas.openxmlformats.org/officeDocument/2006/customXml" ds:itemID="{0B0770AC-0707-4B14-909F-591159A32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TRANS_WP1_24_F.dotm</Template>
  <TotalTime>2</TotalTime>
  <Pages>3</Pages>
  <Words>884</Words>
  <Characters>5054</Characters>
  <Application>Microsoft Office Word</Application>
  <DocSecurity>0</DocSecurity>
  <Lines>109</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ECE/EX/22</vt:lpstr>
      <vt:lpstr>ECE/EX/22</vt:lpstr>
    </vt:vector>
  </TitlesOfParts>
  <Company>DCM</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ECE/TRANS/WP.11/2024/20</dc:title>
  <dc:subject>FINAL</dc:subject>
  <dc:creator>ND June 2024</dc:creator>
  <cp:keywords/>
  <dc:description/>
  <cp:lastModifiedBy>Julien OKRZESIK</cp:lastModifiedBy>
  <cp:revision>2</cp:revision>
  <cp:lastPrinted>2014-05-14T10:59:00Z</cp:lastPrinted>
  <dcterms:created xsi:type="dcterms:W3CDTF">2024-08-15T15:19:00Z</dcterms:created>
  <dcterms:modified xsi:type="dcterms:W3CDTF">2024-08-15T15:19:00Z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