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20B31D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090F6D8" w14:textId="77777777" w:rsidR="002D5AAC" w:rsidRDefault="002D5AAC" w:rsidP="00A57B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45A991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2AF8197" w14:textId="6E7BC228" w:rsidR="002D5AAC" w:rsidRDefault="00A57B37" w:rsidP="00A57B37">
            <w:pPr>
              <w:jc w:val="right"/>
            </w:pPr>
            <w:r w:rsidRPr="00A57B37">
              <w:rPr>
                <w:sz w:val="40"/>
              </w:rPr>
              <w:t>ECE</w:t>
            </w:r>
            <w:r>
              <w:t>/TRANS/WP.11/2024/19</w:t>
            </w:r>
          </w:p>
        </w:tc>
      </w:tr>
      <w:tr w:rsidR="002D5AAC" w14:paraId="2647A81C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847AA6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EEAD502" wp14:editId="01FA8B1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F6205D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637527E" w14:textId="77777777" w:rsidR="002D5AAC" w:rsidRDefault="00A57B3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3910379" w14:textId="77777777" w:rsidR="00A57B37" w:rsidRDefault="00A57B37" w:rsidP="00A57B3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15 August 2024</w:t>
            </w:r>
          </w:p>
          <w:p w14:paraId="0A4228CC" w14:textId="77777777" w:rsidR="00A57B37" w:rsidRDefault="00A57B37" w:rsidP="00A57B3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E8743F9" w14:textId="230E8B1D" w:rsidR="00A57B37" w:rsidRPr="008D53B6" w:rsidRDefault="00A57B37" w:rsidP="00A57B3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6090F5E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7FCBA0E" w14:textId="77777777" w:rsidR="00A57B37" w:rsidRPr="00677D4B" w:rsidRDefault="00A57B37" w:rsidP="00A57B37">
      <w:pPr>
        <w:spacing w:before="120"/>
        <w:rPr>
          <w:rFonts w:asciiTheme="majorBidi" w:hAnsiTheme="majorBidi" w:cstheme="majorBidi"/>
          <w:sz w:val="28"/>
          <w:szCs w:val="28"/>
        </w:rPr>
      </w:pPr>
      <w:r w:rsidRPr="00677D4B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557A6514" w14:textId="77777777" w:rsidR="00A57B37" w:rsidRPr="00677D4B" w:rsidRDefault="00A57B37" w:rsidP="00A57B37">
      <w:pPr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677D4B">
        <w:rPr>
          <w:rFonts w:asciiTheme="majorBidi" w:hAnsiTheme="majorBidi" w:cstheme="majorBidi"/>
          <w:b/>
          <w:bCs/>
          <w:sz w:val="24"/>
          <w:szCs w:val="24"/>
        </w:rPr>
        <w:t xml:space="preserve">Рабочая группа по перевозкам скоропортящихся </w:t>
      </w:r>
      <w:r w:rsidRPr="00677D4B">
        <w:rPr>
          <w:rFonts w:asciiTheme="majorBidi" w:hAnsiTheme="majorBidi" w:cstheme="majorBidi"/>
          <w:b/>
          <w:bCs/>
          <w:sz w:val="24"/>
          <w:szCs w:val="24"/>
        </w:rPr>
        <w:br/>
        <w:t>пищевых продуктов</w:t>
      </w:r>
    </w:p>
    <w:p w14:paraId="2217186D" w14:textId="77777777" w:rsidR="00A57B37" w:rsidRPr="00DA31BC" w:rsidRDefault="00A57B37" w:rsidP="00A57B37">
      <w:pPr>
        <w:spacing w:before="120"/>
      </w:pPr>
      <w:r>
        <w:rPr>
          <w:b/>
          <w:bCs/>
        </w:rPr>
        <w:t>Восемьдесят первая сессия</w:t>
      </w:r>
      <w:r>
        <w:rPr>
          <w:b/>
          <w:bCs/>
        </w:rPr>
        <w:br/>
      </w:r>
      <w:r>
        <w:t xml:space="preserve">Женева, 29 октября — 1 ноября 2024 года </w:t>
      </w:r>
    </w:p>
    <w:p w14:paraId="6B10D60D" w14:textId="77777777" w:rsidR="00A57B37" w:rsidRPr="00D221FB" w:rsidRDefault="00A57B37" w:rsidP="00A57B37">
      <w:r>
        <w:t>Пункт 5 b) предварительной повестки дня</w:t>
      </w:r>
    </w:p>
    <w:p w14:paraId="7FF0A35C" w14:textId="77777777" w:rsidR="00A57B37" w:rsidRPr="00D221FB" w:rsidRDefault="00A57B37" w:rsidP="00A57B37">
      <w:pPr>
        <w:rPr>
          <w:b/>
          <w:bCs/>
        </w:rPr>
      </w:pPr>
      <w:r>
        <w:rPr>
          <w:b/>
          <w:bCs/>
        </w:rPr>
        <w:t>Предложения по поправкам к СПС:</w:t>
      </w:r>
    </w:p>
    <w:p w14:paraId="4DB7FD54" w14:textId="77777777" w:rsidR="00A57B37" w:rsidRPr="00D221FB" w:rsidRDefault="00A57B37" w:rsidP="00A57B37">
      <w:pPr>
        <w:rPr>
          <w:b/>
          <w:bCs/>
        </w:rPr>
      </w:pPr>
      <w:r>
        <w:rPr>
          <w:b/>
          <w:bCs/>
        </w:rPr>
        <w:t>новые предложения</w:t>
      </w:r>
    </w:p>
    <w:p w14:paraId="267E5190" w14:textId="77777777" w:rsidR="00A57B37" w:rsidRPr="00DA31BC" w:rsidRDefault="00A57B37" w:rsidP="00A57B37">
      <w:pPr>
        <w:pStyle w:val="HChG"/>
      </w:pPr>
      <w:r>
        <w:tab/>
      </w:r>
      <w:r>
        <w:tab/>
      </w:r>
      <w:r>
        <w:rPr>
          <w:bCs/>
        </w:rPr>
        <w:t>Поправка к пункту 1 приложения 1</w:t>
      </w:r>
    </w:p>
    <w:p w14:paraId="570BD72E" w14:textId="77777777" w:rsidR="00A57B37" w:rsidRPr="00DA31BC" w:rsidRDefault="00A57B37" w:rsidP="00A57B37">
      <w:pPr>
        <w:pStyle w:val="H1G"/>
      </w:pPr>
      <w:r>
        <w:tab/>
      </w:r>
      <w:r>
        <w:tab/>
      </w:r>
      <w:r>
        <w:rPr>
          <w:bCs/>
        </w:rPr>
        <w:t>Передано правительством Соединенного Королевства Великобритании и Северной Ирландии</w:t>
      </w:r>
    </w:p>
    <w:p w14:paraId="7C4ADFB1" w14:textId="77777777" w:rsidR="00A57B37" w:rsidRPr="00D221FB" w:rsidRDefault="00A57B37" w:rsidP="00A57B37">
      <w:pPr>
        <w:pStyle w:val="HChG"/>
      </w:pPr>
      <w:r>
        <w:tab/>
      </w:r>
      <w:r>
        <w:tab/>
      </w:r>
      <w:r>
        <w:rPr>
          <w:bCs/>
        </w:rPr>
        <w:t>Введение</w:t>
      </w:r>
    </w:p>
    <w:p w14:paraId="5F747D4A" w14:textId="77777777" w:rsidR="00A57B37" w:rsidRPr="007B5E8A" w:rsidRDefault="00A57B37" w:rsidP="00A57B37">
      <w:pPr>
        <w:pStyle w:val="SingleTxtG"/>
      </w:pPr>
      <w:r>
        <w:t>1.</w:t>
      </w:r>
      <w:r>
        <w:tab/>
        <w:t>Уменьшение теплопередачи через стенки изотермического кузова приводит к более жесткому регулированию температуры холодильной установкой. Охлажденные продукты питания отличаются бόльшей чувствительностью к колебаниям температуры, поэтому более равномерное распределение температуры снижает риск возникновения локальных зон с повышенной температурой, в частности около дверей на периферии груза, что позволяет сократить потери и порчу продуктов. Помимо положительного влияния на безопасность пищевых продуктов, снижение коэффициента K транспортных средств с нормальной изоляцией сопряжено также с целым рядом сопутствующих преимуществ, которые в целом согласуются с целями стратегии КВТ и подробно изложены ниже.</w:t>
      </w:r>
    </w:p>
    <w:p w14:paraId="12F7609E" w14:textId="77777777" w:rsidR="00A57B37" w:rsidRDefault="00A57B37" w:rsidP="00A57B37">
      <w:pPr>
        <w:pStyle w:val="SingleTxtG"/>
      </w:pPr>
      <w:r>
        <w:t>2.</w:t>
      </w:r>
      <w:r>
        <w:tab/>
        <w:t>Следует отметить, что следующая информация уже была представлена на совещании СЕРТЕ и сессии WP.11 в 2023 году и ниже она воспроизводится повторно. Для ясности и лаконичности мы изменили текст предлагаемой поправки с учетом замечаний, полученных от других делегатов на восьмидесятой сессии WP.11, и с учетом неофициального документа, представленного Нидерландами.</w:t>
      </w:r>
    </w:p>
    <w:p w14:paraId="374253FB" w14:textId="77777777" w:rsidR="00A57B37" w:rsidRPr="00D221FB" w:rsidRDefault="00A57B37" w:rsidP="00A57B37">
      <w:pPr>
        <w:pStyle w:val="SingleTxtG"/>
      </w:pPr>
      <w:r w:rsidRPr="00DA31BC">
        <w:t>3.</w:t>
      </w:r>
      <w:r w:rsidRPr="00DA31BC">
        <w:tab/>
      </w:r>
      <w:r>
        <w:t>С момента разработки СПС в 1970 году проблема энергоэффективности перевозок холодильным транспортом и энергоэффективности холодильной цепи в целом вызывает все большую озабоченность. Само СПС в значительной степени опирается на соглашение от января 1962 года, которое так и не вступило в силу. На</w:t>
      </w:r>
      <w:r>
        <w:rPr>
          <w:lang w:val="fr-CH"/>
        </w:rPr>
        <w:t> </w:t>
      </w:r>
      <w:r>
        <w:t xml:space="preserve">сегодняшний день сложно представить себе уровень развития техники </w:t>
      </w:r>
      <w:r>
        <w:br/>
        <w:t>1970-х годов, поскольку во всех областях, имеющих отношение к СПС, с тех пор был достигнут значительный прогресс.</w:t>
      </w:r>
    </w:p>
    <w:p w14:paraId="069CA213" w14:textId="5586BAE4" w:rsidR="00A57B37" w:rsidRDefault="00A57B37" w:rsidP="00A57B37">
      <w:pPr>
        <w:pStyle w:val="SingleTxtG"/>
      </w:pPr>
      <w:r w:rsidRPr="00DA31BC">
        <w:t>4</w:t>
      </w:r>
      <w:r>
        <w:t>.</w:t>
      </w:r>
      <w:r>
        <w:tab/>
        <w:t xml:space="preserve">В последние годы системы охлаждения на базе крупных полуприцепов были в основном модифицированы таким образом, чтобы в качестве рабочей жидкости в них использовался хладагент R452A, а не R404A, получивший повсеместное </w:t>
      </w:r>
      <w:r>
        <w:lastRenderedPageBreak/>
        <w:t xml:space="preserve">распространение после отказа от использования R22. Благодаря этому потенциал глобального потепления (ПГП) рабочей жидкости удалось снизить с 3943 до 1945 </w:t>
      </w:r>
      <w:r w:rsidR="00D109EF">
        <w:rPr>
          <w:lang w:val="en-US"/>
        </w:rPr>
        <w:br/>
      </w:r>
      <w:r>
        <w:t>CO</w:t>
      </w:r>
      <w:r>
        <w:rPr>
          <w:vertAlign w:val="subscript"/>
        </w:rPr>
        <w:t>2</w:t>
      </w:r>
      <w:r>
        <w:t>-эквивалентов на кг (оба значения приводятся по ДО5 МГЭИК). В</w:t>
      </w:r>
      <w:r>
        <w:rPr>
          <w:lang w:val="fr-CH"/>
        </w:rPr>
        <w:t> </w:t>
      </w:r>
      <w:r>
        <w:t xml:space="preserve">результате этих изменений изготовители транспортных средств оказались вынуждены проводить испытания своих систем, чтобы доказать сопоставимость их общих характеристик, а в текст Соглашения был включен раздел 4.5 приложения 1, добавление 2, при этом в разделе 4.5.2 добавления 2 к приложению 1 были также введены подклассы «равноценности», определяемые в зависимости от схожести характеристик заменяющей рабочей жидкости (в данном случае R452A) и характеристик хладагента, используемого в качестве образца (R404A). </w:t>
      </w:r>
    </w:p>
    <w:p w14:paraId="420256DE" w14:textId="77777777" w:rsidR="00A57B37" w:rsidRPr="00D221FB" w:rsidRDefault="00A57B37" w:rsidP="00A57B37">
      <w:pPr>
        <w:pStyle w:val="SingleTxtG"/>
      </w:pPr>
      <w:r w:rsidRPr="00DA31BC">
        <w:t>5</w:t>
      </w:r>
      <w:r>
        <w:t>.</w:t>
      </w:r>
      <w:r>
        <w:tab/>
        <w:t xml:space="preserve">Например, в случае полуприцепа с </w:t>
      </w:r>
      <w:r w:rsidRPr="00643451">
        <w:t>заправкой</w:t>
      </w:r>
      <w:r>
        <w:t xml:space="preserve"> 5 кг, который характеризуется годовым коэффициентом утечки на уровне 5 % и коэффициентом рекуперации порядка 95</w:t>
      </w:r>
      <w:r>
        <w:rPr>
          <w:lang w:val="fr-CH"/>
        </w:rPr>
        <w:t> </w:t>
      </w:r>
      <w:r>
        <w:t>%, замена хладагента позволяет сэкономить за 12-летний период эксплуатации 6500 кг в CO</w:t>
      </w:r>
      <w:r w:rsidRPr="00E971FB">
        <w:rPr>
          <w:vertAlign w:val="subscript"/>
        </w:rPr>
        <w:t>2</w:t>
      </w:r>
      <w:r>
        <w:t>-эквиваленте. Это оказывает прямое влияние на общий коэффициент эквивалентного потепления (ОКЭП или TEWI), в то время как все прочие факторы оказывают лишь косвенное влияние на ОКЭП, значения которого варьируются в зависимости от конструкции системы, используемых источников питания и многих других факторов. Неизменной в этом отношении является лишь причина, по которой вообще нужна система охлаждения: необходимость компенсировать теплопередачу через стенки транспортного средства при перевозке скоропортящихся пищевых продуктов. Хотя СПС касается только перевозок, осуществляемых с пересечением международных границ, проблема теплопередачи столь же актуально и при выполнении других видов перевозок.</w:t>
      </w:r>
    </w:p>
    <w:p w14:paraId="6ECB63AE" w14:textId="77777777" w:rsidR="00A57B37" w:rsidRPr="00D221FB" w:rsidRDefault="00A57B37" w:rsidP="00A57B37">
      <w:pPr>
        <w:pStyle w:val="SingleTxtG"/>
      </w:pPr>
      <w:r w:rsidRPr="00DA31BC">
        <w:t>6</w:t>
      </w:r>
      <w:r>
        <w:t>.</w:t>
      </w:r>
      <w:r>
        <w:tab/>
        <w:t xml:space="preserve">Исходя из имеющихся данных и предусмотренных в СПС температурных режимов для перевозки замороженных и охлажденных пищевых продуктов, за </w:t>
      </w:r>
      <w:r>
        <w:br/>
        <w:t xml:space="preserve">12-летний период эксплуатации среднестатистического полуприцепа его </w:t>
      </w:r>
      <w:r>
        <w:br/>
        <w:t>CO</w:t>
      </w:r>
      <w:r w:rsidRPr="00E971FB">
        <w:rPr>
          <w:vertAlign w:val="subscript"/>
        </w:rPr>
        <w:t>2</w:t>
      </w:r>
      <w:r>
        <w:t>-эквивалент, обусловленный расходом топлива на отвод тепла, передаваемого через поверхности транспортного средства, составляет 1,90 х 10</w:t>
      </w:r>
      <w:r>
        <w:rPr>
          <w:vertAlign w:val="superscript"/>
        </w:rPr>
        <w:t>5</w:t>
      </w:r>
      <w:r>
        <w:t xml:space="preserve"> кг.</w:t>
      </w:r>
    </w:p>
    <w:p w14:paraId="0BBBECAC" w14:textId="77777777" w:rsidR="00A57B37" w:rsidRPr="00465FA7" w:rsidRDefault="00A57B37" w:rsidP="00A57B37">
      <w:pPr>
        <w:pStyle w:val="SingleTxtG"/>
      </w:pPr>
      <w:r w:rsidRPr="00DA31BC">
        <w:t>7</w:t>
      </w:r>
      <w:r>
        <w:t>.</w:t>
      </w:r>
      <w:r>
        <w:tab/>
        <w:t xml:space="preserve">При этом следует отметить, что в </w:t>
      </w:r>
      <w:r w:rsidRPr="00465FA7">
        <w:t>странах, где принято законодательство в области повышения тепловой эффективности зданий, в настоящее время действуют требования, предусматривающие значения U &lt; 0,20 Вт/м</w:t>
      </w:r>
      <w:r w:rsidRPr="00465FA7">
        <w:rPr>
          <w:vertAlign w:val="superscript"/>
        </w:rPr>
        <w:t>2</w:t>
      </w:r>
      <w:r w:rsidRPr="00465FA7">
        <w:t>·K, что непосредственно направлено на снижение энергопотребления. В случае изотермических морских контейнеров U &lt; 0,32 Вт/м</w:t>
      </w:r>
      <w:r w:rsidRPr="00465FA7">
        <w:rPr>
          <w:vertAlign w:val="superscript"/>
        </w:rPr>
        <w:t>2</w:t>
      </w:r>
      <w:r w:rsidRPr="00465FA7">
        <w:t>·K, и в большинстве случаев они штабелируются вместе с такими же контейнерами, благодаря чему количество тепла, поступающего в контейнеры снаружи оказывается весьма незначительным ввиду слабого перемещения воздуха и слабой подверженности воздействию солнечных лучей. В СПС предусмотрено два класса транспортных средств: с усиленной и нормальной изоляцией, коэффициенты К которых составляют 0,40 и 0,70 Вт/м</w:t>
      </w:r>
      <w:r w:rsidRPr="00465FA7">
        <w:rPr>
          <w:vertAlign w:val="superscript"/>
        </w:rPr>
        <w:t>2</w:t>
      </w:r>
      <w:r w:rsidRPr="00465FA7">
        <w:t>·K соответственно. В процессе эксплуатации транспортные средства испытывают на себе сильное влияние со стороны наружного воздушного потока и зачастую подвергаются значительному воздействию солнечных лучей. Несмотря на это, оба значения коэффициента К, которые используются и по сей день, были приняты до появления СПС, и их можно обнаружить в упомянутом выше соглашении 1962 года. На сегодняшний день было предпринято относительно мало попыток пересмотреть значения этого коэффициента, несмотря на успехи, достигнутые в других отраслях.</w:t>
      </w:r>
    </w:p>
    <w:p w14:paraId="437329AC" w14:textId="77777777" w:rsidR="00A57B37" w:rsidRPr="00D221FB" w:rsidRDefault="00A57B37" w:rsidP="00A57B37">
      <w:pPr>
        <w:pStyle w:val="SingleTxtG"/>
      </w:pPr>
      <w:r w:rsidRPr="00465FA7">
        <w:t>8.</w:t>
      </w:r>
      <w:r w:rsidRPr="00465FA7">
        <w:tab/>
        <w:t>Например, в случае усиленной изоляции в приведенном выше примере уменьшение коэффициента K с ≤ 0,40 Вт/м</w:t>
      </w:r>
      <w:r w:rsidRPr="00465FA7">
        <w:rPr>
          <w:vertAlign w:val="superscript"/>
        </w:rPr>
        <w:t>2</w:t>
      </w:r>
      <w:r w:rsidRPr="00465FA7">
        <w:t>·K до ≤ 0,39 Вт/м</w:t>
      </w:r>
      <w:r w:rsidRPr="00465FA7">
        <w:rPr>
          <w:vertAlign w:val="superscript"/>
        </w:rPr>
        <w:t>2</w:t>
      </w:r>
      <w:r w:rsidRPr="00465FA7">
        <w:t>·K позволило бы сократить CO</w:t>
      </w:r>
      <w:r w:rsidRPr="00465FA7">
        <w:rPr>
          <w:vertAlign w:val="subscript"/>
        </w:rPr>
        <w:t>2</w:t>
      </w:r>
      <w:r w:rsidRPr="00465FA7">
        <w:t>-эквивалент на 4755 кг. Только 2 % воздействия на окружающую среду</w:t>
      </w:r>
      <w:r>
        <w:t xml:space="preserve"> приходится непосредственно на хладагент, остальные 98 % обусловлены необходимостью отводить тепло, передаваемое через кузов транспортного средства. В</w:t>
      </w:r>
      <w:r>
        <w:rPr>
          <w:lang w:val="fr-CH"/>
        </w:rPr>
        <w:t> </w:t>
      </w:r>
      <w:r>
        <w:t>случае замороженных грузов это единственный источник тепла. В данном предложении в настоящий момент не предусматривается снижение коэффициента</w:t>
      </w:r>
      <w:r>
        <w:rPr>
          <w:lang w:val="fr-CH"/>
        </w:rPr>
        <w:t> </w:t>
      </w:r>
      <w:r>
        <w:t>K для транспортных средств с усиленной изоляцией, однако этот вопрос нужно будет рассмотреть позднее и соответственным образом снизить значение коэффициента.</w:t>
      </w:r>
    </w:p>
    <w:p w14:paraId="34128540" w14:textId="77777777" w:rsidR="00A57B37" w:rsidRPr="00D221FB" w:rsidRDefault="00A57B37" w:rsidP="00A57B37">
      <w:pPr>
        <w:pStyle w:val="SingleTxtG"/>
      </w:pPr>
      <w:r w:rsidRPr="00DA31BC">
        <w:t>9</w:t>
      </w:r>
      <w:r>
        <w:t>.</w:t>
      </w:r>
      <w:r>
        <w:tab/>
        <w:t>Кроме того, на рынке постепенно появляются</w:t>
      </w:r>
      <w:r w:rsidRPr="00417247">
        <w:t xml:space="preserve"> </w:t>
      </w:r>
      <w:r>
        <w:t xml:space="preserve">новые разработки, и будущее технологии, основанной на использовании дизельного привода (как по-отдельности, так и через силовой агрегат транспортного средства), в настоящее время остается </w:t>
      </w:r>
      <w:r>
        <w:lastRenderedPageBreak/>
        <w:t xml:space="preserve">неопределенным; вместе с тем снижение коэффициентов K транспортных средств позволит использовать холодильные установки с меньшей полезной холодопроизводительностью. Важность последнего обстоятельства связана с тем, что использование установок разрешается только при условии, что «полезная холодопроизводительность данной установки будет выше потерь тепла в постоянном режиме через стенки кузова для рассматриваемого класса транспортных средств, умноженных на коэффициент 1,75». Возможность обеспечения такого уровня теплоотвода может вывести транспортные холодильные системы за рамки применения новых систем и затормозить инновации. Единственный способ уменьшить требуемую холодо/теплопроизводительность заключается в ослаблении критериев по коэффициентам К для транспортных средств с нормальной/усиленной изоляцией. </w:t>
      </w:r>
    </w:p>
    <w:p w14:paraId="458EB2F4" w14:textId="77777777" w:rsidR="00A57B37" w:rsidRPr="00D221FB" w:rsidRDefault="00A57B37" w:rsidP="00A57B37">
      <w:pPr>
        <w:pStyle w:val="SingleTxtG"/>
      </w:pPr>
      <w:r w:rsidRPr="00DA31BC">
        <w:t>10</w:t>
      </w:r>
      <w:r>
        <w:t>.</w:t>
      </w:r>
      <w:r>
        <w:tab/>
        <w:t>В случае небольших транспортных средств, например автофургонов, не имеющих окон в грузовом отсеке, требования к охлаждению в обоих классах (т.</w:t>
      </w:r>
      <w:r>
        <w:rPr>
          <w:lang w:val="fr-CH"/>
        </w:rPr>
        <w:t> </w:t>
      </w:r>
      <w:r>
        <w:t>е. при перевозке охлажденных пищевых продуктов в условиях нормальной термоизоляции или замороженных пищевых продуктов в условиях усиленной термоизоляции) предусматривают обеспечение холодопроизводительности порядка 1кВт. Количество ГФУ, используемое для заправки систем такого размера, обычно составляет от 1 до 2</w:t>
      </w:r>
      <w:r>
        <w:rPr>
          <w:lang w:val="fr-CH"/>
        </w:rPr>
        <w:t> </w:t>
      </w:r>
      <w:r>
        <w:t>кг. В углеводородных системах количество заправляемого хладагента составляет около 50 % от этого количества, т. е. от 0,5 до 1,0 кг. В случае автофургона типичных размеров максимальный объем заправки пропаном (R290) и изобутаном (R600a) составляет 0,35 и 0,39 кг соответственно, чтобы в случае очень быстрой утечки хладагента внутри фургона его концентрация не превысила нижний предел воспламеняемости. Единственный способ ослабить требования к охлаждению без ущерба для безопасности пищевых продуктов и, соответственно, сократить количество заряжаемого хладагента, заключается в уменьшении коэффициента</w:t>
      </w:r>
      <w:r>
        <w:rPr>
          <w:lang w:val="fr-CH"/>
        </w:rPr>
        <w:t> </w:t>
      </w:r>
      <w:r>
        <w:t>К. Несмотря на возможность использования двухконтурных систем, при их относительно небольших размерах паразитные потери будут сильно снижать общую эффективность системы, что приведет к значительному увеличению энергопотребления.</w:t>
      </w:r>
    </w:p>
    <w:p w14:paraId="0E741828" w14:textId="5DEEE26F" w:rsidR="00A57B37" w:rsidRPr="00D221FB" w:rsidRDefault="00A57B37" w:rsidP="00A57B37">
      <w:pPr>
        <w:pStyle w:val="SingleTxtG"/>
      </w:pPr>
      <w:r w:rsidRPr="00DA31BC">
        <w:t>11</w:t>
      </w:r>
      <w:r>
        <w:t>.</w:t>
      </w:r>
      <w:r>
        <w:tab/>
        <w:t>Ранее в контексте транспортных средств с нормальной изоляцией уже обсуждались предельные значения коэффициента К, предусмотренные для того или иного класса. Последнее такое обсуждение состоялось в Женеве в 2019 году, когда Рабочая группа пришла к консенсусу в отношении снижения выбросов. В то время считалось, что — с учетом большей чувствительности к колебаниям температуры охлажденных грузов по сравнению с замороженными — в случае транспортных средств с нормальной изоляцией значение теплового потока должно быть ниже, чем в случае транспортных средств с усиленной изоляцией, чтобы уменьшить температурные градиенты по всему объему охлаждаемого пространства. Цель данного предложения заключается в снижении требования по коэффициенту K для транспортных средств с нормальной изоляцией до ≤ 0,65 Вт/</w:t>
      </w:r>
      <w:r w:rsidRPr="00465FA7">
        <w:t>м</w:t>
      </w:r>
      <w:r w:rsidRPr="00465FA7">
        <w:rPr>
          <w:vertAlign w:val="superscript"/>
        </w:rPr>
        <w:t>2</w:t>
      </w:r>
      <w:r w:rsidRPr="00465FA7">
        <w:t>·K, благодаря чему значение теплового потока удастся довести до 19,5 Вт/м</w:t>
      </w:r>
      <w:r w:rsidRPr="00465FA7">
        <w:rPr>
          <w:vertAlign w:val="superscript"/>
        </w:rPr>
        <w:t>2</w:t>
      </w:r>
      <w:r w:rsidRPr="00465FA7">
        <w:t>, что ниже соответствующего показателя для транспортных средств с усиленной изоляцией (20 Вт/м</w:t>
      </w:r>
      <w:r w:rsidRPr="00465FA7">
        <w:rPr>
          <w:vertAlign w:val="superscript"/>
        </w:rPr>
        <w:t>2</w:t>
      </w:r>
      <w:r w:rsidRPr="00465FA7">
        <w:t xml:space="preserve">). </w:t>
      </w:r>
      <w:r w:rsidR="00D109EF" w:rsidRPr="00465FA7">
        <w:rPr>
          <w:lang w:val="en-US"/>
        </w:rPr>
        <w:br/>
      </w:r>
      <w:r w:rsidRPr="00465FA7">
        <w:t>При нынешнем значении коэффициента К ≤ 0,70 Вт/м</w:t>
      </w:r>
      <w:r w:rsidRPr="00465FA7">
        <w:rPr>
          <w:vertAlign w:val="superscript"/>
        </w:rPr>
        <w:t>2</w:t>
      </w:r>
      <w:r w:rsidRPr="00465FA7">
        <w:t>·K тепловой поток составляет 21 Вт/м</w:t>
      </w:r>
      <w:r w:rsidRPr="00465FA7">
        <w:rPr>
          <w:vertAlign w:val="superscript"/>
        </w:rPr>
        <w:t>2</w:t>
      </w:r>
      <w:r w:rsidRPr="00465FA7">
        <w:t>. Снижение коэффициента K для транспортных средств</w:t>
      </w:r>
      <w:r>
        <w:t xml:space="preserve"> с нормальной изоляцией согласуется с предложением Соединенного Королевства, касающимся воздушного потока, в рамках которого было показано, что для перевозки охлажденных продуктов требуется более сильный воздушный поток, чем в случае перевозки замороженных продуктов, несмотря на обычно более низкую потребность в охлаждении. То, что к перевозке более чувствительных к колебаниям температуры грузов предъявляются менее строгие требования, представляется непоследовательным, особенно с учетом того, что СПС призвано обеспечить безопасность пищевых продуктов путем установления минимальных требований.</w:t>
      </w:r>
    </w:p>
    <w:p w14:paraId="16CF5E05" w14:textId="77777777" w:rsidR="00A57B37" w:rsidRPr="00DA31BC" w:rsidRDefault="00A57B37" w:rsidP="00A57B37">
      <w:pPr>
        <w:pStyle w:val="SingleTxtG"/>
      </w:pPr>
      <w:r>
        <w:t>1</w:t>
      </w:r>
      <w:r w:rsidRPr="00DA31BC">
        <w:t>2</w:t>
      </w:r>
      <w:r>
        <w:t>.</w:t>
      </w:r>
      <w:r>
        <w:tab/>
        <w:t xml:space="preserve">Мы не предлагаем никаких изменений в отношении коэффициента К для цистерн. С учетом высокого значения удельной теплоемкости жидкостей на единицу поверхности цистерны должны рассматриваться отдельно. В охлажденном состоянии твердые грузы чувствительны к колебаниям температуры, и они, как правило, имеют большую площадь поверхности, что существенно влияет на теплообмен. В отличие от твердых пищевых продуктов, имеющих воздушные зазоры, жидкие грузы гомогенны, и они обладают более высокой удельной теплоемкостью. Это означает, что для их </w:t>
      </w:r>
      <w:r>
        <w:lastRenderedPageBreak/>
        <w:t>нагрева требуется значительно больше энергии</w:t>
      </w:r>
      <w:r w:rsidRPr="0006724B">
        <w:t xml:space="preserve"> </w:t>
      </w:r>
      <w:r>
        <w:t xml:space="preserve">на единицу объема, и что в случае притока тепла они будут нагреваться медленнее. </w:t>
      </w:r>
    </w:p>
    <w:p w14:paraId="2C56B518" w14:textId="2CBC9099" w:rsidR="00A57B37" w:rsidRPr="00D221FB" w:rsidRDefault="00A57B37" w:rsidP="00A57B37">
      <w:pPr>
        <w:pStyle w:val="SingleTxtG"/>
      </w:pPr>
      <w:r w:rsidRPr="00DA31BC">
        <w:t>13.</w:t>
      </w:r>
      <w:r w:rsidRPr="00DA31BC">
        <w:tab/>
      </w:r>
      <w:r>
        <w:t>Коэффициент K системы с нормальной изоляцией должен быть снижен с исходного уровня ≤ 0,70 Вт/м</w:t>
      </w:r>
      <w:r>
        <w:rPr>
          <w:vertAlign w:val="superscript"/>
        </w:rPr>
        <w:t>2</w:t>
      </w:r>
      <w:r>
        <w:t xml:space="preserve">·K до значений, лежащих в диапазоне </w:t>
      </w:r>
      <w:r w:rsidR="00D109EF">
        <w:rPr>
          <w:lang w:val="en-US"/>
        </w:rPr>
        <w:br/>
      </w:r>
      <w:r>
        <w:t>0,50 ≤ K ≤ 0,65 Вт/м</w:t>
      </w:r>
      <w:r>
        <w:rPr>
          <w:vertAlign w:val="superscript"/>
        </w:rPr>
        <w:t>2</w:t>
      </w:r>
      <w:r w:rsidRPr="00465FA7">
        <w:t>·K.</w:t>
      </w:r>
      <w:r>
        <w:t xml:space="preserve"> </w:t>
      </w:r>
    </w:p>
    <w:p w14:paraId="156E13F1" w14:textId="77777777" w:rsidR="00A57B37" w:rsidRPr="00D221FB" w:rsidRDefault="00A57B37" w:rsidP="00A57B37">
      <w:pPr>
        <w:pStyle w:val="SingleTxtG"/>
      </w:pPr>
      <w:r>
        <w:t>1</w:t>
      </w:r>
      <w:r w:rsidRPr="00DA31BC">
        <w:t>4</w:t>
      </w:r>
      <w:r>
        <w:t>.</w:t>
      </w:r>
      <w:r>
        <w:tab/>
        <w:t>Учитывая вышесказанное, мы предлагаем</w:t>
      </w:r>
      <w:r w:rsidRPr="00D221FB">
        <w:t xml:space="preserve"> </w:t>
      </w:r>
      <w:r>
        <w:t xml:space="preserve">в первую очередь снизить требования по коэффициенту К для транспортных средств с нормальной изоляцией. С учетом нынешней неопределенности в отношении регулирования фторированных газов при обсуждении этого вопроса на совещании </w:t>
      </w:r>
      <w:r w:rsidRPr="001424DD">
        <w:t>Подкомиссии МИХ по перевозкам холодильным транспортом </w:t>
      </w:r>
      <w:r w:rsidRPr="00DA31BC">
        <w:t>(</w:t>
      </w:r>
      <w:r>
        <w:t>СЕРТЕ</w:t>
      </w:r>
      <w:r w:rsidRPr="00DA31BC">
        <w:t xml:space="preserve">) </w:t>
      </w:r>
      <w:r>
        <w:t>была затронута лишь возможность смены пенообразователей. Следует отметить, что в ходе любого пересмотра правил, касающихся фторированных газов, скорее всего, будет затронута и рабочая жидкость систем охлаждения, и вполне вероятно, что любые изменения приведут к снижению либо эффективности системы, либо ее производительности, либо и того и другого. Участники всей холодильной цепи заинтересованы в том, чтобы обеспечить внедрение новых технологий, не сдерживаемое требованиями в отношении хладопроизводительности, которые полностью зависят от транспортного средства и выходят за рамки контроля со стороны изготовителей таких систем.</w:t>
      </w:r>
    </w:p>
    <w:p w14:paraId="3AFFBD32" w14:textId="77777777" w:rsidR="00A57B37" w:rsidRPr="00D221FB" w:rsidRDefault="00A57B37" w:rsidP="00A57B37">
      <w:pPr>
        <w:pStyle w:val="SingleTxtG"/>
      </w:pPr>
      <w:r>
        <w:t>1</w:t>
      </w:r>
      <w:r w:rsidRPr="00DA31BC">
        <w:t>5</w:t>
      </w:r>
      <w:r>
        <w:t>.</w:t>
      </w:r>
      <w:r>
        <w:tab/>
        <w:t>Коэффициенты K, используемые в СПС, необходимо пересмотреть с учетом технологического прогресса, достигнутого с момента их принятия, а также с учетом предстоящих нормативных изменений, касающихся оборудования. Мы предлагаем внести в приложение 1 к СПС</w:t>
      </w:r>
      <w:r w:rsidRPr="00E92394">
        <w:t xml:space="preserve"> </w:t>
      </w:r>
      <w:r>
        <w:t>следующие изменения.</w:t>
      </w:r>
    </w:p>
    <w:p w14:paraId="000A0D4C" w14:textId="77777777" w:rsidR="00A57B37" w:rsidRPr="00D221FB" w:rsidRDefault="00A57B37" w:rsidP="00A57B37">
      <w:pPr>
        <w:pStyle w:val="HChG"/>
      </w:pPr>
      <w:r>
        <w:tab/>
      </w:r>
      <w:r>
        <w:tab/>
      </w:r>
      <w:r>
        <w:rPr>
          <w:bCs/>
        </w:rPr>
        <w:t>Предлагаемая поправка к пункту 1 приложения 1</w:t>
      </w:r>
    </w:p>
    <w:p w14:paraId="1CACBFD4" w14:textId="77777777" w:rsidR="00A57B37" w:rsidRDefault="00A57B37" w:rsidP="00A57B37">
      <w:pPr>
        <w:pStyle w:val="SingleTxtG"/>
      </w:pPr>
      <w:r>
        <w:t>«</w:t>
      </w:r>
    </w:p>
    <w:tbl>
      <w:tblPr>
        <w:tblStyle w:val="Grilledutableau1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4283"/>
      </w:tblGrid>
      <w:tr w:rsidR="00A57B37" w:rsidRPr="001D33B5" w14:paraId="23DE7783" w14:textId="77777777" w:rsidTr="0028576D">
        <w:tc>
          <w:tcPr>
            <w:tcW w:w="737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A47E9BB" w14:textId="3B2C85BF" w:rsidR="00A57B37" w:rsidRPr="0085524A" w:rsidRDefault="00A57B37" w:rsidP="0028576D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85524A">
              <w:rPr>
                <w:i/>
                <w:iCs/>
                <w:sz w:val="16"/>
                <w:szCs w:val="16"/>
              </w:rPr>
              <w:t>Изотермическое транспортное средство.</w:t>
            </w:r>
            <w:r w:rsidRPr="0085524A">
              <w:rPr>
                <w:sz w:val="16"/>
                <w:szCs w:val="16"/>
              </w:rPr>
              <w:t xml:space="preserve"> </w:t>
            </w:r>
            <w:r w:rsidRPr="0085524A">
              <w:rPr>
                <w:i/>
                <w:iCs/>
                <w:sz w:val="16"/>
                <w:szCs w:val="16"/>
              </w:rPr>
              <w:t xml:space="preserve">Транспортное средство, </w:t>
            </w:r>
            <w:r w:rsidRPr="0085524A">
              <w:rPr>
                <w:i/>
                <w:iCs/>
                <w:sz w:val="16"/>
                <w:szCs w:val="16"/>
                <w:u w:val="single"/>
              </w:rPr>
              <w:t xml:space="preserve">которое не является цистерной </w:t>
            </w:r>
            <w:r w:rsidR="00E156DB" w:rsidRPr="00E156DB">
              <w:rPr>
                <w:i/>
                <w:iCs/>
                <w:sz w:val="16"/>
                <w:szCs w:val="16"/>
                <w:u w:val="single"/>
              </w:rPr>
              <w:br/>
            </w:r>
            <w:r w:rsidRPr="0085524A">
              <w:rPr>
                <w:i/>
                <w:iCs/>
                <w:sz w:val="16"/>
                <w:szCs w:val="16"/>
                <w:u w:val="single"/>
              </w:rPr>
              <w:t>и</w:t>
            </w:r>
            <w:r w:rsidRPr="0085524A">
              <w:rPr>
                <w:i/>
                <w:iCs/>
                <w:sz w:val="16"/>
                <w:szCs w:val="16"/>
              </w:rPr>
              <w:t xml:space="preserve"> кузов которого...могло быть отнесено к одной из нижеследующих двух категорий:</w:t>
            </w:r>
          </w:p>
        </w:tc>
      </w:tr>
      <w:tr w:rsidR="00A57B37" w:rsidRPr="001D33B5" w14:paraId="769BC3AF" w14:textId="77777777" w:rsidTr="0028576D">
        <w:trPr>
          <w:trHeight w:hRule="exact" w:val="113"/>
        </w:trPr>
        <w:tc>
          <w:tcPr>
            <w:tcW w:w="737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89BA87E" w14:textId="77777777" w:rsidR="00A57B37" w:rsidRPr="001D33B5" w:rsidRDefault="00A57B37" w:rsidP="0028576D">
            <w:pPr>
              <w:spacing w:before="40" w:after="120"/>
              <w:ind w:right="113"/>
            </w:pPr>
          </w:p>
        </w:tc>
      </w:tr>
      <w:tr w:rsidR="00A57B37" w:rsidRPr="00465FA7" w14:paraId="71C0E5BD" w14:textId="77777777" w:rsidTr="0028576D">
        <w:tc>
          <w:tcPr>
            <w:tcW w:w="3087" w:type="dxa"/>
            <w:shd w:val="clear" w:color="auto" w:fill="auto"/>
          </w:tcPr>
          <w:p w14:paraId="50AF0F94" w14:textId="77777777" w:rsidR="00A57B37" w:rsidRPr="00465FA7" w:rsidRDefault="00A57B37" w:rsidP="0028576D">
            <w:pPr>
              <w:spacing w:before="40" w:after="120"/>
              <w:ind w:right="113"/>
            </w:pPr>
            <w:r w:rsidRPr="00465FA7">
              <w:rPr>
                <w:lang w:val="en-US"/>
              </w:rPr>
              <w:t>I</w:t>
            </w:r>
            <w:r w:rsidRPr="00465FA7">
              <w:rPr>
                <w:vertAlign w:val="subscript"/>
                <w:lang w:val="en-US"/>
              </w:rPr>
              <w:t>N</w:t>
            </w:r>
            <w:r w:rsidRPr="00465FA7">
              <w:t xml:space="preserve"> = транспортное средство с нормальной изоляцией, имеющее: </w:t>
            </w:r>
          </w:p>
        </w:tc>
        <w:tc>
          <w:tcPr>
            <w:tcW w:w="4283" w:type="dxa"/>
            <w:shd w:val="clear" w:color="auto" w:fill="auto"/>
          </w:tcPr>
          <w:p w14:paraId="66F5761B" w14:textId="77777777" w:rsidR="00A57B37" w:rsidRPr="00465FA7" w:rsidRDefault="00A57B37" w:rsidP="0028576D">
            <w:pPr>
              <w:spacing w:before="40" w:after="120"/>
              <w:ind w:right="113"/>
            </w:pPr>
            <w:r w:rsidRPr="00465FA7">
              <w:t xml:space="preserve">– коэффициент К, не превышающий 0,70 </w:t>
            </w:r>
            <w:r w:rsidRPr="00465FA7">
              <w:rPr>
                <w:u w:val="single"/>
              </w:rPr>
              <w:t>Вт/м</w:t>
            </w:r>
            <w:r w:rsidRPr="00465FA7">
              <w:rPr>
                <w:u w:val="single"/>
                <w:vertAlign w:val="superscript"/>
              </w:rPr>
              <w:t>2</w:t>
            </w:r>
            <w:r w:rsidRPr="00465FA7">
              <w:rPr>
                <w:u w:val="single"/>
              </w:rPr>
              <w:t>·K для кузовов, введенных в эксплуатацию до 31 декабря 2028 года</w:t>
            </w:r>
            <w:r w:rsidRPr="00465FA7">
              <w:t>;</w:t>
            </w:r>
          </w:p>
        </w:tc>
      </w:tr>
      <w:tr w:rsidR="00A57B37" w:rsidRPr="00465FA7" w14:paraId="0E4229FA" w14:textId="77777777" w:rsidTr="0028576D">
        <w:tc>
          <w:tcPr>
            <w:tcW w:w="3087" w:type="dxa"/>
            <w:shd w:val="clear" w:color="auto" w:fill="auto"/>
          </w:tcPr>
          <w:p w14:paraId="103A6E23" w14:textId="77777777" w:rsidR="00A57B37" w:rsidRPr="00465FA7" w:rsidRDefault="00A57B37" w:rsidP="0028576D">
            <w:pPr>
              <w:spacing w:before="40" w:after="120"/>
              <w:ind w:right="113"/>
            </w:pPr>
          </w:p>
        </w:tc>
        <w:tc>
          <w:tcPr>
            <w:tcW w:w="4283" w:type="dxa"/>
            <w:shd w:val="clear" w:color="auto" w:fill="auto"/>
          </w:tcPr>
          <w:p w14:paraId="2C9FEC8A" w14:textId="3613B612" w:rsidR="00A57B37" w:rsidRPr="00465FA7" w:rsidRDefault="00A57B37" w:rsidP="0028576D">
            <w:pPr>
              <w:spacing w:before="40" w:after="120"/>
              <w:ind w:right="113"/>
            </w:pPr>
            <w:r w:rsidRPr="00465FA7">
              <w:rPr>
                <w:u w:val="single"/>
              </w:rPr>
              <w:t xml:space="preserve">– коэффициент К, не превышающий </w:t>
            </w:r>
            <w:r w:rsidR="00E156DB" w:rsidRPr="00465FA7">
              <w:rPr>
                <w:u w:val="single"/>
                <w:lang w:val="en-US"/>
              </w:rPr>
              <w:br/>
            </w:r>
            <w:r w:rsidRPr="00465FA7">
              <w:rPr>
                <w:u w:val="single"/>
              </w:rPr>
              <w:t>0,65 Вт/м</w:t>
            </w:r>
            <w:r w:rsidRPr="00465FA7">
              <w:rPr>
                <w:u w:val="single"/>
                <w:vertAlign w:val="superscript"/>
              </w:rPr>
              <w:t>2</w:t>
            </w:r>
            <w:r w:rsidRPr="00465FA7">
              <w:rPr>
                <w:u w:val="single"/>
              </w:rPr>
              <w:t>·K для кузовов, введенных в эксплуатацию начиная с 1 января 2029 года;</w:t>
            </w:r>
          </w:p>
        </w:tc>
      </w:tr>
      <w:tr w:rsidR="00A57B37" w:rsidRPr="00465FA7" w14:paraId="04410DFE" w14:textId="77777777" w:rsidTr="0028576D">
        <w:tc>
          <w:tcPr>
            <w:tcW w:w="3087" w:type="dxa"/>
            <w:shd w:val="clear" w:color="auto" w:fill="auto"/>
          </w:tcPr>
          <w:p w14:paraId="1B510602" w14:textId="77777777" w:rsidR="00A57B37" w:rsidRPr="00465FA7" w:rsidRDefault="00A57B37" w:rsidP="0028576D">
            <w:pPr>
              <w:spacing w:before="40" w:after="120"/>
              <w:ind w:right="113"/>
            </w:pPr>
            <w:r w:rsidRPr="00465FA7">
              <w:rPr>
                <w:lang w:val="en-US"/>
              </w:rPr>
              <w:t>I</w:t>
            </w:r>
            <w:r w:rsidRPr="00465FA7">
              <w:rPr>
                <w:vertAlign w:val="subscript"/>
                <w:lang w:val="en-US"/>
              </w:rPr>
              <w:t>R</w:t>
            </w:r>
            <w:r w:rsidRPr="00465FA7">
              <w:t xml:space="preserve"> = транспортное средство с усиленной изоляцией, имеющее: </w:t>
            </w:r>
          </w:p>
          <w:p w14:paraId="0E603852" w14:textId="77777777" w:rsidR="00A57B37" w:rsidRPr="00465FA7" w:rsidRDefault="00A57B37" w:rsidP="0028576D">
            <w:pPr>
              <w:spacing w:before="40" w:after="120"/>
              <w:ind w:right="113"/>
            </w:pPr>
          </w:p>
          <w:p w14:paraId="1C5D611B" w14:textId="77777777" w:rsidR="00A57B37" w:rsidRPr="00465FA7" w:rsidRDefault="00A57B37" w:rsidP="0028576D">
            <w:pPr>
              <w:spacing w:before="40" w:after="120"/>
              <w:ind w:right="113"/>
            </w:pPr>
          </w:p>
        </w:tc>
        <w:tc>
          <w:tcPr>
            <w:tcW w:w="4283" w:type="dxa"/>
            <w:shd w:val="clear" w:color="auto" w:fill="auto"/>
          </w:tcPr>
          <w:p w14:paraId="45630EF1" w14:textId="492B3830" w:rsidR="00A57B37" w:rsidRPr="00465FA7" w:rsidRDefault="00A57B37" w:rsidP="0028576D">
            <w:pPr>
              <w:spacing w:before="40" w:after="120"/>
              <w:ind w:right="113"/>
            </w:pPr>
            <w:r w:rsidRPr="00465FA7">
              <w:t xml:space="preserve">– коэффициент К, не превышающий </w:t>
            </w:r>
            <w:r w:rsidR="00E156DB" w:rsidRPr="00465FA7">
              <w:br/>
            </w:r>
            <w:r w:rsidRPr="00465FA7">
              <w:t xml:space="preserve">0,40 </w:t>
            </w:r>
            <w:r w:rsidRPr="00465FA7">
              <w:rPr>
                <w:u w:val="single"/>
              </w:rPr>
              <w:t>Вт/м</w:t>
            </w:r>
            <w:r w:rsidRPr="00465FA7">
              <w:rPr>
                <w:u w:val="single"/>
                <w:vertAlign w:val="superscript"/>
              </w:rPr>
              <w:t>2</w:t>
            </w:r>
            <w:r w:rsidRPr="00465FA7">
              <w:rPr>
                <w:u w:val="single"/>
              </w:rPr>
              <w:t>·K</w:t>
            </w:r>
            <w:r w:rsidRPr="00465FA7">
              <w:t xml:space="preserve">;  </w:t>
            </w:r>
          </w:p>
        </w:tc>
      </w:tr>
      <w:tr w:rsidR="00A57B37" w:rsidRPr="00465FA7" w14:paraId="179A3384" w14:textId="77777777" w:rsidTr="0028576D">
        <w:tc>
          <w:tcPr>
            <w:tcW w:w="7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285F7" w14:textId="77777777" w:rsidR="00A57B37" w:rsidRPr="00465FA7" w:rsidRDefault="00A57B37" w:rsidP="0028576D">
            <w:pPr>
              <w:spacing w:before="80" w:after="80" w:line="200" w:lineRule="exact"/>
              <w:ind w:right="113"/>
              <w:rPr>
                <w:sz w:val="16"/>
                <w:szCs w:val="16"/>
                <w:u w:val="single"/>
              </w:rPr>
            </w:pPr>
            <w:r w:rsidRPr="00465FA7">
              <w:rPr>
                <w:i/>
                <w:iCs/>
                <w:sz w:val="16"/>
                <w:szCs w:val="16"/>
              </w:rPr>
              <w:t>В случае кузовов-цистерн, позволяющих ограничивать теплообмен между внутренней и наружной поверхностью кузова таким образом, чтобы по общему коэффициенту теплопередачи (коэффициент К) транспортное средство могло быть отнесено к одной из двух нижеследующих категорий:</w:t>
            </w:r>
          </w:p>
        </w:tc>
      </w:tr>
      <w:tr w:rsidR="00A57B37" w:rsidRPr="00465FA7" w14:paraId="5494E1D5" w14:textId="77777777" w:rsidTr="0028576D"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14:paraId="11B7202E" w14:textId="77777777" w:rsidR="00A57B37" w:rsidRPr="00465FA7" w:rsidRDefault="00A57B37" w:rsidP="0028576D">
            <w:pPr>
              <w:spacing w:before="40" w:after="120"/>
              <w:ind w:right="113"/>
              <w:rPr>
                <w:u w:val="single"/>
              </w:rPr>
            </w:pPr>
            <w:r w:rsidRPr="00465FA7">
              <w:rPr>
                <w:u w:val="single"/>
                <w:lang w:val="en-US"/>
              </w:rPr>
              <w:t>I</w:t>
            </w:r>
            <w:r w:rsidRPr="00465FA7">
              <w:rPr>
                <w:u w:val="single"/>
                <w:vertAlign w:val="subscript"/>
                <w:lang w:val="en-US"/>
              </w:rPr>
              <w:t>N</w:t>
            </w:r>
            <w:r w:rsidRPr="00465FA7">
              <w:rPr>
                <w:u w:val="single"/>
              </w:rPr>
              <w:t xml:space="preserve"> = кузов-цистерна с нормальной изоляцией, имеющий:</w:t>
            </w:r>
          </w:p>
        </w:tc>
        <w:tc>
          <w:tcPr>
            <w:tcW w:w="4283" w:type="dxa"/>
            <w:tcBorders>
              <w:top w:val="single" w:sz="4" w:space="0" w:color="auto"/>
            </w:tcBorders>
            <w:shd w:val="clear" w:color="auto" w:fill="auto"/>
          </w:tcPr>
          <w:p w14:paraId="395A344B" w14:textId="1A176FCB" w:rsidR="00A57B37" w:rsidRPr="00465FA7" w:rsidRDefault="00A57B37" w:rsidP="0028576D">
            <w:pPr>
              <w:spacing w:before="40" w:after="120"/>
              <w:ind w:right="113"/>
              <w:rPr>
                <w:u w:val="single"/>
              </w:rPr>
            </w:pPr>
            <w:r w:rsidRPr="00465FA7">
              <w:rPr>
                <w:u w:val="single"/>
              </w:rPr>
              <w:t xml:space="preserve">– коэффициент К, не превышающий </w:t>
            </w:r>
            <w:r w:rsidR="00E156DB" w:rsidRPr="00465FA7">
              <w:rPr>
                <w:u w:val="single"/>
                <w:lang w:val="en-US"/>
              </w:rPr>
              <w:br/>
            </w:r>
            <w:r w:rsidRPr="00465FA7">
              <w:rPr>
                <w:u w:val="single"/>
              </w:rPr>
              <w:t>0,70 Вт/м</w:t>
            </w:r>
            <w:r w:rsidRPr="00465FA7">
              <w:rPr>
                <w:u w:val="single"/>
                <w:vertAlign w:val="superscript"/>
              </w:rPr>
              <w:t>2</w:t>
            </w:r>
            <w:r w:rsidRPr="00465FA7">
              <w:rPr>
                <w:u w:val="single"/>
              </w:rPr>
              <w:t xml:space="preserve">·K; </w:t>
            </w:r>
          </w:p>
        </w:tc>
      </w:tr>
      <w:tr w:rsidR="00A57B37" w:rsidRPr="00465FA7" w14:paraId="04EBBEB4" w14:textId="77777777" w:rsidTr="0028576D">
        <w:tc>
          <w:tcPr>
            <w:tcW w:w="3087" w:type="dxa"/>
            <w:tcBorders>
              <w:bottom w:val="single" w:sz="12" w:space="0" w:color="auto"/>
            </w:tcBorders>
            <w:shd w:val="clear" w:color="auto" w:fill="auto"/>
          </w:tcPr>
          <w:p w14:paraId="6EA8983F" w14:textId="77777777" w:rsidR="00A57B37" w:rsidRPr="00465FA7" w:rsidRDefault="00A57B37" w:rsidP="0028576D">
            <w:pPr>
              <w:spacing w:before="40" w:after="120"/>
              <w:ind w:right="113"/>
              <w:rPr>
                <w:u w:val="single"/>
              </w:rPr>
            </w:pPr>
            <w:r w:rsidRPr="00465FA7">
              <w:rPr>
                <w:u w:val="single"/>
                <w:lang w:val="en-US"/>
              </w:rPr>
              <w:t>I</w:t>
            </w:r>
            <w:r w:rsidRPr="00465FA7">
              <w:rPr>
                <w:u w:val="single"/>
                <w:vertAlign w:val="subscript"/>
                <w:lang w:val="en-US"/>
              </w:rPr>
              <w:t>R</w:t>
            </w:r>
            <w:r w:rsidRPr="00465FA7">
              <w:rPr>
                <w:u w:val="single"/>
              </w:rPr>
              <w:t xml:space="preserve"> = кузов-цистерна с усиленной изоляцией, имеющий:</w:t>
            </w:r>
          </w:p>
        </w:tc>
        <w:tc>
          <w:tcPr>
            <w:tcW w:w="4283" w:type="dxa"/>
            <w:tcBorders>
              <w:bottom w:val="single" w:sz="12" w:space="0" w:color="auto"/>
            </w:tcBorders>
            <w:shd w:val="clear" w:color="auto" w:fill="auto"/>
          </w:tcPr>
          <w:p w14:paraId="54E589FE" w14:textId="102876DF" w:rsidR="00A57B37" w:rsidRPr="00465FA7" w:rsidRDefault="00A57B37" w:rsidP="0028576D">
            <w:pPr>
              <w:spacing w:before="40" w:after="120"/>
              <w:ind w:right="113"/>
              <w:rPr>
                <w:u w:val="single"/>
              </w:rPr>
            </w:pPr>
            <w:r w:rsidRPr="00465FA7">
              <w:rPr>
                <w:u w:val="single"/>
              </w:rPr>
              <w:t xml:space="preserve">– коэффициент К, не превышающий </w:t>
            </w:r>
            <w:r w:rsidR="00E156DB" w:rsidRPr="00465FA7">
              <w:rPr>
                <w:u w:val="single"/>
                <w:lang w:val="en-US"/>
              </w:rPr>
              <w:br/>
            </w:r>
            <w:r w:rsidRPr="00465FA7">
              <w:rPr>
                <w:u w:val="single"/>
              </w:rPr>
              <w:t>0,40 Вт/м</w:t>
            </w:r>
            <w:r w:rsidRPr="00465FA7">
              <w:rPr>
                <w:u w:val="single"/>
                <w:vertAlign w:val="superscript"/>
              </w:rPr>
              <w:t>2</w:t>
            </w:r>
            <w:r w:rsidRPr="00465FA7">
              <w:rPr>
                <w:u w:val="single"/>
              </w:rPr>
              <w:t xml:space="preserve">·K; 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198"/>
      </w:tblGrid>
      <w:tr w:rsidR="00A57B37" w14:paraId="6E7E7957" w14:textId="77777777" w:rsidTr="0028576D">
        <w:tc>
          <w:tcPr>
            <w:tcW w:w="5098" w:type="dxa"/>
          </w:tcPr>
          <w:p w14:paraId="62FFA24E" w14:textId="77777777" w:rsidR="00A57B37" w:rsidRPr="00D221FB" w:rsidRDefault="00A57B37" w:rsidP="0028576D">
            <w:pPr>
              <w:spacing w:after="120"/>
              <w:ind w:left="1134"/>
              <w:rPr>
                <w:b/>
                <w:szCs w:val="24"/>
              </w:rPr>
            </w:pPr>
            <w:r w:rsidRPr="00465FA7">
              <w:rPr>
                <w:b/>
                <w:szCs w:val="24"/>
              </w:rPr>
              <w:t>»</w:t>
            </w:r>
          </w:p>
        </w:tc>
        <w:tc>
          <w:tcPr>
            <w:tcW w:w="3198" w:type="dxa"/>
          </w:tcPr>
          <w:p w14:paraId="04027CE8" w14:textId="77777777" w:rsidR="00A57B37" w:rsidRDefault="00A57B37" w:rsidP="0028576D">
            <w:pPr>
              <w:spacing w:after="120"/>
              <w:ind w:left="1134"/>
              <w:jc w:val="center"/>
              <w:rPr>
                <w:b/>
                <w:szCs w:val="24"/>
              </w:rPr>
            </w:pPr>
          </w:p>
        </w:tc>
      </w:tr>
    </w:tbl>
    <w:p w14:paraId="0501ED21" w14:textId="77777777" w:rsidR="00A57B37" w:rsidRPr="00B13149" w:rsidRDefault="00A57B37" w:rsidP="00A57B37">
      <w:pPr>
        <w:pStyle w:val="HChG"/>
      </w:pPr>
      <w:r>
        <w:lastRenderedPageBreak/>
        <w:tab/>
      </w:r>
      <w:r>
        <w:tab/>
      </w:r>
      <w:r>
        <w:rPr>
          <w:bCs/>
        </w:rPr>
        <w:t>Технические последствия</w:t>
      </w:r>
    </w:p>
    <w:p w14:paraId="35F2BB78" w14:textId="77777777" w:rsidR="00A57B37" w:rsidRPr="00D221FB" w:rsidRDefault="00A57B37" w:rsidP="00A57B37">
      <w:pPr>
        <w:pStyle w:val="SingleTxtG"/>
      </w:pPr>
      <w:r>
        <w:t>1</w:t>
      </w:r>
      <w:r w:rsidRPr="00DA31BC">
        <w:t>6</w:t>
      </w:r>
      <w:r>
        <w:t>.</w:t>
      </w:r>
      <w:r>
        <w:tab/>
        <w:t xml:space="preserve">Эта поправка поможет модернизировать СПС и положительно скажется на повышении безопасности и качества пищевых продуктов. </w:t>
      </w:r>
    </w:p>
    <w:p w14:paraId="3C0EB213" w14:textId="77777777" w:rsidR="00A57B37" w:rsidRPr="00D221FB" w:rsidRDefault="00A57B37" w:rsidP="00A57B37">
      <w:pPr>
        <w:pStyle w:val="HChG"/>
      </w:pPr>
      <w:r>
        <w:tab/>
      </w:r>
      <w:r>
        <w:tab/>
      </w:r>
      <w:r>
        <w:rPr>
          <w:bCs/>
        </w:rPr>
        <w:t>Экономические последствия</w:t>
      </w:r>
    </w:p>
    <w:p w14:paraId="1AD267AF" w14:textId="77777777" w:rsidR="00A57B37" w:rsidRPr="00D221FB" w:rsidRDefault="00A57B37" w:rsidP="00A57B37">
      <w:pPr>
        <w:pStyle w:val="SingleTxtG"/>
      </w:pPr>
      <w:r>
        <w:t>1</w:t>
      </w:r>
      <w:r w:rsidRPr="00DA31BC">
        <w:t>7</w:t>
      </w:r>
      <w:r>
        <w:t>.</w:t>
      </w:r>
      <w:r>
        <w:tab/>
        <w:t>Хотя первоначальная стоимость оборудования, скорее всего, возрастет, это повышение должно быть с лихвой компенсировано снижением эксплуатационных расходов при его использовании. Меньшее количество часов работы будет также способствовать сокращению износа компонентов, что приведет к увеличению срока службы оборудования и снижению потребности в запасных частях.</w:t>
      </w:r>
    </w:p>
    <w:p w14:paraId="14E063D1" w14:textId="77777777" w:rsidR="00A57B37" w:rsidRPr="00D221FB" w:rsidRDefault="00A57B37" w:rsidP="00A57B37">
      <w:pPr>
        <w:pStyle w:val="HChG"/>
      </w:pPr>
      <w:r>
        <w:tab/>
      </w:r>
      <w:r>
        <w:tab/>
      </w:r>
      <w:r>
        <w:rPr>
          <w:bCs/>
        </w:rPr>
        <w:t>Последствия для окружающей среды</w:t>
      </w:r>
    </w:p>
    <w:p w14:paraId="7F620816" w14:textId="77777777" w:rsidR="00A57B37" w:rsidRPr="00D221FB" w:rsidRDefault="00A57B37" w:rsidP="00A57B37">
      <w:pPr>
        <w:pStyle w:val="SingleTxtG"/>
      </w:pPr>
      <w:r>
        <w:t>1</w:t>
      </w:r>
      <w:r w:rsidRPr="00DA31BC">
        <w:t>8</w:t>
      </w:r>
      <w:r>
        <w:t>.</w:t>
      </w:r>
      <w:r>
        <w:tab/>
        <w:t>Более низкое энергопотребление и, как следствие, сокращение общего объема выбросов. Уменьшение износа оборудования ведет к снижению количества необходимых сменных деталей и, таким образом, к уменьшению количества производимых изделий, что положительно скажется на окружающей среде.</w:t>
      </w:r>
    </w:p>
    <w:p w14:paraId="6EDD38EA" w14:textId="77777777" w:rsidR="00A57B37" w:rsidRPr="00D221FB" w:rsidRDefault="00A57B37" w:rsidP="00A57B37">
      <w:pPr>
        <w:spacing w:before="240"/>
        <w:jc w:val="center"/>
        <w:rPr>
          <w:u w:val="single"/>
        </w:rPr>
      </w:pPr>
      <w:r w:rsidRPr="00D221FB">
        <w:rPr>
          <w:u w:val="single"/>
        </w:rPr>
        <w:tab/>
      </w:r>
      <w:r w:rsidRPr="00D221FB">
        <w:rPr>
          <w:u w:val="single"/>
        </w:rPr>
        <w:tab/>
      </w:r>
      <w:r w:rsidRPr="00D221FB">
        <w:rPr>
          <w:u w:val="single"/>
        </w:rPr>
        <w:tab/>
      </w:r>
    </w:p>
    <w:p w14:paraId="19C356AF" w14:textId="77777777" w:rsidR="00E12C5F" w:rsidRPr="008D53B6" w:rsidRDefault="00E12C5F" w:rsidP="00D9145B"/>
    <w:sectPr w:rsidR="00E12C5F" w:rsidRPr="008D53B6" w:rsidSect="00A57B3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C5FE" w14:textId="77777777" w:rsidR="00450188" w:rsidRPr="00A312BC" w:rsidRDefault="00450188" w:rsidP="00A312BC"/>
  </w:endnote>
  <w:endnote w:type="continuationSeparator" w:id="0">
    <w:p w14:paraId="48084B20" w14:textId="77777777" w:rsidR="00450188" w:rsidRPr="00A312BC" w:rsidRDefault="0045018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C57C" w14:textId="55607C2B" w:rsidR="00A57B37" w:rsidRPr="00A57B37" w:rsidRDefault="00A57B37">
    <w:pPr>
      <w:pStyle w:val="a8"/>
    </w:pPr>
    <w:r w:rsidRPr="00A57B37">
      <w:rPr>
        <w:b/>
        <w:sz w:val="18"/>
      </w:rPr>
      <w:fldChar w:fldCharType="begin"/>
    </w:r>
    <w:r w:rsidRPr="00A57B37">
      <w:rPr>
        <w:b/>
        <w:sz w:val="18"/>
      </w:rPr>
      <w:instrText xml:space="preserve"> PAGE  \* MERGEFORMAT </w:instrText>
    </w:r>
    <w:r w:rsidRPr="00A57B37">
      <w:rPr>
        <w:b/>
        <w:sz w:val="18"/>
      </w:rPr>
      <w:fldChar w:fldCharType="separate"/>
    </w:r>
    <w:r w:rsidRPr="00A57B37">
      <w:rPr>
        <w:b/>
        <w:noProof/>
        <w:sz w:val="18"/>
      </w:rPr>
      <w:t>2</w:t>
    </w:r>
    <w:r w:rsidRPr="00A57B37">
      <w:rPr>
        <w:b/>
        <w:sz w:val="18"/>
      </w:rPr>
      <w:fldChar w:fldCharType="end"/>
    </w:r>
    <w:r>
      <w:rPr>
        <w:b/>
        <w:sz w:val="18"/>
      </w:rPr>
      <w:tab/>
    </w:r>
    <w:r>
      <w:t>GE.24-14773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8ECA" w14:textId="40D61FB0" w:rsidR="00A57B37" w:rsidRPr="00A57B37" w:rsidRDefault="00A57B37" w:rsidP="00A57B37">
    <w:pPr>
      <w:pStyle w:val="a8"/>
      <w:tabs>
        <w:tab w:val="clear" w:pos="9639"/>
        <w:tab w:val="right" w:pos="9638"/>
      </w:tabs>
      <w:rPr>
        <w:b/>
        <w:sz w:val="18"/>
      </w:rPr>
    </w:pPr>
    <w:r>
      <w:t>GE.24-14773</w:t>
    </w:r>
    <w:r>
      <w:tab/>
    </w:r>
    <w:r w:rsidRPr="00A57B37">
      <w:rPr>
        <w:b/>
        <w:sz w:val="18"/>
      </w:rPr>
      <w:fldChar w:fldCharType="begin"/>
    </w:r>
    <w:r w:rsidRPr="00A57B37">
      <w:rPr>
        <w:b/>
        <w:sz w:val="18"/>
      </w:rPr>
      <w:instrText xml:space="preserve"> PAGE  \* MERGEFORMAT </w:instrText>
    </w:r>
    <w:r w:rsidRPr="00A57B37">
      <w:rPr>
        <w:b/>
        <w:sz w:val="18"/>
      </w:rPr>
      <w:fldChar w:fldCharType="separate"/>
    </w:r>
    <w:r w:rsidRPr="00A57B37">
      <w:rPr>
        <w:b/>
        <w:noProof/>
        <w:sz w:val="18"/>
      </w:rPr>
      <w:t>3</w:t>
    </w:r>
    <w:r w:rsidRPr="00A57B3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5CE6" w14:textId="1F57705A" w:rsidR="00042B72" w:rsidRPr="00A57B37" w:rsidRDefault="00A57B37" w:rsidP="00A57B37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9ED1E9B" wp14:editId="0B2DA0D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24-14773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4AEA55B" wp14:editId="261B5C8C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040924  050924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B146" w14:textId="77777777" w:rsidR="00450188" w:rsidRPr="001075E9" w:rsidRDefault="0045018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D80F9F5" w14:textId="77777777" w:rsidR="00450188" w:rsidRDefault="0045018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95B7" w14:textId="2C6F4CE7" w:rsidR="00A57B37" w:rsidRPr="00A57B37" w:rsidRDefault="00A57B37">
    <w:pPr>
      <w:pStyle w:val="a5"/>
    </w:pPr>
    <w:fldSimple w:instr=" TITLE  \* MERGEFORMAT ">
      <w:r w:rsidR="002B4C28">
        <w:t>ECE/TRANS/WP.11/2024/19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4A90" w14:textId="46BC6BBD" w:rsidR="00A57B37" w:rsidRPr="00A57B37" w:rsidRDefault="00A57B37" w:rsidP="00A57B37">
    <w:pPr>
      <w:pStyle w:val="a5"/>
      <w:jc w:val="right"/>
    </w:pPr>
    <w:fldSimple w:instr=" TITLE  \* MERGEFORMAT ">
      <w:r w:rsidR="002B4C28">
        <w:t>ECE/TRANS/WP.11/2024/19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88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4C28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0188"/>
    <w:rsid w:val="00452493"/>
    <w:rsid w:val="00453318"/>
    <w:rsid w:val="00454AF2"/>
    <w:rsid w:val="00454E07"/>
    <w:rsid w:val="00465FA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57B37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109EF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156DB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77D78"/>
  <w15:docId w15:val="{700A8074-7FDC-4048-83F0-8568405E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3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locked/>
    <w:rsid w:val="00A57B37"/>
    <w:rPr>
      <w:lang w:val="ru-RU" w:eastAsia="en-US"/>
    </w:rPr>
  </w:style>
  <w:style w:type="table" w:customStyle="1" w:styleId="Grilledutableau1">
    <w:name w:val="Grille du tableau1"/>
    <w:basedOn w:val="a1"/>
    <w:next w:val="ac"/>
    <w:uiPriority w:val="39"/>
    <w:rsid w:val="00A57B37"/>
    <w:pPr>
      <w:suppressAutoHyphens/>
      <w:spacing w:line="240" w:lineRule="atLeast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EE21D-9BF5-440A-8AD3-AB5BF38C26E6}"/>
</file>

<file path=customXml/itemProps2.xml><?xml version="1.0" encoding="utf-8"?>
<ds:datastoreItem xmlns:ds="http://schemas.openxmlformats.org/officeDocument/2006/customXml" ds:itemID="{6A97C0F2-046E-4AE8-B542-C662ACFDB134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5</Pages>
  <Words>1837</Words>
  <Characters>12537</Characters>
  <Application>Microsoft Office Word</Application>
  <DocSecurity>0</DocSecurity>
  <Lines>234</Lines>
  <Paragraphs>52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ECE/TRANS/WP.11/2024/19</vt:lpstr>
      <vt:lpstr>A/</vt:lpstr>
      <vt:lpstr>A/</vt:lpstr>
    </vt:vector>
  </TitlesOfParts>
  <Company>DCM</Company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ECE/TRANS/WP.11/2024/19</dc:title>
  <dc:subject/>
  <dc:creator>Sharkina</dc:creator>
  <cp:keywords/>
  <cp:lastModifiedBy>Sharkina</cp:lastModifiedBy>
  <cp:revision>3</cp:revision>
  <cp:lastPrinted>2024-09-05T09:20:00Z</cp:lastPrinted>
  <dcterms:created xsi:type="dcterms:W3CDTF">2024-09-05T09:20:00Z</dcterms:created>
  <dcterms:modified xsi:type="dcterms:W3CDTF">2024-09-05T09:21:00Z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