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0E4EC813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D00E43A" w14:textId="77777777" w:rsidR="00F35BAF" w:rsidRPr="00DB58B5" w:rsidRDefault="00F35BAF" w:rsidP="000D51D8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64073E3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1AABE2F" w14:textId="3EBDB031" w:rsidR="00F35BAF" w:rsidRPr="00DB58B5" w:rsidRDefault="000D51D8" w:rsidP="000D51D8">
            <w:pPr>
              <w:jc w:val="right"/>
            </w:pPr>
            <w:r w:rsidRPr="000D51D8">
              <w:rPr>
                <w:sz w:val="40"/>
              </w:rPr>
              <w:t>ECE</w:t>
            </w:r>
            <w:r>
              <w:t>/TRANS/WP.11/2024/17</w:t>
            </w:r>
          </w:p>
        </w:tc>
      </w:tr>
      <w:tr w:rsidR="00F35BAF" w:rsidRPr="00DB58B5" w14:paraId="05D2E776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F5E40D1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26C73BED" wp14:editId="4452AF6A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DE98072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7FB25C1" w14:textId="77777777" w:rsidR="00F35BAF" w:rsidRDefault="000D51D8" w:rsidP="00C97039">
            <w:pPr>
              <w:spacing w:before="240"/>
            </w:pPr>
            <w:r>
              <w:t>Distr. générale</w:t>
            </w:r>
          </w:p>
          <w:p w14:paraId="4366E1FF" w14:textId="77777777" w:rsidR="000D51D8" w:rsidRDefault="000D51D8" w:rsidP="000D51D8">
            <w:pPr>
              <w:spacing w:line="240" w:lineRule="exact"/>
            </w:pPr>
            <w:r>
              <w:t>16 août 2024</w:t>
            </w:r>
          </w:p>
          <w:p w14:paraId="32A2B848" w14:textId="77777777" w:rsidR="000D51D8" w:rsidRDefault="000D51D8" w:rsidP="000D51D8">
            <w:pPr>
              <w:spacing w:line="240" w:lineRule="exact"/>
            </w:pPr>
            <w:r>
              <w:t>Français</w:t>
            </w:r>
          </w:p>
          <w:p w14:paraId="61F16C41" w14:textId="15BD6AF2" w:rsidR="000D51D8" w:rsidRPr="00DB58B5" w:rsidRDefault="000D51D8" w:rsidP="000D51D8">
            <w:pPr>
              <w:spacing w:line="240" w:lineRule="exact"/>
            </w:pPr>
            <w:r>
              <w:t>Original</w:t>
            </w:r>
            <w:r w:rsidR="003421B1">
              <w:t> :</w:t>
            </w:r>
            <w:r>
              <w:t xml:space="preserve"> anglais</w:t>
            </w:r>
          </w:p>
        </w:tc>
      </w:tr>
    </w:tbl>
    <w:p w14:paraId="07065849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1975A7C3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71BC614E" w14:textId="78538036" w:rsidR="003421B1" w:rsidRPr="00423A43" w:rsidRDefault="003421B1" w:rsidP="003421B1">
      <w:pPr>
        <w:spacing w:before="120"/>
        <w:rPr>
          <w:b/>
          <w:sz w:val="32"/>
          <w:szCs w:val="24"/>
          <w:lang w:val="fr-FR"/>
        </w:rPr>
      </w:pPr>
      <w:r w:rsidRPr="00423A43">
        <w:rPr>
          <w:b/>
          <w:bCs/>
          <w:sz w:val="24"/>
          <w:lang w:val="fr-FR"/>
        </w:rPr>
        <w:t xml:space="preserve">Groupe de travail du transport </w:t>
      </w:r>
      <w:r w:rsidR="00DA4E16">
        <w:rPr>
          <w:b/>
          <w:bCs/>
          <w:sz w:val="24"/>
          <w:lang w:val="fr-FR"/>
        </w:rPr>
        <w:br/>
      </w:r>
      <w:r w:rsidRPr="00423A43">
        <w:rPr>
          <w:b/>
          <w:bCs/>
          <w:sz w:val="24"/>
          <w:lang w:val="fr-FR"/>
        </w:rPr>
        <w:t>des denrées périssables</w:t>
      </w:r>
    </w:p>
    <w:p w14:paraId="62EDD183" w14:textId="77777777" w:rsidR="003421B1" w:rsidRPr="00BE64F9" w:rsidRDefault="003421B1" w:rsidP="003421B1">
      <w:pPr>
        <w:spacing w:before="120"/>
        <w:rPr>
          <w:b/>
          <w:lang w:val="fr-FR"/>
        </w:rPr>
      </w:pPr>
      <w:r w:rsidRPr="00BE64F9">
        <w:rPr>
          <w:b/>
          <w:bCs/>
          <w:lang w:val="fr-FR"/>
        </w:rPr>
        <w:t>Quatre-vingt-unième session</w:t>
      </w:r>
    </w:p>
    <w:p w14:paraId="588B893F" w14:textId="77777777" w:rsidR="003421B1" w:rsidRPr="00BE64F9" w:rsidRDefault="003421B1" w:rsidP="003421B1">
      <w:pPr>
        <w:rPr>
          <w:lang w:val="fr-FR"/>
        </w:rPr>
      </w:pPr>
      <w:r w:rsidRPr="00BE64F9">
        <w:rPr>
          <w:lang w:val="fr-FR"/>
        </w:rPr>
        <w:t>Genève, 29 octobre-1</w:t>
      </w:r>
      <w:r w:rsidRPr="00BE64F9">
        <w:rPr>
          <w:vertAlign w:val="superscript"/>
          <w:lang w:val="fr-FR"/>
        </w:rPr>
        <w:t>er</w:t>
      </w:r>
      <w:r w:rsidRPr="00BE64F9">
        <w:rPr>
          <w:lang w:val="fr-FR"/>
        </w:rPr>
        <w:t> novembre 2024</w:t>
      </w:r>
    </w:p>
    <w:p w14:paraId="7C1D1CFC" w14:textId="77777777" w:rsidR="003421B1" w:rsidRPr="00BE64F9" w:rsidRDefault="003421B1" w:rsidP="003421B1">
      <w:pPr>
        <w:rPr>
          <w:lang w:val="fr-FR"/>
        </w:rPr>
      </w:pPr>
      <w:r w:rsidRPr="00BE64F9">
        <w:rPr>
          <w:lang w:val="fr-FR"/>
        </w:rPr>
        <w:t>Point 5 b) de l</w:t>
      </w:r>
      <w:r>
        <w:rPr>
          <w:lang w:val="fr-FR"/>
        </w:rPr>
        <w:t>’</w:t>
      </w:r>
      <w:r w:rsidRPr="00BE64F9">
        <w:rPr>
          <w:lang w:val="fr-FR"/>
        </w:rPr>
        <w:t>ordre du jour provisoire</w:t>
      </w:r>
    </w:p>
    <w:p w14:paraId="59B76EA2" w14:textId="2F106A7D" w:rsidR="003421B1" w:rsidRPr="00BE64F9" w:rsidRDefault="003421B1" w:rsidP="003421B1">
      <w:pPr>
        <w:rPr>
          <w:b/>
          <w:bCs/>
          <w:lang w:val="fr-FR"/>
        </w:rPr>
      </w:pPr>
      <w:r w:rsidRPr="00BE64F9">
        <w:rPr>
          <w:b/>
          <w:bCs/>
          <w:lang w:val="fr-FR"/>
        </w:rPr>
        <w:t>Propositions d</w:t>
      </w:r>
      <w:r>
        <w:rPr>
          <w:b/>
          <w:bCs/>
          <w:lang w:val="fr-FR"/>
        </w:rPr>
        <w:t>’</w:t>
      </w:r>
      <w:r w:rsidRPr="00BE64F9">
        <w:rPr>
          <w:b/>
          <w:bCs/>
          <w:lang w:val="fr-FR"/>
        </w:rPr>
        <w:t>amendements à l</w:t>
      </w:r>
      <w:r>
        <w:rPr>
          <w:b/>
          <w:bCs/>
          <w:lang w:val="fr-FR"/>
        </w:rPr>
        <w:t>’</w:t>
      </w:r>
      <w:r w:rsidRPr="00BE64F9">
        <w:rPr>
          <w:b/>
          <w:bCs/>
          <w:lang w:val="fr-FR"/>
        </w:rPr>
        <w:t>ATP</w:t>
      </w:r>
      <w:r>
        <w:rPr>
          <w:b/>
          <w:bCs/>
          <w:lang w:val="fr-FR"/>
        </w:rPr>
        <w:t> :</w:t>
      </w:r>
      <w:r w:rsidR="00DA4E16">
        <w:rPr>
          <w:b/>
          <w:bCs/>
          <w:lang w:val="fr-FR"/>
        </w:rPr>
        <w:br/>
      </w:r>
      <w:r w:rsidRPr="00BE64F9">
        <w:rPr>
          <w:b/>
          <w:bCs/>
          <w:lang w:val="fr-FR"/>
        </w:rPr>
        <w:t>Nouvelles propositions</w:t>
      </w:r>
    </w:p>
    <w:p w14:paraId="6D1C2DFE" w14:textId="6320B1D7" w:rsidR="003421B1" w:rsidRPr="00BE64F9" w:rsidRDefault="003421B1" w:rsidP="00DA4E16">
      <w:pPr>
        <w:pStyle w:val="HCh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  <w:t>Méthode d</w:t>
      </w:r>
      <w:r>
        <w:rPr>
          <w:lang w:val="fr-FR"/>
        </w:rPr>
        <w:t>’</w:t>
      </w:r>
      <w:r w:rsidRPr="00BE64F9">
        <w:rPr>
          <w:lang w:val="fr-FR"/>
        </w:rPr>
        <w:t xml:space="preserve">essai supplémentaire permettant de vérifier </w:t>
      </w:r>
      <w:r w:rsidR="00DA4E16">
        <w:rPr>
          <w:lang w:val="fr-FR"/>
        </w:rPr>
        <w:br/>
      </w:r>
      <w:r w:rsidRPr="00BE64F9">
        <w:rPr>
          <w:lang w:val="fr-FR"/>
        </w:rPr>
        <w:t>la conformité des engins à températures et</w:t>
      </w:r>
      <w:r>
        <w:rPr>
          <w:lang w:val="fr-FR"/>
        </w:rPr>
        <w:t xml:space="preserve"> à</w:t>
      </w:r>
      <w:r w:rsidRPr="00BE64F9">
        <w:rPr>
          <w:lang w:val="fr-FR"/>
        </w:rPr>
        <w:t xml:space="preserve"> compartiments multiples en service</w:t>
      </w:r>
    </w:p>
    <w:p w14:paraId="6D1D4DC0" w14:textId="6A0F2C3B" w:rsidR="003421B1" w:rsidRPr="00BE64F9" w:rsidRDefault="003421B1" w:rsidP="00DA4E16">
      <w:pPr>
        <w:pStyle w:val="H1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  <w:t xml:space="preserve">Communication du Gouvernement du Royaume-Uni </w:t>
      </w:r>
      <w:r w:rsidR="00DA4E16">
        <w:rPr>
          <w:lang w:val="fr-FR"/>
        </w:rPr>
        <w:br/>
      </w:r>
      <w:r w:rsidRPr="00BE64F9">
        <w:rPr>
          <w:lang w:val="fr-FR"/>
        </w:rPr>
        <w:t>de Grande-Bretagne et d</w:t>
      </w:r>
      <w:r>
        <w:rPr>
          <w:lang w:val="fr-FR"/>
        </w:rPr>
        <w:t>’</w:t>
      </w:r>
      <w:r w:rsidRPr="00BE64F9">
        <w:rPr>
          <w:lang w:val="fr-FR"/>
        </w:rPr>
        <w:t>Irlande du Nord</w:t>
      </w:r>
    </w:p>
    <w:p w14:paraId="183CAEEC" w14:textId="77777777" w:rsidR="003421B1" w:rsidRPr="00BE64F9" w:rsidRDefault="003421B1" w:rsidP="003421B1">
      <w:pPr>
        <w:pStyle w:val="HCh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</w:r>
      <w:r w:rsidRPr="00BE64F9">
        <w:rPr>
          <w:bCs/>
          <w:lang w:val="fr-FR"/>
        </w:rPr>
        <w:t>Introduction</w:t>
      </w:r>
    </w:p>
    <w:p w14:paraId="6B0F4410" w14:textId="656FFC5C" w:rsidR="003421B1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1.</w:t>
      </w:r>
      <w:r w:rsidRPr="00BE64F9">
        <w:rPr>
          <w:lang w:val="fr-FR"/>
        </w:rPr>
        <w:tab/>
      </w:r>
      <w:r>
        <w:rPr>
          <w:lang w:val="fr-FR"/>
        </w:rPr>
        <w:t>Lorsqu’on applique</w:t>
      </w:r>
      <w:r w:rsidRPr="00BE64F9">
        <w:rPr>
          <w:lang w:val="fr-FR"/>
        </w:rPr>
        <w:t xml:space="preserve"> la méthode d</w:t>
      </w:r>
      <w:r>
        <w:rPr>
          <w:lang w:val="fr-FR"/>
        </w:rPr>
        <w:t>’</w:t>
      </w:r>
      <w:r w:rsidRPr="00BE64F9">
        <w:rPr>
          <w:lang w:val="fr-FR"/>
        </w:rPr>
        <w:t>essai servant à contrôler l</w:t>
      </w:r>
      <w:r>
        <w:rPr>
          <w:lang w:val="fr-FR"/>
        </w:rPr>
        <w:t>’</w:t>
      </w:r>
      <w:r w:rsidRPr="00BE64F9">
        <w:rPr>
          <w:lang w:val="fr-FR"/>
        </w:rPr>
        <w:t>efficacité des dispositifs thermiques des engins en service (</w:t>
      </w:r>
      <w:r>
        <w:rPr>
          <w:lang w:val="fr-FR"/>
        </w:rPr>
        <w:t>sect</w:t>
      </w:r>
      <w:r w:rsidR="00DA4E16">
        <w:rPr>
          <w:lang w:val="fr-FR"/>
        </w:rPr>
        <w:t>. </w:t>
      </w:r>
      <w:r w:rsidRPr="00BE64F9">
        <w:rPr>
          <w:lang w:val="fr-FR"/>
        </w:rPr>
        <w:t>6.2</w:t>
      </w:r>
      <w:r>
        <w:rPr>
          <w:lang w:val="fr-FR"/>
        </w:rPr>
        <w:t xml:space="preserve"> de l’appendice 2 de l’annexe 1</w:t>
      </w:r>
      <w:r w:rsidRPr="00BE64F9">
        <w:rPr>
          <w:lang w:val="fr-FR"/>
        </w:rPr>
        <w:t>)</w:t>
      </w:r>
      <w:r>
        <w:rPr>
          <w:lang w:val="fr-FR"/>
        </w:rPr>
        <w:t xml:space="preserve"> sous sa forme actuelle</w:t>
      </w:r>
      <w:r w:rsidRPr="00BE64F9">
        <w:rPr>
          <w:lang w:val="fr-FR"/>
        </w:rPr>
        <w:t>, il est possible que l</w:t>
      </w:r>
      <w:r>
        <w:rPr>
          <w:lang w:val="fr-FR"/>
        </w:rPr>
        <w:t>’</w:t>
      </w:r>
      <w:r w:rsidRPr="00BE64F9">
        <w:rPr>
          <w:lang w:val="fr-FR"/>
        </w:rPr>
        <w:t>examen dure plus d</w:t>
      </w:r>
      <w:r>
        <w:rPr>
          <w:lang w:val="fr-FR"/>
        </w:rPr>
        <w:t>’</w:t>
      </w:r>
      <w:r w:rsidRPr="00BE64F9">
        <w:rPr>
          <w:lang w:val="fr-FR"/>
        </w:rPr>
        <w:t>un jour ouvrable</w:t>
      </w:r>
      <w:r>
        <w:rPr>
          <w:lang w:val="fr-FR"/>
        </w:rPr>
        <w:t>, ce qui</w:t>
      </w:r>
      <w:r w:rsidRPr="00BE64F9">
        <w:rPr>
          <w:lang w:val="fr-FR"/>
        </w:rPr>
        <w:t xml:space="preserve"> a des incidences économiques et opérationnel</w:t>
      </w:r>
      <w:r>
        <w:rPr>
          <w:lang w:val="fr-FR"/>
        </w:rPr>
        <w:t>le</w:t>
      </w:r>
      <w:r w:rsidRPr="00BE64F9">
        <w:rPr>
          <w:lang w:val="fr-FR"/>
        </w:rPr>
        <w:t xml:space="preserve">s notables </w:t>
      </w:r>
      <w:r>
        <w:rPr>
          <w:lang w:val="fr-FR"/>
        </w:rPr>
        <w:t>pou</w:t>
      </w:r>
      <w:r w:rsidRPr="00BE64F9">
        <w:rPr>
          <w:lang w:val="fr-FR"/>
        </w:rPr>
        <w:t>r les entreprises dont les véhicules doivent être</w:t>
      </w:r>
      <w:r w:rsidR="00DA4E16">
        <w:rPr>
          <w:lang w:val="fr-FR"/>
        </w:rPr>
        <w:t> </w:t>
      </w:r>
      <w:r w:rsidRPr="00BE64F9">
        <w:rPr>
          <w:lang w:val="fr-FR"/>
        </w:rPr>
        <w:t>contrôlés.</w:t>
      </w:r>
    </w:p>
    <w:p w14:paraId="43B2F9B9" w14:textId="030035CB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2.</w:t>
      </w:r>
      <w:r w:rsidRPr="00BE64F9">
        <w:rPr>
          <w:lang w:val="fr-FR"/>
        </w:rPr>
        <w:tab/>
        <w:t xml:space="preserve">Les représentants de nombreuses Parties contractantes ont </w:t>
      </w:r>
      <w:r>
        <w:rPr>
          <w:lang w:val="fr-FR"/>
        </w:rPr>
        <w:t>indiqué qu’ils</w:t>
      </w:r>
      <w:r w:rsidRPr="00BE64F9">
        <w:rPr>
          <w:lang w:val="fr-FR"/>
        </w:rPr>
        <w:t xml:space="preserve"> souhait</w:t>
      </w:r>
      <w:r>
        <w:rPr>
          <w:lang w:val="fr-FR"/>
        </w:rPr>
        <w:t>aient</w:t>
      </w:r>
      <w:r w:rsidRPr="00BE64F9">
        <w:rPr>
          <w:lang w:val="fr-FR"/>
        </w:rPr>
        <w:t xml:space="preserve"> accélérer la procédure. La présente proposition décrit en détail une méthode qui </w:t>
      </w:r>
      <w:r>
        <w:rPr>
          <w:lang w:val="fr-FR"/>
        </w:rPr>
        <w:t>pourrait</w:t>
      </w:r>
      <w:r w:rsidRPr="00BE64F9">
        <w:rPr>
          <w:lang w:val="fr-FR"/>
        </w:rPr>
        <w:t xml:space="preserve"> </w:t>
      </w:r>
      <w:r w:rsidR="00085A0F">
        <w:rPr>
          <w:lang w:val="fr-FR"/>
        </w:rPr>
        <w:t xml:space="preserve">être </w:t>
      </w:r>
      <w:r w:rsidRPr="00BE64F9">
        <w:rPr>
          <w:lang w:val="fr-FR"/>
        </w:rPr>
        <w:t>ajoutée en tant qu</w:t>
      </w:r>
      <w:r>
        <w:rPr>
          <w:lang w:val="fr-FR"/>
        </w:rPr>
        <w:t>’</w:t>
      </w:r>
      <w:r w:rsidRPr="00BE64F9">
        <w:rPr>
          <w:lang w:val="fr-FR"/>
        </w:rPr>
        <w:t>option, l</w:t>
      </w:r>
      <w:r>
        <w:rPr>
          <w:lang w:val="fr-FR"/>
        </w:rPr>
        <w:t>’idée étant que l</w:t>
      </w:r>
      <w:r w:rsidRPr="00BE64F9">
        <w:rPr>
          <w:lang w:val="fr-FR"/>
        </w:rPr>
        <w:t xml:space="preserve">es experts désignés </w:t>
      </w:r>
      <w:r>
        <w:rPr>
          <w:lang w:val="fr-FR"/>
        </w:rPr>
        <w:t>choisissent</w:t>
      </w:r>
      <w:r w:rsidRPr="00BE64F9">
        <w:rPr>
          <w:lang w:val="fr-FR"/>
        </w:rPr>
        <w:t xml:space="preserve"> la procédure de contrôle la plus adaptée à l</w:t>
      </w:r>
      <w:r>
        <w:rPr>
          <w:lang w:val="fr-FR"/>
        </w:rPr>
        <w:t>’</w:t>
      </w:r>
      <w:r w:rsidRPr="00BE64F9">
        <w:rPr>
          <w:lang w:val="fr-FR"/>
        </w:rPr>
        <w:t xml:space="preserve">engin considéré. </w:t>
      </w:r>
      <w:r>
        <w:rPr>
          <w:lang w:val="fr-FR"/>
        </w:rPr>
        <w:t>La nouvelle méthode proposée</w:t>
      </w:r>
      <w:r w:rsidRPr="00BE64F9">
        <w:rPr>
          <w:lang w:val="fr-FR"/>
        </w:rPr>
        <w:t xml:space="preserve"> devrait être </w:t>
      </w:r>
      <w:r>
        <w:rPr>
          <w:lang w:val="fr-FR"/>
        </w:rPr>
        <w:t>particulièrement</w:t>
      </w:r>
      <w:r w:rsidRPr="00BE64F9">
        <w:rPr>
          <w:lang w:val="fr-FR"/>
        </w:rPr>
        <w:t xml:space="preserve"> utile pour les engins à deux compartiments</w:t>
      </w:r>
      <w:r>
        <w:rPr>
          <w:lang w:val="fr-FR"/>
        </w:rPr>
        <w:t xml:space="preserve"> sans être</w:t>
      </w:r>
      <w:r w:rsidRPr="00BE64F9">
        <w:rPr>
          <w:lang w:val="fr-FR"/>
        </w:rPr>
        <w:t xml:space="preserve"> limitée par le nombre de compartiments. </w:t>
      </w:r>
      <w:r>
        <w:rPr>
          <w:lang w:val="fr-FR"/>
        </w:rPr>
        <w:t>Elle</w:t>
      </w:r>
      <w:r w:rsidRPr="00BE64F9">
        <w:rPr>
          <w:lang w:val="fr-FR"/>
        </w:rPr>
        <w:t xml:space="preserve"> a été brièvement examinée par un groupe de travail créé à la quatre</w:t>
      </w:r>
      <w:r w:rsidR="00DA4E16">
        <w:rPr>
          <w:lang w:val="fr-FR"/>
        </w:rPr>
        <w:noBreakHyphen/>
      </w:r>
      <w:r w:rsidRPr="00BE64F9">
        <w:rPr>
          <w:lang w:val="fr-FR"/>
        </w:rPr>
        <w:t>vingtième session et doit maintenant être soumise à l</w:t>
      </w:r>
      <w:r>
        <w:rPr>
          <w:lang w:val="fr-FR"/>
        </w:rPr>
        <w:t>’</w:t>
      </w:r>
      <w:r w:rsidRPr="00BE64F9">
        <w:rPr>
          <w:lang w:val="fr-FR"/>
        </w:rPr>
        <w:t>avis d</w:t>
      </w:r>
      <w:r>
        <w:rPr>
          <w:lang w:val="fr-FR"/>
        </w:rPr>
        <w:t>’</w:t>
      </w:r>
      <w:r w:rsidRPr="00BE64F9">
        <w:rPr>
          <w:lang w:val="fr-FR"/>
        </w:rPr>
        <w:t>autres parties.</w:t>
      </w:r>
    </w:p>
    <w:p w14:paraId="4422F4DD" w14:textId="6B00BAC5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3.</w:t>
      </w:r>
      <w:r w:rsidRPr="00BE64F9">
        <w:rPr>
          <w:lang w:val="fr-FR"/>
        </w:rPr>
        <w:tab/>
        <w:t xml:space="preserve">Les dispositifs thermiques des engins à températures et </w:t>
      </w:r>
      <w:r>
        <w:rPr>
          <w:lang w:val="fr-FR"/>
        </w:rPr>
        <w:t xml:space="preserve">à </w:t>
      </w:r>
      <w:r w:rsidRPr="00BE64F9">
        <w:rPr>
          <w:lang w:val="fr-FR"/>
        </w:rPr>
        <w:t>compartiments multiples dotés d</w:t>
      </w:r>
      <w:r>
        <w:rPr>
          <w:lang w:val="fr-FR"/>
        </w:rPr>
        <w:t>’</w:t>
      </w:r>
      <w:r w:rsidRPr="00BE64F9">
        <w:rPr>
          <w:lang w:val="fr-FR"/>
        </w:rPr>
        <w:t>un seul compresseur ont un</w:t>
      </w:r>
      <w:r>
        <w:rPr>
          <w:lang w:val="fr-FR"/>
        </w:rPr>
        <w:t xml:space="preserve"> dispositif</w:t>
      </w:r>
      <w:r w:rsidRPr="00BE64F9">
        <w:rPr>
          <w:lang w:val="fr-FR"/>
        </w:rPr>
        <w:t xml:space="preserve"> d</w:t>
      </w:r>
      <w:r>
        <w:rPr>
          <w:lang w:val="fr-FR"/>
        </w:rPr>
        <w:t>’</w:t>
      </w:r>
      <w:r w:rsidRPr="00BE64F9">
        <w:rPr>
          <w:lang w:val="fr-FR"/>
        </w:rPr>
        <w:t>aspiration commun</w:t>
      </w:r>
      <w:r>
        <w:rPr>
          <w:lang w:val="fr-FR"/>
        </w:rPr>
        <w:t>,</w:t>
      </w:r>
      <w:r w:rsidRPr="00BE64F9">
        <w:rPr>
          <w:lang w:val="fr-FR"/>
        </w:rPr>
        <w:t xml:space="preserve"> conformément à l</w:t>
      </w:r>
      <w:r>
        <w:rPr>
          <w:lang w:val="fr-FR"/>
        </w:rPr>
        <w:t>’</w:t>
      </w:r>
      <w:r w:rsidRPr="00BE64F9">
        <w:rPr>
          <w:lang w:val="fr-FR"/>
        </w:rPr>
        <w:t>alinéa</w:t>
      </w:r>
      <w:r w:rsidR="00085A0F">
        <w:rPr>
          <w:lang w:val="fr-FR"/>
        </w:rPr>
        <w:t> </w:t>
      </w:r>
      <w:r w:rsidRPr="00BE64F9">
        <w:rPr>
          <w:lang w:val="fr-FR"/>
        </w:rPr>
        <w:t>b) de la partie 7.1 de l</w:t>
      </w:r>
      <w:r>
        <w:rPr>
          <w:lang w:val="fr-FR"/>
        </w:rPr>
        <w:t>’</w:t>
      </w:r>
      <w:r w:rsidRPr="00BE64F9">
        <w:rPr>
          <w:lang w:val="fr-FR"/>
        </w:rPr>
        <w:t>appendice 2 de l</w:t>
      </w:r>
      <w:r>
        <w:rPr>
          <w:lang w:val="fr-FR"/>
        </w:rPr>
        <w:t>’</w:t>
      </w:r>
      <w:r w:rsidRPr="00BE64F9">
        <w:rPr>
          <w:lang w:val="fr-FR"/>
        </w:rPr>
        <w:t>annexe 1, ainsi qu</w:t>
      </w:r>
      <w:r>
        <w:rPr>
          <w:lang w:val="fr-FR"/>
        </w:rPr>
        <w:t>’</w:t>
      </w:r>
      <w:r w:rsidRPr="00BE64F9">
        <w:rPr>
          <w:lang w:val="fr-FR"/>
        </w:rPr>
        <w:t>un condenseur commun et d</w:t>
      </w:r>
      <w:r>
        <w:rPr>
          <w:lang w:val="fr-FR"/>
        </w:rPr>
        <w:t>’</w:t>
      </w:r>
      <w:r w:rsidRPr="00BE64F9">
        <w:rPr>
          <w:lang w:val="fr-FR"/>
        </w:rPr>
        <w:t xml:space="preserve">autres composants connexes </w:t>
      </w:r>
      <w:r>
        <w:rPr>
          <w:lang w:val="fr-FR"/>
        </w:rPr>
        <w:t>du côté haute pression</w:t>
      </w:r>
      <w:r w:rsidRPr="00BE64F9">
        <w:rPr>
          <w:lang w:val="fr-FR"/>
        </w:rPr>
        <w:t>. Si l</w:t>
      </w:r>
      <w:r>
        <w:rPr>
          <w:lang w:val="fr-FR"/>
        </w:rPr>
        <w:t>’</w:t>
      </w:r>
      <w:r w:rsidRPr="00BE64F9">
        <w:rPr>
          <w:lang w:val="fr-FR"/>
        </w:rPr>
        <w:t xml:space="preserve">on vérifie le bon fonctionnement de chaque évaporateur (étape </w:t>
      </w:r>
      <w:r>
        <w:rPr>
          <w:lang w:val="fr-FR"/>
        </w:rPr>
        <w:t xml:space="preserve">3 </w:t>
      </w:r>
      <w:r w:rsidRPr="00BE64F9">
        <w:rPr>
          <w:lang w:val="fr-FR"/>
        </w:rPr>
        <w:t>ci-dessous), la puissance frigorifique du dispositif thermique</w:t>
      </w:r>
      <w:r>
        <w:rPr>
          <w:lang w:val="fr-FR"/>
        </w:rPr>
        <w:t xml:space="preserve"> ne doit être vérifiée que pour la demande de réfrigération maximale</w:t>
      </w:r>
      <w:r w:rsidRPr="00BE64F9">
        <w:rPr>
          <w:lang w:val="fr-FR"/>
        </w:rPr>
        <w:t>. Si le compresseur est capable d</w:t>
      </w:r>
      <w:r>
        <w:rPr>
          <w:lang w:val="fr-FR"/>
        </w:rPr>
        <w:t xml:space="preserve">’aspirer </w:t>
      </w:r>
      <w:r w:rsidRPr="00BE64F9">
        <w:rPr>
          <w:lang w:val="fr-FR"/>
        </w:rPr>
        <w:t xml:space="preserve">suffisamment </w:t>
      </w:r>
      <w:r>
        <w:rPr>
          <w:lang w:val="fr-FR"/>
        </w:rPr>
        <w:t>de fluide</w:t>
      </w:r>
      <w:r w:rsidRPr="00BE64F9">
        <w:rPr>
          <w:lang w:val="fr-FR"/>
        </w:rPr>
        <w:t xml:space="preserve"> frigorigène et </w:t>
      </w:r>
      <w:r>
        <w:rPr>
          <w:lang w:val="fr-FR"/>
        </w:rPr>
        <w:t>si</w:t>
      </w:r>
      <w:r w:rsidRPr="00BE64F9">
        <w:rPr>
          <w:lang w:val="fr-FR"/>
        </w:rPr>
        <w:t xml:space="preserve"> le condenseur peut rejeter la chaleur </w:t>
      </w:r>
      <w:r>
        <w:rPr>
          <w:lang w:val="fr-FR"/>
        </w:rPr>
        <w:t>émanant du fluide</w:t>
      </w:r>
      <w:r w:rsidRPr="00BE64F9">
        <w:rPr>
          <w:lang w:val="fr-FR"/>
        </w:rPr>
        <w:t xml:space="preserve"> et du compresseur, le système dans son ensemble </w:t>
      </w:r>
      <w:r>
        <w:rPr>
          <w:lang w:val="fr-FR"/>
        </w:rPr>
        <w:t>pourra en faire autant</w:t>
      </w:r>
      <w:r w:rsidRPr="00BE64F9">
        <w:rPr>
          <w:lang w:val="fr-FR"/>
        </w:rPr>
        <w:t xml:space="preserve"> pour toute puissance frigorifique inférieure.</w:t>
      </w:r>
    </w:p>
    <w:p w14:paraId="0C18A724" w14:textId="0523A93C" w:rsidR="003421B1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lastRenderedPageBreak/>
        <w:t>4.</w:t>
      </w:r>
      <w:r w:rsidRPr="00BE64F9">
        <w:rPr>
          <w:lang w:val="fr-FR"/>
        </w:rPr>
        <w:tab/>
        <w:t xml:space="preserve">Pour une semi-remorque à températures et </w:t>
      </w:r>
      <w:r>
        <w:rPr>
          <w:lang w:val="fr-FR"/>
        </w:rPr>
        <w:t xml:space="preserve">à </w:t>
      </w:r>
      <w:r w:rsidRPr="00BE64F9">
        <w:rPr>
          <w:lang w:val="fr-FR"/>
        </w:rPr>
        <w:t xml:space="preserve">compartiments multiples </w:t>
      </w:r>
      <w:r>
        <w:rPr>
          <w:lang w:val="fr-FR"/>
        </w:rPr>
        <w:t>ordinaire</w:t>
      </w:r>
      <w:r w:rsidRPr="00BE64F9">
        <w:rPr>
          <w:lang w:val="fr-FR"/>
        </w:rPr>
        <w:t>, on suppose une longueur maximale du compartiment principal de 9</w:t>
      </w:r>
      <w:r w:rsidR="00400AF6">
        <w:rPr>
          <w:lang w:val="fr-FR"/>
        </w:rPr>
        <w:t> </w:t>
      </w:r>
      <w:r w:rsidRPr="00BE64F9">
        <w:rPr>
          <w:lang w:val="fr-FR"/>
        </w:rPr>
        <w:t>mètres et une cloison transversale mobile avec un plancher en composite verre-résine. Pour une température ambiante de 30</w:t>
      </w:r>
      <w:r w:rsidR="00400AF6">
        <w:rPr>
          <w:lang w:val="fr-FR"/>
        </w:rPr>
        <w:t> </w:t>
      </w:r>
      <w:r w:rsidRPr="00BE64F9">
        <w:rPr>
          <w:lang w:val="fr-FR"/>
        </w:rPr>
        <w:t>°C, une température du compartiment principal de -20</w:t>
      </w:r>
      <w:r w:rsidR="00400AF6">
        <w:rPr>
          <w:lang w:val="fr-FR"/>
        </w:rPr>
        <w:t> </w:t>
      </w:r>
      <w:r w:rsidRPr="00BE64F9">
        <w:rPr>
          <w:lang w:val="fr-FR"/>
        </w:rPr>
        <w:t>°C et une température du compartiment secondaire de 0</w:t>
      </w:r>
      <w:r w:rsidR="00400AF6">
        <w:rPr>
          <w:lang w:val="fr-FR"/>
        </w:rPr>
        <w:t> </w:t>
      </w:r>
      <w:r w:rsidRPr="00BE64F9">
        <w:rPr>
          <w:lang w:val="fr-FR"/>
        </w:rPr>
        <w:t>°C, il faut procéder à un refroidissement de 2</w:t>
      </w:r>
      <w:r>
        <w:rPr>
          <w:lang w:val="fr-FR"/>
        </w:rPr>
        <w:t> </w:t>
      </w:r>
      <w:r w:rsidRPr="00BE64F9">
        <w:rPr>
          <w:lang w:val="fr-FR"/>
        </w:rPr>
        <w:t xml:space="preserve">455 W au total. Dans cet exemple, la longueur maximale du compartiment </w:t>
      </w:r>
      <w:r>
        <w:rPr>
          <w:lang w:val="fr-FR"/>
        </w:rPr>
        <w:t>secondaire indiquée dans</w:t>
      </w:r>
      <w:r w:rsidRPr="00BE64F9">
        <w:rPr>
          <w:lang w:val="fr-FR"/>
        </w:rPr>
        <w:t xml:space="preserve"> la déclaration de conformité initiale est de 6</w:t>
      </w:r>
      <w:r w:rsidR="00400AF6">
        <w:rPr>
          <w:lang w:val="fr-FR"/>
        </w:rPr>
        <w:t> </w:t>
      </w:r>
      <w:r w:rsidRPr="00BE64F9">
        <w:rPr>
          <w:lang w:val="fr-FR"/>
        </w:rPr>
        <w:t xml:space="preserve">mètres. </w:t>
      </w:r>
      <w:r>
        <w:rPr>
          <w:lang w:val="fr-FR"/>
        </w:rPr>
        <w:t>Pour</w:t>
      </w:r>
      <w:r w:rsidRPr="00BE64F9">
        <w:rPr>
          <w:lang w:val="fr-FR"/>
        </w:rPr>
        <w:t xml:space="preserve"> une température ambiante de 30</w:t>
      </w:r>
      <w:r w:rsidR="00400AF6">
        <w:rPr>
          <w:lang w:val="fr-FR"/>
        </w:rPr>
        <w:t> </w:t>
      </w:r>
      <w:r w:rsidRPr="00BE64F9">
        <w:rPr>
          <w:lang w:val="fr-FR"/>
        </w:rPr>
        <w:t>°C, une température du compartiment principal de 0</w:t>
      </w:r>
      <w:r w:rsidR="00400AF6">
        <w:rPr>
          <w:lang w:val="fr-FR"/>
        </w:rPr>
        <w:t> </w:t>
      </w:r>
      <w:r w:rsidRPr="00BE64F9">
        <w:rPr>
          <w:lang w:val="fr-FR"/>
        </w:rPr>
        <w:t>°C et une température du compartiment secondaire de -20</w:t>
      </w:r>
      <w:r w:rsidR="00400AF6">
        <w:rPr>
          <w:lang w:val="fr-FR"/>
        </w:rPr>
        <w:t> </w:t>
      </w:r>
      <w:r w:rsidRPr="00BE64F9">
        <w:rPr>
          <w:lang w:val="fr-FR"/>
        </w:rPr>
        <w:t>°C, les besoins totaux de réfrigération sont de 2</w:t>
      </w:r>
      <w:r>
        <w:rPr>
          <w:lang w:val="fr-FR"/>
        </w:rPr>
        <w:t> </w:t>
      </w:r>
      <w:r w:rsidRPr="00BE64F9">
        <w:rPr>
          <w:lang w:val="fr-FR"/>
        </w:rPr>
        <w:t>210 W.</w:t>
      </w:r>
    </w:p>
    <w:p w14:paraId="28D0D64A" w14:textId="62BDABEC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5.</w:t>
      </w:r>
      <w:r w:rsidRPr="00BE64F9">
        <w:rPr>
          <w:lang w:val="fr-FR"/>
        </w:rPr>
        <w:tab/>
      </w:r>
      <w:r>
        <w:rPr>
          <w:lang w:val="fr-FR"/>
        </w:rPr>
        <w:t>On sait que</w:t>
      </w:r>
      <w:r w:rsidRPr="00BE64F9">
        <w:rPr>
          <w:lang w:val="fr-FR"/>
        </w:rPr>
        <w:t xml:space="preserve"> l</w:t>
      </w:r>
      <w:r>
        <w:rPr>
          <w:lang w:val="fr-FR"/>
        </w:rPr>
        <w:t>’</w:t>
      </w:r>
      <w:r w:rsidRPr="00BE64F9">
        <w:rPr>
          <w:lang w:val="fr-FR"/>
        </w:rPr>
        <w:t>évaporateur déporté fonctionne</w:t>
      </w:r>
      <w:r>
        <w:rPr>
          <w:lang w:val="fr-FR"/>
        </w:rPr>
        <w:t xml:space="preserve"> (étape 3 ci-dessous)</w:t>
      </w:r>
      <w:r w:rsidRPr="00BE64F9">
        <w:rPr>
          <w:lang w:val="fr-FR"/>
        </w:rPr>
        <w:t>, qu</w:t>
      </w:r>
      <w:r>
        <w:rPr>
          <w:lang w:val="fr-FR"/>
        </w:rPr>
        <w:t>’il peut</w:t>
      </w:r>
      <w:r w:rsidRPr="00BE64F9">
        <w:rPr>
          <w:lang w:val="fr-FR"/>
        </w:rPr>
        <w:t xml:space="preserve"> satisfaire à l</w:t>
      </w:r>
      <w:r>
        <w:rPr>
          <w:lang w:val="fr-FR"/>
        </w:rPr>
        <w:t>a prescription applicable au</w:t>
      </w:r>
      <w:r w:rsidRPr="00BE64F9">
        <w:rPr>
          <w:lang w:val="fr-FR"/>
        </w:rPr>
        <w:t xml:space="preserve"> compartiment multipliée par </w:t>
      </w:r>
      <w:r>
        <w:rPr>
          <w:lang w:val="fr-FR"/>
        </w:rPr>
        <w:t>un</w:t>
      </w:r>
      <w:r w:rsidRPr="00BE64F9">
        <w:rPr>
          <w:lang w:val="fr-FR"/>
        </w:rPr>
        <w:t xml:space="preserve"> coefficient de sécurité</w:t>
      </w:r>
      <w:r>
        <w:rPr>
          <w:lang w:val="fr-FR"/>
        </w:rPr>
        <w:t xml:space="preserve"> de</w:t>
      </w:r>
      <w:r w:rsidRPr="00BE64F9">
        <w:rPr>
          <w:lang w:val="fr-FR"/>
        </w:rPr>
        <w:t xml:space="preserve"> 1,75 </w:t>
      </w:r>
      <w:r>
        <w:rPr>
          <w:lang w:val="fr-FR"/>
        </w:rPr>
        <w:t xml:space="preserve">(déclaration de conformité) </w:t>
      </w:r>
      <w:r w:rsidRPr="00BE64F9">
        <w:rPr>
          <w:lang w:val="fr-FR"/>
        </w:rPr>
        <w:t>et que le système est capable d</w:t>
      </w:r>
      <w:r>
        <w:rPr>
          <w:lang w:val="fr-FR"/>
        </w:rPr>
        <w:t>’</w:t>
      </w:r>
      <w:r w:rsidRPr="00BE64F9">
        <w:rPr>
          <w:lang w:val="fr-FR"/>
        </w:rPr>
        <w:t>extraire une plus grande quantité de chaleur (2</w:t>
      </w:r>
      <w:r w:rsidR="00400AF6">
        <w:rPr>
          <w:lang w:val="fr-FR"/>
        </w:rPr>
        <w:t> </w:t>
      </w:r>
      <w:r w:rsidRPr="00BE64F9">
        <w:rPr>
          <w:lang w:val="fr-FR"/>
        </w:rPr>
        <w:t>455 &gt; 2</w:t>
      </w:r>
      <w:r w:rsidR="00400AF6">
        <w:rPr>
          <w:lang w:val="fr-FR"/>
        </w:rPr>
        <w:t> </w:t>
      </w:r>
      <w:r w:rsidRPr="00BE64F9">
        <w:rPr>
          <w:lang w:val="fr-FR"/>
        </w:rPr>
        <w:t>210</w:t>
      </w:r>
      <w:r>
        <w:rPr>
          <w:lang w:val="fr-FR"/>
        </w:rPr>
        <w:t>, étapes 4 et 5 ci-dessous</w:t>
      </w:r>
      <w:r w:rsidRPr="00BE64F9">
        <w:rPr>
          <w:lang w:val="fr-FR"/>
        </w:rPr>
        <w:t>). Il est donc établi au-delà de tout doute raisonnable que le système est toujours conforme aux prescriptions, avec une certitude au moins égale à celle qui a justifié la délivrance du certificat initial.</w:t>
      </w:r>
    </w:p>
    <w:p w14:paraId="6EB98FEC" w14:textId="77777777" w:rsidR="003421B1" w:rsidRPr="00BE64F9" w:rsidRDefault="003421B1" w:rsidP="003421B1">
      <w:pPr>
        <w:pStyle w:val="HCh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</w:r>
      <w:r>
        <w:rPr>
          <w:bCs/>
          <w:lang w:val="fr-FR"/>
        </w:rPr>
        <w:t>É</w:t>
      </w:r>
      <w:r w:rsidRPr="00BE64F9">
        <w:rPr>
          <w:bCs/>
          <w:lang w:val="fr-FR"/>
        </w:rPr>
        <w:t>tape</w:t>
      </w:r>
      <w:r>
        <w:rPr>
          <w:bCs/>
          <w:lang w:val="fr-FR"/>
        </w:rPr>
        <w:t xml:space="preserve"> 1</w:t>
      </w:r>
    </w:p>
    <w:p w14:paraId="5FD35608" w14:textId="4432F565" w:rsidR="003421B1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6.</w:t>
      </w:r>
      <w:r w:rsidRPr="00BE64F9">
        <w:rPr>
          <w:lang w:val="fr-FR"/>
        </w:rPr>
        <w:tab/>
        <w:t xml:space="preserve">Inspecter visuellement le véhicule avant </w:t>
      </w:r>
      <w:r>
        <w:rPr>
          <w:lang w:val="fr-FR"/>
        </w:rPr>
        <w:t>les instruments de mesure ;</w:t>
      </w:r>
      <w:r w:rsidRPr="00BE64F9">
        <w:rPr>
          <w:lang w:val="fr-FR"/>
        </w:rPr>
        <w:t xml:space="preserve"> si </w:t>
      </w:r>
      <w:r>
        <w:rPr>
          <w:lang w:val="fr-FR"/>
        </w:rPr>
        <w:t xml:space="preserve">le résultat </w:t>
      </w:r>
      <w:r w:rsidRPr="00BE64F9">
        <w:rPr>
          <w:lang w:val="fr-FR"/>
        </w:rPr>
        <w:t>est acceptable, continuer.</w:t>
      </w:r>
    </w:p>
    <w:p w14:paraId="49985024" w14:textId="77777777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7.</w:t>
      </w:r>
      <w:r w:rsidRPr="00BE64F9">
        <w:rPr>
          <w:lang w:val="fr-FR"/>
        </w:rPr>
        <w:tab/>
        <w:t>Cette étape permet de vérifier que l</w:t>
      </w:r>
      <w:r>
        <w:rPr>
          <w:lang w:val="fr-FR"/>
        </w:rPr>
        <w:t>’</w:t>
      </w:r>
      <w:r w:rsidRPr="00BE64F9">
        <w:rPr>
          <w:lang w:val="fr-FR"/>
        </w:rPr>
        <w:t xml:space="preserve">engin est en bon état, comme </w:t>
      </w:r>
      <w:r>
        <w:rPr>
          <w:lang w:val="fr-FR"/>
        </w:rPr>
        <w:t>on le fait déjà dans</w:t>
      </w:r>
      <w:r w:rsidRPr="00BE64F9">
        <w:rPr>
          <w:lang w:val="fr-FR"/>
        </w:rPr>
        <w:t xml:space="preserve"> le ca</w:t>
      </w:r>
      <w:r>
        <w:rPr>
          <w:lang w:val="fr-FR"/>
        </w:rPr>
        <w:t xml:space="preserve">dre </w:t>
      </w:r>
      <w:r w:rsidRPr="00BE64F9">
        <w:rPr>
          <w:lang w:val="fr-FR"/>
        </w:rPr>
        <w:t>de</w:t>
      </w:r>
      <w:r>
        <w:rPr>
          <w:lang w:val="fr-FR"/>
        </w:rPr>
        <w:t xml:space="preserve"> l’</w:t>
      </w:r>
      <w:r w:rsidRPr="00BE64F9">
        <w:rPr>
          <w:lang w:val="fr-FR"/>
        </w:rPr>
        <w:t xml:space="preserve">inspection des engins </w:t>
      </w:r>
      <w:r>
        <w:rPr>
          <w:lang w:val="fr-FR"/>
        </w:rPr>
        <w:t xml:space="preserve">à </w:t>
      </w:r>
      <w:r w:rsidRPr="00BE64F9">
        <w:rPr>
          <w:lang w:val="fr-FR"/>
        </w:rPr>
        <w:t xml:space="preserve">température </w:t>
      </w:r>
      <w:r>
        <w:rPr>
          <w:lang w:val="fr-FR"/>
        </w:rPr>
        <w:t xml:space="preserve">unique </w:t>
      </w:r>
      <w:r w:rsidRPr="00BE64F9">
        <w:rPr>
          <w:lang w:val="fr-FR"/>
        </w:rPr>
        <w:t>en service.</w:t>
      </w:r>
    </w:p>
    <w:p w14:paraId="734749BF" w14:textId="77777777" w:rsidR="003421B1" w:rsidRPr="00BE64F9" w:rsidRDefault="003421B1" w:rsidP="003421B1">
      <w:pPr>
        <w:pStyle w:val="HCh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</w:r>
      <w:r>
        <w:rPr>
          <w:bCs/>
          <w:lang w:val="fr-FR"/>
        </w:rPr>
        <w:t>É</w:t>
      </w:r>
      <w:r w:rsidRPr="00BE64F9">
        <w:rPr>
          <w:bCs/>
          <w:lang w:val="fr-FR"/>
        </w:rPr>
        <w:t>tape</w:t>
      </w:r>
      <w:r>
        <w:rPr>
          <w:bCs/>
          <w:lang w:val="fr-FR"/>
        </w:rPr>
        <w:t xml:space="preserve"> 2</w:t>
      </w:r>
    </w:p>
    <w:p w14:paraId="10E507F8" w14:textId="77777777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8.</w:t>
      </w:r>
      <w:r w:rsidRPr="00BE64F9">
        <w:rPr>
          <w:lang w:val="fr-FR"/>
        </w:rPr>
        <w:tab/>
        <w:t>Équiper l</w:t>
      </w:r>
      <w:r>
        <w:rPr>
          <w:lang w:val="fr-FR"/>
        </w:rPr>
        <w:t>’</w:t>
      </w:r>
      <w:r w:rsidRPr="00BE64F9">
        <w:rPr>
          <w:lang w:val="fr-FR"/>
        </w:rPr>
        <w:t>engin de capteurs externes appropriés. Chaque compartiment doit être équipé d</w:t>
      </w:r>
      <w:r>
        <w:rPr>
          <w:lang w:val="fr-FR"/>
        </w:rPr>
        <w:t>’</w:t>
      </w:r>
      <w:r w:rsidRPr="00BE64F9">
        <w:rPr>
          <w:lang w:val="fr-FR"/>
        </w:rPr>
        <w:t>au moins un capteur de température à la sortie de l</w:t>
      </w:r>
      <w:r>
        <w:rPr>
          <w:lang w:val="fr-FR"/>
        </w:rPr>
        <w:t>’</w:t>
      </w:r>
      <w:r w:rsidRPr="00BE64F9">
        <w:rPr>
          <w:lang w:val="fr-FR"/>
        </w:rPr>
        <w:t xml:space="preserve">évaporateur (air </w:t>
      </w:r>
      <w:r>
        <w:rPr>
          <w:lang w:val="fr-FR"/>
        </w:rPr>
        <w:t>entrant/fourni</w:t>
      </w:r>
      <w:r w:rsidRPr="00BE64F9">
        <w:rPr>
          <w:lang w:val="fr-FR"/>
        </w:rPr>
        <w:t>) et d</w:t>
      </w:r>
      <w:r>
        <w:rPr>
          <w:lang w:val="fr-FR"/>
        </w:rPr>
        <w:t>’</w:t>
      </w:r>
      <w:r w:rsidRPr="00BE64F9">
        <w:rPr>
          <w:lang w:val="fr-FR"/>
        </w:rPr>
        <w:t xml:space="preserve">au moins deux capteurs permettant de mesurer la température du compartiment. </w:t>
      </w:r>
      <w:r>
        <w:rPr>
          <w:lang w:val="fr-FR"/>
        </w:rPr>
        <w:t>P</w:t>
      </w:r>
      <w:r w:rsidRPr="00BE64F9">
        <w:rPr>
          <w:lang w:val="fr-FR"/>
        </w:rPr>
        <w:t>lace</w:t>
      </w:r>
      <w:r>
        <w:rPr>
          <w:lang w:val="fr-FR"/>
        </w:rPr>
        <w:t>r</w:t>
      </w:r>
      <w:r w:rsidRPr="00BE64F9">
        <w:rPr>
          <w:lang w:val="fr-FR"/>
        </w:rPr>
        <w:t xml:space="preserve"> les cloisons de manière que chaque évaporateur </w:t>
      </w:r>
      <w:r>
        <w:rPr>
          <w:lang w:val="fr-FR"/>
        </w:rPr>
        <w:t xml:space="preserve">se situe dans un </w:t>
      </w:r>
      <w:r w:rsidRPr="00BE64F9">
        <w:rPr>
          <w:lang w:val="fr-FR"/>
        </w:rPr>
        <w:t xml:space="preserve">compartiment </w:t>
      </w:r>
      <w:r>
        <w:rPr>
          <w:lang w:val="fr-FR"/>
        </w:rPr>
        <w:t xml:space="preserve">différent </w:t>
      </w:r>
      <w:r w:rsidRPr="00BE64F9">
        <w:rPr>
          <w:lang w:val="fr-FR"/>
        </w:rPr>
        <w:t>et que le scénario le plus défavorable de la déclaration de conformité initiale se produise, ce qui nécessite la plus grande puissance frigorifique.</w:t>
      </w:r>
    </w:p>
    <w:p w14:paraId="3D6F7801" w14:textId="77777777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9.</w:t>
      </w:r>
      <w:r w:rsidRPr="00BE64F9">
        <w:rPr>
          <w:lang w:val="fr-FR"/>
        </w:rPr>
        <w:tab/>
        <w:t>Cette étape permet de s</w:t>
      </w:r>
      <w:r>
        <w:rPr>
          <w:lang w:val="fr-FR"/>
        </w:rPr>
        <w:t>’</w:t>
      </w:r>
      <w:r w:rsidRPr="00BE64F9">
        <w:rPr>
          <w:lang w:val="fr-FR"/>
        </w:rPr>
        <w:t>assurer que l</w:t>
      </w:r>
      <w:r>
        <w:rPr>
          <w:lang w:val="fr-FR"/>
        </w:rPr>
        <w:t>’</w:t>
      </w:r>
      <w:r w:rsidRPr="00BE64F9">
        <w:rPr>
          <w:lang w:val="fr-FR"/>
        </w:rPr>
        <w:t xml:space="preserve">engin et </w:t>
      </w:r>
      <w:r>
        <w:rPr>
          <w:lang w:val="fr-FR"/>
        </w:rPr>
        <w:t>les instruments de mesure</w:t>
      </w:r>
      <w:r w:rsidRPr="00BE64F9">
        <w:rPr>
          <w:lang w:val="fr-FR"/>
        </w:rPr>
        <w:t xml:space="preserve"> sont correctement réglés pour les étapes suivantes et qu</w:t>
      </w:r>
      <w:r>
        <w:rPr>
          <w:lang w:val="fr-FR"/>
        </w:rPr>
        <w:t>’</w:t>
      </w:r>
      <w:r w:rsidRPr="00BE64F9">
        <w:rPr>
          <w:lang w:val="fr-FR"/>
        </w:rPr>
        <w:t>aucune intervention manuelle n</w:t>
      </w:r>
      <w:r>
        <w:rPr>
          <w:lang w:val="fr-FR"/>
        </w:rPr>
        <w:t>’</w:t>
      </w:r>
      <w:r w:rsidRPr="00BE64F9">
        <w:rPr>
          <w:lang w:val="fr-FR"/>
        </w:rPr>
        <w:t>est nécessaire à l</w:t>
      </w:r>
      <w:r>
        <w:rPr>
          <w:lang w:val="fr-FR"/>
        </w:rPr>
        <w:t>’</w:t>
      </w:r>
      <w:r w:rsidRPr="00BE64F9">
        <w:rPr>
          <w:lang w:val="fr-FR"/>
        </w:rPr>
        <w:t>intérieur de l</w:t>
      </w:r>
      <w:r>
        <w:rPr>
          <w:lang w:val="fr-FR"/>
        </w:rPr>
        <w:t>’</w:t>
      </w:r>
      <w:r w:rsidRPr="00BE64F9">
        <w:rPr>
          <w:lang w:val="fr-FR"/>
        </w:rPr>
        <w:t>engin.</w:t>
      </w:r>
    </w:p>
    <w:p w14:paraId="785BA011" w14:textId="77777777" w:rsidR="003421B1" w:rsidRPr="00BE64F9" w:rsidRDefault="003421B1" w:rsidP="003421B1">
      <w:pPr>
        <w:pStyle w:val="HCh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</w:r>
      <w:r>
        <w:rPr>
          <w:bCs/>
          <w:lang w:val="fr-FR"/>
        </w:rPr>
        <w:t>É</w:t>
      </w:r>
      <w:r w:rsidRPr="00BE64F9">
        <w:rPr>
          <w:bCs/>
          <w:lang w:val="fr-FR"/>
        </w:rPr>
        <w:t>tape</w:t>
      </w:r>
      <w:r>
        <w:rPr>
          <w:bCs/>
          <w:lang w:val="fr-FR"/>
        </w:rPr>
        <w:t xml:space="preserve"> 3</w:t>
      </w:r>
    </w:p>
    <w:p w14:paraId="6E18A6FB" w14:textId="2DBC9782" w:rsidR="003421B1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10.</w:t>
      </w:r>
      <w:r w:rsidRPr="00BE64F9">
        <w:rPr>
          <w:lang w:val="fr-FR"/>
        </w:rPr>
        <w:tab/>
        <w:t>Réaliser l</w:t>
      </w:r>
      <w:r>
        <w:rPr>
          <w:lang w:val="fr-FR"/>
        </w:rPr>
        <w:t>’</w:t>
      </w:r>
      <w:r w:rsidRPr="00BE64F9">
        <w:rPr>
          <w:lang w:val="fr-FR"/>
        </w:rPr>
        <w:t>essai prescrit à l</w:t>
      </w:r>
      <w:r>
        <w:rPr>
          <w:lang w:val="fr-FR"/>
        </w:rPr>
        <w:t>’</w:t>
      </w:r>
      <w:r w:rsidRPr="00BE64F9">
        <w:rPr>
          <w:lang w:val="fr-FR"/>
        </w:rPr>
        <w:t>alinéa i</w:t>
      </w:r>
      <w:r w:rsidR="00400AF6">
        <w:rPr>
          <w:lang w:val="fr-FR"/>
        </w:rPr>
        <w:t>)</w:t>
      </w:r>
      <w:r w:rsidRPr="00BE64F9">
        <w:rPr>
          <w:lang w:val="fr-FR"/>
        </w:rPr>
        <w:t xml:space="preserve"> d</w:t>
      </w:r>
      <w:r>
        <w:rPr>
          <w:lang w:val="fr-FR"/>
        </w:rPr>
        <w:t xml:space="preserve">u paragraphe </w:t>
      </w:r>
      <w:r w:rsidRPr="00BE64F9">
        <w:rPr>
          <w:lang w:val="fr-FR"/>
        </w:rPr>
        <w:t>6.2.1 de l</w:t>
      </w:r>
      <w:r>
        <w:rPr>
          <w:lang w:val="fr-FR"/>
        </w:rPr>
        <w:t>’</w:t>
      </w:r>
      <w:r w:rsidRPr="00BE64F9">
        <w:rPr>
          <w:lang w:val="fr-FR"/>
        </w:rPr>
        <w:t>appendice 2 de l</w:t>
      </w:r>
      <w:r>
        <w:rPr>
          <w:lang w:val="fr-FR"/>
        </w:rPr>
        <w:t>’</w:t>
      </w:r>
      <w:r w:rsidRPr="00BE64F9">
        <w:rPr>
          <w:lang w:val="fr-FR"/>
        </w:rPr>
        <w:t>annexe</w:t>
      </w:r>
      <w:r w:rsidR="00400AF6">
        <w:rPr>
          <w:lang w:val="fr-FR"/>
        </w:rPr>
        <w:t> </w:t>
      </w:r>
      <w:r w:rsidRPr="00BE64F9">
        <w:rPr>
          <w:lang w:val="fr-FR"/>
        </w:rPr>
        <w:t>1 simultanément pour tous les compartiments.</w:t>
      </w:r>
    </w:p>
    <w:p w14:paraId="42CAE04C" w14:textId="77777777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11.</w:t>
      </w:r>
      <w:r w:rsidRPr="00BE64F9">
        <w:rPr>
          <w:lang w:val="fr-FR"/>
        </w:rPr>
        <w:tab/>
        <w:t>Les mesures sont réalisées jusqu</w:t>
      </w:r>
      <w:r>
        <w:rPr>
          <w:lang w:val="fr-FR"/>
        </w:rPr>
        <w:t>’</w:t>
      </w:r>
      <w:r w:rsidRPr="00BE64F9">
        <w:rPr>
          <w:lang w:val="fr-FR"/>
        </w:rPr>
        <w:t>à ce que la température la plus chaude mesurée par l</w:t>
      </w:r>
      <w:r>
        <w:rPr>
          <w:lang w:val="fr-FR"/>
        </w:rPr>
        <w:t>’</w:t>
      </w:r>
      <w:r w:rsidRPr="00BE64F9">
        <w:rPr>
          <w:lang w:val="fr-FR"/>
        </w:rPr>
        <w:t>un des deux capteurs situés à l</w:t>
      </w:r>
      <w:r>
        <w:rPr>
          <w:lang w:val="fr-FR"/>
        </w:rPr>
        <w:t>’</w:t>
      </w:r>
      <w:r w:rsidRPr="00BE64F9">
        <w:rPr>
          <w:lang w:val="fr-FR"/>
        </w:rPr>
        <w:t>intérieur de chacun des compartiments soit égale ou inférieure à la température de la classe.</w:t>
      </w:r>
    </w:p>
    <w:p w14:paraId="7C0B99D9" w14:textId="77777777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12.</w:t>
      </w:r>
      <w:r w:rsidRPr="00BE64F9">
        <w:rPr>
          <w:lang w:val="fr-FR"/>
        </w:rPr>
        <w:tab/>
        <w:t xml:space="preserve">Vérifier les relevés de température. Cette étape montre que chaque compartiment peut être porté à la température de la classe. Si le dispositif réfrigérant fonctionne correctement, la température </w:t>
      </w:r>
      <w:r>
        <w:rPr>
          <w:lang w:val="fr-FR"/>
        </w:rPr>
        <w:t xml:space="preserve">mesurée par le capteur situé </w:t>
      </w:r>
      <w:r w:rsidRPr="00BE64F9">
        <w:rPr>
          <w:lang w:val="fr-FR"/>
        </w:rPr>
        <w:t>à la sortie de l</w:t>
      </w:r>
      <w:r>
        <w:rPr>
          <w:lang w:val="fr-FR"/>
        </w:rPr>
        <w:t>’</w:t>
      </w:r>
      <w:r w:rsidRPr="00BE64F9">
        <w:rPr>
          <w:lang w:val="fr-FR"/>
        </w:rPr>
        <w:t>évaporateur do</w:t>
      </w:r>
      <w:r>
        <w:rPr>
          <w:lang w:val="fr-FR"/>
        </w:rPr>
        <w:t>it être sensiblement inférieure à celles mesurées par</w:t>
      </w:r>
      <w:r w:rsidRPr="00BE64F9">
        <w:rPr>
          <w:lang w:val="fr-FR"/>
        </w:rPr>
        <w:t xml:space="preserve"> les deux capteurs du compartiment</w:t>
      </w:r>
      <w:r>
        <w:rPr>
          <w:lang w:val="fr-FR"/>
        </w:rPr>
        <w:t>, ce qui</w:t>
      </w:r>
      <w:r w:rsidRPr="00BE64F9">
        <w:rPr>
          <w:lang w:val="fr-FR"/>
        </w:rPr>
        <w:t xml:space="preserve"> prouve que chaque évaporateur fonctionne correctement.</w:t>
      </w:r>
    </w:p>
    <w:p w14:paraId="641A1CA8" w14:textId="77777777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13.</w:t>
      </w:r>
      <w:r w:rsidRPr="00BE64F9">
        <w:rPr>
          <w:lang w:val="fr-FR"/>
        </w:rPr>
        <w:tab/>
        <w:t>Les diagrammes ci-dessous montrent, à titre d</w:t>
      </w:r>
      <w:r>
        <w:rPr>
          <w:lang w:val="fr-FR"/>
        </w:rPr>
        <w:t>’</w:t>
      </w:r>
      <w:r w:rsidRPr="00BE64F9">
        <w:rPr>
          <w:lang w:val="fr-FR"/>
        </w:rPr>
        <w:t>exemple, la descente en température de l</w:t>
      </w:r>
      <w:r>
        <w:rPr>
          <w:lang w:val="fr-FR"/>
        </w:rPr>
        <w:t>’</w:t>
      </w:r>
      <w:r w:rsidRPr="00BE64F9">
        <w:rPr>
          <w:lang w:val="fr-FR"/>
        </w:rPr>
        <w:t>évaporateur principal et de l</w:t>
      </w:r>
      <w:r>
        <w:rPr>
          <w:lang w:val="fr-FR"/>
        </w:rPr>
        <w:t>’</w:t>
      </w:r>
      <w:r w:rsidRPr="00BE64F9">
        <w:rPr>
          <w:lang w:val="fr-FR"/>
        </w:rPr>
        <w:t>évaporateur déporté. La différence entre la température de l</w:t>
      </w:r>
      <w:r>
        <w:rPr>
          <w:lang w:val="fr-FR"/>
        </w:rPr>
        <w:t>’</w:t>
      </w:r>
      <w:r w:rsidRPr="00BE64F9">
        <w:rPr>
          <w:lang w:val="fr-FR"/>
        </w:rPr>
        <w:t xml:space="preserve">air entrant et la température </w:t>
      </w:r>
      <w:r>
        <w:rPr>
          <w:lang w:val="fr-FR"/>
        </w:rPr>
        <w:t>intérieure</w:t>
      </w:r>
      <w:r w:rsidRPr="00BE64F9">
        <w:rPr>
          <w:lang w:val="fr-FR"/>
        </w:rPr>
        <w:t xml:space="preserve"> est nette pour un système fonctionnant correctement. Les diagrammes ne sont que des exemples et ne correspondent pas à un fonctionnement en parallèle. Les deux systèmes</w:t>
      </w:r>
      <w:r>
        <w:rPr>
          <w:lang w:val="fr-FR"/>
        </w:rPr>
        <w:t xml:space="preserve"> considérés</w:t>
      </w:r>
      <w:r w:rsidRPr="00BE64F9">
        <w:rPr>
          <w:lang w:val="fr-FR"/>
        </w:rPr>
        <w:t xml:space="preserve"> </w:t>
      </w:r>
      <w:r>
        <w:rPr>
          <w:lang w:val="fr-FR"/>
        </w:rPr>
        <w:t>étaient reliés à</w:t>
      </w:r>
      <w:r w:rsidRPr="00BE64F9">
        <w:rPr>
          <w:lang w:val="fr-FR"/>
        </w:rPr>
        <w:t xml:space="preserve"> un </w:t>
      </w:r>
      <w:r>
        <w:rPr>
          <w:lang w:val="fr-FR"/>
        </w:rPr>
        <w:t>dispositif</w:t>
      </w:r>
      <w:r w:rsidRPr="00BE64F9">
        <w:rPr>
          <w:lang w:val="fr-FR"/>
        </w:rPr>
        <w:t xml:space="preserve"> électrique d</w:t>
      </w:r>
      <w:r>
        <w:rPr>
          <w:lang w:val="fr-FR"/>
        </w:rPr>
        <w:t>’</w:t>
      </w:r>
      <w:r w:rsidRPr="00BE64F9">
        <w:rPr>
          <w:lang w:val="fr-FR"/>
        </w:rPr>
        <w:t>appoint pendant la période indiquée. La différence entre la température de l</w:t>
      </w:r>
      <w:r>
        <w:rPr>
          <w:lang w:val="fr-FR"/>
        </w:rPr>
        <w:t>’</w:t>
      </w:r>
      <w:r w:rsidRPr="00BE64F9">
        <w:rPr>
          <w:lang w:val="fr-FR"/>
        </w:rPr>
        <w:t xml:space="preserve">air entrant et la </w:t>
      </w:r>
      <w:r w:rsidRPr="00BE64F9">
        <w:rPr>
          <w:lang w:val="fr-FR"/>
        </w:rPr>
        <w:lastRenderedPageBreak/>
        <w:t xml:space="preserve">température intérieure serait plus marquée en cas de </w:t>
      </w:r>
      <w:r>
        <w:rPr>
          <w:lang w:val="fr-FR"/>
        </w:rPr>
        <w:t>raccordement à un moteur</w:t>
      </w:r>
      <w:r w:rsidRPr="00BE64F9">
        <w:rPr>
          <w:lang w:val="fr-FR"/>
        </w:rPr>
        <w:t xml:space="preserve"> diesel</w:t>
      </w:r>
      <w:r>
        <w:rPr>
          <w:lang w:val="fr-FR"/>
        </w:rPr>
        <w:t xml:space="preserve">, à l’origine d’une </w:t>
      </w:r>
      <w:r w:rsidRPr="00BE64F9">
        <w:rPr>
          <w:lang w:val="fr-FR"/>
        </w:rPr>
        <w:t>puissance frigorifique supplémentaire.</w:t>
      </w:r>
    </w:p>
    <w:p w14:paraId="58CA3890" w14:textId="77777777" w:rsidR="003421B1" w:rsidRDefault="003421B1" w:rsidP="00400AF6">
      <w:pPr>
        <w:pStyle w:val="Titre1"/>
        <w:rPr>
          <w:lang w:val="fr-FR"/>
        </w:rPr>
      </w:pPr>
      <w:r w:rsidRPr="00BE64F9">
        <w:rPr>
          <w:lang w:val="fr-FR"/>
        </w:rPr>
        <w:t>Figure 1</w:t>
      </w:r>
    </w:p>
    <w:p w14:paraId="60E8DCDA" w14:textId="77777777" w:rsidR="003421B1" w:rsidRPr="00400AF6" w:rsidRDefault="003421B1" w:rsidP="00400AF6">
      <w:pPr>
        <w:pStyle w:val="SingleTxtG"/>
        <w:keepNext/>
        <w:jc w:val="left"/>
        <w:rPr>
          <w:b/>
          <w:bCs/>
          <w:lang w:val="fr-FR"/>
        </w:rPr>
      </w:pPr>
      <w:r w:rsidRPr="00400AF6">
        <w:rPr>
          <w:b/>
          <w:bCs/>
          <w:lang w:val="fr-FR"/>
        </w:rPr>
        <w:t>Descente en température et contrôle de l’évaporateur principal</w:t>
      </w:r>
    </w:p>
    <w:p w14:paraId="3DA83C60" w14:textId="0659C2BD" w:rsidR="00856D9F" w:rsidRDefault="006856A6" w:rsidP="00400AF6">
      <w:pPr>
        <w:pStyle w:val="SingleTxtG"/>
        <w:rPr>
          <w:lang w:val="fr-FR"/>
        </w:rPr>
      </w:pPr>
      <w:r>
        <w:rPr>
          <w:noProof/>
        </w:rPr>
        <w:drawing>
          <wp:inline distT="0" distB="0" distL="0" distR="0" wp14:anchorId="3C9071C0" wp14:editId="78FFC53B">
            <wp:extent cx="4680000" cy="3062540"/>
            <wp:effectExtent l="0" t="0" r="6350" b="5080"/>
            <wp:docPr id="1047703075" name="Image 1" descr="Une image contenant texte, ligne, Tracé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03075" name="Image 1" descr="Une image contenant texte, ligne, Tracé, diagramm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6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3415D" w14:textId="77777777" w:rsidR="003421B1" w:rsidRPr="00BE64F9" w:rsidRDefault="003421B1" w:rsidP="00400AF6">
      <w:pPr>
        <w:pStyle w:val="Titre1"/>
        <w:rPr>
          <w:iCs/>
          <w:lang w:val="fr-FR"/>
        </w:rPr>
      </w:pPr>
      <w:r w:rsidRPr="00BE64F9">
        <w:rPr>
          <w:lang w:val="fr-FR"/>
        </w:rPr>
        <w:t>Figure 2</w:t>
      </w:r>
    </w:p>
    <w:p w14:paraId="22FF7FCD" w14:textId="5E0BE049" w:rsidR="003421B1" w:rsidRPr="00400AF6" w:rsidRDefault="003421B1" w:rsidP="00400AF6">
      <w:pPr>
        <w:pStyle w:val="SingleTxtG"/>
        <w:keepNext/>
        <w:jc w:val="left"/>
        <w:rPr>
          <w:b/>
          <w:bCs/>
          <w:lang w:val="fr-FR"/>
        </w:rPr>
      </w:pPr>
      <w:r w:rsidRPr="00400AF6">
        <w:rPr>
          <w:b/>
          <w:bCs/>
          <w:lang w:val="fr-FR"/>
        </w:rPr>
        <w:t>Descente en température et changement de fonctionnement de l’évaporateur déporté</w:t>
      </w:r>
    </w:p>
    <w:p w14:paraId="65B218C8" w14:textId="67049924" w:rsidR="006856A6" w:rsidRDefault="00FC779A" w:rsidP="003421B1">
      <w:pPr>
        <w:pStyle w:val="SingleTxtG"/>
        <w:rPr>
          <w:lang w:val="fr-FR"/>
        </w:rPr>
      </w:pPr>
      <w:r>
        <w:rPr>
          <w:noProof/>
        </w:rPr>
        <w:drawing>
          <wp:inline distT="0" distB="0" distL="0" distR="0" wp14:anchorId="140AF36F" wp14:editId="11899ACE">
            <wp:extent cx="4680000" cy="3036804"/>
            <wp:effectExtent l="0" t="0" r="6350" b="0"/>
            <wp:docPr id="1693720619" name="Image 1" descr="Une image contenant texte, ligne, capture d’écran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20619" name="Image 1" descr="Une image contenant texte, ligne, capture d’écran, Tracé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3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080DA" w14:textId="77777777" w:rsidR="003421B1" w:rsidRPr="00BE64F9" w:rsidRDefault="003421B1" w:rsidP="003421B1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É</w:t>
      </w:r>
      <w:r w:rsidRPr="00BE64F9">
        <w:rPr>
          <w:lang w:val="fr-FR"/>
        </w:rPr>
        <w:t>tape</w:t>
      </w:r>
      <w:r>
        <w:rPr>
          <w:lang w:val="fr-FR"/>
        </w:rPr>
        <w:t xml:space="preserve"> 4</w:t>
      </w:r>
    </w:p>
    <w:p w14:paraId="4C3C234E" w14:textId="77777777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14.</w:t>
      </w:r>
      <w:r w:rsidRPr="00BE64F9">
        <w:rPr>
          <w:lang w:val="fr-FR"/>
        </w:rPr>
        <w:tab/>
        <w:t>Modifier tous les points de consigne des compartiments de manière qu</w:t>
      </w:r>
      <w:r>
        <w:rPr>
          <w:lang w:val="fr-FR"/>
        </w:rPr>
        <w:t>’</w:t>
      </w:r>
      <w:r w:rsidRPr="00BE64F9">
        <w:rPr>
          <w:lang w:val="fr-FR"/>
        </w:rPr>
        <w:t xml:space="preserve">ils correspondent à ceux indiqués dans le scénario le plus défavorable. Laisser le système fonctionner </w:t>
      </w:r>
      <w:r>
        <w:rPr>
          <w:lang w:val="fr-FR"/>
        </w:rPr>
        <w:t>en régime thermostaté dans</w:t>
      </w:r>
      <w:r w:rsidRPr="00BE64F9">
        <w:rPr>
          <w:lang w:val="fr-FR"/>
        </w:rPr>
        <w:t xml:space="preserve"> chaque compartiment et se stabiliser à la satisfaction de l</w:t>
      </w:r>
      <w:r>
        <w:rPr>
          <w:lang w:val="fr-FR"/>
        </w:rPr>
        <w:t>’</w:t>
      </w:r>
      <w:r w:rsidRPr="00BE64F9">
        <w:rPr>
          <w:lang w:val="fr-FR"/>
        </w:rPr>
        <w:t>expert.</w:t>
      </w:r>
    </w:p>
    <w:p w14:paraId="3A2347C5" w14:textId="77777777" w:rsidR="003421B1" w:rsidRPr="00BE64F9" w:rsidRDefault="003421B1" w:rsidP="00400AF6">
      <w:pPr>
        <w:pStyle w:val="SingleTxtG"/>
        <w:keepLines/>
        <w:rPr>
          <w:lang w:val="fr-FR"/>
        </w:rPr>
      </w:pPr>
      <w:r w:rsidRPr="00BE64F9">
        <w:rPr>
          <w:lang w:val="fr-FR"/>
        </w:rPr>
        <w:lastRenderedPageBreak/>
        <w:t>15.</w:t>
      </w:r>
      <w:r w:rsidRPr="00BE64F9">
        <w:rPr>
          <w:lang w:val="fr-FR"/>
        </w:rPr>
        <w:tab/>
        <w:t>Cette étape montre que le système est capable de fonctionner et de se maintenir aux conditions d</w:t>
      </w:r>
      <w:r>
        <w:rPr>
          <w:lang w:val="fr-FR"/>
        </w:rPr>
        <w:t>’</w:t>
      </w:r>
      <w:r w:rsidRPr="00BE64F9">
        <w:rPr>
          <w:lang w:val="fr-FR"/>
        </w:rPr>
        <w:t>essai décrites à la section 7 de l</w:t>
      </w:r>
      <w:r>
        <w:rPr>
          <w:lang w:val="fr-FR"/>
        </w:rPr>
        <w:t>’</w:t>
      </w:r>
      <w:r w:rsidRPr="00BE64F9">
        <w:rPr>
          <w:lang w:val="fr-FR"/>
        </w:rPr>
        <w:t>appendice 2 de l</w:t>
      </w:r>
      <w:r>
        <w:rPr>
          <w:lang w:val="fr-FR"/>
        </w:rPr>
        <w:t>’</w:t>
      </w:r>
      <w:r w:rsidRPr="00BE64F9">
        <w:rPr>
          <w:lang w:val="fr-FR"/>
        </w:rPr>
        <w:t>annexe 1</w:t>
      </w:r>
      <w:r>
        <w:rPr>
          <w:lang w:val="fr-FR"/>
        </w:rPr>
        <w:t xml:space="preserve"> pour les </w:t>
      </w:r>
      <w:r w:rsidRPr="00B8729C">
        <w:rPr>
          <w:lang w:val="fr-FR"/>
        </w:rPr>
        <w:t>engin</w:t>
      </w:r>
      <w:r>
        <w:rPr>
          <w:lang w:val="fr-FR"/>
        </w:rPr>
        <w:t>s</w:t>
      </w:r>
      <w:r w:rsidRPr="00B8729C">
        <w:rPr>
          <w:lang w:val="fr-FR"/>
        </w:rPr>
        <w:t xml:space="preserve"> à températures et </w:t>
      </w:r>
      <w:r>
        <w:rPr>
          <w:lang w:val="fr-FR"/>
        </w:rPr>
        <w:t xml:space="preserve">à </w:t>
      </w:r>
      <w:r w:rsidRPr="00B8729C">
        <w:rPr>
          <w:lang w:val="fr-FR"/>
        </w:rPr>
        <w:t>compartiments multiples</w:t>
      </w:r>
      <w:r w:rsidRPr="00BE64F9">
        <w:rPr>
          <w:lang w:val="fr-FR"/>
        </w:rPr>
        <w:t xml:space="preserve">, </w:t>
      </w:r>
      <w:r>
        <w:rPr>
          <w:lang w:val="fr-FR"/>
        </w:rPr>
        <w:t>dans lesquelles il a</w:t>
      </w:r>
      <w:r w:rsidRPr="00BE64F9">
        <w:rPr>
          <w:lang w:val="fr-FR"/>
        </w:rPr>
        <w:t xml:space="preserve"> initialement </w:t>
      </w:r>
      <w:r>
        <w:rPr>
          <w:lang w:val="fr-FR"/>
        </w:rPr>
        <w:t xml:space="preserve">été </w:t>
      </w:r>
      <w:r w:rsidRPr="00BE64F9">
        <w:rPr>
          <w:lang w:val="fr-FR"/>
        </w:rPr>
        <w:t>éprouvé</w:t>
      </w:r>
      <w:r>
        <w:rPr>
          <w:lang w:val="fr-FR"/>
        </w:rPr>
        <w:t xml:space="preserve"> à des fins d’évaluation de la conformité</w:t>
      </w:r>
      <w:r w:rsidRPr="00BE64F9">
        <w:rPr>
          <w:lang w:val="fr-FR"/>
        </w:rPr>
        <w:t>.</w:t>
      </w:r>
    </w:p>
    <w:p w14:paraId="768521A3" w14:textId="77777777" w:rsidR="003421B1" w:rsidRPr="00BE64F9" w:rsidRDefault="003421B1" w:rsidP="003421B1">
      <w:pPr>
        <w:pStyle w:val="HCh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</w:r>
      <w:r>
        <w:rPr>
          <w:lang w:val="fr-FR"/>
        </w:rPr>
        <w:t>É</w:t>
      </w:r>
      <w:r w:rsidRPr="00BE64F9">
        <w:rPr>
          <w:lang w:val="fr-FR"/>
        </w:rPr>
        <w:t>tape</w:t>
      </w:r>
      <w:r>
        <w:rPr>
          <w:lang w:val="fr-FR"/>
        </w:rPr>
        <w:t xml:space="preserve"> 5</w:t>
      </w:r>
    </w:p>
    <w:p w14:paraId="6C685895" w14:textId="77777777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16.</w:t>
      </w:r>
      <w:r w:rsidRPr="00BE64F9">
        <w:rPr>
          <w:lang w:val="fr-FR"/>
        </w:rPr>
        <w:tab/>
      </w:r>
      <w:r>
        <w:rPr>
          <w:lang w:val="fr-FR"/>
        </w:rPr>
        <w:t>Porter</w:t>
      </w:r>
      <w:r w:rsidRPr="00BE64F9">
        <w:rPr>
          <w:lang w:val="fr-FR"/>
        </w:rPr>
        <w:t xml:space="preserve"> le(s) point(s) de consigne de l</w:t>
      </w:r>
      <w:r>
        <w:rPr>
          <w:lang w:val="fr-FR"/>
        </w:rPr>
        <w:t>’</w:t>
      </w:r>
      <w:r w:rsidRPr="00BE64F9">
        <w:rPr>
          <w:lang w:val="fr-FR"/>
        </w:rPr>
        <w:t xml:space="preserve">(des) évaporateur(s) congélation au niveau le plus bas et confirmer la </w:t>
      </w:r>
      <w:r>
        <w:rPr>
          <w:lang w:val="fr-FR"/>
        </w:rPr>
        <w:t xml:space="preserve">baisse </w:t>
      </w:r>
      <w:r w:rsidRPr="00BE64F9">
        <w:rPr>
          <w:lang w:val="fr-FR"/>
        </w:rPr>
        <w:t>de température des compartiments.</w:t>
      </w:r>
    </w:p>
    <w:p w14:paraId="7A1B3B65" w14:textId="77777777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17.</w:t>
      </w:r>
      <w:r w:rsidRPr="00BE64F9">
        <w:rPr>
          <w:lang w:val="fr-FR"/>
        </w:rPr>
        <w:tab/>
        <w:t>Cette étape permet de s</w:t>
      </w:r>
      <w:r>
        <w:rPr>
          <w:lang w:val="fr-FR"/>
        </w:rPr>
        <w:t>’</w:t>
      </w:r>
      <w:r w:rsidRPr="00BE64F9">
        <w:rPr>
          <w:lang w:val="fr-FR"/>
        </w:rPr>
        <w:t>assurer qu</w:t>
      </w:r>
      <w:r>
        <w:rPr>
          <w:lang w:val="fr-FR"/>
        </w:rPr>
        <w:t>’</w:t>
      </w:r>
      <w:r w:rsidRPr="00BE64F9">
        <w:rPr>
          <w:lang w:val="fr-FR"/>
        </w:rPr>
        <w:t>il existe une capacité excédentaire pendant le fonctionnement de l</w:t>
      </w:r>
      <w:r>
        <w:rPr>
          <w:lang w:val="fr-FR"/>
        </w:rPr>
        <w:t>’</w:t>
      </w:r>
      <w:r w:rsidRPr="00BE64F9">
        <w:rPr>
          <w:lang w:val="fr-FR"/>
        </w:rPr>
        <w:t xml:space="preserve">engin à températures et </w:t>
      </w:r>
      <w:r>
        <w:rPr>
          <w:lang w:val="fr-FR"/>
        </w:rPr>
        <w:t xml:space="preserve">à </w:t>
      </w:r>
      <w:r w:rsidRPr="00BE64F9">
        <w:rPr>
          <w:lang w:val="fr-FR"/>
        </w:rPr>
        <w:t>compartiments multiples.</w:t>
      </w:r>
    </w:p>
    <w:p w14:paraId="01C287DC" w14:textId="77777777" w:rsidR="003421B1" w:rsidRPr="00BE64F9" w:rsidRDefault="003421B1" w:rsidP="003421B1">
      <w:pPr>
        <w:pStyle w:val="HCh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  <w:t>Fin de la procédure d</w:t>
      </w:r>
      <w:r>
        <w:rPr>
          <w:lang w:val="fr-FR"/>
        </w:rPr>
        <w:t>’</w:t>
      </w:r>
      <w:r w:rsidRPr="00BE64F9">
        <w:rPr>
          <w:lang w:val="fr-FR"/>
        </w:rPr>
        <w:t>essai</w:t>
      </w:r>
    </w:p>
    <w:p w14:paraId="1EE2A145" w14:textId="77777777" w:rsidR="003421B1" w:rsidRPr="00BE64F9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18.</w:t>
      </w:r>
      <w:r w:rsidRPr="00BE64F9">
        <w:rPr>
          <w:lang w:val="fr-FR"/>
        </w:rPr>
        <w:tab/>
        <w:t>Les experts désignés peuvent choisir de contrôler l</w:t>
      </w:r>
      <w:r>
        <w:rPr>
          <w:lang w:val="fr-FR"/>
        </w:rPr>
        <w:t>’</w:t>
      </w:r>
      <w:r w:rsidRPr="00BE64F9">
        <w:rPr>
          <w:lang w:val="fr-FR"/>
        </w:rPr>
        <w:t>efficacité des dispositifs thermiques des engins en service en mettant à l</w:t>
      </w:r>
      <w:r>
        <w:rPr>
          <w:lang w:val="fr-FR"/>
        </w:rPr>
        <w:t>’</w:t>
      </w:r>
      <w:r w:rsidRPr="00BE64F9">
        <w:rPr>
          <w:lang w:val="fr-FR"/>
        </w:rPr>
        <w:t xml:space="preserve">essai chaque évaporateur séparément ou en appliquant la logique scientifique empiriquement prouvée </w:t>
      </w:r>
      <w:r>
        <w:rPr>
          <w:lang w:val="fr-FR"/>
        </w:rPr>
        <w:t xml:space="preserve">telle que </w:t>
      </w:r>
      <w:r w:rsidRPr="00BE64F9">
        <w:rPr>
          <w:lang w:val="fr-FR"/>
        </w:rPr>
        <w:t>décrite ci-dessus.</w:t>
      </w:r>
    </w:p>
    <w:p w14:paraId="77519D32" w14:textId="121C2F2D" w:rsidR="003421B1" w:rsidRPr="00BE64F9" w:rsidRDefault="003421B1" w:rsidP="003421B1">
      <w:pPr>
        <w:pStyle w:val="HCh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  <w:t>Proposition d</w:t>
      </w:r>
      <w:r>
        <w:rPr>
          <w:lang w:val="fr-FR"/>
        </w:rPr>
        <w:t>’</w:t>
      </w:r>
      <w:r w:rsidRPr="00BE64F9">
        <w:rPr>
          <w:lang w:val="fr-FR"/>
        </w:rPr>
        <w:t>amendement au paragraphe 6.2.1 de</w:t>
      </w:r>
      <w:r>
        <w:rPr>
          <w:lang w:val="fr-FR"/>
        </w:rPr>
        <w:t> </w:t>
      </w:r>
      <w:r w:rsidRPr="00BE64F9">
        <w:rPr>
          <w:lang w:val="fr-FR"/>
        </w:rPr>
        <w:t>l</w:t>
      </w:r>
      <w:r>
        <w:rPr>
          <w:lang w:val="fr-FR"/>
        </w:rPr>
        <w:t>’</w:t>
      </w:r>
      <w:r w:rsidRPr="00BE64F9">
        <w:rPr>
          <w:lang w:val="fr-FR"/>
        </w:rPr>
        <w:t>appendice 2 de l</w:t>
      </w:r>
      <w:r>
        <w:rPr>
          <w:lang w:val="fr-FR"/>
        </w:rPr>
        <w:t>’</w:t>
      </w:r>
      <w:r w:rsidRPr="00BE64F9">
        <w:rPr>
          <w:lang w:val="fr-FR"/>
        </w:rPr>
        <w:t>annexe 1</w:t>
      </w:r>
    </w:p>
    <w:p w14:paraId="110882CD" w14:textId="0B8D40CE" w:rsidR="003421B1" w:rsidRPr="00BE64F9" w:rsidRDefault="003421B1" w:rsidP="003421B1">
      <w:pPr>
        <w:pStyle w:val="SingleTxtG"/>
        <w:keepNext/>
        <w:rPr>
          <w:lang w:val="fr-FR"/>
        </w:rPr>
      </w:pPr>
      <w:r w:rsidRPr="00BE64F9">
        <w:rPr>
          <w:lang w:val="fr-FR"/>
        </w:rPr>
        <w:t>19.</w:t>
      </w:r>
      <w:r w:rsidRPr="00BE64F9">
        <w:rPr>
          <w:lang w:val="fr-FR"/>
        </w:rPr>
        <w:tab/>
        <w:t xml:space="preserve">Modifier le libellé actuel </w:t>
      </w:r>
      <w:r>
        <w:rPr>
          <w:lang w:val="fr-FR"/>
        </w:rPr>
        <w:t xml:space="preserve">de l’alinéa iii) </w:t>
      </w:r>
      <w:r w:rsidRPr="00BE64F9">
        <w:rPr>
          <w:lang w:val="fr-FR"/>
        </w:rPr>
        <w:t xml:space="preserve">comme suit (les </w:t>
      </w:r>
      <w:r>
        <w:rPr>
          <w:lang w:val="fr-FR"/>
        </w:rPr>
        <w:t>ajouts</w:t>
      </w:r>
      <w:r w:rsidRPr="00BE64F9">
        <w:rPr>
          <w:lang w:val="fr-FR"/>
        </w:rPr>
        <w:t xml:space="preserve"> figurent en caractères</w:t>
      </w:r>
      <w:r w:rsidR="00400AF6">
        <w:rPr>
          <w:lang w:val="fr-FR"/>
        </w:rPr>
        <w:t> </w:t>
      </w:r>
      <w:r w:rsidRPr="00BE64F9">
        <w:rPr>
          <w:lang w:val="fr-FR"/>
        </w:rPr>
        <w:t>gras)</w:t>
      </w:r>
      <w:r>
        <w:rPr>
          <w:lang w:val="fr-FR"/>
        </w:rPr>
        <w:t> :</w:t>
      </w:r>
    </w:p>
    <w:p w14:paraId="0E8E9ADD" w14:textId="77777777" w:rsidR="003421B1" w:rsidRPr="00BE64F9" w:rsidRDefault="003421B1" w:rsidP="003421B1">
      <w:pPr>
        <w:pStyle w:val="SingleTxtG"/>
        <w:keepNext/>
        <w:ind w:left="1701"/>
        <w:rPr>
          <w:lang w:val="fr-FR"/>
        </w:rPr>
      </w:pPr>
      <w:r>
        <w:rPr>
          <w:lang w:val="fr-FR"/>
        </w:rPr>
        <w:t>« </w:t>
      </w:r>
      <w:r w:rsidRPr="00BE64F9">
        <w:rPr>
          <w:lang w:val="fr-FR"/>
        </w:rPr>
        <w:t>iii)</w:t>
      </w:r>
      <w:r w:rsidRPr="00BE64F9">
        <w:rPr>
          <w:lang w:val="fr-FR"/>
        </w:rPr>
        <w:tab/>
        <w:t>Engins à compartiments multiples</w:t>
      </w:r>
    </w:p>
    <w:p w14:paraId="0FD7C018" w14:textId="77777777" w:rsidR="003421B1" w:rsidRPr="00BE64F9" w:rsidRDefault="003421B1" w:rsidP="003421B1">
      <w:pPr>
        <w:pStyle w:val="SingleTxtG"/>
        <w:ind w:left="1701"/>
        <w:rPr>
          <w:b/>
          <w:lang w:val="fr-FR"/>
        </w:rPr>
      </w:pPr>
      <w:r w:rsidRPr="00BE64F9">
        <w:rPr>
          <w:b/>
          <w:bCs/>
          <w:lang w:val="fr-FR"/>
        </w:rPr>
        <w:t>Les experts désignés peuvent choisir une des procédures ci-dessous.</w:t>
      </w:r>
    </w:p>
    <w:p w14:paraId="62F107D9" w14:textId="1415EDCC" w:rsidR="003421B1" w:rsidRPr="00BE64F9" w:rsidRDefault="003421B1" w:rsidP="003421B1">
      <w:pPr>
        <w:pStyle w:val="SingleTxtG"/>
        <w:keepNext/>
        <w:ind w:left="1701"/>
        <w:rPr>
          <w:b/>
          <w:lang w:val="fr-FR"/>
        </w:rPr>
      </w:pPr>
      <w:r w:rsidRPr="00BE64F9">
        <w:rPr>
          <w:b/>
          <w:bCs/>
          <w:lang w:val="fr-FR"/>
        </w:rPr>
        <w:t>Procédure 1</w:t>
      </w:r>
      <w:r>
        <w:rPr>
          <w:b/>
          <w:bCs/>
          <w:lang w:val="fr-FR"/>
        </w:rPr>
        <w:t> :</w:t>
      </w:r>
    </w:p>
    <w:p w14:paraId="53C6F356" w14:textId="2522E4FF" w:rsidR="003421B1" w:rsidRPr="00BE64F9" w:rsidRDefault="003421B1" w:rsidP="003421B1">
      <w:pPr>
        <w:pStyle w:val="SingleTxtG"/>
        <w:ind w:left="1701"/>
        <w:rPr>
          <w:lang w:val="fr-FR"/>
        </w:rPr>
      </w:pPr>
      <w:r w:rsidRPr="00BE64F9">
        <w:rPr>
          <w:lang w:val="fr-FR"/>
        </w:rPr>
        <w:t>L</w:t>
      </w:r>
      <w:r>
        <w:rPr>
          <w:lang w:val="fr-FR"/>
        </w:rPr>
        <w:t>’</w:t>
      </w:r>
      <w:r w:rsidRPr="00BE64F9">
        <w:rPr>
          <w:lang w:val="fr-FR"/>
        </w:rPr>
        <w:t>essai prévu au point 6.2.1</w:t>
      </w:r>
      <w:r>
        <w:rPr>
          <w:lang w:val="fr-FR"/>
        </w:rPr>
        <w:t> </w:t>
      </w:r>
      <w:r w:rsidRPr="00BE64F9">
        <w:rPr>
          <w:lang w:val="fr-FR"/>
        </w:rPr>
        <w:t>i) est réalisé simultanément pour chacun des compartiments</w:t>
      </w:r>
      <w:r>
        <w:rPr>
          <w:lang w:val="fr-FR"/>
        </w:rPr>
        <w:t>… »</w:t>
      </w:r>
      <w:r w:rsidRPr="00BE64F9">
        <w:rPr>
          <w:lang w:val="fr-FR"/>
        </w:rPr>
        <w:t>.</w:t>
      </w:r>
    </w:p>
    <w:p w14:paraId="12720C7A" w14:textId="32814149" w:rsidR="003421B1" w:rsidRPr="00BE64F9" w:rsidRDefault="003421B1" w:rsidP="003421B1">
      <w:pPr>
        <w:pStyle w:val="SingleTxtG"/>
        <w:keepNext/>
        <w:rPr>
          <w:lang w:val="fr-FR"/>
        </w:rPr>
      </w:pPr>
      <w:r w:rsidRPr="00BE64F9">
        <w:rPr>
          <w:lang w:val="fr-FR"/>
        </w:rPr>
        <w:t>20.</w:t>
      </w:r>
      <w:r w:rsidRPr="00BE64F9">
        <w:rPr>
          <w:lang w:val="fr-FR"/>
        </w:rPr>
        <w:tab/>
        <w:t xml:space="preserve">Ajouter le nouveau texte ci-après au-dessus de la ligne </w:t>
      </w:r>
      <w:r>
        <w:rPr>
          <w:lang w:val="fr-FR"/>
        </w:rPr>
        <w:t>« </w:t>
      </w:r>
      <w:r w:rsidRPr="00BE64F9">
        <w:rPr>
          <w:lang w:val="fr-FR"/>
        </w:rPr>
        <w:t>L</w:t>
      </w:r>
      <w:r>
        <w:rPr>
          <w:lang w:val="fr-FR"/>
        </w:rPr>
        <w:t>’</w:t>
      </w:r>
      <w:r w:rsidRPr="00BE64F9">
        <w:rPr>
          <w:lang w:val="fr-FR"/>
        </w:rPr>
        <w:t>engin est considéré conforme si</w:t>
      </w:r>
      <w:r>
        <w:rPr>
          <w:lang w:val="fr-FR"/>
        </w:rPr>
        <w:t> : » :</w:t>
      </w:r>
    </w:p>
    <w:p w14:paraId="3C555CD1" w14:textId="0EC97F5F" w:rsidR="003421B1" w:rsidRPr="00BE64F9" w:rsidRDefault="003421B1" w:rsidP="003421B1">
      <w:pPr>
        <w:pStyle w:val="SingleTxtG"/>
        <w:keepNext/>
        <w:ind w:left="1701"/>
        <w:rPr>
          <w:lang w:val="fr-FR"/>
        </w:rPr>
      </w:pPr>
      <w:r>
        <w:rPr>
          <w:lang w:val="fr-FR"/>
        </w:rPr>
        <w:t>« </w:t>
      </w:r>
      <w:r w:rsidRPr="00BE64F9">
        <w:rPr>
          <w:lang w:val="fr-FR"/>
        </w:rPr>
        <w:t>Procédure 2</w:t>
      </w:r>
      <w:r>
        <w:rPr>
          <w:lang w:val="fr-FR"/>
        </w:rPr>
        <w:t> :</w:t>
      </w:r>
    </w:p>
    <w:p w14:paraId="31D6961E" w14:textId="10BCA5E9" w:rsidR="003421B1" w:rsidRDefault="003421B1" w:rsidP="003421B1">
      <w:pPr>
        <w:pStyle w:val="SingleTxtG"/>
        <w:ind w:left="1701"/>
        <w:rPr>
          <w:lang w:val="fr-FR"/>
        </w:rPr>
      </w:pPr>
      <w:r w:rsidRPr="00BE64F9">
        <w:rPr>
          <w:lang w:val="fr-FR"/>
        </w:rPr>
        <w:t>L</w:t>
      </w:r>
      <w:r>
        <w:rPr>
          <w:lang w:val="fr-FR"/>
        </w:rPr>
        <w:t>’</w:t>
      </w:r>
      <w:r w:rsidRPr="00BE64F9">
        <w:rPr>
          <w:lang w:val="fr-FR"/>
        </w:rPr>
        <w:t>essai prévu au point 6.2.1</w:t>
      </w:r>
      <w:r>
        <w:rPr>
          <w:lang w:val="fr-FR"/>
        </w:rPr>
        <w:t> </w:t>
      </w:r>
      <w:r w:rsidRPr="00BE64F9">
        <w:rPr>
          <w:lang w:val="fr-FR"/>
        </w:rPr>
        <w:t>i) est réalisé simultanément pour chacun des compartiments. Durant ces essais, les cloisons, si elles sont mobiles, sont positionnées de telle sorte que les volumes des compartiments correspondent à la demande de réfrigération maximale de l</w:t>
      </w:r>
      <w:r>
        <w:rPr>
          <w:lang w:val="fr-FR"/>
        </w:rPr>
        <w:t>’</w:t>
      </w:r>
      <w:r w:rsidRPr="00BE64F9">
        <w:rPr>
          <w:lang w:val="fr-FR"/>
        </w:rPr>
        <w:t xml:space="preserve">engin à températures et </w:t>
      </w:r>
      <w:r>
        <w:rPr>
          <w:lang w:val="fr-FR"/>
        </w:rPr>
        <w:t xml:space="preserve">à </w:t>
      </w:r>
      <w:r w:rsidRPr="00BE64F9">
        <w:rPr>
          <w:lang w:val="fr-FR"/>
        </w:rPr>
        <w:t xml:space="preserve">compartiments multiples décrite dans la déclaration de conformité </w:t>
      </w:r>
      <w:r>
        <w:rPr>
          <w:lang w:val="fr-FR"/>
        </w:rPr>
        <w:t>dudit</w:t>
      </w:r>
      <w:r w:rsidRPr="00BE64F9">
        <w:rPr>
          <w:lang w:val="fr-FR"/>
        </w:rPr>
        <w:t xml:space="preserve"> engin.</w:t>
      </w:r>
    </w:p>
    <w:p w14:paraId="1049CEB9" w14:textId="77777777" w:rsidR="003421B1" w:rsidRPr="00BE64F9" w:rsidRDefault="003421B1" w:rsidP="003421B1">
      <w:pPr>
        <w:pStyle w:val="SingleTxtG"/>
        <w:ind w:left="1701"/>
        <w:rPr>
          <w:lang w:val="fr-FR"/>
        </w:rPr>
      </w:pPr>
      <w:r w:rsidRPr="00BE64F9">
        <w:rPr>
          <w:lang w:val="fr-FR"/>
        </w:rPr>
        <w:t>Les mesures sont réalisées jusqu</w:t>
      </w:r>
      <w:r>
        <w:rPr>
          <w:lang w:val="fr-FR"/>
        </w:rPr>
        <w:t>’</w:t>
      </w:r>
      <w:r w:rsidRPr="00BE64F9">
        <w:rPr>
          <w:lang w:val="fr-FR"/>
        </w:rPr>
        <w:t>à ce que la température la plus chaude mesurée par l</w:t>
      </w:r>
      <w:r>
        <w:rPr>
          <w:lang w:val="fr-FR"/>
        </w:rPr>
        <w:t>’</w:t>
      </w:r>
      <w:r w:rsidRPr="00BE64F9">
        <w:rPr>
          <w:lang w:val="fr-FR"/>
        </w:rPr>
        <w:t>un des deux capteurs situés à l</w:t>
      </w:r>
      <w:r>
        <w:rPr>
          <w:lang w:val="fr-FR"/>
        </w:rPr>
        <w:t>’</w:t>
      </w:r>
      <w:r w:rsidRPr="00BE64F9">
        <w:rPr>
          <w:lang w:val="fr-FR"/>
        </w:rPr>
        <w:t xml:space="preserve">intérieur de chacun des compartiments corresponde à la température de la classe. Une troisième température est </w:t>
      </w:r>
      <w:r>
        <w:rPr>
          <w:lang w:val="fr-FR"/>
        </w:rPr>
        <w:t>relevée</w:t>
      </w:r>
      <w:r w:rsidRPr="00BE64F9">
        <w:rPr>
          <w:lang w:val="fr-FR"/>
        </w:rPr>
        <w:t xml:space="preserve"> à la sortie de l</w:t>
      </w:r>
      <w:r>
        <w:rPr>
          <w:lang w:val="fr-FR"/>
        </w:rPr>
        <w:t>’</w:t>
      </w:r>
      <w:r w:rsidRPr="00BE64F9">
        <w:rPr>
          <w:lang w:val="fr-FR"/>
        </w:rPr>
        <w:t>évaporateur</w:t>
      </w:r>
      <w:r>
        <w:rPr>
          <w:lang w:val="fr-FR"/>
        </w:rPr>
        <w:t xml:space="preserve"> (des évaporateurs)</w:t>
      </w:r>
      <w:r w:rsidRPr="00BE64F9">
        <w:rPr>
          <w:lang w:val="fr-FR"/>
        </w:rPr>
        <w:t xml:space="preserve">. Il faut vérifier que </w:t>
      </w:r>
      <w:r>
        <w:rPr>
          <w:lang w:val="fr-FR"/>
        </w:rPr>
        <w:t>cette température</w:t>
      </w:r>
      <w:r w:rsidRPr="00BE64F9">
        <w:rPr>
          <w:lang w:val="fr-FR"/>
        </w:rPr>
        <w:t xml:space="preserve"> est inférieure à la température du compartiment pendant la </w:t>
      </w:r>
      <w:r>
        <w:rPr>
          <w:lang w:val="fr-FR"/>
        </w:rPr>
        <w:t>baisse</w:t>
      </w:r>
      <w:r w:rsidRPr="00BE64F9">
        <w:rPr>
          <w:lang w:val="fr-FR"/>
        </w:rPr>
        <w:t xml:space="preserve"> de température.</w:t>
      </w:r>
    </w:p>
    <w:p w14:paraId="7A8C502B" w14:textId="77777777" w:rsidR="003421B1" w:rsidRPr="00BE64F9" w:rsidRDefault="003421B1" w:rsidP="003421B1">
      <w:pPr>
        <w:pStyle w:val="SingleTxtG"/>
        <w:ind w:left="1701"/>
        <w:rPr>
          <w:lang w:val="fr-FR"/>
        </w:rPr>
      </w:pPr>
      <w:r w:rsidRPr="00BE64F9">
        <w:rPr>
          <w:lang w:val="fr-FR"/>
        </w:rPr>
        <w:t>Modifier les points de consigne des compartiments de manière qu</w:t>
      </w:r>
      <w:r>
        <w:rPr>
          <w:lang w:val="fr-FR"/>
        </w:rPr>
        <w:t>’</w:t>
      </w:r>
      <w:r w:rsidRPr="00BE64F9">
        <w:rPr>
          <w:lang w:val="fr-FR"/>
        </w:rPr>
        <w:t>ils correspondent à la demande maximale de réfrigération de l</w:t>
      </w:r>
      <w:r>
        <w:rPr>
          <w:lang w:val="fr-FR"/>
        </w:rPr>
        <w:t>’</w:t>
      </w:r>
      <w:r w:rsidRPr="00BE64F9">
        <w:rPr>
          <w:lang w:val="fr-FR"/>
        </w:rPr>
        <w:t xml:space="preserve">engin à températures et </w:t>
      </w:r>
      <w:r>
        <w:rPr>
          <w:lang w:val="fr-FR"/>
        </w:rPr>
        <w:t xml:space="preserve">à </w:t>
      </w:r>
      <w:r w:rsidRPr="00BE64F9">
        <w:rPr>
          <w:lang w:val="fr-FR"/>
        </w:rPr>
        <w:t xml:space="preserve">compartiments multiples décrite dans </w:t>
      </w:r>
      <w:r>
        <w:rPr>
          <w:lang w:val="fr-FR"/>
        </w:rPr>
        <w:t>l</w:t>
      </w:r>
      <w:r w:rsidRPr="00BE64F9">
        <w:rPr>
          <w:lang w:val="fr-FR"/>
        </w:rPr>
        <w:t>a déclaration de conformité</w:t>
      </w:r>
      <w:r>
        <w:rPr>
          <w:lang w:val="fr-FR"/>
        </w:rPr>
        <w:t xml:space="preserve"> dudit engin</w:t>
      </w:r>
      <w:r w:rsidRPr="00BE64F9">
        <w:rPr>
          <w:lang w:val="fr-FR"/>
        </w:rPr>
        <w:t xml:space="preserve"> et vérifier le bon fonctionnement de </w:t>
      </w:r>
      <w:r>
        <w:rPr>
          <w:lang w:val="fr-FR"/>
        </w:rPr>
        <w:t>celui-ci</w:t>
      </w:r>
      <w:r w:rsidRPr="00BE64F9">
        <w:rPr>
          <w:lang w:val="fr-FR"/>
        </w:rPr>
        <w:t>.</w:t>
      </w:r>
    </w:p>
    <w:p w14:paraId="73EC6DF7" w14:textId="484DED7C" w:rsidR="003421B1" w:rsidRPr="00BE64F9" w:rsidRDefault="003421B1" w:rsidP="003421B1">
      <w:pPr>
        <w:pStyle w:val="SingleTxtG"/>
        <w:ind w:left="1701"/>
        <w:rPr>
          <w:lang w:val="fr-FR"/>
        </w:rPr>
      </w:pPr>
      <w:r w:rsidRPr="00BE64F9">
        <w:rPr>
          <w:lang w:val="fr-FR"/>
        </w:rPr>
        <w:t xml:space="preserve">Les compartiments de congélation doivent fonctionner sans que le thermostat soit en marche. </w:t>
      </w:r>
      <w:r>
        <w:rPr>
          <w:lang w:val="fr-FR"/>
        </w:rPr>
        <w:t>Confirmer que</w:t>
      </w:r>
      <w:r w:rsidRPr="00BE64F9">
        <w:rPr>
          <w:lang w:val="fr-FR"/>
        </w:rPr>
        <w:t xml:space="preserve"> la température mesurée à la sortie de l</w:t>
      </w:r>
      <w:r>
        <w:rPr>
          <w:lang w:val="fr-FR"/>
        </w:rPr>
        <w:t>’</w:t>
      </w:r>
      <w:r w:rsidRPr="00BE64F9">
        <w:rPr>
          <w:lang w:val="fr-FR"/>
        </w:rPr>
        <w:t xml:space="preserve">évaporateur </w:t>
      </w:r>
      <w:r>
        <w:rPr>
          <w:lang w:val="fr-FR"/>
        </w:rPr>
        <w:t>(</w:t>
      </w:r>
      <w:r w:rsidRPr="00BE64F9">
        <w:rPr>
          <w:lang w:val="fr-FR"/>
        </w:rPr>
        <w:t>des évaporateurs</w:t>
      </w:r>
      <w:r>
        <w:rPr>
          <w:lang w:val="fr-FR"/>
        </w:rPr>
        <w:t>)</w:t>
      </w:r>
      <w:r w:rsidRPr="00BE64F9">
        <w:rPr>
          <w:lang w:val="fr-FR"/>
        </w:rPr>
        <w:t xml:space="preserve"> </w:t>
      </w:r>
      <w:r>
        <w:rPr>
          <w:lang w:val="fr-FR"/>
        </w:rPr>
        <w:t>est en baisse. </w:t>
      </w:r>
      <w:r w:rsidRPr="00BE64F9">
        <w:rPr>
          <w:lang w:val="fr-FR"/>
        </w:rPr>
        <w:t>».</w:t>
      </w:r>
    </w:p>
    <w:p w14:paraId="50438FBF" w14:textId="77777777" w:rsidR="003421B1" w:rsidRPr="00BE64F9" w:rsidRDefault="003421B1" w:rsidP="003421B1">
      <w:pPr>
        <w:pStyle w:val="HChG"/>
        <w:rPr>
          <w:lang w:val="fr-FR"/>
        </w:rPr>
      </w:pPr>
      <w:r w:rsidRPr="00BE64F9">
        <w:rPr>
          <w:lang w:val="fr-FR"/>
        </w:rPr>
        <w:lastRenderedPageBreak/>
        <w:tab/>
      </w:r>
      <w:r w:rsidRPr="00BE64F9">
        <w:rPr>
          <w:lang w:val="fr-FR"/>
        </w:rPr>
        <w:tab/>
        <w:t>Incidences techniques</w:t>
      </w:r>
    </w:p>
    <w:p w14:paraId="4AEE6555" w14:textId="77777777" w:rsidR="003421B1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21.</w:t>
      </w:r>
      <w:r w:rsidRPr="00BE64F9">
        <w:rPr>
          <w:lang w:val="fr-FR"/>
        </w:rPr>
        <w:tab/>
        <w:t>L</w:t>
      </w:r>
      <w:r>
        <w:rPr>
          <w:lang w:val="fr-FR"/>
        </w:rPr>
        <w:t>’intégrité de l</w:t>
      </w:r>
      <w:r w:rsidRPr="00BE64F9">
        <w:rPr>
          <w:lang w:val="fr-FR"/>
        </w:rPr>
        <w:t xml:space="preserve">a grande majorité des systèmes </w:t>
      </w:r>
      <w:r>
        <w:rPr>
          <w:lang w:val="fr-FR"/>
        </w:rPr>
        <w:t>serait préservée</w:t>
      </w:r>
      <w:r w:rsidRPr="00BE64F9">
        <w:rPr>
          <w:lang w:val="fr-FR"/>
        </w:rPr>
        <w:t xml:space="preserve"> et un gain de temps considérable serait réalisé. Les experts </w:t>
      </w:r>
      <w:r>
        <w:rPr>
          <w:lang w:val="fr-FR"/>
        </w:rPr>
        <w:t>pourraient</w:t>
      </w:r>
      <w:r w:rsidRPr="00BE64F9">
        <w:rPr>
          <w:lang w:val="fr-FR"/>
        </w:rPr>
        <w:t xml:space="preserve"> choisir la procédure qu</w:t>
      </w:r>
      <w:r>
        <w:rPr>
          <w:lang w:val="fr-FR"/>
        </w:rPr>
        <w:t>’</w:t>
      </w:r>
      <w:r w:rsidRPr="00BE64F9">
        <w:rPr>
          <w:lang w:val="fr-FR"/>
        </w:rPr>
        <w:t>ils jugent la plus satisfaisante pour chaque système considéré.</w:t>
      </w:r>
    </w:p>
    <w:p w14:paraId="36B24AA4" w14:textId="77777777" w:rsidR="003421B1" w:rsidRPr="00BE64F9" w:rsidRDefault="003421B1" w:rsidP="003421B1">
      <w:pPr>
        <w:pStyle w:val="HCh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  <w:t>Incidences économiques</w:t>
      </w:r>
    </w:p>
    <w:p w14:paraId="70E64A78" w14:textId="77777777" w:rsidR="003421B1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22.</w:t>
      </w:r>
      <w:r w:rsidRPr="00BE64F9">
        <w:rPr>
          <w:lang w:val="fr-FR"/>
        </w:rPr>
        <w:tab/>
        <w:t>La méthode proposée permet</w:t>
      </w:r>
      <w:r>
        <w:rPr>
          <w:lang w:val="fr-FR"/>
        </w:rPr>
        <w:t>trait</w:t>
      </w:r>
      <w:r w:rsidRPr="00BE64F9">
        <w:rPr>
          <w:lang w:val="fr-FR"/>
        </w:rPr>
        <w:t xml:space="preserve"> de réduire la durée de l</w:t>
      </w:r>
      <w:r>
        <w:rPr>
          <w:lang w:val="fr-FR"/>
        </w:rPr>
        <w:t>’</w:t>
      </w:r>
      <w:r w:rsidRPr="00BE64F9">
        <w:rPr>
          <w:lang w:val="fr-FR"/>
        </w:rPr>
        <w:t>essai</w:t>
      </w:r>
      <w:r>
        <w:rPr>
          <w:lang w:val="fr-FR"/>
        </w:rPr>
        <w:t>, ce qui ferait baisser</w:t>
      </w:r>
      <w:r w:rsidRPr="00BE64F9">
        <w:rPr>
          <w:lang w:val="fr-FR"/>
        </w:rPr>
        <w:t xml:space="preserve"> tous les </w:t>
      </w:r>
      <w:r>
        <w:rPr>
          <w:lang w:val="fr-FR"/>
        </w:rPr>
        <w:t>frais engagés par les stations chargées de mener la procédure et, partant, le montant à la charge de l’exploitant</w:t>
      </w:r>
      <w:r w:rsidRPr="00BE64F9">
        <w:rPr>
          <w:lang w:val="fr-FR"/>
        </w:rPr>
        <w:t>. Une durée d</w:t>
      </w:r>
      <w:r>
        <w:rPr>
          <w:lang w:val="fr-FR"/>
        </w:rPr>
        <w:t>’</w:t>
      </w:r>
      <w:r w:rsidRPr="00BE64F9">
        <w:rPr>
          <w:lang w:val="fr-FR"/>
        </w:rPr>
        <w:t xml:space="preserve">essai </w:t>
      </w:r>
      <w:r>
        <w:rPr>
          <w:lang w:val="fr-FR"/>
        </w:rPr>
        <w:t>réduite</w:t>
      </w:r>
      <w:r w:rsidRPr="00BE64F9">
        <w:rPr>
          <w:lang w:val="fr-FR"/>
        </w:rPr>
        <w:t xml:space="preserve"> permet</w:t>
      </w:r>
      <w:r>
        <w:rPr>
          <w:lang w:val="fr-FR"/>
        </w:rPr>
        <w:t>trait</w:t>
      </w:r>
      <w:r w:rsidRPr="00BE64F9">
        <w:rPr>
          <w:lang w:val="fr-FR"/>
        </w:rPr>
        <w:t xml:space="preserve"> </w:t>
      </w:r>
      <w:r>
        <w:rPr>
          <w:lang w:val="fr-FR"/>
        </w:rPr>
        <w:t xml:space="preserve">également </w:t>
      </w:r>
      <w:r w:rsidRPr="00BE64F9">
        <w:rPr>
          <w:lang w:val="fr-FR"/>
        </w:rPr>
        <w:t>d</w:t>
      </w:r>
      <w:r>
        <w:rPr>
          <w:lang w:val="fr-FR"/>
        </w:rPr>
        <w:t>’alléger</w:t>
      </w:r>
      <w:r w:rsidRPr="00BE64F9">
        <w:rPr>
          <w:lang w:val="fr-FR"/>
        </w:rPr>
        <w:t xml:space="preserve"> la charge liée à la mise hors service d</w:t>
      </w:r>
      <w:r>
        <w:rPr>
          <w:lang w:val="fr-FR"/>
        </w:rPr>
        <w:t>’</w:t>
      </w:r>
      <w:r w:rsidRPr="00BE64F9">
        <w:rPr>
          <w:lang w:val="fr-FR"/>
        </w:rPr>
        <w:t>un véhicule et</w:t>
      </w:r>
      <w:r>
        <w:rPr>
          <w:lang w:val="fr-FR"/>
        </w:rPr>
        <w:t xml:space="preserve"> de simplifier</w:t>
      </w:r>
      <w:r w:rsidRPr="00BE64F9">
        <w:rPr>
          <w:lang w:val="fr-FR"/>
        </w:rPr>
        <w:t xml:space="preserve"> la logistique </w:t>
      </w:r>
      <w:r>
        <w:rPr>
          <w:lang w:val="fr-FR"/>
        </w:rPr>
        <w:t xml:space="preserve">relative </w:t>
      </w:r>
      <w:r w:rsidRPr="00BE64F9">
        <w:rPr>
          <w:lang w:val="fr-FR"/>
        </w:rPr>
        <w:t>au conducteur pendant l</w:t>
      </w:r>
      <w:r>
        <w:rPr>
          <w:lang w:val="fr-FR"/>
        </w:rPr>
        <w:t>’</w:t>
      </w:r>
      <w:r w:rsidRPr="00BE64F9">
        <w:rPr>
          <w:lang w:val="fr-FR"/>
        </w:rPr>
        <w:t xml:space="preserve">essai, </w:t>
      </w:r>
      <w:r>
        <w:rPr>
          <w:lang w:val="fr-FR"/>
        </w:rPr>
        <w:t>et la consommation d’</w:t>
      </w:r>
      <w:r w:rsidRPr="00BE64F9">
        <w:rPr>
          <w:lang w:val="fr-FR"/>
        </w:rPr>
        <w:t xml:space="preserve">énergie </w:t>
      </w:r>
      <w:r>
        <w:rPr>
          <w:lang w:val="fr-FR"/>
        </w:rPr>
        <w:t>associée au transport du</w:t>
      </w:r>
      <w:r w:rsidRPr="00BE64F9">
        <w:rPr>
          <w:lang w:val="fr-FR"/>
        </w:rPr>
        <w:t xml:space="preserve"> véhicule </w:t>
      </w:r>
      <w:r>
        <w:rPr>
          <w:lang w:val="fr-FR"/>
        </w:rPr>
        <w:t>vers et depuis</w:t>
      </w:r>
      <w:r w:rsidRPr="00BE64F9">
        <w:rPr>
          <w:lang w:val="fr-FR"/>
        </w:rPr>
        <w:t xml:space="preserve"> le site d</w:t>
      </w:r>
      <w:r>
        <w:rPr>
          <w:lang w:val="fr-FR"/>
        </w:rPr>
        <w:t>’</w:t>
      </w:r>
      <w:r w:rsidRPr="00BE64F9">
        <w:rPr>
          <w:lang w:val="fr-FR"/>
        </w:rPr>
        <w:t xml:space="preserve">essai </w:t>
      </w:r>
      <w:r>
        <w:rPr>
          <w:lang w:val="fr-FR"/>
        </w:rPr>
        <w:t>diminuerait</w:t>
      </w:r>
      <w:r w:rsidRPr="00BE64F9">
        <w:rPr>
          <w:lang w:val="fr-FR"/>
        </w:rPr>
        <w:t>.</w:t>
      </w:r>
    </w:p>
    <w:p w14:paraId="4DC3D614" w14:textId="77777777" w:rsidR="003421B1" w:rsidRPr="00BE64F9" w:rsidRDefault="003421B1" w:rsidP="003421B1">
      <w:pPr>
        <w:pStyle w:val="HChG"/>
        <w:rPr>
          <w:lang w:val="fr-FR"/>
        </w:rPr>
      </w:pPr>
      <w:r w:rsidRPr="00BE64F9">
        <w:rPr>
          <w:lang w:val="fr-FR"/>
        </w:rPr>
        <w:tab/>
      </w:r>
      <w:r w:rsidRPr="00BE64F9">
        <w:rPr>
          <w:lang w:val="fr-FR"/>
        </w:rPr>
        <w:tab/>
        <w:t>Incidences environnementales</w:t>
      </w:r>
    </w:p>
    <w:p w14:paraId="6CF89A19" w14:textId="77777777" w:rsidR="003421B1" w:rsidRDefault="003421B1" w:rsidP="003421B1">
      <w:pPr>
        <w:pStyle w:val="SingleTxtG"/>
        <w:rPr>
          <w:lang w:val="fr-FR"/>
        </w:rPr>
      </w:pPr>
      <w:r w:rsidRPr="00BE64F9">
        <w:rPr>
          <w:lang w:val="fr-FR"/>
        </w:rPr>
        <w:t>23.</w:t>
      </w:r>
      <w:r w:rsidRPr="00BE64F9">
        <w:rPr>
          <w:lang w:val="fr-FR"/>
        </w:rPr>
        <w:tab/>
      </w:r>
      <w:r>
        <w:rPr>
          <w:lang w:val="fr-FR"/>
        </w:rPr>
        <w:t>La</w:t>
      </w:r>
      <w:r w:rsidRPr="00BE64F9">
        <w:rPr>
          <w:lang w:val="fr-FR"/>
        </w:rPr>
        <w:t xml:space="preserve"> réalisation de l</w:t>
      </w:r>
      <w:r>
        <w:rPr>
          <w:lang w:val="fr-FR"/>
        </w:rPr>
        <w:t>’</w:t>
      </w:r>
      <w:r w:rsidRPr="00BE64F9">
        <w:rPr>
          <w:lang w:val="fr-FR"/>
        </w:rPr>
        <w:t>essai</w:t>
      </w:r>
      <w:r>
        <w:rPr>
          <w:lang w:val="fr-FR"/>
        </w:rPr>
        <w:t xml:space="preserve"> nécessiterait moins d’énergie</w:t>
      </w:r>
      <w:r w:rsidRPr="00BE64F9">
        <w:rPr>
          <w:lang w:val="fr-FR"/>
        </w:rPr>
        <w:t>. Le dispositif soumis à l</w:t>
      </w:r>
      <w:r>
        <w:rPr>
          <w:lang w:val="fr-FR"/>
        </w:rPr>
        <w:t>’</w:t>
      </w:r>
      <w:r w:rsidRPr="00BE64F9">
        <w:rPr>
          <w:lang w:val="fr-FR"/>
        </w:rPr>
        <w:t>essai consomme</w:t>
      </w:r>
      <w:r>
        <w:rPr>
          <w:lang w:val="fr-FR"/>
        </w:rPr>
        <w:t>rait</w:t>
      </w:r>
      <w:r w:rsidRPr="00BE64F9">
        <w:rPr>
          <w:lang w:val="fr-FR"/>
        </w:rPr>
        <w:t xml:space="preserve"> moins d</w:t>
      </w:r>
      <w:r>
        <w:rPr>
          <w:lang w:val="fr-FR"/>
        </w:rPr>
        <w:t>’</w:t>
      </w:r>
      <w:r w:rsidRPr="00BE64F9">
        <w:rPr>
          <w:lang w:val="fr-FR"/>
        </w:rPr>
        <w:t xml:space="preserve">énergie, tout comme </w:t>
      </w:r>
      <w:r>
        <w:rPr>
          <w:lang w:val="fr-FR"/>
        </w:rPr>
        <w:t>le système</w:t>
      </w:r>
      <w:r w:rsidRPr="00BE64F9">
        <w:rPr>
          <w:lang w:val="fr-FR"/>
        </w:rPr>
        <w:t xml:space="preserve"> de conditionnement ambiant et d</w:t>
      </w:r>
      <w:r>
        <w:rPr>
          <w:lang w:val="fr-FR"/>
        </w:rPr>
        <w:t>’</w:t>
      </w:r>
      <w:r w:rsidRPr="00BE64F9">
        <w:rPr>
          <w:lang w:val="fr-FR"/>
        </w:rPr>
        <w:t>acquisition de données.</w:t>
      </w:r>
    </w:p>
    <w:p w14:paraId="4E018E27" w14:textId="3B07ED82" w:rsidR="00F9573C" w:rsidRPr="003421B1" w:rsidRDefault="003421B1" w:rsidP="003421B1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9573C" w:rsidRPr="003421B1" w:rsidSect="000D51D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C79F6" w14:textId="77777777" w:rsidR="00017DEE" w:rsidRDefault="00017DEE" w:rsidP="00F95C08">
      <w:pPr>
        <w:spacing w:line="240" w:lineRule="auto"/>
      </w:pPr>
    </w:p>
  </w:endnote>
  <w:endnote w:type="continuationSeparator" w:id="0">
    <w:p w14:paraId="2329F012" w14:textId="77777777" w:rsidR="00017DEE" w:rsidRPr="00AC3823" w:rsidRDefault="00017DEE" w:rsidP="00AC3823">
      <w:pPr>
        <w:pStyle w:val="Pieddepage"/>
      </w:pPr>
    </w:p>
  </w:endnote>
  <w:endnote w:type="continuationNotice" w:id="1">
    <w:p w14:paraId="5F8CF395" w14:textId="77777777" w:rsidR="00017DEE" w:rsidRDefault="00017D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D601F" w14:textId="62C45AD6" w:rsidR="000D51D8" w:rsidRPr="000D51D8" w:rsidRDefault="000D51D8" w:rsidP="000D51D8">
    <w:pPr>
      <w:pStyle w:val="Pieddepage"/>
      <w:tabs>
        <w:tab w:val="right" w:pos="9638"/>
      </w:tabs>
    </w:pPr>
    <w:r w:rsidRPr="000D51D8">
      <w:rPr>
        <w:b/>
        <w:sz w:val="18"/>
      </w:rPr>
      <w:fldChar w:fldCharType="begin"/>
    </w:r>
    <w:r w:rsidRPr="000D51D8">
      <w:rPr>
        <w:b/>
        <w:sz w:val="18"/>
      </w:rPr>
      <w:instrText xml:space="preserve"> PAGE  \* MERGEFORMAT </w:instrText>
    </w:r>
    <w:r w:rsidRPr="000D51D8">
      <w:rPr>
        <w:b/>
        <w:sz w:val="18"/>
      </w:rPr>
      <w:fldChar w:fldCharType="separate"/>
    </w:r>
    <w:r w:rsidRPr="000D51D8">
      <w:rPr>
        <w:b/>
        <w:noProof/>
        <w:sz w:val="18"/>
      </w:rPr>
      <w:t>2</w:t>
    </w:r>
    <w:r w:rsidRPr="000D51D8">
      <w:rPr>
        <w:b/>
        <w:sz w:val="18"/>
      </w:rPr>
      <w:fldChar w:fldCharType="end"/>
    </w:r>
    <w:r>
      <w:rPr>
        <w:b/>
        <w:sz w:val="18"/>
      </w:rPr>
      <w:tab/>
    </w:r>
    <w:r>
      <w:t>GE.24-14794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4E5F" w14:textId="71A408D9" w:rsidR="000D51D8" w:rsidRPr="000D51D8" w:rsidRDefault="000D51D8" w:rsidP="000D51D8">
    <w:pPr>
      <w:pStyle w:val="Pieddepage"/>
      <w:tabs>
        <w:tab w:val="right" w:pos="9638"/>
      </w:tabs>
      <w:rPr>
        <w:b/>
        <w:sz w:val="18"/>
      </w:rPr>
    </w:pPr>
    <w:r>
      <w:t>GE.24-14794</w:t>
    </w:r>
    <w:r>
      <w:tab/>
    </w:r>
    <w:r w:rsidRPr="000D51D8">
      <w:rPr>
        <w:b/>
        <w:sz w:val="18"/>
      </w:rPr>
      <w:fldChar w:fldCharType="begin"/>
    </w:r>
    <w:r w:rsidRPr="000D51D8">
      <w:rPr>
        <w:b/>
        <w:sz w:val="18"/>
      </w:rPr>
      <w:instrText xml:space="preserve"> PAGE  \* MERGEFORMAT </w:instrText>
    </w:r>
    <w:r w:rsidRPr="000D51D8">
      <w:rPr>
        <w:b/>
        <w:sz w:val="18"/>
      </w:rPr>
      <w:fldChar w:fldCharType="separate"/>
    </w:r>
    <w:r w:rsidRPr="000D51D8">
      <w:rPr>
        <w:b/>
        <w:noProof/>
        <w:sz w:val="18"/>
      </w:rPr>
      <w:t>3</w:t>
    </w:r>
    <w:r w:rsidRPr="000D51D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FDA0" w14:textId="721F8C99" w:rsidR="007F20FA" w:rsidRPr="000D51D8" w:rsidRDefault="000D51D8" w:rsidP="000D51D8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625AAE94" wp14:editId="6175F923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24-14794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E73273A" wp14:editId="780816CE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99897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100924    100924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AC63" w14:textId="77777777" w:rsidR="00017DEE" w:rsidRPr="00AC3823" w:rsidRDefault="00017DE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AD6B767" w14:textId="77777777" w:rsidR="00017DEE" w:rsidRPr="00AC3823" w:rsidRDefault="00017DE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5BC027B" w14:textId="77777777" w:rsidR="00017DEE" w:rsidRPr="00AC3823" w:rsidRDefault="00017DEE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EA08" w14:textId="40261EA2" w:rsidR="000D51D8" w:rsidRPr="000D51D8" w:rsidRDefault="003E7CAA">
    <w:pPr>
      <w:pStyle w:val="En-tte"/>
    </w:pPr>
    <w:fldSimple w:instr=" TITLE  \* MERGEFORMAT ">
      <w:r w:rsidR="00085A0F">
        <w:t>ECE/TRANS/WP.11/2024/17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4887" w14:textId="5CD0F8FB" w:rsidR="000D51D8" w:rsidRPr="000D51D8" w:rsidRDefault="003E7CAA" w:rsidP="000D51D8">
    <w:pPr>
      <w:pStyle w:val="En-tte"/>
      <w:jc w:val="right"/>
    </w:pPr>
    <w:fldSimple w:instr=" TITLE  \* MERGEFORMAT ">
      <w:r w:rsidR="00085A0F">
        <w:t>ECE/TRANS/WP.11/2024/17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EE"/>
    <w:rsid w:val="00017DEE"/>
    <w:rsid w:val="00017F94"/>
    <w:rsid w:val="00023842"/>
    <w:rsid w:val="000334F9"/>
    <w:rsid w:val="00045FEB"/>
    <w:rsid w:val="0007796D"/>
    <w:rsid w:val="00085A0F"/>
    <w:rsid w:val="000B7790"/>
    <w:rsid w:val="000D51D8"/>
    <w:rsid w:val="00111F2F"/>
    <w:rsid w:val="0014365E"/>
    <w:rsid w:val="00143C66"/>
    <w:rsid w:val="00176178"/>
    <w:rsid w:val="001772E5"/>
    <w:rsid w:val="001851A3"/>
    <w:rsid w:val="001D3FE6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421B1"/>
    <w:rsid w:val="003916DE"/>
    <w:rsid w:val="003B6DCA"/>
    <w:rsid w:val="003E7CAA"/>
    <w:rsid w:val="00400AF6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5F30DE"/>
    <w:rsid w:val="006856A6"/>
    <w:rsid w:val="0071601D"/>
    <w:rsid w:val="007A62E6"/>
    <w:rsid w:val="007F20FA"/>
    <w:rsid w:val="0080684C"/>
    <w:rsid w:val="00856D9F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CC78CB"/>
    <w:rsid w:val="00D3439C"/>
    <w:rsid w:val="00D7622E"/>
    <w:rsid w:val="00DA4E16"/>
    <w:rsid w:val="00DB1831"/>
    <w:rsid w:val="00DD3BFD"/>
    <w:rsid w:val="00DF6678"/>
    <w:rsid w:val="00E0299A"/>
    <w:rsid w:val="00E322BA"/>
    <w:rsid w:val="00E85C74"/>
    <w:rsid w:val="00EA6547"/>
    <w:rsid w:val="00ED7237"/>
    <w:rsid w:val="00EE0DB7"/>
    <w:rsid w:val="00EF2E22"/>
    <w:rsid w:val="00F35BAF"/>
    <w:rsid w:val="00F660DF"/>
    <w:rsid w:val="00F71856"/>
    <w:rsid w:val="00F94664"/>
    <w:rsid w:val="00F9573C"/>
    <w:rsid w:val="00F95C08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9A174"/>
  <w15:docId w15:val="{FC6B1089-FE84-4D2C-BF65-E7840A65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3421B1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2D198-2ADF-4E57-9974-D3B839E88A85}"/>
</file>

<file path=customXml/itemProps2.xml><?xml version="1.0" encoding="utf-8"?>
<ds:datastoreItem xmlns:ds="http://schemas.openxmlformats.org/officeDocument/2006/customXml" ds:itemID="{254B39C9-BBF7-473A-ACC2-99C0F86AB581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5</Pages>
  <Words>1293</Words>
  <Characters>9056</Characters>
  <Application>Microsoft Office Word</Application>
  <DocSecurity>0</DocSecurity>
  <Lines>754</Lines>
  <Paragraphs>413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ECE/TRANS/WP.11/2024/17</vt:lpstr>
    </vt:vector>
  </TitlesOfParts>
  <Company>DCM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ECE/TRANS/WP.11/2024/17</dc:title>
  <dc:subject/>
  <dc:creator>Nicolas MORIN</dc:creator>
  <cp:keywords/>
  <cp:lastModifiedBy>Nicolas MORIN</cp:lastModifiedBy>
  <cp:revision>2</cp:revision>
  <cp:lastPrinted>2024-09-10T08:57:00Z</cp:lastPrinted>
  <dcterms:created xsi:type="dcterms:W3CDTF">2024-09-10T09:33:00Z</dcterms:created>
  <dcterms:modified xsi:type="dcterms:W3CDTF">2024-09-10T09:33:00Z</dcterms:modified>
</cp:coreProperties>
</file>