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8F9F67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CA889C0" w14:textId="77777777" w:rsidR="002D5AAC" w:rsidRDefault="002D5AAC" w:rsidP="002271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8B9763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DF84849" w14:textId="0EEF683A" w:rsidR="002D5AAC" w:rsidRDefault="00227181" w:rsidP="00227181">
            <w:pPr>
              <w:jc w:val="right"/>
            </w:pPr>
            <w:r w:rsidRPr="00227181">
              <w:rPr>
                <w:sz w:val="40"/>
              </w:rPr>
              <w:t>ECE</w:t>
            </w:r>
            <w:r>
              <w:t>/TRANS/WP.11/2024/16</w:t>
            </w:r>
          </w:p>
        </w:tc>
      </w:tr>
      <w:tr w:rsidR="002D5AAC" w14:paraId="2AF4751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8719DF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29999B9" wp14:editId="39AB2F3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C6831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A33B313" w14:textId="77777777" w:rsidR="002D5AAC" w:rsidRDefault="0022718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1F6B4C3" w14:textId="77777777" w:rsidR="00227181" w:rsidRDefault="00227181" w:rsidP="0022718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August 2024</w:t>
            </w:r>
          </w:p>
          <w:p w14:paraId="38F0A709" w14:textId="77777777" w:rsidR="00227181" w:rsidRDefault="00227181" w:rsidP="0022718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FA0128D" w14:textId="042C284C" w:rsidR="00227181" w:rsidRPr="008D53B6" w:rsidRDefault="00227181" w:rsidP="0022718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F3D440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E3B13CA" w14:textId="77777777" w:rsidR="00610B9C" w:rsidRPr="00970AA3" w:rsidRDefault="00610B9C" w:rsidP="00610B9C">
      <w:pPr>
        <w:spacing w:before="120"/>
        <w:rPr>
          <w:rFonts w:asciiTheme="majorBidi" w:hAnsiTheme="majorBidi" w:cstheme="majorBidi"/>
          <w:sz w:val="28"/>
          <w:szCs w:val="28"/>
        </w:rPr>
      </w:pPr>
      <w:r w:rsidRPr="00970AA3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1B7309BF" w14:textId="77777777" w:rsidR="00610B9C" w:rsidRPr="00970AA3" w:rsidRDefault="00610B9C" w:rsidP="00610B9C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970AA3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970AA3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2749A44D" w14:textId="77777777" w:rsidR="00610B9C" w:rsidRPr="00970AA3" w:rsidRDefault="00610B9C" w:rsidP="00610B9C">
      <w:pPr>
        <w:spacing w:before="120"/>
      </w:pPr>
      <w:r w:rsidRPr="00970AA3">
        <w:rPr>
          <w:b/>
          <w:bCs/>
        </w:rPr>
        <w:t>Восемьдесят первая сессия</w:t>
      </w:r>
      <w:r w:rsidRPr="00970AA3">
        <w:rPr>
          <w:b/>
          <w:bCs/>
        </w:rPr>
        <w:br/>
      </w:r>
      <w:r w:rsidRPr="00970AA3">
        <w:t xml:space="preserve">Женева, 29 октября — 1 ноября 2024 года </w:t>
      </w:r>
    </w:p>
    <w:p w14:paraId="4F30F57D" w14:textId="77777777" w:rsidR="00610B9C" w:rsidRDefault="00610B9C" w:rsidP="00610B9C">
      <w:pPr>
        <w:rPr>
          <w:rFonts w:asciiTheme="majorBidi" w:hAnsiTheme="majorBidi" w:cstheme="majorBidi"/>
        </w:rPr>
      </w:pPr>
      <w:r w:rsidRPr="00970AA3">
        <w:rPr>
          <w:rFonts w:asciiTheme="majorBidi" w:hAnsiTheme="majorBidi" w:cstheme="majorBidi"/>
        </w:rPr>
        <w:t xml:space="preserve">Пункт 5 </w:t>
      </w:r>
      <w:r>
        <w:rPr>
          <w:rFonts w:asciiTheme="majorBidi" w:hAnsiTheme="majorBidi" w:cstheme="majorBidi"/>
        </w:rPr>
        <w:t>b</w:t>
      </w:r>
      <w:r w:rsidRPr="00970AA3">
        <w:rPr>
          <w:rFonts w:asciiTheme="majorBidi" w:hAnsiTheme="majorBidi" w:cstheme="majorBidi"/>
        </w:rPr>
        <w:t>) предварительной повестки дня</w:t>
      </w:r>
    </w:p>
    <w:p w14:paraId="24469C3F" w14:textId="77777777" w:rsidR="00610B9C" w:rsidRPr="00970AA3" w:rsidRDefault="00610B9C" w:rsidP="00610B9C">
      <w:pPr>
        <w:rPr>
          <w:b/>
          <w:bCs/>
        </w:rPr>
      </w:pPr>
      <w:r>
        <w:rPr>
          <w:b/>
          <w:bCs/>
        </w:rPr>
        <w:t>Предложения по поправкам к СПС:</w:t>
      </w:r>
    </w:p>
    <w:p w14:paraId="43E4DC93" w14:textId="77777777" w:rsidR="00610B9C" w:rsidRPr="00970AA3" w:rsidRDefault="00610B9C" w:rsidP="00610B9C">
      <w:pPr>
        <w:rPr>
          <w:b/>
          <w:bCs/>
        </w:rPr>
      </w:pPr>
      <w:r>
        <w:rPr>
          <w:b/>
          <w:bCs/>
        </w:rPr>
        <w:t>новые предложения</w:t>
      </w:r>
    </w:p>
    <w:p w14:paraId="3DEEDC61" w14:textId="77777777" w:rsidR="00610B9C" w:rsidRPr="00970AA3" w:rsidRDefault="00610B9C" w:rsidP="00610B9C">
      <w:pPr>
        <w:pStyle w:val="HChG"/>
      </w:pPr>
      <w:r>
        <w:tab/>
      </w:r>
      <w:r>
        <w:tab/>
      </w:r>
      <w:r>
        <w:rPr>
          <w:bCs/>
        </w:rPr>
        <w:t>Новое предложение по поправкам</w:t>
      </w:r>
    </w:p>
    <w:p w14:paraId="0F893B13" w14:textId="77777777" w:rsidR="00610B9C" w:rsidRDefault="00610B9C" w:rsidP="00610B9C">
      <w:pPr>
        <w:pStyle w:val="H1G"/>
      </w:pPr>
      <w:r>
        <w:tab/>
      </w:r>
      <w:r>
        <w:tab/>
      </w:r>
      <w:r>
        <w:rPr>
          <w:bCs/>
        </w:rPr>
        <w:t>Передано правительством Словении</w:t>
      </w:r>
    </w:p>
    <w:tbl>
      <w:tblPr>
        <w:tblStyle w:val="ac"/>
        <w:tblW w:w="0" w:type="auto"/>
        <w:jc w:val="center"/>
        <w:tblBorders>
          <w:insideH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9"/>
      </w:tblGrid>
      <w:tr w:rsidR="00610B9C" w:rsidRPr="00575856" w14:paraId="4880F6C5" w14:textId="77777777" w:rsidTr="00EA7C4F">
        <w:trPr>
          <w:jc w:val="center"/>
        </w:trPr>
        <w:tc>
          <w:tcPr>
            <w:tcW w:w="9629" w:type="dxa"/>
            <w:shd w:val="clear" w:color="auto" w:fill="auto"/>
          </w:tcPr>
          <w:p w14:paraId="1EAC0678" w14:textId="77777777" w:rsidR="00610B9C" w:rsidRPr="00575856" w:rsidRDefault="00610B9C" w:rsidP="00EA7C4F">
            <w:pPr>
              <w:spacing w:before="240" w:after="120"/>
              <w:ind w:left="255"/>
              <w:rPr>
                <w:i/>
                <w:sz w:val="24"/>
                <w:szCs w:val="24"/>
              </w:rPr>
            </w:pPr>
            <w:r w:rsidRPr="00575856">
              <w:rPr>
                <w:i/>
                <w:iCs/>
                <w:sz w:val="24"/>
                <w:szCs w:val="24"/>
              </w:rPr>
              <w:t>Резюме</w:t>
            </w:r>
          </w:p>
        </w:tc>
      </w:tr>
      <w:tr w:rsidR="00610B9C" w14:paraId="673B9808" w14:textId="77777777" w:rsidTr="00EA7C4F">
        <w:trPr>
          <w:jc w:val="center"/>
        </w:trPr>
        <w:tc>
          <w:tcPr>
            <w:tcW w:w="9629" w:type="dxa"/>
            <w:shd w:val="clear" w:color="auto" w:fill="auto"/>
          </w:tcPr>
          <w:p w14:paraId="1687C0DB" w14:textId="267C76A3" w:rsidR="00610B9C" w:rsidRPr="00970AA3" w:rsidRDefault="00610B9C" w:rsidP="00575856">
            <w:pPr>
              <w:pStyle w:val="SingleTxtG"/>
              <w:ind w:left="3678" w:hanging="2552"/>
            </w:pPr>
            <w:r w:rsidRPr="00554583">
              <w:rPr>
                <w:b/>
                <w:bCs/>
              </w:rPr>
              <w:t>Существо предложения:</w:t>
            </w:r>
            <w:r w:rsidRPr="00554583">
              <w:rPr>
                <w:b/>
                <w:bCs/>
              </w:rPr>
              <w:tab/>
            </w:r>
            <w:r>
              <w:t>Данное предложение пр</w:t>
            </w:r>
            <w:r w:rsidR="00575856">
              <w:t>е</w:t>
            </w:r>
            <w:r>
              <w:t>следует цель повысить осведомленность перевозчиков о том, что они несут ответственность за предоставление необходимых транспортных средств для каждого запланированного рейса.</w:t>
            </w:r>
          </w:p>
          <w:p w14:paraId="70FE4A80" w14:textId="1CFA33DF" w:rsidR="00610B9C" w:rsidRPr="00610B9C" w:rsidRDefault="00610B9C" w:rsidP="00575856">
            <w:pPr>
              <w:pStyle w:val="SingleTxtG"/>
              <w:ind w:left="3678" w:hanging="2552"/>
            </w:pPr>
            <w:r>
              <w:rPr>
                <w:b/>
                <w:bCs/>
              </w:rPr>
              <w:t>Предлагаемое решение:</w:t>
            </w:r>
            <w:r>
              <w:tab/>
              <w:t>В добавлении 3 к приложению 1 (Образец бланка свидетельства) добавить рубрику 11</w:t>
            </w:r>
          </w:p>
          <w:p w14:paraId="667D1280" w14:textId="2ACF742B" w:rsidR="00610B9C" w:rsidRDefault="00610B9C" w:rsidP="00575856">
            <w:pPr>
              <w:pStyle w:val="SingleTxtG"/>
              <w:ind w:left="3678" w:hanging="2552"/>
            </w:pPr>
            <w:r>
              <w:rPr>
                <w:b/>
                <w:bCs/>
              </w:rPr>
              <w:t>Справочные документы</w:t>
            </w:r>
            <w:proofErr w:type="gramStart"/>
            <w:r>
              <w:rPr>
                <w:b/>
                <w:bCs/>
              </w:rPr>
              <w:t>:</w:t>
            </w:r>
            <w:r>
              <w:tab/>
              <w:t>Отсутствуют</w:t>
            </w:r>
            <w:proofErr w:type="gramEnd"/>
          </w:p>
        </w:tc>
      </w:tr>
      <w:tr w:rsidR="00610B9C" w14:paraId="7D751DDF" w14:textId="77777777" w:rsidTr="00EA7C4F">
        <w:trPr>
          <w:jc w:val="center"/>
        </w:trPr>
        <w:tc>
          <w:tcPr>
            <w:tcW w:w="9629" w:type="dxa"/>
            <w:shd w:val="clear" w:color="auto" w:fill="auto"/>
          </w:tcPr>
          <w:p w14:paraId="74445B72" w14:textId="77777777" w:rsidR="00610B9C" w:rsidRDefault="00610B9C" w:rsidP="00EA7C4F"/>
        </w:tc>
      </w:tr>
    </w:tbl>
    <w:p w14:paraId="1107DECA" w14:textId="77777777" w:rsidR="00610B9C" w:rsidRPr="006068BA" w:rsidRDefault="00610B9C" w:rsidP="00610B9C">
      <w:pPr>
        <w:pStyle w:val="HChG"/>
      </w:pPr>
      <w:r>
        <w:tab/>
      </w:r>
      <w:r>
        <w:tab/>
      </w:r>
      <w:r>
        <w:rPr>
          <w:bCs/>
        </w:rPr>
        <w:t>Введение</w:t>
      </w:r>
      <w:bookmarkStart w:id="0" w:name="OLE_LINK2"/>
      <w:bookmarkStart w:id="1" w:name="OLE_LINK1"/>
      <w:bookmarkEnd w:id="0"/>
      <w:bookmarkEnd w:id="1"/>
    </w:p>
    <w:p w14:paraId="75FA98B6" w14:textId="6F65DB18" w:rsidR="00610B9C" w:rsidRPr="00970AA3" w:rsidRDefault="00610B9C" w:rsidP="00610B9C">
      <w:pPr>
        <w:pStyle w:val="SingleTxtG"/>
      </w:pPr>
      <w:r>
        <w:t>1.</w:t>
      </w:r>
      <w:r>
        <w:tab/>
        <w:t>Согласно статье 4 СПС для каждой запланированной перевозки в соответствии с СПС перевозчик должен выбрать и использовать подходящий тип транспортного средства, имеющего свидетельство СПС. Однако некоторые перевозчики,</w:t>
      </w:r>
      <w:r w:rsidR="00101593">
        <w:br/>
      </w:r>
      <w:r>
        <w:t xml:space="preserve">по-видимому, не понимают, как выбирать транспортное средство в зависимости от той или иной продолжительности перевозки и температурных условий. </w:t>
      </w:r>
    </w:p>
    <w:p w14:paraId="29C17A33" w14:textId="58BBD700" w:rsidR="00610B9C" w:rsidRPr="00970AA3" w:rsidRDefault="009129C0" w:rsidP="00610B9C">
      <w:pPr>
        <w:pStyle w:val="HChG"/>
      </w:pPr>
      <w:r>
        <w:rPr>
          <w:bCs/>
        </w:rPr>
        <w:tab/>
      </w:r>
      <w:r w:rsidR="00610B9C">
        <w:rPr>
          <w:bCs/>
        </w:rPr>
        <w:t>I.</w:t>
      </w:r>
      <w:r w:rsidR="00610B9C">
        <w:tab/>
      </w:r>
      <w:r w:rsidR="00610B9C">
        <w:rPr>
          <w:bCs/>
        </w:rPr>
        <w:t>Предложение</w:t>
      </w:r>
    </w:p>
    <w:p w14:paraId="7E79C892" w14:textId="77777777" w:rsidR="00610B9C" w:rsidRDefault="00610B9C" w:rsidP="00610B9C">
      <w:pPr>
        <w:pStyle w:val="SingleTxtG"/>
      </w:pPr>
      <w:bookmarkStart w:id="2" w:name="_Hlk30687072"/>
      <w:r>
        <w:t>2.</w:t>
      </w:r>
      <w:r>
        <w:tab/>
        <w:t>Включить в образец бланка свидетельства СПС, содержащийся в добавлении 3 к приложению 1, следующую новую рубрику:</w:t>
      </w:r>
    </w:p>
    <w:p w14:paraId="21108546" w14:textId="43947A52" w:rsidR="00610B9C" w:rsidRPr="00970AA3" w:rsidRDefault="00610B9C" w:rsidP="00610B9C">
      <w:pPr>
        <w:pStyle w:val="SingleTxtG"/>
        <w:ind w:left="1701"/>
      </w:pPr>
      <w:r>
        <w:t xml:space="preserve">«11. ________/Владельцы или перевозчики (перечисленные в пункте 4) несут ответственность за то, чтобы на всем протяжении перевозки скоропортящихся </w:t>
      </w:r>
      <w:r>
        <w:lastRenderedPageBreak/>
        <w:t>пищевых продуктов транспортные средства (перечисленные в пункте 2) соответствовали продолжительности перевозки и температурным условиям».</w:t>
      </w:r>
    </w:p>
    <w:bookmarkEnd w:id="2"/>
    <w:p w14:paraId="11D58834" w14:textId="54EF3E91" w:rsidR="00610B9C" w:rsidRPr="00970AA3" w:rsidRDefault="00575A1A" w:rsidP="00610B9C">
      <w:pPr>
        <w:pStyle w:val="HChG"/>
      </w:pPr>
      <w:r>
        <w:rPr>
          <w:bCs/>
        </w:rPr>
        <w:tab/>
      </w:r>
      <w:r w:rsidR="00610B9C">
        <w:rPr>
          <w:bCs/>
        </w:rPr>
        <w:t>II.</w:t>
      </w:r>
      <w:r w:rsidR="00610B9C">
        <w:tab/>
      </w:r>
      <w:r w:rsidR="00610B9C">
        <w:rPr>
          <w:bCs/>
        </w:rPr>
        <w:t>Обоснование</w:t>
      </w:r>
    </w:p>
    <w:p w14:paraId="47D6E817" w14:textId="77777777" w:rsidR="00610B9C" w:rsidRPr="00970AA3" w:rsidRDefault="00610B9C" w:rsidP="00610B9C">
      <w:pPr>
        <w:pStyle w:val="SingleTxtG"/>
      </w:pPr>
      <w:r>
        <w:t>3.</w:t>
      </w:r>
      <w:r>
        <w:tab/>
        <w:t xml:space="preserve">Передовой опыт в области выдачи различных типов свидетельств показывает, что важно информировать владельцев или пользователей свидетельств о порядке использования содержащихся в них сведений. </w:t>
      </w:r>
    </w:p>
    <w:p w14:paraId="1A9292D9" w14:textId="77777777" w:rsidR="00610B9C" w:rsidRPr="00970AA3" w:rsidRDefault="00610B9C" w:rsidP="00610B9C">
      <w:pPr>
        <w:pStyle w:val="SingleTxtG"/>
      </w:pPr>
      <w:r>
        <w:t>4.</w:t>
      </w:r>
      <w:r>
        <w:tab/>
        <w:t>Можно привести следующие примеры заявлений, содержащихся в свидетельствах:</w:t>
      </w:r>
    </w:p>
    <w:p w14:paraId="0418562B" w14:textId="3D126AE1" w:rsidR="00610B9C" w:rsidRPr="00970AA3" w:rsidRDefault="008162F9" w:rsidP="00610B9C">
      <w:pPr>
        <w:pStyle w:val="SingleTxtG"/>
        <w:tabs>
          <w:tab w:val="clear" w:pos="2835"/>
        </w:tabs>
      </w:pPr>
      <w:r>
        <w:tab/>
      </w:r>
      <w:r w:rsidR="00610B9C">
        <w:t>a)</w:t>
      </w:r>
      <w:r w:rsidR="00610B9C">
        <w:tab/>
        <w:t>Свидетельство СПС, пункт 8.1.1:</w:t>
      </w:r>
    </w:p>
    <w:p w14:paraId="34AE601A" w14:textId="77777777" w:rsidR="00610B9C" w:rsidRPr="00970AA3" w:rsidRDefault="00610B9C" w:rsidP="008162F9">
      <w:pPr>
        <w:pStyle w:val="SingleTxtG"/>
        <w:ind w:left="1701"/>
        <w:rPr>
          <w:i/>
          <w:iCs/>
        </w:rPr>
      </w:pPr>
      <w:r>
        <w:rPr>
          <w:i/>
          <w:iCs/>
        </w:rPr>
        <w:t>«Изотермический кузов и, где применимо, термическое оборудование поддерживаются в надлежащем состоянии».</w:t>
      </w:r>
    </w:p>
    <w:p w14:paraId="20A98CEE" w14:textId="710FD442" w:rsidR="00610B9C" w:rsidRPr="00970AA3" w:rsidRDefault="008162F9" w:rsidP="00610B9C">
      <w:pPr>
        <w:pStyle w:val="SingleTxtG"/>
        <w:tabs>
          <w:tab w:val="clear" w:pos="2835"/>
        </w:tabs>
      </w:pPr>
      <w:r>
        <w:tab/>
      </w:r>
      <w:r w:rsidR="00610B9C">
        <w:t>b)</w:t>
      </w:r>
      <w:r w:rsidR="00610B9C">
        <w:tab/>
        <w:t>Свидетельство СПС, пункт 8.1.2:</w:t>
      </w:r>
    </w:p>
    <w:p w14:paraId="239044E1" w14:textId="77777777" w:rsidR="00610B9C" w:rsidRPr="00970AA3" w:rsidRDefault="00610B9C" w:rsidP="00610B9C">
      <w:pPr>
        <w:pStyle w:val="SingleTxtG"/>
        <w:ind w:left="1494"/>
        <w:rPr>
          <w:i/>
          <w:iCs/>
        </w:rPr>
      </w:pPr>
      <w:r>
        <w:rPr>
          <w:i/>
          <w:iCs/>
        </w:rPr>
        <w:t>«Термическое оборудование не подвергалось никаким существенным изменениям».</w:t>
      </w:r>
    </w:p>
    <w:p w14:paraId="70AF2AFA" w14:textId="074EE14A" w:rsidR="00610B9C" w:rsidRPr="00970AA3" w:rsidRDefault="008162F9" w:rsidP="008162F9">
      <w:pPr>
        <w:pStyle w:val="SingleTxtG"/>
        <w:tabs>
          <w:tab w:val="clear" w:pos="2835"/>
        </w:tabs>
        <w:ind w:left="1701" w:hanging="567"/>
      </w:pPr>
      <w:r>
        <w:tab/>
      </w:r>
      <w:r w:rsidR="00610B9C">
        <w:t>c)</w:t>
      </w:r>
      <w:r w:rsidR="00610B9C">
        <w:tab/>
        <w:t>Свидетельства о калибровке, подписанные с использованием цифровой подписи:</w:t>
      </w:r>
    </w:p>
    <w:p w14:paraId="0B109E5A" w14:textId="77777777" w:rsidR="00610B9C" w:rsidRPr="00970AA3" w:rsidRDefault="00610B9C" w:rsidP="00610B9C">
      <w:pPr>
        <w:pStyle w:val="SingleTxtG"/>
        <w:ind w:left="1494"/>
      </w:pPr>
      <w:r>
        <w:rPr>
          <w:i/>
          <w:iCs/>
        </w:rPr>
        <w:t>«Этот документ может публиковаться или пересылаться только в полном объеме.</w:t>
      </w:r>
      <w:r>
        <w:t xml:space="preserve"> </w:t>
      </w:r>
      <w:r>
        <w:rPr>
          <w:i/>
          <w:iCs/>
        </w:rPr>
        <w:t>Действительность подписи может быть проверена в электронной версии».</w:t>
      </w:r>
      <w:r>
        <w:t xml:space="preserve"> </w:t>
      </w:r>
    </w:p>
    <w:p w14:paraId="17979AF8" w14:textId="07E6E237" w:rsidR="00610B9C" w:rsidRPr="00970AA3" w:rsidRDefault="008162F9" w:rsidP="00610B9C">
      <w:pPr>
        <w:pStyle w:val="SingleTxtG"/>
        <w:tabs>
          <w:tab w:val="clear" w:pos="2835"/>
        </w:tabs>
      </w:pPr>
      <w:r>
        <w:tab/>
      </w:r>
      <w:r w:rsidR="00610B9C">
        <w:t>d)</w:t>
      </w:r>
      <w:r w:rsidR="00610B9C">
        <w:tab/>
        <w:t>Свидетельства о калибровке:</w:t>
      </w:r>
    </w:p>
    <w:p w14:paraId="2E20DF61" w14:textId="6B662B23" w:rsidR="00610B9C" w:rsidRPr="00970AA3" w:rsidRDefault="00610B9C" w:rsidP="00610B9C">
      <w:pPr>
        <w:pStyle w:val="SingleTxtG"/>
        <w:ind w:left="1494"/>
        <w:rPr>
          <w:i/>
          <w:iCs/>
        </w:rPr>
      </w:pPr>
      <w:r>
        <w:rPr>
          <w:i/>
          <w:iCs/>
        </w:rPr>
        <w:t>«Приведенные результаты измерений и неопределенности относятся только к откалиброванному изделию и к измеренным значениям на момент измерения и никоим образом не влияют на стабильность в долгосрочной перспективе».</w:t>
      </w:r>
    </w:p>
    <w:p w14:paraId="3E266A6C" w14:textId="77777777" w:rsidR="00610B9C" w:rsidRPr="00970AA3" w:rsidRDefault="00610B9C" w:rsidP="00610B9C">
      <w:pPr>
        <w:pStyle w:val="SingleTxtG"/>
      </w:pPr>
      <w:r>
        <w:t>5.</w:t>
      </w:r>
      <w:r>
        <w:tab/>
        <w:t xml:space="preserve">Важно повышать осведомленность перевозчиков о том, что они несут ответственность за предоставление для каждого запланированного рейса подходящих транспортных средств. </w:t>
      </w:r>
    </w:p>
    <w:p w14:paraId="62CD976F" w14:textId="59ED0BE2" w:rsidR="00610B9C" w:rsidRPr="00970AA3" w:rsidRDefault="00A308F2" w:rsidP="00610B9C">
      <w:pPr>
        <w:pStyle w:val="HChG"/>
      </w:pPr>
      <w:r>
        <w:rPr>
          <w:bCs/>
        </w:rPr>
        <w:tab/>
      </w:r>
      <w:r w:rsidR="00610B9C">
        <w:rPr>
          <w:bCs/>
        </w:rPr>
        <w:t>III.</w:t>
      </w:r>
      <w:r w:rsidR="00610B9C">
        <w:tab/>
      </w:r>
      <w:r w:rsidR="00610B9C">
        <w:rPr>
          <w:bCs/>
        </w:rPr>
        <w:t>Затраты</w:t>
      </w:r>
    </w:p>
    <w:p w14:paraId="0437743D" w14:textId="77777777" w:rsidR="00610B9C" w:rsidRPr="00970AA3" w:rsidRDefault="00610B9C" w:rsidP="00610B9C">
      <w:pPr>
        <w:pStyle w:val="SingleTxtG"/>
      </w:pPr>
      <w:r>
        <w:t>6.</w:t>
      </w:r>
      <w:r>
        <w:tab/>
        <w:t>Отсутствуют</w:t>
      </w:r>
    </w:p>
    <w:p w14:paraId="5E7305C0" w14:textId="75EDCD31" w:rsidR="00610B9C" w:rsidRPr="00970AA3" w:rsidRDefault="00A308F2" w:rsidP="00610B9C">
      <w:pPr>
        <w:pStyle w:val="HChG"/>
      </w:pPr>
      <w:r>
        <w:rPr>
          <w:bCs/>
        </w:rPr>
        <w:tab/>
      </w:r>
      <w:r w:rsidR="00610B9C">
        <w:rPr>
          <w:bCs/>
        </w:rPr>
        <w:t>IV.</w:t>
      </w:r>
      <w:r w:rsidR="00610B9C">
        <w:tab/>
      </w:r>
      <w:r w:rsidR="00610B9C">
        <w:rPr>
          <w:bCs/>
        </w:rPr>
        <w:t>Осуществимость</w:t>
      </w:r>
    </w:p>
    <w:p w14:paraId="7DB07C6D" w14:textId="77777777" w:rsidR="00610B9C" w:rsidRPr="00970AA3" w:rsidRDefault="00610B9C" w:rsidP="00610B9C">
      <w:pPr>
        <w:pStyle w:val="SingleTxtG"/>
      </w:pPr>
      <w:r>
        <w:t>7.</w:t>
      </w:r>
      <w:r>
        <w:tab/>
        <w:t>Какие-либо дополнительные требования для официальных испытательных станций СПС отсутствуют.</w:t>
      </w:r>
    </w:p>
    <w:p w14:paraId="76A24E17" w14:textId="3EE5C6D0" w:rsidR="00610B9C" w:rsidRPr="00970AA3" w:rsidRDefault="00A308F2" w:rsidP="00610B9C">
      <w:pPr>
        <w:pStyle w:val="HChG"/>
      </w:pPr>
      <w:r>
        <w:rPr>
          <w:bCs/>
        </w:rPr>
        <w:tab/>
      </w:r>
      <w:r w:rsidR="00610B9C">
        <w:rPr>
          <w:bCs/>
        </w:rPr>
        <w:t>V.</w:t>
      </w:r>
      <w:r w:rsidR="00610B9C">
        <w:tab/>
      </w:r>
      <w:r w:rsidR="00610B9C">
        <w:rPr>
          <w:bCs/>
        </w:rPr>
        <w:t>Обеспечение применения</w:t>
      </w:r>
    </w:p>
    <w:p w14:paraId="4B9AC928" w14:textId="77777777" w:rsidR="00610B9C" w:rsidRPr="00970AA3" w:rsidRDefault="00610B9C" w:rsidP="00610B9C">
      <w:pPr>
        <w:pStyle w:val="SingleTxtG"/>
      </w:pPr>
      <w:r>
        <w:t>8.</w:t>
      </w:r>
      <w:r>
        <w:tab/>
        <w:t>Никаких проблем с реализацией настоящего предложения не предвидится.</w:t>
      </w:r>
    </w:p>
    <w:p w14:paraId="640F3CE2" w14:textId="1981E6F0" w:rsidR="00E12C5F" w:rsidRPr="00A308F2" w:rsidRDefault="00610B9C" w:rsidP="00A308F2">
      <w:pPr>
        <w:spacing w:before="240"/>
        <w:jc w:val="center"/>
        <w:rPr>
          <w:u w:val="single"/>
        </w:rPr>
      </w:pPr>
      <w:r w:rsidRPr="00970AA3">
        <w:rPr>
          <w:u w:val="single"/>
        </w:rPr>
        <w:tab/>
      </w:r>
      <w:r w:rsidRPr="00970AA3">
        <w:rPr>
          <w:u w:val="single"/>
        </w:rPr>
        <w:tab/>
      </w:r>
      <w:r w:rsidRPr="00970AA3">
        <w:rPr>
          <w:u w:val="single"/>
        </w:rPr>
        <w:tab/>
      </w:r>
    </w:p>
    <w:sectPr w:rsidR="00E12C5F" w:rsidRPr="00A308F2" w:rsidSect="0022718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38F8" w14:textId="77777777" w:rsidR="00D206E7" w:rsidRPr="00A312BC" w:rsidRDefault="00D206E7" w:rsidP="00A312BC"/>
  </w:endnote>
  <w:endnote w:type="continuationSeparator" w:id="0">
    <w:p w14:paraId="766A9478" w14:textId="77777777" w:rsidR="00D206E7" w:rsidRPr="00A312BC" w:rsidRDefault="00D206E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9F13" w14:textId="6B8916B1" w:rsidR="00227181" w:rsidRPr="00227181" w:rsidRDefault="00227181">
    <w:pPr>
      <w:pStyle w:val="a8"/>
    </w:pPr>
    <w:r w:rsidRPr="00227181">
      <w:rPr>
        <w:b/>
        <w:sz w:val="18"/>
      </w:rPr>
      <w:fldChar w:fldCharType="begin"/>
    </w:r>
    <w:r w:rsidRPr="00227181">
      <w:rPr>
        <w:b/>
        <w:sz w:val="18"/>
      </w:rPr>
      <w:instrText xml:space="preserve"> PAGE  \* MERGEFORMAT </w:instrText>
    </w:r>
    <w:r w:rsidRPr="00227181">
      <w:rPr>
        <w:b/>
        <w:sz w:val="18"/>
      </w:rPr>
      <w:fldChar w:fldCharType="separate"/>
    </w:r>
    <w:r w:rsidRPr="00227181">
      <w:rPr>
        <w:b/>
        <w:noProof/>
        <w:sz w:val="18"/>
      </w:rPr>
      <w:t>2</w:t>
    </w:r>
    <w:r w:rsidRPr="00227181">
      <w:rPr>
        <w:b/>
        <w:sz w:val="18"/>
      </w:rPr>
      <w:fldChar w:fldCharType="end"/>
    </w:r>
    <w:r>
      <w:rPr>
        <w:b/>
        <w:sz w:val="18"/>
      </w:rPr>
      <w:tab/>
    </w:r>
    <w:r>
      <w:t>GE.24-14620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FEF" w14:textId="3F1FA11D" w:rsidR="00227181" w:rsidRPr="00227181" w:rsidRDefault="00227181" w:rsidP="00227181">
    <w:pPr>
      <w:pStyle w:val="a8"/>
      <w:tabs>
        <w:tab w:val="clear" w:pos="9639"/>
        <w:tab w:val="right" w:pos="9638"/>
      </w:tabs>
      <w:rPr>
        <w:b/>
        <w:sz w:val="18"/>
      </w:rPr>
    </w:pPr>
    <w:r>
      <w:t>GE.24-14620</w:t>
    </w:r>
    <w:r>
      <w:tab/>
    </w:r>
    <w:r w:rsidRPr="00227181">
      <w:rPr>
        <w:b/>
        <w:sz w:val="18"/>
      </w:rPr>
      <w:fldChar w:fldCharType="begin"/>
    </w:r>
    <w:r w:rsidRPr="00227181">
      <w:rPr>
        <w:b/>
        <w:sz w:val="18"/>
      </w:rPr>
      <w:instrText xml:space="preserve"> PAGE  \* MERGEFORMAT </w:instrText>
    </w:r>
    <w:r w:rsidRPr="00227181">
      <w:rPr>
        <w:b/>
        <w:sz w:val="18"/>
      </w:rPr>
      <w:fldChar w:fldCharType="separate"/>
    </w:r>
    <w:r w:rsidRPr="00227181">
      <w:rPr>
        <w:b/>
        <w:noProof/>
        <w:sz w:val="18"/>
      </w:rPr>
      <w:t>3</w:t>
    </w:r>
    <w:r w:rsidRPr="0022718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8AC2" w14:textId="6342D190" w:rsidR="00042B72" w:rsidRPr="00575856" w:rsidRDefault="00227181" w:rsidP="0022718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19FF955" wp14:editId="756D906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24-14620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5BF83F3" wp14:editId="2B3A383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856">
      <w:rPr>
        <w:lang w:val="en-US"/>
      </w:rPr>
      <w:t xml:space="preserve">  290824  020924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199D" w14:textId="77777777" w:rsidR="00D206E7" w:rsidRPr="001075E9" w:rsidRDefault="00D206E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C50775F" w14:textId="77777777" w:rsidR="00D206E7" w:rsidRDefault="00D206E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8C48" w14:textId="6CC5EA0C" w:rsidR="00227181" w:rsidRPr="00227181" w:rsidRDefault="00227181">
    <w:pPr>
      <w:pStyle w:val="a5"/>
    </w:pPr>
    <w:fldSimple w:instr=" TITLE  \* MERGEFORMAT ">
      <w:r w:rsidR="00A07F28">
        <w:t>ECE/TRANS/WP.11/2024/16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A73" w14:textId="3D3ED8A5" w:rsidR="00227181" w:rsidRPr="00227181" w:rsidRDefault="00227181" w:rsidP="00227181">
    <w:pPr>
      <w:pStyle w:val="a5"/>
      <w:jc w:val="right"/>
    </w:pPr>
    <w:fldSimple w:instr=" TITLE  \* MERGEFORMAT ">
      <w:r w:rsidR="00A07F28">
        <w:t>ECE/TRANS/WP.11/2024/16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56861566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E7"/>
    <w:rsid w:val="00033EE1"/>
    <w:rsid w:val="00042B72"/>
    <w:rsid w:val="000558BD"/>
    <w:rsid w:val="000B57E7"/>
    <w:rsid w:val="000B6373"/>
    <w:rsid w:val="000E4E5B"/>
    <w:rsid w:val="000F09DF"/>
    <w:rsid w:val="000F61B2"/>
    <w:rsid w:val="00101593"/>
    <w:rsid w:val="001075E9"/>
    <w:rsid w:val="0014152F"/>
    <w:rsid w:val="00180183"/>
    <w:rsid w:val="0018024D"/>
    <w:rsid w:val="0018649F"/>
    <w:rsid w:val="00196389"/>
    <w:rsid w:val="001A1C71"/>
    <w:rsid w:val="001A51AD"/>
    <w:rsid w:val="001B3EF6"/>
    <w:rsid w:val="001C7A89"/>
    <w:rsid w:val="00227181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75856"/>
    <w:rsid w:val="00575A1A"/>
    <w:rsid w:val="005961C8"/>
    <w:rsid w:val="005966F1"/>
    <w:rsid w:val="005D7914"/>
    <w:rsid w:val="005E2B41"/>
    <w:rsid w:val="005F0B42"/>
    <w:rsid w:val="00610B9C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162F9"/>
    <w:rsid w:val="00824C10"/>
    <w:rsid w:val="00825F8D"/>
    <w:rsid w:val="00834B71"/>
    <w:rsid w:val="00861A62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129C0"/>
    <w:rsid w:val="0093513A"/>
    <w:rsid w:val="00951972"/>
    <w:rsid w:val="009608F3"/>
    <w:rsid w:val="009A24AC"/>
    <w:rsid w:val="009C59D7"/>
    <w:rsid w:val="009C6FE6"/>
    <w:rsid w:val="009D7E7D"/>
    <w:rsid w:val="00A07F28"/>
    <w:rsid w:val="00A14DA8"/>
    <w:rsid w:val="00A308F2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206E7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478BC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9046"/>
  <w15:docId w15:val="{7B7E6CEE-1740-48C8-8F82-FF5DD8B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610B9C"/>
    <w:rPr>
      <w:lang w:val="ru-RU" w:eastAsia="en-US"/>
    </w:rPr>
  </w:style>
  <w:style w:type="paragraph" w:customStyle="1" w:styleId="ParNoG">
    <w:name w:val="_ParNo_G"/>
    <w:basedOn w:val="a"/>
    <w:qFormat/>
    <w:rsid w:val="00610B9C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610B9C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2F04A-5A49-4E6B-BC8F-3B77A783A873}"/>
</file>

<file path=customXml/itemProps2.xml><?xml version="1.0" encoding="utf-8"?>
<ds:datastoreItem xmlns:ds="http://schemas.openxmlformats.org/officeDocument/2006/customXml" ds:itemID="{ED9A1BCE-8DFE-4E06-BA1C-D7767E3D880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370</Words>
  <Characters>2734</Characters>
  <Application>Microsoft Office Word</Application>
  <DocSecurity>0</DocSecurity>
  <Lines>45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ECE/TRANS/WP.11/2024/16</dc:title>
  <dc:subject/>
  <dc:creator>Uliana ANTIPOVA</dc:creator>
  <cp:keywords/>
  <cp:lastModifiedBy>Uliana Antipova</cp:lastModifiedBy>
  <cp:revision>3</cp:revision>
  <cp:lastPrinted>2024-09-02T07:22:00Z</cp:lastPrinted>
  <dcterms:created xsi:type="dcterms:W3CDTF">2024-09-02T07:22:00Z</dcterms:created>
  <dcterms:modified xsi:type="dcterms:W3CDTF">2024-09-02T07:22:00Z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