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147447AE" w14:textId="77777777" w:rsidTr="00C97039">
        <w:trPr>
          <w:trHeight w:hRule="exact" w:val="851"/>
        </w:trPr>
        <w:tc>
          <w:tcPr>
            <w:tcW w:w="1276" w:type="dxa"/>
            <w:tcBorders>
              <w:bottom w:val="single" w:sz="4" w:space="0" w:color="auto"/>
            </w:tcBorders>
          </w:tcPr>
          <w:p w14:paraId="068820B1" w14:textId="77777777" w:rsidR="00F35BAF" w:rsidRPr="00DB58B5" w:rsidRDefault="00F35BAF" w:rsidP="003E3686"/>
        </w:tc>
        <w:tc>
          <w:tcPr>
            <w:tcW w:w="2268" w:type="dxa"/>
            <w:tcBorders>
              <w:bottom w:val="single" w:sz="4" w:space="0" w:color="auto"/>
            </w:tcBorders>
            <w:vAlign w:val="bottom"/>
          </w:tcPr>
          <w:p w14:paraId="2F5AEC96"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E32F881" w14:textId="367612EB" w:rsidR="00F35BAF" w:rsidRPr="00DB58B5" w:rsidRDefault="003E3686" w:rsidP="003E3686">
            <w:pPr>
              <w:jc w:val="right"/>
            </w:pPr>
            <w:r w:rsidRPr="003E3686">
              <w:rPr>
                <w:sz w:val="40"/>
              </w:rPr>
              <w:t>ECE</w:t>
            </w:r>
            <w:r>
              <w:t>/TRANS/WP.11/2024/15</w:t>
            </w:r>
          </w:p>
        </w:tc>
      </w:tr>
      <w:tr w:rsidR="00F35BAF" w:rsidRPr="00DB58B5" w14:paraId="025F6374" w14:textId="77777777" w:rsidTr="00C97039">
        <w:trPr>
          <w:trHeight w:hRule="exact" w:val="2835"/>
        </w:trPr>
        <w:tc>
          <w:tcPr>
            <w:tcW w:w="1276" w:type="dxa"/>
            <w:tcBorders>
              <w:top w:val="single" w:sz="4" w:space="0" w:color="auto"/>
              <w:bottom w:val="single" w:sz="12" w:space="0" w:color="auto"/>
            </w:tcBorders>
          </w:tcPr>
          <w:p w14:paraId="4BEE9761" w14:textId="77777777" w:rsidR="00F35BAF" w:rsidRPr="00DB58B5" w:rsidRDefault="00F35BAF" w:rsidP="00C97039">
            <w:pPr>
              <w:spacing w:before="120"/>
              <w:jc w:val="center"/>
            </w:pPr>
            <w:r>
              <w:rPr>
                <w:noProof/>
                <w:lang w:eastAsia="fr-CH"/>
              </w:rPr>
              <w:drawing>
                <wp:inline distT="0" distB="0" distL="0" distR="0" wp14:anchorId="07913F4D" wp14:editId="6A36192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B3254C8"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3DFC4B24" w14:textId="77777777" w:rsidR="00F35BAF" w:rsidRDefault="003E3686" w:rsidP="00C97039">
            <w:pPr>
              <w:spacing w:before="240"/>
            </w:pPr>
            <w:proofErr w:type="spellStart"/>
            <w:r>
              <w:t>Distr</w:t>
            </w:r>
            <w:proofErr w:type="spellEnd"/>
            <w:r>
              <w:t>. générale</w:t>
            </w:r>
          </w:p>
          <w:p w14:paraId="145A1352" w14:textId="77777777" w:rsidR="003E3686" w:rsidRDefault="003E3686" w:rsidP="003E3686">
            <w:pPr>
              <w:spacing w:line="240" w:lineRule="exact"/>
            </w:pPr>
            <w:r>
              <w:t>13 août 2024</w:t>
            </w:r>
          </w:p>
          <w:p w14:paraId="623F3EE8" w14:textId="77777777" w:rsidR="003E3686" w:rsidRDefault="003E3686" w:rsidP="003E3686">
            <w:pPr>
              <w:spacing w:line="240" w:lineRule="exact"/>
            </w:pPr>
            <w:r>
              <w:t>Français</w:t>
            </w:r>
          </w:p>
          <w:p w14:paraId="74EB4FC0" w14:textId="24423F4C" w:rsidR="003E3686" w:rsidRPr="00DB58B5" w:rsidRDefault="003E3686" w:rsidP="003E3686">
            <w:pPr>
              <w:spacing w:line="240" w:lineRule="exact"/>
            </w:pPr>
            <w:r>
              <w:t>Original : anglais</w:t>
            </w:r>
          </w:p>
        </w:tc>
      </w:tr>
    </w:tbl>
    <w:p w14:paraId="2076FF6E" w14:textId="77777777" w:rsidR="007F20FA" w:rsidRPr="000312C0" w:rsidRDefault="007F20FA" w:rsidP="007F20FA">
      <w:pPr>
        <w:spacing w:before="120"/>
        <w:rPr>
          <w:b/>
          <w:sz w:val="28"/>
          <w:szCs w:val="28"/>
        </w:rPr>
      </w:pPr>
      <w:r w:rsidRPr="000312C0">
        <w:rPr>
          <w:b/>
          <w:sz w:val="28"/>
          <w:szCs w:val="28"/>
        </w:rPr>
        <w:t>Commission économique pour l’Europe</w:t>
      </w:r>
    </w:p>
    <w:p w14:paraId="1031F1D6" w14:textId="77777777" w:rsidR="007F20FA" w:rsidRDefault="007F20FA" w:rsidP="007F20FA">
      <w:pPr>
        <w:spacing w:before="120"/>
        <w:rPr>
          <w:sz w:val="28"/>
          <w:szCs w:val="28"/>
        </w:rPr>
      </w:pPr>
      <w:r w:rsidRPr="00685843">
        <w:rPr>
          <w:sz w:val="28"/>
          <w:szCs w:val="28"/>
        </w:rPr>
        <w:t>Comité des transports intérieurs</w:t>
      </w:r>
    </w:p>
    <w:p w14:paraId="43F3FB8D" w14:textId="77777777" w:rsidR="003E3686" w:rsidRPr="003E3686" w:rsidRDefault="003E3686" w:rsidP="003E3686">
      <w:pPr>
        <w:spacing w:before="120"/>
        <w:rPr>
          <w:b/>
          <w:sz w:val="24"/>
          <w:szCs w:val="24"/>
          <w:lang w:val="fr-FR"/>
        </w:rPr>
      </w:pPr>
      <w:r w:rsidRPr="003E3686">
        <w:rPr>
          <w:b/>
          <w:bCs/>
          <w:sz w:val="24"/>
          <w:szCs w:val="24"/>
          <w:lang w:val="fr-FR"/>
        </w:rPr>
        <w:t>Groupe de travail du transport des denrées périssables</w:t>
      </w:r>
    </w:p>
    <w:p w14:paraId="02063861" w14:textId="77777777" w:rsidR="003E3686" w:rsidRPr="00D2580F" w:rsidRDefault="003E3686" w:rsidP="003E3686">
      <w:pPr>
        <w:spacing w:before="120"/>
        <w:rPr>
          <w:b/>
          <w:lang w:val="fr-FR"/>
        </w:rPr>
      </w:pPr>
      <w:r>
        <w:rPr>
          <w:b/>
          <w:bCs/>
          <w:lang w:val="fr-FR"/>
        </w:rPr>
        <w:t>Quatre-vingt-unième session</w:t>
      </w:r>
    </w:p>
    <w:p w14:paraId="43AD80C8" w14:textId="4EA8A5DC" w:rsidR="003E3686" w:rsidRPr="00D2580F" w:rsidRDefault="003E3686" w:rsidP="003E3686">
      <w:pPr>
        <w:rPr>
          <w:lang w:val="fr-FR"/>
        </w:rPr>
      </w:pPr>
      <w:r>
        <w:rPr>
          <w:lang w:val="fr-FR"/>
        </w:rPr>
        <w:t>Genève, 29 octobre</w:t>
      </w:r>
      <w:r w:rsidR="00327828">
        <w:rPr>
          <w:lang w:val="fr-FR"/>
        </w:rPr>
        <w:t>-</w:t>
      </w:r>
      <w:r>
        <w:rPr>
          <w:lang w:val="fr-FR"/>
        </w:rPr>
        <w:t>1</w:t>
      </w:r>
      <w:r>
        <w:rPr>
          <w:vertAlign w:val="superscript"/>
          <w:lang w:val="fr-FR"/>
        </w:rPr>
        <w:t>er</w:t>
      </w:r>
      <w:r>
        <w:rPr>
          <w:lang w:val="fr-FR"/>
        </w:rPr>
        <w:t xml:space="preserve"> novembre 2024</w:t>
      </w:r>
    </w:p>
    <w:p w14:paraId="7232648D" w14:textId="77777777" w:rsidR="003E3686" w:rsidRPr="00D2580F" w:rsidRDefault="003E3686" w:rsidP="003E3686">
      <w:pPr>
        <w:rPr>
          <w:lang w:val="fr-FR"/>
        </w:rPr>
      </w:pPr>
      <w:r>
        <w:rPr>
          <w:lang w:val="fr-FR"/>
        </w:rPr>
        <w:t>Point 4 f) de l’ordre du jour provisoire</w:t>
      </w:r>
    </w:p>
    <w:p w14:paraId="12487BA6" w14:textId="250FDB89" w:rsidR="003E3686" w:rsidRPr="00D2580F" w:rsidRDefault="003E3686" w:rsidP="003E3686">
      <w:pPr>
        <w:rPr>
          <w:b/>
          <w:bCs/>
          <w:lang w:val="fr-FR"/>
        </w:rPr>
      </w:pPr>
      <w:r>
        <w:rPr>
          <w:b/>
          <w:bCs/>
          <w:lang w:val="fr-FR"/>
        </w:rPr>
        <w:t xml:space="preserve">État et mise en œuvre de l’Accord relatif aux transports </w:t>
      </w:r>
      <w:r>
        <w:rPr>
          <w:b/>
          <w:bCs/>
          <w:lang w:val="fr-FR"/>
        </w:rPr>
        <w:br/>
      </w:r>
      <w:r>
        <w:rPr>
          <w:b/>
          <w:bCs/>
          <w:lang w:val="fr-FR"/>
        </w:rPr>
        <w:t xml:space="preserve">internationaux de denrées périssables et aux engins </w:t>
      </w:r>
      <w:r w:rsidR="00327828">
        <w:rPr>
          <w:b/>
          <w:bCs/>
          <w:lang w:val="fr-FR"/>
        </w:rPr>
        <w:br/>
      </w:r>
      <w:r>
        <w:rPr>
          <w:b/>
          <w:bCs/>
          <w:lang w:val="fr-FR"/>
        </w:rPr>
        <w:t>spéciaux à utiliser pour ces transports (ATP) :</w:t>
      </w:r>
    </w:p>
    <w:p w14:paraId="01BC3DB0" w14:textId="77777777" w:rsidR="003E3686" w:rsidRPr="00E31A5A" w:rsidRDefault="003E3686" w:rsidP="003E3686">
      <w:pPr>
        <w:rPr>
          <w:b/>
          <w:bCs/>
          <w:lang w:val="fr-FR"/>
        </w:rPr>
      </w:pPr>
      <w:r>
        <w:rPr>
          <w:b/>
          <w:bCs/>
          <w:lang w:val="fr-FR"/>
        </w:rPr>
        <w:t>Interprétation de l’ATP</w:t>
      </w:r>
    </w:p>
    <w:p w14:paraId="2D974D20" w14:textId="77777777" w:rsidR="003E3686" w:rsidRPr="00D2580F" w:rsidRDefault="003E3686" w:rsidP="003E3686">
      <w:pPr>
        <w:pStyle w:val="HChG"/>
        <w:rPr>
          <w:lang w:val="fr-FR"/>
        </w:rPr>
      </w:pPr>
      <w:r>
        <w:rPr>
          <w:lang w:val="fr-FR"/>
        </w:rPr>
        <w:tab/>
      </w:r>
      <w:r>
        <w:rPr>
          <w:lang w:val="fr-FR"/>
        </w:rPr>
        <w:tab/>
        <w:t>Interprétation de l’ATP</w:t>
      </w:r>
    </w:p>
    <w:p w14:paraId="20768358" w14:textId="77777777" w:rsidR="003E3686" w:rsidRDefault="003E3686" w:rsidP="003E3686">
      <w:pPr>
        <w:pStyle w:val="H1G"/>
        <w:rPr>
          <w:lang w:val="fr-FR"/>
        </w:rPr>
      </w:pPr>
      <w:r>
        <w:rPr>
          <w:lang w:val="fr-FR"/>
        </w:rPr>
        <w:tab/>
      </w:r>
      <w:r>
        <w:rPr>
          <w:lang w:val="fr-FR"/>
        </w:rPr>
        <w:tab/>
        <w:t>Communication du Gouvernement slovène</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3E3686" w14:paraId="635AA226" w14:textId="77777777" w:rsidTr="003E3686">
        <w:trPr>
          <w:jc w:val="center"/>
        </w:trPr>
        <w:tc>
          <w:tcPr>
            <w:tcW w:w="9628" w:type="dxa"/>
            <w:shd w:val="clear" w:color="auto" w:fill="auto"/>
          </w:tcPr>
          <w:p w14:paraId="084F4019" w14:textId="77777777" w:rsidR="003E3686" w:rsidRDefault="003E3686">
            <w:pPr>
              <w:spacing w:before="240" w:after="120"/>
              <w:ind w:left="255"/>
              <w:rPr>
                <w:i/>
                <w:sz w:val="24"/>
              </w:rPr>
            </w:pPr>
            <w:r>
              <w:rPr>
                <w:i/>
                <w:sz w:val="24"/>
              </w:rPr>
              <w:t>Résumé</w:t>
            </w:r>
          </w:p>
        </w:tc>
      </w:tr>
      <w:tr w:rsidR="003E3686" w14:paraId="7B52BC18" w14:textId="77777777" w:rsidTr="003E3686">
        <w:trPr>
          <w:jc w:val="center"/>
        </w:trPr>
        <w:tc>
          <w:tcPr>
            <w:tcW w:w="9628" w:type="dxa"/>
            <w:shd w:val="clear" w:color="auto" w:fill="auto"/>
          </w:tcPr>
          <w:p w14:paraId="270B65F2" w14:textId="2499F23A" w:rsidR="003E3686" w:rsidRDefault="003E3686" w:rsidP="003E3686">
            <w:pPr>
              <w:pStyle w:val="SingleTxtG"/>
              <w:ind w:left="3402" w:hanging="2268"/>
            </w:pPr>
            <w:r>
              <w:rPr>
                <w:b/>
                <w:bCs/>
                <w:lang w:val="fr-FR"/>
              </w:rPr>
              <w:t>Résumé analytique :</w:t>
            </w:r>
            <w:r>
              <w:rPr>
                <w:lang w:val="fr-FR"/>
              </w:rPr>
              <w:tab/>
              <w:t>Lorsque des denrées périssables sont acheminées par route (ou par rail) au moyen de conteneurs maritimes à caractéristiques thermiques chargés sur des véhicules, les prescriptions relatives à l’utilisation d’engins conformes à l’ATP ne sont pas les mêmes selon que le transport comporte ou non un trajet maritime de plus de 150 km. Cela signifie que les prescriptions divergent pour un même type d’engin, ce qui pose problème aux douanes effectuant des contrôles routiers puisque la conformité d’un même type d’engin varie selon les cas.</w:t>
            </w:r>
          </w:p>
        </w:tc>
      </w:tr>
      <w:tr w:rsidR="003E3686" w14:paraId="4F703D80" w14:textId="77777777" w:rsidTr="003E3686">
        <w:trPr>
          <w:jc w:val="center"/>
        </w:trPr>
        <w:tc>
          <w:tcPr>
            <w:tcW w:w="9628" w:type="dxa"/>
            <w:shd w:val="clear" w:color="auto" w:fill="auto"/>
          </w:tcPr>
          <w:p w14:paraId="0281FA69" w14:textId="3D34BC42" w:rsidR="003E3686" w:rsidRDefault="003E3686" w:rsidP="003E3686">
            <w:pPr>
              <w:pStyle w:val="SingleTxtG"/>
              <w:ind w:left="3402" w:hanging="2268"/>
            </w:pPr>
            <w:r>
              <w:rPr>
                <w:b/>
                <w:bCs/>
                <w:lang w:val="fr-FR"/>
              </w:rPr>
              <w:t>Mesures à prendre :</w:t>
            </w:r>
            <w:r>
              <w:rPr>
                <w:lang w:val="fr-FR"/>
              </w:rPr>
              <w:tab/>
            </w:r>
            <w:r>
              <w:rPr>
                <w:lang w:val="fr-FR"/>
              </w:rPr>
              <w:tab/>
              <w:t>Examen</w:t>
            </w:r>
          </w:p>
        </w:tc>
      </w:tr>
      <w:tr w:rsidR="003E3686" w14:paraId="5DA56777" w14:textId="77777777" w:rsidTr="003E3686">
        <w:trPr>
          <w:jc w:val="center"/>
        </w:trPr>
        <w:tc>
          <w:tcPr>
            <w:tcW w:w="9628" w:type="dxa"/>
            <w:shd w:val="clear" w:color="auto" w:fill="auto"/>
          </w:tcPr>
          <w:p w14:paraId="48F79895" w14:textId="05D28FD8" w:rsidR="003E3686" w:rsidRDefault="003E3686" w:rsidP="003E3686">
            <w:pPr>
              <w:pStyle w:val="SingleTxtG"/>
              <w:ind w:left="3402" w:hanging="2268"/>
            </w:pPr>
            <w:r>
              <w:rPr>
                <w:b/>
                <w:bCs/>
                <w:lang w:val="fr-FR"/>
              </w:rPr>
              <w:t>Documents connexes :</w:t>
            </w:r>
            <w:r>
              <w:rPr>
                <w:lang w:val="fr-FR"/>
              </w:rPr>
              <w:tab/>
            </w:r>
            <w:r>
              <w:rPr>
                <w:lang w:val="fr-FR"/>
              </w:rPr>
              <w:tab/>
              <w:t>/</w:t>
            </w:r>
          </w:p>
        </w:tc>
      </w:tr>
      <w:tr w:rsidR="003E3686" w14:paraId="10FF60B6" w14:textId="77777777" w:rsidTr="003E3686">
        <w:trPr>
          <w:jc w:val="center"/>
        </w:trPr>
        <w:tc>
          <w:tcPr>
            <w:tcW w:w="9628" w:type="dxa"/>
            <w:shd w:val="clear" w:color="auto" w:fill="auto"/>
          </w:tcPr>
          <w:p w14:paraId="3006D3FD" w14:textId="77777777" w:rsidR="003E3686" w:rsidRDefault="003E3686"/>
        </w:tc>
      </w:tr>
    </w:tbl>
    <w:p w14:paraId="372921B5" w14:textId="77777777" w:rsidR="003E3686" w:rsidRDefault="003E3686">
      <w:pPr>
        <w:suppressAutoHyphens w:val="0"/>
        <w:kinsoku/>
        <w:overflowPunct/>
        <w:autoSpaceDE/>
        <w:autoSpaceDN/>
        <w:adjustRightInd/>
        <w:snapToGrid/>
        <w:spacing w:after="200" w:line="276" w:lineRule="auto"/>
        <w:rPr>
          <w:b/>
          <w:sz w:val="28"/>
          <w:lang w:val="fr-FR"/>
        </w:rPr>
      </w:pPr>
      <w:r>
        <w:rPr>
          <w:lang w:val="fr-FR"/>
        </w:rPr>
        <w:br w:type="page"/>
      </w:r>
    </w:p>
    <w:p w14:paraId="163F4D14" w14:textId="426BA86C" w:rsidR="003E3686" w:rsidRPr="00D2580F" w:rsidRDefault="003E3686" w:rsidP="003E3686">
      <w:pPr>
        <w:pStyle w:val="HChG"/>
        <w:ind w:left="0" w:firstLine="0"/>
        <w:rPr>
          <w:rStyle w:val="HChGChar"/>
          <w:b/>
          <w:lang w:val="fr-FR"/>
        </w:rPr>
      </w:pPr>
      <w:r>
        <w:rPr>
          <w:lang w:val="fr-FR"/>
        </w:rPr>
        <w:lastRenderedPageBreak/>
        <w:tab/>
      </w:r>
      <w:r>
        <w:rPr>
          <w:lang w:val="fr-FR"/>
        </w:rPr>
        <w:tab/>
      </w:r>
      <w:r>
        <w:rPr>
          <w:bCs/>
          <w:lang w:val="fr-FR"/>
        </w:rPr>
        <w:t>Introduction</w:t>
      </w:r>
    </w:p>
    <w:p w14:paraId="157CB1F7" w14:textId="18AD9D52" w:rsidR="003E3686" w:rsidRPr="00D2580F" w:rsidRDefault="003E3686" w:rsidP="00A376D2">
      <w:pPr>
        <w:pStyle w:val="SingleTxtG"/>
        <w:rPr>
          <w:lang w:val="fr-FR"/>
        </w:rPr>
      </w:pPr>
      <w:r>
        <w:rPr>
          <w:lang w:val="fr-FR"/>
        </w:rPr>
        <w:t>1.</w:t>
      </w:r>
      <w:r>
        <w:rPr>
          <w:lang w:val="fr-FR"/>
        </w:rPr>
        <w:tab/>
        <w:t>Des questions ont été soulevées lors de contrôles routiers en Slovénie et les autorités douanières du pays souhaiteraient qu’il y soit répondu. Certains ensembles d’engins transportant des denrées périssables d’une Partie contractante à l’ATP à une autre traversent le territoire slovène (troisième Partie contractante). Le transport s’effectue au moyen de conteneurs maritimes à caractéristiques thermiques d’abord chargés sur des véhicules routiers puis chargés sur des bateaux dans les ports de Koper (Slovénie), Trieste (Italie) ou Rijeka (Croatie) et transportés par voie maritime sur une distance pouvant ou non dépasser 150</w:t>
      </w:r>
      <w:r w:rsidR="00327828">
        <w:rPr>
          <w:lang w:val="fr-FR"/>
        </w:rPr>
        <w:t> </w:t>
      </w:r>
      <w:r>
        <w:rPr>
          <w:lang w:val="fr-FR"/>
        </w:rPr>
        <w:t>km.</w:t>
      </w:r>
    </w:p>
    <w:p w14:paraId="6BC3FEF5" w14:textId="5A6D8F14" w:rsidR="003E3686" w:rsidRPr="00D2580F" w:rsidRDefault="003E3686" w:rsidP="00A376D2">
      <w:pPr>
        <w:pStyle w:val="SingleTxtG"/>
        <w:rPr>
          <w:lang w:val="fr-FR"/>
        </w:rPr>
      </w:pPr>
      <w:r>
        <w:rPr>
          <w:lang w:val="fr-FR"/>
        </w:rPr>
        <w:t>2.</w:t>
      </w:r>
      <w:r>
        <w:rPr>
          <w:lang w:val="fr-FR"/>
        </w:rPr>
        <w:tab/>
        <w:t>Selon l’article 5 de l’ATP, il est nécessaire d’utiliser des engins conformes lors d’un transport comportant un trajet maritime de moins de 150</w:t>
      </w:r>
      <w:r w:rsidR="00327828">
        <w:rPr>
          <w:lang w:val="fr-FR"/>
        </w:rPr>
        <w:t> </w:t>
      </w:r>
      <w:r>
        <w:rPr>
          <w:lang w:val="fr-FR"/>
        </w:rPr>
        <w:t>km, mais pas lors d’un transport comportant un trajet maritime de plus de 150</w:t>
      </w:r>
      <w:r w:rsidR="00327828">
        <w:rPr>
          <w:lang w:val="fr-FR"/>
        </w:rPr>
        <w:t> </w:t>
      </w:r>
      <w:r>
        <w:rPr>
          <w:lang w:val="fr-FR"/>
        </w:rPr>
        <w:t xml:space="preserve">km. </w:t>
      </w:r>
    </w:p>
    <w:p w14:paraId="5918FFFA" w14:textId="77777777" w:rsidR="003E3686" w:rsidRPr="00D2580F" w:rsidRDefault="003E3686" w:rsidP="00A376D2">
      <w:pPr>
        <w:pStyle w:val="SingleTxtG"/>
        <w:rPr>
          <w:lang w:val="fr-FR"/>
        </w:rPr>
      </w:pPr>
      <w:r>
        <w:rPr>
          <w:lang w:val="fr-FR"/>
        </w:rPr>
        <w:t>3.</w:t>
      </w:r>
      <w:r>
        <w:rPr>
          <w:lang w:val="fr-FR"/>
        </w:rPr>
        <w:tab/>
        <w:t>Le Gouvernement slovène souhaite donc poser les questions ci-après aux membres du Groupe de travail du transport des denrées périssables :</w:t>
      </w:r>
    </w:p>
    <w:p w14:paraId="2F210724" w14:textId="50F11E9E" w:rsidR="003E3686" w:rsidRPr="00D2580F" w:rsidRDefault="00A376D2" w:rsidP="00A376D2">
      <w:pPr>
        <w:pStyle w:val="H23G"/>
        <w:rPr>
          <w:lang w:val="fr-FR"/>
        </w:rPr>
      </w:pPr>
      <w:r>
        <w:rPr>
          <w:lang w:val="fr-FR"/>
        </w:rPr>
        <w:tab/>
      </w:r>
      <w:r>
        <w:rPr>
          <w:lang w:val="fr-FR"/>
        </w:rPr>
        <w:tab/>
      </w:r>
      <w:r w:rsidR="003E3686">
        <w:rPr>
          <w:lang w:val="fr-FR"/>
        </w:rPr>
        <w:t>Question 1</w:t>
      </w:r>
    </w:p>
    <w:p w14:paraId="211BCA72" w14:textId="77777777" w:rsidR="003E3686" w:rsidRPr="00D2580F" w:rsidRDefault="003E3686" w:rsidP="003E3686">
      <w:pPr>
        <w:pStyle w:val="SingleTxtG"/>
        <w:rPr>
          <w:lang w:val="fr-FR"/>
        </w:rPr>
      </w:pPr>
      <w:r>
        <w:rPr>
          <w:lang w:val="fr-FR"/>
        </w:rPr>
        <w:t xml:space="preserve">Pourquoi les prescriptions de l’ATP s’appliquent-elles aux trajets courts mais pas aux trajets plus longs faisant intervenir le même type d’engin ? </w:t>
      </w:r>
    </w:p>
    <w:p w14:paraId="42322D23" w14:textId="12BE05CB" w:rsidR="003E3686" w:rsidRPr="00D2580F" w:rsidRDefault="00A376D2" w:rsidP="00A376D2">
      <w:pPr>
        <w:pStyle w:val="H23G"/>
        <w:rPr>
          <w:lang w:val="fr-FR"/>
        </w:rPr>
      </w:pPr>
      <w:r>
        <w:rPr>
          <w:lang w:val="fr-FR"/>
        </w:rPr>
        <w:tab/>
      </w:r>
      <w:r>
        <w:rPr>
          <w:lang w:val="fr-FR"/>
        </w:rPr>
        <w:tab/>
      </w:r>
      <w:r w:rsidR="003E3686">
        <w:rPr>
          <w:lang w:val="fr-FR"/>
        </w:rPr>
        <w:t>Question 2</w:t>
      </w:r>
    </w:p>
    <w:p w14:paraId="470FA0E7" w14:textId="19FA7A9F" w:rsidR="00F9573C" w:rsidRDefault="003E3686" w:rsidP="003E3686">
      <w:pPr>
        <w:pStyle w:val="SingleTxtG"/>
        <w:rPr>
          <w:lang w:val="fr-FR"/>
        </w:rPr>
      </w:pPr>
      <w:r>
        <w:rPr>
          <w:lang w:val="fr-FR"/>
        </w:rPr>
        <w:t>Dans le cadre des contrôles routiers effectués dans votre pays, sanctionnez-vous les transporteurs qui ne respectent pas les prescriptions de l’ATP lorsque des conteneurs maritimes à caractéristiques thermiques sont acheminés par route (ou par rail) et que les trajets maritimes font moins de 150 km ?</w:t>
      </w:r>
    </w:p>
    <w:p w14:paraId="6E6E4DDD" w14:textId="72AA0A06" w:rsidR="003E3686" w:rsidRPr="003E3686" w:rsidRDefault="003E3686" w:rsidP="003E3686">
      <w:pPr>
        <w:pStyle w:val="SingleTxtG"/>
        <w:spacing w:before="240" w:after="0"/>
        <w:jc w:val="center"/>
        <w:rPr>
          <w:u w:val="single"/>
        </w:rPr>
      </w:pPr>
      <w:r>
        <w:rPr>
          <w:u w:val="single"/>
        </w:rPr>
        <w:tab/>
      </w:r>
      <w:r>
        <w:rPr>
          <w:u w:val="single"/>
        </w:rPr>
        <w:tab/>
      </w:r>
      <w:r>
        <w:rPr>
          <w:u w:val="single"/>
        </w:rPr>
        <w:tab/>
      </w:r>
    </w:p>
    <w:sectPr w:rsidR="003E3686" w:rsidRPr="003E3686" w:rsidSect="003E368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E225C" w14:textId="77777777" w:rsidR="00265BD7" w:rsidRDefault="00265BD7" w:rsidP="00F95C08">
      <w:pPr>
        <w:spacing w:line="240" w:lineRule="auto"/>
      </w:pPr>
    </w:p>
  </w:endnote>
  <w:endnote w:type="continuationSeparator" w:id="0">
    <w:p w14:paraId="6C7CC926" w14:textId="77777777" w:rsidR="00265BD7" w:rsidRPr="00AC3823" w:rsidRDefault="00265BD7" w:rsidP="00AC3823">
      <w:pPr>
        <w:pStyle w:val="Pieddepage"/>
      </w:pPr>
    </w:p>
  </w:endnote>
  <w:endnote w:type="continuationNotice" w:id="1">
    <w:p w14:paraId="795B3F3C" w14:textId="77777777" w:rsidR="00265BD7" w:rsidRDefault="00265B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707E8" w14:textId="5043AF11" w:rsidR="003E3686" w:rsidRPr="003E3686" w:rsidRDefault="003E3686" w:rsidP="003E3686">
    <w:pPr>
      <w:pStyle w:val="Pieddepage"/>
      <w:tabs>
        <w:tab w:val="right" w:pos="9638"/>
      </w:tabs>
    </w:pPr>
    <w:r w:rsidRPr="003E3686">
      <w:rPr>
        <w:b/>
        <w:sz w:val="18"/>
      </w:rPr>
      <w:fldChar w:fldCharType="begin"/>
    </w:r>
    <w:r w:rsidRPr="003E3686">
      <w:rPr>
        <w:b/>
        <w:sz w:val="18"/>
      </w:rPr>
      <w:instrText xml:space="preserve"> PAGE  \* MERGEFORMAT </w:instrText>
    </w:r>
    <w:r w:rsidRPr="003E3686">
      <w:rPr>
        <w:b/>
        <w:sz w:val="18"/>
      </w:rPr>
      <w:fldChar w:fldCharType="separate"/>
    </w:r>
    <w:r w:rsidRPr="003E3686">
      <w:rPr>
        <w:b/>
        <w:noProof/>
        <w:sz w:val="18"/>
      </w:rPr>
      <w:t>2</w:t>
    </w:r>
    <w:r w:rsidRPr="003E3686">
      <w:rPr>
        <w:b/>
        <w:sz w:val="18"/>
      </w:rPr>
      <w:fldChar w:fldCharType="end"/>
    </w:r>
    <w:r>
      <w:rPr>
        <w:b/>
        <w:sz w:val="18"/>
      </w:rPr>
      <w:tab/>
    </w:r>
    <w:r>
      <w:t>GE.24-14617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35DB" w14:textId="481F0636" w:rsidR="003E3686" w:rsidRPr="003E3686" w:rsidRDefault="003E3686" w:rsidP="003E3686">
    <w:pPr>
      <w:pStyle w:val="Pieddepage"/>
      <w:tabs>
        <w:tab w:val="right" w:pos="9638"/>
      </w:tabs>
      <w:rPr>
        <w:b/>
        <w:sz w:val="18"/>
      </w:rPr>
    </w:pPr>
    <w:r>
      <w:t>GE.24-14617</w:t>
    </w:r>
    <w:r>
      <w:tab/>
    </w:r>
    <w:r w:rsidRPr="003E3686">
      <w:rPr>
        <w:b/>
        <w:sz w:val="18"/>
      </w:rPr>
      <w:fldChar w:fldCharType="begin"/>
    </w:r>
    <w:r w:rsidRPr="003E3686">
      <w:rPr>
        <w:b/>
        <w:sz w:val="18"/>
      </w:rPr>
      <w:instrText xml:space="preserve"> PAGE  \* MERGEFORMAT </w:instrText>
    </w:r>
    <w:r w:rsidRPr="003E3686">
      <w:rPr>
        <w:b/>
        <w:sz w:val="18"/>
      </w:rPr>
      <w:fldChar w:fldCharType="separate"/>
    </w:r>
    <w:r w:rsidRPr="003E3686">
      <w:rPr>
        <w:b/>
        <w:noProof/>
        <w:sz w:val="18"/>
      </w:rPr>
      <w:t>3</w:t>
    </w:r>
    <w:r w:rsidRPr="003E368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C4D78" w14:textId="632D4CBE" w:rsidR="007F20FA" w:rsidRPr="003E3686" w:rsidRDefault="003E3686" w:rsidP="003E3686">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7E93DA6" wp14:editId="0AC9F043">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24-14617  (F)</w:t>
    </w:r>
    <w:r>
      <w:rPr>
        <w:noProof/>
        <w:sz w:val="20"/>
      </w:rPr>
      <w:drawing>
        <wp:anchor distT="0" distB="0" distL="114300" distR="114300" simplePos="0" relativeHeight="251660288" behindDoc="0" locked="0" layoutInCell="1" allowOverlap="1" wp14:anchorId="10E6A94A" wp14:editId="46FB952B">
          <wp:simplePos x="0" y="0"/>
          <wp:positionH relativeFrom="margin">
            <wp:posOffset>5489575</wp:posOffset>
          </wp:positionH>
          <wp:positionV relativeFrom="margin">
            <wp:posOffset>8891905</wp:posOffset>
          </wp:positionV>
          <wp:extent cx="628650" cy="628650"/>
          <wp:effectExtent l="0" t="0" r="0" b="0"/>
          <wp:wrapNone/>
          <wp:docPr id="3260678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030924    030924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7CEC5" w14:textId="77777777" w:rsidR="00265BD7" w:rsidRPr="00AC3823" w:rsidRDefault="00265BD7" w:rsidP="00AC3823">
      <w:pPr>
        <w:pStyle w:val="Pieddepage"/>
        <w:tabs>
          <w:tab w:val="right" w:pos="2155"/>
        </w:tabs>
        <w:spacing w:after="80" w:line="240" w:lineRule="atLeast"/>
        <w:ind w:left="680"/>
        <w:rPr>
          <w:u w:val="single"/>
        </w:rPr>
      </w:pPr>
      <w:r>
        <w:rPr>
          <w:u w:val="single"/>
        </w:rPr>
        <w:tab/>
      </w:r>
    </w:p>
  </w:footnote>
  <w:footnote w:type="continuationSeparator" w:id="0">
    <w:p w14:paraId="2A8176CB" w14:textId="77777777" w:rsidR="00265BD7" w:rsidRPr="00AC3823" w:rsidRDefault="00265BD7" w:rsidP="00AC3823">
      <w:pPr>
        <w:pStyle w:val="Pieddepage"/>
        <w:tabs>
          <w:tab w:val="right" w:pos="2155"/>
        </w:tabs>
        <w:spacing w:after="80" w:line="240" w:lineRule="atLeast"/>
        <w:ind w:left="680"/>
        <w:rPr>
          <w:u w:val="single"/>
        </w:rPr>
      </w:pPr>
      <w:r>
        <w:rPr>
          <w:u w:val="single"/>
        </w:rPr>
        <w:tab/>
      </w:r>
    </w:p>
  </w:footnote>
  <w:footnote w:type="continuationNotice" w:id="1">
    <w:p w14:paraId="625BD47E" w14:textId="77777777" w:rsidR="00265BD7" w:rsidRPr="00AC3823" w:rsidRDefault="00265BD7">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664B" w14:textId="3122CC6B" w:rsidR="003E3686" w:rsidRPr="003E3686" w:rsidRDefault="003E3686">
    <w:pPr>
      <w:pStyle w:val="En-tte"/>
    </w:pPr>
    <w:fldSimple w:instr=" TITLE  \* MERGEFORMAT ">
      <w:r>
        <w:t>ECE/TRANS/WP.11/2024/15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5776" w14:textId="42564D86" w:rsidR="003E3686" w:rsidRPr="003E3686" w:rsidRDefault="003E3686" w:rsidP="003E3686">
    <w:pPr>
      <w:pStyle w:val="En-tte"/>
      <w:jc w:val="right"/>
    </w:pPr>
    <w:fldSimple w:instr=" TITLE  \* MERGEFORMAT ">
      <w:r>
        <w:t>ECE/TRANS/WP.11/2024/15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D7"/>
    <w:rsid w:val="00017F94"/>
    <w:rsid w:val="00023842"/>
    <w:rsid w:val="000334F9"/>
    <w:rsid w:val="00045FEB"/>
    <w:rsid w:val="0007796D"/>
    <w:rsid w:val="000B7790"/>
    <w:rsid w:val="00111F2F"/>
    <w:rsid w:val="0014365E"/>
    <w:rsid w:val="00143C66"/>
    <w:rsid w:val="00176178"/>
    <w:rsid w:val="001772E5"/>
    <w:rsid w:val="001F525A"/>
    <w:rsid w:val="00201148"/>
    <w:rsid w:val="00223272"/>
    <w:rsid w:val="0024779E"/>
    <w:rsid w:val="00257168"/>
    <w:rsid w:val="00265BD7"/>
    <w:rsid w:val="002672D9"/>
    <w:rsid w:val="002744B8"/>
    <w:rsid w:val="002832AC"/>
    <w:rsid w:val="002D7C93"/>
    <w:rsid w:val="00305801"/>
    <w:rsid w:val="00327828"/>
    <w:rsid w:val="003916DE"/>
    <w:rsid w:val="003E3686"/>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C7B20"/>
    <w:rsid w:val="007F20FA"/>
    <w:rsid w:val="0080684C"/>
    <w:rsid w:val="0082401C"/>
    <w:rsid w:val="00871C75"/>
    <w:rsid w:val="008776DC"/>
    <w:rsid w:val="008D5EF9"/>
    <w:rsid w:val="009446C0"/>
    <w:rsid w:val="009705C8"/>
    <w:rsid w:val="009C1CF4"/>
    <w:rsid w:val="009F6B74"/>
    <w:rsid w:val="00A3029F"/>
    <w:rsid w:val="00A30353"/>
    <w:rsid w:val="00A376D2"/>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C18"/>
  <w15:docId w15:val="{D860772C-3426-4CBD-9824-0A88B1D4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3E3686"/>
    <w:rPr>
      <w:rFonts w:ascii="Times New Roman" w:eastAsiaTheme="minorHAnsi" w:hAnsi="Times New Roman" w:cs="Times New Roman"/>
      <w:sz w:val="20"/>
      <w:szCs w:val="20"/>
      <w:lang w:eastAsia="en-US"/>
    </w:rPr>
  </w:style>
  <w:style w:type="character" w:customStyle="1" w:styleId="HChGChar">
    <w:name w:val="_ H _Ch_G Char"/>
    <w:link w:val="HChG"/>
    <w:rsid w:val="003E3686"/>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ED4E3-5B5D-47C5-A30D-B68ED0788F9B}"/>
</file>

<file path=customXml/itemProps2.xml><?xml version="1.0" encoding="utf-8"?>
<ds:datastoreItem xmlns:ds="http://schemas.openxmlformats.org/officeDocument/2006/customXml" ds:itemID="{38910438-FA26-4424-A4EF-ED9B512ADA87}"/>
</file>

<file path=docProps/app.xml><?xml version="1.0" encoding="utf-8"?>
<Properties xmlns="http://schemas.openxmlformats.org/officeDocument/2006/extended-properties" xmlns:vt="http://schemas.openxmlformats.org/officeDocument/2006/docPropsVTypes">
  <Template>ECE_TRANS.dotm</Template>
  <TotalTime>5</TotalTime>
  <Pages>2</Pages>
  <Words>342</Words>
  <Characters>2397</Characters>
  <Application>Microsoft Office Word</Application>
  <DocSecurity>0</DocSecurity>
  <Lines>199</Lines>
  <Paragraphs>109</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ECE/TRANS/WP.11/2024/15</dc:title>
  <dc:subject/>
  <dc:creator>Nathalie VITTOZ</dc:creator>
  <cp:keywords/>
  <cp:lastModifiedBy>Nathalie VITTOZ</cp:lastModifiedBy>
  <cp:revision>2</cp:revision>
  <cp:lastPrinted>2014-05-14T10:59:00Z</cp:lastPrinted>
  <dcterms:created xsi:type="dcterms:W3CDTF">2024-09-03T10:38:00Z</dcterms:created>
  <dcterms:modified xsi:type="dcterms:W3CDTF">2024-09-03T10:38:00Z</dcterms:modified>
</cp:coreProperties>
</file>