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3238AA" w14:paraId="426F5701" w14:textId="77777777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0C7553E9" w14:textId="77777777" w:rsidR="00F35BAF" w:rsidRPr="003238AA" w:rsidRDefault="00F35BAF" w:rsidP="00610F04">
            <w:pPr>
              <w:rPr>
                <w:lang w:val="fr-FR"/>
              </w:rPr>
            </w:pPr>
            <w:bookmarkStart w:id="0" w:name="_Hlk169271592"/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C20B790" w14:textId="77777777" w:rsidR="00F35BAF" w:rsidRPr="003238AA" w:rsidRDefault="00F35BAF" w:rsidP="00C97039">
            <w:pPr>
              <w:spacing w:after="80" w:line="300" w:lineRule="exact"/>
              <w:rPr>
                <w:sz w:val="28"/>
                <w:lang w:val="fr-FR"/>
              </w:rPr>
            </w:pPr>
            <w:r w:rsidRPr="003238AA">
              <w:rPr>
                <w:sz w:val="28"/>
                <w:lang w:val="fr-FR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5E2EBF57" w14:textId="53F2A8D4" w:rsidR="00F35BAF" w:rsidRPr="003238AA" w:rsidRDefault="00610F04" w:rsidP="00610F04">
            <w:pPr>
              <w:jc w:val="right"/>
              <w:rPr>
                <w:lang w:val="fr-FR"/>
              </w:rPr>
            </w:pPr>
            <w:r w:rsidRPr="003238AA">
              <w:rPr>
                <w:sz w:val="40"/>
                <w:lang w:val="fr-FR"/>
              </w:rPr>
              <w:t>ECE</w:t>
            </w:r>
            <w:r w:rsidRPr="003238AA">
              <w:rPr>
                <w:lang w:val="fr-FR"/>
              </w:rPr>
              <w:t>/TRANS/WP</w:t>
            </w:r>
            <w:r w:rsidR="003238AA" w:rsidRPr="003238AA">
              <w:rPr>
                <w:lang w:val="fr-FR"/>
              </w:rPr>
              <w:t>.</w:t>
            </w:r>
            <w:r w:rsidRPr="003238AA">
              <w:rPr>
                <w:lang w:val="fr-FR"/>
              </w:rPr>
              <w:t>15/AC</w:t>
            </w:r>
            <w:r w:rsidR="003238AA" w:rsidRPr="003238AA">
              <w:rPr>
                <w:lang w:val="fr-FR"/>
              </w:rPr>
              <w:t>.</w:t>
            </w:r>
            <w:r w:rsidRPr="003238AA">
              <w:rPr>
                <w:lang w:val="fr-FR"/>
              </w:rPr>
              <w:t>2/2024/43</w:t>
            </w:r>
          </w:p>
        </w:tc>
      </w:tr>
      <w:tr w:rsidR="00F35BAF" w:rsidRPr="003238AA" w14:paraId="129E9C52" w14:textId="77777777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44699881" w14:textId="77777777" w:rsidR="00F35BAF" w:rsidRPr="003238AA" w:rsidRDefault="00F35BAF" w:rsidP="00C97039">
            <w:pPr>
              <w:spacing w:before="120"/>
              <w:jc w:val="center"/>
              <w:rPr>
                <w:lang w:val="fr-FR"/>
              </w:rPr>
            </w:pPr>
            <w:r w:rsidRPr="003238AA">
              <w:rPr>
                <w:noProof/>
                <w:lang w:val="fr-FR" w:eastAsia="fr-CH"/>
              </w:rPr>
              <w:drawing>
                <wp:inline distT="0" distB="0" distL="0" distR="0" wp14:anchorId="6D4AA370" wp14:editId="636CEF67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20C7038" w14:textId="77777777" w:rsidR="00F35BAF" w:rsidRPr="003238AA" w:rsidRDefault="00F35BAF" w:rsidP="00C97039">
            <w:pPr>
              <w:spacing w:before="120" w:line="420" w:lineRule="exact"/>
              <w:rPr>
                <w:b/>
                <w:sz w:val="40"/>
                <w:szCs w:val="40"/>
                <w:lang w:val="fr-FR"/>
              </w:rPr>
            </w:pPr>
            <w:r w:rsidRPr="003238AA">
              <w:rPr>
                <w:b/>
                <w:sz w:val="40"/>
                <w:szCs w:val="40"/>
                <w:lang w:val="fr-FR"/>
              </w:rPr>
              <w:t>Conseil économique 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13C53592" w14:textId="005C7D22" w:rsidR="00F35BAF" w:rsidRPr="003238AA" w:rsidRDefault="00610F04" w:rsidP="00C97039">
            <w:pPr>
              <w:spacing w:before="240"/>
              <w:rPr>
                <w:lang w:val="fr-FR"/>
              </w:rPr>
            </w:pPr>
            <w:r w:rsidRPr="003238AA">
              <w:rPr>
                <w:lang w:val="fr-FR"/>
              </w:rPr>
              <w:t>Distr</w:t>
            </w:r>
            <w:r w:rsidR="003238AA" w:rsidRPr="003238AA">
              <w:rPr>
                <w:lang w:val="fr-FR"/>
              </w:rPr>
              <w:t>.</w:t>
            </w:r>
            <w:r w:rsidRPr="003238AA">
              <w:rPr>
                <w:lang w:val="fr-FR"/>
              </w:rPr>
              <w:t xml:space="preserve"> générale</w:t>
            </w:r>
          </w:p>
          <w:p w14:paraId="23B111C0" w14:textId="77777777" w:rsidR="00610F04" w:rsidRPr="003238AA" w:rsidRDefault="00610F04" w:rsidP="00610F04">
            <w:pPr>
              <w:spacing w:line="240" w:lineRule="exact"/>
              <w:rPr>
                <w:lang w:val="fr-FR"/>
              </w:rPr>
            </w:pPr>
            <w:r w:rsidRPr="003238AA">
              <w:rPr>
                <w:lang w:val="fr-FR"/>
              </w:rPr>
              <w:t>30 mai 2024</w:t>
            </w:r>
          </w:p>
          <w:p w14:paraId="6AB5AA8A" w14:textId="77777777" w:rsidR="00610F04" w:rsidRPr="003238AA" w:rsidRDefault="00610F04" w:rsidP="00610F04">
            <w:pPr>
              <w:spacing w:line="240" w:lineRule="exact"/>
              <w:rPr>
                <w:lang w:val="fr-FR"/>
              </w:rPr>
            </w:pPr>
            <w:r w:rsidRPr="003238AA">
              <w:rPr>
                <w:lang w:val="fr-FR"/>
              </w:rPr>
              <w:t>Français</w:t>
            </w:r>
          </w:p>
          <w:p w14:paraId="5239E8A3" w14:textId="29DD56CE" w:rsidR="00610F04" w:rsidRPr="003238AA" w:rsidRDefault="00610F04" w:rsidP="00610F04">
            <w:pPr>
              <w:spacing w:line="240" w:lineRule="exact"/>
              <w:rPr>
                <w:lang w:val="fr-FR"/>
              </w:rPr>
            </w:pPr>
            <w:r w:rsidRPr="003238AA">
              <w:rPr>
                <w:lang w:val="fr-FR"/>
              </w:rPr>
              <w:t>Original</w:t>
            </w:r>
            <w:r w:rsidR="003238AA" w:rsidRPr="003238AA">
              <w:rPr>
                <w:lang w:val="fr-FR"/>
              </w:rPr>
              <w:t> :</w:t>
            </w:r>
            <w:r w:rsidRPr="003238AA">
              <w:rPr>
                <w:lang w:val="fr-FR"/>
              </w:rPr>
              <w:t xml:space="preserve"> anglais</w:t>
            </w:r>
          </w:p>
        </w:tc>
      </w:tr>
    </w:tbl>
    <w:p w14:paraId="69DFA6DD" w14:textId="19B2B9FB" w:rsidR="007F20FA" w:rsidRPr="003238AA" w:rsidRDefault="007F20FA" w:rsidP="007F20FA">
      <w:pPr>
        <w:spacing w:before="120"/>
        <w:rPr>
          <w:b/>
          <w:sz w:val="28"/>
          <w:szCs w:val="28"/>
          <w:lang w:val="fr-FR"/>
        </w:rPr>
      </w:pPr>
      <w:r w:rsidRPr="003238AA">
        <w:rPr>
          <w:b/>
          <w:sz w:val="28"/>
          <w:szCs w:val="28"/>
          <w:lang w:val="fr-FR"/>
        </w:rPr>
        <w:t>Commission économique pour l</w:t>
      </w:r>
      <w:r w:rsidR="003238AA" w:rsidRPr="003238AA">
        <w:rPr>
          <w:b/>
          <w:sz w:val="28"/>
          <w:szCs w:val="28"/>
          <w:lang w:val="fr-FR"/>
        </w:rPr>
        <w:t>’</w:t>
      </w:r>
      <w:r w:rsidRPr="003238AA">
        <w:rPr>
          <w:b/>
          <w:sz w:val="28"/>
          <w:szCs w:val="28"/>
          <w:lang w:val="fr-FR"/>
        </w:rPr>
        <w:t>Europe</w:t>
      </w:r>
    </w:p>
    <w:p w14:paraId="44116B83" w14:textId="77777777" w:rsidR="007F20FA" w:rsidRPr="003238AA" w:rsidRDefault="007F20FA" w:rsidP="007F20FA">
      <w:pPr>
        <w:spacing w:before="120"/>
        <w:rPr>
          <w:sz w:val="28"/>
          <w:szCs w:val="28"/>
          <w:lang w:val="fr-FR"/>
        </w:rPr>
      </w:pPr>
      <w:r w:rsidRPr="003238AA">
        <w:rPr>
          <w:sz w:val="28"/>
          <w:szCs w:val="28"/>
          <w:lang w:val="fr-FR"/>
        </w:rPr>
        <w:t>Comité des transports intérieurs</w:t>
      </w:r>
    </w:p>
    <w:p w14:paraId="2F43DF53" w14:textId="77777777" w:rsidR="00610F04" w:rsidRPr="003238AA" w:rsidRDefault="00610F04" w:rsidP="003238AA">
      <w:pPr>
        <w:spacing w:before="120" w:after="120"/>
        <w:rPr>
          <w:b/>
          <w:bCs/>
          <w:sz w:val="24"/>
          <w:szCs w:val="24"/>
          <w:lang w:val="fr-FR"/>
        </w:rPr>
      </w:pPr>
      <w:r w:rsidRPr="003238AA">
        <w:rPr>
          <w:b/>
          <w:bCs/>
          <w:sz w:val="24"/>
          <w:szCs w:val="24"/>
          <w:lang w:val="fr-FR"/>
        </w:rPr>
        <w:t>Groupe de travail des transports de marchandises dangereuses</w:t>
      </w:r>
    </w:p>
    <w:p w14:paraId="59DB42E0" w14:textId="34B83446" w:rsidR="00610F04" w:rsidRPr="003238AA" w:rsidRDefault="00610F04" w:rsidP="003238AA">
      <w:pPr>
        <w:spacing w:after="120"/>
        <w:ind w:right="3259"/>
        <w:rPr>
          <w:b/>
          <w:lang w:val="fr-FR"/>
        </w:rPr>
      </w:pPr>
      <w:r w:rsidRPr="003238AA">
        <w:rPr>
          <w:b/>
          <w:bCs/>
          <w:lang w:val="fr-FR"/>
        </w:rPr>
        <w:t>Réunion commune d</w:t>
      </w:r>
      <w:r w:rsidR="003238AA" w:rsidRPr="003238AA">
        <w:rPr>
          <w:b/>
          <w:bCs/>
          <w:lang w:val="fr-FR"/>
        </w:rPr>
        <w:t>’</w:t>
      </w:r>
      <w:r w:rsidRPr="003238AA">
        <w:rPr>
          <w:b/>
          <w:bCs/>
          <w:lang w:val="fr-FR"/>
        </w:rPr>
        <w:t>experts du Règlement annexé à l</w:t>
      </w:r>
      <w:r w:rsidR="003238AA" w:rsidRPr="003238AA">
        <w:rPr>
          <w:b/>
          <w:bCs/>
          <w:lang w:val="fr-FR"/>
        </w:rPr>
        <w:t>’</w:t>
      </w:r>
      <w:r w:rsidRPr="003238AA">
        <w:rPr>
          <w:b/>
          <w:bCs/>
          <w:lang w:val="fr-FR"/>
        </w:rPr>
        <w:t xml:space="preserve">Accord européen relatif au transport international des marchandises dangereuses </w:t>
      </w:r>
      <w:r w:rsidR="003238AA" w:rsidRPr="003238AA">
        <w:rPr>
          <w:b/>
          <w:bCs/>
          <w:lang w:val="fr-FR"/>
        </w:rPr>
        <w:br/>
      </w:r>
      <w:r w:rsidRPr="003238AA">
        <w:rPr>
          <w:b/>
          <w:bCs/>
          <w:lang w:val="fr-FR"/>
        </w:rPr>
        <w:t xml:space="preserve">par voies de navigation intérieures (ADN) </w:t>
      </w:r>
      <w:r w:rsidR="003238AA" w:rsidRPr="003238AA">
        <w:rPr>
          <w:b/>
          <w:bCs/>
          <w:lang w:val="fr-FR"/>
        </w:rPr>
        <w:br/>
      </w:r>
      <w:r w:rsidRPr="003238AA">
        <w:rPr>
          <w:b/>
          <w:bCs/>
          <w:lang w:val="fr-FR"/>
        </w:rPr>
        <w:t>(Comité de sécurité de l</w:t>
      </w:r>
      <w:r w:rsidR="003238AA" w:rsidRPr="003238AA">
        <w:rPr>
          <w:b/>
          <w:bCs/>
          <w:lang w:val="fr-FR"/>
        </w:rPr>
        <w:t>’</w:t>
      </w:r>
      <w:r w:rsidRPr="003238AA">
        <w:rPr>
          <w:b/>
          <w:bCs/>
          <w:lang w:val="fr-FR"/>
        </w:rPr>
        <w:t>ADN)</w:t>
      </w:r>
    </w:p>
    <w:p w14:paraId="4BA16F67" w14:textId="77777777" w:rsidR="00610F04" w:rsidRPr="003238AA" w:rsidRDefault="00610F04" w:rsidP="00610F04">
      <w:pPr>
        <w:rPr>
          <w:b/>
          <w:lang w:val="fr-FR"/>
        </w:rPr>
      </w:pPr>
      <w:r w:rsidRPr="003238AA">
        <w:rPr>
          <w:b/>
          <w:bCs/>
          <w:lang w:val="fr-FR"/>
        </w:rPr>
        <w:t>Quarante-quatrième session</w:t>
      </w:r>
    </w:p>
    <w:p w14:paraId="0B3BAF11" w14:textId="77777777" w:rsidR="00610F04" w:rsidRPr="003238AA" w:rsidRDefault="00610F04" w:rsidP="00610F04">
      <w:pPr>
        <w:rPr>
          <w:lang w:val="fr-FR"/>
        </w:rPr>
      </w:pPr>
      <w:r w:rsidRPr="003238AA">
        <w:rPr>
          <w:lang w:val="fr-FR"/>
        </w:rPr>
        <w:t>Genève, 26-30 août 2024</w:t>
      </w:r>
    </w:p>
    <w:p w14:paraId="0BB7E131" w14:textId="164D3117" w:rsidR="00610F04" w:rsidRPr="003238AA" w:rsidRDefault="00610F04" w:rsidP="00610F04">
      <w:pPr>
        <w:rPr>
          <w:lang w:val="fr-FR"/>
        </w:rPr>
      </w:pPr>
      <w:r w:rsidRPr="003238AA">
        <w:rPr>
          <w:lang w:val="fr-FR"/>
        </w:rPr>
        <w:t>Point 4 b) de l</w:t>
      </w:r>
      <w:r w:rsidR="003238AA" w:rsidRPr="003238AA">
        <w:rPr>
          <w:lang w:val="fr-FR"/>
        </w:rPr>
        <w:t>’</w:t>
      </w:r>
      <w:r w:rsidRPr="003238AA">
        <w:rPr>
          <w:lang w:val="fr-FR"/>
        </w:rPr>
        <w:t>ordre du jour provisoire</w:t>
      </w:r>
    </w:p>
    <w:p w14:paraId="3EA37BC9" w14:textId="6696D3ED" w:rsidR="00610F04" w:rsidRPr="003238AA" w:rsidRDefault="00610F04" w:rsidP="003238AA">
      <w:pPr>
        <w:ind w:right="4393"/>
        <w:rPr>
          <w:b/>
          <w:bCs/>
          <w:lang w:val="fr-FR"/>
        </w:rPr>
      </w:pPr>
      <w:r w:rsidRPr="003238AA">
        <w:rPr>
          <w:b/>
          <w:bCs/>
          <w:lang w:val="fr-FR"/>
        </w:rPr>
        <w:t>Propositions d</w:t>
      </w:r>
      <w:r w:rsidR="003238AA" w:rsidRPr="003238AA">
        <w:rPr>
          <w:b/>
          <w:bCs/>
          <w:lang w:val="fr-FR"/>
        </w:rPr>
        <w:t>’</w:t>
      </w:r>
      <w:r w:rsidRPr="003238AA">
        <w:rPr>
          <w:b/>
          <w:bCs/>
          <w:lang w:val="fr-FR"/>
        </w:rPr>
        <w:t>amendements au Règlement annexé à l</w:t>
      </w:r>
      <w:r w:rsidR="003238AA" w:rsidRPr="003238AA">
        <w:rPr>
          <w:b/>
          <w:bCs/>
          <w:lang w:val="fr-FR"/>
        </w:rPr>
        <w:t>’</w:t>
      </w:r>
      <w:r w:rsidRPr="003238AA">
        <w:rPr>
          <w:b/>
          <w:bCs/>
          <w:lang w:val="fr-FR"/>
        </w:rPr>
        <w:t>ADN</w:t>
      </w:r>
      <w:r w:rsidR="003238AA" w:rsidRPr="003238AA">
        <w:rPr>
          <w:b/>
          <w:bCs/>
          <w:lang w:val="fr-FR"/>
        </w:rPr>
        <w:t xml:space="preserve"> : </w:t>
      </w:r>
      <w:r w:rsidRPr="003238AA">
        <w:rPr>
          <w:b/>
          <w:bCs/>
          <w:lang w:val="fr-FR"/>
        </w:rPr>
        <w:t>Autres propositions</w:t>
      </w:r>
    </w:p>
    <w:p w14:paraId="20D09833" w14:textId="4B147473" w:rsidR="00610F04" w:rsidRPr="003238AA" w:rsidRDefault="003238AA" w:rsidP="003238AA">
      <w:pPr>
        <w:pStyle w:val="HChG"/>
        <w:rPr>
          <w:lang w:val="fr-FR"/>
        </w:rPr>
      </w:pPr>
      <w:r w:rsidRPr="003238AA">
        <w:rPr>
          <w:lang w:val="fr-FR"/>
        </w:rPr>
        <w:tab/>
      </w:r>
      <w:r w:rsidRPr="003238AA">
        <w:rPr>
          <w:lang w:val="fr-FR"/>
        </w:rPr>
        <w:tab/>
      </w:r>
      <w:r w:rsidR="00610F04" w:rsidRPr="003238AA">
        <w:rPr>
          <w:lang w:val="fr-FR"/>
        </w:rPr>
        <w:t>7</w:t>
      </w:r>
      <w:r w:rsidRPr="003238AA">
        <w:rPr>
          <w:lang w:val="fr-FR"/>
        </w:rPr>
        <w:t>.</w:t>
      </w:r>
      <w:r w:rsidR="00610F04" w:rsidRPr="003238AA">
        <w:rPr>
          <w:lang w:val="fr-FR"/>
        </w:rPr>
        <w:t>2</w:t>
      </w:r>
      <w:r w:rsidRPr="003238AA">
        <w:rPr>
          <w:lang w:val="fr-FR"/>
        </w:rPr>
        <w:t>.</w:t>
      </w:r>
      <w:r w:rsidR="00610F04" w:rsidRPr="003238AA">
        <w:rPr>
          <w:lang w:val="fr-FR"/>
        </w:rPr>
        <w:t>4</w:t>
      </w:r>
      <w:r w:rsidRPr="003238AA">
        <w:rPr>
          <w:lang w:val="fr-FR"/>
        </w:rPr>
        <w:t>.</w:t>
      </w:r>
      <w:r w:rsidR="00610F04" w:rsidRPr="003238AA">
        <w:rPr>
          <w:lang w:val="fr-FR"/>
        </w:rPr>
        <w:t>21</w:t>
      </w:r>
      <w:r w:rsidRPr="003238AA">
        <w:rPr>
          <w:lang w:val="fr-FR"/>
        </w:rPr>
        <w:t> :</w:t>
      </w:r>
      <w:r w:rsidR="00610F04" w:rsidRPr="003238AA">
        <w:rPr>
          <w:lang w:val="fr-FR"/>
        </w:rPr>
        <w:t xml:space="preserve"> Remplissage des citernes à cargaison</w:t>
      </w:r>
    </w:p>
    <w:p w14:paraId="2D3509DD" w14:textId="77777777" w:rsidR="003238AA" w:rsidRPr="003238AA" w:rsidRDefault="00610F04" w:rsidP="003238AA">
      <w:pPr>
        <w:pStyle w:val="H1G"/>
        <w:rPr>
          <w:lang w:val="fr-FR"/>
        </w:rPr>
      </w:pPr>
      <w:r w:rsidRPr="003238AA">
        <w:rPr>
          <w:lang w:val="fr-FR"/>
        </w:rPr>
        <w:tab/>
      </w:r>
      <w:r w:rsidRPr="003238AA">
        <w:rPr>
          <w:lang w:val="fr-FR"/>
        </w:rPr>
        <w:tab/>
        <w:t>Communication de FuelsEurope</w:t>
      </w:r>
      <w:r w:rsidRPr="003238AA">
        <w:rPr>
          <w:rFonts w:eastAsia="Calibri"/>
          <w:b w:val="0"/>
          <w:bCs/>
          <w:sz w:val="20"/>
          <w:lang w:val="fr-FR"/>
        </w:rPr>
        <w:footnoteReference w:customMarkFollows="1" w:id="2"/>
        <w:t>*</w:t>
      </w:r>
      <w:r w:rsidRPr="003238AA">
        <w:rPr>
          <w:b w:val="0"/>
          <w:bCs/>
          <w:position w:val="4"/>
          <w:sz w:val="20"/>
          <w:lang w:val="fr-FR"/>
        </w:rPr>
        <w:t>,</w:t>
      </w:r>
      <w:r w:rsidR="003238AA" w:rsidRPr="003238AA">
        <w:rPr>
          <w:b w:val="0"/>
          <w:bCs/>
          <w:position w:val="4"/>
          <w:sz w:val="20"/>
          <w:lang w:val="fr-FR"/>
        </w:rPr>
        <w:t xml:space="preserve"> </w:t>
      </w:r>
      <w:r w:rsidRPr="003238AA">
        <w:rPr>
          <w:rFonts w:eastAsia="Calibri"/>
          <w:b w:val="0"/>
          <w:bCs/>
          <w:sz w:val="20"/>
          <w:lang w:val="fr-FR"/>
        </w:rPr>
        <w:footnoteReference w:customMarkFollows="1" w:id="3"/>
        <w:t>**</w:t>
      </w:r>
    </w:p>
    <w:p w14:paraId="273D5176" w14:textId="447DE7DE" w:rsidR="00610F04" w:rsidRPr="003238AA" w:rsidRDefault="00610F04" w:rsidP="003238AA">
      <w:pPr>
        <w:pStyle w:val="HChG"/>
        <w:rPr>
          <w:lang w:val="fr-FR"/>
        </w:rPr>
      </w:pPr>
      <w:r w:rsidRPr="003238AA">
        <w:rPr>
          <w:lang w:val="fr-FR"/>
        </w:rPr>
        <w:tab/>
      </w:r>
      <w:r w:rsidRPr="003238AA">
        <w:rPr>
          <w:lang w:val="fr-FR"/>
        </w:rPr>
        <w:tab/>
        <w:t>Introduction</w:t>
      </w:r>
    </w:p>
    <w:p w14:paraId="766AE884" w14:textId="7682E0F6" w:rsidR="00610F04" w:rsidRPr="003238AA" w:rsidRDefault="00610F04" w:rsidP="003238AA">
      <w:pPr>
        <w:pStyle w:val="SingleTxtG"/>
        <w:rPr>
          <w:lang w:val="fr-FR"/>
        </w:rPr>
      </w:pPr>
      <w:r w:rsidRPr="003238AA">
        <w:rPr>
          <w:lang w:val="fr-FR"/>
        </w:rPr>
        <w:t>1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ab/>
        <w:t>Le 7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2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4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21 de l</w:t>
      </w:r>
      <w:r w:rsidR="003238AA" w:rsidRPr="003238AA">
        <w:rPr>
          <w:lang w:val="fr-FR"/>
        </w:rPr>
        <w:t>’</w:t>
      </w:r>
      <w:r w:rsidRPr="003238AA">
        <w:rPr>
          <w:lang w:val="fr-FR"/>
        </w:rPr>
        <w:t>ADN indique les critères à prendre en compte aux fins de la détermination du degré de remplissage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 xml:space="preserve"> Le 7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2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4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21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1 et le 7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2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4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21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3 renvoient au degré de remplissage indiqué à la colonne (11) du tableau C du chapitre 3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2</w:t>
      </w:r>
      <w:r w:rsidR="003238AA" w:rsidRPr="003238AA">
        <w:rPr>
          <w:lang w:val="fr-FR"/>
        </w:rPr>
        <w:t>.</w:t>
      </w:r>
    </w:p>
    <w:p w14:paraId="7E67092F" w14:textId="5C430213" w:rsidR="00610F04" w:rsidRPr="003238AA" w:rsidRDefault="00610F04" w:rsidP="003238AA">
      <w:pPr>
        <w:pStyle w:val="SingleTxtG"/>
        <w:rPr>
          <w:lang w:val="fr-FR"/>
        </w:rPr>
      </w:pPr>
      <w:r w:rsidRPr="003238AA">
        <w:rPr>
          <w:lang w:val="fr-FR"/>
        </w:rPr>
        <w:t>2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ab/>
        <w:t>Toutefois, en ce qui concerne les matières pour lesquelles les prescriptions applicables doivent être déterminées conformément au 3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2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3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3, aucune valeur ne figure dans la colonne (11), qui est l</w:t>
      </w:r>
      <w:r w:rsidR="003238AA" w:rsidRPr="003238AA">
        <w:rPr>
          <w:lang w:val="fr-FR"/>
        </w:rPr>
        <w:t>’</w:t>
      </w:r>
      <w:r w:rsidRPr="003238AA">
        <w:rPr>
          <w:lang w:val="fr-FR"/>
        </w:rPr>
        <w:t>une des colonnes dont la valeur doit être déterminée</w:t>
      </w:r>
      <w:r w:rsidR="003238AA" w:rsidRPr="003238AA">
        <w:rPr>
          <w:lang w:val="fr-FR"/>
        </w:rPr>
        <w:t>.</w:t>
      </w:r>
    </w:p>
    <w:p w14:paraId="51D84C61" w14:textId="0531E41C" w:rsidR="00610F04" w:rsidRPr="003238AA" w:rsidRDefault="00610F04" w:rsidP="003238AA">
      <w:pPr>
        <w:pStyle w:val="SingleTxtG"/>
        <w:rPr>
          <w:lang w:val="fr-FR"/>
        </w:rPr>
      </w:pPr>
      <w:r w:rsidRPr="003238AA">
        <w:rPr>
          <w:lang w:val="fr-FR"/>
        </w:rPr>
        <w:t>3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ab/>
        <w:t>FuelsEurope est d</w:t>
      </w:r>
      <w:r w:rsidR="003238AA" w:rsidRPr="003238AA">
        <w:rPr>
          <w:lang w:val="fr-FR"/>
        </w:rPr>
        <w:t>’</w:t>
      </w:r>
      <w:r w:rsidRPr="003238AA">
        <w:rPr>
          <w:lang w:val="fr-FR"/>
        </w:rPr>
        <w:t>avis que le 7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2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4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21 ne décrit pas correctement la méthode de détermination du degré de remplissage pour les cas correspondant aux astérisques et propose d</w:t>
      </w:r>
      <w:r w:rsidR="003238AA" w:rsidRPr="003238AA">
        <w:rPr>
          <w:lang w:val="fr-FR"/>
        </w:rPr>
        <w:t>’</w:t>
      </w:r>
      <w:r w:rsidRPr="003238AA">
        <w:rPr>
          <w:lang w:val="fr-FR"/>
        </w:rPr>
        <w:t>y remédier en apportant des modifications d</w:t>
      </w:r>
      <w:r w:rsidR="003238AA" w:rsidRPr="003238AA">
        <w:rPr>
          <w:lang w:val="fr-FR"/>
        </w:rPr>
        <w:t>’</w:t>
      </w:r>
      <w:r w:rsidRPr="003238AA">
        <w:rPr>
          <w:lang w:val="fr-FR"/>
        </w:rPr>
        <w:t>ordre rédactionnel au 7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2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4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21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1 et au 7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2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4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21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3, sans incidences sur la formule</w:t>
      </w:r>
      <w:r w:rsidR="003238AA" w:rsidRPr="003238AA">
        <w:rPr>
          <w:lang w:val="fr-FR"/>
        </w:rPr>
        <w:t>.</w:t>
      </w:r>
    </w:p>
    <w:p w14:paraId="71F70C43" w14:textId="765137C9" w:rsidR="00610F04" w:rsidRPr="003238AA" w:rsidRDefault="003238AA" w:rsidP="003238AA">
      <w:pPr>
        <w:pStyle w:val="HChG"/>
        <w:rPr>
          <w:lang w:val="fr-FR"/>
        </w:rPr>
      </w:pPr>
      <w:bookmarkStart w:id="1" w:name="_Hlk87882230"/>
      <w:r w:rsidRPr="003238AA">
        <w:rPr>
          <w:lang w:val="fr-FR"/>
        </w:rPr>
        <w:tab/>
      </w:r>
      <w:r w:rsidR="00610F04" w:rsidRPr="003238AA">
        <w:rPr>
          <w:lang w:val="fr-FR"/>
        </w:rPr>
        <w:t>I</w:t>
      </w:r>
      <w:r w:rsidRPr="003238AA">
        <w:rPr>
          <w:lang w:val="fr-FR"/>
        </w:rPr>
        <w:t>.</w:t>
      </w:r>
      <w:r w:rsidR="00610F04" w:rsidRPr="003238AA">
        <w:rPr>
          <w:lang w:val="fr-FR"/>
        </w:rPr>
        <w:tab/>
        <w:t>Modifications qu</w:t>
      </w:r>
      <w:r w:rsidRPr="003238AA">
        <w:rPr>
          <w:lang w:val="fr-FR"/>
        </w:rPr>
        <w:t>’</w:t>
      </w:r>
      <w:r w:rsidR="00610F04" w:rsidRPr="003238AA">
        <w:rPr>
          <w:lang w:val="fr-FR"/>
        </w:rPr>
        <w:t>il est proposé d</w:t>
      </w:r>
      <w:r w:rsidRPr="003238AA">
        <w:rPr>
          <w:lang w:val="fr-FR"/>
        </w:rPr>
        <w:t>’</w:t>
      </w:r>
      <w:r w:rsidR="00610F04" w:rsidRPr="003238AA">
        <w:rPr>
          <w:lang w:val="fr-FR"/>
        </w:rPr>
        <w:t>apporter à l</w:t>
      </w:r>
      <w:r w:rsidRPr="003238AA">
        <w:rPr>
          <w:lang w:val="fr-FR"/>
        </w:rPr>
        <w:t>’</w:t>
      </w:r>
      <w:r w:rsidR="00610F04" w:rsidRPr="003238AA">
        <w:rPr>
          <w:lang w:val="fr-FR"/>
        </w:rPr>
        <w:t>ADN</w:t>
      </w:r>
    </w:p>
    <w:bookmarkEnd w:id="1"/>
    <w:p w14:paraId="2D9E5D2D" w14:textId="7692252F" w:rsidR="00610F04" w:rsidRPr="003238AA" w:rsidRDefault="00610F04" w:rsidP="003238AA">
      <w:pPr>
        <w:pStyle w:val="SingleTxtG"/>
        <w:rPr>
          <w:lang w:val="fr-FR"/>
        </w:rPr>
      </w:pPr>
      <w:r w:rsidRPr="003238AA">
        <w:rPr>
          <w:lang w:val="fr-FR"/>
        </w:rPr>
        <w:t>4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ab/>
        <w:t>FuelsEurope propose de modifier comme suit le 7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2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4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21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1 et le 7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2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4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21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3 (les</w:t>
      </w:r>
      <w:r w:rsidR="003238AA" w:rsidRPr="003238AA">
        <w:rPr>
          <w:lang w:val="fr-FR"/>
        </w:rPr>
        <w:t> </w:t>
      </w:r>
      <w:r w:rsidRPr="003238AA">
        <w:rPr>
          <w:lang w:val="fr-FR"/>
        </w:rPr>
        <w:t>modifications qu</w:t>
      </w:r>
      <w:r w:rsidR="003238AA" w:rsidRPr="003238AA">
        <w:rPr>
          <w:lang w:val="fr-FR"/>
        </w:rPr>
        <w:t>’</w:t>
      </w:r>
      <w:r w:rsidRPr="003238AA">
        <w:rPr>
          <w:lang w:val="fr-FR"/>
        </w:rPr>
        <w:t>il est proposé d</w:t>
      </w:r>
      <w:r w:rsidR="003238AA" w:rsidRPr="003238AA">
        <w:rPr>
          <w:lang w:val="fr-FR"/>
        </w:rPr>
        <w:t>’</w:t>
      </w:r>
      <w:r w:rsidRPr="003238AA">
        <w:rPr>
          <w:lang w:val="fr-FR"/>
        </w:rPr>
        <w:t xml:space="preserve">apporter au texte actuel figurent en caractères </w:t>
      </w:r>
      <w:r w:rsidRPr="003238AA">
        <w:rPr>
          <w:b/>
          <w:bCs/>
          <w:u w:val="single"/>
          <w:lang w:val="fr-FR"/>
        </w:rPr>
        <w:t>gras et soulignés</w:t>
      </w:r>
      <w:r w:rsidRPr="003238AA">
        <w:rPr>
          <w:lang w:val="fr-FR"/>
        </w:rPr>
        <w:t xml:space="preserve"> pour les ajouts et </w:t>
      </w:r>
      <w:r w:rsidRPr="003238AA">
        <w:rPr>
          <w:strike/>
          <w:lang w:val="fr-FR"/>
        </w:rPr>
        <w:t>biffés</w:t>
      </w:r>
      <w:r w:rsidRPr="003238AA">
        <w:rPr>
          <w:lang w:val="fr-FR"/>
        </w:rPr>
        <w:t xml:space="preserve"> pour les suppressions)</w:t>
      </w:r>
      <w:r w:rsidR="003238AA" w:rsidRPr="003238AA">
        <w:rPr>
          <w:lang w:val="fr-FR"/>
        </w:rPr>
        <w:t> :</w:t>
      </w:r>
    </w:p>
    <w:p w14:paraId="2F69647C" w14:textId="10B1D4DA" w:rsidR="00610F04" w:rsidRPr="003238AA" w:rsidRDefault="00610F04" w:rsidP="003238AA">
      <w:pPr>
        <w:pStyle w:val="SingleTxtG"/>
        <w:ind w:left="1701"/>
        <w:rPr>
          <w:lang w:val="fr-FR"/>
        </w:rPr>
      </w:pPr>
      <w:r w:rsidRPr="003238AA">
        <w:rPr>
          <w:lang w:val="fr-FR"/>
        </w:rPr>
        <w:lastRenderedPageBreak/>
        <w:t>7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2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4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21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1</w:t>
      </w:r>
      <w:r w:rsidRPr="003238AA">
        <w:rPr>
          <w:lang w:val="fr-FR"/>
        </w:rPr>
        <w:tab/>
        <w:t>Le degré de remplissage indiqué à la colonne (11) du tableau C du chapitre 3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2 ou calculé conformément au paragraphe 7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2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4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21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3 pour la citerne considérée ne doit pas être dépassé</w:t>
      </w:r>
      <w:r w:rsidR="003238AA" w:rsidRPr="003238AA">
        <w:rPr>
          <w:lang w:val="fr-FR"/>
        </w:rPr>
        <w:t>.</w:t>
      </w:r>
    </w:p>
    <w:p w14:paraId="291D5A79" w14:textId="3656C72B" w:rsidR="003238AA" w:rsidRPr="003238AA" w:rsidRDefault="00610F04" w:rsidP="003238AA">
      <w:pPr>
        <w:pStyle w:val="SingleTxtG"/>
        <w:ind w:left="1701"/>
        <w:rPr>
          <w:lang w:val="fr-FR"/>
        </w:rPr>
      </w:pPr>
      <w:r w:rsidRPr="003238AA">
        <w:rPr>
          <w:b/>
          <w:bCs/>
          <w:u w:val="single"/>
          <w:lang w:val="fr-FR"/>
        </w:rPr>
        <w:t>Pour le transport de matières soumises aux dispositions du 3</w:t>
      </w:r>
      <w:r w:rsidR="003238AA" w:rsidRPr="003238AA">
        <w:rPr>
          <w:b/>
          <w:bCs/>
          <w:u w:val="single"/>
          <w:lang w:val="fr-FR"/>
        </w:rPr>
        <w:t>.</w:t>
      </w:r>
      <w:r w:rsidRPr="003238AA">
        <w:rPr>
          <w:b/>
          <w:bCs/>
          <w:u w:val="single"/>
          <w:lang w:val="fr-FR"/>
        </w:rPr>
        <w:t>2</w:t>
      </w:r>
      <w:r w:rsidR="003238AA" w:rsidRPr="003238AA">
        <w:rPr>
          <w:b/>
          <w:bCs/>
          <w:u w:val="single"/>
          <w:lang w:val="fr-FR"/>
        </w:rPr>
        <w:t>.</w:t>
      </w:r>
      <w:r w:rsidRPr="003238AA">
        <w:rPr>
          <w:b/>
          <w:bCs/>
          <w:u w:val="single"/>
          <w:lang w:val="fr-FR"/>
        </w:rPr>
        <w:t>3</w:t>
      </w:r>
      <w:r w:rsidR="003238AA" w:rsidRPr="003238AA">
        <w:rPr>
          <w:b/>
          <w:bCs/>
          <w:u w:val="single"/>
          <w:lang w:val="fr-FR"/>
        </w:rPr>
        <w:t>.</w:t>
      </w:r>
      <w:r w:rsidRPr="003238AA">
        <w:rPr>
          <w:b/>
          <w:bCs/>
          <w:u w:val="single"/>
          <w:lang w:val="fr-FR"/>
        </w:rPr>
        <w:t>3 en ce qui concerne la détermination de la valeur applicable de la colonne (11) du tableau</w:t>
      </w:r>
      <w:r w:rsidR="003238AA" w:rsidRPr="003238AA">
        <w:rPr>
          <w:b/>
          <w:bCs/>
          <w:u w:val="single"/>
          <w:lang w:val="fr-FR"/>
        </w:rPr>
        <w:t> </w:t>
      </w:r>
      <w:r w:rsidRPr="003238AA">
        <w:rPr>
          <w:b/>
          <w:bCs/>
          <w:u w:val="single"/>
          <w:lang w:val="fr-FR"/>
        </w:rPr>
        <w:t>C du chapitre 3</w:t>
      </w:r>
      <w:r w:rsidR="003238AA" w:rsidRPr="003238AA">
        <w:rPr>
          <w:b/>
          <w:bCs/>
          <w:u w:val="single"/>
          <w:lang w:val="fr-FR"/>
        </w:rPr>
        <w:t>.</w:t>
      </w:r>
      <w:r w:rsidRPr="003238AA">
        <w:rPr>
          <w:b/>
          <w:bCs/>
          <w:u w:val="single"/>
          <w:lang w:val="fr-FR"/>
        </w:rPr>
        <w:t>2, cette valeur correspond au degré de remplissage à ne pas dépasser</w:t>
      </w:r>
      <w:r w:rsidR="003238AA" w:rsidRPr="003238AA">
        <w:rPr>
          <w:b/>
          <w:bCs/>
          <w:u w:val="single"/>
          <w:lang w:val="fr-FR"/>
        </w:rPr>
        <w:t>.</w:t>
      </w:r>
    </w:p>
    <w:p w14:paraId="26B68D98" w14:textId="18A47D4E" w:rsidR="003238AA" w:rsidRPr="003238AA" w:rsidRDefault="00610F04" w:rsidP="003238AA">
      <w:pPr>
        <w:pStyle w:val="SingleTxtG"/>
        <w:ind w:left="1701"/>
        <w:rPr>
          <w:lang w:val="fr-FR"/>
        </w:rPr>
      </w:pPr>
      <w:r w:rsidRPr="003238AA">
        <w:rPr>
          <w:lang w:val="fr-FR"/>
        </w:rPr>
        <w:t>7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2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4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21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3</w:t>
      </w:r>
      <w:r w:rsidRPr="003238AA">
        <w:rPr>
          <w:lang w:val="fr-FR"/>
        </w:rPr>
        <w:tab/>
        <w:t xml:space="preserve">Pour le transport de matières </w:t>
      </w:r>
      <w:r w:rsidRPr="003238AA">
        <w:rPr>
          <w:b/>
          <w:bCs/>
          <w:u w:val="single"/>
          <w:lang w:val="fr-FR"/>
        </w:rPr>
        <w:t>soumises aux dispositions du 3</w:t>
      </w:r>
      <w:r w:rsidR="003238AA" w:rsidRPr="003238AA">
        <w:rPr>
          <w:b/>
          <w:bCs/>
          <w:u w:val="single"/>
          <w:lang w:val="fr-FR"/>
        </w:rPr>
        <w:t>.</w:t>
      </w:r>
      <w:r w:rsidRPr="003238AA">
        <w:rPr>
          <w:b/>
          <w:bCs/>
          <w:u w:val="single"/>
          <w:lang w:val="fr-FR"/>
        </w:rPr>
        <w:t>2</w:t>
      </w:r>
      <w:r w:rsidR="003238AA" w:rsidRPr="003238AA">
        <w:rPr>
          <w:b/>
          <w:bCs/>
          <w:u w:val="single"/>
          <w:lang w:val="fr-FR"/>
        </w:rPr>
        <w:t>.</w:t>
      </w:r>
      <w:r w:rsidRPr="003238AA">
        <w:rPr>
          <w:b/>
          <w:bCs/>
          <w:u w:val="single"/>
          <w:lang w:val="fr-FR"/>
        </w:rPr>
        <w:t>3</w:t>
      </w:r>
      <w:r w:rsidR="003238AA" w:rsidRPr="003238AA">
        <w:rPr>
          <w:b/>
          <w:bCs/>
          <w:u w:val="single"/>
          <w:lang w:val="fr-FR"/>
        </w:rPr>
        <w:t>.</w:t>
      </w:r>
      <w:r w:rsidRPr="003238AA">
        <w:rPr>
          <w:b/>
          <w:bCs/>
          <w:u w:val="single"/>
          <w:lang w:val="fr-FR"/>
        </w:rPr>
        <w:t>3 en ce qui concerne la détermination de la valeur applicable de la colonne (11) du tableau C du chapitre 3</w:t>
      </w:r>
      <w:r w:rsidR="003238AA" w:rsidRPr="003238AA">
        <w:rPr>
          <w:b/>
          <w:bCs/>
          <w:u w:val="single"/>
          <w:lang w:val="fr-FR"/>
        </w:rPr>
        <w:t>.</w:t>
      </w:r>
      <w:r w:rsidRPr="003238AA">
        <w:rPr>
          <w:b/>
          <w:bCs/>
          <w:u w:val="single"/>
          <w:lang w:val="fr-FR"/>
        </w:rPr>
        <w:t>2, ou de matières</w:t>
      </w:r>
      <w:r w:rsidRPr="003238AA">
        <w:rPr>
          <w:lang w:val="fr-FR"/>
        </w:rPr>
        <w:t xml:space="preserve"> ayant une densité relative plus élevée que les matières prises en compte dans le certificat d</w:t>
      </w:r>
      <w:r w:rsidR="003238AA" w:rsidRPr="003238AA">
        <w:rPr>
          <w:lang w:val="fr-FR"/>
        </w:rPr>
        <w:t>’</w:t>
      </w:r>
      <w:r w:rsidRPr="003238AA">
        <w:rPr>
          <w:lang w:val="fr-FR"/>
        </w:rPr>
        <w:t>agrément, le degré maximal de remplissage admissible des citernes à cargaison doit être calculé au moyen de la formule suivante</w:t>
      </w:r>
      <w:r w:rsidR="003238AA" w:rsidRPr="003238AA">
        <w:rPr>
          <w:lang w:val="fr-FR"/>
        </w:rPr>
        <w:t> :</w:t>
      </w:r>
    </w:p>
    <w:p w14:paraId="02D76A8A" w14:textId="5F9EF6AB" w:rsidR="00610F04" w:rsidRPr="003238AA" w:rsidRDefault="00610F04" w:rsidP="003238AA">
      <w:pPr>
        <w:pStyle w:val="SingleTxtG"/>
        <w:ind w:left="2268"/>
        <w:rPr>
          <w:lang w:val="fr-FR"/>
        </w:rPr>
      </w:pPr>
      <w:r w:rsidRPr="003238AA">
        <w:rPr>
          <w:lang w:val="fr-FR"/>
        </w:rPr>
        <w:t xml:space="preserve">degré maximal de remplissage admissible </w:t>
      </w:r>
      <w:r w:rsidR="003238AA" w:rsidRPr="003238AA">
        <w:rPr>
          <w:lang w:val="fr-FR"/>
        </w:rPr>
        <w:t>(%</w:t>
      </w:r>
      <w:r w:rsidRPr="003238AA">
        <w:rPr>
          <w:lang w:val="fr-FR"/>
        </w:rPr>
        <w:t>) = a * 100/b,</w:t>
      </w:r>
    </w:p>
    <w:p w14:paraId="1D1EDAFF" w14:textId="07816F26" w:rsidR="00610F04" w:rsidRPr="003238AA" w:rsidRDefault="00610F04" w:rsidP="003238AA">
      <w:pPr>
        <w:pStyle w:val="SingleTxtG"/>
        <w:ind w:left="2268"/>
        <w:rPr>
          <w:lang w:val="fr-FR"/>
        </w:rPr>
      </w:pPr>
      <w:r w:rsidRPr="003238AA">
        <w:rPr>
          <w:lang w:val="fr-FR"/>
        </w:rPr>
        <w:t>a = densité relative de la matière prise en compte dans le certificat d</w:t>
      </w:r>
      <w:r w:rsidR="003238AA" w:rsidRPr="003238AA">
        <w:rPr>
          <w:lang w:val="fr-FR"/>
        </w:rPr>
        <w:t>’</w:t>
      </w:r>
      <w:r w:rsidRPr="003238AA">
        <w:rPr>
          <w:lang w:val="fr-FR"/>
        </w:rPr>
        <w:t>agrément,</w:t>
      </w:r>
    </w:p>
    <w:p w14:paraId="43C41838" w14:textId="1EC45241" w:rsidR="00610F04" w:rsidRPr="003238AA" w:rsidRDefault="00610F04" w:rsidP="003238AA">
      <w:pPr>
        <w:pStyle w:val="SingleTxtG"/>
        <w:ind w:left="2268"/>
        <w:rPr>
          <w:lang w:val="fr-FR"/>
        </w:rPr>
      </w:pPr>
      <w:r w:rsidRPr="003238AA">
        <w:rPr>
          <w:lang w:val="fr-FR"/>
        </w:rPr>
        <w:t>b = densité relative de la matière transportée</w:t>
      </w:r>
      <w:r w:rsidRPr="003238AA">
        <w:rPr>
          <w:b/>
          <w:bCs/>
          <w:u w:val="single"/>
          <w:lang w:val="fr-FR"/>
        </w:rPr>
        <w:t>, telle que communiquée par le poste de chargement</w:t>
      </w:r>
      <w:r w:rsidR="003238AA" w:rsidRPr="003238AA">
        <w:rPr>
          <w:lang w:val="fr-FR"/>
        </w:rPr>
        <w:t>.</w:t>
      </w:r>
    </w:p>
    <w:p w14:paraId="54E1F3EF" w14:textId="26A7283B" w:rsidR="00610F04" w:rsidRPr="003238AA" w:rsidRDefault="00610F04" w:rsidP="003238AA">
      <w:pPr>
        <w:pStyle w:val="SingleTxtG"/>
        <w:ind w:left="1701"/>
        <w:rPr>
          <w:lang w:val="fr-FR"/>
        </w:rPr>
      </w:pPr>
      <w:r w:rsidRPr="003238AA">
        <w:rPr>
          <w:lang w:val="fr-FR"/>
        </w:rPr>
        <w:t>Le degré de remplissage indiqué à la colonne (11) du tableau C du chapitre 3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 xml:space="preserve">2 </w:t>
      </w:r>
      <w:r w:rsidRPr="003238AA">
        <w:rPr>
          <w:b/>
          <w:bCs/>
          <w:u w:val="single"/>
          <w:lang w:val="fr-FR"/>
        </w:rPr>
        <w:t>ou, en l</w:t>
      </w:r>
      <w:r w:rsidR="003238AA" w:rsidRPr="003238AA">
        <w:rPr>
          <w:b/>
          <w:bCs/>
          <w:u w:val="single"/>
          <w:lang w:val="fr-FR"/>
        </w:rPr>
        <w:t>’</w:t>
      </w:r>
      <w:r w:rsidRPr="003238AA">
        <w:rPr>
          <w:b/>
          <w:bCs/>
          <w:u w:val="single"/>
          <w:lang w:val="fr-FR"/>
        </w:rPr>
        <w:t>absence de valeur dans ladite colonne, déterminé conformément aux dispositions du 3</w:t>
      </w:r>
      <w:r w:rsidR="003238AA" w:rsidRPr="003238AA">
        <w:rPr>
          <w:b/>
          <w:bCs/>
          <w:u w:val="single"/>
          <w:lang w:val="fr-FR"/>
        </w:rPr>
        <w:t>.</w:t>
      </w:r>
      <w:r w:rsidRPr="003238AA">
        <w:rPr>
          <w:b/>
          <w:bCs/>
          <w:u w:val="single"/>
          <w:lang w:val="fr-FR"/>
        </w:rPr>
        <w:t>2</w:t>
      </w:r>
      <w:r w:rsidR="003238AA" w:rsidRPr="003238AA">
        <w:rPr>
          <w:b/>
          <w:bCs/>
          <w:u w:val="single"/>
          <w:lang w:val="fr-FR"/>
        </w:rPr>
        <w:t>.</w:t>
      </w:r>
      <w:r w:rsidRPr="003238AA">
        <w:rPr>
          <w:b/>
          <w:bCs/>
          <w:u w:val="single"/>
          <w:lang w:val="fr-FR"/>
        </w:rPr>
        <w:t>3</w:t>
      </w:r>
      <w:r w:rsidR="003238AA" w:rsidRPr="003238AA">
        <w:rPr>
          <w:b/>
          <w:bCs/>
          <w:u w:val="single"/>
          <w:lang w:val="fr-FR"/>
        </w:rPr>
        <w:t>.</w:t>
      </w:r>
      <w:r w:rsidRPr="003238AA">
        <w:rPr>
          <w:b/>
          <w:bCs/>
          <w:u w:val="single"/>
          <w:lang w:val="fr-FR"/>
        </w:rPr>
        <w:t xml:space="preserve">3 </w:t>
      </w:r>
      <w:r w:rsidRPr="003238AA">
        <w:rPr>
          <w:lang w:val="fr-FR"/>
        </w:rPr>
        <w:t>ne doit cependant pas être dépassé</w:t>
      </w:r>
      <w:r w:rsidR="003238AA" w:rsidRPr="003238AA">
        <w:rPr>
          <w:lang w:val="fr-FR"/>
        </w:rPr>
        <w:t>.</w:t>
      </w:r>
    </w:p>
    <w:p w14:paraId="7B57FE9F" w14:textId="40984B8C" w:rsidR="00610F04" w:rsidRPr="003238AA" w:rsidRDefault="003238AA" w:rsidP="003238AA">
      <w:pPr>
        <w:pStyle w:val="HChG"/>
        <w:rPr>
          <w:lang w:val="fr-FR"/>
        </w:rPr>
      </w:pPr>
      <w:r w:rsidRPr="003238AA">
        <w:rPr>
          <w:lang w:val="fr-FR"/>
        </w:rPr>
        <w:tab/>
      </w:r>
      <w:r w:rsidR="00610F04" w:rsidRPr="003238AA">
        <w:rPr>
          <w:lang w:val="fr-FR"/>
        </w:rPr>
        <w:t>II</w:t>
      </w:r>
      <w:r w:rsidRPr="003238AA">
        <w:rPr>
          <w:lang w:val="fr-FR"/>
        </w:rPr>
        <w:t>.</w:t>
      </w:r>
      <w:r w:rsidR="00610F04" w:rsidRPr="003238AA">
        <w:rPr>
          <w:lang w:val="fr-FR"/>
        </w:rPr>
        <w:tab/>
        <w:t>Justification</w:t>
      </w:r>
    </w:p>
    <w:p w14:paraId="79D0220E" w14:textId="195283D3" w:rsidR="00610F04" w:rsidRPr="003238AA" w:rsidRDefault="00610F04" w:rsidP="003238AA">
      <w:pPr>
        <w:pStyle w:val="SingleTxtG"/>
        <w:rPr>
          <w:lang w:val="fr-FR"/>
        </w:rPr>
      </w:pPr>
      <w:r w:rsidRPr="003238AA">
        <w:rPr>
          <w:lang w:val="fr-FR"/>
        </w:rPr>
        <w:t>5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ab/>
        <w:t>La présente proposition vise à combler une lacune relative à la détermination du degré maximal de remplissage admissible, les matières pour lesquelles les prescriptions applicables doivent être déterminées conformément au 3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2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3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3 n</w:t>
      </w:r>
      <w:r w:rsidR="003238AA" w:rsidRPr="003238AA">
        <w:rPr>
          <w:lang w:val="fr-FR"/>
        </w:rPr>
        <w:t>’</w:t>
      </w:r>
      <w:r w:rsidRPr="003238AA">
        <w:rPr>
          <w:lang w:val="fr-FR"/>
        </w:rPr>
        <w:t>étant actuellement pas prises en compte au 7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2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4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21</w:t>
      </w:r>
      <w:r w:rsidR="003238AA" w:rsidRPr="003238AA">
        <w:rPr>
          <w:lang w:val="fr-FR"/>
        </w:rPr>
        <w:t>.</w:t>
      </w:r>
    </w:p>
    <w:p w14:paraId="40B75C83" w14:textId="7B83B6F6" w:rsidR="00610F04" w:rsidRPr="003238AA" w:rsidRDefault="00610F04" w:rsidP="003238AA">
      <w:pPr>
        <w:pStyle w:val="SingleTxtG"/>
        <w:rPr>
          <w:lang w:val="fr-FR"/>
        </w:rPr>
      </w:pPr>
      <w:r w:rsidRPr="003238AA">
        <w:rPr>
          <w:lang w:val="fr-FR"/>
        </w:rPr>
        <w:t>6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ab/>
        <w:t>Le degré de remplissage est étroitement lié au type de bateau, comme indiqué au 3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2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3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3, de sorte que cet aspect revêt un intérêt particulier dans le contexte du 7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2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4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21</w:t>
      </w:r>
      <w:r w:rsidR="003238AA" w:rsidRPr="003238AA">
        <w:rPr>
          <w:lang w:val="fr-FR"/>
        </w:rPr>
        <w:t>.</w:t>
      </w:r>
    </w:p>
    <w:p w14:paraId="5564D6F2" w14:textId="63D32D6C" w:rsidR="00610F04" w:rsidRPr="003238AA" w:rsidRDefault="003238AA" w:rsidP="003238AA">
      <w:pPr>
        <w:pStyle w:val="HChG"/>
        <w:rPr>
          <w:lang w:val="fr-FR"/>
        </w:rPr>
      </w:pPr>
      <w:r w:rsidRPr="003238AA">
        <w:rPr>
          <w:lang w:val="fr-FR"/>
        </w:rPr>
        <w:tab/>
      </w:r>
      <w:r w:rsidR="00610F04" w:rsidRPr="003238AA">
        <w:rPr>
          <w:lang w:val="fr-FR"/>
        </w:rPr>
        <w:t>III</w:t>
      </w:r>
      <w:r w:rsidRPr="003238AA">
        <w:rPr>
          <w:lang w:val="fr-FR"/>
        </w:rPr>
        <w:t>.</w:t>
      </w:r>
      <w:r w:rsidR="00610F04" w:rsidRPr="003238AA">
        <w:rPr>
          <w:lang w:val="fr-FR"/>
        </w:rPr>
        <w:tab/>
        <w:t>Lien avec les objectifs de développement durable</w:t>
      </w:r>
    </w:p>
    <w:p w14:paraId="1896D516" w14:textId="24CA6D18" w:rsidR="00610F04" w:rsidRPr="003238AA" w:rsidRDefault="00610F04" w:rsidP="003238AA">
      <w:pPr>
        <w:pStyle w:val="SingleTxtG"/>
        <w:rPr>
          <w:lang w:val="fr-FR"/>
        </w:rPr>
      </w:pPr>
      <w:r w:rsidRPr="003238AA">
        <w:rPr>
          <w:lang w:val="fr-FR"/>
        </w:rPr>
        <w:t>7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ab/>
        <w:t>La présente proposition va dans le sens de la cohérence des politiques de développement durable (cible 17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>14) et donc de l</w:t>
      </w:r>
      <w:r w:rsidR="003238AA" w:rsidRPr="003238AA">
        <w:rPr>
          <w:lang w:val="fr-FR"/>
        </w:rPr>
        <w:t>’</w:t>
      </w:r>
      <w:r w:rsidRPr="003238AA">
        <w:rPr>
          <w:lang w:val="fr-FR"/>
        </w:rPr>
        <w:t xml:space="preserve">objectif de développement durable </w:t>
      </w:r>
      <w:r w:rsidR="003238AA" w:rsidRPr="003238AA">
        <w:rPr>
          <w:lang w:val="fr-FR"/>
        </w:rPr>
        <w:t>n</w:t>
      </w:r>
      <w:r w:rsidR="003238AA" w:rsidRPr="003238AA">
        <w:rPr>
          <w:vertAlign w:val="superscript"/>
          <w:lang w:val="fr-FR"/>
        </w:rPr>
        <w:t>o</w:t>
      </w:r>
      <w:r w:rsidRPr="003238AA">
        <w:rPr>
          <w:lang w:val="fr-FR"/>
        </w:rPr>
        <w:t> 17 (Partenariats pour la réalisation des objectifs)</w:t>
      </w:r>
      <w:r w:rsidR="003238AA" w:rsidRPr="003238AA">
        <w:rPr>
          <w:lang w:val="fr-FR"/>
        </w:rPr>
        <w:t>.</w:t>
      </w:r>
    </w:p>
    <w:p w14:paraId="6D79784B" w14:textId="7324C167" w:rsidR="00610F04" w:rsidRPr="003238AA" w:rsidRDefault="003238AA" w:rsidP="003238AA">
      <w:pPr>
        <w:pStyle w:val="HChG"/>
        <w:rPr>
          <w:lang w:val="fr-FR"/>
        </w:rPr>
      </w:pPr>
      <w:r w:rsidRPr="003238AA">
        <w:rPr>
          <w:lang w:val="fr-FR"/>
        </w:rPr>
        <w:tab/>
      </w:r>
      <w:r w:rsidR="00610F04" w:rsidRPr="003238AA">
        <w:rPr>
          <w:lang w:val="fr-FR"/>
        </w:rPr>
        <w:t>IV</w:t>
      </w:r>
      <w:r w:rsidRPr="003238AA">
        <w:rPr>
          <w:lang w:val="fr-FR"/>
        </w:rPr>
        <w:t>.</w:t>
      </w:r>
      <w:r w:rsidR="00610F04" w:rsidRPr="003238AA">
        <w:rPr>
          <w:lang w:val="fr-FR"/>
        </w:rPr>
        <w:tab/>
        <w:t>Mesure à prendre</w:t>
      </w:r>
    </w:p>
    <w:p w14:paraId="2AE1342F" w14:textId="296549E8" w:rsidR="00F9573C" w:rsidRPr="003238AA" w:rsidRDefault="00610F04" w:rsidP="003238AA">
      <w:pPr>
        <w:pStyle w:val="SingleTxtG"/>
        <w:rPr>
          <w:lang w:val="fr-FR"/>
        </w:rPr>
      </w:pPr>
      <w:r w:rsidRPr="003238AA">
        <w:rPr>
          <w:lang w:val="fr-FR"/>
        </w:rPr>
        <w:t>8</w:t>
      </w:r>
      <w:r w:rsidR="003238AA" w:rsidRPr="003238AA">
        <w:rPr>
          <w:lang w:val="fr-FR"/>
        </w:rPr>
        <w:t>.</w:t>
      </w:r>
      <w:r w:rsidRPr="003238AA">
        <w:rPr>
          <w:lang w:val="fr-FR"/>
        </w:rPr>
        <w:tab/>
        <w:t>FuelsEurope invite le Comité de sécurité de l</w:t>
      </w:r>
      <w:r w:rsidR="003238AA" w:rsidRPr="003238AA">
        <w:rPr>
          <w:lang w:val="fr-FR"/>
        </w:rPr>
        <w:t>’</w:t>
      </w:r>
      <w:r w:rsidRPr="003238AA">
        <w:rPr>
          <w:lang w:val="fr-FR"/>
        </w:rPr>
        <w:t>ADN à examiner la présente proposition et à prendre les mesures qu</w:t>
      </w:r>
      <w:r w:rsidR="003238AA" w:rsidRPr="003238AA">
        <w:rPr>
          <w:lang w:val="fr-FR"/>
        </w:rPr>
        <w:t>’</w:t>
      </w:r>
      <w:r w:rsidRPr="003238AA">
        <w:rPr>
          <w:lang w:val="fr-FR"/>
        </w:rPr>
        <w:t>il jugera appropriées</w:t>
      </w:r>
      <w:r w:rsidR="003238AA" w:rsidRPr="003238AA">
        <w:rPr>
          <w:lang w:val="fr-FR"/>
        </w:rPr>
        <w:t>.</w:t>
      </w:r>
    </w:p>
    <w:p w14:paraId="134EA121" w14:textId="677614AC" w:rsidR="00610F04" w:rsidRPr="003238AA" w:rsidRDefault="00610F04" w:rsidP="00610F04">
      <w:pPr>
        <w:pStyle w:val="SingleTxtG"/>
        <w:spacing w:before="240" w:after="0"/>
        <w:jc w:val="center"/>
        <w:rPr>
          <w:u w:val="single"/>
          <w:lang w:val="fr-FR"/>
        </w:rPr>
      </w:pPr>
      <w:r w:rsidRPr="003238AA">
        <w:rPr>
          <w:u w:val="single"/>
          <w:lang w:val="fr-FR"/>
        </w:rPr>
        <w:tab/>
      </w:r>
      <w:r w:rsidRPr="003238AA">
        <w:rPr>
          <w:u w:val="single"/>
          <w:lang w:val="fr-FR"/>
        </w:rPr>
        <w:tab/>
      </w:r>
      <w:r w:rsidRPr="003238AA">
        <w:rPr>
          <w:u w:val="single"/>
          <w:lang w:val="fr-FR"/>
        </w:rPr>
        <w:tab/>
      </w:r>
      <w:r w:rsidRPr="003238AA">
        <w:rPr>
          <w:u w:val="single"/>
          <w:lang w:val="fr-FR"/>
        </w:rPr>
        <w:tab/>
      </w:r>
      <w:bookmarkEnd w:id="0"/>
    </w:p>
    <w:sectPr w:rsidR="00610F04" w:rsidRPr="003238AA" w:rsidSect="00610F04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F1B95" w14:textId="77777777" w:rsidR="002C2282" w:rsidRDefault="002C2282" w:rsidP="00F95C08">
      <w:pPr>
        <w:spacing w:line="240" w:lineRule="auto"/>
      </w:pPr>
    </w:p>
  </w:endnote>
  <w:endnote w:type="continuationSeparator" w:id="0">
    <w:p w14:paraId="756DBAA1" w14:textId="77777777" w:rsidR="002C2282" w:rsidRPr="00AC3823" w:rsidRDefault="002C2282" w:rsidP="00AC3823">
      <w:pPr>
        <w:pStyle w:val="Footer"/>
      </w:pPr>
    </w:p>
  </w:endnote>
  <w:endnote w:type="continuationNotice" w:id="1">
    <w:p w14:paraId="72FA435B" w14:textId="77777777" w:rsidR="002C2282" w:rsidRDefault="002C228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05A57" w14:textId="55BE339D" w:rsidR="00610F04" w:rsidRPr="00610F04" w:rsidRDefault="00610F04" w:rsidP="00610F04">
    <w:pPr>
      <w:pStyle w:val="Footer"/>
      <w:tabs>
        <w:tab w:val="right" w:pos="9638"/>
      </w:tabs>
    </w:pPr>
    <w:r w:rsidRPr="00610F04">
      <w:rPr>
        <w:b/>
        <w:sz w:val="18"/>
      </w:rPr>
      <w:fldChar w:fldCharType="begin"/>
    </w:r>
    <w:r w:rsidRPr="00610F04">
      <w:rPr>
        <w:b/>
        <w:sz w:val="18"/>
      </w:rPr>
      <w:instrText xml:space="preserve"> PAGE  \* MERGEFORMAT </w:instrText>
    </w:r>
    <w:r w:rsidRPr="00610F04">
      <w:rPr>
        <w:b/>
        <w:sz w:val="18"/>
      </w:rPr>
      <w:fldChar w:fldCharType="separate"/>
    </w:r>
    <w:r w:rsidRPr="00610F04">
      <w:rPr>
        <w:b/>
        <w:noProof/>
        <w:sz w:val="18"/>
      </w:rPr>
      <w:t>2</w:t>
    </w:r>
    <w:r w:rsidRPr="00610F04">
      <w:rPr>
        <w:b/>
        <w:sz w:val="18"/>
      </w:rPr>
      <w:fldChar w:fldCharType="end"/>
    </w:r>
    <w:r>
      <w:rPr>
        <w:b/>
        <w:sz w:val="18"/>
      </w:rPr>
      <w:tab/>
    </w:r>
    <w:r>
      <w:t>GE.24-09629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D325C" w14:textId="6672B3D8" w:rsidR="00610F04" w:rsidRPr="00610F04" w:rsidRDefault="00610F04" w:rsidP="00610F04">
    <w:pPr>
      <w:pStyle w:val="Footer"/>
      <w:tabs>
        <w:tab w:val="right" w:pos="9638"/>
      </w:tabs>
      <w:rPr>
        <w:b/>
        <w:sz w:val="18"/>
      </w:rPr>
    </w:pPr>
    <w:r>
      <w:t>GE.24-09629</w:t>
    </w:r>
    <w:r>
      <w:tab/>
    </w:r>
    <w:r w:rsidRPr="00610F04">
      <w:rPr>
        <w:b/>
        <w:sz w:val="18"/>
      </w:rPr>
      <w:fldChar w:fldCharType="begin"/>
    </w:r>
    <w:r w:rsidRPr="00610F04">
      <w:rPr>
        <w:b/>
        <w:sz w:val="18"/>
      </w:rPr>
      <w:instrText xml:space="preserve"> PAGE  \* MERGEFORMAT </w:instrText>
    </w:r>
    <w:r w:rsidRPr="00610F04">
      <w:rPr>
        <w:b/>
        <w:sz w:val="18"/>
      </w:rPr>
      <w:fldChar w:fldCharType="separate"/>
    </w:r>
    <w:r w:rsidRPr="00610F04">
      <w:rPr>
        <w:b/>
        <w:noProof/>
        <w:sz w:val="18"/>
      </w:rPr>
      <w:t>3</w:t>
    </w:r>
    <w:r w:rsidRPr="00610F04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F50E0" w14:textId="34EE2045" w:rsidR="007F20FA" w:rsidRPr="00610F04" w:rsidRDefault="00610F04" w:rsidP="00610F04">
    <w:pPr>
      <w:pStyle w:val="Footer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0AF449CC" wp14:editId="4440DC67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015559148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24-09629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3869D9F3" wp14:editId="472D06D0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28650" cy="628650"/>
          <wp:effectExtent l="0" t="0" r="0" b="0"/>
          <wp:wrapNone/>
          <wp:docPr id="5590445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140624    140624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0AAD0" w14:textId="77777777" w:rsidR="002C2282" w:rsidRPr="00AC3823" w:rsidRDefault="002C2282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6D92EF0" w14:textId="77777777" w:rsidR="002C2282" w:rsidRPr="00AC3823" w:rsidRDefault="002C2282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03ACD055" w14:textId="77777777" w:rsidR="002C2282" w:rsidRPr="00AC3823" w:rsidRDefault="002C2282">
      <w:pPr>
        <w:spacing w:line="240" w:lineRule="auto"/>
        <w:rPr>
          <w:sz w:val="2"/>
          <w:szCs w:val="2"/>
        </w:rPr>
      </w:pPr>
    </w:p>
  </w:footnote>
  <w:footnote w:id="2">
    <w:p w14:paraId="33596C53" w14:textId="6DFD6DFC" w:rsidR="00610F04" w:rsidRPr="00E341AC" w:rsidRDefault="00610F04" w:rsidP="00610F04">
      <w:pPr>
        <w:pStyle w:val="FootnoteText"/>
        <w:rPr>
          <w:sz w:val="16"/>
          <w:szCs w:val="16"/>
          <w:lang w:val="fr-FR"/>
        </w:rPr>
      </w:pPr>
      <w:r>
        <w:rPr>
          <w:lang w:val="fr-FR"/>
        </w:rPr>
        <w:tab/>
      </w:r>
      <w:r w:rsidRPr="003238AA">
        <w:rPr>
          <w:sz w:val="20"/>
          <w:lang w:val="fr-FR"/>
        </w:rPr>
        <w:t>*</w:t>
      </w:r>
      <w:r>
        <w:rPr>
          <w:lang w:val="fr-FR"/>
        </w:rPr>
        <w:tab/>
        <w:t>Diffusée en allemand par la Commission centrale pour la navigation du Rhin sous la cote CCNR</w:t>
      </w:r>
      <w:r w:rsidR="003238AA">
        <w:rPr>
          <w:lang w:val="fr-FR"/>
        </w:rPr>
        <w:noBreakHyphen/>
      </w:r>
      <w:r>
        <w:rPr>
          <w:lang w:val="fr-FR"/>
        </w:rPr>
        <w:t>ZKR/ADN/WP.15/AC.2/2024/43.</w:t>
      </w:r>
    </w:p>
  </w:footnote>
  <w:footnote w:id="3">
    <w:p w14:paraId="089D7E6D" w14:textId="06F5313F" w:rsidR="00610F04" w:rsidRPr="00971521" w:rsidRDefault="00610F04" w:rsidP="00610F04">
      <w:pPr>
        <w:pStyle w:val="FootnoteText"/>
        <w:rPr>
          <w:sz w:val="16"/>
          <w:szCs w:val="16"/>
        </w:rPr>
      </w:pPr>
      <w:r>
        <w:rPr>
          <w:lang w:val="fr-FR"/>
        </w:rPr>
        <w:tab/>
      </w:r>
      <w:r w:rsidRPr="003238AA">
        <w:rPr>
          <w:sz w:val="20"/>
          <w:lang w:val="fr-FR"/>
        </w:rPr>
        <w:t>**</w:t>
      </w:r>
      <w:r>
        <w:rPr>
          <w:lang w:val="fr-FR"/>
        </w:rPr>
        <w:tab/>
      </w:r>
      <w:hyperlink r:id="rId1" w:history="1">
        <w:r w:rsidRPr="003238AA">
          <w:rPr>
            <w:rStyle w:val="Hyperlink"/>
            <w:lang w:val="fr-FR"/>
          </w:rPr>
          <w:t>A/7</w:t>
        </w:r>
        <w:r w:rsidRPr="003238AA">
          <w:rPr>
            <w:rStyle w:val="Hyperlink"/>
            <w:lang w:val="fr-FR"/>
          </w:rPr>
          <w:t>8/6 (Sect. 20)</w:t>
        </w:r>
      </w:hyperlink>
      <w:r>
        <w:rPr>
          <w:lang w:val="fr-FR"/>
        </w:rPr>
        <w:t>, tableau 20.5.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4D90E" w14:textId="73590B4D" w:rsidR="00610F04" w:rsidRPr="00610F04" w:rsidRDefault="00610F04">
    <w:pPr>
      <w:pStyle w:val="Header"/>
    </w:pPr>
    <w:fldSimple w:instr=" TITLE  \* MERGEFORMAT ">
      <w:r w:rsidR="000D6AF6">
        <w:t>ECE/TRANS/WP.15/AC.2/2024/43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32B46" w14:textId="165DA4E5" w:rsidR="00610F04" w:rsidRPr="00610F04" w:rsidRDefault="00610F04" w:rsidP="00610F04">
    <w:pPr>
      <w:pStyle w:val="Header"/>
      <w:jc w:val="right"/>
    </w:pPr>
    <w:fldSimple w:instr=" TITLE  \* MERGEFORMAT ">
      <w:r w:rsidR="000D6AF6">
        <w:t>ECE/TRANS/WP.15/AC.2/2024/43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E9CAAE62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685519709">
    <w:abstractNumId w:val="12"/>
  </w:num>
  <w:num w:numId="2" w16cid:durableId="205143210">
    <w:abstractNumId w:val="11"/>
  </w:num>
  <w:num w:numId="3" w16cid:durableId="1536389785">
    <w:abstractNumId w:val="10"/>
  </w:num>
  <w:num w:numId="4" w16cid:durableId="1588004911">
    <w:abstractNumId w:val="8"/>
  </w:num>
  <w:num w:numId="5" w16cid:durableId="1820808203">
    <w:abstractNumId w:val="3"/>
  </w:num>
  <w:num w:numId="6" w16cid:durableId="1958098367">
    <w:abstractNumId w:val="2"/>
  </w:num>
  <w:num w:numId="7" w16cid:durableId="1534853220">
    <w:abstractNumId w:val="1"/>
  </w:num>
  <w:num w:numId="8" w16cid:durableId="197665713">
    <w:abstractNumId w:val="0"/>
  </w:num>
  <w:num w:numId="9" w16cid:durableId="1432579302">
    <w:abstractNumId w:val="9"/>
  </w:num>
  <w:num w:numId="10" w16cid:durableId="92210252">
    <w:abstractNumId w:val="7"/>
  </w:num>
  <w:num w:numId="11" w16cid:durableId="2116825744">
    <w:abstractNumId w:val="6"/>
  </w:num>
  <w:num w:numId="12" w16cid:durableId="157959706">
    <w:abstractNumId w:val="5"/>
  </w:num>
  <w:num w:numId="13" w16cid:durableId="1489244756">
    <w:abstractNumId w:val="4"/>
  </w:num>
  <w:num w:numId="14" w16cid:durableId="1160659889">
    <w:abstractNumId w:val="12"/>
  </w:num>
  <w:num w:numId="15" w16cid:durableId="405959348">
    <w:abstractNumId w:val="11"/>
  </w:num>
  <w:num w:numId="16" w16cid:durableId="20076604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revisionView w:inkAnnotations="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82"/>
    <w:rsid w:val="00017F94"/>
    <w:rsid w:val="00023842"/>
    <w:rsid w:val="000334F9"/>
    <w:rsid w:val="00045FEB"/>
    <w:rsid w:val="0007796D"/>
    <w:rsid w:val="000B7790"/>
    <w:rsid w:val="000D6AF6"/>
    <w:rsid w:val="00111F2F"/>
    <w:rsid w:val="0014365E"/>
    <w:rsid w:val="00143C66"/>
    <w:rsid w:val="00176178"/>
    <w:rsid w:val="001F525A"/>
    <w:rsid w:val="00201148"/>
    <w:rsid w:val="00223272"/>
    <w:rsid w:val="0024779E"/>
    <w:rsid w:val="00257168"/>
    <w:rsid w:val="002744B8"/>
    <w:rsid w:val="002832AC"/>
    <w:rsid w:val="002C2282"/>
    <w:rsid w:val="002D7C93"/>
    <w:rsid w:val="00305801"/>
    <w:rsid w:val="003238AA"/>
    <w:rsid w:val="003916DE"/>
    <w:rsid w:val="00421996"/>
    <w:rsid w:val="00441C3B"/>
    <w:rsid w:val="00446FE5"/>
    <w:rsid w:val="00452396"/>
    <w:rsid w:val="00477EB2"/>
    <w:rsid w:val="004837D8"/>
    <w:rsid w:val="004E2EED"/>
    <w:rsid w:val="004E468C"/>
    <w:rsid w:val="005505B7"/>
    <w:rsid w:val="00573BE5"/>
    <w:rsid w:val="00586ED3"/>
    <w:rsid w:val="00596AA9"/>
    <w:rsid w:val="00610F04"/>
    <w:rsid w:val="0071601D"/>
    <w:rsid w:val="007A62E6"/>
    <w:rsid w:val="007F20FA"/>
    <w:rsid w:val="0080684C"/>
    <w:rsid w:val="00871C75"/>
    <w:rsid w:val="008776DC"/>
    <w:rsid w:val="008D5EF9"/>
    <w:rsid w:val="009446C0"/>
    <w:rsid w:val="009705C8"/>
    <w:rsid w:val="009C1CF4"/>
    <w:rsid w:val="009F6B74"/>
    <w:rsid w:val="00A077BC"/>
    <w:rsid w:val="00A3029F"/>
    <w:rsid w:val="00A30353"/>
    <w:rsid w:val="00AC3823"/>
    <w:rsid w:val="00AE323C"/>
    <w:rsid w:val="00AF0CB5"/>
    <w:rsid w:val="00B00181"/>
    <w:rsid w:val="00B00B0D"/>
    <w:rsid w:val="00B45F2E"/>
    <w:rsid w:val="00B765F7"/>
    <w:rsid w:val="00B77993"/>
    <w:rsid w:val="00BA0CA9"/>
    <w:rsid w:val="00C02897"/>
    <w:rsid w:val="00C97039"/>
    <w:rsid w:val="00D3439C"/>
    <w:rsid w:val="00D7622E"/>
    <w:rsid w:val="00DB1831"/>
    <w:rsid w:val="00DD3BFD"/>
    <w:rsid w:val="00DD4D4F"/>
    <w:rsid w:val="00DF6678"/>
    <w:rsid w:val="00E0299A"/>
    <w:rsid w:val="00E85C74"/>
    <w:rsid w:val="00EA6547"/>
    <w:rsid w:val="00ED7237"/>
    <w:rsid w:val="00EF2E22"/>
    <w:rsid w:val="00F35BAF"/>
    <w:rsid w:val="00F660DF"/>
    <w:rsid w:val="00F94664"/>
    <w:rsid w:val="00F9573C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F6190"/>
  <w15:docId w15:val="{0FCE3B29-841D-45D5-A33F-74F1C084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next w:val="Normal"/>
    <w:link w:val="HeaderCh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Footer">
    <w:name w:val="footer"/>
    <w:aliases w:val="3_G"/>
    <w:basedOn w:val="Normal"/>
    <w:next w:val="Normal"/>
    <w:link w:val="FooterChar"/>
    <w:qFormat/>
    <w:rsid w:val="00E0299A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qFormat/>
    <w:rsid w:val="00B77993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B77993"/>
    <w:pPr>
      <w:numPr>
        <w:numId w:val="16"/>
      </w:numPr>
      <w:tabs>
        <w:tab w:val="clear" w:pos="1701"/>
      </w:tabs>
      <w:spacing w:after="120"/>
      <w:ind w:right="1134"/>
      <w:jc w:val="both"/>
    </w:pPr>
  </w:style>
  <w:style w:type="character" w:styleId="FootnoteReference">
    <w:name w:val="footnote reference"/>
    <w:aliases w:val="4_G"/>
    <w:basedOn w:val="DefaultParagraphFon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nhideWhenUsed/>
    <w:rsid w:val="00E0299A"/>
    <w:rPr>
      <w:color w:val="0000FF"/>
      <w:u w:val="none"/>
    </w:rPr>
  </w:style>
  <w:style w:type="character" w:styleId="FollowedHyperlink">
    <w:name w:val="FollowedHyperlink"/>
    <w:basedOn w:val="DefaultParagraphFont"/>
    <w:unhideWhenUsed/>
    <w:rsid w:val="00E0299A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E0299A"/>
  </w:style>
  <w:style w:type="character" w:customStyle="1" w:styleId="EndnoteTextChar">
    <w:name w:val="Endnote Text Char"/>
    <w:aliases w:val="2_G Char"/>
    <w:basedOn w:val="DefaultParagraphFont"/>
    <w:link w:val="EndnoteText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BAF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23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undocs.org/fr/A/78/6(Sect.20)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A855A6-89D8-4CF5-AD6D-2613448D8795}"/>
</file>

<file path=customXml/itemProps2.xml><?xml version="1.0" encoding="utf-8"?>
<ds:datastoreItem xmlns:ds="http://schemas.openxmlformats.org/officeDocument/2006/customXml" ds:itemID="{01E13D1E-4D8B-4328-B5F2-BD724B104C3A}"/>
</file>

<file path=docProps/app.xml><?xml version="1.0" encoding="utf-8"?>
<Properties xmlns="http://schemas.openxmlformats.org/officeDocument/2006/extended-properties" xmlns:vt="http://schemas.openxmlformats.org/officeDocument/2006/docPropsVTypes">
  <Template>ECE_TRANS.dotm</Template>
  <TotalTime>0</TotalTime>
  <Pages>2</Pages>
  <Words>623</Words>
  <Characters>3429</Characters>
  <Application>Microsoft Office Word</Application>
  <DocSecurity>0</DocSecurity>
  <Lines>74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DCM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ECE/TRANS/WP.15/AC.2/2024/43</dc:title>
  <dc:subject/>
  <dc:creator>Luisa PENA-MONTERO</dc:creator>
  <cp:keywords/>
  <cp:lastModifiedBy>Luisa PENA-MONTERO</cp:lastModifiedBy>
  <cp:revision>2</cp:revision>
  <cp:lastPrinted>2014-05-14T10:59:00Z</cp:lastPrinted>
  <dcterms:created xsi:type="dcterms:W3CDTF">2024-06-14T13:35:00Z</dcterms:created>
  <dcterms:modified xsi:type="dcterms:W3CDTF">2024-06-14T13:35:00Z</dcterms:modified>
</cp:coreProperties>
</file>