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433FD" w:rsidRPr="00DB58B5" w14:paraId="08D86A0B" w14:textId="77777777" w:rsidTr="005316B0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5AB4C455" w14:textId="77777777" w:rsidR="001433FD" w:rsidRPr="00DB58B5" w:rsidRDefault="001433FD" w:rsidP="0001207F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3DCDECC" w14:textId="77777777" w:rsidR="001433FD" w:rsidRPr="00DB58B5" w:rsidRDefault="001433FD" w:rsidP="007D3236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B5C23DC" w14:textId="2EDFEC11" w:rsidR="001433FD" w:rsidRPr="00791558" w:rsidRDefault="00791558" w:rsidP="00791558">
            <w:pPr>
              <w:jc w:val="right"/>
            </w:pPr>
            <w:r w:rsidRPr="00791558">
              <w:rPr>
                <w:sz w:val="40"/>
              </w:rPr>
              <w:t>ECE</w:t>
            </w:r>
            <w:r>
              <w:t>/TRANS/WP.11/2024/5</w:t>
            </w:r>
          </w:p>
        </w:tc>
      </w:tr>
      <w:tr w:rsidR="001433FD" w:rsidRPr="00DB58B5" w14:paraId="51ED774C" w14:textId="77777777" w:rsidTr="007D3236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168E788" w14:textId="77777777" w:rsidR="001433FD" w:rsidRPr="00DB58B5" w:rsidRDefault="001433FD" w:rsidP="007D3236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BBD2920" wp14:editId="22DF9C39">
                  <wp:extent cx="714375" cy="590550"/>
                  <wp:effectExtent l="0" t="0" r="9525" b="0"/>
                  <wp:docPr id="3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0874DCE" w14:textId="77777777" w:rsidR="001433FD" w:rsidRPr="00740562" w:rsidRDefault="001433FD" w:rsidP="007D3236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1C0CC5A" w14:textId="77777777" w:rsidR="0001207F" w:rsidRDefault="00921928" w:rsidP="00921928">
            <w:pPr>
              <w:spacing w:before="240" w:line="240" w:lineRule="exact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1C6C5D7B" w14:textId="4985D772" w:rsidR="00921928" w:rsidRDefault="003A6C88" w:rsidP="00921928">
            <w:pPr>
              <w:spacing w:line="240" w:lineRule="exact"/>
            </w:pPr>
            <w:r>
              <w:t>7</w:t>
            </w:r>
            <w:r w:rsidR="00921928">
              <w:t xml:space="preserve"> </w:t>
            </w:r>
            <w:r w:rsidR="00975439">
              <w:t>août</w:t>
            </w:r>
            <w:r w:rsidR="00921928">
              <w:t xml:space="preserve"> 2024</w:t>
            </w:r>
          </w:p>
          <w:p w14:paraId="044B07C9" w14:textId="77777777" w:rsidR="00921928" w:rsidRDefault="00921928" w:rsidP="00921928">
            <w:pPr>
              <w:spacing w:line="240" w:lineRule="exact"/>
            </w:pPr>
          </w:p>
          <w:p w14:paraId="4D76642A" w14:textId="77777777" w:rsidR="00921928" w:rsidRPr="00DB58B5" w:rsidRDefault="00921928" w:rsidP="00921928">
            <w:pPr>
              <w:spacing w:line="240" w:lineRule="exact"/>
            </w:pPr>
            <w:r>
              <w:t>Original : français</w:t>
            </w:r>
          </w:p>
        </w:tc>
      </w:tr>
    </w:tbl>
    <w:p w14:paraId="4C996618" w14:textId="5C5F00F1" w:rsidR="00EE0584" w:rsidRDefault="00EE0584" w:rsidP="00EE0584">
      <w:pPr>
        <w:spacing w:before="120"/>
        <w:rPr>
          <w:b/>
          <w:sz w:val="28"/>
          <w:szCs w:val="28"/>
        </w:rPr>
      </w:pPr>
      <w:r w:rsidRPr="00883605">
        <w:rPr>
          <w:b/>
          <w:sz w:val="28"/>
          <w:szCs w:val="28"/>
        </w:rPr>
        <w:t>Commission économique pour l</w:t>
      </w:r>
      <w:r w:rsidR="00975439">
        <w:rPr>
          <w:b/>
          <w:sz w:val="28"/>
          <w:szCs w:val="28"/>
        </w:rPr>
        <w:t>’</w:t>
      </w:r>
      <w:r w:rsidRPr="00883605">
        <w:rPr>
          <w:b/>
          <w:sz w:val="28"/>
          <w:szCs w:val="28"/>
        </w:rPr>
        <w:t>Europe</w:t>
      </w:r>
    </w:p>
    <w:p w14:paraId="33EE77DE" w14:textId="77777777" w:rsidR="00EE0584" w:rsidRPr="009E01B8" w:rsidRDefault="00EE0584" w:rsidP="00EE0584">
      <w:pPr>
        <w:spacing w:before="120"/>
        <w:rPr>
          <w:sz w:val="28"/>
          <w:szCs w:val="28"/>
        </w:rPr>
      </w:pPr>
      <w:r w:rsidRPr="009E01B8">
        <w:rPr>
          <w:sz w:val="28"/>
          <w:szCs w:val="28"/>
        </w:rPr>
        <w:t>Comité des transports intérieurs</w:t>
      </w:r>
    </w:p>
    <w:p w14:paraId="5E794E9F" w14:textId="77777777" w:rsidR="00EE0584" w:rsidRPr="009E01B8" w:rsidRDefault="00EE0584" w:rsidP="00EE0584">
      <w:pPr>
        <w:spacing w:before="120"/>
        <w:rPr>
          <w:b/>
          <w:sz w:val="24"/>
          <w:szCs w:val="24"/>
        </w:rPr>
      </w:pPr>
      <w:r w:rsidRPr="009E01B8">
        <w:rPr>
          <w:b/>
          <w:sz w:val="24"/>
          <w:szCs w:val="24"/>
        </w:rPr>
        <w:t>Groupe de travail d</w:t>
      </w:r>
      <w:r>
        <w:rPr>
          <w:b/>
          <w:sz w:val="24"/>
          <w:szCs w:val="24"/>
        </w:rPr>
        <w:t>u transport</w:t>
      </w:r>
      <w:r>
        <w:rPr>
          <w:b/>
          <w:sz w:val="24"/>
          <w:szCs w:val="24"/>
        </w:rPr>
        <w:br/>
      </w:r>
      <w:r w:rsidRPr="009E01B8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s denrées périssables</w:t>
      </w:r>
    </w:p>
    <w:p w14:paraId="20587623" w14:textId="77777777" w:rsidR="00975439" w:rsidRPr="00975439" w:rsidRDefault="00975439" w:rsidP="00975439">
      <w:pPr>
        <w:spacing w:before="120"/>
        <w:rPr>
          <w:b/>
        </w:rPr>
      </w:pPr>
      <w:r w:rsidRPr="00975439">
        <w:rPr>
          <w:b/>
        </w:rPr>
        <w:t>Quatre-vingt-unième session</w:t>
      </w:r>
    </w:p>
    <w:p w14:paraId="7CB8F234" w14:textId="292B4F36" w:rsidR="00975439" w:rsidRPr="00975439" w:rsidRDefault="00975439" w:rsidP="00975439">
      <w:pPr>
        <w:rPr>
          <w:bCs/>
        </w:rPr>
      </w:pPr>
      <w:r w:rsidRPr="00975439">
        <w:rPr>
          <w:bCs/>
        </w:rPr>
        <w:t>Genève, 29 octobre-1</w:t>
      </w:r>
      <w:r w:rsidRPr="00975439">
        <w:rPr>
          <w:bCs/>
          <w:vertAlign w:val="superscript"/>
        </w:rPr>
        <w:t>er</w:t>
      </w:r>
      <w:r>
        <w:rPr>
          <w:bCs/>
        </w:rPr>
        <w:t> </w:t>
      </w:r>
      <w:r w:rsidRPr="00975439">
        <w:rPr>
          <w:bCs/>
        </w:rPr>
        <w:t>novembre 2024</w:t>
      </w:r>
    </w:p>
    <w:p w14:paraId="5E30BEC2" w14:textId="6A88449A" w:rsidR="00975439" w:rsidRPr="00975439" w:rsidRDefault="00975439" w:rsidP="00975439">
      <w:pPr>
        <w:rPr>
          <w:bCs/>
        </w:rPr>
      </w:pPr>
      <w:r w:rsidRPr="00975439">
        <w:rPr>
          <w:bCs/>
        </w:rPr>
        <w:t>Point 5 a) de l</w:t>
      </w:r>
      <w:r>
        <w:rPr>
          <w:bCs/>
        </w:rPr>
        <w:t>’</w:t>
      </w:r>
      <w:r w:rsidRPr="00975439">
        <w:rPr>
          <w:bCs/>
        </w:rPr>
        <w:t>ordre du jour provisoire</w:t>
      </w:r>
    </w:p>
    <w:p w14:paraId="0F12FAB6" w14:textId="71FA1E7E" w:rsidR="00975439" w:rsidRPr="00975439" w:rsidRDefault="00975439" w:rsidP="00975439">
      <w:pPr>
        <w:rPr>
          <w:b/>
        </w:rPr>
      </w:pPr>
      <w:r w:rsidRPr="00975439">
        <w:rPr>
          <w:b/>
        </w:rPr>
        <w:t>Propositions d</w:t>
      </w:r>
      <w:r>
        <w:rPr>
          <w:b/>
        </w:rPr>
        <w:t>’</w:t>
      </w:r>
      <w:r w:rsidRPr="00975439">
        <w:rPr>
          <w:b/>
        </w:rPr>
        <w:t>amendements à l</w:t>
      </w:r>
      <w:r>
        <w:rPr>
          <w:b/>
        </w:rPr>
        <w:t>’</w:t>
      </w:r>
      <w:r w:rsidRPr="00975439">
        <w:rPr>
          <w:b/>
        </w:rPr>
        <w:t>ATP :</w:t>
      </w:r>
    </w:p>
    <w:p w14:paraId="7F75B44A" w14:textId="6628D09C" w:rsidR="00EE0584" w:rsidRDefault="00975439" w:rsidP="00975439">
      <w:pPr>
        <w:rPr>
          <w:b/>
        </w:rPr>
      </w:pPr>
      <w:r w:rsidRPr="00975439">
        <w:rPr>
          <w:b/>
        </w:rPr>
        <w:t>propositions en suspens</w:t>
      </w:r>
    </w:p>
    <w:p w14:paraId="61927F21" w14:textId="6F1AEBDC" w:rsidR="00EE0584" w:rsidRDefault="00EE0584" w:rsidP="00EE0584">
      <w:pPr>
        <w:pStyle w:val="HChG"/>
      </w:pPr>
      <w:r>
        <w:tab/>
      </w:r>
      <w:r>
        <w:tab/>
        <w:t>Proposition d</w:t>
      </w:r>
      <w:r w:rsidR="00975439">
        <w:t>’</w:t>
      </w:r>
      <w:r>
        <w:t>amendement au paragraphe 7 de l</w:t>
      </w:r>
      <w:r w:rsidR="00975439">
        <w:t>’</w:t>
      </w:r>
      <w:r>
        <w:t>annexe 1</w:t>
      </w:r>
    </w:p>
    <w:p w14:paraId="4C2405C1" w14:textId="77777777" w:rsidR="00EE0584" w:rsidRDefault="00EE0584" w:rsidP="00EE0584">
      <w:pPr>
        <w:pStyle w:val="H1G"/>
      </w:pPr>
      <w:r>
        <w:tab/>
      </w:r>
      <w:r>
        <w:tab/>
        <w:t>Communication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Gouvernement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France</w:t>
      </w:r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8"/>
      </w:tblGrid>
      <w:tr w:rsidR="00EE0584" w14:paraId="49B427DF" w14:textId="77777777" w:rsidTr="00BB5529">
        <w:trPr>
          <w:jc w:val="center"/>
        </w:trPr>
        <w:tc>
          <w:tcPr>
            <w:tcW w:w="9628" w:type="dxa"/>
            <w:shd w:val="clear" w:color="auto" w:fill="auto"/>
          </w:tcPr>
          <w:p w14:paraId="1CFDA51E" w14:textId="77777777" w:rsidR="00EE0584" w:rsidRPr="00C6263E" w:rsidRDefault="00EE0584" w:rsidP="00BB5529">
            <w:pPr>
              <w:spacing w:before="240" w:after="120"/>
              <w:ind w:left="255"/>
              <w:rPr>
                <w:i/>
                <w:sz w:val="24"/>
              </w:rPr>
            </w:pPr>
            <w:r w:rsidRPr="00C6263E">
              <w:rPr>
                <w:i/>
                <w:sz w:val="24"/>
              </w:rPr>
              <w:t xml:space="preserve">Résumé </w:t>
            </w:r>
          </w:p>
        </w:tc>
      </w:tr>
      <w:tr w:rsidR="00EE0584" w14:paraId="70534A36" w14:textId="77777777" w:rsidTr="00BB5529">
        <w:trPr>
          <w:jc w:val="center"/>
        </w:trPr>
        <w:tc>
          <w:tcPr>
            <w:tcW w:w="9628" w:type="dxa"/>
            <w:shd w:val="clear" w:color="auto" w:fill="auto"/>
          </w:tcPr>
          <w:p w14:paraId="1F6A63CA" w14:textId="0FEDA3A3" w:rsidR="00EE0584" w:rsidRDefault="00EE0584" w:rsidP="00BB5529">
            <w:pPr>
              <w:pStyle w:val="SingleTxtG"/>
              <w:ind w:left="3402" w:hanging="2268"/>
            </w:pPr>
            <w:r>
              <w:rPr>
                <w:b/>
              </w:rPr>
              <w:t xml:space="preserve">Résumé analytique </w:t>
            </w:r>
            <w:r>
              <w:t>:</w:t>
            </w:r>
            <w:r>
              <w:tab/>
              <w:t>Proposition visant à compléter la définition d</w:t>
            </w:r>
            <w:r w:rsidR="00975439">
              <w:t>’</w:t>
            </w:r>
            <w:r>
              <w:t>un engin et de proposer une définition d</w:t>
            </w:r>
            <w:r w:rsidR="00975439">
              <w:t>’</w:t>
            </w:r>
            <w:r>
              <w:t>un engin neuf.</w:t>
            </w:r>
          </w:p>
          <w:p w14:paraId="4F8304B0" w14:textId="201B3D0D" w:rsidR="00EE0584" w:rsidRDefault="00EE0584" w:rsidP="00BB5529">
            <w:pPr>
              <w:pStyle w:val="SingleTxtG"/>
              <w:ind w:left="3402" w:hanging="2268"/>
            </w:pPr>
            <w:r>
              <w:rPr>
                <w:b/>
              </w:rPr>
              <w:t>Mesure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à prendre </w:t>
            </w:r>
            <w:r>
              <w:t>:</w:t>
            </w:r>
            <w:r>
              <w:tab/>
            </w:r>
            <w:r>
              <w:tab/>
              <w:t>Compléter le</w:t>
            </w:r>
            <w:r>
              <w:rPr>
                <w:spacing w:val="-2"/>
              </w:rPr>
              <w:t xml:space="preserve"> </w:t>
            </w:r>
            <w:r>
              <w:t>paragraphe 7 de l</w:t>
            </w:r>
            <w:r w:rsidR="00975439">
              <w:t>’</w:t>
            </w:r>
            <w:r>
              <w:t>annexe 1 en complétant la définition d</w:t>
            </w:r>
            <w:r w:rsidR="00975439">
              <w:t>’</w:t>
            </w:r>
            <w:r>
              <w:t>un engin et introduire une définition d</w:t>
            </w:r>
            <w:r w:rsidR="00975439">
              <w:t>’</w:t>
            </w:r>
            <w:r>
              <w:t>un engin neuf.</w:t>
            </w:r>
          </w:p>
          <w:p w14:paraId="7057B8A3" w14:textId="77777777" w:rsidR="00EE0584" w:rsidRDefault="00EE0584" w:rsidP="00BB5529">
            <w:pPr>
              <w:pStyle w:val="SingleTxtG"/>
              <w:ind w:left="3402" w:hanging="2268"/>
            </w:pPr>
            <w:r>
              <w:rPr>
                <w:b/>
              </w:rPr>
              <w:t>Documents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connexes</w:t>
            </w:r>
            <w:r>
              <w:rPr>
                <w:b/>
                <w:spacing w:val="-1"/>
              </w:rPr>
              <w:t xml:space="preserve"> </w:t>
            </w:r>
            <w:r>
              <w:t>:</w:t>
            </w:r>
            <w:r>
              <w:tab/>
              <w:t>Aucun</w:t>
            </w:r>
          </w:p>
        </w:tc>
      </w:tr>
      <w:tr w:rsidR="00EE0584" w14:paraId="74E865D5" w14:textId="77777777" w:rsidTr="00BB5529">
        <w:trPr>
          <w:jc w:val="center"/>
        </w:trPr>
        <w:tc>
          <w:tcPr>
            <w:tcW w:w="9628" w:type="dxa"/>
            <w:shd w:val="clear" w:color="auto" w:fill="auto"/>
          </w:tcPr>
          <w:p w14:paraId="4652E357" w14:textId="77777777" w:rsidR="00EE0584" w:rsidRDefault="00EE0584" w:rsidP="00BB5529"/>
        </w:tc>
      </w:tr>
    </w:tbl>
    <w:p w14:paraId="1297856E" w14:textId="77777777" w:rsidR="00EE0584" w:rsidRDefault="00EE0584" w:rsidP="00EE0584">
      <w:pPr>
        <w:pStyle w:val="HChG"/>
      </w:pPr>
      <w:r>
        <w:tab/>
      </w:r>
      <w:r>
        <w:tab/>
        <w:t>Introduction</w:t>
      </w:r>
    </w:p>
    <w:p w14:paraId="7EAB6E63" w14:textId="6F031603" w:rsidR="00EE0584" w:rsidRDefault="00FB0552" w:rsidP="000F3512">
      <w:pPr>
        <w:pStyle w:val="SingleTxtG"/>
      </w:pPr>
      <w:r>
        <w:t>1.</w:t>
      </w:r>
      <w:r>
        <w:tab/>
      </w:r>
      <w:r w:rsidR="00EE0584">
        <w:t>L</w:t>
      </w:r>
      <w:r w:rsidR="00975439">
        <w:t>’</w:t>
      </w:r>
      <w:r w:rsidR="00EE0584">
        <w:t xml:space="preserve">accord ATP définit les exigences </w:t>
      </w:r>
      <w:r w:rsidR="00EE0584" w:rsidRPr="00FB0552">
        <w:t>en</w:t>
      </w:r>
      <w:r w:rsidR="00EE0584">
        <w:t xml:space="preserve"> matière de certification des engins de transport sous température dirigée.</w:t>
      </w:r>
      <w:r w:rsidR="000F3512">
        <w:t xml:space="preserve"> </w:t>
      </w:r>
      <w:r w:rsidR="00EE0584">
        <w:t>Une explicitation insuffisante de ces exigences peut mener à des différences d</w:t>
      </w:r>
      <w:r w:rsidR="00975439">
        <w:t>’</w:t>
      </w:r>
      <w:r w:rsidR="00EE0584">
        <w:t>interprétation</w:t>
      </w:r>
      <w:r w:rsidR="00EE0584" w:rsidRPr="00C979EA">
        <w:t>.</w:t>
      </w:r>
    </w:p>
    <w:p w14:paraId="11B6B7A4" w14:textId="4430B009" w:rsidR="00EE0584" w:rsidRDefault="006F49B4" w:rsidP="006F49B4">
      <w:pPr>
        <w:pStyle w:val="SingleTxtG"/>
      </w:pPr>
      <w:r>
        <w:t>2.</w:t>
      </w:r>
      <w:r>
        <w:tab/>
      </w:r>
      <w:r w:rsidR="00EE0584">
        <w:t>Par exemple, le terme « engin neuf » apparaît à plusieurs endroits dans l</w:t>
      </w:r>
      <w:r w:rsidR="00975439">
        <w:t>’</w:t>
      </w:r>
      <w:r w:rsidR="00EE0584">
        <w:t>accord ATP :</w:t>
      </w:r>
    </w:p>
    <w:p w14:paraId="29AFC2CE" w14:textId="77777777" w:rsidR="00EE0584" w:rsidRDefault="00EE0584" w:rsidP="00FB0552">
      <w:pPr>
        <w:pStyle w:val="Bullet1G"/>
      </w:pPr>
      <w:r>
        <w:t>Annexe 1 appendice 1, paragraphe 6. a)</w:t>
      </w:r>
    </w:p>
    <w:p w14:paraId="56D12377" w14:textId="77777777" w:rsidR="00EE0584" w:rsidRDefault="00EE0584" w:rsidP="00FB0552">
      <w:pPr>
        <w:pStyle w:val="Bullet1G"/>
      </w:pPr>
      <w:r>
        <w:t>Annexe 1 appendice 2, paragraphe 3.1.3 a) &amp; b)</w:t>
      </w:r>
    </w:p>
    <w:p w14:paraId="304A62C6" w14:textId="5890C859" w:rsidR="00EE0584" w:rsidRDefault="00EE0584" w:rsidP="006F49B4">
      <w:pPr>
        <w:pStyle w:val="SingleTxtG"/>
      </w:pPr>
      <w:r>
        <w:t>Pourtant, seule une définition du mot « engin » est présentée au sein du paragraphe 7 de l</w:t>
      </w:r>
      <w:r w:rsidR="00975439">
        <w:t>’</w:t>
      </w:r>
      <w:r>
        <w:t>annexe 1.</w:t>
      </w:r>
    </w:p>
    <w:p w14:paraId="30BC17E7" w14:textId="6367C6F2" w:rsidR="00EE0584" w:rsidRDefault="006F49B4" w:rsidP="006F49B4">
      <w:pPr>
        <w:pStyle w:val="SingleTxtG"/>
      </w:pPr>
      <w:r>
        <w:lastRenderedPageBreak/>
        <w:t>3.</w:t>
      </w:r>
      <w:r>
        <w:tab/>
      </w:r>
      <w:r w:rsidR="00EE0584" w:rsidRPr="00C979EA">
        <w:t>Cette absence de définition claire d</w:t>
      </w:r>
      <w:r w:rsidR="00975439">
        <w:t>’</w:t>
      </w:r>
      <w:r w:rsidR="00EE0584" w:rsidRPr="00C979EA">
        <w:t>un « engin neuf » peut engendrer une divergence d</w:t>
      </w:r>
      <w:r w:rsidR="00975439">
        <w:t>’</w:t>
      </w:r>
      <w:r w:rsidR="00EE0584" w:rsidRPr="00C979EA">
        <w:t>interprétation des autorités compétentes sur l</w:t>
      </w:r>
      <w:r w:rsidR="00975439">
        <w:t>’</w:t>
      </w:r>
      <w:r w:rsidR="00EE0584" w:rsidRPr="00C979EA">
        <w:t>échéance de la certification ATP initiale pour un engin</w:t>
      </w:r>
      <w:r w:rsidR="00EE0584">
        <w:t>. Des cas de délivrance d</w:t>
      </w:r>
      <w:r w:rsidR="00975439">
        <w:t>’</w:t>
      </w:r>
      <w:r w:rsidR="00EE0584">
        <w:t>attestations pour une durée 6 ans pour des engins équipés de dispositifs thermiques d</w:t>
      </w:r>
      <w:r w:rsidR="00975439">
        <w:t>’</w:t>
      </w:r>
      <w:r w:rsidR="00EE0584">
        <w:t>occasion ont été détectés.</w:t>
      </w:r>
    </w:p>
    <w:p w14:paraId="3AEDC7D1" w14:textId="2BBDE85A" w:rsidR="00EE0584" w:rsidRDefault="00E07314" w:rsidP="006F49B4">
      <w:pPr>
        <w:pStyle w:val="SingleTxtG"/>
      </w:pPr>
      <w:r>
        <w:t>4.</w:t>
      </w:r>
      <w:r>
        <w:tab/>
        <w:t>À</w:t>
      </w:r>
      <w:r w:rsidR="00EE0584">
        <w:t xml:space="preserve"> des fins d</w:t>
      </w:r>
      <w:r w:rsidR="00975439">
        <w:t>’</w:t>
      </w:r>
      <w:r w:rsidR="00EE0584">
        <w:t>harmonisation, il est proposé :</w:t>
      </w:r>
    </w:p>
    <w:p w14:paraId="4F178108" w14:textId="00F0BE69" w:rsidR="00EE0584" w:rsidRDefault="00EE0584" w:rsidP="00E07314">
      <w:pPr>
        <w:pStyle w:val="Bullet1G"/>
      </w:pPr>
      <w:r>
        <w:t xml:space="preserve"> de modifier la définition existante d</w:t>
      </w:r>
      <w:r w:rsidR="00975439">
        <w:t>’</w:t>
      </w:r>
      <w:r>
        <w:t>un « engin »</w:t>
      </w:r>
    </w:p>
    <w:p w14:paraId="53BDDD28" w14:textId="455FA946" w:rsidR="00EE0584" w:rsidRDefault="00EE0584" w:rsidP="00E07314">
      <w:pPr>
        <w:pStyle w:val="Bullet1G"/>
      </w:pPr>
      <w:r>
        <w:t xml:space="preserve"> d</w:t>
      </w:r>
      <w:r w:rsidR="00975439">
        <w:t>’</w:t>
      </w:r>
      <w:r>
        <w:t>ajouter une définition d</w:t>
      </w:r>
      <w:r w:rsidR="00975439">
        <w:t>’</w:t>
      </w:r>
      <w:r>
        <w:t>un « engin neuf »</w:t>
      </w:r>
    </w:p>
    <w:p w14:paraId="35DA2BC9" w14:textId="77777777" w:rsidR="00EE0584" w:rsidRDefault="00EE0584" w:rsidP="00EE0584">
      <w:pPr>
        <w:pStyle w:val="HChG"/>
      </w:pPr>
      <w:r>
        <w:tab/>
        <w:t>I.</w:t>
      </w:r>
      <w:r>
        <w:tab/>
        <w:t>Proposition</w:t>
      </w:r>
    </w:p>
    <w:p w14:paraId="0DCE9936" w14:textId="195F291A" w:rsidR="00EE0584" w:rsidRDefault="00E07314" w:rsidP="00EE0584">
      <w:pPr>
        <w:pStyle w:val="SingleTxtG"/>
      </w:pPr>
      <w:r>
        <w:t>5</w:t>
      </w:r>
      <w:r w:rsidR="00EE0584">
        <w:t>.</w:t>
      </w:r>
      <w:r w:rsidR="00EE0584">
        <w:tab/>
        <w:t>Compléter la définition actuelle du mot « engin » au paragraphe 7 de l</w:t>
      </w:r>
      <w:r w:rsidR="00975439">
        <w:t>’</w:t>
      </w:r>
      <w:r w:rsidR="00EE0584">
        <w:t>annexe 1.</w:t>
      </w:r>
    </w:p>
    <w:p w14:paraId="49D86244" w14:textId="77777777" w:rsidR="00EE0584" w:rsidRDefault="00EE0584" w:rsidP="00E07314">
      <w:pPr>
        <w:pStyle w:val="Bullet1G"/>
      </w:pPr>
      <w:r>
        <w:t xml:space="preserve">Définition actuelle : </w:t>
      </w:r>
    </w:p>
    <w:p w14:paraId="0D3EA6A5" w14:textId="2C9B1A34" w:rsidR="00EE0584" w:rsidRDefault="00EE0584" w:rsidP="00E07314">
      <w:pPr>
        <w:pStyle w:val="SingleTxtG"/>
        <w:ind w:left="1701"/>
      </w:pPr>
      <w:r>
        <w:t>« Ensemble d</w:t>
      </w:r>
      <w:r w:rsidR="00975439">
        <w:t>’</w:t>
      </w:r>
      <w:r>
        <w:t>éléments constituant une caisse isotherme et la structure de support nécessaire à son transport sur route ou sur rail. Les dispositifs thermiques peuvent faire partie de cet ensemble. »</w:t>
      </w:r>
    </w:p>
    <w:p w14:paraId="378BB68C" w14:textId="77777777" w:rsidR="00EE0584" w:rsidRDefault="00EE0584" w:rsidP="00E07314">
      <w:pPr>
        <w:pStyle w:val="Bullet1G"/>
      </w:pPr>
      <w:r>
        <w:t xml:space="preserve">Proposition de modification de la définition : </w:t>
      </w:r>
    </w:p>
    <w:p w14:paraId="05E6F1F4" w14:textId="6B034EC4" w:rsidR="00EE0584" w:rsidRDefault="00EE0584" w:rsidP="00E07314">
      <w:pPr>
        <w:pStyle w:val="SingleTxtG"/>
        <w:ind w:left="1701"/>
      </w:pPr>
      <w:r>
        <w:t>« Ensemble d</w:t>
      </w:r>
      <w:r w:rsidR="00975439">
        <w:t>’</w:t>
      </w:r>
      <w:r>
        <w:t>éléments constituant une caisse isotherme et la structure de support nécessaire à son transport sur route ou sur rail. Le dispositif thermique, lorsque la caisse en est équipée, fait partie de cet ensemble. »</w:t>
      </w:r>
    </w:p>
    <w:p w14:paraId="3D241F83" w14:textId="5A8B193D" w:rsidR="00EE0584" w:rsidRDefault="0094317C" w:rsidP="00EE0584">
      <w:pPr>
        <w:pStyle w:val="SingleTxtG"/>
      </w:pPr>
      <w:r>
        <w:t>6</w:t>
      </w:r>
      <w:r w:rsidR="00EE0584">
        <w:t>.</w:t>
      </w:r>
      <w:r w:rsidR="00EE0584">
        <w:tab/>
        <w:t>Introduire d</w:t>
      </w:r>
      <w:r w:rsidR="00975439">
        <w:t>’</w:t>
      </w:r>
      <w:r w:rsidR="00EE0584">
        <w:t>une définition pour un engin neuf au paragraphe 7 de l</w:t>
      </w:r>
      <w:r w:rsidR="00975439">
        <w:t>’</w:t>
      </w:r>
      <w:r w:rsidR="00EE0584">
        <w:t>annexe 1 sous la définition de « Engin » :</w:t>
      </w:r>
    </w:p>
    <w:p w14:paraId="2DD9AF12" w14:textId="1C017FAF" w:rsidR="00EE0584" w:rsidRPr="00A124F2" w:rsidRDefault="00EE0584" w:rsidP="0094317C">
      <w:pPr>
        <w:pStyle w:val="SingleTxtG"/>
        <w:ind w:left="1701"/>
      </w:pPr>
      <w:r w:rsidRPr="00A124F2">
        <w:t>« Engin neuf : Engin dont la caisse isotherme a fait l</w:t>
      </w:r>
      <w:r w:rsidR="00975439">
        <w:t>’</w:t>
      </w:r>
      <w:r w:rsidRPr="00A124F2">
        <w:t>objet d</w:t>
      </w:r>
      <w:r w:rsidR="00975439">
        <w:t>’</w:t>
      </w:r>
      <w:r w:rsidRPr="00A124F2">
        <w:t>une mise en service datant de moins de 6 mois et dont le dispositif thermique, lorsque la caisse en est équipée, peut être considéré comme neuf, c</w:t>
      </w:r>
      <w:r w:rsidR="00975439">
        <w:t>’</w:t>
      </w:r>
      <w:r w:rsidRPr="00A124F2">
        <w:t>est à dire dans les 6 mois suivant sa date de première mise en service.»</w:t>
      </w:r>
    </w:p>
    <w:p w14:paraId="131E0E26" w14:textId="77777777" w:rsidR="00EE0584" w:rsidRPr="008E61B6" w:rsidRDefault="00EE0584" w:rsidP="00EE0584">
      <w:pPr>
        <w:pStyle w:val="HChG"/>
        <w:rPr>
          <w:b w:val="0"/>
          <w:sz w:val="20"/>
        </w:rPr>
      </w:pPr>
      <w:r>
        <w:tab/>
        <w:t>II.</w:t>
      </w:r>
      <w:r>
        <w:tab/>
        <w:t>Incidence</w:t>
      </w:r>
    </w:p>
    <w:tbl>
      <w:tblPr>
        <w:tblStyle w:val="TableNormal1"/>
        <w:tblW w:w="7370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1601"/>
        <w:gridCol w:w="5769"/>
      </w:tblGrid>
      <w:tr w:rsidR="00EE0584" w:rsidRPr="00FC610E" w14:paraId="1AAA8C07" w14:textId="77777777" w:rsidTr="00BB5529">
        <w:tc>
          <w:tcPr>
            <w:tcW w:w="16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0C1AA2E" w14:textId="77777777" w:rsidR="00EE0584" w:rsidRPr="00663564" w:rsidRDefault="00EE0584" w:rsidP="00BB5529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sz w:val="20"/>
                <w:szCs w:val="20"/>
              </w:rPr>
            </w:pP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Coût</w:t>
            </w:r>
            <w:r w:rsidRPr="0066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76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0AA91DD" w14:textId="77777777" w:rsidR="00EE0584" w:rsidRPr="00663564" w:rsidRDefault="00EE0584" w:rsidP="00BB5529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sz w:val="20"/>
                <w:szCs w:val="20"/>
              </w:rPr>
            </w:pP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Aucune</w:t>
            </w:r>
            <w:r w:rsidRPr="0066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incidence</w:t>
            </w:r>
            <w:r w:rsidRPr="0066356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EE0584" w:rsidRPr="00FC610E" w14:paraId="7506814C" w14:textId="77777777" w:rsidTr="00BB5529">
        <w:tc>
          <w:tcPr>
            <w:tcW w:w="1601" w:type="dxa"/>
            <w:shd w:val="clear" w:color="auto" w:fill="auto"/>
          </w:tcPr>
          <w:p w14:paraId="1BCA99A0" w14:textId="77777777" w:rsidR="00EE0584" w:rsidRPr="00663564" w:rsidRDefault="00EE0584" w:rsidP="00BB5529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Environnement :</w:t>
            </w:r>
          </w:p>
        </w:tc>
        <w:tc>
          <w:tcPr>
            <w:tcW w:w="5769" w:type="dxa"/>
            <w:shd w:val="clear" w:color="auto" w:fill="auto"/>
            <w:vAlign w:val="bottom"/>
          </w:tcPr>
          <w:p w14:paraId="467441A0" w14:textId="4FAF52C9" w:rsidR="00EE0584" w:rsidRPr="00663564" w:rsidRDefault="00EE0584" w:rsidP="00BB5529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Cette proposition vise à harmoniser l</w:t>
            </w:r>
            <w:r w:rsidR="0097543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interprétation de l</w:t>
            </w:r>
            <w:r w:rsidR="0097543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ATP et prévenir les distorsions de concurrence</w:t>
            </w:r>
          </w:p>
        </w:tc>
      </w:tr>
      <w:tr w:rsidR="00EE0584" w:rsidRPr="00FC610E" w14:paraId="261FB4A1" w14:textId="77777777" w:rsidTr="00BB5529">
        <w:tc>
          <w:tcPr>
            <w:tcW w:w="1601" w:type="dxa"/>
            <w:shd w:val="clear" w:color="auto" w:fill="auto"/>
          </w:tcPr>
          <w:p w14:paraId="159B2936" w14:textId="77777777" w:rsidR="00EE0584" w:rsidRPr="00663564" w:rsidRDefault="00EE0584" w:rsidP="00BB5529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Faisabilité :</w:t>
            </w:r>
          </w:p>
        </w:tc>
        <w:tc>
          <w:tcPr>
            <w:tcW w:w="5769" w:type="dxa"/>
            <w:shd w:val="clear" w:color="auto" w:fill="auto"/>
            <w:vAlign w:val="bottom"/>
          </w:tcPr>
          <w:p w14:paraId="7C88C5F8" w14:textId="071AA719" w:rsidR="00EE0584" w:rsidRPr="00663564" w:rsidRDefault="00EE0584" w:rsidP="00BB5529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97543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amendement proposé peu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engendrer une modification des méthodes de certification pour certaines autorités compétentes et induire des achats de matériels neufs pour les transporteurs concernés.</w:t>
            </w:r>
          </w:p>
        </w:tc>
      </w:tr>
      <w:tr w:rsidR="00EE0584" w:rsidRPr="00FC610E" w14:paraId="05C835D3" w14:textId="77777777" w:rsidTr="00BB5529">
        <w:tc>
          <w:tcPr>
            <w:tcW w:w="1601" w:type="dxa"/>
            <w:tcBorders>
              <w:bottom w:val="single" w:sz="12" w:space="0" w:color="auto"/>
            </w:tcBorders>
            <w:shd w:val="clear" w:color="auto" w:fill="auto"/>
          </w:tcPr>
          <w:p w14:paraId="29614FF1" w14:textId="77777777" w:rsidR="00EE0584" w:rsidRPr="00663564" w:rsidRDefault="00EE0584" w:rsidP="00BB5529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64">
              <w:rPr>
                <w:rFonts w:ascii="Times New Roman" w:hAnsi="Times New Roman" w:cs="Times New Roman"/>
                <w:sz w:val="20"/>
                <w:szCs w:val="20"/>
              </w:rPr>
              <w:t>Applicabilité :</w:t>
            </w:r>
          </w:p>
        </w:tc>
        <w:tc>
          <w:tcPr>
            <w:tcW w:w="576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544A705" w14:textId="3CA9F854" w:rsidR="00EE0584" w:rsidRPr="00663564" w:rsidRDefault="00EE0584" w:rsidP="00BB5529">
            <w:pPr>
              <w:pStyle w:val="TableParagraph"/>
              <w:widowControl/>
              <w:spacing w:before="40" w:after="40" w:line="22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est proposé d</w:t>
            </w:r>
            <w:r w:rsidR="0097543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introduire un délai de deux ans avant la mise en œuvre de cette proposition sans effet rétroactif pour les engins déjà fabriqués.</w:t>
            </w:r>
          </w:p>
        </w:tc>
      </w:tr>
    </w:tbl>
    <w:p w14:paraId="6CC58C4F" w14:textId="4A809BCF" w:rsidR="00EE0584" w:rsidRPr="0094317C" w:rsidRDefault="0094317C" w:rsidP="0094317C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E0584" w:rsidRPr="0094317C" w:rsidSect="0092192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C45F2" w14:textId="77777777" w:rsidR="00433A5D" w:rsidRDefault="00433A5D" w:rsidP="00F95C08">
      <w:pPr>
        <w:spacing w:line="240" w:lineRule="auto"/>
      </w:pPr>
    </w:p>
  </w:endnote>
  <w:endnote w:type="continuationSeparator" w:id="0">
    <w:p w14:paraId="4BCD5188" w14:textId="77777777" w:rsidR="00433A5D" w:rsidRPr="00AC3823" w:rsidRDefault="00433A5D" w:rsidP="00AC3823">
      <w:pPr>
        <w:pStyle w:val="Pieddepage"/>
      </w:pPr>
    </w:p>
  </w:endnote>
  <w:endnote w:type="continuationNotice" w:id="1">
    <w:p w14:paraId="6B2BDEBB" w14:textId="77777777" w:rsidR="00433A5D" w:rsidRDefault="00433A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64DF" w14:textId="77777777" w:rsidR="00921928" w:rsidRPr="00921928" w:rsidRDefault="00921928" w:rsidP="00921928">
    <w:pPr>
      <w:pStyle w:val="Pieddepage"/>
      <w:tabs>
        <w:tab w:val="right" w:pos="9638"/>
      </w:tabs>
      <w:rPr>
        <w:sz w:val="18"/>
      </w:rPr>
    </w:pPr>
    <w:r w:rsidRPr="00921928">
      <w:rPr>
        <w:b/>
        <w:sz w:val="18"/>
      </w:rPr>
      <w:fldChar w:fldCharType="begin"/>
    </w:r>
    <w:r w:rsidRPr="00921928">
      <w:rPr>
        <w:b/>
        <w:sz w:val="18"/>
      </w:rPr>
      <w:instrText xml:space="preserve"> PAGE  \* MERGEFORMAT </w:instrText>
    </w:r>
    <w:r w:rsidRPr="00921928">
      <w:rPr>
        <w:b/>
        <w:sz w:val="18"/>
      </w:rPr>
      <w:fldChar w:fldCharType="separate"/>
    </w:r>
    <w:r w:rsidRPr="00921928">
      <w:rPr>
        <w:b/>
        <w:noProof/>
        <w:sz w:val="18"/>
      </w:rPr>
      <w:t>2</w:t>
    </w:r>
    <w:r w:rsidRPr="0092192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B918" w14:textId="77777777" w:rsidR="00921928" w:rsidRPr="00921928" w:rsidRDefault="00921928" w:rsidP="00921928">
    <w:pPr>
      <w:pStyle w:val="Pieddepage"/>
      <w:tabs>
        <w:tab w:val="right" w:pos="9638"/>
      </w:tabs>
      <w:rPr>
        <w:b/>
        <w:sz w:val="18"/>
      </w:rPr>
    </w:pPr>
    <w:r>
      <w:tab/>
    </w:r>
    <w:r w:rsidRPr="00921928">
      <w:rPr>
        <w:b/>
        <w:sz w:val="18"/>
      </w:rPr>
      <w:fldChar w:fldCharType="begin"/>
    </w:r>
    <w:r w:rsidRPr="00921928">
      <w:rPr>
        <w:b/>
        <w:sz w:val="18"/>
      </w:rPr>
      <w:instrText xml:space="preserve"> PAGE  \* MERGEFORMAT </w:instrText>
    </w:r>
    <w:r w:rsidRPr="00921928">
      <w:rPr>
        <w:b/>
        <w:sz w:val="18"/>
      </w:rPr>
      <w:fldChar w:fldCharType="separate"/>
    </w:r>
    <w:r w:rsidRPr="00921928">
      <w:rPr>
        <w:b/>
        <w:noProof/>
        <w:sz w:val="18"/>
      </w:rPr>
      <w:t>3</w:t>
    </w:r>
    <w:r w:rsidRPr="0092192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3125" w14:textId="3AE8A929" w:rsidR="000D3EE9" w:rsidRPr="00791558" w:rsidRDefault="00791558" w:rsidP="00791558">
    <w:pPr>
      <w:pStyle w:val="Pieddepage"/>
      <w:tabs>
        <w:tab w:val="left" w:pos="6520"/>
        <w:tab w:val="right" w:pos="9638"/>
      </w:tabs>
      <w:spacing w:before="120"/>
      <w:rPr>
        <w:sz w:val="20"/>
      </w:rPr>
    </w:pPr>
    <w:r>
      <w:rPr>
        <w:sz w:val="20"/>
      </w:rPr>
      <w:t>GE.24-14322  (F)</w:t>
    </w:r>
    <w:bookmarkStart w:id="0" w:name="_GoBack"/>
    <w:bookmarkEnd w:id="0"/>
    <w:r>
      <w:rPr>
        <w:sz w:val="20"/>
      </w:rPr>
      <w:tab/>
    </w:r>
    <w:r w:rsidRPr="00791558">
      <w:rPr>
        <w:noProof/>
        <w:sz w:val="20"/>
        <w:lang w:eastAsia="fr-CH"/>
      </w:rPr>
      <w:drawing>
        <wp:inline distT="0" distB="0" distL="0" distR="0" wp14:anchorId="79856B6A" wp14:editId="0E76AA09">
          <wp:extent cx="1105200" cy="234000"/>
          <wp:effectExtent l="0" t="0" r="0" b="0"/>
          <wp:docPr id="1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</w:rPr>
      <w:drawing>
        <wp:inline distT="0" distB="0" distL="0" distR="0" wp14:anchorId="72EA9E1E" wp14:editId="6DFF0A4E">
          <wp:extent cx="629920" cy="629920"/>
          <wp:effectExtent l="0" t="0" r="0" b="0"/>
          <wp:docPr id="6897087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F8E9" w14:textId="77777777" w:rsidR="00433A5D" w:rsidRPr="00AC3823" w:rsidRDefault="00433A5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5C5ABDD" w14:textId="77777777" w:rsidR="00433A5D" w:rsidRPr="00AC3823" w:rsidRDefault="00433A5D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BB91268" w14:textId="77777777" w:rsidR="00433A5D" w:rsidRPr="00AC3823" w:rsidRDefault="00433A5D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07D2" w14:textId="571B84EA" w:rsidR="00921928" w:rsidRPr="00921928" w:rsidRDefault="00684F94">
    <w:pPr>
      <w:pStyle w:val="En-tte"/>
    </w:pPr>
    <w:fldSimple w:instr=" TITLE  \* MERGEFORMAT ">
      <w:r w:rsidR="004D69A7">
        <w:t>ECE/TRANS/WP.11/2024/5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0139" w14:textId="4D0BF237" w:rsidR="00921928" w:rsidRPr="00921928" w:rsidRDefault="00684F94" w:rsidP="00921928">
    <w:pPr>
      <w:pStyle w:val="En-tte"/>
      <w:jc w:val="right"/>
    </w:pPr>
    <w:fldSimple w:instr=" TITLE  \* MERGEFORMAT ">
      <w:r w:rsidR="004D69A7">
        <w:t>ECE/TRANS/WP.11/2024/5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63BE4"/>
    <w:multiLevelType w:val="hybridMultilevel"/>
    <w:tmpl w:val="E70A162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62DCD"/>
    <w:multiLevelType w:val="hybridMultilevel"/>
    <w:tmpl w:val="4D309EFA"/>
    <w:lvl w:ilvl="0" w:tplc="FBCC7468">
      <w:start w:val="1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365F23A7"/>
    <w:multiLevelType w:val="hybridMultilevel"/>
    <w:tmpl w:val="AEE8AB22"/>
    <w:lvl w:ilvl="0" w:tplc="EDB6E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7FEE30A0"/>
    <w:multiLevelType w:val="hybridMultilevel"/>
    <w:tmpl w:val="024C6CB2"/>
    <w:lvl w:ilvl="0" w:tplc="298056EC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27266684">
    <w:abstractNumId w:val="15"/>
  </w:num>
  <w:num w:numId="2" w16cid:durableId="306251344">
    <w:abstractNumId w:val="14"/>
  </w:num>
  <w:num w:numId="3" w16cid:durableId="1955477450">
    <w:abstractNumId w:val="11"/>
  </w:num>
  <w:num w:numId="4" w16cid:durableId="1746292956">
    <w:abstractNumId w:val="8"/>
  </w:num>
  <w:num w:numId="5" w16cid:durableId="77944518">
    <w:abstractNumId w:val="3"/>
  </w:num>
  <w:num w:numId="6" w16cid:durableId="2036077237">
    <w:abstractNumId w:val="2"/>
  </w:num>
  <w:num w:numId="7" w16cid:durableId="2098137660">
    <w:abstractNumId w:val="1"/>
  </w:num>
  <w:num w:numId="8" w16cid:durableId="1140615599">
    <w:abstractNumId w:val="0"/>
  </w:num>
  <w:num w:numId="9" w16cid:durableId="1187405962">
    <w:abstractNumId w:val="9"/>
  </w:num>
  <w:num w:numId="10" w16cid:durableId="406804320">
    <w:abstractNumId w:val="7"/>
  </w:num>
  <w:num w:numId="11" w16cid:durableId="1042053462">
    <w:abstractNumId w:val="6"/>
  </w:num>
  <w:num w:numId="12" w16cid:durableId="978650046">
    <w:abstractNumId w:val="5"/>
  </w:num>
  <w:num w:numId="13" w16cid:durableId="502626284">
    <w:abstractNumId w:val="4"/>
  </w:num>
  <w:num w:numId="14" w16cid:durableId="1417944581">
    <w:abstractNumId w:val="16"/>
  </w:num>
  <w:num w:numId="15" w16cid:durableId="952708868">
    <w:abstractNumId w:val="12"/>
  </w:num>
  <w:num w:numId="16" w16cid:durableId="965086623">
    <w:abstractNumId w:val="10"/>
  </w:num>
  <w:num w:numId="17" w16cid:durableId="13122507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921928"/>
    <w:rsid w:val="00010477"/>
    <w:rsid w:val="0001207F"/>
    <w:rsid w:val="00017F94"/>
    <w:rsid w:val="00023842"/>
    <w:rsid w:val="000334F9"/>
    <w:rsid w:val="0004639C"/>
    <w:rsid w:val="0007796D"/>
    <w:rsid w:val="000942EE"/>
    <w:rsid w:val="000A52BF"/>
    <w:rsid w:val="000B7790"/>
    <w:rsid w:val="000D3EE9"/>
    <w:rsid w:val="000D62F3"/>
    <w:rsid w:val="000F3512"/>
    <w:rsid w:val="00111F2F"/>
    <w:rsid w:val="001141F6"/>
    <w:rsid w:val="001433FD"/>
    <w:rsid w:val="0014365E"/>
    <w:rsid w:val="001541D3"/>
    <w:rsid w:val="00156B77"/>
    <w:rsid w:val="00176178"/>
    <w:rsid w:val="00177140"/>
    <w:rsid w:val="001D400F"/>
    <w:rsid w:val="001F525A"/>
    <w:rsid w:val="00223272"/>
    <w:rsid w:val="0022738B"/>
    <w:rsid w:val="00240333"/>
    <w:rsid w:val="0024779E"/>
    <w:rsid w:val="002832AC"/>
    <w:rsid w:val="002D7C93"/>
    <w:rsid w:val="00352AD9"/>
    <w:rsid w:val="0037241C"/>
    <w:rsid w:val="003819FF"/>
    <w:rsid w:val="003A6C88"/>
    <w:rsid w:val="003F5CBD"/>
    <w:rsid w:val="00433A5D"/>
    <w:rsid w:val="00441C3B"/>
    <w:rsid w:val="00446B0A"/>
    <w:rsid w:val="00446FE5"/>
    <w:rsid w:val="00452396"/>
    <w:rsid w:val="00471288"/>
    <w:rsid w:val="0049687C"/>
    <w:rsid w:val="004D69A7"/>
    <w:rsid w:val="004E468C"/>
    <w:rsid w:val="005316B0"/>
    <w:rsid w:val="005505B7"/>
    <w:rsid w:val="00573BE5"/>
    <w:rsid w:val="00586ED3"/>
    <w:rsid w:val="00596AA9"/>
    <w:rsid w:val="005B4D0F"/>
    <w:rsid w:val="00684F94"/>
    <w:rsid w:val="006F49B4"/>
    <w:rsid w:val="00703D0F"/>
    <w:rsid w:val="00706363"/>
    <w:rsid w:val="007158BB"/>
    <w:rsid w:val="0071601D"/>
    <w:rsid w:val="0075410D"/>
    <w:rsid w:val="00791558"/>
    <w:rsid w:val="007A62E6"/>
    <w:rsid w:val="0080684C"/>
    <w:rsid w:val="008204DA"/>
    <w:rsid w:val="008535AD"/>
    <w:rsid w:val="0086277A"/>
    <w:rsid w:val="00871C75"/>
    <w:rsid w:val="008767E8"/>
    <w:rsid w:val="008776DC"/>
    <w:rsid w:val="00883605"/>
    <w:rsid w:val="008E6043"/>
    <w:rsid w:val="00921928"/>
    <w:rsid w:val="0094317C"/>
    <w:rsid w:val="00961E7B"/>
    <w:rsid w:val="009705C8"/>
    <w:rsid w:val="00975439"/>
    <w:rsid w:val="009C1CF4"/>
    <w:rsid w:val="009D4C0D"/>
    <w:rsid w:val="009F02C9"/>
    <w:rsid w:val="00A30353"/>
    <w:rsid w:val="00A62D91"/>
    <w:rsid w:val="00A90D54"/>
    <w:rsid w:val="00AA113A"/>
    <w:rsid w:val="00AC3823"/>
    <w:rsid w:val="00AE323C"/>
    <w:rsid w:val="00AF774C"/>
    <w:rsid w:val="00B00181"/>
    <w:rsid w:val="00B00B0D"/>
    <w:rsid w:val="00B247C1"/>
    <w:rsid w:val="00B40927"/>
    <w:rsid w:val="00B50E25"/>
    <w:rsid w:val="00B64918"/>
    <w:rsid w:val="00B765F7"/>
    <w:rsid w:val="00BA0CA9"/>
    <w:rsid w:val="00BA5B76"/>
    <w:rsid w:val="00C02897"/>
    <w:rsid w:val="00C1626B"/>
    <w:rsid w:val="00C66A47"/>
    <w:rsid w:val="00C7616F"/>
    <w:rsid w:val="00CB16B5"/>
    <w:rsid w:val="00CE0608"/>
    <w:rsid w:val="00D3439C"/>
    <w:rsid w:val="00D44CF3"/>
    <w:rsid w:val="00D46C8C"/>
    <w:rsid w:val="00DB1831"/>
    <w:rsid w:val="00DC1DE0"/>
    <w:rsid w:val="00DD3BFD"/>
    <w:rsid w:val="00DE239D"/>
    <w:rsid w:val="00DF431C"/>
    <w:rsid w:val="00DF6678"/>
    <w:rsid w:val="00E07314"/>
    <w:rsid w:val="00E368F7"/>
    <w:rsid w:val="00E428C8"/>
    <w:rsid w:val="00EC031B"/>
    <w:rsid w:val="00EE0584"/>
    <w:rsid w:val="00EF2E22"/>
    <w:rsid w:val="00F01D42"/>
    <w:rsid w:val="00F0592C"/>
    <w:rsid w:val="00F06ED4"/>
    <w:rsid w:val="00F43289"/>
    <w:rsid w:val="00F660DF"/>
    <w:rsid w:val="00F95C08"/>
    <w:rsid w:val="00FB0552"/>
    <w:rsid w:val="00F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9DA4"/>
  <w15:docId w15:val="{D896989D-3533-4F00-B152-C7965354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F7"/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706363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706363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1207F"/>
  </w:style>
  <w:style w:type="character" w:customStyle="1" w:styleId="HChGChar">
    <w:name w:val="_ H _Ch_G Char"/>
    <w:link w:val="HChG"/>
    <w:rsid w:val="0001207F"/>
    <w:rPr>
      <w:b/>
      <w:sz w:val="28"/>
    </w:rPr>
  </w:style>
  <w:style w:type="paragraph" w:styleId="Paragraphedeliste">
    <w:name w:val="List Paragraph"/>
    <w:basedOn w:val="Normal"/>
    <w:uiPriority w:val="1"/>
    <w:qFormat/>
    <w:rsid w:val="00EE0584"/>
    <w:pPr>
      <w:widowControl w:val="0"/>
      <w:autoSpaceDE w:val="0"/>
      <w:autoSpaceDN w:val="0"/>
      <w:spacing w:before="120" w:line="240" w:lineRule="auto"/>
      <w:ind w:left="1834" w:hanging="209"/>
    </w:pPr>
    <w:rPr>
      <w:sz w:val="22"/>
      <w:szCs w:val="22"/>
      <w:lang w:val="fr-FR" w:eastAsia="en-US"/>
    </w:rPr>
  </w:style>
  <w:style w:type="table" w:customStyle="1" w:styleId="TableNormal1">
    <w:name w:val="Table Normal1"/>
    <w:uiPriority w:val="2"/>
    <w:semiHidden/>
    <w:unhideWhenUsed/>
    <w:qFormat/>
    <w:rsid w:val="00EE0584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584"/>
    <w:pPr>
      <w:widowControl w:val="0"/>
      <w:autoSpaceDE w:val="0"/>
      <w:autoSpaceDN w:val="0"/>
      <w:spacing w:line="240" w:lineRule="auto"/>
      <w:ind w:left="200"/>
    </w:pPr>
    <w:rPr>
      <w:sz w:val="22"/>
      <w:szCs w:val="22"/>
      <w:lang w:val="fr-FR" w:eastAsia="en-US"/>
    </w:rPr>
  </w:style>
  <w:style w:type="paragraph" w:styleId="Rvision">
    <w:name w:val="Revision"/>
    <w:hidden/>
    <w:uiPriority w:val="99"/>
    <w:semiHidden/>
    <w:rsid w:val="00E073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1_24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4563-ACB7-44AD-B0EF-E55148CFDD3D}">
  <ds:schemaRefs>
    <ds:schemaRef ds:uri="4b4a1c0d-4a69-4996-a84a-fc699b9f49d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985ec44e-1bab-4c0b-9df0-6ba128686fc9"/>
    <ds:schemaRef ds:uri="acccb6d4-dbe5-46d2-b4d3-5733603d8c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CA9551-7471-4BFE-AA48-F362E810D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07320-C528-4032-AB5A-73B861CDA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65BA4-67E5-41DD-866B-119FA8EF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TRANS_WP1_24_F.dotm</Template>
  <TotalTime>3</TotalTime>
  <Pages>2</Pages>
  <Words>524</Words>
  <Characters>2806</Characters>
  <Application>Microsoft Office Word</Application>
  <DocSecurity>0</DocSecurity>
  <Lines>75</Lines>
  <Paragraphs>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ECE/EX/22</vt:lpstr>
      <vt:lpstr>ECE/EX/22</vt:lpstr>
    </vt:vector>
  </TitlesOfParts>
  <Company>DCM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ECE/TRANS/WP.11/2024/5</dc:title>
  <dc:subject>FINAL</dc:subject>
  <dc:creator>ND June 2024</dc:creator>
  <cp:keywords/>
  <dc:description/>
  <cp:lastModifiedBy>Julien OKRZESIK</cp:lastModifiedBy>
  <cp:revision>3</cp:revision>
  <cp:lastPrinted>2024-08-15T06:43:00Z</cp:lastPrinted>
  <dcterms:created xsi:type="dcterms:W3CDTF">2024-08-15T06:42:00Z</dcterms:created>
  <dcterms:modified xsi:type="dcterms:W3CDTF">2024-08-15T06:45:00Z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