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FBEDE43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F3A50B8" w14:textId="77777777" w:rsidR="002D5AAC" w:rsidRDefault="002D5AAC" w:rsidP="00387CD4"/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B37859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C0D27DB" w14:textId="2DD9071B" w:rsidR="002D5AAC" w:rsidRDefault="00303D53" w:rsidP="00303D53">
            <w:pPr>
              <w:jc w:val="right"/>
            </w:pPr>
            <w:r w:rsidRPr="00303D53">
              <w:rPr>
                <w:sz w:val="40"/>
              </w:rPr>
              <w:t>ECE</w:t>
            </w:r>
            <w:r>
              <w:t>/TRANS/WP.29/GRBP/2024/25</w:t>
            </w:r>
          </w:p>
        </w:tc>
      </w:tr>
      <w:tr w:rsidR="002D5AAC" w:rsidRPr="00303D53" w14:paraId="6963219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61AB2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3956D9B" wp14:editId="269AAB8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EF9F8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4401959" w14:textId="77777777" w:rsidR="002D5AAC" w:rsidRDefault="00303D53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77C8647" w14:textId="71F12228" w:rsidR="00303D53" w:rsidRPr="000F4720" w:rsidRDefault="000F4720" w:rsidP="00303D53">
            <w:pPr>
              <w:spacing w:line="240" w:lineRule="exact"/>
              <w:rPr>
                <w:lang w:val="en-US"/>
              </w:rPr>
            </w:pPr>
            <w:r>
              <w:t xml:space="preserve">2 </w:t>
            </w:r>
            <w:r>
              <w:rPr>
                <w:lang w:val="en-US"/>
              </w:rPr>
              <w:t>July 2024</w:t>
            </w:r>
          </w:p>
          <w:p w14:paraId="5118B26A" w14:textId="77777777" w:rsidR="00303D53" w:rsidRDefault="00303D53" w:rsidP="00303D5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4C8E0C1" w14:textId="70653D4D" w:rsidR="00303D53" w:rsidRPr="008D53B6" w:rsidRDefault="00303D53" w:rsidP="00303D5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B0D1AD1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6E1CC90" w14:textId="1B14B32E" w:rsidR="00303D53" w:rsidRPr="00B07CF3" w:rsidRDefault="00303D53" w:rsidP="00303D53">
      <w:pPr>
        <w:spacing w:before="120"/>
        <w:rPr>
          <w:sz w:val="28"/>
          <w:szCs w:val="28"/>
        </w:rPr>
      </w:pPr>
      <w:r w:rsidRPr="00B07CF3">
        <w:rPr>
          <w:sz w:val="28"/>
          <w:szCs w:val="28"/>
        </w:rPr>
        <w:t>Комитет по внутреннему транспорту</w:t>
      </w:r>
    </w:p>
    <w:p w14:paraId="01130B41" w14:textId="74714BDA" w:rsidR="00303D53" w:rsidRPr="00B07CF3" w:rsidRDefault="00303D53" w:rsidP="00B07CF3">
      <w:pPr>
        <w:spacing w:before="120"/>
        <w:rPr>
          <w:szCs w:val="20"/>
        </w:rPr>
      </w:pPr>
      <w:r w:rsidRPr="00B07CF3">
        <w:rPr>
          <w:b/>
          <w:bCs/>
          <w:sz w:val="24"/>
          <w:szCs w:val="24"/>
        </w:rPr>
        <w:t xml:space="preserve">Всемирный форум для согласования </w:t>
      </w:r>
      <w:r w:rsidR="00B07CF3" w:rsidRPr="00B07CF3">
        <w:rPr>
          <w:b/>
          <w:bCs/>
          <w:sz w:val="24"/>
          <w:szCs w:val="24"/>
        </w:rPr>
        <w:br/>
      </w:r>
      <w:r w:rsidRPr="00B07CF3">
        <w:rPr>
          <w:b/>
          <w:bCs/>
          <w:sz w:val="24"/>
          <w:szCs w:val="24"/>
        </w:rPr>
        <w:t>правил в области транспортных средств</w:t>
      </w:r>
      <w:r w:rsidRPr="00B07CF3">
        <w:rPr>
          <w:sz w:val="18"/>
          <w:szCs w:val="20"/>
        </w:rPr>
        <w:t xml:space="preserve"> </w:t>
      </w:r>
    </w:p>
    <w:p w14:paraId="52A365E6" w14:textId="77777777" w:rsidR="00303D53" w:rsidRPr="008306B9" w:rsidRDefault="00303D53" w:rsidP="00303D53">
      <w:pPr>
        <w:spacing w:before="120" w:after="120"/>
        <w:rPr>
          <w:b/>
          <w:bCs/>
        </w:rPr>
      </w:pPr>
      <w:r>
        <w:rPr>
          <w:b/>
          <w:bCs/>
        </w:rPr>
        <w:t>Рабочая группа по вопросам шума и шин</w:t>
      </w:r>
    </w:p>
    <w:p w14:paraId="6189059D" w14:textId="77777777" w:rsidR="00303D53" w:rsidRPr="008306B9" w:rsidRDefault="00303D53" w:rsidP="00303D53">
      <w:pPr>
        <w:rPr>
          <w:b/>
        </w:rPr>
      </w:pPr>
      <w:r>
        <w:rPr>
          <w:b/>
          <w:bCs/>
        </w:rPr>
        <w:t>Восьмидесятая сессия</w:t>
      </w:r>
      <w:r>
        <w:t xml:space="preserve"> </w:t>
      </w:r>
    </w:p>
    <w:p w14:paraId="60A95444" w14:textId="497370B3" w:rsidR="00303D53" w:rsidRPr="008306B9" w:rsidRDefault="00303D53" w:rsidP="00303D53">
      <w:pPr>
        <w:rPr>
          <w:bCs/>
        </w:rPr>
      </w:pPr>
      <w:r>
        <w:t>Женева, 17</w:t>
      </w:r>
      <w:r w:rsidR="00B07CF3">
        <w:rPr>
          <w:rFonts w:cs="Times New Roman"/>
        </w:rPr>
        <w:t>–</w:t>
      </w:r>
      <w:r>
        <w:t>20 сентября 2024 года</w:t>
      </w:r>
    </w:p>
    <w:p w14:paraId="5B1294AF" w14:textId="77777777" w:rsidR="00303D53" w:rsidRPr="008306B9" w:rsidRDefault="00303D53" w:rsidP="00303D53">
      <w:pPr>
        <w:rPr>
          <w:bCs/>
        </w:rPr>
      </w:pPr>
      <w:r>
        <w:t>Пункт 6 с) предварительной повестки дня</w:t>
      </w:r>
    </w:p>
    <w:p w14:paraId="011DC68E" w14:textId="26000B9B" w:rsidR="00303D53" w:rsidRDefault="00303D53" w:rsidP="00B07CF3">
      <w:r>
        <w:rPr>
          <w:b/>
          <w:bCs/>
        </w:rPr>
        <w:t xml:space="preserve">Шины: Правила № 117 ООН (сопротивление </w:t>
      </w:r>
      <w:r w:rsidR="00B07CF3">
        <w:rPr>
          <w:b/>
          <w:bCs/>
        </w:rPr>
        <w:br/>
      </w:r>
      <w:r>
        <w:rPr>
          <w:b/>
          <w:bCs/>
        </w:rPr>
        <w:t xml:space="preserve">шин качению, шум, издаваемый шинами при </w:t>
      </w:r>
      <w:r w:rsidR="00B07CF3">
        <w:rPr>
          <w:b/>
          <w:bCs/>
        </w:rPr>
        <w:br/>
      </w:r>
      <w:r>
        <w:rPr>
          <w:b/>
          <w:bCs/>
        </w:rPr>
        <w:t>качении, и их сцепление на мокрой поверхности)</w:t>
      </w:r>
    </w:p>
    <w:p w14:paraId="7015AF50" w14:textId="78119149" w:rsidR="00303D53" w:rsidRPr="008306B9" w:rsidRDefault="00303D53" w:rsidP="00303D53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szCs w:val="28"/>
        </w:rPr>
      </w:pPr>
      <w:r>
        <w:tab/>
      </w:r>
      <w:r>
        <w:tab/>
      </w:r>
      <w:r w:rsidRPr="008306B9">
        <w:rPr>
          <w:b/>
          <w:bCs/>
          <w:sz w:val="28"/>
          <w:szCs w:val="28"/>
        </w:rPr>
        <w:t>Предложение по дополнению к поправкам серии 04 к</w:t>
      </w:r>
      <w:r w:rsidR="00B07CF3">
        <w:rPr>
          <w:b/>
          <w:bCs/>
          <w:sz w:val="28"/>
          <w:szCs w:val="28"/>
          <w:lang w:val="en-US"/>
        </w:rPr>
        <w:t> </w:t>
      </w:r>
      <w:r w:rsidRPr="008306B9">
        <w:rPr>
          <w:b/>
          <w:bCs/>
          <w:sz w:val="28"/>
          <w:szCs w:val="28"/>
        </w:rPr>
        <w:t>Правилам № 117 ООН</w:t>
      </w:r>
    </w:p>
    <w:p w14:paraId="0AF38002" w14:textId="77777777" w:rsidR="00303D53" w:rsidRPr="008306B9" w:rsidRDefault="00303D53" w:rsidP="00303D53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>
        <w:tab/>
      </w:r>
      <w:r>
        <w:tab/>
      </w:r>
      <w:r w:rsidRPr="008306B9">
        <w:rPr>
          <w:b/>
          <w:bCs/>
          <w:sz w:val="24"/>
          <w:szCs w:val="24"/>
        </w:rPr>
        <w:t>Представлено экспертами от Европейской технической организации по вопросам пневматических шин и ободьев колес</w:t>
      </w:r>
      <w:r w:rsidRPr="00B07CF3">
        <w:rPr>
          <w:bCs/>
        </w:rPr>
        <w:footnoteReference w:customMarkFollows="1" w:id="1"/>
        <w:t>*</w:t>
      </w:r>
    </w:p>
    <w:p w14:paraId="177439C6" w14:textId="54FFA357" w:rsidR="00303D53" w:rsidRPr="00303D53" w:rsidRDefault="00B07CF3" w:rsidP="00303D53">
      <w:pPr>
        <w:pStyle w:val="SingleTxtG"/>
        <w:rPr>
          <w:lang w:val="en-US"/>
        </w:rPr>
      </w:pPr>
      <w:r>
        <w:tab/>
      </w:r>
      <w:r w:rsidR="00303D53">
        <w:t>Воспроизведенный ниже текст был подготовлен экспертами от Европейской технической организации по вопросам пневматических шин и ободьев колес (ЕТОПОК). Изменения к нынешнему тексту Правил ООН выделены жирным шрифтом в случае новых положений или зачеркиванием в случае исключенных элементов.</w:t>
      </w:r>
    </w:p>
    <w:p w14:paraId="76161A79" w14:textId="4C5065D8" w:rsidR="00303D53" w:rsidRDefault="00303D53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2F7785B4" w14:textId="77777777" w:rsidR="00303D53" w:rsidRPr="00376EF1" w:rsidRDefault="00303D53" w:rsidP="00303D53">
      <w:pPr>
        <w:keepNext/>
        <w:keepLines/>
        <w:tabs>
          <w:tab w:val="right" w:pos="851"/>
        </w:tabs>
        <w:spacing w:before="360" w:after="240" w:line="300" w:lineRule="exact"/>
        <w:ind w:left="360" w:righ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376EF1">
        <w:rPr>
          <w:b/>
          <w:bCs/>
          <w:sz w:val="28"/>
          <w:szCs w:val="28"/>
        </w:rPr>
        <w:t>I.</w:t>
      </w:r>
      <w:r w:rsidRPr="00376EF1">
        <w:rPr>
          <w:sz w:val="28"/>
          <w:szCs w:val="28"/>
        </w:rPr>
        <w:tab/>
      </w:r>
      <w:r w:rsidRPr="00376EF1">
        <w:rPr>
          <w:b/>
          <w:bCs/>
          <w:sz w:val="28"/>
          <w:szCs w:val="28"/>
        </w:rPr>
        <w:t>Предложение</w:t>
      </w:r>
    </w:p>
    <w:p w14:paraId="17511C5D" w14:textId="77777777" w:rsidR="00303D53" w:rsidRPr="008306B9" w:rsidRDefault="00303D53" w:rsidP="00303D53">
      <w:pPr>
        <w:spacing w:after="120"/>
        <w:ind w:left="1134"/>
      </w:pPr>
      <w:r>
        <w:rPr>
          <w:i/>
          <w:iCs/>
        </w:rPr>
        <w:t>Пункт 1.1</w:t>
      </w:r>
      <w:r>
        <w:t xml:space="preserve"> изменить следующим образом:</w:t>
      </w:r>
    </w:p>
    <w:p w14:paraId="1DB9EAB0" w14:textId="77777777" w:rsidR="00303D53" w:rsidRPr="00376EF1" w:rsidRDefault="00303D53" w:rsidP="00303D53">
      <w:pPr>
        <w:pStyle w:val="30"/>
        <w:ind w:left="2268" w:right="1134" w:hanging="113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</w:t>
      </w:r>
      <w:r w:rsidRPr="00376EF1">
        <w:rPr>
          <w:sz w:val="20"/>
          <w:szCs w:val="20"/>
          <w:lang w:val="ru-RU"/>
        </w:rPr>
        <w:t>1.1</w:t>
      </w:r>
      <w:r w:rsidRPr="00376EF1">
        <w:rPr>
          <w:sz w:val="20"/>
          <w:szCs w:val="20"/>
          <w:lang w:val="ru-RU"/>
        </w:rPr>
        <w:tab/>
        <w:t>Настоящие Правила применяются к новым пневматическим шинам* классов C1, C2 и C3 в новом состоянии в отношении издаваемого ими звука</w:t>
      </w:r>
      <w:r w:rsidRPr="00376EF1">
        <w:rPr>
          <w:strike/>
          <w:sz w:val="20"/>
          <w:szCs w:val="20"/>
          <w:lang w:val="ru-RU"/>
        </w:rPr>
        <w:t>,</w:t>
      </w:r>
      <w:r w:rsidRPr="00376EF1">
        <w:rPr>
          <w:sz w:val="20"/>
          <w:szCs w:val="20"/>
          <w:lang w:val="ru-RU"/>
        </w:rPr>
        <w:t xml:space="preserve"> </w:t>
      </w:r>
      <w:r w:rsidRPr="00376EF1">
        <w:rPr>
          <w:b/>
          <w:bCs/>
          <w:sz w:val="20"/>
          <w:szCs w:val="20"/>
          <w:lang w:val="ru-RU"/>
        </w:rPr>
        <w:t>и</w:t>
      </w:r>
      <w:r w:rsidRPr="00376EF1">
        <w:rPr>
          <w:sz w:val="20"/>
          <w:szCs w:val="20"/>
          <w:lang w:val="ru-RU"/>
        </w:rPr>
        <w:t xml:space="preserve"> сопротивления качению, а также </w:t>
      </w:r>
      <w:r w:rsidRPr="00376EF1">
        <w:rPr>
          <w:strike/>
          <w:sz w:val="20"/>
          <w:szCs w:val="20"/>
          <w:lang w:val="ru-RU"/>
        </w:rPr>
        <w:t>и характеристик сцепления на мокрых поверхностях (сцепления с мокрым дорожным покрытием) и шинам класса С1</w:t>
      </w:r>
      <w:r w:rsidRPr="00376EF1">
        <w:rPr>
          <w:sz w:val="20"/>
          <w:szCs w:val="20"/>
          <w:lang w:val="ru-RU"/>
        </w:rPr>
        <w:t xml:space="preserve"> в </w:t>
      </w:r>
      <w:r w:rsidRPr="00376EF1">
        <w:rPr>
          <w:b/>
          <w:bCs/>
          <w:sz w:val="20"/>
          <w:szCs w:val="20"/>
          <w:lang w:val="ru-RU"/>
        </w:rPr>
        <w:t>новом и</w:t>
      </w:r>
      <w:r w:rsidRPr="00376EF1">
        <w:rPr>
          <w:sz w:val="20"/>
          <w:szCs w:val="20"/>
          <w:lang w:val="ru-RU"/>
        </w:rPr>
        <w:t xml:space="preserve"> изношенном состоянии в отношении характеристик сцепления на мокрых поверхностях (сцепления с мокрым дорожным покрытием). Они применяются также к шинам класса C1 в новом состоянии в отношении их абразивного износа, как это определено в пункте 1.3 настоящих Правил ООН. Вместе с тем они не применяются к:</w:t>
      </w:r>
      <w:r>
        <w:rPr>
          <w:sz w:val="20"/>
          <w:szCs w:val="20"/>
          <w:lang w:val="ru-RU"/>
        </w:rPr>
        <w:t>»</w:t>
      </w:r>
    </w:p>
    <w:p w14:paraId="006D1FAF" w14:textId="77777777" w:rsidR="00303D53" w:rsidRPr="00376EF1" w:rsidRDefault="00303D53" w:rsidP="00303D53">
      <w:pPr>
        <w:spacing w:after="120"/>
        <w:ind w:left="1134"/>
      </w:pPr>
      <w:bookmarkStart w:id="0" w:name="_Hlk99098290"/>
      <w:r w:rsidRPr="00376EF1">
        <w:rPr>
          <w:i/>
          <w:iCs/>
        </w:rPr>
        <w:t>Пункт 1.3</w:t>
      </w:r>
      <w:r w:rsidRPr="00376EF1">
        <w:t xml:space="preserve"> изменить следующим образом:</w:t>
      </w:r>
    </w:p>
    <w:bookmarkEnd w:id="0"/>
    <w:p w14:paraId="75652376" w14:textId="1FB3C397" w:rsidR="00303D53" w:rsidRPr="00376EF1" w:rsidRDefault="00303D53" w:rsidP="00303D53">
      <w:pPr>
        <w:spacing w:after="120"/>
        <w:ind w:left="2268" w:right="1134" w:hanging="1134"/>
        <w:jc w:val="both"/>
        <w:rPr>
          <w:i/>
          <w:iCs/>
        </w:rPr>
      </w:pPr>
      <w:r>
        <w:t>«</w:t>
      </w:r>
      <w:r w:rsidRPr="00376EF1">
        <w:t>1.3</w:t>
      </w:r>
      <w:r w:rsidRPr="00376EF1">
        <w:tab/>
        <w:t>В случае шин класса С1, за исключением ледовых шин и шин с кодом номинального диаметра обода ≤13, официальное утверждение дополняется информацией об уровне абразивного износа в соответствии с пунктами 5.7–</w:t>
      </w:r>
      <w:r w:rsidRPr="00376EF1">
        <w:rPr>
          <w:strike/>
        </w:rPr>
        <w:t>5.9</w:t>
      </w:r>
      <w:r w:rsidRPr="00376EF1">
        <w:t xml:space="preserve"> </w:t>
      </w:r>
      <w:r w:rsidRPr="00376EF1">
        <w:rPr>
          <w:b/>
          <w:bCs/>
        </w:rPr>
        <w:t>5.10</w:t>
      </w:r>
      <w:r w:rsidRPr="00376EF1">
        <w:t xml:space="preserve"> настоящих Правил». </w:t>
      </w:r>
    </w:p>
    <w:p w14:paraId="440E4A1F" w14:textId="77777777" w:rsidR="00303D53" w:rsidRPr="008306B9" w:rsidRDefault="00303D53" w:rsidP="00303D53">
      <w:pPr>
        <w:pStyle w:val="para"/>
        <w:keepNext/>
        <w:rPr>
          <w:i/>
          <w:iCs/>
          <w:lang w:val="ru-RU"/>
        </w:rPr>
      </w:pPr>
      <w:r>
        <w:rPr>
          <w:i/>
          <w:iCs/>
          <w:lang w:val="ru-RU"/>
        </w:rPr>
        <w:t>Приложение 10</w:t>
      </w:r>
      <w:r>
        <w:rPr>
          <w:lang w:val="ru-RU"/>
        </w:rPr>
        <w:t xml:space="preserve"> </w:t>
      </w:r>
    </w:p>
    <w:p w14:paraId="733E6DFC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Введение</w:t>
      </w:r>
      <w:r>
        <w:rPr>
          <w:lang w:val="ru-RU"/>
        </w:rPr>
        <w:t xml:space="preserve"> изменить следующим образом:</w:t>
      </w:r>
    </w:p>
    <w:p w14:paraId="3D0E5DE0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2268" w:right="1134" w:hanging="1134"/>
        <w:jc w:val="both"/>
      </w:pPr>
      <w:r>
        <w:t>«</w:t>
      </w:r>
      <w:r>
        <w:tab/>
        <w:t>Введение</w:t>
      </w:r>
    </w:p>
    <w:p w14:paraId="6B3421A1" w14:textId="0B78D909" w:rsidR="00303D53" w:rsidRPr="008306B9" w:rsidRDefault="00303D53" w:rsidP="00303D53">
      <w:pPr>
        <w:autoSpaceDE w:val="0"/>
        <w:autoSpaceDN w:val="0"/>
        <w:adjustRightInd w:val="0"/>
        <w:spacing w:after="120"/>
        <w:ind w:left="2268" w:right="1134" w:hanging="1134"/>
        <w:jc w:val="both"/>
      </w:pPr>
      <w:r>
        <w:tab/>
        <w:t xml:space="preserve">Для расчета индекса абразивного износа потенциальной шины уровень абразивного износа потенциальной шины сравнивают с уровнем абразивного износа стандартной эталонной испытательной шины. </w:t>
      </w:r>
      <w:r w:rsidR="00B07CF3">
        <w:br/>
      </w:r>
      <w:r>
        <w:t xml:space="preserve">Он измеряется одним из следующих методов </w:t>
      </w:r>
      <w:r>
        <w:rPr>
          <w:b/>
          <w:bCs/>
        </w:rPr>
        <w:t>испытаний</w:t>
      </w:r>
      <w:r>
        <w:t>:</w:t>
      </w:r>
    </w:p>
    <w:p w14:paraId="49FB13BA" w14:textId="77777777" w:rsidR="00303D53" w:rsidRPr="008306B9" w:rsidRDefault="00303D53" w:rsidP="00B07CF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>a)</w:t>
      </w:r>
      <w:r>
        <w:tab/>
        <w:t>методом испытания с использованием транспортного средства на дорогах общего пользования;</w:t>
      </w:r>
      <w:bookmarkStart w:id="1" w:name="_Hlk145878623"/>
    </w:p>
    <w:bookmarkEnd w:id="1"/>
    <w:p w14:paraId="40309253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b)</w:t>
      </w:r>
      <w:r>
        <w:tab/>
        <w:t>методом испытания на барабане в помещении».</w:t>
      </w:r>
    </w:p>
    <w:p w14:paraId="226A4622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1.2</w:t>
      </w:r>
      <w:r>
        <w:rPr>
          <w:lang w:val="ru-RU"/>
        </w:rPr>
        <w:t xml:space="preserve"> изменить следующим образом:</w:t>
      </w:r>
    </w:p>
    <w:p w14:paraId="621140DE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«1.2</w:t>
      </w:r>
      <w:r>
        <w:tab/>
        <w:t>Определения</w:t>
      </w:r>
    </w:p>
    <w:p w14:paraId="4AF27F88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  <w:rPr>
          <w:i/>
          <w:iCs/>
        </w:rPr>
      </w:pPr>
      <w:r>
        <w:tab/>
        <w:t xml:space="preserve">В дополнение к соответствующим определениям, </w:t>
      </w:r>
      <w:r>
        <w:rPr>
          <w:strike/>
        </w:rPr>
        <w:t>приведенным</w:t>
      </w:r>
      <w:r>
        <w:t xml:space="preserve"> </w:t>
      </w:r>
      <w:r>
        <w:rPr>
          <w:b/>
          <w:bCs/>
        </w:rPr>
        <w:t>содержащимся</w:t>
      </w:r>
      <w:r>
        <w:t xml:space="preserve"> в пункте 2 настоящих Правил, применяются нижеследующие определения».</w:t>
      </w:r>
    </w:p>
    <w:p w14:paraId="54135A0C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 w:rsidRPr="00376EF1">
        <w:rPr>
          <w:i/>
          <w:iCs/>
          <w:lang w:val="ru-RU"/>
        </w:rPr>
        <w:t>Пункт 1.2.7</w:t>
      </w:r>
      <w:r>
        <w:rPr>
          <w:lang w:val="ru-RU"/>
        </w:rPr>
        <w:t xml:space="preserve"> изменить следующим образом:</w:t>
      </w:r>
    </w:p>
    <w:p w14:paraId="05726FCE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  <w:rPr>
          <w:i/>
          <w:iCs/>
        </w:rPr>
      </w:pPr>
      <w:r>
        <w:t>«1.2.7</w:t>
      </w:r>
      <w:r>
        <w:tab/>
      </w:r>
      <w:r>
        <w:rPr>
          <w:i/>
          <w:iCs/>
        </w:rPr>
        <w:t>“Гибридный электромобиль (ГЭМ)”</w:t>
      </w:r>
      <w:r>
        <w:t xml:space="preserve"> — это гибридное транспортное средство, в котором одним из устройств преобразования энергии в тягу является электрический привод».</w:t>
      </w:r>
    </w:p>
    <w:p w14:paraId="1237E577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 xml:space="preserve">Пункт 1.2.10 </w:t>
      </w:r>
      <w:r>
        <w:rPr>
          <w:lang w:val="ru-RU"/>
        </w:rPr>
        <w:t>изменить следующим образом:</w:t>
      </w:r>
    </w:p>
    <w:p w14:paraId="056ABF7B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  <w:rPr>
          <w:i/>
          <w:iCs/>
        </w:rPr>
      </w:pPr>
      <w:r>
        <w:t>«1.2.10</w:t>
      </w:r>
      <w:r>
        <w:tab/>
      </w:r>
      <w:r>
        <w:rPr>
          <w:i/>
          <w:iCs/>
        </w:rPr>
        <w:t>“Гибридный электромобиль, заряжаемый от внешнего зарядного устройства (ГЭМ-ВЗУ)”</w:t>
      </w:r>
      <w:r>
        <w:t xml:space="preserve"> — это гибридный электромобиль, который предусматривает возможность зарядки от внешнего источника».</w:t>
      </w:r>
    </w:p>
    <w:p w14:paraId="6B407C77" w14:textId="48422C2D" w:rsidR="00303D53" w:rsidRPr="008306B9" w:rsidRDefault="00303D53" w:rsidP="00B07CF3">
      <w:pPr>
        <w:pStyle w:val="para"/>
        <w:rPr>
          <w:iCs/>
          <w:lang w:val="ru-RU"/>
        </w:rPr>
      </w:pPr>
      <w:r w:rsidRPr="00376EF1">
        <w:rPr>
          <w:i/>
          <w:iCs/>
          <w:lang w:val="ru-RU"/>
        </w:rPr>
        <w:t>Пункт 1.3, таблица, вторая строка</w:t>
      </w:r>
      <w:r>
        <w:rPr>
          <w:lang w:val="ru-RU"/>
        </w:rPr>
        <w:t xml:space="preserve">, заменить </w:t>
      </w:r>
      <w:r w:rsidR="00B07CF3">
        <w:rPr>
          <w:lang w:val="ru-RU"/>
        </w:rPr>
        <w:t>«</w:t>
      </w:r>
      <w:r>
        <w:rPr>
          <w:lang w:val="ru-RU"/>
        </w:rPr>
        <w:t>ALC</w:t>
      </w:r>
      <w:r w:rsidR="00B07CF3">
        <w:rPr>
          <w:lang w:val="ru-RU"/>
        </w:rPr>
        <w:t>»</w:t>
      </w:r>
      <w:r>
        <w:rPr>
          <w:lang w:val="ru-RU"/>
        </w:rPr>
        <w:t xml:space="preserve"> на </w:t>
      </w:r>
      <w:r w:rsidR="00B07CF3">
        <w:rPr>
          <w:lang w:val="ru-RU"/>
        </w:rPr>
        <w:t>«</w:t>
      </w:r>
      <w:r>
        <w:rPr>
          <w:lang w:val="ru-RU"/>
        </w:rPr>
        <w:t>ALCT</w:t>
      </w:r>
      <w:r w:rsidR="00B07CF3">
        <w:rPr>
          <w:lang w:val="ru-RU"/>
        </w:rPr>
        <w:t>»</w:t>
      </w:r>
      <w:r>
        <w:rPr>
          <w:lang w:val="ru-RU"/>
        </w:rPr>
        <w:t>.</w:t>
      </w:r>
    </w:p>
    <w:p w14:paraId="23F3D692" w14:textId="596ED721" w:rsidR="00303D53" w:rsidRPr="008306B9" w:rsidRDefault="00303D53" w:rsidP="00B07CF3">
      <w:pPr>
        <w:pStyle w:val="para"/>
        <w:rPr>
          <w:iCs/>
          <w:lang w:val="ru-RU"/>
        </w:rPr>
      </w:pPr>
      <w:r w:rsidRPr="00376EF1">
        <w:rPr>
          <w:i/>
          <w:iCs/>
          <w:lang w:val="ru-RU"/>
        </w:rPr>
        <w:t xml:space="preserve">Пункт 1.3, таблица, строки </w:t>
      </w:r>
      <w:r w:rsidR="00B07CF3">
        <w:rPr>
          <w:i/>
          <w:iCs/>
          <w:lang w:val="ru-RU"/>
        </w:rPr>
        <w:t>«</w:t>
      </w:r>
      <w:r w:rsidRPr="00376EF1">
        <w:rPr>
          <w:i/>
          <w:iCs/>
          <w:lang w:val="ru-RU"/>
        </w:rPr>
        <w:t>ARC</w:t>
      </w:r>
      <w:r w:rsidR="00B07CF3">
        <w:rPr>
          <w:i/>
          <w:iCs/>
          <w:lang w:val="ru-RU"/>
        </w:rPr>
        <w:t>»</w:t>
      </w:r>
      <w:r w:rsidRPr="00376EF1">
        <w:rPr>
          <w:i/>
          <w:iCs/>
          <w:lang w:val="ru-RU"/>
        </w:rPr>
        <w:t xml:space="preserve"> и </w:t>
      </w:r>
      <w:r w:rsidR="00B07CF3">
        <w:rPr>
          <w:i/>
          <w:iCs/>
          <w:lang w:val="ru-RU"/>
        </w:rPr>
        <w:t>«</w:t>
      </w:r>
      <w:r w:rsidRPr="00376EF1">
        <w:rPr>
          <w:i/>
          <w:iCs/>
          <w:lang w:val="ru-RU"/>
        </w:rPr>
        <w:t>ARR</w:t>
      </w:r>
      <w:r w:rsidR="00B07CF3">
        <w:rPr>
          <w:i/>
          <w:iCs/>
          <w:lang w:val="ru-RU"/>
        </w:rPr>
        <w:t>»</w:t>
      </w:r>
      <w:r>
        <w:rPr>
          <w:lang w:val="ru-RU"/>
        </w:rPr>
        <w:t xml:space="preserve"> исключить.</w:t>
      </w:r>
    </w:p>
    <w:p w14:paraId="5C7B63E6" w14:textId="15BD33E1" w:rsidR="00303D53" w:rsidRPr="008306B9" w:rsidRDefault="00303D53" w:rsidP="00B07CF3">
      <w:pPr>
        <w:pStyle w:val="para"/>
        <w:ind w:left="1168" w:hanging="17"/>
        <w:rPr>
          <w:iCs/>
          <w:lang w:val="ru-RU"/>
        </w:rPr>
      </w:pPr>
      <w:r>
        <w:rPr>
          <w:i/>
          <w:iCs/>
          <w:lang w:val="ru-RU"/>
        </w:rPr>
        <w:t>Пункт 1.4 и его подпункты 1.4.1, 1.4.3, 1.4.4, 1.4.5, 1.4.6, 1.4.7, заголовки,</w:t>
      </w:r>
      <w:r>
        <w:rPr>
          <w:lang w:val="ru-RU"/>
        </w:rPr>
        <w:t xml:space="preserve"> исключить знак точки </w:t>
      </w:r>
      <w:r w:rsidR="00B07CF3">
        <w:rPr>
          <w:lang w:val="ru-RU"/>
        </w:rPr>
        <w:t>«</w:t>
      </w:r>
      <w:r>
        <w:rPr>
          <w:lang w:val="ru-RU"/>
        </w:rPr>
        <w:t>.</w:t>
      </w:r>
      <w:r w:rsidR="00B07CF3">
        <w:rPr>
          <w:lang w:val="ru-RU"/>
        </w:rPr>
        <w:t>»</w:t>
      </w:r>
      <w:r>
        <w:rPr>
          <w:lang w:val="ru-RU"/>
        </w:rPr>
        <w:t xml:space="preserve"> в конце. </w:t>
      </w:r>
    </w:p>
    <w:p w14:paraId="04B445A0" w14:textId="77777777" w:rsidR="00303D53" w:rsidRPr="008306B9" w:rsidRDefault="00303D53" w:rsidP="00B07CF3">
      <w:pPr>
        <w:pStyle w:val="para"/>
        <w:keepNext/>
        <w:keepLines/>
        <w:rPr>
          <w:iCs/>
          <w:lang w:val="ru-RU"/>
        </w:rPr>
      </w:pPr>
      <w:r>
        <w:rPr>
          <w:i/>
          <w:iCs/>
          <w:lang w:val="ru-RU"/>
        </w:rPr>
        <w:lastRenderedPageBreak/>
        <w:t>Пункт 1.4.4</w:t>
      </w:r>
      <w:r>
        <w:rPr>
          <w:lang w:val="ru-RU"/>
        </w:rPr>
        <w:t xml:space="preserve"> изменить следующим образом:</w:t>
      </w:r>
    </w:p>
    <w:p w14:paraId="12DFC127" w14:textId="77777777" w:rsidR="00303D53" w:rsidRPr="008306B9" w:rsidRDefault="00303D53" w:rsidP="00B07CF3">
      <w:pPr>
        <w:keepNext/>
        <w:keepLines/>
        <w:tabs>
          <w:tab w:val="left" w:pos="-284"/>
        </w:tabs>
        <w:spacing w:after="120"/>
        <w:ind w:left="2268" w:right="1134" w:hanging="1134"/>
        <w:jc w:val="both"/>
      </w:pPr>
      <w:r>
        <w:t>«1.4.4</w:t>
      </w:r>
      <w:r>
        <w:tab/>
        <w:t>...</w:t>
      </w:r>
    </w:p>
    <w:p w14:paraId="2D01A739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 xml:space="preserve">Пройденное шиной расстояние должно равняться сумме расстояния, зафиксированного с помощью ГНСС, и расстояния, пройденного без сигнала ГНСС, если только </w:t>
      </w:r>
      <w:r>
        <w:rPr>
          <w:strike/>
        </w:rPr>
        <w:t>последнее</w:t>
      </w:r>
      <w:r>
        <w:t xml:space="preserve"> расстояние не оценивается самой ГНСС.</w:t>
      </w:r>
    </w:p>
    <w:p w14:paraId="3378F612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4284EB81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1.4.7</w:t>
      </w:r>
      <w:r>
        <w:rPr>
          <w:lang w:val="ru-RU"/>
        </w:rPr>
        <w:t xml:space="preserve"> изменить следующим образом:</w:t>
      </w:r>
    </w:p>
    <w:p w14:paraId="004B7AF9" w14:textId="037BC200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«1.4.7</w:t>
      </w:r>
      <w:r>
        <w:tab/>
        <w:t xml:space="preserve">...Допускается использование устройства непрерывного измерения, регистрирующего температуру, при </w:t>
      </w:r>
      <w:r>
        <w:rPr>
          <w:b/>
          <w:bCs/>
        </w:rPr>
        <w:t>том</w:t>
      </w:r>
      <w:r>
        <w:t xml:space="preserve"> условии, что оно обеспечивает вышеуказанную точность измерения.</w:t>
      </w:r>
    </w:p>
    <w:p w14:paraId="6AB96464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Начальное и конечное измерения проводят с помощью калиброванного термометра».</w:t>
      </w:r>
    </w:p>
    <w:p w14:paraId="654D4A89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1.4.8</w:t>
      </w:r>
      <w:r>
        <w:rPr>
          <w:lang w:val="ru-RU"/>
        </w:rPr>
        <w:t xml:space="preserve"> изменить следующим образом:</w:t>
      </w:r>
    </w:p>
    <w:p w14:paraId="61315BCF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«1.4.8</w:t>
      </w:r>
      <w:r>
        <w:tab/>
        <w:t>Приборы для измерения массы шины и колеса в сборе</w:t>
      </w:r>
    </w:p>
    <w:p w14:paraId="3D9BFF92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 xml:space="preserve">Весы должны обеспечивать измерение массы шины </w:t>
      </w:r>
      <w:r>
        <w:rPr>
          <w:b/>
          <w:bCs/>
        </w:rPr>
        <w:t>и колеса в сборе</w:t>
      </w:r>
      <w:r>
        <w:t xml:space="preserve"> с точностью до ±2 г».</w:t>
      </w:r>
    </w:p>
    <w:p w14:paraId="24A8690B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1.6, заголовок</w:t>
      </w:r>
      <w:r>
        <w:rPr>
          <w:lang w:val="ru-RU"/>
        </w:rPr>
        <w:t xml:space="preserve"> изменить следующим образом:</w:t>
      </w:r>
    </w:p>
    <w:p w14:paraId="6BD29F23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«1.6</w:t>
      </w:r>
      <w:r>
        <w:tab/>
        <w:t xml:space="preserve">Требования к транспортным средствам </w:t>
      </w:r>
      <w:r>
        <w:rPr>
          <w:b/>
          <w:bCs/>
        </w:rPr>
        <w:t>и схемам»</w:t>
      </w:r>
    </w:p>
    <w:p w14:paraId="0A30013F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1.6.2.2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е)</w:t>
      </w:r>
      <w:r>
        <w:rPr>
          <w:lang w:val="ru-RU"/>
        </w:rPr>
        <w:t xml:space="preserve"> изменить следующим образом:</w:t>
      </w:r>
    </w:p>
    <w:p w14:paraId="6EAC875B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«1.6.2.2</w:t>
      </w:r>
      <w:r>
        <w:tab/>
        <w:t>...</w:t>
      </w:r>
    </w:p>
    <w:p w14:paraId="6BD1941C" w14:textId="3DCE1F9D" w:rsidR="00303D53" w:rsidRPr="008306B9" w:rsidRDefault="00303D53" w:rsidP="00957ED5">
      <w:pPr>
        <w:tabs>
          <w:tab w:val="left" w:pos="-284"/>
          <w:tab w:val="left" w:pos="2268"/>
        </w:tabs>
        <w:spacing w:after="120"/>
        <w:ind w:left="2835" w:right="1134" w:hanging="1701"/>
        <w:jc w:val="both"/>
      </w:pPr>
      <w:r>
        <w:tab/>
        <w:t>e)</w:t>
      </w:r>
      <w:r>
        <w:tab/>
        <w:t xml:space="preserve">кроме того, абсолютная величина </w:t>
      </w:r>
      <w:r>
        <w:rPr>
          <w:b/>
          <w:bCs/>
        </w:rPr>
        <w:t>угла</w:t>
      </w:r>
      <w:r>
        <w:t xml:space="preserve"> положительного/</w:t>
      </w:r>
      <w:r w:rsidR="00B07CF3">
        <w:br/>
      </w:r>
      <w:r>
        <w:t xml:space="preserve">отрицательного схождения не должна превышать значения, используемые для колес на передней оси </w:t>
      </w:r>
      <w:r>
        <w:rPr>
          <w:strike/>
        </w:rPr>
        <w:t>испытуемых</w:t>
      </w:r>
      <w:r>
        <w:t xml:space="preserve"> </w:t>
      </w:r>
      <w:r>
        <w:rPr>
          <w:b/>
          <w:bCs/>
        </w:rPr>
        <w:t>потенциальных</w:t>
      </w:r>
      <w:r>
        <w:t xml:space="preserve"> транспортных средств».</w:t>
      </w:r>
    </w:p>
    <w:p w14:paraId="622BDF4B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1.6.6</w:t>
      </w:r>
      <w:r>
        <w:rPr>
          <w:lang w:val="ru-RU"/>
        </w:rPr>
        <w:t xml:space="preserve"> изменить следующим образом:</w:t>
      </w:r>
    </w:p>
    <w:p w14:paraId="48223A74" w14:textId="336CCDE4" w:rsidR="00303D53" w:rsidRPr="008306B9" w:rsidRDefault="00303D53" w:rsidP="00303D53">
      <w:pPr>
        <w:autoSpaceDE w:val="0"/>
        <w:autoSpaceDN w:val="0"/>
        <w:adjustRightInd w:val="0"/>
        <w:spacing w:after="120"/>
        <w:ind w:left="2268" w:right="1134" w:hanging="1134"/>
        <w:jc w:val="both"/>
      </w:pPr>
      <w:r>
        <w:t>«1.6.6</w:t>
      </w:r>
      <w:r>
        <w:tab/>
        <w:t>Если ни одно транспортное средство не отвечает условиям по пунктам</w:t>
      </w:r>
      <w:r w:rsidR="00B07CF3">
        <w:t> </w:t>
      </w:r>
      <w:r>
        <w:t>1.6.2, 1.6.3, 1.6.4 и 1.6.5, то используют следующую процедуру:</w:t>
      </w:r>
    </w:p>
    <w:p w14:paraId="642957CB" w14:textId="5E442FF8" w:rsidR="00303D53" w:rsidRPr="008306B9" w:rsidRDefault="00303D53" w:rsidP="00B07CF3">
      <w:pPr>
        <w:tabs>
          <w:tab w:val="left" w:pos="-284"/>
          <w:tab w:val="left" w:pos="2268"/>
        </w:tabs>
        <w:spacing w:after="120"/>
        <w:ind w:left="2835" w:right="1134" w:hanging="1701"/>
        <w:jc w:val="both"/>
      </w:pPr>
      <w:r>
        <w:tab/>
        <w:t>a)</w:t>
      </w:r>
      <w:r>
        <w:tab/>
        <w:t>измерение как минимум на 4 различных транспортных средствах (при наличии 4 транспортных средств либо на всех наличных транспортных средствах, если их меньше 4), которые могут быть оснащены потенциальными шинами, должно продемонстрировать, что настройка в указанных пределах невозможна. Транспортные средства должны быть изготовлены 4</w:t>
      </w:r>
      <w:r w:rsidR="00B0179A">
        <w:rPr>
          <w:lang w:val="en-US"/>
        </w:rPr>
        <w:t> </w:t>
      </w:r>
      <w:r>
        <w:t xml:space="preserve">разными изготовителями, </w:t>
      </w:r>
      <w:r>
        <w:rPr>
          <w:strike/>
        </w:rPr>
        <w:t>а</w:t>
      </w:r>
      <w:r>
        <w:t xml:space="preserve"> </w:t>
      </w:r>
      <w:r>
        <w:rPr>
          <w:b/>
          <w:bCs/>
        </w:rPr>
        <w:t>причем</w:t>
      </w:r>
      <w:r>
        <w:t xml:space="preserve"> их возраст должен составлять менее двух лет;</w:t>
      </w:r>
    </w:p>
    <w:p w14:paraId="2119F6EA" w14:textId="77777777" w:rsidR="00303D53" w:rsidRPr="008306B9" w:rsidRDefault="00303D53" w:rsidP="00B07CF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>b)</w:t>
      </w:r>
      <w:r>
        <w:tab/>
        <w:t>выбор транспортных средств (как контрольных, так и потенциальных) осуществляется по следующим критериям:</w:t>
      </w:r>
    </w:p>
    <w:p w14:paraId="7C22459F" w14:textId="77777777" w:rsidR="00303D53" w:rsidRPr="008306B9" w:rsidRDefault="00303D53" w:rsidP="00303D53">
      <w:pPr>
        <w:tabs>
          <w:tab w:val="left" w:pos="-284"/>
        </w:tabs>
        <w:spacing w:after="120"/>
        <w:ind w:left="3402" w:right="1134" w:hanging="567"/>
        <w:jc w:val="both"/>
      </w:pPr>
      <w:r>
        <w:t>i)</w:t>
      </w:r>
      <w:r>
        <w:tab/>
      </w:r>
      <w:r>
        <w:rPr>
          <w:b/>
          <w:bCs/>
        </w:rPr>
        <w:t>угол</w:t>
      </w:r>
      <w:r>
        <w:t xml:space="preserve"> </w:t>
      </w:r>
      <w:r>
        <w:rPr>
          <w:b/>
          <w:bCs/>
        </w:rPr>
        <w:t>положительного/отрицательного</w:t>
      </w:r>
      <w:r>
        <w:t xml:space="preserve"> схождени</w:t>
      </w:r>
      <w:r>
        <w:rPr>
          <w:strike/>
        </w:rPr>
        <w:t>е</w:t>
      </w:r>
      <w:r>
        <w:rPr>
          <w:b/>
          <w:bCs/>
        </w:rPr>
        <w:t>я</w:t>
      </w:r>
      <w:r>
        <w:t xml:space="preserve"> передних колес долж</w:t>
      </w:r>
      <w:r>
        <w:rPr>
          <w:b/>
          <w:bCs/>
        </w:rPr>
        <w:t>е</w:t>
      </w:r>
      <w:r>
        <w:t>н</w:t>
      </w:r>
      <w:r>
        <w:rPr>
          <w:strike/>
        </w:rPr>
        <w:t>о</w:t>
      </w:r>
      <w:r>
        <w:t xml:space="preserve"> соответствовать указанным выше допускам (0° +/–);</w:t>
      </w:r>
    </w:p>
    <w:p w14:paraId="49D5E411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402" w:right="1134" w:hanging="567"/>
        <w:jc w:val="both"/>
      </w:pPr>
      <w:r>
        <w:t>ii)</w:t>
      </w:r>
      <w:r>
        <w:tab/>
        <w:t>угол развала передних колес контрольного и потенциального транспортных средств не должен различаться более чем на 0,5°. Абсолютная величина развала передних колес контрольного транспортного средства не должна превышать соответствующий показатель потенциального транспортного средства;</w:t>
      </w:r>
    </w:p>
    <w:p w14:paraId="2D9B2B08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402" w:right="1134" w:hanging="567"/>
        <w:jc w:val="both"/>
      </w:pPr>
      <w:r>
        <w:t>iii)</w:t>
      </w:r>
      <w:r>
        <w:tab/>
        <w:t xml:space="preserve">угол развала задних колес контрольного и потенциального транспортных средств не должен различаться более чем на </w:t>
      </w:r>
      <w:r>
        <w:lastRenderedPageBreak/>
        <w:t>0,6°. Абсолютная величина развала задних колес контрольного транспортного средства не должна превышать соответствующий показатель потенциального транспортного средства;</w:t>
      </w:r>
    </w:p>
    <w:p w14:paraId="34CE96FE" w14:textId="7C3A5F04" w:rsidR="00303D53" w:rsidRPr="008306B9" w:rsidRDefault="00303D53" w:rsidP="00303D53">
      <w:pPr>
        <w:tabs>
          <w:tab w:val="left" w:pos="-284"/>
        </w:tabs>
        <w:spacing w:after="120"/>
        <w:ind w:left="3402" w:right="1134" w:hanging="567"/>
        <w:jc w:val="both"/>
      </w:pPr>
      <w:r>
        <w:t>iv)</w:t>
      </w:r>
      <w:r>
        <w:tab/>
        <w:t xml:space="preserve">угол </w:t>
      </w:r>
      <w:r>
        <w:rPr>
          <w:b/>
          <w:bCs/>
        </w:rPr>
        <w:t>положительного/отрицательного</w:t>
      </w:r>
      <w:r>
        <w:t xml:space="preserve"> схождения задних колес контрольного и потенциального транспортных средств не должен различаться более чем на 0,1°. Абсолютная величина схождения задних колес контрольного транспортного средства не должна превышать соответствующий показатель потенциального транспортного средства;</w:t>
      </w:r>
    </w:p>
    <w:p w14:paraId="748353E1" w14:textId="77777777" w:rsidR="00303D53" w:rsidRPr="008306B9" w:rsidRDefault="00303D53" w:rsidP="00303D53">
      <w:pPr>
        <w:tabs>
          <w:tab w:val="left" w:pos="-284"/>
        </w:tabs>
        <w:spacing w:after="120"/>
        <w:ind w:left="3402" w:right="1134" w:hanging="567"/>
        <w:jc w:val="both"/>
      </w:pPr>
      <w:r>
        <w:t>v)</w:t>
      </w:r>
      <w:r>
        <w:tab/>
        <w:t xml:space="preserve">кроме того, для потенциальных транспортных средств в условиях нагрузки, указанных в пункте </w:t>
      </w:r>
      <w:r>
        <w:rPr>
          <w:strike/>
        </w:rPr>
        <w:t xml:space="preserve">1.5.3 </w:t>
      </w:r>
      <w:r>
        <w:rPr>
          <w:b/>
          <w:bCs/>
        </w:rPr>
        <w:t>1.5.4</w:t>
      </w:r>
      <w:r>
        <w:t xml:space="preserve">, должны соблюдаться следующие ограничения: </w:t>
      </w:r>
    </w:p>
    <w:p w14:paraId="6D35D51F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969" w:right="1134" w:hanging="567"/>
        <w:jc w:val="both"/>
      </w:pPr>
      <w:r>
        <w:t>a.</w:t>
      </w:r>
      <w:r>
        <w:tab/>
        <w:t>задаваемый угол положительного/отрицательного схождения каждого колеса на передней оси составляет 0 ± 0,1°;</w:t>
      </w:r>
    </w:p>
    <w:p w14:paraId="453E062A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969" w:right="1134" w:hanging="567"/>
        <w:jc w:val="both"/>
      </w:pPr>
      <w:r>
        <w:t>b.</w:t>
      </w:r>
      <w:r>
        <w:tab/>
        <w:t>угол развала колес на передней оси задается в диапазоне от –1,7 до 0°;</w:t>
      </w:r>
    </w:p>
    <w:p w14:paraId="777F557E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969" w:right="1134" w:hanging="567"/>
        <w:jc w:val="both"/>
      </w:pPr>
      <w:r>
        <w:t>c.</w:t>
      </w:r>
      <w:r>
        <w:tab/>
        <w:t>угол положительного/отрицательного схождения каждого колеса на задней оси задается в диапазоне от 0,05 до 0,3°;</w:t>
      </w:r>
    </w:p>
    <w:p w14:paraId="6AFFB39D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969" w:right="1134" w:hanging="567"/>
        <w:jc w:val="both"/>
      </w:pPr>
      <w:r>
        <w:t>d.</w:t>
      </w:r>
      <w:r>
        <w:tab/>
        <w:t>угол развала колес на задней оси задается в диапазоне от –2,7 до 0,3°;</w:t>
      </w:r>
    </w:p>
    <w:p w14:paraId="6E9A7D27" w14:textId="77777777" w:rsidR="00303D53" w:rsidRPr="008306B9" w:rsidRDefault="00303D53" w:rsidP="00303D53">
      <w:pPr>
        <w:tabs>
          <w:tab w:val="left" w:pos="-284"/>
        </w:tabs>
        <w:spacing w:after="120"/>
        <w:ind w:left="3402" w:right="1134" w:hanging="567"/>
        <w:jc w:val="both"/>
      </w:pPr>
      <w:r>
        <w:t>vi)</w:t>
      </w:r>
      <w:r>
        <w:tab/>
        <w:t xml:space="preserve">кроме того, для контрольных транспортных средств в условиях нагрузки, указанных в пункте </w:t>
      </w:r>
      <w:r>
        <w:rPr>
          <w:strike/>
        </w:rPr>
        <w:t>1.5.3</w:t>
      </w:r>
      <w:r>
        <w:t xml:space="preserve"> </w:t>
      </w:r>
      <w:r>
        <w:rPr>
          <w:b/>
          <w:bCs/>
        </w:rPr>
        <w:t>1.5.4</w:t>
      </w:r>
      <w:r>
        <w:t>, должны соблюдаться следующие ограничения:</w:t>
      </w:r>
    </w:p>
    <w:p w14:paraId="37C02965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969" w:right="1134" w:hanging="567"/>
        <w:jc w:val="both"/>
      </w:pPr>
      <w:r>
        <w:t>a.</w:t>
      </w:r>
      <w:r>
        <w:tab/>
        <w:t>задаваемый угол положительного/отрицательного схождения каждого колеса на передней оси составляет 0 ± 0,05°;</w:t>
      </w:r>
    </w:p>
    <w:p w14:paraId="6200D4A4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969" w:right="1134" w:hanging="567"/>
        <w:jc w:val="both"/>
      </w:pPr>
      <w:r>
        <w:t>b.</w:t>
      </w:r>
      <w:r>
        <w:tab/>
        <w:t>угол развала колес на передней оси задается в диапазоне от –1,7 до 0°;</w:t>
      </w:r>
    </w:p>
    <w:p w14:paraId="54EA8652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969" w:right="1134" w:hanging="567"/>
        <w:jc w:val="both"/>
      </w:pPr>
      <w:r>
        <w:t>c.</w:t>
      </w:r>
      <w:r>
        <w:tab/>
        <w:t>угол положительного/отрицательного схождения каждого колеса на задней оси задается в диапазоне от 0,05 до 0,3°;</w:t>
      </w:r>
    </w:p>
    <w:p w14:paraId="442FE376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3969" w:right="1134" w:hanging="567"/>
        <w:jc w:val="both"/>
      </w:pPr>
      <w:r>
        <w:t>d.</w:t>
      </w:r>
      <w:r>
        <w:tab/>
        <w:t>угол развала колес на задней оси задается в диапазоне от –2,7 до 0,3°».</w:t>
      </w:r>
    </w:p>
    <w:p w14:paraId="7C360061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1.6.7</w:t>
      </w:r>
      <w:r>
        <w:rPr>
          <w:lang w:val="ru-RU"/>
        </w:rPr>
        <w:t xml:space="preserve"> изменить следующим образом:</w:t>
      </w:r>
    </w:p>
    <w:p w14:paraId="3EB97343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«1.6.7</w:t>
      </w:r>
      <w:r>
        <w:tab/>
        <w:t>Устройство преобразования энергии в тягу, приемлемое для транспортного средства</w:t>
      </w:r>
    </w:p>
    <w:p w14:paraId="6B87AC13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Разрешены все типы устройств преобразования энергии в тягу при условии их однородности для транспортных средств в колонне. В состав колонны должны входить транспортные средства одного типа с точки зрения степени их электрификации (т. е. ДВС, ГЭМ-БЗУ, ГЭМ-ВЗУ или ПЭМ)».</w:t>
      </w:r>
    </w:p>
    <w:p w14:paraId="4EE153D5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1.6.12</w:t>
      </w:r>
      <w:r>
        <w:rPr>
          <w:lang w:val="ru-RU"/>
        </w:rPr>
        <w:t xml:space="preserve"> изменить следующим образом:</w:t>
      </w:r>
    </w:p>
    <w:p w14:paraId="3559E0D4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«1.6.12</w:t>
      </w:r>
      <w:r>
        <w:tab/>
        <w:t>...</w:t>
      </w:r>
    </w:p>
    <w:p w14:paraId="541305AC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Распределение нагрузки между передней и задней осями должно быть следующим:</w:t>
      </w:r>
    </w:p>
    <w:p w14:paraId="78CD7D75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7E52F9DF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lastRenderedPageBreak/>
        <w:t>Пункт 1.6.16.1</w:t>
      </w:r>
      <w:r>
        <w:rPr>
          <w:lang w:val="ru-RU"/>
        </w:rPr>
        <w:t xml:space="preserve"> изменить следующим образом:</w:t>
      </w:r>
    </w:p>
    <w:p w14:paraId="5048D054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«1.6.16.1</w:t>
      </w:r>
      <w:r>
        <w:tab/>
        <w:t>...</w:t>
      </w:r>
    </w:p>
    <w:p w14:paraId="146D0B26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Смещения линий регрессии уровня абразивного износа эталонной шины в зависимости от среднего значения температуры в ходе испытания рассчитывают по следующим уравнениям:</w:t>
      </w:r>
    </w:p>
    <w:p w14:paraId="3651621C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...,</w:t>
      </w:r>
    </w:p>
    <w:p w14:paraId="6B2D9394" w14:textId="77777777" w:rsidR="00303D53" w:rsidRPr="008306B9" w:rsidRDefault="00303D53" w:rsidP="00303D53">
      <w:pPr>
        <w:pStyle w:val="para"/>
        <w:ind w:left="0" w:firstLine="2268"/>
        <w:rPr>
          <w:lang w:val="ru-RU"/>
        </w:rPr>
      </w:pPr>
      <w:r>
        <w:rPr>
          <w:lang w:val="ru-RU"/>
        </w:rPr>
        <w:t xml:space="preserve">где: </w:t>
      </w:r>
    </w:p>
    <w:p w14:paraId="4E837293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/>
        <w:jc w:val="both"/>
      </w:pPr>
      <w:r>
        <w:t>...</w:t>
      </w:r>
    </w:p>
    <w:p w14:paraId="23CF5B21" w14:textId="6200827D" w:rsidR="00303D53" w:rsidRPr="008306B9" w:rsidRDefault="00303D53" w:rsidP="00303D53">
      <w:pPr>
        <w:pStyle w:val="AuflistungVariablen"/>
        <w:tabs>
          <w:tab w:val="clear" w:pos="2552"/>
        </w:tabs>
        <w:spacing w:after="120" w:line="240" w:lineRule="exact"/>
        <w:ind w:left="3119" w:right="1134" w:hanging="851"/>
        <w:rPr>
          <w:lang w:val="ru-RU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/>
              </w:rPr>
              <m:t>ALRT</m:t>
            </m:r>
          </m:e>
        </m:bar>
      </m:oMath>
      <w:r>
        <w:rPr>
          <w:lang w:val="ru-RU"/>
        </w:rPr>
        <w:tab/>
        <w:t xml:space="preserve">средний уровень абразивного износа </w:t>
      </w:r>
      <w:r>
        <w:rPr>
          <w:b/>
          <w:bCs/>
          <w:lang w:val="ru-RU"/>
        </w:rPr>
        <w:t>в ходе испытаний</w:t>
      </w:r>
      <w:r>
        <w:rPr>
          <w:lang w:val="ru-RU"/>
        </w:rPr>
        <w:t xml:space="preserve"> </w:t>
      </w:r>
      <w:r w:rsidR="00B07CF3">
        <w:rPr>
          <w:lang w:val="ru-RU"/>
        </w:rPr>
        <w:br/>
      </w:r>
      <w:r>
        <w:rPr>
          <w:lang w:val="ru-RU"/>
        </w:rPr>
        <w:t>n-ого числа эталонных шин при трех значениях температуры в мг/км/т;</w:t>
      </w:r>
    </w:p>
    <w:p w14:paraId="64E7BFC7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29B51760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1.7.1, первое предложение</w:t>
      </w:r>
      <w:r>
        <w:rPr>
          <w:lang w:val="ru-RU"/>
        </w:rPr>
        <w:t xml:space="preserve"> изменить следующим образом:</w:t>
      </w:r>
    </w:p>
    <w:p w14:paraId="234E8ECD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«1.7.1</w:t>
      </w:r>
      <w:r>
        <w:tab/>
        <w:t xml:space="preserve">При испытании шин в сравнении с СЭИШ17S согласно таблице, приведенной в пункте 1.2.25 настоящего приложения, должны </w:t>
      </w:r>
      <w:r w:rsidRPr="00544B9C">
        <w:t>соблюдаться</w:t>
      </w:r>
      <w:r>
        <w:t xml:space="preserve"> следующие погодные и климатические условия:</w:t>
      </w:r>
    </w:p>
    <w:p w14:paraId="17C9088B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</w:r>
      <w:r>
        <w:tab/>
        <w:t>...»</w:t>
      </w:r>
    </w:p>
    <w:p w14:paraId="16598D92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1.7.2</w:t>
      </w:r>
      <w:r>
        <w:rPr>
          <w:lang w:val="ru-RU"/>
        </w:rPr>
        <w:t xml:space="preserve"> изменить следующим образом:</w:t>
      </w:r>
    </w:p>
    <w:p w14:paraId="0498E20D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«1.7.2</w:t>
      </w:r>
      <w:r>
        <w:tab/>
        <w:t xml:space="preserve">При испытании шин в сравнении с СЭИШ17W согласно таблице, приведенной в пункте 1.2.25 настоящего приложения, должны </w:t>
      </w:r>
      <w:r w:rsidRPr="00544B9C">
        <w:t>соблюдаться</w:t>
      </w:r>
      <w:r>
        <w:t xml:space="preserve"> следующие погодные и климатические условия:»</w:t>
      </w:r>
    </w:p>
    <w:p w14:paraId="7824AF30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1.7.3.2, последнее предложение</w:t>
      </w:r>
      <w:r>
        <w:rPr>
          <w:lang w:val="ru-RU"/>
        </w:rPr>
        <w:t xml:space="preserve"> изменить следующим образом:</w:t>
      </w:r>
    </w:p>
    <w:p w14:paraId="3261B38F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«1.7.3.2</w:t>
      </w:r>
      <w:r>
        <w:tab/>
        <w:t>...Допускается использовать среднее значение температуры с привязкой как ко времени, так и к расстоянию».</w:t>
      </w:r>
    </w:p>
    <w:p w14:paraId="466D9670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1.8</w:t>
      </w:r>
      <w:r>
        <w:rPr>
          <w:lang w:val="ru-RU"/>
        </w:rPr>
        <w:t xml:space="preserve"> изменить следующим образом:</w:t>
      </w:r>
    </w:p>
    <w:p w14:paraId="75312E76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2268" w:right="1134" w:hanging="1134"/>
        <w:jc w:val="both"/>
      </w:pPr>
      <w:r>
        <w:t>«1.8</w:t>
      </w:r>
      <w:r>
        <w:tab/>
      </w:r>
      <w:r>
        <w:tab/>
        <w:t>Требования к стандартной эталонной испытательной шине</w:t>
      </w:r>
    </w:p>
    <w:p w14:paraId="7AD054A8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2268" w:right="1134"/>
        <w:jc w:val="both"/>
      </w:pPr>
      <w:bookmarkStart w:id="2" w:name="_Hlk152597695"/>
      <w:r>
        <w:t>Эталонные шины СЭИШ17S и СЭИШ17W хранят в условиях, рекомендованных в стандартах F3676-23 и F3675-23 соответственно.</w:t>
      </w:r>
    </w:p>
    <w:bookmarkEnd w:id="2"/>
    <w:p w14:paraId="254CB189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2268" w:right="1134"/>
        <w:jc w:val="both"/>
      </w:pPr>
      <w:r>
        <w:tab/>
        <w:t xml:space="preserve">СЭИШ17S используют для оценки потенциальных шин категории использования “обычная шина”, </w:t>
      </w:r>
      <w:r>
        <w:rPr>
          <w:strike/>
        </w:rPr>
        <w:t>а также шин категории использования “зимняя шина” или “шина специального назначения”, не классифицируемых в качестве шин, предназначенных для использования в тяжелых снежных условиях,</w:t>
      </w:r>
      <w:r>
        <w:t xml:space="preserve"> равно как и шин категории использования “шина специального назначения”, </w:t>
      </w:r>
      <w:r w:rsidRPr="003144FF">
        <w:rPr>
          <w:strike/>
        </w:rPr>
        <w:t xml:space="preserve">не </w:t>
      </w:r>
      <w:r>
        <w:rPr>
          <w:strike/>
        </w:rPr>
        <w:t>заявленных в качестве шин</w:t>
      </w:r>
      <w:r>
        <w:t xml:space="preserve"> </w:t>
      </w:r>
      <w:r w:rsidRPr="003144FF">
        <w:rPr>
          <w:b/>
          <w:bCs/>
        </w:rPr>
        <w:t>без маркировки</w:t>
      </w:r>
      <w:r>
        <w:t xml:space="preserve"> “M+S”.</w:t>
      </w:r>
      <w:bookmarkStart w:id="3" w:name="_Hlk145599322"/>
      <w:bookmarkEnd w:id="3"/>
    </w:p>
    <w:p w14:paraId="0A439C08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 xml:space="preserve">СЭИШ17W используют для оценки потенциальных шин категорий использования “зимняя шина” и “шина специального назначения” </w:t>
      </w:r>
      <w:r>
        <w:rPr>
          <w:strike/>
        </w:rPr>
        <w:t>заявленных как шины</w:t>
      </w:r>
      <w:r>
        <w:t xml:space="preserve"> </w:t>
      </w:r>
      <w:r w:rsidRPr="003144FF">
        <w:rPr>
          <w:b/>
          <w:bCs/>
        </w:rPr>
        <w:t>с маркировкой</w:t>
      </w:r>
      <w:r>
        <w:t xml:space="preserve"> “M+S”, классифицируемых либо не классифицируемых в качестве шин, предназначенных для использования в тяжелых снежных условиях».</w:t>
      </w:r>
    </w:p>
    <w:p w14:paraId="5EC5886A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1.11.3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b)</w:t>
      </w:r>
      <w:r>
        <w:rPr>
          <w:lang w:val="ru-RU"/>
        </w:rPr>
        <w:t xml:space="preserve"> изменить следующим образом:</w:t>
      </w:r>
    </w:p>
    <w:p w14:paraId="5B0F3C79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«1.11.3</w:t>
      </w:r>
      <w:r>
        <w:tab/>
      </w:r>
      <w:r>
        <w:tab/>
        <w:t>...</w:t>
      </w:r>
    </w:p>
    <w:p w14:paraId="728FD25C" w14:textId="489AE80D" w:rsidR="00303D53" w:rsidRPr="008306B9" w:rsidRDefault="00303D53" w:rsidP="00303D53">
      <w:pPr>
        <w:tabs>
          <w:tab w:val="left" w:pos="-284"/>
        </w:tabs>
        <w:spacing w:after="120"/>
        <w:ind w:left="2835" w:right="1134" w:hanging="567"/>
        <w:jc w:val="both"/>
      </w:pPr>
      <w:r>
        <w:t>b)</w:t>
      </w:r>
      <w:r>
        <w:tab/>
        <w:t>устройства преобразования энергии в тягу (например, транспортные средства, работающие только от двигателя внутреннего сгорания (ДВС), только ГЭМ-БЗУ, только ГЭМ-ВЗУ или только ПЭМ) автомобилей в составе одной и той же колонны. Что касается гибридных транспортных средств, то применяют положения пункта 1.6.7 настоящего приложения.</w:t>
      </w:r>
    </w:p>
    <w:p w14:paraId="1285FC8D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lastRenderedPageBreak/>
        <w:tab/>
        <w:t>...»</w:t>
      </w:r>
    </w:p>
    <w:p w14:paraId="39365AB4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1.11.7</w:t>
      </w:r>
      <w:r>
        <w:rPr>
          <w:lang w:val="ru-RU"/>
        </w:rPr>
        <w:t xml:space="preserve"> изменить следующим образом:</w:t>
      </w:r>
    </w:p>
    <w:p w14:paraId="75428F0B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«1.11.7</w:t>
      </w:r>
      <w:r>
        <w:tab/>
        <w:t>...</w:t>
      </w:r>
    </w:p>
    <w:p w14:paraId="1576892B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 xml:space="preserve">В течение каждой смены проводят непрерывную оценку скорости, а также бокового и продольного ускорений...» </w:t>
      </w:r>
    </w:p>
    <w:p w14:paraId="7F78E6F2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1.11.8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b)</w:t>
      </w:r>
      <w:r>
        <w:rPr>
          <w:lang w:val="ru-RU"/>
        </w:rPr>
        <w:t xml:space="preserve"> изменить следующим образом:</w:t>
      </w:r>
    </w:p>
    <w:p w14:paraId="5C40D82F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«1.11.8</w:t>
      </w:r>
      <w:r>
        <w:tab/>
      </w:r>
      <w:r>
        <w:tab/>
        <w:t>...</w:t>
      </w:r>
    </w:p>
    <w:p w14:paraId="3EB27018" w14:textId="79C5111D" w:rsidR="00303D53" w:rsidRPr="008306B9" w:rsidRDefault="00303D53" w:rsidP="00303D53">
      <w:pPr>
        <w:tabs>
          <w:tab w:val="left" w:pos="-284"/>
        </w:tabs>
        <w:spacing w:after="120"/>
        <w:ind w:left="2835" w:right="1134" w:hanging="567"/>
        <w:jc w:val="both"/>
      </w:pPr>
      <w:r>
        <w:t>b)</w:t>
      </w:r>
      <w:r>
        <w:tab/>
        <w:t xml:space="preserve">по ускорению: боковое и продольное ускорения не превышают их максимальных значений и соответствуют значениям стандартного отклонения, рассчитанным по пункту 1.11.7 настоящего приложения, а также </w:t>
      </w:r>
      <w:r>
        <w:rPr>
          <w:strike/>
        </w:rPr>
        <w:t>спецификациям</w:t>
      </w:r>
      <w:r>
        <w:rPr>
          <w:b/>
          <w:bCs/>
        </w:rPr>
        <w:t xml:space="preserve"> техническим требованиям</w:t>
      </w:r>
      <w:r>
        <w:t>, приведенным в пункте 1.6.13.3 настоящего приложения;</w:t>
      </w:r>
    </w:p>
    <w:p w14:paraId="5E832D92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6978269C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1.11.8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f)</w:t>
      </w:r>
      <w:r>
        <w:rPr>
          <w:lang w:val="ru-RU"/>
        </w:rPr>
        <w:t xml:space="preserve"> изменить следующим образом:</w:t>
      </w:r>
    </w:p>
    <w:p w14:paraId="416E1014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«1.11.8</w:t>
      </w:r>
      <w:r>
        <w:tab/>
        <w:t>...</w:t>
      </w:r>
    </w:p>
    <w:p w14:paraId="366BAE33" w14:textId="5BEF702A" w:rsidR="00303D53" w:rsidRPr="008306B9" w:rsidRDefault="00303D53" w:rsidP="00303D5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>f)</w:t>
      </w:r>
      <w:r>
        <w:tab/>
        <w:t>по потенциальным шинам</w:t>
      </w:r>
      <w:r>
        <w:rPr>
          <w:strike/>
        </w:rPr>
        <w:t>, предназначенным для использования в тяжелых снежных условиях:</w:t>
      </w:r>
      <w:r>
        <w:t xml:space="preserve"> </w:t>
      </w:r>
      <w:r>
        <w:rPr>
          <w:b/>
          <w:bCs/>
        </w:rPr>
        <w:t>категории использования</w:t>
      </w:r>
      <w:r>
        <w:t xml:space="preserve"> </w:t>
      </w:r>
      <w:r>
        <w:rPr>
          <w:b/>
          <w:bCs/>
        </w:rPr>
        <w:t xml:space="preserve">“зимняя шина” и “шина специального назначения” с маркировкой </w:t>
      </w:r>
      <w:r w:rsidR="006104B1">
        <w:rPr>
          <w:rFonts w:cs="Times New Roman"/>
          <w:b/>
          <w:bCs/>
        </w:rPr>
        <w:t>“</w:t>
      </w:r>
      <w:proofErr w:type="spellStart"/>
      <w:r>
        <w:rPr>
          <w:b/>
          <w:bCs/>
        </w:rPr>
        <w:t>M+S</w:t>
      </w:r>
      <w:proofErr w:type="spellEnd"/>
      <w:r w:rsidR="006104B1">
        <w:rPr>
          <w:rFonts w:cs="Times New Roman"/>
          <w:b/>
          <w:bCs/>
        </w:rPr>
        <w:t>”</w:t>
      </w:r>
      <w:r>
        <w:rPr>
          <w:b/>
          <w:bCs/>
        </w:rPr>
        <w:t xml:space="preserve">, классифицируемых либо не классифицируемых в качестве шин, предназначенных для использования в тяжелых снежных условиях: </w:t>
      </w:r>
      <w:r>
        <w:t xml:space="preserve">уровень </w:t>
      </w:r>
      <w:r w:rsidRPr="001B458F">
        <w:rPr>
          <w:b/>
          <w:bCs/>
        </w:rPr>
        <w:t>абразивного износа</w:t>
      </w:r>
      <w:r>
        <w:t xml:space="preserve"> СЭИШ17W, приведенный к 10</w:t>
      </w:r>
      <w:r w:rsidR="006104B1">
        <w:t> </w:t>
      </w:r>
      <w:r>
        <w:t>°C (ALRT</w:t>
      </w:r>
      <w:r>
        <w:rPr>
          <w:vertAlign w:val="subscript"/>
        </w:rPr>
        <w:t>10</w:t>
      </w:r>
      <w:r>
        <w:t>), находится в диапазоне, определенном в пункте 1.6.16 настоящего приложения;</w:t>
      </w:r>
    </w:p>
    <w:p w14:paraId="5C06B9AF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090E62A4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1.11.9</w:t>
      </w:r>
      <w:r>
        <w:rPr>
          <w:lang w:val="ru-RU"/>
        </w:rPr>
        <w:t xml:space="preserve"> изменить следующим образом:</w:t>
      </w:r>
    </w:p>
    <w:p w14:paraId="07EAEEEB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«1.11.9</w:t>
      </w:r>
      <w:r>
        <w:tab/>
        <w:t>...</w:t>
      </w:r>
    </w:p>
    <w:p w14:paraId="5ADC6FD5" w14:textId="4888FAF7" w:rsidR="00303D53" w:rsidRPr="008306B9" w:rsidRDefault="00303D53" w:rsidP="00303D5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 xml:space="preserve">c) </w:t>
      </w:r>
      <w:r>
        <w:tab/>
        <w:t xml:space="preserve">уровень абразивного износа эталонной шины при 20 °C </w:t>
      </w:r>
      <w:r>
        <w:rPr>
          <w:b/>
          <w:bCs/>
        </w:rPr>
        <w:t>или 10</w:t>
      </w:r>
      <w:r w:rsidR="00B07CF3">
        <w:rPr>
          <w:b/>
          <w:bCs/>
        </w:rPr>
        <w:t> </w:t>
      </w:r>
      <w:r>
        <w:rPr>
          <w:b/>
          <w:bCs/>
        </w:rPr>
        <w:t>°C</w:t>
      </w:r>
      <w:r>
        <w:t xml:space="preserve"> </w:t>
      </w:r>
      <w:r>
        <w:rPr>
          <w:b/>
          <w:bCs/>
        </w:rPr>
        <w:t>в соответствующих случаях</w:t>
      </w:r>
      <w:r>
        <w:t xml:space="preserve"> находится в диапазоне, указанном в пункте 1.6.16 настоящего приложения;</w:t>
      </w:r>
    </w:p>
    <w:p w14:paraId="55BB1CA3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</w:t>
      </w:r>
    </w:p>
    <w:p w14:paraId="06468664" w14:textId="1440381E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Допустимо(ы) случайное(ые) отклонение(я), если на него (них) приходится расстояние, составляющее менее 20</w:t>
      </w:r>
      <w:r w:rsidR="00B07CF3">
        <w:t> </w:t>
      </w:r>
      <w:r>
        <w:t>% трассы или менее 100</w:t>
      </w:r>
      <w:r w:rsidR="00B07CF3">
        <w:t> </w:t>
      </w:r>
      <w:r>
        <w:t>км (в зависимости от того, что меньше), при условии, что уровень абразивного износа эталонной шины при 20</w:t>
      </w:r>
      <w:r w:rsidR="00B07CF3">
        <w:t> </w:t>
      </w:r>
      <w:r>
        <w:t xml:space="preserve">°C </w:t>
      </w:r>
      <w:r>
        <w:rPr>
          <w:b/>
          <w:bCs/>
        </w:rPr>
        <w:t>или 10</w:t>
      </w:r>
      <w:r w:rsidR="00B07CF3">
        <w:rPr>
          <w:b/>
          <w:bCs/>
        </w:rPr>
        <w:t> </w:t>
      </w:r>
      <w:r>
        <w:rPr>
          <w:b/>
          <w:bCs/>
        </w:rPr>
        <w:t>°C в соответствующих случаях</w:t>
      </w:r>
      <w:r>
        <w:t xml:space="preserve"> не превышает разрешенных пределов и соблюдены значения стандартного отклонения ускорения.</w:t>
      </w:r>
    </w:p>
    <w:p w14:paraId="5A9E5064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067EF0A9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1.11.11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а)</w:t>
      </w:r>
      <w:r>
        <w:rPr>
          <w:lang w:val="ru-RU"/>
        </w:rPr>
        <w:t xml:space="preserve"> изменить следующим образом:</w:t>
      </w:r>
    </w:p>
    <w:p w14:paraId="4EE33F30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«1.11.11</w:t>
      </w:r>
      <w:r>
        <w:tab/>
      </w:r>
      <w:r>
        <w:tab/>
        <w:t>...</w:t>
      </w:r>
    </w:p>
    <w:p w14:paraId="7EFBEC53" w14:textId="6CDFEFE5" w:rsidR="00303D53" w:rsidRPr="008306B9" w:rsidRDefault="00303D53" w:rsidP="00303D5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>a)</w:t>
      </w:r>
      <w:r>
        <w:tab/>
        <w:t xml:space="preserve">если используемая в ходе испытания шина, установленная на контрольном транспортном средстве или на одном из потенциальных транспортных средств, повреждена в результате прокола, который можно устранить, причем ремонт позволяет продолжать движение без потери давления воздуха в шине, то добавленную после ремонта массу шины регистрируют и учитывают в окончательном расчете. Разрешается использование запасной шины </w:t>
      </w:r>
      <w:r>
        <w:rPr>
          <w:b/>
          <w:bCs/>
        </w:rPr>
        <w:t xml:space="preserve">на максимальном расстоянии, соответствующем длине одного кольцевого маршрута, либо на максимальном расстоянии, соответствующем </w:t>
      </w:r>
      <w:r>
        <w:rPr>
          <w:strike/>
        </w:rPr>
        <w:t xml:space="preserve">при условии, что </w:t>
      </w:r>
      <w:r>
        <w:rPr>
          <w:strike/>
        </w:rPr>
        <w:lastRenderedPageBreak/>
        <w:t>длина соответствующего кольцевого маршрута не превышает</w:t>
      </w:r>
      <w:r>
        <w:t xml:space="preserve"> 7,5</w:t>
      </w:r>
      <w:r w:rsidR="00B07CF3">
        <w:t> </w:t>
      </w:r>
      <w:r>
        <w:t>% расстояния, которое должно быть пройдено в ходе испытания. Пробег на запасной шине регистрируют и учитывают для целей расчета уровня абразивного износа;</w:t>
      </w:r>
    </w:p>
    <w:p w14:paraId="21A62ED4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7F5F4C76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1.11.13.2</w:t>
      </w:r>
      <w:r w:rsidRPr="006D66CF">
        <w:rPr>
          <w:lang w:val="ru-RU"/>
        </w:rPr>
        <w:t>,</w:t>
      </w:r>
      <w:r>
        <w:rPr>
          <w:lang w:val="ru-RU"/>
        </w:rPr>
        <w:t xml:space="preserve"> изменить уравнение следующим образом:</w:t>
      </w:r>
    </w:p>
    <w:p w14:paraId="060535B8" w14:textId="77777777" w:rsidR="00303D53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«1.11.13.2</w:t>
      </w:r>
      <w:r>
        <w:tab/>
      </w:r>
      <w:r>
        <w:tab/>
        <w:t>...</w:t>
      </w:r>
      <w:r>
        <w:tab/>
      </w:r>
    </w:p>
    <w:p w14:paraId="10EA8839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</w:r>
      <w:r>
        <w:tab/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ALRT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>=ALRT+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T</m:t>
                </m:r>
              </m:e>
            </m:acc>
          </m:e>
        </m:d>
      </m:oMath>
    </w:p>
    <w:p w14:paraId="1078A4EA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7F5B4CF1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1.11.13.3</w:t>
      </w:r>
      <w:r>
        <w:rPr>
          <w:lang w:val="ru-RU"/>
        </w:rPr>
        <w:t>, изменить уравнение следующим образом:</w:t>
      </w:r>
    </w:p>
    <w:p w14:paraId="6CA3B2A2" w14:textId="77777777" w:rsidR="00303D53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"1.11.13.3</w:t>
      </w:r>
      <w:r>
        <w:tab/>
      </w:r>
      <w:r>
        <w:tab/>
        <w:t>...</w:t>
      </w:r>
      <w:r>
        <w:tab/>
        <w:t xml:space="preserve"> </w:t>
      </w:r>
    </w:p>
    <w:p w14:paraId="5F08DF12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ALRT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>=ALRT+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/>
                    </w:rPr>
                    <m:t>T</m:t>
                  </m:r>
                </m:e>
              </m:bar>
            </m:e>
          </m:d>
        </m:oMath>
      </m:oMathPara>
    </w:p>
    <w:p w14:paraId="726296DE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4B42C0FA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1.12.1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е)</w:t>
      </w:r>
      <w:r>
        <w:rPr>
          <w:lang w:val="ru-RU"/>
        </w:rPr>
        <w:t xml:space="preserve"> изменить следующим образом:</w:t>
      </w:r>
    </w:p>
    <w:p w14:paraId="5AF21A40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«1.12.1</w:t>
      </w:r>
      <w:r>
        <w:tab/>
        <w:t>...</w:t>
      </w:r>
    </w:p>
    <w:p w14:paraId="14E5E484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 xml:space="preserve">e) </w:t>
      </w:r>
      <w:r>
        <w:tab/>
        <w:t>дат</w:t>
      </w:r>
      <w:r>
        <w:rPr>
          <w:strike/>
        </w:rPr>
        <w:t>а</w:t>
      </w:r>
      <w:r>
        <w:rPr>
          <w:b/>
          <w:bCs/>
        </w:rPr>
        <w:t>ы</w:t>
      </w:r>
      <w:r>
        <w:t xml:space="preserve"> начала и окончания испытания».</w:t>
      </w:r>
    </w:p>
    <w:p w14:paraId="527C5892" w14:textId="77777777" w:rsidR="00303D53" w:rsidRPr="008306B9" w:rsidRDefault="00303D53" w:rsidP="00303D53">
      <w:pPr>
        <w:pStyle w:val="para"/>
        <w:keepNext/>
        <w:ind w:left="1170" w:hanging="18"/>
        <w:rPr>
          <w:iCs/>
          <w:lang w:val="ru-RU"/>
        </w:rPr>
      </w:pPr>
      <w:r>
        <w:rPr>
          <w:i/>
          <w:iCs/>
          <w:lang w:val="ru-RU"/>
        </w:rPr>
        <w:t>Пункт 1.12.2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d)</w:t>
      </w:r>
      <w:r>
        <w:rPr>
          <w:lang w:val="ru-RU"/>
        </w:rPr>
        <w:t xml:space="preserve">, исключить (поскольку он идентичен пункту c)). </w:t>
      </w:r>
    </w:p>
    <w:p w14:paraId="075EB0DC" w14:textId="330E37C1" w:rsidR="00303D53" w:rsidRPr="008306B9" w:rsidRDefault="00303D53" w:rsidP="00303D53">
      <w:pPr>
        <w:pStyle w:val="para"/>
        <w:keepNext/>
        <w:ind w:left="1170" w:hanging="18"/>
        <w:rPr>
          <w:iCs/>
          <w:lang w:val="ru-RU"/>
        </w:rPr>
      </w:pPr>
      <w:r>
        <w:rPr>
          <w:i/>
          <w:iCs/>
          <w:lang w:val="ru-RU"/>
        </w:rPr>
        <w:t>Пункт 1.12.2, подпункты e)</w:t>
      </w:r>
      <w:r w:rsidR="00C7489E">
        <w:rPr>
          <w:i/>
          <w:iCs/>
          <w:lang w:val="ru-RU"/>
        </w:rPr>
        <w:t>–</w:t>
      </w:r>
      <w:r>
        <w:rPr>
          <w:i/>
          <w:iCs/>
          <w:lang w:val="ru-RU"/>
        </w:rPr>
        <w:t>w)</w:t>
      </w:r>
      <w:r>
        <w:rPr>
          <w:lang w:val="ru-RU"/>
        </w:rPr>
        <w:t>, изменить нумерацию на d)</w:t>
      </w:r>
      <w:r w:rsidR="00C7489E">
        <w:rPr>
          <w:lang w:val="ru-RU"/>
        </w:rPr>
        <w:t>–</w:t>
      </w:r>
      <w:r>
        <w:rPr>
          <w:lang w:val="ru-RU"/>
        </w:rPr>
        <w:t xml:space="preserve">v), соответственно. </w:t>
      </w:r>
    </w:p>
    <w:p w14:paraId="56B396E7" w14:textId="3B6AE2FB" w:rsidR="00303D53" w:rsidRPr="008306B9" w:rsidRDefault="00303D53" w:rsidP="005A7370">
      <w:pPr>
        <w:pStyle w:val="para"/>
        <w:ind w:left="1134" w:firstLine="0"/>
        <w:rPr>
          <w:lang w:val="ru-RU"/>
        </w:rPr>
      </w:pPr>
      <w:r>
        <w:rPr>
          <w:i/>
          <w:iCs/>
          <w:lang w:val="ru-RU"/>
        </w:rPr>
        <w:t>Пункт 1.12.2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о) (прежний)</w:t>
      </w:r>
      <w:r>
        <w:rPr>
          <w:lang w:val="ru-RU"/>
        </w:rPr>
        <w:t>, изменить нумерацию и текст следующим образом:</w:t>
      </w:r>
    </w:p>
    <w:p w14:paraId="42B0F17C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«1.12.2</w:t>
      </w:r>
      <w:r>
        <w:tab/>
      </w:r>
      <w:r>
        <w:tab/>
        <w:t>...</w:t>
      </w:r>
    </w:p>
    <w:p w14:paraId="192D0C86" w14:textId="66031E06" w:rsidR="00303D53" w:rsidRPr="008306B9" w:rsidRDefault="00303D53" w:rsidP="004503EF">
      <w:pPr>
        <w:tabs>
          <w:tab w:val="left" w:pos="-284"/>
          <w:tab w:val="left" w:pos="2268"/>
        </w:tabs>
        <w:spacing w:after="120"/>
        <w:ind w:left="2835" w:right="1134" w:hanging="1701"/>
        <w:jc w:val="both"/>
      </w:pPr>
      <w:r>
        <w:tab/>
      </w:r>
      <w:r w:rsidRPr="003C63E8">
        <w:rPr>
          <w:b/>
          <w:bCs/>
        </w:rPr>
        <w:t>n)</w:t>
      </w:r>
      <w:r>
        <w:tab/>
        <w:t xml:space="preserve">уровень абразивного износа в мг/км/т, приведенный к 20 °C </w:t>
      </w:r>
      <w:r>
        <w:rPr>
          <w:b/>
          <w:bCs/>
        </w:rPr>
        <w:t>или 10</w:t>
      </w:r>
      <w:r w:rsidR="00B07CF3">
        <w:rPr>
          <w:b/>
          <w:bCs/>
        </w:rPr>
        <w:t> </w:t>
      </w:r>
      <w:r>
        <w:rPr>
          <w:b/>
          <w:bCs/>
        </w:rPr>
        <w:t>°C в соответствующих случаях</w:t>
      </w:r>
      <w:r>
        <w:t>;</w:t>
      </w:r>
    </w:p>
    <w:p w14:paraId="7046286C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4E89BCD5" w14:textId="77777777" w:rsidR="00303D53" w:rsidRPr="008306B9" w:rsidRDefault="00303D53" w:rsidP="00303D53">
      <w:pPr>
        <w:pStyle w:val="para"/>
        <w:keepNext/>
        <w:ind w:left="1170" w:hanging="18"/>
        <w:rPr>
          <w:iCs/>
          <w:lang w:val="ru-RU"/>
        </w:rPr>
      </w:pPr>
      <w:r>
        <w:rPr>
          <w:i/>
          <w:iCs/>
          <w:lang w:val="ru-RU"/>
        </w:rPr>
        <w:t>Пункт 1.12.3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d)</w:t>
      </w:r>
      <w:r>
        <w:rPr>
          <w:lang w:val="ru-RU"/>
        </w:rPr>
        <w:t xml:space="preserve">, исключить (поскольку он идентичен пункту c)). </w:t>
      </w:r>
    </w:p>
    <w:p w14:paraId="151E0C20" w14:textId="36DAC632" w:rsidR="00303D53" w:rsidRPr="008306B9" w:rsidRDefault="00303D53" w:rsidP="00303D53">
      <w:pPr>
        <w:pStyle w:val="para"/>
        <w:keepNext/>
        <w:ind w:left="1170" w:hanging="18"/>
        <w:rPr>
          <w:iCs/>
          <w:lang w:val="ru-RU"/>
        </w:rPr>
      </w:pPr>
      <w:r>
        <w:rPr>
          <w:i/>
          <w:iCs/>
          <w:lang w:val="ru-RU"/>
        </w:rPr>
        <w:t>Пункт 1.12.3, подпункты e)</w:t>
      </w:r>
      <w:r w:rsidR="00B07CF3">
        <w:rPr>
          <w:i/>
          <w:iCs/>
          <w:lang w:val="ru-RU"/>
        </w:rPr>
        <w:t>–</w:t>
      </w:r>
      <w:r>
        <w:rPr>
          <w:i/>
          <w:iCs/>
          <w:lang w:val="ru-RU"/>
        </w:rPr>
        <w:t>t)</w:t>
      </w:r>
      <w:r>
        <w:rPr>
          <w:lang w:val="ru-RU"/>
        </w:rPr>
        <w:t>, изменить нумерацию на d)</w:t>
      </w:r>
      <w:r w:rsidR="00B07CF3">
        <w:rPr>
          <w:lang w:val="ru-RU"/>
        </w:rPr>
        <w:t>–</w:t>
      </w:r>
      <w:r>
        <w:rPr>
          <w:lang w:val="ru-RU"/>
        </w:rPr>
        <w:t xml:space="preserve">s) соответственно. </w:t>
      </w:r>
    </w:p>
    <w:p w14:paraId="3CC3EBCF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1.12.4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с)</w:t>
      </w:r>
      <w:r>
        <w:rPr>
          <w:lang w:val="ru-RU"/>
        </w:rPr>
        <w:t xml:space="preserve"> изменить следующим образом:</w:t>
      </w:r>
    </w:p>
    <w:p w14:paraId="433A4947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«1.12.1</w:t>
      </w:r>
      <w:r>
        <w:tab/>
        <w:t>...</w:t>
      </w:r>
    </w:p>
    <w:p w14:paraId="2E1A03E8" w14:textId="77777777" w:rsidR="00303D53" w:rsidRPr="008306B9" w:rsidRDefault="00303D53" w:rsidP="00303D5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 xml:space="preserve">c) </w:t>
      </w:r>
      <w:r>
        <w:tab/>
        <w:t xml:space="preserve">окончательный результат расчета индекса абразивного износа шины (AICT) согласно пункту </w:t>
      </w:r>
      <w:r>
        <w:rPr>
          <w:b/>
          <w:bCs/>
        </w:rPr>
        <w:t xml:space="preserve">1.11 </w:t>
      </w:r>
      <w:r w:rsidRPr="003C63E8">
        <w:rPr>
          <w:strike/>
        </w:rPr>
        <w:t>11</w:t>
      </w:r>
      <w:r>
        <w:t xml:space="preserve"> настоящего приложения».</w:t>
      </w:r>
    </w:p>
    <w:p w14:paraId="3714B053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2.2.2</w:t>
      </w:r>
      <w:r>
        <w:rPr>
          <w:lang w:val="ru-RU"/>
        </w:rPr>
        <w:t xml:space="preserve"> изменить следующим образом:</w:t>
      </w:r>
    </w:p>
    <w:p w14:paraId="2FBD4036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«2.2.2</w:t>
      </w:r>
      <w:r>
        <w:tab/>
        <w:t xml:space="preserve">“Потеря массы” означает количество массы, потерянной в результате абразивного износа шины. </w:t>
      </w:r>
      <w:r>
        <w:rPr>
          <w:strike/>
        </w:rPr>
        <w:t>Примечание 1:</w:t>
      </w:r>
      <w:r>
        <w:t xml:space="preserve"> </w:t>
      </w:r>
      <w:r>
        <w:rPr>
          <w:b/>
          <w:bCs/>
        </w:rPr>
        <w:t>Она</w:t>
      </w:r>
      <w:r>
        <w:t xml:space="preserve"> выражается в граммах».</w:t>
      </w:r>
    </w:p>
    <w:p w14:paraId="0A552C37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2.2.3.2.1</w:t>
      </w:r>
      <w:r>
        <w:rPr>
          <w:lang w:val="ru-RU"/>
        </w:rPr>
        <w:t xml:space="preserve"> изменить следующим образом:</w:t>
      </w:r>
    </w:p>
    <w:p w14:paraId="008DF03C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«2.2.3.2.1</w:t>
      </w:r>
      <w:r>
        <w:tab/>
        <w:t>...</w:t>
      </w:r>
    </w:p>
    <w:p w14:paraId="6045CE64" w14:textId="01F24A34" w:rsidR="00303D53" w:rsidRPr="008306B9" w:rsidRDefault="00303D53" w:rsidP="00303D53">
      <w:pPr>
        <w:pStyle w:val="SingleTxtG"/>
        <w:ind w:leftChars="1134" w:left="2268" w:rightChars="567"/>
      </w:pPr>
      <w:r>
        <w:t>Обычная эталонная шина (225/45R17 94 XL ASTM F3676 — 23) служит для испытания потенциальных шин</w:t>
      </w:r>
      <w:r>
        <w:rPr>
          <w:strike/>
        </w:rPr>
        <w:t>, не предназначенных для использования в тяжелых снежных условиях,</w:t>
      </w:r>
      <w:r>
        <w:t xml:space="preserve"> </w:t>
      </w:r>
      <w:r>
        <w:rPr>
          <w:b/>
          <w:bCs/>
        </w:rPr>
        <w:t>категории использования</w:t>
      </w:r>
      <w:r>
        <w:t xml:space="preserve"> “обычная шина”, </w:t>
      </w:r>
      <w:r>
        <w:rPr>
          <w:b/>
          <w:bCs/>
        </w:rPr>
        <w:t>а также категории использования</w:t>
      </w:r>
      <w:r>
        <w:t xml:space="preserve"> </w:t>
      </w:r>
      <w:r>
        <w:rPr>
          <w:strike/>
        </w:rPr>
        <w:t>“зимняя шина” или</w:t>
      </w:r>
      <w:r>
        <w:t xml:space="preserve"> “шина специального назначения” </w:t>
      </w:r>
      <w:r w:rsidRPr="003C63E8">
        <w:rPr>
          <w:b/>
          <w:bCs/>
        </w:rPr>
        <w:t>без маркировки</w:t>
      </w:r>
      <w:r>
        <w:t xml:space="preserve"> “M+S”</w:t>
      </w:r>
      <w:r>
        <w:rPr>
          <w:strike/>
        </w:rPr>
        <w:t xml:space="preserve"> или 3PMSF</w:t>
      </w:r>
      <w:r>
        <w:t>.</w:t>
      </w:r>
    </w:p>
    <w:p w14:paraId="710BACB1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Зимняя эталонная шина (225/45R17 94 XL ASTM F3675 — 23) служит для испытания потенциальных шин</w:t>
      </w:r>
      <w:r>
        <w:rPr>
          <w:strike/>
        </w:rPr>
        <w:t>, предназначенных для использования в тяжелых снежных условиях (имеют маркировку 3PMSF), а также шин специального назначения, имеющих маркировку M+S или 3PMSF</w:t>
      </w:r>
      <w:r>
        <w:t xml:space="preserve"> </w:t>
      </w:r>
      <w:r>
        <w:rPr>
          <w:b/>
          <w:bCs/>
        </w:rPr>
        <w:t xml:space="preserve">категории использования “зимняя шина” и “шина </w:t>
      </w:r>
      <w:r>
        <w:rPr>
          <w:b/>
          <w:bCs/>
        </w:rPr>
        <w:lastRenderedPageBreak/>
        <w:t>специального назначения” с маркировкой “M+S”, классифицируемых либо не классифицируемых в качестве шин, предназначенных для использования в тяжелых снежных условиях».</w:t>
      </w:r>
    </w:p>
    <w:p w14:paraId="67ECE9D9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2.2.4</w:t>
      </w:r>
      <w:r>
        <w:rPr>
          <w:lang w:val="ru-RU"/>
        </w:rPr>
        <w:t xml:space="preserve"> изменить следующим образом:</w:t>
      </w:r>
    </w:p>
    <w:p w14:paraId="06D42B3D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«2.2.4</w:t>
      </w:r>
      <w:r>
        <w:tab/>
      </w:r>
      <w:r>
        <w:tab/>
        <w:t xml:space="preserve">“Средняя глубина профиля” — это характеристика шероховатости поверхности в макромасштабе, описание которой дается в стандарте </w:t>
      </w:r>
      <w:r>
        <w:rPr>
          <w:strike/>
        </w:rPr>
        <w:t>ISO13473-1</w:t>
      </w:r>
      <w:r>
        <w:t xml:space="preserve"> </w:t>
      </w:r>
      <w:r>
        <w:rPr>
          <w:b/>
          <w:bCs/>
        </w:rPr>
        <w:t xml:space="preserve">ISO </w:t>
      </w:r>
      <w:proofErr w:type="gramStart"/>
      <w:r>
        <w:rPr>
          <w:b/>
          <w:bCs/>
        </w:rPr>
        <w:t>13473-1</w:t>
      </w:r>
      <w:proofErr w:type="gramEnd"/>
      <w:r w:rsidRPr="00AA6902">
        <w:t>»</w:t>
      </w:r>
      <w:r>
        <w:t>.</w:t>
      </w:r>
    </w:p>
    <w:p w14:paraId="148B6AE0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2.2.10</w:t>
      </w:r>
      <w:r>
        <w:rPr>
          <w:lang w:val="ru-RU"/>
        </w:rPr>
        <w:t xml:space="preserve"> изменить следующим образом:</w:t>
      </w:r>
    </w:p>
    <w:p w14:paraId="438FD131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«2.2.10</w:t>
      </w:r>
      <w:r>
        <w:tab/>
        <w:t xml:space="preserve">“Радиус шины под нагрузкой” означает расстояние от оси шины до наружной поверхности барабана в установившемся режиме при нулевом значении скорости и угле развала, равном 0°, причем испытательная нагрузка и требуемое давление в шине обеспечиваются при комнатной температуре согласно условиям термостатирования по пункту </w:t>
      </w:r>
      <w:r>
        <w:rPr>
          <w:strike/>
        </w:rPr>
        <w:t>2.5.2</w:t>
      </w:r>
      <w:r>
        <w:t xml:space="preserve"> </w:t>
      </w:r>
      <w:r>
        <w:rPr>
          <w:b/>
          <w:bCs/>
        </w:rPr>
        <w:t>2.6.2 настоящего приложения</w:t>
      </w:r>
      <w:r w:rsidRPr="002B40D2">
        <w:t>»</w:t>
      </w:r>
      <w:r>
        <w:t>.</w:t>
      </w:r>
    </w:p>
    <w:p w14:paraId="7F591904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2.4.2.3</w:t>
      </w:r>
      <w:r>
        <w:rPr>
          <w:lang w:val="ru-RU"/>
        </w:rPr>
        <w:t xml:space="preserve"> изменить следующим образом:</w:t>
      </w:r>
    </w:p>
    <w:p w14:paraId="1821B4F4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«2.4.2.3</w:t>
      </w:r>
      <w:r>
        <w:tab/>
        <w:t>...</w:t>
      </w:r>
    </w:p>
    <w:p w14:paraId="6027A9EA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  <w:rPr>
          <w:b/>
          <w:bCs/>
        </w:rPr>
      </w:pPr>
      <w:r>
        <w:tab/>
        <w:t>Уровень абразивного износа эталонной шины СЭИШ17W на поверхностях всех типов должен находиться в диапазоне 35–165 мг/км/т. Уровень абразивного износа рассчитывают в соответствии с методом, изложенным в пункте 2.8 настоящего приложения. Если в качестве поверхности используется шлифовальная бумага, то ее замену производят так, как это указано в добавлении 5.</w:t>
      </w:r>
    </w:p>
    <w:p w14:paraId="6CAE5577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77119FCD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2.4.4.2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а)</w:t>
      </w:r>
      <w:r>
        <w:rPr>
          <w:lang w:val="ru-RU"/>
        </w:rPr>
        <w:t xml:space="preserve"> изменить следующим образом:</w:t>
      </w:r>
    </w:p>
    <w:p w14:paraId="7A2C7920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«2.4.4.2</w:t>
      </w:r>
      <w:r>
        <w:tab/>
        <w:t>...</w:t>
      </w:r>
    </w:p>
    <w:p w14:paraId="172FB1FF" w14:textId="47155ECB" w:rsidR="00303D53" w:rsidRPr="008306B9" w:rsidRDefault="00303D53" w:rsidP="00303D5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>a)</w:t>
      </w:r>
      <w:r>
        <w:tab/>
        <w:t xml:space="preserve">нагнетательная форсунка: в случае использования только одной форсунки ее центр должен располагаться в плоскости симметрии. Расстояние от форсунки до центра пятна контакта должно составлять </w:t>
      </w:r>
      <w:r w:rsidRPr="003C63E8">
        <w:rPr>
          <w:b/>
          <w:bCs/>
        </w:rPr>
        <w:t>менее</w:t>
      </w:r>
      <w:r>
        <w:t xml:space="preserve"> 35 см.</w:t>
      </w:r>
    </w:p>
    <w:p w14:paraId="1BCC305F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</w:r>
      <w:r>
        <w:tab/>
      </w:r>
      <w:r>
        <w:tab/>
        <w:t>...»</w:t>
      </w:r>
    </w:p>
    <w:p w14:paraId="036870DA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2.4.4.2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b)</w:t>
      </w:r>
      <w:r>
        <w:rPr>
          <w:lang w:val="ru-RU"/>
        </w:rPr>
        <w:t xml:space="preserve"> изменить следующим образом:</w:t>
      </w:r>
    </w:p>
    <w:p w14:paraId="58BE017C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«2.4.4.2</w:t>
      </w:r>
      <w:r>
        <w:tab/>
        <w:t>...</w:t>
      </w:r>
    </w:p>
    <w:p w14:paraId="0C4BC4EC" w14:textId="679F0566" w:rsidR="00303D53" w:rsidRPr="008306B9" w:rsidRDefault="00303D53" w:rsidP="00303D5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>b)</w:t>
      </w:r>
      <w:r>
        <w:tab/>
        <w:t xml:space="preserve">дисперсионная форсунка: испытательное устройство </w:t>
      </w:r>
      <w:r w:rsidRPr="003C63E8">
        <w:rPr>
          <w:b/>
          <w:bCs/>
        </w:rPr>
        <w:t>должн</w:t>
      </w:r>
      <w:r w:rsidR="008A4EDA">
        <w:rPr>
          <w:b/>
          <w:bCs/>
        </w:rPr>
        <w:t>о</w:t>
      </w:r>
      <w:r w:rsidRPr="003C63E8">
        <w:rPr>
          <w:b/>
          <w:bCs/>
        </w:rPr>
        <w:t xml:space="preserve"> накрываться</w:t>
      </w:r>
      <w:r>
        <w:t xml:space="preserve"> </w:t>
      </w:r>
      <w:r w:rsidRPr="003C63E8">
        <w:rPr>
          <w:strike/>
        </w:rPr>
        <w:t>накрывается</w:t>
      </w:r>
      <w:r>
        <w:t xml:space="preserve"> кожухом, внутри которого порошок должен распыляться равномерно. Форсунку(и) располагают параллельно оси Y и распределяют симметрично по отношению к оси X».</w:t>
      </w:r>
    </w:p>
    <w:p w14:paraId="51CE412A" w14:textId="4C9CEEC6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2.5.3, таблица</w:t>
      </w:r>
      <w:r w:rsidR="001479A7">
        <w:rPr>
          <w:i/>
          <w:iCs/>
          <w:lang w:val="ru-RU"/>
        </w:rPr>
        <w:t xml:space="preserve"> 1</w:t>
      </w:r>
      <w:r>
        <w:rPr>
          <w:i/>
          <w:iCs/>
          <w:lang w:val="ru-RU"/>
        </w:rPr>
        <w:t>, сноску а</w:t>
      </w:r>
      <w:r>
        <w:rPr>
          <w:lang w:val="ru-RU"/>
        </w:rPr>
        <w:t xml:space="preserve"> изменить следующим образом:</w:t>
      </w:r>
    </w:p>
    <w:p w14:paraId="70A6C145" w14:textId="7C5FD041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</w:t>
      </w:r>
      <w:r>
        <w:tab/>
        <w:t xml:space="preserve">... </w:t>
      </w:r>
      <w:proofErr w:type="spellStart"/>
      <w:r>
        <w:rPr>
          <w:strike/>
        </w:rPr>
        <w:t>ISO</w:t>
      </w:r>
      <w:proofErr w:type="spellEnd"/>
      <w:r>
        <w:rPr>
          <w:strike/>
        </w:rPr>
        <w:t xml:space="preserve"> </w:t>
      </w:r>
      <w:proofErr w:type="gramStart"/>
      <w:r>
        <w:rPr>
          <w:strike/>
        </w:rPr>
        <w:t>4000-1</w:t>
      </w:r>
      <w:proofErr w:type="gramEnd"/>
      <w:r>
        <w:rPr>
          <w:strike/>
        </w:rPr>
        <w:t>:2015</w:t>
      </w:r>
      <w:r>
        <w:t xml:space="preserve"> </w:t>
      </w:r>
      <w:proofErr w:type="spellStart"/>
      <w:r>
        <w:rPr>
          <w:b/>
          <w:bCs/>
        </w:rPr>
        <w:t>ISO</w:t>
      </w:r>
      <w:proofErr w:type="spellEnd"/>
      <w:r>
        <w:rPr>
          <w:b/>
          <w:bCs/>
        </w:rPr>
        <w:t xml:space="preserve"> 4000-1:2024</w:t>
      </w:r>
      <w:r>
        <w:t>...»</w:t>
      </w:r>
    </w:p>
    <w:p w14:paraId="48516C2D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2.5.4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а)</w:t>
      </w:r>
      <w:r>
        <w:rPr>
          <w:lang w:val="ru-RU"/>
        </w:rPr>
        <w:t xml:space="preserve"> изменить следующим образом:</w:t>
      </w:r>
    </w:p>
    <w:p w14:paraId="76AFDAC7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«2.5.4</w:t>
      </w:r>
      <w:r>
        <w:tab/>
        <w:t>...</w:t>
      </w:r>
    </w:p>
    <w:p w14:paraId="5368FBBA" w14:textId="1E1E03FB" w:rsidR="00303D53" w:rsidRPr="008306B9" w:rsidRDefault="00303D53" w:rsidP="00303D53">
      <w:pPr>
        <w:autoSpaceDE w:val="0"/>
        <w:autoSpaceDN w:val="0"/>
        <w:adjustRightInd w:val="0"/>
        <w:spacing w:after="120"/>
        <w:ind w:left="2835" w:right="1134" w:hanging="567"/>
        <w:jc w:val="both"/>
      </w:pPr>
      <w:r>
        <w:t>a)</w:t>
      </w:r>
      <w:r>
        <w:tab/>
        <w:t xml:space="preserve">продольная и боковая силы рассчитываются на основе значений, приведенных в добавлении 3 к настоящему приложению. Скорость должна соответствовать значениям, указанным в добавлении </w:t>
      </w:r>
      <w:r>
        <w:rPr>
          <w:strike/>
        </w:rPr>
        <w:t>4</w:t>
      </w:r>
      <w:r>
        <w:t xml:space="preserve"> </w:t>
      </w:r>
      <w:r>
        <w:rPr>
          <w:b/>
          <w:bCs/>
        </w:rPr>
        <w:t>3</w:t>
      </w:r>
      <w:r>
        <w:t xml:space="preserve"> к настоящему приложению;</w:t>
      </w:r>
    </w:p>
    <w:p w14:paraId="7D8DFD16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4B33321F" w14:textId="77777777" w:rsidR="00303D53" w:rsidRPr="008306B9" w:rsidRDefault="00303D53" w:rsidP="00B07CF3">
      <w:pPr>
        <w:pStyle w:val="para"/>
        <w:keepNext/>
        <w:keepLines/>
        <w:rPr>
          <w:iCs/>
          <w:lang w:val="ru-RU"/>
        </w:rPr>
      </w:pPr>
      <w:r>
        <w:rPr>
          <w:i/>
          <w:iCs/>
          <w:lang w:val="ru-RU"/>
        </w:rPr>
        <w:lastRenderedPageBreak/>
        <w:t>Пункт 2.6.4</w:t>
      </w:r>
      <w:r>
        <w:rPr>
          <w:lang w:val="ru-RU"/>
        </w:rPr>
        <w:t xml:space="preserve"> изменить следующим образом:</w:t>
      </w:r>
    </w:p>
    <w:p w14:paraId="0616B64B" w14:textId="77777777" w:rsidR="00303D53" w:rsidRPr="008306B9" w:rsidRDefault="00303D53" w:rsidP="00B07CF3">
      <w:pPr>
        <w:keepNext/>
        <w:keepLines/>
        <w:tabs>
          <w:tab w:val="left" w:pos="-284"/>
        </w:tabs>
        <w:spacing w:after="120"/>
        <w:ind w:left="2268" w:right="1134" w:hanging="1134"/>
        <w:jc w:val="both"/>
      </w:pPr>
      <w:r>
        <w:t>«2.6.4</w:t>
      </w:r>
      <w:r>
        <w:tab/>
        <w:t>...</w:t>
      </w:r>
    </w:p>
    <w:p w14:paraId="305C055B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  <w:rPr>
          <w:i/>
          <w:iCs/>
        </w:rPr>
      </w:pPr>
      <w:r>
        <w:tab/>
        <w:t xml:space="preserve">Средняя температура окружающей среды для эталонной и потенциальной шин в ходе испытания не должна отличаться более чем на </w:t>
      </w:r>
      <w:r w:rsidRPr="00AC37B4">
        <w:rPr>
          <w:b/>
          <w:bCs/>
        </w:rPr>
        <w:t>2 °C</w:t>
      </w:r>
      <w:r>
        <w:t>».</w:t>
      </w:r>
      <w:bookmarkStart w:id="4" w:name="_Hlk169554044"/>
      <w:bookmarkEnd w:id="4"/>
    </w:p>
    <w:p w14:paraId="5546510B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2.6.6.1</w:t>
      </w:r>
      <w:r>
        <w:rPr>
          <w:lang w:val="ru-RU"/>
        </w:rPr>
        <w:t xml:space="preserve"> изменить следующим образом:</w:t>
      </w:r>
    </w:p>
    <w:p w14:paraId="059FFCCC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«2.6.6.1</w:t>
      </w:r>
      <w:r>
        <w:tab/>
        <w:t>Исходные условия</w:t>
      </w:r>
    </w:p>
    <w:p w14:paraId="65B1E3DE" w14:textId="6037DC84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</w:r>
      <w:r>
        <w:rPr>
          <w:b/>
          <w:bCs/>
        </w:rPr>
        <w:t>Как</w:t>
      </w:r>
      <w:r>
        <w:t xml:space="preserve"> </w:t>
      </w:r>
      <w:r>
        <w:rPr>
          <w:strike/>
        </w:rPr>
        <w:t>Э</w:t>
      </w:r>
      <w:r>
        <w:rPr>
          <w:b/>
          <w:bCs/>
        </w:rPr>
        <w:t>э</w:t>
      </w:r>
      <w:r>
        <w:t>талонную</w:t>
      </w:r>
      <w:r>
        <w:rPr>
          <w:b/>
          <w:bCs/>
        </w:rPr>
        <w:t>, так</w:t>
      </w:r>
      <w:r>
        <w:t xml:space="preserve"> и потенциальную шины испытывают в соответствии с исходными условиями, оговоренными в добавлении </w:t>
      </w:r>
      <w:r>
        <w:rPr>
          <w:strike/>
        </w:rPr>
        <w:t>4</w:t>
      </w:r>
      <w:r>
        <w:t xml:space="preserve"> </w:t>
      </w:r>
      <w:r>
        <w:rPr>
          <w:b/>
          <w:bCs/>
        </w:rPr>
        <w:t>3</w:t>
      </w:r>
      <w:r>
        <w:t xml:space="preserve"> к настоящему приложению. Указанное в добавлении </w:t>
      </w:r>
      <w:r>
        <w:rPr>
          <w:strike/>
        </w:rPr>
        <w:t>4</w:t>
      </w:r>
      <w:r>
        <w:t xml:space="preserve"> </w:t>
      </w:r>
      <w:r>
        <w:rPr>
          <w:b/>
          <w:bCs/>
        </w:rPr>
        <w:t>3</w:t>
      </w:r>
      <w:r>
        <w:t xml:space="preserve"> расстояние в 250</w:t>
      </w:r>
      <w:r w:rsidR="00B07CF3">
        <w:t> </w:t>
      </w:r>
      <w:r>
        <w:t>км составляет один цикл испытания, который повторяют 20 раз до набега в 5000 км».</w:t>
      </w:r>
    </w:p>
    <w:p w14:paraId="747F999B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2.7</w:t>
      </w:r>
      <w:r>
        <w:rPr>
          <w:lang w:val="ru-RU"/>
        </w:rPr>
        <w:t xml:space="preserve"> изменить следующим образом:</w:t>
      </w:r>
    </w:p>
    <w:p w14:paraId="5E34C6F8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«2.7</w:t>
      </w:r>
      <w:r>
        <w:tab/>
        <w:t>Валидация</w:t>
      </w:r>
    </w:p>
    <w:p w14:paraId="29C1F515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 xml:space="preserve">После того, как шина была подвергнута </w:t>
      </w:r>
      <w:r>
        <w:rPr>
          <w:b/>
          <w:bCs/>
        </w:rPr>
        <w:t>процедуре</w:t>
      </w:r>
      <w:r>
        <w:t xml:space="preserve"> </w:t>
      </w:r>
      <w:r>
        <w:rPr>
          <w:strike/>
        </w:rPr>
        <w:t>метода</w:t>
      </w:r>
      <w:r>
        <w:t xml:space="preserve"> испытания, указанной в пункте </w:t>
      </w:r>
      <w:r>
        <w:rPr>
          <w:strike/>
        </w:rPr>
        <w:t>2.5</w:t>
      </w:r>
      <w:r>
        <w:rPr>
          <w:b/>
          <w:bCs/>
        </w:rPr>
        <w:t xml:space="preserve"> 2.6</w:t>
      </w:r>
      <w:r>
        <w:t xml:space="preserve">  настоящего приложения, при отсутствии необратимой деформации испытательного обода и вентиля и потери давления на шине не должно наблюдаться отслоения протектора, расслоений в боковине, в каркасе, отслоений корда, герметичного слоя, расслоения в брекере или в борту, выкрошивания резины, открытых стыков, трещин, разорванных нитей корда или прилипания резины.</w:t>
      </w:r>
    </w:p>
    <w:p w14:paraId="10E3EA11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129753F0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2.8</w:t>
      </w:r>
      <w:r>
        <w:rPr>
          <w:lang w:val="ru-RU"/>
        </w:rPr>
        <w:t xml:space="preserve"> изменить следующим образом:</w:t>
      </w:r>
    </w:p>
    <w:p w14:paraId="527BD5C9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«2.8</w:t>
      </w:r>
      <w:r>
        <w:tab/>
        <w:t>...</w:t>
      </w:r>
    </w:p>
    <w:p w14:paraId="73C55150" w14:textId="5A139595" w:rsidR="00303D53" w:rsidRPr="008306B9" w:rsidRDefault="00303D53" w:rsidP="00303D53">
      <w:pPr>
        <w:pStyle w:val="SingleTxtG"/>
        <w:ind w:left="2268"/>
      </w:pPr>
      <w:r>
        <w:t>Индекс абразивного износа (AICT) рассчитывают по следующему уравнению:</w:t>
      </w:r>
    </w:p>
    <w:p w14:paraId="73CD6D56" w14:textId="77777777" w:rsidR="00303D53" w:rsidRPr="008306B9" w:rsidRDefault="00303D53" w:rsidP="00303D53">
      <w:pPr>
        <w:pStyle w:val="SingleTxtG"/>
        <w:ind w:left="2268" w:firstLine="851"/>
      </w:pPr>
      <w:r>
        <w:t>AICT = ArT/ArR,</w:t>
      </w:r>
    </w:p>
    <w:p w14:paraId="2AE85F13" w14:textId="77777777" w:rsidR="00303D53" w:rsidRPr="008306B9" w:rsidRDefault="00303D53" w:rsidP="00303D53">
      <w:pPr>
        <w:pStyle w:val="SingleTxtG"/>
        <w:ind w:left="2268"/>
      </w:pPr>
      <w:r>
        <w:t>где:</w:t>
      </w:r>
    </w:p>
    <w:p w14:paraId="2F9425DC" w14:textId="3C5E68F8" w:rsidR="00303D53" w:rsidRPr="008306B9" w:rsidRDefault="00303D53" w:rsidP="00B07CF3">
      <w:pPr>
        <w:pStyle w:val="SingleTxtG"/>
        <w:tabs>
          <w:tab w:val="left" w:pos="3261"/>
        </w:tabs>
        <w:ind w:left="3261" w:hanging="993"/>
        <w:rPr>
          <w:rFonts w:ascii="MS Mincho" w:hAnsi="MS Mincho" w:cs="MS Mincho"/>
        </w:rPr>
      </w:pPr>
      <w:r>
        <w:t>ArT</w:t>
      </w:r>
      <w:r>
        <w:tab/>
        <w:t>—</w:t>
      </w:r>
      <w:r>
        <w:tab/>
      </w:r>
      <w:r>
        <w:rPr>
          <w:strike/>
        </w:rPr>
        <w:t>нормализованная степень</w:t>
      </w:r>
      <w:r>
        <w:t xml:space="preserve"> </w:t>
      </w:r>
      <w:r>
        <w:rPr>
          <w:b/>
          <w:bCs/>
        </w:rPr>
        <w:t>уровень</w:t>
      </w:r>
      <w:r>
        <w:t xml:space="preserve"> абразивного износа (мг/км/т) потенциальной шины</w:t>
      </w:r>
    </w:p>
    <w:p w14:paraId="617D271C" w14:textId="2E2D3814" w:rsidR="00303D53" w:rsidRPr="00AE612E" w:rsidRDefault="00303D53" w:rsidP="00303D53">
      <w:pPr>
        <w:pStyle w:val="SingleTxtG"/>
        <w:ind w:left="3119"/>
      </w:pPr>
      <w:proofErr w:type="spellStart"/>
      <w:r w:rsidRPr="007960CB">
        <w:rPr>
          <w:lang w:val="fr-CH"/>
        </w:rPr>
        <w:t>ArT</w:t>
      </w:r>
      <w:proofErr w:type="spellEnd"/>
      <w:r w:rsidRPr="00AE612E">
        <w:t xml:space="preserve"> = </w:t>
      </w:r>
      <w:proofErr w:type="spellStart"/>
      <w:r w:rsidRPr="007960CB">
        <w:rPr>
          <w:lang w:val="fr-CH"/>
        </w:rPr>
        <w:t>MlT</w:t>
      </w:r>
      <w:proofErr w:type="spellEnd"/>
      <w:r w:rsidRPr="00AE612E">
        <w:t xml:space="preserve"> (</w:t>
      </w:r>
      <w:r>
        <w:t>г</w:t>
      </w:r>
      <w:r w:rsidRPr="00AE612E">
        <w:t>)/</w:t>
      </w:r>
      <w:proofErr w:type="gramStart"/>
      <w:r w:rsidRPr="007960CB">
        <w:rPr>
          <w:lang w:val="fr-CH"/>
        </w:rPr>
        <w:t>DT</w:t>
      </w:r>
      <w:r w:rsidRPr="00AE612E">
        <w:t>(</w:t>
      </w:r>
      <w:proofErr w:type="gramEnd"/>
      <w:r>
        <w:t>км</w:t>
      </w:r>
      <w:r w:rsidRPr="00AE612E">
        <w:t>)/</w:t>
      </w:r>
      <w:proofErr w:type="spellStart"/>
      <w:r w:rsidRPr="007960CB">
        <w:rPr>
          <w:lang w:val="fr-CH"/>
        </w:rPr>
        <w:t>Fz</w:t>
      </w:r>
      <w:proofErr w:type="spellEnd"/>
      <w:r w:rsidRPr="00AE612E">
        <w:t>,</w:t>
      </w:r>
      <w:r w:rsidRPr="007960CB">
        <w:rPr>
          <w:lang w:val="fr-CH"/>
        </w:rPr>
        <w:t>T</w:t>
      </w:r>
      <w:r w:rsidRPr="00AE612E">
        <w:t>(</w:t>
      </w:r>
      <w:r w:rsidR="00AE612E">
        <w:t>т</w:t>
      </w:r>
      <w:r w:rsidRPr="00AE612E">
        <w:t xml:space="preserve">) </w:t>
      </w:r>
      <w:r w:rsidRPr="007960CB">
        <w:rPr>
          <w:lang w:val="fr-CH"/>
        </w:rPr>
        <w:t>x</w:t>
      </w:r>
      <w:r w:rsidRPr="00AE612E">
        <w:t xml:space="preserve"> 1000 (</w:t>
      </w:r>
      <w:r>
        <w:t>мг</w:t>
      </w:r>
      <w:r w:rsidRPr="00AE612E">
        <w:t>/</w:t>
      </w:r>
      <w:r>
        <w:t>кг</w:t>
      </w:r>
      <w:r w:rsidRPr="00AE612E">
        <w:t>);</w:t>
      </w:r>
    </w:p>
    <w:p w14:paraId="1952543C" w14:textId="4ECC9D81" w:rsidR="00303D53" w:rsidRPr="008306B9" w:rsidRDefault="00303D53" w:rsidP="00B07CF3">
      <w:pPr>
        <w:pStyle w:val="SingleTxtG"/>
        <w:tabs>
          <w:tab w:val="left" w:pos="3261"/>
        </w:tabs>
        <w:ind w:left="3261" w:hanging="993"/>
        <w:rPr>
          <w:rFonts w:ascii="MS Mincho" w:hAnsi="MS Mincho" w:cs="MS Mincho"/>
        </w:rPr>
      </w:pPr>
      <w:proofErr w:type="spellStart"/>
      <w:r>
        <w:t>ArR</w:t>
      </w:r>
      <w:proofErr w:type="spellEnd"/>
      <w:r w:rsidR="00B07CF3">
        <w:tab/>
      </w:r>
      <w:r>
        <w:t>—</w:t>
      </w:r>
      <w:r>
        <w:tab/>
      </w:r>
      <w:r>
        <w:rPr>
          <w:strike/>
        </w:rPr>
        <w:t>нормализованная степень</w:t>
      </w:r>
      <w:r>
        <w:t xml:space="preserve"> </w:t>
      </w:r>
      <w:r>
        <w:rPr>
          <w:b/>
          <w:bCs/>
        </w:rPr>
        <w:t>уровень</w:t>
      </w:r>
      <w:r>
        <w:t xml:space="preserve"> абразивного износа (мг/км/т) эталонной шины</w:t>
      </w:r>
    </w:p>
    <w:p w14:paraId="06764D54" w14:textId="33FEC035" w:rsidR="00303D53" w:rsidRPr="00CB2A34" w:rsidRDefault="00303D53" w:rsidP="00303D53">
      <w:pPr>
        <w:pStyle w:val="SingleTxtG"/>
        <w:ind w:left="3119"/>
      </w:pPr>
      <w:proofErr w:type="spellStart"/>
      <w:r w:rsidRPr="007960CB">
        <w:t>ArR</w:t>
      </w:r>
      <w:proofErr w:type="spellEnd"/>
      <w:r w:rsidRPr="00CB2A34">
        <w:t xml:space="preserve"> = </w:t>
      </w:r>
      <w:proofErr w:type="spellStart"/>
      <w:r w:rsidRPr="007960CB">
        <w:t>MlR</w:t>
      </w:r>
      <w:proofErr w:type="spellEnd"/>
      <w:r w:rsidRPr="00CB2A34">
        <w:t xml:space="preserve"> (</w:t>
      </w:r>
      <w:r>
        <w:t>г</w:t>
      </w:r>
      <w:r w:rsidRPr="00CB2A34">
        <w:t>)/</w:t>
      </w:r>
      <w:r w:rsidRPr="007960CB">
        <w:t>DR</w:t>
      </w:r>
      <w:r w:rsidRPr="00CB2A34">
        <w:t>(</w:t>
      </w:r>
      <w:r>
        <w:t>км</w:t>
      </w:r>
      <w:r w:rsidRPr="00CB2A34">
        <w:t>)/</w:t>
      </w:r>
      <w:proofErr w:type="spellStart"/>
      <w:r w:rsidRPr="007960CB">
        <w:t>Fz</w:t>
      </w:r>
      <w:r w:rsidRPr="00CB2A34">
        <w:t>,</w:t>
      </w:r>
      <w:r w:rsidRPr="007960CB">
        <w:t>R</w:t>
      </w:r>
      <w:proofErr w:type="spellEnd"/>
      <w:r w:rsidRPr="00CB2A34">
        <w:t>(</w:t>
      </w:r>
      <w:r>
        <w:t>т</w:t>
      </w:r>
      <w:r w:rsidRPr="00CB2A34">
        <w:t xml:space="preserve">) </w:t>
      </w:r>
      <w:r w:rsidRPr="007960CB">
        <w:t>x</w:t>
      </w:r>
      <w:r w:rsidRPr="00CB2A34">
        <w:t xml:space="preserve"> 1000 (</w:t>
      </w:r>
      <w:r>
        <w:t>мг</w:t>
      </w:r>
      <w:r w:rsidRPr="00CB2A34">
        <w:t>/</w:t>
      </w:r>
      <w:r>
        <w:t>кг</w:t>
      </w:r>
      <w:r w:rsidRPr="00CB2A34">
        <w:t>);</w:t>
      </w:r>
    </w:p>
    <w:p w14:paraId="03814698" w14:textId="43343CC3" w:rsidR="00303D53" w:rsidRPr="008306B9" w:rsidRDefault="00303D53" w:rsidP="00B07CF3">
      <w:pPr>
        <w:tabs>
          <w:tab w:val="left" w:pos="2835"/>
          <w:tab w:val="left" w:pos="3261"/>
        </w:tabs>
        <w:spacing w:after="120" w:line="240" w:lineRule="exact"/>
        <w:ind w:left="2268" w:right="1134"/>
      </w:pPr>
      <w:r>
        <w:t>DT</w:t>
      </w:r>
      <w:r>
        <w:tab/>
        <w:t>—</w:t>
      </w:r>
      <w:r w:rsidR="00B07CF3">
        <w:tab/>
      </w:r>
      <w:r>
        <w:t>испытательный пробег потенциальной шины (км);</w:t>
      </w:r>
    </w:p>
    <w:p w14:paraId="117DD5BE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237D870F" w14:textId="77777777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Пункт 2.9.1</w:t>
      </w:r>
      <w:r>
        <w:rPr>
          <w:lang w:val="ru-RU"/>
        </w:rPr>
        <w:t xml:space="preserve"> изменить следующим образом:</w:t>
      </w:r>
    </w:p>
    <w:p w14:paraId="21B3044C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  <w:rPr>
          <w:rStyle w:val="ui-provider"/>
        </w:rPr>
      </w:pPr>
      <w:r>
        <w:t>«2.9.1</w:t>
      </w:r>
      <w:r>
        <w:tab/>
        <w:t>Протокол испытания должен содержать следующую информацию:</w:t>
      </w:r>
    </w:p>
    <w:p w14:paraId="6BB893C6" w14:textId="77777777" w:rsidR="00303D53" w:rsidRPr="008306B9" w:rsidRDefault="00303D53" w:rsidP="00303D53">
      <w:pPr>
        <w:pStyle w:val="SingleTxtG"/>
        <w:ind w:left="2268"/>
      </w:pPr>
      <w:r>
        <w:t>a)</w:t>
      </w:r>
      <w:r>
        <w:tab/>
        <w:t>идентификационное обозначение испытательной машины;</w:t>
      </w:r>
    </w:p>
    <w:p w14:paraId="230A0DAA" w14:textId="77777777" w:rsidR="00303D53" w:rsidRPr="008306B9" w:rsidRDefault="00303D53" w:rsidP="00303D53">
      <w:pPr>
        <w:pStyle w:val="SingleTxtG"/>
        <w:ind w:left="2835" w:hanging="567"/>
      </w:pPr>
      <w:r>
        <w:t>b)</w:t>
      </w:r>
      <w:r>
        <w:tab/>
      </w:r>
      <w:r>
        <w:rPr>
          <w:b/>
          <w:bCs/>
        </w:rPr>
        <w:t>диаметр</w:t>
      </w:r>
      <w:r>
        <w:t xml:space="preserve"> </w:t>
      </w:r>
      <w:r>
        <w:rPr>
          <w:strike/>
        </w:rPr>
        <w:t>длина окружности</w:t>
      </w:r>
      <w:r>
        <w:t xml:space="preserve"> барабана (м);</w:t>
      </w:r>
    </w:p>
    <w:p w14:paraId="53BAFA9D" w14:textId="77777777" w:rsidR="00303D53" w:rsidRPr="008306B9" w:rsidRDefault="00303D53" w:rsidP="00303D53">
      <w:pPr>
        <w:pStyle w:val="SingleTxtG"/>
        <w:ind w:left="2835" w:hanging="567"/>
      </w:pPr>
      <w:r>
        <w:t>c)</w:t>
      </w:r>
      <w:r>
        <w:tab/>
        <w:t>цикл испытания (2 положения/1 положение);</w:t>
      </w:r>
    </w:p>
    <w:p w14:paraId="472D3A4B" w14:textId="77777777" w:rsidR="00303D53" w:rsidRPr="008306B9" w:rsidRDefault="00303D53" w:rsidP="00303D53">
      <w:pPr>
        <w:pStyle w:val="af3"/>
        <w:tabs>
          <w:tab w:val="left" w:pos="403"/>
        </w:tabs>
        <w:spacing w:after="120"/>
        <w:ind w:left="2835" w:right="1134" w:hanging="567"/>
        <w:rPr>
          <w:lang w:val="ru-RU"/>
        </w:rPr>
      </w:pPr>
      <w:r>
        <w:rPr>
          <w:lang w:val="ru-RU"/>
        </w:rPr>
        <w:t>d)</w:t>
      </w:r>
      <w:r>
        <w:rPr>
          <w:lang w:val="ru-RU"/>
        </w:rPr>
        <w:tab/>
        <w:t>рабочий слой (тальк/кремнезем);</w:t>
      </w:r>
    </w:p>
    <w:p w14:paraId="2D22203F" w14:textId="1AC3493D" w:rsidR="00303D53" w:rsidRPr="008306B9" w:rsidRDefault="00303D53" w:rsidP="00B07CF3">
      <w:pPr>
        <w:tabs>
          <w:tab w:val="left" w:pos="-284"/>
          <w:tab w:val="left" w:pos="2268"/>
        </w:tabs>
        <w:spacing w:after="120"/>
        <w:ind w:left="2835" w:right="1134" w:hanging="1701"/>
        <w:jc w:val="both"/>
      </w:pPr>
      <w:r>
        <w:tab/>
        <w:t>e)</w:t>
      </w:r>
      <w:r>
        <w:tab/>
        <w:t>СГП испытательной поверхности (мм): в начале испытания/</w:t>
      </w:r>
      <w:r w:rsidR="00B07CF3">
        <w:br/>
      </w:r>
      <w:r>
        <w:t>в конце испытания;</w:t>
      </w:r>
    </w:p>
    <w:p w14:paraId="113BD1ED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3EF13E0D" w14:textId="58E3F79E" w:rsidR="00303D53" w:rsidRPr="008306B9" w:rsidRDefault="00303D53" w:rsidP="00303D53">
      <w:pPr>
        <w:pStyle w:val="para"/>
        <w:keepNext/>
        <w:ind w:left="1170" w:hanging="18"/>
        <w:rPr>
          <w:iCs/>
          <w:lang w:val="ru-RU"/>
        </w:rPr>
      </w:pPr>
      <w:r>
        <w:rPr>
          <w:i/>
          <w:iCs/>
          <w:lang w:val="ru-RU"/>
        </w:rPr>
        <w:lastRenderedPageBreak/>
        <w:t>Пункт 2.9.1</w:t>
      </w:r>
      <w:r>
        <w:rPr>
          <w:lang w:val="ru-RU"/>
        </w:rPr>
        <w:t>, включить новый подпункт о) следующего содержания:</w:t>
      </w:r>
    </w:p>
    <w:p w14:paraId="47E6411A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«2.9.1</w:t>
      </w:r>
      <w:r>
        <w:tab/>
        <w:t>...</w:t>
      </w:r>
    </w:p>
    <w:p w14:paraId="675C6E1D" w14:textId="77777777" w:rsidR="00303D53" w:rsidRPr="008306B9" w:rsidRDefault="00303D53" w:rsidP="00303D53">
      <w:pPr>
        <w:pStyle w:val="SingleTxtG"/>
        <w:ind w:left="2835" w:hanging="567"/>
        <w:rPr>
          <w:b/>
          <w:bCs/>
        </w:rPr>
      </w:pPr>
      <w:r>
        <w:rPr>
          <w:b/>
          <w:bCs/>
        </w:rPr>
        <w:t>o)</w:t>
      </w:r>
      <w:r>
        <w:tab/>
      </w:r>
      <w:r w:rsidRPr="00EC4E9F">
        <w:rPr>
          <w:b/>
          <w:bCs/>
        </w:rPr>
        <w:t>м</w:t>
      </w:r>
      <w:r>
        <w:rPr>
          <w:b/>
          <w:bCs/>
        </w:rPr>
        <w:t>аркировка M+S (имеется/отсутствует);</w:t>
      </w:r>
    </w:p>
    <w:p w14:paraId="5FF94F69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</w:r>
      <w:r>
        <w:tab/>
        <w:t>...»</w:t>
      </w:r>
    </w:p>
    <w:p w14:paraId="7A68592A" w14:textId="47A15CF7" w:rsidR="00303D53" w:rsidRPr="008306B9" w:rsidRDefault="00303D53" w:rsidP="00303D53">
      <w:pPr>
        <w:pStyle w:val="para"/>
        <w:keepNext/>
        <w:ind w:left="1170" w:hanging="18"/>
        <w:rPr>
          <w:iCs/>
          <w:lang w:val="ru-RU"/>
        </w:rPr>
      </w:pPr>
      <w:r>
        <w:rPr>
          <w:i/>
          <w:iCs/>
          <w:lang w:val="ru-RU"/>
        </w:rPr>
        <w:t xml:space="preserve">Пункт 2.9.1, подпункты o) (прежний) </w:t>
      </w:r>
      <w:r w:rsidR="00B07CF3">
        <w:rPr>
          <w:i/>
          <w:iCs/>
          <w:lang w:val="ru-RU"/>
        </w:rPr>
        <w:t>—</w:t>
      </w:r>
      <w:r>
        <w:rPr>
          <w:i/>
          <w:iCs/>
          <w:lang w:val="ru-RU"/>
        </w:rPr>
        <w:t xml:space="preserve"> y)</w:t>
      </w:r>
      <w:r>
        <w:rPr>
          <w:lang w:val="ru-RU"/>
        </w:rPr>
        <w:t>, изменить нумерацию на p)</w:t>
      </w:r>
      <w:r w:rsidR="00B07CF3">
        <w:rPr>
          <w:lang w:val="ru-RU"/>
        </w:rPr>
        <w:t>–</w:t>
      </w:r>
      <w:r>
        <w:rPr>
          <w:lang w:val="ru-RU"/>
        </w:rPr>
        <w:t xml:space="preserve">z) соответственно. </w:t>
      </w:r>
    </w:p>
    <w:p w14:paraId="1031A14A" w14:textId="684EB951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 xml:space="preserve">Приложение 10 </w:t>
      </w:r>
      <w:r w:rsidR="00B07CF3">
        <w:rPr>
          <w:i/>
          <w:iCs/>
          <w:lang w:val="ru-RU"/>
        </w:rPr>
        <w:t>—</w:t>
      </w:r>
      <w:r>
        <w:rPr>
          <w:i/>
          <w:iCs/>
          <w:lang w:val="ru-RU"/>
        </w:rPr>
        <w:t xml:space="preserve"> Добавление 3</w:t>
      </w:r>
      <w:r>
        <w:rPr>
          <w:lang w:val="ru-RU"/>
        </w:rPr>
        <w:t xml:space="preserve"> изменить следующим образом:</w:t>
      </w:r>
    </w:p>
    <w:p w14:paraId="5B053F44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</w:t>
      </w:r>
      <w:r>
        <w:tab/>
        <w:t>...</w:t>
      </w:r>
    </w:p>
    <w:p w14:paraId="7358F40F" w14:textId="38645B1A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 xml:space="preserve">Fz </w:t>
      </w:r>
      <w:r w:rsidR="00B07CF3">
        <w:rPr>
          <w:rFonts w:cs="Times New Roman"/>
        </w:rPr>
        <w:t>—</w:t>
      </w:r>
      <w:r>
        <w:t xml:space="preserve"> испытательная нагрузка, определенная в </w:t>
      </w:r>
      <w:r>
        <w:rPr>
          <w:b/>
          <w:bCs/>
        </w:rPr>
        <w:t>пунктах</w:t>
      </w:r>
      <w:r>
        <w:t xml:space="preserve"> </w:t>
      </w:r>
      <w:r>
        <w:rPr>
          <w:strike/>
        </w:rPr>
        <w:t>2.2.8,</w:t>
      </w:r>
      <w:r>
        <w:t xml:space="preserve"> </w:t>
      </w:r>
      <w:r>
        <w:rPr>
          <w:b/>
          <w:bCs/>
        </w:rPr>
        <w:t>2.2.7</w:t>
      </w:r>
      <w:r>
        <w:t xml:space="preserve"> и 2.5.2 </w:t>
      </w:r>
      <w:r>
        <w:rPr>
          <w:b/>
          <w:bCs/>
        </w:rPr>
        <w:t>настоящего приложения</w:t>
      </w:r>
      <w:r>
        <w:t>.</w:t>
      </w:r>
    </w:p>
    <w:p w14:paraId="3697D3EB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79A9AA92" w14:textId="38E8E12F" w:rsidR="00303D53" w:rsidRPr="008306B9" w:rsidRDefault="00303D53" w:rsidP="00303D53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 xml:space="preserve">Приложение 10 </w:t>
      </w:r>
      <w:r w:rsidR="00B07CF3">
        <w:rPr>
          <w:i/>
          <w:iCs/>
          <w:lang w:val="ru-RU"/>
        </w:rPr>
        <w:t>—</w:t>
      </w:r>
      <w:r>
        <w:rPr>
          <w:i/>
          <w:iCs/>
          <w:lang w:val="ru-RU"/>
        </w:rPr>
        <w:t xml:space="preserve"> Добавление 5</w:t>
      </w:r>
      <w:r>
        <w:rPr>
          <w:lang w:val="ru-RU"/>
        </w:rPr>
        <w:t xml:space="preserve"> изменить следующим образом:</w:t>
      </w:r>
    </w:p>
    <w:p w14:paraId="7D0198D3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</w:t>
      </w:r>
      <w:r>
        <w:tab/>
        <w:t>...</w:t>
      </w:r>
    </w:p>
    <w:p w14:paraId="4150C52C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Поверхность из шлифовальной бумаги подлежит замене, если она не соответствует спецификациям, приведенным в пункте</w:t>
      </w:r>
      <w:r>
        <w:rPr>
          <w:strike/>
        </w:rPr>
        <w:t xml:space="preserve"> 2.3.2.3</w:t>
      </w:r>
      <w:r>
        <w:t xml:space="preserve"> </w:t>
      </w:r>
      <w:r w:rsidRPr="00A45B06">
        <w:rPr>
          <w:b/>
          <w:bCs/>
        </w:rPr>
        <w:t>2.4.2.3</w:t>
      </w:r>
      <w:r>
        <w:t xml:space="preserve"> </w:t>
      </w:r>
      <w:r>
        <w:rPr>
          <w:b/>
          <w:bCs/>
        </w:rPr>
        <w:t>настоящего приложения;</w:t>
      </w:r>
    </w:p>
    <w:p w14:paraId="52A8FFD3" w14:textId="77777777" w:rsidR="00303D53" w:rsidRPr="008306B9" w:rsidRDefault="00303D5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ab/>
        <w:t>...»</w:t>
      </w:r>
    </w:p>
    <w:p w14:paraId="386B2F7F" w14:textId="2FDAB42F" w:rsidR="00303D53" w:rsidRPr="008306B9" w:rsidRDefault="00303D53" w:rsidP="00B07CF3">
      <w:pPr>
        <w:pStyle w:val="para"/>
        <w:keepNext/>
        <w:ind w:left="1134" w:firstLine="0"/>
        <w:rPr>
          <w:iCs/>
          <w:lang w:val="ru-RU"/>
        </w:rPr>
      </w:pPr>
      <w:r>
        <w:rPr>
          <w:i/>
          <w:iCs/>
          <w:lang w:val="ru-RU"/>
        </w:rPr>
        <w:t xml:space="preserve">Приложение 10 </w:t>
      </w:r>
      <w:r w:rsidR="00B07CF3">
        <w:rPr>
          <w:i/>
          <w:iCs/>
          <w:lang w:val="ru-RU"/>
        </w:rPr>
        <w:t>—</w:t>
      </w:r>
      <w:r>
        <w:rPr>
          <w:i/>
          <w:iCs/>
          <w:lang w:val="ru-RU"/>
        </w:rPr>
        <w:t xml:space="preserve"> Добавление 6, таблица</w:t>
      </w:r>
      <w:r>
        <w:rPr>
          <w:lang w:val="ru-RU"/>
        </w:rPr>
        <w:t>, включить новую строку следующего содержания:</w:t>
      </w:r>
    </w:p>
    <w:p w14:paraId="0309FFEB" w14:textId="4E680A25" w:rsidR="00303D53" w:rsidRDefault="00B07CF3" w:rsidP="00303D53">
      <w:pPr>
        <w:tabs>
          <w:tab w:val="left" w:pos="-284"/>
        </w:tabs>
        <w:spacing w:after="120"/>
        <w:ind w:left="2268" w:right="1134" w:hanging="1134"/>
        <w:jc w:val="both"/>
      </w:pPr>
      <w:r>
        <w:t>«</w:t>
      </w:r>
      <w:r w:rsidR="00303D53">
        <w:tab/>
        <w:t>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7"/>
        <w:gridCol w:w="2296"/>
        <w:gridCol w:w="2289"/>
      </w:tblGrid>
      <w:tr w:rsidR="00303D53" w:rsidRPr="00E245EC" w14:paraId="747330F8" w14:textId="77777777" w:rsidTr="00741549">
        <w:tc>
          <w:tcPr>
            <w:tcW w:w="26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B999D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t>...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0DB34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62917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03D53" w:rsidRPr="00E245EC" w14:paraId="54CE914E" w14:textId="77777777" w:rsidTr="00741549">
        <w:tc>
          <w:tcPr>
            <w:tcW w:w="26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A7D3A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t>Маркировка 3PMSF (имеется/отсутствует)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2D989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030D7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03D53" w:rsidRPr="00CB2A34" w14:paraId="294139EA" w14:textId="77777777" w:rsidTr="00741549">
        <w:tc>
          <w:tcPr>
            <w:tcW w:w="26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93814" w14:textId="77777777" w:rsidR="00303D53" w:rsidRPr="008306B9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b/>
                <w:bCs/>
              </w:rPr>
              <w:t>Маркировка M+S (имеется/отсутствует)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90977" w14:textId="77777777" w:rsidR="00303D53" w:rsidRPr="008306B9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D0EE4" w14:textId="77777777" w:rsidR="00303D53" w:rsidRPr="008306B9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03D53" w:rsidRPr="00E245EC" w14:paraId="7F14B22C" w14:textId="77777777" w:rsidTr="00741549">
        <w:tc>
          <w:tcPr>
            <w:tcW w:w="26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78DDD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t>Ширина обода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A388B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7FD7E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03D53" w:rsidRPr="00E245EC" w14:paraId="66888D8D" w14:textId="77777777" w:rsidTr="00741549">
        <w:tc>
          <w:tcPr>
            <w:tcW w:w="26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4354C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t>...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D936E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DAF3D" w14:textId="77777777" w:rsidR="00303D53" w:rsidRPr="00E245EC" w:rsidRDefault="00303D53" w:rsidP="00741549">
            <w:pPr>
              <w:spacing w:beforeLines="20" w:before="48" w:afterLines="20" w:after="48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14:paraId="1FAB44A0" w14:textId="77777777" w:rsidR="00303D53" w:rsidRDefault="00303D53" w:rsidP="00303D53">
      <w:pPr>
        <w:tabs>
          <w:tab w:val="left" w:pos="-284"/>
        </w:tabs>
        <w:spacing w:after="120"/>
        <w:ind w:left="2268" w:right="1134" w:hanging="1134"/>
        <w:jc w:val="right"/>
      </w:pPr>
      <w:r>
        <w:tab/>
        <w:t>»</w:t>
      </w:r>
    </w:p>
    <w:p w14:paraId="08745EE8" w14:textId="77777777" w:rsidR="00303D53" w:rsidRPr="00A45B06" w:rsidRDefault="00303D53" w:rsidP="00303D53">
      <w:pPr>
        <w:keepNext/>
        <w:keepLines/>
        <w:tabs>
          <w:tab w:val="right" w:pos="851"/>
        </w:tabs>
        <w:spacing w:before="360" w:after="240" w:line="300" w:lineRule="exact"/>
        <w:ind w:left="360" w:righ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45B06">
        <w:rPr>
          <w:b/>
          <w:bCs/>
          <w:sz w:val="28"/>
          <w:szCs w:val="28"/>
        </w:rPr>
        <w:t>II.</w:t>
      </w:r>
      <w:r w:rsidRPr="00A45B06">
        <w:rPr>
          <w:sz w:val="28"/>
          <w:szCs w:val="28"/>
        </w:rPr>
        <w:tab/>
      </w:r>
      <w:r w:rsidRPr="00A45B06">
        <w:rPr>
          <w:b/>
          <w:bCs/>
          <w:sz w:val="28"/>
          <w:szCs w:val="28"/>
        </w:rPr>
        <w:t>Обоснование</w:t>
      </w:r>
    </w:p>
    <w:p w14:paraId="7369A745" w14:textId="2F1650F5" w:rsidR="00303D53" w:rsidRPr="00CB2A34" w:rsidRDefault="00303D53" w:rsidP="00303D53">
      <w:pPr>
        <w:spacing w:after="120"/>
        <w:ind w:left="1134" w:right="1134"/>
        <w:jc w:val="both"/>
      </w:pPr>
      <w:r w:rsidRPr="008306B9">
        <w:t>1.</w:t>
      </w:r>
      <w:r w:rsidRPr="008306B9">
        <w:tab/>
      </w:r>
      <w:r w:rsidRPr="00CB2A34">
        <w:t xml:space="preserve">Пункт 1. </w:t>
      </w:r>
      <w:r w:rsidR="00B07CF3">
        <w:t>«</w:t>
      </w:r>
      <w:r w:rsidRPr="00CB2A34">
        <w:t>Область применения</w:t>
      </w:r>
      <w:r w:rsidR="00B07CF3">
        <w:t>»</w:t>
      </w:r>
      <w:r w:rsidRPr="00CB2A34">
        <w:t xml:space="preserve"> изменена, с тем чтобы указать, что характеристики сцепления на мокрой поверхности (сцепления с мокрым дорожным покрытием) требуются не только для шин C1, но и для шин C2 и C3.</w:t>
      </w:r>
    </w:p>
    <w:p w14:paraId="3742FCBA" w14:textId="29FEF594" w:rsidR="00303D53" w:rsidRPr="00CB2A34" w:rsidRDefault="00303D53" w:rsidP="00303D53">
      <w:pPr>
        <w:spacing w:after="120"/>
        <w:ind w:left="1134" w:right="1134"/>
        <w:jc w:val="both"/>
      </w:pPr>
      <w:r w:rsidRPr="00CB2A34">
        <w:t>2.</w:t>
      </w:r>
      <w:r w:rsidRPr="00CB2A34">
        <w:tab/>
        <w:t xml:space="preserve">В пункте 1.3 указана верная ссылка на </w:t>
      </w:r>
      <w:r w:rsidR="00B07CF3">
        <w:t>«</w:t>
      </w:r>
      <w:r w:rsidRPr="00CB2A34">
        <w:t>5.10</w:t>
      </w:r>
      <w:r w:rsidR="00B07CF3">
        <w:t>»</w:t>
      </w:r>
      <w:r w:rsidRPr="00CB2A34">
        <w:t>, принятая на семьдесят девятой сессии GRBP (пункт 29 документа ECE/TRANS/WP.29/GRBP/77). Она была непреднамеренно опущена в документе ECE/TRANS/WP.29/2024/65.</w:t>
      </w:r>
    </w:p>
    <w:p w14:paraId="1FE62C63" w14:textId="28D6ADF1" w:rsidR="00303D53" w:rsidRPr="00CB2A34" w:rsidRDefault="00303D53" w:rsidP="00303D53">
      <w:pPr>
        <w:spacing w:after="120"/>
        <w:ind w:left="1134" w:right="1134"/>
        <w:jc w:val="both"/>
      </w:pPr>
      <w:r w:rsidRPr="008306B9">
        <w:t>3.</w:t>
      </w:r>
      <w:r w:rsidRPr="008306B9">
        <w:tab/>
      </w:r>
      <w:r w:rsidRPr="00CB2A34">
        <w:t xml:space="preserve">В таблице пункта 1.3 приложения 10 определенные обозначения </w:t>
      </w:r>
      <w:r w:rsidR="00B07CF3">
        <w:t>«</w:t>
      </w:r>
      <w:r w:rsidRPr="00CB2A34">
        <w:t>ARC</w:t>
      </w:r>
      <w:r w:rsidR="00B07CF3">
        <w:t>»</w:t>
      </w:r>
      <w:r w:rsidRPr="00CB2A34">
        <w:t xml:space="preserve"> и </w:t>
      </w:r>
      <w:r w:rsidR="00B07CF3">
        <w:t>«</w:t>
      </w:r>
      <w:r w:rsidRPr="00CB2A34">
        <w:t>ARR</w:t>
      </w:r>
      <w:r w:rsidR="00B07CF3">
        <w:t>»</w:t>
      </w:r>
      <w:r w:rsidRPr="00CB2A34">
        <w:t xml:space="preserve"> относятся к пункту 2 приложения 10 (</w:t>
      </w:r>
      <w:r w:rsidR="00B07CF3">
        <w:t>«</w:t>
      </w:r>
      <w:r w:rsidRPr="00CB2A34">
        <w:t>Метод испытания b) на барабане в помещении</w:t>
      </w:r>
      <w:r w:rsidR="00B07CF3">
        <w:t>»</w:t>
      </w:r>
      <w:r w:rsidRPr="00CB2A34">
        <w:t xml:space="preserve">), а не к методу испытания транспортного средства. Эти величины рассчитаны в пункте 2.8 приложения 10 в качестве уровней абразивного износа </w:t>
      </w:r>
      <w:r w:rsidR="000D168B">
        <w:t>«</w:t>
      </w:r>
      <w:r w:rsidRPr="00CB2A34">
        <w:t>ArT</w:t>
      </w:r>
      <w:r w:rsidR="000D168B">
        <w:t>»</w:t>
      </w:r>
      <w:r w:rsidRPr="00CB2A34">
        <w:t xml:space="preserve"> и </w:t>
      </w:r>
      <w:r w:rsidR="000D168B">
        <w:t>«</w:t>
      </w:r>
      <w:r w:rsidRPr="00CB2A34">
        <w:t>ArR</w:t>
      </w:r>
      <w:r w:rsidR="000D168B">
        <w:t>»</w:t>
      </w:r>
      <w:r w:rsidRPr="00CB2A34">
        <w:t xml:space="preserve"> в мг/км/т.</w:t>
      </w:r>
    </w:p>
    <w:p w14:paraId="5C418A03" w14:textId="5DB76D76" w:rsidR="00303D53" w:rsidRPr="00CB2A34" w:rsidRDefault="00303D53" w:rsidP="00303D53">
      <w:pPr>
        <w:spacing w:after="120"/>
        <w:ind w:left="1134" w:right="1134"/>
        <w:jc w:val="both"/>
      </w:pPr>
      <w:r w:rsidRPr="008306B9">
        <w:t>4.</w:t>
      </w:r>
      <w:r w:rsidRPr="008306B9">
        <w:tab/>
      </w:r>
      <w:r w:rsidRPr="00CB2A34">
        <w:t>Пункты 1.8 и 1.11.8 f) скорректированы в соответствии с таблицей в пункте</w:t>
      </w:r>
      <w:r w:rsidR="000D168B">
        <w:t> </w:t>
      </w:r>
      <w:r w:rsidRPr="00CB2A34">
        <w:t>1.2.25 приложения 10, предусматривающей, что:</w:t>
      </w:r>
    </w:p>
    <w:p w14:paraId="595869D5" w14:textId="77777777" w:rsidR="00303D53" w:rsidRPr="00CB2A34" w:rsidRDefault="00303D53" w:rsidP="00303D53">
      <w:pPr>
        <w:spacing w:after="120"/>
        <w:ind w:left="1701" w:right="1134" w:hanging="567"/>
        <w:jc w:val="both"/>
      </w:pPr>
      <w:r w:rsidRPr="008306B9">
        <w:t>-</w:t>
      </w:r>
      <w:r w:rsidRPr="008306B9">
        <w:tab/>
      </w:r>
      <w:r w:rsidRPr="00CB2A34">
        <w:t>если потенциальная шина не содержит маркировку M+S (включая шину специального назначения), то она должна оцениваться в сравнении с СЭИШ17S,</w:t>
      </w:r>
    </w:p>
    <w:p w14:paraId="2FE0FAEE" w14:textId="77777777" w:rsidR="00303D53" w:rsidRPr="00CB2A34" w:rsidRDefault="00303D53" w:rsidP="00303D53">
      <w:pPr>
        <w:spacing w:after="120"/>
        <w:ind w:left="1701" w:right="1134" w:hanging="567"/>
        <w:jc w:val="both"/>
      </w:pPr>
      <w:r w:rsidRPr="008306B9">
        <w:lastRenderedPageBreak/>
        <w:t>-</w:t>
      </w:r>
      <w:r w:rsidRPr="008306B9">
        <w:tab/>
      </w:r>
      <w:r w:rsidRPr="00CB2A34">
        <w:t>если потенциальная шина содержит маркировку M+S (включая шину специального назначения), то она должна оцениваться в сравнении с СЭИШ17W; потенциальная шина M+S далее может классифицироваться в качестве 3PMSF.</w:t>
      </w:r>
    </w:p>
    <w:p w14:paraId="65073B2D" w14:textId="77777777" w:rsidR="00303D53" w:rsidRPr="00CB2A34" w:rsidRDefault="00303D53" w:rsidP="00303D53">
      <w:pPr>
        <w:spacing w:after="120"/>
        <w:ind w:left="1134" w:right="1134"/>
        <w:jc w:val="both"/>
      </w:pPr>
      <w:r w:rsidRPr="008306B9">
        <w:t>5.</w:t>
      </w:r>
      <w:r w:rsidRPr="008306B9">
        <w:tab/>
      </w:r>
      <w:r w:rsidRPr="00CB2A34">
        <w:t>Аналогичным образом скорректирован и пункт 2.2.3.2.1.</w:t>
      </w:r>
    </w:p>
    <w:p w14:paraId="61760875" w14:textId="534B7323" w:rsidR="00303D53" w:rsidRPr="00CB2A34" w:rsidRDefault="00303D53" w:rsidP="00303D53">
      <w:pPr>
        <w:spacing w:after="120"/>
        <w:ind w:left="1134" w:right="1134"/>
        <w:jc w:val="both"/>
      </w:pPr>
      <w:r w:rsidRPr="008306B9">
        <w:t>6.</w:t>
      </w:r>
      <w:r w:rsidRPr="008306B9">
        <w:tab/>
      </w:r>
      <w:r w:rsidRPr="00CB2A34">
        <w:t>В пункте 2.5.3 содержится ссылка на последний международный стандарт ISO</w:t>
      </w:r>
      <w:r w:rsidR="000D168B">
        <w:t> </w:t>
      </w:r>
      <w:r w:rsidRPr="00CB2A34">
        <w:t>4000-1:2024 (опубликованный в марте 2024 года).</w:t>
      </w:r>
    </w:p>
    <w:p w14:paraId="029B6F9C" w14:textId="0FD5E090" w:rsidR="00E12C5F" w:rsidRPr="00B07CF3" w:rsidRDefault="00B07CF3" w:rsidP="00B07CF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B07CF3" w:rsidSect="00303D5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693E" w14:textId="77777777" w:rsidR="00974DF2" w:rsidRPr="00A312BC" w:rsidRDefault="00974DF2" w:rsidP="00A312BC"/>
  </w:endnote>
  <w:endnote w:type="continuationSeparator" w:id="0">
    <w:p w14:paraId="75B63F36" w14:textId="77777777" w:rsidR="00974DF2" w:rsidRPr="00A312BC" w:rsidRDefault="00974DF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E8C0" w14:textId="7C2E655B" w:rsidR="00303D53" w:rsidRPr="00303D53" w:rsidRDefault="00303D53">
    <w:pPr>
      <w:pStyle w:val="a8"/>
    </w:pPr>
    <w:r w:rsidRPr="00303D53">
      <w:rPr>
        <w:b/>
        <w:sz w:val="18"/>
      </w:rPr>
      <w:fldChar w:fldCharType="begin"/>
    </w:r>
    <w:r w:rsidRPr="00303D53">
      <w:rPr>
        <w:b/>
        <w:sz w:val="18"/>
      </w:rPr>
      <w:instrText xml:space="preserve"> PAGE  \* MERGEFORMAT </w:instrText>
    </w:r>
    <w:r w:rsidRPr="00303D53">
      <w:rPr>
        <w:b/>
        <w:sz w:val="18"/>
      </w:rPr>
      <w:fldChar w:fldCharType="separate"/>
    </w:r>
    <w:r w:rsidRPr="00303D53">
      <w:rPr>
        <w:b/>
        <w:noProof/>
        <w:sz w:val="18"/>
      </w:rPr>
      <w:t>2</w:t>
    </w:r>
    <w:r w:rsidRPr="00303D53">
      <w:rPr>
        <w:b/>
        <w:sz w:val="18"/>
      </w:rPr>
      <w:fldChar w:fldCharType="end"/>
    </w:r>
    <w:r>
      <w:rPr>
        <w:b/>
        <w:sz w:val="18"/>
      </w:rPr>
      <w:tab/>
    </w:r>
    <w:r>
      <w:t>GE.24-11989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E06D" w14:textId="37B3E475" w:rsidR="00303D53" w:rsidRPr="00303D53" w:rsidRDefault="00303D53" w:rsidP="00303D53">
    <w:pPr>
      <w:pStyle w:val="a8"/>
      <w:tabs>
        <w:tab w:val="clear" w:pos="9639"/>
        <w:tab w:val="right" w:pos="9638"/>
      </w:tabs>
      <w:rPr>
        <w:b/>
        <w:sz w:val="18"/>
      </w:rPr>
    </w:pPr>
    <w:r>
      <w:t>GE.24-11989</w:t>
    </w:r>
    <w:r>
      <w:tab/>
    </w:r>
    <w:r w:rsidRPr="00303D53">
      <w:rPr>
        <w:b/>
        <w:sz w:val="18"/>
      </w:rPr>
      <w:fldChar w:fldCharType="begin"/>
    </w:r>
    <w:r w:rsidRPr="00303D53">
      <w:rPr>
        <w:b/>
        <w:sz w:val="18"/>
      </w:rPr>
      <w:instrText xml:space="preserve"> PAGE  \* MERGEFORMAT </w:instrText>
    </w:r>
    <w:r w:rsidRPr="00303D53">
      <w:rPr>
        <w:b/>
        <w:sz w:val="18"/>
      </w:rPr>
      <w:fldChar w:fldCharType="separate"/>
    </w:r>
    <w:r w:rsidRPr="00303D53">
      <w:rPr>
        <w:b/>
        <w:noProof/>
        <w:sz w:val="18"/>
      </w:rPr>
      <w:t>3</w:t>
    </w:r>
    <w:r w:rsidRPr="00303D5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DDDA" w14:textId="4328B371" w:rsidR="00042B72" w:rsidRPr="00B07CF3" w:rsidRDefault="00303D53" w:rsidP="00303D53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3258513" wp14:editId="13AF174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24-11989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72C3CF6" wp14:editId="628F274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CF3">
      <w:rPr>
        <w:lang w:val="en-US"/>
      </w:rPr>
      <w:t xml:space="preserve">  190724  230724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1F53" w14:textId="77777777" w:rsidR="00974DF2" w:rsidRPr="001075E9" w:rsidRDefault="00974DF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43B68E2" w14:textId="77777777" w:rsidR="00974DF2" w:rsidRDefault="00974DF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E8D04B5" w14:textId="4CFB9179" w:rsidR="00303D53" w:rsidRDefault="00303D53" w:rsidP="00B07CF3">
      <w:pPr>
        <w:pStyle w:val="ad"/>
        <w:rPr>
          <w:lang w:val="en-US"/>
        </w:rPr>
      </w:pPr>
      <w:r>
        <w:tab/>
      </w:r>
      <w:r w:rsidRPr="00B07CF3">
        <w:rPr>
          <w:sz w:val="20"/>
          <w:szCs w:val="22"/>
        </w:rPr>
        <w:t>*</w:t>
      </w:r>
      <w:r>
        <w:tab/>
        <w:t xml:space="preserve"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п. 20.6), Всемирный форум будет разрабатывать, согласовывать и обновлять правила ООН в целях улучшения эксплуатационных характеристик транспортных средств. Настоящий документ представлен в соответствии с этим мандатом.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3F1E" w14:textId="46004D30" w:rsidR="00303D53" w:rsidRPr="00303D53" w:rsidRDefault="00303D53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8D6479">
      <w:t>ECE</w:t>
    </w:r>
    <w:proofErr w:type="spellEnd"/>
    <w:r w:rsidR="008D6479">
      <w:t>/TRANS/WP.29/</w:t>
    </w:r>
    <w:proofErr w:type="spellStart"/>
    <w:r w:rsidR="008D6479">
      <w:t>GRBP</w:t>
    </w:r>
    <w:proofErr w:type="spellEnd"/>
    <w:r w:rsidR="008D6479">
      <w:t>/2024/25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0A78" w14:textId="0FCE8A2C" w:rsidR="00303D53" w:rsidRPr="00303D53" w:rsidRDefault="00303D53" w:rsidP="00303D53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8D6479">
      <w:t>ECE</w:t>
    </w:r>
    <w:proofErr w:type="spellEnd"/>
    <w:r w:rsidR="008D6479">
      <w:t>/TRANS/WP.29/</w:t>
    </w:r>
    <w:proofErr w:type="spellStart"/>
    <w:r w:rsidR="008D6479">
      <w:t>GRBP</w:t>
    </w:r>
    <w:proofErr w:type="spellEnd"/>
    <w:r w:rsidR="008D6479">
      <w:t>/2024/25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2"/>
    <w:rsid w:val="00033EE1"/>
    <w:rsid w:val="00042B72"/>
    <w:rsid w:val="000558BD"/>
    <w:rsid w:val="000B57E7"/>
    <w:rsid w:val="000B6373"/>
    <w:rsid w:val="000D168B"/>
    <w:rsid w:val="000E253B"/>
    <w:rsid w:val="000E4E5B"/>
    <w:rsid w:val="000F09DF"/>
    <w:rsid w:val="000F4720"/>
    <w:rsid w:val="000F61B2"/>
    <w:rsid w:val="001075E9"/>
    <w:rsid w:val="0014152F"/>
    <w:rsid w:val="001479A7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40D2"/>
    <w:rsid w:val="002B74B1"/>
    <w:rsid w:val="002C0E18"/>
    <w:rsid w:val="002D5AAC"/>
    <w:rsid w:val="002E5067"/>
    <w:rsid w:val="002F405F"/>
    <w:rsid w:val="002F7EEC"/>
    <w:rsid w:val="00301299"/>
    <w:rsid w:val="00303D53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03EF"/>
    <w:rsid w:val="00452493"/>
    <w:rsid w:val="00453318"/>
    <w:rsid w:val="00454AF2"/>
    <w:rsid w:val="00454E07"/>
    <w:rsid w:val="00472C5C"/>
    <w:rsid w:val="00484BB1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7370"/>
    <w:rsid w:val="005D7914"/>
    <w:rsid w:val="005E2B41"/>
    <w:rsid w:val="005F0B42"/>
    <w:rsid w:val="006104B1"/>
    <w:rsid w:val="00617A43"/>
    <w:rsid w:val="006340F5"/>
    <w:rsid w:val="006345DB"/>
    <w:rsid w:val="00640F49"/>
    <w:rsid w:val="00680D03"/>
    <w:rsid w:val="00681A10"/>
    <w:rsid w:val="006850A6"/>
    <w:rsid w:val="006A1ED8"/>
    <w:rsid w:val="006C2031"/>
    <w:rsid w:val="006D461A"/>
    <w:rsid w:val="006D66CF"/>
    <w:rsid w:val="006F35EE"/>
    <w:rsid w:val="007021FF"/>
    <w:rsid w:val="00712895"/>
    <w:rsid w:val="00734ACB"/>
    <w:rsid w:val="00757357"/>
    <w:rsid w:val="00792497"/>
    <w:rsid w:val="007D1440"/>
    <w:rsid w:val="00806737"/>
    <w:rsid w:val="00825F8D"/>
    <w:rsid w:val="00834B71"/>
    <w:rsid w:val="0086445C"/>
    <w:rsid w:val="00894693"/>
    <w:rsid w:val="008A08D7"/>
    <w:rsid w:val="008A37C8"/>
    <w:rsid w:val="008A4EDA"/>
    <w:rsid w:val="008B6909"/>
    <w:rsid w:val="008D53B6"/>
    <w:rsid w:val="008D6479"/>
    <w:rsid w:val="008F7609"/>
    <w:rsid w:val="00906890"/>
    <w:rsid w:val="00911BE4"/>
    <w:rsid w:val="00951972"/>
    <w:rsid w:val="00957ED5"/>
    <w:rsid w:val="009608F3"/>
    <w:rsid w:val="00974DF2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A6902"/>
    <w:rsid w:val="00AB4B51"/>
    <w:rsid w:val="00AE612E"/>
    <w:rsid w:val="00B0179A"/>
    <w:rsid w:val="00B07CF3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7489E"/>
    <w:rsid w:val="00C805C9"/>
    <w:rsid w:val="00C92939"/>
    <w:rsid w:val="00CA1679"/>
    <w:rsid w:val="00CB151C"/>
    <w:rsid w:val="00CE5A1A"/>
    <w:rsid w:val="00CF41CD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15821"/>
    <w:rsid w:val="00E30D17"/>
    <w:rsid w:val="00E73F76"/>
    <w:rsid w:val="00E91A4A"/>
    <w:rsid w:val="00EA2C9F"/>
    <w:rsid w:val="00EA420E"/>
    <w:rsid w:val="00EC4E9F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A33C5"/>
  <w15:docId w15:val="{5C4E09B9-92CF-4312-8739-0D888719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ußnotentext Знак"/>
    <w:basedOn w:val="a0"/>
    <w:link w:val="ad"/>
    <w:uiPriority w:val="99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303D53"/>
    <w:rPr>
      <w:lang w:val="ru-RU" w:eastAsia="en-US"/>
    </w:rPr>
  </w:style>
  <w:style w:type="paragraph" w:customStyle="1" w:styleId="para">
    <w:name w:val="para"/>
    <w:basedOn w:val="a"/>
    <w:link w:val="paraChar"/>
    <w:qFormat/>
    <w:rsid w:val="00303D53"/>
    <w:pPr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  <w:style w:type="character" w:customStyle="1" w:styleId="paraChar">
    <w:name w:val="para Char"/>
    <w:link w:val="para"/>
    <w:rsid w:val="00303D53"/>
    <w:rPr>
      <w:lang w:val="en-GB" w:eastAsia="en-US"/>
    </w:rPr>
  </w:style>
  <w:style w:type="paragraph" w:styleId="30">
    <w:name w:val="Body Text Indent 3"/>
    <w:basedOn w:val="a"/>
    <w:link w:val="31"/>
    <w:rsid w:val="00303D53"/>
    <w:pPr>
      <w:spacing w:after="120"/>
      <w:ind w:left="283"/>
    </w:pPr>
    <w:rPr>
      <w:rFonts w:eastAsia="Times New Roman" w:cs="Times New Roman"/>
      <w:sz w:val="16"/>
      <w:szCs w:val="16"/>
      <w:lang w:val="en-GB"/>
    </w:rPr>
  </w:style>
  <w:style w:type="character" w:customStyle="1" w:styleId="31">
    <w:name w:val="Основной текст с отступом 3 Знак"/>
    <w:basedOn w:val="a0"/>
    <w:link w:val="30"/>
    <w:rsid w:val="00303D53"/>
    <w:rPr>
      <w:sz w:val="16"/>
      <w:szCs w:val="16"/>
      <w:lang w:val="en-GB" w:eastAsia="en-US"/>
    </w:rPr>
  </w:style>
  <w:style w:type="paragraph" w:styleId="af3">
    <w:name w:val="List Paragraph"/>
    <w:basedOn w:val="a"/>
    <w:link w:val="af4"/>
    <w:uiPriority w:val="34"/>
    <w:qFormat/>
    <w:rsid w:val="00303D53"/>
    <w:pPr>
      <w:ind w:left="708"/>
    </w:pPr>
    <w:rPr>
      <w:rFonts w:eastAsia="Times New Roman" w:cs="Times New Roman"/>
      <w:szCs w:val="20"/>
      <w:lang w:val="en-GB"/>
    </w:rPr>
  </w:style>
  <w:style w:type="paragraph" w:customStyle="1" w:styleId="AuflistungVariablen">
    <w:name w:val="Auflistung_Variablen"/>
    <w:basedOn w:val="a"/>
    <w:link w:val="AuflistungVariablenZchn"/>
    <w:qFormat/>
    <w:rsid w:val="00303D53"/>
    <w:pPr>
      <w:tabs>
        <w:tab w:val="left" w:pos="2552"/>
      </w:tabs>
      <w:suppressAutoHyphens w:val="0"/>
      <w:spacing w:line="252" w:lineRule="auto"/>
      <w:ind w:left="2552" w:hanging="2552"/>
      <w:jc w:val="both"/>
    </w:pPr>
    <w:rPr>
      <w:rFonts w:eastAsia="MS Mincho" w:cs="Times New Roman"/>
      <w:szCs w:val="20"/>
      <w:lang w:val="en-GB"/>
    </w:rPr>
  </w:style>
  <w:style w:type="character" w:customStyle="1" w:styleId="AuflistungVariablenZchn">
    <w:name w:val="Auflistung_Variablen Zchn"/>
    <w:link w:val="AuflistungVariablen"/>
    <w:rsid w:val="00303D53"/>
    <w:rPr>
      <w:rFonts w:eastAsia="MS Mincho"/>
      <w:lang w:val="en-GB" w:eastAsia="en-US"/>
    </w:rPr>
  </w:style>
  <w:style w:type="character" w:customStyle="1" w:styleId="ui-provider">
    <w:name w:val="ui-provider"/>
    <w:basedOn w:val="a0"/>
    <w:rsid w:val="00303D53"/>
  </w:style>
  <w:style w:type="character" w:customStyle="1" w:styleId="af4">
    <w:name w:val="Абзац списка Знак"/>
    <w:link w:val="af3"/>
    <w:uiPriority w:val="34"/>
    <w:rsid w:val="00303D5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117F8-7141-4BDE-B825-D7F7162A2A7C}"/>
</file>

<file path=customXml/itemProps2.xml><?xml version="1.0" encoding="utf-8"?>
<ds:datastoreItem xmlns:ds="http://schemas.openxmlformats.org/officeDocument/2006/customXml" ds:itemID="{3C37141E-9D6E-4056-B872-83E36941CB85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11</Pages>
  <Words>2067</Words>
  <Characters>18403</Characters>
  <Application>Microsoft Office Word</Application>
  <DocSecurity>0</DocSecurity>
  <Lines>1673</Lines>
  <Paragraphs>682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ECE/TRANS/WP.29/GRBP/2024/25</vt:lpstr>
      <vt:lpstr>A/</vt:lpstr>
      <vt:lpstr>A/</vt:lpstr>
    </vt:vector>
  </TitlesOfParts>
  <Company>DCM</Company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ECE/TRANS/WP.29/GRBP/2024/25</dc:title>
  <dc:subject/>
  <dc:creator>Anna PETELINA</dc:creator>
  <cp:keywords/>
  <cp:lastModifiedBy>Anna Taillandier</cp:lastModifiedBy>
  <cp:revision>3</cp:revision>
  <cp:lastPrinted>2024-07-23T12:09:00Z</cp:lastPrinted>
  <dcterms:created xsi:type="dcterms:W3CDTF">2024-07-23T12:09:00Z</dcterms:created>
  <dcterms:modified xsi:type="dcterms:W3CDTF">2024-07-23T12:10:00Z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