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264014C2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7E6FF67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E0CE1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24E05C5" w14:textId="19697832" w:rsidR="009E6CB7" w:rsidRPr="00D47EEA" w:rsidRDefault="002C3382" w:rsidP="002C3382">
            <w:pPr>
              <w:jc w:val="right"/>
            </w:pPr>
            <w:r w:rsidRPr="002C3382">
              <w:rPr>
                <w:sz w:val="40"/>
              </w:rPr>
              <w:t>ECE</w:t>
            </w:r>
            <w:r>
              <w:t>/TRANS/WP.15/2024/18</w:t>
            </w:r>
          </w:p>
        </w:tc>
      </w:tr>
      <w:tr w:rsidR="009E6CB7" w14:paraId="215F3C8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369272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AD1B34D" wp14:editId="79D84D83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10B4D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A0DF4F" w14:textId="77777777" w:rsidR="009E6CB7" w:rsidRDefault="002C3382" w:rsidP="002C3382">
            <w:pPr>
              <w:spacing w:before="240" w:line="240" w:lineRule="exact"/>
            </w:pPr>
            <w:r>
              <w:t>Distr.: General</w:t>
            </w:r>
          </w:p>
          <w:p w14:paraId="50277446" w14:textId="784DA45D" w:rsidR="002C3382" w:rsidRDefault="002C3382" w:rsidP="002C3382">
            <w:pPr>
              <w:spacing w:line="240" w:lineRule="exact"/>
            </w:pPr>
            <w:r>
              <w:t>1</w:t>
            </w:r>
            <w:r w:rsidR="00D74C35">
              <w:t>5</w:t>
            </w:r>
            <w:r>
              <w:t xml:space="preserve"> August 2024</w:t>
            </w:r>
          </w:p>
          <w:p w14:paraId="06D483D3" w14:textId="77777777" w:rsidR="002C3382" w:rsidRDefault="002C3382" w:rsidP="002C3382">
            <w:pPr>
              <w:spacing w:line="240" w:lineRule="exact"/>
            </w:pPr>
          </w:p>
          <w:p w14:paraId="3FF7D2D0" w14:textId="21D1FA37" w:rsidR="002C3382" w:rsidRDefault="002C3382" w:rsidP="002C3382">
            <w:pPr>
              <w:spacing w:line="240" w:lineRule="exact"/>
            </w:pPr>
            <w:r>
              <w:t>Original: English</w:t>
            </w:r>
          </w:p>
        </w:tc>
      </w:tr>
    </w:tbl>
    <w:p w14:paraId="0A4A948E" w14:textId="77777777" w:rsidR="002C3382" w:rsidRDefault="002C3382" w:rsidP="00C411EB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6A31C2A8" w14:textId="77777777" w:rsidR="002C3382" w:rsidRDefault="002C3382" w:rsidP="00C411E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12059448" w14:textId="77777777" w:rsidR="002C3382" w:rsidRPr="001330DE" w:rsidRDefault="002C3382" w:rsidP="00C411E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Party on the Transport </w:t>
      </w:r>
      <w:r w:rsidRPr="001330DE">
        <w:rPr>
          <w:b/>
          <w:sz w:val="24"/>
          <w:szCs w:val="24"/>
        </w:rPr>
        <w:t>of Dangerous Goods</w:t>
      </w:r>
    </w:p>
    <w:p w14:paraId="7B163B2F" w14:textId="54C57B4A" w:rsidR="002C3382" w:rsidRPr="001330DE" w:rsidRDefault="005B6C52" w:rsidP="00C411EB">
      <w:pPr>
        <w:spacing w:before="120"/>
        <w:rPr>
          <w:rFonts w:eastAsia="SimSun"/>
          <w:b/>
        </w:rPr>
      </w:pPr>
      <w:r>
        <w:rPr>
          <w:rFonts w:eastAsia="SimSun"/>
          <w:b/>
        </w:rPr>
        <w:t>116th</w:t>
      </w:r>
      <w:r w:rsidR="002C3382">
        <w:rPr>
          <w:rFonts w:eastAsia="SimSun"/>
          <w:b/>
        </w:rPr>
        <w:t xml:space="preserve"> </w:t>
      </w:r>
      <w:r w:rsidR="002C3382" w:rsidRPr="001330DE">
        <w:rPr>
          <w:rFonts w:eastAsia="SimSun"/>
          <w:b/>
        </w:rPr>
        <w:t xml:space="preserve">session </w:t>
      </w:r>
    </w:p>
    <w:p w14:paraId="1EE980A6" w14:textId="2737CCC2" w:rsidR="002C3382" w:rsidRPr="00BA64A8" w:rsidRDefault="002C3382" w:rsidP="00C411EB">
      <w:pPr>
        <w:rPr>
          <w:rFonts w:eastAsia="SimSun"/>
        </w:rPr>
      </w:pPr>
      <w:r w:rsidRPr="00BA64A8">
        <w:rPr>
          <w:rFonts w:eastAsia="SimSun"/>
        </w:rPr>
        <w:t>Geneva,</w:t>
      </w:r>
      <w:r>
        <w:rPr>
          <w:rFonts w:eastAsia="SimSun"/>
        </w:rPr>
        <w:t xml:space="preserve"> </w:t>
      </w:r>
      <w:r w:rsidR="005B6C52">
        <w:rPr>
          <w:rFonts w:eastAsia="SimSun"/>
        </w:rPr>
        <w:t>5-8 November 202</w:t>
      </w:r>
      <w:r w:rsidR="00E637D0">
        <w:rPr>
          <w:rFonts w:eastAsia="SimSun"/>
        </w:rPr>
        <w:t>4</w:t>
      </w:r>
    </w:p>
    <w:p w14:paraId="7EF91C78" w14:textId="72C58A71" w:rsidR="002C3382" w:rsidRPr="00C521A6" w:rsidRDefault="002C3382" w:rsidP="00C411EB">
      <w:pPr>
        <w:autoSpaceDE w:val="0"/>
        <w:autoSpaceDN w:val="0"/>
        <w:adjustRightInd w:val="0"/>
      </w:pPr>
      <w:r w:rsidRPr="008B570B">
        <w:t xml:space="preserve">Item </w:t>
      </w:r>
      <w:r w:rsidR="00FC060A" w:rsidRPr="008B570B">
        <w:t>5</w:t>
      </w:r>
      <w:r w:rsidRPr="008B570B">
        <w:t xml:space="preserve"> of the provisional agenda</w:t>
      </w:r>
    </w:p>
    <w:p w14:paraId="2C5EAD9C" w14:textId="77777777" w:rsidR="006125D8" w:rsidRPr="00FA6DA6" w:rsidRDefault="006125D8" w:rsidP="006125D8">
      <w:pPr>
        <w:rPr>
          <w:b/>
        </w:rPr>
      </w:pPr>
      <w:r>
        <w:rPr>
          <w:b/>
        </w:rPr>
        <w:t>Interpretation of ADR</w:t>
      </w:r>
    </w:p>
    <w:p w14:paraId="0C1044FD" w14:textId="6F248B90" w:rsidR="00AA3082" w:rsidRPr="00E70778" w:rsidRDefault="00004BE4" w:rsidP="00AA3082">
      <w:pPr>
        <w:pStyle w:val="HChG"/>
      </w:pPr>
      <w:r>
        <w:tab/>
      </w:r>
      <w:r>
        <w:tab/>
      </w:r>
      <w:r w:rsidR="00AA3082">
        <w:rPr>
          <w:rFonts w:eastAsia="Cambria"/>
        </w:rPr>
        <w:t>ADR 7.2.4 - Special Provision V2</w:t>
      </w:r>
    </w:p>
    <w:p w14:paraId="7ADCAD3E" w14:textId="55CB1909" w:rsidR="001C6663" w:rsidRDefault="00AA3082" w:rsidP="00AA3082">
      <w:pPr>
        <w:pStyle w:val="H1G"/>
        <w:rPr>
          <w:sz w:val="20"/>
        </w:rPr>
      </w:pPr>
      <w:r>
        <w:tab/>
      </w:r>
      <w:r>
        <w:tab/>
        <w:t>Transmitted by the Government of United Kingdom of Great Britain and Northern Ireland</w:t>
      </w:r>
      <w:r w:rsidRPr="00081575">
        <w:rPr>
          <w:rStyle w:val="FootnoteReference"/>
          <w:sz w:val="20"/>
        </w:rPr>
        <w:footnoteReference w:customMarkFollows="1" w:id="2"/>
        <w:t>*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081575" w14:paraId="2997B80D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699238BE" w14:textId="77777777" w:rsidR="00081575" w:rsidRPr="00C6263E" w:rsidRDefault="00081575" w:rsidP="006E5E26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>Summary</w:t>
            </w:r>
          </w:p>
        </w:tc>
      </w:tr>
      <w:tr w:rsidR="00081575" w14:paraId="135AAA27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55CC701A" w14:textId="0D3FC0F8" w:rsidR="00081575" w:rsidRPr="00A00E8A" w:rsidRDefault="008F373E" w:rsidP="00A00E8A">
            <w:pPr>
              <w:pStyle w:val="SingleTxtG"/>
              <w:ind w:left="3110" w:hanging="1976"/>
            </w:pPr>
            <w:r w:rsidRPr="00A00E8A">
              <w:rPr>
                <w:b/>
                <w:bCs/>
              </w:rPr>
              <w:t>Executive summary:</w:t>
            </w:r>
            <w:r w:rsidRPr="00A00E8A">
              <w:rPr>
                <w:b/>
                <w:bCs/>
              </w:rPr>
              <w:tab/>
            </w:r>
            <w:r w:rsidRPr="00A00E8A">
              <w:t>Special Provision V2 in ADR 7.2.4 allows substances or articles of Class 1 (in quantities requiring EX/III vehicle(s) as part of a multimodal journey) to be transported in EX/II vehicles instead. However, this special provision cannot be used for road-only journeys. It is difficult to justify restrictions for road-only transport when it is permitted for multimodal journeys.</w:t>
            </w:r>
          </w:p>
          <w:p w14:paraId="3C7C9B32" w14:textId="79BE1215" w:rsidR="008F373E" w:rsidRDefault="003E440B" w:rsidP="00A00E8A">
            <w:pPr>
              <w:pStyle w:val="SingleTxtG"/>
              <w:ind w:left="3110" w:hanging="1976"/>
            </w:pPr>
            <w:r w:rsidRPr="00A0138E">
              <w:rPr>
                <w:b/>
                <w:bCs/>
              </w:rPr>
              <w:t>Actions to be taken:</w:t>
            </w:r>
            <w:r w:rsidRPr="00572004">
              <w:rPr>
                <w:b/>
                <w:bCs/>
              </w:rPr>
              <w:tab/>
            </w:r>
            <w:r w:rsidR="0036549D">
              <w:t>The United Kingdom seeks the opinion of the Working Party on whether this provision should be amended to apply to road-only journeys as well as multi-modal scenarios.</w:t>
            </w:r>
          </w:p>
        </w:tc>
      </w:tr>
      <w:tr w:rsidR="00081575" w14:paraId="2B99C912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183E5D9B" w14:textId="77777777" w:rsidR="00081575" w:rsidRDefault="00081575" w:rsidP="006E5E26"/>
        </w:tc>
      </w:tr>
    </w:tbl>
    <w:p w14:paraId="31EDACCE" w14:textId="4CC7F191" w:rsidR="0036549D" w:rsidRDefault="0036549D" w:rsidP="00081575"/>
    <w:p w14:paraId="2D8B2D34" w14:textId="77777777" w:rsidR="0036549D" w:rsidRDefault="0036549D">
      <w:r>
        <w:br w:type="page"/>
      </w:r>
    </w:p>
    <w:p w14:paraId="6C5B8174" w14:textId="123EB8B9" w:rsidR="009E6365" w:rsidRPr="007C7BC4" w:rsidRDefault="00592005" w:rsidP="00592005">
      <w:pPr>
        <w:pStyle w:val="HChG"/>
        <w:jc w:val="both"/>
      </w:pPr>
      <w:r>
        <w:rPr>
          <w:lang w:val="en-US"/>
        </w:rPr>
        <w:lastRenderedPageBreak/>
        <w:tab/>
      </w:r>
      <w:r w:rsidRPr="007C7BC4">
        <w:t>I.</w:t>
      </w:r>
      <w:r w:rsidRPr="007C7BC4">
        <w:tab/>
      </w:r>
      <w:r w:rsidR="009E6365">
        <w:rPr>
          <w:lang w:val="en-US"/>
        </w:rPr>
        <w:t>Background</w:t>
      </w:r>
    </w:p>
    <w:p w14:paraId="0D8230E3" w14:textId="409AA9C5" w:rsidR="009E6365" w:rsidRDefault="00592005" w:rsidP="00592005">
      <w:pPr>
        <w:pStyle w:val="SingleTxtG"/>
      </w:pPr>
      <w:r>
        <w:t>1.</w:t>
      </w:r>
      <w:r>
        <w:tab/>
      </w:r>
      <w:r w:rsidR="009E6365">
        <w:t xml:space="preserve">The last </w:t>
      </w:r>
      <w:r w:rsidR="009E6365" w:rsidRPr="00592005">
        <w:t>paragraph</w:t>
      </w:r>
      <w:r w:rsidR="009E6365">
        <w:t xml:space="preserve"> of ADR 7.2.4, Special Provision V2, states:</w:t>
      </w:r>
    </w:p>
    <w:p w14:paraId="569A1DC0" w14:textId="6BFD3914" w:rsidR="009E6365" w:rsidRPr="008B60BC" w:rsidRDefault="00DE5CAB" w:rsidP="009E6365">
      <w:pPr>
        <w:pStyle w:val="SingleTxtG"/>
        <w:ind w:left="1701" w:right="1188"/>
        <w:rPr>
          <w:i/>
          <w:iCs/>
        </w:rPr>
      </w:pPr>
      <w:r>
        <w:rPr>
          <w:i/>
          <w:iCs/>
        </w:rPr>
        <w:t>“</w:t>
      </w:r>
      <w:r w:rsidR="009E6365" w:rsidRPr="008B60BC">
        <w:rPr>
          <w:i/>
          <w:iCs/>
        </w:rPr>
        <w:t>Where substances or articles of Class 1 in quantities requiring a transport unit made up of EX/III vehicle(s) are being carried in containers to or from harbour areas, rail terminals or airports of arrival or departure as part of a multimodal journey, a transport unit made up of EX/II vehicle(s) may be used instead, provided that the containers being carried comply with the appropriate requirements of the IMDG Code, the RID or the ICAO Technical Instructions.</w:t>
      </w:r>
      <w:r>
        <w:rPr>
          <w:i/>
          <w:iCs/>
        </w:rPr>
        <w:t>”</w:t>
      </w:r>
    </w:p>
    <w:p w14:paraId="71742BCF" w14:textId="0227815E" w:rsidR="009E6365" w:rsidRDefault="00592005" w:rsidP="00DE5CAB">
      <w:pPr>
        <w:pStyle w:val="SingleTxtG"/>
      </w:pPr>
      <w:r>
        <w:t>2.</w:t>
      </w:r>
      <w:r>
        <w:tab/>
      </w:r>
      <w:r w:rsidR="009E6365">
        <w:t xml:space="preserve">For </w:t>
      </w:r>
      <w:r w:rsidR="009E6365" w:rsidRPr="00DE5CAB">
        <w:t>multimodal</w:t>
      </w:r>
      <w:r w:rsidR="009E6365">
        <w:t xml:space="preserve"> journeys, Class 1 items are transported in closed containers worldwide, and the requirements of special provision V2 are met.</w:t>
      </w:r>
    </w:p>
    <w:p w14:paraId="10C194F8" w14:textId="787A2D44" w:rsidR="009E6365" w:rsidRDefault="00592005" w:rsidP="00DE5CAB">
      <w:pPr>
        <w:pStyle w:val="SingleTxtG"/>
      </w:pPr>
      <w:r>
        <w:t>3.</w:t>
      </w:r>
      <w:r>
        <w:tab/>
      </w:r>
      <w:r w:rsidR="009E6365">
        <w:t xml:space="preserve">For road-only </w:t>
      </w:r>
      <w:r w:rsidR="009E6365" w:rsidRPr="00DE5CAB">
        <w:t>carriage</w:t>
      </w:r>
      <w:r w:rsidR="009E6365">
        <w:t xml:space="preserve"> however, a Class 1 load cannot be transported in a closed container where the Net Explosive Mass (NEM) would require an EX/III transport unit.  In such cases, it is necessary to use an EX/III vehicle for carriage, as use of ADR 7.2.4 V2 is not permitted for road only journeys.</w:t>
      </w:r>
    </w:p>
    <w:p w14:paraId="6D7CAFCE" w14:textId="1883199C" w:rsidR="009E6365" w:rsidRDefault="00592005" w:rsidP="00DE5CAB">
      <w:pPr>
        <w:pStyle w:val="SingleTxtG"/>
      </w:pPr>
      <w:r>
        <w:t>4.</w:t>
      </w:r>
      <w:r>
        <w:tab/>
      </w:r>
      <w:r w:rsidR="009E6365">
        <w:t xml:space="preserve">If the use of an EX/II vehicle with containers is permitted for a multimodal journey, it is difficult to identify any logical reason why the same allowance should not be made for road-only journeys. </w:t>
      </w:r>
    </w:p>
    <w:p w14:paraId="3EB5CD01" w14:textId="15F43AA2" w:rsidR="009E6365" w:rsidRDefault="0019154A" w:rsidP="00DE5CAB">
      <w:pPr>
        <w:pStyle w:val="HChG"/>
      </w:pPr>
      <w:r>
        <w:tab/>
        <w:t>II.</w:t>
      </w:r>
      <w:r>
        <w:tab/>
      </w:r>
      <w:r w:rsidR="009E6365">
        <w:t xml:space="preserve">Differences between </w:t>
      </w:r>
      <w:r w:rsidR="009E6365" w:rsidRPr="00CF1DE0">
        <w:t>EX/II and EX/III</w:t>
      </w:r>
      <w:r w:rsidR="009E6365">
        <w:t xml:space="preserve"> vehicles</w:t>
      </w:r>
    </w:p>
    <w:p w14:paraId="42860CDA" w14:textId="455993AC" w:rsidR="009E6365" w:rsidRPr="001A424F" w:rsidRDefault="00592005" w:rsidP="0019154A">
      <w:pPr>
        <w:pStyle w:val="SingleTxtG"/>
      </w:pPr>
      <w:r w:rsidRPr="001A424F">
        <w:t>5.</w:t>
      </w:r>
      <w:r w:rsidRPr="001A424F">
        <w:tab/>
      </w:r>
      <w:r w:rsidR="009E6365" w:rsidRPr="001A424F">
        <w:t>EX/II vehicles can be closed or sheeted vehicles, whereas EX/III vehicles can only be closed.</w:t>
      </w:r>
    </w:p>
    <w:p w14:paraId="60741ED5" w14:textId="4913F4AB" w:rsidR="009E6365" w:rsidRPr="001A424F" w:rsidRDefault="00592005" w:rsidP="0019154A">
      <w:pPr>
        <w:pStyle w:val="SingleTxtG"/>
        <w:rPr>
          <w:lang w:eastAsia="en-GB"/>
        </w:rPr>
      </w:pPr>
      <w:r w:rsidRPr="001A424F">
        <w:rPr>
          <w:lang w:eastAsia="en-GB"/>
        </w:rPr>
        <w:t>6.</w:t>
      </w:r>
      <w:r w:rsidRPr="001A424F">
        <w:rPr>
          <w:lang w:eastAsia="en-GB"/>
        </w:rPr>
        <w:tab/>
      </w:r>
      <w:r w:rsidR="009E6365" w:rsidRPr="001A424F">
        <w:t>EX/III vehicles also have much stricter requirements concerning their construction materials. They must have a rigid body on the trailer, made from heat and flame resistant materials with a minimum thickness of 10</w:t>
      </w:r>
      <w:r w:rsidR="00D20C65">
        <w:t> </w:t>
      </w:r>
      <w:r w:rsidR="009E6365" w:rsidRPr="001A424F">
        <w:t xml:space="preserve">mm, and that conform to fire safety standard </w:t>
      </w:r>
      <w:r w:rsidR="009E6365" w:rsidRPr="001A424F">
        <w:rPr>
          <w:lang w:eastAsia="en-GB"/>
        </w:rPr>
        <w:t>EN 13501-1:2007 + A1:2009.  </w:t>
      </w:r>
    </w:p>
    <w:p w14:paraId="76EB34E2" w14:textId="743F8FE4" w:rsidR="009E6365" w:rsidRPr="00900AF3" w:rsidRDefault="0019154A" w:rsidP="0019154A">
      <w:pPr>
        <w:pStyle w:val="HChG"/>
      </w:pPr>
      <w:r>
        <w:tab/>
        <w:t>III.</w:t>
      </w:r>
      <w:r>
        <w:tab/>
      </w:r>
      <w:r w:rsidR="009E6365" w:rsidRPr="00900AF3">
        <w:t>Action to be taken</w:t>
      </w:r>
    </w:p>
    <w:p w14:paraId="2A6DAE64" w14:textId="6A59BFEC" w:rsidR="00081575" w:rsidRDefault="0019154A" w:rsidP="0019154A">
      <w:pPr>
        <w:pStyle w:val="SingleTxtG"/>
      </w:pPr>
      <w:r>
        <w:t>7.</w:t>
      </w:r>
      <w:r>
        <w:tab/>
      </w:r>
      <w:r w:rsidR="009E6365">
        <w:t>The United Kingdom seeks the opinion of the Working Party as to whether this provision should be changed, to permit the road-only carriage of closed containers with Class</w:t>
      </w:r>
      <w:r w:rsidR="00DB0427">
        <w:t> </w:t>
      </w:r>
      <w:r w:rsidR="009E6365">
        <w:t>1 on EX/II vehicles, in a quantity that would normally require EX/III vehicles.</w:t>
      </w:r>
    </w:p>
    <w:p w14:paraId="0C859A64" w14:textId="7C80A7CB" w:rsidR="009E6365" w:rsidRPr="009E6365" w:rsidRDefault="009E6365" w:rsidP="009E636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E6365" w:rsidRPr="009E6365" w:rsidSect="002C338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C87A" w14:textId="77777777" w:rsidR="00FB62DE" w:rsidRDefault="00FB62DE"/>
  </w:endnote>
  <w:endnote w:type="continuationSeparator" w:id="0">
    <w:p w14:paraId="7943B937" w14:textId="77777777" w:rsidR="00FB62DE" w:rsidRDefault="00FB62DE"/>
  </w:endnote>
  <w:endnote w:type="continuationNotice" w:id="1">
    <w:p w14:paraId="537EDDE4" w14:textId="77777777" w:rsidR="00FB62DE" w:rsidRDefault="00FB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5B52" w14:textId="15CF9210" w:rsidR="002C3382" w:rsidRPr="002C3382" w:rsidRDefault="002C3382" w:rsidP="002C3382">
    <w:pPr>
      <w:pStyle w:val="Footer"/>
      <w:tabs>
        <w:tab w:val="right" w:pos="9638"/>
      </w:tabs>
      <w:rPr>
        <w:sz w:val="18"/>
      </w:rPr>
    </w:pPr>
    <w:r w:rsidRPr="002C3382">
      <w:rPr>
        <w:b/>
        <w:sz w:val="18"/>
      </w:rPr>
      <w:fldChar w:fldCharType="begin"/>
    </w:r>
    <w:r w:rsidRPr="002C3382">
      <w:rPr>
        <w:b/>
        <w:sz w:val="18"/>
      </w:rPr>
      <w:instrText xml:space="preserve"> PAGE  \* MERGEFORMAT </w:instrText>
    </w:r>
    <w:r w:rsidRPr="002C3382">
      <w:rPr>
        <w:b/>
        <w:sz w:val="18"/>
      </w:rPr>
      <w:fldChar w:fldCharType="separate"/>
    </w:r>
    <w:r w:rsidRPr="002C3382">
      <w:rPr>
        <w:b/>
        <w:noProof/>
        <w:sz w:val="18"/>
      </w:rPr>
      <w:t>2</w:t>
    </w:r>
    <w:r w:rsidRPr="002C338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954E" w14:textId="432F7B98" w:rsidR="002C3382" w:rsidRPr="002C3382" w:rsidRDefault="002C3382" w:rsidP="002C3382">
    <w:pPr>
      <w:pStyle w:val="Footer"/>
      <w:tabs>
        <w:tab w:val="right" w:pos="9638"/>
      </w:tabs>
      <w:rPr>
        <w:b/>
        <w:sz w:val="18"/>
      </w:rPr>
    </w:pPr>
    <w:r>
      <w:tab/>
    </w:r>
    <w:r w:rsidRPr="002C3382">
      <w:rPr>
        <w:b/>
        <w:sz w:val="18"/>
      </w:rPr>
      <w:fldChar w:fldCharType="begin"/>
    </w:r>
    <w:r w:rsidRPr="002C3382">
      <w:rPr>
        <w:b/>
        <w:sz w:val="18"/>
      </w:rPr>
      <w:instrText xml:space="preserve"> PAGE  \* MERGEFORMAT </w:instrText>
    </w:r>
    <w:r w:rsidRPr="002C3382">
      <w:rPr>
        <w:b/>
        <w:sz w:val="18"/>
      </w:rPr>
      <w:fldChar w:fldCharType="separate"/>
    </w:r>
    <w:r w:rsidRPr="002C3382">
      <w:rPr>
        <w:b/>
        <w:noProof/>
        <w:sz w:val="18"/>
      </w:rPr>
      <w:t>3</w:t>
    </w:r>
    <w:r w:rsidRPr="002C338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FDA6" w14:textId="77777777" w:rsidR="0035223F" w:rsidRPr="002C3382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60AEFE03" wp14:editId="34539388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6B4C" w14:textId="77777777" w:rsidR="00FB62DE" w:rsidRPr="000B175B" w:rsidRDefault="00FB62D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34BA74A" w14:textId="77777777" w:rsidR="00FB62DE" w:rsidRPr="00FC68B7" w:rsidRDefault="00FB62D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7321C26" w14:textId="77777777" w:rsidR="00FB62DE" w:rsidRDefault="00FB62DE"/>
  </w:footnote>
  <w:footnote w:id="2">
    <w:p w14:paraId="6B8C5718" w14:textId="716661CA" w:rsidR="00AA3082" w:rsidRPr="00AA3082" w:rsidRDefault="00AA3082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081575">
        <w:rPr>
          <w:rStyle w:val="FootnoteReference"/>
          <w:sz w:val="20"/>
        </w:rPr>
        <w:t>*</w:t>
      </w:r>
      <w:r>
        <w:rPr>
          <w:rStyle w:val="FootnoteReference"/>
          <w:sz w:val="20"/>
          <w:vertAlign w:val="baseline"/>
        </w:rPr>
        <w:tab/>
      </w:r>
      <w:r w:rsidR="00081575" w:rsidRPr="0082113E">
        <w:t>A/78/6 (Sect. 20), table 20.5</w:t>
      </w:r>
      <w:r w:rsidR="000815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499A" w14:textId="0475F31E" w:rsidR="002C3382" w:rsidRPr="002C3382" w:rsidRDefault="00000000">
    <w:pPr>
      <w:pStyle w:val="Header"/>
    </w:pPr>
    <w:fldSimple w:instr=" TITLE  \* MERGEFORMAT ">
      <w:r w:rsidR="002C3382">
        <w:t>ECE/TRANS/WP.15/2024/18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4714" w14:textId="25B8A122" w:rsidR="002C3382" w:rsidRPr="002C3382" w:rsidRDefault="00000000" w:rsidP="002C3382">
    <w:pPr>
      <w:pStyle w:val="Header"/>
      <w:jc w:val="right"/>
    </w:pPr>
    <w:fldSimple w:instr=" TITLE  \* MERGEFORMAT ">
      <w:r w:rsidR="002C3382">
        <w:t>ECE/TRANS/WP.15/2024/18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AC26D7"/>
    <w:multiLevelType w:val="hybridMultilevel"/>
    <w:tmpl w:val="A8E4D08C"/>
    <w:lvl w:ilvl="0" w:tplc="553AF64E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4B7A78"/>
    <w:multiLevelType w:val="hybridMultilevel"/>
    <w:tmpl w:val="4BEC1D74"/>
    <w:lvl w:ilvl="0" w:tplc="75FCA8B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535966">
    <w:abstractNumId w:val="1"/>
  </w:num>
  <w:num w:numId="2" w16cid:durableId="2094466713">
    <w:abstractNumId w:val="0"/>
  </w:num>
  <w:num w:numId="3" w16cid:durableId="284433736">
    <w:abstractNumId w:val="2"/>
  </w:num>
  <w:num w:numId="4" w16cid:durableId="300422825">
    <w:abstractNumId w:val="3"/>
  </w:num>
  <w:num w:numId="5" w16cid:durableId="578558149">
    <w:abstractNumId w:val="8"/>
  </w:num>
  <w:num w:numId="6" w16cid:durableId="566841621">
    <w:abstractNumId w:val="9"/>
  </w:num>
  <w:num w:numId="7" w16cid:durableId="1045061928">
    <w:abstractNumId w:val="7"/>
  </w:num>
  <w:num w:numId="8" w16cid:durableId="1959869090">
    <w:abstractNumId w:val="6"/>
  </w:num>
  <w:num w:numId="9" w16cid:durableId="1350570654">
    <w:abstractNumId w:val="5"/>
  </w:num>
  <w:num w:numId="10" w16cid:durableId="1026980321">
    <w:abstractNumId w:val="4"/>
  </w:num>
  <w:num w:numId="11" w16cid:durableId="2032681510">
    <w:abstractNumId w:val="16"/>
  </w:num>
  <w:num w:numId="12" w16cid:durableId="152379455">
    <w:abstractNumId w:val="15"/>
  </w:num>
  <w:num w:numId="13" w16cid:durableId="1160004449">
    <w:abstractNumId w:val="10"/>
  </w:num>
  <w:num w:numId="14" w16cid:durableId="487983318">
    <w:abstractNumId w:val="13"/>
  </w:num>
  <w:num w:numId="15" w16cid:durableId="328559707">
    <w:abstractNumId w:val="17"/>
  </w:num>
  <w:num w:numId="16" w16cid:durableId="510293901">
    <w:abstractNumId w:val="14"/>
  </w:num>
  <w:num w:numId="17" w16cid:durableId="910234546">
    <w:abstractNumId w:val="19"/>
  </w:num>
  <w:num w:numId="18" w16cid:durableId="1643802755">
    <w:abstractNumId w:val="20"/>
  </w:num>
  <w:num w:numId="19" w16cid:durableId="694308985">
    <w:abstractNumId w:val="11"/>
  </w:num>
  <w:num w:numId="20" w16cid:durableId="1549410368">
    <w:abstractNumId w:val="11"/>
  </w:num>
  <w:num w:numId="21" w16cid:durableId="1784768071">
    <w:abstractNumId w:val="18"/>
  </w:num>
  <w:num w:numId="22" w16cid:durableId="101295429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82"/>
    <w:rsid w:val="00002A7D"/>
    <w:rsid w:val="000038A8"/>
    <w:rsid w:val="00004BE4"/>
    <w:rsid w:val="00006790"/>
    <w:rsid w:val="00027624"/>
    <w:rsid w:val="00050F6B"/>
    <w:rsid w:val="000678CD"/>
    <w:rsid w:val="00072C8C"/>
    <w:rsid w:val="00081575"/>
    <w:rsid w:val="00081CE0"/>
    <w:rsid w:val="00084D30"/>
    <w:rsid w:val="00090320"/>
    <w:rsid w:val="000931C0"/>
    <w:rsid w:val="0009732C"/>
    <w:rsid w:val="00097D56"/>
    <w:rsid w:val="000A01F9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9154A"/>
    <w:rsid w:val="001A0452"/>
    <w:rsid w:val="001B4B04"/>
    <w:rsid w:val="001B5875"/>
    <w:rsid w:val="001C4B9C"/>
    <w:rsid w:val="001C6663"/>
    <w:rsid w:val="001C7895"/>
    <w:rsid w:val="001D26DF"/>
    <w:rsid w:val="001E555D"/>
    <w:rsid w:val="001F1599"/>
    <w:rsid w:val="001F19C4"/>
    <w:rsid w:val="002043F0"/>
    <w:rsid w:val="00211E0B"/>
    <w:rsid w:val="00232575"/>
    <w:rsid w:val="00247258"/>
    <w:rsid w:val="00257CAC"/>
    <w:rsid w:val="00264441"/>
    <w:rsid w:val="0027237A"/>
    <w:rsid w:val="002974E9"/>
    <w:rsid w:val="002A7F94"/>
    <w:rsid w:val="002B109A"/>
    <w:rsid w:val="002C3382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549D"/>
    <w:rsid w:val="003A46BB"/>
    <w:rsid w:val="003A4EC7"/>
    <w:rsid w:val="003A7295"/>
    <w:rsid w:val="003B1F60"/>
    <w:rsid w:val="003C2CC4"/>
    <w:rsid w:val="003D4B23"/>
    <w:rsid w:val="003E278A"/>
    <w:rsid w:val="003E440B"/>
    <w:rsid w:val="003E738B"/>
    <w:rsid w:val="00400933"/>
    <w:rsid w:val="00413520"/>
    <w:rsid w:val="00430D57"/>
    <w:rsid w:val="004325CB"/>
    <w:rsid w:val="00440A07"/>
    <w:rsid w:val="00462880"/>
    <w:rsid w:val="00476F24"/>
    <w:rsid w:val="004A6A92"/>
    <w:rsid w:val="004C55B0"/>
    <w:rsid w:val="004F6BA0"/>
    <w:rsid w:val="00503BEA"/>
    <w:rsid w:val="00525D26"/>
    <w:rsid w:val="00533616"/>
    <w:rsid w:val="00535ABA"/>
    <w:rsid w:val="0053768B"/>
    <w:rsid w:val="005420F2"/>
    <w:rsid w:val="0054285C"/>
    <w:rsid w:val="00584173"/>
    <w:rsid w:val="00592005"/>
    <w:rsid w:val="00595520"/>
    <w:rsid w:val="005A44B9"/>
    <w:rsid w:val="005B1BA0"/>
    <w:rsid w:val="005B3DB3"/>
    <w:rsid w:val="005B6C52"/>
    <w:rsid w:val="005D15CA"/>
    <w:rsid w:val="005D7969"/>
    <w:rsid w:val="005F08DF"/>
    <w:rsid w:val="005F3066"/>
    <w:rsid w:val="005F3E61"/>
    <w:rsid w:val="00604DDD"/>
    <w:rsid w:val="006115CC"/>
    <w:rsid w:val="00611FC4"/>
    <w:rsid w:val="006125D8"/>
    <w:rsid w:val="006176FB"/>
    <w:rsid w:val="00630FCB"/>
    <w:rsid w:val="00640B26"/>
    <w:rsid w:val="0065766B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73E0"/>
    <w:rsid w:val="0072632A"/>
    <w:rsid w:val="007358E8"/>
    <w:rsid w:val="00736ECE"/>
    <w:rsid w:val="0074533B"/>
    <w:rsid w:val="007643BC"/>
    <w:rsid w:val="007801C5"/>
    <w:rsid w:val="00780C68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72DD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B570B"/>
    <w:rsid w:val="008D045E"/>
    <w:rsid w:val="008D3F25"/>
    <w:rsid w:val="008D4D82"/>
    <w:rsid w:val="008E0E46"/>
    <w:rsid w:val="008E7116"/>
    <w:rsid w:val="008F143B"/>
    <w:rsid w:val="008F373E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6365"/>
    <w:rsid w:val="009E6CB7"/>
    <w:rsid w:val="009E7970"/>
    <w:rsid w:val="009F2EAC"/>
    <w:rsid w:val="009F57E3"/>
    <w:rsid w:val="00A00E8A"/>
    <w:rsid w:val="00A10F4F"/>
    <w:rsid w:val="00A11067"/>
    <w:rsid w:val="00A1704A"/>
    <w:rsid w:val="00A17C43"/>
    <w:rsid w:val="00A425EB"/>
    <w:rsid w:val="00A72F22"/>
    <w:rsid w:val="00A733BC"/>
    <w:rsid w:val="00A748A6"/>
    <w:rsid w:val="00A76A69"/>
    <w:rsid w:val="00A879A4"/>
    <w:rsid w:val="00AA0FF8"/>
    <w:rsid w:val="00AA3082"/>
    <w:rsid w:val="00AC0F2C"/>
    <w:rsid w:val="00AC502A"/>
    <w:rsid w:val="00AF58C1"/>
    <w:rsid w:val="00B04A3F"/>
    <w:rsid w:val="00B06643"/>
    <w:rsid w:val="00B15055"/>
    <w:rsid w:val="00B20551"/>
    <w:rsid w:val="00B23D55"/>
    <w:rsid w:val="00B30179"/>
    <w:rsid w:val="00B33FC7"/>
    <w:rsid w:val="00B37B15"/>
    <w:rsid w:val="00B45C02"/>
    <w:rsid w:val="00B70B63"/>
    <w:rsid w:val="00B72A1E"/>
    <w:rsid w:val="00B81E12"/>
    <w:rsid w:val="00B85E14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745C3"/>
    <w:rsid w:val="00C978F5"/>
    <w:rsid w:val="00CA24A4"/>
    <w:rsid w:val="00CB348D"/>
    <w:rsid w:val="00CD46F5"/>
    <w:rsid w:val="00CE4A8F"/>
    <w:rsid w:val="00CE78F6"/>
    <w:rsid w:val="00CF071D"/>
    <w:rsid w:val="00D0123D"/>
    <w:rsid w:val="00D15B04"/>
    <w:rsid w:val="00D2031B"/>
    <w:rsid w:val="00D20C65"/>
    <w:rsid w:val="00D25FE2"/>
    <w:rsid w:val="00D3125D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74C35"/>
    <w:rsid w:val="00D978C6"/>
    <w:rsid w:val="00DA0956"/>
    <w:rsid w:val="00DA357F"/>
    <w:rsid w:val="00DA3E12"/>
    <w:rsid w:val="00DB0427"/>
    <w:rsid w:val="00DB6908"/>
    <w:rsid w:val="00DC18AD"/>
    <w:rsid w:val="00DE5CAB"/>
    <w:rsid w:val="00DF7CAE"/>
    <w:rsid w:val="00E423C0"/>
    <w:rsid w:val="00E637D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21786"/>
    <w:rsid w:val="00F22CCB"/>
    <w:rsid w:val="00F3742B"/>
    <w:rsid w:val="00F41FDB"/>
    <w:rsid w:val="00F50596"/>
    <w:rsid w:val="00F56D63"/>
    <w:rsid w:val="00F609A9"/>
    <w:rsid w:val="00F80C99"/>
    <w:rsid w:val="00F867EC"/>
    <w:rsid w:val="00F91B2B"/>
    <w:rsid w:val="00FB62DE"/>
    <w:rsid w:val="00FC03CD"/>
    <w:rsid w:val="00FC060A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EEDE"/>
  <w15:docId w15:val="{221BD86D-F263-433E-8A27-4A86C63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HChGChar">
    <w:name w:val="_ H _Ch_G Char"/>
    <w:link w:val="HChG"/>
    <w:rsid w:val="00AA3082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9E63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zh-CN"/>
    </w:rPr>
  </w:style>
  <w:style w:type="paragraph" w:styleId="Revision">
    <w:name w:val="Revision"/>
    <w:hidden/>
    <w:uiPriority w:val="99"/>
    <w:semiHidden/>
    <w:rsid w:val="00DE5CAB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-GARCI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C34CB-65B0-4A8F-9708-33E9D153C123}"/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28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ECE/TRANS/WP.15/2024/18</dc:title>
  <dc:creator>Alicia DORCA-GARCIA</dc:creator>
  <cp:lastModifiedBy>Alicia Dorca Garcia</cp:lastModifiedBy>
  <cp:revision>25</cp:revision>
  <cp:lastPrinted>2009-02-18T09:36:00Z</cp:lastPrinted>
  <dcterms:created xsi:type="dcterms:W3CDTF">2024-08-14T14:03:00Z</dcterms:created>
  <dcterms:modified xsi:type="dcterms:W3CDTF">2024-08-15T09:19:00Z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