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D849D0" w14:paraId="28D8247E" w14:textId="77777777" w:rsidTr="00B20551">
        <w:trPr>
          <w:cantSplit/>
          <w:trHeight w:hRule="exact" w:val="851"/>
        </w:trPr>
        <w:tc>
          <w:tcPr>
            <w:tcW w:w="1276" w:type="dxa"/>
            <w:tcBorders>
              <w:bottom w:val="single" w:sz="4" w:space="0" w:color="auto"/>
            </w:tcBorders>
            <w:vAlign w:val="bottom"/>
          </w:tcPr>
          <w:p w14:paraId="728DBD9A" w14:textId="77777777" w:rsidR="009E6CB7" w:rsidRPr="00D849D0" w:rsidRDefault="009E6CB7" w:rsidP="00B20551">
            <w:pPr>
              <w:spacing w:after="80"/>
            </w:pPr>
          </w:p>
        </w:tc>
        <w:tc>
          <w:tcPr>
            <w:tcW w:w="2268" w:type="dxa"/>
            <w:tcBorders>
              <w:bottom w:val="single" w:sz="4" w:space="0" w:color="auto"/>
            </w:tcBorders>
            <w:vAlign w:val="bottom"/>
          </w:tcPr>
          <w:p w14:paraId="42AFABFD" w14:textId="77777777" w:rsidR="009E6CB7" w:rsidRPr="00D849D0" w:rsidRDefault="009E6CB7" w:rsidP="00B20551">
            <w:pPr>
              <w:spacing w:after="80" w:line="300" w:lineRule="exact"/>
              <w:rPr>
                <w:b/>
                <w:sz w:val="24"/>
                <w:szCs w:val="24"/>
              </w:rPr>
            </w:pPr>
            <w:r w:rsidRPr="00D849D0">
              <w:rPr>
                <w:sz w:val="28"/>
                <w:szCs w:val="28"/>
              </w:rPr>
              <w:t>United Nations</w:t>
            </w:r>
          </w:p>
        </w:tc>
        <w:tc>
          <w:tcPr>
            <w:tcW w:w="6095" w:type="dxa"/>
            <w:gridSpan w:val="2"/>
            <w:tcBorders>
              <w:bottom w:val="single" w:sz="4" w:space="0" w:color="auto"/>
            </w:tcBorders>
            <w:vAlign w:val="bottom"/>
          </w:tcPr>
          <w:p w14:paraId="6865EA3D" w14:textId="188D244C" w:rsidR="009E6CB7" w:rsidRPr="00D849D0" w:rsidRDefault="00566C2E" w:rsidP="00566C2E">
            <w:pPr>
              <w:jc w:val="right"/>
            </w:pPr>
            <w:r w:rsidRPr="00D849D0">
              <w:rPr>
                <w:sz w:val="40"/>
              </w:rPr>
              <w:t>ECE</w:t>
            </w:r>
            <w:r w:rsidRPr="00D849D0">
              <w:t>/TRANS/WP.15/2024/16</w:t>
            </w:r>
          </w:p>
        </w:tc>
      </w:tr>
      <w:tr w:rsidR="009E6CB7" w:rsidRPr="00D849D0" w14:paraId="7CA60365" w14:textId="77777777" w:rsidTr="00B20551">
        <w:trPr>
          <w:cantSplit/>
          <w:trHeight w:hRule="exact" w:val="2835"/>
        </w:trPr>
        <w:tc>
          <w:tcPr>
            <w:tcW w:w="1276" w:type="dxa"/>
            <w:tcBorders>
              <w:top w:val="single" w:sz="4" w:space="0" w:color="auto"/>
              <w:bottom w:val="single" w:sz="12" w:space="0" w:color="auto"/>
            </w:tcBorders>
          </w:tcPr>
          <w:p w14:paraId="06FCB2B2" w14:textId="77777777" w:rsidR="009E6CB7" w:rsidRPr="00D849D0" w:rsidRDefault="00686A48" w:rsidP="00B20551">
            <w:pPr>
              <w:spacing w:before="120"/>
            </w:pPr>
            <w:r w:rsidRPr="008D2B95">
              <w:rPr>
                <w:noProof/>
                <w:lang w:eastAsia="fr-CH"/>
              </w:rPr>
              <w:drawing>
                <wp:inline distT="0" distB="0" distL="0" distR="0" wp14:anchorId="4D64938A" wp14:editId="267D02D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75FFDA1" w14:textId="77777777" w:rsidR="009E6CB7" w:rsidRPr="00D849D0" w:rsidRDefault="009E6CB7" w:rsidP="00B20551">
            <w:pPr>
              <w:spacing w:before="120" w:line="420" w:lineRule="exact"/>
              <w:rPr>
                <w:sz w:val="40"/>
                <w:szCs w:val="40"/>
              </w:rPr>
            </w:pPr>
            <w:r w:rsidRPr="00D849D0">
              <w:rPr>
                <w:b/>
                <w:sz w:val="40"/>
                <w:szCs w:val="40"/>
              </w:rPr>
              <w:t>Economic and Social Council</w:t>
            </w:r>
          </w:p>
        </w:tc>
        <w:tc>
          <w:tcPr>
            <w:tcW w:w="2835" w:type="dxa"/>
            <w:tcBorders>
              <w:top w:val="single" w:sz="4" w:space="0" w:color="auto"/>
              <w:bottom w:val="single" w:sz="12" w:space="0" w:color="auto"/>
            </w:tcBorders>
          </w:tcPr>
          <w:p w14:paraId="115309DA" w14:textId="77777777" w:rsidR="009E6CB7" w:rsidRPr="00D849D0" w:rsidRDefault="00566C2E" w:rsidP="00566C2E">
            <w:pPr>
              <w:spacing w:before="240" w:line="240" w:lineRule="exact"/>
            </w:pPr>
            <w:r w:rsidRPr="00D849D0">
              <w:t>Distr.: General</w:t>
            </w:r>
          </w:p>
          <w:p w14:paraId="4DA55E9F" w14:textId="01488EB9" w:rsidR="00566C2E" w:rsidRPr="00D849D0" w:rsidRDefault="004C5C86" w:rsidP="00566C2E">
            <w:pPr>
              <w:spacing w:line="240" w:lineRule="exact"/>
            </w:pPr>
            <w:r w:rsidRPr="00D849D0">
              <w:t xml:space="preserve">14 </w:t>
            </w:r>
            <w:r w:rsidR="00566C2E" w:rsidRPr="00D849D0">
              <w:t>August 2024</w:t>
            </w:r>
          </w:p>
          <w:p w14:paraId="180870A1" w14:textId="77777777" w:rsidR="00566C2E" w:rsidRPr="00D849D0" w:rsidRDefault="00566C2E" w:rsidP="00566C2E">
            <w:pPr>
              <w:spacing w:line="240" w:lineRule="exact"/>
            </w:pPr>
          </w:p>
          <w:p w14:paraId="2891CE59" w14:textId="16D5902E" w:rsidR="00566C2E" w:rsidRPr="00D849D0" w:rsidRDefault="00566C2E" w:rsidP="00566C2E">
            <w:pPr>
              <w:spacing w:line="240" w:lineRule="exact"/>
            </w:pPr>
            <w:r w:rsidRPr="00D849D0">
              <w:t>Original: English</w:t>
            </w:r>
          </w:p>
        </w:tc>
      </w:tr>
    </w:tbl>
    <w:p w14:paraId="59586648" w14:textId="77777777" w:rsidR="00566C2E" w:rsidRPr="00D849D0" w:rsidRDefault="00566C2E" w:rsidP="00C411EB">
      <w:pPr>
        <w:spacing w:before="120"/>
        <w:rPr>
          <w:b/>
          <w:sz w:val="28"/>
          <w:szCs w:val="28"/>
        </w:rPr>
      </w:pPr>
      <w:r w:rsidRPr="00D849D0">
        <w:rPr>
          <w:b/>
          <w:sz w:val="28"/>
          <w:szCs w:val="28"/>
        </w:rPr>
        <w:t>Economic Commission for Europe</w:t>
      </w:r>
    </w:p>
    <w:p w14:paraId="2F58CE3F" w14:textId="1ACBA766" w:rsidR="00566C2E" w:rsidRPr="00D849D0" w:rsidRDefault="00C06CF5" w:rsidP="00C20341">
      <w:pPr>
        <w:spacing w:before="120"/>
      </w:pPr>
      <w:r w:rsidRPr="00D849D0">
        <w:rPr>
          <w:sz w:val="28"/>
          <w:szCs w:val="28"/>
        </w:rPr>
        <w:t>Inland Transport Committe</w:t>
      </w:r>
      <w:r w:rsidR="00133D7D" w:rsidRPr="00D849D0">
        <w:rPr>
          <w:sz w:val="28"/>
          <w:szCs w:val="28"/>
        </w:rPr>
        <w:t>e</w:t>
      </w:r>
    </w:p>
    <w:p w14:paraId="7CED048D" w14:textId="77777777" w:rsidR="00566C2E" w:rsidRPr="00D849D0" w:rsidRDefault="00566C2E" w:rsidP="00C411EB">
      <w:pPr>
        <w:spacing w:before="120"/>
        <w:rPr>
          <w:b/>
          <w:sz w:val="24"/>
          <w:szCs w:val="24"/>
        </w:rPr>
      </w:pPr>
      <w:r w:rsidRPr="00D849D0">
        <w:rPr>
          <w:b/>
          <w:sz w:val="24"/>
          <w:szCs w:val="24"/>
        </w:rPr>
        <w:t>Working Party on the Transport of Dangerous Goods</w:t>
      </w:r>
    </w:p>
    <w:p w14:paraId="2BD481DF" w14:textId="6A75914D" w:rsidR="00566C2E" w:rsidRPr="00D849D0" w:rsidRDefault="006B465E" w:rsidP="00C411EB">
      <w:pPr>
        <w:spacing w:before="120"/>
        <w:rPr>
          <w:rFonts w:eastAsia="SimSun"/>
          <w:b/>
        </w:rPr>
      </w:pPr>
      <w:r w:rsidRPr="00D849D0">
        <w:rPr>
          <w:rFonts w:eastAsia="SimSun"/>
          <w:b/>
        </w:rPr>
        <w:t>116th</w:t>
      </w:r>
      <w:r w:rsidR="00566C2E" w:rsidRPr="00D849D0">
        <w:rPr>
          <w:rFonts w:eastAsia="SimSun"/>
          <w:b/>
        </w:rPr>
        <w:t xml:space="preserve"> session</w:t>
      </w:r>
    </w:p>
    <w:p w14:paraId="12870A2D" w14:textId="63006A3D" w:rsidR="00566C2E" w:rsidRPr="00D849D0" w:rsidRDefault="00566C2E" w:rsidP="00C411EB">
      <w:pPr>
        <w:rPr>
          <w:rFonts w:eastAsia="SimSun"/>
        </w:rPr>
      </w:pPr>
      <w:r w:rsidRPr="00D849D0">
        <w:rPr>
          <w:rFonts w:eastAsia="SimSun"/>
        </w:rPr>
        <w:t xml:space="preserve">Geneva, </w:t>
      </w:r>
      <w:r w:rsidR="006B465E" w:rsidRPr="00D849D0">
        <w:rPr>
          <w:rFonts w:eastAsia="SimSun"/>
        </w:rPr>
        <w:t>5-8 November 2024</w:t>
      </w:r>
    </w:p>
    <w:p w14:paraId="619E22BB" w14:textId="69E9F452" w:rsidR="00566C2E" w:rsidRPr="00D849D0" w:rsidRDefault="00566C2E" w:rsidP="00C411EB">
      <w:pPr>
        <w:autoSpaceDE w:val="0"/>
        <w:autoSpaceDN w:val="0"/>
        <w:adjustRightInd w:val="0"/>
      </w:pPr>
      <w:r w:rsidRPr="00D849D0">
        <w:t xml:space="preserve">Item </w:t>
      </w:r>
      <w:r w:rsidR="006B465E" w:rsidRPr="00D849D0">
        <w:t>4 (a)</w:t>
      </w:r>
      <w:r w:rsidRPr="00D849D0">
        <w:t xml:space="preserve"> of the provisional agenda</w:t>
      </w:r>
    </w:p>
    <w:p w14:paraId="63DF741C" w14:textId="07B77602" w:rsidR="001C6663" w:rsidRPr="00D849D0" w:rsidRDefault="003A5FAA" w:rsidP="00C411EB">
      <w:pPr>
        <w:rPr>
          <w:b/>
          <w:sz w:val="22"/>
          <w:szCs w:val="22"/>
        </w:rPr>
      </w:pPr>
      <w:r w:rsidRPr="00D849D0">
        <w:rPr>
          <w:b/>
          <w:sz w:val="22"/>
          <w:szCs w:val="22"/>
        </w:rPr>
        <w:t>Proposals for amendments to annexes A and B of ADR:</w:t>
      </w:r>
      <w:r w:rsidR="00381F0A" w:rsidRPr="00D849D0">
        <w:rPr>
          <w:b/>
          <w:sz w:val="22"/>
          <w:szCs w:val="22"/>
        </w:rPr>
        <w:br/>
      </w:r>
      <w:r w:rsidR="00EF0B3A" w:rsidRPr="00D849D0">
        <w:rPr>
          <w:b/>
          <w:sz w:val="22"/>
          <w:szCs w:val="22"/>
        </w:rPr>
        <w:t xml:space="preserve">construction and approval of </w:t>
      </w:r>
      <w:proofErr w:type="gramStart"/>
      <w:r w:rsidR="00EF0B3A" w:rsidRPr="00D849D0">
        <w:rPr>
          <w:b/>
          <w:sz w:val="22"/>
          <w:szCs w:val="22"/>
        </w:rPr>
        <w:t>vehicles</w:t>
      </w:r>
      <w:proofErr w:type="gramEnd"/>
    </w:p>
    <w:p w14:paraId="3AE5AD06" w14:textId="5011AD2D" w:rsidR="00EF0B3A" w:rsidRPr="006109BA" w:rsidRDefault="007D4445" w:rsidP="007D4445">
      <w:pPr>
        <w:pStyle w:val="HChG"/>
      </w:pPr>
      <w:r w:rsidRPr="00D849D0">
        <w:tab/>
      </w:r>
      <w:r w:rsidRPr="00D849D0">
        <w:tab/>
        <w:t xml:space="preserve">Section 9.7.6 – Rear protection of </w:t>
      </w:r>
      <w:r w:rsidRPr="006109BA">
        <w:t>vehicles</w:t>
      </w:r>
    </w:p>
    <w:p w14:paraId="407A6F89" w14:textId="11CDC8AD" w:rsidR="007D4445" w:rsidRPr="006109BA" w:rsidRDefault="00F1098D" w:rsidP="007D4445">
      <w:pPr>
        <w:pStyle w:val="H1G"/>
      </w:pPr>
      <w:r w:rsidRPr="006109BA">
        <w:tab/>
      </w:r>
      <w:r w:rsidRPr="006109BA">
        <w:tab/>
        <w:t>Transmitted by the Government of the United Kingdom</w:t>
      </w:r>
      <w:r w:rsidR="00F6034B" w:rsidRPr="006109BA">
        <w:t xml:space="preserve"> of </w:t>
      </w:r>
      <w:r w:rsidR="00F46620" w:rsidRPr="006109BA">
        <w:t>Great Britain and Northern Ireland</w:t>
      </w:r>
      <w:r w:rsidR="00F6034B" w:rsidRPr="006109BA">
        <w:rPr>
          <w:rStyle w:val="FootnoteReference"/>
          <w:sz w:val="20"/>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1098D" w:rsidRPr="00D849D0" w14:paraId="359D76F8" w14:textId="77777777" w:rsidTr="006E5E26">
        <w:trPr>
          <w:jc w:val="center"/>
        </w:trPr>
        <w:tc>
          <w:tcPr>
            <w:tcW w:w="9637" w:type="dxa"/>
            <w:shd w:val="clear" w:color="auto" w:fill="auto"/>
          </w:tcPr>
          <w:p w14:paraId="5605BFD7" w14:textId="77777777" w:rsidR="00F1098D" w:rsidRPr="00D849D0" w:rsidRDefault="00F1098D" w:rsidP="006E5E26">
            <w:pPr>
              <w:spacing w:before="240" w:after="120"/>
              <w:ind w:left="255"/>
              <w:rPr>
                <w:i/>
                <w:sz w:val="24"/>
              </w:rPr>
            </w:pPr>
            <w:r w:rsidRPr="00D849D0">
              <w:rPr>
                <w:i/>
                <w:sz w:val="24"/>
              </w:rPr>
              <w:t>Summary</w:t>
            </w:r>
          </w:p>
        </w:tc>
      </w:tr>
      <w:tr w:rsidR="00F1098D" w:rsidRPr="00D849D0" w14:paraId="49C733EE" w14:textId="77777777" w:rsidTr="006E5E26">
        <w:trPr>
          <w:jc w:val="center"/>
        </w:trPr>
        <w:tc>
          <w:tcPr>
            <w:tcW w:w="9637" w:type="dxa"/>
            <w:shd w:val="clear" w:color="auto" w:fill="auto"/>
          </w:tcPr>
          <w:p w14:paraId="2FA92F1A" w14:textId="6D5195C3" w:rsidR="00F1098D" w:rsidRPr="00D849D0" w:rsidRDefault="00F04062" w:rsidP="004F70B2">
            <w:pPr>
              <w:tabs>
                <w:tab w:val="left" w:pos="3260"/>
              </w:tabs>
              <w:ind w:left="3260" w:right="292" w:hanging="2419"/>
              <w:rPr>
                <w:bCs/>
              </w:rPr>
            </w:pPr>
            <w:r w:rsidRPr="00D849D0">
              <w:rPr>
                <w:b/>
              </w:rPr>
              <w:t>Executive summary:</w:t>
            </w:r>
            <w:r w:rsidRPr="00D849D0">
              <w:rPr>
                <w:bCs/>
              </w:rPr>
              <w:tab/>
              <w:t>Proposals to clarify the requirements of ADR 9.7.6 in respect to the rear protection of vehicles and the minimum distance required between the rear of a tank and the rear of the bumper to ensure a uniform interpretation.</w:t>
            </w:r>
          </w:p>
          <w:p w14:paraId="20129E69" w14:textId="77777777" w:rsidR="00F04062" w:rsidRPr="00D849D0" w:rsidRDefault="00A87564" w:rsidP="004F70B2">
            <w:pPr>
              <w:tabs>
                <w:tab w:val="left" w:pos="3260"/>
              </w:tabs>
              <w:ind w:left="3260" w:right="292" w:hanging="2419"/>
              <w:rPr>
                <w:bCs/>
              </w:rPr>
            </w:pPr>
            <w:r w:rsidRPr="00D849D0">
              <w:rPr>
                <w:b/>
              </w:rPr>
              <w:t>Action to be taken:</w:t>
            </w:r>
            <w:r w:rsidRPr="00D849D0">
              <w:rPr>
                <w:bCs/>
              </w:rPr>
              <w:tab/>
              <w:t>Amend ADR 9.7.6.</w:t>
            </w:r>
          </w:p>
          <w:p w14:paraId="32979B76" w14:textId="7DB5C629" w:rsidR="004F70B2" w:rsidRPr="00D849D0" w:rsidRDefault="004F70B2" w:rsidP="004F70B2">
            <w:pPr>
              <w:tabs>
                <w:tab w:val="left" w:pos="3260"/>
              </w:tabs>
              <w:ind w:left="3260" w:right="292" w:hanging="2419"/>
            </w:pPr>
            <w:r w:rsidRPr="00D849D0">
              <w:rPr>
                <w:b/>
              </w:rPr>
              <w:t>Related documents:</w:t>
            </w:r>
            <w:r w:rsidRPr="00D849D0">
              <w:rPr>
                <w:b/>
              </w:rPr>
              <w:tab/>
            </w:r>
            <w:r w:rsidRPr="00D849D0">
              <w:rPr>
                <w:bCs/>
              </w:rPr>
              <w:t xml:space="preserve">ECE/TRANS/WP.15/2020/5 </w:t>
            </w:r>
            <w:r w:rsidR="004C5C86" w:rsidRPr="00D849D0">
              <w:rPr>
                <w:bCs/>
              </w:rPr>
              <w:t xml:space="preserve">and informal document </w:t>
            </w:r>
            <w:r w:rsidR="005275FD" w:rsidRPr="00D849D0">
              <w:rPr>
                <w:bCs/>
              </w:rPr>
              <w:t>INF.</w:t>
            </w:r>
            <w:r w:rsidR="007523E0" w:rsidRPr="00D849D0">
              <w:rPr>
                <w:bCs/>
              </w:rPr>
              <w:t xml:space="preserve">16 </w:t>
            </w:r>
            <w:r w:rsidR="005275FD" w:rsidRPr="00D849D0">
              <w:rPr>
                <w:bCs/>
              </w:rPr>
              <w:t>(</w:t>
            </w:r>
            <w:r w:rsidR="007523E0" w:rsidRPr="00D849D0">
              <w:rPr>
                <w:bCs/>
              </w:rPr>
              <w:t>108th session</w:t>
            </w:r>
            <w:r w:rsidR="005275FD" w:rsidRPr="00D849D0">
              <w:rPr>
                <w:bCs/>
              </w:rPr>
              <w:t>);</w:t>
            </w:r>
            <w:r w:rsidR="007523E0" w:rsidRPr="00D849D0">
              <w:rPr>
                <w:bCs/>
              </w:rPr>
              <w:br/>
            </w:r>
            <w:r w:rsidRPr="00D849D0">
              <w:rPr>
                <w:bCs/>
              </w:rPr>
              <w:t>ECE</w:t>
            </w:r>
            <w:r w:rsidR="007523E0" w:rsidRPr="00D849D0">
              <w:rPr>
                <w:bCs/>
              </w:rPr>
              <w:t>/</w:t>
            </w:r>
            <w:r w:rsidRPr="00D849D0">
              <w:rPr>
                <w:bCs/>
              </w:rPr>
              <w:t>TRANS</w:t>
            </w:r>
            <w:r w:rsidR="007523E0" w:rsidRPr="00D849D0">
              <w:rPr>
                <w:bCs/>
              </w:rPr>
              <w:t>/</w:t>
            </w:r>
            <w:r w:rsidRPr="00D849D0">
              <w:rPr>
                <w:bCs/>
              </w:rPr>
              <w:t>WP</w:t>
            </w:r>
            <w:r w:rsidR="0056565D">
              <w:rPr>
                <w:bCs/>
              </w:rPr>
              <w:t>.</w:t>
            </w:r>
            <w:r w:rsidRPr="00D849D0">
              <w:rPr>
                <w:bCs/>
              </w:rPr>
              <w:t>15</w:t>
            </w:r>
            <w:r w:rsidR="007523E0" w:rsidRPr="00D849D0">
              <w:rPr>
                <w:bCs/>
              </w:rPr>
              <w:t>/</w:t>
            </w:r>
            <w:r w:rsidRPr="00D849D0">
              <w:rPr>
                <w:bCs/>
              </w:rPr>
              <w:t>2021</w:t>
            </w:r>
            <w:r w:rsidR="007523E0" w:rsidRPr="00D849D0">
              <w:rPr>
                <w:bCs/>
              </w:rPr>
              <w:t>/</w:t>
            </w:r>
            <w:r w:rsidRPr="00D849D0">
              <w:rPr>
                <w:bCs/>
              </w:rPr>
              <w:t xml:space="preserve">7 </w:t>
            </w:r>
            <w:r w:rsidR="007523E0" w:rsidRPr="00D849D0">
              <w:rPr>
                <w:bCs/>
              </w:rPr>
              <w:t xml:space="preserve">and informal document </w:t>
            </w:r>
            <w:r w:rsidR="005275FD" w:rsidRPr="00D849D0">
              <w:rPr>
                <w:bCs/>
              </w:rPr>
              <w:t>INF.</w:t>
            </w:r>
            <w:r w:rsidR="007523E0" w:rsidRPr="00D849D0">
              <w:rPr>
                <w:bCs/>
              </w:rPr>
              <w:t xml:space="preserve">5 </w:t>
            </w:r>
            <w:r w:rsidR="005275FD" w:rsidRPr="00D849D0">
              <w:rPr>
                <w:bCs/>
              </w:rPr>
              <w:t>(</w:t>
            </w:r>
            <w:r w:rsidR="007523E0" w:rsidRPr="00D849D0">
              <w:rPr>
                <w:bCs/>
              </w:rPr>
              <w:t>109th session</w:t>
            </w:r>
            <w:r w:rsidR="005275FD" w:rsidRPr="00D849D0">
              <w:rPr>
                <w:bCs/>
              </w:rPr>
              <w:t>);</w:t>
            </w:r>
            <w:r w:rsidR="007523E0" w:rsidRPr="00D849D0">
              <w:rPr>
                <w:bCs/>
              </w:rPr>
              <w:br/>
            </w:r>
            <w:r w:rsidRPr="00D849D0">
              <w:rPr>
                <w:bCs/>
              </w:rPr>
              <w:t>ECE-TRANS/WP.15/253 para</w:t>
            </w:r>
            <w:r w:rsidR="005275FD" w:rsidRPr="00D849D0">
              <w:rPr>
                <w:bCs/>
              </w:rPr>
              <w:t>graphs</w:t>
            </w:r>
            <w:r w:rsidRPr="00D849D0">
              <w:rPr>
                <w:bCs/>
              </w:rPr>
              <w:t xml:space="preserve"> 19-22</w:t>
            </w:r>
            <w:r w:rsidR="005275FD" w:rsidRPr="00D849D0">
              <w:rPr>
                <w:bCs/>
              </w:rPr>
              <w:t>;</w:t>
            </w:r>
            <w:r w:rsidR="005275FD" w:rsidRPr="00D849D0">
              <w:rPr>
                <w:bCs/>
              </w:rPr>
              <w:br/>
            </w:r>
            <w:r w:rsidRPr="00D849D0">
              <w:rPr>
                <w:bCs/>
              </w:rPr>
              <w:t>ECE/TRANS/WP.15/AC.1/158/Add.1 (item 9)</w:t>
            </w:r>
            <w:r w:rsidR="005275FD" w:rsidRPr="00D849D0">
              <w:rPr>
                <w:bCs/>
              </w:rPr>
              <w:t>;</w:t>
            </w:r>
            <w:r w:rsidR="005275FD" w:rsidRPr="00D849D0">
              <w:rPr>
                <w:bCs/>
              </w:rPr>
              <w:br/>
            </w:r>
            <w:r w:rsidRPr="00D849D0">
              <w:rPr>
                <w:bCs/>
              </w:rPr>
              <w:t xml:space="preserve">ECE/TRANS/WP.15/2023/1 </w:t>
            </w:r>
            <w:r w:rsidR="005275FD" w:rsidRPr="00D849D0">
              <w:rPr>
                <w:bCs/>
              </w:rPr>
              <w:t xml:space="preserve">and informal document </w:t>
            </w:r>
            <w:r w:rsidRPr="00D849D0">
              <w:rPr>
                <w:bCs/>
              </w:rPr>
              <w:t>INF.9 (113</w:t>
            </w:r>
            <w:r w:rsidR="006D445E" w:rsidRPr="00D849D0">
              <w:rPr>
                <w:bCs/>
              </w:rPr>
              <w:t>th</w:t>
            </w:r>
            <w:r w:rsidRPr="00D849D0">
              <w:rPr>
                <w:bCs/>
              </w:rPr>
              <w:t xml:space="preserve"> session)</w:t>
            </w:r>
            <w:r w:rsidR="005275FD" w:rsidRPr="00D849D0">
              <w:rPr>
                <w:bCs/>
              </w:rPr>
              <w:t>;</w:t>
            </w:r>
            <w:r w:rsidR="005275FD" w:rsidRPr="00D849D0">
              <w:rPr>
                <w:bCs/>
              </w:rPr>
              <w:br/>
            </w:r>
            <w:r w:rsidRPr="00D849D0">
              <w:t>ECE/TRANS/WP.15/262</w:t>
            </w:r>
            <w:r w:rsidR="005275FD" w:rsidRPr="00D849D0">
              <w:t>;</w:t>
            </w:r>
          </w:p>
          <w:p w14:paraId="7D33C306" w14:textId="62BCDCE2" w:rsidR="004F70B2" w:rsidRPr="00D849D0" w:rsidRDefault="004F70B2" w:rsidP="00D634F5">
            <w:pPr>
              <w:tabs>
                <w:tab w:val="left" w:pos="3260"/>
              </w:tabs>
              <w:ind w:left="3253" w:right="292" w:firstLine="7"/>
              <w:rPr>
                <w:bCs/>
              </w:rPr>
            </w:pPr>
            <w:r w:rsidRPr="00D849D0">
              <w:rPr>
                <w:bCs/>
              </w:rPr>
              <w:t xml:space="preserve">ECE/TRANS/WP.15/2023/13 </w:t>
            </w:r>
            <w:r w:rsidR="005275FD" w:rsidRPr="00D849D0">
              <w:rPr>
                <w:bCs/>
              </w:rPr>
              <w:t>and informal document</w:t>
            </w:r>
            <w:r w:rsidRPr="00D849D0">
              <w:rPr>
                <w:bCs/>
              </w:rPr>
              <w:t xml:space="preserve"> INF.22</w:t>
            </w:r>
            <w:r w:rsidR="00D634F5" w:rsidRPr="00D849D0">
              <w:rPr>
                <w:bCs/>
              </w:rPr>
              <w:t xml:space="preserve"> (114th session</w:t>
            </w:r>
            <w:proofErr w:type="gramStart"/>
            <w:r w:rsidR="00D634F5" w:rsidRPr="00D849D0">
              <w:rPr>
                <w:bCs/>
              </w:rPr>
              <w:t>);</w:t>
            </w:r>
            <w:proofErr w:type="gramEnd"/>
          </w:p>
          <w:p w14:paraId="45CDB01F" w14:textId="3601C465" w:rsidR="004F70B2" w:rsidRPr="00D849D0" w:rsidRDefault="004F70B2" w:rsidP="004F70B2">
            <w:pPr>
              <w:tabs>
                <w:tab w:val="left" w:pos="3260"/>
              </w:tabs>
              <w:ind w:left="5679" w:right="292" w:hanging="2419"/>
              <w:rPr>
                <w:bCs/>
              </w:rPr>
            </w:pPr>
            <w:r w:rsidRPr="00D849D0">
              <w:rPr>
                <w:bCs/>
              </w:rPr>
              <w:t>ECE/TRANS/WP.15/2024/</w:t>
            </w:r>
            <w:proofErr w:type="gramStart"/>
            <w:r w:rsidRPr="00D849D0">
              <w:rPr>
                <w:bCs/>
              </w:rPr>
              <w:t>6</w:t>
            </w:r>
            <w:r w:rsidR="00D634F5" w:rsidRPr="00D849D0">
              <w:rPr>
                <w:bCs/>
              </w:rPr>
              <w:t>;</w:t>
            </w:r>
            <w:proofErr w:type="gramEnd"/>
          </w:p>
          <w:p w14:paraId="74E9D617" w14:textId="41801858" w:rsidR="00A87564" w:rsidRPr="00D849D0" w:rsidRDefault="004F70B2" w:rsidP="004F70B2">
            <w:pPr>
              <w:tabs>
                <w:tab w:val="left" w:pos="3260"/>
              </w:tabs>
              <w:ind w:left="5679" w:right="292" w:hanging="2419"/>
            </w:pPr>
            <w:r w:rsidRPr="00D849D0">
              <w:rPr>
                <w:bCs/>
              </w:rPr>
              <w:t>ECE/TRANS/WP.15/267</w:t>
            </w:r>
            <w:r w:rsidR="0056565D">
              <w:rPr>
                <w:bCs/>
              </w:rPr>
              <w:t>.</w:t>
            </w:r>
          </w:p>
        </w:tc>
      </w:tr>
      <w:tr w:rsidR="00F1098D" w:rsidRPr="00D849D0" w14:paraId="3A24DD3B" w14:textId="77777777" w:rsidTr="006E5E26">
        <w:trPr>
          <w:jc w:val="center"/>
        </w:trPr>
        <w:tc>
          <w:tcPr>
            <w:tcW w:w="9637" w:type="dxa"/>
            <w:shd w:val="clear" w:color="auto" w:fill="auto"/>
          </w:tcPr>
          <w:p w14:paraId="7A2009CC" w14:textId="77777777" w:rsidR="00F1098D" w:rsidRPr="00D849D0" w:rsidRDefault="00F1098D" w:rsidP="006E5E26"/>
        </w:tc>
      </w:tr>
    </w:tbl>
    <w:p w14:paraId="717ED624" w14:textId="7DB60520" w:rsidR="00F60E9F" w:rsidRPr="006109BA" w:rsidRDefault="00F60E9F" w:rsidP="00F1098D"/>
    <w:p w14:paraId="4AEF8599" w14:textId="77777777" w:rsidR="00F60E9F" w:rsidRPr="006109BA" w:rsidRDefault="00F60E9F">
      <w:r w:rsidRPr="006109BA">
        <w:br w:type="page"/>
      </w:r>
    </w:p>
    <w:p w14:paraId="1215DFFE" w14:textId="3C23A7BC" w:rsidR="004317D5" w:rsidRPr="00D849D0" w:rsidRDefault="004317D5" w:rsidP="004317D5">
      <w:pPr>
        <w:pStyle w:val="HChG"/>
      </w:pPr>
      <w:r w:rsidRPr="00D849D0">
        <w:lastRenderedPageBreak/>
        <w:tab/>
      </w:r>
      <w:r w:rsidR="001E79D7" w:rsidRPr="00D849D0">
        <w:t>I.</w:t>
      </w:r>
      <w:r w:rsidR="001E79D7" w:rsidRPr="00D849D0">
        <w:tab/>
      </w:r>
      <w:r w:rsidRPr="00D849D0">
        <w:t>Background</w:t>
      </w:r>
    </w:p>
    <w:p w14:paraId="6C3EC1E0" w14:textId="2C8A0D83" w:rsidR="004317D5" w:rsidRPr="008D2B95" w:rsidRDefault="004317D5" w:rsidP="004317D5">
      <w:pPr>
        <w:pStyle w:val="SingleTxtG"/>
      </w:pPr>
      <w:r w:rsidRPr="00D849D0">
        <w:t>1.</w:t>
      </w:r>
      <w:r w:rsidRPr="00D849D0">
        <w:tab/>
        <w:t>Proposals submitted to the 108</w:t>
      </w:r>
      <w:r w:rsidR="00973A9F" w:rsidRPr="00D849D0">
        <w:t>th</w:t>
      </w:r>
      <w:r w:rsidRPr="00D849D0">
        <w:t>, 109</w:t>
      </w:r>
      <w:r w:rsidR="00973A9F" w:rsidRPr="00D849D0">
        <w:t>th</w:t>
      </w:r>
      <w:r w:rsidRPr="00D849D0">
        <w:t>, 113</w:t>
      </w:r>
      <w:r w:rsidR="00973A9F" w:rsidRPr="00D849D0">
        <w:t>th</w:t>
      </w:r>
      <w:r w:rsidRPr="00D849D0">
        <w:t>, 114</w:t>
      </w:r>
      <w:r w:rsidR="00F5215A" w:rsidRPr="00D849D0">
        <w:t>th</w:t>
      </w:r>
      <w:r w:rsidRPr="00D849D0">
        <w:rPr>
          <w:vertAlign w:val="superscript"/>
        </w:rPr>
        <w:t xml:space="preserve"> </w:t>
      </w:r>
      <w:r w:rsidR="00F5215A" w:rsidRPr="00D849D0">
        <w:t>and</w:t>
      </w:r>
      <w:r w:rsidR="00D634F5" w:rsidRPr="00D849D0">
        <w:t xml:space="preserve"> </w:t>
      </w:r>
      <w:r w:rsidRPr="00D849D0">
        <w:t>115</w:t>
      </w:r>
      <w:r w:rsidR="00F5215A" w:rsidRPr="00D849D0">
        <w:t>th</w:t>
      </w:r>
      <w:r w:rsidRPr="00D849D0">
        <w:t xml:space="preserve"> sessions of </w:t>
      </w:r>
      <w:r w:rsidR="00D634F5" w:rsidRPr="00D849D0">
        <w:t>the Working Party</w:t>
      </w:r>
      <w:r w:rsidRPr="00D849D0">
        <w:t xml:space="preserve"> sought to clarify the reference points for measurement of the distance between the rear of a tank and the rear of the bumper which is set out in ADR 9.7.6. It should be noted that previous attempts have been made to clarify this distance over many years.</w:t>
      </w:r>
    </w:p>
    <w:p w14:paraId="353976CE" w14:textId="522F1C32" w:rsidR="004317D5" w:rsidRPr="00D849D0" w:rsidRDefault="00EF515B" w:rsidP="00EF515B">
      <w:pPr>
        <w:pStyle w:val="SingleTxtG"/>
        <w:rPr>
          <w:i/>
          <w:iCs/>
        </w:rPr>
      </w:pPr>
      <w:r w:rsidRPr="00D849D0">
        <w:t>2</w:t>
      </w:r>
      <w:r w:rsidR="004317D5" w:rsidRPr="00D849D0">
        <w:rPr>
          <w:i/>
          <w:iCs/>
        </w:rPr>
        <w:t>.</w:t>
      </w:r>
      <w:r w:rsidR="004317D5" w:rsidRPr="00D849D0">
        <w:rPr>
          <w:i/>
          <w:iCs/>
        </w:rPr>
        <w:tab/>
      </w:r>
      <w:r w:rsidR="004317D5" w:rsidRPr="00D849D0">
        <w:t>The report of the 115</w:t>
      </w:r>
      <w:r w:rsidR="003F397C" w:rsidRPr="00D849D0">
        <w:t>th</w:t>
      </w:r>
      <w:r w:rsidR="004317D5" w:rsidRPr="00D849D0">
        <w:t xml:space="preserve"> session (ECE/TRANS/WP.15/267) of April 2024 includes the following regarding the most recent (</w:t>
      </w:r>
      <w:r w:rsidR="00BB4573" w:rsidRPr="00D849D0">
        <w:t xml:space="preserve">document </w:t>
      </w:r>
      <w:r w:rsidR="004317D5" w:rsidRPr="00D849D0">
        <w:rPr>
          <w:bCs/>
        </w:rPr>
        <w:t xml:space="preserve">ECE/TRANS/WP.15/2024/6) </w:t>
      </w:r>
      <w:r w:rsidR="004317D5" w:rsidRPr="00D849D0">
        <w:t>proposal from the United Kingdom</w:t>
      </w:r>
      <w:r w:rsidR="00E32C5D" w:rsidRPr="00D849D0">
        <w:t>:</w:t>
      </w:r>
    </w:p>
    <w:p w14:paraId="38FB8C5B" w14:textId="74599AA1" w:rsidR="004317D5" w:rsidRPr="00D849D0" w:rsidRDefault="00865DE0" w:rsidP="00EF515B">
      <w:pPr>
        <w:pStyle w:val="SingleTxtG"/>
        <w:rPr>
          <w:i/>
          <w:iCs/>
        </w:rPr>
      </w:pPr>
      <w:r w:rsidRPr="00D849D0">
        <w:rPr>
          <w:i/>
          <w:iCs/>
        </w:rPr>
        <w:t>“</w:t>
      </w:r>
      <w:r w:rsidR="004317D5" w:rsidRPr="00D849D0">
        <w:rPr>
          <w:i/>
          <w:iCs/>
        </w:rPr>
        <w:t xml:space="preserve">The majority of delegations were in favour of the first option proposed by the United Kingdom, i.e. having the same minimum distance required between the tank and the bumper bar for all tanks. </w:t>
      </w:r>
    </w:p>
    <w:p w14:paraId="478F5E32" w14:textId="77777777" w:rsidR="004317D5" w:rsidRPr="00D849D0" w:rsidRDefault="004317D5" w:rsidP="00EF515B">
      <w:pPr>
        <w:pStyle w:val="SingleTxtG"/>
        <w:rPr>
          <w:i/>
          <w:iCs/>
        </w:rPr>
      </w:pPr>
      <w:r w:rsidRPr="00D849D0">
        <w:rPr>
          <w:i/>
          <w:iCs/>
        </w:rPr>
        <w:t xml:space="preserve">The Working Party agreed that certain points still needed to be clarified, </w:t>
      </w:r>
      <w:proofErr w:type="gramStart"/>
      <w:r w:rsidRPr="00D849D0">
        <w:rPr>
          <w:i/>
          <w:iCs/>
        </w:rPr>
        <w:t>in particular concerning</w:t>
      </w:r>
      <w:proofErr w:type="gramEnd"/>
      <w:r w:rsidRPr="00D849D0">
        <w:rPr>
          <w:i/>
          <w:iCs/>
        </w:rPr>
        <w:t xml:space="preserve"> the values kept in square brackets and the references to UN Regulation No. 58.</w:t>
      </w:r>
    </w:p>
    <w:p w14:paraId="20C27AAD" w14:textId="0CD24B2F" w:rsidR="004317D5" w:rsidRPr="00D849D0" w:rsidRDefault="004317D5" w:rsidP="00D944BC">
      <w:pPr>
        <w:pStyle w:val="SingleTxtG"/>
        <w:rPr>
          <w:i/>
          <w:iCs/>
        </w:rPr>
      </w:pPr>
      <w:r w:rsidRPr="00D849D0">
        <w:rPr>
          <w:i/>
          <w:iCs/>
        </w:rPr>
        <w:t xml:space="preserve">The Working Party noted that the United Kingdom would present a revised proposal at the next session, </w:t>
      </w:r>
      <w:proofErr w:type="gramStart"/>
      <w:r w:rsidRPr="00D849D0">
        <w:rPr>
          <w:i/>
          <w:iCs/>
        </w:rPr>
        <w:t>taking into account</w:t>
      </w:r>
      <w:proofErr w:type="gramEnd"/>
      <w:r w:rsidRPr="00D849D0">
        <w:rPr>
          <w:i/>
          <w:iCs/>
        </w:rPr>
        <w:t xml:space="preserve"> the comments received.</w:t>
      </w:r>
      <w:r w:rsidR="00865DE0" w:rsidRPr="00D849D0">
        <w:rPr>
          <w:i/>
          <w:iCs/>
        </w:rPr>
        <w:t>”</w:t>
      </w:r>
    </w:p>
    <w:p w14:paraId="07C49EE5" w14:textId="5868D55F" w:rsidR="004317D5" w:rsidRPr="00D849D0" w:rsidRDefault="00E26BC2" w:rsidP="00D944BC">
      <w:pPr>
        <w:pStyle w:val="SingleTxtG"/>
        <w:rPr>
          <w:b/>
          <w:bCs/>
        </w:rPr>
      </w:pPr>
      <w:r>
        <w:t>3</w:t>
      </w:r>
      <w:r w:rsidR="004317D5" w:rsidRPr="00D849D0">
        <w:t>.</w:t>
      </w:r>
      <w:r w:rsidR="004317D5" w:rsidRPr="00D849D0">
        <w:tab/>
        <w:t>The proposals contained in this paper have been developed with input from other contracting parties and industry representatives.</w:t>
      </w:r>
    </w:p>
    <w:p w14:paraId="1B432380" w14:textId="3F59CC14" w:rsidR="004317D5" w:rsidRPr="00D849D0" w:rsidRDefault="00D944BC" w:rsidP="00D944BC">
      <w:pPr>
        <w:pStyle w:val="HChG"/>
      </w:pPr>
      <w:r w:rsidRPr="00D849D0">
        <w:tab/>
      </w:r>
      <w:r w:rsidR="00746102" w:rsidRPr="00D849D0">
        <w:t>I</w:t>
      </w:r>
      <w:r w:rsidR="001E79D7" w:rsidRPr="00D849D0">
        <w:t>I</w:t>
      </w:r>
      <w:r w:rsidR="00746102" w:rsidRPr="00D849D0">
        <w:t>.</w:t>
      </w:r>
      <w:r w:rsidR="00746102" w:rsidRPr="00D849D0">
        <w:tab/>
      </w:r>
      <w:r w:rsidR="004317D5" w:rsidRPr="00D849D0">
        <w:t>Justification</w:t>
      </w:r>
    </w:p>
    <w:p w14:paraId="4955627D" w14:textId="34BF9E1E" w:rsidR="004317D5" w:rsidRPr="00D849D0" w:rsidRDefault="00E26BC2" w:rsidP="00D944BC">
      <w:pPr>
        <w:pStyle w:val="SingleTxtG"/>
      </w:pPr>
      <w:r>
        <w:t>4</w:t>
      </w:r>
      <w:r w:rsidR="004317D5" w:rsidRPr="00D849D0">
        <w:t>.</w:t>
      </w:r>
      <w:r w:rsidR="004317D5" w:rsidRPr="00D849D0">
        <w:tab/>
      </w:r>
      <w:r w:rsidR="006664F7" w:rsidRPr="00D849D0">
        <w:t xml:space="preserve">The Working Party </w:t>
      </w:r>
      <w:r w:rsidR="004317D5" w:rsidRPr="00D849D0">
        <w:t xml:space="preserve">asked the United Kingdom to present proposals to the April 2024 session offering delegates a choice between complex or more straightforward changes to 9.7.6. During lengthy discussions the majority were in favour of a simple proposal that offered the same minimum distance requirement between the tank and the bumper for all tanks. </w:t>
      </w:r>
    </w:p>
    <w:p w14:paraId="6178F744" w14:textId="45912200" w:rsidR="004317D5" w:rsidRPr="00D849D0" w:rsidRDefault="00E26BC2" w:rsidP="00D944BC">
      <w:pPr>
        <w:pStyle w:val="SingleTxtG"/>
      </w:pPr>
      <w:r>
        <w:t>5</w:t>
      </w:r>
      <w:r w:rsidR="004317D5" w:rsidRPr="00D849D0">
        <w:t>.</w:t>
      </w:r>
      <w:r w:rsidR="004317D5" w:rsidRPr="00D849D0">
        <w:tab/>
        <w:t>Based on feedback from delegations during 115</w:t>
      </w:r>
      <w:r w:rsidR="00345B02" w:rsidRPr="00D849D0">
        <w:t>th</w:t>
      </w:r>
      <w:r w:rsidR="004317D5" w:rsidRPr="00D849D0">
        <w:t xml:space="preserve"> session strong support exists for all tanks, irrespective of their construction, to have a bumper positioned at least 150 mm from the rearmost face of the bumper to the rearmost point of the tank (</w:t>
      </w:r>
      <w:r w:rsidR="004317D5" w:rsidRPr="008D2B95">
        <w:t>see fig</w:t>
      </w:r>
      <w:r w:rsidR="00261522" w:rsidRPr="008D2B95">
        <w:t>ures</w:t>
      </w:r>
      <w:r w:rsidR="00345B02" w:rsidRPr="008D2B95">
        <w:t xml:space="preserve"> </w:t>
      </w:r>
      <w:r w:rsidR="00261522" w:rsidRPr="008D2B95">
        <w:t>9.7.6.1.1 and 9.7.6.1.2</w:t>
      </w:r>
      <w:r w:rsidR="004317D5" w:rsidRPr="008D2B95">
        <w:t xml:space="preserve"> below</w:t>
      </w:r>
      <w:r w:rsidR="004317D5" w:rsidRPr="00D849D0">
        <w:t xml:space="preserve">). This proposal would offer a consistent measurement across all types of tanks and give a clear interpretation regarding standards </w:t>
      </w:r>
      <w:r w:rsidR="00716468" w:rsidRPr="00D849D0">
        <w:t xml:space="preserve">and </w:t>
      </w:r>
      <w:r w:rsidR="004317D5" w:rsidRPr="00D849D0">
        <w:t xml:space="preserve">approvals. </w:t>
      </w:r>
    </w:p>
    <w:p w14:paraId="7E092EE3" w14:textId="7813482F" w:rsidR="004317D5" w:rsidRPr="00D849D0" w:rsidRDefault="00E26BC2" w:rsidP="00D944BC">
      <w:pPr>
        <w:pStyle w:val="SingleTxtG"/>
      </w:pPr>
      <w:bookmarkStart w:id="0" w:name="_Hlk153957405"/>
      <w:r>
        <w:t>6</w:t>
      </w:r>
      <w:r w:rsidR="004317D5" w:rsidRPr="00D849D0">
        <w:t>.</w:t>
      </w:r>
      <w:r w:rsidR="004317D5" w:rsidRPr="00D849D0">
        <w:tab/>
        <w:t xml:space="preserve">As the definition is now described as ‘from the rearmost face of the bumper to the rearmost point of the tank’ this would cause a possible reduction in the measurement to the tank from the bumper for some contracting parties, equally for other contracting parties this may result in a small increase. </w:t>
      </w:r>
    </w:p>
    <w:p w14:paraId="04AA7C1D" w14:textId="230B620C" w:rsidR="004317D5" w:rsidRPr="00D849D0" w:rsidRDefault="00E26BC2" w:rsidP="00D37052">
      <w:pPr>
        <w:pStyle w:val="SingleTxtG"/>
      </w:pPr>
      <w:r>
        <w:t>7</w:t>
      </w:r>
      <w:r w:rsidR="004317D5" w:rsidRPr="00D849D0">
        <w:t>.</w:t>
      </w:r>
      <w:r w:rsidR="004317D5" w:rsidRPr="00D849D0">
        <w:tab/>
        <w:t>To set a clear requirement for the resistance of the bumper to impact from the rear, it is proposed that the provisions of UN Regulation No. 58 (Rear Underrun Protection Device) are applied by ADR 9.7.6. This will set a harmonised strength requirement for the protection afforded by bumpers at the rear of the tank.</w:t>
      </w:r>
    </w:p>
    <w:bookmarkEnd w:id="0"/>
    <w:p w14:paraId="01D8AF00" w14:textId="216F4314" w:rsidR="004317D5" w:rsidRPr="00D849D0" w:rsidRDefault="00E26BC2" w:rsidP="001C6B59">
      <w:pPr>
        <w:pStyle w:val="SingleTxtG"/>
      </w:pPr>
      <w:r>
        <w:t>8</w:t>
      </w:r>
      <w:r w:rsidR="004317D5" w:rsidRPr="00D849D0">
        <w:t>.</w:t>
      </w:r>
      <w:r w:rsidR="004317D5" w:rsidRPr="00D849D0">
        <w:tab/>
        <w:t>It should be noted that the proposed amendments use the term ‘Tank’ in describing the reference point, given that this includes both the shell and any service equipment. In respect to double wall tanks, a note has been included to which takes onboard the interpretation provided by the Autumn 2020 session of the Working Group on tanks; the distance to be considered for such tanks is from the outermost wall of the tank.</w:t>
      </w:r>
    </w:p>
    <w:p w14:paraId="4F68DF12" w14:textId="279F9E3D" w:rsidR="004317D5" w:rsidRPr="00D849D0" w:rsidRDefault="00E26BC2" w:rsidP="00D37052">
      <w:pPr>
        <w:pStyle w:val="SingleTxtG"/>
      </w:pPr>
      <w:r>
        <w:t>9</w:t>
      </w:r>
      <w:r w:rsidR="004317D5" w:rsidRPr="00D849D0">
        <w:t>.</w:t>
      </w:r>
      <w:r w:rsidR="004317D5" w:rsidRPr="00D849D0">
        <w:tab/>
        <w:t>It should also be noted that 9.8.5 (Rear protection of MEMUs) includes a requirement for a bumper sufficiently resistant to rear impact as per requirements in 9.7.6 and therefore consideration should also be given to amending 9.8.5 at this time.</w:t>
      </w:r>
      <w:bookmarkStart w:id="1" w:name="_Hlk118446542"/>
    </w:p>
    <w:p w14:paraId="66860245" w14:textId="66F17DE6" w:rsidR="004317D5" w:rsidRPr="00D849D0" w:rsidRDefault="00D37052" w:rsidP="00D37052">
      <w:pPr>
        <w:pStyle w:val="HChG"/>
      </w:pPr>
      <w:r w:rsidRPr="00D849D0">
        <w:lastRenderedPageBreak/>
        <w:tab/>
      </w:r>
      <w:r w:rsidR="007311EB" w:rsidRPr="00D849D0">
        <w:t>II</w:t>
      </w:r>
      <w:r w:rsidR="001E79D7" w:rsidRPr="00D849D0">
        <w:t>I</w:t>
      </w:r>
      <w:r w:rsidR="007311EB" w:rsidRPr="00D849D0">
        <w:t>.</w:t>
      </w:r>
      <w:r w:rsidR="007311EB" w:rsidRPr="00D849D0">
        <w:tab/>
      </w:r>
      <w:r w:rsidR="004317D5" w:rsidRPr="00D849D0">
        <w:t>Proposal</w:t>
      </w:r>
      <w:r w:rsidR="007311EB" w:rsidRPr="00D849D0">
        <w:t>s</w:t>
      </w:r>
    </w:p>
    <w:p w14:paraId="7797D783" w14:textId="7BDAA513" w:rsidR="007311EB" w:rsidRPr="008D2B95" w:rsidRDefault="007311EB" w:rsidP="008D2B95">
      <w:pPr>
        <w:pStyle w:val="H1G"/>
      </w:pPr>
      <w:r w:rsidRPr="00D849D0">
        <w:tab/>
      </w:r>
      <w:r w:rsidRPr="00D849D0">
        <w:tab/>
        <w:t>Proposal</w:t>
      </w:r>
      <w:r w:rsidR="00E17E13" w:rsidRPr="00D849D0">
        <w:t xml:space="preserve"> 1</w:t>
      </w:r>
    </w:p>
    <w:p w14:paraId="524502BE" w14:textId="6A5301AE" w:rsidR="004317D5" w:rsidRPr="00D849D0" w:rsidRDefault="004317D5" w:rsidP="00D37052">
      <w:pPr>
        <w:pStyle w:val="SingleTxtG"/>
        <w:rPr>
          <w:noProof/>
        </w:rPr>
      </w:pPr>
      <w:r w:rsidRPr="00D849D0">
        <w:rPr>
          <w:noProof/>
        </w:rPr>
        <w:t>10.</w:t>
      </w:r>
      <w:r w:rsidRPr="00D849D0">
        <w:rPr>
          <w:noProof/>
        </w:rPr>
        <w:tab/>
      </w:r>
      <w:r w:rsidRPr="00D849D0">
        <w:t xml:space="preserve">Amend </w:t>
      </w:r>
      <w:r w:rsidRPr="00D849D0">
        <w:rPr>
          <w:noProof/>
        </w:rPr>
        <w:t>ADR 9.7.6 to read as follows:</w:t>
      </w:r>
    </w:p>
    <w:p w14:paraId="26277363" w14:textId="2D7DF691" w:rsidR="004317D5" w:rsidRPr="00D849D0" w:rsidRDefault="00D849D0" w:rsidP="005C7332">
      <w:pPr>
        <w:pStyle w:val="SingleTxtG"/>
        <w:tabs>
          <w:tab w:val="clear" w:pos="1701"/>
        </w:tabs>
        <w:rPr>
          <w:b/>
          <w:bCs/>
        </w:rPr>
      </w:pPr>
      <w:r>
        <w:rPr>
          <w:b/>
          <w:bCs/>
        </w:rPr>
        <w:t>“</w:t>
      </w:r>
      <w:r w:rsidR="004317D5" w:rsidRPr="00D849D0">
        <w:rPr>
          <w:b/>
          <w:bCs/>
        </w:rPr>
        <w:t>9.7.6</w:t>
      </w:r>
      <w:r w:rsidR="00E72C0C" w:rsidRPr="00D849D0">
        <w:rPr>
          <w:b/>
          <w:bCs/>
        </w:rPr>
        <w:tab/>
      </w:r>
      <w:r w:rsidR="004317D5" w:rsidRPr="00D849D0">
        <w:rPr>
          <w:b/>
          <w:bCs/>
        </w:rPr>
        <w:t>Rear protection of vehicles</w:t>
      </w:r>
    </w:p>
    <w:p w14:paraId="5282669E" w14:textId="345CF407" w:rsidR="004317D5" w:rsidRPr="00D849D0" w:rsidRDefault="004317D5" w:rsidP="005C7332">
      <w:pPr>
        <w:pStyle w:val="SingleTxtG"/>
        <w:tabs>
          <w:tab w:val="clear" w:pos="1701"/>
        </w:tabs>
      </w:pPr>
      <w:r w:rsidRPr="00D849D0">
        <w:t>9.7.6.1</w:t>
      </w:r>
      <w:r w:rsidR="005C7332" w:rsidRPr="00D849D0">
        <w:rPr>
          <w:b/>
          <w:bCs/>
        </w:rPr>
        <w:tab/>
      </w:r>
      <w:r w:rsidRPr="00D849D0">
        <w:t xml:space="preserve">A bumper shall be fitted to the rear of the vehicle. The bumper construction shall meet the technical requirements of UN Regulation No. 58 (Rear Underrun Protection Device) as amended by at least the 03 series of amendments at the time of registration, or when entering service if registration is not mandatory. </w:t>
      </w:r>
    </w:p>
    <w:p w14:paraId="6FA7AA71" w14:textId="5214FC7C" w:rsidR="004317D5" w:rsidRPr="00D849D0" w:rsidRDefault="004317D5" w:rsidP="00D37052">
      <w:pPr>
        <w:pStyle w:val="SingleTxtG"/>
      </w:pPr>
      <w:r w:rsidRPr="00D849D0">
        <w:rPr>
          <w:rFonts w:eastAsia="Calibri"/>
        </w:rPr>
        <w:t>The rearmost face of the bumper shall be positioned at least 150</w:t>
      </w:r>
      <w:r w:rsidR="006A1EA1">
        <w:rPr>
          <w:rFonts w:eastAsia="Calibri"/>
        </w:rPr>
        <w:t> </w:t>
      </w:r>
      <w:r w:rsidRPr="00D849D0">
        <w:rPr>
          <w:rFonts w:eastAsia="Calibri"/>
        </w:rPr>
        <w:t xml:space="preserve">mm from the rearmost part of the tank </w:t>
      </w:r>
      <w:r w:rsidRPr="00D849D0">
        <w:t xml:space="preserve">(or of its projecting fittings in contact with the substance being carried). This shall be measured as specified in figure </w:t>
      </w:r>
      <w:r w:rsidR="00261522" w:rsidRPr="00D849D0">
        <w:t>9.7.6.1.1</w:t>
      </w:r>
      <w:r w:rsidRPr="00D849D0">
        <w:t xml:space="preserve">, </w:t>
      </w:r>
      <w:r w:rsidR="00261522" w:rsidRPr="00D849D0">
        <w:t>figure 9.7.6.1.2</w:t>
      </w:r>
      <w:r w:rsidR="00E008A1" w:rsidRPr="00D849D0">
        <w:t xml:space="preserve"> </w:t>
      </w:r>
      <w:r w:rsidRPr="00D849D0">
        <w:t>and 9.7.6.3.</w:t>
      </w:r>
    </w:p>
    <w:p w14:paraId="3B1C6154" w14:textId="5C6A719A" w:rsidR="00261522" w:rsidRPr="00D849D0" w:rsidRDefault="00261522" w:rsidP="00261522">
      <w:pPr>
        <w:suppressAutoHyphens/>
        <w:spacing w:after="120"/>
        <w:ind w:left="1440" w:right="1134" w:firstLine="720"/>
        <w:jc w:val="both"/>
        <w:rPr>
          <w:rStyle w:val="SingleTxtGChar"/>
          <w:b/>
          <w:bCs/>
        </w:rPr>
      </w:pPr>
      <w:r w:rsidRPr="00D849D0">
        <w:rPr>
          <w:rStyle w:val="SingleTxtGChar"/>
          <w:b/>
          <w:bCs/>
        </w:rPr>
        <w:t>Figure 9.7.6.1.1</w:t>
      </w:r>
      <w:r w:rsidRPr="00D849D0">
        <w:rPr>
          <w:b/>
          <w:sz w:val="22"/>
          <w:szCs w:val="22"/>
        </w:rPr>
        <w:tab/>
      </w:r>
      <w:r w:rsidRPr="00D849D0">
        <w:rPr>
          <w:b/>
          <w:sz w:val="22"/>
          <w:szCs w:val="22"/>
        </w:rPr>
        <w:tab/>
      </w:r>
      <w:r w:rsidRPr="00D849D0">
        <w:rPr>
          <w:b/>
          <w:sz w:val="22"/>
          <w:szCs w:val="22"/>
        </w:rPr>
        <w:tab/>
      </w:r>
      <w:r w:rsidRPr="00D849D0">
        <w:rPr>
          <w:b/>
          <w:sz w:val="22"/>
          <w:szCs w:val="22"/>
        </w:rPr>
        <w:tab/>
      </w:r>
      <w:r w:rsidRPr="00D849D0">
        <w:rPr>
          <w:rStyle w:val="SingleTxtGChar"/>
          <w:b/>
          <w:bCs/>
        </w:rPr>
        <w:t>Figure 9.7.6.1.2</w:t>
      </w:r>
    </w:p>
    <w:p w14:paraId="1B9A3948" w14:textId="77777777" w:rsidR="00D37052" w:rsidRPr="00D849D0" w:rsidRDefault="00D37052" w:rsidP="00D37052">
      <w:pPr>
        <w:pStyle w:val="SingleTxtG"/>
        <w:rPr>
          <w:rFonts w:eastAsia="Calibri"/>
        </w:rPr>
      </w:pPr>
    </w:p>
    <w:p w14:paraId="0E42923C" w14:textId="4C414EF5" w:rsidR="004317D5" w:rsidRPr="008D2B95" w:rsidRDefault="00EE473A" w:rsidP="004317D5">
      <w:pPr>
        <w:suppressAutoHyphens/>
        <w:spacing w:after="120" w:line="276" w:lineRule="auto"/>
        <w:ind w:left="1134" w:right="1134"/>
        <w:jc w:val="both"/>
        <w:rPr>
          <w:sz w:val="22"/>
          <w:szCs w:val="22"/>
        </w:rPr>
      </w:pPr>
      <w:r w:rsidRPr="00D849D0">
        <w:rPr>
          <w:rFonts w:eastAsia="Calibri"/>
          <w:noProof/>
        </w:rPr>
        <mc:AlternateContent>
          <mc:Choice Requires="wps">
            <w:drawing>
              <wp:anchor distT="0" distB="0" distL="114300" distR="114300" simplePos="0" relativeHeight="251660288" behindDoc="0" locked="0" layoutInCell="1" allowOverlap="1" wp14:anchorId="007EED4A" wp14:editId="355E09B0">
                <wp:simplePos x="0" y="0"/>
                <wp:positionH relativeFrom="column">
                  <wp:posOffset>3216580</wp:posOffset>
                </wp:positionH>
                <wp:positionV relativeFrom="paragraph">
                  <wp:posOffset>201996</wp:posOffset>
                </wp:positionV>
                <wp:extent cx="1204983" cy="296331"/>
                <wp:effectExtent l="0" t="0" r="14605" b="27940"/>
                <wp:wrapNone/>
                <wp:docPr id="6" name="Text Box 6"/>
                <wp:cNvGraphicFramePr/>
                <a:graphic xmlns:a="http://schemas.openxmlformats.org/drawingml/2006/main">
                  <a:graphicData uri="http://schemas.microsoft.com/office/word/2010/wordprocessingShape">
                    <wps:wsp>
                      <wps:cNvSpPr txBox="1"/>
                      <wps:spPr>
                        <a:xfrm>
                          <a:off x="0" y="0"/>
                          <a:ext cx="1204983" cy="296331"/>
                        </a:xfrm>
                        <a:prstGeom prst="rect">
                          <a:avLst/>
                        </a:prstGeom>
                        <a:solidFill>
                          <a:schemeClr val="lt1"/>
                        </a:solidFill>
                        <a:ln w="6350">
                          <a:solidFill>
                            <a:prstClr val="black"/>
                          </a:solidFill>
                        </a:ln>
                      </wps:spPr>
                      <wps:txbx>
                        <w:txbxContent>
                          <w:p w14:paraId="68B4D710" w14:textId="6887FC30" w:rsidR="00EE473A" w:rsidRPr="00EE473A" w:rsidRDefault="00EE473A">
                            <w:pPr>
                              <w:rPr>
                                <w:lang w:val="fr-CH"/>
                              </w:rPr>
                            </w:pPr>
                            <w:r>
                              <w:rPr>
                                <w:lang w:val="fr-CH"/>
                              </w:rPr>
                              <w:t xml:space="preserve">Direction of </w:t>
                            </w:r>
                            <w:proofErr w:type="spellStart"/>
                            <w:r>
                              <w:rPr>
                                <w:lang w:val="fr-CH"/>
                              </w:rPr>
                              <w:t>travel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EED4A" id="_x0000_t202" coordsize="21600,21600" o:spt="202" path="m,l,21600r21600,l21600,xe">
                <v:stroke joinstyle="miter"/>
                <v:path gradientshapeok="t" o:connecttype="rect"/>
              </v:shapetype>
              <v:shape id="Text Box 6" o:spid="_x0000_s1026" type="#_x0000_t202" style="position:absolute;left:0;text-align:left;margin-left:253.25pt;margin-top:15.9pt;width:94.9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" fillcolor="white [3201]" strokeweight=".5pt">
                <v:textbox>
                  <w:txbxContent>
                    <w:p w14:paraId="68B4D710" w14:textId="6887FC30" w:rsidR="00EE473A" w:rsidRPr="00EE473A" w:rsidRDefault="00EE473A">
                      <w:pPr>
                        <w:rPr>
                          <w:lang w:val="fr-CH"/>
                        </w:rPr>
                      </w:pPr>
                      <w:r>
                        <w:rPr>
                          <w:lang w:val="fr-CH"/>
                        </w:rPr>
                        <w:t xml:space="preserve">Direction of </w:t>
                      </w:r>
                      <w:proofErr w:type="spellStart"/>
                      <w:r>
                        <w:rPr>
                          <w:lang w:val="fr-CH"/>
                        </w:rPr>
                        <w:t>travel</w:t>
                      </w:r>
                      <w:proofErr w:type="spellEnd"/>
                    </w:p>
                  </w:txbxContent>
                </v:textbox>
              </v:shape>
            </w:pict>
          </mc:Fallback>
        </mc:AlternateContent>
      </w:r>
      <w:r w:rsidR="002824B1" w:rsidRPr="00D849D0">
        <w:rPr>
          <w:rFonts w:eastAsia="Calibri"/>
          <w:noProof/>
        </w:rPr>
        <mc:AlternateContent>
          <mc:Choice Requires="wps">
            <w:drawing>
              <wp:anchor distT="0" distB="0" distL="114300" distR="114300" simplePos="0" relativeHeight="251659264" behindDoc="0" locked="0" layoutInCell="1" allowOverlap="1" wp14:anchorId="77799346" wp14:editId="77353366">
                <wp:simplePos x="0" y="0"/>
                <wp:positionH relativeFrom="column">
                  <wp:posOffset>900892</wp:posOffset>
                </wp:positionH>
                <wp:positionV relativeFrom="paragraph">
                  <wp:posOffset>201996</wp:posOffset>
                </wp:positionV>
                <wp:extent cx="1240971" cy="260771"/>
                <wp:effectExtent l="0" t="0" r="16510" b="25400"/>
                <wp:wrapNone/>
                <wp:docPr id="3" name="Text Box 3"/>
                <wp:cNvGraphicFramePr/>
                <a:graphic xmlns:a="http://schemas.openxmlformats.org/drawingml/2006/main">
                  <a:graphicData uri="http://schemas.microsoft.com/office/word/2010/wordprocessingShape">
                    <wps:wsp>
                      <wps:cNvSpPr txBox="1"/>
                      <wps:spPr>
                        <a:xfrm>
                          <a:off x="0" y="0"/>
                          <a:ext cx="1240971" cy="260771"/>
                        </a:xfrm>
                        <a:prstGeom prst="rect">
                          <a:avLst/>
                        </a:prstGeom>
                        <a:solidFill>
                          <a:schemeClr val="lt1"/>
                        </a:solidFill>
                        <a:ln w="6350">
                          <a:solidFill>
                            <a:prstClr val="black"/>
                          </a:solidFill>
                        </a:ln>
                      </wps:spPr>
                      <wps:txbx>
                        <w:txbxContent>
                          <w:p w14:paraId="57D870AC" w14:textId="640E6491" w:rsidR="002824B1" w:rsidRPr="002824B1" w:rsidRDefault="002824B1">
                            <w:pPr>
                              <w:rPr>
                                <w:lang w:val="fr-CH"/>
                              </w:rPr>
                            </w:pPr>
                            <w:r>
                              <w:rPr>
                                <w:lang w:val="fr-CH"/>
                              </w:rPr>
                              <w:t xml:space="preserve">Direction of </w:t>
                            </w:r>
                            <w:proofErr w:type="spellStart"/>
                            <w:r>
                              <w:rPr>
                                <w:lang w:val="fr-CH"/>
                              </w:rPr>
                              <w:t>travel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799346" id="Text Box 3" o:spid="_x0000_s1027" type="#_x0000_t202" style="position:absolute;left:0;text-align:left;margin-left:70.95pt;margin-top:15.9pt;width:97.7pt;height:2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" fillcolor="white [3201]" strokeweight=".5pt">
                <v:textbox>
                  <w:txbxContent>
                    <w:p w14:paraId="57D870AC" w14:textId="640E6491" w:rsidR="002824B1" w:rsidRPr="002824B1" w:rsidRDefault="002824B1">
                      <w:pPr>
                        <w:rPr>
                          <w:lang w:val="fr-CH"/>
                        </w:rPr>
                      </w:pPr>
                      <w:r>
                        <w:rPr>
                          <w:lang w:val="fr-CH"/>
                        </w:rPr>
                        <w:t xml:space="preserve">Direction of </w:t>
                      </w:r>
                      <w:proofErr w:type="spellStart"/>
                      <w:r>
                        <w:rPr>
                          <w:lang w:val="fr-CH"/>
                        </w:rPr>
                        <w:t>travel</w:t>
                      </w:r>
                      <w:proofErr w:type="spellEnd"/>
                    </w:p>
                  </w:txbxContent>
                </v:textbox>
              </v:shape>
            </w:pict>
          </mc:Fallback>
        </mc:AlternateContent>
      </w:r>
      <w:r w:rsidR="004317D5" w:rsidRPr="00D849D0">
        <w:rPr>
          <w:rFonts w:eastAsia="Calibri"/>
        </w:rPr>
        <w:t xml:space="preserve">   </w:t>
      </w:r>
      <w:r w:rsidR="004317D5" w:rsidRPr="00D849D0">
        <w:rPr>
          <w:noProof/>
        </w:rPr>
        <w:drawing>
          <wp:inline distT="0" distB="0" distL="0" distR="0" wp14:anchorId="4868A53D" wp14:editId="7197E0AF">
            <wp:extent cx="2075180" cy="1914341"/>
            <wp:effectExtent l="0" t="0" r="1270" b="0"/>
            <wp:docPr id="55624671" name="Picture 1" descr="A drawing of a trai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4671" name="Picture 1" descr="A drawing of a trailer&#10;&#10;Description automatically generated"/>
                    <pic:cNvPicPr/>
                  </pic:nvPicPr>
                  <pic:blipFill>
                    <a:blip r:embed="rId12"/>
                    <a:stretch>
                      <a:fillRect/>
                    </a:stretch>
                  </pic:blipFill>
                  <pic:spPr>
                    <a:xfrm>
                      <a:off x="0" y="0"/>
                      <a:ext cx="2096793" cy="1934279"/>
                    </a:xfrm>
                    <a:prstGeom prst="rect">
                      <a:avLst/>
                    </a:prstGeom>
                  </pic:spPr>
                </pic:pic>
              </a:graphicData>
            </a:graphic>
          </wp:inline>
        </w:drawing>
      </w:r>
      <w:r w:rsidR="004317D5" w:rsidRPr="00D849D0">
        <w:rPr>
          <w:rFonts w:eastAsia="Calibri"/>
        </w:rPr>
        <w:t xml:space="preserve">        </w:t>
      </w:r>
      <w:r w:rsidR="004317D5" w:rsidRPr="00D849D0">
        <w:rPr>
          <w:noProof/>
        </w:rPr>
        <w:drawing>
          <wp:inline distT="0" distB="0" distL="0" distR="0" wp14:anchorId="6A939D5F" wp14:editId="3C0932D5">
            <wp:extent cx="2175869" cy="1868557"/>
            <wp:effectExtent l="0" t="0" r="0" b="0"/>
            <wp:docPr id="1210545091" name="Picture 1" descr="A drawing of a trai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45091" name="Picture 1" descr="A drawing of a trailer&#10;&#10;Description automatically generated"/>
                    <pic:cNvPicPr/>
                  </pic:nvPicPr>
                  <pic:blipFill>
                    <a:blip r:embed="rId13"/>
                    <a:stretch>
                      <a:fillRect/>
                    </a:stretch>
                  </pic:blipFill>
                  <pic:spPr>
                    <a:xfrm>
                      <a:off x="0" y="0"/>
                      <a:ext cx="2233093" cy="1917699"/>
                    </a:xfrm>
                    <a:prstGeom prst="rect">
                      <a:avLst/>
                    </a:prstGeom>
                  </pic:spPr>
                </pic:pic>
              </a:graphicData>
            </a:graphic>
          </wp:inline>
        </w:drawing>
      </w:r>
    </w:p>
    <w:p w14:paraId="73B1570B" w14:textId="37CAF633" w:rsidR="004317D5" w:rsidRPr="00D849D0" w:rsidRDefault="004317D5" w:rsidP="00D37052">
      <w:pPr>
        <w:pStyle w:val="SingleTxtG"/>
      </w:pPr>
      <w:r w:rsidRPr="00D849D0">
        <w:t>9.7.6.2</w:t>
      </w:r>
      <w:r w:rsidR="00DA2247" w:rsidRPr="00D849D0">
        <w:tab/>
      </w:r>
      <w:r w:rsidR="00DA2247" w:rsidRPr="00D849D0">
        <w:tab/>
      </w:r>
      <w:r w:rsidRPr="00D849D0">
        <w:t xml:space="preserve">Tanks with a filling or discharge opening at the rear of the tank, such as vacuum operated waste tanks or tilting tanks intended for powdery or granular substances may as an alternative to the position requirements for the bumper, have additional protection for any </w:t>
      </w:r>
      <w:r w:rsidRPr="008D2B95">
        <w:t xml:space="preserve">rear fittings of the </w:t>
      </w:r>
      <w:r w:rsidRPr="00D849D0">
        <w:t>tank. The additional protection shall be provided by a metal profile which has a section modulus of at least 20</w:t>
      </w:r>
      <w:r w:rsidR="000C1623">
        <w:t xml:space="preserve"> </w:t>
      </w:r>
      <w:r w:rsidRPr="00D849D0">
        <w:t>cm</w:t>
      </w:r>
      <w:r w:rsidR="006A1EA1">
        <w:t>³</w:t>
      </w:r>
      <w:r w:rsidRPr="00D849D0">
        <w:t xml:space="preserve"> in the weakest section.</w:t>
      </w:r>
    </w:p>
    <w:p w14:paraId="75652FD0" w14:textId="47526364" w:rsidR="004317D5" w:rsidRPr="00D849D0" w:rsidRDefault="004317D5" w:rsidP="00D37052">
      <w:pPr>
        <w:pStyle w:val="SingleTxtG"/>
      </w:pPr>
      <w:r w:rsidRPr="00D849D0">
        <w:t>9.7.6.3</w:t>
      </w:r>
      <w:r w:rsidR="00DA2247" w:rsidRPr="00D849D0">
        <w:tab/>
      </w:r>
      <w:r w:rsidR="00DA2247" w:rsidRPr="00D849D0">
        <w:tab/>
      </w:r>
      <w:r w:rsidRPr="00D849D0">
        <w:t xml:space="preserve">For double wall tanks the </w:t>
      </w:r>
      <w:r w:rsidRPr="008D2B95">
        <w:t>rear</w:t>
      </w:r>
      <w:r w:rsidRPr="00D849D0">
        <w:t xml:space="preserve"> </w:t>
      </w:r>
      <w:r w:rsidRPr="008D2B95">
        <w:t>of the tank</w:t>
      </w:r>
      <w:r w:rsidRPr="00D849D0">
        <w:t xml:space="preserve"> shall be taken to be the rear of the </w:t>
      </w:r>
      <w:r w:rsidRPr="008D2B95">
        <w:t>outer</w:t>
      </w:r>
      <w:r w:rsidRPr="00D849D0">
        <w:t xml:space="preserve">most wall of the tank. </w:t>
      </w:r>
    </w:p>
    <w:p w14:paraId="77B74E3A" w14:textId="43C51AE9" w:rsidR="004317D5" w:rsidRPr="00D849D0" w:rsidRDefault="004317D5" w:rsidP="00D37052">
      <w:pPr>
        <w:pStyle w:val="SingleTxtG"/>
      </w:pPr>
      <w:r w:rsidRPr="00D849D0">
        <w:t>9.7.6.4</w:t>
      </w:r>
      <w:r w:rsidR="00DA2247" w:rsidRPr="00D849D0">
        <w:tab/>
      </w:r>
      <w:r w:rsidR="00DA2247" w:rsidRPr="00D849D0">
        <w:tab/>
      </w:r>
      <w:r w:rsidRPr="00D849D0">
        <w:t xml:space="preserve">The provisions of 9.7.6.1 and 9.7.6.2 do not apply to vehicles used for the carriage of dangerous goods in tank-containers, MEGCs or portable tanks. </w:t>
      </w:r>
    </w:p>
    <w:p w14:paraId="2CE99AF9" w14:textId="4097ED56" w:rsidR="004317D5" w:rsidRPr="00D849D0" w:rsidRDefault="004317D5" w:rsidP="00D37052">
      <w:pPr>
        <w:pStyle w:val="SingleTxtG"/>
      </w:pPr>
      <w:r w:rsidRPr="00D849D0">
        <w:t>9.7.6.5</w:t>
      </w:r>
      <w:r w:rsidR="00DA2247" w:rsidRPr="00D849D0">
        <w:tab/>
      </w:r>
      <w:r w:rsidR="00DA2247" w:rsidRPr="00D849D0">
        <w:tab/>
      </w:r>
      <w:r w:rsidRPr="00D849D0">
        <w:t>For the protection of tanks against damage by lateral impact or overturning, see 6.8.2.1.20 and 6.8.2.1.21 or, for portable tanks, 6.7.2.4.3 and 6.7.2.4.5.</w:t>
      </w:r>
      <w:r w:rsidR="006A1EA1">
        <w:t>”</w:t>
      </w:r>
    </w:p>
    <w:p w14:paraId="0BF4A074" w14:textId="702DE0E8" w:rsidR="004317D5" w:rsidRPr="00D849D0" w:rsidRDefault="00D37052" w:rsidP="00DA2247">
      <w:pPr>
        <w:pStyle w:val="H1G"/>
      </w:pPr>
      <w:r w:rsidRPr="00D849D0">
        <w:tab/>
      </w:r>
      <w:r w:rsidRPr="00D849D0">
        <w:tab/>
      </w:r>
      <w:r w:rsidR="004317D5" w:rsidRPr="00D849D0">
        <w:t>Proposal 2</w:t>
      </w:r>
    </w:p>
    <w:p w14:paraId="48ACA838" w14:textId="5E2FC986" w:rsidR="004317D5" w:rsidRPr="00D849D0" w:rsidRDefault="004317D5" w:rsidP="00D37052">
      <w:pPr>
        <w:pStyle w:val="SingleTxtG"/>
      </w:pPr>
      <w:r w:rsidRPr="00D849D0">
        <w:t>11.</w:t>
      </w:r>
      <w:r w:rsidRPr="00D849D0">
        <w:tab/>
        <w:t>Provide the following transitional measure in section 1.6.5:</w:t>
      </w:r>
    </w:p>
    <w:p w14:paraId="772FFAE9" w14:textId="77777777" w:rsidR="004317D5" w:rsidRPr="00D849D0" w:rsidRDefault="004317D5" w:rsidP="006A1EA1">
      <w:pPr>
        <w:pStyle w:val="SingleTxtG"/>
        <w:tabs>
          <w:tab w:val="clear" w:pos="1701"/>
        </w:tabs>
      </w:pPr>
      <w:r w:rsidRPr="00D849D0">
        <w:t>“Vehicles registered or entering service if registration is not mandatory before 1 January 2029, which do not conform with the requirements of 9.7.6 applicable from 1 January 2027, may continue to be used,”</w:t>
      </w:r>
    </w:p>
    <w:p w14:paraId="1B33292D" w14:textId="09D40877" w:rsidR="004317D5" w:rsidRPr="008D2B95" w:rsidRDefault="00D37052" w:rsidP="00D37052">
      <w:pPr>
        <w:pStyle w:val="HChG"/>
      </w:pPr>
      <w:r w:rsidRPr="008D2B95">
        <w:tab/>
      </w:r>
      <w:r w:rsidR="00587ABE" w:rsidRPr="008D2B95">
        <w:t>I</w:t>
      </w:r>
      <w:r w:rsidR="00F55700" w:rsidRPr="008D2B95">
        <w:t>V</w:t>
      </w:r>
      <w:r w:rsidR="00587ABE" w:rsidRPr="008D2B95">
        <w:t>.</w:t>
      </w:r>
      <w:r w:rsidR="00587ABE" w:rsidRPr="008D2B95">
        <w:tab/>
      </w:r>
      <w:r w:rsidR="004317D5" w:rsidRPr="008D2B95">
        <w:t>Conclusion</w:t>
      </w:r>
    </w:p>
    <w:bookmarkEnd w:id="1"/>
    <w:p w14:paraId="0C10C737" w14:textId="784297CB" w:rsidR="004317D5" w:rsidRPr="00D849D0" w:rsidRDefault="004317D5" w:rsidP="00D37052">
      <w:pPr>
        <w:pStyle w:val="SingleTxtG"/>
        <w:rPr>
          <w:b/>
        </w:rPr>
      </w:pPr>
      <w:r w:rsidRPr="00D849D0">
        <w:t>12.</w:t>
      </w:r>
      <w:r w:rsidRPr="00D849D0">
        <w:tab/>
      </w:r>
      <w:bookmarkStart w:id="2" w:name="_Hlk173918486"/>
      <w:r w:rsidRPr="00D849D0">
        <w:t xml:space="preserve">These amendments will ensure a uniform interpretation of the measurement that is required between the rear of the tank </w:t>
      </w:r>
      <w:r w:rsidRPr="008D2B95">
        <w:t xml:space="preserve">and the </w:t>
      </w:r>
      <w:r w:rsidRPr="00D849D0">
        <w:t xml:space="preserve">rear </w:t>
      </w:r>
      <w:r w:rsidRPr="008D2B95">
        <w:t>bumper</w:t>
      </w:r>
      <w:r w:rsidRPr="00D849D0">
        <w:t xml:space="preserve">. It will also apply the technical requirements of UN Regulation No. 58 (Rear Underrun Protection Device) and therefore </w:t>
      </w:r>
      <w:r w:rsidRPr="00D849D0">
        <w:lastRenderedPageBreak/>
        <w:t xml:space="preserve">ensure that the </w:t>
      </w:r>
      <w:bookmarkEnd w:id="2"/>
      <w:r w:rsidRPr="00D849D0">
        <w:t>rear bumper meets specific requirements. As new technical specifications are being applied, and likely to have been previous misinterpretations, a transitional measure is proposed to enable existing vehicles to continue to be used</w:t>
      </w:r>
      <w:r w:rsidR="00D37052" w:rsidRPr="00D849D0">
        <w:t>.</w:t>
      </w:r>
    </w:p>
    <w:p w14:paraId="7AB73F86" w14:textId="4BE23DAD" w:rsidR="004317D5" w:rsidRPr="00D849D0" w:rsidRDefault="005D3084" w:rsidP="00D37052">
      <w:pPr>
        <w:pStyle w:val="SingleTxtG"/>
      </w:pPr>
      <w:r w:rsidRPr="00D849D0">
        <w:t>13.</w:t>
      </w:r>
      <w:r w:rsidR="00AE0290" w:rsidRPr="00D849D0">
        <w:tab/>
      </w:r>
      <w:r w:rsidR="004317D5" w:rsidRPr="00D849D0">
        <w:t>As discussions have been ongoing for several years on this subject, and differing interpretations in the construction of vehicles is creating a lack of harmonisation, we believe an agreed interpretation should be reached as soon as possible.</w:t>
      </w:r>
    </w:p>
    <w:p w14:paraId="630D00DF" w14:textId="4EE1A4D9" w:rsidR="004317D5" w:rsidRPr="00D849D0" w:rsidRDefault="00BB7458" w:rsidP="00BB7458">
      <w:pPr>
        <w:pStyle w:val="HChG"/>
      </w:pPr>
      <w:r w:rsidRPr="00D849D0">
        <w:tab/>
      </w:r>
      <w:r w:rsidR="008A73CE" w:rsidRPr="00D849D0">
        <w:t>V.</w:t>
      </w:r>
      <w:r w:rsidR="008A73CE" w:rsidRPr="00D849D0">
        <w:tab/>
      </w:r>
      <w:r w:rsidR="004317D5" w:rsidRPr="00D849D0">
        <w:t>Transport and the Sustainable Development Goals</w:t>
      </w:r>
    </w:p>
    <w:p w14:paraId="6461242F" w14:textId="2AC7BC81" w:rsidR="00F1098D" w:rsidRPr="00D849D0" w:rsidRDefault="005D3084" w:rsidP="00BB7458">
      <w:pPr>
        <w:pStyle w:val="SingleTxtG"/>
      </w:pPr>
      <w:r w:rsidRPr="00D849D0">
        <w:t>14</w:t>
      </w:r>
      <w:r w:rsidR="00ED4386" w:rsidRPr="00D849D0">
        <w:t>.</w:t>
      </w:r>
      <w:r w:rsidR="004317D5" w:rsidRPr="00D849D0">
        <w:tab/>
        <w:t>The aim of this document is to clarify the application of 9.7.6 of ADR. Ensuring a more systematic approach and a better rationale in ADR helps to develop clearer legal texts and avoid different interpretation among different ADR Contracting Parties, and thus helps to implement the United Nations Sustainable Development Goal 16</w:t>
      </w:r>
      <w:r w:rsidR="00905C9F" w:rsidRPr="00D849D0">
        <w:t>,</w:t>
      </w:r>
      <w:r w:rsidR="004317D5" w:rsidRPr="00D849D0">
        <w:t xml:space="preserve"> </w:t>
      </w:r>
      <w:r w:rsidR="004317D5" w:rsidRPr="00D849D0">
        <w:rPr>
          <w:i/>
          <w:iCs/>
        </w:rPr>
        <w:t xml:space="preserve">Peace, </w:t>
      </w:r>
      <w:proofErr w:type="gramStart"/>
      <w:r w:rsidR="004317D5" w:rsidRPr="00D849D0">
        <w:rPr>
          <w:i/>
          <w:iCs/>
        </w:rPr>
        <w:t>justice</w:t>
      </w:r>
      <w:proofErr w:type="gramEnd"/>
      <w:r w:rsidR="004317D5" w:rsidRPr="00D849D0">
        <w:rPr>
          <w:i/>
          <w:iCs/>
        </w:rPr>
        <w:t xml:space="preserve"> and strong institutions</w:t>
      </w:r>
      <w:r w:rsidR="004317D5" w:rsidRPr="00D849D0">
        <w:t>.</w:t>
      </w:r>
    </w:p>
    <w:p w14:paraId="682168AA" w14:textId="5B22F557" w:rsidR="004317D5" w:rsidRPr="008D2B95" w:rsidRDefault="004317D5" w:rsidP="004317D5">
      <w:pPr>
        <w:spacing w:before="240"/>
        <w:jc w:val="center"/>
        <w:rPr>
          <w:u w:val="single"/>
        </w:rPr>
      </w:pPr>
      <w:r w:rsidRPr="008D2B95">
        <w:rPr>
          <w:u w:val="single"/>
        </w:rPr>
        <w:tab/>
      </w:r>
      <w:r w:rsidRPr="008D2B95">
        <w:rPr>
          <w:u w:val="single"/>
        </w:rPr>
        <w:tab/>
      </w:r>
      <w:r w:rsidRPr="008D2B95">
        <w:rPr>
          <w:u w:val="single"/>
        </w:rPr>
        <w:tab/>
      </w:r>
    </w:p>
    <w:sectPr w:rsidR="004317D5" w:rsidRPr="008D2B95" w:rsidSect="00566C2E">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9F7" w14:textId="77777777" w:rsidR="000969A3" w:rsidRDefault="000969A3"/>
  </w:endnote>
  <w:endnote w:type="continuationSeparator" w:id="0">
    <w:p w14:paraId="695369E6" w14:textId="77777777" w:rsidR="000969A3" w:rsidRDefault="000969A3"/>
  </w:endnote>
  <w:endnote w:type="continuationNotice" w:id="1">
    <w:p w14:paraId="24C413C6" w14:textId="77777777" w:rsidR="000969A3" w:rsidRDefault="0009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E136" w14:textId="043096DF" w:rsidR="00566C2E" w:rsidRPr="00566C2E" w:rsidRDefault="00566C2E" w:rsidP="00566C2E">
    <w:pPr>
      <w:pStyle w:val="Footer"/>
      <w:tabs>
        <w:tab w:val="right" w:pos="9638"/>
      </w:tabs>
      <w:rPr>
        <w:sz w:val="18"/>
      </w:rPr>
    </w:pPr>
    <w:r w:rsidRPr="00566C2E">
      <w:rPr>
        <w:b/>
        <w:sz w:val="18"/>
      </w:rPr>
      <w:fldChar w:fldCharType="begin"/>
    </w:r>
    <w:r w:rsidRPr="00566C2E">
      <w:rPr>
        <w:b/>
        <w:sz w:val="18"/>
      </w:rPr>
      <w:instrText xml:space="preserve"> PAGE  \* MERGEFORMAT </w:instrText>
    </w:r>
    <w:r w:rsidRPr="00566C2E">
      <w:rPr>
        <w:b/>
        <w:sz w:val="18"/>
      </w:rPr>
      <w:fldChar w:fldCharType="separate"/>
    </w:r>
    <w:r w:rsidRPr="00566C2E">
      <w:rPr>
        <w:b/>
        <w:noProof/>
        <w:sz w:val="18"/>
      </w:rPr>
      <w:t>2</w:t>
    </w:r>
    <w:r w:rsidRPr="00566C2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ED5D" w14:textId="595515C8" w:rsidR="00566C2E" w:rsidRPr="00566C2E" w:rsidRDefault="00566C2E" w:rsidP="00566C2E">
    <w:pPr>
      <w:pStyle w:val="Footer"/>
      <w:tabs>
        <w:tab w:val="right" w:pos="9638"/>
      </w:tabs>
      <w:rPr>
        <w:b/>
        <w:sz w:val="18"/>
      </w:rPr>
    </w:pPr>
    <w:r>
      <w:tab/>
    </w:r>
    <w:r w:rsidRPr="00566C2E">
      <w:rPr>
        <w:b/>
        <w:sz w:val="18"/>
      </w:rPr>
      <w:fldChar w:fldCharType="begin"/>
    </w:r>
    <w:r w:rsidRPr="00566C2E">
      <w:rPr>
        <w:b/>
        <w:sz w:val="18"/>
      </w:rPr>
      <w:instrText xml:space="preserve"> PAGE  \* MERGEFORMAT </w:instrText>
    </w:r>
    <w:r w:rsidRPr="00566C2E">
      <w:rPr>
        <w:b/>
        <w:sz w:val="18"/>
      </w:rPr>
      <w:fldChar w:fldCharType="separate"/>
    </w:r>
    <w:r w:rsidRPr="00566C2E">
      <w:rPr>
        <w:b/>
        <w:noProof/>
        <w:sz w:val="18"/>
      </w:rPr>
      <w:t>3</w:t>
    </w:r>
    <w:r w:rsidRPr="00566C2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B0C2" w14:textId="7B5C9DFC" w:rsidR="0085544A" w:rsidRDefault="0085544A" w:rsidP="0085544A">
    <w:pPr>
      <w:pStyle w:val="Footer"/>
    </w:pPr>
    <w:r w:rsidRPr="0027112F">
      <w:rPr>
        <w:noProof/>
        <w:lang w:val="en-US"/>
      </w:rPr>
      <w:drawing>
        <wp:anchor distT="0" distB="0" distL="114300" distR="114300" simplePos="0" relativeHeight="251659264" behindDoc="0" locked="1" layoutInCell="1" allowOverlap="1" wp14:anchorId="2B25C5B5" wp14:editId="631E7FA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061322F" w14:textId="549113AB" w:rsidR="0085544A" w:rsidRPr="0085544A" w:rsidRDefault="0085544A" w:rsidP="0085544A">
    <w:pPr>
      <w:pStyle w:val="Footer"/>
      <w:ind w:right="1134"/>
      <w:rPr>
        <w:sz w:val="20"/>
      </w:rPr>
    </w:pPr>
    <w:r>
      <w:rPr>
        <w:sz w:val="20"/>
      </w:rPr>
      <w:t>GE.24-</w:t>
    </w:r>
    <w:proofErr w:type="gramStart"/>
    <w:r>
      <w:rPr>
        <w:sz w:val="20"/>
      </w:rPr>
      <w:t>14684  (</w:t>
    </w:r>
    <w:proofErr w:type="gramEnd"/>
    <w:r>
      <w:rPr>
        <w:sz w:val="20"/>
      </w:rPr>
      <w:t>E)</w:t>
    </w:r>
    <w:r>
      <w:rPr>
        <w:noProof/>
        <w:sz w:val="20"/>
      </w:rPr>
      <w:drawing>
        <wp:anchor distT="0" distB="0" distL="114300" distR="114300" simplePos="0" relativeHeight="251660288" behindDoc="0" locked="0" layoutInCell="1" allowOverlap="1" wp14:anchorId="3B0D1F89" wp14:editId="6AAA699A">
          <wp:simplePos x="0" y="0"/>
          <wp:positionH relativeFrom="margin">
            <wp:posOffset>5615940</wp:posOffset>
          </wp:positionH>
          <wp:positionV relativeFrom="margin">
            <wp:posOffset>8905875</wp:posOffset>
          </wp:positionV>
          <wp:extent cx="571500" cy="5715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DFFB" w14:textId="77777777" w:rsidR="000969A3" w:rsidRPr="000B175B" w:rsidRDefault="000969A3" w:rsidP="000B175B">
      <w:pPr>
        <w:tabs>
          <w:tab w:val="right" w:pos="2155"/>
        </w:tabs>
        <w:spacing w:after="80"/>
        <w:ind w:left="680"/>
        <w:rPr>
          <w:u w:val="single"/>
        </w:rPr>
      </w:pPr>
      <w:r>
        <w:rPr>
          <w:u w:val="single"/>
        </w:rPr>
        <w:tab/>
      </w:r>
    </w:p>
  </w:footnote>
  <w:footnote w:type="continuationSeparator" w:id="0">
    <w:p w14:paraId="0FDA75AE" w14:textId="77777777" w:rsidR="000969A3" w:rsidRPr="00FC68B7" w:rsidRDefault="000969A3" w:rsidP="00FC68B7">
      <w:pPr>
        <w:tabs>
          <w:tab w:val="left" w:pos="2155"/>
        </w:tabs>
        <w:spacing w:after="80"/>
        <w:ind w:left="680"/>
        <w:rPr>
          <w:u w:val="single"/>
        </w:rPr>
      </w:pPr>
      <w:r>
        <w:rPr>
          <w:u w:val="single"/>
        </w:rPr>
        <w:tab/>
      </w:r>
    </w:p>
  </w:footnote>
  <w:footnote w:type="continuationNotice" w:id="1">
    <w:p w14:paraId="40DB2D59" w14:textId="77777777" w:rsidR="000969A3" w:rsidRDefault="000969A3"/>
  </w:footnote>
  <w:footnote w:id="2">
    <w:p w14:paraId="422D527E" w14:textId="698345F3" w:rsidR="00F6034B" w:rsidRPr="00F6034B" w:rsidRDefault="00F6034B">
      <w:pPr>
        <w:pStyle w:val="FootnoteText"/>
        <w:rPr>
          <w:lang w:val="fr-CH"/>
        </w:rPr>
      </w:pPr>
      <w:r>
        <w:rPr>
          <w:rStyle w:val="FootnoteReference"/>
        </w:rPr>
        <w:tab/>
      </w:r>
      <w:r w:rsidRPr="00F46620">
        <w:rPr>
          <w:rStyle w:val="FootnoteReference"/>
          <w:sz w:val="20"/>
        </w:rPr>
        <w:t>*</w:t>
      </w:r>
      <w:r>
        <w:rPr>
          <w:rStyle w:val="FootnoteReference"/>
          <w:sz w:val="20"/>
          <w:vertAlign w:val="baseline"/>
        </w:rPr>
        <w:tab/>
      </w:r>
      <w:r w:rsidRPr="0082113E">
        <w:t>A/78/6 (Sect. 20), table 20.5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4123" w14:textId="3193FBFC" w:rsidR="00566C2E" w:rsidRPr="00566C2E" w:rsidRDefault="009749AB">
    <w:pPr>
      <w:pStyle w:val="Header"/>
    </w:pPr>
    <w:r>
      <w:fldChar w:fldCharType="begin"/>
    </w:r>
    <w:r>
      <w:instrText xml:space="preserve"> TITLE  \* MERGEFORMAT </w:instrText>
    </w:r>
    <w:r>
      <w:fldChar w:fldCharType="separate"/>
    </w:r>
    <w:r w:rsidR="00960AC0">
      <w:t>ECE/TRANS/WP.15/2024/16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77A9" w14:textId="7293A067" w:rsidR="00566C2E" w:rsidRPr="00566C2E" w:rsidRDefault="009749AB" w:rsidP="00566C2E">
    <w:pPr>
      <w:pStyle w:val="Header"/>
      <w:jc w:val="right"/>
    </w:pPr>
    <w:r>
      <w:fldChar w:fldCharType="begin"/>
    </w:r>
    <w:r>
      <w:instrText xml:space="preserve"> TITLE  \* MERGEFORMAT </w:instrText>
    </w:r>
    <w:r>
      <w:fldChar w:fldCharType="separate"/>
    </w:r>
    <w:r w:rsidR="00960AC0">
      <w:t>ECE/TRANS/WP.15/2024/16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925494A"/>
    <w:multiLevelType w:val="hybridMultilevel"/>
    <w:tmpl w:val="172EBB64"/>
    <w:lvl w:ilvl="0" w:tplc="8B76C4E0">
      <w:start w:val="1"/>
      <w:numFmt w:val="decimal"/>
      <w:lvlText w:val="%1."/>
      <w:lvlJc w:val="left"/>
      <w:pPr>
        <w:ind w:left="5815" w:hanging="570"/>
      </w:pPr>
      <w:rPr>
        <w:rFonts w:hint="default"/>
        <w:b w:val="0"/>
        <w:b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B4696A"/>
    <w:multiLevelType w:val="hybridMultilevel"/>
    <w:tmpl w:val="B9907EF4"/>
    <w:lvl w:ilvl="0" w:tplc="FCAAD154">
      <w:start w:val="1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E1EE0"/>
    <w:multiLevelType w:val="hybridMultilevel"/>
    <w:tmpl w:val="128838F0"/>
    <w:lvl w:ilvl="0" w:tplc="9650F40E">
      <w:start w:val="1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2116829637">
    <w:abstractNumId w:val="1"/>
  </w:num>
  <w:num w:numId="2" w16cid:durableId="1374230560">
    <w:abstractNumId w:val="0"/>
  </w:num>
  <w:num w:numId="3" w16cid:durableId="124854680">
    <w:abstractNumId w:val="2"/>
  </w:num>
  <w:num w:numId="4" w16cid:durableId="26764290">
    <w:abstractNumId w:val="3"/>
  </w:num>
  <w:num w:numId="5" w16cid:durableId="1806045099">
    <w:abstractNumId w:val="8"/>
  </w:num>
  <w:num w:numId="6" w16cid:durableId="1531994634">
    <w:abstractNumId w:val="9"/>
  </w:num>
  <w:num w:numId="7" w16cid:durableId="1505434493">
    <w:abstractNumId w:val="7"/>
  </w:num>
  <w:num w:numId="8" w16cid:durableId="928849915">
    <w:abstractNumId w:val="6"/>
  </w:num>
  <w:num w:numId="9" w16cid:durableId="1208104107">
    <w:abstractNumId w:val="5"/>
  </w:num>
  <w:num w:numId="10" w16cid:durableId="1790081489">
    <w:abstractNumId w:val="4"/>
  </w:num>
  <w:num w:numId="11" w16cid:durableId="497623817">
    <w:abstractNumId w:val="16"/>
  </w:num>
  <w:num w:numId="12" w16cid:durableId="1932811384">
    <w:abstractNumId w:val="15"/>
  </w:num>
  <w:num w:numId="13" w16cid:durableId="222570220">
    <w:abstractNumId w:val="10"/>
  </w:num>
  <w:num w:numId="14" w16cid:durableId="1911038103">
    <w:abstractNumId w:val="13"/>
  </w:num>
  <w:num w:numId="15" w16cid:durableId="971863241">
    <w:abstractNumId w:val="17"/>
  </w:num>
  <w:num w:numId="16" w16cid:durableId="99759607">
    <w:abstractNumId w:val="14"/>
  </w:num>
  <w:num w:numId="17" w16cid:durableId="1134102753">
    <w:abstractNumId w:val="19"/>
  </w:num>
  <w:num w:numId="18" w16cid:durableId="1386946431">
    <w:abstractNumId w:val="20"/>
  </w:num>
  <w:num w:numId="19" w16cid:durableId="2024437480">
    <w:abstractNumId w:val="11"/>
  </w:num>
  <w:num w:numId="20" w16cid:durableId="1347905501">
    <w:abstractNumId w:val="11"/>
  </w:num>
  <w:num w:numId="21" w16cid:durableId="463550357">
    <w:abstractNumId w:val="12"/>
  </w:num>
  <w:num w:numId="22" w16cid:durableId="1437678612">
    <w:abstractNumId w:val="21"/>
  </w:num>
  <w:num w:numId="23" w16cid:durableId="61572338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2E"/>
    <w:rsid w:val="00002A7D"/>
    <w:rsid w:val="000038A8"/>
    <w:rsid w:val="00006790"/>
    <w:rsid w:val="00027624"/>
    <w:rsid w:val="00050F6B"/>
    <w:rsid w:val="000678CD"/>
    <w:rsid w:val="00072C8C"/>
    <w:rsid w:val="00081CE0"/>
    <w:rsid w:val="00084D30"/>
    <w:rsid w:val="00090320"/>
    <w:rsid w:val="000931C0"/>
    <w:rsid w:val="000969A3"/>
    <w:rsid w:val="0009732C"/>
    <w:rsid w:val="000A01F9"/>
    <w:rsid w:val="000A2E09"/>
    <w:rsid w:val="000B175B"/>
    <w:rsid w:val="000B3A0F"/>
    <w:rsid w:val="000C1623"/>
    <w:rsid w:val="000E0415"/>
    <w:rsid w:val="000F7715"/>
    <w:rsid w:val="00133D7D"/>
    <w:rsid w:val="00156B99"/>
    <w:rsid w:val="00166124"/>
    <w:rsid w:val="00184DDA"/>
    <w:rsid w:val="001900CD"/>
    <w:rsid w:val="001A0452"/>
    <w:rsid w:val="001B4B04"/>
    <w:rsid w:val="001B5875"/>
    <w:rsid w:val="001C20A6"/>
    <w:rsid w:val="001C4B9C"/>
    <w:rsid w:val="001C6663"/>
    <w:rsid w:val="001C6B59"/>
    <w:rsid w:val="001C7895"/>
    <w:rsid w:val="001D26DF"/>
    <w:rsid w:val="001E555D"/>
    <w:rsid w:val="001E79D7"/>
    <w:rsid w:val="001F1599"/>
    <w:rsid w:val="001F19C4"/>
    <w:rsid w:val="002043F0"/>
    <w:rsid w:val="00211E0B"/>
    <w:rsid w:val="00232575"/>
    <w:rsid w:val="00247258"/>
    <w:rsid w:val="00257CAC"/>
    <w:rsid w:val="0026030D"/>
    <w:rsid w:val="00261522"/>
    <w:rsid w:val="00264441"/>
    <w:rsid w:val="0027237A"/>
    <w:rsid w:val="002824B1"/>
    <w:rsid w:val="002974E9"/>
    <w:rsid w:val="002A7F94"/>
    <w:rsid w:val="002B109A"/>
    <w:rsid w:val="002C6D45"/>
    <w:rsid w:val="002D6E53"/>
    <w:rsid w:val="002F046D"/>
    <w:rsid w:val="002F3023"/>
    <w:rsid w:val="00301764"/>
    <w:rsid w:val="003229D8"/>
    <w:rsid w:val="00330FB6"/>
    <w:rsid w:val="00336C97"/>
    <w:rsid w:val="00337F88"/>
    <w:rsid w:val="00342432"/>
    <w:rsid w:val="00345B02"/>
    <w:rsid w:val="0035223F"/>
    <w:rsid w:val="00352D4B"/>
    <w:rsid w:val="0035638C"/>
    <w:rsid w:val="00381F0A"/>
    <w:rsid w:val="0039074C"/>
    <w:rsid w:val="003A46BB"/>
    <w:rsid w:val="003A4EC7"/>
    <w:rsid w:val="003A5FAA"/>
    <w:rsid w:val="003A7295"/>
    <w:rsid w:val="003B1F60"/>
    <w:rsid w:val="003C2CC4"/>
    <w:rsid w:val="003D4B23"/>
    <w:rsid w:val="003E278A"/>
    <w:rsid w:val="003F397C"/>
    <w:rsid w:val="00413520"/>
    <w:rsid w:val="00430D57"/>
    <w:rsid w:val="004317D5"/>
    <w:rsid w:val="004325CB"/>
    <w:rsid w:val="00440A07"/>
    <w:rsid w:val="00462880"/>
    <w:rsid w:val="00476F24"/>
    <w:rsid w:val="004C55B0"/>
    <w:rsid w:val="004C5C86"/>
    <w:rsid w:val="004F6BA0"/>
    <w:rsid w:val="004F70B2"/>
    <w:rsid w:val="00503BEA"/>
    <w:rsid w:val="005275FD"/>
    <w:rsid w:val="00533616"/>
    <w:rsid w:val="00535ABA"/>
    <w:rsid w:val="0053768B"/>
    <w:rsid w:val="005420F2"/>
    <w:rsid w:val="0054285C"/>
    <w:rsid w:val="0056114F"/>
    <w:rsid w:val="0056565D"/>
    <w:rsid w:val="00566C2E"/>
    <w:rsid w:val="00584173"/>
    <w:rsid w:val="00587ABE"/>
    <w:rsid w:val="00595520"/>
    <w:rsid w:val="005A44B9"/>
    <w:rsid w:val="005B1BA0"/>
    <w:rsid w:val="005B3DB3"/>
    <w:rsid w:val="005C7332"/>
    <w:rsid w:val="005D15CA"/>
    <w:rsid w:val="005D3084"/>
    <w:rsid w:val="005D7969"/>
    <w:rsid w:val="005F08DF"/>
    <w:rsid w:val="005F3066"/>
    <w:rsid w:val="005F3E61"/>
    <w:rsid w:val="00604DDD"/>
    <w:rsid w:val="006109BA"/>
    <w:rsid w:val="006115CC"/>
    <w:rsid w:val="00611FC4"/>
    <w:rsid w:val="006176FB"/>
    <w:rsid w:val="00630FCB"/>
    <w:rsid w:val="00640B26"/>
    <w:rsid w:val="0065766B"/>
    <w:rsid w:val="006664F7"/>
    <w:rsid w:val="00667823"/>
    <w:rsid w:val="00673DDD"/>
    <w:rsid w:val="006770B2"/>
    <w:rsid w:val="00686A48"/>
    <w:rsid w:val="006940E1"/>
    <w:rsid w:val="006A1EA1"/>
    <w:rsid w:val="006A3C72"/>
    <w:rsid w:val="006A5805"/>
    <w:rsid w:val="006A7392"/>
    <w:rsid w:val="006B03A1"/>
    <w:rsid w:val="006B465E"/>
    <w:rsid w:val="006B67D9"/>
    <w:rsid w:val="006C5535"/>
    <w:rsid w:val="006D0589"/>
    <w:rsid w:val="006D445E"/>
    <w:rsid w:val="006E564B"/>
    <w:rsid w:val="006E7154"/>
    <w:rsid w:val="007003CD"/>
    <w:rsid w:val="0070701E"/>
    <w:rsid w:val="00712B64"/>
    <w:rsid w:val="00716468"/>
    <w:rsid w:val="007173E0"/>
    <w:rsid w:val="0072632A"/>
    <w:rsid w:val="007311EB"/>
    <w:rsid w:val="007358E8"/>
    <w:rsid w:val="00736ECE"/>
    <w:rsid w:val="0074533B"/>
    <w:rsid w:val="00746102"/>
    <w:rsid w:val="007523E0"/>
    <w:rsid w:val="007643BC"/>
    <w:rsid w:val="007801C5"/>
    <w:rsid w:val="00780C68"/>
    <w:rsid w:val="007959FE"/>
    <w:rsid w:val="007A0CF1"/>
    <w:rsid w:val="007A478E"/>
    <w:rsid w:val="007B6BA5"/>
    <w:rsid w:val="007C3390"/>
    <w:rsid w:val="007C42D8"/>
    <w:rsid w:val="007C4F4B"/>
    <w:rsid w:val="007D4445"/>
    <w:rsid w:val="007D7362"/>
    <w:rsid w:val="007F5CE2"/>
    <w:rsid w:val="007F6611"/>
    <w:rsid w:val="00800522"/>
    <w:rsid w:val="00810BAC"/>
    <w:rsid w:val="008175E9"/>
    <w:rsid w:val="008242D7"/>
    <w:rsid w:val="0082577B"/>
    <w:rsid w:val="008272DD"/>
    <w:rsid w:val="0085544A"/>
    <w:rsid w:val="0086352B"/>
    <w:rsid w:val="00865DE0"/>
    <w:rsid w:val="00866893"/>
    <w:rsid w:val="00866F02"/>
    <w:rsid w:val="00867D18"/>
    <w:rsid w:val="00871F9A"/>
    <w:rsid w:val="00871FD5"/>
    <w:rsid w:val="0088172E"/>
    <w:rsid w:val="00881EFA"/>
    <w:rsid w:val="008879CB"/>
    <w:rsid w:val="008979B1"/>
    <w:rsid w:val="008A6B25"/>
    <w:rsid w:val="008A6C4F"/>
    <w:rsid w:val="008A73CE"/>
    <w:rsid w:val="008A77AE"/>
    <w:rsid w:val="008B389E"/>
    <w:rsid w:val="008D045E"/>
    <w:rsid w:val="008D2B95"/>
    <w:rsid w:val="008D3F25"/>
    <w:rsid w:val="008D4D82"/>
    <w:rsid w:val="008E0E46"/>
    <w:rsid w:val="008E7116"/>
    <w:rsid w:val="008F143B"/>
    <w:rsid w:val="008F3882"/>
    <w:rsid w:val="008F4B7C"/>
    <w:rsid w:val="00905C9F"/>
    <w:rsid w:val="00926221"/>
    <w:rsid w:val="00926E47"/>
    <w:rsid w:val="00947162"/>
    <w:rsid w:val="00960AC0"/>
    <w:rsid w:val="009610D0"/>
    <w:rsid w:val="0096375C"/>
    <w:rsid w:val="009662E6"/>
    <w:rsid w:val="0097095E"/>
    <w:rsid w:val="00973A9F"/>
    <w:rsid w:val="009749AB"/>
    <w:rsid w:val="0098592B"/>
    <w:rsid w:val="00985FC4"/>
    <w:rsid w:val="00990766"/>
    <w:rsid w:val="00991261"/>
    <w:rsid w:val="009964C4"/>
    <w:rsid w:val="009A7B81"/>
    <w:rsid w:val="009D01C0"/>
    <w:rsid w:val="009D6A08"/>
    <w:rsid w:val="009E0A16"/>
    <w:rsid w:val="009E6CB7"/>
    <w:rsid w:val="009E7970"/>
    <w:rsid w:val="009F2EAC"/>
    <w:rsid w:val="009F57E3"/>
    <w:rsid w:val="00A001A1"/>
    <w:rsid w:val="00A10F4F"/>
    <w:rsid w:val="00A11067"/>
    <w:rsid w:val="00A13D3A"/>
    <w:rsid w:val="00A1704A"/>
    <w:rsid w:val="00A425EB"/>
    <w:rsid w:val="00A72F22"/>
    <w:rsid w:val="00A733BC"/>
    <w:rsid w:val="00A748A6"/>
    <w:rsid w:val="00A76A69"/>
    <w:rsid w:val="00A87564"/>
    <w:rsid w:val="00A879A4"/>
    <w:rsid w:val="00AA0FF8"/>
    <w:rsid w:val="00AC0F2C"/>
    <w:rsid w:val="00AC502A"/>
    <w:rsid w:val="00AE0290"/>
    <w:rsid w:val="00AF28E7"/>
    <w:rsid w:val="00AF58C1"/>
    <w:rsid w:val="00B04A3F"/>
    <w:rsid w:val="00B06643"/>
    <w:rsid w:val="00B15055"/>
    <w:rsid w:val="00B20551"/>
    <w:rsid w:val="00B23D55"/>
    <w:rsid w:val="00B30179"/>
    <w:rsid w:val="00B33FC7"/>
    <w:rsid w:val="00B37B15"/>
    <w:rsid w:val="00B45C02"/>
    <w:rsid w:val="00B60E55"/>
    <w:rsid w:val="00B70B63"/>
    <w:rsid w:val="00B72A1E"/>
    <w:rsid w:val="00B81E12"/>
    <w:rsid w:val="00BA172A"/>
    <w:rsid w:val="00BA339B"/>
    <w:rsid w:val="00BB23CC"/>
    <w:rsid w:val="00BB4573"/>
    <w:rsid w:val="00BB7458"/>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06CF5"/>
    <w:rsid w:val="00C20341"/>
    <w:rsid w:val="00C408B7"/>
    <w:rsid w:val="00C411EB"/>
    <w:rsid w:val="00C463DD"/>
    <w:rsid w:val="00C745C3"/>
    <w:rsid w:val="00C978F5"/>
    <w:rsid w:val="00CA24A4"/>
    <w:rsid w:val="00CB348D"/>
    <w:rsid w:val="00CD46F5"/>
    <w:rsid w:val="00CE4A8F"/>
    <w:rsid w:val="00CE78F6"/>
    <w:rsid w:val="00CF071D"/>
    <w:rsid w:val="00D0123D"/>
    <w:rsid w:val="00D15B04"/>
    <w:rsid w:val="00D2031B"/>
    <w:rsid w:val="00D25FE2"/>
    <w:rsid w:val="00D368BE"/>
    <w:rsid w:val="00D37052"/>
    <w:rsid w:val="00D37DA9"/>
    <w:rsid w:val="00D406A7"/>
    <w:rsid w:val="00D40765"/>
    <w:rsid w:val="00D43252"/>
    <w:rsid w:val="00D44D86"/>
    <w:rsid w:val="00D50B7D"/>
    <w:rsid w:val="00D52012"/>
    <w:rsid w:val="00D634F5"/>
    <w:rsid w:val="00D704E5"/>
    <w:rsid w:val="00D72727"/>
    <w:rsid w:val="00D849D0"/>
    <w:rsid w:val="00D944BC"/>
    <w:rsid w:val="00D978C6"/>
    <w:rsid w:val="00DA0956"/>
    <w:rsid w:val="00DA2247"/>
    <w:rsid w:val="00DA357F"/>
    <w:rsid w:val="00DA3E12"/>
    <w:rsid w:val="00DB6908"/>
    <w:rsid w:val="00DC18AD"/>
    <w:rsid w:val="00DF7CAE"/>
    <w:rsid w:val="00E008A1"/>
    <w:rsid w:val="00E17E13"/>
    <w:rsid w:val="00E26BC2"/>
    <w:rsid w:val="00E27D5D"/>
    <w:rsid w:val="00E32C5D"/>
    <w:rsid w:val="00E423C0"/>
    <w:rsid w:val="00E6414C"/>
    <w:rsid w:val="00E7260F"/>
    <w:rsid w:val="00E72C0C"/>
    <w:rsid w:val="00E8702D"/>
    <w:rsid w:val="00E905F4"/>
    <w:rsid w:val="00E916A9"/>
    <w:rsid w:val="00E916DE"/>
    <w:rsid w:val="00E925AD"/>
    <w:rsid w:val="00E96630"/>
    <w:rsid w:val="00ED18DC"/>
    <w:rsid w:val="00ED4386"/>
    <w:rsid w:val="00ED6201"/>
    <w:rsid w:val="00ED7A2A"/>
    <w:rsid w:val="00EE473A"/>
    <w:rsid w:val="00EF0B3A"/>
    <w:rsid w:val="00EF1D7F"/>
    <w:rsid w:val="00EF515B"/>
    <w:rsid w:val="00F0137E"/>
    <w:rsid w:val="00F04062"/>
    <w:rsid w:val="00F1098D"/>
    <w:rsid w:val="00F21786"/>
    <w:rsid w:val="00F3742B"/>
    <w:rsid w:val="00F41FDB"/>
    <w:rsid w:val="00F46620"/>
    <w:rsid w:val="00F50596"/>
    <w:rsid w:val="00F5215A"/>
    <w:rsid w:val="00F55700"/>
    <w:rsid w:val="00F56D63"/>
    <w:rsid w:val="00F6034B"/>
    <w:rsid w:val="00F609A9"/>
    <w:rsid w:val="00F60E9F"/>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A54CD"/>
  <w15:docId w15:val="{1B3BEBD0-A1FC-4A10-B64F-5675123C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5"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1C5"/>
    <w:rPr>
      <w:lang w:val="en-GB"/>
    </w:rPr>
  </w:style>
  <w:style w:type="paragraph" w:styleId="Heading1">
    <w:name w:val="heading 1"/>
    <w:aliases w:val="Table_G"/>
    <w:basedOn w:val="SingleTxtG"/>
    <w:next w:val="SingleTxtG"/>
    <w:link w:val="Heading1Char"/>
    <w:uiPriority w:val="5"/>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
    <w:basedOn w:val="DefaultParagraphFont"/>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8A77AE"/>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8A77AE"/>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rPr>
  </w:style>
  <w:style w:type="paragraph" w:customStyle="1" w:styleId="ParNoG">
    <w:name w:val="_ParNo_G"/>
    <w:basedOn w:val="Normal"/>
    <w:qFormat/>
    <w:rsid w:val="001E555D"/>
    <w:pPr>
      <w:numPr>
        <w:numId w:val="20"/>
      </w:numPr>
      <w:tabs>
        <w:tab w:val="left" w:pos="1701"/>
        <w:tab w:val="left" w:pos="2268"/>
        <w:tab w:val="left" w:pos="2835"/>
      </w:tabs>
      <w:spacing w:after="120"/>
      <w:ind w:right="1134"/>
      <w:jc w:val="both"/>
    </w:pPr>
  </w:style>
  <w:style w:type="character" w:customStyle="1" w:styleId="Heading1Char">
    <w:name w:val="Heading 1 Char"/>
    <w:aliases w:val="Table_G Char"/>
    <w:basedOn w:val="DefaultParagraphFont"/>
    <w:link w:val="Heading1"/>
    <w:uiPriority w:val="5"/>
    <w:rsid w:val="004F70B2"/>
    <w:rPr>
      <w:lang w:val="en-GB"/>
    </w:rPr>
  </w:style>
  <w:style w:type="paragraph" w:customStyle="1" w:styleId="Number1">
    <w:name w:val="Number 1"/>
    <w:uiPriority w:val="2"/>
    <w:qFormat/>
    <w:rsid w:val="004F70B2"/>
    <w:pPr>
      <w:adjustRightInd w:val="0"/>
      <w:spacing w:after="120" w:line="240" w:lineRule="auto"/>
      <w:ind w:left="567" w:hanging="567"/>
      <w:textAlignment w:val="baseline"/>
    </w:pPr>
    <w:rPr>
      <w:rFonts w:ascii="Arial" w:hAnsi="Arial" w:cs="Arial"/>
      <w:color w:val="000000"/>
      <w:sz w:val="24"/>
      <w:szCs w:val="24"/>
      <w:lang w:val="en-GB" w:eastAsia="en-US"/>
    </w:rPr>
  </w:style>
  <w:style w:type="paragraph" w:styleId="ListParagraph">
    <w:name w:val="List Paragraph"/>
    <w:basedOn w:val="Normal"/>
    <w:uiPriority w:val="34"/>
    <w:qFormat/>
    <w:rsid w:val="004317D5"/>
    <w:pPr>
      <w:spacing w:line="240" w:lineRule="auto"/>
      <w:ind w:left="720"/>
      <w:contextualSpacing/>
    </w:pPr>
    <w:rPr>
      <w:rFonts w:ascii="Arial" w:eastAsiaTheme="minorHAnsi" w:hAnsi="Arial" w:cstheme="minorBidi"/>
      <w:sz w:val="24"/>
      <w:szCs w:val="24"/>
      <w:lang w:eastAsia="en-US"/>
    </w:rPr>
  </w:style>
  <w:style w:type="paragraph" w:styleId="Revision">
    <w:name w:val="Revision"/>
    <w:hidden/>
    <w:uiPriority w:val="99"/>
    <w:semiHidden/>
    <w:rsid w:val="00F5215A"/>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A-GARCIA\United%20Nations\UNOG_DCM-Macros%20-%20UNECE\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6E1F9AAA-3567-4188-B0AB-6D42A8AB3220}">
  <ds:schemaRefs>
    <ds:schemaRef ds:uri="http://schemas.openxmlformats.org/officeDocument/2006/bibliography"/>
  </ds:schemaRefs>
</ds:datastoreItem>
</file>

<file path=customXml/itemProps2.xml><?xml version="1.0" encoding="utf-8"?>
<ds:datastoreItem xmlns:ds="http://schemas.openxmlformats.org/officeDocument/2006/customXml" ds:itemID="{692A0A83-2FB0-4803-9ABA-55A7C0D6B9AC}"/>
</file>

<file path=customXml/itemProps3.xml><?xml version="1.0" encoding="utf-8"?>
<ds:datastoreItem xmlns:ds="http://schemas.openxmlformats.org/officeDocument/2006/customXml" ds:itemID="{DFDB4A9A-DD1D-431C-883D-883845E558B8}">
  <ds:schemaRefs>
    <ds:schemaRef ds:uri="http://schemas.microsoft.com/sharepoint/v3/contenttype/forms"/>
  </ds:schemaRefs>
</ds:datastoreItem>
</file>

<file path=customXml/itemProps4.xml><?xml version="1.0" encoding="utf-8"?>
<ds:datastoreItem xmlns:ds="http://schemas.openxmlformats.org/officeDocument/2006/customXml" ds:itemID="{B0E6A19E-DE01-423D-ABB1-70531F076FD4}">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TRANS_WP1_24_E.dotm</Template>
  <TotalTime>0</TotalTime>
  <Pages>4</Pages>
  <Words>1202</Words>
  <Characters>6432</Characters>
  <Application>Microsoft Office Word</Application>
  <DocSecurity>0</DocSecurity>
  <Lines>130</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ECE/TRANS/WP.15/2024/16</vt:lpstr>
      <vt:lpstr/>
    </vt:vector>
  </TitlesOfParts>
  <Company>CSD</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ECE/TRANS/WP.15/2024/16</dc:title>
  <dc:subject>2414684</dc:subject>
  <dc:creator>Alicia DORCA-GARCIA</dc:creator>
  <cp:keywords/>
  <dc:description/>
  <cp:lastModifiedBy>Pauline Anne Escalante</cp:lastModifiedBy>
  <cp:revision>2</cp:revision>
  <cp:lastPrinted>2024-08-14T14:48:00Z</cp:lastPrinted>
  <dcterms:created xsi:type="dcterms:W3CDTF">2024-08-14T14:49:00Z</dcterms:created>
  <dcterms:modified xsi:type="dcterms:W3CDTF">2024-08-14T14:49:00Z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