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7F7BEAB" w14:textId="77777777" w:rsidTr="00C97039">
        <w:trPr>
          <w:trHeight w:hRule="exact" w:val="851"/>
        </w:trPr>
        <w:tc>
          <w:tcPr>
            <w:tcW w:w="1276" w:type="dxa"/>
            <w:tcBorders>
              <w:bottom w:val="single" w:sz="4" w:space="0" w:color="auto"/>
            </w:tcBorders>
          </w:tcPr>
          <w:p w14:paraId="628DD354" w14:textId="77777777" w:rsidR="00F35BAF" w:rsidRPr="00DB58B5" w:rsidRDefault="00F35BAF" w:rsidP="0083199D">
            <w:bookmarkStart w:id="0" w:name="_Hlk175046019"/>
            <w:bookmarkEnd w:id="0"/>
          </w:p>
        </w:tc>
        <w:tc>
          <w:tcPr>
            <w:tcW w:w="2268" w:type="dxa"/>
            <w:tcBorders>
              <w:bottom w:val="single" w:sz="4" w:space="0" w:color="auto"/>
            </w:tcBorders>
            <w:vAlign w:val="bottom"/>
          </w:tcPr>
          <w:p w14:paraId="75F11F7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E5041C4" w14:textId="38747AD4" w:rsidR="00F35BAF" w:rsidRPr="00DB58B5" w:rsidRDefault="0083199D" w:rsidP="0083199D">
            <w:pPr>
              <w:jc w:val="right"/>
            </w:pPr>
            <w:r w:rsidRPr="0083199D">
              <w:rPr>
                <w:sz w:val="40"/>
              </w:rPr>
              <w:t>ECE</w:t>
            </w:r>
            <w:r>
              <w:t>/TRANS/WP.29/GRSG/2024/36</w:t>
            </w:r>
          </w:p>
        </w:tc>
      </w:tr>
      <w:tr w:rsidR="00F35BAF" w:rsidRPr="00DB58B5" w14:paraId="33A1FF8D" w14:textId="77777777" w:rsidTr="00C97039">
        <w:trPr>
          <w:trHeight w:hRule="exact" w:val="2835"/>
        </w:trPr>
        <w:tc>
          <w:tcPr>
            <w:tcW w:w="1276" w:type="dxa"/>
            <w:tcBorders>
              <w:top w:val="single" w:sz="4" w:space="0" w:color="auto"/>
              <w:bottom w:val="single" w:sz="12" w:space="0" w:color="auto"/>
            </w:tcBorders>
          </w:tcPr>
          <w:p w14:paraId="665A5E04" w14:textId="77777777" w:rsidR="00F35BAF" w:rsidRPr="00DB58B5" w:rsidRDefault="00F35BAF" w:rsidP="00C97039">
            <w:pPr>
              <w:spacing w:before="120"/>
              <w:jc w:val="center"/>
            </w:pPr>
            <w:r>
              <w:rPr>
                <w:noProof/>
                <w:lang w:eastAsia="fr-CH"/>
              </w:rPr>
              <w:drawing>
                <wp:inline distT="0" distB="0" distL="0" distR="0" wp14:anchorId="3B1C986C" wp14:editId="53102BB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3D5ACA0"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76EA85C" w14:textId="77777777" w:rsidR="00F35BAF" w:rsidRDefault="0083199D" w:rsidP="00C97039">
            <w:pPr>
              <w:spacing w:before="240"/>
            </w:pPr>
            <w:proofErr w:type="spellStart"/>
            <w:r>
              <w:t>Distr</w:t>
            </w:r>
            <w:proofErr w:type="spellEnd"/>
            <w:r>
              <w:t>. générale</w:t>
            </w:r>
          </w:p>
          <w:p w14:paraId="1AF7B80A" w14:textId="77777777" w:rsidR="0083199D" w:rsidRDefault="0083199D" w:rsidP="0083199D">
            <w:pPr>
              <w:spacing w:line="240" w:lineRule="exact"/>
            </w:pPr>
            <w:r>
              <w:t>22 juillet 2024</w:t>
            </w:r>
          </w:p>
          <w:p w14:paraId="5EA9939F" w14:textId="77777777" w:rsidR="0083199D" w:rsidRDefault="0083199D" w:rsidP="0083199D">
            <w:pPr>
              <w:spacing w:line="240" w:lineRule="exact"/>
            </w:pPr>
            <w:r>
              <w:t>Français</w:t>
            </w:r>
          </w:p>
          <w:p w14:paraId="274C428E" w14:textId="1AD5E95C" w:rsidR="0083199D" w:rsidRPr="00DB58B5" w:rsidRDefault="0083199D" w:rsidP="0083199D">
            <w:pPr>
              <w:spacing w:line="240" w:lineRule="exact"/>
            </w:pPr>
            <w:r>
              <w:t>Original : anglais</w:t>
            </w:r>
          </w:p>
        </w:tc>
      </w:tr>
    </w:tbl>
    <w:p w14:paraId="68D5A660" w14:textId="0FBC5B9B" w:rsidR="007F20FA" w:rsidRPr="000312C0" w:rsidRDefault="007F20FA" w:rsidP="007F20FA">
      <w:pPr>
        <w:spacing w:before="120"/>
        <w:rPr>
          <w:b/>
          <w:sz w:val="28"/>
          <w:szCs w:val="28"/>
        </w:rPr>
      </w:pPr>
      <w:r w:rsidRPr="000312C0">
        <w:rPr>
          <w:b/>
          <w:sz w:val="28"/>
          <w:szCs w:val="28"/>
        </w:rPr>
        <w:t>Commission économique pour l</w:t>
      </w:r>
      <w:r w:rsidR="004B49A6">
        <w:rPr>
          <w:b/>
          <w:sz w:val="28"/>
          <w:szCs w:val="28"/>
        </w:rPr>
        <w:t>’</w:t>
      </w:r>
      <w:r w:rsidRPr="000312C0">
        <w:rPr>
          <w:b/>
          <w:sz w:val="28"/>
          <w:szCs w:val="28"/>
        </w:rPr>
        <w:t>Europe</w:t>
      </w:r>
    </w:p>
    <w:p w14:paraId="675CAF21" w14:textId="77777777" w:rsidR="007F20FA" w:rsidRDefault="007F20FA" w:rsidP="007F20FA">
      <w:pPr>
        <w:spacing w:before="120"/>
        <w:rPr>
          <w:sz w:val="28"/>
          <w:szCs w:val="28"/>
        </w:rPr>
      </w:pPr>
      <w:r w:rsidRPr="00685843">
        <w:rPr>
          <w:sz w:val="28"/>
          <w:szCs w:val="28"/>
        </w:rPr>
        <w:t>Comité des transports intérieurs</w:t>
      </w:r>
    </w:p>
    <w:p w14:paraId="6379C777" w14:textId="1BE5B7C8" w:rsidR="0083199D" w:rsidRDefault="0083199D" w:rsidP="00AF0CB5">
      <w:pPr>
        <w:spacing w:before="120"/>
        <w:rPr>
          <w:b/>
          <w:sz w:val="24"/>
          <w:szCs w:val="24"/>
        </w:rPr>
      </w:pPr>
      <w:r w:rsidRPr="00685843">
        <w:rPr>
          <w:b/>
          <w:sz w:val="24"/>
          <w:szCs w:val="24"/>
        </w:rPr>
        <w:t>Forum mondial de l</w:t>
      </w:r>
      <w:r w:rsidR="004B49A6">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51E5FE6A" w14:textId="77777777" w:rsidR="0083199D" w:rsidRDefault="0083199D" w:rsidP="00257168">
      <w:pPr>
        <w:spacing w:before="120" w:after="120" w:line="240" w:lineRule="exact"/>
        <w:rPr>
          <w:b/>
        </w:rPr>
      </w:pPr>
      <w:r>
        <w:rPr>
          <w:b/>
        </w:rPr>
        <w:t>Groupe de travail des dispositions générales de sécurité</w:t>
      </w:r>
    </w:p>
    <w:p w14:paraId="7F5E0EB5" w14:textId="07F8310B" w:rsidR="0083199D" w:rsidRDefault="0083199D" w:rsidP="00257168">
      <w:pPr>
        <w:spacing w:before="120" w:line="240" w:lineRule="exact"/>
        <w:rPr>
          <w:b/>
        </w:rPr>
      </w:pPr>
      <w:r>
        <w:rPr>
          <w:b/>
        </w:rPr>
        <w:t>128</w:t>
      </w:r>
      <w:r w:rsidRPr="0083199D">
        <w:rPr>
          <w:b/>
          <w:vertAlign w:val="superscript"/>
        </w:rPr>
        <w:t>e</w:t>
      </w:r>
      <w:r>
        <w:rPr>
          <w:b/>
        </w:rPr>
        <w:t xml:space="preserve"> session</w:t>
      </w:r>
    </w:p>
    <w:p w14:paraId="0A45CC44" w14:textId="77777777" w:rsidR="0083199D" w:rsidRPr="001B10CE" w:rsidRDefault="0083199D" w:rsidP="0083199D">
      <w:r>
        <w:rPr>
          <w:lang w:val="fr-FR"/>
        </w:rPr>
        <w:t>Genève, 7-11 octobre 2024</w:t>
      </w:r>
    </w:p>
    <w:p w14:paraId="32BA116A" w14:textId="57081B3B" w:rsidR="0083199D" w:rsidRDefault="0083199D" w:rsidP="0083199D">
      <w:pPr>
        <w:rPr>
          <w:lang w:val="fr-FR"/>
        </w:rPr>
      </w:pPr>
      <w:r>
        <w:rPr>
          <w:lang w:val="fr-FR"/>
        </w:rPr>
        <w:t>Point 5 de l</w:t>
      </w:r>
      <w:r w:rsidR="004B49A6">
        <w:rPr>
          <w:lang w:val="fr-FR"/>
        </w:rPr>
        <w:t>’</w:t>
      </w:r>
      <w:r>
        <w:rPr>
          <w:lang w:val="fr-FR"/>
        </w:rPr>
        <w:t>ordre du jour provisoire</w:t>
      </w:r>
    </w:p>
    <w:p w14:paraId="594BD857" w14:textId="5C52AC9B" w:rsidR="00F9573C" w:rsidRDefault="0083199D" w:rsidP="0083199D">
      <w:pPr>
        <w:spacing w:line="240" w:lineRule="exact"/>
        <w:rPr>
          <w:b/>
          <w:bCs/>
          <w:lang w:val="fr-FR"/>
        </w:rPr>
      </w:pPr>
      <w:r>
        <w:rPr>
          <w:b/>
          <w:bCs/>
          <w:lang w:val="fr-FR"/>
        </w:rPr>
        <w:t xml:space="preserve">Règlement ONU </w:t>
      </w:r>
      <w:r w:rsidRPr="0083199D">
        <w:rPr>
          <w:rFonts w:eastAsia="MS Mincho"/>
          <w:b/>
          <w:bCs/>
          <w:szCs w:val="22"/>
          <w:lang w:val="fr-FR"/>
        </w:rPr>
        <w:t>n</w:t>
      </w:r>
      <w:r w:rsidRPr="0083199D">
        <w:rPr>
          <w:rFonts w:eastAsia="MS Mincho"/>
          <w:b/>
          <w:bCs/>
          <w:szCs w:val="22"/>
          <w:vertAlign w:val="superscript"/>
          <w:lang w:val="fr-FR"/>
        </w:rPr>
        <w:t>o</w:t>
      </w:r>
      <w:r>
        <w:rPr>
          <w:b/>
          <w:bCs/>
          <w:lang w:val="fr-FR"/>
        </w:rPr>
        <w:t> </w:t>
      </w:r>
      <w:r>
        <w:rPr>
          <w:b/>
          <w:bCs/>
          <w:lang w:val="fr-FR"/>
        </w:rPr>
        <w:t>39 (Indicateur de vitesse et compteur kilométrique)</w:t>
      </w:r>
    </w:p>
    <w:p w14:paraId="3E53929A" w14:textId="2C7E74E3" w:rsidR="0083199D" w:rsidRPr="001B10CE" w:rsidRDefault="0083199D" w:rsidP="0083199D">
      <w:pPr>
        <w:pStyle w:val="HChG"/>
      </w:pPr>
      <w:r>
        <w:rPr>
          <w:lang w:val="fr-FR"/>
        </w:rPr>
        <w:tab/>
      </w:r>
      <w:r>
        <w:rPr>
          <w:lang w:val="fr-FR"/>
        </w:rPr>
        <w:tab/>
        <w:t>Proposition de série 02 d</w:t>
      </w:r>
      <w:r w:rsidR="004B49A6">
        <w:rPr>
          <w:lang w:val="fr-FR"/>
        </w:rPr>
        <w:t>’</w:t>
      </w:r>
      <w:r>
        <w:rPr>
          <w:lang w:val="fr-FR"/>
        </w:rPr>
        <w:t xml:space="preserve">amendements au Règlement </w:t>
      </w:r>
      <w:r>
        <w:rPr>
          <w:lang w:val="fr-FR"/>
        </w:rPr>
        <w:br/>
      </w:r>
      <w:r w:rsidRPr="0083199D">
        <w:rPr>
          <w:spacing w:val="2"/>
          <w:lang w:val="fr-FR"/>
        </w:rPr>
        <w:t xml:space="preserve">ONU </w:t>
      </w:r>
      <w:r w:rsidRPr="0083199D">
        <w:rPr>
          <w:rFonts w:eastAsia="MS Mincho"/>
          <w:spacing w:val="2"/>
          <w:szCs w:val="22"/>
          <w:lang w:val="fr-FR"/>
        </w:rPr>
        <w:t>n</w:t>
      </w:r>
      <w:r w:rsidRPr="0083199D">
        <w:rPr>
          <w:rFonts w:eastAsia="MS Mincho"/>
          <w:spacing w:val="2"/>
          <w:szCs w:val="22"/>
          <w:vertAlign w:val="superscript"/>
          <w:lang w:val="fr-FR"/>
        </w:rPr>
        <w:t>o</w:t>
      </w:r>
      <w:r w:rsidRPr="0083199D">
        <w:rPr>
          <w:spacing w:val="2"/>
          <w:lang w:val="fr-FR"/>
        </w:rPr>
        <w:t> </w:t>
      </w:r>
      <w:r w:rsidRPr="0083199D">
        <w:rPr>
          <w:spacing w:val="2"/>
          <w:lang w:val="fr-FR"/>
        </w:rPr>
        <w:t>39 (</w:t>
      </w:r>
      <w:r w:rsidRPr="0083199D">
        <w:rPr>
          <w:spacing w:val="2"/>
        </w:rPr>
        <w:t>Prescriptions</w:t>
      </w:r>
      <w:r w:rsidRPr="0083199D">
        <w:rPr>
          <w:spacing w:val="2"/>
          <w:lang w:val="fr-FR"/>
        </w:rPr>
        <w:t xml:space="preserve"> uniformes relatives à l</w:t>
      </w:r>
      <w:r w:rsidR="004B49A6">
        <w:rPr>
          <w:spacing w:val="2"/>
          <w:lang w:val="fr-FR"/>
        </w:rPr>
        <w:t>’</w:t>
      </w:r>
      <w:r w:rsidRPr="0083199D">
        <w:rPr>
          <w:spacing w:val="2"/>
          <w:lang w:val="fr-FR"/>
        </w:rPr>
        <w:t>homologation des véhicules en ce qui concerne</w:t>
      </w:r>
      <w:r>
        <w:rPr>
          <w:lang w:val="fr-FR"/>
        </w:rPr>
        <w:t xml:space="preserve"> </w:t>
      </w:r>
      <w:r>
        <w:rPr>
          <w:lang w:val="fr-FR"/>
        </w:rPr>
        <w:br/>
      </w:r>
      <w:r>
        <w:rPr>
          <w:lang w:val="fr-FR"/>
        </w:rPr>
        <w:t>l</w:t>
      </w:r>
      <w:r w:rsidR="004B49A6">
        <w:rPr>
          <w:lang w:val="fr-FR"/>
        </w:rPr>
        <w:t>’</w:t>
      </w:r>
      <w:r>
        <w:rPr>
          <w:lang w:val="fr-FR"/>
        </w:rPr>
        <w:t>indicateur de vitesse et le compteur kilométrique,</w:t>
      </w:r>
      <w:r>
        <w:rPr>
          <w:lang w:val="fr-FR"/>
        </w:rPr>
        <w:br/>
      </w:r>
      <w:r>
        <w:rPr>
          <w:lang w:val="fr-FR"/>
        </w:rPr>
        <w:t>y compris leur installation)</w:t>
      </w:r>
    </w:p>
    <w:p w14:paraId="7D07E6EE" w14:textId="45D54975" w:rsidR="0083199D" w:rsidRDefault="0083199D" w:rsidP="0083199D">
      <w:pPr>
        <w:pStyle w:val="H1G"/>
        <w:rPr>
          <w:b w:val="0"/>
          <w:bCs/>
          <w:sz w:val="20"/>
          <w:lang w:val="fr-FR"/>
        </w:rPr>
      </w:pPr>
      <w:r>
        <w:rPr>
          <w:lang w:val="fr-FR"/>
        </w:rPr>
        <w:tab/>
      </w:r>
      <w:r>
        <w:rPr>
          <w:lang w:val="fr-FR"/>
        </w:rPr>
        <w:tab/>
        <w:t>Communication de l</w:t>
      </w:r>
      <w:r w:rsidR="004B49A6">
        <w:rPr>
          <w:lang w:val="fr-FR"/>
        </w:rPr>
        <w:t>’</w:t>
      </w:r>
      <w:r>
        <w:rPr>
          <w:lang w:val="fr-FR"/>
        </w:rPr>
        <w:t xml:space="preserve">équipe spéciale des prescriptions du Règlement ONU </w:t>
      </w:r>
      <w:r w:rsidRPr="0083199D">
        <w:rPr>
          <w:rFonts w:eastAsia="MS Mincho"/>
          <w:szCs w:val="22"/>
          <w:lang w:val="fr-FR"/>
        </w:rPr>
        <w:t>n</w:t>
      </w:r>
      <w:r w:rsidRPr="0083199D">
        <w:rPr>
          <w:rFonts w:eastAsia="MS Mincho"/>
          <w:szCs w:val="22"/>
          <w:vertAlign w:val="superscript"/>
          <w:lang w:val="fr-FR"/>
        </w:rPr>
        <w:t>o</w:t>
      </w:r>
      <w:r>
        <w:rPr>
          <w:lang w:val="fr-FR"/>
        </w:rPr>
        <w:t> </w:t>
      </w:r>
      <w:r>
        <w:rPr>
          <w:lang w:val="fr-FR"/>
        </w:rPr>
        <w:t>39 relatives aux valeurs des compteurs kilométriques</w:t>
      </w:r>
      <w:r w:rsidRPr="0083199D">
        <w:rPr>
          <w:rStyle w:val="Appelnotedebasdep"/>
          <w:b w:val="0"/>
          <w:bCs/>
          <w:sz w:val="20"/>
          <w:vertAlign w:val="baseline"/>
        </w:rPr>
        <w:footnoteReference w:customMarkFollows="1" w:id="2"/>
        <w:t>*</w:t>
      </w:r>
    </w:p>
    <w:p w14:paraId="11D1DC0C" w14:textId="2FE1AFA1" w:rsidR="0083199D" w:rsidRDefault="0083199D" w:rsidP="0083199D">
      <w:pPr>
        <w:pStyle w:val="SingleTxtG"/>
        <w:ind w:firstLine="567"/>
        <w:rPr>
          <w:lang w:val="fr-FR"/>
        </w:rPr>
      </w:pPr>
      <w:r>
        <w:rPr>
          <w:lang w:val="fr-FR"/>
        </w:rPr>
        <w:t>Le texte ci-après, établi par l</w:t>
      </w:r>
      <w:r w:rsidR="004B49A6">
        <w:rPr>
          <w:lang w:val="fr-FR"/>
        </w:rPr>
        <w:t>’</w:t>
      </w:r>
      <w:r>
        <w:rPr>
          <w:lang w:val="fr-FR"/>
        </w:rPr>
        <w:t>équipe spéciale des prescriptions du Règlement ONU</w:t>
      </w:r>
      <w:r>
        <w:rPr>
          <w:lang w:val="fr-FR"/>
        </w:rPr>
        <w:t> </w:t>
      </w:r>
      <w:r>
        <w:rPr>
          <w:lang w:val="fr-FR"/>
        </w:rPr>
        <w:t>n</w:t>
      </w:r>
      <w:r>
        <w:rPr>
          <w:vertAlign w:val="superscript"/>
          <w:lang w:val="fr-FR"/>
        </w:rPr>
        <w:t>o</w:t>
      </w:r>
      <w:r>
        <w:rPr>
          <w:lang w:val="fr-FR"/>
        </w:rPr>
        <w:t> 39 relatives aux valeurs des compteurs kilométriques, vise à modifier et à étoffer les prescriptions applicables aux compteurs kilométriques par l</w:t>
      </w:r>
      <w:r w:rsidR="004B49A6">
        <w:rPr>
          <w:lang w:val="fr-FR"/>
        </w:rPr>
        <w:t>’</w:t>
      </w:r>
      <w:r>
        <w:rPr>
          <w:lang w:val="fr-FR"/>
        </w:rPr>
        <w:t>ajout de dispositions concernant : a) l</w:t>
      </w:r>
      <w:r w:rsidR="004B49A6">
        <w:rPr>
          <w:lang w:val="fr-FR"/>
        </w:rPr>
        <w:t>’</w:t>
      </w:r>
      <w:r>
        <w:rPr>
          <w:lang w:val="fr-FR"/>
        </w:rPr>
        <w:t>exactitude des valeurs des compteurs kilométriques embarqués ; b) la lutte contre la falsification de ces valeurs ; c) l</w:t>
      </w:r>
      <w:r w:rsidR="004B49A6">
        <w:rPr>
          <w:lang w:val="fr-FR"/>
        </w:rPr>
        <w:t>’</w:t>
      </w:r>
      <w:r>
        <w:rPr>
          <w:lang w:val="fr-FR"/>
        </w:rPr>
        <w:t>exactitude des valeurs affichées pour le conducteur et la protection contre leur falsification. L</w:t>
      </w:r>
      <w:r w:rsidR="004B49A6">
        <w:rPr>
          <w:lang w:val="fr-FR"/>
        </w:rPr>
        <w:t>’</w:t>
      </w:r>
      <w:r>
        <w:rPr>
          <w:lang w:val="fr-FR"/>
        </w:rPr>
        <w:t>élaboration de la présente proposition a été approuvée par le Groupe de travail des dispositions générales de sécurité (GRSG) à sa 125</w:t>
      </w:r>
      <w:r w:rsidRPr="000E366A">
        <w:rPr>
          <w:vertAlign w:val="superscript"/>
          <w:lang w:val="fr-FR"/>
        </w:rPr>
        <w:t>e</w:t>
      </w:r>
      <w:r>
        <w:rPr>
          <w:lang w:val="fr-FR"/>
        </w:rPr>
        <w:t> </w:t>
      </w:r>
      <w:r>
        <w:rPr>
          <w:lang w:val="fr-FR"/>
        </w:rPr>
        <w:t>session (ECE/TRANS/WP.29/GRSG/104, par. 49). Les modifications qu</w:t>
      </w:r>
      <w:r w:rsidR="004B49A6">
        <w:rPr>
          <w:lang w:val="fr-FR"/>
        </w:rPr>
        <w:t>’</w:t>
      </w:r>
      <w:r>
        <w:rPr>
          <w:lang w:val="fr-FR"/>
        </w:rPr>
        <w:t>il est proposé d</w:t>
      </w:r>
      <w:r w:rsidR="004B49A6">
        <w:rPr>
          <w:lang w:val="fr-FR"/>
        </w:rPr>
        <w:t>’</w:t>
      </w:r>
      <w:r>
        <w:rPr>
          <w:lang w:val="fr-FR"/>
        </w:rPr>
        <w:t>apporter au texte actuel du Règlement ONU figurent en caractères gras pour les ajouts et biffés pour les suppressions.</w:t>
      </w:r>
    </w:p>
    <w:p w14:paraId="70090485" w14:textId="77777777" w:rsidR="0083199D" w:rsidRDefault="0083199D">
      <w:pPr>
        <w:suppressAutoHyphens w:val="0"/>
        <w:kinsoku/>
        <w:overflowPunct/>
        <w:autoSpaceDE/>
        <w:autoSpaceDN/>
        <w:adjustRightInd/>
        <w:snapToGrid/>
        <w:spacing w:after="200" w:line="276" w:lineRule="auto"/>
        <w:rPr>
          <w:lang w:val="fr-FR"/>
        </w:rPr>
      </w:pPr>
      <w:r>
        <w:rPr>
          <w:lang w:val="fr-FR"/>
        </w:rPr>
        <w:br w:type="page"/>
      </w:r>
    </w:p>
    <w:p w14:paraId="0E96A76A" w14:textId="77777777" w:rsidR="0083199D" w:rsidRPr="001B10CE" w:rsidRDefault="0083199D" w:rsidP="0083199D">
      <w:pPr>
        <w:pStyle w:val="HChG"/>
      </w:pPr>
      <w:r>
        <w:rPr>
          <w:bCs/>
          <w:lang w:val="fr-FR"/>
        </w:rPr>
        <w:lastRenderedPageBreak/>
        <w:tab/>
        <w:t>I.</w:t>
      </w:r>
      <w:r>
        <w:rPr>
          <w:lang w:val="fr-FR"/>
        </w:rPr>
        <w:tab/>
      </w:r>
      <w:r>
        <w:rPr>
          <w:bCs/>
          <w:lang w:val="fr-FR"/>
        </w:rPr>
        <w:t>Proposition</w:t>
      </w:r>
    </w:p>
    <w:p w14:paraId="44A14CE6" w14:textId="77777777" w:rsidR="0083199D" w:rsidRPr="001B10CE" w:rsidRDefault="0083199D" w:rsidP="0083199D">
      <w:pPr>
        <w:spacing w:after="120" w:line="240" w:lineRule="auto"/>
        <w:ind w:left="2268" w:right="1134" w:hanging="1134"/>
        <w:jc w:val="both"/>
      </w:pPr>
      <w:r>
        <w:rPr>
          <w:i/>
          <w:iCs/>
          <w:lang w:val="fr-FR"/>
        </w:rPr>
        <w:t>Table des matières</w:t>
      </w:r>
      <w:r>
        <w:rPr>
          <w:lang w:val="fr-FR"/>
        </w:rPr>
        <w:t>, lire :</w:t>
      </w:r>
    </w:p>
    <w:p w14:paraId="7B0FE0A7" w14:textId="77777777" w:rsidR="0083199D" w:rsidRPr="00F64766" w:rsidRDefault="0083199D" w:rsidP="0083199D">
      <w:pPr>
        <w:spacing w:after="120"/>
        <w:ind w:firstLine="283"/>
        <w:rPr>
          <w:sz w:val="28"/>
          <w:szCs w:val="28"/>
          <w:lang w:val="fr-FR"/>
        </w:rPr>
      </w:pPr>
      <w:r w:rsidRPr="00012272">
        <w:rPr>
          <w:lang w:val="fr-FR"/>
        </w:rPr>
        <w:t>«</w:t>
      </w:r>
      <w:r>
        <w:rPr>
          <w:lang w:val="fr-FR"/>
        </w:rPr>
        <w:t> </w:t>
      </w:r>
      <w:r w:rsidRPr="00F64766">
        <w:rPr>
          <w:sz w:val="28"/>
          <w:szCs w:val="28"/>
          <w:lang w:val="fr-FR"/>
        </w:rPr>
        <w:t>Table des matières</w:t>
      </w:r>
    </w:p>
    <w:p w14:paraId="2B2A635A" w14:textId="77777777" w:rsidR="0083199D" w:rsidRPr="00F64766" w:rsidRDefault="0083199D" w:rsidP="0083199D">
      <w:pPr>
        <w:tabs>
          <w:tab w:val="right" w:pos="9638"/>
        </w:tabs>
        <w:spacing w:after="120"/>
        <w:ind w:left="283"/>
        <w:rPr>
          <w:sz w:val="18"/>
          <w:szCs w:val="18"/>
          <w:lang w:val="fr-FR"/>
        </w:rPr>
      </w:pPr>
      <w:r w:rsidRPr="00F64766">
        <w:rPr>
          <w:lang w:val="fr-FR"/>
        </w:rPr>
        <w:tab/>
      </w:r>
      <w:r w:rsidRPr="00F64766">
        <w:rPr>
          <w:i/>
          <w:iCs/>
          <w:sz w:val="18"/>
          <w:szCs w:val="18"/>
          <w:lang w:val="fr-FR"/>
        </w:rPr>
        <w:t>Page</w:t>
      </w:r>
    </w:p>
    <w:p w14:paraId="3BC95D1D" w14:textId="77777777" w:rsidR="00403B8D" w:rsidRPr="00F64766" w:rsidRDefault="00403B8D" w:rsidP="00403B8D">
      <w:pPr>
        <w:pStyle w:val="TM1"/>
        <w:rPr>
          <w:rFonts w:asciiTheme="minorHAnsi" w:eastAsiaTheme="minorEastAsia" w:hAnsiTheme="minorHAnsi" w:cstheme="minorBidi"/>
          <w:sz w:val="22"/>
          <w:szCs w:val="22"/>
          <w:lang w:eastAsia="en-GB"/>
        </w:rPr>
      </w:pPr>
      <w:r w:rsidRPr="00562943">
        <w:t>Règlement</w:t>
      </w:r>
    </w:p>
    <w:p w14:paraId="3705F408" w14:textId="77777777" w:rsidR="00403B8D" w:rsidRPr="00562943" w:rsidRDefault="00403B8D" w:rsidP="00403B8D">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val="fr-FR" w:eastAsia="en-GB"/>
        </w:rPr>
      </w:pPr>
      <w:bookmarkStart w:id="1" w:name="_Hlk175056467"/>
      <w:r w:rsidRPr="00562943">
        <w:rPr>
          <w:lang w:val="fr-FR"/>
        </w:rPr>
        <w:t>1.</w:t>
      </w:r>
      <w:r w:rsidRPr="00562943">
        <w:rPr>
          <w:rFonts w:asciiTheme="minorHAnsi" w:eastAsiaTheme="minorEastAsia" w:hAnsiTheme="minorHAnsi" w:cstheme="minorBidi"/>
          <w:sz w:val="22"/>
          <w:szCs w:val="22"/>
          <w:lang w:val="fr-FR" w:eastAsia="en-GB"/>
        </w:rPr>
        <w:tab/>
      </w:r>
      <w:r w:rsidRPr="00562943">
        <w:rPr>
          <w:lang w:val="fr-FR"/>
        </w:rPr>
        <w:t>Domaine d</w:t>
      </w:r>
      <w:r>
        <w:rPr>
          <w:lang w:val="fr-FR"/>
        </w:rPr>
        <w:t>’</w:t>
      </w:r>
      <w:r w:rsidRPr="00562943">
        <w:rPr>
          <w:lang w:val="fr-FR"/>
        </w:rPr>
        <w:t>application</w:t>
      </w:r>
      <w:r w:rsidRPr="00562943">
        <w:rPr>
          <w:lang w:val="fr-FR"/>
        </w:rPr>
        <w:tab/>
      </w:r>
      <w:r w:rsidRPr="00562943">
        <w:rPr>
          <w:webHidden/>
          <w:lang w:val="fr-FR"/>
        </w:rPr>
        <w:tab/>
      </w:r>
      <w:r>
        <w:rPr>
          <w:webHidden/>
          <w:lang w:val="fr-FR"/>
        </w:rPr>
        <w:t>3</w:t>
      </w:r>
    </w:p>
    <w:p w14:paraId="7A6FB038" w14:textId="77777777" w:rsidR="00403B8D" w:rsidRPr="00562943" w:rsidRDefault="00403B8D" w:rsidP="00403B8D">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val="fr-FR" w:eastAsia="en-GB"/>
        </w:rPr>
      </w:pPr>
      <w:r w:rsidRPr="00562943">
        <w:rPr>
          <w:lang w:val="fr-FR"/>
        </w:rPr>
        <w:t>2.</w:t>
      </w:r>
      <w:r w:rsidRPr="00562943">
        <w:rPr>
          <w:rFonts w:asciiTheme="minorHAnsi" w:eastAsiaTheme="minorEastAsia" w:hAnsiTheme="minorHAnsi" w:cstheme="minorBidi"/>
          <w:sz w:val="22"/>
          <w:szCs w:val="22"/>
          <w:lang w:val="fr-FR" w:eastAsia="en-GB"/>
        </w:rPr>
        <w:tab/>
      </w:r>
      <w:r w:rsidRPr="00562943">
        <w:rPr>
          <w:lang w:val="fr-FR"/>
        </w:rPr>
        <w:t>Définitions</w:t>
      </w:r>
      <w:r w:rsidRPr="00562943">
        <w:rPr>
          <w:webHidden/>
          <w:lang w:val="fr-FR"/>
        </w:rPr>
        <w:tab/>
      </w:r>
      <w:r w:rsidRPr="00562943">
        <w:rPr>
          <w:webHidden/>
          <w:lang w:val="fr-FR"/>
        </w:rPr>
        <w:tab/>
      </w:r>
      <w:r>
        <w:rPr>
          <w:webHidden/>
          <w:lang w:val="fr-FR"/>
        </w:rPr>
        <w:t>3</w:t>
      </w:r>
    </w:p>
    <w:p w14:paraId="29C841F7" w14:textId="77777777" w:rsidR="00403B8D" w:rsidRPr="00562943" w:rsidRDefault="00403B8D" w:rsidP="00403B8D">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val="fr-FR" w:eastAsia="en-GB"/>
        </w:rPr>
      </w:pPr>
      <w:r w:rsidRPr="00562943">
        <w:rPr>
          <w:lang w:val="fr-FR"/>
        </w:rPr>
        <w:t>3.</w:t>
      </w:r>
      <w:r w:rsidRPr="00562943">
        <w:rPr>
          <w:rFonts w:asciiTheme="minorHAnsi" w:eastAsiaTheme="minorEastAsia" w:hAnsiTheme="minorHAnsi" w:cstheme="minorBidi"/>
          <w:sz w:val="22"/>
          <w:szCs w:val="22"/>
          <w:lang w:val="fr-FR" w:eastAsia="en-GB"/>
        </w:rPr>
        <w:tab/>
      </w:r>
      <w:r w:rsidRPr="00562943">
        <w:rPr>
          <w:lang w:val="fr-FR"/>
        </w:rPr>
        <w:t>Demande d</w:t>
      </w:r>
      <w:r>
        <w:rPr>
          <w:lang w:val="fr-FR"/>
        </w:rPr>
        <w:t>’</w:t>
      </w:r>
      <w:r w:rsidRPr="00562943">
        <w:rPr>
          <w:lang w:val="fr-FR"/>
        </w:rPr>
        <w:t>homologation</w:t>
      </w:r>
      <w:r w:rsidRPr="00562943">
        <w:rPr>
          <w:webHidden/>
          <w:lang w:val="fr-FR"/>
        </w:rPr>
        <w:tab/>
      </w:r>
      <w:r w:rsidRPr="00562943">
        <w:rPr>
          <w:webHidden/>
          <w:lang w:val="fr-FR"/>
        </w:rPr>
        <w:tab/>
      </w:r>
      <w:r>
        <w:rPr>
          <w:webHidden/>
          <w:lang w:val="fr-FR"/>
        </w:rPr>
        <w:t>4</w:t>
      </w:r>
    </w:p>
    <w:p w14:paraId="029770AF" w14:textId="77777777" w:rsidR="00403B8D" w:rsidRPr="00562943" w:rsidRDefault="00403B8D" w:rsidP="00403B8D">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val="fr-FR" w:eastAsia="en-GB"/>
        </w:rPr>
      </w:pPr>
      <w:r w:rsidRPr="00562943">
        <w:rPr>
          <w:lang w:val="fr-FR"/>
        </w:rPr>
        <w:t>4.</w:t>
      </w:r>
      <w:r w:rsidRPr="00562943">
        <w:rPr>
          <w:rFonts w:asciiTheme="minorHAnsi" w:eastAsiaTheme="minorEastAsia" w:hAnsiTheme="minorHAnsi" w:cstheme="minorBidi"/>
          <w:sz w:val="22"/>
          <w:szCs w:val="22"/>
          <w:lang w:val="fr-FR" w:eastAsia="en-GB"/>
        </w:rPr>
        <w:tab/>
      </w:r>
      <w:r w:rsidRPr="00562943">
        <w:rPr>
          <w:lang w:val="fr-FR"/>
        </w:rPr>
        <w:t>Homologation</w:t>
      </w:r>
      <w:r w:rsidRPr="00562943">
        <w:rPr>
          <w:webHidden/>
          <w:lang w:val="fr-FR"/>
        </w:rPr>
        <w:tab/>
      </w:r>
      <w:r w:rsidRPr="00562943">
        <w:rPr>
          <w:webHidden/>
          <w:lang w:val="fr-FR"/>
        </w:rPr>
        <w:tab/>
        <w:t>5</w:t>
      </w:r>
    </w:p>
    <w:p w14:paraId="06CA95C9" w14:textId="77777777" w:rsidR="00403B8D" w:rsidRPr="00562943" w:rsidRDefault="00403B8D" w:rsidP="00403B8D">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val="fr-FR" w:eastAsia="en-GB"/>
        </w:rPr>
      </w:pPr>
      <w:r w:rsidRPr="00562943">
        <w:rPr>
          <w:lang w:val="fr-FR"/>
        </w:rPr>
        <w:t>5.</w:t>
      </w:r>
      <w:r w:rsidRPr="00562943">
        <w:rPr>
          <w:rFonts w:asciiTheme="minorHAnsi" w:eastAsiaTheme="minorEastAsia" w:hAnsiTheme="minorHAnsi" w:cstheme="minorBidi"/>
          <w:sz w:val="22"/>
          <w:szCs w:val="22"/>
          <w:lang w:val="fr-FR" w:eastAsia="en-GB"/>
        </w:rPr>
        <w:tab/>
      </w:r>
      <w:r w:rsidRPr="00562943">
        <w:rPr>
          <w:lang w:val="fr-FR"/>
        </w:rPr>
        <w:t>Spécifications</w:t>
      </w:r>
      <w:r w:rsidRPr="00562943">
        <w:rPr>
          <w:webHidden/>
          <w:lang w:val="fr-FR"/>
        </w:rPr>
        <w:tab/>
      </w:r>
      <w:r w:rsidRPr="00562943">
        <w:rPr>
          <w:webHidden/>
          <w:lang w:val="fr-FR"/>
        </w:rPr>
        <w:tab/>
        <w:t>6</w:t>
      </w:r>
    </w:p>
    <w:p w14:paraId="24E0F9F2" w14:textId="77777777" w:rsidR="00403B8D" w:rsidRPr="00562943" w:rsidRDefault="00403B8D" w:rsidP="00403B8D">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val="fr-FR" w:eastAsia="en-GB"/>
        </w:rPr>
      </w:pPr>
      <w:r w:rsidRPr="00562943">
        <w:rPr>
          <w:lang w:val="fr-FR"/>
        </w:rPr>
        <w:t>6.</w:t>
      </w:r>
      <w:r w:rsidRPr="00562943">
        <w:rPr>
          <w:rFonts w:asciiTheme="minorHAnsi" w:eastAsiaTheme="minorEastAsia" w:hAnsiTheme="minorHAnsi" w:cstheme="minorBidi"/>
          <w:sz w:val="22"/>
          <w:szCs w:val="22"/>
          <w:lang w:val="fr-FR" w:eastAsia="en-GB"/>
        </w:rPr>
        <w:tab/>
      </w:r>
      <w:r w:rsidRPr="00403B8D">
        <w:rPr>
          <w:lang w:val="fr-FR"/>
        </w:rPr>
        <w:t>Modifications du type</w:t>
      </w:r>
      <w:r w:rsidRPr="00562943">
        <w:rPr>
          <w:lang w:val="fr-FR"/>
        </w:rPr>
        <w:t xml:space="preserve"> de véhicule</w:t>
      </w:r>
      <w:r w:rsidRPr="00562943">
        <w:rPr>
          <w:webHidden/>
          <w:lang w:val="fr-FR"/>
        </w:rPr>
        <w:tab/>
      </w:r>
      <w:r w:rsidRPr="00562943">
        <w:rPr>
          <w:webHidden/>
          <w:lang w:val="fr-FR"/>
        </w:rPr>
        <w:tab/>
      </w:r>
      <w:r>
        <w:rPr>
          <w:webHidden/>
          <w:lang w:val="fr-FR"/>
        </w:rPr>
        <w:t>9</w:t>
      </w:r>
    </w:p>
    <w:p w14:paraId="65E16CAE" w14:textId="77777777" w:rsidR="00403B8D" w:rsidRPr="00562943" w:rsidRDefault="00403B8D" w:rsidP="00403B8D">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val="fr-FR" w:eastAsia="en-GB"/>
        </w:rPr>
      </w:pPr>
      <w:r w:rsidRPr="00562943">
        <w:rPr>
          <w:lang w:val="fr-FR"/>
        </w:rPr>
        <w:t>7.</w:t>
      </w:r>
      <w:r w:rsidRPr="00562943">
        <w:rPr>
          <w:rFonts w:asciiTheme="minorHAnsi" w:eastAsiaTheme="minorEastAsia" w:hAnsiTheme="minorHAnsi" w:cstheme="minorBidi"/>
          <w:sz w:val="22"/>
          <w:szCs w:val="22"/>
          <w:lang w:val="fr-FR" w:eastAsia="en-GB"/>
        </w:rPr>
        <w:tab/>
      </w:r>
      <w:r w:rsidRPr="00562943">
        <w:rPr>
          <w:lang w:val="fr-FR"/>
        </w:rPr>
        <w:t>Conformité de la production</w:t>
      </w:r>
      <w:r w:rsidRPr="00562943">
        <w:rPr>
          <w:webHidden/>
          <w:lang w:val="fr-FR"/>
        </w:rPr>
        <w:tab/>
      </w:r>
      <w:r w:rsidRPr="00562943">
        <w:rPr>
          <w:webHidden/>
          <w:lang w:val="fr-FR"/>
        </w:rPr>
        <w:tab/>
      </w:r>
      <w:r>
        <w:rPr>
          <w:webHidden/>
          <w:lang w:val="fr-FR"/>
        </w:rPr>
        <w:t>9</w:t>
      </w:r>
    </w:p>
    <w:p w14:paraId="14132D83" w14:textId="77777777" w:rsidR="00403B8D" w:rsidRPr="00562943" w:rsidRDefault="00403B8D" w:rsidP="00403B8D">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val="fr-FR" w:eastAsia="en-GB"/>
        </w:rPr>
      </w:pPr>
      <w:r w:rsidRPr="00562943">
        <w:rPr>
          <w:lang w:val="fr-FR"/>
        </w:rPr>
        <w:t>8.</w:t>
      </w:r>
      <w:r w:rsidRPr="00562943">
        <w:rPr>
          <w:rFonts w:asciiTheme="minorHAnsi" w:eastAsiaTheme="minorEastAsia" w:hAnsiTheme="minorHAnsi" w:cstheme="minorBidi"/>
          <w:sz w:val="22"/>
          <w:szCs w:val="22"/>
          <w:lang w:val="fr-FR" w:eastAsia="en-GB"/>
        </w:rPr>
        <w:tab/>
      </w:r>
      <w:r w:rsidRPr="00562943">
        <w:rPr>
          <w:lang w:val="fr-FR"/>
        </w:rPr>
        <w:t>Sanctions pour non-conformité de la production</w:t>
      </w:r>
      <w:r w:rsidRPr="00562943">
        <w:rPr>
          <w:webHidden/>
          <w:lang w:val="fr-FR"/>
        </w:rPr>
        <w:tab/>
      </w:r>
      <w:r w:rsidRPr="00562943">
        <w:rPr>
          <w:webHidden/>
          <w:lang w:val="fr-FR"/>
        </w:rPr>
        <w:tab/>
      </w:r>
      <w:r>
        <w:rPr>
          <w:webHidden/>
          <w:lang w:val="fr-FR"/>
        </w:rPr>
        <w:t>10</w:t>
      </w:r>
    </w:p>
    <w:p w14:paraId="3EC5B1BD" w14:textId="77777777" w:rsidR="00403B8D" w:rsidRPr="00562943" w:rsidRDefault="00403B8D" w:rsidP="00403B8D">
      <w:pPr>
        <w:tabs>
          <w:tab w:val="left" w:pos="1134"/>
          <w:tab w:val="left" w:pos="1559"/>
          <w:tab w:val="left" w:pos="1701"/>
          <w:tab w:val="left" w:leader="dot" w:pos="8929"/>
          <w:tab w:val="right" w:pos="9638"/>
        </w:tabs>
        <w:spacing w:after="120"/>
        <w:ind w:left="1134" w:hanging="425"/>
        <w:rPr>
          <w:rFonts w:asciiTheme="minorHAnsi" w:eastAsiaTheme="minorEastAsia" w:hAnsiTheme="minorHAnsi" w:cstheme="minorBidi"/>
          <w:sz w:val="22"/>
          <w:szCs w:val="22"/>
          <w:lang w:val="fr-FR" w:eastAsia="en-GB"/>
        </w:rPr>
      </w:pPr>
      <w:r w:rsidRPr="00562943">
        <w:rPr>
          <w:lang w:val="fr-FR"/>
        </w:rPr>
        <w:t>9.</w:t>
      </w:r>
      <w:r w:rsidRPr="00562943">
        <w:rPr>
          <w:rFonts w:asciiTheme="minorHAnsi" w:eastAsiaTheme="minorEastAsia" w:hAnsiTheme="minorHAnsi" w:cstheme="minorBidi"/>
          <w:sz w:val="22"/>
          <w:szCs w:val="22"/>
          <w:lang w:val="fr-FR" w:eastAsia="en-GB"/>
        </w:rPr>
        <w:tab/>
      </w:r>
      <w:r w:rsidRPr="00562943">
        <w:rPr>
          <w:lang w:val="fr-FR"/>
        </w:rPr>
        <w:t>Noms et adresses des services techniques chargés des essais d</w:t>
      </w:r>
      <w:r>
        <w:rPr>
          <w:lang w:val="fr-FR"/>
        </w:rPr>
        <w:t>’</w:t>
      </w:r>
      <w:r w:rsidRPr="00562943">
        <w:rPr>
          <w:lang w:val="fr-FR"/>
        </w:rPr>
        <w:t>homologation et des autorités d</w:t>
      </w:r>
      <w:r>
        <w:rPr>
          <w:lang w:val="fr-FR"/>
        </w:rPr>
        <w:t>’</w:t>
      </w:r>
      <w:r w:rsidRPr="00562943">
        <w:rPr>
          <w:lang w:val="fr-FR"/>
        </w:rPr>
        <w:t>homologation de type</w:t>
      </w:r>
      <w:r w:rsidRPr="00562943">
        <w:rPr>
          <w:webHidden/>
          <w:lang w:val="fr-FR"/>
        </w:rPr>
        <w:tab/>
      </w:r>
      <w:r w:rsidRPr="00562943">
        <w:rPr>
          <w:webHidden/>
          <w:lang w:val="fr-FR"/>
        </w:rPr>
        <w:tab/>
      </w:r>
      <w:r>
        <w:rPr>
          <w:webHidden/>
          <w:lang w:val="fr-FR"/>
        </w:rPr>
        <w:t>10</w:t>
      </w:r>
    </w:p>
    <w:p w14:paraId="41406D83" w14:textId="77777777" w:rsidR="00403B8D" w:rsidRPr="00562943" w:rsidRDefault="00403B8D" w:rsidP="00403B8D">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val="fr-FR" w:eastAsia="en-GB"/>
        </w:rPr>
      </w:pPr>
      <w:r w:rsidRPr="00562943">
        <w:rPr>
          <w:lang w:val="fr-FR" w:eastAsia="ar-SA"/>
        </w:rPr>
        <w:t>10.</w:t>
      </w:r>
      <w:r w:rsidRPr="00562943">
        <w:rPr>
          <w:rFonts w:asciiTheme="minorHAnsi" w:eastAsiaTheme="minorEastAsia" w:hAnsiTheme="minorHAnsi" w:cstheme="minorBidi"/>
          <w:sz w:val="22"/>
          <w:szCs w:val="22"/>
          <w:lang w:val="fr-FR" w:eastAsia="en-GB"/>
        </w:rPr>
        <w:tab/>
      </w:r>
      <w:r w:rsidRPr="00562943">
        <w:rPr>
          <w:lang w:val="fr-FR" w:eastAsia="ar-SA"/>
        </w:rPr>
        <w:t>Dispositions transitoires</w:t>
      </w:r>
      <w:r w:rsidRPr="00562943">
        <w:rPr>
          <w:webHidden/>
          <w:lang w:val="fr-FR"/>
        </w:rPr>
        <w:tab/>
      </w:r>
      <w:r w:rsidRPr="00562943">
        <w:rPr>
          <w:webHidden/>
          <w:lang w:val="fr-FR"/>
        </w:rPr>
        <w:tab/>
      </w:r>
      <w:r>
        <w:rPr>
          <w:webHidden/>
          <w:lang w:val="fr-FR"/>
        </w:rPr>
        <w:t>10</w:t>
      </w:r>
    </w:p>
    <w:p w14:paraId="5FB609DD" w14:textId="77777777" w:rsidR="00403B8D" w:rsidRPr="00B27929" w:rsidRDefault="00403B8D" w:rsidP="00403B8D">
      <w:pPr>
        <w:tabs>
          <w:tab w:val="right" w:pos="850"/>
        </w:tabs>
        <w:spacing w:after="120"/>
      </w:pPr>
      <w:r>
        <w:tab/>
        <w:t>Annexes</w:t>
      </w:r>
    </w:p>
    <w:p w14:paraId="65A543DE" w14:textId="77777777" w:rsidR="00403B8D" w:rsidRDefault="00403B8D" w:rsidP="00403B8D">
      <w:pPr>
        <w:tabs>
          <w:tab w:val="right" w:pos="850"/>
          <w:tab w:val="right" w:leader="dot" w:pos="8787"/>
          <w:tab w:val="right" w:pos="9638"/>
        </w:tabs>
        <w:spacing w:after="120"/>
        <w:ind w:left="1134" w:hanging="1134"/>
      </w:pPr>
      <w:r>
        <w:tab/>
        <w:t>1.</w:t>
      </w:r>
      <w:r>
        <w:tab/>
        <w:t>Communication</w:t>
      </w:r>
      <w:r>
        <w:tab/>
      </w:r>
      <w:r>
        <w:tab/>
        <w:t>12</w:t>
      </w:r>
    </w:p>
    <w:p w14:paraId="10297AA9" w14:textId="77777777" w:rsidR="00403B8D" w:rsidRDefault="00403B8D" w:rsidP="00403B8D">
      <w:pPr>
        <w:tabs>
          <w:tab w:val="right" w:pos="850"/>
          <w:tab w:val="right" w:leader="dot" w:pos="8787"/>
          <w:tab w:val="right" w:pos="9638"/>
        </w:tabs>
        <w:spacing w:after="120"/>
        <w:ind w:left="1134" w:hanging="1134"/>
      </w:pPr>
      <w:r>
        <w:tab/>
        <w:t>2.</w:t>
      </w:r>
      <w:r>
        <w:tab/>
      </w:r>
      <w:r w:rsidRPr="00562943">
        <w:t>Exemples de marque d</w:t>
      </w:r>
      <w:r>
        <w:t>’</w:t>
      </w:r>
      <w:r w:rsidRPr="00562943">
        <w:t>homologation</w:t>
      </w:r>
      <w:r>
        <w:tab/>
      </w:r>
      <w:r>
        <w:tab/>
        <w:t>14</w:t>
      </w:r>
    </w:p>
    <w:p w14:paraId="22536529" w14:textId="77777777" w:rsidR="00403B8D" w:rsidRDefault="00403B8D" w:rsidP="00403B8D">
      <w:pPr>
        <w:tabs>
          <w:tab w:val="right" w:pos="850"/>
          <w:tab w:val="right" w:leader="dot" w:pos="8787"/>
          <w:tab w:val="right" w:pos="9638"/>
        </w:tabs>
        <w:spacing w:after="120"/>
        <w:ind w:left="1134" w:hanging="1134"/>
      </w:pPr>
      <w:r>
        <w:tab/>
        <w:t>3.</w:t>
      </w:r>
      <w:r>
        <w:tab/>
      </w:r>
      <w:r w:rsidRPr="00562943">
        <w:t>Mesure de la précision de l</w:t>
      </w:r>
      <w:r>
        <w:t>’</w:t>
      </w:r>
      <w:r w:rsidRPr="00562943">
        <w:t>indicateur de vitesse pour le contrôle de conformité de la prod</w:t>
      </w:r>
      <w:r>
        <w:t>uction</w:t>
      </w:r>
      <w:r>
        <w:tab/>
        <w:t>15</w:t>
      </w:r>
    </w:p>
    <w:p w14:paraId="745C9F79" w14:textId="77777777" w:rsidR="00403B8D" w:rsidRPr="00012272" w:rsidRDefault="00403B8D" w:rsidP="00403B8D">
      <w:pPr>
        <w:tabs>
          <w:tab w:val="right" w:pos="850"/>
          <w:tab w:val="right" w:leader="dot" w:pos="8787"/>
          <w:tab w:val="right" w:pos="9638"/>
        </w:tabs>
        <w:spacing w:after="120"/>
        <w:ind w:left="1134" w:hanging="1134"/>
        <w:rPr>
          <w:b/>
          <w:bCs/>
        </w:rPr>
      </w:pPr>
      <w:r>
        <w:tab/>
      </w:r>
      <w:r w:rsidRPr="00012272">
        <w:rPr>
          <w:b/>
          <w:bCs/>
        </w:rPr>
        <w:t>4.</w:t>
      </w:r>
      <w:r w:rsidRPr="00012272">
        <w:rPr>
          <w:b/>
          <w:bCs/>
        </w:rPr>
        <w:tab/>
        <w:t>Mesure de la précision du compteur kilométrique</w:t>
      </w:r>
      <w:r w:rsidRPr="00012272">
        <w:rPr>
          <w:b/>
          <w:bCs/>
        </w:rPr>
        <w:tab/>
      </w:r>
      <w:r w:rsidRPr="00012272">
        <w:rPr>
          <w:b/>
          <w:bCs/>
        </w:rPr>
        <w:tab/>
        <w:t>1</w:t>
      </w:r>
      <w:r>
        <w:rPr>
          <w:b/>
          <w:bCs/>
        </w:rPr>
        <w:t>6</w:t>
      </w:r>
    </w:p>
    <w:p w14:paraId="1C5DD1D9" w14:textId="205ECD09" w:rsidR="00562943" w:rsidRPr="001A4175" w:rsidRDefault="00403B8D" w:rsidP="00403B8D">
      <w:pPr>
        <w:tabs>
          <w:tab w:val="right" w:pos="850"/>
          <w:tab w:val="right" w:leader="dot" w:pos="8787"/>
          <w:tab w:val="right" w:pos="9638"/>
        </w:tabs>
        <w:spacing w:after="120"/>
        <w:ind w:left="1134" w:hanging="1134"/>
      </w:pPr>
      <w:r w:rsidRPr="00012272">
        <w:rPr>
          <w:b/>
          <w:bCs/>
        </w:rPr>
        <w:tab/>
        <w:t>5.</w:t>
      </w:r>
      <w:r w:rsidRPr="00012272">
        <w:rPr>
          <w:b/>
          <w:bCs/>
        </w:rPr>
        <w:tab/>
        <w:t>Fiche de renseignements</w:t>
      </w:r>
      <w:r w:rsidRPr="00012272">
        <w:rPr>
          <w:b/>
          <w:bCs/>
        </w:rPr>
        <w:tab/>
      </w:r>
      <w:r w:rsidRPr="00012272">
        <w:rPr>
          <w:b/>
          <w:bCs/>
        </w:rPr>
        <w:tab/>
        <w:t>1</w:t>
      </w:r>
      <w:r>
        <w:rPr>
          <w:b/>
          <w:bCs/>
        </w:rPr>
        <w:t>8</w:t>
      </w:r>
      <w:r w:rsidRPr="00012272">
        <w:t> ».</w:t>
      </w:r>
    </w:p>
    <w:bookmarkEnd w:id="1"/>
    <w:p w14:paraId="6E8E06EF" w14:textId="77777777" w:rsidR="00562943" w:rsidRDefault="00562943">
      <w:pPr>
        <w:suppressAutoHyphens w:val="0"/>
        <w:kinsoku/>
        <w:overflowPunct/>
        <w:autoSpaceDE/>
        <w:autoSpaceDN/>
        <w:adjustRightInd/>
        <w:snapToGrid/>
        <w:spacing w:after="200" w:line="276" w:lineRule="auto"/>
      </w:pPr>
      <w:r>
        <w:br w:type="page"/>
      </w:r>
    </w:p>
    <w:p w14:paraId="564538FE" w14:textId="77777777" w:rsidR="0083199D" w:rsidRPr="001B10CE" w:rsidRDefault="0083199D" w:rsidP="0083199D">
      <w:pPr>
        <w:pStyle w:val="HChG"/>
        <w:ind w:firstLine="0"/>
        <w:rPr>
          <w:b w:val="0"/>
          <w:sz w:val="20"/>
        </w:rPr>
      </w:pPr>
      <w:bookmarkStart w:id="2" w:name="_Toc441498657"/>
      <w:bookmarkStart w:id="3" w:name="_Toc441498795"/>
      <w:r w:rsidRPr="00F64766">
        <w:rPr>
          <w:b w:val="0"/>
          <w:i/>
          <w:iCs/>
          <w:sz w:val="20"/>
          <w:lang w:val="fr-FR"/>
        </w:rPr>
        <w:lastRenderedPageBreak/>
        <w:t>Texte du Règlement ONU</w:t>
      </w:r>
      <w:r w:rsidRPr="00F64766">
        <w:rPr>
          <w:b w:val="0"/>
          <w:sz w:val="20"/>
          <w:lang w:val="fr-FR"/>
        </w:rPr>
        <w:t>, lire :</w:t>
      </w:r>
    </w:p>
    <w:p w14:paraId="38A853F2" w14:textId="760CDA2C" w:rsidR="0083199D" w:rsidRPr="001B10CE" w:rsidRDefault="0083199D" w:rsidP="0040456F">
      <w:pPr>
        <w:pStyle w:val="HChG"/>
        <w:ind w:left="2268"/>
      </w:pPr>
      <w:r w:rsidRPr="001A4175">
        <w:rPr>
          <w:b w:val="0"/>
          <w:bCs/>
          <w:sz w:val="20"/>
          <w:lang w:val="fr-FR"/>
        </w:rPr>
        <w:t>« </w:t>
      </w:r>
      <w:r>
        <w:rPr>
          <w:bCs/>
          <w:lang w:val="fr-FR"/>
        </w:rPr>
        <w:t>1.</w:t>
      </w:r>
      <w:r>
        <w:rPr>
          <w:lang w:val="fr-FR"/>
        </w:rPr>
        <w:tab/>
      </w:r>
      <w:r>
        <w:rPr>
          <w:lang w:val="fr-FR"/>
        </w:rPr>
        <w:tab/>
      </w:r>
      <w:r>
        <w:rPr>
          <w:bCs/>
          <w:lang w:val="fr-FR"/>
        </w:rPr>
        <w:t>Domaine d</w:t>
      </w:r>
      <w:r w:rsidR="004B49A6">
        <w:rPr>
          <w:bCs/>
          <w:lang w:val="fr-FR"/>
        </w:rPr>
        <w:t>’</w:t>
      </w:r>
      <w:r>
        <w:rPr>
          <w:bCs/>
          <w:lang w:val="fr-FR"/>
        </w:rPr>
        <w:t>application</w:t>
      </w:r>
      <w:bookmarkEnd w:id="2"/>
      <w:bookmarkEnd w:id="3"/>
    </w:p>
    <w:p w14:paraId="2CA9456E" w14:textId="72D7DE1A" w:rsidR="0083199D" w:rsidRPr="00FF5113" w:rsidRDefault="0083199D" w:rsidP="001A4175">
      <w:pPr>
        <w:pStyle w:val="para"/>
        <w:ind w:firstLine="0"/>
      </w:pPr>
      <w:r>
        <w:tab/>
        <w:t>Le présent Règlement s</w:t>
      </w:r>
      <w:r w:rsidR="004B49A6">
        <w:t>’</w:t>
      </w:r>
      <w:r>
        <w:t>applique à l</w:t>
      </w:r>
      <w:r w:rsidR="004B49A6">
        <w:t>’</w:t>
      </w:r>
      <w:r>
        <w:t>homologation des véhicules des catégories L, M et N</w:t>
      </w:r>
      <w:r w:rsidRPr="001A4175">
        <w:rPr>
          <w:rStyle w:val="Appelnotedebasdep"/>
        </w:rPr>
        <w:footnoteReference w:id="3"/>
      </w:r>
      <w:r>
        <w:t>.</w:t>
      </w:r>
    </w:p>
    <w:p w14:paraId="74D9509E" w14:textId="241C234E" w:rsidR="0083199D" w:rsidRPr="001B10CE" w:rsidRDefault="0083199D" w:rsidP="0040456F">
      <w:pPr>
        <w:pStyle w:val="HChG"/>
        <w:ind w:left="2268"/>
      </w:pPr>
      <w:r>
        <w:rPr>
          <w:bCs/>
          <w:lang w:val="fr-FR"/>
        </w:rPr>
        <w:t>2.</w:t>
      </w:r>
      <w:r>
        <w:rPr>
          <w:lang w:val="fr-FR"/>
        </w:rPr>
        <w:tab/>
      </w:r>
      <w:r>
        <w:rPr>
          <w:lang w:val="fr-FR"/>
        </w:rPr>
        <w:tab/>
      </w:r>
      <w:r>
        <w:rPr>
          <w:bCs/>
          <w:lang w:val="fr-FR"/>
        </w:rPr>
        <w:t>Définitions</w:t>
      </w:r>
      <w:bookmarkStart w:id="4" w:name="_Toc441498658"/>
      <w:bookmarkStart w:id="5" w:name="_Toc441498796"/>
      <w:bookmarkEnd w:id="4"/>
      <w:bookmarkEnd w:id="5"/>
    </w:p>
    <w:p w14:paraId="4FF6BE6D" w14:textId="77777777" w:rsidR="0083199D" w:rsidRPr="00FF5113" w:rsidRDefault="0083199D" w:rsidP="00012272">
      <w:pPr>
        <w:pStyle w:val="para"/>
        <w:ind w:firstLine="0"/>
      </w:pPr>
      <w:r>
        <w:t>Aux fins du présent Règlement, on entend par :</w:t>
      </w:r>
    </w:p>
    <w:p w14:paraId="47F42D58" w14:textId="79B9B12A" w:rsidR="0083199D" w:rsidRPr="001B10CE" w:rsidRDefault="0083199D" w:rsidP="00012272">
      <w:pPr>
        <w:tabs>
          <w:tab w:val="left" w:pos="2268"/>
        </w:tabs>
        <w:spacing w:after="120"/>
        <w:ind w:left="2268" w:right="1134" w:hanging="1134"/>
        <w:jc w:val="both"/>
        <w:rPr>
          <w:iCs/>
        </w:rPr>
      </w:pPr>
      <w:r>
        <w:rPr>
          <w:lang w:val="fr-FR"/>
        </w:rPr>
        <w:t>2.1</w:t>
      </w:r>
      <w:r>
        <w:rPr>
          <w:lang w:val="fr-FR"/>
        </w:rPr>
        <w:tab/>
        <w:t xml:space="preserve">« </w:t>
      </w:r>
      <w:r>
        <w:rPr>
          <w:i/>
          <w:iCs/>
          <w:lang w:val="fr-FR"/>
        </w:rPr>
        <w:t xml:space="preserve">Homologation du véhicule </w:t>
      </w:r>
      <w:r>
        <w:rPr>
          <w:lang w:val="fr-FR"/>
        </w:rPr>
        <w:t>», l</w:t>
      </w:r>
      <w:r w:rsidR="004B49A6">
        <w:rPr>
          <w:lang w:val="fr-FR"/>
        </w:rPr>
        <w:t>’</w:t>
      </w:r>
      <w:r>
        <w:rPr>
          <w:lang w:val="fr-FR"/>
        </w:rPr>
        <w:t>homologation d</w:t>
      </w:r>
      <w:r w:rsidR="004B49A6">
        <w:rPr>
          <w:lang w:val="fr-FR"/>
        </w:rPr>
        <w:t>’</w:t>
      </w:r>
      <w:r>
        <w:rPr>
          <w:lang w:val="fr-FR"/>
        </w:rPr>
        <w:t>un type de véhicule en ce qui concerne l</w:t>
      </w:r>
      <w:r w:rsidR="004B49A6">
        <w:rPr>
          <w:lang w:val="fr-FR"/>
        </w:rPr>
        <w:t>’</w:t>
      </w:r>
      <w:r>
        <w:rPr>
          <w:lang w:val="fr-FR"/>
        </w:rPr>
        <w:t>indicateur de vitesse et le compteur kilométrique, y compris leur installation ;</w:t>
      </w:r>
    </w:p>
    <w:p w14:paraId="7D7C6953" w14:textId="081A9446" w:rsidR="0083199D" w:rsidRPr="001B10CE" w:rsidRDefault="0083199D" w:rsidP="00012272">
      <w:pPr>
        <w:tabs>
          <w:tab w:val="left" w:pos="-509"/>
          <w:tab w:val="left" w:pos="-97"/>
          <w:tab w:val="left" w:pos="2268"/>
          <w:tab w:val="left" w:pos="4943"/>
          <w:tab w:val="left" w:pos="5663"/>
          <w:tab w:val="left" w:pos="8505"/>
          <w:tab w:val="left" w:pos="9983"/>
        </w:tabs>
        <w:suppressAutoHyphens w:val="0"/>
        <w:spacing w:after="120"/>
        <w:ind w:left="2268" w:right="1134" w:hanging="1134"/>
        <w:jc w:val="both"/>
      </w:pPr>
      <w:r>
        <w:rPr>
          <w:lang w:val="fr-FR"/>
        </w:rPr>
        <w:t>2.2</w:t>
      </w:r>
      <w:r>
        <w:rPr>
          <w:lang w:val="fr-FR"/>
        </w:rPr>
        <w:tab/>
        <w:t xml:space="preserve">« </w:t>
      </w:r>
      <w:r>
        <w:rPr>
          <w:i/>
          <w:iCs/>
          <w:lang w:val="fr-FR"/>
        </w:rPr>
        <w:t>Type de véhicule en ce qui concerne l</w:t>
      </w:r>
      <w:r w:rsidR="004B49A6">
        <w:rPr>
          <w:i/>
          <w:iCs/>
          <w:lang w:val="fr-FR"/>
        </w:rPr>
        <w:t>’</w:t>
      </w:r>
      <w:r>
        <w:rPr>
          <w:i/>
          <w:iCs/>
          <w:lang w:val="fr-FR"/>
        </w:rPr>
        <w:t>indicateur de vitesse et le compteur kilométrique</w:t>
      </w:r>
      <w:r>
        <w:rPr>
          <w:lang w:val="fr-FR"/>
        </w:rPr>
        <w:t xml:space="preserve"> », les véhicules ne présentant pas de différences essentielles, ces différences pouvant porter notamment sur les points suivants :</w:t>
      </w:r>
    </w:p>
    <w:p w14:paraId="28E1859F" w14:textId="77777777" w:rsidR="0083199D" w:rsidRPr="00FF5113" w:rsidRDefault="0083199D" w:rsidP="00012272">
      <w:pPr>
        <w:pStyle w:val="para"/>
      </w:pPr>
      <w:r>
        <w:t>2.2.1</w:t>
      </w:r>
      <w:r>
        <w:tab/>
        <w:t>Les dimensions des pneumatiques choisis dans la gamme des pneumatiques de monte normale ;</w:t>
      </w:r>
    </w:p>
    <w:p w14:paraId="6ECFF0F6" w14:textId="4E6ABC98" w:rsidR="0083199D" w:rsidRPr="00FF5113" w:rsidRDefault="0083199D" w:rsidP="00012272">
      <w:pPr>
        <w:pStyle w:val="para"/>
      </w:pPr>
      <w:r>
        <w:t>2.2.2</w:t>
      </w:r>
      <w:r>
        <w:tab/>
        <w:t>Le rapport global de transmission, y compris les réducteurs éventuels, à l</w:t>
      </w:r>
      <w:r w:rsidR="004B49A6">
        <w:t>’</w:t>
      </w:r>
      <w:r>
        <w:t xml:space="preserve">indicateur de vitesse </w:t>
      </w:r>
      <w:r>
        <w:rPr>
          <w:b/>
          <w:bCs/>
        </w:rPr>
        <w:t>et au compteur kilométrique</w:t>
      </w:r>
      <w:r>
        <w:t> ;</w:t>
      </w:r>
    </w:p>
    <w:p w14:paraId="3A5C0328" w14:textId="66FB4207" w:rsidR="0083199D" w:rsidRPr="00FF5113" w:rsidRDefault="0083199D" w:rsidP="00012272">
      <w:pPr>
        <w:pStyle w:val="para"/>
      </w:pPr>
      <w:r>
        <w:t>2.2.3</w:t>
      </w:r>
      <w:r>
        <w:tab/>
        <w:t>Le type d</w:t>
      </w:r>
      <w:r w:rsidR="004B49A6">
        <w:t>’</w:t>
      </w:r>
      <w:r>
        <w:t>indicateur de vitesse caractérisé par :</w:t>
      </w:r>
    </w:p>
    <w:p w14:paraId="76F1DDAF" w14:textId="1C40B3C1" w:rsidR="0083199D" w:rsidRPr="00FF5113" w:rsidRDefault="0083199D" w:rsidP="00012272">
      <w:pPr>
        <w:pStyle w:val="para"/>
      </w:pPr>
      <w:r>
        <w:t>2.2.3.1</w:t>
      </w:r>
      <w:r>
        <w:tab/>
        <w:t>Les tolérances du mécanisme de mesure de l</w:t>
      </w:r>
      <w:r w:rsidR="004B49A6">
        <w:t>’</w:t>
      </w:r>
      <w:r>
        <w:t>indicateur de vitesse ;</w:t>
      </w:r>
    </w:p>
    <w:p w14:paraId="37D27FB5" w14:textId="27D274E4" w:rsidR="0083199D" w:rsidRPr="00FF5113" w:rsidRDefault="0083199D" w:rsidP="00012272">
      <w:pPr>
        <w:pStyle w:val="para"/>
      </w:pPr>
      <w:r>
        <w:t>2.2.3.2</w:t>
      </w:r>
      <w:r>
        <w:tab/>
        <w:t>La constante technique de l</w:t>
      </w:r>
      <w:r w:rsidR="004B49A6">
        <w:t>’</w:t>
      </w:r>
      <w:r>
        <w:t xml:space="preserve">indicateur de vitesse ; </w:t>
      </w:r>
    </w:p>
    <w:p w14:paraId="217A036B" w14:textId="77777777" w:rsidR="0083199D" w:rsidRPr="00FF5113" w:rsidRDefault="0083199D" w:rsidP="00012272">
      <w:pPr>
        <w:pStyle w:val="para"/>
      </w:pPr>
      <w:r>
        <w:t>2.2.3.3</w:t>
      </w:r>
      <w:r>
        <w:tab/>
        <w:t>La gamme de vitesses affichées.</w:t>
      </w:r>
    </w:p>
    <w:p w14:paraId="60E1F058" w14:textId="77777777" w:rsidR="0083199D" w:rsidRPr="001B10CE" w:rsidRDefault="0083199D" w:rsidP="00012272">
      <w:pPr>
        <w:tabs>
          <w:tab w:val="left" w:pos="-509"/>
          <w:tab w:val="left" w:pos="-97"/>
          <w:tab w:val="left" w:pos="2268"/>
          <w:tab w:val="left" w:pos="4943"/>
          <w:tab w:val="left" w:pos="5663"/>
          <w:tab w:val="left" w:pos="8505"/>
          <w:tab w:val="left" w:pos="9983"/>
        </w:tabs>
        <w:spacing w:after="120"/>
        <w:ind w:left="2268" w:right="1134" w:hanging="1134"/>
        <w:jc w:val="both"/>
      </w:pPr>
      <w:r>
        <w:rPr>
          <w:lang w:val="fr-FR"/>
        </w:rPr>
        <w:t>2.2.4</w:t>
      </w:r>
      <w:r>
        <w:rPr>
          <w:lang w:val="fr-FR"/>
        </w:rPr>
        <w:tab/>
        <w:t>Le type de compteur kilométrique, caractérisé par :</w:t>
      </w:r>
    </w:p>
    <w:p w14:paraId="56CE3CF4" w14:textId="77777777" w:rsidR="0083199D" w:rsidRPr="001B10CE" w:rsidRDefault="0083199D" w:rsidP="00012272">
      <w:pPr>
        <w:tabs>
          <w:tab w:val="left" w:pos="-509"/>
          <w:tab w:val="left" w:pos="-97"/>
          <w:tab w:val="left" w:pos="2268"/>
          <w:tab w:val="left" w:pos="4943"/>
          <w:tab w:val="left" w:pos="5663"/>
          <w:tab w:val="left" w:pos="8505"/>
          <w:tab w:val="left" w:pos="9983"/>
        </w:tabs>
        <w:spacing w:after="120"/>
        <w:ind w:left="2268" w:right="1134" w:hanging="1134"/>
        <w:jc w:val="both"/>
      </w:pPr>
      <w:r>
        <w:rPr>
          <w:lang w:val="fr-FR"/>
        </w:rPr>
        <w:t>2.2.4.1</w:t>
      </w:r>
      <w:r>
        <w:rPr>
          <w:lang w:val="fr-FR"/>
        </w:rPr>
        <w:tab/>
        <w:t>La constante technique du compteur kilométrique ;</w:t>
      </w:r>
    </w:p>
    <w:p w14:paraId="41054671" w14:textId="77777777" w:rsidR="0083199D" w:rsidRPr="001B10CE" w:rsidRDefault="0083199D" w:rsidP="00012272">
      <w:pPr>
        <w:tabs>
          <w:tab w:val="left" w:pos="-509"/>
          <w:tab w:val="left" w:pos="-97"/>
          <w:tab w:val="left" w:pos="2268"/>
          <w:tab w:val="left" w:pos="4943"/>
          <w:tab w:val="left" w:pos="5663"/>
          <w:tab w:val="left" w:pos="8505"/>
          <w:tab w:val="left" w:pos="9983"/>
        </w:tabs>
        <w:spacing w:after="120"/>
        <w:ind w:left="2268" w:right="1134" w:hanging="1134"/>
        <w:jc w:val="both"/>
      </w:pPr>
      <w:r>
        <w:rPr>
          <w:lang w:val="fr-FR"/>
        </w:rPr>
        <w:t>2.2.4.2</w:t>
      </w:r>
      <w:r>
        <w:rPr>
          <w:lang w:val="fr-FR"/>
        </w:rPr>
        <w:tab/>
        <w:t>Le nombre de chiffres affichés ;</w:t>
      </w:r>
    </w:p>
    <w:p w14:paraId="026C22D0" w14:textId="77777777" w:rsidR="0083199D" w:rsidRPr="00FF5113" w:rsidRDefault="0083199D" w:rsidP="00012272">
      <w:pPr>
        <w:pStyle w:val="para"/>
      </w:pPr>
      <w:r>
        <w:t>2.3</w:t>
      </w:r>
      <w:r>
        <w:tab/>
        <w:t xml:space="preserve">« </w:t>
      </w:r>
      <w:r>
        <w:rPr>
          <w:i/>
          <w:iCs/>
        </w:rPr>
        <w:t xml:space="preserve">Pneumatiques de monte normale </w:t>
      </w:r>
      <w:r>
        <w:t>», le ou les types de pneumatiques prévus par le constructeur pour le type de véhicule considéré ; les pneumatiques neige ne seront pas considérés comme des pneumatiques de monte normale ;</w:t>
      </w:r>
    </w:p>
    <w:p w14:paraId="09803D2A" w14:textId="77777777" w:rsidR="0083199D" w:rsidRPr="00FF5113" w:rsidRDefault="0083199D" w:rsidP="00012272">
      <w:pPr>
        <w:pStyle w:val="para"/>
      </w:pPr>
      <w:r>
        <w:t>2.4</w:t>
      </w:r>
      <w:r>
        <w:tab/>
        <w:t>«</w:t>
      </w:r>
      <w:r>
        <w:rPr>
          <w:i/>
          <w:iCs/>
        </w:rPr>
        <w:t xml:space="preserve"> Pression normale de marche</w:t>
      </w:r>
      <w:r>
        <w:t xml:space="preserve"> », la pression de gonflage à froid préconisée par le constructeur, augmentée de 0,2 bar ;</w:t>
      </w:r>
    </w:p>
    <w:p w14:paraId="17B71F32" w14:textId="21CBA6CD" w:rsidR="0083199D" w:rsidRPr="00FF5113" w:rsidRDefault="0083199D" w:rsidP="00012272">
      <w:pPr>
        <w:pStyle w:val="para"/>
      </w:pPr>
      <w:r>
        <w:t>2.5</w:t>
      </w:r>
      <w:r>
        <w:tab/>
        <w:t>«</w:t>
      </w:r>
      <w:r>
        <w:rPr>
          <w:i/>
          <w:iCs/>
        </w:rPr>
        <w:t xml:space="preserve"> Indicateur de vitesse </w:t>
      </w:r>
      <w:r>
        <w:t>», la partie de l</w:t>
      </w:r>
      <w:r w:rsidR="004B49A6">
        <w:t>’</w:t>
      </w:r>
      <w:r>
        <w:t xml:space="preserve">appareil destinée à indiquer au conducteur </w:t>
      </w:r>
      <w:r w:rsidRPr="0093213E">
        <w:t>la vitesse instantanée de son véhicule</w:t>
      </w:r>
      <w:r w:rsidRPr="001A4175">
        <w:rPr>
          <w:rStyle w:val="Appelnotedebasdep"/>
        </w:rPr>
        <w:footnoteReference w:id="4"/>
      </w:r>
      <w:r w:rsidR="001A4175">
        <w:t xml:space="preserve"> </w:t>
      </w:r>
      <w:r>
        <w:t>;</w:t>
      </w:r>
    </w:p>
    <w:p w14:paraId="67348EB4" w14:textId="37ADF6EF" w:rsidR="0083199D" w:rsidRPr="00FF5113" w:rsidRDefault="0083199D" w:rsidP="00012272">
      <w:pPr>
        <w:pStyle w:val="para"/>
      </w:pPr>
      <w:r>
        <w:t>2.5.1</w:t>
      </w:r>
      <w:r>
        <w:tab/>
        <w:t>«</w:t>
      </w:r>
      <w:r>
        <w:rPr>
          <w:i/>
          <w:iCs/>
        </w:rPr>
        <w:t xml:space="preserve"> Tolérances du mécanisme de mesure de l</w:t>
      </w:r>
      <w:r w:rsidR="004B49A6">
        <w:rPr>
          <w:i/>
          <w:iCs/>
        </w:rPr>
        <w:t>’</w:t>
      </w:r>
      <w:r>
        <w:rPr>
          <w:i/>
          <w:iCs/>
        </w:rPr>
        <w:t>indicateur de vitesse</w:t>
      </w:r>
      <w:r>
        <w:t xml:space="preserve"> », la précision de l</w:t>
      </w:r>
      <w:r w:rsidR="004B49A6">
        <w:t>’</w:t>
      </w:r>
      <w:r>
        <w:t>indicateur de vitesse proprement dit, exprimée par les limites supérieure et inférieure de l</w:t>
      </w:r>
      <w:r w:rsidR="004B49A6">
        <w:t>’</w:t>
      </w:r>
      <w:r>
        <w:t>indicateur de vitesse pour une gamme de vitesses affichées ;</w:t>
      </w:r>
    </w:p>
    <w:p w14:paraId="66538045" w14:textId="5822B078" w:rsidR="0083199D" w:rsidRPr="00FF5113" w:rsidRDefault="0083199D" w:rsidP="00012272">
      <w:pPr>
        <w:pStyle w:val="para"/>
      </w:pPr>
      <w:r>
        <w:t>2.5.2</w:t>
      </w:r>
      <w:r>
        <w:tab/>
        <w:t xml:space="preserve">« </w:t>
      </w:r>
      <w:r>
        <w:rPr>
          <w:i/>
          <w:iCs/>
        </w:rPr>
        <w:t>Constante technique du compteur kilométriqu</w:t>
      </w:r>
      <w:r>
        <w:t>e », le rapport entre le nombre de tours à l</w:t>
      </w:r>
      <w:r w:rsidR="004B49A6">
        <w:t>’</w:t>
      </w:r>
      <w:r>
        <w:t>entrée ou d</w:t>
      </w:r>
      <w:r w:rsidR="004B49A6">
        <w:t>’</w:t>
      </w:r>
      <w:r>
        <w:t>impulsions par minute et une vitesse spécifiée affichée ;</w:t>
      </w:r>
    </w:p>
    <w:p w14:paraId="2C6CB660" w14:textId="287CC09A" w:rsidR="0083199D" w:rsidRPr="001B10CE" w:rsidRDefault="0083199D" w:rsidP="00012272">
      <w:pPr>
        <w:tabs>
          <w:tab w:val="left" w:pos="6510"/>
          <w:tab w:val="left" w:pos="7700"/>
          <w:tab w:val="left" w:pos="8505"/>
        </w:tabs>
        <w:spacing w:after="120"/>
        <w:ind w:left="2268" w:right="1134" w:hanging="1134"/>
        <w:jc w:val="both"/>
      </w:pPr>
      <w:r>
        <w:rPr>
          <w:lang w:val="fr-FR"/>
        </w:rPr>
        <w:lastRenderedPageBreak/>
        <w:t>2.6</w:t>
      </w:r>
      <w:r>
        <w:rPr>
          <w:lang w:val="fr-FR"/>
        </w:rPr>
        <w:tab/>
        <w:t>«</w:t>
      </w:r>
      <w:r>
        <w:rPr>
          <w:i/>
          <w:iCs/>
          <w:lang w:val="fr-FR"/>
        </w:rPr>
        <w:t xml:space="preserve"> Compteur kilométrique </w:t>
      </w:r>
      <w:r>
        <w:rPr>
          <w:lang w:val="fr-FR"/>
        </w:rPr>
        <w:t>», la partie du système d</w:t>
      </w:r>
      <w:r w:rsidR="004B49A6">
        <w:rPr>
          <w:lang w:val="fr-FR"/>
        </w:rPr>
        <w:t>’</w:t>
      </w:r>
      <w:r>
        <w:rPr>
          <w:lang w:val="fr-FR"/>
        </w:rPr>
        <w:t xml:space="preserve">enregistrement kilométrique destinée à indiquer au conducteur la distance totale </w:t>
      </w:r>
      <w:r>
        <w:rPr>
          <w:strike/>
          <w:lang w:val="fr-FR"/>
        </w:rPr>
        <w:t>enregistrée</w:t>
      </w:r>
      <w:r w:rsidRPr="001A4175">
        <w:rPr>
          <w:strike/>
          <w:lang w:val="fr-FR"/>
        </w:rPr>
        <w:t xml:space="preserve"> </w:t>
      </w:r>
      <w:r>
        <w:rPr>
          <w:b/>
          <w:bCs/>
          <w:lang w:val="fr-FR"/>
        </w:rPr>
        <w:t xml:space="preserve">parcourue </w:t>
      </w:r>
      <w:r>
        <w:rPr>
          <w:lang w:val="fr-FR"/>
        </w:rPr>
        <w:t>par son véhicule</w:t>
      </w:r>
      <w:r>
        <w:rPr>
          <w:strike/>
          <w:lang w:val="fr-FR"/>
        </w:rPr>
        <w:t xml:space="preserve"> depuis sa mise en circulation</w:t>
      </w:r>
      <w:r>
        <w:rPr>
          <w:lang w:val="fr-FR"/>
        </w:rPr>
        <w:t> ;</w:t>
      </w:r>
    </w:p>
    <w:p w14:paraId="619D5C83" w14:textId="360F23A9" w:rsidR="0083199D" w:rsidRPr="001B10CE" w:rsidRDefault="0083199D" w:rsidP="0083199D">
      <w:pPr>
        <w:tabs>
          <w:tab w:val="left" w:pos="-509"/>
          <w:tab w:val="left" w:pos="-97"/>
          <w:tab w:val="left" w:pos="2268"/>
          <w:tab w:val="left" w:pos="4943"/>
          <w:tab w:val="left" w:pos="5663"/>
          <w:tab w:val="left" w:pos="8505"/>
          <w:tab w:val="left" w:pos="9983"/>
        </w:tabs>
        <w:spacing w:after="120" w:line="240" w:lineRule="auto"/>
        <w:ind w:left="2268" w:right="1134" w:hanging="1134"/>
        <w:jc w:val="both"/>
      </w:pPr>
      <w:r>
        <w:rPr>
          <w:lang w:val="fr-FR"/>
        </w:rPr>
        <w:t>2.6.1</w:t>
      </w:r>
      <w:r>
        <w:rPr>
          <w:lang w:val="fr-FR"/>
        </w:rPr>
        <w:tab/>
        <w:t xml:space="preserve">« </w:t>
      </w:r>
      <w:r>
        <w:rPr>
          <w:i/>
          <w:iCs/>
          <w:lang w:val="fr-FR"/>
        </w:rPr>
        <w:t xml:space="preserve">Constante technique du compteur kilométrique </w:t>
      </w:r>
      <w:r>
        <w:rPr>
          <w:lang w:val="fr-FR"/>
        </w:rPr>
        <w:t>», le rapport entre le nombre de tours à l</w:t>
      </w:r>
      <w:r w:rsidR="004B49A6">
        <w:rPr>
          <w:lang w:val="fr-FR"/>
        </w:rPr>
        <w:t>’</w:t>
      </w:r>
      <w:r>
        <w:rPr>
          <w:lang w:val="fr-FR"/>
        </w:rPr>
        <w:t>entrée ou d</w:t>
      </w:r>
      <w:r w:rsidR="004B49A6">
        <w:rPr>
          <w:lang w:val="fr-FR"/>
        </w:rPr>
        <w:t>’</w:t>
      </w:r>
      <w:r>
        <w:rPr>
          <w:lang w:val="fr-FR"/>
        </w:rPr>
        <w:t>impulsions et la distance parcourue par le véhicule ;</w:t>
      </w:r>
    </w:p>
    <w:p w14:paraId="6CF2ED0C" w14:textId="77777777" w:rsidR="0083199D" w:rsidRPr="00FF5113" w:rsidRDefault="0083199D" w:rsidP="0083199D">
      <w:pPr>
        <w:pStyle w:val="para"/>
        <w:rPr>
          <w:b/>
          <w:bCs/>
        </w:rPr>
      </w:pPr>
      <w:r>
        <w:rPr>
          <w:b/>
          <w:bCs/>
        </w:rPr>
        <w:t>2.6.2</w:t>
      </w:r>
      <w:r>
        <w:tab/>
      </w:r>
      <w:r>
        <w:rPr>
          <w:b/>
          <w:bCs/>
        </w:rPr>
        <w:t xml:space="preserve">« </w:t>
      </w:r>
      <w:r>
        <w:rPr>
          <w:b/>
          <w:bCs/>
          <w:i/>
          <w:iCs/>
        </w:rPr>
        <w:t xml:space="preserve">Distance totale indiquée </w:t>
      </w:r>
      <w:r>
        <w:rPr>
          <w:b/>
          <w:bCs/>
        </w:rPr>
        <w:t>», la distance affichée par le compteur kilométrique ;</w:t>
      </w:r>
    </w:p>
    <w:p w14:paraId="3E7CCEEF" w14:textId="0E0A8348" w:rsidR="0083199D" w:rsidRPr="00FF5113" w:rsidRDefault="0083199D" w:rsidP="0083199D">
      <w:pPr>
        <w:pStyle w:val="para"/>
        <w:rPr>
          <w:b/>
          <w:bCs/>
        </w:rPr>
      </w:pPr>
      <w:r>
        <w:rPr>
          <w:b/>
          <w:bCs/>
        </w:rPr>
        <w:t>2.6.3</w:t>
      </w:r>
      <w:r>
        <w:tab/>
      </w:r>
      <w:r>
        <w:rPr>
          <w:b/>
          <w:bCs/>
        </w:rPr>
        <w:t xml:space="preserve">« </w:t>
      </w:r>
      <w:r>
        <w:rPr>
          <w:b/>
          <w:bCs/>
          <w:i/>
          <w:iCs/>
        </w:rPr>
        <w:t>Distance réelle parcourue</w:t>
      </w:r>
      <w:r>
        <w:rPr>
          <w:b/>
          <w:bCs/>
        </w:rPr>
        <w:t xml:space="preserve"> », la distance réelle parcourue par le véhicule aux fins de l</w:t>
      </w:r>
      <w:r w:rsidR="004B49A6">
        <w:rPr>
          <w:b/>
          <w:bCs/>
        </w:rPr>
        <w:t>’</w:t>
      </w:r>
      <w:r>
        <w:rPr>
          <w:b/>
          <w:bCs/>
        </w:rPr>
        <w:t>essai prescrit à l</w:t>
      </w:r>
      <w:r w:rsidR="004B49A6">
        <w:rPr>
          <w:b/>
          <w:bCs/>
        </w:rPr>
        <w:t>’</w:t>
      </w:r>
      <w:r>
        <w:rPr>
          <w:b/>
          <w:bCs/>
        </w:rPr>
        <w:t>annexe 4 ;</w:t>
      </w:r>
      <w:bookmarkStart w:id="6" w:name="_Hlk144303707"/>
      <w:bookmarkEnd w:id="6"/>
    </w:p>
    <w:p w14:paraId="551B7E1D" w14:textId="77777777" w:rsidR="0083199D" w:rsidRPr="00FF5113" w:rsidRDefault="0083199D" w:rsidP="0083199D">
      <w:pPr>
        <w:pStyle w:val="para"/>
        <w:rPr>
          <w:b/>
          <w:bCs/>
        </w:rPr>
      </w:pPr>
      <w:r>
        <w:rPr>
          <w:b/>
          <w:bCs/>
        </w:rPr>
        <w:t>2.6.4</w:t>
      </w:r>
      <w:r>
        <w:tab/>
      </w:r>
      <w:r>
        <w:rPr>
          <w:b/>
          <w:bCs/>
        </w:rPr>
        <w:t xml:space="preserve">« </w:t>
      </w:r>
      <w:r>
        <w:rPr>
          <w:b/>
          <w:bCs/>
          <w:i/>
          <w:iCs/>
        </w:rPr>
        <w:t>Valeur de la distance totale »,</w:t>
      </w:r>
      <w:r>
        <w:rPr>
          <w:b/>
          <w:bCs/>
        </w:rPr>
        <w:t xml:space="preserve"> toute donnée kilométrique stockée à bord du véhicule et correspondant à la distance totale parcourue ;</w:t>
      </w:r>
    </w:p>
    <w:p w14:paraId="1AC20FD4" w14:textId="29EFCEDF" w:rsidR="0083199D" w:rsidRDefault="0083199D" w:rsidP="0083199D">
      <w:pPr>
        <w:pStyle w:val="para"/>
        <w:rPr>
          <w:b/>
          <w:bCs/>
        </w:rPr>
      </w:pPr>
      <w:r>
        <w:rPr>
          <w:b/>
          <w:bCs/>
        </w:rPr>
        <w:t>2.6.5</w:t>
      </w:r>
      <w:r>
        <w:tab/>
      </w:r>
      <w:r>
        <w:rPr>
          <w:b/>
          <w:bCs/>
        </w:rPr>
        <w:t>«</w:t>
      </w:r>
      <w:r>
        <w:rPr>
          <w:b/>
          <w:bCs/>
          <w:i/>
          <w:iCs/>
        </w:rPr>
        <w:t xml:space="preserve"> Tachygraphe ou appareil de contrôle</w:t>
      </w:r>
      <w:r>
        <w:rPr>
          <w:b/>
          <w:bCs/>
        </w:rPr>
        <w:t xml:space="preserve"> », le dispositif destiné à être installé à bord d</w:t>
      </w:r>
      <w:r w:rsidR="004B49A6">
        <w:rPr>
          <w:b/>
          <w:bCs/>
        </w:rPr>
        <w:t>’</w:t>
      </w:r>
      <w:r>
        <w:rPr>
          <w:b/>
          <w:bCs/>
        </w:rPr>
        <w:t>un véhicule routier pour indiquer, enregistrer, imprimer, stocker et fournir des données sur la marche de ce véhicule, notamment la distance réelle parcourue, les données d</w:t>
      </w:r>
      <w:r w:rsidR="004B49A6">
        <w:rPr>
          <w:b/>
          <w:bCs/>
        </w:rPr>
        <w:t>’</w:t>
      </w:r>
      <w:r>
        <w:rPr>
          <w:b/>
          <w:bCs/>
        </w:rPr>
        <w:t>étalonnage ainsi que les données relatives aux événements et aux anomalies.</w:t>
      </w:r>
    </w:p>
    <w:p w14:paraId="21E60412" w14:textId="6D3CEAB1" w:rsidR="0083199D" w:rsidRPr="00FF5113" w:rsidRDefault="0083199D" w:rsidP="00012272">
      <w:pPr>
        <w:pStyle w:val="para"/>
        <w:ind w:firstLine="0"/>
        <w:rPr>
          <w:b/>
          <w:bCs/>
        </w:rPr>
      </w:pPr>
      <w:r>
        <w:tab/>
      </w:r>
      <w:r>
        <w:rPr>
          <w:b/>
          <w:bCs/>
        </w:rPr>
        <w:t>L</w:t>
      </w:r>
      <w:r w:rsidR="004B49A6">
        <w:rPr>
          <w:b/>
          <w:bCs/>
        </w:rPr>
        <w:t>’</w:t>
      </w:r>
      <w:r>
        <w:rPr>
          <w:b/>
          <w:bCs/>
        </w:rPr>
        <w:t>appareil de contrôle est composé d</w:t>
      </w:r>
      <w:r w:rsidR="004B49A6">
        <w:rPr>
          <w:b/>
          <w:bCs/>
        </w:rPr>
        <w:t>’</w:t>
      </w:r>
      <w:r>
        <w:rPr>
          <w:b/>
          <w:bCs/>
        </w:rPr>
        <w:t>une unité embarquée et d</w:t>
      </w:r>
      <w:r w:rsidR="004B49A6">
        <w:rPr>
          <w:b/>
          <w:bCs/>
        </w:rPr>
        <w:t>’</w:t>
      </w:r>
      <w:r>
        <w:rPr>
          <w:b/>
          <w:bCs/>
        </w:rPr>
        <w:t>un capteur de mouvement.</w:t>
      </w:r>
    </w:p>
    <w:p w14:paraId="1036E808" w14:textId="5504885A" w:rsidR="0083199D" w:rsidRPr="00FF5113" w:rsidRDefault="0083199D" w:rsidP="00012272">
      <w:pPr>
        <w:pStyle w:val="para"/>
        <w:ind w:firstLine="0"/>
        <w:rPr>
          <w:b/>
          <w:bCs/>
        </w:rPr>
      </w:pPr>
      <w:r>
        <w:tab/>
      </w:r>
      <w:r>
        <w:rPr>
          <w:b/>
          <w:bCs/>
        </w:rPr>
        <w:t>L</w:t>
      </w:r>
      <w:r w:rsidR="004B49A6">
        <w:rPr>
          <w:b/>
          <w:bCs/>
        </w:rPr>
        <w:t>’</w:t>
      </w:r>
      <w:r>
        <w:rPr>
          <w:b/>
          <w:bCs/>
        </w:rPr>
        <w:t>unité embarquée communique avec le capteur de mouvement de manière sécurisée ;</w:t>
      </w:r>
    </w:p>
    <w:p w14:paraId="257024F1" w14:textId="3DD4371D" w:rsidR="0083199D" w:rsidRPr="00FF5113" w:rsidRDefault="0083199D" w:rsidP="0083199D">
      <w:pPr>
        <w:pStyle w:val="para"/>
        <w:rPr>
          <w:b/>
          <w:bCs/>
        </w:rPr>
      </w:pPr>
      <w:r>
        <w:rPr>
          <w:b/>
          <w:bCs/>
        </w:rPr>
        <w:t>2.6.5.1</w:t>
      </w:r>
      <w:r>
        <w:t xml:space="preserve"> </w:t>
      </w:r>
      <w:r>
        <w:tab/>
      </w:r>
      <w:r>
        <w:tab/>
      </w:r>
      <w:r>
        <w:rPr>
          <w:b/>
          <w:bCs/>
        </w:rPr>
        <w:t xml:space="preserve">« </w:t>
      </w:r>
      <w:r>
        <w:rPr>
          <w:b/>
          <w:bCs/>
          <w:i/>
          <w:iCs/>
        </w:rPr>
        <w:t>Unité embarquée</w:t>
      </w:r>
      <w:r>
        <w:rPr>
          <w:b/>
          <w:bCs/>
        </w:rPr>
        <w:t xml:space="preserve"> », l</w:t>
      </w:r>
      <w:r w:rsidR="004B49A6">
        <w:rPr>
          <w:b/>
          <w:bCs/>
        </w:rPr>
        <w:t>’</w:t>
      </w:r>
      <w:r>
        <w:rPr>
          <w:b/>
          <w:bCs/>
        </w:rPr>
        <w:t>appareil de contrôle, à l</w:t>
      </w:r>
      <w:r w:rsidR="004B49A6">
        <w:rPr>
          <w:b/>
          <w:bCs/>
        </w:rPr>
        <w:t>’</w:t>
      </w:r>
      <w:r>
        <w:rPr>
          <w:b/>
          <w:bCs/>
        </w:rPr>
        <w:t>exclusion du capteur de mouvement et des câbles qui le relient ;</w:t>
      </w:r>
    </w:p>
    <w:p w14:paraId="5A460791" w14:textId="409E7AED" w:rsidR="0083199D" w:rsidRPr="00FF5113" w:rsidRDefault="0083199D" w:rsidP="0083199D">
      <w:pPr>
        <w:pStyle w:val="para"/>
        <w:rPr>
          <w:b/>
          <w:bCs/>
        </w:rPr>
      </w:pPr>
      <w:r>
        <w:rPr>
          <w:b/>
          <w:bCs/>
        </w:rPr>
        <w:t>2.6.5.2</w:t>
      </w:r>
      <w:r>
        <w:tab/>
      </w:r>
      <w:r>
        <w:rPr>
          <w:b/>
          <w:bCs/>
        </w:rPr>
        <w:t xml:space="preserve">« </w:t>
      </w:r>
      <w:r>
        <w:rPr>
          <w:b/>
          <w:bCs/>
          <w:i/>
          <w:iCs/>
        </w:rPr>
        <w:t>Capteur de mouvement</w:t>
      </w:r>
      <w:r>
        <w:rPr>
          <w:b/>
          <w:bCs/>
        </w:rPr>
        <w:t xml:space="preserve"> », un élément de l</w:t>
      </w:r>
      <w:r w:rsidR="004B49A6">
        <w:rPr>
          <w:b/>
          <w:bCs/>
        </w:rPr>
        <w:t>’</w:t>
      </w:r>
      <w:r>
        <w:rPr>
          <w:b/>
          <w:bCs/>
        </w:rPr>
        <w:t>appareil de contrôle émettant un signal représentatif de la vitesse du véhicule et/ou de la distance parcourue ;</w:t>
      </w:r>
    </w:p>
    <w:p w14:paraId="4B9D3398" w14:textId="3994CB49" w:rsidR="0083199D" w:rsidRPr="00FF5113" w:rsidRDefault="0083199D" w:rsidP="0083199D">
      <w:pPr>
        <w:pStyle w:val="para"/>
        <w:rPr>
          <w:b/>
          <w:bCs/>
        </w:rPr>
      </w:pPr>
      <w:r>
        <w:rPr>
          <w:b/>
          <w:bCs/>
        </w:rPr>
        <w:t>2.6.6</w:t>
      </w:r>
      <w:r>
        <w:tab/>
      </w:r>
      <w:r>
        <w:rPr>
          <w:b/>
          <w:bCs/>
        </w:rPr>
        <w:t xml:space="preserve">« </w:t>
      </w:r>
      <w:r>
        <w:rPr>
          <w:b/>
          <w:bCs/>
          <w:i/>
          <w:iCs/>
        </w:rPr>
        <w:t>Unité de remplacement du tachygraphe</w:t>
      </w:r>
      <w:r>
        <w:rPr>
          <w:b/>
          <w:bCs/>
        </w:rPr>
        <w:t xml:space="preserve"> », un dispositif qui simule les fonctions d</w:t>
      </w:r>
      <w:r w:rsidR="004B49A6">
        <w:rPr>
          <w:b/>
          <w:bCs/>
        </w:rPr>
        <w:t>’</w:t>
      </w:r>
      <w:r>
        <w:rPr>
          <w:b/>
          <w:bCs/>
        </w:rPr>
        <w:t>un tachygraphe ou d</w:t>
      </w:r>
      <w:r w:rsidR="004B49A6">
        <w:rPr>
          <w:b/>
          <w:bCs/>
        </w:rPr>
        <w:t>’</w:t>
      </w:r>
      <w:r>
        <w:rPr>
          <w:b/>
          <w:bCs/>
        </w:rPr>
        <w:t>un appareil de contrôle devant être mises en œuvre dans les véhicules qui, aux termes de la législation nationale, ne doivent pas obligatoirement être équipés d</w:t>
      </w:r>
      <w:r w:rsidR="004B49A6">
        <w:rPr>
          <w:b/>
          <w:bCs/>
        </w:rPr>
        <w:t>’</w:t>
      </w:r>
      <w:r>
        <w:rPr>
          <w:b/>
          <w:bCs/>
        </w:rPr>
        <w:t>un tachygraphe ;</w:t>
      </w:r>
    </w:p>
    <w:p w14:paraId="68D139F7" w14:textId="0A0B176F" w:rsidR="0083199D" w:rsidRPr="00FF5113" w:rsidRDefault="0083199D" w:rsidP="0083199D">
      <w:pPr>
        <w:pStyle w:val="para"/>
      </w:pPr>
      <w:r>
        <w:rPr>
          <w:b/>
          <w:bCs/>
        </w:rPr>
        <w:t>2.6.7</w:t>
      </w:r>
      <w:r>
        <w:tab/>
      </w:r>
      <w:r>
        <w:rPr>
          <w:b/>
          <w:bCs/>
        </w:rPr>
        <w:t xml:space="preserve">« </w:t>
      </w:r>
      <w:r>
        <w:rPr>
          <w:b/>
          <w:bCs/>
          <w:i/>
          <w:iCs/>
        </w:rPr>
        <w:t xml:space="preserve">Compteur kilométrique entièrement mécanique </w:t>
      </w:r>
      <w:r>
        <w:rPr>
          <w:b/>
          <w:bCs/>
        </w:rPr>
        <w:t>», un compteur kilométrique dans lequel la constante technique est déterminée mécaniquement par une combinaison des vitesses d</w:t>
      </w:r>
      <w:r w:rsidR="004B49A6">
        <w:rPr>
          <w:b/>
          <w:bCs/>
        </w:rPr>
        <w:t>’</w:t>
      </w:r>
      <w:r>
        <w:rPr>
          <w:b/>
          <w:bCs/>
        </w:rPr>
        <w:t>entrée et de sortie du système de transmission, sans qu</w:t>
      </w:r>
      <w:r w:rsidR="004B49A6">
        <w:rPr>
          <w:b/>
          <w:bCs/>
        </w:rPr>
        <w:t>’</w:t>
      </w:r>
      <w:r>
        <w:rPr>
          <w:b/>
          <w:bCs/>
        </w:rPr>
        <w:t>aucune correction électrique ne soit appliquée ;</w:t>
      </w:r>
      <w:bookmarkStart w:id="7" w:name="_Hlk166754906"/>
      <w:bookmarkEnd w:id="7"/>
    </w:p>
    <w:p w14:paraId="3DA99A36" w14:textId="7FE9779A" w:rsidR="0083199D" w:rsidRPr="00FF5113" w:rsidRDefault="0083199D" w:rsidP="0083199D">
      <w:pPr>
        <w:pStyle w:val="para"/>
      </w:pPr>
      <w:r>
        <w:t>2.7</w:t>
      </w:r>
      <w:r>
        <w:tab/>
        <w:t xml:space="preserve">« </w:t>
      </w:r>
      <w:r w:rsidRPr="00012272">
        <w:rPr>
          <w:i/>
          <w:iCs/>
        </w:rPr>
        <w:t>Véhicule à vide</w:t>
      </w:r>
      <w:r>
        <w:t xml:space="preserve"> », le véhicule en ordre de marche, avec le plein de carburant, de liquide de refroidissement et de lubrifiant, et avec ses outils et une roue de secours (si elle est fournie comme équipement standard par le constructeur du véhicule), avec un conducteur d</w:t>
      </w:r>
      <w:r w:rsidR="004B49A6">
        <w:t>’</w:t>
      </w:r>
      <w:r>
        <w:t>un poids de 75</w:t>
      </w:r>
      <w:r w:rsidR="00012272">
        <w:t> </w:t>
      </w:r>
      <w:r>
        <w:t>kg, sans convoyeur, ni accessoires optionnels ni chargement ;</w:t>
      </w:r>
      <w:bookmarkStart w:id="8" w:name="_Hlk144304086"/>
      <w:bookmarkEnd w:id="8"/>
    </w:p>
    <w:p w14:paraId="2E8DEF85" w14:textId="77777777" w:rsidR="0083199D" w:rsidRPr="00FF5113" w:rsidRDefault="0083199D" w:rsidP="0083199D">
      <w:pPr>
        <w:pStyle w:val="para"/>
        <w:rPr>
          <w:b/>
          <w:bCs/>
        </w:rPr>
      </w:pPr>
      <w:r>
        <w:rPr>
          <w:b/>
          <w:bCs/>
        </w:rPr>
        <w:t>2.8</w:t>
      </w:r>
      <w:r>
        <w:tab/>
      </w:r>
      <w:r>
        <w:rPr>
          <w:b/>
          <w:bCs/>
        </w:rPr>
        <w:t xml:space="preserve">« </w:t>
      </w:r>
      <w:r>
        <w:rPr>
          <w:b/>
          <w:bCs/>
          <w:i/>
          <w:iCs/>
        </w:rPr>
        <w:t xml:space="preserve">Falsification </w:t>
      </w:r>
      <w:r>
        <w:rPr>
          <w:b/>
          <w:bCs/>
        </w:rPr>
        <w:t>», toute activité visant à enregistrer de manière inexacte ou à fausser les valeurs du compteur kilométrique stockées et/ou affichées.</w:t>
      </w:r>
    </w:p>
    <w:p w14:paraId="162A9C5B" w14:textId="292EEF25" w:rsidR="0083199D" w:rsidRPr="00B13B7C" w:rsidRDefault="0083199D" w:rsidP="0040456F">
      <w:pPr>
        <w:pStyle w:val="HChG"/>
        <w:ind w:left="2268"/>
      </w:pPr>
      <w:r>
        <w:rPr>
          <w:lang w:val="fr-FR"/>
        </w:rPr>
        <w:t>3.</w:t>
      </w:r>
      <w:r>
        <w:rPr>
          <w:lang w:val="fr-FR"/>
        </w:rPr>
        <w:tab/>
      </w:r>
      <w:r>
        <w:rPr>
          <w:lang w:val="fr-FR"/>
        </w:rPr>
        <w:tab/>
        <w:t>Demande d</w:t>
      </w:r>
      <w:r w:rsidR="004B49A6">
        <w:rPr>
          <w:lang w:val="fr-FR"/>
        </w:rPr>
        <w:t>’</w:t>
      </w:r>
      <w:r>
        <w:rPr>
          <w:lang w:val="fr-FR"/>
        </w:rPr>
        <w:t>homologation</w:t>
      </w:r>
      <w:bookmarkStart w:id="9" w:name="_Toc441498659"/>
      <w:bookmarkStart w:id="10" w:name="_Toc441498797"/>
      <w:bookmarkEnd w:id="9"/>
      <w:bookmarkEnd w:id="10"/>
    </w:p>
    <w:p w14:paraId="7BBD1D21" w14:textId="655241EE" w:rsidR="0083199D" w:rsidRPr="00FF5113" w:rsidRDefault="0083199D" w:rsidP="0083199D">
      <w:pPr>
        <w:pStyle w:val="para"/>
      </w:pPr>
      <w:r>
        <w:t>3.1</w:t>
      </w:r>
      <w:r>
        <w:tab/>
        <w:t>La demande d</w:t>
      </w:r>
      <w:r w:rsidR="004B49A6">
        <w:t>’</w:t>
      </w:r>
      <w:r>
        <w:t>homologation d</w:t>
      </w:r>
      <w:r w:rsidR="004B49A6">
        <w:t>’</w:t>
      </w:r>
      <w:r>
        <w:t>un type de véhicule en ce qui concerne l</w:t>
      </w:r>
      <w:r w:rsidR="004B49A6">
        <w:t>’</w:t>
      </w:r>
      <w:r>
        <w:t xml:space="preserve">indicateur de vitesse et le compteur kilométrique, y compris leur installation, doit être présentée par le constructeur du véhicule ou par son représentant dûment accrédité </w:t>
      </w:r>
      <w:r>
        <w:rPr>
          <w:b/>
          <w:bCs/>
        </w:rPr>
        <w:t>à l</w:t>
      </w:r>
      <w:r w:rsidR="004B49A6">
        <w:rPr>
          <w:b/>
          <w:bCs/>
        </w:rPr>
        <w:t>’</w:t>
      </w:r>
      <w:r>
        <w:rPr>
          <w:b/>
          <w:bCs/>
        </w:rPr>
        <w:t>autorité d</w:t>
      </w:r>
      <w:r w:rsidR="004B49A6">
        <w:rPr>
          <w:b/>
          <w:bCs/>
        </w:rPr>
        <w:t>’</w:t>
      </w:r>
      <w:r>
        <w:rPr>
          <w:b/>
          <w:bCs/>
        </w:rPr>
        <w:t>homologation de type de la Partie contractante conformément aux dispositions de l</w:t>
      </w:r>
      <w:r w:rsidR="004B49A6">
        <w:rPr>
          <w:b/>
          <w:bCs/>
        </w:rPr>
        <w:t>’</w:t>
      </w:r>
      <w:r>
        <w:rPr>
          <w:b/>
          <w:bCs/>
        </w:rPr>
        <w:t>annexe 3 de l</w:t>
      </w:r>
      <w:r w:rsidR="004B49A6">
        <w:rPr>
          <w:b/>
          <w:bCs/>
        </w:rPr>
        <w:t>’</w:t>
      </w:r>
      <w:r>
        <w:rPr>
          <w:b/>
          <w:bCs/>
        </w:rPr>
        <w:t>Accord de</w:t>
      </w:r>
      <w:r w:rsidR="00012272">
        <w:rPr>
          <w:b/>
          <w:bCs/>
        </w:rPr>
        <w:t> </w:t>
      </w:r>
      <w:r>
        <w:rPr>
          <w:b/>
          <w:bCs/>
        </w:rPr>
        <w:t>1958</w:t>
      </w:r>
      <w:r>
        <w:t>.</w:t>
      </w:r>
    </w:p>
    <w:p w14:paraId="21138588" w14:textId="4876F7F9" w:rsidR="0083199D" w:rsidRPr="00FF5113" w:rsidRDefault="0083199D" w:rsidP="0083199D">
      <w:pPr>
        <w:pStyle w:val="para"/>
      </w:pPr>
      <w:r>
        <w:lastRenderedPageBreak/>
        <w:t>3.2</w:t>
      </w:r>
      <w:r>
        <w:tab/>
        <w:t xml:space="preserve">Elle doit être accompagnée des pièces </w:t>
      </w:r>
      <w:r>
        <w:rPr>
          <w:b/>
          <w:bCs/>
        </w:rPr>
        <w:t>suivantes (un modèle de fiche de renseignements est présenté à l</w:t>
      </w:r>
      <w:r w:rsidR="004B49A6">
        <w:rPr>
          <w:b/>
          <w:bCs/>
        </w:rPr>
        <w:t>’</w:t>
      </w:r>
      <w:r>
        <w:rPr>
          <w:b/>
          <w:bCs/>
        </w:rPr>
        <w:t>annexe 5)</w:t>
      </w:r>
      <w:r w:rsidRPr="00012272">
        <w:t xml:space="preserve"> </w:t>
      </w:r>
      <w:r>
        <w:rPr>
          <w:strike/>
        </w:rPr>
        <w:t>mentionnées ci-après, en triple exemplaire, et des indications suivantes</w:t>
      </w:r>
      <w:r w:rsidRPr="00012272">
        <w:rPr>
          <w:strike/>
        </w:rPr>
        <w:t xml:space="preserve"> </w:t>
      </w:r>
      <w:r>
        <w:t>:</w:t>
      </w:r>
    </w:p>
    <w:p w14:paraId="04F686B4" w14:textId="77777777" w:rsidR="0083199D" w:rsidRPr="00FF5113" w:rsidRDefault="0083199D" w:rsidP="0083199D">
      <w:pPr>
        <w:pStyle w:val="para"/>
      </w:pPr>
      <w:r>
        <w:t>3.2.1</w:t>
      </w:r>
      <w:r>
        <w:tab/>
        <w:t>Une description du type de véhicule en ce qui concerne les points mentionnés aux paragraphes 2.2, 2.3, 2.4, 2.5 et 2.6 ci-dessus ; le type de véhicule doit être indiqué.</w:t>
      </w:r>
    </w:p>
    <w:p w14:paraId="009A6822" w14:textId="738C6C8B" w:rsidR="0083199D" w:rsidRPr="00FF5113" w:rsidRDefault="0083199D" w:rsidP="0083199D">
      <w:pPr>
        <w:pStyle w:val="para"/>
      </w:pPr>
      <w:r>
        <w:t>3.3</w:t>
      </w:r>
      <w:r>
        <w:tab/>
        <w:t>Un véhicule à vide, représentatif du type de véhicule à homologuer, doit être présenté au service technique chargé des essais d</w:t>
      </w:r>
      <w:r w:rsidR="004B49A6">
        <w:t>’</w:t>
      </w:r>
      <w:r>
        <w:t>homologation.</w:t>
      </w:r>
    </w:p>
    <w:p w14:paraId="3E99916E" w14:textId="312177AB" w:rsidR="0083199D" w:rsidRPr="00FF5113" w:rsidRDefault="0083199D" w:rsidP="0083199D">
      <w:pPr>
        <w:pStyle w:val="para"/>
      </w:pPr>
      <w:r>
        <w:t>3.4</w:t>
      </w:r>
      <w:r>
        <w:tab/>
        <w:t>L</w:t>
      </w:r>
      <w:r w:rsidR="004B49A6">
        <w:t>’</w:t>
      </w:r>
      <w:r>
        <w:t>autorité d</w:t>
      </w:r>
      <w:r w:rsidR="004B49A6">
        <w:t>’</w:t>
      </w:r>
      <w:r>
        <w:t>homologation de type doit,</w:t>
      </w:r>
      <w:r w:rsidRPr="00A34480">
        <w:t xml:space="preserve"> </w:t>
      </w:r>
      <w:r>
        <w:t>avant d</w:t>
      </w:r>
      <w:r w:rsidR="004B49A6">
        <w:t>’</w:t>
      </w:r>
      <w:r>
        <w:t>accorder l</w:t>
      </w:r>
      <w:r w:rsidR="004B49A6">
        <w:t>’</w:t>
      </w:r>
      <w:r>
        <w:t>homologation, vérifier que des dispositions suffisantes sont prises pour assurer un contrôle efficace de la conformité de la production.</w:t>
      </w:r>
    </w:p>
    <w:p w14:paraId="246D01D4" w14:textId="00D7A53E" w:rsidR="0083199D" w:rsidRPr="001B10CE" w:rsidRDefault="0083199D" w:rsidP="0040456F">
      <w:pPr>
        <w:pStyle w:val="HChG"/>
        <w:ind w:left="2268"/>
      </w:pPr>
      <w:r>
        <w:rPr>
          <w:bCs/>
          <w:lang w:val="fr-FR"/>
        </w:rPr>
        <w:t>4.</w:t>
      </w:r>
      <w:r>
        <w:rPr>
          <w:lang w:val="fr-FR"/>
        </w:rPr>
        <w:tab/>
      </w:r>
      <w:r>
        <w:rPr>
          <w:lang w:val="fr-FR"/>
        </w:rPr>
        <w:tab/>
      </w:r>
      <w:r>
        <w:rPr>
          <w:bCs/>
          <w:lang w:val="fr-FR"/>
        </w:rPr>
        <w:t>Homologation</w:t>
      </w:r>
      <w:r>
        <w:rPr>
          <w:lang w:val="fr-FR"/>
        </w:rPr>
        <w:tab/>
      </w:r>
      <w:bookmarkStart w:id="11" w:name="_Toc441498660"/>
      <w:bookmarkStart w:id="12" w:name="_Toc441498798"/>
      <w:bookmarkEnd w:id="11"/>
      <w:bookmarkEnd w:id="12"/>
    </w:p>
    <w:p w14:paraId="04EBF14B" w14:textId="44733247" w:rsidR="0083199D" w:rsidRPr="00FF5113" w:rsidRDefault="0083199D" w:rsidP="0083199D">
      <w:pPr>
        <w:pStyle w:val="para"/>
      </w:pPr>
      <w:r>
        <w:t>4.1</w:t>
      </w:r>
      <w:r>
        <w:tab/>
        <w:t>Lorsque le type de véhicule présenté à l</w:t>
      </w:r>
      <w:r w:rsidR="004B49A6">
        <w:t>’</w:t>
      </w:r>
      <w:r>
        <w:t>homologation au titre du présent Règlement satisfait aux prescriptions dudit Règlement en ce qui concerne l</w:t>
      </w:r>
      <w:r w:rsidR="004B49A6">
        <w:t>’</w:t>
      </w:r>
      <w:r>
        <w:t>indicateur de vitesse et le compteur kilométrique, y compris leur installation, l</w:t>
      </w:r>
      <w:r w:rsidR="004B49A6">
        <w:t>’</w:t>
      </w:r>
      <w:r>
        <w:t>homologation pour ce type de véhicule doit être accordée.</w:t>
      </w:r>
    </w:p>
    <w:p w14:paraId="6A948477" w14:textId="5B7C661D" w:rsidR="0083199D" w:rsidRPr="00FF5113" w:rsidRDefault="0083199D" w:rsidP="0083199D">
      <w:pPr>
        <w:pStyle w:val="para"/>
      </w:pPr>
      <w:r>
        <w:t>4.2</w:t>
      </w:r>
      <w:r>
        <w:tab/>
      </w:r>
      <w:r>
        <w:rPr>
          <w:strike/>
        </w:rPr>
        <w:t>Chaque homologation comporte l</w:t>
      </w:r>
      <w:r w:rsidR="004B49A6">
        <w:rPr>
          <w:strike/>
        </w:rPr>
        <w:t>’</w:t>
      </w:r>
      <w:r>
        <w:rPr>
          <w:strike/>
        </w:rPr>
        <w:t>attribution d</w:t>
      </w:r>
      <w:r w:rsidR="004B49A6">
        <w:rPr>
          <w:strike/>
        </w:rPr>
        <w:t>’</w:t>
      </w:r>
      <w:r>
        <w:rPr>
          <w:strike/>
        </w:rPr>
        <w:t>un numéro d</w:t>
      </w:r>
      <w:r w:rsidR="004B49A6">
        <w:rPr>
          <w:strike/>
        </w:rPr>
        <w:t>’</w:t>
      </w:r>
      <w:r>
        <w:rPr>
          <w:strike/>
        </w:rPr>
        <w:t>homologation.</w:t>
      </w:r>
      <w:r>
        <w:t xml:space="preserve"> </w:t>
      </w:r>
      <w:r>
        <w:rPr>
          <w:strike/>
        </w:rPr>
        <w:t>Les deux premiers chiffres de ce numéro sont constitués par le numéro de la plus récente série d</w:t>
      </w:r>
      <w:r w:rsidR="004B49A6">
        <w:rPr>
          <w:strike/>
        </w:rPr>
        <w:t>’</w:t>
      </w:r>
      <w:r>
        <w:rPr>
          <w:strike/>
        </w:rPr>
        <w:t>amendements incorporée au Règlement à la date de délivrance de l</w:t>
      </w:r>
      <w:r w:rsidR="004B49A6">
        <w:rPr>
          <w:strike/>
        </w:rPr>
        <w:t>’</w:t>
      </w:r>
      <w:r>
        <w:rPr>
          <w:strike/>
        </w:rPr>
        <w:t>homologation.</w:t>
      </w:r>
      <w:r w:rsidRPr="005D6401">
        <w:rPr>
          <w:strike/>
        </w:rPr>
        <w:t xml:space="preserve"> </w:t>
      </w:r>
      <w:r>
        <w:rPr>
          <w:strike/>
        </w:rPr>
        <w:t>Une même Partie contractante ne peut pas attribuer ce numéro à un autre type de véhicule (voir les dispositions du paragraphe 6 du présent Règlement).</w:t>
      </w:r>
      <w:r w:rsidRPr="005D6401">
        <w:rPr>
          <w:strike/>
        </w:rPr>
        <w:t xml:space="preserve"> </w:t>
      </w:r>
      <w:r>
        <w:rPr>
          <w:b/>
          <w:bCs/>
        </w:rPr>
        <w:t>Un numéro d</w:t>
      </w:r>
      <w:r w:rsidR="004B49A6">
        <w:rPr>
          <w:b/>
          <w:bCs/>
        </w:rPr>
        <w:t>’</w:t>
      </w:r>
      <w:r>
        <w:rPr>
          <w:b/>
          <w:bCs/>
        </w:rPr>
        <w:t>homologation doit être attribué à chaque type homologué conformément à l</w:t>
      </w:r>
      <w:r w:rsidR="004B49A6">
        <w:rPr>
          <w:b/>
          <w:bCs/>
        </w:rPr>
        <w:t>’</w:t>
      </w:r>
      <w:r>
        <w:rPr>
          <w:b/>
          <w:bCs/>
        </w:rPr>
        <w:t>annexe 4 de l</w:t>
      </w:r>
      <w:r w:rsidR="004B49A6">
        <w:rPr>
          <w:b/>
          <w:bCs/>
        </w:rPr>
        <w:t>’</w:t>
      </w:r>
      <w:r>
        <w:rPr>
          <w:b/>
          <w:bCs/>
        </w:rPr>
        <w:t>Accord (E/ECE/TRANS/505/Rev.3).</w:t>
      </w:r>
    </w:p>
    <w:p w14:paraId="5EAAA83D" w14:textId="204C2505" w:rsidR="0083199D" w:rsidRPr="00FF5113" w:rsidRDefault="0083199D" w:rsidP="0083199D">
      <w:pPr>
        <w:pStyle w:val="para"/>
      </w:pPr>
      <w:r>
        <w:t>4.3</w:t>
      </w:r>
      <w:r>
        <w:tab/>
        <w:t>L</w:t>
      </w:r>
      <w:r w:rsidR="004B49A6">
        <w:t>’</w:t>
      </w:r>
      <w:r>
        <w:t xml:space="preserve">homologation </w:t>
      </w:r>
      <w:r w:rsidRPr="0075605F">
        <w:t xml:space="preserve">ou </w:t>
      </w:r>
      <w:r>
        <w:t>le refus</w:t>
      </w:r>
      <w:r>
        <w:rPr>
          <w:b/>
          <w:bCs/>
        </w:rPr>
        <w:t>, l</w:t>
      </w:r>
      <w:r w:rsidR="004B49A6">
        <w:rPr>
          <w:b/>
          <w:bCs/>
        </w:rPr>
        <w:t>’</w:t>
      </w:r>
      <w:r>
        <w:rPr>
          <w:b/>
          <w:bCs/>
        </w:rPr>
        <w:t>extension ou le retrait</w:t>
      </w:r>
      <w:r>
        <w:t xml:space="preserve"> d</w:t>
      </w:r>
      <w:r w:rsidR="004B49A6">
        <w:t>’</w:t>
      </w:r>
      <w:r>
        <w:t>homologation</w:t>
      </w:r>
      <w:r>
        <w:rPr>
          <w:b/>
          <w:bCs/>
        </w:rPr>
        <w:t>, ou l</w:t>
      </w:r>
      <w:r w:rsidR="004B49A6">
        <w:rPr>
          <w:b/>
          <w:bCs/>
        </w:rPr>
        <w:t>’</w:t>
      </w:r>
      <w:r>
        <w:rPr>
          <w:b/>
          <w:bCs/>
        </w:rPr>
        <w:t>arrêt définitif de la production</w:t>
      </w:r>
      <w:r>
        <w:t xml:space="preserve"> d</w:t>
      </w:r>
      <w:r w:rsidR="004B49A6">
        <w:t>’</w:t>
      </w:r>
      <w:r>
        <w:t>un type de véhicule au titre du présent Règlement doit être notifié aux Parties à l</w:t>
      </w:r>
      <w:r w:rsidR="004B49A6">
        <w:t>’</w:t>
      </w:r>
      <w:r>
        <w:t>Accord appliquant ledit Règlement au moyen d</w:t>
      </w:r>
      <w:r w:rsidR="004B49A6">
        <w:t>’</w:t>
      </w:r>
      <w:r>
        <w:t>une fiche conforme au modèle de l</w:t>
      </w:r>
      <w:r w:rsidR="004B49A6">
        <w:t>’</w:t>
      </w:r>
      <w:r>
        <w:t>annexe 1 dudit Règlement et de schémas de l</w:t>
      </w:r>
      <w:r w:rsidR="004B49A6">
        <w:t>’</w:t>
      </w:r>
      <w:r>
        <w:t>installation, fournis par le demandeur de l</w:t>
      </w:r>
      <w:r w:rsidR="004B49A6">
        <w:t>’</w:t>
      </w:r>
      <w:r>
        <w:t>homologation</w:t>
      </w:r>
      <w:r>
        <w:rPr>
          <w:strike/>
        </w:rPr>
        <w:t xml:space="preserve"> au format maximal A4 (210 x 297 mm), ou pliés à ce format, et à une échelle appropriée</w:t>
      </w:r>
      <w:r>
        <w:t>.</w:t>
      </w:r>
    </w:p>
    <w:p w14:paraId="54051249" w14:textId="52F9844A" w:rsidR="0083199D" w:rsidRPr="00FF5113" w:rsidRDefault="0083199D" w:rsidP="0083199D">
      <w:pPr>
        <w:pStyle w:val="para"/>
      </w:pPr>
      <w:r>
        <w:t>4.4</w:t>
      </w:r>
      <w:r>
        <w:tab/>
        <w:t>Sur tout véhicule conforme à un type de véhicule homologué au titre du présent Règlement, il doit être apposé de manière visible, en un endroit facilement accessible et indiqué sur la fiche d</w:t>
      </w:r>
      <w:r w:rsidR="004B49A6">
        <w:t>’</w:t>
      </w:r>
      <w:r>
        <w:t>homologation, une marque d</w:t>
      </w:r>
      <w:r w:rsidR="004B49A6">
        <w:t>’</w:t>
      </w:r>
      <w:r>
        <w:t>homologation internationale composée :</w:t>
      </w:r>
    </w:p>
    <w:p w14:paraId="619B6A76" w14:textId="7D585E13" w:rsidR="0083199D" w:rsidRPr="00FF5113" w:rsidRDefault="0083199D" w:rsidP="0083199D">
      <w:pPr>
        <w:pStyle w:val="para"/>
      </w:pPr>
      <w:r>
        <w:t>4.4.1</w:t>
      </w:r>
      <w:r>
        <w:tab/>
        <w:t>D</w:t>
      </w:r>
      <w:r w:rsidR="004B49A6">
        <w:t>’</w:t>
      </w:r>
      <w:r>
        <w:t>un cercle, à l</w:t>
      </w:r>
      <w:r w:rsidR="004B49A6">
        <w:t>’</w:t>
      </w:r>
      <w:r>
        <w:t>intérieur duquel est placée la lettre «</w:t>
      </w:r>
      <w:r w:rsidR="005D6401">
        <w:t> </w:t>
      </w:r>
      <w:r>
        <w:t>E</w:t>
      </w:r>
      <w:r w:rsidR="005D6401">
        <w:t> </w:t>
      </w:r>
      <w:r>
        <w:t>» suivie du numéro distinctif du pays ayant accordé l</w:t>
      </w:r>
      <w:r w:rsidR="004B49A6">
        <w:t>’</w:t>
      </w:r>
      <w:r>
        <w:t>homologation</w:t>
      </w:r>
      <w:r w:rsidRPr="001A4175">
        <w:rPr>
          <w:rStyle w:val="Appelnotedebasdep"/>
        </w:rPr>
        <w:footnoteReference w:id="5"/>
      </w:r>
      <w:r w:rsidR="005D6401">
        <w:t xml:space="preserve"> </w:t>
      </w:r>
      <w:r>
        <w:t>;</w:t>
      </w:r>
    </w:p>
    <w:p w14:paraId="225018F2" w14:textId="23E6C2C1" w:rsidR="0083199D" w:rsidRPr="00FF5113" w:rsidRDefault="0083199D" w:rsidP="0083199D">
      <w:pPr>
        <w:pStyle w:val="para"/>
      </w:pPr>
      <w:r>
        <w:t>4.4.2</w:t>
      </w:r>
      <w:r>
        <w:tab/>
        <w:t>Du numéro du présent Règlement, suivi de la lettre «</w:t>
      </w:r>
      <w:r w:rsidR="005D6401">
        <w:t> </w:t>
      </w:r>
      <w:r>
        <w:t>R</w:t>
      </w:r>
      <w:r w:rsidR="005D6401">
        <w:t> </w:t>
      </w:r>
      <w:r>
        <w:t>», d</w:t>
      </w:r>
      <w:r w:rsidR="004B49A6">
        <w:t>’</w:t>
      </w:r>
      <w:r>
        <w:t>un tiret et du numéro d</w:t>
      </w:r>
      <w:r w:rsidR="004B49A6">
        <w:t>’</w:t>
      </w:r>
      <w:r>
        <w:t>homologation, à la droite du cercle prévu au paragraphe 4.4.1.</w:t>
      </w:r>
    </w:p>
    <w:p w14:paraId="75D9BADA" w14:textId="69FD58F0" w:rsidR="0083199D" w:rsidRPr="00FF5113" w:rsidRDefault="0083199D" w:rsidP="0083199D">
      <w:pPr>
        <w:pStyle w:val="para"/>
      </w:pPr>
      <w:r>
        <w:t>4.5</w:t>
      </w:r>
      <w:r>
        <w:tab/>
        <w:t>Si le véhicule est conforme à un type de véhicule homologué au titre d</w:t>
      </w:r>
      <w:r w:rsidR="004B49A6">
        <w:t>’</w:t>
      </w:r>
      <w:r>
        <w:t>un autre ou d</w:t>
      </w:r>
      <w:r w:rsidR="004B49A6">
        <w:t>’</w:t>
      </w:r>
      <w:r>
        <w:t>autres Règlements annexés à l</w:t>
      </w:r>
      <w:r w:rsidR="004B49A6">
        <w:t>’</w:t>
      </w:r>
      <w:r>
        <w:t>Accord dans le même pays que celui qui a accordé l</w:t>
      </w:r>
      <w:r w:rsidR="004B49A6">
        <w:t>’</w:t>
      </w:r>
      <w:r>
        <w:t>homologation au titre du présent Règlement, le symbole prévu au paragraphe 4.4.1 n</w:t>
      </w:r>
      <w:r w:rsidR="004B49A6">
        <w:t>’</w:t>
      </w:r>
      <w:r>
        <w:t>a pas à être répété ; dans ce cas, les numéros et symboles additionnels de tous les Règlements au titre desquels l</w:t>
      </w:r>
      <w:r w:rsidR="004B49A6">
        <w:t>’</w:t>
      </w:r>
      <w:r>
        <w:t>homologation est accordée dans le pays ayant accordé l</w:t>
      </w:r>
      <w:r w:rsidR="004B49A6">
        <w:t>’</w:t>
      </w:r>
      <w:r>
        <w:t xml:space="preserve">homologation au titre du présent </w:t>
      </w:r>
      <w:r>
        <w:lastRenderedPageBreak/>
        <w:t>Règlement doivent être rangés en colonnes verticales situées à droite du symbole prévu au paragraphe 4.4.1.</w:t>
      </w:r>
    </w:p>
    <w:p w14:paraId="3CE22D37" w14:textId="28581930" w:rsidR="0083199D" w:rsidRPr="00FF5113" w:rsidRDefault="0083199D" w:rsidP="0083199D">
      <w:pPr>
        <w:pStyle w:val="para"/>
      </w:pPr>
      <w:r>
        <w:t>4.6</w:t>
      </w:r>
      <w:r>
        <w:tab/>
        <w:t>La marque d</w:t>
      </w:r>
      <w:r w:rsidR="004B49A6">
        <w:t>’</w:t>
      </w:r>
      <w:r>
        <w:t>homologation doit être nettement lisible et indélébile.</w:t>
      </w:r>
    </w:p>
    <w:p w14:paraId="4BED5FBC" w14:textId="445272A3" w:rsidR="0083199D" w:rsidRPr="00FF5113" w:rsidRDefault="0083199D" w:rsidP="0083199D">
      <w:pPr>
        <w:pStyle w:val="para"/>
      </w:pPr>
      <w:r>
        <w:t>4.7</w:t>
      </w:r>
      <w:r>
        <w:tab/>
        <w:t>La marque d</w:t>
      </w:r>
      <w:r w:rsidR="004B49A6">
        <w:t>’</w:t>
      </w:r>
      <w:r>
        <w:t>homologation doit être placée sur la plaque signalétique du véhicule apposée par le constructeur, ou à proximité.</w:t>
      </w:r>
    </w:p>
    <w:p w14:paraId="6C7E9772" w14:textId="156D5BFE" w:rsidR="0083199D" w:rsidRPr="00FF5113" w:rsidRDefault="0083199D" w:rsidP="0083199D">
      <w:pPr>
        <w:pStyle w:val="para"/>
      </w:pPr>
      <w:r>
        <w:t>4.8</w:t>
      </w:r>
      <w:r>
        <w:tab/>
        <w:t>L</w:t>
      </w:r>
      <w:r w:rsidR="004B49A6">
        <w:t>’</w:t>
      </w:r>
      <w:r>
        <w:t>annexe 2 du présent Règlement donne des exemples de marques d</w:t>
      </w:r>
      <w:r w:rsidR="004B49A6">
        <w:t>’</w:t>
      </w:r>
      <w:r>
        <w:t>homologation</w:t>
      </w:r>
    </w:p>
    <w:p w14:paraId="4F84DCAF" w14:textId="3D385651" w:rsidR="0083199D" w:rsidRPr="001B10CE" w:rsidRDefault="0083199D" w:rsidP="0040456F">
      <w:pPr>
        <w:pStyle w:val="HChG"/>
        <w:ind w:left="2268"/>
      </w:pPr>
      <w:r>
        <w:rPr>
          <w:bCs/>
          <w:lang w:val="fr-FR"/>
        </w:rPr>
        <w:t>5.</w:t>
      </w:r>
      <w:r>
        <w:rPr>
          <w:lang w:val="fr-FR"/>
        </w:rPr>
        <w:tab/>
      </w:r>
      <w:r>
        <w:rPr>
          <w:lang w:val="fr-FR"/>
        </w:rPr>
        <w:tab/>
      </w:r>
      <w:r>
        <w:rPr>
          <w:bCs/>
          <w:lang w:val="fr-FR"/>
        </w:rPr>
        <w:t>Spécifications</w:t>
      </w:r>
      <w:bookmarkStart w:id="13" w:name="_Toc441498661"/>
      <w:bookmarkStart w:id="14" w:name="_Toc441498799"/>
      <w:bookmarkEnd w:id="13"/>
      <w:bookmarkEnd w:id="14"/>
    </w:p>
    <w:p w14:paraId="3713118C" w14:textId="1E0851BA" w:rsidR="0083199D" w:rsidRDefault="0083199D" w:rsidP="00D008CE">
      <w:pPr>
        <w:pStyle w:val="para"/>
        <w:spacing w:after="0"/>
        <w:rPr>
          <w:b/>
          <w:bCs/>
        </w:rPr>
      </w:pPr>
      <w:r>
        <w:t>5.1</w:t>
      </w:r>
      <w:r>
        <w:tab/>
        <w:t xml:space="preserve">Un indicateur de vitesse et un compteur kilométrique conformes aux prescriptions du présent Règlement doivent être installés à bord du véhicule à homologuer. </w:t>
      </w:r>
      <w:r>
        <w:rPr>
          <w:b/>
          <w:bCs/>
        </w:rPr>
        <w:t>[Si le véhicule est équipé de plus d</w:t>
      </w:r>
      <w:r w:rsidR="004B49A6">
        <w:rPr>
          <w:b/>
          <w:bCs/>
        </w:rPr>
        <w:t>’</w:t>
      </w:r>
      <w:r>
        <w:rPr>
          <w:b/>
          <w:bCs/>
        </w:rPr>
        <w:t>un indicateur de vitesse embarqué ou de plus d</w:t>
      </w:r>
      <w:r w:rsidR="004B49A6">
        <w:rPr>
          <w:b/>
          <w:bCs/>
        </w:rPr>
        <w:t>’</w:t>
      </w:r>
      <w:r>
        <w:rPr>
          <w:b/>
          <w:bCs/>
        </w:rPr>
        <w:t>un compteur kilométrique embarqué, tous ces équipements doivent être conformes à l</w:t>
      </w:r>
      <w:r w:rsidR="004B49A6">
        <w:rPr>
          <w:b/>
          <w:bCs/>
        </w:rPr>
        <w:t>’</w:t>
      </w:r>
      <w:r>
        <w:rPr>
          <w:b/>
          <w:bCs/>
        </w:rPr>
        <w:t>ensemble des dispositions du présent Règlement.</w:t>
      </w:r>
      <w:r>
        <w:t xml:space="preserve"> </w:t>
      </w:r>
      <w:r>
        <w:rPr>
          <w:b/>
          <w:bCs/>
        </w:rPr>
        <w:t>Les graduations et valeurs numériques supplémentaires ne sont pas autorisées</w:t>
      </w:r>
      <w:r w:rsidR="00D008CE">
        <w:rPr>
          <w:b/>
          <w:bCs/>
        </w:rPr>
        <w:t>.</w:t>
      </w:r>
      <w:r>
        <w:rPr>
          <w:b/>
          <w:bCs/>
        </w:rPr>
        <w:t>]</w:t>
      </w:r>
    </w:p>
    <w:p w14:paraId="7194F7E1" w14:textId="77777777" w:rsidR="0083199D" w:rsidRPr="00FF5113" w:rsidRDefault="0083199D" w:rsidP="0083199D">
      <w:pPr>
        <w:pStyle w:val="para"/>
        <w:ind w:firstLine="0"/>
      </w:pPr>
      <w:r>
        <w:rPr>
          <w:b/>
          <w:bCs/>
        </w:rPr>
        <w:t>[Aux fins du présent paragraphe, les tachygraphes, les appareils de contrôle et les unités de remplacement des tachygraphes ne sont pas considérés comme des indicateurs de vitesse ou des compteurs kilométriques embarqués.]</w:t>
      </w:r>
    </w:p>
    <w:p w14:paraId="7AF672A3" w14:textId="77777777" w:rsidR="0083199D" w:rsidRPr="00FF5113" w:rsidRDefault="0083199D" w:rsidP="0083199D">
      <w:pPr>
        <w:pStyle w:val="para"/>
        <w:rPr>
          <w:b/>
          <w:bCs/>
        </w:rPr>
      </w:pPr>
      <w:r>
        <w:rPr>
          <w:b/>
          <w:bCs/>
        </w:rPr>
        <w:t>5.2</w:t>
      </w:r>
      <w:r>
        <w:tab/>
      </w:r>
      <w:r>
        <w:rPr>
          <w:b/>
          <w:bCs/>
        </w:rPr>
        <w:t>Indicateur de vitesse</w:t>
      </w:r>
    </w:p>
    <w:p w14:paraId="5B98D9D0" w14:textId="766C8DFF" w:rsidR="0083199D" w:rsidRPr="00FF5113" w:rsidRDefault="0083199D" w:rsidP="00B13B7C">
      <w:pPr>
        <w:pStyle w:val="para"/>
        <w:ind w:firstLine="0"/>
      </w:pPr>
      <w:r>
        <w:tab/>
        <w:t>L</w:t>
      </w:r>
      <w:r w:rsidR="004B49A6">
        <w:t>’</w:t>
      </w:r>
      <w:r>
        <w:t>afficheur de l</w:t>
      </w:r>
      <w:r w:rsidR="004B49A6">
        <w:t>’</w:t>
      </w:r>
      <w:r>
        <w:t>indicateur de vitesse doit être situé dans le champ de vision direct du conducteur et doit être clairement lisible de jour et de nuit. La plage de vitesses affichées doit être suffisamment étendue pour inclure la vitesse maximale indiquée par le constructeur pour ce type de véhicule.</w:t>
      </w:r>
    </w:p>
    <w:p w14:paraId="11E8F17C" w14:textId="4687F21F" w:rsidR="0083199D" w:rsidRPr="00FF5113" w:rsidRDefault="0083199D" w:rsidP="0083199D">
      <w:pPr>
        <w:pStyle w:val="para"/>
      </w:pPr>
      <w:r>
        <w:t>5.2.1</w:t>
      </w:r>
      <w:r>
        <w:tab/>
        <w:t>Sur les indicateurs de vitesse destinés à être montés sur des véhicules des catégories M, N, et L</w:t>
      </w:r>
      <w:r>
        <w:rPr>
          <w:vertAlign w:val="subscript"/>
        </w:rPr>
        <w:t>3</w:t>
      </w:r>
      <w:r>
        <w:t>, L</w:t>
      </w:r>
      <w:r>
        <w:rPr>
          <w:vertAlign w:val="subscript"/>
        </w:rPr>
        <w:t>4</w:t>
      </w:r>
      <w:r>
        <w:t>, L</w:t>
      </w:r>
      <w:r>
        <w:rPr>
          <w:vertAlign w:val="subscript"/>
        </w:rPr>
        <w:t xml:space="preserve">5 </w:t>
      </w:r>
      <w:r>
        <w:t>et L</w:t>
      </w:r>
      <w:r>
        <w:rPr>
          <w:vertAlign w:val="subscript"/>
        </w:rPr>
        <w:t>7</w:t>
      </w:r>
      <w:r>
        <w:t>, l</w:t>
      </w:r>
      <w:r w:rsidR="004B49A6">
        <w:t>’</w:t>
      </w:r>
      <w:r>
        <w:t>intervalle entre deux graduations doit correspondre à 1, 2, 5 ou 10</w:t>
      </w:r>
      <w:r w:rsidR="00D008CE">
        <w:t> </w:t>
      </w:r>
      <w:r>
        <w:t>km/h. Quant à l</w:t>
      </w:r>
      <w:r w:rsidR="004B49A6">
        <w:t>’</w:t>
      </w:r>
      <w:r>
        <w:t>intervalle entre les valeurs numériques inscrites sur l</w:t>
      </w:r>
      <w:r w:rsidR="004B49A6">
        <w:t>’</w:t>
      </w:r>
      <w:r>
        <w:t>afficheur, il ne doit pas être supérieur à 20</w:t>
      </w:r>
      <w:r w:rsidR="00D008CE">
        <w:t> </w:t>
      </w:r>
      <w:r>
        <w:t>km/h sur les indicateurs de vitesse gradués jusqu</w:t>
      </w:r>
      <w:r w:rsidR="004B49A6">
        <w:t>’</w:t>
      </w:r>
      <w:r>
        <w:t>à 200</w:t>
      </w:r>
      <w:r w:rsidR="00D008CE">
        <w:t> </w:t>
      </w:r>
      <w:r>
        <w:t>km/h, et à 30</w:t>
      </w:r>
      <w:r w:rsidR="00D008CE">
        <w:t> </w:t>
      </w:r>
      <w:r>
        <w:t>km/h sur les indicateurs de vitesse gradués au-delà. L</w:t>
      </w:r>
      <w:r w:rsidR="004B49A6">
        <w:t>’</w:t>
      </w:r>
      <w:r>
        <w:t>intervalle entre les valeurs numériques inscrites ne doit pas nécessairement être uniforme.</w:t>
      </w:r>
    </w:p>
    <w:p w14:paraId="3084CB42" w14:textId="48E51E20" w:rsidR="0083199D" w:rsidRPr="00FF5113" w:rsidRDefault="0083199D" w:rsidP="0083199D">
      <w:pPr>
        <w:pStyle w:val="para"/>
        <w:ind w:firstLine="0"/>
      </w:pPr>
      <w:r>
        <w:t xml:space="preserve">Si la configuration permet au conducteur de choisir que la vitesse soit affichée en km/h ou en </w:t>
      </w:r>
      <w:proofErr w:type="spellStart"/>
      <w:r>
        <w:t>mph</w:t>
      </w:r>
      <w:proofErr w:type="spellEnd"/>
      <w:r>
        <w:t xml:space="preserve"> (miles/h) elle ne peut l</w:t>
      </w:r>
      <w:r w:rsidR="004B49A6">
        <w:t>’</w:t>
      </w:r>
      <w:r>
        <w:t>être que dans l</w:t>
      </w:r>
      <w:r w:rsidR="004B49A6">
        <w:t>’</w:t>
      </w:r>
      <w:r>
        <w:t>une des deux unités à la fois. L</w:t>
      </w:r>
      <w:r w:rsidR="004B49A6">
        <w:t>’</w:t>
      </w:r>
      <w:r>
        <w:t>unité correspondante doit être affichée de manière permanente.</w:t>
      </w:r>
    </w:p>
    <w:p w14:paraId="71767911" w14:textId="3F02A0B9" w:rsidR="0083199D" w:rsidRPr="00FF5113" w:rsidRDefault="0083199D" w:rsidP="0083199D">
      <w:pPr>
        <w:pStyle w:val="para"/>
      </w:pPr>
      <w:r>
        <w:t>5.2.2</w:t>
      </w:r>
      <w:r>
        <w:tab/>
        <w:t>Sur les indicateurs de vitesse destinés à être montés sur des véhicules des catégories M, N, et L</w:t>
      </w:r>
      <w:r>
        <w:rPr>
          <w:vertAlign w:val="subscript"/>
        </w:rPr>
        <w:t>3</w:t>
      </w:r>
      <w:r>
        <w:t>, L</w:t>
      </w:r>
      <w:r>
        <w:rPr>
          <w:vertAlign w:val="subscript"/>
        </w:rPr>
        <w:t>4</w:t>
      </w:r>
      <w:r>
        <w:t>, L</w:t>
      </w:r>
      <w:r>
        <w:rPr>
          <w:vertAlign w:val="subscript"/>
        </w:rPr>
        <w:t>5</w:t>
      </w:r>
      <w:r>
        <w:t xml:space="preserve"> et L</w:t>
      </w:r>
      <w:r>
        <w:rPr>
          <w:vertAlign w:val="subscript"/>
        </w:rPr>
        <w:t>7</w:t>
      </w:r>
      <w:r>
        <w:t xml:space="preserve"> construits pour être vendus dans un pays utilisant les unités de mesure anglo-saxonnes, l</w:t>
      </w:r>
      <w:r w:rsidR="004B49A6">
        <w:t>’</w:t>
      </w:r>
      <w:r>
        <w:t xml:space="preserve">indicateur de vitesse doit aussi être marqué en </w:t>
      </w:r>
      <w:proofErr w:type="spellStart"/>
      <w:r>
        <w:t>mph</w:t>
      </w:r>
      <w:proofErr w:type="spellEnd"/>
      <w:r>
        <w:t xml:space="preserve"> (miles par heure) ; l</w:t>
      </w:r>
      <w:r w:rsidR="004B49A6">
        <w:t>’</w:t>
      </w:r>
      <w:r>
        <w:t xml:space="preserve">intervalle entre deux graduations doit correspondre à 1, 2, 5 ou 10 </w:t>
      </w:r>
      <w:proofErr w:type="spellStart"/>
      <w:r>
        <w:t>mph</w:t>
      </w:r>
      <w:proofErr w:type="spellEnd"/>
      <w:r>
        <w:t>.</w:t>
      </w:r>
    </w:p>
    <w:p w14:paraId="690F7610" w14:textId="45C27C92" w:rsidR="0083199D" w:rsidRPr="00FF5113" w:rsidRDefault="0083199D" w:rsidP="00B13B7C">
      <w:pPr>
        <w:pStyle w:val="para"/>
        <w:ind w:firstLine="0"/>
      </w:pPr>
      <w:r>
        <w:tab/>
        <w:t xml:space="preserve">La vitesse peut en tout temps être affichée en km/h ou en </w:t>
      </w:r>
      <w:proofErr w:type="spellStart"/>
      <w:r>
        <w:t>mph</w:t>
      </w:r>
      <w:proofErr w:type="spellEnd"/>
      <w:r>
        <w:t xml:space="preserve"> pour autant que la configuration permette au conducteur de choisir entre ces deux unités, auquel cas l</w:t>
      </w:r>
      <w:r w:rsidR="004B49A6">
        <w:t>’</w:t>
      </w:r>
      <w:r>
        <w:t>unité correspondante doit être affichée de manière permanente.</w:t>
      </w:r>
    </w:p>
    <w:p w14:paraId="11312B71" w14:textId="4C002DE1" w:rsidR="0083199D" w:rsidRPr="00FF5113" w:rsidRDefault="0083199D" w:rsidP="0083199D">
      <w:pPr>
        <w:pStyle w:val="para"/>
        <w:ind w:firstLine="0"/>
      </w:pPr>
      <w:r>
        <w:t>Quant à l</w:t>
      </w:r>
      <w:r w:rsidR="004B49A6">
        <w:t>’</w:t>
      </w:r>
      <w:r>
        <w:t>intervalle entre les valeurs numériques inscrites sur le cadran, il ne doit pas être supérieur à 20</w:t>
      </w:r>
      <w:r w:rsidR="00D008CE">
        <w:t> </w:t>
      </w:r>
      <w:proofErr w:type="spellStart"/>
      <w:r>
        <w:t>mph</w:t>
      </w:r>
      <w:proofErr w:type="spellEnd"/>
      <w:r>
        <w:t>, et la première valeur indiquée doit être 10 ou 20</w:t>
      </w:r>
      <w:r w:rsidR="00D008CE">
        <w:t> </w:t>
      </w:r>
      <w:proofErr w:type="spellStart"/>
      <w:r>
        <w:t>mph</w:t>
      </w:r>
      <w:proofErr w:type="spellEnd"/>
      <w:r>
        <w:t>. L</w:t>
      </w:r>
      <w:r w:rsidR="004B49A6">
        <w:t>’</w:t>
      </w:r>
      <w:r>
        <w:t>intervalle entre les valeurs numériques inscrites ne doit pas nécessairement être uniforme.</w:t>
      </w:r>
    </w:p>
    <w:p w14:paraId="265C498C" w14:textId="069DD0B8" w:rsidR="0083199D" w:rsidRPr="00FF5113" w:rsidRDefault="0083199D" w:rsidP="0083199D">
      <w:pPr>
        <w:pStyle w:val="para"/>
      </w:pPr>
      <w:r>
        <w:t>5.2.3</w:t>
      </w:r>
      <w:r>
        <w:tab/>
        <w:t>Sur les indicateurs de vitesse destinés à être montés sur des véhicules des catégories L</w:t>
      </w:r>
      <w:r>
        <w:rPr>
          <w:vertAlign w:val="subscript"/>
        </w:rPr>
        <w:t>1</w:t>
      </w:r>
      <w:r>
        <w:t xml:space="preserve"> (cyclomoteurs), L</w:t>
      </w:r>
      <w:r>
        <w:rPr>
          <w:vertAlign w:val="subscript"/>
        </w:rPr>
        <w:t>2</w:t>
      </w:r>
      <w:r>
        <w:t xml:space="preserve"> et L</w:t>
      </w:r>
      <w:r>
        <w:rPr>
          <w:vertAlign w:val="subscript"/>
        </w:rPr>
        <w:t>6</w:t>
      </w:r>
      <w:r>
        <w:t>, les valeurs indiquées sur l</w:t>
      </w:r>
      <w:r w:rsidR="004B49A6">
        <w:t>’</w:t>
      </w:r>
      <w:r>
        <w:t>afficheur ne doivent pas être supérieures à 80 km/h. L</w:t>
      </w:r>
      <w:r w:rsidR="004B49A6">
        <w:t>’</w:t>
      </w:r>
      <w:r>
        <w:t>intervalle entre deux graduations doit correspondre à 1, 2, 5 ou 10 km/h et l</w:t>
      </w:r>
      <w:r w:rsidR="004B49A6">
        <w:t>’</w:t>
      </w:r>
      <w:r>
        <w:t xml:space="preserve">intervalle entre les valeurs numériques </w:t>
      </w:r>
      <w:r>
        <w:lastRenderedPageBreak/>
        <w:t>inscrites ne doit pas être supérieur à 10 km/h. L</w:t>
      </w:r>
      <w:r w:rsidR="004B49A6">
        <w:t>’</w:t>
      </w:r>
      <w:r>
        <w:t>intervalle entre les valeurs numériques inscrites ne doit pas nécessairement être uniforme.</w:t>
      </w:r>
    </w:p>
    <w:p w14:paraId="3D7E3BE1" w14:textId="3DECF67E" w:rsidR="0083199D" w:rsidRPr="00FF5113" w:rsidRDefault="0083199D" w:rsidP="0083199D">
      <w:pPr>
        <w:pStyle w:val="para"/>
      </w:pPr>
      <w:r>
        <w:t>5.2.4</w:t>
      </w:r>
      <w:r>
        <w:tab/>
        <w:t>Sur les indicateurs de vitesse destinés à être montés sur des véhicules des catégories L</w:t>
      </w:r>
      <w:r w:rsidRPr="00C45EC4">
        <w:rPr>
          <w:vertAlign w:val="subscript"/>
        </w:rPr>
        <w:t>1</w:t>
      </w:r>
      <w:r>
        <w:t>, L</w:t>
      </w:r>
      <w:r w:rsidRPr="00C45EC4">
        <w:rPr>
          <w:vertAlign w:val="subscript"/>
        </w:rPr>
        <w:t>2</w:t>
      </w:r>
      <w:r>
        <w:t xml:space="preserve"> et L</w:t>
      </w:r>
      <w:r w:rsidRPr="00C45EC4">
        <w:rPr>
          <w:vertAlign w:val="subscript"/>
        </w:rPr>
        <w:t xml:space="preserve">6 </w:t>
      </w:r>
      <w:r>
        <w:t>construits pour être vendus dans un pays utilisant les unités de mesure anglo-saxonnes, l</w:t>
      </w:r>
      <w:r w:rsidR="004B49A6">
        <w:t>’</w:t>
      </w:r>
      <w:r>
        <w:t>indicateur de vitesse doit également indiquer les miles par heure (</w:t>
      </w:r>
      <w:proofErr w:type="spellStart"/>
      <w:r>
        <w:t>mph</w:t>
      </w:r>
      <w:proofErr w:type="spellEnd"/>
      <w:r>
        <w:t>) ; l</w:t>
      </w:r>
      <w:r w:rsidR="004B49A6">
        <w:t>’</w:t>
      </w:r>
      <w:r>
        <w:t xml:space="preserve">intervalle entre deux graduations doit correspondre à 1, 2, 5 ou 10 </w:t>
      </w:r>
      <w:proofErr w:type="spellStart"/>
      <w:r>
        <w:t>mph</w:t>
      </w:r>
      <w:proofErr w:type="spellEnd"/>
      <w:r>
        <w:t>. Quant à l</w:t>
      </w:r>
      <w:r w:rsidR="004B49A6">
        <w:t>’</w:t>
      </w:r>
      <w:r>
        <w:t>intervalle entre les valeurs inscrites sur l</w:t>
      </w:r>
      <w:r w:rsidR="004B49A6">
        <w:t>’</w:t>
      </w:r>
      <w:r>
        <w:t xml:space="preserve">afficheur, il ne doit pas être supérieur à 10 </w:t>
      </w:r>
      <w:proofErr w:type="spellStart"/>
      <w:r>
        <w:t>mph</w:t>
      </w:r>
      <w:proofErr w:type="spellEnd"/>
      <w:r>
        <w:t xml:space="preserve">, et la première valeur indiquée doit être 10 ou 20 </w:t>
      </w:r>
      <w:proofErr w:type="spellStart"/>
      <w:r>
        <w:t>mph</w:t>
      </w:r>
      <w:proofErr w:type="spellEnd"/>
      <w:r>
        <w:t>. L</w:t>
      </w:r>
      <w:r w:rsidR="004B49A6">
        <w:t>’</w:t>
      </w:r>
      <w:r>
        <w:t xml:space="preserve">intervalle entre les valeurs numériques inscrites ne doit pas nécessairement être uniforme. Si la configuration permet au conducteur de choisir que la vitesse soit affichée en km/h ou en </w:t>
      </w:r>
      <w:proofErr w:type="spellStart"/>
      <w:r>
        <w:t>mph</w:t>
      </w:r>
      <w:proofErr w:type="spellEnd"/>
      <w:r>
        <w:t xml:space="preserve"> elle ne peut l</w:t>
      </w:r>
      <w:r w:rsidR="004B49A6">
        <w:t>’</w:t>
      </w:r>
      <w:r>
        <w:t>être que dans l</w:t>
      </w:r>
      <w:r w:rsidR="004B49A6">
        <w:t>’</w:t>
      </w:r>
      <w:r>
        <w:t>une des deux unités à la fois. L</w:t>
      </w:r>
      <w:r w:rsidR="004B49A6">
        <w:t>’</w:t>
      </w:r>
      <w:r>
        <w:t>unité correspondante doit être affichée de manière permanente.</w:t>
      </w:r>
    </w:p>
    <w:p w14:paraId="2ECBED2C" w14:textId="6E7CD928" w:rsidR="0083199D" w:rsidRPr="00FF5113" w:rsidRDefault="0083199D" w:rsidP="0083199D">
      <w:pPr>
        <w:pStyle w:val="para"/>
      </w:pPr>
      <w:r>
        <w:t>5.3</w:t>
      </w:r>
      <w:r>
        <w:tab/>
        <w:t>La précision de l</w:t>
      </w:r>
      <w:r w:rsidR="004B49A6">
        <w:t>’</w:t>
      </w:r>
      <w:r>
        <w:t>indicateur de vitesse doit être contrôlée conformément à la procédure ci-après :</w:t>
      </w:r>
    </w:p>
    <w:p w14:paraId="605680EE" w14:textId="33CEF44B" w:rsidR="0083199D" w:rsidRPr="00FF5113" w:rsidRDefault="0083199D" w:rsidP="0083199D">
      <w:pPr>
        <w:pStyle w:val="para"/>
      </w:pPr>
      <w:r>
        <w:t>5.3.1</w:t>
      </w:r>
      <w:r>
        <w:tab/>
        <w:t>Les pneumatiques doivent être d</w:t>
      </w:r>
      <w:r w:rsidR="004B49A6">
        <w:t>’</w:t>
      </w:r>
      <w:r>
        <w:t>un type de monte normale sur le véhicule selon la définition du paragraphe 2.3 du présent Règlement. Un essai doit être effectué pour chaque type d</w:t>
      </w:r>
      <w:r w:rsidR="004B49A6">
        <w:t>’</w:t>
      </w:r>
      <w:r>
        <w:t>indicateur de vitesse dont le montage est prévu par le constructeur.</w:t>
      </w:r>
    </w:p>
    <w:p w14:paraId="719D2364" w14:textId="07C84498" w:rsidR="0083199D" w:rsidRPr="00FF5113" w:rsidRDefault="0083199D" w:rsidP="0083199D">
      <w:pPr>
        <w:pStyle w:val="para"/>
      </w:pPr>
      <w:r>
        <w:t>5.3.2</w:t>
      </w:r>
      <w:r>
        <w:tab/>
        <w:t>Aux fins de l</w:t>
      </w:r>
      <w:r w:rsidR="004B49A6">
        <w:t>’</w:t>
      </w:r>
      <w:r>
        <w:t>essai, la masse du véhicule doit correspondre au véhicule à vide. Le véhicule peut être lesté au besoin. La masse du véhicule et la répartition de cette masse entre les essieux doivent être indiquées sur la fiche de communication (voir annexe 1, point 7) ;</w:t>
      </w:r>
    </w:p>
    <w:p w14:paraId="3463B9FA" w14:textId="4468A3F7" w:rsidR="0083199D" w:rsidRPr="00FF5113" w:rsidRDefault="0083199D" w:rsidP="0083199D">
      <w:pPr>
        <w:pStyle w:val="para"/>
      </w:pPr>
      <w:r>
        <w:t>5.3.3</w:t>
      </w:r>
      <w:r>
        <w:tab/>
        <w:t>La température de référence à l</w:t>
      </w:r>
      <w:r w:rsidR="004B49A6">
        <w:t>’</w:t>
      </w:r>
      <w:r>
        <w:t>emplacement de l</w:t>
      </w:r>
      <w:r w:rsidR="004B49A6">
        <w:t>’</w:t>
      </w:r>
      <w:r>
        <w:t xml:space="preserve">indicateur de vitesse doit être de 23 </w:t>
      </w:r>
      <w:r w:rsidRPr="000D73A2">
        <w:rPr>
          <w:strike/>
          <w:lang w:val="en-GB"/>
        </w:rPr>
        <w:sym w:font="Symbol" w:char="F022"/>
      </w:r>
      <w:r>
        <w:t xml:space="preserve"> </w:t>
      </w:r>
      <w:r w:rsidR="00517372">
        <w:rPr>
          <w:b/>
          <w:bCs/>
        </w:rPr>
        <w:sym w:font="Symbol" w:char="F0B1"/>
      </w:r>
      <w:r>
        <w:t xml:space="preserve"> 5 °C </w:t>
      </w:r>
      <w:r>
        <w:rPr>
          <w:b/>
          <w:bCs/>
        </w:rPr>
        <w:t xml:space="preserve">si le service technique chargé des essais estime que ce paramètre est pertinent </w:t>
      </w:r>
      <w:r>
        <w:t>;</w:t>
      </w:r>
    </w:p>
    <w:p w14:paraId="70E26F07" w14:textId="77777777" w:rsidR="0083199D" w:rsidRPr="00FF5113" w:rsidRDefault="0083199D" w:rsidP="0083199D">
      <w:pPr>
        <w:pStyle w:val="para"/>
      </w:pPr>
      <w:r>
        <w:t>5.3.4</w:t>
      </w:r>
      <w:r>
        <w:tab/>
        <w:t>Lors de chaque essai, la pression des pneumatiques doit être la pression normale de marche définie au paragraphe 2.4 ;</w:t>
      </w:r>
    </w:p>
    <w:p w14:paraId="39CA5D20" w14:textId="384D0D17" w:rsidR="0083199D" w:rsidRDefault="0083199D" w:rsidP="0083199D">
      <w:pPr>
        <w:pStyle w:val="para"/>
      </w:pPr>
      <w:r>
        <w:t>5.3.5</w:t>
      </w:r>
      <w:r>
        <w:tab/>
        <w:t>Le véhicule sera soumis à l</w:t>
      </w:r>
      <w:r w:rsidR="004B49A6">
        <w:t>’</w:t>
      </w:r>
      <w:r>
        <w:t>essai aux vitesses indiquées dans le tableau ci</w:t>
      </w:r>
      <w:r w:rsidR="00B13B7C">
        <w:noBreakHyphen/>
      </w:r>
      <w:r>
        <w:t>dessous :</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3259"/>
        <w:gridCol w:w="4111"/>
      </w:tblGrid>
      <w:tr w:rsidR="00B13B7C" w:rsidRPr="00B13B7C" w14:paraId="18BFDD79" w14:textId="77777777" w:rsidTr="00B13B7C">
        <w:trPr>
          <w:tblHeader/>
        </w:trPr>
        <w:tc>
          <w:tcPr>
            <w:tcW w:w="3259" w:type="dxa"/>
            <w:tcBorders>
              <w:top w:val="single" w:sz="4" w:space="0" w:color="auto"/>
              <w:left w:val="single" w:sz="2" w:space="0" w:color="auto"/>
              <w:bottom w:val="single" w:sz="12" w:space="0" w:color="auto"/>
              <w:right w:val="single" w:sz="2" w:space="0" w:color="auto"/>
            </w:tcBorders>
            <w:shd w:val="clear" w:color="auto" w:fill="auto"/>
            <w:vAlign w:val="bottom"/>
          </w:tcPr>
          <w:p w14:paraId="2C3B7EA1" w14:textId="42ECE1A9" w:rsidR="00B13B7C" w:rsidRPr="00B13B7C" w:rsidRDefault="00B13B7C" w:rsidP="00B13B7C">
            <w:pPr>
              <w:suppressAutoHyphens w:val="0"/>
              <w:spacing w:before="80" w:after="80" w:line="200" w:lineRule="exact"/>
              <w:ind w:left="57" w:right="57"/>
              <w:rPr>
                <w:i/>
                <w:sz w:val="16"/>
                <w:szCs w:val="16"/>
              </w:rPr>
            </w:pPr>
            <w:r w:rsidRPr="00B13B7C">
              <w:rPr>
                <w:i/>
                <w:sz w:val="16"/>
                <w:lang w:val="fr-FR"/>
              </w:rPr>
              <w:t>Vitesse maximale déclarée par le constructeur (Vmax) (km/h)</w:t>
            </w:r>
          </w:p>
        </w:tc>
        <w:tc>
          <w:tcPr>
            <w:tcW w:w="4111" w:type="dxa"/>
            <w:tcBorders>
              <w:top w:val="single" w:sz="4" w:space="0" w:color="auto"/>
              <w:left w:val="single" w:sz="2" w:space="0" w:color="auto"/>
              <w:bottom w:val="single" w:sz="12" w:space="0" w:color="auto"/>
              <w:right w:val="single" w:sz="2" w:space="0" w:color="auto"/>
            </w:tcBorders>
            <w:shd w:val="clear" w:color="auto" w:fill="auto"/>
            <w:vAlign w:val="bottom"/>
          </w:tcPr>
          <w:p w14:paraId="0175A176" w14:textId="233DF969" w:rsidR="00B13B7C" w:rsidRPr="00B13B7C" w:rsidRDefault="00B13B7C" w:rsidP="00B13B7C">
            <w:pPr>
              <w:suppressAutoHyphens w:val="0"/>
              <w:spacing w:before="80" w:after="80" w:line="200" w:lineRule="exact"/>
              <w:ind w:left="57" w:right="57"/>
              <w:rPr>
                <w:i/>
                <w:sz w:val="16"/>
                <w:szCs w:val="16"/>
              </w:rPr>
            </w:pPr>
            <w:r w:rsidRPr="00B13B7C">
              <w:rPr>
                <w:i/>
                <w:sz w:val="16"/>
                <w:lang w:val="fr-FR"/>
              </w:rPr>
              <w:t>Vitesse d</w:t>
            </w:r>
            <w:r w:rsidR="004B49A6">
              <w:rPr>
                <w:i/>
                <w:sz w:val="16"/>
                <w:lang w:val="fr-FR"/>
              </w:rPr>
              <w:t>’</w:t>
            </w:r>
            <w:r w:rsidRPr="00B13B7C">
              <w:rPr>
                <w:i/>
                <w:sz w:val="16"/>
                <w:lang w:val="fr-FR"/>
              </w:rPr>
              <w:t>essai (V</w:t>
            </w:r>
            <w:r w:rsidRPr="00B13B7C">
              <w:rPr>
                <w:i/>
                <w:sz w:val="16"/>
                <w:vertAlign w:val="subscript"/>
                <w:lang w:val="fr-FR"/>
              </w:rPr>
              <w:t>1</w:t>
            </w:r>
            <w:r w:rsidRPr="00B13B7C">
              <w:rPr>
                <w:i/>
                <w:sz w:val="16"/>
                <w:lang w:val="fr-FR"/>
              </w:rPr>
              <w:t>) (km/h)</w:t>
            </w:r>
          </w:p>
        </w:tc>
      </w:tr>
      <w:tr w:rsidR="00B13B7C" w:rsidRPr="00FF5113" w14:paraId="1D36BF67" w14:textId="77777777" w:rsidTr="00B13B7C">
        <w:tc>
          <w:tcPr>
            <w:tcW w:w="3259" w:type="dxa"/>
            <w:tcBorders>
              <w:top w:val="single" w:sz="12" w:space="0" w:color="auto"/>
              <w:left w:val="single" w:sz="2" w:space="0" w:color="auto"/>
              <w:bottom w:val="nil"/>
              <w:right w:val="single" w:sz="2" w:space="0" w:color="auto"/>
            </w:tcBorders>
            <w:shd w:val="clear" w:color="auto" w:fill="auto"/>
            <w:tcMar>
              <w:left w:w="0" w:type="dxa"/>
            </w:tcMar>
          </w:tcPr>
          <w:p w14:paraId="13A027E1" w14:textId="77777777" w:rsidR="00B13B7C" w:rsidRPr="00FF5113" w:rsidRDefault="00B13B7C" w:rsidP="00B13B7C">
            <w:pPr>
              <w:suppressAutoHyphens w:val="0"/>
              <w:spacing w:before="40" w:after="120"/>
              <w:ind w:left="57" w:right="57"/>
              <w:jc w:val="both"/>
            </w:pPr>
            <w:r>
              <w:t>Vmax ≤ 45</w:t>
            </w:r>
          </w:p>
        </w:tc>
        <w:tc>
          <w:tcPr>
            <w:tcW w:w="4111" w:type="dxa"/>
            <w:tcBorders>
              <w:top w:val="single" w:sz="12" w:space="0" w:color="auto"/>
              <w:left w:val="single" w:sz="2" w:space="0" w:color="auto"/>
              <w:bottom w:val="nil"/>
              <w:right w:val="single" w:sz="2" w:space="0" w:color="auto"/>
            </w:tcBorders>
            <w:shd w:val="clear" w:color="auto" w:fill="auto"/>
            <w:tcMar>
              <w:left w:w="0" w:type="dxa"/>
              <w:right w:w="0" w:type="dxa"/>
            </w:tcMar>
          </w:tcPr>
          <w:p w14:paraId="02269535" w14:textId="1399BFCD" w:rsidR="00B13B7C" w:rsidRPr="00FF5113" w:rsidRDefault="00B13B7C" w:rsidP="00B13B7C">
            <w:pPr>
              <w:suppressAutoHyphens w:val="0"/>
              <w:spacing w:before="40" w:after="120"/>
              <w:ind w:left="57" w:right="57"/>
            </w:pPr>
            <w:r w:rsidRPr="00B13B7C">
              <w:rPr>
                <w:lang w:val="fr-FR"/>
              </w:rPr>
              <w:t>80 % Vmax</w:t>
            </w:r>
          </w:p>
        </w:tc>
      </w:tr>
      <w:tr w:rsidR="00B13B7C" w:rsidRPr="00B13B7C" w14:paraId="1C9C2F61" w14:textId="77777777" w:rsidTr="00B13B7C">
        <w:tc>
          <w:tcPr>
            <w:tcW w:w="3259" w:type="dxa"/>
            <w:tcBorders>
              <w:top w:val="nil"/>
              <w:left w:val="single" w:sz="2" w:space="0" w:color="auto"/>
              <w:bottom w:val="single" w:sz="2" w:space="0" w:color="auto"/>
              <w:right w:val="single" w:sz="2" w:space="0" w:color="auto"/>
            </w:tcBorders>
            <w:shd w:val="clear" w:color="auto" w:fill="auto"/>
            <w:tcMar>
              <w:left w:w="0" w:type="dxa"/>
            </w:tcMar>
          </w:tcPr>
          <w:p w14:paraId="58598389" w14:textId="7D671923" w:rsidR="00B13B7C" w:rsidRPr="00FF5113" w:rsidRDefault="00B13B7C" w:rsidP="00B13B7C">
            <w:pPr>
              <w:suppressAutoHyphens w:val="0"/>
              <w:spacing w:before="40" w:after="120"/>
              <w:ind w:left="57" w:right="57"/>
            </w:pPr>
            <w:r>
              <w:t>45 &lt; Vmax ≤</w:t>
            </w:r>
            <w:r w:rsidR="00517372">
              <w:t xml:space="preserve"> </w:t>
            </w:r>
            <w:r>
              <w:t>100</w:t>
            </w:r>
          </w:p>
        </w:tc>
        <w:tc>
          <w:tcPr>
            <w:tcW w:w="4111" w:type="dxa"/>
            <w:tcBorders>
              <w:top w:val="nil"/>
              <w:left w:val="single" w:sz="2" w:space="0" w:color="auto"/>
              <w:bottom w:val="single" w:sz="2" w:space="0" w:color="auto"/>
              <w:right w:val="single" w:sz="2" w:space="0" w:color="auto"/>
            </w:tcBorders>
            <w:shd w:val="clear" w:color="auto" w:fill="auto"/>
            <w:tcMar>
              <w:left w:w="0" w:type="dxa"/>
              <w:right w:w="0" w:type="dxa"/>
            </w:tcMar>
          </w:tcPr>
          <w:p w14:paraId="7D17FEF0" w14:textId="5353A949" w:rsidR="00B13B7C" w:rsidRPr="00B13B7C" w:rsidRDefault="00B13B7C" w:rsidP="00B13B7C">
            <w:pPr>
              <w:suppressAutoHyphens w:val="0"/>
              <w:spacing w:before="40" w:after="120"/>
              <w:ind w:left="57" w:right="57"/>
            </w:pPr>
            <w:r w:rsidRPr="00B13B7C">
              <w:rPr>
                <w:lang w:val="fr-FR"/>
              </w:rPr>
              <w:t>40 km/h et 80 % de Vmax (si la vitesse résultante est ≥55 km/h)</w:t>
            </w:r>
          </w:p>
        </w:tc>
      </w:tr>
      <w:tr w:rsidR="00B13B7C" w:rsidRPr="00B13B7C" w14:paraId="55DDF8A3" w14:textId="77777777" w:rsidTr="00B13B7C">
        <w:tc>
          <w:tcPr>
            <w:tcW w:w="3259" w:type="dxa"/>
            <w:tcBorders>
              <w:top w:val="single" w:sz="2" w:space="0" w:color="auto"/>
              <w:left w:val="single" w:sz="2" w:space="0" w:color="auto"/>
              <w:bottom w:val="nil"/>
              <w:right w:val="single" w:sz="2" w:space="0" w:color="auto"/>
            </w:tcBorders>
            <w:shd w:val="clear" w:color="auto" w:fill="auto"/>
            <w:tcMar>
              <w:left w:w="0" w:type="dxa"/>
            </w:tcMar>
          </w:tcPr>
          <w:p w14:paraId="2ED26F2F" w14:textId="77777777" w:rsidR="00B13B7C" w:rsidRPr="00FF5113" w:rsidRDefault="00B13B7C" w:rsidP="00B13B7C">
            <w:pPr>
              <w:suppressAutoHyphens w:val="0"/>
              <w:spacing w:before="40" w:after="120"/>
              <w:ind w:left="57" w:right="57"/>
            </w:pPr>
            <w:r>
              <w:t>100 &lt; Vmax ≤ 150</w:t>
            </w:r>
          </w:p>
        </w:tc>
        <w:tc>
          <w:tcPr>
            <w:tcW w:w="4111" w:type="dxa"/>
            <w:tcBorders>
              <w:top w:val="single" w:sz="2" w:space="0" w:color="auto"/>
              <w:left w:val="single" w:sz="2" w:space="0" w:color="auto"/>
              <w:bottom w:val="nil"/>
              <w:right w:val="single" w:sz="2" w:space="0" w:color="auto"/>
            </w:tcBorders>
            <w:shd w:val="clear" w:color="auto" w:fill="auto"/>
            <w:tcMar>
              <w:left w:w="0" w:type="dxa"/>
              <w:right w:w="0" w:type="dxa"/>
            </w:tcMar>
          </w:tcPr>
          <w:p w14:paraId="5A003AD6" w14:textId="40FC1BEF" w:rsidR="00B13B7C" w:rsidRPr="00B13B7C" w:rsidRDefault="00B13B7C" w:rsidP="00B13B7C">
            <w:pPr>
              <w:suppressAutoHyphens w:val="0"/>
              <w:spacing w:before="40" w:after="120"/>
              <w:ind w:left="57" w:right="57"/>
            </w:pPr>
            <w:r w:rsidRPr="00B13B7C">
              <w:rPr>
                <w:lang w:val="fr-FR"/>
              </w:rPr>
              <w:t>40 km/h, 80 km/h et 80 % de Vmax (si la vitesse résultante est ≥100 km/h)</w:t>
            </w:r>
          </w:p>
        </w:tc>
      </w:tr>
      <w:tr w:rsidR="00B13B7C" w:rsidRPr="00B13B7C" w14:paraId="15C1EA21" w14:textId="77777777" w:rsidTr="00B13B7C">
        <w:tc>
          <w:tcPr>
            <w:tcW w:w="3259" w:type="dxa"/>
            <w:tcBorders>
              <w:top w:val="nil"/>
              <w:left w:val="single" w:sz="2" w:space="0" w:color="auto"/>
              <w:bottom w:val="single" w:sz="12" w:space="0" w:color="auto"/>
              <w:right w:val="single" w:sz="2" w:space="0" w:color="auto"/>
            </w:tcBorders>
            <w:shd w:val="clear" w:color="auto" w:fill="auto"/>
            <w:tcMar>
              <w:left w:w="0" w:type="dxa"/>
            </w:tcMar>
          </w:tcPr>
          <w:p w14:paraId="3F985756" w14:textId="77777777" w:rsidR="00B13B7C" w:rsidRPr="00FF5113" w:rsidRDefault="00B13B7C" w:rsidP="00B13B7C">
            <w:pPr>
              <w:suppressAutoHyphens w:val="0"/>
              <w:spacing w:before="40" w:after="120"/>
              <w:ind w:left="57" w:right="57"/>
            </w:pPr>
            <w:r>
              <w:t>150 &lt; Vmax</w:t>
            </w:r>
          </w:p>
        </w:tc>
        <w:tc>
          <w:tcPr>
            <w:tcW w:w="4111" w:type="dxa"/>
            <w:tcBorders>
              <w:top w:val="nil"/>
              <w:left w:val="single" w:sz="2" w:space="0" w:color="auto"/>
              <w:bottom w:val="single" w:sz="12" w:space="0" w:color="auto"/>
              <w:right w:val="single" w:sz="2" w:space="0" w:color="auto"/>
            </w:tcBorders>
            <w:shd w:val="clear" w:color="auto" w:fill="auto"/>
            <w:tcMar>
              <w:left w:w="0" w:type="dxa"/>
              <w:right w:w="0" w:type="dxa"/>
            </w:tcMar>
          </w:tcPr>
          <w:p w14:paraId="525B5B14" w14:textId="7CF682B3" w:rsidR="00B13B7C" w:rsidRPr="00B13B7C" w:rsidRDefault="00B13B7C" w:rsidP="00B13B7C">
            <w:pPr>
              <w:suppressAutoHyphens w:val="0"/>
              <w:spacing w:before="40" w:after="120"/>
              <w:ind w:left="57" w:right="57"/>
              <w:rPr>
                <w:lang w:val="en-US"/>
              </w:rPr>
            </w:pPr>
            <w:r w:rsidRPr="00B13B7C">
              <w:rPr>
                <w:lang w:val="en-US"/>
              </w:rPr>
              <w:t>40 km/h, 80 km/h et 120 km/h</w:t>
            </w:r>
          </w:p>
        </w:tc>
      </w:tr>
    </w:tbl>
    <w:p w14:paraId="1359FA46" w14:textId="5FA8B8E9" w:rsidR="0083199D" w:rsidRPr="00FF5113" w:rsidRDefault="0083199D" w:rsidP="0083199D">
      <w:pPr>
        <w:pStyle w:val="para"/>
        <w:spacing w:before="120"/>
      </w:pPr>
      <w:r>
        <w:t>5.3.6</w:t>
      </w:r>
      <w:r>
        <w:tab/>
        <w:t>L</w:t>
      </w:r>
      <w:r w:rsidR="004B49A6">
        <w:t>’</w:t>
      </w:r>
      <w:r>
        <w:t>appareillage d</w:t>
      </w:r>
      <w:r w:rsidR="004B49A6">
        <w:t>’</w:t>
      </w:r>
      <w:r>
        <w:t xml:space="preserve">essai utilisé pour la mesure de la vitesse réelle du véhicule doit avoir une précision de </w:t>
      </w:r>
      <w:r w:rsidRPr="000D73A2">
        <w:rPr>
          <w:strike/>
          <w:lang w:val="en-GB"/>
        </w:rPr>
        <w:sym w:font="Symbol" w:char="F022"/>
      </w:r>
      <w:r w:rsidRPr="001B10CE">
        <w:rPr>
          <w:lang w:val="fr-CH"/>
        </w:rPr>
        <w:t xml:space="preserve"> </w:t>
      </w:r>
      <w:r w:rsidR="00B13B7C">
        <w:rPr>
          <w:b/>
          <w:bCs/>
        </w:rPr>
        <w:sym w:font="Symbol" w:char="F0B1"/>
      </w:r>
      <w:r>
        <w:t xml:space="preserve"> 0,5</w:t>
      </w:r>
      <w:r w:rsidR="00517372">
        <w:t> </w:t>
      </w:r>
      <w:r>
        <w:t>% ;</w:t>
      </w:r>
    </w:p>
    <w:p w14:paraId="7DE30AFF" w14:textId="77777777" w:rsidR="0083199D" w:rsidRPr="00FF5113" w:rsidRDefault="0083199D" w:rsidP="0083199D">
      <w:pPr>
        <w:pStyle w:val="para"/>
      </w:pPr>
      <w:r>
        <w:t>5.3.6.1</w:t>
      </w:r>
      <w:r>
        <w:tab/>
        <w:t>Si les essais ont lieu sur une piste, le revêtement de celle-ci doit être plan</w:t>
      </w:r>
      <w:r>
        <w:rPr>
          <w:strike/>
        </w:rPr>
        <w:t xml:space="preserve"> et sec</w:t>
      </w:r>
      <w:r w:rsidRPr="000D73A2">
        <w:rPr>
          <w:strike/>
        </w:rPr>
        <w:t>,</w:t>
      </w:r>
      <w:r>
        <w:t xml:space="preserve"> et avoir une adhérence suffisante ;</w:t>
      </w:r>
    </w:p>
    <w:p w14:paraId="0A29C1FD" w14:textId="640D35CD" w:rsidR="0083199D" w:rsidRPr="00FF5113" w:rsidRDefault="0083199D" w:rsidP="0083199D">
      <w:pPr>
        <w:pStyle w:val="para"/>
      </w:pPr>
      <w:r>
        <w:t>5.3.6.2</w:t>
      </w:r>
      <w:r>
        <w:tab/>
        <w:t>Si un banc dynamométrique à rouleaux est utilisé pour 1</w:t>
      </w:r>
      <w:r w:rsidR="004B49A6">
        <w:t>’</w:t>
      </w:r>
      <w:r>
        <w:t>essai, les rouleaux doivent avoir un diamètre d</w:t>
      </w:r>
      <w:r w:rsidR="004B49A6">
        <w:t>’</w:t>
      </w:r>
      <w:r>
        <w:t>au moins 0,4 m.</w:t>
      </w:r>
    </w:p>
    <w:p w14:paraId="7F03C95E" w14:textId="4D76FA72" w:rsidR="0083199D" w:rsidRPr="00FF5113" w:rsidRDefault="0083199D" w:rsidP="0040456F">
      <w:pPr>
        <w:pStyle w:val="para"/>
      </w:pPr>
      <w:r>
        <w:t>5.4</w:t>
      </w:r>
      <w:r>
        <w:tab/>
        <w:t>La vitesse affichée ne doit jamais être inférieure à la vitesse réelle du véhicule. Aux vitesses d</w:t>
      </w:r>
      <w:r w:rsidR="004B49A6">
        <w:t>’</w:t>
      </w:r>
      <w:r>
        <w:t>essai spécifiées au paragraphe 5.3.5 ci-dessus, la relation entre la vitesse affichée V</w:t>
      </w:r>
      <w:r>
        <w:rPr>
          <w:vertAlign w:val="subscript"/>
        </w:rPr>
        <w:t>1</w:t>
      </w:r>
      <w:r>
        <w:t xml:space="preserve"> et la vitesse réelle V</w:t>
      </w:r>
      <w:r>
        <w:rPr>
          <w:vertAlign w:val="subscript"/>
        </w:rPr>
        <w:t xml:space="preserve">2 </w:t>
      </w:r>
      <w:r>
        <w:t>doit être la suivante :</w:t>
      </w:r>
    </w:p>
    <w:p w14:paraId="4F511FC5" w14:textId="77777777" w:rsidR="0083199D" w:rsidRPr="001B10CE" w:rsidRDefault="0083199D" w:rsidP="0040456F">
      <w:pPr>
        <w:tabs>
          <w:tab w:val="left" w:pos="1248"/>
          <w:tab w:val="left" w:pos="6511"/>
          <w:tab w:val="left" w:pos="7701"/>
        </w:tabs>
        <w:suppressAutoHyphens w:val="0"/>
        <w:spacing w:before="120" w:after="120"/>
        <w:ind w:left="1247" w:hanging="1247"/>
        <w:jc w:val="center"/>
      </w:pPr>
      <w:r>
        <w:rPr>
          <w:lang w:val="fr-FR"/>
        </w:rPr>
        <w:t xml:space="preserve">0 </w:t>
      </w:r>
      <w:r w:rsidRPr="00FF5113">
        <w:sym w:font="Symbol" w:char="F0A3"/>
      </w:r>
      <w:r>
        <w:rPr>
          <w:lang w:val="fr-FR"/>
        </w:rPr>
        <w:t xml:space="preserve"> (V</w:t>
      </w:r>
      <w:r w:rsidRPr="000D73A2">
        <w:rPr>
          <w:vertAlign w:val="subscript"/>
          <w:lang w:val="fr-FR"/>
        </w:rPr>
        <w:t>1</w:t>
      </w:r>
      <w:r>
        <w:rPr>
          <w:lang w:val="fr-FR"/>
        </w:rPr>
        <w:t xml:space="preserve"> - V</w:t>
      </w:r>
      <w:r w:rsidRPr="000D73A2">
        <w:rPr>
          <w:vertAlign w:val="subscript"/>
          <w:lang w:val="fr-FR"/>
        </w:rPr>
        <w:t>2</w:t>
      </w:r>
      <w:r>
        <w:rPr>
          <w:lang w:val="fr-FR"/>
        </w:rPr>
        <w:t xml:space="preserve">) </w:t>
      </w:r>
      <w:r w:rsidRPr="00FF5113">
        <w:sym w:font="Symbol" w:char="F0A3"/>
      </w:r>
      <w:r>
        <w:rPr>
          <w:lang w:val="fr-FR"/>
        </w:rPr>
        <w:t xml:space="preserve"> 0,1 V</w:t>
      </w:r>
      <w:r w:rsidRPr="001B10CE">
        <w:rPr>
          <w:vertAlign w:val="subscript"/>
          <w:lang w:val="fr-FR"/>
        </w:rPr>
        <w:t>2</w:t>
      </w:r>
      <w:r>
        <w:rPr>
          <w:lang w:val="fr-FR"/>
        </w:rPr>
        <w:t xml:space="preserve"> + 4 km/h</w:t>
      </w:r>
    </w:p>
    <w:p w14:paraId="763CB5E2" w14:textId="77777777" w:rsidR="0083199D" w:rsidRPr="001B10CE" w:rsidRDefault="0083199D" w:rsidP="00517372">
      <w:pPr>
        <w:keepNext/>
        <w:tabs>
          <w:tab w:val="left" w:pos="2268"/>
        </w:tabs>
        <w:spacing w:after="120" w:line="240" w:lineRule="auto"/>
        <w:ind w:left="2268" w:right="1134" w:hanging="1134"/>
        <w:jc w:val="both"/>
        <w:rPr>
          <w:b/>
          <w:bCs/>
        </w:rPr>
      </w:pPr>
      <w:r>
        <w:rPr>
          <w:lang w:val="fr-FR"/>
        </w:rPr>
        <w:lastRenderedPageBreak/>
        <w:t>5.5</w:t>
      </w:r>
      <w:r>
        <w:rPr>
          <w:lang w:val="fr-FR"/>
        </w:rPr>
        <w:tab/>
      </w:r>
      <w:r>
        <w:rPr>
          <w:b/>
          <w:bCs/>
          <w:lang w:val="fr-FR"/>
        </w:rPr>
        <w:t>Compteur kilométrique</w:t>
      </w:r>
    </w:p>
    <w:p w14:paraId="121A9FD5" w14:textId="5A9BB9BE" w:rsidR="0083199D" w:rsidRPr="001B10CE" w:rsidRDefault="0083199D" w:rsidP="0040456F">
      <w:pPr>
        <w:tabs>
          <w:tab w:val="left" w:pos="2268"/>
        </w:tabs>
        <w:spacing w:after="120" w:line="240" w:lineRule="auto"/>
        <w:ind w:left="2268" w:right="1134"/>
        <w:jc w:val="both"/>
      </w:pPr>
      <w:r>
        <w:rPr>
          <w:lang w:val="fr-FR"/>
        </w:rPr>
        <w:tab/>
        <w:t>L</w:t>
      </w:r>
      <w:r w:rsidR="004B49A6">
        <w:rPr>
          <w:lang w:val="fr-FR"/>
        </w:rPr>
        <w:t>’</w:t>
      </w:r>
      <w:r>
        <w:rPr>
          <w:lang w:val="fr-FR"/>
        </w:rPr>
        <w:t>afficheur du compteur kilométrique doit être visible ou accessible pour le conducteur. Il doit pouvoir afficher un nombre entier à six chiffres au moins pour les véhicules des catégories M et N, et à cinq chiffres au moins pour les véhicules de la catégorie L. Les autorités d</w:t>
      </w:r>
      <w:r w:rsidR="004B49A6">
        <w:rPr>
          <w:lang w:val="fr-FR"/>
        </w:rPr>
        <w:t>’</w:t>
      </w:r>
      <w:r>
        <w:rPr>
          <w:lang w:val="fr-FR"/>
        </w:rPr>
        <w:t>homologation de type peuvent néanmoins accepter un nombre entier à cinq chiffres pour les véhicules des catégories M et N aussi, pourvu que l</w:t>
      </w:r>
      <w:r w:rsidR="004B49A6">
        <w:rPr>
          <w:lang w:val="fr-FR"/>
        </w:rPr>
        <w:t>’</w:t>
      </w:r>
      <w:r>
        <w:rPr>
          <w:lang w:val="fr-FR"/>
        </w:rPr>
        <w:t>usage prévu pour le véhicule justifie ce choix.</w:t>
      </w:r>
    </w:p>
    <w:p w14:paraId="22726441" w14:textId="77777777" w:rsidR="0083199D" w:rsidRPr="00FF5113" w:rsidRDefault="0083199D" w:rsidP="0083199D">
      <w:pPr>
        <w:pStyle w:val="para"/>
      </w:pPr>
      <w:r>
        <w:t>5.5.1</w:t>
      </w:r>
      <w:r>
        <w:tab/>
        <w:t>Sur les véhicules destinés à être vendus dans des pays utilisant les unités de mesure anglo-saxonnes, le compteur kilométrique doit être gradué en miles.</w:t>
      </w:r>
    </w:p>
    <w:p w14:paraId="197CDC18" w14:textId="4E59DF51" w:rsidR="0083199D" w:rsidRPr="00FF5113" w:rsidRDefault="0083199D" w:rsidP="0083199D">
      <w:pPr>
        <w:pStyle w:val="para"/>
        <w:rPr>
          <w:bCs/>
        </w:rPr>
      </w:pPr>
      <w:r>
        <w:t>5.5.2</w:t>
      </w:r>
      <w:r>
        <w:tab/>
        <w:t>Le compteur kilométrique doit afficher la distance parcourue dans l</w:t>
      </w:r>
      <w:r w:rsidR="004B49A6">
        <w:t>’</w:t>
      </w:r>
      <w:r>
        <w:t>unité correspondant à celle de la graduation principale de l</w:t>
      </w:r>
      <w:r w:rsidR="004B49A6">
        <w:t>’</w:t>
      </w:r>
      <w:r>
        <w:t>indicateur de vitesse. Si la configuration permet au conducteur de choisir d</w:t>
      </w:r>
      <w:r w:rsidR="004B49A6">
        <w:t>’</w:t>
      </w:r>
      <w:r>
        <w:t>afficher la distance en kilomètres ou en miles indépendamment de l</w:t>
      </w:r>
      <w:r w:rsidR="004B49A6">
        <w:t>’</w:t>
      </w:r>
      <w:r>
        <w:t>unité de l</w:t>
      </w:r>
      <w:r w:rsidR="004B49A6">
        <w:t>’</w:t>
      </w:r>
      <w:r>
        <w:t>indicateur de vitesse, l</w:t>
      </w:r>
      <w:r w:rsidR="004B49A6">
        <w:t>’</w:t>
      </w:r>
      <w:r>
        <w:t>unité doit être indiquée sur le compteur kilométrique.</w:t>
      </w:r>
    </w:p>
    <w:p w14:paraId="66144D53" w14:textId="0EBC954D" w:rsidR="0083199D" w:rsidRPr="00FF5113" w:rsidRDefault="0083199D" w:rsidP="0083199D">
      <w:pPr>
        <w:pStyle w:val="para"/>
        <w:rPr>
          <w:b/>
          <w:bCs/>
        </w:rPr>
      </w:pPr>
      <w:r>
        <w:rPr>
          <w:b/>
          <w:bCs/>
        </w:rPr>
        <w:t>5.6</w:t>
      </w:r>
      <w:r>
        <w:tab/>
      </w:r>
      <w:r>
        <w:rPr>
          <w:b/>
          <w:bCs/>
        </w:rPr>
        <w:t xml:space="preserve">Compteur kilométrique </w:t>
      </w:r>
      <w:r w:rsidR="0040456F">
        <w:rPr>
          <w:b/>
          <w:bCs/>
          <w:lang w:val="fr-CH" w:eastAsia="ar-SA"/>
        </w:rPr>
        <w:t>−</w:t>
      </w:r>
      <w:r w:rsidRPr="001B10CE">
        <w:rPr>
          <w:b/>
          <w:bCs/>
          <w:lang w:val="fr-CH" w:eastAsia="ar-SA"/>
        </w:rPr>
        <w:t xml:space="preserve"> </w:t>
      </w:r>
      <w:r>
        <w:rPr>
          <w:b/>
          <w:bCs/>
        </w:rPr>
        <w:t>Précision</w:t>
      </w:r>
    </w:p>
    <w:p w14:paraId="33E7435E" w14:textId="677627AD" w:rsidR="0083199D" w:rsidRPr="00FF5113" w:rsidRDefault="0083199D" w:rsidP="0040456F">
      <w:pPr>
        <w:pStyle w:val="para"/>
        <w:ind w:firstLine="0"/>
        <w:rPr>
          <w:b/>
          <w:bCs/>
        </w:rPr>
      </w:pPr>
      <w:r>
        <w:tab/>
      </w:r>
      <w:r>
        <w:rPr>
          <w:b/>
          <w:bCs/>
        </w:rPr>
        <w:t>Les paragraphes 5.7 à 5.9, 5.11 et 5.12 ne s</w:t>
      </w:r>
      <w:r w:rsidR="004B49A6">
        <w:rPr>
          <w:b/>
          <w:bCs/>
        </w:rPr>
        <w:t>’</w:t>
      </w:r>
      <w:r>
        <w:rPr>
          <w:b/>
          <w:bCs/>
        </w:rPr>
        <w:t>appliquent pas aux véhicules équipés de compteurs kilométriques entièrement mécaniques.</w:t>
      </w:r>
    </w:p>
    <w:p w14:paraId="4A103B4C" w14:textId="4B72849D" w:rsidR="0083199D" w:rsidRPr="00FF5113" w:rsidRDefault="0083199D" w:rsidP="0083199D">
      <w:pPr>
        <w:pStyle w:val="para"/>
        <w:ind w:firstLine="0"/>
        <w:rPr>
          <w:b/>
          <w:bCs/>
        </w:rPr>
      </w:pPr>
      <w:r>
        <w:rPr>
          <w:b/>
          <w:bCs/>
        </w:rPr>
        <w:t>Les paragraphes 5.9, 5.11 et 5.12 ne s</w:t>
      </w:r>
      <w:r w:rsidR="004B49A6">
        <w:rPr>
          <w:b/>
          <w:bCs/>
        </w:rPr>
        <w:t>’</w:t>
      </w:r>
      <w:r>
        <w:rPr>
          <w:b/>
          <w:bCs/>
        </w:rPr>
        <w:t>appliquent pas aux véhicules de la catégorie L.</w:t>
      </w:r>
    </w:p>
    <w:p w14:paraId="6BBFBDC1" w14:textId="763136F3" w:rsidR="0083199D" w:rsidRPr="00FF5113" w:rsidRDefault="0083199D" w:rsidP="0040456F">
      <w:pPr>
        <w:pStyle w:val="para"/>
        <w:ind w:firstLine="0"/>
        <w:rPr>
          <w:b/>
          <w:bCs/>
          <w:u w:val="single"/>
        </w:rPr>
      </w:pPr>
      <w:r>
        <w:tab/>
      </w:r>
      <w:r>
        <w:rPr>
          <w:b/>
          <w:bCs/>
        </w:rPr>
        <w:t>Pour les véhicules équipés d</w:t>
      </w:r>
      <w:r w:rsidR="004B49A6">
        <w:rPr>
          <w:b/>
          <w:bCs/>
        </w:rPr>
        <w:t>’</w:t>
      </w:r>
      <w:r>
        <w:rPr>
          <w:b/>
          <w:bCs/>
        </w:rPr>
        <w:t>un tachygraphe ou d</w:t>
      </w:r>
      <w:r w:rsidR="004B49A6">
        <w:rPr>
          <w:b/>
          <w:bCs/>
        </w:rPr>
        <w:t>’</w:t>
      </w:r>
      <w:r>
        <w:rPr>
          <w:b/>
          <w:bCs/>
        </w:rPr>
        <w:t>un appareil de contrôle, ou lorsque l</w:t>
      </w:r>
      <w:r w:rsidR="004B49A6">
        <w:rPr>
          <w:b/>
          <w:bCs/>
        </w:rPr>
        <w:t>’</w:t>
      </w:r>
      <w:r>
        <w:rPr>
          <w:b/>
          <w:bCs/>
        </w:rPr>
        <w:t>unité de remplacement du tachygraphe est le seul moyen de mesurer le kilométrage, les prescriptions des paragraphes 5.7 à 5.9 et 5.12 sont réputées satisfaites si la sécurité et la précision de l</w:t>
      </w:r>
      <w:r w:rsidR="004B49A6">
        <w:rPr>
          <w:b/>
          <w:bCs/>
        </w:rPr>
        <w:t>’</w:t>
      </w:r>
      <w:r>
        <w:rPr>
          <w:b/>
          <w:bCs/>
        </w:rPr>
        <w:t>appareil de contrôle sont au moins équivalentes à celles exigées par les prescriptions du présent Règlement ONU.</w:t>
      </w:r>
    </w:p>
    <w:p w14:paraId="35DF8B93" w14:textId="5B8F7370" w:rsidR="0083199D" w:rsidRPr="00FF5113" w:rsidRDefault="0083199D" w:rsidP="0083199D">
      <w:pPr>
        <w:pStyle w:val="para"/>
        <w:rPr>
          <w:b/>
          <w:bCs/>
        </w:rPr>
      </w:pPr>
      <w:bookmarkStart w:id="15" w:name="_Hlk162340570"/>
      <w:r>
        <w:rPr>
          <w:b/>
          <w:bCs/>
        </w:rPr>
        <w:t>5.7</w:t>
      </w:r>
      <w:r>
        <w:tab/>
      </w:r>
      <w:r>
        <w:rPr>
          <w:b/>
          <w:bCs/>
        </w:rPr>
        <w:t>La précision du compteur kilométrique doit être contrôlée conformément à la procédure d</w:t>
      </w:r>
      <w:r w:rsidR="004B49A6">
        <w:rPr>
          <w:b/>
          <w:bCs/>
        </w:rPr>
        <w:t>’</w:t>
      </w:r>
      <w:r>
        <w:rPr>
          <w:b/>
          <w:bCs/>
        </w:rPr>
        <w:t>essai prescrite à l</w:t>
      </w:r>
      <w:r w:rsidR="004B49A6">
        <w:rPr>
          <w:b/>
          <w:bCs/>
        </w:rPr>
        <w:t>’</w:t>
      </w:r>
      <w:r>
        <w:rPr>
          <w:b/>
          <w:bCs/>
        </w:rPr>
        <w:t>annexe 4.</w:t>
      </w:r>
    </w:p>
    <w:p w14:paraId="5BFA66FC" w14:textId="5730DF33" w:rsidR="0083199D" w:rsidRPr="00FF5113" w:rsidRDefault="0083199D" w:rsidP="0083199D">
      <w:pPr>
        <w:pStyle w:val="para"/>
        <w:rPr>
          <w:b/>
          <w:bCs/>
        </w:rPr>
      </w:pPr>
      <w:r>
        <w:rPr>
          <w:b/>
          <w:bCs/>
        </w:rPr>
        <w:t>5.8</w:t>
      </w:r>
      <w:r>
        <w:tab/>
      </w:r>
      <w:r>
        <w:rPr>
          <w:b/>
          <w:bCs/>
        </w:rPr>
        <w:t>La distance totale indiquée ne doit pas s</w:t>
      </w:r>
      <w:r w:rsidR="004B49A6">
        <w:rPr>
          <w:b/>
          <w:bCs/>
        </w:rPr>
        <w:t>’</w:t>
      </w:r>
      <w:r>
        <w:rPr>
          <w:b/>
          <w:bCs/>
        </w:rPr>
        <w:t>écarter de plus de [</w:t>
      </w:r>
      <w:r w:rsidR="0040456F" w:rsidRPr="0040456F">
        <w:rPr>
          <w:b/>
          <w:bCs/>
        </w:rPr>
        <w:sym w:font="Symbol" w:char="F0B1"/>
      </w:r>
      <w:r>
        <w:rPr>
          <w:b/>
          <w:bCs/>
        </w:rPr>
        <w:t>5,0/</w:t>
      </w:r>
      <w:r w:rsidR="00B935A8">
        <w:rPr>
          <w:b/>
          <w:bCs/>
        </w:rPr>
        <w:sym w:font="Symbol" w:char="F0B1"/>
      </w:r>
      <w:r>
        <w:rPr>
          <w:b/>
          <w:bCs/>
        </w:rPr>
        <w:t>4,0/</w:t>
      </w:r>
      <w:r w:rsidR="0040456F">
        <w:rPr>
          <w:b/>
          <w:bCs/>
        </w:rPr>
        <w:sym w:font="Symbol" w:char="F0B1"/>
      </w:r>
      <w:r>
        <w:rPr>
          <w:b/>
          <w:bCs/>
        </w:rPr>
        <w:t>2,5]</w:t>
      </w:r>
      <w:r w:rsidR="0040456F">
        <w:rPr>
          <w:b/>
          <w:bCs/>
        </w:rPr>
        <w:t> </w:t>
      </w:r>
      <w:r>
        <w:rPr>
          <w:b/>
          <w:bCs/>
        </w:rPr>
        <w:t>% de la distance réelle parcourue telle qu</w:t>
      </w:r>
      <w:r w:rsidR="004B49A6">
        <w:rPr>
          <w:b/>
          <w:bCs/>
        </w:rPr>
        <w:t>’</w:t>
      </w:r>
      <w:r>
        <w:rPr>
          <w:b/>
          <w:bCs/>
        </w:rPr>
        <w:t>elle est déterminée au paragraphe 5.7.</w:t>
      </w:r>
    </w:p>
    <w:p w14:paraId="304DB08F" w14:textId="23DCF8FD" w:rsidR="0083199D" w:rsidRPr="00FF5113" w:rsidRDefault="0083199D" w:rsidP="0083199D">
      <w:pPr>
        <w:pStyle w:val="para"/>
        <w:rPr>
          <w:b/>
          <w:bCs/>
        </w:rPr>
      </w:pPr>
      <w:r>
        <w:rPr>
          <w:b/>
          <w:bCs/>
        </w:rPr>
        <w:t>5.9</w:t>
      </w:r>
      <w:r>
        <w:tab/>
      </w:r>
      <w:r>
        <w:rPr>
          <w:b/>
          <w:bCs/>
        </w:rPr>
        <w:t>Lorsque les valeurs de la distance totale sont fournies par le port série du connecteur de diagnostic normalisé, comme indiqué au paragraphe 6.5.3 de l</w:t>
      </w:r>
      <w:r w:rsidR="004B49A6">
        <w:rPr>
          <w:b/>
          <w:bCs/>
        </w:rPr>
        <w:t>’</w:t>
      </w:r>
      <w:r>
        <w:rPr>
          <w:b/>
          <w:bCs/>
        </w:rPr>
        <w:t>appendice 1 de l</w:t>
      </w:r>
      <w:r w:rsidR="004B49A6">
        <w:rPr>
          <w:b/>
          <w:bCs/>
        </w:rPr>
        <w:t>’</w:t>
      </w:r>
      <w:r>
        <w:rPr>
          <w:b/>
          <w:bCs/>
        </w:rPr>
        <w:t xml:space="preserve">annexe C5 du Règlement ONU </w:t>
      </w:r>
      <w:r w:rsidR="0040456F" w:rsidRPr="0040456F">
        <w:rPr>
          <w:rFonts w:eastAsia="MS Mincho"/>
          <w:b/>
          <w:bCs/>
          <w:szCs w:val="22"/>
        </w:rPr>
        <w:t>n</w:t>
      </w:r>
      <w:r w:rsidR="0040456F" w:rsidRPr="0040456F">
        <w:rPr>
          <w:rFonts w:eastAsia="MS Mincho"/>
          <w:b/>
          <w:bCs/>
          <w:szCs w:val="22"/>
          <w:vertAlign w:val="superscript"/>
        </w:rPr>
        <w:t>o</w:t>
      </w:r>
      <w:r w:rsidR="0040456F">
        <w:rPr>
          <w:b/>
          <w:bCs/>
        </w:rPr>
        <w:t> </w:t>
      </w:r>
      <w:r>
        <w:rPr>
          <w:b/>
          <w:bCs/>
        </w:rPr>
        <w:t>154 ou au paragraphe 4.7.3 de l</w:t>
      </w:r>
      <w:r w:rsidR="004B49A6">
        <w:rPr>
          <w:b/>
          <w:bCs/>
        </w:rPr>
        <w:t>’</w:t>
      </w:r>
      <w:r>
        <w:rPr>
          <w:b/>
          <w:bCs/>
        </w:rPr>
        <w:t xml:space="preserve">annexe 9B du Règlement ONU </w:t>
      </w:r>
      <w:r w:rsidR="0040456F" w:rsidRPr="0040456F">
        <w:rPr>
          <w:rFonts w:eastAsia="MS Mincho"/>
          <w:b/>
          <w:bCs/>
          <w:szCs w:val="22"/>
        </w:rPr>
        <w:t>n</w:t>
      </w:r>
      <w:r w:rsidR="0040456F" w:rsidRPr="0040456F">
        <w:rPr>
          <w:rFonts w:eastAsia="MS Mincho"/>
          <w:b/>
          <w:bCs/>
          <w:szCs w:val="22"/>
          <w:vertAlign w:val="superscript"/>
        </w:rPr>
        <w:t>o</w:t>
      </w:r>
      <w:r w:rsidR="0040456F">
        <w:rPr>
          <w:b/>
          <w:bCs/>
        </w:rPr>
        <w:t> </w:t>
      </w:r>
      <w:r>
        <w:rPr>
          <w:b/>
          <w:bCs/>
        </w:rPr>
        <w:t>49, ces valeurs ne doivent pas s</w:t>
      </w:r>
      <w:r w:rsidR="004B49A6">
        <w:rPr>
          <w:b/>
          <w:bCs/>
        </w:rPr>
        <w:t>’</w:t>
      </w:r>
      <w:r>
        <w:rPr>
          <w:b/>
          <w:bCs/>
        </w:rPr>
        <w:t xml:space="preserve">écarter de la distance totale </w:t>
      </w:r>
      <w:r w:rsidRPr="00607DCE">
        <w:rPr>
          <w:b/>
          <w:bCs/>
        </w:rPr>
        <w:t xml:space="preserve">indiquée </w:t>
      </w:r>
      <w:r>
        <w:rPr>
          <w:b/>
          <w:bCs/>
        </w:rPr>
        <w:t>(arrondie).</w:t>
      </w:r>
      <w:bookmarkStart w:id="16" w:name="_Hlk162602290"/>
      <w:bookmarkStart w:id="17" w:name="_Hlk162341629"/>
      <w:bookmarkEnd w:id="16"/>
      <w:bookmarkEnd w:id="17"/>
    </w:p>
    <w:bookmarkEnd w:id="15"/>
    <w:p w14:paraId="2F7B1DB7" w14:textId="73C06C19" w:rsidR="0083199D" w:rsidRPr="00FF5113" w:rsidRDefault="0083199D" w:rsidP="0083199D">
      <w:pPr>
        <w:pStyle w:val="para"/>
        <w:rPr>
          <w:b/>
          <w:bCs/>
        </w:rPr>
      </w:pPr>
      <w:r>
        <w:rPr>
          <w:b/>
          <w:bCs/>
        </w:rPr>
        <w:t>5.10</w:t>
      </w:r>
      <w:r>
        <w:tab/>
      </w:r>
      <w:r>
        <w:rPr>
          <w:b/>
          <w:bCs/>
        </w:rPr>
        <w:t xml:space="preserve">Compteur kilométrique </w:t>
      </w:r>
      <w:r w:rsidR="0040456F">
        <w:rPr>
          <w:b/>
          <w:bCs/>
          <w:lang w:val="fr-CH" w:eastAsia="ar-SA"/>
        </w:rPr>
        <w:t>−</w:t>
      </w:r>
      <w:r>
        <w:rPr>
          <w:b/>
          <w:bCs/>
        </w:rPr>
        <w:t xml:space="preserve"> Généralités</w:t>
      </w:r>
    </w:p>
    <w:p w14:paraId="212FBF10" w14:textId="77777777" w:rsidR="0083199D" w:rsidRPr="00FF5113" w:rsidRDefault="0083199D" w:rsidP="0040456F">
      <w:pPr>
        <w:pStyle w:val="para"/>
        <w:ind w:firstLine="0"/>
        <w:rPr>
          <w:b/>
          <w:bCs/>
        </w:rPr>
      </w:pPr>
      <w:r>
        <w:tab/>
      </w:r>
      <w:r>
        <w:rPr>
          <w:b/>
          <w:bCs/>
        </w:rPr>
        <w:t>Les valeurs de la distance totale et la distance totale indiquée doivent avoir une résolution égale à 1 km ou 1 mile ou meilleure.</w:t>
      </w:r>
    </w:p>
    <w:p w14:paraId="3FC18A86" w14:textId="67F7DCAC" w:rsidR="0083199D" w:rsidRPr="00FF5113" w:rsidRDefault="0083199D" w:rsidP="0083199D">
      <w:pPr>
        <w:pStyle w:val="para"/>
        <w:rPr>
          <w:b/>
          <w:bCs/>
        </w:rPr>
      </w:pPr>
      <w:bookmarkStart w:id="18" w:name="_Hlk166765039"/>
      <w:r>
        <w:rPr>
          <w:b/>
          <w:bCs/>
        </w:rPr>
        <w:t>5.11</w:t>
      </w:r>
      <w:r>
        <w:tab/>
      </w:r>
      <w:r>
        <w:rPr>
          <w:b/>
          <w:bCs/>
        </w:rPr>
        <w:t>[Si les prescriptions du présent Règlement ne peuvent pas être satisfaites en raison d</w:t>
      </w:r>
      <w:r w:rsidR="004B49A6">
        <w:rPr>
          <w:b/>
          <w:bCs/>
        </w:rPr>
        <w:t>’</w:t>
      </w:r>
      <w:r>
        <w:rPr>
          <w:b/>
          <w:bCs/>
        </w:rPr>
        <w:t xml:space="preserve">une défaillance détectable au niveau </w:t>
      </w:r>
      <w:r w:rsidRPr="00607DCE">
        <w:rPr>
          <w:b/>
          <w:bCs/>
        </w:rPr>
        <w:t>électrique</w:t>
      </w:r>
      <w:r>
        <w:rPr>
          <w:b/>
          <w:bCs/>
        </w:rPr>
        <w:t>, le conducteur doit en être averti par l</w:t>
      </w:r>
      <w:r w:rsidR="004B49A6">
        <w:rPr>
          <w:b/>
          <w:bCs/>
        </w:rPr>
        <w:t>’</w:t>
      </w:r>
      <w:r>
        <w:rPr>
          <w:b/>
          <w:bCs/>
        </w:rPr>
        <w:t>affichage d</w:t>
      </w:r>
      <w:r w:rsidR="004B49A6">
        <w:rPr>
          <w:b/>
          <w:bCs/>
        </w:rPr>
        <w:t>’</w:t>
      </w:r>
      <w:r>
        <w:rPr>
          <w:b/>
          <w:bCs/>
        </w:rPr>
        <w:t>une indication de défaut de fonctionnement, s</w:t>
      </w:r>
      <w:r w:rsidR="004B49A6">
        <w:rPr>
          <w:b/>
          <w:bCs/>
        </w:rPr>
        <w:t>’</w:t>
      </w:r>
      <w:r>
        <w:rPr>
          <w:b/>
          <w:bCs/>
        </w:rPr>
        <w:t>il ne l</w:t>
      </w:r>
      <w:r w:rsidR="004B49A6">
        <w:rPr>
          <w:b/>
          <w:bCs/>
        </w:rPr>
        <w:t>’</w:t>
      </w:r>
      <w:r>
        <w:rPr>
          <w:b/>
          <w:bCs/>
        </w:rPr>
        <w:t>a pas déjà été par l</w:t>
      </w:r>
      <w:r w:rsidR="004B49A6">
        <w:rPr>
          <w:b/>
          <w:bCs/>
        </w:rPr>
        <w:t>’</w:t>
      </w:r>
      <w:r>
        <w:rPr>
          <w:b/>
          <w:bCs/>
        </w:rPr>
        <w:t>affichage d</w:t>
      </w:r>
      <w:r w:rsidR="004B49A6">
        <w:rPr>
          <w:b/>
          <w:bCs/>
        </w:rPr>
        <w:t>’</w:t>
      </w:r>
      <w:r>
        <w:rPr>
          <w:b/>
          <w:bCs/>
        </w:rPr>
        <w:t>un autre signal de défaillance et/ou dans le contexte d</w:t>
      </w:r>
      <w:r w:rsidR="004B49A6">
        <w:rPr>
          <w:b/>
          <w:bCs/>
        </w:rPr>
        <w:t>’</w:t>
      </w:r>
      <w:r>
        <w:rPr>
          <w:b/>
          <w:bCs/>
        </w:rPr>
        <w:t>autres défaillances</w:t>
      </w:r>
      <w:r w:rsidR="00B935A8">
        <w:rPr>
          <w:b/>
          <w:bCs/>
        </w:rPr>
        <w:t>.</w:t>
      </w:r>
      <w:r>
        <w:rPr>
          <w:b/>
          <w:bCs/>
        </w:rPr>
        <w:t>]</w:t>
      </w:r>
    </w:p>
    <w:p w14:paraId="7EEC1BFB" w14:textId="4A5E798F" w:rsidR="0083199D" w:rsidRPr="00FF5113" w:rsidRDefault="0083199D" w:rsidP="0083199D">
      <w:pPr>
        <w:pStyle w:val="para"/>
        <w:rPr>
          <w:b/>
          <w:bCs/>
        </w:rPr>
      </w:pPr>
      <w:r>
        <w:rPr>
          <w:b/>
          <w:bCs/>
        </w:rPr>
        <w:t>5.11.1</w:t>
      </w:r>
      <w:r>
        <w:tab/>
      </w:r>
      <w:r>
        <w:rPr>
          <w:b/>
          <w:bCs/>
        </w:rPr>
        <w:t>[L</w:t>
      </w:r>
      <w:r w:rsidR="004B49A6">
        <w:rPr>
          <w:b/>
          <w:bCs/>
        </w:rPr>
        <w:t>’</w:t>
      </w:r>
      <w:r>
        <w:rPr>
          <w:b/>
          <w:bCs/>
        </w:rPr>
        <w:t>indication de défaut de fonctionnement doit s</w:t>
      </w:r>
      <w:r w:rsidR="004B49A6">
        <w:rPr>
          <w:b/>
          <w:bCs/>
        </w:rPr>
        <w:t>’</w:t>
      </w:r>
      <w:r>
        <w:rPr>
          <w:b/>
          <w:bCs/>
        </w:rPr>
        <w:t>activer lorsque le défaut se produit et rester active tant qu</w:t>
      </w:r>
      <w:r w:rsidR="004B49A6">
        <w:rPr>
          <w:b/>
          <w:bCs/>
        </w:rPr>
        <w:t>’</w:t>
      </w:r>
      <w:r>
        <w:rPr>
          <w:b/>
          <w:bCs/>
        </w:rPr>
        <w:t>il persiste.</w:t>
      </w:r>
      <w:r>
        <w:t xml:space="preserve"> </w:t>
      </w:r>
      <w:r>
        <w:rPr>
          <w:b/>
          <w:bCs/>
        </w:rPr>
        <w:t>Elle peut être désactivée temporairement, mais doit réapparaître chaque fois que le contact moteur est mis ou que le commutateur de contact du véhicule est activé.]</w:t>
      </w:r>
    </w:p>
    <w:p w14:paraId="42FA5C34" w14:textId="796E2EBF" w:rsidR="0083199D" w:rsidRPr="00FF5113" w:rsidRDefault="0083199D" w:rsidP="0083199D">
      <w:pPr>
        <w:pStyle w:val="para"/>
        <w:rPr>
          <w:b/>
          <w:bCs/>
        </w:rPr>
      </w:pPr>
      <w:r>
        <w:rPr>
          <w:b/>
          <w:bCs/>
        </w:rPr>
        <w:t>5.11.2</w:t>
      </w:r>
      <w:r>
        <w:tab/>
      </w:r>
      <w:r>
        <w:rPr>
          <w:b/>
          <w:bCs/>
        </w:rPr>
        <w:t>Au moment de l</w:t>
      </w:r>
      <w:r w:rsidR="004B49A6">
        <w:rPr>
          <w:b/>
          <w:bCs/>
        </w:rPr>
        <w:t>’</w:t>
      </w:r>
      <w:r>
        <w:rPr>
          <w:b/>
          <w:bCs/>
        </w:rPr>
        <w:t>homologation de type, le constructeur doit, en toute confidentialité, décrire les moyens choisis pour indiquer un défaut de fonctionnement.</w:t>
      </w:r>
    </w:p>
    <w:bookmarkEnd w:id="18"/>
    <w:p w14:paraId="19AFFFA6" w14:textId="19304A9D" w:rsidR="0083199D" w:rsidRPr="00FF5113" w:rsidRDefault="0083199D" w:rsidP="0083199D">
      <w:pPr>
        <w:pStyle w:val="para"/>
        <w:rPr>
          <w:b/>
          <w:bCs/>
        </w:rPr>
      </w:pPr>
      <w:r>
        <w:rPr>
          <w:b/>
          <w:bCs/>
        </w:rPr>
        <w:lastRenderedPageBreak/>
        <w:t>5.12</w:t>
      </w:r>
      <w:r>
        <w:tab/>
      </w:r>
      <w:r>
        <w:rPr>
          <w:b/>
          <w:bCs/>
        </w:rPr>
        <w:t xml:space="preserve">Compteur kilométrique </w:t>
      </w:r>
      <w:r w:rsidR="0040456F">
        <w:rPr>
          <w:b/>
          <w:bCs/>
          <w:lang w:val="fr-CH" w:eastAsia="ar-SA"/>
        </w:rPr>
        <w:t>−</w:t>
      </w:r>
      <w:r w:rsidRPr="001B10CE">
        <w:rPr>
          <w:b/>
          <w:bCs/>
          <w:lang w:val="fr-CH" w:eastAsia="ar-SA"/>
        </w:rPr>
        <w:t xml:space="preserve"> </w:t>
      </w:r>
      <w:r>
        <w:rPr>
          <w:b/>
          <w:bCs/>
        </w:rPr>
        <w:t>Lutte contre la falsification et gestion de la sécurité</w:t>
      </w:r>
    </w:p>
    <w:p w14:paraId="0FEF4518" w14:textId="63EA701A" w:rsidR="0083199D" w:rsidRPr="00FF5113" w:rsidRDefault="0083199D" w:rsidP="0040456F">
      <w:pPr>
        <w:pStyle w:val="para"/>
        <w:ind w:firstLine="0"/>
        <w:rPr>
          <w:b/>
          <w:bCs/>
        </w:rPr>
      </w:pPr>
      <w:r>
        <w:tab/>
      </w:r>
      <w:r>
        <w:rPr>
          <w:b/>
          <w:bCs/>
        </w:rPr>
        <w:t>La distance totale indiquée et les valeurs de la distance totale doivent être protégées contre les manipulations.</w:t>
      </w:r>
      <w:r>
        <w:t xml:space="preserve"> </w:t>
      </w:r>
      <w:r>
        <w:rPr>
          <w:b/>
          <w:bCs/>
        </w:rPr>
        <w:t>Cette condition est remplie s</w:t>
      </w:r>
      <w:r w:rsidR="004B49A6">
        <w:rPr>
          <w:b/>
          <w:bCs/>
        </w:rPr>
        <w:t>’</w:t>
      </w:r>
      <w:r>
        <w:rPr>
          <w:b/>
          <w:bCs/>
        </w:rPr>
        <w:t xml:space="preserve">il est satisfait aux prescriptions techniques pertinentes de la version originale du Règlement ONU </w:t>
      </w:r>
      <w:r w:rsidR="0040456F" w:rsidRPr="0040456F">
        <w:rPr>
          <w:rFonts w:eastAsia="MS Mincho"/>
          <w:b/>
          <w:bCs/>
          <w:szCs w:val="22"/>
        </w:rPr>
        <w:t>n</w:t>
      </w:r>
      <w:r w:rsidR="0040456F" w:rsidRPr="0040456F">
        <w:rPr>
          <w:rFonts w:eastAsia="MS Mincho"/>
          <w:b/>
          <w:bCs/>
          <w:szCs w:val="22"/>
          <w:vertAlign w:val="superscript"/>
        </w:rPr>
        <w:t>o</w:t>
      </w:r>
      <w:r w:rsidR="0040456F">
        <w:rPr>
          <w:b/>
          <w:bCs/>
        </w:rPr>
        <w:t> </w:t>
      </w:r>
      <w:r>
        <w:rPr>
          <w:b/>
          <w:bCs/>
        </w:rPr>
        <w:t>155 ou de toute série ultérieure d</w:t>
      </w:r>
      <w:r w:rsidR="004B49A6">
        <w:rPr>
          <w:b/>
          <w:bCs/>
        </w:rPr>
        <w:t>’</w:t>
      </w:r>
      <w:r>
        <w:rPr>
          <w:b/>
          <w:bCs/>
        </w:rPr>
        <w:t>amendements audit Règlement, à savoir lorsque :</w:t>
      </w:r>
    </w:p>
    <w:p w14:paraId="693A6FA0" w14:textId="09483BA5" w:rsidR="0083199D" w:rsidRPr="0098372E" w:rsidRDefault="0083199D" w:rsidP="0083199D">
      <w:pPr>
        <w:pStyle w:val="para"/>
        <w:ind w:left="2835" w:hanging="567"/>
        <w:rPr>
          <w:b/>
          <w:bCs/>
        </w:rPr>
      </w:pPr>
      <w:r>
        <w:rPr>
          <w:b/>
          <w:bCs/>
        </w:rPr>
        <w:t>a)</w:t>
      </w:r>
      <w:r>
        <w:tab/>
      </w:r>
      <w:r>
        <w:rPr>
          <w:b/>
          <w:bCs/>
        </w:rPr>
        <w:t xml:space="preserve">[Le système utilisé par le constructeur pour la gestion de la cybersécurité est conforme aux prescriptions [pertinentes] de la version originale du Règlement ONU </w:t>
      </w:r>
      <w:r w:rsidR="0040456F" w:rsidRPr="0040456F">
        <w:rPr>
          <w:rFonts w:eastAsia="MS Mincho"/>
          <w:b/>
          <w:bCs/>
          <w:szCs w:val="22"/>
        </w:rPr>
        <w:t>n</w:t>
      </w:r>
      <w:r w:rsidR="0040456F" w:rsidRPr="0040456F">
        <w:rPr>
          <w:rFonts w:eastAsia="MS Mincho"/>
          <w:b/>
          <w:bCs/>
          <w:szCs w:val="22"/>
          <w:vertAlign w:val="superscript"/>
        </w:rPr>
        <w:t>o</w:t>
      </w:r>
      <w:r w:rsidR="0040456F">
        <w:rPr>
          <w:b/>
          <w:bCs/>
        </w:rPr>
        <w:t> </w:t>
      </w:r>
      <w:r>
        <w:rPr>
          <w:b/>
          <w:bCs/>
        </w:rPr>
        <w:t>155 ou de toute série ultérieure d</w:t>
      </w:r>
      <w:r w:rsidR="004B49A6">
        <w:rPr>
          <w:b/>
          <w:bCs/>
        </w:rPr>
        <w:t>’</w:t>
      </w:r>
      <w:r>
        <w:rPr>
          <w:b/>
          <w:bCs/>
        </w:rPr>
        <w:t>amendements audit Règlement en ce qui concerne la distance totale indiquée et les valeurs de la distance totale] ;</w:t>
      </w:r>
    </w:p>
    <w:p w14:paraId="01D93907" w14:textId="22076C2D" w:rsidR="0083199D" w:rsidRPr="00FF5113" w:rsidRDefault="0083199D" w:rsidP="0083199D">
      <w:pPr>
        <w:pStyle w:val="para"/>
        <w:ind w:left="2835" w:hanging="567"/>
        <w:rPr>
          <w:b/>
          <w:bCs/>
        </w:rPr>
      </w:pPr>
      <w:r>
        <w:rPr>
          <w:b/>
          <w:bCs/>
        </w:rPr>
        <w:t>b)</w:t>
      </w:r>
      <w:r>
        <w:tab/>
      </w:r>
      <w:r>
        <w:rPr>
          <w:b/>
          <w:bCs/>
        </w:rPr>
        <w:t>Des mesures d</w:t>
      </w:r>
      <w:r w:rsidR="004B49A6">
        <w:rPr>
          <w:b/>
          <w:bCs/>
        </w:rPr>
        <w:t>’</w:t>
      </w:r>
      <w:r>
        <w:rPr>
          <w:b/>
          <w:bCs/>
        </w:rPr>
        <w:t>atténuation proportionnées sont appliquées, notamment les mesures d</w:t>
      </w:r>
      <w:r w:rsidR="004B49A6">
        <w:rPr>
          <w:b/>
          <w:bCs/>
        </w:rPr>
        <w:t>’</w:t>
      </w:r>
      <w:r>
        <w:rPr>
          <w:b/>
          <w:bCs/>
        </w:rPr>
        <w:t>atténuation « M7 » visées à l</w:t>
      </w:r>
      <w:r w:rsidR="004B49A6">
        <w:rPr>
          <w:b/>
          <w:bCs/>
        </w:rPr>
        <w:t>’</w:t>
      </w:r>
      <w:r>
        <w:rPr>
          <w:b/>
          <w:bCs/>
        </w:rPr>
        <w:t xml:space="preserve">annexe 5 (partie B, tableau B5) du Règlement ONU </w:t>
      </w:r>
      <w:r w:rsidR="0040456F" w:rsidRPr="0040456F">
        <w:rPr>
          <w:rFonts w:eastAsia="MS Mincho"/>
          <w:b/>
          <w:bCs/>
          <w:szCs w:val="22"/>
        </w:rPr>
        <w:t>n</w:t>
      </w:r>
      <w:r w:rsidR="0040456F" w:rsidRPr="0040456F">
        <w:rPr>
          <w:rFonts w:eastAsia="MS Mincho"/>
          <w:b/>
          <w:bCs/>
          <w:szCs w:val="22"/>
          <w:vertAlign w:val="superscript"/>
        </w:rPr>
        <w:t>o</w:t>
      </w:r>
      <w:r w:rsidR="0040456F">
        <w:rPr>
          <w:b/>
          <w:bCs/>
        </w:rPr>
        <w:t> </w:t>
      </w:r>
      <w:r>
        <w:rPr>
          <w:b/>
          <w:bCs/>
        </w:rPr>
        <w:t>155, ou toute autre mesure équivalente.</w:t>
      </w:r>
    </w:p>
    <w:p w14:paraId="056D643D" w14:textId="2E84B75E" w:rsidR="0083199D" w:rsidRPr="001B10CE" w:rsidRDefault="0083199D" w:rsidP="0040456F">
      <w:pPr>
        <w:pStyle w:val="HChG"/>
        <w:ind w:left="2268"/>
      </w:pPr>
      <w:r>
        <w:rPr>
          <w:bCs/>
          <w:lang w:val="fr-FR"/>
        </w:rPr>
        <w:t>6.</w:t>
      </w:r>
      <w:r>
        <w:rPr>
          <w:lang w:val="fr-FR"/>
        </w:rPr>
        <w:tab/>
      </w:r>
      <w:r>
        <w:rPr>
          <w:lang w:val="fr-FR"/>
        </w:rPr>
        <w:tab/>
      </w:r>
      <w:r>
        <w:rPr>
          <w:bCs/>
          <w:lang w:val="fr-FR"/>
        </w:rPr>
        <w:t>Modifications du type de véhicule</w:t>
      </w:r>
      <w:bookmarkStart w:id="19" w:name="_Toc441498662"/>
      <w:bookmarkStart w:id="20" w:name="_Toc441498800"/>
      <w:bookmarkEnd w:id="19"/>
      <w:bookmarkEnd w:id="20"/>
    </w:p>
    <w:p w14:paraId="50AB2F75" w14:textId="1F4F52C0" w:rsidR="0083199D" w:rsidRPr="00FF5113" w:rsidRDefault="0083199D" w:rsidP="0083199D">
      <w:pPr>
        <w:pStyle w:val="para"/>
      </w:pPr>
      <w:r>
        <w:t>6.1</w:t>
      </w:r>
      <w:r>
        <w:tab/>
        <w:t>Toute modification du type de véhicule doit être portée à la connaissance de l</w:t>
      </w:r>
      <w:r w:rsidR="004B49A6">
        <w:t>’</w:t>
      </w:r>
      <w:r>
        <w:t>autorité qui a homologué le type de véhicule. Cette autorité pourra alors :</w:t>
      </w:r>
    </w:p>
    <w:p w14:paraId="52488E49" w14:textId="11C1AC73" w:rsidR="0083199D" w:rsidRPr="00FF5113" w:rsidRDefault="0083199D" w:rsidP="0083199D">
      <w:pPr>
        <w:pStyle w:val="para"/>
      </w:pPr>
      <w:r>
        <w:t>6.1.1</w:t>
      </w:r>
      <w:r>
        <w:tab/>
        <w:t>Soit considérer que les modifications apportées ne risquent pas d</w:t>
      </w:r>
      <w:r w:rsidR="004B49A6">
        <w:t>’</w:t>
      </w:r>
      <w:r>
        <w:t>avoir des conséquences négatives notables et, en tout cas, que ce véhicule satisfait encore aux prescriptions</w:t>
      </w:r>
      <w:r w:rsidR="00A87D93">
        <w:t> ;</w:t>
      </w:r>
    </w:p>
    <w:p w14:paraId="44875B90" w14:textId="27110428" w:rsidR="0083199D" w:rsidRPr="00FF5113" w:rsidRDefault="0083199D" w:rsidP="0083199D">
      <w:pPr>
        <w:pStyle w:val="para"/>
      </w:pPr>
      <w:r>
        <w:t>6.1.2</w:t>
      </w:r>
      <w:r>
        <w:tab/>
        <w:t>Soit demander au service technique chargé des essais d</w:t>
      </w:r>
      <w:r w:rsidR="004B49A6">
        <w:t>’</w:t>
      </w:r>
      <w:r>
        <w:t>établir un nouveau procès</w:t>
      </w:r>
      <w:r w:rsidR="0040456F">
        <w:t>-</w:t>
      </w:r>
      <w:r>
        <w:t>verbal d</w:t>
      </w:r>
      <w:r w:rsidR="004B49A6">
        <w:t>’</w:t>
      </w:r>
      <w:r>
        <w:t>essai.</w:t>
      </w:r>
    </w:p>
    <w:p w14:paraId="17D08360" w14:textId="5BD41CBE" w:rsidR="0083199D" w:rsidRPr="00FF5113" w:rsidRDefault="0083199D" w:rsidP="0083199D">
      <w:pPr>
        <w:pStyle w:val="para"/>
      </w:pPr>
      <w:r>
        <w:t>6.2</w:t>
      </w:r>
      <w:r>
        <w:tab/>
        <w:t>La décision d</w:t>
      </w:r>
      <w:r w:rsidR="004B49A6">
        <w:t>’</w:t>
      </w:r>
      <w:r>
        <w:t>octroi ou de refus de l</w:t>
      </w:r>
      <w:r w:rsidR="004B49A6">
        <w:t>’</w:t>
      </w:r>
      <w:r>
        <w:t>homologation, avec l</w:t>
      </w:r>
      <w:r w:rsidR="004B49A6">
        <w:t>’</w:t>
      </w:r>
      <w:r>
        <w:t>indication des modifications, doit être communiquée aux Parties à l</w:t>
      </w:r>
      <w:r w:rsidR="004B49A6">
        <w:t>’</w:t>
      </w:r>
      <w:r>
        <w:t>Accord appliquant le présent Règlement conformément la procédure indiquée au paragraphe 4.3 ci</w:t>
      </w:r>
      <w:r w:rsidR="0040456F">
        <w:noBreakHyphen/>
      </w:r>
      <w:r>
        <w:t>dessus.</w:t>
      </w:r>
    </w:p>
    <w:p w14:paraId="354CA81B" w14:textId="69C4BA8A" w:rsidR="0083199D" w:rsidRPr="001B10CE" w:rsidRDefault="0083199D" w:rsidP="0040456F">
      <w:pPr>
        <w:pStyle w:val="HChG"/>
        <w:ind w:left="2268"/>
      </w:pPr>
      <w:r>
        <w:rPr>
          <w:bCs/>
          <w:lang w:val="fr-FR"/>
        </w:rPr>
        <w:t>7.</w:t>
      </w:r>
      <w:r>
        <w:rPr>
          <w:lang w:val="fr-FR"/>
        </w:rPr>
        <w:tab/>
      </w:r>
      <w:r>
        <w:rPr>
          <w:lang w:val="fr-FR"/>
        </w:rPr>
        <w:tab/>
      </w:r>
      <w:r>
        <w:rPr>
          <w:bCs/>
          <w:lang w:val="fr-FR"/>
        </w:rPr>
        <w:t>Conformité de la production</w:t>
      </w:r>
      <w:bookmarkStart w:id="21" w:name="_Toc441498663"/>
      <w:bookmarkStart w:id="22" w:name="_Toc441498801"/>
      <w:bookmarkEnd w:id="21"/>
      <w:bookmarkEnd w:id="22"/>
    </w:p>
    <w:p w14:paraId="58D9F06B" w14:textId="1194FC39" w:rsidR="0083199D" w:rsidRPr="00FF5113" w:rsidRDefault="0083199D" w:rsidP="0083199D">
      <w:pPr>
        <w:pStyle w:val="para"/>
      </w:pPr>
      <w:r>
        <w:t>7.1</w:t>
      </w:r>
      <w:r>
        <w:tab/>
      </w:r>
      <w:r>
        <w:tab/>
        <w:t>Les procédures de contrôle de la conformité de la production doivent correspondre à celles qui sont énoncées à l</w:t>
      </w:r>
      <w:r w:rsidR="004B49A6">
        <w:t>’</w:t>
      </w:r>
      <w:r>
        <w:t>annexe 1 de l</w:t>
      </w:r>
      <w:r w:rsidR="004B49A6">
        <w:t>’</w:t>
      </w:r>
      <w:r>
        <w:t>Accord de 1958 (E/ECE/TRANS/505/Rev.3), et satisfaire aux prescriptions suivantes :</w:t>
      </w:r>
    </w:p>
    <w:p w14:paraId="3BE92631" w14:textId="6BEADD61" w:rsidR="0083199D" w:rsidRPr="00FF5113" w:rsidRDefault="0083199D" w:rsidP="0083199D">
      <w:pPr>
        <w:pStyle w:val="para"/>
      </w:pPr>
      <w:r>
        <w:t>7.2</w:t>
      </w:r>
      <w:r>
        <w:tab/>
      </w:r>
      <w:r>
        <w:tab/>
        <w:t xml:space="preserve">Tout véhicule homologué au titre du présent Règlement </w:t>
      </w:r>
      <w:r w:rsidRPr="001B10CE">
        <w:rPr>
          <w:lang w:val="fr-CH"/>
        </w:rPr>
        <w:t>doit être construit en conformité avec le type homologu</w:t>
      </w:r>
      <w:r>
        <w:rPr>
          <w:lang w:val="fr-CH"/>
        </w:rPr>
        <w:t>é</w:t>
      </w:r>
      <w:r w:rsidRPr="001B10CE">
        <w:rPr>
          <w:lang w:val="fr-CH"/>
        </w:rPr>
        <w:t xml:space="preserve"> e</w:t>
      </w:r>
      <w:r>
        <w:rPr>
          <w:lang w:val="fr-CH"/>
        </w:rPr>
        <w:t>n ce qu</w:t>
      </w:r>
      <w:r w:rsidR="004B49A6">
        <w:rPr>
          <w:lang w:val="fr-CH"/>
        </w:rPr>
        <w:t>’</w:t>
      </w:r>
      <w:r>
        <w:rPr>
          <w:lang w:val="fr-CH"/>
        </w:rPr>
        <w:t>il doit</w:t>
      </w:r>
      <w:r w:rsidRPr="001B10CE">
        <w:rPr>
          <w:lang w:val="fr-CH"/>
        </w:rPr>
        <w:t xml:space="preserve"> satisfaire aux prescriptions énoncées dans les parties pertinentes dudit Règlement</w:t>
      </w:r>
      <w:r>
        <w:t>.</w:t>
      </w:r>
    </w:p>
    <w:p w14:paraId="7A6B0029" w14:textId="4B1E61CA" w:rsidR="0083199D" w:rsidRPr="00FF5113" w:rsidRDefault="0083199D" w:rsidP="0083199D">
      <w:pPr>
        <w:pStyle w:val="para"/>
        <w:rPr>
          <w:szCs w:val="24"/>
        </w:rPr>
      </w:pPr>
      <w:r>
        <w:t>7.3</w:t>
      </w:r>
      <w:r>
        <w:tab/>
      </w:r>
      <w:r>
        <w:tab/>
        <w:t>Des contrôles suffisants doivent être effectués pour chaque type de véhicule en ce qui concerne l</w:t>
      </w:r>
      <w:r w:rsidR="004B49A6">
        <w:t>’</w:t>
      </w:r>
      <w:r>
        <w:t>indicateur de vitesse et son installation ; l</w:t>
      </w:r>
      <w:r w:rsidR="004B49A6">
        <w:t>’</w:t>
      </w:r>
      <w:r>
        <w:t>essai prescrit à l</w:t>
      </w:r>
      <w:r w:rsidR="004B49A6">
        <w:t>’</w:t>
      </w:r>
      <w:r>
        <w:t>annexe 3 du présent Règlement, au moins, doit en particulier être effectué pour chaque type de véhicule.</w:t>
      </w:r>
    </w:p>
    <w:p w14:paraId="75F22757" w14:textId="25689F8A" w:rsidR="0083199D" w:rsidRPr="00FF5113" w:rsidRDefault="0083199D" w:rsidP="0083199D">
      <w:pPr>
        <w:pStyle w:val="para"/>
        <w:rPr>
          <w:szCs w:val="24"/>
        </w:rPr>
      </w:pPr>
      <w:r>
        <w:t>7.4</w:t>
      </w:r>
      <w:r>
        <w:tab/>
      </w:r>
      <w:r>
        <w:tab/>
        <w:t>L</w:t>
      </w:r>
      <w:r w:rsidR="004B49A6">
        <w:t>’</w:t>
      </w:r>
      <w:r>
        <w:t>autorité qui a accordé l</w:t>
      </w:r>
      <w:r w:rsidR="004B49A6">
        <w:t>’</w:t>
      </w:r>
      <w:r>
        <w:t>homologation de type peut à tout moment vérifier les méthodes de contrôle de la conformité appliquées dans chaque unité de production. La fréquence normale de ces vérifications est d</w:t>
      </w:r>
      <w:r w:rsidR="004B49A6">
        <w:t>’</w:t>
      </w:r>
      <w:r>
        <w:t>une fois tous les deux ans.</w:t>
      </w:r>
    </w:p>
    <w:p w14:paraId="65DC3DF2" w14:textId="28FB7D4B" w:rsidR="0083199D" w:rsidRPr="0040456F" w:rsidRDefault="0083199D" w:rsidP="0083199D">
      <w:pPr>
        <w:pStyle w:val="para"/>
        <w:rPr>
          <w:szCs w:val="24"/>
        </w:rPr>
      </w:pPr>
      <w:r>
        <w:t>7.5</w:t>
      </w:r>
      <w:r>
        <w:tab/>
        <w:t>Si les résultats des contrôles effectués conformément au paragraphe 7.4 ci</w:t>
      </w:r>
      <w:r w:rsidR="0040456F">
        <w:noBreakHyphen/>
      </w:r>
      <w:r>
        <w:t xml:space="preserve">dessus </w:t>
      </w:r>
      <w:r w:rsidRPr="00E801F4">
        <w:t>ne sont pas jugés satisfaisants</w:t>
      </w:r>
      <w:r>
        <w:t>, l</w:t>
      </w:r>
      <w:r w:rsidR="004B49A6">
        <w:t>’</w:t>
      </w:r>
      <w:r>
        <w:t>autorité compétente doit veiller à ce que toutes les dispositions nécessaires soient prises pour rétablir aussi rapidement que possible la conformité de production.</w:t>
      </w:r>
    </w:p>
    <w:p w14:paraId="4D416B2B" w14:textId="3AC896F8" w:rsidR="0083199D" w:rsidRPr="001B10CE" w:rsidRDefault="0083199D" w:rsidP="0040456F">
      <w:pPr>
        <w:pStyle w:val="HChG"/>
        <w:ind w:left="2268"/>
      </w:pPr>
      <w:r>
        <w:rPr>
          <w:lang w:val="fr-FR"/>
        </w:rPr>
        <w:lastRenderedPageBreak/>
        <w:t>8.</w:t>
      </w:r>
      <w:r>
        <w:rPr>
          <w:lang w:val="fr-FR"/>
        </w:rPr>
        <w:tab/>
      </w:r>
      <w:r>
        <w:rPr>
          <w:lang w:val="fr-FR"/>
        </w:rPr>
        <w:tab/>
        <w:t>Sanctions pour non-</w:t>
      </w:r>
      <w:r w:rsidRPr="0040456F">
        <w:t>conformité</w:t>
      </w:r>
      <w:r>
        <w:rPr>
          <w:lang w:val="fr-FR"/>
        </w:rPr>
        <w:t xml:space="preserve"> de la production</w:t>
      </w:r>
      <w:bookmarkStart w:id="23" w:name="_Toc441498664"/>
      <w:bookmarkStart w:id="24" w:name="_Toc441498802"/>
      <w:bookmarkEnd w:id="23"/>
      <w:bookmarkEnd w:id="24"/>
    </w:p>
    <w:p w14:paraId="61B92CEE" w14:textId="45099AD3" w:rsidR="0083199D" w:rsidRPr="00FF5113" w:rsidRDefault="0083199D" w:rsidP="0083199D">
      <w:pPr>
        <w:pStyle w:val="para"/>
        <w:keepNext/>
        <w:keepLines/>
      </w:pPr>
      <w:r>
        <w:t>8.1</w:t>
      </w:r>
      <w:r>
        <w:tab/>
        <w:t>L</w:t>
      </w:r>
      <w:r w:rsidR="004B49A6">
        <w:t>’</w:t>
      </w:r>
      <w:r>
        <w:t>homologation délivrée pour un type de véhicule au titre du présent Règlement peut être retirée si la condition énoncée au paragraphe 7.1 n</w:t>
      </w:r>
      <w:r w:rsidR="004B49A6">
        <w:t>’</w:t>
      </w:r>
      <w:r>
        <w:t>est pas respectée ou si le véhicule n</w:t>
      </w:r>
      <w:r w:rsidR="004B49A6">
        <w:t>’</w:t>
      </w:r>
      <w:r>
        <w:t>a pas subi avec succès les vérifications prévues au paragraphe 7 ci-dessus.</w:t>
      </w:r>
    </w:p>
    <w:p w14:paraId="17FD9E46" w14:textId="3E590330" w:rsidR="0083199D" w:rsidRPr="00FF5113" w:rsidRDefault="0083199D" w:rsidP="0083199D">
      <w:pPr>
        <w:pStyle w:val="para"/>
      </w:pPr>
      <w:r>
        <w:t>8.2</w:t>
      </w:r>
      <w:r>
        <w:tab/>
        <w:t>Si une Partie à l</w:t>
      </w:r>
      <w:r w:rsidR="004B49A6">
        <w:t>’</w:t>
      </w:r>
      <w:r>
        <w:t>Accord appliquant le présent Règlement retire une homologation qu</w:t>
      </w:r>
      <w:r w:rsidR="004B49A6">
        <w:t>’</w:t>
      </w:r>
      <w:r>
        <w:t>elle a précédemment accordée, elle doit en informer aussitôt les autres Parties à l</w:t>
      </w:r>
      <w:r w:rsidR="004B49A6">
        <w:t>’</w:t>
      </w:r>
      <w:r>
        <w:t>Accord appliquant ledit Règlement, au moyen d</w:t>
      </w:r>
      <w:r w:rsidR="004B49A6">
        <w:t>’</w:t>
      </w:r>
      <w:r>
        <w:t>une copie de la fiche de communication conforme au modèle de l</w:t>
      </w:r>
      <w:r w:rsidR="004B49A6">
        <w:t>’</w:t>
      </w:r>
      <w:r>
        <w:t>annexe 1 dudit Règlement.</w:t>
      </w:r>
    </w:p>
    <w:p w14:paraId="77ADA7E9" w14:textId="40DE1FC3" w:rsidR="0083199D" w:rsidRPr="001B10CE" w:rsidRDefault="0083199D" w:rsidP="0040456F">
      <w:pPr>
        <w:pStyle w:val="HChG"/>
        <w:ind w:left="2268"/>
      </w:pPr>
      <w:bookmarkStart w:id="25" w:name="_Toc441498665"/>
      <w:bookmarkStart w:id="26" w:name="_Toc441498803"/>
      <w:r>
        <w:rPr>
          <w:bCs/>
          <w:lang w:val="fr-FR"/>
        </w:rPr>
        <w:t>9.</w:t>
      </w:r>
      <w:r>
        <w:rPr>
          <w:lang w:val="fr-FR"/>
        </w:rPr>
        <w:tab/>
      </w:r>
      <w:r>
        <w:rPr>
          <w:lang w:val="fr-FR"/>
        </w:rPr>
        <w:tab/>
      </w:r>
      <w:r>
        <w:rPr>
          <w:bCs/>
          <w:lang w:val="fr-FR"/>
        </w:rPr>
        <w:t>Noms et adresses des services techniques chargés des essais d</w:t>
      </w:r>
      <w:r w:rsidR="004B49A6">
        <w:rPr>
          <w:bCs/>
          <w:lang w:val="fr-FR"/>
        </w:rPr>
        <w:t>’</w:t>
      </w:r>
      <w:r>
        <w:rPr>
          <w:bCs/>
          <w:lang w:val="fr-FR"/>
        </w:rPr>
        <w:t>homologation et des autorités d</w:t>
      </w:r>
      <w:r w:rsidR="004B49A6">
        <w:rPr>
          <w:bCs/>
          <w:lang w:val="fr-FR"/>
        </w:rPr>
        <w:t>’</w:t>
      </w:r>
      <w:r>
        <w:rPr>
          <w:bCs/>
          <w:lang w:val="fr-FR"/>
        </w:rPr>
        <w:t>homologation de type</w:t>
      </w:r>
      <w:bookmarkEnd w:id="25"/>
      <w:bookmarkEnd w:id="26"/>
    </w:p>
    <w:p w14:paraId="5C0F9698" w14:textId="54931D68" w:rsidR="0083199D" w:rsidRPr="00FF5113" w:rsidRDefault="0083199D" w:rsidP="0040456F">
      <w:pPr>
        <w:pStyle w:val="para"/>
        <w:ind w:firstLine="0"/>
        <w:rPr>
          <w:szCs w:val="18"/>
        </w:rPr>
      </w:pPr>
      <w:r>
        <w:tab/>
        <w:t>Les Parties contractantes à l</w:t>
      </w:r>
      <w:r w:rsidR="004B49A6">
        <w:t>’</w:t>
      </w:r>
      <w:r>
        <w:t>Accord de 1958 appliquant le présent Règlement doivent communiquer au Secrétariat de l</w:t>
      </w:r>
      <w:r w:rsidR="004B49A6">
        <w:t>’</w:t>
      </w:r>
      <w:r>
        <w:t>Organisation des Nations Unies les noms et adresses des services techniques chargés des essais d</w:t>
      </w:r>
      <w:r w:rsidR="004B49A6">
        <w:t>’</w:t>
      </w:r>
      <w:r>
        <w:t>homologation et ceux des autorités qui délivrent les homologations et auxquelles doivent être envoyées les fiches de communication concernant la délivrance, l</w:t>
      </w:r>
      <w:r w:rsidR="004B49A6">
        <w:t>’</w:t>
      </w:r>
      <w:r>
        <w:t>extension, le refus ou le retrait d</w:t>
      </w:r>
      <w:r w:rsidR="004B49A6">
        <w:t>’</w:t>
      </w:r>
      <w:r>
        <w:t>une homologation établies dans les autres pays.</w:t>
      </w:r>
    </w:p>
    <w:p w14:paraId="5D113649" w14:textId="707BDE46" w:rsidR="0083199D" w:rsidRPr="001B10CE" w:rsidRDefault="0083199D" w:rsidP="0040456F">
      <w:pPr>
        <w:pStyle w:val="HChG"/>
        <w:ind w:left="2268"/>
      </w:pPr>
      <w:r>
        <w:rPr>
          <w:bCs/>
          <w:lang w:val="fr-FR"/>
        </w:rPr>
        <w:t>10.</w:t>
      </w:r>
      <w:r>
        <w:rPr>
          <w:lang w:val="fr-FR"/>
        </w:rPr>
        <w:tab/>
      </w:r>
      <w:r>
        <w:rPr>
          <w:lang w:val="fr-FR"/>
        </w:rPr>
        <w:tab/>
      </w:r>
      <w:r>
        <w:rPr>
          <w:bCs/>
          <w:lang w:val="fr-FR"/>
        </w:rPr>
        <w:t>Dispositions transitoires</w:t>
      </w:r>
      <w:bookmarkStart w:id="27" w:name="_Toc441498804"/>
      <w:bookmarkEnd w:id="27"/>
    </w:p>
    <w:p w14:paraId="785C6C07" w14:textId="7571E85C" w:rsidR="0083199D" w:rsidRPr="001B10CE" w:rsidRDefault="0083199D" w:rsidP="0083199D">
      <w:pPr>
        <w:tabs>
          <w:tab w:val="left" w:pos="2268"/>
        </w:tabs>
        <w:spacing w:after="120" w:line="240" w:lineRule="auto"/>
        <w:ind w:left="2268" w:right="1134" w:hanging="1134"/>
        <w:jc w:val="both"/>
      </w:pPr>
      <w:r>
        <w:rPr>
          <w:lang w:val="fr-FR"/>
        </w:rPr>
        <w:t>10.1</w:t>
      </w:r>
      <w:r>
        <w:rPr>
          <w:lang w:val="fr-FR"/>
        </w:rPr>
        <w:tab/>
        <w:t>À compter de la date officielle d</w:t>
      </w:r>
      <w:r w:rsidR="004B49A6">
        <w:rPr>
          <w:lang w:val="fr-FR"/>
        </w:rPr>
        <w:t>’</w:t>
      </w:r>
      <w:r>
        <w:rPr>
          <w:lang w:val="fr-FR"/>
        </w:rPr>
        <w:t>entrée en vigueur de la série 01 d</w:t>
      </w:r>
      <w:r w:rsidR="004B49A6">
        <w:rPr>
          <w:lang w:val="fr-FR"/>
        </w:rPr>
        <w:t>’</w:t>
      </w:r>
      <w:r>
        <w:rPr>
          <w:lang w:val="fr-FR"/>
        </w:rPr>
        <w:t>amendements, aucune Partie contractante appliquant le présent Règlement ne pourra refuser d</w:t>
      </w:r>
      <w:r w:rsidR="004B49A6">
        <w:rPr>
          <w:lang w:val="fr-FR"/>
        </w:rPr>
        <w:t>’</w:t>
      </w:r>
      <w:r>
        <w:rPr>
          <w:lang w:val="fr-FR"/>
        </w:rPr>
        <w:t>accorder des homologations de type au titre dudit Règlement tel que modifié par la série 01 d</w:t>
      </w:r>
      <w:r w:rsidR="004B49A6">
        <w:rPr>
          <w:lang w:val="fr-FR"/>
        </w:rPr>
        <w:t>’</w:t>
      </w:r>
      <w:r>
        <w:rPr>
          <w:lang w:val="fr-FR"/>
        </w:rPr>
        <w:t>amendements ou d</w:t>
      </w:r>
      <w:r w:rsidR="004B49A6">
        <w:rPr>
          <w:lang w:val="fr-FR"/>
        </w:rPr>
        <w:t>’</w:t>
      </w:r>
      <w:r>
        <w:rPr>
          <w:lang w:val="fr-FR"/>
        </w:rPr>
        <w:t>accepter les homologations ainsi délivrées.</w:t>
      </w:r>
    </w:p>
    <w:p w14:paraId="0CA93CC3" w14:textId="5BDF691F" w:rsidR="0083199D" w:rsidRPr="001B10CE" w:rsidRDefault="0083199D" w:rsidP="0083199D">
      <w:pPr>
        <w:tabs>
          <w:tab w:val="left" w:pos="2268"/>
        </w:tabs>
        <w:spacing w:after="120" w:line="240" w:lineRule="auto"/>
        <w:ind w:left="2268" w:right="1134" w:hanging="1134"/>
        <w:jc w:val="both"/>
      </w:pPr>
      <w:r>
        <w:rPr>
          <w:lang w:val="fr-FR"/>
        </w:rPr>
        <w:t>10.2</w:t>
      </w:r>
      <w:r>
        <w:rPr>
          <w:lang w:val="fr-FR"/>
        </w:rPr>
        <w:tab/>
        <w:t>À compter du 1</w:t>
      </w:r>
      <w:r w:rsidRPr="008A7EE0">
        <w:rPr>
          <w:vertAlign w:val="superscript"/>
          <w:lang w:val="fr-FR"/>
        </w:rPr>
        <w:t>er</w:t>
      </w:r>
      <w:r w:rsidR="005E5DBA">
        <w:rPr>
          <w:lang w:val="fr-FR"/>
        </w:rPr>
        <w:t> </w:t>
      </w:r>
      <w:r>
        <w:rPr>
          <w:lang w:val="fr-FR"/>
        </w:rPr>
        <w:t>septembre 2017, les Parties contractantes appliquant le présent Règlement ne devront accorder de nouvelles homologations de type que si le type du véhicule à homologuer satisfait aux prescriptions du présent Règlement tel que modifié par la série 01 d</w:t>
      </w:r>
      <w:r w:rsidR="004B49A6">
        <w:rPr>
          <w:lang w:val="fr-FR"/>
        </w:rPr>
        <w:t>’</w:t>
      </w:r>
      <w:r>
        <w:rPr>
          <w:lang w:val="fr-FR"/>
        </w:rPr>
        <w:t>amendements.</w:t>
      </w:r>
    </w:p>
    <w:p w14:paraId="538CADD3" w14:textId="7BDC2655" w:rsidR="0083199D" w:rsidRPr="001B10CE" w:rsidRDefault="0083199D" w:rsidP="0083199D">
      <w:pPr>
        <w:tabs>
          <w:tab w:val="left" w:pos="2268"/>
        </w:tabs>
        <w:spacing w:after="120" w:line="240" w:lineRule="auto"/>
        <w:ind w:left="2268" w:right="1134" w:hanging="1134"/>
        <w:jc w:val="both"/>
      </w:pPr>
      <w:r>
        <w:rPr>
          <w:lang w:val="fr-FR"/>
        </w:rPr>
        <w:t>10.3</w:t>
      </w:r>
      <w:r>
        <w:rPr>
          <w:lang w:val="fr-FR"/>
        </w:rPr>
        <w:tab/>
        <w:t>Les Parties contractantes appliquant le présent Règlement ne pourront pas refuser d</w:t>
      </w:r>
      <w:r w:rsidR="004B49A6">
        <w:rPr>
          <w:lang w:val="fr-FR"/>
        </w:rPr>
        <w:t>’</w:t>
      </w:r>
      <w:r>
        <w:rPr>
          <w:lang w:val="fr-FR"/>
        </w:rPr>
        <w:t>accorder des extensions pour les homologations de types existants délivrées au titre des précédentes séries d</w:t>
      </w:r>
      <w:r w:rsidR="004B49A6">
        <w:rPr>
          <w:lang w:val="fr-FR"/>
        </w:rPr>
        <w:t>’</w:t>
      </w:r>
      <w:r>
        <w:rPr>
          <w:lang w:val="fr-FR"/>
        </w:rPr>
        <w:t>amendements audit Règlement.</w:t>
      </w:r>
    </w:p>
    <w:p w14:paraId="56F55F34" w14:textId="2127A502" w:rsidR="0083199D" w:rsidRPr="00FF5113" w:rsidRDefault="0083199D" w:rsidP="0083199D">
      <w:pPr>
        <w:pStyle w:val="para"/>
      </w:pPr>
      <w:r>
        <w:t>10.4</w:t>
      </w:r>
      <w:r>
        <w:tab/>
        <w:t>À compter de la date d</w:t>
      </w:r>
      <w:r w:rsidR="004B49A6">
        <w:t>’</w:t>
      </w:r>
      <w:r>
        <w:t>entrée en vigueur de la série 01 d</w:t>
      </w:r>
      <w:r w:rsidR="004B49A6">
        <w:t>’</w:t>
      </w:r>
      <w:r>
        <w:t>amendements au présent Règlement, les Parties contractantes appliquant ledit Règlement devront continuer d</w:t>
      </w:r>
      <w:r w:rsidR="004B49A6">
        <w:t>’</w:t>
      </w:r>
      <w:r>
        <w:t>accepter les homologations de type accordées au titre de la précédente série d</w:t>
      </w:r>
      <w:r w:rsidR="004B49A6">
        <w:t>’</w:t>
      </w:r>
      <w:r>
        <w:t>amendements audit Règlement.</w:t>
      </w:r>
    </w:p>
    <w:p w14:paraId="1E5228C8" w14:textId="24D0BA95" w:rsidR="0083199D" w:rsidRPr="00FF5113" w:rsidRDefault="0083199D" w:rsidP="0083199D">
      <w:pPr>
        <w:pStyle w:val="para"/>
        <w:rPr>
          <w:b/>
          <w:bCs/>
        </w:rPr>
      </w:pPr>
      <w:r>
        <w:rPr>
          <w:b/>
          <w:bCs/>
        </w:rPr>
        <w:t>10.5</w:t>
      </w:r>
      <w:r>
        <w:tab/>
      </w:r>
      <w:r>
        <w:rPr>
          <w:b/>
          <w:bCs/>
        </w:rPr>
        <w:t>À compter de la date officielle d</w:t>
      </w:r>
      <w:r w:rsidR="004B49A6">
        <w:rPr>
          <w:b/>
          <w:bCs/>
        </w:rPr>
        <w:t>’</w:t>
      </w:r>
      <w:r>
        <w:rPr>
          <w:b/>
          <w:bCs/>
        </w:rPr>
        <w:t>entrée en vigueur de la série 02 d</w:t>
      </w:r>
      <w:r w:rsidR="004B49A6">
        <w:rPr>
          <w:b/>
          <w:bCs/>
        </w:rPr>
        <w:t>’</w:t>
      </w:r>
      <w:r>
        <w:rPr>
          <w:b/>
          <w:bCs/>
        </w:rPr>
        <w:t>amendements, aucune Partie contractante appliquant le présent Règlement ne pourra refuser d</w:t>
      </w:r>
      <w:r w:rsidR="004B49A6">
        <w:rPr>
          <w:b/>
          <w:bCs/>
        </w:rPr>
        <w:t>’</w:t>
      </w:r>
      <w:r>
        <w:rPr>
          <w:b/>
          <w:bCs/>
        </w:rPr>
        <w:t>accorder des homologations de type au titre dudit Règlement tel que modifié par la série 02 d</w:t>
      </w:r>
      <w:r w:rsidR="004B49A6">
        <w:rPr>
          <w:b/>
          <w:bCs/>
        </w:rPr>
        <w:t>’</w:t>
      </w:r>
      <w:r>
        <w:rPr>
          <w:b/>
          <w:bCs/>
        </w:rPr>
        <w:t>amendements ou d</w:t>
      </w:r>
      <w:r w:rsidR="004B49A6">
        <w:rPr>
          <w:b/>
          <w:bCs/>
        </w:rPr>
        <w:t>’</w:t>
      </w:r>
      <w:r>
        <w:rPr>
          <w:b/>
          <w:bCs/>
        </w:rPr>
        <w:t>accepter les homologations ainsi délivrées.</w:t>
      </w:r>
    </w:p>
    <w:p w14:paraId="50F340CB" w14:textId="65700091" w:rsidR="0083199D" w:rsidRPr="00FF5113" w:rsidRDefault="0083199D" w:rsidP="0083199D">
      <w:pPr>
        <w:pStyle w:val="para"/>
        <w:rPr>
          <w:b/>
          <w:bCs/>
        </w:rPr>
      </w:pPr>
      <w:r>
        <w:rPr>
          <w:b/>
          <w:bCs/>
        </w:rPr>
        <w:t>10.6</w:t>
      </w:r>
      <w:r>
        <w:tab/>
      </w:r>
      <w:r>
        <w:rPr>
          <w:b/>
          <w:bCs/>
        </w:rPr>
        <w:t>À compter du 1</w:t>
      </w:r>
      <w:r>
        <w:rPr>
          <w:b/>
          <w:bCs/>
          <w:vertAlign w:val="superscript"/>
        </w:rPr>
        <w:t>er</w:t>
      </w:r>
      <w:r w:rsidR="005E5DBA">
        <w:rPr>
          <w:b/>
          <w:bCs/>
        </w:rPr>
        <w:t> </w:t>
      </w:r>
      <w:r>
        <w:rPr>
          <w:b/>
          <w:bCs/>
        </w:rPr>
        <w:t>septembre [2027], les Parties contractantes appliquant le présent Règlement ne seront plus tenues d</w:t>
      </w:r>
      <w:r w:rsidR="004B49A6">
        <w:rPr>
          <w:b/>
          <w:bCs/>
        </w:rPr>
        <w:t>’</w:t>
      </w:r>
      <w:r>
        <w:rPr>
          <w:b/>
          <w:bCs/>
        </w:rPr>
        <w:t>accepter les homologations de type accordées au titre des précédentes séries d</w:t>
      </w:r>
      <w:r w:rsidR="004B49A6">
        <w:rPr>
          <w:b/>
          <w:bCs/>
        </w:rPr>
        <w:t>’</w:t>
      </w:r>
      <w:r>
        <w:rPr>
          <w:b/>
          <w:bCs/>
        </w:rPr>
        <w:t>amendements et délivrées pour la première fois après le 1</w:t>
      </w:r>
      <w:r>
        <w:rPr>
          <w:b/>
          <w:bCs/>
          <w:vertAlign w:val="superscript"/>
        </w:rPr>
        <w:t>er</w:t>
      </w:r>
      <w:r w:rsidR="005E5DBA">
        <w:rPr>
          <w:b/>
          <w:bCs/>
        </w:rPr>
        <w:t> </w:t>
      </w:r>
      <w:r>
        <w:rPr>
          <w:b/>
          <w:bCs/>
        </w:rPr>
        <w:t>septembre [2027].</w:t>
      </w:r>
    </w:p>
    <w:p w14:paraId="1F09982B" w14:textId="2EA64E8D" w:rsidR="0083199D" w:rsidRPr="00FF5113" w:rsidRDefault="0083199D" w:rsidP="0083199D">
      <w:pPr>
        <w:pStyle w:val="para"/>
        <w:rPr>
          <w:b/>
          <w:bCs/>
        </w:rPr>
      </w:pPr>
      <w:r>
        <w:rPr>
          <w:b/>
          <w:bCs/>
        </w:rPr>
        <w:t>10.7</w:t>
      </w:r>
      <w:r>
        <w:tab/>
      </w:r>
      <w:r>
        <w:rPr>
          <w:b/>
          <w:bCs/>
        </w:rPr>
        <w:t>Jusqu</w:t>
      </w:r>
      <w:r w:rsidR="004B49A6">
        <w:rPr>
          <w:b/>
          <w:bCs/>
        </w:rPr>
        <w:t>’</w:t>
      </w:r>
      <w:r>
        <w:rPr>
          <w:b/>
          <w:bCs/>
        </w:rPr>
        <w:t>au 1</w:t>
      </w:r>
      <w:r>
        <w:rPr>
          <w:b/>
          <w:bCs/>
          <w:vertAlign w:val="superscript"/>
        </w:rPr>
        <w:t>er</w:t>
      </w:r>
      <w:r w:rsidR="005E5DBA">
        <w:rPr>
          <w:b/>
          <w:bCs/>
        </w:rPr>
        <w:t> </w:t>
      </w:r>
      <w:r>
        <w:rPr>
          <w:b/>
          <w:bCs/>
        </w:rPr>
        <w:t>septembre [2028], les Parties contractantes appliquant le présent Règlement devront accepter les homologations de type accordées au titre des précédentes séries d</w:t>
      </w:r>
      <w:r w:rsidR="004B49A6">
        <w:rPr>
          <w:b/>
          <w:bCs/>
        </w:rPr>
        <w:t>’</w:t>
      </w:r>
      <w:r>
        <w:rPr>
          <w:b/>
          <w:bCs/>
        </w:rPr>
        <w:t>amendements et délivrées pour la première fois avant le 1</w:t>
      </w:r>
      <w:r>
        <w:rPr>
          <w:b/>
          <w:bCs/>
          <w:vertAlign w:val="superscript"/>
        </w:rPr>
        <w:t>er</w:t>
      </w:r>
      <w:r w:rsidR="005E5DBA">
        <w:rPr>
          <w:b/>
          <w:bCs/>
        </w:rPr>
        <w:t> </w:t>
      </w:r>
      <w:r>
        <w:rPr>
          <w:b/>
          <w:bCs/>
        </w:rPr>
        <w:t>septembre [2027].</w:t>
      </w:r>
    </w:p>
    <w:p w14:paraId="624ED719" w14:textId="1A4BB613" w:rsidR="0083199D" w:rsidRDefault="0083199D" w:rsidP="0083199D">
      <w:pPr>
        <w:pStyle w:val="para"/>
        <w:rPr>
          <w:b/>
          <w:bCs/>
        </w:rPr>
        <w:sectPr w:rsidR="0083199D" w:rsidSect="0083199D">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pPr>
      <w:r>
        <w:rPr>
          <w:b/>
          <w:bCs/>
        </w:rPr>
        <w:lastRenderedPageBreak/>
        <w:t>10.8</w:t>
      </w:r>
      <w:r>
        <w:tab/>
      </w:r>
      <w:r>
        <w:rPr>
          <w:b/>
          <w:bCs/>
        </w:rPr>
        <w:t>À compter du 1</w:t>
      </w:r>
      <w:r>
        <w:rPr>
          <w:b/>
          <w:bCs/>
          <w:vertAlign w:val="superscript"/>
        </w:rPr>
        <w:t>er</w:t>
      </w:r>
      <w:r w:rsidR="005E5DBA">
        <w:rPr>
          <w:b/>
          <w:bCs/>
        </w:rPr>
        <w:t> </w:t>
      </w:r>
      <w:r>
        <w:rPr>
          <w:b/>
          <w:bCs/>
        </w:rPr>
        <w:t>septembre [2028], les Parties contractantes appliquant le présent Règlement ne seront plus tenues d</w:t>
      </w:r>
      <w:r w:rsidR="004B49A6">
        <w:rPr>
          <w:b/>
          <w:bCs/>
        </w:rPr>
        <w:t>’</w:t>
      </w:r>
      <w:r>
        <w:rPr>
          <w:b/>
          <w:bCs/>
        </w:rPr>
        <w:t>accepter les homologations de type délivrées au titre des précédentes séries d</w:t>
      </w:r>
      <w:r w:rsidR="004B49A6">
        <w:rPr>
          <w:b/>
          <w:bCs/>
        </w:rPr>
        <w:t>’</w:t>
      </w:r>
      <w:r>
        <w:rPr>
          <w:b/>
          <w:bCs/>
        </w:rPr>
        <w:t>amendements audit Règlement.</w:t>
      </w:r>
    </w:p>
    <w:p w14:paraId="22FB0C61" w14:textId="77777777" w:rsidR="0083199D" w:rsidRPr="005E5DBA" w:rsidRDefault="0083199D" w:rsidP="005E5DBA">
      <w:pPr>
        <w:pStyle w:val="HChG"/>
      </w:pPr>
      <w:bookmarkStart w:id="28" w:name="_Toc441498805"/>
      <w:r>
        <w:rPr>
          <w:lang w:val="fr-FR"/>
        </w:rPr>
        <w:lastRenderedPageBreak/>
        <w:t>Annexe 1</w:t>
      </w:r>
      <w:bookmarkEnd w:id="28"/>
    </w:p>
    <w:p w14:paraId="5237C15A" w14:textId="77777777" w:rsidR="004B49A6" w:rsidRPr="005E5DBA" w:rsidRDefault="004B49A6" w:rsidP="005E5DBA">
      <w:pPr>
        <w:pStyle w:val="HChG"/>
      </w:pPr>
      <w:bookmarkStart w:id="29" w:name="_Toc405992136"/>
      <w:r w:rsidRPr="00D96394">
        <w:tab/>
      </w:r>
      <w:r w:rsidRPr="00D96394">
        <w:tab/>
        <w:t>Communication</w:t>
      </w:r>
    </w:p>
    <w:p w14:paraId="40018657" w14:textId="027781E2" w:rsidR="004B49A6" w:rsidRPr="00D96394" w:rsidRDefault="004B49A6" w:rsidP="004B49A6">
      <w:pPr>
        <w:pStyle w:val="SingleTxtG"/>
      </w:pPr>
      <w:r w:rsidRPr="00D96394">
        <w:t>(format maximal</w:t>
      </w:r>
      <w:r w:rsidR="005E5DBA">
        <w:t xml:space="preserve"> </w:t>
      </w:r>
      <w:r w:rsidRPr="00D96394">
        <w:t>: A4 (210 x 297 mm))</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3969"/>
      </w:tblGrid>
      <w:tr w:rsidR="004B49A6" w:rsidRPr="00D96394" w14:paraId="795C0764" w14:textId="77777777" w:rsidTr="007D1CF5">
        <w:tc>
          <w:tcPr>
            <w:tcW w:w="3402" w:type="dxa"/>
          </w:tcPr>
          <w:bookmarkStart w:id="30" w:name="_MON_1420453160"/>
          <w:bookmarkStart w:id="31" w:name="_MON_1420453756"/>
          <w:bookmarkEnd w:id="30"/>
          <w:bookmarkEnd w:id="31"/>
          <w:p w14:paraId="158B9FFC" w14:textId="2DAD4418" w:rsidR="004B49A6" w:rsidRPr="00D96394" w:rsidRDefault="004B49A6" w:rsidP="007D1CF5">
            <w:pPr>
              <w:pStyle w:val="SingleTxtG"/>
              <w:spacing w:after="0"/>
              <w:ind w:left="0"/>
            </w:pPr>
            <w:r w:rsidRPr="00D96394">
              <w:object w:dxaOrig="1684" w:dyaOrig="1675" w14:anchorId="3C097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4pt;height:83.6pt" o:ole="">
                  <v:imagedata r:id="rId14" o:title=""/>
                </v:shape>
                <o:OLEObject Type="Embed" ProgID="Word.Picture.8" ShapeID="_x0000_i1030" DrawAspect="Content" ObjectID="_1785669414" r:id="rId15"/>
              </w:object>
            </w:r>
            <w:r w:rsidRPr="004B49A6">
              <w:rPr>
                <w:rStyle w:val="Appelnotedebasdep"/>
                <w:color w:val="FFFFFF" w:themeColor="background1"/>
              </w:rPr>
              <w:footnoteReference w:id="6"/>
            </w:r>
          </w:p>
        </w:tc>
        <w:tc>
          <w:tcPr>
            <w:tcW w:w="3969" w:type="dxa"/>
          </w:tcPr>
          <w:p w14:paraId="28853B00" w14:textId="5A59391A" w:rsidR="004B49A6" w:rsidRPr="00D96394" w:rsidRDefault="004B49A6" w:rsidP="007D1CF5">
            <w:pPr>
              <w:ind w:left="1701" w:hanging="1701"/>
            </w:pPr>
            <w:r w:rsidRPr="00D96394">
              <w:t>Émanant de</w:t>
            </w:r>
            <w:r>
              <w:t xml:space="preserve"> </w:t>
            </w:r>
            <w:r w:rsidRPr="00D96394">
              <w:t>:</w:t>
            </w:r>
            <w:r w:rsidRPr="00D96394">
              <w:tab/>
              <w:t>Nom de l</w:t>
            </w:r>
            <w:r>
              <w:t>’</w:t>
            </w:r>
            <w:r w:rsidRPr="00D96394">
              <w:t>administration</w:t>
            </w:r>
            <w:r>
              <w:t xml:space="preserve"> </w:t>
            </w:r>
            <w:r w:rsidRPr="00D96394">
              <w:t>:</w:t>
            </w:r>
          </w:p>
          <w:p w14:paraId="1A35282C" w14:textId="77777777" w:rsidR="004B49A6" w:rsidRPr="00D96394" w:rsidRDefault="004B49A6" w:rsidP="007D1CF5">
            <w:pPr>
              <w:pStyle w:val="SingleTxtG"/>
              <w:tabs>
                <w:tab w:val="right" w:leader="dot" w:pos="3686"/>
              </w:tabs>
              <w:spacing w:after="0"/>
              <w:ind w:left="1701" w:right="0"/>
            </w:pPr>
            <w:r w:rsidRPr="00D96394">
              <w:tab/>
            </w:r>
          </w:p>
          <w:p w14:paraId="0452EA2B" w14:textId="77777777" w:rsidR="004B49A6" w:rsidRPr="00D96394" w:rsidRDefault="004B49A6" w:rsidP="007D1CF5">
            <w:pPr>
              <w:pStyle w:val="SingleTxtG"/>
              <w:tabs>
                <w:tab w:val="right" w:leader="dot" w:pos="3686"/>
              </w:tabs>
              <w:spacing w:after="0"/>
              <w:ind w:left="1701" w:right="0"/>
            </w:pPr>
            <w:r w:rsidRPr="00D96394">
              <w:tab/>
            </w:r>
          </w:p>
          <w:p w14:paraId="7BEE205A" w14:textId="77777777" w:rsidR="004B49A6" w:rsidRPr="00D96394" w:rsidRDefault="004B49A6" w:rsidP="007D1CF5">
            <w:pPr>
              <w:pStyle w:val="SingleTxtG"/>
              <w:tabs>
                <w:tab w:val="right" w:leader="dot" w:pos="3686"/>
              </w:tabs>
              <w:spacing w:after="0"/>
              <w:ind w:left="1701" w:right="0"/>
            </w:pPr>
            <w:r w:rsidRPr="00D96394">
              <w:tab/>
            </w:r>
          </w:p>
        </w:tc>
      </w:tr>
    </w:tbl>
    <w:p w14:paraId="5A947A57" w14:textId="7820194C" w:rsidR="004B49A6" w:rsidRPr="00D96394" w:rsidRDefault="004B49A6" w:rsidP="004B49A6">
      <w:pPr>
        <w:pStyle w:val="SingleTxtG"/>
        <w:spacing w:before="120"/>
        <w:ind w:left="2552" w:hanging="1418"/>
        <w:jc w:val="left"/>
      </w:pPr>
      <w:r w:rsidRPr="00D96394">
        <w:t>concernant</w:t>
      </w:r>
      <w:r w:rsidRPr="00D96394">
        <w:rPr>
          <w:rStyle w:val="Appelnotedebasdep"/>
        </w:rPr>
        <w:footnoteReference w:id="7"/>
      </w:r>
      <w:r w:rsidR="005E5DBA">
        <w:t xml:space="preserve"> </w:t>
      </w:r>
      <w:r w:rsidRPr="00D96394">
        <w:t>:</w:t>
      </w:r>
      <w:r w:rsidRPr="00D96394">
        <w:tab/>
        <w:t>Délivrance d</w:t>
      </w:r>
      <w:r>
        <w:t>’</w:t>
      </w:r>
      <w:r w:rsidRPr="00D96394">
        <w:t>une homologation</w:t>
      </w:r>
      <w:r w:rsidRPr="00D96394">
        <w:br/>
        <w:t>Extension d</w:t>
      </w:r>
      <w:r>
        <w:t>’</w:t>
      </w:r>
      <w:r w:rsidRPr="00D96394">
        <w:t>homologation</w:t>
      </w:r>
      <w:r w:rsidRPr="00D96394">
        <w:br/>
        <w:t>Refus d</w:t>
      </w:r>
      <w:r>
        <w:t>’</w:t>
      </w:r>
      <w:r w:rsidRPr="00D96394">
        <w:t>homologation</w:t>
      </w:r>
      <w:r w:rsidRPr="00D96394">
        <w:br/>
        <w:t>Retrait d</w:t>
      </w:r>
      <w:r>
        <w:t>’</w:t>
      </w:r>
      <w:r w:rsidRPr="00D96394">
        <w:t>homologation</w:t>
      </w:r>
      <w:r w:rsidRPr="00D96394">
        <w:br/>
        <w:t>Arrêt définitif de la production</w:t>
      </w:r>
    </w:p>
    <w:p w14:paraId="0D2654EB" w14:textId="5B2EF01B" w:rsidR="004B49A6" w:rsidRPr="00D96394" w:rsidRDefault="004B49A6" w:rsidP="004B49A6">
      <w:pPr>
        <w:pStyle w:val="SingleTxtG"/>
      </w:pPr>
      <w:r>
        <w:rPr>
          <w:lang w:val="fr-FR"/>
        </w:rPr>
        <w:t>d</w:t>
      </w:r>
      <w:r>
        <w:rPr>
          <w:lang w:val="fr-FR"/>
        </w:rPr>
        <w:t>’</w:t>
      </w:r>
      <w:r>
        <w:rPr>
          <w:lang w:val="fr-FR"/>
        </w:rPr>
        <w:t>un type de véhicule en ce qui concerne l</w:t>
      </w:r>
      <w:r>
        <w:rPr>
          <w:lang w:val="fr-FR"/>
        </w:rPr>
        <w:t>’</w:t>
      </w:r>
      <w:r>
        <w:rPr>
          <w:lang w:val="fr-FR"/>
        </w:rPr>
        <w:t xml:space="preserve">indicateur de vitesse et le compteur kilométrique, y compris leur installation, au titre du Règlement ONU </w:t>
      </w:r>
      <w:r w:rsidRPr="0040456F">
        <w:rPr>
          <w:rFonts w:eastAsia="MS Mincho"/>
          <w:szCs w:val="22"/>
          <w:lang w:val="fr-FR"/>
        </w:rPr>
        <w:t>n</w:t>
      </w:r>
      <w:r w:rsidRPr="0040456F">
        <w:rPr>
          <w:rFonts w:eastAsia="MS Mincho"/>
          <w:szCs w:val="22"/>
          <w:vertAlign w:val="superscript"/>
          <w:lang w:val="fr-FR"/>
        </w:rPr>
        <w:t>o</w:t>
      </w:r>
      <w:r>
        <w:rPr>
          <w:lang w:val="fr-FR"/>
        </w:rPr>
        <w:t> 39.</w:t>
      </w:r>
    </w:p>
    <w:p w14:paraId="129471C6" w14:textId="07C90128" w:rsidR="004B49A6" w:rsidRPr="00D96394" w:rsidRDefault="004B49A6" w:rsidP="004B49A6">
      <w:pPr>
        <w:pStyle w:val="SingleTxtG"/>
        <w:tabs>
          <w:tab w:val="right" w:leader="dot" w:pos="4253"/>
          <w:tab w:val="left" w:pos="4536"/>
          <w:tab w:val="right" w:leader="dot" w:pos="8505"/>
        </w:tabs>
        <w:jc w:val="left"/>
      </w:pPr>
      <w:r w:rsidRPr="00D96394">
        <w:t>N</w:t>
      </w:r>
      <w:r w:rsidRPr="00D96394">
        <w:rPr>
          <w:vertAlign w:val="superscript"/>
        </w:rPr>
        <w:t>o</w:t>
      </w:r>
      <w:r w:rsidRPr="00D96394">
        <w:t xml:space="preserve"> d</w:t>
      </w:r>
      <w:r>
        <w:t>’</w:t>
      </w:r>
      <w:r w:rsidRPr="00D96394">
        <w:t>homologation</w:t>
      </w:r>
      <w:r w:rsidRPr="00D96394">
        <w:tab/>
      </w:r>
      <w:r w:rsidRPr="00D96394">
        <w:tab/>
        <w:t>N</w:t>
      </w:r>
      <w:r w:rsidRPr="00D96394">
        <w:rPr>
          <w:vertAlign w:val="superscript"/>
        </w:rPr>
        <w:t>o</w:t>
      </w:r>
      <w:r w:rsidRPr="00D96394">
        <w:t xml:space="preserve"> d</w:t>
      </w:r>
      <w:r>
        <w:t>’</w:t>
      </w:r>
      <w:r w:rsidRPr="00D96394">
        <w:t>extension</w:t>
      </w:r>
      <w:r w:rsidRPr="00D96394">
        <w:tab/>
      </w:r>
    </w:p>
    <w:bookmarkEnd w:id="29"/>
    <w:p w14:paraId="623F39DF" w14:textId="77777777" w:rsidR="0083199D" w:rsidRPr="001B10CE" w:rsidRDefault="0083199D" w:rsidP="004B49A6">
      <w:pPr>
        <w:tabs>
          <w:tab w:val="left" w:pos="-720"/>
          <w:tab w:val="left" w:pos="0"/>
          <w:tab w:val="right" w:leader="dot" w:pos="8505"/>
        </w:tabs>
        <w:spacing w:after="120"/>
        <w:ind w:left="1701" w:right="992" w:hanging="567"/>
      </w:pPr>
      <w:r>
        <w:rPr>
          <w:lang w:val="fr-FR"/>
        </w:rPr>
        <w:t>1.</w:t>
      </w:r>
      <w:r>
        <w:rPr>
          <w:lang w:val="fr-FR"/>
        </w:rPr>
        <w:tab/>
        <w:t xml:space="preserve">Marque de fabrique ou de commerce du véhicule : </w:t>
      </w:r>
      <w:r>
        <w:rPr>
          <w:lang w:val="fr-FR"/>
        </w:rPr>
        <w:tab/>
      </w:r>
    </w:p>
    <w:p w14:paraId="2E9C1D4B" w14:textId="77777777" w:rsidR="0083199D" w:rsidRPr="001B10CE" w:rsidRDefault="0083199D" w:rsidP="004B49A6">
      <w:pPr>
        <w:tabs>
          <w:tab w:val="left" w:pos="-720"/>
          <w:tab w:val="left" w:pos="0"/>
          <w:tab w:val="right" w:leader="dot" w:pos="8505"/>
        </w:tabs>
        <w:spacing w:after="120"/>
        <w:ind w:left="1701" w:right="992" w:hanging="567"/>
      </w:pPr>
      <w:r>
        <w:rPr>
          <w:lang w:val="fr-FR"/>
        </w:rPr>
        <w:t>2.</w:t>
      </w:r>
      <w:r>
        <w:rPr>
          <w:lang w:val="fr-FR"/>
        </w:rPr>
        <w:tab/>
        <w:t xml:space="preserve">Type du véhicule : </w:t>
      </w:r>
      <w:r>
        <w:rPr>
          <w:lang w:val="fr-FR"/>
        </w:rPr>
        <w:tab/>
      </w:r>
    </w:p>
    <w:p w14:paraId="361C94B2" w14:textId="77777777" w:rsidR="0083199D" w:rsidRPr="001B10CE" w:rsidRDefault="0083199D" w:rsidP="004B49A6">
      <w:pPr>
        <w:tabs>
          <w:tab w:val="left" w:pos="-720"/>
          <w:tab w:val="left" w:pos="0"/>
          <w:tab w:val="right" w:leader="dot" w:pos="8505"/>
        </w:tabs>
        <w:spacing w:after="120"/>
        <w:ind w:left="1701" w:right="992" w:hanging="567"/>
      </w:pPr>
      <w:r>
        <w:rPr>
          <w:lang w:val="fr-FR"/>
        </w:rPr>
        <w:t>3.</w:t>
      </w:r>
      <w:r>
        <w:rPr>
          <w:lang w:val="fr-FR"/>
        </w:rPr>
        <w:tab/>
        <w:t xml:space="preserve">Nom et adresse du constructeur : </w:t>
      </w:r>
      <w:r>
        <w:rPr>
          <w:lang w:val="fr-FR"/>
        </w:rPr>
        <w:tab/>
      </w:r>
    </w:p>
    <w:p w14:paraId="01815153" w14:textId="77777777" w:rsidR="0083199D" w:rsidRPr="001B10CE" w:rsidRDefault="0083199D" w:rsidP="004B49A6">
      <w:pPr>
        <w:tabs>
          <w:tab w:val="left" w:pos="-720"/>
          <w:tab w:val="left" w:pos="0"/>
          <w:tab w:val="right" w:leader="dot" w:pos="8505"/>
        </w:tabs>
        <w:spacing w:after="120"/>
        <w:ind w:left="1701" w:right="992" w:hanging="567"/>
      </w:pPr>
      <w:r w:rsidRPr="001B10CE">
        <w:tab/>
      </w:r>
      <w:r w:rsidRPr="001B10CE">
        <w:tab/>
      </w:r>
    </w:p>
    <w:p w14:paraId="59199CC4" w14:textId="77777777" w:rsidR="0083199D" w:rsidRPr="001B10CE" w:rsidRDefault="0083199D" w:rsidP="004B49A6">
      <w:pPr>
        <w:tabs>
          <w:tab w:val="left" w:pos="-720"/>
          <w:tab w:val="left" w:pos="0"/>
          <w:tab w:val="right" w:leader="dot" w:pos="8505"/>
        </w:tabs>
        <w:spacing w:after="120"/>
        <w:ind w:left="1701" w:right="992" w:hanging="567"/>
      </w:pPr>
      <w:r>
        <w:rPr>
          <w:lang w:val="fr-FR"/>
        </w:rPr>
        <w:t>4.</w:t>
      </w:r>
      <w:r>
        <w:rPr>
          <w:lang w:val="fr-FR"/>
        </w:rPr>
        <w:tab/>
        <w:t xml:space="preserve">Le cas échéant, nom et adresse du représentant du constructeur : </w:t>
      </w:r>
      <w:r>
        <w:rPr>
          <w:lang w:val="fr-FR"/>
        </w:rPr>
        <w:tab/>
      </w:r>
      <w:r>
        <w:rPr>
          <w:lang w:val="fr-FR"/>
        </w:rPr>
        <w:tab/>
      </w:r>
    </w:p>
    <w:p w14:paraId="469FED36" w14:textId="77777777" w:rsidR="0083199D" w:rsidRPr="001B10CE" w:rsidRDefault="0083199D" w:rsidP="004B49A6">
      <w:pPr>
        <w:tabs>
          <w:tab w:val="left" w:pos="-720"/>
          <w:tab w:val="left" w:pos="0"/>
          <w:tab w:val="right" w:leader="dot" w:pos="8505"/>
        </w:tabs>
        <w:spacing w:after="120"/>
        <w:ind w:left="1701" w:right="992" w:hanging="567"/>
      </w:pPr>
      <w:r w:rsidRPr="001B10CE">
        <w:tab/>
      </w:r>
      <w:r w:rsidRPr="001B10CE">
        <w:tab/>
      </w:r>
    </w:p>
    <w:p w14:paraId="005C060A" w14:textId="72468AAE" w:rsidR="0083199D" w:rsidRPr="001B10CE" w:rsidRDefault="0083199D" w:rsidP="004B49A6">
      <w:pPr>
        <w:tabs>
          <w:tab w:val="left" w:pos="-720"/>
          <w:tab w:val="left" w:pos="0"/>
          <w:tab w:val="right" w:leader="dot" w:pos="8505"/>
        </w:tabs>
        <w:spacing w:after="120"/>
        <w:ind w:left="1701" w:right="992" w:hanging="567"/>
      </w:pPr>
      <w:r>
        <w:rPr>
          <w:lang w:val="fr-FR"/>
        </w:rPr>
        <w:t>5.</w:t>
      </w:r>
      <w:r>
        <w:rPr>
          <w:lang w:val="fr-FR"/>
        </w:rPr>
        <w:tab/>
        <w:t>Description de l</w:t>
      </w:r>
      <w:r w:rsidR="004B49A6">
        <w:rPr>
          <w:lang w:val="fr-FR"/>
        </w:rPr>
        <w:t>’</w:t>
      </w:r>
      <w:r>
        <w:rPr>
          <w:lang w:val="fr-FR"/>
        </w:rPr>
        <w:t xml:space="preserve">indicateur de vitesse : </w:t>
      </w:r>
      <w:r>
        <w:rPr>
          <w:lang w:val="fr-FR"/>
        </w:rPr>
        <w:tab/>
      </w:r>
    </w:p>
    <w:p w14:paraId="656063CE" w14:textId="77777777" w:rsidR="0083199D" w:rsidRPr="001B10CE" w:rsidRDefault="0083199D" w:rsidP="004B49A6">
      <w:pPr>
        <w:tabs>
          <w:tab w:val="left" w:pos="-720"/>
          <w:tab w:val="left" w:pos="0"/>
          <w:tab w:val="right" w:leader="dot" w:pos="8505"/>
        </w:tabs>
        <w:spacing w:after="120"/>
        <w:ind w:left="1701" w:right="992" w:hanging="567"/>
        <w:rPr>
          <w:strike/>
        </w:rPr>
      </w:pPr>
      <w:r w:rsidRPr="008A7EE0">
        <w:rPr>
          <w:strike/>
          <w:lang w:val="fr-FR"/>
        </w:rPr>
        <w:t>5.1</w:t>
      </w:r>
      <w:r w:rsidRPr="008A7EE0">
        <w:rPr>
          <w:strike/>
          <w:lang w:val="fr-FR"/>
        </w:rPr>
        <w:tab/>
        <w:t xml:space="preserve">Caractéristiques des pneumatiques de monte normale : </w:t>
      </w:r>
      <w:r w:rsidRPr="008A7EE0">
        <w:rPr>
          <w:strike/>
          <w:lang w:val="fr-FR"/>
        </w:rPr>
        <w:tab/>
      </w:r>
    </w:p>
    <w:p w14:paraId="3DE1BC31" w14:textId="08B571A3" w:rsidR="0083199D" w:rsidRPr="001B10CE" w:rsidRDefault="0083199D" w:rsidP="004B49A6">
      <w:pPr>
        <w:tabs>
          <w:tab w:val="left" w:pos="-720"/>
          <w:tab w:val="left" w:pos="0"/>
          <w:tab w:val="right" w:leader="dot" w:pos="8505"/>
        </w:tabs>
        <w:spacing w:after="120"/>
        <w:ind w:left="1701" w:right="992" w:hanging="567"/>
        <w:rPr>
          <w:strike/>
        </w:rPr>
      </w:pPr>
      <w:r w:rsidRPr="008A7EE0">
        <w:rPr>
          <w:strike/>
          <w:lang w:val="fr-FR"/>
        </w:rPr>
        <w:t>5.2</w:t>
      </w:r>
      <w:r w:rsidRPr="008A7EE0">
        <w:rPr>
          <w:strike/>
          <w:lang w:val="fr-FR"/>
        </w:rPr>
        <w:tab/>
        <w:t>Caractéristiques des pneumatiques montés pendant l</w:t>
      </w:r>
      <w:r w:rsidR="004B49A6">
        <w:rPr>
          <w:strike/>
          <w:lang w:val="fr-FR"/>
        </w:rPr>
        <w:t>’</w:t>
      </w:r>
      <w:r w:rsidRPr="008A7EE0">
        <w:rPr>
          <w:strike/>
          <w:lang w:val="fr-FR"/>
        </w:rPr>
        <w:t xml:space="preserve">essai : </w:t>
      </w:r>
      <w:r w:rsidRPr="008A7EE0">
        <w:rPr>
          <w:strike/>
          <w:lang w:val="fr-FR"/>
        </w:rPr>
        <w:tab/>
      </w:r>
    </w:p>
    <w:p w14:paraId="17FD6A50" w14:textId="6BAA68E2" w:rsidR="0083199D" w:rsidRPr="001B10CE" w:rsidRDefault="0083199D" w:rsidP="004B49A6">
      <w:pPr>
        <w:tabs>
          <w:tab w:val="left" w:pos="-720"/>
          <w:tab w:val="left" w:pos="0"/>
          <w:tab w:val="right" w:leader="dot" w:pos="8505"/>
        </w:tabs>
        <w:spacing w:after="120"/>
        <w:ind w:left="1701" w:right="992" w:hanging="567"/>
        <w:rPr>
          <w:strike/>
        </w:rPr>
      </w:pPr>
      <w:r>
        <w:rPr>
          <w:lang w:val="fr-FR"/>
        </w:rPr>
        <w:t>5.</w:t>
      </w:r>
      <w:r>
        <w:rPr>
          <w:strike/>
          <w:lang w:val="fr-FR"/>
        </w:rPr>
        <w:t>3</w:t>
      </w:r>
      <w:r>
        <w:rPr>
          <w:b/>
          <w:bCs/>
          <w:lang w:val="fr-FR"/>
        </w:rPr>
        <w:t>1</w:t>
      </w:r>
      <w:r>
        <w:rPr>
          <w:lang w:val="fr-FR"/>
        </w:rPr>
        <w:tab/>
        <w:t>Ratio d</w:t>
      </w:r>
      <w:r w:rsidR="004B49A6">
        <w:rPr>
          <w:lang w:val="fr-FR"/>
        </w:rPr>
        <w:t>’</w:t>
      </w:r>
      <w:r>
        <w:rPr>
          <w:lang w:val="fr-FR"/>
        </w:rPr>
        <w:t>entraînement de l</w:t>
      </w:r>
      <w:r w:rsidR="004B49A6">
        <w:rPr>
          <w:lang w:val="fr-FR"/>
        </w:rPr>
        <w:t>’</w:t>
      </w:r>
      <w:r>
        <w:rPr>
          <w:lang w:val="fr-FR"/>
        </w:rPr>
        <w:t xml:space="preserve">indicateur de vitesse : </w:t>
      </w:r>
      <w:r>
        <w:rPr>
          <w:lang w:val="fr-FR"/>
        </w:rPr>
        <w:tab/>
      </w:r>
    </w:p>
    <w:p w14:paraId="6FE42F9D" w14:textId="5FBAEF40" w:rsidR="0083199D" w:rsidRPr="001B10CE" w:rsidRDefault="0083199D" w:rsidP="004B49A6">
      <w:pPr>
        <w:tabs>
          <w:tab w:val="left" w:pos="-720"/>
          <w:tab w:val="left" w:pos="0"/>
          <w:tab w:val="right" w:leader="dot" w:pos="8505"/>
        </w:tabs>
        <w:spacing w:after="120"/>
        <w:ind w:left="1701" w:right="992" w:hanging="567"/>
      </w:pPr>
      <w:r>
        <w:rPr>
          <w:lang w:val="fr-FR"/>
        </w:rPr>
        <w:t>6.</w:t>
      </w:r>
      <w:r>
        <w:rPr>
          <w:lang w:val="fr-FR"/>
        </w:rPr>
        <w:tab/>
        <w:t>Description de l</w:t>
      </w:r>
      <w:r w:rsidR="004B49A6">
        <w:rPr>
          <w:lang w:val="fr-FR"/>
        </w:rPr>
        <w:t>’</w:t>
      </w:r>
      <w:r>
        <w:rPr>
          <w:lang w:val="fr-FR"/>
        </w:rPr>
        <w:t xml:space="preserve">équipement du compteur kilométrique : </w:t>
      </w:r>
      <w:r>
        <w:rPr>
          <w:lang w:val="fr-FR"/>
        </w:rPr>
        <w:tab/>
      </w:r>
    </w:p>
    <w:p w14:paraId="20038EDA" w14:textId="47A87053" w:rsidR="0083199D" w:rsidRPr="001B10CE" w:rsidRDefault="0083199D" w:rsidP="004B49A6">
      <w:pPr>
        <w:tabs>
          <w:tab w:val="left" w:pos="-720"/>
          <w:tab w:val="left" w:pos="0"/>
          <w:tab w:val="right" w:leader="dot" w:pos="8505"/>
        </w:tabs>
        <w:spacing w:after="120"/>
        <w:ind w:left="1701" w:right="992" w:hanging="567"/>
      </w:pPr>
      <w:r>
        <w:rPr>
          <w:b/>
          <w:bCs/>
          <w:lang w:val="fr-FR"/>
        </w:rPr>
        <w:t>6.1</w:t>
      </w:r>
      <w:r>
        <w:rPr>
          <w:lang w:val="fr-FR"/>
        </w:rPr>
        <w:tab/>
      </w:r>
      <w:r>
        <w:rPr>
          <w:b/>
          <w:bCs/>
          <w:lang w:val="fr-FR"/>
        </w:rPr>
        <w:t>Ratio d</w:t>
      </w:r>
      <w:r w:rsidR="004B49A6">
        <w:rPr>
          <w:b/>
          <w:bCs/>
          <w:lang w:val="fr-FR"/>
        </w:rPr>
        <w:t>’</w:t>
      </w:r>
      <w:r>
        <w:rPr>
          <w:b/>
          <w:bCs/>
          <w:lang w:val="fr-FR"/>
        </w:rPr>
        <w:t>entraînement du compteur kilométrique :</w:t>
      </w:r>
      <w:r>
        <w:rPr>
          <w:lang w:val="fr-FR"/>
        </w:rPr>
        <w:t xml:space="preserve"> </w:t>
      </w:r>
      <w:r>
        <w:rPr>
          <w:lang w:val="fr-FR"/>
        </w:rPr>
        <w:tab/>
      </w:r>
    </w:p>
    <w:p w14:paraId="438BFB91" w14:textId="743F152D" w:rsidR="0083199D" w:rsidRPr="001B10CE" w:rsidRDefault="0083199D" w:rsidP="004B49A6">
      <w:pPr>
        <w:tabs>
          <w:tab w:val="left" w:pos="-720"/>
          <w:tab w:val="left" w:pos="0"/>
          <w:tab w:val="right" w:leader="dot" w:pos="8505"/>
        </w:tabs>
        <w:spacing w:after="120"/>
        <w:ind w:left="1701" w:right="992" w:hanging="567"/>
      </w:pPr>
      <w:r>
        <w:rPr>
          <w:b/>
          <w:bCs/>
          <w:lang w:val="fr-FR"/>
        </w:rPr>
        <w:t>6.2</w:t>
      </w:r>
      <w:r>
        <w:rPr>
          <w:lang w:val="fr-FR"/>
        </w:rPr>
        <w:tab/>
      </w:r>
      <w:r>
        <w:rPr>
          <w:b/>
          <w:bCs/>
          <w:lang w:val="fr-FR"/>
        </w:rPr>
        <w:t>Compteur kilométrique entièrement mécanique : oui/non</w:t>
      </w:r>
    </w:p>
    <w:p w14:paraId="6C3EB042" w14:textId="77777777" w:rsidR="0083199D" w:rsidRPr="001B10CE" w:rsidRDefault="0083199D" w:rsidP="004B49A6">
      <w:pPr>
        <w:tabs>
          <w:tab w:val="left" w:pos="-720"/>
          <w:tab w:val="left" w:pos="0"/>
          <w:tab w:val="right" w:leader="dot" w:pos="8505"/>
        </w:tabs>
        <w:spacing w:after="120"/>
        <w:ind w:left="1701" w:right="992" w:hanging="567"/>
        <w:rPr>
          <w:b/>
          <w:bCs/>
        </w:rPr>
      </w:pPr>
      <w:r>
        <w:rPr>
          <w:b/>
          <w:bCs/>
          <w:lang w:val="fr-FR"/>
        </w:rPr>
        <w:t>7.</w:t>
      </w:r>
      <w:r>
        <w:rPr>
          <w:lang w:val="fr-FR"/>
        </w:rPr>
        <w:tab/>
      </w:r>
      <w:r>
        <w:rPr>
          <w:b/>
          <w:bCs/>
          <w:lang w:val="fr-FR"/>
        </w:rPr>
        <w:t>Pneumatiques :</w:t>
      </w:r>
    </w:p>
    <w:p w14:paraId="3BFCB1DD" w14:textId="77777777" w:rsidR="0083199D" w:rsidRPr="001B10CE" w:rsidRDefault="0083199D" w:rsidP="004B49A6">
      <w:pPr>
        <w:tabs>
          <w:tab w:val="left" w:pos="-720"/>
          <w:tab w:val="left" w:pos="0"/>
          <w:tab w:val="right" w:leader="dot" w:pos="8505"/>
        </w:tabs>
        <w:spacing w:after="120"/>
        <w:ind w:left="1701" w:right="992" w:hanging="567"/>
        <w:rPr>
          <w:b/>
          <w:bCs/>
        </w:rPr>
      </w:pPr>
      <w:r>
        <w:rPr>
          <w:b/>
          <w:bCs/>
          <w:lang w:val="fr-FR"/>
        </w:rPr>
        <w:t>7.1</w:t>
      </w:r>
      <w:r>
        <w:rPr>
          <w:lang w:val="fr-FR"/>
        </w:rPr>
        <w:tab/>
      </w:r>
      <w:r>
        <w:rPr>
          <w:b/>
          <w:bCs/>
          <w:lang w:val="fr-FR"/>
        </w:rPr>
        <w:t>Caractéristiques des pneumatiques de monte normale :</w:t>
      </w:r>
      <w:r>
        <w:rPr>
          <w:lang w:val="fr-FR"/>
        </w:rPr>
        <w:t xml:space="preserve"> </w:t>
      </w:r>
      <w:r>
        <w:rPr>
          <w:lang w:val="fr-FR"/>
        </w:rPr>
        <w:tab/>
      </w:r>
    </w:p>
    <w:p w14:paraId="684035B0" w14:textId="6236B64C" w:rsidR="0083199D" w:rsidRPr="001B10CE" w:rsidRDefault="0083199D" w:rsidP="004B49A6">
      <w:pPr>
        <w:tabs>
          <w:tab w:val="left" w:pos="-720"/>
          <w:tab w:val="left" w:pos="0"/>
          <w:tab w:val="right" w:leader="dot" w:pos="8505"/>
        </w:tabs>
        <w:spacing w:after="120"/>
        <w:ind w:left="1701" w:right="992" w:hanging="567"/>
        <w:rPr>
          <w:b/>
          <w:bCs/>
        </w:rPr>
      </w:pPr>
      <w:r>
        <w:rPr>
          <w:b/>
          <w:bCs/>
          <w:lang w:val="fr-FR"/>
        </w:rPr>
        <w:t>7.2</w:t>
      </w:r>
      <w:r>
        <w:rPr>
          <w:lang w:val="fr-FR"/>
        </w:rPr>
        <w:tab/>
      </w:r>
      <w:r>
        <w:rPr>
          <w:b/>
          <w:bCs/>
          <w:lang w:val="fr-FR"/>
        </w:rPr>
        <w:t>Caractéristiques des pneumatiques montés pendant l</w:t>
      </w:r>
      <w:r w:rsidR="004B49A6">
        <w:rPr>
          <w:b/>
          <w:bCs/>
          <w:lang w:val="fr-FR"/>
        </w:rPr>
        <w:t>’</w:t>
      </w:r>
      <w:r>
        <w:rPr>
          <w:b/>
          <w:bCs/>
          <w:lang w:val="fr-FR"/>
        </w:rPr>
        <w:t>essai :</w:t>
      </w:r>
      <w:r>
        <w:rPr>
          <w:lang w:val="fr-FR"/>
        </w:rPr>
        <w:t xml:space="preserve"> </w:t>
      </w:r>
      <w:r>
        <w:rPr>
          <w:lang w:val="fr-FR"/>
        </w:rPr>
        <w:tab/>
      </w:r>
    </w:p>
    <w:p w14:paraId="025888F1" w14:textId="59E51E93" w:rsidR="0083199D" w:rsidRPr="001B10CE" w:rsidRDefault="0083199D" w:rsidP="004B49A6">
      <w:pPr>
        <w:tabs>
          <w:tab w:val="left" w:pos="-720"/>
          <w:tab w:val="left" w:pos="0"/>
          <w:tab w:val="right" w:leader="dot" w:pos="8505"/>
        </w:tabs>
        <w:spacing w:after="120"/>
        <w:ind w:left="1701" w:right="992" w:hanging="567"/>
      </w:pPr>
      <w:r>
        <w:rPr>
          <w:strike/>
          <w:lang w:val="fr-FR"/>
        </w:rPr>
        <w:t>7</w:t>
      </w:r>
      <w:r>
        <w:rPr>
          <w:b/>
          <w:bCs/>
          <w:lang w:val="fr-FR"/>
        </w:rPr>
        <w:t>8</w:t>
      </w:r>
      <w:r>
        <w:rPr>
          <w:lang w:val="fr-FR"/>
        </w:rPr>
        <w:t>.</w:t>
      </w:r>
      <w:r>
        <w:rPr>
          <w:lang w:val="fr-FR"/>
        </w:rPr>
        <w:tab/>
        <w:t>Masse du véhicule lors de l</w:t>
      </w:r>
      <w:r w:rsidR="004B49A6">
        <w:rPr>
          <w:lang w:val="fr-FR"/>
        </w:rPr>
        <w:t>’</w:t>
      </w:r>
      <w:r>
        <w:rPr>
          <w:lang w:val="fr-FR"/>
        </w:rPr>
        <w:t>essai et répartition de cette masse entre les essieux :</w:t>
      </w:r>
    </w:p>
    <w:p w14:paraId="198A3D86" w14:textId="77777777" w:rsidR="0083199D" w:rsidRPr="001B10CE" w:rsidRDefault="0083199D" w:rsidP="004B49A6">
      <w:pPr>
        <w:tabs>
          <w:tab w:val="left" w:pos="-720"/>
          <w:tab w:val="left" w:pos="0"/>
          <w:tab w:val="right" w:leader="dot" w:pos="8505"/>
        </w:tabs>
        <w:spacing w:after="120"/>
        <w:ind w:left="1701" w:right="992" w:hanging="567"/>
      </w:pPr>
      <w:r w:rsidRPr="001B10CE">
        <w:tab/>
      </w:r>
      <w:r w:rsidRPr="001B10CE">
        <w:tab/>
      </w:r>
    </w:p>
    <w:p w14:paraId="67670B75" w14:textId="77777777" w:rsidR="0083199D" w:rsidRPr="001B10CE" w:rsidRDefault="0083199D" w:rsidP="004B49A6">
      <w:pPr>
        <w:tabs>
          <w:tab w:val="left" w:pos="-720"/>
          <w:tab w:val="left" w:pos="0"/>
          <w:tab w:val="right" w:leader="dot" w:pos="8505"/>
        </w:tabs>
        <w:spacing w:after="120"/>
        <w:ind w:left="1701" w:right="992" w:hanging="567"/>
      </w:pPr>
      <w:r>
        <w:rPr>
          <w:strike/>
          <w:lang w:val="fr-FR"/>
        </w:rPr>
        <w:t>8</w:t>
      </w:r>
      <w:r>
        <w:rPr>
          <w:b/>
          <w:bCs/>
          <w:lang w:val="fr-FR"/>
        </w:rPr>
        <w:t>9</w:t>
      </w:r>
      <w:r>
        <w:rPr>
          <w:lang w:val="fr-FR"/>
        </w:rPr>
        <w:t>.</w:t>
      </w:r>
      <w:r>
        <w:rPr>
          <w:lang w:val="fr-FR"/>
        </w:rPr>
        <w:tab/>
        <w:t xml:space="preserve">Variantes : </w:t>
      </w:r>
      <w:r>
        <w:rPr>
          <w:lang w:val="fr-FR"/>
        </w:rPr>
        <w:tab/>
      </w:r>
    </w:p>
    <w:p w14:paraId="772F66CF" w14:textId="43323BAF" w:rsidR="0083199D" w:rsidRPr="001B10CE" w:rsidRDefault="0083199D" w:rsidP="004B49A6">
      <w:pPr>
        <w:tabs>
          <w:tab w:val="left" w:pos="-720"/>
          <w:tab w:val="left" w:pos="0"/>
          <w:tab w:val="right" w:leader="dot" w:pos="8505"/>
        </w:tabs>
        <w:spacing w:after="120"/>
        <w:ind w:left="1701" w:right="992" w:hanging="567"/>
      </w:pPr>
      <w:r>
        <w:rPr>
          <w:strike/>
          <w:lang w:val="fr-FR"/>
        </w:rPr>
        <w:t>9</w:t>
      </w:r>
      <w:r>
        <w:rPr>
          <w:b/>
          <w:bCs/>
          <w:lang w:val="fr-FR"/>
        </w:rPr>
        <w:t>10</w:t>
      </w:r>
      <w:r>
        <w:rPr>
          <w:lang w:val="fr-FR"/>
        </w:rPr>
        <w:t>.</w:t>
      </w:r>
      <w:r>
        <w:rPr>
          <w:lang w:val="fr-FR"/>
        </w:rPr>
        <w:tab/>
        <w:t>Véhicule présenté à l</w:t>
      </w:r>
      <w:r w:rsidR="004B49A6">
        <w:rPr>
          <w:lang w:val="fr-FR"/>
        </w:rPr>
        <w:t>’</w:t>
      </w:r>
      <w:r>
        <w:rPr>
          <w:lang w:val="fr-FR"/>
        </w:rPr>
        <w:t xml:space="preserve">homologation le : </w:t>
      </w:r>
      <w:r>
        <w:rPr>
          <w:lang w:val="fr-FR"/>
        </w:rPr>
        <w:tab/>
      </w:r>
    </w:p>
    <w:p w14:paraId="70881532" w14:textId="249571DC" w:rsidR="0083199D" w:rsidRPr="001B10CE" w:rsidRDefault="0083199D" w:rsidP="004B49A6">
      <w:pPr>
        <w:tabs>
          <w:tab w:val="left" w:pos="-720"/>
          <w:tab w:val="left" w:pos="0"/>
          <w:tab w:val="right" w:leader="dot" w:pos="8505"/>
        </w:tabs>
        <w:spacing w:after="120"/>
        <w:ind w:left="1701" w:right="992" w:hanging="567"/>
      </w:pPr>
      <w:r>
        <w:rPr>
          <w:strike/>
          <w:lang w:val="fr-FR"/>
        </w:rPr>
        <w:lastRenderedPageBreak/>
        <w:t>10</w:t>
      </w:r>
      <w:r>
        <w:rPr>
          <w:b/>
          <w:bCs/>
          <w:lang w:val="fr-FR"/>
        </w:rPr>
        <w:t>11</w:t>
      </w:r>
      <w:r>
        <w:rPr>
          <w:lang w:val="fr-FR"/>
        </w:rPr>
        <w:t>.</w:t>
      </w:r>
      <w:r>
        <w:rPr>
          <w:lang w:val="fr-FR"/>
        </w:rPr>
        <w:tab/>
        <w:t>Service technique chargé des essais d</w:t>
      </w:r>
      <w:r w:rsidR="004B49A6">
        <w:rPr>
          <w:lang w:val="fr-FR"/>
        </w:rPr>
        <w:t>’</w:t>
      </w:r>
      <w:r>
        <w:rPr>
          <w:lang w:val="fr-FR"/>
        </w:rPr>
        <w:t xml:space="preserve">homologation : </w:t>
      </w:r>
      <w:r>
        <w:rPr>
          <w:lang w:val="fr-FR"/>
        </w:rPr>
        <w:tab/>
      </w:r>
    </w:p>
    <w:p w14:paraId="2FA22510" w14:textId="77777777" w:rsidR="0083199D" w:rsidRPr="001B10CE" w:rsidRDefault="0083199D" w:rsidP="004B49A6">
      <w:pPr>
        <w:tabs>
          <w:tab w:val="left" w:pos="-720"/>
          <w:tab w:val="left" w:pos="0"/>
          <w:tab w:val="right" w:leader="dot" w:pos="8505"/>
        </w:tabs>
        <w:spacing w:after="120"/>
        <w:ind w:left="1701" w:right="992" w:hanging="567"/>
      </w:pPr>
      <w:r w:rsidRPr="001B10CE">
        <w:tab/>
      </w:r>
      <w:r w:rsidRPr="001B10CE">
        <w:tab/>
      </w:r>
    </w:p>
    <w:p w14:paraId="7A74A110" w14:textId="77777777" w:rsidR="0083199D" w:rsidRPr="001B10CE" w:rsidRDefault="0083199D" w:rsidP="004B49A6">
      <w:pPr>
        <w:tabs>
          <w:tab w:val="left" w:pos="-720"/>
          <w:tab w:val="left" w:pos="0"/>
          <w:tab w:val="right" w:leader="dot" w:pos="8505"/>
        </w:tabs>
        <w:spacing w:after="120"/>
        <w:ind w:left="1701" w:right="992" w:hanging="567"/>
      </w:pPr>
      <w:r>
        <w:rPr>
          <w:strike/>
          <w:lang w:val="fr-FR"/>
        </w:rPr>
        <w:t>11</w:t>
      </w:r>
      <w:r>
        <w:rPr>
          <w:b/>
          <w:bCs/>
          <w:lang w:val="fr-FR"/>
        </w:rPr>
        <w:t>12</w:t>
      </w:r>
      <w:r>
        <w:rPr>
          <w:lang w:val="fr-FR"/>
        </w:rPr>
        <w:t>.</w:t>
      </w:r>
      <w:r>
        <w:rPr>
          <w:lang w:val="fr-FR"/>
        </w:rPr>
        <w:tab/>
        <w:t xml:space="preserve">Date du procès-verbal délivré par ce service : </w:t>
      </w:r>
      <w:r>
        <w:rPr>
          <w:lang w:val="fr-FR"/>
        </w:rPr>
        <w:tab/>
      </w:r>
    </w:p>
    <w:p w14:paraId="6753E33D" w14:textId="77777777" w:rsidR="0083199D" w:rsidRPr="001B10CE" w:rsidRDefault="0083199D" w:rsidP="004B49A6">
      <w:pPr>
        <w:tabs>
          <w:tab w:val="left" w:pos="-720"/>
          <w:tab w:val="left" w:pos="0"/>
          <w:tab w:val="right" w:leader="dot" w:pos="8505"/>
        </w:tabs>
        <w:spacing w:after="120"/>
        <w:ind w:left="1701" w:right="992" w:hanging="567"/>
      </w:pPr>
      <w:r>
        <w:rPr>
          <w:strike/>
          <w:lang w:val="fr-FR"/>
        </w:rPr>
        <w:t>12</w:t>
      </w:r>
      <w:r>
        <w:rPr>
          <w:b/>
          <w:bCs/>
          <w:lang w:val="fr-FR"/>
        </w:rPr>
        <w:t>13</w:t>
      </w:r>
      <w:r>
        <w:rPr>
          <w:lang w:val="fr-FR"/>
        </w:rPr>
        <w:t>.</w:t>
      </w:r>
      <w:r>
        <w:rPr>
          <w:lang w:val="fr-FR"/>
        </w:rPr>
        <w:tab/>
        <w:t xml:space="preserve">Numéro du procès-verbal délivré par ce service : </w:t>
      </w:r>
      <w:r>
        <w:rPr>
          <w:lang w:val="fr-FR"/>
        </w:rPr>
        <w:tab/>
      </w:r>
    </w:p>
    <w:p w14:paraId="184181E4" w14:textId="218413F3" w:rsidR="0083199D" w:rsidRPr="001B10CE" w:rsidRDefault="0083199D" w:rsidP="004B49A6">
      <w:pPr>
        <w:tabs>
          <w:tab w:val="left" w:pos="-720"/>
          <w:tab w:val="left" w:pos="0"/>
          <w:tab w:val="right" w:leader="dot" w:pos="8505"/>
        </w:tabs>
        <w:spacing w:after="120"/>
        <w:ind w:left="1701" w:right="992" w:hanging="567"/>
      </w:pPr>
      <w:r>
        <w:rPr>
          <w:strike/>
          <w:lang w:val="fr-FR"/>
        </w:rPr>
        <w:t>13</w:t>
      </w:r>
      <w:r>
        <w:rPr>
          <w:b/>
          <w:bCs/>
          <w:lang w:val="fr-FR"/>
        </w:rPr>
        <w:t>14</w:t>
      </w:r>
      <w:r>
        <w:rPr>
          <w:lang w:val="fr-FR"/>
        </w:rPr>
        <w:t>.</w:t>
      </w:r>
      <w:r>
        <w:rPr>
          <w:lang w:val="fr-FR"/>
        </w:rPr>
        <w:tab/>
        <w:t>L</w:t>
      </w:r>
      <w:r w:rsidR="004B49A6">
        <w:rPr>
          <w:lang w:val="fr-FR"/>
        </w:rPr>
        <w:t>’</w:t>
      </w:r>
      <w:r>
        <w:rPr>
          <w:lang w:val="fr-FR"/>
        </w:rPr>
        <w:t>homologation est accordée/refusée/étendue/retirée</w:t>
      </w:r>
      <w:r w:rsidRPr="005E5DBA">
        <w:rPr>
          <w:sz w:val="18"/>
          <w:szCs w:val="18"/>
          <w:vertAlign w:val="superscript"/>
          <w:lang w:val="fr-FR"/>
        </w:rPr>
        <w:t>2</w:t>
      </w:r>
    </w:p>
    <w:p w14:paraId="2420BC6E" w14:textId="487615DA" w:rsidR="0083199D" w:rsidRPr="001B10CE" w:rsidRDefault="0083199D" w:rsidP="004B49A6">
      <w:pPr>
        <w:tabs>
          <w:tab w:val="left" w:pos="-720"/>
          <w:tab w:val="left" w:pos="0"/>
          <w:tab w:val="right" w:leader="dot" w:pos="8505"/>
        </w:tabs>
        <w:spacing w:after="120"/>
        <w:ind w:left="1701" w:right="992" w:hanging="567"/>
      </w:pPr>
      <w:r>
        <w:rPr>
          <w:strike/>
          <w:lang w:val="fr-FR"/>
        </w:rPr>
        <w:t>14</w:t>
      </w:r>
      <w:r>
        <w:rPr>
          <w:b/>
          <w:bCs/>
          <w:lang w:val="fr-FR"/>
        </w:rPr>
        <w:t>15</w:t>
      </w:r>
      <w:r>
        <w:rPr>
          <w:lang w:val="fr-FR"/>
        </w:rPr>
        <w:t>.</w:t>
      </w:r>
      <w:r>
        <w:rPr>
          <w:lang w:val="fr-FR"/>
        </w:rPr>
        <w:tab/>
        <w:t>Emplacement, sur le véhicule, de la marque d</w:t>
      </w:r>
      <w:r w:rsidR="004B49A6">
        <w:rPr>
          <w:lang w:val="fr-FR"/>
        </w:rPr>
        <w:t>’</w:t>
      </w:r>
      <w:r>
        <w:rPr>
          <w:lang w:val="fr-FR"/>
        </w:rPr>
        <w:t xml:space="preserve">homologation : </w:t>
      </w:r>
      <w:r>
        <w:rPr>
          <w:lang w:val="fr-FR"/>
        </w:rPr>
        <w:tab/>
      </w:r>
    </w:p>
    <w:p w14:paraId="16E98F12" w14:textId="77777777" w:rsidR="0083199D" w:rsidRPr="001B10CE" w:rsidRDefault="0083199D" w:rsidP="004B49A6">
      <w:pPr>
        <w:tabs>
          <w:tab w:val="left" w:pos="-720"/>
          <w:tab w:val="left" w:pos="0"/>
          <w:tab w:val="right" w:leader="dot" w:pos="8505"/>
        </w:tabs>
        <w:spacing w:after="120"/>
        <w:ind w:left="1701" w:right="992" w:hanging="567"/>
      </w:pPr>
      <w:r>
        <w:rPr>
          <w:strike/>
          <w:lang w:val="fr-FR"/>
        </w:rPr>
        <w:t>15</w:t>
      </w:r>
      <w:r>
        <w:rPr>
          <w:b/>
          <w:bCs/>
          <w:lang w:val="fr-FR"/>
        </w:rPr>
        <w:t>16</w:t>
      </w:r>
      <w:r>
        <w:rPr>
          <w:lang w:val="fr-FR"/>
        </w:rPr>
        <w:t>.</w:t>
      </w:r>
      <w:r>
        <w:rPr>
          <w:lang w:val="fr-FR"/>
        </w:rPr>
        <w:tab/>
        <w:t xml:space="preserve">Lieu : </w:t>
      </w:r>
      <w:r>
        <w:rPr>
          <w:lang w:val="fr-FR"/>
        </w:rPr>
        <w:tab/>
      </w:r>
    </w:p>
    <w:p w14:paraId="1922677B" w14:textId="77777777" w:rsidR="0083199D" w:rsidRPr="001B10CE" w:rsidRDefault="0083199D" w:rsidP="004B49A6">
      <w:pPr>
        <w:tabs>
          <w:tab w:val="left" w:pos="-720"/>
          <w:tab w:val="left" w:pos="0"/>
          <w:tab w:val="right" w:leader="dot" w:pos="8505"/>
        </w:tabs>
        <w:spacing w:after="120"/>
        <w:ind w:left="1701" w:right="992" w:hanging="567"/>
      </w:pPr>
      <w:r>
        <w:rPr>
          <w:strike/>
          <w:lang w:val="fr-FR"/>
        </w:rPr>
        <w:t>16</w:t>
      </w:r>
      <w:r>
        <w:rPr>
          <w:b/>
          <w:bCs/>
          <w:lang w:val="fr-FR"/>
        </w:rPr>
        <w:t>17</w:t>
      </w:r>
      <w:r>
        <w:rPr>
          <w:lang w:val="fr-FR"/>
        </w:rPr>
        <w:t>.</w:t>
      </w:r>
      <w:r>
        <w:rPr>
          <w:lang w:val="fr-FR"/>
        </w:rPr>
        <w:tab/>
        <w:t xml:space="preserve">Date : </w:t>
      </w:r>
      <w:r>
        <w:rPr>
          <w:lang w:val="fr-FR"/>
        </w:rPr>
        <w:tab/>
      </w:r>
    </w:p>
    <w:p w14:paraId="16C6F6C6" w14:textId="77777777" w:rsidR="0083199D" w:rsidRDefault="0083199D" w:rsidP="004B49A6">
      <w:pPr>
        <w:tabs>
          <w:tab w:val="left" w:pos="-720"/>
          <w:tab w:val="left" w:pos="0"/>
          <w:tab w:val="right" w:leader="dot" w:pos="8505"/>
        </w:tabs>
        <w:spacing w:after="120"/>
        <w:ind w:left="1701" w:right="992" w:hanging="567"/>
        <w:rPr>
          <w:lang w:val="fr-FR"/>
        </w:rPr>
        <w:sectPr w:rsidR="0083199D" w:rsidSect="0083199D">
          <w:footnotePr>
            <w:numRestart w:val="eachSect"/>
          </w:footnotePr>
          <w:endnotePr>
            <w:numFmt w:val="decimal"/>
          </w:endnotePr>
          <w:pgSz w:w="11906" w:h="16838" w:code="9"/>
          <w:pgMar w:top="1417" w:right="1134" w:bottom="1134" w:left="1134" w:header="850" w:footer="567" w:gutter="0"/>
          <w:cols w:space="708"/>
          <w:docGrid w:linePitch="360"/>
        </w:sectPr>
      </w:pPr>
      <w:r>
        <w:rPr>
          <w:strike/>
          <w:lang w:val="fr-FR"/>
        </w:rPr>
        <w:t>17</w:t>
      </w:r>
      <w:r>
        <w:rPr>
          <w:b/>
          <w:bCs/>
          <w:lang w:val="fr-FR"/>
        </w:rPr>
        <w:t>18</w:t>
      </w:r>
      <w:r>
        <w:rPr>
          <w:lang w:val="fr-FR"/>
        </w:rPr>
        <w:t>.</w:t>
      </w:r>
      <w:r>
        <w:rPr>
          <w:lang w:val="fr-FR"/>
        </w:rPr>
        <w:tab/>
        <w:t xml:space="preserve">Signature : </w:t>
      </w:r>
      <w:r>
        <w:rPr>
          <w:lang w:val="fr-FR"/>
        </w:rPr>
        <w:tab/>
      </w:r>
    </w:p>
    <w:p w14:paraId="0B654F6A" w14:textId="77777777" w:rsidR="0083199D" w:rsidRPr="005E5DBA" w:rsidRDefault="0083199D" w:rsidP="005E5DBA">
      <w:pPr>
        <w:pStyle w:val="HChG"/>
      </w:pPr>
      <w:r>
        <w:rPr>
          <w:lang w:val="fr-FR"/>
        </w:rPr>
        <w:lastRenderedPageBreak/>
        <w:t>Annexe 2</w:t>
      </w:r>
    </w:p>
    <w:p w14:paraId="48A4422A" w14:textId="7850C72A" w:rsidR="0083199D" w:rsidRPr="005E5DBA" w:rsidRDefault="0083199D" w:rsidP="005E5DBA">
      <w:pPr>
        <w:pStyle w:val="HChG"/>
      </w:pPr>
      <w:r>
        <w:rPr>
          <w:lang w:val="fr-FR"/>
        </w:rPr>
        <w:tab/>
      </w:r>
      <w:r>
        <w:rPr>
          <w:lang w:val="fr-FR"/>
        </w:rPr>
        <w:tab/>
      </w:r>
      <w:r w:rsidRPr="004B49A6">
        <w:t>Exemples</w:t>
      </w:r>
      <w:r>
        <w:rPr>
          <w:lang w:val="fr-FR"/>
        </w:rPr>
        <w:t xml:space="preserve"> de marque d</w:t>
      </w:r>
      <w:r w:rsidR="004B49A6">
        <w:rPr>
          <w:lang w:val="fr-FR"/>
        </w:rPr>
        <w:t>’</w:t>
      </w:r>
      <w:r>
        <w:rPr>
          <w:lang w:val="fr-FR"/>
        </w:rPr>
        <w:t>homologation</w:t>
      </w:r>
      <w:bookmarkStart w:id="32" w:name="_Toc441498808"/>
      <w:bookmarkEnd w:id="32"/>
    </w:p>
    <w:p w14:paraId="608B28FC" w14:textId="77777777" w:rsidR="0083199D" w:rsidRPr="001B10CE" w:rsidRDefault="0083199D" w:rsidP="0083199D">
      <w:pPr>
        <w:keepNext/>
        <w:keepLines/>
        <w:spacing w:line="240" w:lineRule="auto"/>
        <w:ind w:left="567" w:firstLine="567"/>
        <w:outlineLvl w:val="0"/>
      </w:pPr>
      <w:r>
        <w:rPr>
          <w:lang w:val="fr-FR"/>
        </w:rPr>
        <w:t>Modèle A</w:t>
      </w:r>
    </w:p>
    <w:p w14:paraId="55B042AF" w14:textId="77777777" w:rsidR="0083199D" w:rsidRPr="001B10CE" w:rsidRDefault="0083199D" w:rsidP="004B49A6">
      <w:pPr>
        <w:keepNext/>
        <w:keepLines/>
        <w:spacing w:after="120"/>
        <w:ind w:left="567" w:firstLine="567"/>
        <w:outlineLvl w:val="0"/>
      </w:pPr>
      <w:r>
        <w:rPr>
          <w:lang w:val="fr-FR"/>
        </w:rPr>
        <w:t>(Voir le paragraphe 4.4 du présent Règlement)</w:t>
      </w:r>
    </w:p>
    <w:p w14:paraId="1DFACDD1" w14:textId="77777777" w:rsidR="0083199D" w:rsidRPr="00FF5113" w:rsidRDefault="0083199D" w:rsidP="004B49A6">
      <w:pPr>
        <w:tabs>
          <w:tab w:val="left" w:pos="851"/>
          <w:tab w:val="left" w:pos="1200"/>
          <w:tab w:val="left" w:pos="1800"/>
          <w:tab w:val="left" w:pos="2040"/>
          <w:tab w:val="left" w:pos="4200"/>
          <w:tab w:val="left" w:pos="5040"/>
          <w:tab w:val="left" w:pos="6480"/>
        </w:tabs>
        <w:spacing w:after="120"/>
        <w:jc w:val="center"/>
      </w:pPr>
      <w:r w:rsidRPr="00FF5113">
        <w:rPr>
          <w:noProof/>
        </w:rPr>
        <w:drawing>
          <wp:inline distT="0" distB="0" distL="0" distR="0" wp14:anchorId="4765E74C" wp14:editId="38AAE4B6">
            <wp:extent cx="4644000" cy="1134000"/>
            <wp:effectExtent l="0" t="0" r="4445" b="9525"/>
            <wp:docPr id="791799517" name="Picture 2"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tekst, Lettertype, wit, Graphics&#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t="3717" b="9221"/>
                    <a:stretch>
                      <a:fillRect/>
                    </a:stretch>
                  </pic:blipFill>
                  <pic:spPr bwMode="auto">
                    <a:xfrm>
                      <a:off x="0" y="0"/>
                      <a:ext cx="4644000" cy="1134000"/>
                    </a:xfrm>
                    <a:prstGeom prst="rect">
                      <a:avLst/>
                    </a:prstGeom>
                    <a:noFill/>
                    <a:ln>
                      <a:noFill/>
                    </a:ln>
                  </pic:spPr>
                </pic:pic>
              </a:graphicData>
            </a:graphic>
          </wp:inline>
        </w:drawing>
      </w:r>
    </w:p>
    <w:p w14:paraId="39B69ACD" w14:textId="77777777" w:rsidR="0083199D" w:rsidRPr="001B10CE" w:rsidRDefault="0083199D" w:rsidP="0083199D">
      <w:pPr>
        <w:suppressAutoHyphens w:val="0"/>
        <w:spacing w:before="120" w:after="120" w:line="240" w:lineRule="auto"/>
        <w:ind w:left="7088"/>
      </w:pPr>
      <w:r>
        <w:rPr>
          <w:lang w:val="fr-FR"/>
        </w:rPr>
        <w:t>a = 8 mm min.</w:t>
      </w:r>
    </w:p>
    <w:p w14:paraId="2D5D7614" w14:textId="37DF2764" w:rsidR="0083199D" w:rsidRPr="001B10CE" w:rsidRDefault="0083199D" w:rsidP="0083199D">
      <w:pPr>
        <w:spacing w:after="120"/>
        <w:ind w:left="1134" w:right="1134" w:firstLine="567"/>
        <w:jc w:val="both"/>
      </w:pPr>
      <w:r>
        <w:rPr>
          <w:lang w:val="fr-FR"/>
        </w:rPr>
        <w:t>La marque d</w:t>
      </w:r>
      <w:r w:rsidR="004B49A6">
        <w:rPr>
          <w:lang w:val="fr-FR"/>
        </w:rPr>
        <w:t>’</w:t>
      </w:r>
      <w:r>
        <w:rPr>
          <w:lang w:val="fr-FR"/>
        </w:rPr>
        <w:t xml:space="preserve">homologation ci-dessus, apposée sur un véhicule, indique que le type de ce véhicule a été homologué aux Pays-Bas (E4) au titre du Règlement ONU </w:t>
      </w:r>
      <w:r w:rsidR="004B49A6" w:rsidRPr="004B49A6">
        <w:rPr>
          <w:rFonts w:eastAsia="MS Mincho"/>
          <w:szCs w:val="22"/>
          <w:lang w:val="fr-FR"/>
        </w:rPr>
        <w:t>n</w:t>
      </w:r>
      <w:r w:rsidR="004B49A6" w:rsidRPr="004B49A6">
        <w:rPr>
          <w:rFonts w:eastAsia="MS Mincho"/>
          <w:szCs w:val="22"/>
          <w:vertAlign w:val="superscript"/>
          <w:lang w:val="fr-FR"/>
        </w:rPr>
        <w:t>o</w:t>
      </w:r>
      <w:r w:rsidR="004B49A6">
        <w:rPr>
          <w:lang w:val="fr-FR"/>
        </w:rPr>
        <w:t> </w:t>
      </w:r>
      <w:r>
        <w:rPr>
          <w:lang w:val="fr-FR"/>
        </w:rPr>
        <w:t>39. Le numéro d</w:t>
      </w:r>
      <w:r w:rsidR="004B49A6">
        <w:rPr>
          <w:lang w:val="fr-FR"/>
        </w:rPr>
        <w:t>’</w:t>
      </w:r>
      <w:r>
        <w:rPr>
          <w:lang w:val="fr-FR"/>
        </w:rPr>
        <w:t>homologation indique que l</w:t>
      </w:r>
      <w:r w:rsidR="004B49A6">
        <w:rPr>
          <w:lang w:val="fr-FR"/>
        </w:rPr>
        <w:t>’</w:t>
      </w:r>
      <w:r>
        <w:rPr>
          <w:lang w:val="fr-FR"/>
        </w:rPr>
        <w:t xml:space="preserve">homologation a été accordée au titre du Règlement ONU </w:t>
      </w:r>
      <w:r w:rsidR="004B49A6" w:rsidRPr="004B49A6">
        <w:rPr>
          <w:rFonts w:eastAsia="MS Mincho"/>
          <w:szCs w:val="22"/>
          <w:lang w:val="fr-FR"/>
        </w:rPr>
        <w:t>n</w:t>
      </w:r>
      <w:r w:rsidR="004B49A6" w:rsidRPr="004B49A6">
        <w:rPr>
          <w:rFonts w:eastAsia="MS Mincho"/>
          <w:szCs w:val="22"/>
          <w:vertAlign w:val="superscript"/>
          <w:lang w:val="fr-FR"/>
        </w:rPr>
        <w:t>o</w:t>
      </w:r>
      <w:r w:rsidR="004B49A6">
        <w:rPr>
          <w:lang w:val="fr-FR"/>
        </w:rPr>
        <w:t> </w:t>
      </w:r>
      <w:r>
        <w:rPr>
          <w:lang w:val="fr-FR"/>
        </w:rPr>
        <w:t xml:space="preserve">39 tel que modifié par la série </w:t>
      </w:r>
      <w:r w:rsidRPr="008A7EE0">
        <w:rPr>
          <w:strike/>
          <w:lang w:val="fr-FR"/>
        </w:rPr>
        <w:t>01</w:t>
      </w:r>
      <w:r w:rsidRPr="008A7EE0">
        <w:rPr>
          <w:b/>
          <w:bCs/>
          <w:lang w:val="fr-FR"/>
        </w:rPr>
        <w:t>02</w:t>
      </w:r>
      <w:r>
        <w:rPr>
          <w:lang w:val="fr-FR"/>
        </w:rPr>
        <w:t xml:space="preserve"> d</w:t>
      </w:r>
      <w:r w:rsidR="004B49A6">
        <w:rPr>
          <w:lang w:val="fr-FR"/>
        </w:rPr>
        <w:t>’</w:t>
      </w:r>
      <w:r>
        <w:rPr>
          <w:lang w:val="fr-FR"/>
        </w:rPr>
        <w:t>amendements.</w:t>
      </w:r>
    </w:p>
    <w:p w14:paraId="75879B4E" w14:textId="77777777" w:rsidR="0083199D" w:rsidRPr="001B10CE" w:rsidRDefault="0083199D" w:rsidP="0083199D">
      <w:pPr>
        <w:keepNext/>
        <w:keepLines/>
        <w:spacing w:line="240" w:lineRule="auto"/>
        <w:ind w:left="567" w:firstLine="567"/>
        <w:outlineLvl w:val="0"/>
      </w:pPr>
      <w:r>
        <w:rPr>
          <w:lang w:val="fr-FR"/>
        </w:rPr>
        <w:t>Modèle B</w:t>
      </w:r>
    </w:p>
    <w:p w14:paraId="6E5DE875" w14:textId="77777777" w:rsidR="0083199D" w:rsidRPr="001B10CE" w:rsidRDefault="0083199D" w:rsidP="004B49A6">
      <w:pPr>
        <w:keepNext/>
        <w:keepLines/>
        <w:spacing w:after="120"/>
        <w:ind w:left="567" w:firstLine="567"/>
        <w:outlineLvl w:val="0"/>
      </w:pPr>
      <w:r>
        <w:rPr>
          <w:lang w:val="fr-FR"/>
        </w:rPr>
        <w:t>(Voir le paragraphe 4.5 du présent Règlement)</w:t>
      </w:r>
    </w:p>
    <w:p w14:paraId="7ADDD49A" w14:textId="1330F636" w:rsidR="0083199D" w:rsidRPr="00FF5113" w:rsidRDefault="004B49A6" w:rsidP="004B49A6">
      <w:pPr>
        <w:tabs>
          <w:tab w:val="left" w:pos="851"/>
          <w:tab w:val="left" w:pos="1200"/>
          <w:tab w:val="left" w:pos="1800"/>
          <w:tab w:val="left" w:pos="2040"/>
          <w:tab w:val="left" w:pos="4200"/>
          <w:tab w:val="left" w:pos="5040"/>
          <w:tab w:val="left" w:pos="6480"/>
        </w:tabs>
        <w:spacing w:after="120"/>
        <w:jc w:val="center"/>
      </w:pPr>
      <w:r w:rsidRPr="00FF5113">
        <w:rPr>
          <w:noProof/>
        </w:rPr>
        <mc:AlternateContent>
          <mc:Choice Requires="wps">
            <w:drawing>
              <wp:anchor distT="0" distB="0" distL="114300" distR="114300" simplePos="0" relativeHeight="251663360" behindDoc="0" locked="0" layoutInCell="1" allowOverlap="1" wp14:anchorId="58622E56" wp14:editId="68E5EA29">
                <wp:simplePos x="0" y="0"/>
                <wp:positionH relativeFrom="column">
                  <wp:posOffset>3602990</wp:posOffset>
                </wp:positionH>
                <wp:positionV relativeFrom="paragraph">
                  <wp:posOffset>175895</wp:posOffset>
                </wp:positionV>
                <wp:extent cx="462280" cy="365125"/>
                <wp:effectExtent l="0" t="0" r="0" b="0"/>
                <wp:wrapNone/>
                <wp:docPr id="1693575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65125"/>
                        </a:xfrm>
                        <a:prstGeom prst="rect">
                          <a:avLst/>
                        </a:prstGeom>
                        <a:solidFill>
                          <a:srgbClr val="FFFFFF"/>
                        </a:solidFill>
                        <a:ln w="9525">
                          <a:noFill/>
                          <a:miter lim="800000"/>
                          <a:headEnd/>
                          <a:tailEnd/>
                        </a:ln>
                      </wps:spPr>
                      <wps:txbx>
                        <w:txbxContent>
                          <w:p w14:paraId="66E97A17" w14:textId="52B13955" w:rsidR="004B49A6" w:rsidRPr="004B49A6" w:rsidRDefault="004B49A6" w:rsidP="004B49A6">
                            <w:pPr>
                              <w:spacing w:line="180" w:lineRule="atLeast"/>
                              <w:jc w:val="center"/>
                              <w:rPr>
                                <w:rFonts w:ascii="Arial" w:hAnsi="Arial"/>
                                <w:b/>
                                <w:color w:val="FFFFFF" w:themeColor="background1"/>
                                <w:sz w:val="52"/>
                                <w:szCs w:val="52"/>
                              </w:rPr>
                            </w:pPr>
                            <w:r w:rsidRPr="004B49A6">
                              <w:rPr>
                                <w:b/>
                                <w:bCs/>
                                <w:sz w:val="52"/>
                                <w:szCs w:val="52"/>
                              </w:rPr>
                              <w:t>0</w:t>
                            </w:r>
                            <w:r>
                              <w:rPr>
                                <w:b/>
                                <w:bCs/>
                                <w:sz w:val="52"/>
                                <w:szCs w:val="52"/>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22E56" id="_x0000_t202" coordsize="21600,21600" o:spt="202" path="m,l,21600r21600,l21600,xe">
                <v:stroke joinstyle="miter"/>
                <v:path gradientshapeok="t" o:connecttype="rect"/>
              </v:shapetype>
              <v:shape id="Text Box 2" o:spid="_x0000_s1026" type="#_x0000_t202" style="position:absolute;left:0;text-align:left;margin-left:283.7pt;margin-top:13.85pt;width:36.4pt;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" stroked="f">
                <v:textbox inset="0,0,0,0">
                  <w:txbxContent>
                    <w:p w14:paraId="66E97A17" w14:textId="52B13955" w:rsidR="004B49A6" w:rsidRPr="004B49A6" w:rsidRDefault="004B49A6" w:rsidP="004B49A6">
                      <w:pPr>
                        <w:spacing w:line="180" w:lineRule="atLeast"/>
                        <w:jc w:val="center"/>
                        <w:rPr>
                          <w:rFonts w:ascii="Arial" w:hAnsi="Arial"/>
                          <w:b/>
                          <w:color w:val="FFFFFF" w:themeColor="background1"/>
                          <w:sz w:val="52"/>
                          <w:szCs w:val="52"/>
                        </w:rPr>
                      </w:pPr>
                      <w:r w:rsidRPr="004B49A6">
                        <w:rPr>
                          <w:b/>
                          <w:bCs/>
                          <w:sz w:val="52"/>
                          <w:szCs w:val="52"/>
                        </w:rPr>
                        <w:t>0</w:t>
                      </w:r>
                      <w:r>
                        <w:rPr>
                          <w:b/>
                          <w:bCs/>
                          <w:sz w:val="52"/>
                          <w:szCs w:val="52"/>
                        </w:rPr>
                        <w:t>2</w:t>
                      </w:r>
                    </w:p>
                  </w:txbxContent>
                </v:textbox>
              </v:shape>
            </w:pict>
          </mc:Fallback>
        </mc:AlternateContent>
      </w:r>
      <w:r w:rsidR="0083199D" w:rsidRPr="00FF5113">
        <w:rPr>
          <w:noProof/>
        </w:rPr>
        <mc:AlternateContent>
          <mc:Choice Requires="wps">
            <w:drawing>
              <wp:anchor distT="0" distB="0" distL="114300" distR="114300" simplePos="0" relativeHeight="251661312" behindDoc="0" locked="0" layoutInCell="1" allowOverlap="1" wp14:anchorId="2D6B2DC4" wp14:editId="4FEB0AF4">
                <wp:simplePos x="0" y="0"/>
                <wp:positionH relativeFrom="column">
                  <wp:posOffset>3632835</wp:posOffset>
                </wp:positionH>
                <wp:positionV relativeFrom="paragraph">
                  <wp:posOffset>220980</wp:posOffset>
                </wp:positionV>
                <wp:extent cx="387350" cy="31940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19405"/>
                        </a:xfrm>
                        <a:prstGeom prst="rect">
                          <a:avLst/>
                        </a:prstGeom>
                        <a:solidFill>
                          <a:srgbClr val="FFFFFF"/>
                        </a:solidFill>
                        <a:ln w="9525">
                          <a:noFill/>
                          <a:miter lim="800000"/>
                          <a:headEnd/>
                          <a:tailEnd/>
                        </a:ln>
                      </wps:spPr>
                      <wps:txbx>
                        <w:txbxContent>
                          <w:p w14:paraId="7B65AB60" w14:textId="77777777" w:rsidR="0083199D" w:rsidRPr="00115042" w:rsidRDefault="0083199D" w:rsidP="0083199D">
                            <w:pPr>
                              <w:jc w:val="right"/>
                              <w:rPr>
                                <w:rFonts w:ascii="Arial" w:hAnsi="Arial"/>
                                <w:b/>
                                <w:sz w:val="44"/>
                                <w:szCs w:val="44"/>
                              </w:rPr>
                            </w:pPr>
                            <w:r>
                              <w:rPr>
                                <w:b/>
                                <w:bCs/>
                                <w:lang w:val="fr-FR"/>
                              </w:rPr>
                              <w:t>02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B2DC4" id="_x0000_s1027" type="#_x0000_t202" style="position:absolute;left:0;text-align:left;margin-left:286.05pt;margin-top:17.4pt;width:30.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" stroked="f">
                <v:textbox inset="0,0,0,0">
                  <w:txbxContent>
                    <w:p w14:paraId="7B65AB60" w14:textId="77777777" w:rsidR="0083199D" w:rsidRPr="00115042" w:rsidRDefault="0083199D" w:rsidP="0083199D">
                      <w:pPr>
                        <w:jc w:val="right"/>
                        <w:rPr>
                          <w:rFonts w:ascii="Arial" w:hAnsi="Arial"/>
                          <w:b/>
                          <w:sz w:val="44"/>
                          <w:szCs w:val="44"/>
                        </w:rPr>
                      </w:pPr>
                      <w:r>
                        <w:rPr>
                          <w:b/>
                          <w:bCs/>
                          <w:lang w:val="fr-FR"/>
                        </w:rPr>
                        <w:t>02</w:t>
                      </w:r>
                    </w:p>
                  </w:txbxContent>
                </v:textbox>
              </v:shape>
            </w:pict>
          </mc:Fallback>
        </mc:AlternateContent>
      </w:r>
      <w:r w:rsidR="0083199D" w:rsidRPr="00FF5113">
        <w:rPr>
          <w:noProof/>
        </w:rPr>
        <w:drawing>
          <wp:inline distT="0" distB="0" distL="0" distR="0" wp14:anchorId="1588F7BB" wp14:editId="649F6529">
            <wp:extent cx="4644000" cy="1191600"/>
            <wp:effectExtent l="0" t="0" r="4445" b="8890"/>
            <wp:docPr id="3" name="Picture 3" descr="Afbeelding met tekst, Lettertype, nummer,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fbeelding met tekst, Lettertype, nummer, symbool&#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t="4594" b="5963"/>
                    <a:stretch>
                      <a:fillRect/>
                    </a:stretch>
                  </pic:blipFill>
                  <pic:spPr bwMode="auto">
                    <a:xfrm>
                      <a:off x="0" y="0"/>
                      <a:ext cx="4644000" cy="1191600"/>
                    </a:xfrm>
                    <a:prstGeom prst="rect">
                      <a:avLst/>
                    </a:prstGeom>
                    <a:noFill/>
                    <a:ln>
                      <a:noFill/>
                    </a:ln>
                  </pic:spPr>
                </pic:pic>
              </a:graphicData>
            </a:graphic>
          </wp:inline>
        </w:drawing>
      </w:r>
    </w:p>
    <w:p w14:paraId="2B3210CE" w14:textId="77777777" w:rsidR="0083199D" w:rsidRPr="001B10CE" w:rsidRDefault="0083199D" w:rsidP="0083199D">
      <w:pPr>
        <w:suppressAutoHyphens w:val="0"/>
        <w:spacing w:before="120" w:after="120" w:line="240" w:lineRule="auto"/>
        <w:ind w:left="7088"/>
      </w:pPr>
      <w:r>
        <w:rPr>
          <w:lang w:val="fr-FR"/>
        </w:rPr>
        <w:t>a = 8 mm min.</w:t>
      </w:r>
    </w:p>
    <w:p w14:paraId="195E7290" w14:textId="2008D41D" w:rsidR="0083199D" w:rsidRDefault="0083199D" w:rsidP="005E5DBA">
      <w:pPr>
        <w:spacing w:after="120"/>
        <w:ind w:left="1134" w:right="1134" w:firstLine="567"/>
        <w:jc w:val="both"/>
        <w:rPr>
          <w:lang w:val="fr-FR"/>
        </w:rPr>
      </w:pPr>
      <w:r>
        <w:rPr>
          <w:lang w:val="fr-FR"/>
        </w:rPr>
        <w:t>La marque d</w:t>
      </w:r>
      <w:r w:rsidR="004B49A6">
        <w:rPr>
          <w:lang w:val="fr-FR"/>
        </w:rPr>
        <w:t>’</w:t>
      </w:r>
      <w:r>
        <w:rPr>
          <w:lang w:val="fr-FR"/>
        </w:rPr>
        <w:t xml:space="preserve">homologation ci-dessus, apposée sur un véhicule, indique que le type de ce véhicule a été </w:t>
      </w:r>
      <w:r w:rsidRPr="005E5DBA">
        <w:t>homologué</w:t>
      </w:r>
      <w:r>
        <w:rPr>
          <w:lang w:val="fr-FR"/>
        </w:rPr>
        <w:t xml:space="preserve"> aux Pays-Bas (E4) au titre des Règlements n</w:t>
      </w:r>
      <w:r>
        <w:rPr>
          <w:vertAlign w:val="superscript"/>
          <w:lang w:val="fr-FR"/>
        </w:rPr>
        <w:t>os</w:t>
      </w:r>
      <w:r>
        <w:rPr>
          <w:lang w:val="fr-FR"/>
        </w:rPr>
        <w:t xml:space="preserve"> 39 et 33</w:t>
      </w:r>
      <w:r w:rsidRPr="001A4175">
        <w:rPr>
          <w:rStyle w:val="Appelnotedebasdep"/>
        </w:rPr>
        <w:footnoteReference w:id="8"/>
      </w:r>
      <w:r>
        <w:rPr>
          <w:lang w:val="fr-FR"/>
        </w:rPr>
        <w:t>. Les numéros d</w:t>
      </w:r>
      <w:r w:rsidR="004B49A6">
        <w:rPr>
          <w:lang w:val="fr-FR"/>
        </w:rPr>
        <w:t>’</w:t>
      </w:r>
      <w:r>
        <w:rPr>
          <w:lang w:val="fr-FR"/>
        </w:rPr>
        <w:t>homologation indiquent qu</w:t>
      </w:r>
      <w:r w:rsidR="004B49A6">
        <w:rPr>
          <w:lang w:val="fr-FR"/>
        </w:rPr>
        <w:t>’</w:t>
      </w:r>
      <w:r>
        <w:rPr>
          <w:lang w:val="fr-FR"/>
        </w:rPr>
        <w:t xml:space="preserve">aux dates auxquelles les homologations respectives ont été accordées, le Règlement ONU </w:t>
      </w:r>
      <w:r w:rsidR="00976BC5" w:rsidRPr="00976BC5">
        <w:rPr>
          <w:rFonts w:eastAsia="MS Mincho"/>
          <w:szCs w:val="22"/>
          <w:lang w:val="fr-FR"/>
        </w:rPr>
        <w:t>n</w:t>
      </w:r>
      <w:r w:rsidR="00976BC5" w:rsidRPr="00976BC5">
        <w:rPr>
          <w:rFonts w:eastAsia="MS Mincho"/>
          <w:szCs w:val="22"/>
          <w:vertAlign w:val="superscript"/>
          <w:lang w:val="fr-FR"/>
        </w:rPr>
        <w:t>o</w:t>
      </w:r>
      <w:r w:rsidR="00976BC5">
        <w:rPr>
          <w:lang w:val="fr-FR"/>
        </w:rPr>
        <w:t> </w:t>
      </w:r>
      <w:r>
        <w:rPr>
          <w:lang w:val="fr-FR"/>
        </w:rPr>
        <w:t xml:space="preserve">39 avait été modifié par la série </w:t>
      </w:r>
      <w:r>
        <w:rPr>
          <w:strike/>
          <w:lang w:val="fr-FR"/>
        </w:rPr>
        <w:t>01</w:t>
      </w:r>
      <w:r>
        <w:rPr>
          <w:b/>
          <w:bCs/>
          <w:lang w:val="fr-FR"/>
        </w:rPr>
        <w:t xml:space="preserve">02 </w:t>
      </w:r>
      <w:r>
        <w:rPr>
          <w:lang w:val="fr-FR"/>
        </w:rPr>
        <w:t>d</w:t>
      </w:r>
      <w:r w:rsidR="004B49A6">
        <w:rPr>
          <w:lang w:val="fr-FR"/>
        </w:rPr>
        <w:t>’</w:t>
      </w:r>
      <w:r>
        <w:rPr>
          <w:lang w:val="fr-FR"/>
        </w:rPr>
        <w:t xml:space="preserve">amendements et le Règlement ONU </w:t>
      </w:r>
      <w:r w:rsidR="00976BC5" w:rsidRPr="00976BC5">
        <w:rPr>
          <w:rFonts w:eastAsia="MS Mincho"/>
          <w:szCs w:val="22"/>
          <w:lang w:val="fr-FR"/>
        </w:rPr>
        <w:t>n</w:t>
      </w:r>
      <w:r w:rsidR="00976BC5" w:rsidRPr="00976BC5">
        <w:rPr>
          <w:rFonts w:eastAsia="MS Mincho"/>
          <w:szCs w:val="22"/>
          <w:vertAlign w:val="superscript"/>
          <w:lang w:val="fr-FR"/>
        </w:rPr>
        <w:t>o</w:t>
      </w:r>
      <w:r w:rsidR="00976BC5">
        <w:rPr>
          <w:lang w:val="fr-FR"/>
        </w:rPr>
        <w:t> </w:t>
      </w:r>
      <w:r>
        <w:rPr>
          <w:lang w:val="fr-FR"/>
        </w:rPr>
        <w:t>33 était encore sous sa forme initiale.</w:t>
      </w:r>
    </w:p>
    <w:p w14:paraId="7F8BA12F" w14:textId="63FBC276" w:rsidR="004B49A6" w:rsidRDefault="004B49A6" w:rsidP="0083199D">
      <w:pPr>
        <w:tabs>
          <w:tab w:val="left" w:pos="-720"/>
          <w:tab w:val="left" w:pos="0"/>
          <w:tab w:val="right" w:leader="dot" w:pos="8505"/>
        </w:tabs>
        <w:spacing w:after="120" w:line="334" w:lineRule="auto"/>
        <w:ind w:left="1701" w:right="992" w:hanging="567"/>
        <w:rPr>
          <w:lang w:val="fr-FR"/>
        </w:rPr>
        <w:sectPr w:rsidR="004B49A6" w:rsidSect="0083199D">
          <w:footnotePr>
            <w:numRestart w:val="eachSect"/>
          </w:footnotePr>
          <w:endnotePr>
            <w:numFmt w:val="decimal"/>
          </w:endnotePr>
          <w:pgSz w:w="11906" w:h="16838" w:code="9"/>
          <w:pgMar w:top="1417" w:right="1134" w:bottom="1134" w:left="1134" w:header="850" w:footer="567" w:gutter="0"/>
          <w:cols w:space="708"/>
          <w:docGrid w:linePitch="360"/>
        </w:sectPr>
      </w:pPr>
    </w:p>
    <w:p w14:paraId="72535E18" w14:textId="77777777" w:rsidR="0083199D" w:rsidRPr="001B10CE" w:rsidRDefault="0083199D" w:rsidP="0083199D">
      <w:pPr>
        <w:pStyle w:val="HChG"/>
      </w:pPr>
      <w:r>
        <w:rPr>
          <w:bCs/>
          <w:lang w:val="fr-FR"/>
        </w:rPr>
        <w:lastRenderedPageBreak/>
        <w:t>Annexe 3</w:t>
      </w:r>
    </w:p>
    <w:p w14:paraId="034DA8E5" w14:textId="3B97E351" w:rsidR="0083199D" w:rsidRPr="001B10CE" w:rsidRDefault="0083199D" w:rsidP="0083199D">
      <w:pPr>
        <w:pStyle w:val="HChG"/>
        <w:rPr>
          <w:szCs w:val="18"/>
        </w:rPr>
      </w:pPr>
      <w:r>
        <w:rPr>
          <w:lang w:val="fr-FR"/>
        </w:rPr>
        <w:tab/>
      </w:r>
      <w:r>
        <w:rPr>
          <w:lang w:val="fr-FR"/>
        </w:rPr>
        <w:tab/>
      </w:r>
      <w:r>
        <w:rPr>
          <w:bCs/>
          <w:lang w:val="fr-FR"/>
        </w:rPr>
        <w:t>Mesure de la précision de l</w:t>
      </w:r>
      <w:r w:rsidR="004B49A6">
        <w:rPr>
          <w:bCs/>
          <w:lang w:val="fr-FR"/>
        </w:rPr>
        <w:t>’</w:t>
      </w:r>
      <w:r>
        <w:rPr>
          <w:bCs/>
          <w:lang w:val="fr-FR"/>
        </w:rPr>
        <w:t xml:space="preserve">indicateur de vitesse </w:t>
      </w:r>
      <w:r w:rsidR="00976BC5">
        <w:rPr>
          <w:bCs/>
          <w:lang w:val="fr-FR"/>
        </w:rPr>
        <w:br/>
      </w:r>
      <w:r>
        <w:rPr>
          <w:bCs/>
          <w:lang w:val="fr-FR"/>
        </w:rPr>
        <w:t>pour le contrôle de conformité de la production</w:t>
      </w:r>
      <w:bookmarkStart w:id="33" w:name="_Toc441498667"/>
      <w:bookmarkStart w:id="34" w:name="_Toc441498810"/>
      <w:bookmarkEnd w:id="33"/>
      <w:bookmarkEnd w:id="34"/>
    </w:p>
    <w:p w14:paraId="55551B81" w14:textId="7E918F2E" w:rsidR="0083199D" w:rsidRPr="00FF5113" w:rsidRDefault="0083199D" w:rsidP="0083199D">
      <w:pPr>
        <w:pStyle w:val="para"/>
      </w:pPr>
      <w:r>
        <w:t>1.</w:t>
      </w:r>
      <w:r>
        <w:tab/>
        <w:t>Conditions de l</w:t>
      </w:r>
      <w:r w:rsidR="004B49A6">
        <w:t>’</w:t>
      </w:r>
      <w:r>
        <w:t>essai</w:t>
      </w:r>
    </w:p>
    <w:p w14:paraId="3D0CF430" w14:textId="6A7D5C04" w:rsidR="0083199D" w:rsidRPr="00FF5113" w:rsidRDefault="0083199D" w:rsidP="00976BC5">
      <w:pPr>
        <w:pStyle w:val="para"/>
        <w:ind w:firstLine="0"/>
      </w:pPr>
      <w:r>
        <w:tab/>
        <w:t>Les conditions de l</w:t>
      </w:r>
      <w:r w:rsidR="004B49A6">
        <w:t>’</w:t>
      </w:r>
      <w:r>
        <w:t>essai doivent correspondre à celles énoncées aux paragraphes 5.3.1 à 5.3.6 du présent Règlement.</w:t>
      </w:r>
    </w:p>
    <w:p w14:paraId="3500BB7E" w14:textId="77777777" w:rsidR="0083199D" w:rsidRPr="00FF5113" w:rsidRDefault="0083199D" w:rsidP="0083199D">
      <w:pPr>
        <w:pStyle w:val="para"/>
      </w:pPr>
      <w:r>
        <w:t>2.</w:t>
      </w:r>
      <w:r>
        <w:tab/>
        <w:t>Prescriptions</w:t>
      </w:r>
    </w:p>
    <w:p w14:paraId="78259362" w14:textId="3D295D9D" w:rsidR="0083199D" w:rsidRPr="00FF5113" w:rsidRDefault="0083199D" w:rsidP="00976BC5">
      <w:pPr>
        <w:pStyle w:val="para"/>
        <w:ind w:firstLine="0"/>
      </w:pPr>
      <w:r>
        <w:tab/>
        <w:t>La production sera considérée comme conforme au présent Règlement si la relation suivante est vérifiée entre la vitesse affichée par l</w:t>
      </w:r>
      <w:r w:rsidR="004B49A6">
        <w:t>’</w:t>
      </w:r>
      <w:r>
        <w:t>indicateur de vitesse (V</w:t>
      </w:r>
      <w:r>
        <w:rPr>
          <w:vertAlign w:val="subscript"/>
        </w:rPr>
        <w:t>1</w:t>
      </w:r>
      <w:r>
        <w:t>) et la vitesse réelle (V</w:t>
      </w:r>
      <w:r>
        <w:rPr>
          <w:vertAlign w:val="subscript"/>
        </w:rPr>
        <w:t>2</w:t>
      </w:r>
      <w:r>
        <w:t>) :</w:t>
      </w:r>
    </w:p>
    <w:p w14:paraId="549402CC" w14:textId="70B46454" w:rsidR="0083199D" w:rsidRPr="00FF5113" w:rsidRDefault="0083199D" w:rsidP="00976BC5">
      <w:pPr>
        <w:pStyle w:val="para"/>
        <w:ind w:firstLine="0"/>
      </w:pPr>
      <w:r>
        <w:tab/>
        <w:t>Dans le cas de véhicules des catégories M et N :</w:t>
      </w:r>
    </w:p>
    <w:p w14:paraId="4D3C310A" w14:textId="77777777" w:rsidR="0083199D" w:rsidRPr="00FF5113" w:rsidRDefault="0083199D" w:rsidP="0083199D">
      <w:pPr>
        <w:pStyle w:val="para"/>
        <w:ind w:firstLine="0"/>
      </w:pPr>
      <w:r>
        <w:t xml:space="preserve">0 </w:t>
      </w:r>
      <w:r w:rsidRPr="00FF5113">
        <w:rPr>
          <w:sz w:val="24"/>
          <w:lang w:val="en-GB"/>
        </w:rPr>
        <w:sym w:font="Symbol" w:char="F0A3"/>
      </w:r>
      <w:r>
        <w:t xml:space="preserve"> (V</w:t>
      </w:r>
      <w:r w:rsidRPr="00144F6D">
        <w:rPr>
          <w:vertAlign w:val="subscript"/>
        </w:rPr>
        <w:t>1</w:t>
      </w:r>
      <w:r>
        <w:t xml:space="preserve"> − V</w:t>
      </w:r>
      <w:r w:rsidRPr="00144F6D">
        <w:rPr>
          <w:vertAlign w:val="subscript"/>
        </w:rPr>
        <w:t>2</w:t>
      </w:r>
      <w:r>
        <w:t xml:space="preserve">) </w:t>
      </w:r>
      <w:r w:rsidRPr="00FF5113">
        <w:rPr>
          <w:sz w:val="24"/>
          <w:lang w:val="en-GB"/>
        </w:rPr>
        <w:sym w:font="Symbol" w:char="F0A3"/>
      </w:r>
      <w:r>
        <w:t xml:space="preserve"> 0,1 V</w:t>
      </w:r>
      <w:r w:rsidRPr="00144F6D">
        <w:rPr>
          <w:vertAlign w:val="subscript"/>
        </w:rPr>
        <w:t>2</w:t>
      </w:r>
      <w:r>
        <w:t xml:space="preserve"> + 6 km/h ;</w:t>
      </w:r>
    </w:p>
    <w:p w14:paraId="193219D0" w14:textId="5379DF07" w:rsidR="0083199D" w:rsidRPr="00FF5113" w:rsidRDefault="0083199D" w:rsidP="00976BC5">
      <w:pPr>
        <w:pStyle w:val="para"/>
        <w:ind w:firstLine="0"/>
      </w:pPr>
      <w:r>
        <w:tab/>
        <w:t>Dans le cas de véhicules des catégories L</w:t>
      </w:r>
      <w:r>
        <w:rPr>
          <w:vertAlign w:val="subscript"/>
        </w:rPr>
        <w:t>3</w:t>
      </w:r>
      <w:r>
        <w:t>, L</w:t>
      </w:r>
      <w:r>
        <w:rPr>
          <w:vertAlign w:val="subscript"/>
        </w:rPr>
        <w:t>4</w:t>
      </w:r>
      <w:r>
        <w:t xml:space="preserve"> et L</w:t>
      </w:r>
      <w:r>
        <w:rPr>
          <w:vertAlign w:val="subscript"/>
        </w:rPr>
        <w:t>5</w:t>
      </w:r>
      <w:r>
        <w:t xml:space="preserve"> :</w:t>
      </w:r>
    </w:p>
    <w:p w14:paraId="3214F77C" w14:textId="77777777" w:rsidR="0083199D" w:rsidRPr="00FF5113" w:rsidRDefault="0083199D" w:rsidP="0083199D">
      <w:pPr>
        <w:pStyle w:val="para"/>
        <w:ind w:firstLine="0"/>
      </w:pPr>
      <w:r>
        <w:t xml:space="preserve">0 </w:t>
      </w:r>
      <w:r w:rsidRPr="00FF5113">
        <w:rPr>
          <w:sz w:val="24"/>
          <w:lang w:val="en-GB"/>
        </w:rPr>
        <w:sym w:font="Symbol" w:char="F0A3"/>
      </w:r>
      <w:r>
        <w:t xml:space="preserve"> (V</w:t>
      </w:r>
      <w:r w:rsidRPr="00144F6D">
        <w:rPr>
          <w:vertAlign w:val="subscript"/>
        </w:rPr>
        <w:t>1</w:t>
      </w:r>
      <w:r>
        <w:t xml:space="preserve"> − V</w:t>
      </w:r>
      <w:r w:rsidRPr="00144F6D">
        <w:rPr>
          <w:vertAlign w:val="subscript"/>
        </w:rPr>
        <w:t>2</w:t>
      </w:r>
      <w:r>
        <w:t xml:space="preserve">) </w:t>
      </w:r>
      <w:r w:rsidRPr="00FF5113">
        <w:rPr>
          <w:sz w:val="24"/>
          <w:lang w:val="en-GB"/>
        </w:rPr>
        <w:sym w:font="Symbol" w:char="F0A3"/>
      </w:r>
      <w:r>
        <w:t xml:space="preserve"> 0,1 V</w:t>
      </w:r>
      <w:r w:rsidRPr="00144F6D">
        <w:rPr>
          <w:vertAlign w:val="subscript"/>
        </w:rPr>
        <w:t>2</w:t>
      </w:r>
      <w:r>
        <w:t xml:space="preserve"> + 8 km/h ;</w:t>
      </w:r>
    </w:p>
    <w:p w14:paraId="69672F5A" w14:textId="77777777" w:rsidR="0083199D" w:rsidRPr="00FF5113" w:rsidRDefault="0083199D" w:rsidP="0083199D">
      <w:pPr>
        <w:pStyle w:val="para"/>
        <w:ind w:firstLine="0"/>
      </w:pPr>
      <w:r>
        <w:t>Dans le cas de véhicules des catégories L</w:t>
      </w:r>
      <w:r>
        <w:rPr>
          <w:vertAlign w:val="subscript"/>
        </w:rPr>
        <w:t>1</w:t>
      </w:r>
      <w:r>
        <w:t xml:space="preserve"> et L</w:t>
      </w:r>
      <w:r>
        <w:rPr>
          <w:vertAlign w:val="subscript"/>
        </w:rPr>
        <w:t>2</w:t>
      </w:r>
      <w:r>
        <w:t xml:space="preserve"> :</w:t>
      </w:r>
    </w:p>
    <w:p w14:paraId="66A61198" w14:textId="77777777" w:rsidR="0083199D" w:rsidRDefault="0083199D" w:rsidP="0083199D">
      <w:pPr>
        <w:pStyle w:val="para"/>
        <w:ind w:firstLine="0"/>
        <w:sectPr w:rsidR="0083199D" w:rsidSect="0083199D">
          <w:endnotePr>
            <w:numFmt w:val="decimal"/>
          </w:endnotePr>
          <w:pgSz w:w="11906" w:h="16838" w:code="9"/>
          <w:pgMar w:top="1417" w:right="1134" w:bottom="1134" w:left="1134" w:header="850" w:footer="567" w:gutter="0"/>
          <w:cols w:space="708"/>
          <w:docGrid w:linePitch="360"/>
        </w:sectPr>
      </w:pPr>
      <w:r>
        <w:t xml:space="preserve">0 </w:t>
      </w:r>
      <w:r w:rsidRPr="00FF5113">
        <w:rPr>
          <w:sz w:val="24"/>
          <w:lang w:val="en-GB"/>
        </w:rPr>
        <w:sym w:font="Symbol" w:char="F0A3"/>
      </w:r>
      <w:r>
        <w:t xml:space="preserve"> (V</w:t>
      </w:r>
      <w:r w:rsidRPr="00144F6D">
        <w:rPr>
          <w:vertAlign w:val="subscript"/>
        </w:rPr>
        <w:t>1</w:t>
      </w:r>
      <w:r>
        <w:t xml:space="preserve"> − V</w:t>
      </w:r>
      <w:r w:rsidRPr="00144F6D">
        <w:rPr>
          <w:vertAlign w:val="subscript"/>
        </w:rPr>
        <w:t>2</w:t>
      </w:r>
      <w:r>
        <w:t xml:space="preserve">) </w:t>
      </w:r>
      <w:r w:rsidRPr="00FF5113">
        <w:rPr>
          <w:sz w:val="24"/>
          <w:lang w:val="en-GB"/>
        </w:rPr>
        <w:sym w:font="Symbol" w:char="F0A3"/>
      </w:r>
      <w:r>
        <w:t xml:space="preserve"> 0,1 V</w:t>
      </w:r>
      <w:r w:rsidRPr="00144F6D">
        <w:rPr>
          <w:vertAlign w:val="subscript"/>
        </w:rPr>
        <w:t>2</w:t>
      </w:r>
      <w:r>
        <w:t xml:space="preserve"> + 4 km/h.</w:t>
      </w:r>
    </w:p>
    <w:p w14:paraId="269DF2AB" w14:textId="77777777" w:rsidR="0083199D" w:rsidRPr="005E5DBA" w:rsidRDefault="0083199D" w:rsidP="005E5DBA">
      <w:pPr>
        <w:pStyle w:val="HChG"/>
      </w:pPr>
      <w:r>
        <w:rPr>
          <w:lang w:val="fr-FR"/>
        </w:rPr>
        <w:lastRenderedPageBreak/>
        <w:t>Annexe 4</w:t>
      </w:r>
    </w:p>
    <w:p w14:paraId="1473446B" w14:textId="056DFAC5" w:rsidR="0083199D" w:rsidRPr="001B10CE" w:rsidRDefault="0083199D" w:rsidP="005E5DBA">
      <w:pPr>
        <w:pStyle w:val="HChG"/>
        <w:rPr>
          <w:szCs w:val="18"/>
        </w:rPr>
      </w:pPr>
      <w:r>
        <w:rPr>
          <w:lang w:val="fr-FR"/>
        </w:rPr>
        <w:tab/>
      </w:r>
      <w:r>
        <w:rPr>
          <w:lang w:val="fr-FR"/>
        </w:rPr>
        <w:tab/>
        <w:t xml:space="preserve">Mesure </w:t>
      </w:r>
      <w:r w:rsidRPr="00976BC5">
        <w:t>de</w:t>
      </w:r>
      <w:r>
        <w:rPr>
          <w:lang w:val="fr-FR"/>
        </w:rPr>
        <w:t xml:space="preserve"> la </w:t>
      </w:r>
      <w:r w:rsidRPr="005E5DBA">
        <w:t>précision</w:t>
      </w:r>
      <w:r>
        <w:rPr>
          <w:lang w:val="fr-FR"/>
        </w:rPr>
        <w:t xml:space="preserve"> du compteur kilométrique</w:t>
      </w:r>
    </w:p>
    <w:p w14:paraId="25147C7D" w14:textId="7F9C95C2" w:rsidR="0083199D" w:rsidRPr="00FF5113" w:rsidRDefault="0083199D" w:rsidP="0083199D">
      <w:pPr>
        <w:pStyle w:val="para"/>
        <w:rPr>
          <w:b/>
        </w:rPr>
      </w:pPr>
      <w:r>
        <w:rPr>
          <w:b/>
          <w:bCs/>
        </w:rPr>
        <w:t>0.</w:t>
      </w:r>
      <w:r>
        <w:tab/>
      </w:r>
      <w:r>
        <w:rPr>
          <w:b/>
          <w:bCs/>
        </w:rPr>
        <w:t>La précision du compteur kilométrique visée au paragraphe 5.7 du présent Règlement doit être déterminée conformément à la présente annexe. Dans le cas des compteurs kilométriques utilisant à la fois le système métrique et le système d</w:t>
      </w:r>
      <w:r w:rsidR="004B49A6">
        <w:rPr>
          <w:b/>
          <w:bCs/>
        </w:rPr>
        <w:t>’</w:t>
      </w:r>
      <w:r>
        <w:rPr>
          <w:b/>
          <w:bCs/>
        </w:rPr>
        <w:t>unités de mesure anglo-saxonnes, l</w:t>
      </w:r>
      <w:r w:rsidR="004B49A6">
        <w:rPr>
          <w:b/>
          <w:bCs/>
        </w:rPr>
        <w:t>’</w:t>
      </w:r>
      <w:r>
        <w:rPr>
          <w:b/>
          <w:bCs/>
        </w:rPr>
        <w:t>essai peut être réalisé suivant l</w:t>
      </w:r>
      <w:r w:rsidR="004B49A6">
        <w:rPr>
          <w:b/>
          <w:bCs/>
        </w:rPr>
        <w:t>’</w:t>
      </w:r>
      <w:r>
        <w:rPr>
          <w:b/>
          <w:bCs/>
        </w:rPr>
        <w:t>un ou l</w:t>
      </w:r>
      <w:r w:rsidR="004B49A6">
        <w:rPr>
          <w:b/>
          <w:bCs/>
        </w:rPr>
        <w:t>’</w:t>
      </w:r>
      <w:r>
        <w:rPr>
          <w:b/>
          <w:bCs/>
        </w:rPr>
        <w:t>autre de ces systèmes, en accord avec le service technique.</w:t>
      </w:r>
    </w:p>
    <w:p w14:paraId="1DF8830E" w14:textId="510D3850" w:rsidR="0083199D" w:rsidRPr="00FF5113" w:rsidRDefault="0083199D" w:rsidP="00976BC5">
      <w:pPr>
        <w:pStyle w:val="para"/>
        <w:ind w:firstLine="0"/>
        <w:rPr>
          <w:b/>
        </w:rPr>
      </w:pPr>
      <w:r>
        <w:tab/>
      </w:r>
      <w:r>
        <w:rPr>
          <w:b/>
          <w:bCs/>
        </w:rPr>
        <w:t>Avec l</w:t>
      </w:r>
      <w:r w:rsidR="004B49A6">
        <w:rPr>
          <w:b/>
          <w:bCs/>
        </w:rPr>
        <w:t>’</w:t>
      </w:r>
      <w:r>
        <w:rPr>
          <w:b/>
          <w:bCs/>
        </w:rPr>
        <w:t>accord du service technique et de l</w:t>
      </w:r>
      <w:r w:rsidR="004B49A6">
        <w:rPr>
          <w:b/>
          <w:bCs/>
        </w:rPr>
        <w:t>’</w:t>
      </w:r>
      <w:r>
        <w:rPr>
          <w:b/>
          <w:bCs/>
        </w:rPr>
        <w:t>autorité d</w:t>
      </w:r>
      <w:r w:rsidR="004B49A6">
        <w:rPr>
          <w:b/>
          <w:bCs/>
        </w:rPr>
        <w:t>’</w:t>
      </w:r>
      <w:r>
        <w:rPr>
          <w:b/>
          <w:bCs/>
        </w:rPr>
        <w:t>homologation de type, d</w:t>
      </w:r>
      <w:r w:rsidR="004B49A6">
        <w:rPr>
          <w:b/>
          <w:bCs/>
        </w:rPr>
        <w:t>’</w:t>
      </w:r>
      <w:r>
        <w:rPr>
          <w:b/>
          <w:bCs/>
        </w:rPr>
        <w:t>autres procédures d</w:t>
      </w:r>
      <w:r w:rsidR="004B49A6">
        <w:rPr>
          <w:b/>
          <w:bCs/>
        </w:rPr>
        <w:t>’</w:t>
      </w:r>
      <w:r>
        <w:rPr>
          <w:b/>
          <w:bCs/>
        </w:rPr>
        <w:t>essai peuvent être utilisées pour déterminer la précision du compteur kilométrique, à condition qu</w:t>
      </w:r>
      <w:r w:rsidR="004B49A6">
        <w:rPr>
          <w:b/>
          <w:bCs/>
        </w:rPr>
        <w:t>’</w:t>
      </w:r>
      <w:r>
        <w:rPr>
          <w:b/>
          <w:bCs/>
        </w:rPr>
        <w:t>elles garantissent au moins le même niveau de précision.</w:t>
      </w:r>
    </w:p>
    <w:p w14:paraId="61C87A0A" w14:textId="51110152" w:rsidR="0083199D" w:rsidRPr="00FF5113" w:rsidRDefault="0083199D" w:rsidP="0083199D">
      <w:pPr>
        <w:pStyle w:val="para"/>
        <w:rPr>
          <w:b/>
        </w:rPr>
      </w:pPr>
      <w:r>
        <w:rPr>
          <w:b/>
          <w:bCs/>
        </w:rPr>
        <w:t>1.</w:t>
      </w:r>
      <w:r>
        <w:tab/>
      </w:r>
      <w:r>
        <w:rPr>
          <w:b/>
          <w:bCs/>
        </w:rPr>
        <w:t>Procédure d</w:t>
      </w:r>
      <w:r w:rsidR="004B49A6">
        <w:rPr>
          <w:b/>
          <w:bCs/>
        </w:rPr>
        <w:t>’</w:t>
      </w:r>
      <w:r>
        <w:rPr>
          <w:b/>
          <w:bCs/>
        </w:rPr>
        <w:t>essai</w:t>
      </w:r>
    </w:p>
    <w:p w14:paraId="62FEB62F" w14:textId="77777777" w:rsidR="0083199D" w:rsidRPr="00FF5113" w:rsidRDefault="0083199D" w:rsidP="0083199D">
      <w:pPr>
        <w:pStyle w:val="para"/>
        <w:rPr>
          <w:b/>
        </w:rPr>
      </w:pPr>
      <w:r>
        <w:rPr>
          <w:b/>
          <w:bCs/>
        </w:rPr>
        <w:t>1.1</w:t>
      </w:r>
      <w:r>
        <w:tab/>
      </w:r>
      <w:r>
        <w:rPr>
          <w:b/>
          <w:bCs/>
        </w:rPr>
        <w:t>La précision du compteur kilométrique doit être contrôlée conformément à la procédure ci-après :</w:t>
      </w:r>
    </w:p>
    <w:p w14:paraId="60A02022" w14:textId="241C0BCF" w:rsidR="0083199D" w:rsidRPr="00FF5113" w:rsidRDefault="0083199D" w:rsidP="0083199D">
      <w:pPr>
        <w:pStyle w:val="para"/>
        <w:rPr>
          <w:b/>
        </w:rPr>
      </w:pPr>
      <w:r>
        <w:rPr>
          <w:b/>
          <w:bCs/>
        </w:rPr>
        <w:t>1.1.1</w:t>
      </w:r>
      <w:r>
        <w:tab/>
      </w:r>
      <w:r>
        <w:rPr>
          <w:b/>
          <w:bCs/>
        </w:rPr>
        <w:t>Les pneumatiques doivent être d</w:t>
      </w:r>
      <w:r w:rsidR="004B49A6">
        <w:rPr>
          <w:b/>
          <w:bCs/>
        </w:rPr>
        <w:t>’</w:t>
      </w:r>
      <w:r>
        <w:rPr>
          <w:b/>
          <w:bCs/>
        </w:rPr>
        <w:t>un type de monte normale sur le véhicule selon la définition du paragraphe 2.3 du présent Règlement.</w:t>
      </w:r>
    </w:p>
    <w:p w14:paraId="79FDAA3D" w14:textId="3C98A135" w:rsidR="0083199D" w:rsidRPr="00FF5113" w:rsidRDefault="0083199D" w:rsidP="0083199D">
      <w:pPr>
        <w:pStyle w:val="para"/>
        <w:rPr>
          <w:b/>
        </w:rPr>
      </w:pPr>
      <w:r>
        <w:rPr>
          <w:b/>
          <w:bCs/>
        </w:rPr>
        <w:t>1.1.2</w:t>
      </w:r>
      <w:r>
        <w:tab/>
      </w:r>
      <w:r w:rsidRPr="00D414FB">
        <w:rPr>
          <w:b/>
          <w:bCs/>
        </w:rPr>
        <w:t>Aux fins de l</w:t>
      </w:r>
      <w:r w:rsidR="004B49A6">
        <w:rPr>
          <w:b/>
          <w:bCs/>
        </w:rPr>
        <w:t>’</w:t>
      </w:r>
      <w:r w:rsidRPr="00D414FB">
        <w:rPr>
          <w:b/>
          <w:bCs/>
        </w:rPr>
        <w:t>essai, la masse du véhicule doit correspondre au véhicule à vide. Le véhicule peut être lesté au besoin.</w:t>
      </w:r>
      <w:r>
        <w:t xml:space="preserve"> </w:t>
      </w:r>
      <w:r>
        <w:rPr>
          <w:b/>
          <w:bCs/>
        </w:rPr>
        <w:t>La masse du véhicule et la répartition de cette masse entre les essieux doivent être indiquées sur la fiche de communication (voir annexe 1, point 7).</w:t>
      </w:r>
    </w:p>
    <w:p w14:paraId="1378E9F6" w14:textId="2D2A81B0" w:rsidR="0083199D" w:rsidRPr="00FF5113" w:rsidRDefault="0083199D" w:rsidP="0083199D">
      <w:pPr>
        <w:pStyle w:val="para"/>
        <w:rPr>
          <w:b/>
        </w:rPr>
      </w:pPr>
      <w:r>
        <w:rPr>
          <w:b/>
          <w:bCs/>
        </w:rPr>
        <w:t>1.1.3</w:t>
      </w:r>
      <w:r>
        <w:tab/>
      </w:r>
      <w:r>
        <w:rPr>
          <w:b/>
          <w:bCs/>
        </w:rPr>
        <w:t>La température de référence à l</w:t>
      </w:r>
      <w:r w:rsidR="004B49A6">
        <w:rPr>
          <w:b/>
          <w:bCs/>
        </w:rPr>
        <w:t>’</w:t>
      </w:r>
      <w:r>
        <w:rPr>
          <w:b/>
          <w:bCs/>
        </w:rPr>
        <w:t xml:space="preserve">emplacement du compteur kilométrique doit être de 23 </w:t>
      </w:r>
      <w:r w:rsidR="00976BC5">
        <w:rPr>
          <w:b/>
          <w:bCs/>
        </w:rPr>
        <w:sym w:font="Symbol" w:char="F0B1"/>
      </w:r>
      <w:r>
        <w:rPr>
          <w:b/>
          <w:bCs/>
        </w:rPr>
        <w:t xml:space="preserve"> 5 °C si le service technique chargé des essais estime que ce paramètre est pertinent.</w:t>
      </w:r>
    </w:p>
    <w:p w14:paraId="20B44954" w14:textId="77777777" w:rsidR="0083199D" w:rsidRPr="00FF5113" w:rsidRDefault="0083199D" w:rsidP="0083199D">
      <w:pPr>
        <w:pStyle w:val="para"/>
        <w:rPr>
          <w:b/>
        </w:rPr>
      </w:pPr>
      <w:r>
        <w:rPr>
          <w:b/>
          <w:bCs/>
        </w:rPr>
        <w:t>1.1.4</w:t>
      </w:r>
      <w:r>
        <w:tab/>
      </w:r>
      <w:r>
        <w:rPr>
          <w:b/>
          <w:bCs/>
        </w:rPr>
        <w:t>Lors de chaque essai, la pression des pneumatiques doit être la pression normale de marche définie au paragraphe 2.4.</w:t>
      </w:r>
    </w:p>
    <w:p w14:paraId="3F6DCF84" w14:textId="50BFAEA3" w:rsidR="0083199D" w:rsidRPr="00FF5113" w:rsidRDefault="0083199D" w:rsidP="0083199D">
      <w:pPr>
        <w:pStyle w:val="para"/>
        <w:rPr>
          <w:b/>
        </w:rPr>
      </w:pPr>
      <w:r>
        <w:rPr>
          <w:b/>
          <w:bCs/>
        </w:rPr>
        <w:t>1.1.5</w:t>
      </w:r>
      <w:r>
        <w:tab/>
      </w:r>
      <w:r>
        <w:rPr>
          <w:b/>
          <w:bCs/>
        </w:rPr>
        <w:t>L</w:t>
      </w:r>
      <w:r w:rsidR="004B49A6">
        <w:rPr>
          <w:b/>
          <w:bCs/>
        </w:rPr>
        <w:t>’</w:t>
      </w:r>
      <w:r>
        <w:rPr>
          <w:b/>
          <w:bCs/>
        </w:rPr>
        <w:t>appareillage d</w:t>
      </w:r>
      <w:r w:rsidR="004B49A6">
        <w:rPr>
          <w:b/>
          <w:bCs/>
        </w:rPr>
        <w:t>’</w:t>
      </w:r>
      <w:r>
        <w:rPr>
          <w:b/>
          <w:bCs/>
        </w:rPr>
        <w:t xml:space="preserve">essai utilisé pour la mesure de la distance réelle parcourue par le véhicule doit avoir une précision de </w:t>
      </w:r>
      <w:r w:rsidR="00976BC5" w:rsidRPr="00976BC5">
        <w:rPr>
          <w:b/>
          <w:bCs/>
        </w:rPr>
        <w:sym w:font="Symbol" w:char="F0B1"/>
      </w:r>
      <w:r>
        <w:rPr>
          <w:b/>
          <w:bCs/>
        </w:rPr>
        <w:t>0,5</w:t>
      </w:r>
      <w:r w:rsidR="003867C7">
        <w:rPr>
          <w:b/>
          <w:bCs/>
        </w:rPr>
        <w:t> </w:t>
      </w:r>
      <w:r>
        <w:rPr>
          <w:b/>
          <w:bCs/>
        </w:rPr>
        <w:t>%.</w:t>
      </w:r>
    </w:p>
    <w:p w14:paraId="72BED70A" w14:textId="77777777" w:rsidR="0083199D" w:rsidRPr="00FF5113" w:rsidRDefault="0083199D" w:rsidP="0083199D">
      <w:pPr>
        <w:pStyle w:val="para"/>
        <w:rPr>
          <w:b/>
        </w:rPr>
      </w:pPr>
      <w:r>
        <w:rPr>
          <w:b/>
          <w:bCs/>
        </w:rPr>
        <w:t>1.1.5.1</w:t>
      </w:r>
      <w:r>
        <w:tab/>
      </w:r>
      <w:r>
        <w:rPr>
          <w:b/>
          <w:bCs/>
        </w:rPr>
        <w:t>Si les essais ont lieu sur une piste, le revêtement de celle-ci doit être plan et avoir une adhérence suffisante.</w:t>
      </w:r>
    </w:p>
    <w:p w14:paraId="1E4C7D8A" w14:textId="0C9767C4" w:rsidR="0083199D" w:rsidRPr="00FF5113" w:rsidRDefault="0083199D" w:rsidP="0083199D">
      <w:pPr>
        <w:pStyle w:val="para"/>
        <w:rPr>
          <w:b/>
        </w:rPr>
      </w:pPr>
      <w:r>
        <w:rPr>
          <w:b/>
          <w:bCs/>
        </w:rPr>
        <w:t>1.1.5.2</w:t>
      </w:r>
      <w:r>
        <w:tab/>
      </w:r>
      <w:r>
        <w:rPr>
          <w:b/>
          <w:bCs/>
        </w:rPr>
        <w:t>Si un banc dynamométrique à rouleaux est utilisé pour 1</w:t>
      </w:r>
      <w:r w:rsidR="004B49A6">
        <w:rPr>
          <w:b/>
          <w:bCs/>
        </w:rPr>
        <w:t>’</w:t>
      </w:r>
      <w:r>
        <w:rPr>
          <w:b/>
          <w:bCs/>
        </w:rPr>
        <w:t>essai, les rouleaux doivent avoir un diamètre d</w:t>
      </w:r>
      <w:r w:rsidR="004B49A6">
        <w:rPr>
          <w:b/>
          <w:bCs/>
        </w:rPr>
        <w:t>’</w:t>
      </w:r>
      <w:r>
        <w:rPr>
          <w:b/>
          <w:bCs/>
        </w:rPr>
        <w:t>au moins 0,4 m.</w:t>
      </w:r>
    </w:p>
    <w:p w14:paraId="7778E7FA" w14:textId="2B1D9D32" w:rsidR="0083199D" w:rsidRPr="00FF5113" w:rsidRDefault="0083199D" w:rsidP="0083199D">
      <w:pPr>
        <w:pStyle w:val="para"/>
        <w:rPr>
          <w:b/>
        </w:rPr>
      </w:pPr>
      <w:r>
        <w:rPr>
          <w:b/>
          <w:bCs/>
        </w:rPr>
        <w:t>1.1.6</w:t>
      </w:r>
      <w:r>
        <w:tab/>
      </w:r>
      <w:r>
        <w:rPr>
          <w:b/>
          <w:bCs/>
        </w:rPr>
        <w:t>Le véhicule est soumis à l</w:t>
      </w:r>
      <w:r w:rsidR="004B49A6">
        <w:rPr>
          <w:b/>
          <w:bCs/>
        </w:rPr>
        <w:t>’</w:t>
      </w:r>
      <w:r>
        <w:rPr>
          <w:b/>
          <w:bCs/>
        </w:rPr>
        <w:t>essai à une vitesse qui peut varier entre 0 et 100</w:t>
      </w:r>
      <w:r w:rsidR="00976BC5">
        <w:rPr>
          <w:b/>
          <w:bCs/>
        </w:rPr>
        <w:t> </w:t>
      </w:r>
      <w:r>
        <w:rPr>
          <w:b/>
          <w:bCs/>
        </w:rPr>
        <w:t>km/h. La vitesse d</w:t>
      </w:r>
      <w:r w:rsidR="004B49A6">
        <w:rPr>
          <w:b/>
          <w:bCs/>
        </w:rPr>
        <w:t>’</w:t>
      </w:r>
      <w:r>
        <w:rPr>
          <w:b/>
          <w:bCs/>
        </w:rPr>
        <w:t>essai (vitesse fixe ou plage de vitesses) est choisie en accord avec le service chargé des essais en fonction des caractéristiques du véhicule et de la compatibilité de la route dans les conditions données (forme de la piste, présence d</w:t>
      </w:r>
      <w:r w:rsidR="004B49A6">
        <w:rPr>
          <w:b/>
          <w:bCs/>
        </w:rPr>
        <w:t>’</w:t>
      </w:r>
      <w:r>
        <w:rPr>
          <w:b/>
          <w:bCs/>
        </w:rPr>
        <w:t>autres usagers, virages, etc.).</w:t>
      </w:r>
    </w:p>
    <w:p w14:paraId="746861A5" w14:textId="3E133CFF" w:rsidR="0083199D" w:rsidRPr="00FF5113" w:rsidRDefault="0083199D" w:rsidP="0083199D">
      <w:pPr>
        <w:pStyle w:val="para"/>
        <w:rPr>
          <w:b/>
        </w:rPr>
      </w:pPr>
      <w:r>
        <w:rPr>
          <w:b/>
          <w:bCs/>
        </w:rPr>
        <w:t>1.1.7</w:t>
      </w:r>
      <w:r>
        <w:tab/>
      </w:r>
      <w:r>
        <w:rPr>
          <w:b/>
          <w:bCs/>
        </w:rPr>
        <w:t>Le véhicule est conduit jusqu</w:t>
      </w:r>
      <w:r w:rsidR="004B49A6">
        <w:rPr>
          <w:b/>
          <w:bCs/>
        </w:rPr>
        <w:t>’</w:t>
      </w:r>
      <w:r>
        <w:rPr>
          <w:b/>
          <w:bCs/>
        </w:rPr>
        <w:t>à ce que le compteur kilométrique passe au nombre entier suivant.</w:t>
      </w:r>
      <w:r>
        <w:t xml:space="preserve"> </w:t>
      </w:r>
      <w:r>
        <w:rPr>
          <w:b/>
          <w:bCs/>
        </w:rPr>
        <w:t>L</w:t>
      </w:r>
      <w:r w:rsidR="004B49A6">
        <w:rPr>
          <w:b/>
          <w:bCs/>
        </w:rPr>
        <w:t>’</w:t>
      </w:r>
      <w:r>
        <w:rPr>
          <w:b/>
          <w:bCs/>
        </w:rPr>
        <w:t>appareillage est alors réglé sur 0</w:t>
      </w:r>
      <w:r w:rsidR="003867C7">
        <w:rPr>
          <w:b/>
          <w:bCs/>
        </w:rPr>
        <w:t> </w:t>
      </w:r>
      <w:r>
        <w:rPr>
          <w:b/>
          <w:bCs/>
        </w:rPr>
        <w:t>m.</w:t>
      </w:r>
      <w:r>
        <w:t xml:space="preserve"> </w:t>
      </w:r>
      <w:r>
        <w:rPr>
          <w:b/>
          <w:bCs/>
        </w:rPr>
        <w:t>Cette opération peut être effectuée à l</w:t>
      </w:r>
      <w:r w:rsidR="004B49A6">
        <w:rPr>
          <w:b/>
          <w:bCs/>
        </w:rPr>
        <w:t>’</w:t>
      </w:r>
      <w:r>
        <w:rPr>
          <w:b/>
          <w:bCs/>
        </w:rPr>
        <w:t>arrêt.</w:t>
      </w:r>
    </w:p>
    <w:p w14:paraId="6376F2A5" w14:textId="50C6F3BE" w:rsidR="0083199D" w:rsidRPr="00FF5113" w:rsidRDefault="0083199D" w:rsidP="0083199D">
      <w:pPr>
        <w:pStyle w:val="para"/>
        <w:rPr>
          <w:b/>
        </w:rPr>
      </w:pPr>
      <w:r>
        <w:rPr>
          <w:b/>
          <w:bCs/>
        </w:rPr>
        <w:t>1.1.8</w:t>
      </w:r>
      <w:r>
        <w:tab/>
      </w:r>
      <w:r>
        <w:rPr>
          <w:b/>
          <w:bCs/>
        </w:rPr>
        <w:t>Le véhicule est conduit pendant un minimum de 10 kilomètres ou de 7</w:t>
      </w:r>
      <w:r w:rsidR="00976BC5">
        <w:rPr>
          <w:b/>
          <w:bCs/>
        </w:rPr>
        <w:t> </w:t>
      </w:r>
      <w:r>
        <w:rPr>
          <w:b/>
          <w:bCs/>
        </w:rPr>
        <w:t>miles, comme indiqué sur le compteur kilométrique, et la valeur réelle est lue sur l</w:t>
      </w:r>
      <w:r w:rsidR="004B49A6">
        <w:rPr>
          <w:b/>
          <w:bCs/>
        </w:rPr>
        <w:t>’</w:t>
      </w:r>
      <w:r>
        <w:rPr>
          <w:b/>
          <w:bCs/>
        </w:rPr>
        <w:t>appareillage au moment où le compteur kilométrique passe à l</w:t>
      </w:r>
      <w:r w:rsidR="004B49A6">
        <w:rPr>
          <w:b/>
          <w:bCs/>
        </w:rPr>
        <w:t>’</w:t>
      </w:r>
      <w:r>
        <w:rPr>
          <w:b/>
          <w:bCs/>
        </w:rPr>
        <w:t>entier correspondant.</w:t>
      </w:r>
    </w:p>
    <w:p w14:paraId="07CFF85C" w14:textId="55B237D5" w:rsidR="0083199D" w:rsidRDefault="0083199D" w:rsidP="00976BC5">
      <w:pPr>
        <w:pStyle w:val="para"/>
        <w:keepNext/>
        <w:rPr>
          <w:b/>
        </w:rPr>
      </w:pPr>
      <w:r>
        <w:rPr>
          <w:b/>
          <w:bCs/>
        </w:rPr>
        <w:lastRenderedPageBreak/>
        <w:t>2.0</w:t>
      </w:r>
      <w:r>
        <w:tab/>
      </w:r>
      <w:r>
        <w:rPr>
          <w:b/>
          <w:bCs/>
        </w:rPr>
        <w:t>Résultats de l</w:t>
      </w:r>
      <w:r w:rsidR="004B49A6">
        <w:rPr>
          <w:b/>
          <w:bCs/>
        </w:rPr>
        <w:t>’</w:t>
      </w:r>
      <w:r>
        <w:rPr>
          <w:b/>
          <w:bCs/>
        </w:rPr>
        <w:t>essai</w:t>
      </w:r>
    </w:p>
    <w:p w14:paraId="5077950C" w14:textId="77777777" w:rsidR="0083199D" w:rsidRPr="00FF5113" w:rsidRDefault="0083199D" w:rsidP="00976BC5">
      <w:pPr>
        <w:pStyle w:val="para"/>
        <w:keepNext/>
        <w:rPr>
          <w:b/>
        </w:rPr>
      </w:pPr>
      <w:r>
        <w:rPr>
          <w:b/>
          <w:bCs/>
        </w:rPr>
        <w:t>2.1</w:t>
      </w:r>
      <w:r>
        <w:tab/>
      </w:r>
      <w:r>
        <w:tab/>
      </w:r>
      <w:r>
        <w:rPr>
          <w:b/>
          <w:bCs/>
        </w:rPr>
        <w:t>Pour les véhicules dont le compteur kilométrique utilise le système métrique, la précision est calculée comme suit :</w:t>
      </w:r>
    </w:p>
    <w:p w14:paraId="169DCCF9" w14:textId="4A900A8F" w:rsidR="0083199D" w:rsidRPr="001B10CE" w:rsidRDefault="0083199D" w:rsidP="00976BC5">
      <w:pPr>
        <w:spacing w:before="120" w:after="120"/>
        <w:ind w:leftChars="1134" w:left="2268" w:rightChars="1134" w:right="2268"/>
        <w:rPr>
          <w:b/>
          <w:bCs/>
          <w:iCs/>
        </w:rPr>
      </w:pPr>
      <w:r>
        <w:rPr>
          <w:b/>
          <w:bCs/>
          <w:lang w:val="fr-FR"/>
        </w:rPr>
        <w:t>Précision (%)</w:t>
      </w:r>
      <m:oMath>
        <m:r>
          <m:rPr>
            <m:sty m:val="bi"/>
          </m:rPr>
          <w:rPr>
            <w:rFonts w:ascii="Cambria Math" w:hAnsi="Cambria Math"/>
            <w:lang w:val="fr-FR"/>
          </w:rPr>
          <m:t xml:space="preserve"> </m:t>
        </m:r>
        <m:r>
          <w:rPr>
            <w:rFonts w:ascii="Cambria Math" w:hAnsi="Cambria Math" w:cstheme="majorBidi"/>
          </w:rPr>
          <m:t>=</m:t>
        </m:r>
        <m:f>
          <m:fPr>
            <m:ctrlPr>
              <w:rPr>
                <w:rFonts w:ascii="Cambria Math" w:hAnsi="Cambria Math" w:cstheme="majorBidi"/>
                <w:b/>
                <w:bCs/>
                <w:iCs/>
              </w:rPr>
            </m:ctrlPr>
          </m:fPr>
          <m:num>
            <m:d>
              <m:dPr>
                <m:ctrlPr>
                  <w:rPr>
                    <w:rFonts w:ascii="Cambria Math" w:hAnsi="Cambria Math" w:cstheme="majorBidi"/>
                    <w:b/>
                  </w:rPr>
                </m:ctrlPr>
              </m:dPr>
              <m:e>
                <m:r>
                  <m:rPr>
                    <m:sty m:val="b"/>
                  </m:rPr>
                  <w:rPr>
                    <w:rFonts w:ascii="Cambria Math" w:hAnsi="Cambria Math" w:cstheme="majorBidi"/>
                  </w:rPr>
                  <m:t>TDi-TDi0</m:t>
                </m:r>
              </m:e>
            </m:d>
            <m:r>
              <m:rPr>
                <m:sty m:val="b"/>
              </m:rPr>
              <w:rPr>
                <w:rFonts w:ascii="Cambria Math" w:hAnsi="Cambria Math" w:cstheme="majorBidi"/>
              </w:rPr>
              <m:t xml:space="preserve">*1 000-TDt </m:t>
            </m:r>
          </m:num>
          <m:den>
            <m:r>
              <m:rPr>
                <m:sty m:val="b"/>
              </m:rPr>
              <w:rPr>
                <w:rFonts w:ascii="Cambria Math" w:hAnsi="Cambria Math" w:cstheme="majorBidi"/>
              </w:rPr>
              <m:t>TDt</m:t>
            </m:r>
          </m:den>
        </m:f>
      </m:oMath>
      <w:r w:rsidR="003867C7">
        <w:rPr>
          <w:rFonts w:eastAsiaTheme="minorEastAsia"/>
          <w:b/>
          <w:bCs/>
          <w:iCs/>
        </w:rPr>
        <w:t xml:space="preserve"> </w:t>
      </w:r>
      <w:r>
        <w:rPr>
          <w:b/>
          <w:bCs/>
          <w:lang w:val="fr-FR"/>
        </w:rPr>
        <w:t>* 100</w:t>
      </w:r>
    </w:p>
    <w:p w14:paraId="3ECD173E" w14:textId="77777777" w:rsidR="0083199D" w:rsidRPr="001B10CE" w:rsidRDefault="0083199D" w:rsidP="00976BC5">
      <w:pPr>
        <w:spacing w:after="120"/>
        <w:ind w:leftChars="1134" w:left="2268" w:rightChars="1134" w:right="2268"/>
        <w:rPr>
          <w:iCs/>
        </w:rPr>
      </w:pPr>
      <w:r>
        <w:rPr>
          <w:b/>
          <w:bCs/>
          <w:lang w:val="fr-FR"/>
        </w:rPr>
        <w:t>où :</w:t>
      </w:r>
    </w:p>
    <w:p w14:paraId="5D01747F" w14:textId="77777777" w:rsidR="0083199D" w:rsidRDefault="0083199D" w:rsidP="00976BC5">
      <w:pPr>
        <w:pStyle w:val="para"/>
        <w:ind w:left="2835" w:firstLine="0"/>
        <w:jc w:val="left"/>
        <w:rPr>
          <w:b/>
          <w:iCs/>
        </w:rPr>
      </w:pPr>
      <w:proofErr w:type="spellStart"/>
      <w:r>
        <w:rPr>
          <w:b/>
          <w:bCs/>
        </w:rPr>
        <w:t>TDt</w:t>
      </w:r>
      <w:proofErr w:type="spellEnd"/>
      <w:r>
        <w:rPr>
          <w:b/>
          <w:bCs/>
        </w:rPr>
        <w:t xml:space="preserve"> :</w:t>
      </w:r>
      <w:r>
        <w:tab/>
      </w:r>
      <w:r>
        <w:rPr>
          <w:b/>
          <w:bCs/>
        </w:rPr>
        <w:t>distance réelle parcourue (m) ;</w:t>
      </w:r>
    </w:p>
    <w:p w14:paraId="1BDF1736" w14:textId="037DFD43" w:rsidR="0083199D" w:rsidRDefault="0083199D" w:rsidP="00976BC5">
      <w:pPr>
        <w:pStyle w:val="para"/>
        <w:ind w:left="2835" w:firstLine="0"/>
        <w:jc w:val="left"/>
        <w:rPr>
          <w:b/>
          <w:iCs/>
        </w:rPr>
      </w:pPr>
      <w:r>
        <w:rPr>
          <w:b/>
          <w:bCs/>
        </w:rPr>
        <w:t>TDi0 :</w:t>
      </w:r>
      <w:r>
        <w:tab/>
      </w:r>
      <w:r>
        <w:rPr>
          <w:b/>
          <w:bCs/>
        </w:rPr>
        <w:t>distance totale indiquée au début de l</w:t>
      </w:r>
      <w:r w:rsidR="004B49A6">
        <w:rPr>
          <w:b/>
          <w:bCs/>
        </w:rPr>
        <w:t>’</w:t>
      </w:r>
      <w:r>
        <w:rPr>
          <w:b/>
          <w:bCs/>
        </w:rPr>
        <w:t>essai (km), conformément au paragraphe 1.1.7 ;</w:t>
      </w:r>
    </w:p>
    <w:p w14:paraId="588A3BBF" w14:textId="57373156" w:rsidR="0083199D" w:rsidRPr="00FF5113" w:rsidRDefault="0083199D" w:rsidP="00976BC5">
      <w:pPr>
        <w:pStyle w:val="para"/>
        <w:ind w:left="2835" w:firstLine="0"/>
        <w:jc w:val="left"/>
        <w:rPr>
          <w:b/>
          <w:iCs/>
        </w:rPr>
      </w:pPr>
      <w:proofErr w:type="spellStart"/>
      <w:r>
        <w:rPr>
          <w:b/>
          <w:bCs/>
        </w:rPr>
        <w:t>TDi</w:t>
      </w:r>
      <w:proofErr w:type="spellEnd"/>
      <w:r>
        <w:rPr>
          <w:b/>
          <w:bCs/>
        </w:rPr>
        <w:t> :</w:t>
      </w:r>
      <w:r>
        <w:tab/>
      </w:r>
      <w:r>
        <w:rPr>
          <w:b/>
          <w:bCs/>
        </w:rPr>
        <w:t>distance totale indiquée à la fin de l</w:t>
      </w:r>
      <w:r w:rsidR="004B49A6">
        <w:rPr>
          <w:b/>
          <w:bCs/>
        </w:rPr>
        <w:t>’</w:t>
      </w:r>
      <w:r>
        <w:rPr>
          <w:b/>
          <w:bCs/>
        </w:rPr>
        <w:t>essai (km).</w:t>
      </w:r>
    </w:p>
    <w:p w14:paraId="4A22F304" w14:textId="126C6617" w:rsidR="0083199D" w:rsidRPr="00FF5113" w:rsidRDefault="0083199D" w:rsidP="0083199D">
      <w:pPr>
        <w:pStyle w:val="para"/>
        <w:spacing w:before="120" w:after="0"/>
        <w:ind w:leftChars="1134" w:rightChars="1134" w:right="2268" w:firstLine="0"/>
        <w:jc w:val="left"/>
        <w:rPr>
          <w:b/>
          <w:iCs/>
        </w:rPr>
      </w:pPr>
      <w:r>
        <w:rPr>
          <w:b/>
          <w:bCs/>
        </w:rPr>
        <w:t>Pour les véhicules dont le compteur kilométrique utilise le système d</w:t>
      </w:r>
      <w:r w:rsidR="004B49A6">
        <w:rPr>
          <w:b/>
          <w:bCs/>
        </w:rPr>
        <w:t>’</w:t>
      </w:r>
      <w:r>
        <w:rPr>
          <w:b/>
          <w:bCs/>
        </w:rPr>
        <w:t>unités de mesure anglo-saxonnes, la formule est ajustée en conséquence.</w:t>
      </w:r>
    </w:p>
    <w:p w14:paraId="39D1B81F" w14:textId="1BA46D01" w:rsidR="0083199D" w:rsidRDefault="0083199D" w:rsidP="0083199D">
      <w:pPr>
        <w:pStyle w:val="para"/>
        <w:spacing w:before="120" w:after="0"/>
        <w:ind w:leftChars="1134" w:rightChars="1134" w:right="2268" w:firstLine="0"/>
        <w:rPr>
          <w:b/>
        </w:rPr>
      </w:pPr>
      <w:r>
        <w:rPr>
          <w:b/>
          <w:bCs/>
          <w:i/>
          <w:iCs/>
        </w:rPr>
        <w:t>Exemple</w:t>
      </w:r>
      <w:r>
        <w:rPr>
          <w:b/>
          <w:bCs/>
        </w:rPr>
        <w:t xml:space="preserve"> :</w:t>
      </w:r>
    </w:p>
    <w:p w14:paraId="3D9144AB" w14:textId="708D260B" w:rsidR="0083199D" w:rsidRDefault="0083199D" w:rsidP="0083199D">
      <w:pPr>
        <w:pStyle w:val="para"/>
        <w:spacing w:before="120" w:after="0"/>
        <w:ind w:leftChars="1134" w:rightChars="1134" w:right="2268" w:firstLine="0"/>
        <w:rPr>
          <w:b/>
        </w:rPr>
      </w:pPr>
      <w:r>
        <w:rPr>
          <w:b/>
          <w:bCs/>
        </w:rPr>
        <w:t>- Le compteur kilométrique passe de 3 529 km à 3 530 km ;</w:t>
      </w:r>
      <w:r>
        <w:t xml:space="preserve"> </w:t>
      </w:r>
      <w:r>
        <w:rPr>
          <w:b/>
          <w:bCs/>
        </w:rPr>
        <w:t>l</w:t>
      </w:r>
      <w:r w:rsidR="004B49A6">
        <w:rPr>
          <w:b/>
          <w:bCs/>
        </w:rPr>
        <w:t>’</w:t>
      </w:r>
      <w:r>
        <w:rPr>
          <w:b/>
          <w:bCs/>
        </w:rPr>
        <w:t>appareillage est réglé sur 0 m.</w:t>
      </w:r>
    </w:p>
    <w:p w14:paraId="090431EF" w14:textId="0A4D55E1" w:rsidR="0083199D" w:rsidRDefault="0083199D" w:rsidP="0083199D">
      <w:pPr>
        <w:pStyle w:val="para"/>
        <w:spacing w:before="120" w:after="0"/>
        <w:ind w:leftChars="1134" w:rightChars="1134" w:right="2268" w:firstLine="0"/>
        <w:rPr>
          <w:b/>
        </w:rPr>
      </w:pPr>
      <w:r>
        <w:rPr>
          <w:b/>
          <w:bCs/>
        </w:rPr>
        <w:t>- Le compteur kilométrique passe de 3 539 km à 3 540 km ;</w:t>
      </w:r>
      <w:r>
        <w:t xml:space="preserve"> </w:t>
      </w:r>
      <w:r>
        <w:rPr>
          <w:b/>
          <w:bCs/>
        </w:rPr>
        <w:t>l</w:t>
      </w:r>
      <w:r w:rsidR="004B49A6">
        <w:rPr>
          <w:b/>
          <w:bCs/>
        </w:rPr>
        <w:t>’</w:t>
      </w:r>
      <w:r>
        <w:rPr>
          <w:b/>
          <w:bCs/>
        </w:rPr>
        <w:t>appareillage indique 10 260 m.</w:t>
      </w:r>
    </w:p>
    <w:p w14:paraId="00FC6130" w14:textId="1822945E" w:rsidR="0083199D" w:rsidRDefault="0083199D" w:rsidP="00204934">
      <w:pPr>
        <w:pStyle w:val="para"/>
        <w:spacing w:before="120"/>
        <w:ind w:leftChars="1134" w:rightChars="1134" w:right="2268" w:firstLine="0"/>
        <w:rPr>
          <w:b/>
          <w:bCs/>
        </w:rPr>
      </w:pPr>
      <w:r>
        <w:rPr>
          <w:b/>
          <w:bCs/>
        </w:rPr>
        <w:t>- Précision (%)</w:t>
      </w:r>
      <m:oMath>
        <m:r>
          <m:rPr>
            <m:sty m:val="bi"/>
          </m:rPr>
          <w:rPr>
            <w:rFonts w:ascii="Cambria Math" w:hAnsi="Cambria Math"/>
          </w:rPr>
          <m:t xml:space="preserve"> </m:t>
        </m:r>
        <m:r>
          <w:rPr>
            <w:rFonts w:ascii="Cambria Math" w:hAnsi="Cambria Math"/>
            <w:lang w:val="fr-CH"/>
          </w:rPr>
          <m:t>=</m:t>
        </m:r>
        <m:f>
          <m:fPr>
            <m:ctrlPr>
              <w:rPr>
                <w:rFonts w:ascii="Cambria Math" w:hAnsi="Cambria Math"/>
                <w:b/>
                <w:bCs/>
                <w:i/>
                <w:lang w:val="en-GB"/>
              </w:rPr>
            </m:ctrlPr>
          </m:fPr>
          <m:num>
            <m:d>
              <m:dPr>
                <m:ctrlPr>
                  <w:rPr>
                    <w:rFonts w:ascii="Cambria Math" w:hAnsi="Cambria Math"/>
                    <w:b/>
                    <w:i/>
                    <w:lang w:val="en-GB"/>
                  </w:rPr>
                </m:ctrlPr>
              </m:dPr>
              <m:e>
                <m:r>
                  <m:rPr>
                    <m:sty m:val="bi"/>
                  </m:rPr>
                  <w:rPr>
                    <w:rFonts w:ascii="Cambria Math" w:hAnsi="Cambria Math"/>
                    <w:lang w:val="en-GB"/>
                  </w:rPr>
                  <m:t>3</m:t>
                </m:r>
                <m:r>
                  <m:rPr>
                    <m:sty m:val="bi"/>
                  </m:rPr>
                  <w:rPr>
                    <w:rFonts w:ascii="Cambria Math" w:hAnsi="Cambria Math"/>
                    <w:lang w:val="fr-CH"/>
                  </w:rPr>
                  <m:t> </m:t>
                </m:r>
                <m:r>
                  <m:rPr>
                    <m:sty m:val="bi"/>
                  </m:rPr>
                  <w:rPr>
                    <w:rFonts w:ascii="Cambria Math" w:hAnsi="Cambria Math"/>
                    <w:lang w:val="en-GB"/>
                  </w:rPr>
                  <m:t>540</m:t>
                </m:r>
                <m:r>
                  <m:rPr>
                    <m:sty m:val="bi"/>
                  </m:rPr>
                  <w:rPr>
                    <w:rFonts w:ascii="Cambria Math" w:hAnsi="Cambria Math"/>
                    <w:lang w:val="fr-CH"/>
                  </w:rPr>
                  <m:t>-</m:t>
                </m:r>
                <m:r>
                  <m:rPr>
                    <m:sty m:val="bi"/>
                  </m:rPr>
                  <w:rPr>
                    <w:rFonts w:ascii="Cambria Math" w:hAnsi="Cambria Math"/>
                    <w:lang w:val="en-GB"/>
                  </w:rPr>
                  <m:t>3</m:t>
                </m:r>
                <m:r>
                  <m:rPr>
                    <m:sty m:val="bi"/>
                  </m:rPr>
                  <w:rPr>
                    <w:rFonts w:ascii="Cambria Math" w:hAnsi="Cambria Math"/>
                    <w:lang w:val="fr-CH"/>
                  </w:rPr>
                  <m:t> </m:t>
                </m:r>
                <m:r>
                  <m:rPr>
                    <m:sty m:val="bi"/>
                  </m:rPr>
                  <w:rPr>
                    <w:rFonts w:ascii="Cambria Math" w:hAnsi="Cambria Math"/>
                    <w:lang w:val="en-GB"/>
                  </w:rPr>
                  <m:t>530</m:t>
                </m:r>
              </m:e>
            </m:d>
            <m:r>
              <m:rPr>
                <m:sty m:val="bi"/>
              </m:rPr>
              <w:rPr>
                <w:rFonts w:ascii="Cambria Math" w:hAnsi="Cambria Math"/>
                <w:lang w:val="fr-CH"/>
              </w:rPr>
              <m:t>*</m:t>
            </m:r>
            <m:r>
              <m:rPr>
                <m:sty m:val="bi"/>
              </m:rPr>
              <w:rPr>
                <w:rFonts w:ascii="Cambria Math" w:hAnsi="Cambria Math"/>
                <w:lang w:val="en-GB"/>
              </w:rPr>
              <m:t>1</m:t>
            </m:r>
            <m:r>
              <m:rPr>
                <m:sty m:val="bi"/>
              </m:rPr>
              <w:rPr>
                <w:rFonts w:ascii="Cambria Math" w:hAnsi="Cambria Math"/>
                <w:lang w:val="fr-CH"/>
              </w:rPr>
              <m:t> </m:t>
            </m:r>
            <m:r>
              <m:rPr>
                <m:sty m:val="bi"/>
              </m:rPr>
              <w:rPr>
                <w:rFonts w:ascii="Cambria Math" w:hAnsi="Cambria Math"/>
                <w:lang w:val="en-GB"/>
              </w:rPr>
              <m:t>000</m:t>
            </m:r>
            <m:r>
              <m:rPr>
                <m:sty m:val="bi"/>
              </m:rPr>
              <w:rPr>
                <w:rFonts w:ascii="Cambria Math" w:hAnsi="Cambria Math"/>
                <w:lang w:val="fr-CH"/>
              </w:rPr>
              <m:t>-</m:t>
            </m:r>
            <m:r>
              <m:rPr>
                <m:sty m:val="bi"/>
              </m:rPr>
              <w:rPr>
                <w:rFonts w:ascii="Cambria Math" w:hAnsi="Cambria Math"/>
                <w:lang w:val="en-GB"/>
              </w:rPr>
              <m:t>10</m:t>
            </m:r>
            <m:r>
              <m:rPr>
                <m:sty m:val="bi"/>
              </m:rPr>
              <w:rPr>
                <w:rFonts w:ascii="Cambria Math" w:hAnsi="Cambria Math"/>
                <w:lang w:val="fr-CH"/>
              </w:rPr>
              <m:t> </m:t>
            </m:r>
            <m:r>
              <m:rPr>
                <m:sty m:val="bi"/>
              </m:rPr>
              <w:rPr>
                <w:rFonts w:ascii="Cambria Math" w:hAnsi="Cambria Math"/>
                <w:lang w:val="en-GB"/>
              </w:rPr>
              <m:t>260</m:t>
            </m:r>
          </m:num>
          <m:den>
            <m:r>
              <m:rPr>
                <m:sty m:val="bi"/>
              </m:rPr>
              <w:rPr>
                <w:rFonts w:ascii="Cambria Math" w:hAnsi="Cambria Math"/>
                <w:lang w:val="en-GB"/>
              </w:rPr>
              <m:t>10</m:t>
            </m:r>
            <m:r>
              <m:rPr>
                <m:sty m:val="bi"/>
              </m:rPr>
              <w:rPr>
                <w:rFonts w:ascii="Cambria Math" w:hAnsi="Cambria Math"/>
                <w:lang w:val="fr-CH"/>
              </w:rPr>
              <m:t> </m:t>
            </m:r>
            <m:r>
              <m:rPr>
                <m:sty m:val="bi"/>
              </m:rPr>
              <w:rPr>
                <w:rFonts w:ascii="Cambria Math" w:hAnsi="Cambria Math"/>
                <w:lang w:val="en-GB"/>
              </w:rPr>
              <m:t>260</m:t>
            </m:r>
          </m:den>
        </m:f>
      </m:oMath>
      <w:r w:rsidR="00976BC5" w:rsidRPr="00976BC5">
        <w:rPr>
          <w:b/>
          <w:bCs/>
          <w:lang w:val="fr-CH"/>
        </w:rPr>
        <w:t xml:space="preserve"> </w:t>
      </w:r>
      <w:r>
        <w:rPr>
          <w:b/>
          <w:bCs/>
        </w:rPr>
        <w:t>* 100</w:t>
      </w:r>
    </w:p>
    <w:p w14:paraId="17B31DC6" w14:textId="4DC10CC6" w:rsidR="0083199D" w:rsidRDefault="00204934" w:rsidP="00204934">
      <w:pPr>
        <w:pStyle w:val="SingleTxtG"/>
        <w:tabs>
          <w:tab w:val="left" w:pos="3612"/>
        </w:tabs>
        <w:rPr>
          <w:b/>
          <w:bCs/>
        </w:rPr>
        <w:sectPr w:rsidR="0083199D" w:rsidSect="0083199D">
          <w:endnotePr>
            <w:numFmt w:val="decimal"/>
          </w:endnotePr>
          <w:pgSz w:w="11906" w:h="16838" w:code="9"/>
          <w:pgMar w:top="1417" w:right="1134" w:bottom="1134" w:left="1134" w:header="850" w:footer="567" w:gutter="0"/>
          <w:cols w:space="708"/>
          <w:docGrid w:linePitch="360"/>
        </w:sectPr>
      </w:pPr>
      <w:r>
        <w:rPr>
          <w:b/>
          <w:bCs/>
        </w:rPr>
        <w:tab/>
      </w:r>
      <w:r w:rsidR="0083199D">
        <w:rPr>
          <w:b/>
          <w:bCs/>
        </w:rPr>
        <w:t>= -2,5</w:t>
      </w:r>
      <w:r>
        <w:rPr>
          <w:b/>
          <w:bCs/>
        </w:rPr>
        <w:t> </w:t>
      </w:r>
      <w:r w:rsidR="0083199D">
        <w:rPr>
          <w:b/>
          <w:bCs/>
        </w:rPr>
        <w:t>%</w:t>
      </w:r>
    </w:p>
    <w:p w14:paraId="65C2E682" w14:textId="77777777" w:rsidR="0083199D" w:rsidRPr="00976BC5" w:rsidRDefault="0083199D" w:rsidP="00976BC5">
      <w:pPr>
        <w:pStyle w:val="HChG"/>
      </w:pPr>
      <w:r>
        <w:rPr>
          <w:lang w:val="fr-FR"/>
        </w:rPr>
        <w:lastRenderedPageBreak/>
        <w:t>Annexe 5</w:t>
      </w:r>
    </w:p>
    <w:p w14:paraId="0111ECCF" w14:textId="77777777" w:rsidR="0083199D" w:rsidRPr="001B10CE" w:rsidRDefault="0083199D" w:rsidP="00976BC5">
      <w:pPr>
        <w:pStyle w:val="HChG"/>
      </w:pPr>
      <w:r>
        <w:rPr>
          <w:lang w:val="fr-FR"/>
        </w:rPr>
        <w:tab/>
      </w:r>
      <w:r>
        <w:rPr>
          <w:lang w:val="fr-FR"/>
        </w:rPr>
        <w:tab/>
      </w:r>
      <w:r w:rsidRPr="00921CC7">
        <w:rPr>
          <w:lang w:val="fr-FR"/>
        </w:rPr>
        <w:t>Fiche de renseignements</w:t>
      </w:r>
    </w:p>
    <w:p w14:paraId="1FF42803" w14:textId="77777777" w:rsidR="0083199D" w:rsidRPr="00FF5113" w:rsidRDefault="0083199D" w:rsidP="0083199D">
      <w:pPr>
        <w:pStyle w:val="para"/>
        <w:rPr>
          <w:b/>
        </w:rPr>
      </w:pPr>
      <w:r>
        <w:rPr>
          <w:b/>
          <w:bCs/>
        </w:rPr>
        <w:t>0.</w:t>
      </w:r>
      <w:r>
        <w:tab/>
      </w:r>
      <w:r>
        <w:rPr>
          <w:b/>
          <w:bCs/>
        </w:rPr>
        <w:t>Généralités</w:t>
      </w:r>
    </w:p>
    <w:p w14:paraId="74AFB8CA" w14:textId="77777777" w:rsidR="0083199D" w:rsidRPr="00FF5113" w:rsidRDefault="0083199D" w:rsidP="0083199D">
      <w:pPr>
        <w:pStyle w:val="para"/>
        <w:rPr>
          <w:b/>
        </w:rPr>
      </w:pPr>
      <w:r>
        <w:rPr>
          <w:b/>
          <w:bCs/>
        </w:rPr>
        <w:t>0.1</w:t>
      </w:r>
      <w:r>
        <w:tab/>
      </w:r>
      <w:r>
        <w:rPr>
          <w:b/>
          <w:bCs/>
        </w:rPr>
        <w:t>Marque (raison sociale du constructeur) :</w:t>
      </w:r>
    </w:p>
    <w:p w14:paraId="145120B3" w14:textId="77777777" w:rsidR="0083199D" w:rsidRPr="00FF5113" w:rsidRDefault="0083199D" w:rsidP="0083199D">
      <w:pPr>
        <w:pStyle w:val="para"/>
        <w:rPr>
          <w:b/>
        </w:rPr>
      </w:pPr>
      <w:r>
        <w:rPr>
          <w:b/>
          <w:bCs/>
        </w:rPr>
        <w:t>0.2</w:t>
      </w:r>
      <w:r>
        <w:tab/>
      </w:r>
      <w:r>
        <w:rPr>
          <w:b/>
          <w:bCs/>
        </w:rPr>
        <w:t>Type et dénomination(s) commerciale(s) générale(s) :</w:t>
      </w:r>
    </w:p>
    <w:p w14:paraId="07601FEA" w14:textId="27CE06B0" w:rsidR="0083199D" w:rsidRPr="00FF5113" w:rsidRDefault="0083199D" w:rsidP="0083199D">
      <w:pPr>
        <w:pStyle w:val="para"/>
        <w:rPr>
          <w:b/>
        </w:rPr>
      </w:pPr>
      <w:r>
        <w:rPr>
          <w:b/>
          <w:bCs/>
        </w:rPr>
        <w:t>0.3</w:t>
      </w:r>
      <w:r>
        <w:tab/>
      </w:r>
      <w:r>
        <w:rPr>
          <w:b/>
          <w:bCs/>
        </w:rPr>
        <w:t>Moyen d</w:t>
      </w:r>
      <w:r w:rsidR="004B49A6">
        <w:rPr>
          <w:b/>
          <w:bCs/>
        </w:rPr>
        <w:t>’</w:t>
      </w:r>
      <w:r>
        <w:rPr>
          <w:b/>
          <w:bCs/>
        </w:rPr>
        <w:t>identification du type, s</w:t>
      </w:r>
      <w:r w:rsidR="004B49A6">
        <w:rPr>
          <w:b/>
          <w:bCs/>
        </w:rPr>
        <w:t>’</w:t>
      </w:r>
      <w:r>
        <w:rPr>
          <w:b/>
          <w:bCs/>
        </w:rPr>
        <w:t>il est indiqué sur le véhicule :</w:t>
      </w:r>
    </w:p>
    <w:p w14:paraId="0DB4FFEB" w14:textId="77777777" w:rsidR="0083199D" w:rsidRPr="00FF5113" w:rsidRDefault="0083199D" w:rsidP="0083199D">
      <w:pPr>
        <w:pStyle w:val="para"/>
        <w:rPr>
          <w:b/>
        </w:rPr>
      </w:pPr>
      <w:r>
        <w:rPr>
          <w:b/>
          <w:bCs/>
        </w:rPr>
        <w:t>0.3.1</w:t>
      </w:r>
      <w:r>
        <w:tab/>
      </w:r>
      <w:r>
        <w:rPr>
          <w:b/>
          <w:bCs/>
        </w:rPr>
        <w:t>Emplacement de ce marquage :</w:t>
      </w:r>
    </w:p>
    <w:p w14:paraId="73CA9EC7" w14:textId="77777777" w:rsidR="0083199D" w:rsidRPr="00FF5113" w:rsidRDefault="0083199D" w:rsidP="0083199D">
      <w:pPr>
        <w:pStyle w:val="para"/>
        <w:rPr>
          <w:b/>
        </w:rPr>
      </w:pPr>
      <w:r>
        <w:rPr>
          <w:b/>
          <w:bCs/>
        </w:rPr>
        <w:t>0.4</w:t>
      </w:r>
      <w:r>
        <w:tab/>
      </w:r>
      <w:r>
        <w:rPr>
          <w:b/>
          <w:bCs/>
        </w:rPr>
        <w:t>Catégorie de véhicule :</w:t>
      </w:r>
    </w:p>
    <w:p w14:paraId="3F3A3247" w14:textId="77777777" w:rsidR="0083199D" w:rsidRPr="00FF5113" w:rsidRDefault="0083199D" w:rsidP="0083199D">
      <w:pPr>
        <w:pStyle w:val="para"/>
        <w:rPr>
          <w:b/>
        </w:rPr>
      </w:pPr>
      <w:r>
        <w:rPr>
          <w:b/>
          <w:bCs/>
        </w:rPr>
        <w:t>0.5</w:t>
      </w:r>
      <w:r>
        <w:tab/>
      </w:r>
      <w:r>
        <w:rPr>
          <w:b/>
          <w:bCs/>
        </w:rPr>
        <w:t>Nom et adresse du constructeur :</w:t>
      </w:r>
    </w:p>
    <w:p w14:paraId="36A79C8B" w14:textId="1C98D6EE" w:rsidR="0083199D" w:rsidRPr="00FF5113" w:rsidRDefault="0083199D" w:rsidP="0083199D">
      <w:pPr>
        <w:pStyle w:val="para"/>
        <w:rPr>
          <w:b/>
        </w:rPr>
      </w:pPr>
      <w:r>
        <w:rPr>
          <w:b/>
          <w:bCs/>
        </w:rPr>
        <w:t>0.8</w:t>
      </w:r>
      <w:r>
        <w:tab/>
      </w:r>
      <w:r>
        <w:rPr>
          <w:b/>
          <w:bCs/>
        </w:rPr>
        <w:t>Adresse(s) de l</w:t>
      </w:r>
      <w:r w:rsidR="004B49A6">
        <w:rPr>
          <w:b/>
          <w:bCs/>
        </w:rPr>
        <w:t>’</w:t>
      </w:r>
      <w:r>
        <w:rPr>
          <w:b/>
          <w:bCs/>
        </w:rPr>
        <w:t>atelier (des ateliers) de montage :</w:t>
      </w:r>
    </w:p>
    <w:p w14:paraId="572D56AA" w14:textId="77777777" w:rsidR="0083199D" w:rsidRPr="00FF5113" w:rsidRDefault="0083199D" w:rsidP="0083199D">
      <w:pPr>
        <w:pStyle w:val="para"/>
        <w:rPr>
          <w:b/>
        </w:rPr>
      </w:pPr>
      <w:r>
        <w:rPr>
          <w:b/>
          <w:bCs/>
        </w:rPr>
        <w:t>1.</w:t>
      </w:r>
      <w:r>
        <w:tab/>
      </w:r>
      <w:r>
        <w:rPr>
          <w:b/>
          <w:bCs/>
        </w:rPr>
        <w:t>Caractéristiques générales de construction du véhicule</w:t>
      </w:r>
    </w:p>
    <w:p w14:paraId="01628D41" w14:textId="1E99EBD6" w:rsidR="0083199D" w:rsidRPr="00FF5113" w:rsidRDefault="0083199D" w:rsidP="0083199D">
      <w:pPr>
        <w:pStyle w:val="para"/>
        <w:rPr>
          <w:b/>
        </w:rPr>
      </w:pPr>
      <w:r>
        <w:rPr>
          <w:b/>
          <w:bCs/>
        </w:rPr>
        <w:t>1.1</w:t>
      </w:r>
      <w:r>
        <w:tab/>
      </w:r>
      <w:r>
        <w:rPr>
          <w:b/>
          <w:bCs/>
        </w:rPr>
        <w:t>Photographies ou dessins d</w:t>
      </w:r>
      <w:r w:rsidR="004B49A6">
        <w:rPr>
          <w:b/>
          <w:bCs/>
        </w:rPr>
        <w:t>’</w:t>
      </w:r>
      <w:r>
        <w:rPr>
          <w:b/>
          <w:bCs/>
        </w:rPr>
        <w:t>un véhicule type :</w:t>
      </w:r>
    </w:p>
    <w:p w14:paraId="3CD1B3C1" w14:textId="77777777" w:rsidR="0083199D" w:rsidRPr="00FF5113" w:rsidRDefault="0083199D" w:rsidP="0083199D">
      <w:pPr>
        <w:pStyle w:val="para"/>
        <w:rPr>
          <w:b/>
        </w:rPr>
      </w:pPr>
      <w:r>
        <w:rPr>
          <w:b/>
          <w:bCs/>
        </w:rPr>
        <w:t>2.</w:t>
      </w:r>
      <w:r>
        <w:tab/>
      </w:r>
      <w:r>
        <w:rPr>
          <w:b/>
          <w:bCs/>
        </w:rPr>
        <w:t>Masses et dimensions (en kg et mm) :</w:t>
      </w:r>
    </w:p>
    <w:p w14:paraId="53E9D558" w14:textId="77777777" w:rsidR="0083199D" w:rsidRPr="00FF5113" w:rsidRDefault="0083199D" w:rsidP="0083199D">
      <w:pPr>
        <w:pStyle w:val="para"/>
        <w:rPr>
          <w:b/>
        </w:rPr>
      </w:pPr>
      <w:r>
        <w:rPr>
          <w:b/>
          <w:bCs/>
        </w:rPr>
        <w:t>2.6</w:t>
      </w:r>
      <w:r>
        <w:tab/>
      </w:r>
      <w:r>
        <w:rPr>
          <w:b/>
          <w:bCs/>
        </w:rPr>
        <w:t>Masse du véhicule en état de marche (maximale et minimale pour chaque variante) :</w:t>
      </w:r>
    </w:p>
    <w:p w14:paraId="4CAA7B4B" w14:textId="054559F2" w:rsidR="0083199D" w:rsidRPr="00FF5113" w:rsidRDefault="0083199D" w:rsidP="0083199D">
      <w:pPr>
        <w:pStyle w:val="para"/>
        <w:rPr>
          <w:b/>
        </w:rPr>
      </w:pPr>
      <w:r>
        <w:rPr>
          <w:b/>
          <w:bCs/>
        </w:rPr>
        <w:t>2.6.1</w:t>
      </w:r>
      <w:r>
        <w:tab/>
      </w:r>
      <w:r>
        <w:rPr>
          <w:b/>
          <w:bCs/>
        </w:rPr>
        <w:t>Répartition de cette masse entre les essieux, et, dans le cas d</w:t>
      </w:r>
      <w:r w:rsidR="004B49A6">
        <w:rPr>
          <w:b/>
          <w:bCs/>
        </w:rPr>
        <w:t>’</w:t>
      </w:r>
      <w:r>
        <w:rPr>
          <w:b/>
          <w:bCs/>
        </w:rPr>
        <w:t>une semi-remorque ou d</w:t>
      </w:r>
      <w:r w:rsidR="004B49A6">
        <w:rPr>
          <w:b/>
          <w:bCs/>
        </w:rPr>
        <w:t>’</w:t>
      </w:r>
      <w:r>
        <w:rPr>
          <w:b/>
          <w:bCs/>
        </w:rPr>
        <w:t>une remorque à essieu médian, charge au point d</w:t>
      </w:r>
      <w:r w:rsidR="004B49A6">
        <w:rPr>
          <w:b/>
          <w:bCs/>
        </w:rPr>
        <w:t>’</w:t>
      </w:r>
      <w:r>
        <w:rPr>
          <w:b/>
          <w:bCs/>
        </w:rPr>
        <w:t>attelage (valeur maximale et minimale pour chaque version) :</w:t>
      </w:r>
    </w:p>
    <w:p w14:paraId="4348BC6B" w14:textId="77777777" w:rsidR="0083199D" w:rsidRPr="00FF5113" w:rsidRDefault="0083199D" w:rsidP="0083199D">
      <w:pPr>
        <w:pStyle w:val="para"/>
        <w:rPr>
          <w:b/>
        </w:rPr>
      </w:pPr>
      <w:r>
        <w:rPr>
          <w:b/>
          <w:bCs/>
        </w:rPr>
        <w:t>4.</w:t>
      </w:r>
      <w:r>
        <w:tab/>
      </w:r>
      <w:r>
        <w:rPr>
          <w:b/>
          <w:bCs/>
        </w:rPr>
        <w:t>Transmission</w:t>
      </w:r>
    </w:p>
    <w:p w14:paraId="58713C59" w14:textId="340BE325" w:rsidR="0083199D" w:rsidRPr="00FF5113" w:rsidRDefault="0083199D" w:rsidP="0083199D">
      <w:pPr>
        <w:pStyle w:val="para"/>
        <w:rPr>
          <w:b/>
        </w:rPr>
      </w:pPr>
      <w:r>
        <w:rPr>
          <w:b/>
          <w:bCs/>
        </w:rPr>
        <w:t>4.2</w:t>
      </w:r>
      <w:r>
        <w:tab/>
      </w:r>
      <w:r>
        <w:rPr>
          <w:b/>
          <w:bCs/>
        </w:rPr>
        <w:t>Type (mécanique, hydraulique, électrique, etc.)</w:t>
      </w:r>
      <w:r w:rsidRPr="00FF5113">
        <w:rPr>
          <w:rStyle w:val="Appelnotedebasdep"/>
          <w:b/>
        </w:rPr>
        <w:footnoteReference w:customMarkFollows="1" w:id="9"/>
        <w:t>2</w:t>
      </w:r>
      <w:r w:rsidR="00976BC5" w:rsidRPr="00976BC5">
        <w:rPr>
          <w:rStyle w:val="Appelnotedebasdep"/>
          <w:b/>
          <w:vertAlign w:val="baseline"/>
        </w:rPr>
        <w:t xml:space="preserve"> </w:t>
      </w:r>
      <w:r>
        <w:rPr>
          <w:b/>
          <w:bCs/>
        </w:rPr>
        <w:t>:</w:t>
      </w:r>
    </w:p>
    <w:p w14:paraId="0B24F641" w14:textId="77777777" w:rsidR="0083199D" w:rsidRPr="00FF5113" w:rsidRDefault="0083199D" w:rsidP="0083199D">
      <w:pPr>
        <w:pStyle w:val="para"/>
        <w:rPr>
          <w:b/>
        </w:rPr>
      </w:pPr>
      <w:r>
        <w:rPr>
          <w:b/>
          <w:bCs/>
        </w:rPr>
        <w:t>4.5</w:t>
      </w:r>
      <w:r>
        <w:tab/>
      </w:r>
      <w:r w:rsidRPr="00921CC7">
        <w:rPr>
          <w:b/>
          <w:bCs/>
        </w:rPr>
        <w:t>Boîte de vitesses</w:t>
      </w:r>
      <w:r w:rsidRPr="00976BC5">
        <w:rPr>
          <w:b/>
          <w:bCs/>
          <w:sz w:val="18"/>
          <w:szCs w:val="18"/>
          <w:vertAlign w:val="superscript"/>
        </w:rPr>
        <w:t>2</w:t>
      </w:r>
    </w:p>
    <w:p w14:paraId="2407DFE0" w14:textId="77777777" w:rsidR="0083199D" w:rsidRPr="00FF5113" w:rsidRDefault="0083199D" w:rsidP="0083199D">
      <w:pPr>
        <w:pStyle w:val="para"/>
        <w:rPr>
          <w:b/>
        </w:rPr>
      </w:pPr>
      <w:r>
        <w:rPr>
          <w:b/>
          <w:bCs/>
        </w:rPr>
        <w:t>4.5.3</w:t>
      </w:r>
      <w:r>
        <w:tab/>
      </w:r>
      <w:r>
        <w:rPr>
          <w:b/>
          <w:bCs/>
        </w:rPr>
        <w:t>Méthode de commande :</w:t>
      </w:r>
    </w:p>
    <w:p w14:paraId="5D245A0F" w14:textId="77777777" w:rsidR="0083199D" w:rsidRPr="00FF5113" w:rsidRDefault="0083199D" w:rsidP="0083199D">
      <w:pPr>
        <w:pStyle w:val="para"/>
        <w:rPr>
          <w:b/>
        </w:rPr>
      </w:pPr>
      <w:r>
        <w:rPr>
          <w:b/>
          <w:bCs/>
        </w:rPr>
        <w:t>4.6</w:t>
      </w:r>
      <w:r>
        <w:tab/>
      </w:r>
      <w:r>
        <w:rPr>
          <w:b/>
          <w:bCs/>
        </w:rPr>
        <w:t>Rapports de démultiplication</w:t>
      </w:r>
      <w:r w:rsidRPr="007538CA">
        <w:rPr>
          <w:b/>
          <w:bCs/>
          <w:sz w:val="18"/>
          <w:szCs w:val="18"/>
          <w:vertAlign w:val="superscript"/>
        </w:rPr>
        <w:t>2</w:t>
      </w:r>
    </w:p>
    <w:tbl>
      <w:tblPr>
        <w:tblStyle w:val="TableNormal2"/>
        <w:tblW w:w="7370" w:type="dxa"/>
        <w:tblInd w:w="1134" w:type="dxa"/>
        <w:tblLayout w:type="fixed"/>
        <w:tblLook w:val="01E0" w:firstRow="1" w:lastRow="1" w:firstColumn="1" w:lastColumn="1" w:noHBand="0" w:noVBand="0"/>
      </w:tblPr>
      <w:tblGrid>
        <w:gridCol w:w="2464"/>
        <w:gridCol w:w="1904"/>
        <w:gridCol w:w="1665"/>
        <w:gridCol w:w="1337"/>
      </w:tblGrid>
      <w:tr w:rsidR="007538CA" w:rsidRPr="007538CA" w14:paraId="40FFF1A5" w14:textId="77777777" w:rsidTr="00204934">
        <w:trPr>
          <w:tblHeader/>
        </w:trPr>
        <w:tc>
          <w:tcPr>
            <w:tcW w:w="2464" w:type="dxa"/>
            <w:tcBorders>
              <w:top w:val="single" w:sz="4" w:space="0" w:color="auto"/>
              <w:bottom w:val="single" w:sz="12" w:space="0" w:color="auto"/>
            </w:tcBorders>
            <w:shd w:val="clear" w:color="auto" w:fill="auto"/>
            <w:vAlign w:val="bottom"/>
          </w:tcPr>
          <w:p w14:paraId="12231422" w14:textId="77777777" w:rsidR="0083199D" w:rsidRPr="007538CA" w:rsidRDefault="0083199D" w:rsidP="007538CA">
            <w:pPr>
              <w:spacing w:before="80" w:after="80" w:line="200" w:lineRule="exact"/>
              <w:ind w:right="113"/>
              <w:rPr>
                <w:b/>
                <w:bCs/>
                <w:i/>
                <w:sz w:val="16"/>
              </w:rPr>
            </w:pPr>
            <w:r w:rsidRPr="007538CA">
              <w:rPr>
                <w:b/>
                <w:bCs/>
                <w:i/>
                <w:sz w:val="16"/>
                <w:lang w:val="fr-FR"/>
              </w:rPr>
              <w:t>Rapport</w:t>
            </w:r>
          </w:p>
        </w:tc>
        <w:tc>
          <w:tcPr>
            <w:tcW w:w="1904" w:type="dxa"/>
            <w:tcBorders>
              <w:top w:val="single" w:sz="4" w:space="0" w:color="auto"/>
              <w:bottom w:val="single" w:sz="12" w:space="0" w:color="auto"/>
            </w:tcBorders>
            <w:shd w:val="clear" w:color="auto" w:fill="auto"/>
            <w:vAlign w:val="bottom"/>
          </w:tcPr>
          <w:p w14:paraId="66C81C57" w14:textId="0A6603BE" w:rsidR="0083199D" w:rsidRPr="007538CA" w:rsidRDefault="0083199D" w:rsidP="007538CA">
            <w:pPr>
              <w:spacing w:before="80" w:after="80" w:line="200" w:lineRule="exact"/>
              <w:ind w:right="113"/>
              <w:rPr>
                <w:b/>
                <w:bCs/>
                <w:i/>
                <w:sz w:val="16"/>
                <w:lang w:val="fr-CH"/>
              </w:rPr>
            </w:pPr>
            <w:r w:rsidRPr="007538CA">
              <w:rPr>
                <w:b/>
                <w:bCs/>
                <w:i/>
                <w:sz w:val="16"/>
                <w:lang w:val="fr-FR"/>
              </w:rPr>
              <w:t xml:space="preserve">Rapport interne de boîte </w:t>
            </w:r>
            <w:r w:rsidR="00204934">
              <w:rPr>
                <w:b/>
                <w:bCs/>
                <w:i/>
                <w:sz w:val="16"/>
                <w:lang w:val="fr-FR"/>
              </w:rPr>
              <w:br/>
            </w:r>
            <w:r w:rsidRPr="007538CA">
              <w:rPr>
                <w:b/>
                <w:bCs/>
                <w:i/>
                <w:sz w:val="16"/>
                <w:lang w:val="fr-FR"/>
              </w:rPr>
              <w:t xml:space="preserve">de vitesses (rapport entre le régime du moteur </w:t>
            </w:r>
            <w:r w:rsidR="00204934">
              <w:rPr>
                <w:b/>
                <w:bCs/>
                <w:i/>
                <w:sz w:val="16"/>
                <w:lang w:val="fr-FR"/>
              </w:rPr>
              <w:br/>
            </w:r>
            <w:r w:rsidRPr="007538CA">
              <w:rPr>
                <w:b/>
                <w:bCs/>
                <w:i/>
                <w:sz w:val="16"/>
                <w:lang w:val="fr-FR"/>
              </w:rPr>
              <w:t>et la vitesse de rotation</w:t>
            </w:r>
            <w:r w:rsidR="00204934">
              <w:rPr>
                <w:b/>
                <w:bCs/>
                <w:i/>
                <w:sz w:val="16"/>
                <w:lang w:val="fr-FR"/>
              </w:rPr>
              <w:br/>
            </w:r>
            <w:r w:rsidRPr="007538CA">
              <w:rPr>
                <w:b/>
                <w:bCs/>
                <w:i/>
                <w:sz w:val="16"/>
                <w:lang w:val="fr-FR"/>
              </w:rPr>
              <w:t>de l</w:t>
            </w:r>
            <w:r w:rsidR="004B49A6" w:rsidRPr="007538CA">
              <w:rPr>
                <w:b/>
                <w:bCs/>
                <w:i/>
                <w:sz w:val="16"/>
                <w:lang w:val="fr-FR"/>
              </w:rPr>
              <w:t>’</w:t>
            </w:r>
            <w:r w:rsidRPr="007538CA">
              <w:rPr>
                <w:b/>
                <w:bCs/>
                <w:i/>
                <w:sz w:val="16"/>
                <w:lang w:val="fr-FR"/>
              </w:rPr>
              <w:t>arbre de sortie)</w:t>
            </w:r>
          </w:p>
        </w:tc>
        <w:tc>
          <w:tcPr>
            <w:tcW w:w="1665" w:type="dxa"/>
            <w:tcBorders>
              <w:top w:val="single" w:sz="4" w:space="0" w:color="auto"/>
              <w:bottom w:val="single" w:sz="12" w:space="0" w:color="auto"/>
            </w:tcBorders>
            <w:shd w:val="clear" w:color="auto" w:fill="auto"/>
            <w:vAlign w:val="bottom"/>
          </w:tcPr>
          <w:p w14:paraId="25F41418" w14:textId="2AE1FCFD" w:rsidR="0083199D" w:rsidRPr="007538CA" w:rsidRDefault="0083199D" w:rsidP="007538CA">
            <w:pPr>
              <w:spacing w:before="80" w:after="80" w:line="200" w:lineRule="exact"/>
              <w:ind w:right="113"/>
              <w:rPr>
                <w:b/>
                <w:bCs/>
                <w:i/>
                <w:sz w:val="16"/>
                <w:lang w:val="fr-CH"/>
              </w:rPr>
            </w:pPr>
            <w:r w:rsidRPr="007538CA">
              <w:rPr>
                <w:b/>
                <w:bCs/>
                <w:i/>
                <w:sz w:val="16"/>
                <w:lang w:val="fr-FR"/>
              </w:rPr>
              <w:t>Rapport(s) de pont (rapport entre la vitesse de rotation de l</w:t>
            </w:r>
            <w:r w:rsidR="004B49A6" w:rsidRPr="007538CA">
              <w:rPr>
                <w:b/>
                <w:bCs/>
                <w:i/>
                <w:sz w:val="16"/>
                <w:lang w:val="fr-FR"/>
              </w:rPr>
              <w:t>’</w:t>
            </w:r>
            <w:r w:rsidRPr="007538CA">
              <w:rPr>
                <w:b/>
                <w:bCs/>
                <w:i/>
                <w:sz w:val="16"/>
                <w:lang w:val="fr-FR"/>
              </w:rPr>
              <w:t xml:space="preserve">arbre de sortie et celle </w:t>
            </w:r>
            <w:r w:rsidR="00204934">
              <w:rPr>
                <w:b/>
                <w:bCs/>
                <w:i/>
                <w:sz w:val="16"/>
                <w:lang w:val="fr-FR"/>
              </w:rPr>
              <w:br/>
            </w:r>
            <w:r w:rsidRPr="007538CA">
              <w:rPr>
                <w:b/>
                <w:bCs/>
                <w:i/>
                <w:sz w:val="16"/>
                <w:lang w:val="fr-FR"/>
              </w:rPr>
              <w:t>des roues motrices)</w:t>
            </w:r>
          </w:p>
        </w:tc>
        <w:tc>
          <w:tcPr>
            <w:tcW w:w="1337" w:type="dxa"/>
            <w:tcBorders>
              <w:top w:val="single" w:sz="4" w:space="0" w:color="auto"/>
              <w:bottom w:val="single" w:sz="12" w:space="0" w:color="auto"/>
            </w:tcBorders>
            <w:shd w:val="clear" w:color="auto" w:fill="auto"/>
            <w:vAlign w:val="bottom"/>
          </w:tcPr>
          <w:p w14:paraId="1F740567" w14:textId="791A1506" w:rsidR="0083199D" w:rsidRPr="007538CA" w:rsidRDefault="0083199D" w:rsidP="00204934">
            <w:pPr>
              <w:spacing w:before="80" w:after="80" w:line="200" w:lineRule="exact"/>
              <w:rPr>
                <w:b/>
                <w:bCs/>
                <w:i/>
                <w:sz w:val="16"/>
              </w:rPr>
            </w:pPr>
            <w:r w:rsidRPr="007538CA">
              <w:rPr>
                <w:b/>
                <w:bCs/>
                <w:i/>
                <w:sz w:val="16"/>
                <w:lang w:val="fr-FR"/>
              </w:rPr>
              <w:t xml:space="preserve">Rapport global </w:t>
            </w:r>
            <w:r w:rsidR="007538CA">
              <w:rPr>
                <w:b/>
                <w:bCs/>
                <w:i/>
                <w:sz w:val="16"/>
                <w:lang w:val="fr-FR"/>
              </w:rPr>
              <w:br/>
            </w:r>
            <w:r w:rsidRPr="007538CA">
              <w:rPr>
                <w:b/>
                <w:bCs/>
                <w:i/>
                <w:sz w:val="16"/>
                <w:lang w:val="fr-FR"/>
              </w:rPr>
              <w:t>de démultiplication</w:t>
            </w:r>
          </w:p>
        </w:tc>
      </w:tr>
      <w:tr w:rsidR="007538CA" w:rsidRPr="007538CA" w14:paraId="6250A1E0" w14:textId="77777777" w:rsidTr="00204934">
        <w:trPr>
          <w:trHeight w:hRule="exact" w:val="113"/>
          <w:tblHeader/>
        </w:trPr>
        <w:tc>
          <w:tcPr>
            <w:tcW w:w="2464" w:type="dxa"/>
            <w:tcBorders>
              <w:top w:val="single" w:sz="12" w:space="0" w:color="auto"/>
            </w:tcBorders>
            <w:shd w:val="clear" w:color="auto" w:fill="auto"/>
          </w:tcPr>
          <w:p w14:paraId="5EE6A581" w14:textId="77777777" w:rsidR="007538CA" w:rsidRPr="007538CA" w:rsidRDefault="007538CA" w:rsidP="007538CA">
            <w:pPr>
              <w:spacing w:before="40" w:after="120"/>
              <w:ind w:right="113"/>
              <w:rPr>
                <w:b/>
                <w:bCs/>
                <w:lang w:val="fr-FR"/>
              </w:rPr>
            </w:pPr>
          </w:p>
        </w:tc>
        <w:tc>
          <w:tcPr>
            <w:tcW w:w="1904" w:type="dxa"/>
            <w:tcBorders>
              <w:top w:val="single" w:sz="12" w:space="0" w:color="auto"/>
            </w:tcBorders>
            <w:shd w:val="clear" w:color="auto" w:fill="auto"/>
          </w:tcPr>
          <w:p w14:paraId="5168344F" w14:textId="77777777" w:rsidR="007538CA" w:rsidRPr="007538CA" w:rsidRDefault="007538CA" w:rsidP="007538CA">
            <w:pPr>
              <w:spacing w:before="40" w:after="120"/>
              <w:ind w:right="113"/>
              <w:rPr>
                <w:b/>
                <w:bCs/>
                <w:lang w:val="fr-FR"/>
              </w:rPr>
            </w:pPr>
          </w:p>
        </w:tc>
        <w:tc>
          <w:tcPr>
            <w:tcW w:w="1665" w:type="dxa"/>
            <w:tcBorders>
              <w:top w:val="single" w:sz="12" w:space="0" w:color="auto"/>
            </w:tcBorders>
            <w:shd w:val="clear" w:color="auto" w:fill="auto"/>
          </w:tcPr>
          <w:p w14:paraId="25AB8A80" w14:textId="77777777" w:rsidR="007538CA" w:rsidRPr="007538CA" w:rsidRDefault="007538CA" w:rsidP="007538CA">
            <w:pPr>
              <w:spacing w:before="40" w:after="120"/>
              <w:ind w:right="113"/>
              <w:rPr>
                <w:b/>
                <w:bCs/>
                <w:lang w:val="fr-FR"/>
              </w:rPr>
            </w:pPr>
          </w:p>
        </w:tc>
        <w:tc>
          <w:tcPr>
            <w:tcW w:w="1337" w:type="dxa"/>
            <w:tcBorders>
              <w:top w:val="single" w:sz="12" w:space="0" w:color="auto"/>
            </w:tcBorders>
            <w:shd w:val="clear" w:color="auto" w:fill="auto"/>
          </w:tcPr>
          <w:p w14:paraId="40ED1522" w14:textId="77777777" w:rsidR="007538CA" w:rsidRPr="007538CA" w:rsidRDefault="007538CA" w:rsidP="00204934">
            <w:pPr>
              <w:spacing w:before="40" w:after="120"/>
              <w:rPr>
                <w:b/>
                <w:bCs/>
              </w:rPr>
            </w:pPr>
          </w:p>
        </w:tc>
      </w:tr>
      <w:tr w:rsidR="007538CA" w:rsidRPr="007538CA" w14:paraId="2D80474D" w14:textId="77777777" w:rsidTr="00204934">
        <w:tc>
          <w:tcPr>
            <w:tcW w:w="2464" w:type="dxa"/>
            <w:shd w:val="clear" w:color="auto" w:fill="auto"/>
          </w:tcPr>
          <w:p w14:paraId="408944D9" w14:textId="77777777" w:rsidR="0083199D" w:rsidRPr="007538CA" w:rsidRDefault="0083199D" w:rsidP="007538CA">
            <w:pPr>
              <w:spacing w:before="40" w:after="120"/>
              <w:ind w:right="113"/>
              <w:rPr>
                <w:b/>
                <w:bCs/>
              </w:rPr>
            </w:pPr>
            <w:r w:rsidRPr="007538CA">
              <w:rPr>
                <w:b/>
                <w:bCs/>
                <w:lang w:val="fr-FR"/>
              </w:rPr>
              <w:t>Maximum pour les TVC*</w:t>
            </w:r>
          </w:p>
        </w:tc>
        <w:tc>
          <w:tcPr>
            <w:tcW w:w="1904" w:type="dxa"/>
            <w:shd w:val="clear" w:color="auto" w:fill="auto"/>
          </w:tcPr>
          <w:p w14:paraId="6D230063" w14:textId="77777777" w:rsidR="0083199D" w:rsidRPr="007538CA" w:rsidRDefault="0083199D" w:rsidP="007538CA">
            <w:pPr>
              <w:spacing w:before="40" w:after="120"/>
              <w:ind w:right="113"/>
              <w:rPr>
                <w:b/>
                <w:bCs/>
              </w:rPr>
            </w:pPr>
          </w:p>
        </w:tc>
        <w:tc>
          <w:tcPr>
            <w:tcW w:w="1665" w:type="dxa"/>
            <w:shd w:val="clear" w:color="auto" w:fill="auto"/>
          </w:tcPr>
          <w:p w14:paraId="72D2C1B5" w14:textId="77777777" w:rsidR="0083199D" w:rsidRPr="007538CA" w:rsidRDefault="0083199D" w:rsidP="007538CA">
            <w:pPr>
              <w:spacing w:before="40" w:after="120"/>
              <w:ind w:right="113"/>
              <w:rPr>
                <w:b/>
                <w:bCs/>
              </w:rPr>
            </w:pPr>
          </w:p>
        </w:tc>
        <w:tc>
          <w:tcPr>
            <w:tcW w:w="1337" w:type="dxa"/>
            <w:shd w:val="clear" w:color="auto" w:fill="auto"/>
          </w:tcPr>
          <w:p w14:paraId="1A5E44C0" w14:textId="77777777" w:rsidR="0083199D" w:rsidRPr="007538CA" w:rsidRDefault="0083199D" w:rsidP="00204934">
            <w:pPr>
              <w:spacing w:before="40" w:after="120"/>
              <w:rPr>
                <w:b/>
                <w:bCs/>
              </w:rPr>
            </w:pPr>
          </w:p>
        </w:tc>
      </w:tr>
      <w:tr w:rsidR="007538CA" w:rsidRPr="007538CA" w14:paraId="00AB5F25" w14:textId="77777777" w:rsidTr="00204934">
        <w:tc>
          <w:tcPr>
            <w:tcW w:w="2464" w:type="dxa"/>
            <w:shd w:val="clear" w:color="auto" w:fill="auto"/>
          </w:tcPr>
          <w:p w14:paraId="2D3C2EBD" w14:textId="77777777" w:rsidR="0083199D" w:rsidRPr="007538CA" w:rsidRDefault="0083199D" w:rsidP="007538CA">
            <w:pPr>
              <w:spacing w:before="40" w:after="120"/>
              <w:ind w:right="113"/>
              <w:rPr>
                <w:b/>
                <w:bCs/>
              </w:rPr>
            </w:pPr>
            <w:r w:rsidRPr="007538CA">
              <w:rPr>
                <w:b/>
                <w:bCs/>
                <w:lang w:val="fr-FR"/>
              </w:rPr>
              <w:t>1</w:t>
            </w:r>
          </w:p>
        </w:tc>
        <w:tc>
          <w:tcPr>
            <w:tcW w:w="1904" w:type="dxa"/>
            <w:shd w:val="clear" w:color="auto" w:fill="auto"/>
          </w:tcPr>
          <w:p w14:paraId="78D9D35C" w14:textId="77777777" w:rsidR="0083199D" w:rsidRPr="007538CA" w:rsidRDefault="0083199D" w:rsidP="007538CA">
            <w:pPr>
              <w:spacing w:before="40" w:after="120"/>
              <w:ind w:right="113"/>
              <w:rPr>
                <w:b/>
                <w:bCs/>
              </w:rPr>
            </w:pPr>
          </w:p>
        </w:tc>
        <w:tc>
          <w:tcPr>
            <w:tcW w:w="1665" w:type="dxa"/>
            <w:shd w:val="clear" w:color="auto" w:fill="auto"/>
          </w:tcPr>
          <w:p w14:paraId="578E744B" w14:textId="77777777" w:rsidR="0083199D" w:rsidRPr="007538CA" w:rsidRDefault="0083199D" w:rsidP="007538CA">
            <w:pPr>
              <w:spacing w:before="40" w:after="120"/>
              <w:ind w:right="113"/>
              <w:rPr>
                <w:b/>
                <w:bCs/>
              </w:rPr>
            </w:pPr>
          </w:p>
        </w:tc>
        <w:tc>
          <w:tcPr>
            <w:tcW w:w="1337" w:type="dxa"/>
            <w:shd w:val="clear" w:color="auto" w:fill="auto"/>
          </w:tcPr>
          <w:p w14:paraId="0F105577" w14:textId="77777777" w:rsidR="0083199D" w:rsidRPr="007538CA" w:rsidRDefault="0083199D" w:rsidP="00204934">
            <w:pPr>
              <w:spacing w:before="40" w:after="120"/>
              <w:rPr>
                <w:b/>
                <w:bCs/>
              </w:rPr>
            </w:pPr>
          </w:p>
        </w:tc>
      </w:tr>
      <w:tr w:rsidR="007538CA" w:rsidRPr="007538CA" w14:paraId="33762D09" w14:textId="77777777" w:rsidTr="00204934">
        <w:tc>
          <w:tcPr>
            <w:tcW w:w="2464" w:type="dxa"/>
            <w:shd w:val="clear" w:color="auto" w:fill="auto"/>
          </w:tcPr>
          <w:p w14:paraId="496DC8A9" w14:textId="77777777" w:rsidR="0083199D" w:rsidRPr="007538CA" w:rsidRDefault="0083199D" w:rsidP="007538CA">
            <w:pPr>
              <w:spacing w:before="40" w:after="120"/>
              <w:ind w:right="113"/>
              <w:rPr>
                <w:b/>
                <w:bCs/>
              </w:rPr>
            </w:pPr>
            <w:r w:rsidRPr="007538CA">
              <w:rPr>
                <w:b/>
                <w:bCs/>
                <w:lang w:val="fr-FR"/>
              </w:rPr>
              <w:t>2</w:t>
            </w:r>
          </w:p>
        </w:tc>
        <w:tc>
          <w:tcPr>
            <w:tcW w:w="1904" w:type="dxa"/>
            <w:shd w:val="clear" w:color="auto" w:fill="auto"/>
          </w:tcPr>
          <w:p w14:paraId="13B7DA68" w14:textId="77777777" w:rsidR="0083199D" w:rsidRPr="007538CA" w:rsidRDefault="0083199D" w:rsidP="007538CA">
            <w:pPr>
              <w:spacing w:before="40" w:after="120"/>
              <w:ind w:right="113"/>
              <w:rPr>
                <w:b/>
                <w:bCs/>
              </w:rPr>
            </w:pPr>
          </w:p>
        </w:tc>
        <w:tc>
          <w:tcPr>
            <w:tcW w:w="1665" w:type="dxa"/>
            <w:shd w:val="clear" w:color="auto" w:fill="auto"/>
          </w:tcPr>
          <w:p w14:paraId="0F429303" w14:textId="77777777" w:rsidR="0083199D" w:rsidRPr="007538CA" w:rsidRDefault="0083199D" w:rsidP="007538CA">
            <w:pPr>
              <w:spacing w:before="40" w:after="120"/>
              <w:ind w:right="113"/>
              <w:rPr>
                <w:b/>
                <w:bCs/>
              </w:rPr>
            </w:pPr>
          </w:p>
        </w:tc>
        <w:tc>
          <w:tcPr>
            <w:tcW w:w="1337" w:type="dxa"/>
            <w:shd w:val="clear" w:color="auto" w:fill="auto"/>
          </w:tcPr>
          <w:p w14:paraId="080E9BA8" w14:textId="77777777" w:rsidR="0083199D" w:rsidRPr="007538CA" w:rsidRDefault="0083199D" w:rsidP="00204934">
            <w:pPr>
              <w:spacing w:before="40" w:after="120"/>
              <w:rPr>
                <w:b/>
                <w:bCs/>
              </w:rPr>
            </w:pPr>
          </w:p>
        </w:tc>
      </w:tr>
      <w:tr w:rsidR="007538CA" w:rsidRPr="007538CA" w14:paraId="43D6C898" w14:textId="77777777" w:rsidTr="00204934">
        <w:tc>
          <w:tcPr>
            <w:tcW w:w="2464" w:type="dxa"/>
            <w:shd w:val="clear" w:color="auto" w:fill="auto"/>
          </w:tcPr>
          <w:p w14:paraId="57AA842A" w14:textId="77777777" w:rsidR="0083199D" w:rsidRPr="007538CA" w:rsidRDefault="0083199D" w:rsidP="007538CA">
            <w:pPr>
              <w:spacing w:before="40" w:after="120"/>
              <w:ind w:right="113"/>
              <w:rPr>
                <w:b/>
                <w:bCs/>
              </w:rPr>
            </w:pPr>
            <w:r w:rsidRPr="007538CA">
              <w:rPr>
                <w:b/>
                <w:bCs/>
                <w:lang w:val="fr-FR"/>
              </w:rPr>
              <w:t>3</w:t>
            </w:r>
          </w:p>
        </w:tc>
        <w:tc>
          <w:tcPr>
            <w:tcW w:w="1904" w:type="dxa"/>
            <w:shd w:val="clear" w:color="auto" w:fill="auto"/>
          </w:tcPr>
          <w:p w14:paraId="439D2D8D" w14:textId="77777777" w:rsidR="0083199D" w:rsidRPr="007538CA" w:rsidRDefault="0083199D" w:rsidP="007538CA">
            <w:pPr>
              <w:spacing w:before="40" w:after="120"/>
              <w:ind w:right="113"/>
              <w:rPr>
                <w:b/>
                <w:bCs/>
              </w:rPr>
            </w:pPr>
          </w:p>
        </w:tc>
        <w:tc>
          <w:tcPr>
            <w:tcW w:w="1665" w:type="dxa"/>
            <w:shd w:val="clear" w:color="auto" w:fill="auto"/>
          </w:tcPr>
          <w:p w14:paraId="7FE96272" w14:textId="77777777" w:rsidR="0083199D" w:rsidRPr="007538CA" w:rsidRDefault="0083199D" w:rsidP="007538CA">
            <w:pPr>
              <w:spacing w:before="40" w:after="120"/>
              <w:ind w:right="113"/>
              <w:rPr>
                <w:b/>
                <w:bCs/>
              </w:rPr>
            </w:pPr>
          </w:p>
        </w:tc>
        <w:tc>
          <w:tcPr>
            <w:tcW w:w="1337" w:type="dxa"/>
            <w:shd w:val="clear" w:color="auto" w:fill="auto"/>
          </w:tcPr>
          <w:p w14:paraId="3772A2A8" w14:textId="77777777" w:rsidR="0083199D" w:rsidRPr="007538CA" w:rsidRDefault="0083199D" w:rsidP="00204934">
            <w:pPr>
              <w:spacing w:before="40" w:after="120"/>
              <w:rPr>
                <w:b/>
                <w:bCs/>
              </w:rPr>
            </w:pPr>
          </w:p>
        </w:tc>
      </w:tr>
      <w:tr w:rsidR="007538CA" w:rsidRPr="007538CA" w14:paraId="4D9339C4" w14:textId="77777777" w:rsidTr="00204934">
        <w:tc>
          <w:tcPr>
            <w:tcW w:w="2464" w:type="dxa"/>
            <w:shd w:val="clear" w:color="auto" w:fill="auto"/>
          </w:tcPr>
          <w:p w14:paraId="21DA4696" w14:textId="77777777" w:rsidR="0083199D" w:rsidRPr="007538CA" w:rsidRDefault="0083199D" w:rsidP="007538CA">
            <w:pPr>
              <w:spacing w:before="40" w:after="120"/>
              <w:ind w:right="113"/>
              <w:rPr>
                <w:b/>
                <w:bCs/>
              </w:rPr>
            </w:pPr>
            <w:r w:rsidRPr="007538CA">
              <w:rPr>
                <w:b/>
                <w:bCs/>
                <w:lang w:val="fr-FR"/>
              </w:rPr>
              <w:t>...</w:t>
            </w:r>
          </w:p>
        </w:tc>
        <w:tc>
          <w:tcPr>
            <w:tcW w:w="1904" w:type="dxa"/>
            <w:shd w:val="clear" w:color="auto" w:fill="auto"/>
          </w:tcPr>
          <w:p w14:paraId="4DD2BA63" w14:textId="77777777" w:rsidR="0083199D" w:rsidRPr="007538CA" w:rsidRDefault="0083199D" w:rsidP="007538CA">
            <w:pPr>
              <w:spacing w:before="40" w:after="120"/>
              <w:ind w:right="113"/>
              <w:rPr>
                <w:b/>
                <w:bCs/>
              </w:rPr>
            </w:pPr>
          </w:p>
        </w:tc>
        <w:tc>
          <w:tcPr>
            <w:tcW w:w="1665" w:type="dxa"/>
            <w:shd w:val="clear" w:color="auto" w:fill="auto"/>
          </w:tcPr>
          <w:p w14:paraId="28455643" w14:textId="77777777" w:rsidR="0083199D" w:rsidRPr="007538CA" w:rsidRDefault="0083199D" w:rsidP="007538CA">
            <w:pPr>
              <w:spacing w:before="40" w:after="120"/>
              <w:ind w:right="113"/>
              <w:rPr>
                <w:b/>
                <w:bCs/>
              </w:rPr>
            </w:pPr>
          </w:p>
        </w:tc>
        <w:tc>
          <w:tcPr>
            <w:tcW w:w="1337" w:type="dxa"/>
            <w:shd w:val="clear" w:color="auto" w:fill="auto"/>
          </w:tcPr>
          <w:p w14:paraId="070B0A35" w14:textId="77777777" w:rsidR="0083199D" w:rsidRPr="007538CA" w:rsidRDefault="0083199D" w:rsidP="00204934">
            <w:pPr>
              <w:spacing w:before="40" w:after="120"/>
              <w:rPr>
                <w:b/>
                <w:bCs/>
              </w:rPr>
            </w:pPr>
          </w:p>
        </w:tc>
      </w:tr>
      <w:tr w:rsidR="007538CA" w:rsidRPr="007538CA" w14:paraId="7ECE05DC" w14:textId="77777777" w:rsidTr="00204934">
        <w:tc>
          <w:tcPr>
            <w:tcW w:w="2464" w:type="dxa"/>
            <w:tcBorders>
              <w:bottom w:val="single" w:sz="12" w:space="0" w:color="auto"/>
            </w:tcBorders>
            <w:shd w:val="clear" w:color="auto" w:fill="auto"/>
          </w:tcPr>
          <w:p w14:paraId="609E959D" w14:textId="3416B839" w:rsidR="0083199D" w:rsidRPr="007538CA" w:rsidRDefault="0083199D" w:rsidP="007538CA">
            <w:pPr>
              <w:spacing w:before="40" w:after="120"/>
              <w:ind w:right="113"/>
              <w:rPr>
                <w:b/>
                <w:bCs/>
                <w:lang w:val="fr-CH"/>
              </w:rPr>
            </w:pPr>
            <w:r w:rsidRPr="007538CA">
              <w:rPr>
                <w:b/>
                <w:bCs/>
                <w:lang w:val="fr-FR"/>
              </w:rPr>
              <w:t>Minimum pour les TVC*</w:t>
            </w:r>
            <w:r w:rsidR="007538CA">
              <w:rPr>
                <w:b/>
                <w:bCs/>
                <w:lang w:val="fr-FR"/>
              </w:rPr>
              <w:br/>
            </w:r>
            <w:r w:rsidRPr="007538CA">
              <w:rPr>
                <w:b/>
                <w:bCs/>
                <w:lang w:val="fr-FR"/>
              </w:rPr>
              <w:t>Marche arrière</w:t>
            </w:r>
          </w:p>
        </w:tc>
        <w:tc>
          <w:tcPr>
            <w:tcW w:w="1904" w:type="dxa"/>
            <w:tcBorders>
              <w:bottom w:val="single" w:sz="12" w:space="0" w:color="auto"/>
            </w:tcBorders>
            <w:shd w:val="clear" w:color="auto" w:fill="auto"/>
          </w:tcPr>
          <w:p w14:paraId="3EDE822D" w14:textId="77777777" w:rsidR="0083199D" w:rsidRPr="007538CA" w:rsidRDefault="0083199D" w:rsidP="007538CA">
            <w:pPr>
              <w:spacing w:before="40" w:after="120"/>
              <w:ind w:right="113"/>
              <w:rPr>
                <w:b/>
                <w:bCs/>
                <w:lang w:val="fr-CH"/>
              </w:rPr>
            </w:pPr>
          </w:p>
        </w:tc>
        <w:tc>
          <w:tcPr>
            <w:tcW w:w="1665" w:type="dxa"/>
            <w:tcBorders>
              <w:bottom w:val="single" w:sz="12" w:space="0" w:color="auto"/>
            </w:tcBorders>
            <w:shd w:val="clear" w:color="auto" w:fill="auto"/>
          </w:tcPr>
          <w:p w14:paraId="7934BF87" w14:textId="77777777" w:rsidR="0083199D" w:rsidRPr="007538CA" w:rsidRDefault="0083199D" w:rsidP="007538CA">
            <w:pPr>
              <w:spacing w:before="40" w:after="120"/>
              <w:ind w:right="113"/>
              <w:rPr>
                <w:b/>
                <w:bCs/>
                <w:lang w:val="fr-CH"/>
              </w:rPr>
            </w:pPr>
          </w:p>
        </w:tc>
        <w:tc>
          <w:tcPr>
            <w:tcW w:w="1337" w:type="dxa"/>
            <w:tcBorders>
              <w:bottom w:val="single" w:sz="12" w:space="0" w:color="auto"/>
            </w:tcBorders>
            <w:shd w:val="clear" w:color="auto" w:fill="auto"/>
          </w:tcPr>
          <w:p w14:paraId="77A48D4F" w14:textId="77777777" w:rsidR="0083199D" w:rsidRPr="007538CA" w:rsidRDefault="0083199D" w:rsidP="00204934">
            <w:pPr>
              <w:spacing w:before="40" w:after="120"/>
              <w:rPr>
                <w:b/>
                <w:bCs/>
                <w:lang w:val="fr-CH"/>
              </w:rPr>
            </w:pPr>
          </w:p>
        </w:tc>
      </w:tr>
    </w:tbl>
    <w:p w14:paraId="40C3B3FF" w14:textId="4066DDE4" w:rsidR="0083199D" w:rsidRPr="00FF5113" w:rsidRDefault="0083199D" w:rsidP="007538CA">
      <w:pPr>
        <w:pStyle w:val="para"/>
        <w:spacing w:before="120" w:after="240"/>
        <w:ind w:left="1134" w:firstLine="170"/>
        <w:rPr>
          <w:b/>
          <w:bCs/>
        </w:rPr>
      </w:pPr>
      <w:r>
        <w:rPr>
          <w:b/>
          <w:bCs/>
        </w:rPr>
        <w:t xml:space="preserve">* </w:t>
      </w:r>
      <w:r w:rsidR="007538CA">
        <w:rPr>
          <w:b/>
          <w:bCs/>
        </w:rPr>
        <w:t xml:space="preserve"> </w:t>
      </w:r>
      <w:r w:rsidRPr="007538CA">
        <w:rPr>
          <w:b/>
          <w:bCs/>
          <w:sz w:val="18"/>
          <w:szCs w:val="18"/>
        </w:rPr>
        <w:t>Transmission à variation continue</w:t>
      </w:r>
      <w:r w:rsidR="007538CA">
        <w:rPr>
          <w:b/>
          <w:bCs/>
          <w:sz w:val="18"/>
          <w:szCs w:val="18"/>
        </w:rPr>
        <w:t>.</w:t>
      </w:r>
    </w:p>
    <w:p w14:paraId="2EDD06D8" w14:textId="77777777" w:rsidR="0083199D" w:rsidRPr="00FF5113" w:rsidRDefault="0083199D" w:rsidP="0083199D">
      <w:pPr>
        <w:pStyle w:val="para"/>
        <w:rPr>
          <w:b/>
        </w:rPr>
      </w:pPr>
      <w:r>
        <w:rPr>
          <w:b/>
          <w:bCs/>
        </w:rPr>
        <w:lastRenderedPageBreak/>
        <w:t>4.7</w:t>
      </w:r>
      <w:r>
        <w:tab/>
      </w:r>
      <w:r>
        <w:rPr>
          <w:b/>
          <w:bCs/>
        </w:rPr>
        <w:t>Vitesse maximale du véhicule (en km/h) :</w:t>
      </w:r>
    </w:p>
    <w:p w14:paraId="705C51B3" w14:textId="00C8EF30" w:rsidR="0083199D" w:rsidRPr="00FF5113" w:rsidRDefault="0083199D" w:rsidP="0083199D">
      <w:pPr>
        <w:pStyle w:val="para"/>
        <w:rPr>
          <w:b/>
        </w:rPr>
      </w:pPr>
      <w:r>
        <w:rPr>
          <w:b/>
          <w:bCs/>
        </w:rPr>
        <w:t>4.8</w:t>
      </w:r>
      <w:r>
        <w:tab/>
      </w:r>
      <w:r>
        <w:rPr>
          <w:b/>
          <w:bCs/>
        </w:rPr>
        <w:t>Indicateur de vitesse et compteur kilométrique</w:t>
      </w:r>
    </w:p>
    <w:p w14:paraId="20B739F0" w14:textId="77777777" w:rsidR="0083199D" w:rsidRPr="00FF5113" w:rsidRDefault="0083199D" w:rsidP="00204934">
      <w:pPr>
        <w:pStyle w:val="para"/>
        <w:ind w:firstLine="0"/>
        <w:rPr>
          <w:b/>
        </w:rPr>
      </w:pPr>
      <w:r>
        <w:tab/>
      </w:r>
      <w:r>
        <w:rPr>
          <w:b/>
          <w:bCs/>
        </w:rPr>
        <w:t>Indicateur de vitesse :</w:t>
      </w:r>
    </w:p>
    <w:p w14:paraId="3036740C" w14:textId="409DCCDC" w:rsidR="0083199D" w:rsidRPr="00FF5113" w:rsidRDefault="0083199D" w:rsidP="0083199D">
      <w:pPr>
        <w:pStyle w:val="para"/>
        <w:rPr>
          <w:b/>
        </w:rPr>
      </w:pPr>
      <w:r>
        <w:rPr>
          <w:b/>
          <w:bCs/>
        </w:rPr>
        <w:t>4.8.1</w:t>
      </w:r>
      <w:r>
        <w:tab/>
      </w:r>
      <w:r>
        <w:rPr>
          <w:b/>
          <w:bCs/>
        </w:rPr>
        <w:t>Mode de fonctionnement et description du mécanisme d</w:t>
      </w:r>
      <w:r w:rsidR="004B49A6">
        <w:rPr>
          <w:b/>
          <w:bCs/>
        </w:rPr>
        <w:t>’</w:t>
      </w:r>
      <w:r>
        <w:rPr>
          <w:b/>
          <w:bCs/>
        </w:rPr>
        <w:t>entraînement :</w:t>
      </w:r>
    </w:p>
    <w:p w14:paraId="340EAB41" w14:textId="378CC10E" w:rsidR="0083199D" w:rsidRPr="00FF5113" w:rsidRDefault="0083199D" w:rsidP="0083199D">
      <w:pPr>
        <w:pStyle w:val="para"/>
        <w:rPr>
          <w:b/>
        </w:rPr>
      </w:pPr>
      <w:r>
        <w:rPr>
          <w:b/>
          <w:bCs/>
        </w:rPr>
        <w:t>4.8.2</w:t>
      </w:r>
      <w:r>
        <w:tab/>
      </w:r>
      <w:r>
        <w:rPr>
          <w:b/>
          <w:bCs/>
        </w:rPr>
        <w:t>Constante de l</w:t>
      </w:r>
      <w:r w:rsidR="004B49A6">
        <w:rPr>
          <w:b/>
          <w:bCs/>
        </w:rPr>
        <w:t>’</w:t>
      </w:r>
      <w:r>
        <w:rPr>
          <w:b/>
          <w:bCs/>
        </w:rPr>
        <w:t>instrument :</w:t>
      </w:r>
    </w:p>
    <w:p w14:paraId="31CCAD9D" w14:textId="2DD70DE8" w:rsidR="0083199D" w:rsidRPr="00FF5113" w:rsidRDefault="0083199D" w:rsidP="0083199D">
      <w:pPr>
        <w:pStyle w:val="para"/>
        <w:rPr>
          <w:b/>
        </w:rPr>
      </w:pPr>
      <w:r>
        <w:rPr>
          <w:b/>
          <w:bCs/>
        </w:rPr>
        <w:t>4.8.3</w:t>
      </w:r>
      <w:r>
        <w:tab/>
      </w:r>
      <w:r>
        <w:rPr>
          <w:b/>
          <w:bCs/>
        </w:rPr>
        <w:t>Tolérance du mécanisme de mesure (au sens du paragraphe 2.2.3) :</w:t>
      </w:r>
    </w:p>
    <w:p w14:paraId="142D2113" w14:textId="2E3D37BA" w:rsidR="0083199D" w:rsidRPr="00FF5113" w:rsidRDefault="0083199D" w:rsidP="0083199D">
      <w:pPr>
        <w:pStyle w:val="para"/>
        <w:rPr>
          <w:b/>
        </w:rPr>
      </w:pPr>
      <w:r>
        <w:rPr>
          <w:b/>
          <w:bCs/>
        </w:rPr>
        <w:t>4.8.4</w:t>
      </w:r>
      <w:r>
        <w:tab/>
      </w:r>
      <w:r>
        <w:rPr>
          <w:b/>
          <w:bCs/>
        </w:rPr>
        <w:t>Rapport global de transmission (au sens du paragraphe 2.2.2) ou données équivalentes :</w:t>
      </w:r>
    </w:p>
    <w:p w14:paraId="225AA2DB" w14:textId="7D8FA81E" w:rsidR="0083199D" w:rsidRPr="00FF5113" w:rsidRDefault="0083199D" w:rsidP="0083199D">
      <w:pPr>
        <w:pStyle w:val="para"/>
        <w:rPr>
          <w:b/>
        </w:rPr>
      </w:pPr>
      <w:r>
        <w:rPr>
          <w:b/>
          <w:bCs/>
        </w:rPr>
        <w:t>4.8.5</w:t>
      </w:r>
      <w:r>
        <w:tab/>
      </w:r>
      <w:r>
        <w:rPr>
          <w:b/>
          <w:bCs/>
        </w:rPr>
        <w:t>Schéma de la graduation de l</w:t>
      </w:r>
      <w:r w:rsidR="004B49A6">
        <w:rPr>
          <w:b/>
          <w:bCs/>
        </w:rPr>
        <w:t>’</w:t>
      </w:r>
      <w:r>
        <w:rPr>
          <w:b/>
          <w:bCs/>
        </w:rPr>
        <w:t>indicateur de vitesse ou d</w:t>
      </w:r>
      <w:r w:rsidR="004B49A6">
        <w:rPr>
          <w:b/>
          <w:bCs/>
        </w:rPr>
        <w:t>’</w:t>
      </w:r>
      <w:r>
        <w:rPr>
          <w:b/>
          <w:bCs/>
        </w:rPr>
        <w:t>autres formes d</w:t>
      </w:r>
      <w:r w:rsidR="004B49A6">
        <w:rPr>
          <w:b/>
          <w:bCs/>
        </w:rPr>
        <w:t>’</w:t>
      </w:r>
      <w:r>
        <w:rPr>
          <w:b/>
          <w:bCs/>
        </w:rPr>
        <w:t>affichage :</w:t>
      </w:r>
    </w:p>
    <w:p w14:paraId="0A2673F1" w14:textId="77777777" w:rsidR="0083199D" w:rsidRPr="00FF5113" w:rsidRDefault="0083199D" w:rsidP="00204934">
      <w:pPr>
        <w:pStyle w:val="para"/>
        <w:ind w:firstLine="0"/>
        <w:rPr>
          <w:b/>
        </w:rPr>
      </w:pPr>
      <w:r>
        <w:tab/>
      </w:r>
      <w:r>
        <w:rPr>
          <w:b/>
          <w:bCs/>
        </w:rPr>
        <w:t>Compteur kilométrique :</w:t>
      </w:r>
    </w:p>
    <w:p w14:paraId="003AA9DD" w14:textId="4A5810E0" w:rsidR="0083199D" w:rsidRPr="00FF5113" w:rsidRDefault="0083199D" w:rsidP="0083199D">
      <w:pPr>
        <w:pStyle w:val="para"/>
        <w:rPr>
          <w:b/>
        </w:rPr>
      </w:pPr>
      <w:r>
        <w:rPr>
          <w:b/>
          <w:bCs/>
        </w:rPr>
        <w:t>4.8.6</w:t>
      </w:r>
      <w:r>
        <w:tab/>
      </w:r>
      <w:r>
        <w:rPr>
          <w:b/>
          <w:bCs/>
        </w:rPr>
        <w:t>Constante technique du compteur kilométrique (au sens du paragraphe</w:t>
      </w:r>
      <w:r w:rsidR="007538CA">
        <w:rPr>
          <w:b/>
          <w:bCs/>
        </w:rPr>
        <w:t> </w:t>
      </w:r>
      <w:r>
        <w:rPr>
          <w:b/>
          <w:bCs/>
        </w:rPr>
        <w:t>2.2.4) :</w:t>
      </w:r>
    </w:p>
    <w:p w14:paraId="6593376F" w14:textId="77777777" w:rsidR="0083199D" w:rsidRPr="00FF5113" w:rsidRDefault="0083199D" w:rsidP="0083199D">
      <w:pPr>
        <w:pStyle w:val="para"/>
        <w:rPr>
          <w:b/>
        </w:rPr>
      </w:pPr>
      <w:r>
        <w:rPr>
          <w:b/>
          <w:bCs/>
        </w:rPr>
        <w:t>4.8.7</w:t>
      </w:r>
      <w:r>
        <w:tab/>
      </w:r>
      <w:r>
        <w:rPr>
          <w:b/>
          <w:bCs/>
        </w:rPr>
        <w:t>Nombre de chiffres affichés.</w:t>
      </w:r>
    </w:p>
    <w:p w14:paraId="5BC28759" w14:textId="0B318708" w:rsidR="0083199D" w:rsidRPr="00FF5113" w:rsidRDefault="0083199D" w:rsidP="0083199D">
      <w:pPr>
        <w:pStyle w:val="para"/>
        <w:rPr>
          <w:b/>
        </w:rPr>
      </w:pPr>
      <w:r>
        <w:rPr>
          <w:b/>
          <w:bCs/>
        </w:rPr>
        <w:t>4.8.8</w:t>
      </w:r>
      <w:r>
        <w:tab/>
      </w:r>
      <w:r>
        <w:rPr>
          <w:b/>
          <w:bCs/>
        </w:rPr>
        <w:t>Compteur kilométrique entièrement mécanique (au sens du paragraphe</w:t>
      </w:r>
      <w:r w:rsidR="007538CA">
        <w:rPr>
          <w:b/>
          <w:bCs/>
        </w:rPr>
        <w:t> </w:t>
      </w:r>
      <w:r>
        <w:rPr>
          <w:b/>
          <w:bCs/>
        </w:rPr>
        <w:t>2.6.7) : oui/non</w:t>
      </w:r>
    </w:p>
    <w:p w14:paraId="50CF4A61" w14:textId="0615E266" w:rsidR="0083199D" w:rsidRPr="00FF5113" w:rsidRDefault="0083199D" w:rsidP="0083199D">
      <w:pPr>
        <w:pStyle w:val="para"/>
        <w:rPr>
          <w:b/>
        </w:rPr>
      </w:pPr>
      <w:r>
        <w:rPr>
          <w:b/>
          <w:bCs/>
        </w:rPr>
        <w:t>4.9</w:t>
      </w:r>
      <w:r>
        <w:tab/>
      </w:r>
      <w:r>
        <w:rPr>
          <w:b/>
          <w:bCs/>
        </w:rPr>
        <w:t>Description du tachygraphe ou de l</w:t>
      </w:r>
      <w:r w:rsidR="004B49A6">
        <w:rPr>
          <w:b/>
          <w:bCs/>
        </w:rPr>
        <w:t>’</w:t>
      </w:r>
      <w:r>
        <w:rPr>
          <w:b/>
          <w:bCs/>
        </w:rPr>
        <w:t>appareil de contrôle (au sens du paragraphe 2.6.5) ou de l</w:t>
      </w:r>
      <w:r w:rsidR="004B49A6">
        <w:rPr>
          <w:b/>
          <w:bCs/>
        </w:rPr>
        <w:t>’</w:t>
      </w:r>
      <w:r>
        <w:rPr>
          <w:b/>
          <w:bCs/>
        </w:rPr>
        <w:t>unité de remplacement du tachygraphe (au sens du paragraphe 2.6.6) (le cas échéant) :</w:t>
      </w:r>
    </w:p>
    <w:p w14:paraId="3B655E67" w14:textId="77777777" w:rsidR="0083199D" w:rsidRPr="00FF5113" w:rsidRDefault="0083199D" w:rsidP="0083199D">
      <w:pPr>
        <w:pStyle w:val="para"/>
        <w:rPr>
          <w:b/>
        </w:rPr>
      </w:pPr>
      <w:r>
        <w:rPr>
          <w:b/>
          <w:bCs/>
        </w:rPr>
        <w:t>6.</w:t>
      </w:r>
      <w:r>
        <w:tab/>
      </w:r>
      <w:r>
        <w:rPr>
          <w:b/>
          <w:bCs/>
        </w:rPr>
        <w:t>Suspension</w:t>
      </w:r>
    </w:p>
    <w:p w14:paraId="3AE3763A" w14:textId="77777777" w:rsidR="0083199D" w:rsidRPr="00FF5113" w:rsidRDefault="0083199D" w:rsidP="0083199D">
      <w:pPr>
        <w:pStyle w:val="para"/>
        <w:rPr>
          <w:b/>
        </w:rPr>
      </w:pPr>
      <w:r>
        <w:rPr>
          <w:b/>
          <w:bCs/>
        </w:rPr>
        <w:t>6.6</w:t>
      </w:r>
      <w:r>
        <w:t xml:space="preserve"> </w:t>
      </w:r>
      <w:r>
        <w:tab/>
      </w:r>
      <w:r>
        <w:rPr>
          <w:b/>
          <w:bCs/>
        </w:rPr>
        <w:t>Pneumatiques et roues</w:t>
      </w:r>
    </w:p>
    <w:p w14:paraId="433B5C9F" w14:textId="77777777" w:rsidR="0083199D" w:rsidRPr="00FF5113" w:rsidRDefault="0083199D" w:rsidP="0083199D">
      <w:pPr>
        <w:pStyle w:val="para"/>
        <w:rPr>
          <w:b/>
        </w:rPr>
      </w:pPr>
      <w:r>
        <w:rPr>
          <w:b/>
          <w:bCs/>
        </w:rPr>
        <w:t>6.6.2</w:t>
      </w:r>
      <w:r>
        <w:tab/>
      </w:r>
      <w:r>
        <w:rPr>
          <w:b/>
          <w:bCs/>
        </w:rPr>
        <w:t>Limites supérieure et inférieure des rayons de roulement</w:t>
      </w:r>
    </w:p>
    <w:p w14:paraId="575D1986" w14:textId="77777777" w:rsidR="0083199D" w:rsidRPr="00F62277" w:rsidRDefault="0083199D" w:rsidP="0083199D">
      <w:pPr>
        <w:pStyle w:val="para"/>
        <w:rPr>
          <w:b/>
        </w:rPr>
      </w:pPr>
      <w:r>
        <w:rPr>
          <w:b/>
          <w:bCs/>
        </w:rPr>
        <w:t>6.6.2.1</w:t>
      </w:r>
      <w:r>
        <w:tab/>
      </w:r>
      <w:r>
        <w:rPr>
          <w:b/>
          <w:bCs/>
        </w:rPr>
        <w:t>Essieu 1 :</w:t>
      </w:r>
    </w:p>
    <w:p w14:paraId="29A91AC0" w14:textId="77777777" w:rsidR="0083199D" w:rsidRPr="00F62277" w:rsidRDefault="0083199D" w:rsidP="0083199D">
      <w:pPr>
        <w:pStyle w:val="para"/>
        <w:rPr>
          <w:b/>
        </w:rPr>
      </w:pPr>
      <w:r>
        <w:rPr>
          <w:b/>
          <w:bCs/>
        </w:rPr>
        <w:t>6.6.2.2</w:t>
      </w:r>
      <w:r>
        <w:tab/>
      </w:r>
      <w:r>
        <w:rPr>
          <w:b/>
          <w:bCs/>
        </w:rPr>
        <w:t>Essieu 2 :</w:t>
      </w:r>
    </w:p>
    <w:p w14:paraId="5773EEE5" w14:textId="77777777" w:rsidR="0083199D" w:rsidRPr="00F62277" w:rsidRDefault="0083199D" w:rsidP="0083199D">
      <w:pPr>
        <w:pStyle w:val="para"/>
        <w:rPr>
          <w:b/>
        </w:rPr>
      </w:pPr>
      <w:r>
        <w:rPr>
          <w:b/>
          <w:bCs/>
        </w:rPr>
        <w:t>6.6.2.3</w:t>
      </w:r>
      <w:r>
        <w:tab/>
      </w:r>
      <w:r>
        <w:rPr>
          <w:b/>
          <w:bCs/>
        </w:rPr>
        <w:t>Essieu 3 :</w:t>
      </w:r>
    </w:p>
    <w:p w14:paraId="15A0BB68" w14:textId="77777777" w:rsidR="0083199D" w:rsidRPr="00F62277" w:rsidRDefault="0083199D" w:rsidP="0083199D">
      <w:pPr>
        <w:pStyle w:val="para"/>
        <w:rPr>
          <w:b/>
        </w:rPr>
      </w:pPr>
      <w:r>
        <w:rPr>
          <w:b/>
          <w:bCs/>
        </w:rPr>
        <w:t>6.6.2.4</w:t>
      </w:r>
      <w:r>
        <w:tab/>
      </w:r>
      <w:r>
        <w:rPr>
          <w:b/>
          <w:bCs/>
        </w:rPr>
        <w:t>Essieu 4 :</w:t>
      </w:r>
    </w:p>
    <w:p w14:paraId="5242540E" w14:textId="77777777" w:rsidR="0083199D" w:rsidRPr="00F62277" w:rsidRDefault="0083199D" w:rsidP="00925C51">
      <w:pPr>
        <w:pStyle w:val="para"/>
        <w:ind w:firstLine="0"/>
        <w:rPr>
          <w:b/>
        </w:rPr>
      </w:pPr>
      <w:r>
        <w:tab/>
      </w:r>
      <w:r>
        <w:rPr>
          <w:b/>
          <w:bCs/>
        </w:rPr>
        <w:t>etc.</w:t>
      </w:r>
    </w:p>
    <w:p w14:paraId="559F7DAB" w14:textId="77777777" w:rsidR="0083199D" w:rsidRPr="00FF5113" w:rsidRDefault="0083199D" w:rsidP="0083199D">
      <w:pPr>
        <w:pStyle w:val="para"/>
        <w:rPr>
          <w:b/>
        </w:rPr>
      </w:pPr>
      <w:r>
        <w:rPr>
          <w:b/>
          <w:bCs/>
        </w:rPr>
        <w:t>6.6.3</w:t>
      </w:r>
      <w:r>
        <w:tab/>
      </w:r>
      <w:r>
        <w:rPr>
          <w:b/>
          <w:bCs/>
        </w:rPr>
        <w:t>Pressions des pneumatiques recommandées par le constructeur du véhicule (en kPa) :</w:t>
      </w:r>
      <w:r>
        <w:t> ».</w:t>
      </w:r>
    </w:p>
    <w:p w14:paraId="6B6A201D" w14:textId="77777777" w:rsidR="0083199D" w:rsidRPr="001B10CE" w:rsidRDefault="0083199D" w:rsidP="0083199D">
      <w:pPr>
        <w:suppressAutoHyphens w:val="0"/>
        <w:spacing w:line="240" w:lineRule="auto"/>
        <w:rPr>
          <w:u w:val="single"/>
        </w:rPr>
      </w:pPr>
      <w:r w:rsidRPr="001B10CE">
        <w:rPr>
          <w:u w:val="single"/>
        </w:rPr>
        <w:br w:type="page"/>
      </w:r>
    </w:p>
    <w:p w14:paraId="615EE87A" w14:textId="77777777" w:rsidR="0083199D" w:rsidRPr="00925C51" w:rsidRDefault="0083199D" w:rsidP="007538CA">
      <w:pPr>
        <w:pStyle w:val="HChG"/>
      </w:pPr>
      <w:r>
        <w:rPr>
          <w:lang w:val="fr-FR"/>
        </w:rPr>
        <w:lastRenderedPageBreak/>
        <w:tab/>
      </w:r>
      <w:r w:rsidRPr="00925C51">
        <w:rPr>
          <w:lang w:val="fr-FR"/>
        </w:rPr>
        <w:t>II.</w:t>
      </w:r>
      <w:r w:rsidRPr="00925C51">
        <w:rPr>
          <w:lang w:val="fr-FR"/>
        </w:rPr>
        <w:tab/>
      </w:r>
      <w:r w:rsidRPr="00925C51">
        <w:rPr>
          <w:lang w:val="fr-FR"/>
        </w:rPr>
        <w:tab/>
        <w:t>Justification</w:t>
      </w:r>
    </w:p>
    <w:p w14:paraId="1109788C" w14:textId="69BB0AE2" w:rsidR="0083199D" w:rsidRPr="00204934" w:rsidRDefault="0083199D" w:rsidP="00204934">
      <w:pPr>
        <w:pStyle w:val="H1G"/>
      </w:pPr>
      <w:r w:rsidRPr="00925C51">
        <w:rPr>
          <w:lang w:val="fr-FR"/>
        </w:rPr>
        <w:tab/>
        <w:t>A.</w:t>
      </w:r>
      <w:r w:rsidRPr="00925C51">
        <w:rPr>
          <w:lang w:val="fr-FR"/>
        </w:rPr>
        <w:tab/>
        <w:t>Extrait du mandat de l</w:t>
      </w:r>
      <w:r w:rsidR="004B49A6" w:rsidRPr="00925C51">
        <w:rPr>
          <w:lang w:val="fr-FR"/>
        </w:rPr>
        <w:t>’</w:t>
      </w:r>
      <w:r w:rsidRPr="00925C51">
        <w:rPr>
          <w:lang w:val="fr-FR"/>
        </w:rPr>
        <w:t>équipe spéciale</w:t>
      </w:r>
    </w:p>
    <w:p w14:paraId="33625FBD" w14:textId="386DAECE" w:rsidR="0083199D" w:rsidRPr="00925C51" w:rsidRDefault="0083199D" w:rsidP="007538CA">
      <w:pPr>
        <w:pStyle w:val="SingleTxtG"/>
        <w:rPr>
          <w:rFonts w:eastAsia="SimSun"/>
        </w:rPr>
      </w:pPr>
      <w:r w:rsidRPr="00925C51">
        <w:rPr>
          <w:lang w:val="fr-FR"/>
        </w:rPr>
        <w:t>1.</w:t>
      </w:r>
      <w:r w:rsidRPr="00925C51">
        <w:rPr>
          <w:lang w:val="fr-FR"/>
        </w:rPr>
        <w:tab/>
        <w:t>Conformément à la décision prise par le GRSG à sa 125</w:t>
      </w:r>
      <w:r w:rsidRPr="00925C51">
        <w:rPr>
          <w:vertAlign w:val="superscript"/>
          <w:lang w:val="fr-FR"/>
        </w:rPr>
        <w:t>e</w:t>
      </w:r>
      <w:r w:rsidR="00E504E4">
        <w:rPr>
          <w:lang w:val="fr-FR"/>
        </w:rPr>
        <w:t> </w:t>
      </w:r>
      <w:r w:rsidRPr="00925C51">
        <w:rPr>
          <w:lang w:val="fr-FR"/>
        </w:rPr>
        <w:t>session (ECE/TRANS/WP.29/GRSG/104, par. 49), une équipe spéciale a été créée pour élaborer un projet de proposition réglementaire</w:t>
      </w:r>
      <w:r w:rsidR="00204934">
        <w:rPr>
          <w:lang w:val="fr-FR"/>
        </w:rPr>
        <w:t xml:space="preserve"> </w:t>
      </w:r>
      <w:r w:rsidRPr="00925C51">
        <w:rPr>
          <w:lang w:val="fr-FR"/>
        </w:rPr>
        <w:t>concernant les compteurs kilométriques, et plus précisément le traitement des valeurs qu</w:t>
      </w:r>
      <w:r w:rsidR="004B49A6" w:rsidRPr="00925C51">
        <w:rPr>
          <w:lang w:val="fr-FR"/>
        </w:rPr>
        <w:t>’</w:t>
      </w:r>
      <w:r w:rsidRPr="00925C51">
        <w:rPr>
          <w:lang w:val="fr-FR"/>
        </w:rPr>
        <w:t>ils affichent. En particulier, l</w:t>
      </w:r>
      <w:r w:rsidR="004B49A6" w:rsidRPr="00925C51">
        <w:rPr>
          <w:lang w:val="fr-FR"/>
        </w:rPr>
        <w:t>’</w:t>
      </w:r>
      <w:r w:rsidRPr="00925C51">
        <w:rPr>
          <w:lang w:val="fr-FR"/>
        </w:rPr>
        <w:t>équipe spéciale a été chargée d</w:t>
      </w:r>
      <w:r w:rsidR="004B49A6" w:rsidRPr="00925C51">
        <w:rPr>
          <w:lang w:val="fr-FR"/>
        </w:rPr>
        <w:t>’</w:t>
      </w:r>
      <w:r w:rsidRPr="00925C51">
        <w:rPr>
          <w:lang w:val="fr-FR"/>
        </w:rPr>
        <w:t>élaborer des dispositions uniformes concernant :</w:t>
      </w:r>
    </w:p>
    <w:p w14:paraId="5FFF9712" w14:textId="0DF6F955" w:rsidR="0083199D" w:rsidRPr="00925C51" w:rsidRDefault="0083199D" w:rsidP="007538CA">
      <w:pPr>
        <w:pStyle w:val="SingleTxtG"/>
        <w:ind w:firstLine="567"/>
        <w:rPr>
          <w:rFonts w:eastAsia="SimSun"/>
        </w:rPr>
      </w:pPr>
      <w:r w:rsidRPr="00925C51">
        <w:rPr>
          <w:lang w:val="fr-FR"/>
        </w:rPr>
        <w:t>a)</w:t>
      </w:r>
      <w:r w:rsidRPr="00925C51">
        <w:rPr>
          <w:lang w:val="fr-FR"/>
        </w:rPr>
        <w:tab/>
        <w:t>L</w:t>
      </w:r>
      <w:r w:rsidR="004B49A6" w:rsidRPr="00925C51">
        <w:rPr>
          <w:lang w:val="fr-FR"/>
        </w:rPr>
        <w:t>’</w:t>
      </w:r>
      <w:r w:rsidRPr="00925C51">
        <w:rPr>
          <w:lang w:val="fr-FR"/>
        </w:rPr>
        <w:t>exactitude des valeurs des compteurs kilométriques embarqués, en définissant en conséquence une tolérance maximale et une procédure d</w:t>
      </w:r>
      <w:r w:rsidR="004B49A6" w:rsidRPr="00925C51">
        <w:rPr>
          <w:lang w:val="fr-FR"/>
        </w:rPr>
        <w:t>’</w:t>
      </w:r>
      <w:r w:rsidRPr="00925C51">
        <w:rPr>
          <w:lang w:val="fr-FR"/>
        </w:rPr>
        <w:t>essai d</w:t>
      </w:r>
      <w:r w:rsidR="004B49A6" w:rsidRPr="00925C51">
        <w:rPr>
          <w:lang w:val="fr-FR"/>
        </w:rPr>
        <w:t>’</w:t>
      </w:r>
      <w:r w:rsidRPr="00925C51">
        <w:rPr>
          <w:lang w:val="fr-FR"/>
        </w:rPr>
        <w:t>homologation de type ;</w:t>
      </w:r>
    </w:p>
    <w:p w14:paraId="6B537D54" w14:textId="77777777" w:rsidR="0083199D" w:rsidRPr="00925C51" w:rsidRDefault="0083199D" w:rsidP="007538CA">
      <w:pPr>
        <w:pStyle w:val="SingleTxtG"/>
        <w:ind w:firstLine="567"/>
        <w:rPr>
          <w:rFonts w:eastAsia="SimSun"/>
        </w:rPr>
      </w:pPr>
      <w:r w:rsidRPr="00925C51">
        <w:rPr>
          <w:lang w:val="fr-FR"/>
        </w:rPr>
        <w:t>b)</w:t>
      </w:r>
      <w:r w:rsidRPr="00925C51">
        <w:rPr>
          <w:lang w:val="fr-FR"/>
        </w:rPr>
        <w:tab/>
        <w:t>La gestion de la sécurité et la lutte contre la falsification, afin de prévenir ou de détecter, dans toute la mesure du possible, la manipulation des valeurs des compteurs kilométriques embarqués ;</w:t>
      </w:r>
    </w:p>
    <w:p w14:paraId="7CFC0004" w14:textId="50F2807C" w:rsidR="0083199D" w:rsidRPr="001B10CE" w:rsidRDefault="0083199D" w:rsidP="007538CA">
      <w:pPr>
        <w:pStyle w:val="SingleTxtG"/>
        <w:ind w:firstLine="567"/>
        <w:rPr>
          <w:rFonts w:eastAsia="SimSun"/>
        </w:rPr>
      </w:pPr>
      <w:r w:rsidRPr="00925C51">
        <w:rPr>
          <w:lang w:val="fr-FR"/>
        </w:rPr>
        <w:t>c)</w:t>
      </w:r>
      <w:r w:rsidRPr="00925C51">
        <w:rPr>
          <w:lang w:val="fr-FR"/>
        </w:rPr>
        <w:tab/>
        <w:t>L</w:t>
      </w:r>
      <w:r w:rsidR="004B49A6" w:rsidRPr="00925C51">
        <w:rPr>
          <w:lang w:val="fr-FR"/>
        </w:rPr>
        <w:t>’</w:t>
      </w:r>
      <w:r w:rsidRPr="00925C51">
        <w:rPr>
          <w:lang w:val="fr-FR"/>
        </w:rPr>
        <w:t>exactitude</w:t>
      </w:r>
      <w:r>
        <w:rPr>
          <w:lang w:val="fr-FR"/>
        </w:rPr>
        <w:t xml:space="preserve"> des valeurs des compteurs kilométriques affichées pour le conducteur, </w:t>
      </w:r>
      <w:r w:rsidRPr="008B6B14">
        <w:rPr>
          <w:lang w:val="fr-FR"/>
        </w:rPr>
        <w:t>la gestion de la sécurité</w:t>
      </w:r>
      <w:r>
        <w:rPr>
          <w:lang w:val="fr-FR"/>
        </w:rPr>
        <w:t xml:space="preserve"> de ces valeurs</w:t>
      </w:r>
      <w:r w:rsidRPr="008B6B14">
        <w:rPr>
          <w:lang w:val="fr-FR"/>
        </w:rPr>
        <w:t xml:space="preserve"> et la lutte contre l</w:t>
      </w:r>
      <w:r>
        <w:rPr>
          <w:lang w:val="fr-FR"/>
        </w:rPr>
        <w:t>eur</w:t>
      </w:r>
      <w:r w:rsidRPr="008B6B14">
        <w:rPr>
          <w:lang w:val="fr-FR"/>
        </w:rPr>
        <w:t xml:space="preserve"> falsification</w:t>
      </w:r>
      <w:r>
        <w:rPr>
          <w:lang w:val="fr-FR"/>
        </w:rPr>
        <w:t>.</w:t>
      </w:r>
    </w:p>
    <w:p w14:paraId="6A998712" w14:textId="231396CA" w:rsidR="0083199D" w:rsidRPr="001B10CE" w:rsidRDefault="0083199D" w:rsidP="0083199D">
      <w:pPr>
        <w:spacing w:after="120"/>
        <w:ind w:left="1560" w:right="1134"/>
        <w:jc w:val="both"/>
        <w:rPr>
          <w:rFonts w:eastAsia="SimSun"/>
        </w:rPr>
      </w:pPr>
      <w:r>
        <w:rPr>
          <w:lang w:val="fr-FR"/>
        </w:rPr>
        <w:t>« Pour élaborer la(les) proposition(s) de réglementation, l</w:t>
      </w:r>
      <w:r w:rsidR="004B49A6">
        <w:rPr>
          <w:lang w:val="fr-FR"/>
        </w:rPr>
        <w:t>’</w:t>
      </w:r>
      <w:r>
        <w:rPr>
          <w:lang w:val="fr-FR"/>
        </w:rPr>
        <w:t xml:space="preserve">équipe spéciale prendra en compte les technologies et les données existantes ainsi que les recherches déjà menées. En outre, elle prendra en considération les normes et législations nationales et internationales portant sur le même champ </w:t>
      </w:r>
      <w:r w:rsidRPr="00880EF4">
        <w:rPr>
          <w:lang w:val="fr-FR"/>
        </w:rPr>
        <w:t>d</w:t>
      </w:r>
      <w:r w:rsidR="004B49A6" w:rsidRPr="00880EF4">
        <w:rPr>
          <w:lang w:val="fr-FR"/>
        </w:rPr>
        <w:t>’</w:t>
      </w:r>
      <w:r w:rsidRPr="00880EF4">
        <w:rPr>
          <w:lang w:val="fr-FR"/>
        </w:rPr>
        <w:t>application. »</w:t>
      </w:r>
      <w:r w:rsidR="007538CA" w:rsidRPr="00880EF4">
        <w:rPr>
          <w:lang w:val="fr-FR"/>
        </w:rPr>
        <w:t>.</w:t>
      </w:r>
    </w:p>
    <w:p w14:paraId="1EDFB3DA" w14:textId="77777777" w:rsidR="0083199D" w:rsidRPr="001B10CE" w:rsidRDefault="0083199D" w:rsidP="0083199D">
      <w:pPr>
        <w:spacing w:after="120"/>
        <w:ind w:left="1134" w:right="1134"/>
        <w:jc w:val="both"/>
        <w:rPr>
          <w:rFonts w:eastAsia="SimSun"/>
        </w:rPr>
      </w:pPr>
      <w:r>
        <w:rPr>
          <w:lang w:val="fr-FR"/>
        </w:rPr>
        <w:t>Voir aussi le rapport du Groupe de travail des dispositions générales de sécurité sur les travaux de sa 126</w:t>
      </w:r>
      <w:r>
        <w:rPr>
          <w:vertAlign w:val="superscript"/>
          <w:lang w:val="fr-FR"/>
        </w:rPr>
        <w:t>e</w:t>
      </w:r>
      <w:r>
        <w:rPr>
          <w:lang w:val="fr-FR"/>
        </w:rPr>
        <w:t xml:space="preserve"> session (ECE/TRANS/WP.29/GRSG/105, par. 16 et annexe V).</w:t>
      </w:r>
    </w:p>
    <w:p w14:paraId="070384C5" w14:textId="77777777" w:rsidR="0083199D" w:rsidRPr="001B10CE" w:rsidRDefault="0083199D" w:rsidP="007538CA">
      <w:pPr>
        <w:pStyle w:val="H1G"/>
        <w:rPr>
          <w:sz w:val="22"/>
          <w:szCs w:val="22"/>
        </w:rPr>
      </w:pPr>
      <w:r>
        <w:rPr>
          <w:lang w:val="fr-FR"/>
        </w:rPr>
        <w:tab/>
        <w:t>B.</w:t>
      </w:r>
      <w:r>
        <w:rPr>
          <w:lang w:val="fr-FR"/>
        </w:rPr>
        <w:tab/>
        <w:t>Généralités</w:t>
      </w:r>
    </w:p>
    <w:p w14:paraId="2D09337D" w14:textId="257F68AF" w:rsidR="0083199D" w:rsidRPr="001B10CE" w:rsidRDefault="0083199D" w:rsidP="0083199D">
      <w:pPr>
        <w:spacing w:after="120"/>
        <w:ind w:left="1134" w:right="1134"/>
        <w:jc w:val="both"/>
        <w:rPr>
          <w:rFonts w:eastAsia="SimSun"/>
        </w:rPr>
      </w:pPr>
      <w:r>
        <w:rPr>
          <w:lang w:val="fr-FR"/>
        </w:rPr>
        <w:t>2.</w:t>
      </w:r>
      <w:r>
        <w:rPr>
          <w:lang w:val="fr-FR"/>
        </w:rPr>
        <w:tab/>
        <w:t>Notes de bas de page 1 et 3 et paragraphes 2.2.2, 2.6, 3.1, 3.2, annexes 1 et 2 : des modifications (d</w:t>
      </w:r>
      <w:r w:rsidR="004B49A6">
        <w:rPr>
          <w:lang w:val="fr-FR"/>
        </w:rPr>
        <w:t>’</w:t>
      </w:r>
      <w:r>
        <w:rPr>
          <w:lang w:val="fr-FR"/>
        </w:rPr>
        <w:t>ordre rédactionnel) ont été apportées pour tenir compte des nouvelles dispositions et assurer la cohérence interne.</w:t>
      </w:r>
    </w:p>
    <w:p w14:paraId="5509058C" w14:textId="2A38A950" w:rsidR="0083199D" w:rsidRPr="00880EF4" w:rsidRDefault="0083199D" w:rsidP="007538CA">
      <w:pPr>
        <w:pStyle w:val="SingleTxtG"/>
        <w:rPr>
          <w:rFonts w:eastAsia="SimSun"/>
        </w:rPr>
      </w:pPr>
      <w:r w:rsidRPr="00880EF4">
        <w:rPr>
          <w:lang w:val="fr-FR"/>
        </w:rPr>
        <w:t>3.</w:t>
      </w:r>
      <w:r w:rsidRPr="00880EF4">
        <w:rPr>
          <w:lang w:val="fr-FR"/>
        </w:rPr>
        <w:tab/>
        <w:t>Paragraphes 2.5 et 3.1 (première phrase) : modification d</w:t>
      </w:r>
      <w:r w:rsidR="004B49A6" w:rsidRPr="00880EF4">
        <w:rPr>
          <w:lang w:val="fr-FR"/>
        </w:rPr>
        <w:t>’</w:t>
      </w:r>
      <w:r w:rsidRPr="00880EF4">
        <w:rPr>
          <w:lang w:val="fr-FR"/>
        </w:rPr>
        <w:t>ordre rédactionnel destinée à rendre le libellé épicène en anglais, sans objet en français.</w:t>
      </w:r>
    </w:p>
    <w:p w14:paraId="56269C1B" w14:textId="77777777" w:rsidR="0083199D" w:rsidRPr="00880EF4" w:rsidRDefault="0083199D" w:rsidP="007538CA">
      <w:pPr>
        <w:pStyle w:val="SingleTxtG"/>
        <w:rPr>
          <w:rFonts w:eastAsia="SimSun"/>
        </w:rPr>
      </w:pPr>
      <w:r w:rsidRPr="00880EF4">
        <w:rPr>
          <w:lang w:val="fr-FR"/>
        </w:rPr>
        <w:t>4.</w:t>
      </w:r>
      <w:r w:rsidRPr="00880EF4">
        <w:rPr>
          <w:lang w:val="fr-FR"/>
        </w:rPr>
        <w:tab/>
        <w:t>Note de bas de page 2 du paragraphe 2.5 : cette note a été supprimée, car il a été jugé que les nouvelles modifications la rendaient superflue.</w:t>
      </w:r>
    </w:p>
    <w:p w14:paraId="223FA641" w14:textId="2C0F02A4" w:rsidR="0083199D" w:rsidRPr="00880EF4" w:rsidRDefault="0083199D" w:rsidP="007538CA">
      <w:pPr>
        <w:pStyle w:val="SingleTxtG"/>
        <w:rPr>
          <w:rFonts w:eastAsia="SimSun"/>
        </w:rPr>
      </w:pPr>
      <w:r w:rsidRPr="00880EF4">
        <w:rPr>
          <w:lang w:val="fr-FR"/>
        </w:rPr>
        <w:t>5.</w:t>
      </w:r>
      <w:r w:rsidRPr="00880EF4">
        <w:rPr>
          <w:lang w:val="fr-FR"/>
        </w:rPr>
        <w:tab/>
        <w:t>Paragraphe 2.6 : le libellé a été modifié pour rendre compte du fait que les compteurs kilométriques sont montés sur un large éventail de véhicules, notamment des véhicules construits en plusieurs étapes pour lesquels la distance parcourue depuis la mise en circulation ne correspond pas nécessairement à la distance totale parcourue par le véhicule ou le châssis. Des définitions ont été ajoutées pour établir une distinction entre : a) la distance affichée par le compteur kilométrique (par. 2.6.2) ; b) la distance réelle parcourue par le véhicule (aux fins de la procédure d</w:t>
      </w:r>
      <w:r w:rsidR="004B49A6" w:rsidRPr="00880EF4">
        <w:rPr>
          <w:lang w:val="fr-FR"/>
        </w:rPr>
        <w:t>’</w:t>
      </w:r>
      <w:r w:rsidRPr="00880EF4">
        <w:rPr>
          <w:lang w:val="fr-FR"/>
        </w:rPr>
        <w:t>essai d</w:t>
      </w:r>
      <w:r w:rsidR="004B49A6" w:rsidRPr="00880EF4">
        <w:rPr>
          <w:lang w:val="fr-FR"/>
        </w:rPr>
        <w:t>’</w:t>
      </w:r>
      <w:r w:rsidRPr="00880EF4">
        <w:rPr>
          <w:lang w:val="fr-FR"/>
        </w:rPr>
        <w:t>homologation prescrite à l</w:t>
      </w:r>
      <w:r w:rsidR="004B49A6" w:rsidRPr="00880EF4">
        <w:rPr>
          <w:lang w:val="fr-FR"/>
        </w:rPr>
        <w:t>’</w:t>
      </w:r>
      <w:r w:rsidRPr="00880EF4">
        <w:rPr>
          <w:lang w:val="fr-FR"/>
        </w:rPr>
        <w:t>annexe</w:t>
      </w:r>
      <w:r w:rsidR="00880EF4">
        <w:rPr>
          <w:lang w:val="fr-FR"/>
        </w:rPr>
        <w:t> </w:t>
      </w:r>
      <w:r w:rsidRPr="00880EF4">
        <w:rPr>
          <w:lang w:val="fr-FR"/>
        </w:rPr>
        <w:t>4)</w:t>
      </w:r>
      <w:r w:rsidR="007538CA" w:rsidRPr="00880EF4">
        <w:rPr>
          <w:lang w:val="fr-FR"/>
        </w:rPr>
        <w:t xml:space="preserve"> </w:t>
      </w:r>
      <w:r w:rsidRPr="00880EF4">
        <w:rPr>
          <w:lang w:val="fr-FR"/>
        </w:rPr>
        <w:t>(par.</w:t>
      </w:r>
      <w:r w:rsidR="007538CA" w:rsidRPr="00880EF4">
        <w:rPr>
          <w:lang w:val="fr-FR"/>
        </w:rPr>
        <w:t> </w:t>
      </w:r>
      <w:r w:rsidRPr="00880EF4">
        <w:rPr>
          <w:lang w:val="fr-FR"/>
        </w:rPr>
        <w:t>2.6.3)</w:t>
      </w:r>
      <w:r w:rsidR="007538CA" w:rsidRPr="00880EF4">
        <w:rPr>
          <w:lang w:val="fr-FR"/>
        </w:rPr>
        <w:t> </w:t>
      </w:r>
      <w:r w:rsidRPr="00880EF4">
        <w:rPr>
          <w:lang w:val="fr-FR"/>
        </w:rPr>
        <w:t>; c) toute donnée kilométrique stockée à bord du véhicule (par. 2.6.4).</w:t>
      </w:r>
    </w:p>
    <w:p w14:paraId="7ED9DB69" w14:textId="48D68095" w:rsidR="0083199D" w:rsidRPr="001B10CE" w:rsidRDefault="0083199D" w:rsidP="007538CA">
      <w:pPr>
        <w:pStyle w:val="SingleTxtG"/>
        <w:rPr>
          <w:rFonts w:eastAsia="SimSun"/>
          <w:strike/>
        </w:rPr>
      </w:pPr>
      <w:r w:rsidRPr="00880EF4">
        <w:rPr>
          <w:lang w:val="fr-FR"/>
        </w:rPr>
        <w:t>6.</w:t>
      </w:r>
      <w:r w:rsidRPr="00880EF4">
        <w:rPr>
          <w:lang w:val="fr-FR"/>
        </w:rPr>
        <w:tab/>
        <w:t>Paragraphes 2.6.5, 2.6.6 et 5.6 et paragraphe 4.9 de l</w:t>
      </w:r>
      <w:r w:rsidR="004B49A6" w:rsidRPr="00880EF4">
        <w:rPr>
          <w:lang w:val="fr-FR"/>
        </w:rPr>
        <w:t>’</w:t>
      </w:r>
      <w:r w:rsidRPr="00880EF4">
        <w:rPr>
          <w:lang w:val="fr-FR"/>
        </w:rPr>
        <w:t>annexe 5 : il a été constaté que les véhicules équipés d</w:t>
      </w:r>
      <w:r w:rsidR="004B49A6" w:rsidRPr="00880EF4">
        <w:rPr>
          <w:lang w:val="fr-FR"/>
        </w:rPr>
        <w:t>’</w:t>
      </w:r>
      <w:r w:rsidRPr="00880EF4">
        <w:rPr>
          <w:lang w:val="fr-FR"/>
        </w:rPr>
        <w:t>appareils tels que les tachygraphes mesuraient et enregistraient souvent le kilométrage avec un niveau élevé de précision et de sécurité. Par conséquent, on peut considérer que les prescriptions des</w:t>
      </w:r>
      <w:r>
        <w:rPr>
          <w:lang w:val="fr-FR"/>
        </w:rPr>
        <w:t xml:space="preserve"> paragraphes en question sont déjà satisfaites si l</w:t>
      </w:r>
      <w:r w:rsidR="004B49A6">
        <w:rPr>
          <w:lang w:val="fr-FR"/>
        </w:rPr>
        <w:t>’</w:t>
      </w:r>
      <w:r>
        <w:rPr>
          <w:lang w:val="fr-FR"/>
        </w:rPr>
        <w:t>équipement utilisé est l</w:t>
      </w:r>
      <w:r w:rsidR="004B49A6">
        <w:rPr>
          <w:lang w:val="fr-FR"/>
        </w:rPr>
        <w:t>’</w:t>
      </w:r>
      <w:r>
        <w:rPr>
          <w:lang w:val="fr-FR"/>
        </w:rPr>
        <w:t>unique source de mesure du kilométrage et s</w:t>
      </w:r>
      <w:r w:rsidR="004B49A6">
        <w:rPr>
          <w:lang w:val="fr-FR"/>
        </w:rPr>
        <w:t>’</w:t>
      </w:r>
      <w:r>
        <w:rPr>
          <w:lang w:val="fr-FR"/>
        </w:rPr>
        <w:t xml:space="preserve">il a été démontré que cet équipement offrait au moins le même niveau de précision que celui exigé pour les appareils visés par le Règlement ONU </w:t>
      </w:r>
      <w:r w:rsidR="00880EF4" w:rsidRPr="00880EF4">
        <w:rPr>
          <w:rFonts w:eastAsia="MS Mincho"/>
          <w:szCs w:val="22"/>
          <w:lang w:val="fr-FR"/>
        </w:rPr>
        <w:t>n</w:t>
      </w:r>
      <w:r w:rsidR="00880EF4" w:rsidRPr="00880EF4">
        <w:rPr>
          <w:rFonts w:eastAsia="MS Mincho"/>
          <w:szCs w:val="22"/>
          <w:vertAlign w:val="superscript"/>
          <w:lang w:val="fr-FR"/>
        </w:rPr>
        <w:t>o</w:t>
      </w:r>
      <w:r w:rsidR="00880EF4">
        <w:rPr>
          <w:lang w:val="fr-FR"/>
        </w:rPr>
        <w:t> </w:t>
      </w:r>
      <w:r>
        <w:rPr>
          <w:lang w:val="fr-FR"/>
        </w:rPr>
        <w:t>39. La fiche de renseignements du constructeur doit contenir une description de l</w:t>
      </w:r>
      <w:r w:rsidR="004B49A6">
        <w:rPr>
          <w:lang w:val="fr-FR"/>
        </w:rPr>
        <w:t>’</w:t>
      </w:r>
      <w:r>
        <w:rPr>
          <w:lang w:val="fr-FR"/>
        </w:rPr>
        <w:t>équipement.</w:t>
      </w:r>
    </w:p>
    <w:p w14:paraId="06C33625" w14:textId="5C16DF04" w:rsidR="0083199D" w:rsidRPr="001B10CE" w:rsidRDefault="0083199D" w:rsidP="007538CA">
      <w:pPr>
        <w:pStyle w:val="SingleTxtG"/>
        <w:rPr>
          <w:rFonts w:eastAsia="SimSun"/>
        </w:rPr>
      </w:pPr>
      <w:r>
        <w:rPr>
          <w:lang w:val="fr-FR"/>
        </w:rPr>
        <w:t>7.</w:t>
      </w:r>
      <w:r>
        <w:rPr>
          <w:lang w:val="fr-FR"/>
        </w:rPr>
        <w:tab/>
        <w:t>Paragraphes 2.6.7 et 5.6, paragraphe 6.2 de l</w:t>
      </w:r>
      <w:r w:rsidR="004B49A6">
        <w:rPr>
          <w:lang w:val="fr-FR"/>
        </w:rPr>
        <w:t>’</w:t>
      </w:r>
      <w:r>
        <w:rPr>
          <w:lang w:val="fr-FR"/>
        </w:rPr>
        <w:t>annexe 1 et paragraphe 4.8.8 de l</w:t>
      </w:r>
      <w:r w:rsidR="004B49A6">
        <w:rPr>
          <w:lang w:val="fr-FR"/>
        </w:rPr>
        <w:t>’</w:t>
      </w:r>
      <w:r>
        <w:rPr>
          <w:lang w:val="fr-FR"/>
        </w:rPr>
        <w:t>annexe</w:t>
      </w:r>
      <w:r w:rsidR="00E504E4">
        <w:rPr>
          <w:lang w:val="fr-FR"/>
        </w:rPr>
        <w:t> </w:t>
      </w:r>
      <w:r>
        <w:rPr>
          <w:lang w:val="fr-FR"/>
        </w:rPr>
        <w:t>5 : il a été constaté que les véhicules équipés d</w:t>
      </w:r>
      <w:r w:rsidR="004B49A6">
        <w:rPr>
          <w:lang w:val="fr-FR"/>
        </w:rPr>
        <w:t>’</w:t>
      </w:r>
      <w:r>
        <w:rPr>
          <w:lang w:val="fr-FR"/>
        </w:rPr>
        <w:t xml:space="preserve">un « compteur kilométrique entièrement mécanique » ne pouvaient techniquement pas satisfaire au niveau de précision et de sécurité exigé par le Règlement ONU. Cependant, ces véhicules </w:t>
      </w:r>
      <w:r w:rsidRPr="00B20F36">
        <w:rPr>
          <w:lang w:val="fr-FR"/>
        </w:rPr>
        <w:t xml:space="preserve">devraient être très peu </w:t>
      </w:r>
      <w:r w:rsidRPr="00B20F36">
        <w:rPr>
          <w:lang w:val="fr-FR"/>
        </w:rPr>
        <w:lastRenderedPageBreak/>
        <w:t>nombreux et l</w:t>
      </w:r>
      <w:r w:rsidR="004B49A6">
        <w:rPr>
          <w:lang w:val="fr-FR"/>
        </w:rPr>
        <w:t>’</w:t>
      </w:r>
      <w:r>
        <w:rPr>
          <w:lang w:val="fr-FR"/>
        </w:rPr>
        <w:t>é</w:t>
      </w:r>
      <w:r w:rsidRPr="00B20F36">
        <w:rPr>
          <w:lang w:val="fr-FR"/>
        </w:rPr>
        <w:t xml:space="preserve">quipe spéciale a donc considéré </w:t>
      </w:r>
      <w:r>
        <w:rPr>
          <w:lang w:val="fr-FR"/>
        </w:rPr>
        <w:t>qu</w:t>
      </w:r>
      <w:r w:rsidR="004B49A6">
        <w:rPr>
          <w:lang w:val="fr-FR"/>
        </w:rPr>
        <w:t>’</w:t>
      </w:r>
      <w:r>
        <w:rPr>
          <w:lang w:val="fr-FR"/>
        </w:rPr>
        <w:t>ils pouvaient être</w:t>
      </w:r>
      <w:r w:rsidRPr="00B20F36">
        <w:rPr>
          <w:lang w:val="fr-FR"/>
        </w:rPr>
        <w:t xml:space="preserve"> exempt</w:t>
      </w:r>
      <w:r>
        <w:rPr>
          <w:lang w:val="fr-FR"/>
        </w:rPr>
        <w:t>és</w:t>
      </w:r>
      <w:r w:rsidRPr="00B20F36">
        <w:rPr>
          <w:lang w:val="fr-FR"/>
        </w:rPr>
        <w:t xml:space="preserve"> des prescriptions relatives à la précision et à la sécurité du compteur kilométrique. Sur le certificat d</w:t>
      </w:r>
      <w:r w:rsidR="004B49A6">
        <w:rPr>
          <w:lang w:val="fr-FR"/>
        </w:rPr>
        <w:t>’</w:t>
      </w:r>
      <w:r w:rsidRPr="00B20F36">
        <w:rPr>
          <w:lang w:val="fr-FR"/>
        </w:rPr>
        <w:t>homologation de type et la fiche de renseignement</w:t>
      </w:r>
      <w:r>
        <w:rPr>
          <w:lang w:val="fr-FR"/>
        </w:rPr>
        <w:t>s, il doit être clairement indiqué que le véhicule est équipé d</w:t>
      </w:r>
      <w:r w:rsidR="004B49A6">
        <w:rPr>
          <w:lang w:val="fr-FR"/>
        </w:rPr>
        <w:t>’</w:t>
      </w:r>
      <w:r>
        <w:rPr>
          <w:lang w:val="fr-FR"/>
        </w:rPr>
        <w:t xml:space="preserve">un compteur kilométrique auquel </w:t>
      </w:r>
      <w:r w:rsidRPr="00BC6665">
        <w:rPr>
          <w:lang w:val="fr-FR"/>
        </w:rPr>
        <w:t xml:space="preserve">cette exemption </w:t>
      </w:r>
      <w:r>
        <w:rPr>
          <w:lang w:val="fr-FR"/>
        </w:rPr>
        <w:t>s</w:t>
      </w:r>
      <w:r w:rsidR="004B49A6">
        <w:rPr>
          <w:lang w:val="fr-FR"/>
        </w:rPr>
        <w:t>’</w:t>
      </w:r>
      <w:r>
        <w:rPr>
          <w:lang w:val="fr-FR"/>
        </w:rPr>
        <w:t>applique.</w:t>
      </w:r>
    </w:p>
    <w:p w14:paraId="0A00EB9B" w14:textId="2FF5CC00" w:rsidR="0083199D" w:rsidRPr="001B10CE" w:rsidRDefault="0083199D" w:rsidP="007538CA">
      <w:pPr>
        <w:pStyle w:val="SingleTxtG"/>
        <w:rPr>
          <w:rFonts w:eastAsia="SimSun"/>
          <w:strike/>
        </w:rPr>
      </w:pPr>
      <w:r>
        <w:rPr>
          <w:lang w:val="fr-FR"/>
        </w:rPr>
        <w:t>8.</w:t>
      </w:r>
      <w:r>
        <w:rPr>
          <w:lang w:val="fr-FR"/>
        </w:rPr>
        <w:tab/>
        <w:t xml:space="preserve">Paragraphe 2.8 </w:t>
      </w:r>
      <w:r w:rsidRPr="00592F93">
        <w:rPr>
          <w:lang w:val="fr-FR"/>
        </w:rPr>
        <w:t>: la « falsification » est définie en termes généraux pour que l</w:t>
      </w:r>
      <w:r w:rsidR="004B49A6">
        <w:rPr>
          <w:lang w:val="fr-FR"/>
        </w:rPr>
        <w:t>’</w:t>
      </w:r>
      <w:r w:rsidRPr="00592F93">
        <w:rPr>
          <w:lang w:val="fr-FR"/>
        </w:rPr>
        <w:t xml:space="preserve">intention de falsifier, aux fins du Règlement, soit prise en compte et </w:t>
      </w:r>
      <w:r>
        <w:rPr>
          <w:lang w:val="fr-FR"/>
        </w:rPr>
        <w:t>qu</w:t>
      </w:r>
      <w:r w:rsidR="004B49A6">
        <w:rPr>
          <w:lang w:val="fr-FR"/>
        </w:rPr>
        <w:t>’</w:t>
      </w:r>
      <w:r>
        <w:rPr>
          <w:lang w:val="fr-FR"/>
        </w:rPr>
        <w:t>aucune</w:t>
      </w:r>
      <w:r w:rsidRPr="00592F93">
        <w:rPr>
          <w:lang w:val="fr-FR"/>
        </w:rPr>
        <w:t xml:space="preserve"> situation particulière </w:t>
      </w:r>
      <w:r>
        <w:rPr>
          <w:lang w:val="fr-FR"/>
        </w:rPr>
        <w:t>ne puisse être exclue</w:t>
      </w:r>
      <w:r w:rsidRPr="00592F93">
        <w:rPr>
          <w:lang w:val="fr-FR"/>
        </w:rPr>
        <w:t>.</w:t>
      </w:r>
    </w:p>
    <w:p w14:paraId="605B5BB2" w14:textId="2B8A2090" w:rsidR="0083199D" w:rsidRPr="001B10CE" w:rsidRDefault="0083199D" w:rsidP="007538CA">
      <w:pPr>
        <w:pStyle w:val="SingleTxtG"/>
        <w:rPr>
          <w:rFonts w:eastAsia="SimSun"/>
        </w:rPr>
      </w:pPr>
      <w:r>
        <w:rPr>
          <w:lang w:val="fr-FR"/>
        </w:rPr>
        <w:t>9.</w:t>
      </w:r>
      <w:r>
        <w:rPr>
          <w:lang w:val="fr-FR"/>
        </w:rPr>
        <w:tab/>
        <w:t>Sections 3 et 4 : ces sections ont été mises à jour conformément à la révision 3 de l</w:t>
      </w:r>
      <w:r w:rsidR="004B49A6">
        <w:rPr>
          <w:lang w:val="fr-FR"/>
        </w:rPr>
        <w:t>’</w:t>
      </w:r>
      <w:r>
        <w:rPr>
          <w:lang w:val="fr-FR"/>
        </w:rPr>
        <w:t>Accord de 1958.</w:t>
      </w:r>
    </w:p>
    <w:p w14:paraId="2BD992F5" w14:textId="07BD7262" w:rsidR="0083199D" w:rsidRPr="001B10CE" w:rsidRDefault="0083199D" w:rsidP="007538CA">
      <w:pPr>
        <w:pStyle w:val="SingleTxtG"/>
        <w:rPr>
          <w:rFonts w:eastAsia="SimSun"/>
        </w:rPr>
      </w:pPr>
      <w:r>
        <w:rPr>
          <w:lang w:val="fr-FR"/>
        </w:rPr>
        <w:t>10.</w:t>
      </w:r>
      <w:r>
        <w:rPr>
          <w:lang w:val="fr-FR"/>
        </w:rPr>
        <w:tab/>
        <w:t xml:space="preserve">Paragraphes 5.3.3 et 5.3.6 : une coquille a été supprimée. </w:t>
      </w:r>
      <w:r w:rsidRPr="0006623F">
        <w:rPr>
          <w:lang w:val="fr-FR"/>
        </w:rPr>
        <w:t>Lorsque l</w:t>
      </w:r>
      <w:r w:rsidR="004B49A6">
        <w:rPr>
          <w:lang w:val="fr-FR"/>
        </w:rPr>
        <w:t>’</w:t>
      </w:r>
      <w:r>
        <w:rPr>
          <w:lang w:val="fr-FR"/>
        </w:rPr>
        <w:t>é</w:t>
      </w:r>
      <w:r w:rsidRPr="0006623F">
        <w:rPr>
          <w:lang w:val="fr-FR"/>
        </w:rPr>
        <w:t>quipe spéciale s</w:t>
      </w:r>
      <w:r w:rsidR="004B49A6">
        <w:rPr>
          <w:lang w:val="fr-FR"/>
        </w:rPr>
        <w:t>’</w:t>
      </w:r>
      <w:r w:rsidRPr="0006623F">
        <w:rPr>
          <w:lang w:val="fr-FR"/>
        </w:rPr>
        <w:t xml:space="preserve">est penchée sur la procédure </w:t>
      </w:r>
      <w:r>
        <w:rPr>
          <w:lang w:val="fr-FR"/>
        </w:rPr>
        <w:t>de mesure</w:t>
      </w:r>
      <w:r w:rsidRPr="0006623F">
        <w:rPr>
          <w:lang w:val="fr-FR"/>
        </w:rPr>
        <w:t xml:space="preserve"> de la précision du compteur kilométrique</w:t>
      </w:r>
      <w:r>
        <w:rPr>
          <w:lang w:val="fr-FR"/>
        </w:rPr>
        <w:t>, elle a estimé que, d</w:t>
      </w:r>
      <w:r w:rsidR="004B49A6">
        <w:rPr>
          <w:lang w:val="fr-FR"/>
        </w:rPr>
        <w:t>’</w:t>
      </w:r>
      <w:r>
        <w:rPr>
          <w:lang w:val="fr-FR"/>
        </w:rPr>
        <w:t>une façon générale, la température n</w:t>
      </w:r>
      <w:r w:rsidR="004B49A6">
        <w:rPr>
          <w:lang w:val="fr-FR"/>
        </w:rPr>
        <w:t>’</w:t>
      </w:r>
      <w:r>
        <w:rPr>
          <w:lang w:val="fr-FR"/>
        </w:rPr>
        <w:t xml:space="preserve">altérait pas les performances des indicateurs de vitesse et des compteurs kilométriques modernes. Par </w:t>
      </w:r>
      <w:r w:rsidRPr="00342C68">
        <w:rPr>
          <w:lang w:val="fr-FR"/>
        </w:rPr>
        <w:t>conséquent, ce paramètre</w:t>
      </w:r>
      <w:r>
        <w:rPr>
          <w:lang w:val="fr-FR"/>
        </w:rPr>
        <w:t>, qui</w:t>
      </w:r>
      <w:r w:rsidRPr="00342C68">
        <w:rPr>
          <w:lang w:val="fr-FR"/>
        </w:rPr>
        <w:t xml:space="preserve"> ne dev</w:t>
      </w:r>
      <w:r>
        <w:rPr>
          <w:lang w:val="fr-FR"/>
        </w:rPr>
        <w:t>r</w:t>
      </w:r>
      <w:r w:rsidRPr="00342C68">
        <w:rPr>
          <w:lang w:val="fr-FR"/>
        </w:rPr>
        <w:t>ait pas être un obstacle à la procédure d</w:t>
      </w:r>
      <w:r w:rsidR="004B49A6">
        <w:rPr>
          <w:lang w:val="fr-FR"/>
        </w:rPr>
        <w:t>’</w:t>
      </w:r>
      <w:r w:rsidRPr="00342C68">
        <w:rPr>
          <w:lang w:val="fr-FR"/>
        </w:rPr>
        <w:t xml:space="preserve">essai </w:t>
      </w:r>
      <w:r w:rsidRPr="0021034E">
        <w:rPr>
          <w:lang w:val="fr-FR"/>
        </w:rPr>
        <w:t>d</w:t>
      </w:r>
      <w:r w:rsidR="004B49A6">
        <w:rPr>
          <w:lang w:val="fr-FR"/>
        </w:rPr>
        <w:t>’</w:t>
      </w:r>
      <w:r w:rsidRPr="0021034E">
        <w:rPr>
          <w:lang w:val="fr-FR"/>
        </w:rPr>
        <w:t>homologation de type</w:t>
      </w:r>
      <w:r>
        <w:rPr>
          <w:lang w:val="fr-FR"/>
        </w:rPr>
        <w:t>, est laissé à l</w:t>
      </w:r>
      <w:r w:rsidR="004B49A6">
        <w:rPr>
          <w:lang w:val="fr-FR"/>
        </w:rPr>
        <w:t>’</w:t>
      </w:r>
      <w:r>
        <w:rPr>
          <w:lang w:val="fr-FR"/>
        </w:rPr>
        <w:t xml:space="preserve">appréciation du </w:t>
      </w:r>
      <w:r w:rsidRPr="0021034E">
        <w:rPr>
          <w:lang w:val="fr-FR"/>
        </w:rPr>
        <w:t>service technique chargé des essais d</w:t>
      </w:r>
      <w:r w:rsidR="004B49A6">
        <w:rPr>
          <w:lang w:val="fr-FR"/>
        </w:rPr>
        <w:t>’</w:t>
      </w:r>
      <w:r w:rsidRPr="0021034E">
        <w:rPr>
          <w:lang w:val="fr-FR"/>
        </w:rPr>
        <w:t>homologation.</w:t>
      </w:r>
    </w:p>
    <w:p w14:paraId="54E78BEE" w14:textId="02303A5E" w:rsidR="0083199D" w:rsidRPr="001B10CE" w:rsidRDefault="0083199D" w:rsidP="007538CA">
      <w:pPr>
        <w:pStyle w:val="SingleTxtG"/>
        <w:rPr>
          <w:rFonts w:eastAsia="SimSun"/>
        </w:rPr>
      </w:pPr>
      <w:r w:rsidRPr="0021034E">
        <w:rPr>
          <w:lang w:val="fr-FR"/>
        </w:rPr>
        <w:t>11.</w:t>
      </w:r>
      <w:r w:rsidRPr="0021034E">
        <w:rPr>
          <w:lang w:val="fr-FR"/>
        </w:rPr>
        <w:tab/>
        <w:t>Paragraphe 5.3.6.1 : l</w:t>
      </w:r>
      <w:r w:rsidR="004B49A6">
        <w:rPr>
          <w:lang w:val="fr-FR"/>
        </w:rPr>
        <w:t>’</w:t>
      </w:r>
      <w:r w:rsidRPr="0021034E">
        <w:rPr>
          <w:lang w:val="fr-FR"/>
        </w:rPr>
        <w:t>adjectif « sec » a été supprimé,</w:t>
      </w:r>
      <w:r>
        <w:rPr>
          <w:lang w:val="fr-FR"/>
        </w:rPr>
        <w:t xml:space="preserve"> car on a estimé que la référence à une « adhérence suffisante » était assez parlante.</w:t>
      </w:r>
    </w:p>
    <w:p w14:paraId="51F01BE0" w14:textId="77777777" w:rsidR="0083199D" w:rsidRPr="001B10CE" w:rsidRDefault="0083199D" w:rsidP="007538CA">
      <w:pPr>
        <w:pStyle w:val="SingleTxtG"/>
        <w:rPr>
          <w:rFonts w:eastAsia="SimSun"/>
        </w:rPr>
      </w:pPr>
      <w:r>
        <w:rPr>
          <w:lang w:val="fr-FR"/>
        </w:rPr>
        <w:t>12.</w:t>
      </w:r>
      <w:r>
        <w:rPr>
          <w:lang w:val="fr-FR"/>
        </w:rPr>
        <w:tab/>
        <w:t>Paragraphe 5.10 : ce paragraphe précise la résolution requise pour les valeurs kilométriques.</w:t>
      </w:r>
    </w:p>
    <w:p w14:paraId="036A483B" w14:textId="680FB2B0" w:rsidR="0083199D" w:rsidRPr="000E18AD" w:rsidRDefault="0083199D" w:rsidP="007538CA">
      <w:pPr>
        <w:pStyle w:val="SingleTxtG"/>
        <w:rPr>
          <w:lang w:val="fr-FR"/>
        </w:rPr>
      </w:pPr>
      <w:r>
        <w:rPr>
          <w:lang w:val="fr-FR"/>
        </w:rPr>
        <w:t>13.</w:t>
      </w:r>
      <w:r>
        <w:rPr>
          <w:lang w:val="fr-FR"/>
        </w:rPr>
        <w:tab/>
        <w:t xml:space="preserve">Paragraphe 5.11 : une disposition </w:t>
      </w:r>
      <w:r w:rsidRPr="001B10CE">
        <w:t>concernant</w:t>
      </w:r>
      <w:r>
        <w:rPr>
          <w:lang w:val="fr-FR"/>
        </w:rPr>
        <w:t xml:space="preserve"> la nécessité d</w:t>
      </w:r>
      <w:r w:rsidR="004B49A6">
        <w:rPr>
          <w:lang w:val="fr-FR"/>
        </w:rPr>
        <w:t>’</w:t>
      </w:r>
      <w:r>
        <w:rPr>
          <w:lang w:val="fr-FR"/>
        </w:rPr>
        <w:t xml:space="preserve">avertir le conducteur en cas de dysfonctionnement du compteur kilométrique a été ajoutée. Pour des raisons de faisabilité et de </w:t>
      </w:r>
      <w:r w:rsidRPr="000E18AD">
        <w:rPr>
          <w:lang w:val="fr-FR"/>
        </w:rPr>
        <w:t>proportionnalité, cette disposition se s</w:t>
      </w:r>
      <w:r w:rsidR="004B49A6">
        <w:rPr>
          <w:lang w:val="fr-FR"/>
        </w:rPr>
        <w:t>’</w:t>
      </w:r>
      <w:r w:rsidRPr="000E18AD">
        <w:rPr>
          <w:lang w:val="fr-FR"/>
        </w:rPr>
        <w:t>applique qu</w:t>
      </w:r>
      <w:r w:rsidR="004B49A6">
        <w:rPr>
          <w:lang w:val="fr-FR"/>
        </w:rPr>
        <w:t>’</w:t>
      </w:r>
      <w:r w:rsidRPr="000E18AD">
        <w:rPr>
          <w:lang w:val="fr-FR"/>
        </w:rPr>
        <w:t xml:space="preserve">aux défaillances </w:t>
      </w:r>
      <w:r>
        <w:rPr>
          <w:lang w:val="fr-FR"/>
        </w:rPr>
        <w:t xml:space="preserve">détectables au niveau électrique </w:t>
      </w:r>
      <w:r w:rsidRPr="000E18AD">
        <w:rPr>
          <w:lang w:val="fr-FR"/>
        </w:rPr>
        <w:t>et le conducteur peut être averti par un autre signal de défaillance ou dans le contexte d</w:t>
      </w:r>
      <w:r w:rsidR="004B49A6">
        <w:rPr>
          <w:lang w:val="fr-FR"/>
        </w:rPr>
        <w:t>’</w:t>
      </w:r>
      <w:r w:rsidRPr="000E18AD">
        <w:rPr>
          <w:lang w:val="fr-FR"/>
        </w:rPr>
        <w:t>autres défaillances. L</w:t>
      </w:r>
      <w:r w:rsidR="004B49A6">
        <w:rPr>
          <w:lang w:val="fr-FR"/>
        </w:rPr>
        <w:t>’</w:t>
      </w:r>
      <w:r>
        <w:rPr>
          <w:lang w:val="fr-FR"/>
        </w:rPr>
        <w:t>é</w:t>
      </w:r>
      <w:r w:rsidRPr="000E18AD">
        <w:rPr>
          <w:lang w:val="fr-FR"/>
        </w:rPr>
        <w:t>quipe spéciale est d</w:t>
      </w:r>
      <w:r w:rsidR="004B49A6">
        <w:rPr>
          <w:lang w:val="fr-FR"/>
        </w:rPr>
        <w:t>’</w:t>
      </w:r>
      <w:r w:rsidRPr="000E18AD">
        <w:rPr>
          <w:lang w:val="fr-FR"/>
        </w:rPr>
        <w:t>accord sur le principe, mais elle envisagera d</w:t>
      </w:r>
      <w:r w:rsidR="004B49A6">
        <w:rPr>
          <w:lang w:val="fr-FR"/>
        </w:rPr>
        <w:t>’</w:t>
      </w:r>
      <w:r w:rsidRPr="000E18AD">
        <w:rPr>
          <w:lang w:val="fr-FR"/>
        </w:rPr>
        <w:t>améliorer la formulation de ce paragraphe.</w:t>
      </w:r>
    </w:p>
    <w:p w14:paraId="1F61A978" w14:textId="09B58489" w:rsidR="0083199D" w:rsidRPr="001B10CE" w:rsidRDefault="0083199D" w:rsidP="007538CA">
      <w:pPr>
        <w:pStyle w:val="SingleTxtG"/>
        <w:rPr>
          <w:rFonts w:eastAsia="SimSun"/>
          <w:strike/>
        </w:rPr>
      </w:pPr>
      <w:r w:rsidRPr="000E18AD">
        <w:rPr>
          <w:lang w:val="fr-FR"/>
        </w:rPr>
        <w:t>14.</w:t>
      </w:r>
      <w:r w:rsidRPr="000E18AD">
        <w:rPr>
          <w:lang w:val="fr-FR"/>
        </w:rPr>
        <w:tab/>
        <w:t>Paragraphes 10.5 à 10.8 : des dispositions transit</w:t>
      </w:r>
      <w:r>
        <w:rPr>
          <w:lang w:val="fr-FR"/>
        </w:rPr>
        <w:t>oires ont été formulées. Les années ont pour l</w:t>
      </w:r>
      <w:r w:rsidR="004B49A6">
        <w:rPr>
          <w:lang w:val="fr-FR"/>
        </w:rPr>
        <w:t>’</w:t>
      </w:r>
      <w:r>
        <w:rPr>
          <w:lang w:val="fr-FR"/>
        </w:rPr>
        <w:t>instant été placées entre crochets. Les professionnels du secteur ont dit qu</w:t>
      </w:r>
      <w:r w:rsidR="004B49A6">
        <w:rPr>
          <w:lang w:val="fr-FR"/>
        </w:rPr>
        <w:t>’</w:t>
      </w:r>
      <w:r>
        <w:rPr>
          <w:lang w:val="fr-FR"/>
        </w:rPr>
        <w:t xml:space="preserve">ils devaient savoir si la disposition </w:t>
      </w:r>
      <w:r w:rsidRPr="00232119">
        <w:rPr>
          <w:lang w:val="fr-FR"/>
        </w:rPr>
        <w:t>concernant l</w:t>
      </w:r>
      <w:r w:rsidR="004B49A6">
        <w:rPr>
          <w:lang w:val="fr-FR"/>
        </w:rPr>
        <w:t>’</w:t>
      </w:r>
      <w:r w:rsidRPr="00232119">
        <w:rPr>
          <w:lang w:val="fr-FR"/>
        </w:rPr>
        <w:t>avertissement de défaillance allait</w:t>
      </w:r>
      <w:r>
        <w:rPr>
          <w:lang w:val="fr-FR"/>
        </w:rPr>
        <w:t xml:space="preserve"> être adoptée avant de pouvoir prendre une décision à propos des années.</w:t>
      </w:r>
    </w:p>
    <w:p w14:paraId="00AF369E" w14:textId="71951E37" w:rsidR="0083199D" w:rsidRPr="001B10CE" w:rsidRDefault="0083199D" w:rsidP="007538CA">
      <w:pPr>
        <w:pStyle w:val="SingleTxtG"/>
        <w:rPr>
          <w:rFonts w:eastAsia="SimSun"/>
        </w:rPr>
      </w:pPr>
      <w:r>
        <w:rPr>
          <w:lang w:val="fr-FR"/>
        </w:rPr>
        <w:t>15.</w:t>
      </w:r>
      <w:r>
        <w:rPr>
          <w:lang w:val="fr-FR"/>
        </w:rPr>
        <w:tab/>
      </w:r>
      <w:r w:rsidRPr="001A4EF6">
        <w:rPr>
          <w:lang w:val="fr-FR"/>
        </w:rPr>
        <w:t>Annexe 1 : l</w:t>
      </w:r>
      <w:r w:rsidR="004B49A6">
        <w:rPr>
          <w:lang w:val="fr-FR"/>
        </w:rPr>
        <w:t>’</w:t>
      </w:r>
      <w:r w:rsidRPr="001A4EF6">
        <w:rPr>
          <w:lang w:val="fr-FR"/>
        </w:rPr>
        <w:t>annexe 1 a été mise à jour pour tenir compte des nouvelles dispositions. Le point 6.2</w:t>
      </w:r>
      <w:r w:rsidR="00880EF4">
        <w:rPr>
          <w:lang w:val="fr-FR"/>
        </w:rPr>
        <w:t xml:space="preserve"> </w:t>
      </w:r>
      <w:r w:rsidRPr="001A4EF6">
        <w:rPr>
          <w:lang w:val="fr-FR"/>
        </w:rPr>
        <w:t>a été ajouté pour déterminer si le compteur kilométrique était soumis aux prescriptions relatives à la précision et à la cybersécurité.</w:t>
      </w:r>
    </w:p>
    <w:p w14:paraId="5CCEEC97" w14:textId="0D80DB88" w:rsidR="0083199D" w:rsidRPr="001B10CE" w:rsidRDefault="0083199D" w:rsidP="007538CA">
      <w:pPr>
        <w:pStyle w:val="SingleTxtG"/>
        <w:rPr>
          <w:rFonts w:eastAsia="SimSun"/>
        </w:rPr>
      </w:pPr>
      <w:r>
        <w:rPr>
          <w:lang w:val="fr-FR"/>
        </w:rPr>
        <w:t>16.</w:t>
      </w:r>
      <w:r>
        <w:rPr>
          <w:lang w:val="fr-FR"/>
        </w:rPr>
        <w:tab/>
        <w:t>Annexe 2 : l</w:t>
      </w:r>
      <w:r w:rsidR="004B49A6">
        <w:rPr>
          <w:lang w:val="fr-FR"/>
        </w:rPr>
        <w:t>’</w:t>
      </w:r>
      <w:r>
        <w:rPr>
          <w:lang w:val="fr-FR"/>
        </w:rPr>
        <w:t>annexe a été mise à jour pour tenir compte de la série 02 d</w:t>
      </w:r>
      <w:r w:rsidR="004B49A6">
        <w:rPr>
          <w:lang w:val="fr-FR"/>
        </w:rPr>
        <w:t>’</w:t>
      </w:r>
      <w:r>
        <w:rPr>
          <w:lang w:val="fr-FR"/>
        </w:rPr>
        <w:t>amendements.</w:t>
      </w:r>
    </w:p>
    <w:p w14:paraId="0957489B" w14:textId="77777777" w:rsidR="0083199D" w:rsidRPr="001B10CE" w:rsidRDefault="0083199D" w:rsidP="007538CA">
      <w:pPr>
        <w:pStyle w:val="SingleTxtG"/>
        <w:rPr>
          <w:rFonts w:eastAsia="SimSun"/>
        </w:rPr>
      </w:pPr>
      <w:r>
        <w:rPr>
          <w:lang w:val="fr-FR"/>
        </w:rPr>
        <w:t>17.</w:t>
      </w:r>
      <w:r>
        <w:rPr>
          <w:lang w:val="fr-FR"/>
        </w:rPr>
        <w:tab/>
        <w:t>Annexe 5 : un modèle de fiche de renseignements applicable aux indicateurs de vitesse et aux compteurs kilométriques a été créé.</w:t>
      </w:r>
    </w:p>
    <w:p w14:paraId="748928E3" w14:textId="77777777" w:rsidR="0083199D" w:rsidRPr="00880EF4" w:rsidRDefault="0083199D" w:rsidP="00880EF4">
      <w:pPr>
        <w:pStyle w:val="H1G"/>
      </w:pPr>
      <w:r>
        <w:rPr>
          <w:lang w:val="fr-FR"/>
        </w:rPr>
        <w:tab/>
        <w:t>C.</w:t>
      </w:r>
      <w:r>
        <w:rPr>
          <w:lang w:val="fr-FR"/>
        </w:rPr>
        <w:tab/>
        <w:t>Précision</w:t>
      </w:r>
    </w:p>
    <w:p w14:paraId="4CF290B6" w14:textId="604E8033" w:rsidR="0083199D" w:rsidRPr="001B10CE" w:rsidRDefault="0083199D" w:rsidP="007538CA">
      <w:pPr>
        <w:pStyle w:val="SingleTxtG"/>
        <w:rPr>
          <w:rFonts w:eastAsia="SimSun"/>
        </w:rPr>
      </w:pPr>
      <w:r>
        <w:rPr>
          <w:lang w:val="fr-FR"/>
        </w:rPr>
        <w:t>18.</w:t>
      </w:r>
      <w:r>
        <w:rPr>
          <w:lang w:val="fr-FR"/>
        </w:rPr>
        <w:tab/>
        <w:t>Paragraphes 5.7 et 5.8 : ces paragraphes définissent les prescriptions relatives à la précision. Le paragraphe 5.8 précise l</w:t>
      </w:r>
      <w:r w:rsidR="004B49A6">
        <w:rPr>
          <w:lang w:val="fr-FR"/>
        </w:rPr>
        <w:t>’</w:t>
      </w:r>
      <w:r>
        <w:rPr>
          <w:lang w:val="fr-FR"/>
        </w:rPr>
        <w:t>écart maximal admis entre le kilométrage affiché par le compteur kilométrique et la distance réelle parcourue par le véhicule au cours de la procédure d</w:t>
      </w:r>
      <w:r w:rsidR="004B49A6">
        <w:rPr>
          <w:lang w:val="fr-FR"/>
        </w:rPr>
        <w:t>’</w:t>
      </w:r>
      <w:r>
        <w:rPr>
          <w:lang w:val="fr-FR"/>
        </w:rPr>
        <w:t>essai d</w:t>
      </w:r>
      <w:r w:rsidR="004B49A6">
        <w:rPr>
          <w:lang w:val="fr-FR"/>
        </w:rPr>
        <w:t>’</w:t>
      </w:r>
      <w:r>
        <w:rPr>
          <w:lang w:val="fr-FR"/>
        </w:rPr>
        <w:t>homologation de type prescrite à l</w:t>
      </w:r>
      <w:r w:rsidR="004B49A6">
        <w:rPr>
          <w:lang w:val="fr-FR"/>
        </w:rPr>
        <w:t>’</w:t>
      </w:r>
      <w:r>
        <w:rPr>
          <w:lang w:val="fr-FR"/>
        </w:rPr>
        <w:t>annexe 4. La marge de tolérance admise (</w:t>
      </w:r>
      <w:r w:rsidR="00E504E4">
        <w:rPr>
          <w:lang w:val="fr-FR"/>
        </w:rPr>
        <w:sym w:font="Symbol" w:char="F0B1"/>
      </w:r>
      <w:r>
        <w:rPr>
          <w:lang w:val="fr-FR"/>
        </w:rPr>
        <w:t>2,5/4,0/5,0</w:t>
      </w:r>
      <w:r w:rsidR="00880EF4">
        <w:rPr>
          <w:lang w:val="fr-FR"/>
        </w:rPr>
        <w:t> </w:t>
      </w:r>
      <w:r>
        <w:rPr>
          <w:lang w:val="fr-FR"/>
        </w:rPr>
        <w:t>% ou autre) est encore à l</w:t>
      </w:r>
      <w:r w:rsidR="004B49A6">
        <w:rPr>
          <w:lang w:val="fr-FR"/>
        </w:rPr>
        <w:t>’</w:t>
      </w:r>
      <w:r>
        <w:rPr>
          <w:lang w:val="fr-FR"/>
        </w:rPr>
        <w:t>examen.</w:t>
      </w:r>
    </w:p>
    <w:p w14:paraId="10A686E3" w14:textId="3E990470" w:rsidR="0083199D" w:rsidRDefault="0083199D" w:rsidP="007538CA">
      <w:pPr>
        <w:pStyle w:val="SingleTxtG"/>
        <w:rPr>
          <w:lang w:val="fr-FR"/>
        </w:rPr>
      </w:pPr>
      <w:r>
        <w:rPr>
          <w:lang w:val="fr-FR"/>
        </w:rPr>
        <w:t>19.</w:t>
      </w:r>
      <w:r>
        <w:rPr>
          <w:lang w:val="fr-FR"/>
        </w:rPr>
        <w:tab/>
      </w:r>
      <w:r w:rsidRPr="00086337">
        <w:rPr>
          <w:lang w:val="fr-FR"/>
        </w:rPr>
        <w:t>L</w:t>
      </w:r>
      <w:r w:rsidR="004B49A6">
        <w:rPr>
          <w:lang w:val="fr-FR"/>
        </w:rPr>
        <w:t>’</w:t>
      </w:r>
      <w:r>
        <w:rPr>
          <w:lang w:val="fr-FR"/>
        </w:rPr>
        <w:t>é</w:t>
      </w:r>
      <w:r w:rsidRPr="00086337">
        <w:rPr>
          <w:lang w:val="fr-FR"/>
        </w:rPr>
        <w:t xml:space="preserve">quipe spéciale a </w:t>
      </w:r>
      <w:r>
        <w:rPr>
          <w:lang w:val="fr-FR"/>
        </w:rPr>
        <w:t>tenu compte du fait que, dans</w:t>
      </w:r>
      <w:r w:rsidRPr="00086337">
        <w:rPr>
          <w:lang w:val="fr-FR"/>
        </w:rPr>
        <w:t xml:space="preserve"> la norme SAE J2976 (mai 2022), il est recommandé d</w:t>
      </w:r>
      <w:r w:rsidR="004B49A6">
        <w:rPr>
          <w:lang w:val="fr-FR"/>
        </w:rPr>
        <w:t>’</w:t>
      </w:r>
      <w:r w:rsidRPr="00086337">
        <w:rPr>
          <w:lang w:val="fr-FR"/>
        </w:rPr>
        <w:t xml:space="preserve">appliquer une tolérance de </w:t>
      </w:r>
      <w:r w:rsidR="00E504E4">
        <w:rPr>
          <w:lang w:val="fr-FR"/>
        </w:rPr>
        <w:sym w:font="Symbol" w:char="F0B1"/>
      </w:r>
      <w:r w:rsidRPr="00086337">
        <w:rPr>
          <w:lang w:val="fr-FR"/>
        </w:rPr>
        <w:t>2,5</w:t>
      </w:r>
      <w:r w:rsidR="00E504E4">
        <w:rPr>
          <w:lang w:val="fr-FR"/>
        </w:rPr>
        <w:t> </w:t>
      </w:r>
      <w:r w:rsidRPr="00086337">
        <w:rPr>
          <w:lang w:val="fr-FR"/>
        </w:rPr>
        <w:t xml:space="preserve">% </w:t>
      </w:r>
      <w:r>
        <w:rPr>
          <w:lang w:val="fr-FR"/>
        </w:rPr>
        <w:t>fondée sur</w:t>
      </w:r>
      <w:r w:rsidRPr="00086337">
        <w:rPr>
          <w:lang w:val="fr-FR"/>
        </w:rPr>
        <w:t xml:space="preserve"> la tolérance admise pour les pneus, </w:t>
      </w:r>
      <w:r>
        <w:rPr>
          <w:lang w:val="fr-FR"/>
        </w:rPr>
        <w:t>que l</w:t>
      </w:r>
      <w:r w:rsidRPr="00086337">
        <w:rPr>
          <w:lang w:val="fr-FR"/>
        </w:rPr>
        <w:t xml:space="preserve">es Parties contractantes demandent </w:t>
      </w:r>
      <w:r>
        <w:rPr>
          <w:lang w:val="fr-FR"/>
        </w:rPr>
        <w:t xml:space="preserve">pour la plupart </w:t>
      </w:r>
      <w:r w:rsidRPr="00086337">
        <w:rPr>
          <w:lang w:val="fr-FR"/>
        </w:rPr>
        <w:t xml:space="preserve">une tolérance de </w:t>
      </w:r>
      <w:r w:rsidR="00E504E4">
        <w:rPr>
          <w:lang w:val="fr-FR"/>
        </w:rPr>
        <w:sym w:font="Symbol" w:char="F0B1"/>
      </w:r>
      <w:r w:rsidRPr="00086337">
        <w:rPr>
          <w:lang w:val="fr-FR"/>
        </w:rPr>
        <w:t>2,5</w:t>
      </w:r>
      <w:r w:rsidR="00E504E4">
        <w:rPr>
          <w:lang w:val="fr-FR"/>
        </w:rPr>
        <w:t> </w:t>
      </w:r>
      <w:r w:rsidRPr="00086337">
        <w:rPr>
          <w:lang w:val="fr-FR"/>
        </w:rPr>
        <w:t xml:space="preserve">%, et </w:t>
      </w:r>
      <w:r>
        <w:rPr>
          <w:lang w:val="fr-FR"/>
        </w:rPr>
        <w:t>que</w:t>
      </w:r>
      <w:r w:rsidRPr="00086337">
        <w:rPr>
          <w:lang w:val="fr-FR"/>
        </w:rPr>
        <w:t xml:space="preserve"> l</w:t>
      </w:r>
      <w:r w:rsidR="004B49A6">
        <w:rPr>
          <w:lang w:val="fr-FR"/>
        </w:rPr>
        <w:t>’</w:t>
      </w:r>
      <w:r w:rsidRPr="00086337">
        <w:rPr>
          <w:lang w:val="fr-FR"/>
        </w:rPr>
        <w:t xml:space="preserve">OICA recommande une tolérance </w:t>
      </w:r>
      <w:r>
        <w:rPr>
          <w:lang w:val="fr-FR"/>
        </w:rPr>
        <w:t xml:space="preserve">de </w:t>
      </w:r>
      <w:r w:rsidR="00E504E4">
        <w:rPr>
          <w:lang w:val="fr-FR"/>
        </w:rPr>
        <w:sym w:font="Symbol" w:char="F0B1"/>
      </w:r>
      <w:r w:rsidRPr="00086337">
        <w:rPr>
          <w:lang w:val="fr-FR"/>
        </w:rPr>
        <w:t>5</w:t>
      </w:r>
      <w:r w:rsidR="00E504E4">
        <w:rPr>
          <w:lang w:val="fr-FR"/>
        </w:rPr>
        <w:t> </w:t>
      </w:r>
      <w:r w:rsidRPr="00086337">
        <w:rPr>
          <w:lang w:val="fr-FR"/>
        </w:rPr>
        <w:t>%, tel qu</w:t>
      </w:r>
      <w:r w:rsidR="004B49A6">
        <w:rPr>
          <w:lang w:val="fr-FR"/>
        </w:rPr>
        <w:t>’</w:t>
      </w:r>
      <w:r w:rsidRPr="00086337">
        <w:rPr>
          <w:lang w:val="fr-FR"/>
        </w:rPr>
        <w:t>expliqué dans le document TF</w:t>
      </w:r>
      <w:r w:rsidR="007538CA">
        <w:rPr>
          <w:lang w:val="fr-FR"/>
        </w:rPr>
        <w:noBreakHyphen/>
      </w:r>
      <w:r w:rsidRPr="00086337">
        <w:rPr>
          <w:lang w:val="fr-FR"/>
        </w:rPr>
        <w:t>R39MV-06-04</w:t>
      </w:r>
      <w:r>
        <w:rPr>
          <w:lang w:val="fr-FR"/>
        </w:rPr>
        <w:t>.</w:t>
      </w:r>
    </w:p>
    <w:p w14:paraId="5F91741A" w14:textId="223013DF" w:rsidR="0083199D" w:rsidRPr="001B10CE" w:rsidRDefault="0083199D" w:rsidP="007538CA">
      <w:pPr>
        <w:pStyle w:val="SingleTxtG"/>
        <w:rPr>
          <w:rFonts w:eastAsia="SimSun"/>
        </w:rPr>
      </w:pPr>
      <w:r>
        <w:rPr>
          <w:lang w:val="fr-FR"/>
        </w:rPr>
        <w:t>20.</w:t>
      </w:r>
      <w:r>
        <w:rPr>
          <w:lang w:val="fr-FR"/>
        </w:rPr>
        <w:tab/>
      </w:r>
      <w:r w:rsidRPr="00E43DB2">
        <w:rPr>
          <w:lang w:val="fr-FR"/>
        </w:rPr>
        <w:t xml:space="preserve">La marge de tolérance requise </w:t>
      </w:r>
      <w:r>
        <w:rPr>
          <w:lang w:val="fr-FR"/>
        </w:rPr>
        <w:t>entre dans le cadre</w:t>
      </w:r>
      <w:r w:rsidRPr="00E43DB2">
        <w:rPr>
          <w:lang w:val="fr-FR"/>
        </w:rPr>
        <w:t xml:space="preserve"> de l</w:t>
      </w:r>
      <w:r w:rsidR="004B49A6">
        <w:rPr>
          <w:lang w:val="fr-FR"/>
        </w:rPr>
        <w:t>’</w:t>
      </w:r>
      <w:r w:rsidRPr="00E43DB2">
        <w:rPr>
          <w:lang w:val="fr-FR"/>
        </w:rPr>
        <w:t>homologation de type telle qu</w:t>
      </w:r>
      <w:r w:rsidR="004B49A6">
        <w:rPr>
          <w:lang w:val="fr-FR"/>
        </w:rPr>
        <w:t>’</w:t>
      </w:r>
      <w:r w:rsidRPr="00E43DB2">
        <w:rPr>
          <w:lang w:val="fr-FR"/>
        </w:rPr>
        <w:t>établie par la procédure d</w:t>
      </w:r>
      <w:r w:rsidR="004B49A6">
        <w:rPr>
          <w:lang w:val="fr-FR"/>
        </w:rPr>
        <w:t>’</w:t>
      </w:r>
      <w:r w:rsidRPr="00E43DB2">
        <w:rPr>
          <w:lang w:val="fr-FR"/>
        </w:rPr>
        <w:t>homologation de type prescrite à l</w:t>
      </w:r>
      <w:r w:rsidR="004B49A6">
        <w:rPr>
          <w:lang w:val="fr-FR"/>
        </w:rPr>
        <w:t>’</w:t>
      </w:r>
      <w:r w:rsidRPr="00E43DB2">
        <w:rPr>
          <w:lang w:val="fr-FR"/>
        </w:rPr>
        <w:t>annexe 4 et ne s</w:t>
      </w:r>
      <w:r w:rsidR="004B49A6">
        <w:rPr>
          <w:lang w:val="fr-FR"/>
        </w:rPr>
        <w:t>’</w:t>
      </w:r>
      <w:r w:rsidRPr="00E43DB2">
        <w:rPr>
          <w:lang w:val="fr-FR"/>
        </w:rPr>
        <w:t>applique pas à des situations réelles, par exemple à la circulation des véhicules sur route.</w:t>
      </w:r>
    </w:p>
    <w:p w14:paraId="6A1FE7C7" w14:textId="59089C54" w:rsidR="0083199D" w:rsidRDefault="0083199D" w:rsidP="007538CA">
      <w:pPr>
        <w:pStyle w:val="SingleTxtG"/>
        <w:rPr>
          <w:lang w:val="fr-FR"/>
        </w:rPr>
      </w:pPr>
      <w:r>
        <w:rPr>
          <w:lang w:val="fr-FR"/>
        </w:rPr>
        <w:lastRenderedPageBreak/>
        <w:t>21.</w:t>
      </w:r>
      <w:r>
        <w:rPr>
          <w:lang w:val="fr-FR"/>
        </w:rPr>
        <w:tab/>
        <w:t>Paragraphe 5.9 : les différentes données kilométriques sont souvent stockées à différents endroits (modules de gestion électronique) du véhicule. Les données qui peuvent être récupérées par l</w:t>
      </w:r>
      <w:r w:rsidR="004B49A6">
        <w:rPr>
          <w:lang w:val="fr-FR"/>
        </w:rPr>
        <w:t>’</w:t>
      </w:r>
      <w:r>
        <w:rPr>
          <w:lang w:val="fr-FR"/>
        </w:rPr>
        <w:t>intermédiaire du port série du connecteur de diagnostic normalisé doivent correspondre à la valeur arrondie du kilométrage affichée par le compteur kilométrique.</w:t>
      </w:r>
    </w:p>
    <w:p w14:paraId="650BB16E" w14:textId="682510F9" w:rsidR="0083199D" w:rsidRDefault="0083199D" w:rsidP="007538CA">
      <w:pPr>
        <w:pStyle w:val="SingleTxtG"/>
        <w:rPr>
          <w:lang w:val="fr-FR"/>
        </w:rPr>
      </w:pPr>
      <w:r>
        <w:rPr>
          <w:lang w:val="fr-FR"/>
        </w:rPr>
        <w:t>22.</w:t>
      </w:r>
      <w:r>
        <w:rPr>
          <w:lang w:val="fr-FR"/>
        </w:rPr>
        <w:tab/>
        <w:t>L</w:t>
      </w:r>
      <w:r w:rsidR="004B49A6">
        <w:rPr>
          <w:lang w:val="fr-FR"/>
        </w:rPr>
        <w:t>’</w:t>
      </w:r>
      <w:r>
        <w:rPr>
          <w:lang w:val="fr-FR"/>
        </w:rPr>
        <w:t>annexe 4 décrit la procédure d</w:t>
      </w:r>
      <w:r w:rsidR="004B49A6">
        <w:rPr>
          <w:lang w:val="fr-FR"/>
        </w:rPr>
        <w:t>’</w:t>
      </w:r>
      <w:r>
        <w:rPr>
          <w:lang w:val="fr-FR"/>
        </w:rPr>
        <w:t>homologation de type permettant de mesurer la précision du compteur kilométrique. Il s</w:t>
      </w:r>
      <w:r w:rsidR="004B49A6">
        <w:rPr>
          <w:lang w:val="fr-FR"/>
        </w:rPr>
        <w:t>’</w:t>
      </w:r>
      <w:r>
        <w:rPr>
          <w:lang w:val="fr-FR"/>
        </w:rPr>
        <w:t>agit d</w:t>
      </w:r>
      <w:r w:rsidR="004B49A6">
        <w:rPr>
          <w:lang w:val="fr-FR"/>
        </w:rPr>
        <w:t>’</w:t>
      </w:r>
      <w:r>
        <w:rPr>
          <w:lang w:val="fr-FR"/>
        </w:rPr>
        <w:t xml:space="preserve">une procédure simple et </w:t>
      </w:r>
      <w:r w:rsidRPr="009022D1">
        <w:rPr>
          <w:lang w:val="fr-FR"/>
        </w:rPr>
        <w:t>efficace qui peut être réalisée sur une piste d</w:t>
      </w:r>
      <w:r w:rsidR="004B49A6">
        <w:rPr>
          <w:lang w:val="fr-FR"/>
        </w:rPr>
        <w:t>’</w:t>
      </w:r>
      <w:r w:rsidRPr="009022D1">
        <w:rPr>
          <w:lang w:val="fr-FR"/>
        </w:rPr>
        <w:t>essai ou un banc dynamométrique à rouleaux et qui peut éventuellement être combinée avec l</w:t>
      </w:r>
      <w:r w:rsidR="004B49A6">
        <w:rPr>
          <w:lang w:val="fr-FR"/>
        </w:rPr>
        <w:t>’</w:t>
      </w:r>
      <w:r w:rsidRPr="009022D1">
        <w:rPr>
          <w:lang w:val="fr-FR"/>
        </w:rPr>
        <w:t>essai de l</w:t>
      </w:r>
      <w:r w:rsidR="004B49A6">
        <w:rPr>
          <w:lang w:val="fr-FR"/>
        </w:rPr>
        <w:t>’</w:t>
      </w:r>
      <w:r w:rsidRPr="009022D1">
        <w:rPr>
          <w:lang w:val="fr-FR"/>
        </w:rPr>
        <w:t>indicateur de vitesse. L</w:t>
      </w:r>
      <w:r w:rsidR="004B49A6">
        <w:rPr>
          <w:lang w:val="fr-FR"/>
        </w:rPr>
        <w:t>’</w:t>
      </w:r>
      <w:r w:rsidRPr="009022D1">
        <w:rPr>
          <w:lang w:val="fr-FR"/>
        </w:rPr>
        <w:t>annexe 4 prévoit la possibilité d</w:t>
      </w:r>
      <w:r w:rsidR="004B49A6">
        <w:rPr>
          <w:lang w:val="fr-FR"/>
        </w:rPr>
        <w:t>’</w:t>
      </w:r>
      <w:r>
        <w:rPr>
          <w:lang w:val="fr-FR"/>
        </w:rPr>
        <w:t>avoir recours à d</w:t>
      </w:r>
      <w:r w:rsidR="004B49A6">
        <w:rPr>
          <w:lang w:val="fr-FR"/>
        </w:rPr>
        <w:t>’</w:t>
      </w:r>
      <w:r w:rsidRPr="009022D1">
        <w:rPr>
          <w:lang w:val="fr-FR"/>
        </w:rPr>
        <w:t>autres procédures d</w:t>
      </w:r>
      <w:r w:rsidR="004B49A6">
        <w:rPr>
          <w:lang w:val="fr-FR"/>
        </w:rPr>
        <w:t>’</w:t>
      </w:r>
      <w:r w:rsidRPr="009022D1">
        <w:rPr>
          <w:lang w:val="fr-FR"/>
        </w:rPr>
        <w:t>essai (en accord avec le service technique</w:t>
      </w:r>
      <w:r>
        <w:rPr>
          <w:lang w:val="fr-FR"/>
        </w:rPr>
        <w:t xml:space="preserve"> et l</w:t>
      </w:r>
      <w:r w:rsidR="004B49A6">
        <w:rPr>
          <w:lang w:val="fr-FR"/>
        </w:rPr>
        <w:t>’</w:t>
      </w:r>
      <w:r>
        <w:rPr>
          <w:lang w:val="fr-FR"/>
        </w:rPr>
        <w:t>autorité d</w:t>
      </w:r>
      <w:r w:rsidR="004B49A6">
        <w:rPr>
          <w:lang w:val="fr-FR"/>
        </w:rPr>
        <w:t>’</w:t>
      </w:r>
      <w:r>
        <w:rPr>
          <w:lang w:val="fr-FR"/>
        </w:rPr>
        <w:t>homologation de type) à condition qu</w:t>
      </w:r>
      <w:r w:rsidR="004B49A6">
        <w:rPr>
          <w:lang w:val="fr-FR"/>
        </w:rPr>
        <w:t>’</w:t>
      </w:r>
      <w:r>
        <w:rPr>
          <w:lang w:val="fr-FR"/>
        </w:rPr>
        <w:t>elles offrent au moins le même niveau de précision. Des essais ont été réalisés pour confirmer la faisabilité de la procédure décrite et des améliorations mineures ont été apportées à la lumière de l</w:t>
      </w:r>
      <w:r w:rsidR="004B49A6">
        <w:rPr>
          <w:lang w:val="fr-FR"/>
        </w:rPr>
        <w:t>’</w:t>
      </w:r>
      <w:r>
        <w:rPr>
          <w:lang w:val="fr-FR"/>
        </w:rPr>
        <w:t>expérience tirée de ces essais (document TF-R39MV-07-03).</w:t>
      </w:r>
    </w:p>
    <w:p w14:paraId="0CA2B7A2" w14:textId="77777777" w:rsidR="0083199D" w:rsidRPr="001B10CE" w:rsidRDefault="0083199D" w:rsidP="007538CA">
      <w:pPr>
        <w:pStyle w:val="H1G"/>
        <w:rPr>
          <w:sz w:val="22"/>
          <w:szCs w:val="22"/>
        </w:rPr>
      </w:pPr>
      <w:r>
        <w:rPr>
          <w:lang w:val="fr-FR"/>
        </w:rPr>
        <w:tab/>
        <w:t>D.</w:t>
      </w:r>
      <w:r>
        <w:rPr>
          <w:lang w:val="fr-FR"/>
        </w:rPr>
        <w:tab/>
        <w:t>Lutte contre la falsification et gestion de la sécurité</w:t>
      </w:r>
    </w:p>
    <w:p w14:paraId="596B8031" w14:textId="776E6E16" w:rsidR="0083199D" w:rsidRPr="001B10CE" w:rsidRDefault="0083199D" w:rsidP="0083199D">
      <w:pPr>
        <w:spacing w:before="240" w:after="120"/>
        <w:ind w:left="1134" w:right="1134"/>
        <w:jc w:val="both"/>
        <w:rPr>
          <w:rFonts w:eastAsia="SimSun"/>
        </w:rPr>
      </w:pPr>
      <w:r>
        <w:rPr>
          <w:lang w:val="fr-FR"/>
        </w:rPr>
        <w:t>23.</w:t>
      </w:r>
      <w:r>
        <w:rPr>
          <w:lang w:val="fr-FR"/>
        </w:rPr>
        <w:tab/>
        <w:t xml:space="preserve">Paragraphe 5.12 : il doit être impossible de falsifier les valeurs des compteurs kilométriques. Cette condition est réputée remplie lorsque le système de gestion relatif à la cybersécurité dont dispose le constructeur est conforme aux prescriptions pertinentes du Règlement ONU </w:t>
      </w:r>
      <w:r w:rsidR="00E504E4" w:rsidRPr="00E504E4">
        <w:rPr>
          <w:rFonts w:eastAsia="MS Mincho"/>
          <w:szCs w:val="22"/>
          <w:lang w:val="fr-FR"/>
        </w:rPr>
        <w:t>n</w:t>
      </w:r>
      <w:r w:rsidR="00E504E4" w:rsidRPr="00E504E4">
        <w:rPr>
          <w:rFonts w:eastAsia="MS Mincho"/>
          <w:szCs w:val="22"/>
          <w:vertAlign w:val="superscript"/>
          <w:lang w:val="fr-FR"/>
        </w:rPr>
        <w:t>o</w:t>
      </w:r>
      <w:r w:rsidR="00E504E4">
        <w:rPr>
          <w:lang w:val="fr-FR"/>
        </w:rPr>
        <w:t> </w:t>
      </w:r>
      <w:r>
        <w:rPr>
          <w:lang w:val="fr-FR"/>
        </w:rPr>
        <w:t xml:space="preserve">155 et lorsque le type de véhicule est conforme aux prescriptions techniques pertinentes dudit Règlement. </w:t>
      </w:r>
      <w:r w:rsidRPr="002D7BF6">
        <w:rPr>
          <w:lang w:val="fr-FR"/>
        </w:rPr>
        <w:t>D</w:t>
      </w:r>
      <w:r w:rsidR="004B49A6">
        <w:rPr>
          <w:lang w:val="fr-FR"/>
        </w:rPr>
        <w:t>’</w:t>
      </w:r>
      <w:r w:rsidRPr="002D7BF6">
        <w:rPr>
          <w:lang w:val="fr-FR"/>
        </w:rPr>
        <w:t xml:space="preserve">autres solutions sont </w:t>
      </w:r>
      <w:r>
        <w:rPr>
          <w:lang w:val="fr-FR"/>
        </w:rPr>
        <w:t>autorisées</w:t>
      </w:r>
      <w:r w:rsidRPr="002D7BF6">
        <w:rPr>
          <w:lang w:val="fr-FR"/>
        </w:rPr>
        <w:t xml:space="preserve"> pour les véhicules non homologués au titre du Règlement ONU </w:t>
      </w:r>
      <w:r w:rsidR="00E504E4" w:rsidRPr="00E504E4">
        <w:rPr>
          <w:rFonts w:eastAsia="MS Mincho"/>
          <w:szCs w:val="22"/>
          <w:lang w:val="fr-FR"/>
        </w:rPr>
        <w:t>n</w:t>
      </w:r>
      <w:r w:rsidR="00E504E4" w:rsidRPr="00E504E4">
        <w:rPr>
          <w:rFonts w:eastAsia="MS Mincho"/>
          <w:szCs w:val="22"/>
          <w:vertAlign w:val="superscript"/>
          <w:lang w:val="fr-FR"/>
        </w:rPr>
        <w:t>o</w:t>
      </w:r>
      <w:r w:rsidR="00E504E4">
        <w:rPr>
          <w:lang w:val="fr-FR"/>
        </w:rPr>
        <w:t> </w:t>
      </w:r>
      <w:r w:rsidRPr="002D7BF6">
        <w:rPr>
          <w:lang w:val="fr-FR"/>
        </w:rPr>
        <w:t>155 et pour les Parties contractantes qui n</w:t>
      </w:r>
      <w:r w:rsidR="004B49A6">
        <w:rPr>
          <w:lang w:val="fr-FR"/>
        </w:rPr>
        <w:t>’</w:t>
      </w:r>
      <w:r w:rsidRPr="002D7BF6">
        <w:rPr>
          <w:lang w:val="fr-FR"/>
        </w:rPr>
        <w:t>appliquent pas ledit Règlement.</w:t>
      </w:r>
    </w:p>
    <w:p w14:paraId="0C21B670" w14:textId="62823861" w:rsidR="0083199D" w:rsidRPr="00E504E4" w:rsidRDefault="0083199D" w:rsidP="0083199D">
      <w:pPr>
        <w:pStyle w:val="para"/>
        <w:ind w:left="1134" w:firstLine="0"/>
      </w:pPr>
      <w:r>
        <w:t>24.</w:t>
      </w:r>
      <w:r>
        <w:tab/>
        <w:t xml:space="preserve">Des </w:t>
      </w:r>
      <w:r w:rsidRPr="0018684F">
        <w:t>experts en cybersécurité</w:t>
      </w:r>
      <w:r>
        <w:t xml:space="preserve"> ont contribué à formuler ce paragraphe de façon à adapter au mieux l</w:t>
      </w:r>
      <w:r w:rsidR="004B49A6">
        <w:t>’</w:t>
      </w:r>
      <w:r>
        <w:t>application des dispositions a</w:t>
      </w:r>
      <w:r w:rsidRPr="0018684F">
        <w:t>u traitement des valeurs kilométriques.</w:t>
      </w:r>
    </w:p>
    <w:p w14:paraId="0460A9FA" w14:textId="37EAA6C4" w:rsidR="0083199D" w:rsidRPr="001B10CE" w:rsidRDefault="0083199D" w:rsidP="007538CA">
      <w:pPr>
        <w:pStyle w:val="SingleTxtG"/>
        <w:rPr>
          <w:rFonts w:eastAsia="SimSun"/>
        </w:rPr>
      </w:pPr>
      <w:r>
        <w:rPr>
          <w:lang w:val="fr-FR"/>
        </w:rPr>
        <w:t>25.</w:t>
      </w:r>
      <w:r>
        <w:rPr>
          <w:lang w:val="fr-FR"/>
        </w:rPr>
        <w:tab/>
        <w:t>L</w:t>
      </w:r>
      <w:r w:rsidR="004B49A6">
        <w:rPr>
          <w:lang w:val="fr-FR"/>
        </w:rPr>
        <w:t>’</w:t>
      </w:r>
      <w:r>
        <w:rPr>
          <w:lang w:val="fr-FR"/>
        </w:rPr>
        <w:t>équipe spéciale était d</w:t>
      </w:r>
      <w:r w:rsidR="004B49A6">
        <w:rPr>
          <w:lang w:val="fr-FR"/>
        </w:rPr>
        <w:t>’</w:t>
      </w:r>
      <w:r>
        <w:rPr>
          <w:lang w:val="fr-FR"/>
        </w:rPr>
        <w:t>accord dans l</w:t>
      </w:r>
      <w:r w:rsidR="004B49A6">
        <w:rPr>
          <w:lang w:val="fr-FR"/>
        </w:rPr>
        <w:t>’</w:t>
      </w:r>
      <w:r>
        <w:rPr>
          <w:lang w:val="fr-FR"/>
        </w:rPr>
        <w:t>ensemble, mais considérait qu</w:t>
      </w:r>
      <w:r w:rsidR="004B49A6">
        <w:rPr>
          <w:lang w:val="fr-FR"/>
        </w:rPr>
        <w:t>’</w:t>
      </w:r>
      <w:r>
        <w:rPr>
          <w:lang w:val="fr-FR"/>
        </w:rPr>
        <w:t>il fallait améliorer le libellé du point a).</w:t>
      </w:r>
    </w:p>
    <w:p w14:paraId="0B6593A5" w14:textId="77777777" w:rsidR="0083199D" w:rsidRPr="001B10CE" w:rsidRDefault="0083199D" w:rsidP="007538CA">
      <w:pPr>
        <w:pStyle w:val="H1G"/>
        <w:rPr>
          <w:sz w:val="22"/>
          <w:szCs w:val="22"/>
        </w:rPr>
      </w:pPr>
      <w:r>
        <w:rPr>
          <w:lang w:val="fr-FR"/>
        </w:rPr>
        <w:tab/>
        <w:t>E.</w:t>
      </w:r>
      <w:r>
        <w:rPr>
          <w:lang w:val="fr-FR"/>
        </w:rPr>
        <w:tab/>
        <w:t>Paragraphe 5.1</w:t>
      </w:r>
    </w:p>
    <w:p w14:paraId="52DDE0C8" w14:textId="2040422F" w:rsidR="0083199D" w:rsidRPr="001B10CE" w:rsidRDefault="0083199D" w:rsidP="007538CA">
      <w:pPr>
        <w:pStyle w:val="SingleTxtG"/>
        <w:rPr>
          <w:rFonts w:eastAsia="SimSun"/>
        </w:rPr>
      </w:pPr>
      <w:r>
        <w:rPr>
          <w:lang w:val="fr-FR"/>
        </w:rPr>
        <w:t>26.</w:t>
      </w:r>
      <w:r>
        <w:rPr>
          <w:lang w:val="fr-FR"/>
        </w:rPr>
        <w:tab/>
        <w:t>La présente proposition vise à inclure la modification proposée dans le document informel GRSG-127-06 pour donner suite à la décision prise par le GRSG à sa 127</w:t>
      </w:r>
      <w:r w:rsidR="00E504E4">
        <w:rPr>
          <w:vertAlign w:val="superscript"/>
          <w:lang w:val="fr-FR"/>
        </w:rPr>
        <w:t>e</w:t>
      </w:r>
      <w:r>
        <w:rPr>
          <w:lang w:val="fr-FR"/>
        </w:rPr>
        <w:t xml:space="preserve"> session, qui s</w:t>
      </w:r>
      <w:r w:rsidR="004B49A6">
        <w:rPr>
          <w:lang w:val="fr-FR"/>
        </w:rPr>
        <w:t>’</w:t>
      </w:r>
      <w:r>
        <w:rPr>
          <w:lang w:val="fr-FR"/>
        </w:rPr>
        <w:t>est tenue du 15 au 19 avril 2024 (ECE/TRANS/WP.29/GRSG/106, par. 23 et 24 : « Le</w:t>
      </w:r>
      <w:r w:rsidR="00E504E4">
        <w:rPr>
          <w:lang w:val="fr-FR"/>
        </w:rPr>
        <w:t> </w:t>
      </w:r>
      <w:r>
        <w:rPr>
          <w:lang w:val="fr-FR"/>
        </w:rPr>
        <w:t>GRSG a décidé de reprendre l</w:t>
      </w:r>
      <w:r w:rsidR="004B49A6">
        <w:rPr>
          <w:lang w:val="fr-FR"/>
        </w:rPr>
        <w:t>’</w:t>
      </w:r>
      <w:r>
        <w:rPr>
          <w:lang w:val="fr-FR"/>
        </w:rPr>
        <w:t>examen de cette question sur la base d</w:t>
      </w:r>
      <w:r w:rsidR="004B49A6">
        <w:rPr>
          <w:lang w:val="fr-FR"/>
        </w:rPr>
        <w:t>’</w:t>
      </w:r>
      <w:r>
        <w:rPr>
          <w:lang w:val="fr-FR"/>
        </w:rPr>
        <w:t>une nouvelle proposition qui serait soumise par l</w:t>
      </w:r>
      <w:r w:rsidR="004B49A6">
        <w:rPr>
          <w:lang w:val="fr-FR"/>
        </w:rPr>
        <w:t>’</w:t>
      </w:r>
      <w:r>
        <w:rPr>
          <w:lang w:val="fr-FR"/>
        </w:rPr>
        <w:t>équipe spéciale et tiendrait compte des observations formulées et du document informel GRSG-127-06 »).</w:t>
      </w:r>
    </w:p>
    <w:p w14:paraId="29F527F8" w14:textId="0915D40E" w:rsidR="0083199D" w:rsidRDefault="0083199D" w:rsidP="007538CA">
      <w:pPr>
        <w:pStyle w:val="SingleTxtG"/>
      </w:pPr>
      <w:r>
        <w:t>27.</w:t>
      </w:r>
      <w:r>
        <w:tab/>
        <w:t>L</w:t>
      </w:r>
      <w:r w:rsidR="004B49A6">
        <w:t>’</w:t>
      </w:r>
      <w:r>
        <w:t>équipe spéciale s</w:t>
      </w:r>
      <w:r w:rsidR="004B49A6">
        <w:t>’</w:t>
      </w:r>
      <w:r>
        <w:t xml:space="preserve">est demandé si le contenu du document informel GRSG-127-06 pourrait </w:t>
      </w:r>
      <w:r w:rsidRPr="00647505">
        <w:t>entrer en conflit</w:t>
      </w:r>
      <w:r>
        <w:t xml:space="preserve"> avec les prescriptions en cours d</w:t>
      </w:r>
      <w:r w:rsidR="004B49A6">
        <w:t>’</w:t>
      </w:r>
      <w:r>
        <w:t>élaboration</w:t>
      </w:r>
      <w:r w:rsidRPr="00647505">
        <w:t>. La</w:t>
      </w:r>
      <w:r>
        <w:t xml:space="preserve"> </w:t>
      </w:r>
      <w:r w:rsidRPr="00647505">
        <w:t>proposition vis</w:t>
      </w:r>
      <w:r>
        <w:t>e</w:t>
      </w:r>
      <w:r w:rsidRPr="00647505">
        <w:t xml:space="preserve"> les indicateurs de vitesse et les compteurs kilométriques supplémentaires et ne concern</w:t>
      </w:r>
      <w:r>
        <w:t>e</w:t>
      </w:r>
      <w:r w:rsidRPr="00647505">
        <w:t xml:space="preserve"> pas les équipements tels que les tachygraphes</w:t>
      </w:r>
      <w:r>
        <w:t>. Il est donc envisagé de préciser que ces équipements ne sont pas considérés,</w:t>
      </w:r>
      <w:r w:rsidRPr="00357E45">
        <w:t xml:space="preserve"> </w:t>
      </w:r>
      <w:r>
        <w:t>aux fins du paragraphe 5.1, comme des indicateurs de vitesse ou des compteurs kilométriques embarqués.</w:t>
      </w:r>
    </w:p>
    <w:p w14:paraId="1B40489C" w14:textId="0FCF11B6" w:rsidR="0083199D" w:rsidRPr="0083199D" w:rsidRDefault="0083199D" w:rsidP="0083199D">
      <w:pPr>
        <w:pStyle w:val="SingleTxtG"/>
        <w:spacing w:before="240" w:after="0"/>
        <w:jc w:val="center"/>
        <w:rPr>
          <w:u w:val="single"/>
        </w:rPr>
      </w:pPr>
      <w:r>
        <w:rPr>
          <w:u w:val="single"/>
        </w:rPr>
        <w:tab/>
      </w:r>
      <w:r>
        <w:rPr>
          <w:u w:val="single"/>
        </w:rPr>
        <w:tab/>
      </w:r>
      <w:r>
        <w:rPr>
          <w:u w:val="single"/>
        </w:rPr>
        <w:tab/>
      </w:r>
      <w:r>
        <w:rPr>
          <w:u w:val="single"/>
        </w:rPr>
        <w:tab/>
      </w:r>
    </w:p>
    <w:sectPr w:rsidR="0083199D" w:rsidRPr="0083199D" w:rsidSect="0083199D">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BE16C" w14:textId="77777777" w:rsidR="00DE0270" w:rsidRDefault="00DE0270" w:rsidP="00F95C08">
      <w:pPr>
        <w:spacing w:line="240" w:lineRule="auto"/>
      </w:pPr>
    </w:p>
  </w:endnote>
  <w:endnote w:type="continuationSeparator" w:id="0">
    <w:p w14:paraId="63133429" w14:textId="77777777" w:rsidR="00DE0270" w:rsidRPr="00AC3823" w:rsidRDefault="00DE0270" w:rsidP="00AC3823">
      <w:pPr>
        <w:pStyle w:val="Pieddepage"/>
      </w:pPr>
    </w:p>
  </w:endnote>
  <w:endnote w:type="continuationNotice" w:id="1">
    <w:p w14:paraId="0729AD3D" w14:textId="77777777" w:rsidR="00DE0270" w:rsidRDefault="00DE02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3A14" w14:textId="61ED5CFF" w:rsidR="0083199D" w:rsidRPr="0083199D" w:rsidRDefault="0083199D" w:rsidP="0083199D">
    <w:pPr>
      <w:pStyle w:val="Pieddepage"/>
      <w:tabs>
        <w:tab w:val="right" w:pos="9638"/>
      </w:tabs>
    </w:pPr>
    <w:r w:rsidRPr="0083199D">
      <w:rPr>
        <w:b/>
        <w:sz w:val="18"/>
      </w:rPr>
      <w:fldChar w:fldCharType="begin"/>
    </w:r>
    <w:r w:rsidRPr="0083199D">
      <w:rPr>
        <w:b/>
        <w:sz w:val="18"/>
      </w:rPr>
      <w:instrText xml:space="preserve"> PAGE  \* MERGEFORMAT </w:instrText>
    </w:r>
    <w:r w:rsidRPr="0083199D">
      <w:rPr>
        <w:b/>
        <w:sz w:val="18"/>
      </w:rPr>
      <w:fldChar w:fldCharType="separate"/>
    </w:r>
    <w:r w:rsidRPr="0083199D">
      <w:rPr>
        <w:b/>
        <w:noProof/>
        <w:sz w:val="18"/>
      </w:rPr>
      <w:t>2</w:t>
    </w:r>
    <w:r w:rsidRPr="0083199D">
      <w:rPr>
        <w:b/>
        <w:sz w:val="18"/>
      </w:rPr>
      <w:fldChar w:fldCharType="end"/>
    </w:r>
    <w:r>
      <w:rPr>
        <w:b/>
        <w:sz w:val="18"/>
      </w:rPr>
      <w:tab/>
    </w:r>
    <w:r>
      <w:t>GE.24-13364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6558" w14:textId="06A2F85E" w:rsidR="0083199D" w:rsidRPr="0083199D" w:rsidRDefault="0083199D" w:rsidP="0083199D">
    <w:pPr>
      <w:pStyle w:val="Pieddepage"/>
      <w:tabs>
        <w:tab w:val="right" w:pos="9638"/>
      </w:tabs>
      <w:rPr>
        <w:b/>
        <w:sz w:val="18"/>
      </w:rPr>
    </w:pPr>
    <w:r>
      <w:t>GE.24-13364</w:t>
    </w:r>
    <w:r>
      <w:tab/>
    </w:r>
    <w:r w:rsidRPr="0083199D">
      <w:rPr>
        <w:b/>
        <w:sz w:val="18"/>
      </w:rPr>
      <w:fldChar w:fldCharType="begin"/>
    </w:r>
    <w:r w:rsidRPr="0083199D">
      <w:rPr>
        <w:b/>
        <w:sz w:val="18"/>
      </w:rPr>
      <w:instrText xml:space="preserve"> PAGE  \* MERGEFORMAT </w:instrText>
    </w:r>
    <w:r w:rsidRPr="0083199D">
      <w:rPr>
        <w:b/>
        <w:sz w:val="18"/>
      </w:rPr>
      <w:fldChar w:fldCharType="separate"/>
    </w:r>
    <w:r w:rsidRPr="0083199D">
      <w:rPr>
        <w:b/>
        <w:noProof/>
        <w:sz w:val="18"/>
      </w:rPr>
      <w:t>3</w:t>
    </w:r>
    <w:r w:rsidRPr="0083199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69F9" w14:textId="1638E032" w:rsidR="007F20FA" w:rsidRPr="0083199D" w:rsidRDefault="0083199D" w:rsidP="0083199D">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34D10F1" wp14:editId="628335B2">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24-13364  (F)</w:t>
    </w:r>
    <w:r>
      <w:rPr>
        <w:noProof/>
        <w:sz w:val="20"/>
      </w:rPr>
      <w:drawing>
        <wp:anchor distT="0" distB="0" distL="114300" distR="114300" simplePos="0" relativeHeight="251660288" behindDoc="0" locked="0" layoutInCell="1" allowOverlap="1" wp14:anchorId="2DF1E7D6" wp14:editId="76CCB8C8">
          <wp:simplePos x="0" y="0"/>
          <wp:positionH relativeFrom="margin">
            <wp:posOffset>5489575</wp:posOffset>
          </wp:positionH>
          <wp:positionV relativeFrom="margin">
            <wp:posOffset>8891905</wp:posOffset>
          </wp:positionV>
          <wp:extent cx="628650" cy="628650"/>
          <wp:effectExtent l="0" t="0" r="0" b="0"/>
          <wp:wrapNone/>
          <wp:docPr id="18606217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190824    </w:t>
    </w:r>
    <w:r w:rsidR="00663BD2">
      <w:rPr>
        <w:sz w:val="20"/>
      </w:rPr>
      <w:t>20</w:t>
    </w:r>
    <w:r>
      <w:rPr>
        <w:sz w:val="20"/>
      </w:rPr>
      <w:t>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C8F4" w14:textId="77777777" w:rsidR="00DE0270" w:rsidRPr="00AC3823" w:rsidRDefault="00DE0270" w:rsidP="00AC3823">
      <w:pPr>
        <w:pStyle w:val="Pieddepage"/>
        <w:tabs>
          <w:tab w:val="right" w:pos="2155"/>
        </w:tabs>
        <w:spacing w:after="80" w:line="240" w:lineRule="atLeast"/>
        <w:ind w:left="680"/>
        <w:rPr>
          <w:u w:val="single"/>
        </w:rPr>
      </w:pPr>
      <w:r>
        <w:rPr>
          <w:u w:val="single"/>
        </w:rPr>
        <w:tab/>
      </w:r>
    </w:p>
  </w:footnote>
  <w:footnote w:type="continuationSeparator" w:id="0">
    <w:p w14:paraId="0D98500D" w14:textId="77777777" w:rsidR="00DE0270" w:rsidRPr="00AC3823" w:rsidRDefault="00DE0270" w:rsidP="00AC3823">
      <w:pPr>
        <w:pStyle w:val="Pieddepage"/>
        <w:tabs>
          <w:tab w:val="right" w:pos="2155"/>
        </w:tabs>
        <w:spacing w:after="80" w:line="240" w:lineRule="atLeast"/>
        <w:ind w:left="680"/>
        <w:rPr>
          <w:u w:val="single"/>
        </w:rPr>
      </w:pPr>
      <w:r>
        <w:rPr>
          <w:u w:val="single"/>
        </w:rPr>
        <w:tab/>
      </w:r>
    </w:p>
  </w:footnote>
  <w:footnote w:type="continuationNotice" w:id="1">
    <w:p w14:paraId="6A0DFE15" w14:textId="77777777" w:rsidR="00DE0270" w:rsidRPr="00AC3823" w:rsidRDefault="00DE0270">
      <w:pPr>
        <w:spacing w:line="240" w:lineRule="auto"/>
        <w:rPr>
          <w:sz w:val="2"/>
          <w:szCs w:val="2"/>
        </w:rPr>
      </w:pPr>
    </w:p>
  </w:footnote>
  <w:footnote w:id="2">
    <w:p w14:paraId="1F8EF114" w14:textId="293AA2BE" w:rsidR="0083199D" w:rsidRPr="0083199D" w:rsidRDefault="0083199D" w:rsidP="001A4175">
      <w:pPr>
        <w:pStyle w:val="Notedebasdepage"/>
      </w:pPr>
      <w:r>
        <w:rPr>
          <w:rStyle w:val="Appelnotedebasdep"/>
        </w:rPr>
        <w:tab/>
      </w:r>
      <w:r w:rsidRPr="0083199D">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w:t>
      </w:r>
      <w:r w:rsidR="004B49A6">
        <w:rPr>
          <w:lang w:val="fr-FR"/>
        </w:rPr>
        <w:t>’</w:t>
      </w:r>
      <w:r>
        <w:rPr>
          <w:lang w:val="fr-FR"/>
        </w:rPr>
        <w:t>il figure dans le projet de budget-programme pour 2024 (A/78/6 (Sect. 20), tableau 20.5), le Forum mondial a pour mission d</w:t>
      </w:r>
      <w:r w:rsidR="004B49A6">
        <w:rPr>
          <w:lang w:val="fr-FR"/>
        </w:rPr>
        <w:t>’</w:t>
      </w:r>
      <w:r>
        <w:rPr>
          <w:lang w:val="fr-FR"/>
        </w:rPr>
        <w:t>élaborer, d</w:t>
      </w:r>
      <w:r w:rsidR="004B49A6">
        <w:rPr>
          <w:lang w:val="fr-FR"/>
        </w:rPr>
        <w:t>’</w:t>
      </w:r>
      <w:r>
        <w:rPr>
          <w:lang w:val="fr-FR"/>
        </w:rPr>
        <w:t>harmoniser et de mettre à jour les Règlements ONU en vue d</w:t>
      </w:r>
      <w:r w:rsidR="004B49A6">
        <w:rPr>
          <w:lang w:val="fr-FR"/>
        </w:rPr>
        <w:t>’</w:t>
      </w:r>
      <w:r>
        <w:rPr>
          <w:lang w:val="fr-FR"/>
        </w:rPr>
        <w:t>améliorer les caractéristiques fonctionnelles des véhicules. Le présent document est soumis en vertu de ce mandat</w:t>
      </w:r>
      <w:r>
        <w:rPr>
          <w:lang w:val="fr-FR"/>
        </w:rPr>
        <w:t>.</w:t>
      </w:r>
    </w:p>
  </w:footnote>
  <w:footnote w:id="3">
    <w:p w14:paraId="290EC289" w14:textId="20F1B81E" w:rsidR="0083199D" w:rsidRPr="001B10CE" w:rsidRDefault="0083199D" w:rsidP="001A4175">
      <w:pPr>
        <w:pStyle w:val="Notedebasdepage"/>
        <w:rPr>
          <w:szCs w:val="18"/>
        </w:rPr>
      </w:pPr>
      <w:r w:rsidRPr="005F69D6">
        <w:rPr>
          <w:szCs w:val="18"/>
          <w:lang w:val="fr-FR"/>
        </w:rPr>
        <w:tab/>
      </w:r>
      <w:r w:rsidRPr="001A4175">
        <w:rPr>
          <w:rStyle w:val="Appelnotedebasdep"/>
        </w:rPr>
        <w:footnoteRef/>
      </w:r>
      <w:r>
        <w:rPr>
          <w:lang w:val="fr-FR"/>
        </w:rPr>
        <w:tab/>
        <w:t>Selon les définitions figurant dans la Résolution d</w:t>
      </w:r>
      <w:r w:rsidR="004B49A6">
        <w:rPr>
          <w:lang w:val="fr-FR"/>
        </w:rPr>
        <w:t>’</w:t>
      </w:r>
      <w:r>
        <w:rPr>
          <w:lang w:val="fr-FR"/>
        </w:rPr>
        <w:t>ensemble sur la construction des véhicules (R.E.3), document ECE/TRANS/WP.29/78/Rev.</w:t>
      </w:r>
      <w:r>
        <w:rPr>
          <w:strike/>
          <w:lang w:val="fr-FR"/>
        </w:rPr>
        <w:t>6</w:t>
      </w:r>
      <w:r>
        <w:rPr>
          <w:b/>
          <w:bCs/>
          <w:lang w:val="fr-FR"/>
        </w:rPr>
        <w:t>7</w:t>
      </w:r>
      <w:r>
        <w:rPr>
          <w:lang w:val="fr-FR"/>
        </w:rPr>
        <w:t xml:space="preserve">, par. 2 </w:t>
      </w:r>
      <w:r w:rsidR="001A4175">
        <w:rPr>
          <w:lang w:val="fr-FR"/>
        </w:rPr>
        <w:t xml:space="preserve">− </w:t>
      </w:r>
      <w:r w:rsidR="00B13B7C">
        <w:rPr>
          <w:lang w:val="fr-FR"/>
        </w:rPr>
        <w:br/>
      </w:r>
      <w:hyperlink r:id="rId1" w:history="1">
        <w:r w:rsidR="00B13B7C" w:rsidRPr="00E76B56">
          <w:rPr>
            <w:rStyle w:val="Lienhypertexte"/>
            <w:lang w:val="fr-FR"/>
          </w:rPr>
          <w:t>http://www.unece.org/trans/main/wp29/ wp29wgs/</w:t>
        </w:r>
        <w:r w:rsidR="00B13B7C" w:rsidRPr="00E76B56">
          <w:rPr>
            <w:rStyle w:val="Lienhypertexte"/>
            <w:lang w:val="fr-FR"/>
          </w:rPr>
          <w:t>w</w:t>
        </w:r>
        <w:r w:rsidR="00B13B7C" w:rsidRPr="00E76B56">
          <w:rPr>
            <w:rStyle w:val="Lienhypertexte"/>
            <w:lang w:val="fr-FR"/>
          </w:rPr>
          <w:t>p29gen/wp29resolutions.html</w:t>
        </w:r>
      </w:hyperlink>
      <w:r>
        <w:rPr>
          <w:lang w:val="fr-FR"/>
        </w:rPr>
        <w:t>.</w:t>
      </w:r>
    </w:p>
  </w:footnote>
  <w:footnote w:id="4">
    <w:p w14:paraId="3649B9D1" w14:textId="0980F824" w:rsidR="0083199D" w:rsidRPr="001B10CE" w:rsidRDefault="0083199D" w:rsidP="001A4175">
      <w:pPr>
        <w:pStyle w:val="Notedebasdepage"/>
        <w:rPr>
          <w:strike/>
          <w:szCs w:val="18"/>
        </w:rPr>
      </w:pPr>
      <w:r w:rsidRPr="005F69D6">
        <w:rPr>
          <w:szCs w:val="18"/>
          <w:lang w:val="fr-FR"/>
        </w:rPr>
        <w:tab/>
      </w:r>
      <w:r w:rsidRPr="001A4175">
        <w:rPr>
          <w:rStyle w:val="Appelnotedebasdep"/>
        </w:rPr>
        <w:footnoteRef/>
      </w:r>
      <w:r>
        <w:rPr>
          <w:lang w:val="fr-FR"/>
        </w:rPr>
        <w:tab/>
      </w:r>
      <w:r>
        <w:rPr>
          <w:strike/>
          <w:lang w:val="fr-FR"/>
        </w:rPr>
        <w:t>Il ne comprend pas la partie indicatrice de vitesse d</w:t>
      </w:r>
      <w:r w:rsidR="004B49A6">
        <w:rPr>
          <w:strike/>
          <w:lang w:val="fr-FR"/>
        </w:rPr>
        <w:t>’</w:t>
      </w:r>
      <w:r>
        <w:rPr>
          <w:strike/>
          <w:lang w:val="fr-FR"/>
        </w:rPr>
        <w:t>un tachygraphe si celui-ci satisfait à des prescriptions d</w:t>
      </w:r>
      <w:r w:rsidR="004B49A6">
        <w:rPr>
          <w:strike/>
          <w:lang w:val="fr-FR"/>
        </w:rPr>
        <w:t>’</w:t>
      </w:r>
      <w:r>
        <w:rPr>
          <w:strike/>
          <w:lang w:val="fr-FR"/>
        </w:rPr>
        <w:t>homologation de type, qui ne permettent pas un écart absolu entre la vitesse réelle et la vitesse affichée dépassant les valeurs fixées au paragraphe 5.4 ci-après.</w:t>
      </w:r>
    </w:p>
  </w:footnote>
  <w:footnote w:id="5">
    <w:p w14:paraId="456A5BAB" w14:textId="6245A40E" w:rsidR="0083199D" w:rsidRPr="001B10CE" w:rsidRDefault="0083199D" w:rsidP="001A4175">
      <w:pPr>
        <w:pStyle w:val="Notedebasdepage"/>
        <w:rPr>
          <w:szCs w:val="18"/>
        </w:rPr>
      </w:pPr>
      <w:r w:rsidRPr="005F69D6">
        <w:rPr>
          <w:szCs w:val="18"/>
          <w:lang w:val="fr-FR"/>
        </w:rPr>
        <w:tab/>
      </w:r>
      <w:r w:rsidRPr="001A4175">
        <w:rPr>
          <w:rStyle w:val="Appelnotedebasdep"/>
        </w:rPr>
        <w:footnoteRef/>
      </w:r>
      <w:r>
        <w:rPr>
          <w:lang w:val="fr-FR"/>
        </w:rPr>
        <w:tab/>
        <w:t>Les numéros distinctifs des Parties contractantes à l</w:t>
      </w:r>
      <w:r w:rsidR="004B49A6">
        <w:rPr>
          <w:lang w:val="fr-FR"/>
        </w:rPr>
        <w:t>’</w:t>
      </w:r>
      <w:r>
        <w:rPr>
          <w:lang w:val="fr-FR"/>
        </w:rPr>
        <w:t>Accord de 1958 sont indiqués à l</w:t>
      </w:r>
      <w:r w:rsidR="004B49A6">
        <w:rPr>
          <w:lang w:val="fr-FR"/>
        </w:rPr>
        <w:t>’</w:t>
      </w:r>
      <w:r>
        <w:rPr>
          <w:lang w:val="fr-FR"/>
        </w:rPr>
        <w:t>annexe 3 de</w:t>
      </w:r>
      <w:r w:rsidR="00B13B7C">
        <w:rPr>
          <w:lang w:val="fr-FR"/>
        </w:rPr>
        <w:t> </w:t>
      </w:r>
      <w:r>
        <w:rPr>
          <w:lang w:val="fr-FR"/>
        </w:rPr>
        <w:t>la</w:t>
      </w:r>
      <w:r w:rsidR="00B13B7C">
        <w:rPr>
          <w:lang w:val="fr-FR"/>
        </w:rPr>
        <w:t> </w:t>
      </w:r>
      <w:r>
        <w:rPr>
          <w:lang w:val="fr-FR"/>
        </w:rPr>
        <w:t>Résolution d</w:t>
      </w:r>
      <w:r w:rsidR="004B49A6">
        <w:rPr>
          <w:lang w:val="fr-FR"/>
        </w:rPr>
        <w:t>’</w:t>
      </w:r>
      <w:r>
        <w:rPr>
          <w:lang w:val="fr-FR"/>
        </w:rPr>
        <w:t>ensemble sur la construction des véhicules (R.E.3), document ECE/TRANS/WP.29/78/Rev.</w:t>
      </w:r>
      <w:r>
        <w:rPr>
          <w:strike/>
          <w:lang w:val="fr-FR"/>
        </w:rPr>
        <w:t>6</w:t>
      </w:r>
      <w:r>
        <w:rPr>
          <w:b/>
          <w:bCs/>
          <w:lang w:val="fr-FR"/>
        </w:rPr>
        <w:t>7</w:t>
      </w:r>
      <w:r>
        <w:rPr>
          <w:lang w:val="fr-FR"/>
        </w:rPr>
        <w:t xml:space="preserve">, annexe 3 </w:t>
      </w:r>
      <w:r w:rsidR="00B13B7C">
        <w:rPr>
          <w:lang w:val="fr-FR"/>
        </w:rPr>
        <w:t xml:space="preserve">− </w:t>
      </w:r>
      <w:r w:rsidR="00B13B7C">
        <w:rPr>
          <w:lang w:val="fr-FR"/>
        </w:rPr>
        <w:br/>
      </w:r>
      <w:hyperlink r:id="rId2" w:history="1">
        <w:r w:rsidR="00B13B7C" w:rsidRPr="00E76B56">
          <w:rPr>
            <w:rStyle w:val="Lienhypertexte"/>
          </w:rPr>
          <w:t>www.unece.org/trans/main/wp29/wp29wgs/wp29gen/</w:t>
        </w:r>
        <w:r w:rsidR="00B13B7C" w:rsidRPr="00E76B56">
          <w:rPr>
            <w:rStyle w:val="Lienhypertexte"/>
          </w:rPr>
          <w:t xml:space="preserve"> </w:t>
        </w:r>
        <w:r w:rsidR="00B13B7C" w:rsidRPr="00E76B56">
          <w:rPr>
            <w:rStyle w:val="Lienhypertexte"/>
          </w:rPr>
          <w:t>wp29resolutions.html</w:t>
        </w:r>
      </w:hyperlink>
      <w:r>
        <w:rPr>
          <w:lang w:val="fr-FR"/>
        </w:rPr>
        <w:t>.</w:t>
      </w:r>
    </w:p>
  </w:footnote>
  <w:footnote w:id="6">
    <w:p w14:paraId="6B1A1E50" w14:textId="5D4F2C0B" w:rsidR="004B49A6" w:rsidRDefault="004B49A6" w:rsidP="005E5DBA">
      <w:pPr>
        <w:pStyle w:val="Notedebasdepage"/>
        <w:widowControl w:val="0"/>
      </w:pPr>
      <w:r>
        <w:tab/>
      </w:r>
      <w:r>
        <w:rPr>
          <w:rStyle w:val="Appelnotedebasdep"/>
        </w:rPr>
        <w:footnoteRef/>
      </w:r>
      <w:r>
        <w:tab/>
      </w:r>
      <w:r w:rsidRPr="008A7EE0">
        <w:rPr>
          <w:szCs w:val="18"/>
          <w:lang w:val="fr-FR"/>
        </w:rPr>
        <w:t>Numéro distinctif du pays qui a délivré/étendu/refusé/retiré l</w:t>
      </w:r>
      <w:r>
        <w:rPr>
          <w:szCs w:val="18"/>
          <w:lang w:val="fr-FR"/>
        </w:rPr>
        <w:t>’</w:t>
      </w:r>
      <w:r w:rsidRPr="008A7EE0">
        <w:rPr>
          <w:szCs w:val="18"/>
          <w:lang w:val="fr-FR"/>
        </w:rPr>
        <w:t>homologation (voir les dispositions</w:t>
      </w:r>
      <w:r w:rsidRPr="008A7EE0">
        <w:rPr>
          <w:szCs w:val="18"/>
          <w:lang w:val="fr-FR"/>
        </w:rPr>
        <w:tab/>
        <w:t>du Règlement relatives à l</w:t>
      </w:r>
      <w:r>
        <w:rPr>
          <w:szCs w:val="18"/>
          <w:lang w:val="fr-FR"/>
        </w:rPr>
        <w:t>’</w:t>
      </w:r>
      <w:r w:rsidRPr="008A7EE0">
        <w:rPr>
          <w:szCs w:val="18"/>
          <w:lang w:val="fr-FR"/>
        </w:rPr>
        <w:t>homologation).</w:t>
      </w:r>
    </w:p>
  </w:footnote>
  <w:footnote w:id="7">
    <w:p w14:paraId="63DD6775" w14:textId="77777777" w:rsidR="004B49A6" w:rsidRDefault="004B49A6" w:rsidP="004B49A6">
      <w:pPr>
        <w:pStyle w:val="Notedebasdepage"/>
      </w:pPr>
      <w:r>
        <w:tab/>
      </w:r>
      <w:r>
        <w:rPr>
          <w:rStyle w:val="Appelnotedebasdep"/>
        </w:rPr>
        <w:footnoteRef/>
      </w:r>
      <w:r>
        <w:tab/>
      </w:r>
      <w:r w:rsidRPr="005A48EA">
        <w:rPr>
          <w:lang w:val="fr-FR"/>
        </w:rPr>
        <w:t>Biffer les mentions inutiles.</w:t>
      </w:r>
    </w:p>
  </w:footnote>
  <w:footnote w:id="8">
    <w:p w14:paraId="53A1B90F" w14:textId="57B0FAF1" w:rsidR="0083199D" w:rsidRPr="001B10CE" w:rsidRDefault="0083199D" w:rsidP="001A4175">
      <w:pPr>
        <w:pStyle w:val="Notedebasdepage"/>
        <w:rPr>
          <w:szCs w:val="18"/>
        </w:rPr>
      </w:pPr>
      <w:r w:rsidRPr="005F69D6">
        <w:rPr>
          <w:szCs w:val="18"/>
          <w:lang w:val="fr-FR"/>
        </w:rPr>
        <w:tab/>
      </w:r>
      <w:r w:rsidRPr="001A4175">
        <w:rPr>
          <w:rStyle w:val="Appelnotedebasdep"/>
        </w:rPr>
        <w:footnoteRef/>
      </w:r>
      <w:r>
        <w:rPr>
          <w:lang w:val="fr-FR"/>
        </w:rPr>
        <w:tab/>
        <w:t>Ce dernier numéro n</w:t>
      </w:r>
      <w:r w:rsidR="004B49A6">
        <w:rPr>
          <w:lang w:val="fr-FR"/>
        </w:rPr>
        <w:t>’</w:t>
      </w:r>
      <w:r>
        <w:rPr>
          <w:lang w:val="fr-FR"/>
        </w:rPr>
        <w:t>est donné qu</w:t>
      </w:r>
      <w:r w:rsidR="004B49A6">
        <w:rPr>
          <w:lang w:val="fr-FR"/>
        </w:rPr>
        <w:t>’</w:t>
      </w:r>
      <w:r>
        <w:rPr>
          <w:lang w:val="fr-FR"/>
        </w:rPr>
        <w:t>à titre d</w:t>
      </w:r>
      <w:r w:rsidR="004B49A6">
        <w:rPr>
          <w:lang w:val="fr-FR"/>
        </w:rPr>
        <w:t>’</w:t>
      </w:r>
      <w:r>
        <w:rPr>
          <w:lang w:val="fr-FR"/>
        </w:rPr>
        <w:t>exemple.</w:t>
      </w:r>
    </w:p>
  </w:footnote>
  <w:footnote w:id="9">
    <w:p w14:paraId="520A93D8" w14:textId="44DA3AD1" w:rsidR="0083199D" w:rsidRPr="001B10CE" w:rsidRDefault="0083199D" w:rsidP="001A4175">
      <w:pPr>
        <w:pStyle w:val="Notedebasdepage"/>
        <w:rPr>
          <w:b/>
          <w:bCs/>
          <w:szCs w:val="18"/>
        </w:rPr>
      </w:pPr>
      <w:r>
        <w:rPr>
          <w:lang w:val="fr-FR"/>
        </w:rPr>
        <w:tab/>
      </w:r>
      <w:r w:rsidRPr="00CA58E0">
        <w:rPr>
          <w:b/>
          <w:bCs/>
          <w:vertAlign w:val="superscript"/>
          <w:lang w:val="fr-FR"/>
        </w:rPr>
        <w:t>2</w:t>
      </w:r>
      <w:r w:rsidR="007538CA" w:rsidRPr="007538CA">
        <w:rPr>
          <w:b/>
          <w:bCs/>
          <w:lang w:val="fr-FR"/>
        </w:rPr>
        <w:tab/>
      </w:r>
      <w:r w:rsidRPr="001B10CE">
        <w:rPr>
          <w:b/>
          <w:bCs/>
          <w:lang w:val="fr-FR"/>
        </w:rPr>
        <w:t>N</w:t>
      </w:r>
      <w:r w:rsidR="004B49A6">
        <w:rPr>
          <w:b/>
          <w:bCs/>
          <w:lang w:val="fr-FR"/>
        </w:rPr>
        <w:t>’</w:t>
      </w:r>
      <w:r w:rsidRPr="001B10CE">
        <w:rPr>
          <w:b/>
          <w:bCs/>
          <w:lang w:val="fr-FR"/>
        </w:rPr>
        <w:t>indiquer que les données pertinentes au regard de l</w:t>
      </w:r>
      <w:r w:rsidR="004B49A6">
        <w:rPr>
          <w:b/>
          <w:bCs/>
          <w:lang w:val="fr-FR"/>
        </w:rPr>
        <w:t>’</w:t>
      </w:r>
      <w:r w:rsidRPr="001B10CE">
        <w:rPr>
          <w:b/>
          <w:bCs/>
          <w:lang w:val="fr-FR"/>
        </w:rPr>
        <w:t>indicateur de vitesse et/ou du compteur kilométrique.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7484" w14:textId="2E8EB983" w:rsidR="0083199D" w:rsidRPr="0083199D" w:rsidRDefault="0083199D">
    <w:pPr>
      <w:pStyle w:val="En-tte"/>
    </w:pPr>
    <w:fldSimple w:instr=" TITLE  \* MERGEFORMAT ">
      <w:r>
        <w:t>ECE/TRANS/WP.29/GRSG/2024/36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9190" w14:textId="2C54C88F" w:rsidR="0083199D" w:rsidRPr="0083199D" w:rsidRDefault="0083199D" w:rsidP="0083199D">
    <w:pPr>
      <w:pStyle w:val="En-tte"/>
      <w:jc w:val="right"/>
    </w:pPr>
    <w:fldSimple w:instr=" TITLE  \* MERGEFORMAT ">
      <w:r>
        <w:t>ECE/TRANS/WP.29/GRSG/2024/36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430545300">
    <w:abstractNumId w:val="12"/>
  </w:num>
  <w:num w:numId="2" w16cid:durableId="466823407">
    <w:abstractNumId w:val="11"/>
  </w:num>
  <w:num w:numId="3" w16cid:durableId="1392341487">
    <w:abstractNumId w:val="10"/>
  </w:num>
  <w:num w:numId="4" w16cid:durableId="419496456">
    <w:abstractNumId w:val="8"/>
  </w:num>
  <w:num w:numId="5" w16cid:durableId="2124418254">
    <w:abstractNumId w:val="3"/>
  </w:num>
  <w:num w:numId="6" w16cid:durableId="2134711896">
    <w:abstractNumId w:val="2"/>
  </w:num>
  <w:num w:numId="7" w16cid:durableId="852189063">
    <w:abstractNumId w:val="1"/>
  </w:num>
  <w:num w:numId="8" w16cid:durableId="1202129676">
    <w:abstractNumId w:val="0"/>
  </w:num>
  <w:num w:numId="9" w16cid:durableId="24840358">
    <w:abstractNumId w:val="9"/>
  </w:num>
  <w:num w:numId="10" w16cid:durableId="1126199099">
    <w:abstractNumId w:val="7"/>
  </w:num>
  <w:num w:numId="11" w16cid:durableId="180825589">
    <w:abstractNumId w:val="6"/>
  </w:num>
  <w:num w:numId="12" w16cid:durableId="836387452">
    <w:abstractNumId w:val="5"/>
  </w:num>
  <w:num w:numId="13" w16cid:durableId="1414475252">
    <w:abstractNumId w:val="4"/>
  </w:num>
  <w:num w:numId="14" w16cid:durableId="1326469223">
    <w:abstractNumId w:val="12"/>
  </w:num>
  <w:num w:numId="15" w16cid:durableId="872498891">
    <w:abstractNumId w:val="11"/>
  </w:num>
  <w:num w:numId="16" w16cid:durableId="412894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70"/>
    <w:rsid w:val="00012272"/>
    <w:rsid w:val="00017F94"/>
    <w:rsid w:val="00023842"/>
    <w:rsid w:val="000334F9"/>
    <w:rsid w:val="00045FEB"/>
    <w:rsid w:val="0007796D"/>
    <w:rsid w:val="000B7790"/>
    <w:rsid w:val="00111F2F"/>
    <w:rsid w:val="0014365E"/>
    <w:rsid w:val="00143C66"/>
    <w:rsid w:val="00176178"/>
    <w:rsid w:val="001A4175"/>
    <w:rsid w:val="001F525A"/>
    <w:rsid w:val="00201148"/>
    <w:rsid w:val="00204934"/>
    <w:rsid w:val="00223272"/>
    <w:rsid w:val="0024779E"/>
    <w:rsid w:val="00257168"/>
    <w:rsid w:val="002744B8"/>
    <w:rsid w:val="002832AC"/>
    <w:rsid w:val="002D7C93"/>
    <w:rsid w:val="00305801"/>
    <w:rsid w:val="003867C7"/>
    <w:rsid w:val="003916DE"/>
    <w:rsid w:val="00403B8D"/>
    <w:rsid w:val="0040456F"/>
    <w:rsid w:val="00421996"/>
    <w:rsid w:val="00441C3B"/>
    <w:rsid w:val="0044484A"/>
    <w:rsid w:val="00446FE5"/>
    <w:rsid w:val="00452396"/>
    <w:rsid w:val="00477EB2"/>
    <w:rsid w:val="004837D8"/>
    <w:rsid w:val="004B49A6"/>
    <w:rsid w:val="004E2EED"/>
    <w:rsid w:val="004E468C"/>
    <w:rsid w:val="00517372"/>
    <w:rsid w:val="005505B7"/>
    <w:rsid w:val="00562943"/>
    <w:rsid w:val="00573BE5"/>
    <w:rsid w:val="00586ED3"/>
    <w:rsid w:val="00596AA9"/>
    <w:rsid w:val="005D6401"/>
    <w:rsid w:val="005E5DBA"/>
    <w:rsid w:val="00663BD2"/>
    <w:rsid w:val="0071601D"/>
    <w:rsid w:val="007538CA"/>
    <w:rsid w:val="007A62E6"/>
    <w:rsid w:val="007F20FA"/>
    <w:rsid w:val="0080684C"/>
    <w:rsid w:val="0083199D"/>
    <w:rsid w:val="00871C75"/>
    <w:rsid w:val="008776DC"/>
    <w:rsid w:val="00880EF4"/>
    <w:rsid w:val="008D5EF9"/>
    <w:rsid w:val="00925C51"/>
    <w:rsid w:val="009446C0"/>
    <w:rsid w:val="009705C8"/>
    <w:rsid w:val="00976BC5"/>
    <w:rsid w:val="009C1CF4"/>
    <w:rsid w:val="009F6B74"/>
    <w:rsid w:val="00A279F3"/>
    <w:rsid w:val="00A3029F"/>
    <w:rsid w:val="00A30353"/>
    <w:rsid w:val="00A82969"/>
    <w:rsid w:val="00A87D93"/>
    <w:rsid w:val="00AC3823"/>
    <w:rsid w:val="00AE323C"/>
    <w:rsid w:val="00AF0CB5"/>
    <w:rsid w:val="00B00181"/>
    <w:rsid w:val="00B00B0D"/>
    <w:rsid w:val="00B13B7C"/>
    <w:rsid w:val="00B45F2E"/>
    <w:rsid w:val="00B67265"/>
    <w:rsid w:val="00B765F7"/>
    <w:rsid w:val="00B77993"/>
    <w:rsid w:val="00B935A8"/>
    <w:rsid w:val="00BA0CA9"/>
    <w:rsid w:val="00C02897"/>
    <w:rsid w:val="00C97039"/>
    <w:rsid w:val="00D008CE"/>
    <w:rsid w:val="00D3439C"/>
    <w:rsid w:val="00D7622E"/>
    <w:rsid w:val="00DB1831"/>
    <w:rsid w:val="00DD3BFD"/>
    <w:rsid w:val="00DE0270"/>
    <w:rsid w:val="00DF6678"/>
    <w:rsid w:val="00E0299A"/>
    <w:rsid w:val="00E504E4"/>
    <w:rsid w:val="00E85C74"/>
    <w:rsid w:val="00EA6547"/>
    <w:rsid w:val="00ED7237"/>
    <w:rsid w:val="00EF2E22"/>
    <w:rsid w:val="00F35BAF"/>
    <w:rsid w:val="00F660DF"/>
    <w:rsid w:val="00F94664"/>
    <w:rsid w:val="00F9573C"/>
    <w:rsid w:val="00F95C08"/>
    <w:rsid w:val="00FA55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04343"/>
  <w15:docId w15:val="{40001653-42BC-45F6-B693-E6257C9A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uiPriority w:val="99"/>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Footnote Text Char,-E Fußnotentext,footnote text,Fußnotentext Ursprung,Footnote Text Char Char Char Char,Footnote Text1,Footnote Text Char Char Char,Fußnotentext Char1,Fußnotentext Char Char,Fußnotentext Char2,Fußn"/>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Footnote Text Char Car,-E Fußnotentext Car,footnote text Car,Fußnotentext Ursprung Car,Footnote Text Char Char Char Char Car,Footnote Text1 Car,Footnote Text Char Char Char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rsid w:val="0083199D"/>
    <w:rPr>
      <w:rFonts w:ascii="Times New Roman" w:eastAsiaTheme="minorHAnsi" w:hAnsi="Times New Roman" w:cs="Times New Roman"/>
      <w:b/>
      <w:sz w:val="28"/>
      <w:szCs w:val="20"/>
      <w:lang w:eastAsia="en-US"/>
    </w:rPr>
  </w:style>
  <w:style w:type="paragraph" w:customStyle="1" w:styleId="para">
    <w:name w:val="para"/>
    <w:basedOn w:val="Normal"/>
    <w:link w:val="paraChar"/>
    <w:qFormat/>
    <w:rsid w:val="0083199D"/>
    <w:pPr>
      <w:suppressAutoHyphens w:val="0"/>
      <w:kinsoku/>
      <w:overflowPunct/>
      <w:autoSpaceDE/>
      <w:autoSpaceDN/>
      <w:adjustRightInd/>
      <w:snapToGrid/>
      <w:spacing w:after="120"/>
      <w:ind w:left="2268" w:right="1134" w:hanging="1134"/>
      <w:jc w:val="both"/>
    </w:pPr>
    <w:rPr>
      <w:rFonts w:eastAsia="Yu Mincho"/>
      <w:snapToGrid w:val="0"/>
      <w:lang w:val="fr-FR"/>
    </w:rPr>
  </w:style>
  <w:style w:type="character" w:customStyle="1" w:styleId="paraChar">
    <w:name w:val="para Char"/>
    <w:link w:val="para"/>
    <w:uiPriority w:val="99"/>
    <w:rsid w:val="0083199D"/>
    <w:rPr>
      <w:rFonts w:ascii="Times New Roman" w:eastAsia="Yu Mincho" w:hAnsi="Times New Roman" w:cs="Times New Roman"/>
      <w:snapToGrid w:val="0"/>
      <w:sz w:val="20"/>
      <w:szCs w:val="20"/>
      <w:lang w:val="fr-FR" w:eastAsia="en-US"/>
    </w:rPr>
  </w:style>
  <w:style w:type="paragraph" w:styleId="TM1">
    <w:name w:val="toc 1"/>
    <w:basedOn w:val="Normal"/>
    <w:next w:val="Normal"/>
    <w:autoRedefine/>
    <w:uiPriority w:val="39"/>
    <w:rsid w:val="00562943"/>
    <w:pPr>
      <w:tabs>
        <w:tab w:val="left" w:pos="426"/>
        <w:tab w:val="right" w:leader="dot" w:pos="9456"/>
      </w:tabs>
      <w:kinsoku/>
      <w:overflowPunct/>
      <w:autoSpaceDE/>
      <w:autoSpaceDN/>
      <w:adjustRightInd/>
      <w:snapToGrid/>
      <w:spacing w:before="240" w:after="120"/>
      <w:ind w:left="851" w:hanging="426"/>
    </w:pPr>
    <w:rPr>
      <w:rFonts w:eastAsia="Times New Roman"/>
      <w:lang w:val="fr-FR"/>
    </w:rPr>
  </w:style>
  <w:style w:type="character" w:customStyle="1" w:styleId="ui-provider">
    <w:name w:val="ui-provider"/>
    <w:basedOn w:val="Policepardfaut"/>
    <w:rsid w:val="0083199D"/>
  </w:style>
  <w:style w:type="character" w:customStyle="1" w:styleId="SingleTxtGChar">
    <w:name w:val="_ Single Txt_G Char"/>
    <w:link w:val="SingleTxtG"/>
    <w:qFormat/>
    <w:rsid w:val="0083199D"/>
    <w:rPr>
      <w:rFonts w:ascii="Times New Roman" w:eastAsiaTheme="minorHAnsi" w:hAnsi="Times New Roman" w:cs="Times New Roman"/>
      <w:sz w:val="20"/>
      <w:szCs w:val="20"/>
      <w:lang w:eastAsia="en-US"/>
    </w:rPr>
  </w:style>
  <w:style w:type="table" w:customStyle="1" w:styleId="TableNormal2">
    <w:name w:val="Table Normal2"/>
    <w:uiPriority w:val="2"/>
    <w:semiHidden/>
    <w:unhideWhenUsed/>
    <w:qFormat/>
    <w:rsid w:val="0083199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1A4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20wp29resolutions.html" TargetMode="External"/><Relationship Id="rId1" Type="http://schemas.openxmlformats.org/officeDocument/2006/relationships/hyperlink" Target="http://www.unece.org/trans/main/wp29/%20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05B48-6912-4303-9F1C-936A1A298EDF}">
  <ds:schemaRefs>
    <ds:schemaRef ds:uri="http://schemas.openxmlformats.org/officeDocument/2006/bibliography"/>
  </ds:schemaRefs>
</ds:datastoreItem>
</file>

<file path=customXml/itemProps2.xml><?xml version="1.0" encoding="utf-8"?>
<ds:datastoreItem xmlns:ds="http://schemas.openxmlformats.org/officeDocument/2006/customXml" ds:itemID="{9657CEF7-BF4E-416D-BB34-66AED30A22E2}"/>
</file>

<file path=customXml/itemProps3.xml><?xml version="1.0" encoding="utf-8"?>
<ds:datastoreItem xmlns:ds="http://schemas.openxmlformats.org/officeDocument/2006/customXml" ds:itemID="{7A335D82-FC2E-4E28-BD9E-8427C4525D76}"/>
</file>

<file path=docProps/app.xml><?xml version="1.0" encoding="utf-8"?>
<Properties xmlns="http://schemas.openxmlformats.org/officeDocument/2006/extended-properties" xmlns:vt="http://schemas.openxmlformats.org/officeDocument/2006/docPropsVTypes">
  <Template>ECE_TRANS.dotm</Template>
  <TotalTime>0</TotalTime>
  <Pages>22</Pages>
  <Words>5828</Words>
  <Characters>40796</Characters>
  <Application>Microsoft Office Word</Application>
  <DocSecurity>0</DocSecurity>
  <Lines>3399</Lines>
  <Paragraphs>1864</Paragraphs>
  <ScaleCrop>false</ScaleCrop>
  <HeadingPairs>
    <vt:vector size="2" baseType="variant">
      <vt:variant>
        <vt:lpstr>Titre</vt:lpstr>
      </vt:variant>
      <vt:variant>
        <vt:i4>1</vt:i4>
      </vt:variant>
    </vt:vector>
  </HeadingPairs>
  <TitlesOfParts>
    <vt:vector size="1" baseType="lpstr">
      <vt:lpstr>ECE/TRANS/WP.29/GRSG/2024/36</vt:lpstr>
    </vt:vector>
  </TitlesOfParts>
  <Company>DCM</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ECE/TRANS/WP.29/GRSG/2024/36</dc:title>
  <dc:subject/>
  <dc:creator>Corinne ROBERT</dc:creator>
  <cp:keywords/>
  <cp:lastModifiedBy>Corinne ROBERT</cp:lastModifiedBy>
  <cp:revision>2</cp:revision>
  <cp:lastPrinted>2014-05-14T10:59:00Z</cp:lastPrinted>
  <dcterms:created xsi:type="dcterms:W3CDTF">2024-08-20T12:30:00Z</dcterms:created>
  <dcterms:modified xsi:type="dcterms:W3CDTF">2024-08-20T12:30:00Z</dcterms:modified>
</cp:coreProperties>
</file>