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75A89CF0" w14:textId="77777777" w:rsidTr="00C97039">
        <w:trPr>
          <w:trHeight w:hRule="exact" w:val="851"/>
        </w:trPr>
        <w:tc>
          <w:tcPr>
            <w:tcW w:w="1276" w:type="dxa"/>
            <w:tcBorders>
              <w:bottom w:val="single" w:sz="4" w:space="0" w:color="auto"/>
            </w:tcBorders>
          </w:tcPr>
          <w:p w14:paraId="4BB0233E" w14:textId="77777777" w:rsidR="00F35BAF" w:rsidRPr="00DB58B5" w:rsidRDefault="00F35BAF" w:rsidP="00D8336A"/>
        </w:tc>
        <w:tc>
          <w:tcPr>
            <w:tcW w:w="2268" w:type="dxa"/>
            <w:tcBorders>
              <w:bottom w:val="single" w:sz="4" w:space="0" w:color="auto"/>
            </w:tcBorders>
            <w:vAlign w:val="bottom"/>
          </w:tcPr>
          <w:p w14:paraId="3F44DD63"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4FEDECF7" w14:textId="6B9ABF40" w:rsidR="00F35BAF" w:rsidRPr="00DB58B5" w:rsidRDefault="00D8336A" w:rsidP="00D8336A">
            <w:pPr>
              <w:jc w:val="right"/>
            </w:pPr>
            <w:r w:rsidRPr="00D8336A">
              <w:rPr>
                <w:sz w:val="40"/>
              </w:rPr>
              <w:t>ECE</w:t>
            </w:r>
            <w:r>
              <w:t>/TRANS/WP.29/GRE/2024/22</w:t>
            </w:r>
          </w:p>
        </w:tc>
      </w:tr>
      <w:tr w:rsidR="00F35BAF" w:rsidRPr="00DB58B5" w14:paraId="488FB264" w14:textId="77777777" w:rsidTr="00C97039">
        <w:trPr>
          <w:trHeight w:hRule="exact" w:val="2835"/>
        </w:trPr>
        <w:tc>
          <w:tcPr>
            <w:tcW w:w="1276" w:type="dxa"/>
            <w:tcBorders>
              <w:top w:val="single" w:sz="4" w:space="0" w:color="auto"/>
              <w:bottom w:val="single" w:sz="12" w:space="0" w:color="auto"/>
            </w:tcBorders>
          </w:tcPr>
          <w:p w14:paraId="6099A1E4" w14:textId="77777777" w:rsidR="00F35BAF" w:rsidRPr="00DB58B5" w:rsidRDefault="00F35BAF" w:rsidP="00C97039">
            <w:pPr>
              <w:spacing w:before="120"/>
              <w:jc w:val="center"/>
            </w:pPr>
            <w:r>
              <w:rPr>
                <w:noProof/>
                <w:lang w:eastAsia="fr-CH"/>
              </w:rPr>
              <w:drawing>
                <wp:inline distT="0" distB="0" distL="0" distR="0" wp14:anchorId="7C6D9D65" wp14:editId="143C369D">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0E487AA"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28ACA4A0" w14:textId="77777777" w:rsidR="00F35BAF" w:rsidRDefault="00D8336A" w:rsidP="00C97039">
            <w:pPr>
              <w:spacing w:before="240"/>
            </w:pPr>
            <w:r>
              <w:t>Distr. générale</w:t>
            </w:r>
          </w:p>
          <w:p w14:paraId="61626BC1" w14:textId="77777777" w:rsidR="00D8336A" w:rsidRDefault="00D8336A" w:rsidP="00D8336A">
            <w:pPr>
              <w:spacing w:line="240" w:lineRule="exact"/>
            </w:pPr>
            <w:r>
              <w:t>8 août 2024</w:t>
            </w:r>
          </w:p>
          <w:p w14:paraId="2DA2129C" w14:textId="77777777" w:rsidR="00D8336A" w:rsidRDefault="00D8336A" w:rsidP="00D8336A">
            <w:pPr>
              <w:spacing w:line="240" w:lineRule="exact"/>
            </w:pPr>
            <w:r>
              <w:t>Français</w:t>
            </w:r>
          </w:p>
          <w:p w14:paraId="5A354472" w14:textId="3F3680DE" w:rsidR="00D8336A" w:rsidRPr="00DB58B5" w:rsidRDefault="00D8336A" w:rsidP="00D8336A">
            <w:pPr>
              <w:spacing w:line="240" w:lineRule="exact"/>
            </w:pPr>
            <w:r>
              <w:t>Original : anglais</w:t>
            </w:r>
          </w:p>
        </w:tc>
      </w:tr>
    </w:tbl>
    <w:p w14:paraId="4BBB77A0" w14:textId="62098253" w:rsidR="007F20FA" w:rsidRPr="000312C0" w:rsidRDefault="007F20FA" w:rsidP="007F20FA">
      <w:pPr>
        <w:spacing w:before="120"/>
        <w:rPr>
          <w:b/>
          <w:sz w:val="28"/>
          <w:szCs w:val="28"/>
        </w:rPr>
      </w:pPr>
      <w:r w:rsidRPr="000312C0">
        <w:rPr>
          <w:b/>
          <w:sz w:val="28"/>
          <w:szCs w:val="28"/>
        </w:rPr>
        <w:t>Commission économique pour l</w:t>
      </w:r>
      <w:r w:rsidR="001D289A">
        <w:rPr>
          <w:b/>
          <w:sz w:val="28"/>
          <w:szCs w:val="28"/>
        </w:rPr>
        <w:t>’</w:t>
      </w:r>
      <w:r w:rsidRPr="000312C0">
        <w:rPr>
          <w:b/>
          <w:sz w:val="28"/>
          <w:szCs w:val="28"/>
        </w:rPr>
        <w:t>Europe</w:t>
      </w:r>
    </w:p>
    <w:p w14:paraId="71E91209" w14:textId="77777777" w:rsidR="007F20FA" w:rsidRDefault="007F20FA" w:rsidP="007F20FA">
      <w:pPr>
        <w:spacing w:before="120"/>
        <w:rPr>
          <w:sz w:val="28"/>
          <w:szCs w:val="28"/>
        </w:rPr>
      </w:pPr>
      <w:r w:rsidRPr="00685843">
        <w:rPr>
          <w:sz w:val="28"/>
          <w:szCs w:val="28"/>
        </w:rPr>
        <w:t>Comité des transports intérieurs</w:t>
      </w:r>
    </w:p>
    <w:p w14:paraId="4868B69E" w14:textId="32196865" w:rsidR="00D8336A" w:rsidRDefault="00D8336A" w:rsidP="00AF0CB5">
      <w:pPr>
        <w:spacing w:before="120"/>
        <w:rPr>
          <w:b/>
          <w:sz w:val="24"/>
          <w:szCs w:val="24"/>
        </w:rPr>
      </w:pPr>
      <w:r w:rsidRPr="00685843">
        <w:rPr>
          <w:b/>
          <w:sz w:val="24"/>
          <w:szCs w:val="24"/>
        </w:rPr>
        <w:t>Forum mondial de l</w:t>
      </w:r>
      <w:r w:rsidR="001D289A">
        <w:rPr>
          <w:b/>
          <w:sz w:val="24"/>
          <w:szCs w:val="24"/>
        </w:rPr>
        <w:t>’</w:t>
      </w:r>
      <w:r w:rsidRPr="00685843">
        <w:rPr>
          <w:b/>
          <w:sz w:val="24"/>
          <w:szCs w:val="24"/>
        </w:rPr>
        <w:t>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7432A8D5" w14:textId="470D5984" w:rsidR="00D8336A" w:rsidRDefault="00D8336A" w:rsidP="00257168">
      <w:pPr>
        <w:spacing w:before="120" w:after="120" w:line="240" w:lineRule="exact"/>
        <w:rPr>
          <w:b/>
        </w:rPr>
      </w:pPr>
      <w:r>
        <w:rPr>
          <w:b/>
        </w:rPr>
        <w:t>Groupe de travail de l</w:t>
      </w:r>
      <w:r w:rsidR="001D289A">
        <w:rPr>
          <w:b/>
        </w:rPr>
        <w:t>’</w:t>
      </w:r>
      <w:r>
        <w:rPr>
          <w:b/>
        </w:rPr>
        <w:t>éclairage et de la signalisation lumineuse</w:t>
      </w:r>
    </w:p>
    <w:p w14:paraId="5683E0A0" w14:textId="4E5697BA" w:rsidR="00D8336A" w:rsidRDefault="00D8336A" w:rsidP="00257168">
      <w:pPr>
        <w:spacing w:before="120" w:line="240" w:lineRule="exact"/>
        <w:rPr>
          <w:b/>
        </w:rPr>
      </w:pPr>
      <w:r>
        <w:rPr>
          <w:b/>
          <w:bCs/>
          <w:lang w:val="fr-FR"/>
        </w:rPr>
        <w:t>Quatre-vingt-onzième</w:t>
      </w:r>
      <w:r>
        <w:rPr>
          <w:b/>
        </w:rPr>
        <w:t xml:space="preserve"> session</w:t>
      </w:r>
    </w:p>
    <w:p w14:paraId="1C4D2DAC" w14:textId="44B542A1" w:rsidR="00D8336A" w:rsidRDefault="00D8336A" w:rsidP="00257168">
      <w:pPr>
        <w:spacing w:line="240" w:lineRule="exact"/>
      </w:pPr>
      <w:r>
        <w:t xml:space="preserve">Genève, </w:t>
      </w:r>
      <w:r>
        <w:rPr>
          <w:lang w:val="fr-FR"/>
        </w:rPr>
        <w:t>22-25 octobre 2024</w:t>
      </w:r>
    </w:p>
    <w:p w14:paraId="57DDE744" w14:textId="586F232D" w:rsidR="00D8336A" w:rsidRDefault="00D8336A" w:rsidP="00257168">
      <w:pPr>
        <w:spacing w:line="240" w:lineRule="exact"/>
      </w:pPr>
      <w:r>
        <w:t xml:space="preserve">Point </w:t>
      </w:r>
      <w:r>
        <w:rPr>
          <w:lang w:val="fr-FR"/>
        </w:rPr>
        <w:t xml:space="preserve">7 b) </w:t>
      </w:r>
      <w:r>
        <w:t>de l</w:t>
      </w:r>
      <w:r w:rsidR="001D289A">
        <w:t>’</w:t>
      </w:r>
      <w:r>
        <w:t>ordre du jour provisoire</w:t>
      </w:r>
    </w:p>
    <w:p w14:paraId="12A5D0F7" w14:textId="7559D965" w:rsidR="00D8336A" w:rsidRPr="009E4C12" w:rsidRDefault="00D8336A" w:rsidP="00D8336A">
      <w:pPr>
        <w:rPr>
          <w:b/>
          <w:bCs/>
          <w:lang w:val="fr-FR"/>
        </w:rPr>
      </w:pPr>
      <w:r>
        <w:rPr>
          <w:b/>
          <w:bCs/>
          <w:lang w:val="fr-FR"/>
        </w:rPr>
        <w:t>Règlements ONU concernant les dispositifs :</w:t>
      </w:r>
      <w:r w:rsidR="001D289A">
        <w:rPr>
          <w:b/>
          <w:bCs/>
          <w:lang w:val="fr-FR"/>
        </w:rPr>
        <w:t xml:space="preserve"> </w:t>
      </w:r>
      <w:r w:rsidR="001D289A">
        <w:rPr>
          <w:b/>
          <w:bCs/>
          <w:lang w:val="fr-FR"/>
        </w:rPr>
        <w:br/>
      </w:r>
      <w:r>
        <w:rPr>
          <w:b/>
          <w:bCs/>
          <w:lang w:val="fr-FR"/>
        </w:rPr>
        <w:t>Règlement ONU n</w:t>
      </w:r>
      <w:r>
        <w:rPr>
          <w:b/>
          <w:bCs/>
          <w:vertAlign w:val="superscript"/>
          <w:lang w:val="fr-FR"/>
        </w:rPr>
        <w:t>o</w:t>
      </w:r>
      <w:r>
        <w:rPr>
          <w:b/>
          <w:bCs/>
          <w:lang w:val="fr-FR"/>
        </w:rPr>
        <w:t> 149 (Dispositifs d</w:t>
      </w:r>
      <w:r w:rsidR="001D289A">
        <w:rPr>
          <w:b/>
          <w:bCs/>
          <w:lang w:val="fr-FR"/>
        </w:rPr>
        <w:t>’</w:t>
      </w:r>
      <w:r>
        <w:rPr>
          <w:b/>
          <w:bCs/>
          <w:lang w:val="fr-FR"/>
        </w:rPr>
        <w:t>éclairage de la route)</w:t>
      </w:r>
    </w:p>
    <w:p w14:paraId="7E4E56CA" w14:textId="4821F391" w:rsidR="00D8336A" w:rsidRPr="009E4C12" w:rsidRDefault="00D8336A" w:rsidP="00D8336A">
      <w:pPr>
        <w:pStyle w:val="HChG"/>
        <w:rPr>
          <w:szCs w:val="28"/>
          <w:lang w:val="fr-FR"/>
        </w:rPr>
      </w:pPr>
      <w:r>
        <w:rPr>
          <w:lang w:val="fr-FR"/>
        </w:rPr>
        <w:tab/>
      </w:r>
      <w:r>
        <w:rPr>
          <w:lang w:val="fr-FR"/>
        </w:rPr>
        <w:tab/>
      </w:r>
      <w:r>
        <w:rPr>
          <w:lang w:val="fr-FR"/>
        </w:rPr>
        <w:t>Proposition de complément à la série 01 d</w:t>
      </w:r>
      <w:r w:rsidR="001D289A">
        <w:rPr>
          <w:lang w:val="fr-FR"/>
        </w:rPr>
        <w:t>’</w:t>
      </w:r>
      <w:r>
        <w:rPr>
          <w:lang w:val="fr-FR"/>
        </w:rPr>
        <w:t>amendements au</w:t>
      </w:r>
      <w:r w:rsidR="001D289A">
        <w:rPr>
          <w:lang w:val="fr-FR"/>
        </w:rPr>
        <w:t> </w:t>
      </w:r>
      <w:r>
        <w:rPr>
          <w:lang w:val="fr-FR"/>
        </w:rPr>
        <w:t>Règlement ONU n</w:t>
      </w:r>
      <w:r>
        <w:rPr>
          <w:vertAlign w:val="superscript"/>
          <w:lang w:val="fr-FR"/>
        </w:rPr>
        <w:t>o</w:t>
      </w:r>
      <w:r>
        <w:rPr>
          <w:lang w:val="fr-FR"/>
        </w:rPr>
        <w:t> 149 et aux séries 06, 07, 08 et 09 d</w:t>
      </w:r>
      <w:r w:rsidR="001D289A">
        <w:rPr>
          <w:lang w:val="fr-FR"/>
        </w:rPr>
        <w:t>’</w:t>
      </w:r>
      <w:r>
        <w:rPr>
          <w:lang w:val="fr-FR"/>
        </w:rPr>
        <w:t>amendements au Règlement ONU n</w:t>
      </w:r>
      <w:r>
        <w:rPr>
          <w:vertAlign w:val="superscript"/>
          <w:lang w:val="fr-FR"/>
        </w:rPr>
        <w:t>o</w:t>
      </w:r>
      <w:r>
        <w:rPr>
          <w:lang w:val="fr-FR"/>
        </w:rPr>
        <w:t> 48</w:t>
      </w:r>
    </w:p>
    <w:p w14:paraId="1E647307" w14:textId="169AC0F1" w:rsidR="00D8336A" w:rsidRPr="00D5516D" w:rsidRDefault="00D8336A" w:rsidP="00D8336A">
      <w:pPr>
        <w:pStyle w:val="H1G"/>
        <w:rPr>
          <w:szCs w:val="24"/>
          <w:lang w:val="fr-FR"/>
        </w:rPr>
      </w:pPr>
      <w:r>
        <w:rPr>
          <w:lang w:val="fr-FR"/>
        </w:rPr>
        <w:tab/>
      </w:r>
      <w:r>
        <w:rPr>
          <w:lang w:val="fr-FR"/>
        </w:rPr>
        <w:tab/>
      </w:r>
      <w:r>
        <w:rPr>
          <w:lang w:val="fr-FR"/>
        </w:rPr>
        <w:t>Communication de l</w:t>
      </w:r>
      <w:r w:rsidR="001D289A">
        <w:rPr>
          <w:lang w:val="fr-FR"/>
        </w:rPr>
        <w:t>’</w:t>
      </w:r>
      <w:r>
        <w:rPr>
          <w:lang w:val="fr-FR"/>
        </w:rPr>
        <w:t>expert du Groupe de travail « Bruxelles 1952 »</w:t>
      </w:r>
      <w:r w:rsidRPr="00D8336A">
        <w:rPr>
          <w:rStyle w:val="Appelnotedebasdep"/>
          <w:b w:val="0"/>
          <w:bCs/>
          <w:sz w:val="20"/>
          <w:vertAlign w:val="baseline"/>
        </w:rPr>
        <w:footnoteReference w:customMarkFollows="1" w:id="2"/>
        <w:t>*</w:t>
      </w:r>
    </w:p>
    <w:p w14:paraId="34DC132A" w14:textId="7B1EBF0E" w:rsidR="00F9573C" w:rsidRDefault="00D8336A" w:rsidP="00D8336A">
      <w:pPr>
        <w:pStyle w:val="SingleTxtG"/>
        <w:ind w:firstLine="567"/>
        <w:rPr>
          <w:lang w:val="fr-FR"/>
        </w:rPr>
      </w:pPr>
      <w:r>
        <w:rPr>
          <w:lang w:val="fr-FR"/>
        </w:rPr>
        <w:footnoteReference w:customMarkFollows="1" w:id="3"/>
        <w:t>Le texte ci-après, établi par l</w:t>
      </w:r>
      <w:r w:rsidR="001D289A">
        <w:rPr>
          <w:lang w:val="fr-FR"/>
        </w:rPr>
        <w:t>’</w:t>
      </w:r>
      <w:r>
        <w:rPr>
          <w:lang w:val="fr-FR"/>
        </w:rPr>
        <w:t xml:space="preserve">expert du Groupe de travail « Bruxelles 1952 », vise à modifier les prescriptions en matière de détection et de signalement des défaillances </w:t>
      </w:r>
      <w:r w:rsidRPr="007262C8">
        <w:rPr>
          <w:lang w:val="fr-FR"/>
        </w:rPr>
        <w:t xml:space="preserve">afin de tenir compte des progrès techniques </w:t>
      </w:r>
      <w:r>
        <w:rPr>
          <w:lang w:val="fr-FR"/>
        </w:rPr>
        <w:t>relatifs aux</w:t>
      </w:r>
      <w:r w:rsidRPr="007262C8">
        <w:rPr>
          <w:lang w:val="fr-FR"/>
        </w:rPr>
        <w:t xml:space="preserve"> feux équipés de sources lumineuses multiples</w:t>
      </w:r>
      <w:r>
        <w:rPr>
          <w:lang w:val="fr-FR"/>
        </w:rPr>
        <w:t>. Les modifications qu</w:t>
      </w:r>
      <w:r w:rsidR="001D289A">
        <w:rPr>
          <w:lang w:val="fr-FR"/>
        </w:rPr>
        <w:t>’</w:t>
      </w:r>
      <w:r>
        <w:rPr>
          <w:lang w:val="fr-FR"/>
        </w:rPr>
        <w:t>il est proposé d</w:t>
      </w:r>
      <w:r w:rsidR="001D289A">
        <w:rPr>
          <w:lang w:val="fr-FR"/>
        </w:rPr>
        <w:t>’</w:t>
      </w:r>
      <w:r>
        <w:rPr>
          <w:lang w:val="fr-FR"/>
        </w:rPr>
        <w:t>apporter au texte actuel des Règlements ONU susmentionnés figurent en caractères gras pour les ajouts et biffés pour les suppressions.</w:t>
      </w:r>
    </w:p>
    <w:p w14:paraId="3599E533" w14:textId="07E4E054" w:rsidR="00D8336A" w:rsidRDefault="00D8336A" w:rsidP="00D8336A">
      <w:pPr>
        <w:rPr>
          <w:lang w:val="fr-FR"/>
        </w:rPr>
      </w:pPr>
      <w:r>
        <w:rPr>
          <w:lang w:val="fr-FR"/>
        </w:rPr>
        <w:br w:type="page"/>
      </w:r>
    </w:p>
    <w:p w14:paraId="55B2D29F" w14:textId="77777777" w:rsidR="00D8336A" w:rsidRPr="009E4C12" w:rsidRDefault="00D8336A" w:rsidP="00D8336A">
      <w:pPr>
        <w:pStyle w:val="HChG"/>
        <w:rPr>
          <w:lang w:val="fr-FR"/>
        </w:rPr>
      </w:pPr>
      <w:r>
        <w:rPr>
          <w:lang w:val="fr-FR"/>
        </w:rPr>
        <w:lastRenderedPageBreak/>
        <w:tab/>
        <w:t>I.</w:t>
      </w:r>
      <w:r>
        <w:rPr>
          <w:lang w:val="fr-FR"/>
        </w:rPr>
        <w:tab/>
        <w:t>Proposition</w:t>
      </w:r>
    </w:p>
    <w:p w14:paraId="4846FF9E" w14:textId="247A3270" w:rsidR="00D8336A" w:rsidRPr="009E4C12" w:rsidRDefault="00D8336A" w:rsidP="00D8336A">
      <w:pPr>
        <w:pStyle w:val="H1G"/>
        <w:rPr>
          <w:rFonts w:eastAsia="SimSun"/>
          <w:lang w:val="fr-FR"/>
        </w:rPr>
      </w:pPr>
      <w:r>
        <w:rPr>
          <w:lang w:val="fr-FR"/>
        </w:rPr>
        <w:tab/>
      </w:r>
      <w:r>
        <w:rPr>
          <w:lang w:val="fr-FR"/>
        </w:rPr>
        <w:t>A.</w:t>
      </w:r>
      <w:r>
        <w:rPr>
          <w:lang w:val="fr-FR"/>
        </w:rPr>
        <w:tab/>
        <w:t>Proposition de complément à la série 01 d</w:t>
      </w:r>
      <w:r w:rsidR="001D289A">
        <w:rPr>
          <w:lang w:val="fr-FR"/>
        </w:rPr>
        <w:t>’</w:t>
      </w:r>
      <w:r>
        <w:rPr>
          <w:lang w:val="fr-FR"/>
        </w:rPr>
        <w:t xml:space="preserve">amendements </w:t>
      </w:r>
      <w:r>
        <w:rPr>
          <w:lang w:val="fr-FR"/>
        </w:rPr>
        <w:br/>
      </w:r>
      <w:r>
        <w:rPr>
          <w:lang w:val="fr-FR"/>
        </w:rPr>
        <w:t>au Règlement ONU n</w:t>
      </w:r>
      <w:r>
        <w:rPr>
          <w:vertAlign w:val="superscript"/>
          <w:lang w:val="fr-FR"/>
        </w:rPr>
        <w:t>o</w:t>
      </w:r>
      <w:r>
        <w:rPr>
          <w:lang w:val="fr-FR"/>
        </w:rPr>
        <w:t> 149</w:t>
      </w:r>
    </w:p>
    <w:p w14:paraId="66C932C7" w14:textId="77777777" w:rsidR="00D8336A" w:rsidRPr="009E4C12" w:rsidRDefault="00D8336A" w:rsidP="00D8336A">
      <w:pPr>
        <w:pStyle w:val="SingleTxtG"/>
        <w:rPr>
          <w:lang w:val="fr-FR"/>
        </w:rPr>
      </w:pPr>
      <w:r w:rsidRPr="00D8336A">
        <w:rPr>
          <w:i/>
          <w:iCs/>
          <w:lang w:val="fr-FR"/>
        </w:rPr>
        <w:t>Paragraphe 3.1.2.2</w:t>
      </w:r>
      <w:r>
        <w:rPr>
          <w:lang w:val="fr-FR"/>
        </w:rPr>
        <w:t xml:space="preserve">, lire : </w:t>
      </w:r>
    </w:p>
    <w:p w14:paraId="4FADE917" w14:textId="26BB3EA4" w:rsidR="00D8336A" w:rsidRPr="009E4C12" w:rsidRDefault="00D8336A" w:rsidP="00FD0FC2">
      <w:pPr>
        <w:pStyle w:val="SingleTxtG"/>
        <w:tabs>
          <w:tab w:val="clear" w:pos="1701"/>
          <w:tab w:val="clear" w:pos="2268"/>
          <w:tab w:val="clear" w:pos="2835"/>
        </w:tabs>
        <w:ind w:left="2268" w:hanging="1134"/>
        <w:rPr>
          <w:lang w:val="fr-FR"/>
        </w:rPr>
      </w:pPr>
      <w:r>
        <w:rPr>
          <w:lang w:val="fr-FR"/>
        </w:rPr>
        <w:t>« 3.1.2.2</w:t>
      </w:r>
      <w:r>
        <w:rPr>
          <w:lang w:val="fr-FR"/>
        </w:rPr>
        <w:tab/>
        <w:t>Une description technique succincte indiquant notamment :</w:t>
      </w:r>
    </w:p>
    <w:p w14:paraId="5DD3E74D" w14:textId="65947817" w:rsidR="00D8336A" w:rsidRPr="00D5516D" w:rsidRDefault="00D8336A" w:rsidP="00D8336A">
      <w:pPr>
        <w:pStyle w:val="SingleTxtG"/>
        <w:ind w:left="2835" w:hanging="567"/>
        <w:rPr>
          <w:lang w:val="fr-FR"/>
        </w:rPr>
      </w:pPr>
      <w:r w:rsidRPr="00D5516D">
        <w:rPr>
          <w:lang w:val="fr-FR"/>
        </w:rPr>
        <w:t>a)</w:t>
      </w:r>
      <w:r w:rsidRPr="00D5516D">
        <w:rPr>
          <w:lang w:val="fr-FR"/>
        </w:rPr>
        <w:tab/>
        <w:t xml:space="preserve">Dans le cas de feux équipés de sources lumineuses remplaçables </w:t>
      </w:r>
      <w:r>
        <w:rPr>
          <w:lang w:val="fr-FR"/>
        </w:rPr>
        <w:t>faisant l</w:t>
      </w:r>
      <w:r w:rsidR="001D289A">
        <w:rPr>
          <w:lang w:val="fr-FR"/>
        </w:rPr>
        <w:t>’</w:t>
      </w:r>
      <w:r>
        <w:rPr>
          <w:lang w:val="fr-FR"/>
        </w:rPr>
        <w:t>objet d</w:t>
      </w:r>
      <w:r w:rsidR="001D289A">
        <w:rPr>
          <w:lang w:val="fr-FR"/>
        </w:rPr>
        <w:t>’</w:t>
      </w:r>
      <w:r>
        <w:rPr>
          <w:lang w:val="fr-FR"/>
        </w:rPr>
        <w:t xml:space="preserve">une homologation </w:t>
      </w:r>
      <w:r w:rsidRPr="00D5516D">
        <w:rPr>
          <w:lang w:val="fr-FR"/>
        </w:rPr>
        <w:t>ONU, la ou les catégories de la ou des sources lumineuses prescrites</w:t>
      </w:r>
      <w:r>
        <w:rPr>
          <w:lang w:val="fr-FR"/>
        </w:rPr>
        <w:t> </w:t>
      </w:r>
      <w:r w:rsidRPr="00D5516D">
        <w:rPr>
          <w:lang w:val="fr-FR"/>
        </w:rPr>
        <w:t>;</w:t>
      </w:r>
    </w:p>
    <w:p w14:paraId="255D6DE9" w14:textId="66D08160" w:rsidR="00D8336A" w:rsidRPr="00D5516D" w:rsidRDefault="00D8336A" w:rsidP="00FD0FC2">
      <w:pPr>
        <w:pStyle w:val="SingleTxtG"/>
        <w:ind w:left="2835" w:hanging="567"/>
        <w:rPr>
          <w:lang w:val="fr-FR"/>
        </w:rPr>
      </w:pPr>
      <w:r w:rsidRPr="00D5516D">
        <w:rPr>
          <w:lang w:val="fr-FR"/>
        </w:rPr>
        <w:t>b)</w:t>
      </w:r>
      <w:r w:rsidRPr="00D5516D">
        <w:rPr>
          <w:lang w:val="fr-FR"/>
        </w:rPr>
        <w:tab/>
        <w:t>Dans le cas de feux équipés de modules d</w:t>
      </w:r>
      <w:r w:rsidR="001D289A">
        <w:rPr>
          <w:lang w:val="fr-FR"/>
        </w:rPr>
        <w:t>’</w:t>
      </w:r>
      <w:r w:rsidRPr="00D5516D">
        <w:rPr>
          <w:lang w:val="fr-FR"/>
        </w:rPr>
        <w:t>éclairage remplaçables, le code d</w:t>
      </w:r>
      <w:r w:rsidR="001D289A">
        <w:rPr>
          <w:lang w:val="fr-FR"/>
        </w:rPr>
        <w:t>’</w:t>
      </w:r>
      <w:r w:rsidRPr="00D5516D">
        <w:rPr>
          <w:lang w:val="fr-FR"/>
        </w:rPr>
        <w:t>identification propre au module d</w:t>
      </w:r>
      <w:r w:rsidR="001D289A">
        <w:rPr>
          <w:lang w:val="fr-FR"/>
        </w:rPr>
        <w:t>’</w:t>
      </w:r>
      <w:r w:rsidRPr="00D5516D">
        <w:rPr>
          <w:lang w:val="fr-FR"/>
        </w:rPr>
        <w:t>éclairage</w:t>
      </w:r>
      <w:r>
        <w:rPr>
          <w:lang w:val="fr-FR"/>
        </w:rPr>
        <w:t> </w:t>
      </w:r>
      <w:r w:rsidRPr="00D5516D">
        <w:rPr>
          <w:lang w:val="fr-FR"/>
        </w:rPr>
        <w:t>;</w:t>
      </w:r>
    </w:p>
    <w:p w14:paraId="0C4E3D91" w14:textId="33210910" w:rsidR="00D8336A" w:rsidRPr="00D5516D" w:rsidRDefault="00D8336A" w:rsidP="00FD0FC2">
      <w:pPr>
        <w:pStyle w:val="SingleTxtG"/>
        <w:ind w:left="2835" w:hanging="567"/>
        <w:rPr>
          <w:lang w:val="fr-FR"/>
        </w:rPr>
      </w:pPr>
      <w:r w:rsidRPr="00D5516D">
        <w:rPr>
          <w:lang w:val="fr-FR"/>
        </w:rPr>
        <w:t>c)</w:t>
      </w:r>
      <w:r w:rsidRPr="00D5516D">
        <w:rPr>
          <w:lang w:val="fr-FR"/>
        </w:rPr>
        <w:tab/>
        <w:t>La marque et le type du ou des modules électroniques de régulation de source lumineuse, s</w:t>
      </w:r>
      <w:r w:rsidR="001D289A">
        <w:rPr>
          <w:lang w:val="fr-FR"/>
        </w:rPr>
        <w:t>’</w:t>
      </w:r>
      <w:r w:rsidRPr="00D5516D">
        <w:rPr>
          <w:lang w:val="fr-FR"/>
        </w:rPr>
        <w:t>il y a lieu et s</w:t>
      </w:r>
      <w:r w:rsidR="001D289A">
        <w:rPr>
          <w:lang w:val="fr-FR"/>
        </w:rPr>
        <w:t>’</w:t>
      </w:r>
      <w:r w:rsidRPr="00D5516D">
        <w:rPr>
          <w:lang w:val="fr-FR"/>
        </w:rPr>
        <w:t>ils ne font pas partie d</w:t>
      </w:r>
      <w:r w:rsidR="001D289A">
        <w:rPr>
          <w:lang w:val="fr-FR"/>
        </w:rPr>
        <w:t>’</w:t>
      </w:r>
      <w:r w:rsidRPr="00D5516D">
        <w:rPr>
          <w:lang w:val="fr-FR"/>
        </w:rPr>
        <w:t>une unité d</w:t>
      </w:r>
      <w:r w:rsidR="001D289A">
        <w:rPr>
          <w:lang w:val="fr-FR"/>
        </w:rPr>
        <w:t>’</w:t>
      </w:r>
      <w:r w:rsidRPr="00D5516D">
        <w:rPr>
          <w:lang w:val="fr-FR"/>
        </w:rPr>
        <w:t>installation</w:t>
      </w:r>
      <w:r>
        <w:rPr>
          <w:lang w:val="fr-FR"/>
        </w:rPr>
        <w:t> </w:t>
      </w:r>
      <w:r w:rsidRPr="00D5516D">
        <w:rPr>
          <w:lang w:val="fr-FR"/>
        </w:rPr>
        <w:t>;</w:t>
      </w:r>
    </w:p>
    <w:p w14:paraId="309CA6D0" w14:textId="77777777" w:rsidR="00D8336A" w:rsidRPr="00D5516D" w:rsidRDefault="00D8336A" w:rsidP="00FD0FC2">
      <w:pPr>
        <w:pStyle w:val="SingleTxtG"/>
        <w:ind w:left="2835" w:hanging="567"/>
        <w:rPr>
          <w:lang w:val="fr-FR"/>
        </w:rPr>
      </w:pPr>
      <w:r w:rsidRPr="00D5516D">
        <w:rPr>
          <w:lang w:val="fr-FR"/>
        </w:rPr>
        <w:t>d)</w:t>
      </w:r>
      <w:r w:rsidRPr="00D5516D">
        <w:rPr>
          <w:lang w:val="fr-FR"/>
        </w:rPr>
        <w:tab/>
        <w:t>Dans le cas où le feu doit aussi être homologué avec une ou plusieurs sources lumineuses à DEL de substitution conformément au Règlement ONU n</w:t>
      </w:r>
      <w:r w:rsidRPr="00D5516D">
        <w:rPr>
          <w:vertAlign w:val="superscript"/>
          <w:lang w:val="fr-FR"/>
        </w:rPr>
        <w:t>o</w:t>
      </w:r>
      <w:r>
        <w:rPr>
          <w:lang w:val="fr-FR"/>
        </w:rPr>
        <w:t> </w:t>
      </w:r>
      <w:r w:rsidRPr="00D5516D">
        <w:rPr>
          <w:lang w:val="fr-FR"/>
        </w:rPr>
        <w:t>128, la ou les catégories de la ou des sources lumineuses prescrites</w:t>
      </w:r>
      <w:r>
        <w:rPr>
          <w:lang w:val="fr-FR"/>
        </w:rPr>
        <w:t> </w:t>
      </w:r>
      <w:r w:rsidRPr="00D5516D">
        <w:rPr>
          <w:lang w:val="fr-FR"/>
        </w:rPr>
        <w:t>;</w:t>
      </w:r>
    </w:p>
    <w:p w14:paraId="04B849D1" w14:textId="715CDAD2" w:rsidR="00D8336A" w:rsidRPr="009E4C12" w:rsidRDefault="00D8336A" w:rsidP="00FD0FC2">
      <w:pPr>
        <w:pStyle w:val="SingleTxtG"/>
        <w:ind w:left="2835" w:hanging="567"/>
        <w:rPr>
          <w:lang w:val="fr-FR"/>
        </w:rPr>
      </w:pPr>
      <w:r w:rsidRPr="00D5516D">
        <w:rPr>
          <w:lang w:val="fr-FR"/>
        </w:rPr>
        <w:t>e)</w:t>
      </w:r>
      <w:r w:rsidRPr="00D5516D">
        <w:rPr>
          <w:lang w:val="fr-FR"/>
        </w:rPr>
        <w:tab/>
        <w:t>Lorsque le dispositif (feu) est équipé d</w:t>
      </w:r>
      <w:r w:rsidR="001D289A">
        <w:rPr>
          <w:lang w:val="fr-FR"/>
        </w:rPr>
        <w:t>’</w:t>
      </w:r>
      <w:r w:rsidRPr="00D5516D">
        <w:rPr>
          <w:lang w:val="fr-FR"/>
        </w:rPr>
        <w:t>un réflecteur réglable, la ou les positions de montage du feu par rapport au sol et au plan longitudinal médian du véhicule</w:t>
      </w:r>
      <w:r>
        <w:rPr>
          <w:strike/>
          <w:lang w:val="fr-FR"/>
        </w:rPr>
        <w:t>.</w:t>
      </w:r>
      <w:r>
        <w:rPr>
          <w:b/>
          <w:bCs/>
          <w:lang w:val="fr-FR"/>
        </w:rPr>
        <w:t> ;</w:t>
      </w:r>
    </w:p>
    <w:p w14:paraId="2CF478A5" w14:textId="77777777" w:rsidR="00D8336A" w:rsidRPr="009E4C12" w:rsidRDefault="00D8336A" w:rsidP="00FD0FC2">
      <w:pPr>
        <w:pStyle w:val="SingleTxtG"/>
        <w:ind w:left="2835" w:hanging="567"/>
        <w:rPr>
          <w:lang w:val="fr-FR"/>
        </w:rPr>
      </w:pPr>
      <w:r>
        <w:rPr>
          <w:b/>
          <w:bCs/>
          <w:lang w:val="fr-FR"/>
        </w:rPr>
        <w:t>f)</w:t>
      </w:r>
      <w:r>
        <w:rPr>
          <w:lang w:val="fr-FR"/>
        </w:rPr>
        <w:tab/>
      </w:r>
      <w:r>
        <w:rPr>
          <w:b/>
          <w:bCs/>
          <w:lang w:val="fr-FR"/>
        </w:rPr>
        <w:t>Les mesures prises pour assurer la conformité aux dispositions du paragraphe 4.13.1, le cas échéant. </w:t>
      </w:r>
      <w:r>
        <w:rPr>
          <w:lang w:val="fr-FR"/>
        </w:rPr>
        <w:t>».</w:t>
      </w:r>
    </w:p>
    <w:p w14:paraId="39C521BE" w14:textId="77777777" w:rsidR="00D8336A" w:rsidRPr="009E4C12" w:rsidRDefault="00D8336A" w:rsidP="00FD0FC2">
      <w:pPr>
        <w:pStyle w:val="SingleTxtG"/>
        <w:rPr>
          <w:lang w:val="fr-FR"/>
        </w:rPr>
      </w:pPr>
      <w:r>
        <w:rPr>
          <w:i/>
          <w:iCs/>
          <w:lang w:val="fr-FR"/>
        </w:rPr>
        <w:t>Paragraphe 4.13</w:t>
      </w:r>
      <w:r>
        <w:rPr>
          <w:lang w:val="fr-FR"/>
        </w:rPr>
        <w:t>, lire :</w:t>
      </w:r>
    </w:p>
    <w:p w14:paraId="5AAC3AA8" w14:textId="0BCD8BFC" w:rsidR="00D8336A" w:rsidRPr="009E4C12" w:rsidRDefault="00D8336A" w:rsidP="00FD0FC2">
      <w:pPr>
        <w:pStyle w:val="SingleTxtG"/>
        <w:tabs>
          <w:tab w:val="clear" w:pos="1701"/>
          <w:tab w:val="clear" w:pos="2268"/>
          <w:tab w:val="clear" w:pos="2835"/>
        </w:tabs>
        <w:ind w:left="2268" w:hanging="1134"/>
        <w:rPr>
          <w:lang w:val="fr-FR"/>
        </w:rPr>
      </w:pPr>
      <w:r>
        <w:rPr>
          <w:lang w:val="fr-FR"/>
        </w:rPr>
        <w:t>« 4.13</w:t>
      </w:r>
      <w:r>
        <w:rPr>
          <w:lang w:val="fr-FR"/>
        </w:rPr>
        <w:tab/>
      </w:r>
      <w:r>
        <w:rPr>
          <w:strike/>
          <w:lang w:val="fr-FR"/>
        </w:rPr>
        <w:t>Le cas échéan</w:t>
      </w:r>
      <w:r w:rsidRPr="00B82159">
        <w:rPr>
          <w:strike/>
          <w:lang w:val="fr-FR"/>
        </w:rPr>
        <w:t>t</w:t>
      </w:r>
      <w:r w:rsidRPr="00B82159">
        <w:rPr>
          <w:b/>
          <w:bCs/>
          <w:strike/>
          <w:lang w:val="fr-FR"/>
        </w:rPr>
        <w:t xml:space="preserve"> </w:t>
      </w:r>
      <w:r>
        <w:rPr>
          <w:b/>
          <w:bCs/>
          <w:lang w:val="fr-FR"/>
        </w:rPr>
        <w:t>Lorsque les dispositions des Règlements ONU n</w:t>
      </w:r>
      <w:r>
        <w:rPr>
          <w:b/>
          <w:bCs/>
          <w:vertAlign w:val="superscript"/>
          <w:lang w:val="fr-FR"/>
        </w:rPr>
        <w:t>os</w:t>
      </w:r>
      <w:r>
        <w:rPr>
          <w:b/>
          <w:bCs/>
          <w:lang w:val="fr-FR"/>
        </w:rPr>
        <w:t xml:space="preserve"> 48, 53, 74 ou 86 l</w:t>
      </w:r>
      <w:r w:rsidR="001D289A">
        <w:rPr>
          <w:b/>
          <w:bCs/>
          <w:lang w:val="fr-FR"/>
        </w:rPr>
        <w:t>’</w:t>
      </w:r>
      <w:r>
        <w:rPr>
          <w:b/>
          <w:bCs/>
          <w:lang w:val="fr-FR"/>
        </w:rPr>
        <w:t>exigent</w:t>
      </w:r>
      <w:r>
        <w:rPr>
          <w:lang w:val="fr-FR"/>
        </w:rPr>
        <w:t xml:space="preserve">, </w:t>
      </w:r>
      <w:r>
        <w:rPr>
          <w:strike/>
          <w:lang w:val="fr-FR"/>
        </w:rPr>
        <w:t xml:space="preserve">les feux </w:t>
      </w:r>
      <w:r>
        <w:rPr>
          <w:b/>
          <w:bCs/>
          <w:lang w:val="fr-FR"/>
        </w:rPr>
        <w:t xml:space="preserve">le dispositif (feu) </w:t>
      </w:r>
      <w:r>
        <w:rPr>
          <w:strike/>
          <w:lang w:val="fr-FR"/>
        </w:rPr>
        <w:t xml:space="preserve">doivent </w:t>
      </w:r>
      <w:r>
        <w:rPr>
          <w:b/>
          <w:bCs/>
          <w:lang w:val="fr-FR"/>
        </w:rPr>
        <w:t xml:space="preserve">doit </w:t>
      </w:r>
      <w:r>
        <w:rPr>
          <w:lang w:val="fr-FR"/>
        </w:rPr>
        <w:t>être conçu</w:t>
      </w:r>
      <w:r>
        <w:rPr>
          <w:strike/>
          <w:lang w:val="fr-FR"/>
        </w:rPr>
        <w:t>s</w:t>
      </w:r>
      <w:r>
        <w:rPr>
          <w:lang w:val="fr-FR"/>
        </w:rPr>
        <w:t xml:space="preserve"> de façon à émettre un signal </w:t>
      </w:r>
      <w:r>
        <w:rPr>
          <w:strike/>
          <w:lang w:val="fr-FR"/>
        </w:rPr>
        <w:t xml:space="preserve">de </w:t>
      </w:r>
      <w:r>
        <w:rPr>
          <w:b/>
          <w:bCs/>
          <w:lang w:val="fr-FR"/>
        </w:rPr>
        <w:t xml:space="preserve">indiquant une </w:t>
      </w:r>
      <w:r>
        <w:rPr>
          <w:lang w:val="fr-FR"/>
        </w:rPr>
        <w:t xml:space="preserve">défaillance </w:t>
      </w:r>
      <w:r>
        <w:rPr>
          <w:strike/>
          <w:lang w:val="fr-FR"/>
        </w:rPr>
        <w:t>conformément aux dispositions applicables du Règlement ONU n</w:t>
      </w:r>
      <w:r>
        <w:rPr>
          <w:strike/>
          <w:vertAlign w:val="superscript"/>
          <w:lang w:val="fr-FR"/>
        </w:rPr>
        <w:t>o</w:t>
      </w:r>
      <w:r>
        <w:rPr>
          <w:strike/>
          <w:lang w:val="fr-FR"/>
        </w:rPr>
        <w:t> 48 ou n</w:t>
      </w:r>
      <w:r>
        <w:rPr>
          <w:strike/>
          <w:vertAlign w:val="superscript"/>
          <w:lang w:val="fr-FR"/>
        </w:rPr>
        <w:t>o</w:t>
      </w:r>
      <w:r>
        <w:rPr>
          <w:strike/>
          <w:lang w:val="fr-FR"/>
        </w:rPr>
        <w:t> 53</w:t>
      </w:r>
      <w:r>
        <w:rPr>
          <w:lang w:val="fr-FR"/>
        </w:rPr>
        <w:t xml:space="preserve"> si une source lumineuse ou un module d</w:t>
      </w:r>
      <w:r w:rsidR="001D289A">
        <w:rPr>
          <w:lang w:val="fr-FR"/>
        </w:rPr>
        <w:t>’</w:t>
      </w:r>
      <w:r>
        <w:rPr>
          <w:lang w:val="fr-FR"/>
        </w:rPr>
        <w:t>éclairage ne fonctionne plus.</w:t>
      </w:r>
    </w:p>
    <w:p w14:paraId="1C53278F" w14:textId="3422C3A5" w:rsidR="00D8336A" w:rsidRPr="009E4C12" w:rsidRDefault="00D8336A" w:rsidP="00FD0FC2">
      <w:pPr>
        <w:pStyle w:val="SingleTxtG"/>
        <w:tabs>
          <w:tab w:val="clear" w:pos="1701"/>
          <w:tab w:val="clear" w:pos="2268"/>
          <w:tab w:val="clear" w:pos="2835"/>
        </w:tabs>
        <w:ind w:left="2268" w:hanging="1134"/>
        <w:rPr>
          <w:b/>
          <w:lang w:val="fr-FR"/>
        </w:rPr>
      </w:pPr>
      <w:r>
        <w:rPr>
          <w:b/>
          <w:bCs/>
          <w:lang w:val="fr-FR"/>
        </w:rPr>
        <w:t>4.13.1</w:t>
      </w:r>
      <w:r>
        <w:rPr>
          <w:lang w:val="fr-FR"/>
        </w:rPr>
        <w:tab/>
      </w:r>
      <w:r>
        <w:rPr>
          <w:b/>
          <w:bCs/>
          <w:lang w:val="fr-FR"/>
        </w:rPr>
        <w:t>Dans le cas d</w:t>
      </w:r>
      <w:r w:rsidR="001D289A">
        <w:rPr>
          <w:b/>
          <w:bCs/>
          <w:lang w:val="fr-FR"/>
        </w:rPr>
        <w:t>’</w:t>
      </w:r>
      <w:r>
        <w:rPr>
          <w:b/>
          <w:bCs/>
          <w:lang w:val="fr-FR"/>
        </w:rPr>
        <w:t>une fonction assurée grâce à un ou plusieurs éléments émettant un rayonnement optique visible (voir la définition de “source lumineuse” dans le Règlement ONU n</w:t>
      </w:r>
      <w:r>
        <w:rPr>
          <w:b/>
          <w:bCs/>
          <w:vertAlign w:val="superscript"/>
          <w:lang w:val="fr-FR"/>
        </w:rPr>
        <w:t>o</w:t>
      </w:r>
      <w:r>
        <w:rPr>
          <w:b/>
          <w:bCs/>
          <w:lang w:val="fr-FR"/>
        </w:rPr>
        <w:t> 48), dont le branchement électrique est tel qu</w:t>
      </w:r>
      <w:r w:rsidR="001D289A">
        <w:rPr>
          <w:b/>
          <w:bCs/>
          <w:lang w:val="fr-FR"/>
        </w:rPr>
        <w:t>’</w:t>
      </w:r>
      <w:r>
        <w:rPr>
          <w:b/>
          <w:bCs/>
          <w:lang w:val="fr-FR"/>
        </w:rPr>
        <w:t>en cas de défaillance de l</w:t>
      </w:r>
      <w:r w:rsidR="001D289A">
        <w:rPr>
          <w:b/>
          <w:bCs/>
          <w:lang w:val="fr-FR"/>
        </w:rPr>
        <w:t>’</w:t>
      </w:r>
      <w:r>
        <w:rPr>
          <w:b/>
          <w:bCs/>
          <w:lang w:val="fr-FR"/>
        </w:rPr>
        <w:t>un d</w:t>
      </w:r>
      <w:r w:rsidR="001D289A">
        <w:rPr>
          <w:b/>
          <w:bCs/>
          <w:lang w:val="fr-FR"/>
        </w:rPr>
        <w:t>’</w:t>
      </w:r>
      <w:r>
        <w:rPr>
          <w:b/>
          <w:bCs/>
          <w:lang w:val="fr-FR"/>
        </w:rPr>
        <w:t>eux tous les autres ne s</w:t>
      </w:r>
      <w:r w:rsidR="001D289A">
        <w:rPr>
          <w:b/>
          <w:bCs/>
          <w:lang w:val="fr-FR"/>
        </w:rPr>
        <w:t>’</w:t>
      </w:r>
      <w:r>
        <w:rPr>
          <w:b/>
          <w:bCs/>
          <w:lang w:val="fr-FR"/>
        </w:rPr>
        <w:t>arrêtent pas d</w:t>
      </w:r>
      <w:r w:rsidR="001D289A">
        <w:rPr>
          <w:b/>
          <w:bCs/>
          <w:lang w:val="fr-FR"/>
        </w:rPr>
        <w:t>’</w:t>
      </w:r>
      <w:r>
        <w:rPr>
          <w:b/>
          <w:bCs/>
          <w:lang w:val="fr-FR"/>
        </w:rPr>
        <w:t>émettre de la lumière, un signal indiquant une défaillance de ladite fonction doit être émis lorsque, selon la ou les options retenues par le demandeur parmi les suivantes :</w:t>
      </w:r>
      <w:bookmarkStart w:id="0" w:name="_Hlk153276758"/>
      <w:bookmarkEnd w:id="0"/>
    </w:p>
    <w:p w14:paraId="3D215B56" w14:textId="2332BD54" w:rsidR="00D8336A" w:rsidRPr="009E4C12" w:rsidRDefault="00D8336A" w:rsidP="00FD0FC2">
      <w:pPr>
        <w:pStyle w:val="SingleTxtG"/>
        <w:ind w:left="2835" w:hanging="567"/>
        <w:rPr>
          <w:b/>
          <w:bCs/>
          <w:lang w:val="fr-FR"/>
        </w:rPr>
      </w:pPr>
      <w:bookmarkStart w:id="1" w:name="_Hlk150325995"/>
      <w:r w:rsidRPr="009E4C12">
        <w:rPr>
          <w:b/>
          <w:bCs/>
          <w:lang w:val="fr-FR"/>
        </w:rPr>
        <w:t>a)</w:t>
      </w:r>
      <w:r w:rsidRPr="009E4C12">
        <w:rPr>
          <w:b/>
          <w:bCs/>
          <w:lang w:val="fr-FR"/>
        </w:rPr>
        <w:tab/>
      </w:r>
      <w:r>
        <w:rPr>
          <w:b/>
          <w:bCs/>
          <w:lang w:val="fr-FR"/>
        </w:rPr>
        <w:t>Un ou plusieurs éléments émettant un rayonnement optique visible arrêtent d</w:t>
      </w:r>
      <w:r w:rsidR="001D289A">
        <w:rPr>
          <w:b/>
          <w:bCs/>
          <w:lang w:val="fr-FR"/>
        </w:rPr>
        <w:t>’</w:t>
      </w:r>
      <w:r>
        <w:rPr>
          <w:b/>
          <w:bCs/>
          <w:lang w:val="fr-FR"/>
        </w:rPr>
        <w:t>émettre de la lumière ;</w:t>
      </w:r>
      <w:r>
        <w:rPr>
          <w:lang w:val="fr-FR"/>
        </w:rPr>
        <w:t xml:space="preserve"> </w:t>
      </w:r>
    </w:p>
    <w:p w14:paraId="43B9C989" w14:textId="4AD8730F" w:rsidR="00D8336A" w:rsidRPr="009E4C12" w:rsidRDefault="00D8336A" w:rsidP="00FD0FC2">
      <w:pPr>
        <w:pStyle w:val="SingleTxtG"/>
        <w:ind w:left="2835" w:hanging="567"/>
        <w:rPr>
          <w:b/>
          <w:bCs/>
          <w:lang w:val="fr-FR"/>
        </w:rPr>
      </w:pPr>
      <w:r w:rsidRPr="009E4C12">
        <w:rPr>
          <w:b/>
          <w:bCs/>
          <w:lang w:val="fr-FR"/>
        </w:rPr>
        <w:t>b)</w:t>
      </w:r>
      <w:r w:rsidRPr="009E4C12">
        <w:rPr>
          <w:b/>
          <w:bCs/>
          <w:lang w:val="fr-FR"/>
        </w:rPr>
        <w:tab/>
      </w:r>
      <w:r>
        <w:rPr>
          <w:b/>
          <w:bCs/>
          <w:lang w:val="fr-FR"/>
        </w:rPr>
        <w:t>La valeur de l</w:t>
      </w:r>
      <w:r w:rsidR="001D289A">
        <w:rPr>
          <w:b/>
          <w:bCs/>
          <w:lang w:val="fr-FR"/>
        </w:rPr>
        <w:t>’</w:t>
      </w:r>
      <w:r>
        <w:rPr>
          <w:b/>
          <w:bCs/>
          <w:lang w:val="fr-FR"/>
        </w:rPr>
        <w:t>intensité lumineuse pour l</w:t>
      </w:r>
      <w:r w:rsidR="001D289A">
        <w:rPr>
          <w:b/>
          <w:bCs/>
          <w:lang w:val="fr-FR"/>
        </w:rPr>
        <w:t>’</w:t>
      </w:r>
      <w:r>
        <w:rPr>
          <w:b/>
          <w:bCs/>
          <w:lang w:val="fr-FR"/>
        </w:rPr>
        <w:t>une quelconque des prescriptions photométriques est devenue inférieure à 80 % de la valeur minimale de l</w:t>
      </w:r>
      <w:r w:rsidR="001D289A">
        <w:rPr>
          <w:b/>
          <w:bCs/>
          <w:lang w:val="fr-FR"/>
        </w:rPr>
        <w:t>’</w:t>
      </w:r>
      <w:r>
        <w:rPr>
          <w:b/>
          <w:bCs/>
          <w:lang w:val="fr-FR"/>
        </w:rPr>
        <w:t>intensité lumineuse prescrite pour l</w:t>
      </w:r>
      <w:r w:rsidR="001D289A">
        <w:rPr>
          <w:b/>
          <w:bCs/>
          <w:lang w:val="fr-FR"/>
        </w:rPr>
        <w:t>’</w:t>
      </w:r>
      <w:r>
        <w:rPr>
          <w:b/>
          <w:bCs/>
          <w:lang w:val="fr-FR"/>
        </w:rPr>
        <w:t xml:space="preserve">homologation car </w:t>
      </w:r>
      <w:r w:rsidRPr="00133618">
        <w:rPr>
          <w:b/>
          <w:bCs/>
          <w:lang w:val="fr-FR"/>
        </w:rPr>
        <w:t xml:space="preserve">un ou plusieurs éléments émettant un rayonnement optique visible </w:t>
      </w:r>
      <w:r>
        <w:rPr>
          <w:b/>
          <w:bCs/>
          <w:lang w:val="fr-FR"/>
        </w:rPr>
        <w:t>ont arrêté</w:t>
      </w:r>
      <w:r w:rsidRPr="00133618">
        <w:rPr>
          <w:b/>
          <w:bCs/>
          <w:lang w:val="fr-FR"/>
        </w:rPr>
        <w:t xml:space="preserve"> d</w:t>
      </w:r>
      <w:r w:rsidR="001D289A">
        <w:rPr>
          <w:b/>
          <w:bCs/>
          <w:lang w:val="fr-FR"/>
        </w:rPr>
        <w:t>’</w:t>
      </w:r>
      <w:r w:rsidRPr="00133618">
        <w:rPr>
          <w:b/>
          <w:bCs/>
          <w:lang w:val="fr-FR"/>
        </w:rPr>
        <w:t>émettre de la lumière</w:t>
      </w:r>
      <w:r>
        <w:rPr>
          <w:b/>
          <w:bCs/>
          <w:lang w:val="fr-FR"/>
        </w:rPr>
        <w:t> ;</w:t>
      </w:r>
      <w:r>
        <w:rPr>
          <w:lang w:val="fr-FR"/>
        </w:rPr>
        <w:t xml:space="preserve"> </w:t>
      </w:r>
    </w:p>
    <w:p w14:paraId="497557B3" w14:textId="3AB50C96" w:rsidR="00D8336A" w:rsidRPr="009E4C12" w:rsidRDefault="00D8336A" w:rsidP="00FD0FC2">
      <w:pPr>
        <w:pStyle w:val="SingleTxtG"/>
        <w:ind w:left="2835" w:hanging="567"/>
        <w:rPr>
          <w:b/>
          <w:bCs/>
          <w:lang w:val="fr-FR"/>
        </w:rPr>
      </w:pPr>
      <w:r w:rsidRPr="009E4C12">
        <w:rPr>
          <w:b/>
          <w:bCs/>
          <w:lang w:val="fr-FR"/>
        </w:rPr>
        <w:t>c)</w:t>
      </w:r>
      <w:r w:rsidRPr="009E4C12">
        <w:rPr>
          <w:b/>
          <w:bCs/>
          <w:lang w:val="fr-FR"/>
        </w:rPr>
        <w:tab/>
      </w:r>
      <w:r>
        <w:rPr>
          <w:b/>
          <w:bCs/>
          <w:lang w:val="fr-FR"/>
        </w:rPr>
        <w:t>La valeur du flux lumineux a enregistré une variation de plus de 5 % par rapport à la valeur du flux lumineux obtenue en l</w:t>
      </w:r>
      <w:r w:rsidR="001D289A">
        <w:rPr>
          <w:b/>
          <w:bCs/>
          <w:lang w:val="fr-FR"/>
        </w:rPr>
        <w:t>’</w:t>
      </w:r>
      <w:r>
        <w:rPr>
          <w:b/>
          <w:bCs/>
          <w:lang w:val="fr-FR"/>
        </w:rPr>
        <w:t xml:space="preserve">absence </w:t>
      </w:r>
      <w:r w:rsidRPr="002632E5">
        <w:rPr>
          <w:b/>
          <w:bCs/>
          <w:lang w:val="fr-FR"/>
        </w:rPr>
        <w:t xml:space="preserve">de défaillance car </w:t>
      </w:r>
      <w:r w:rsidR="002632E5" w:rsidRPr="002632E5">
        <w:rPr>
          <w:b/>
          <w:bCs/>
          <w:lang w:val="fr-FR"/>
        </w:rPr>
        <w:t xml:space="preserve">un </w:t>
      </w:r>
      <w:r w:rsidRPr="002632E5">
        <w:rPr>
          <w:b/>
          <w:bCs/>
          <w:lang w:val="fr-FR"/>
        </w:rPr>
        <w:t>ou plusieurs éléments</w:t>
      </w:r>
      <w:r w:rsidRPr="00133618">
        <w:rPr>
          <w:b/>
          <w:bCs/>
          <w:lang w:val="fr-FR"/>
        </w:rPr>
        <w:t xml:space="preserve"> émettant un rayonnement optique visible </w:t>
      </w:r>
      <w:r>
        <w:rPr>
          <w:b/>
          <w:bCs/>
          <w:lang w:val="fr-FR"/>
        </w:rPr>
        <w:t>ont arrêté</w:t>
      </w:r>
      <w:r w:rsidRPr="00133618">
        <w:rPr>
          <w:b/>
          <w:bCs/>
          <w:lang w:val="fr-FR"/>
        </w:rPr>
        <w:t xml:space="preserve"> d</w:t>
      </w:r>
      <w:r w:rsidR="001D289A">
        <w:rPr>
          <w:b/>
          <w:bCs/>
          <w:lang w:val="fr-FR"/>
        </w:rPr>
        <w:t>’</w:t>
      </w:r>
      <w:r w:rsidRPr="00133618">
        <w:rPr>
          <w:b/>
          <w:bCs/>
          <w:lang w:val="fr-FR"/>
        </w:rPr>
        <w:t>émettre de la lumière</w:t>
      </w:r>
      <w:r>
        <w:rPr>
          <w:b/>
          <w:bCs/>
          <w:lang w:val="fr-FR"/>
        </w:rPr>
        <w:t> ;</w:t>
      </w:r>
      <w:r>
        <w:rPr>
          <w:lang w:val="fr-FR"/>
        </w:rPr>
        <w:t xml:space="preserve"> </w:t>
      </w:r>
    </w:p>
    <w:p w14:paraId="35B23A15" w14:textId="4E1E3DAD" w:rsidR="00D8336A" w:rsidRPr="009E4C12" w:rsidRDefault="00D8336A" w:rsidP="00FD0FC2">
      <w:pPr>
        <w:pStyle w:val="SingleTxtG"/>
        <w:ind w:left="2835" w:hanging="567"/>
        <w:rPr>
          <w:b/>
          <w:bCs/>
          <w:lang w:val="fr-FR"/>
        </w:rPr>
      </w:pPr>
      <w:r w:rsidRPr="009E4C12">
        <w:rPr>
          <w:b/>
          <w:bCs/>
          <w:lang w:val="fr-FR"/>
        </w:rPr>
        <w:t>d)</w:t>
      </w:r>
      <w:r w:rsidRPr="009E4C12">
        <w:rPr>
          <w:b/>
          <w:bCs/>
          <w:lang w:val="fr-FR"/>
        </w:rPr>
        <w:tab/>
      </w:r>
      <w:r>
        <w:rPr>
          <w:b/>
          <w:bCs/>
          <w:lang w:val="fr-FR"/>
        </w:rPr>
        <w:t>Plus de 5 % des éléments émettant un rayonnement optique visible arrêtent d</w:t>
      </w:r>
      <w:r w:rsidR="001D289A">
        <w:rPr>
          <w:b/>
          <w:bCs/>
          <w:lang w:val="fr-FR"/>
        </w:rPr>
        <w:t>’</w:t>
      </w:r>
      <w:r>
        <w:rPr>
          <w:b/>
          <w:bCs/>
          <w:lang w:val="fr-FR"/>
        </w:rPr>
        <w:t>émettre de la lumière.</w:t>
      </w:r>
      <w:r>
        <w:rPr>
          <w:lang w:val="fr-FR"/>
        </w:rPr>
        <w:t xml:space="preserve"> </w:t>
      </w:r>
      <w:r>
        <w:rPr>
          <w:b/>
          <w:bCs/>
          <w:lang w:val="fr-FR"/>
        </w:rPr>
        <w:t>Dans le cas où plus d</w:t>
      </w:r>
      <w:r w:rsidR="001D289A">
        <w:rPr>
          <w:b/>
          <w:bCs/>
          <w:lang w:val="fr-FR"/>
        </w:rPr>
        <w:t>’</w:t>
      </w:r>
      <w:r>
        <w:rPr>
          <w:b/>
          <w:bCs/>
          <w:lang w:val="fr-FR"/>
        </w:rPr>
        <w:t>une source lumineuse est utilisée, la présente disposition s</w:t>
      </w:r>
      <w:r w:rsidR="001D289A">
        <w:rPr>
          <w:b/>
          <w:bCs/>
          <w:lang w:val="fr-FR"/>
        </w:rPr>
        <w:t>’</w:t>
      </w:r>
      <w:r>
        <w:rPr>
          <w:b/>
          <w:bCs/>
          <w:lang w:val="fr-FR"/>
        </w:rPr>
        <w:t xml:space="preserve">applique à tous les </w:t>
      </w:r>
      <w:r>
        <w:rPr>
          <w:b/>
          <w:bCs/>
          <w:lang w:val="fr-FR"/>
        </w:rPr>
        <w:lastRenderedPageBreak/>
        <w:t>éléments pris ensemble et aux éléments de chaque source lumineuse prise séparément ;</w:t>
      </w:r>
    </w:p>
    <w:p w14:paraId="116AF91F" w14:textId="365C8D14" w:rsidR="00D8336A" w:rsidRPr="002632E5" w:rsidRDefault="00D8336A" w:rsidP="00FD0FC2">
      <w:pPr>
        <w:pStyle w:val="SingleTxtG"/>
        <w:ind w:left="2835" w:hanging="567"/>
        <w:rPr>
          <w:b/>
          <w:bCs/>
          <w:lang w:val="fr-FR"/>
        </w:rPr>
      </w:pPr>
      <w:r w:rsidRPr="009E4C12">
        <w:rPr>
          <w:b/>
          <w:bCs/>
          <w:lang w:val="fr-FR"/>
        </w:rPr>
        <w:t>e)</w:t>
      </w:r>
      <w:r w:rsidRPr="009E4C12">
        <w:rPr>
          <w:b/>
          <w:bCs/>
          <w:lang w:val="fr-FR"/>
        </w:rPr>
        <w:tab/>
      </w:r>
      <w:r>
        <w:rPr>
          <w:b/>
          <w:bCs/>
          <w:lang w:val="fr-FR"/>
        </w:rPr>
        <w:t>Si le véhicule en est équipé, une ou plusieurs sources lumineuses faisant l</w:t>
      </w:r>
      <w:r w:rsidR="001D289A">
        <w:rPr>
          <w:b/>
          <w:bCs/>
          <w:lang w:val="fr-FR"/>
        </w:rPr>
        <w:t>’</w:t>
      </w:r>
      <w:r>
        <w:rPr>
          <w:b/>
          <w:bCs/>
          <w:lang w:val="fr-FR"/>
        </w:rPr>
        <w:t>objet d</w:t>
      </w:r>
      <w:r w:rsidR="001D289A">
        <w:rPr>
          <w:b/>
          <w:bCs/>
          <w:lang w:val="fr-FR"/>
        </w:rPr>
        <w:t>’</w:t>
      </w:r>
      <w:r>
        <w:rPr>
          <w:b/>
          <w:bCs/>
          <w:lang w:val="fr-FR"/>
        </w:rPr>
        <w:t>une homologation ONU arrêtent d</w:t>
      </w:r>
      <w:r w:rsidR="001D289A">
        <w:rPr>
          <w:b/>
          <w:bCs/>
          <w:lang w:val="fr-FR"/>
        </w:rPr>
        <w:t>’</w:t>
      </w:r>
      <w:r>
        <w:rPr>
          <w:b/>
          <w:bCs/>
          <w:lang w:val="fr-FR"/>
        </w:rPr>
        <w:t xml:space="preserve">émettre de la </w:t>
      </w:r>
      <w:r w:rsidRPr="002632E5">
        <w:rPr>
          <w:b/>
          <w:bCs/>
          <w:lang w:val="fr-FR"/>
        </w:rPr>
        <w:t>lumière. </w:t>
      </w:r>
      <w:r w:rsidRPr="002632E5">
        <w:rPr>
          <w:lang w:val="fr-FR"/>
        </w:rPr>
        <w:t>».</w:t>
      </w:r>
    </w:p>
    <w:bookmarkEnd w:id="1"/>
    <w:p w14:paraId="4FE3C44C" w14:textId="16092898" w:rsidR="00D8336A" w:rsidRPr="00771B7F" w:rsidRDefault="002632E5" w:rsidP="00FD0FC2">
      <w:pPr>
        <w:pStyle w:val="SingleTxtG"/>
        <w:rPr>
          <w:i/>
          <w:iCs/>
          <w:lang w:val="fr-FR"/>
        </w:rPr>
      </w:pPr>
      <w:r w:rsidRPr="002632E5">
        <w:rPr>
          <w:i/>
          <w:iCs/>
          <w:lang w:val="fr-FR"/>
        </w:rPr>
        <w:t>A</w:t>
      </w:r>
      <w:r w:rsidR="00D8336A" w:rsidRPr="002632E5">
        <w:rPr>
          <w:i/>
          <w:iCs/>
          <w:lang w:val="fr-FR"/>
        </w:rPr>
        <w:t>nnexe 1</w:t>
      </w:r>
      <w:r w:rsidR="00D8336A" w:rsidRPr="00537D1C">
        <w:rPr>
          <w:i/>
          <w:iCs/>
          <w:lang w:val="fr-FR"/>
        </w:rPr>
        <w:t>,</w:t>
      </w:r>
      <w:r w:rsidR="00D8336A" w:rsidRPr="00771B7F">
        <w:rPr>
          <w:lang w:val="fr-FR"/>
        </w:rPr>
        <w:t xml:space="preserve"> </w:t>
      </w:r>
    </w:p>
    <w:p w14:paraId="6FEE6DA0" w14:textId="77777777" w:rsidR="00D8336A" w:rsidRPr="009E4C12" w:rsidRDefault="00D8336A" w:rsidP="00FD0FC2">
      <w:pPr>
        <w:pStyle w:val="SingleTxtG"/>
        <w:rPr>
          <w:lang w:val="fr-FR"/>
        </w:rPr>
      </w:pPr>
      <w:r>
        <w:rPr>
          <w:i/>
          <w:iCs/>
          <w:lang w:val="fr-FR"/>
        </w:rPr>
        <w:t>Ajouter le nouveau point 9.1.13</w:t>
      </w:r>
      <w:r>
        <w:rPr>
          <w:lang w:val="fr-FR"/>
        </w:rPr>
        <w:t>, libellé comme suit :</w:t>
      </w:r>
    </w:p>
    <w:p w14:paraId="28F0810C" w14:textId="77777777" w:rsidR="00D8336A" w:rsidRPr="009E4C12" w:rsidRDefault="00D8336A" w:rsidP="00FD0FC2">
      <w:pPr>
        <w:pStyle w:val="SingleTxtG"/>
        <w:tabs>
          <w:tab w:val="clear" w:pos="1701"/>
          <w:tab w:val="clear" w:pos="2268"/>
          <w:tab w:val="clear" w:pos="2835"/>
        </w:tabs>
        <w:ind w:left="2268" w:hanging="1134"/>
        <w:rPr>
          <w:b/>
          <w:lang w:val="fr-FR"/>
        </w:rPr>
      </w:pPr>
      <w:r>
        <w:rPr>
          <w:lang w:val="fr-FR"/>
        </w:rPr>
        <w:t>« </w:t>
      </w:r>
      <w:r>
        <w:rPr>
          <w:b/>
          <w:bCs/>
          <w:lang w:val="fr-FR"/>
        </w:rPr>
        <w:t>9.1.13</w:t>
      </w:r>
      <w:r>
        <w:rPr>
          <w:lang w:val="fr-FR"/>
        </w:rPr>
        <w:tab/>
      </w:r>
      <w:r>
        <w:rPr>
          <w:b/>
          <w:bCs/>
          <w:lang w:val="fr-FR"/>
        </w:rPr>
        <w:t>Le signal de défaillance est produit conformément au paragraphe 4.13 :</w:t>
      </w:r>
    </w:p>
    <w:p w14:paraId="2D936ED2" w14:textId="786706D0" w:rsidR="00D8336A" w:rsidRPr="009E4C12" w:rsidRDefault="00D8336A" w:rsidP="00FD0FC2">
      <w:pPr>
        <w:pStyle w:val="SingleTxtG"/>
        <w:ind w:left="2268"/>
        <w:rPr>
          <w:b/>
          <w:lang w:val="fr-FR"/>
        </w:rPr>
      </w:pPr>
      <w:r>
        <w:rPr>
          <w:b/>
          <w:bCs/>
          <w:lang w:val="fr-FR"/>
        </w:rPr>
        <w:t>non</w:t>
      </w:r>
      <w:r>
        <w:rPr>
          <w:b/>
          <w:bCs/>
          <w:vertAlign w:val="superscript"/>
          <w:lang w:val="fr-FR"/>
        </w:rPr>
        <w:t>2</w:t>
      </w:r>
      <w:r>
        <w:rPr>
          <w:lang w:val="fr-FR"/>
        </w:rPr>
        <w:tab/>
      </w:r>
      <w:r w:rsidRPr="002632E5">
        <w:rPr>
          <w:b/>
          <w:bCs/>
          <w:lang w:val="fr-FR"/>
        </w:rPr>
        <w:t>/ oui</w:t>
      </w:r>
      <w:r>
        <w:rPr>
          <w:b/>
          <w:bCs/>
          <w:lang w:val="fr-FR"/>
        </w:rPr>
        <w:t xml:space="preserve"> : a) / b) / c) / d) </w:t>
      </w:r>
      <w:r w:rsidRPr="002632E5">
        <w:rPr>
          <w:b/>
          <w:bCs/>
          <w:lang w:val="fr-FR"/>
        </w:rPr>
        <w:t>/ e)</w:t>
      </w:r>
      <w:r w:rsidRPr="002632E5">
        <w:rPr>
          <w:b/>
          <w:bCs/>
          <w:vertAlign w:val="superscript"/>
          <w:lang w:val="fr-FR"/>
        </w:rPr>
        <w:t>2</w:t>
      </w:r>
      <w:r w:rsidRPr="002632E5">
        <w:rPr>
          <w:b/>
          <w:bCs/>
          <w:lang w:val="fr-FR"/>
        </w:rPr>
        <w:t> </w:t>
      </w:r>
      <w:r w:rsidRPr="002632E5">
        <w:rPr>
          <w:lang w:val="fr-FR"/>
        </w:rPr>
        <w:t>».</w:t>
      </w:r>
    </w:p>
    <w:p w14:paraId="0C0F3061" w14:textId="77777777" w:rsidR="00D8336A" w:rsidRPr="009E4C12" w:rsidRDefault="00D8336A" w:rsidP="00FD0FC2">
      <w:pPr>
        <w:pStyle w:val="SingleTxtG"/>
        <w:rPr>
          <w:lang w:val="fr-FR"/>
        </w:rPr>
      </w:pPr>
      <w:r>
        <w:rPr>
          <w:i/>
          <w:iCs/>
          <w:lang w:val="fr-FR"/>
        </w:rPr>
        <w:t>Ajouter le nouveau point 9.2.14</w:t>
      </w:r>
      <w:r>
        <w:rPr>
          <w:lang w:val="fr-FR"/>
        </w:rPr>
        <w:t>, libellé comme suit :</w:t>
      </w:r>
    </w:p>
    <w:p w14:paraId="3DBFB4A8" w14:textId="77777777" w:rsidR="00D8336A" w:rsidRPr="009E4C12" w:rsidRDefault="00D8336A" w:rsidP="00FD0FC2">
      <w:pPr>
        <w:pStyle w:val="SingleTxtG"/>
        <w:tabs>
          <w:tab w:val="clear" w:pos="1701"/>
          <w:tab w:val="clear" w:pos="2268"/>
          <w:tab w:val="clear" w:pos="2835"/>
        </w:tabs>
        <w:ind w:left="2268" w:hanging="1134"/>
        <w:rPr>
          <w:b/>
          <w:lang w:val="fr-FR"/>
        </w:rPr>
      </w:pPr>
      <w:r>
        <w:rPr>
          <w:b/>
          <w:bCs/>
          <w:lang w:val="fr-FR"/>
        </w:rPr>
        <w:t>« 9.2.14</w:t>
      </w:r>
      <w:r>
        <w:rPr>
          <w:lang w:val="fr-FR"/>
        </w:rPr>
        <w:tab/>
      </w:r>
      <w:r>
        <w:rPr>
          <w:b/>
          <w:bCs/>
          <w:lang w:val="fr-FR"/>
        </w:rPr>
        <w:t>Le signal de défaillance est produit conformément au paragraphe 4.13 :</w:t>
      </w:r>
    </w:p>
    <w:p w14:paraId="7E826C71" w14:textId="237D5CBA" w:rsidR="00D8336A" w:rsidRPr="009E4C12" w:rsidRDefault="00D8336A" w:rsidP="00FD0FC2">
      <w:pPr>
        <w:pStyle w:val="SingleTxtG"/>
        <w:ind w:left="2268"/>
        <w:rPr>
          <w:b/>
          <w:lang w:val="fr-FR"/>
        </w:rPr>
      </w:pPr>
      <w:r>
        <w:rPr>
          <w:b/>
          <w:bCs/>
          <w:lang w:val="fr-FR"/>
        </w:rPr>
        <w:t>non</w:t>
      </w:r>
      <w:r>
        <w:rPr>
          <w:b/>
          <w:bCs/>
          <w:vertAlign w:val="superscript"/>
          <w:lang w:val="fr-FR"/>
        </w:rPr>
        <w:t>2</w:t>
      </w:r>
      <w:r>
        <w:rPr>
          <w:lang w:val="fr-FR"/>
        </w:rPr>
        <w:tab/>
      </w:r>
      <w:r w:rsidRPr="002632E5">
        <w:rPr>
          <w:b/>
          <w:bCs/>
          <w:lang w:val="fr-FR"/>
        </w:rPr>
        <w:t>/ oui</w:t>
      </w:r>
      <w:r>
        <w:rPr>
          <w:b/>
          <w:bCs/>
          <w:lang w:val="fr-FR"/>
        </w:rPr>
        <w:t xml:space="preserve"> : a) / b) / c) / d) / </w:t>
      </w:r>
      <w:r w:rsidRPr="002632E5">
        <w:rPr>
          <w:b/>
          <w:bCs/>
          <w:lang w:val="fr-FR"/>
        </w:rPr>
        <w:t>e)</w:t>
      </w:r>
      <w:r w:rsidRPr="002632E5">
        <w:rPr>
          <w:b/>
          <w:bCs/>
          <w:vertAlign w:val="superscript"/>
          <w:lang w:val="fr-FR"/>
        </w:rPr>
        <w:t>2</w:t>
      </w:r>
      <w:r w:rsidRPr="002632E5">
        <w:rPr>
          <w:b/>
          <w:bCs/>
          <w:lang w:val="fr-FR"/>
        </w:rPr>
        <w:t> </w:t>
      </w:r>
      <w:r w:rsidRPr="002632E5">
        <w:rPr>
          <w:lang w:val="fr-FR"/>
        </w:rPr>
        <w:t>».</w:t>
      </w:r>
    </w:p>
    <w:p w14:paraId="6C871BF7" w14:textId="77777777" w:rsidR="00D8336A" w:rsidRPr="009E4C12" w:rsidRDefault="00D8336A" w:rsidP="00FD0FC2">
      <w:pPr>
        <w:pStyle w:val="SingleTxtG"/>
        <w:rPr>
          <w:lang w:val="fr-FR"/>
        </w:rPr>
      </w:pPr>
      <w:r>
        <w:rPr>
          <w:i/>
          <w:iCs/>
          <w:lang w:val="fr-FR"/>
        </w:rPr>
        <w:t xml:space="preserve">Annexe 9, </w:t>
      </w:r>
      <w:r w:rsidRPr="00FD0FC2">
        <w:rPr>
          <w:i/>
          <w:iCs/>
          <w:lang w:val="fr-FR"/>
        </w:rPr>
        <w:t>point</w:t>
      </w:r>
      <w:r>
        <w:rPr>
          <w:i/>
          <w:iCs/>
          <w:lang w:val="fr-FR"/>
        </w:rPr>
        <w:t> 1.2</w:t>
      </w:r>
      <w:r>
        <w:rPr>
          <w:lang w:val="fr-FR"/>
        </w:rPr>
        <w:t>, lire :</w:t>
      </w:r>
    </w:p>
    <w:p w14:paraId="1648C8BF" w14:textId="595F4A66" w:rsidR="00D8336A" w:rsidRPr="009E4C12" w:rsidRDefault="00D8336A" w:rsidP="00FD0FC2">
      <w:pPr>
        <w:pStyle w:val="SingleTxtG"/>
        <w:tabs>
          <w:tab w:val="clear" w:pos="1701"/>
          <w:tab w:val="clear" w:pos="2268"/>
          <w:tab w:val="clear" w:pos="2835"/>
        </w:tabs>
        <w:ind w:left="2268" w:hanging="1134"/>
        <w:rPr>
          <w:lang w:val="fr-FR"/>
        </w:rPr>
      </w:pPr>
      <w:r>
        <w:rPr>
          <w:lang w:val="fr-FR"/>
        </w:rPr>
        <w:t>« 1.2</w:t>
      </w:r>
      <w:r>
        <w:rPr>
          <w:lang w:val="fr-FR"/>
        </w:rPr>
        <w:tab/>
        <w:t>La conception du ou des modules DEL doit être telle que leur bon fonctionnement soit et demeure assuré dans les conditions normales d</w:t>
      </w:r>
      <w:r w:rsidR="001D289A">
        <w:rPr>
          <w:lang w:val="fr-FR"/>
        </w:rPr>
        <w:t>’</w:t>
      </w:r>
      <w:r>
        <w:rPr>
          <w:lang w:val="fr-FR"/>
        </w:rPr>
        <w:t>utilisation. En outre, les modules DEL ne doivent présenter aucun vice de conception ou de fabrication.</w:t>
      </w:r>
      <w:r w:rsidRPr="00490F7D">
        <w:rPr>
          <w:strike/>
          <w:lang w:val="fr-FR"/>
        </w:rPr>
        <w:t xml:space="preserve"> </w:t>
      </w:r>
      <w:r>
        <w:rPr>
          <w:strike/>
          <w:lang w:val="fr-FR"/>
        </w:rPr>
        <w:t>Un module DEL est considéré comme défaillant si l</w:t>
      </w:r>
      <w:r w:rsidR="001D289A">
        <w:rPr>
          <w:strike/>
          <w:lang w:val="fr-FR"/>
        </w:rPr>
        <w:t>’</w:t>
      </w:r>
      <w:r>
        <w:rPr>
          <w:strike/>
          <w:lang w:val="fr-FR"/>
        </w:rPr>
        <w:t>une de ses DEL est défaillante.</w:t>
      </w:r>
      <w:r>
        <w:rPr>
          <w:lang w:val="fr-FR"/>
        </w:rPr>
        <w:t> ».</w:t>
      </w:r>
    </w:p>
    <w:p w14:paraId="0149FE2A" w14:textId="5C511D96" w:rsidR="00D8336A" w:rsidRPr="009E4C12" w:rsidRDefault="00FD0FC2" w:rsidP="00FD0FC2">
      <w:pPr>
        <w:pStyle w:val="H1G"/>
        <w:rPr>
          <w:rFonts w:eastAsia="SimSun"/>
          <w:lang w:val="fr-FR"/>
        </w:rPr>
      </w:pPr>
      <w:r>
        <w:rPr>
          <w:bCs/>
          <w:lang w:val="fr-FR"/>
        </w:rPr>
        <w:tab/>
      </w:r>
      <w:r w:rsidR="00D8336A">
        <w:rPr>
          <w:bCs/>
          <w:lang w:val="fr-FR"/>
        </w:rPr>
        <w:t>B.</w:t>
      </w:r>
      <w:r w:rsidR="00D8336A">
        <w:rPr>
          <w:lang w:val="fr-FR"/>
        </w:rPr>
        <w:tab/>
      </w:r>
      <w:r w:rsidR="00D8336A">
        <w:rPr>
          <w:bCs/>
          <w:lang w:val="fr-FR"/>
        </w:rPr>
        <w:t xml:space="preserve">Proposition de </w:t>
      </w:r>
      <w:r w:rsidR="00D8336A" w:rsidRPr="00FD0FC2">
        <w:rPr>
          <w:lang w:val="fr-FR"/>
        </w:rPr>
        <w:t>complément</w:t>
      </w:r>
      <w:r w:rsidR="00D8336A">
        <w:rPr>
          <w:bCs/>
          <w:lang w:val="fr-FR"/>
        </w:rPr>
        <w:t xml:space="preserve"> aux séries 06, 07 et 08 d</w:t>
      </w:r>
      <w:r w:rsidR="001D289A">
        <w:rPr>
          <w:bCs/>
          <w:lang w:val="fr-FR"/>
        </w:rPr>
        <w:t>’</w:t>
      </w:r>
      <w:r w:rsidR="00D8336A">
        <w:rPr>
          <w:bCs/>
          <w:lang w:val="fr-FR"/>
        </w:rPr>
        <w:t>amendements au</w:t>
      </w:r>
      <w:r>
        <w:rPr>
          <w:bCs/>
          <w:lang w:val="fr-FR"/>
        </w:rPr>
        <w:t> </w:t>
      </w:r>
      <w:r w:rsidR="00D8336A">
        <w:rPr>
          <w:bCs/>
          <w:lang w:val="fr-FR"/>
        </w:rPr>
        <w:t>Règlement ONU n</w:t>
      </w:r>
      <w:r w:rsidR="00D8336A">
        <w:rPr>
          <w:bCs/>
          <w:vertAlign w:val="superscript"/>
          <w:lang w:val="fr-FR"/>
        </w:rPr>
        <w:t>o</w:t>
      </w:r>
      <w:r w:rsidR="00D8336A">
        <w:rPr>
          <w:bCs/>
          <w:lang w:val="fr-FR"/>
        </w:rPr>
        <w:t> 48</w:t>
      </w:r>
    </w:p>
    <w:p w14:paraId="0EA83C45" w14:textId="77777777" w:rsidR="00D8336A" w:rsidRPr="009E4C12" w:rsidRDefault="00D8336A" w:rsidP="00FD0FC2">
      <w:pPr>
        <w:pStyle w:val="SingleTxtG"/>
        <w:rPr>
          <w:lang w:val="fr-FR"/>
        </w:rPr>
      </w:pPr>
      <w:r>
        <w:rPr>
          <w:i/>
          <w:iCs/>
          <w:lang w:val="fr-FR"/>
        </w:rPr>
        <w:t>Paragraphe 6.2.8.2</w:t>
      </w:r>
      <w:r>
        <w:rPr>
          <w:lang w:val="fr-FR"/>
        </w:rPr>
        <w:t>, lire :</w:t>
      </w:r>
    </w:p>
    <w:p w14:paraId="671CE095" w14:textId="39CCF188" w:rsidR="00D8336A" w:rsidRPr="009E4C12" w:rsidRDefault="00D8336A" w:rsidP="00FD0FC2">
      <w:pPr>
        <w:pStyle w:val="SingleTxtG"/>
        <w:tabs>
          <w:tab w:val="clear" w:pos="1701"/>
          <w:tab w:val="clear" w:pos="2268"/>
          <w:tab w:val="clear" w:pos="2835"/>
        </w:tabs>
        <w:ind w:left="2268" w:hanging="1134"/>
        <w:rPr>
          <w:lang w:val="fr-FR"/>
        </w:rPr>
      </w:pPr>
      <w:r>
        <w:rPr>
          <w:lang w:val="fr-FR"/>
        </w:rPr>
        <w:t>« 6.2.8.2</w:t>
      </w:r>
      <w:r>
        <w:rPr>
          <w:lang w:val="fr-FR"/>
        </w:rPr>
        <w:tab/>
        <w:t>La présence d</w:t>
      </w:r>
      <w:r w:rsidR="001D289A">
        <w:rPr>
          <w:lang w:val="fr-FR"/>
        </w:rPr>
        <w:t>’</w:t>
      </w:r>
      <w:r>
        <w:rPr>
          <w:lang w:val="fr-FR"/>
        </w:rPr>
        <w:t xml:space="preserve">un témoin </w:t>
      </w:r>
      <w:r>
        <w:rPr>
          <w:strike/>
          <w:lang w:val="fr-FR"/>
        </w:rPr>
        <w:t>optique de</w:t>
      </w:r>
      <w:r>
        <w:rPr>
          <w:lang w:val="fr-FR"/>
        </w:rPr>
        <w:t xml:space="preserve"> </w:t>
      </w:r>
      <w:r>
        <w:rPr>
          <w:b/>
          <w:bCs/>
          <w:lang w:val="fr-FR"/>
        </w:rPr>
        <w:t>indiquant une défaillance</w:t>
      </w:r>
      <w:r>
        <w:rPr>
          <w:b/>
          <w:bCs/>
          <w:strike/>
          <w:lang w:val="fr-FR"/>
        </w:rPr>
        <w:t xml:space="preserve"> </w:t>
      </w:r>
      <w:r>
        <w:rPr>
          <w:strike/>
          <w:lang w:val="fr-FR"/>
        </w:rPr>
        <w:t>défaut de fonctionnement</w:t>
      </w:r>
      <w:r>
        <w:rPr>
          <w:lang w:val="fr-FR"/>
        </w:rPr>
        <w:t>, clignotant ou non, est obligatoire :</w:t>
      </w:r>
    </w:p>
    <w:p w14:paraId="59E09E57" w14:textId="0AD827D9" w:rsidR="00D8336A" w:rsidRPr="009E4C12" w:rsidRDefault="00D8336A" w:rsidP="00FD0FC2">
      <w:pPr>
        <w:pStyle w:val="SingleTxtG"/>
        <w:ind w:left="2835" w:hanging="567"/>
        <w:rPr>
          <w:lang w:val="fr-FR"/>
        </w:rPr>
      </w:pPr>
      <w:r w:rsidRPr="007550F8">
        <w:rPr>
          <w:lang w:val="fr-FR"/>
        </w:rPr>
        <w:t>a)</w:t>
      </w:r>
      <w:r>
        <w:rPr>
          <w:lang w:val="fr-FR"/>
        </w:rPr>
        <w:tab/>
        <w:t>Si l</w:t>
      </w:r>
      <w:r w:rsidR="001D289A">
        <w:rPr>
          <w:lang w:val="fr-FR"/>
        </w:rPr>
        <w:t>’</w:t>
      </w:r>
      <w:r>
        <w:rPr>
          <w:lang w:val="fr-FR"/>
        </w:rPr>
        <w:t>éclairage de virage est obtenu au moyen d</w:t>
      </w:r>
      <w:r w:rsidR="001D289A">
        <w:rPr>
          <w:lang w:val="fr-FR"/>
        </w:rPr>
        <w:t>’</w:t>
      </w:r>
      <w:r>
        <w:rPr>
          <w:lang w:val="fr-FR"/>
        </w:rPr>
        <w:t>un déplacement de l</w:t>
      </w:r>
      <w:r w:rsidR="001D289A">
        <w:rPr>
          <w:lang w:val="fr-FR"/>
        </w:rPr>
        <w:t>’</w:t>
      </w:r>
      <w:r>
        <w:rPr>
          <w:lang w:val="fr-FR"/>
        </w:rPr>
        <w:t xml:space="preserve">ensemble du faisceau ou du coude de la ligne de coupure ; </w:t>
      </w:r>
      <w:r w:rsidRPr="00537D1C">
        <w:rPr>
          <w:lang w:val="fr-FR"/>
        </w:rPr>
        <w:t>ou</w:t>
      </w:r>
    </w:p>
    <w:p w14:paraId="19274879" w14:textId="4573ABEC" w:rsidR="00D8336A" w:rsidRPr="009E4C12" w:rsidRDefault="00D8336A" w:rsidP="00FD0FC2">
      <w:pPr>
        <w:pStyle w:val="SingleTxtG"/>
        <w:ind w:left="2835" w:hanging="567"/>
        <w:rPr>
          <w:lang w:val="fr-FR"/>
        </w:rPr>
      </w:pPr>
      <w:r w:rsidRPr="007550F8">
        <w:rPr>
          <w:lang w:val="fr-FR"/>
        </w:rPr>
        <w:t>b)</w:t>
      </w:r>
      <w:r>
        <w:rPr>
          <w:lang w:val="fr-FR"/>
        </w:rPr>
        <w:tab/>
        <w:t>Si le faisceau de croisement principal est produit par un ou plusieurs modules DEL, sauf si leur branchement électrique est tel qu</w:t>
      </w:r>
      <w:r w:rsidR="001D289A">
        <w:rPr>
          <w:lang w:val="fr-FR"/>
        </w:rPr>
        <w:t>’</w:t>
      </w:r>
      <w:r>
        <w:rPr>
          <w:lang w:val="fr-FR"/>
        </w:rPr>
        <w:t>en cas de défaillance de l</w:t>
      </w:r>
      <w:r w:rsidR="001D289A">
        <w:rPr>
          <w:lang w:val="fr-FR"/>
        </w:rPr>
        <w:t>’</w:t>
      </w:r>
      <w:r>
        <w:rPr>
          <w:lang w:val="fr-FR"/>
        </w:rPr>
        <w:t>un d</w:t>
      </w:r>
      <w:r w:rsidR="001D289A">
        <w:rPr>
          <w:lang w:val="fr-FR"/>
        </w:rPr>
        <w:t>’</w:t>
      </w:r>
      <w:r>
        <w:rPr>
          <w:lang w:val="fr-FR"/>
        </w:rPr>
        <w:t>eux tous les autres s</w:t>
      </w:r>
      <w:r w:rsidR="001D289A">
        <w:rPr>
          <w:lang w:val="fr-FR"/>
        </w:rPr>
        <w:t>’</w:t>
      </w:r>
      <w:r>
        <w:rPr>
          <w:lang w:val="fr-FR"/>
        </w:rPr>
        <w:t>arrêtent d</w:t>
      </w:r>
      <w:r w:rsidR="001D289A">
        <w:rPr>
          <w:lang w:val="fr-FR"/>
        </w:rPr>
        <w:t>’</w:t>
      </w:r>
      <w:r>
        <w:rPr>
          <w:lang w:val="fr-FR"/>
        </w:rPr>
        <w:t>émettre de la lumière.</w:t>
      </w:r>
    </w:p>
    <w:p w14:paraId="13140DC5" w14:textId="26F22ACA" w:rsidR="00D8336A" w:rsidRPr="009E4C12" w:rsidRDefault="00D8336A" w:rsidP="00FD0FC2">
      <w:pPr>
        <w:pStyle w:val="SingleTxtG"/>
        <w:ind w:left="2268"/>
        <w:rPr>
          <w:lang w:val="fr-FR"/>
        </w:rPr>
      </w:pPr>
      <w:r>
        <w:rPr>
          <w:lang w:val="fr-FR"/>
        </w:rPr>
        <w:t>Il doit s</w:t>
      </w:r>
      <w:r w:rsidR="001D289A">
        <w:rPr>
          <w:lang w:val="fr-FR"/>
        </w:rPr>
        <w:t>’</w:t>
      </w:r>
      <w:r>
        <w:rPr>
          <w:lang w:val="fr-FR"/>
        </w:rPr>
        <w:t>activer :</w:t>
      </w:r>
    </w:p>
    <w:p w14:paraId="036100CF" w14:textId="77777777" w:rsidR="00D8336A" w:rsidRPr="009E4C12" w:rsidRDefault="00D8336A" w:rsidP="00FD0FC2">
      <w:pPr>
        <w:pStyle w:val="SingleTxtG"/>
        <w:ind w:left="2835" w:hanging="567"/>
        <w:rPr>
          <w:lang w:val="fr-FR"/>
        </w:rPr>
      </w:pPr>
      <w:r w:rsidRPr="007550F8">
        <w:rPr>
          <w:lang w:val="fr-FR"/>
        </w:rPr>
        <w:t>a)</w:t>
      </w:r>
      <w:r>
        <w:rPr>
          <w:lang w:val="fr-FR"/>
        </w:rPr>
        <w:tab/>
        <w:t xml:space="preserve">En cas de déplacement incorrect du coude de la ligne de coupure ; </w:t>
      </w:r>
      <w:r w:rsidRPr="007550F8">
        <w:rPr>
          <w:lang w:val="fr-FR"/>
        </w:rPr>
        <w:t>ou</w:t>
      </w:r>
    </w:p>
    <w:p w14:paraId="3B68A831" w14:textId="77777777" w:rsidR="00D8336A" w:rsidRPr="009E4C12" w:rsidRDefault="00D8336A" w:rsidP="00FD0FC2">
      <w:pPr>
        <w:pStyle w:val="SingleTxtG"/>
        <w:ind w:left="2835" w:hanging="567"/>
        <w:rPr>
          <w:lang w:val="fr-FR"/>
        </w:rPr>
      </w:pPr>
      <w:r w:rsidRPr="007550F8">
        <w:rPr>
          <w:lang w:val="fr-FR"/>
        </w:rPr>
        <w:t>b)</w:t>
      </w:r>
      <w:r>
        <w:rPr>
          <w:lang w:val="fr-FR"/>
        </w:rPr>
        <w:tab/>
      </w:r>
      <w:r>
        <w:rPr>
          <w:b/>
          <w:bCs/>
          <w:lang w:val="fr-FR"/>
        </w:rPr>
        <w:t>À la discrétion du fabricant :</w:t>
      </w:r>
    </w:p>
    <w:p w14:paraId="390932F9" w14:textId="41E5D979" w:rsidR="00D8336A" w:rsidRPr="009E4C12" w:rsidRDefault="00D8336A" w:rsidP="00B92131">
      <w:pPr>
        <w:pStyle w:val="SingleTxtG"/>
        <w:ind w:left="3119" w:hanging="284"/>
        <w:rPr>
          <w:lang w:val="fr-FR"/>
        </w:rPr>
      </w:pPr>
      <w:r w:rsidRPr="009E4C12">
        <w:rPr>
          <w:rFonts w:ascii="Courier New" w:hAnsi="Courier New"/>
          <w:lang w:val="fr-FR"/>
        </w:rPr>
        <w:t>-</w:t>
      </w:r>
      <w:r w:rsidRPr="009E4C12">
        <w:rPr>
          <w:rFonts w:ascii="Courier New" w:hAnsi="Courier New"/>
          <w:lang w:val="fr-FR"/>
        </w:rPr>
        <w:tab/>
      </w:r>
      <w:r>
        <w:rPr>
          <w:lang w:val="fr-FR"/>
        </w:rPr>
        <w:t>En cas de défaillance du module ou d</w:t>
      </w:r>
      <w:r w:rsidR="001D289A">
        <w:rPr>
          <w:lang w:val="fr-FR"/>
        </w:rPr>
        <w:t>’</w:t>
      </w:r>
      <w:r>
        <w:rPr>
          <w:lang w:val="fr-FR"/>
        </w:rPr>
        <w:t>un quelconque des modules produisant le faisceau de croisement principal, sauf si leur branchement électrique est tel qu</w:t>
      </w:r>
      <w:r w:rsidR="001D289A">
        <w:rPr>
          <w:lang w:val="fr-FR"/>
        </w:rPr>
        <w:t>’</w:t>
      </w:r>
      <w:r>
        <w:rPr>
          <w:lang w:val="fr-FR"/>
        </w:rPr>
        <w:t>en cas de défaillance de l</w:t>
      </w:r>
      <w:r w:rsidR="001D289A">
        <w:rPr>
          <w:lang w:val="fr-FR"/>
        </w:rPr>
        <w:t>’</w:t>
      </w:r>
      <w:r>
        <w:rPr>
          <w:lang w:val="fr-FR"/>
        </w:rPr>
        <w:t>un d</w:t>
      </w:r>
      <w:r w:rsidR="001D289A">
        <w:rPr>
          <w:lang w:val="fr-FR"/>
        </w:rPr>
        <w:t>’</w:t>
      </w:r>
      <w:r>
        <w:rPr>
          <w:lang w:val="fr-FR"/>
        </w:rPr>
        <w:t>eux tous les autres s</w:t>
      </w:r>
      <w:r w:rsidR="001D289A">
        <w:rPr>
          <w:lang w:val="fr-FR"/>
        </w:rPr>
        <w:t>’</w:t>
      </w:r>
      <w:r>
        <w:rPr>
          <w:lang w:val="fr-FR"/>
        </w:rPr>
        <w:t>arrêtent d</w:t>
      </w:r>
      <w:r w:rsidR="001D289A">
        <w:rPr>
          <w:lang w:val="fr-FR"/>
        </w:rPr>
        <w:t>’</w:t>
      </w:r>
      <w:r>
        <w:rPr>
          <w:lang w:val="fr-FR"/>
        </w:rPr>
        <w:t>émettre de la lumière</w:t>
      </w:r>
      <w:r>
        <w:rPr>
          <w:strike/>
          <w:lang w:val="fr-FR"/>
        </w:rPr>
        <w:t>.</w:t>
      </w:r>
      <w:r>
        <w:rPr>
          <w:b/>
          <w:bCs/>
          <w:lang w:val="fr-FR"/>
        </w:rPr>
        <w:t> ;</w:t>
      </w:r>
      <w:r>
        <w:rPr>
          <w:lang w:val="fr-FR"/>
        </w:rPr>
        <w:t xml:space="preserve"> </w:t>
      </w:r>
      <w:r>
        <w:rPr>
          <w:b/>
          <w:bCs/>
          <w:lang w:val="fr-FR"/>
        </w:rPr>
        <w:t>ou</w:t>
      </w:r>
    </w:p>
    <w:p w14:paraId="30F545C3" w14:textId="1C08A0F3" w:rsidR="00D8336A" w:rsidRPr="009E4C12" w:rsidRDefault="00D8336A" w:rsidP="00B92131">
      <w:pPr>
        <w:pStyle w:val="SingleTxtG"/>
        <w:ind w:left="3119" w:hanging="284"/>
        <w:rPr>
          <w:lang w:val="fr-FR"/>
        </w:rPr>
      </w:pPr>
      <w:r w:rsidRPr="009E4C12">
        <w:rPr>
          <w:rFonts w:ascii="Courier New" w:hAnsi="Courier New"/>
          <w:lang w:val="fr-FR"/>
        </w:rPr>
        <w:t>-</w:t>
      </w:r>
      <w:r w:rsidRPr="009E4C12">
        <w:rPr>
          <w:rFonts w:ascii="Courier New" w:hAnsi="Courier New"/>
          <w:lang w:val="fr-FR"/>
        </w:rPr>
        <w:tab/>
      </w:r>
      <w:r>
        <w:rPr>
          <w:b/>
          <w:bCs/>
          <w:lang w:val="fr-FR"/>
        </w:rPr>
        <w:t>Si un signal de défaillance est reçu conformément au paragraphe 4.13 de la série 01 ou d</w:t>
      </w:r>
      <w:r w:rsidR="001D289A">
        <w:rPr>
          <w:b/>
          <w:bCs/>
          <w:lang w:val="fr-FR"/>
        </w:rPr>
        <w:t>’</w:t>
      </w:r>
      <w:r>
        <w:rPr>
          <w:b/>
          <w:bCs/>
          <w:lang w:val="fr-FR"/>
        </w:rPr>
        <w:t>une série ultérieure d</w:t>
      </w:r>
      <w:r w:rsidR="001D289A">
        <w:rPr>
          <w:b/>
          <w:bCs/>
          <w:lang w:val="fr-FR"/>
        </w:rPr>
        <w:t>’</w:t>
      </w:r>
      <w:r>
        <w:rPr>
          <w:b/>
          <w:bCs/>
          <w:lang w:val="fr-FR"/>
        </w:rPr>
        <w:t>amendements au Règlement ONU n</w:t>
      </w:r>
      <w:r>
        <w:rPr>
          <w:b/>
          <w:bCs/>
          <w:vertAlign w:val="superscript"/>
          <w:lang w:val="fr-FR"/>
        </w:rPr>
        <w:t>o</w:t>
      </w:r>
      <w:r>
        <w:rPr>
          <w:b/>
          <w:bCs/>
          <w:lang w:val="fr-FR"/>
        </w:rPr>
        <w:t> 149.</w:t>
      </w:r>
    </w:p>
    <w:p w14:paraId="4C82125F" w14:textId="77777777" w:rsidR="00D8336A" w:rsidRPr="009E4C12" w:rsidRDefault="00D8336A" w:rsidP="00B92131">
      <w:pPr>
        <w:pStyle w:val="SingleTxtG"/>
        <w:ind w:left="2268"/>
        <w:rPr>
          <w:snapToGrid w:val="0"/>
          <w:lang w:val="fr-FR"/>
        </w:rPr>
      </w:pPr>
      <w:r>
        <w:rPr>
          <w:b/>
          <w:bCs/>
          <w:lang w:val="fr-FR"/>
        </w:rPr>
        <w:t>Dans tous les cas, une fois activé,</w:t>
      </w:r>
      <w:r>
        <w:rPr>
          <w:lang w:val="fr-FR"/>
        </w:rPr>
        <w:t xml:space="preserve"> </w:t>
      </w:r>
      <w:r>
        <w:rPr>
          <w:b/>
          <w:bCs/>
          <w:lang w:val="fr-FR"/>
        </w:rPr>
        <w:t xml:space="preserve">il </w:t>
      </w:r>
      <w:r>
        <w:rPr>
          <w:strike/>
          <w:lang w:val="fr-FR"/>
        </w:rPr>
        <w:t>Il</w:t>
      </w:r>
      <w:r>
        <w:rPr>
          <w:lang w:val="fr-FR"/>
        </w:rPr>
        <w:t xml:space="preserve"> doit </w:t>
      </w:r>
      <w:r>
        <w:rPr>
          <w:b/>
          <w:bCs/>
          <w:lang w:val="fr-FR"/>
        </w:rPr>
        <w:t>le</w:t>
      </w:r>
      <w:r>
        <w:rPr>
          <w:lang w:val="fr-FR"/>
        </w:rPr>
        <w:t xml:space="preserve"> rester </w:t>
      </w:r>
      <w:r>
        <w:rPr>
          <w:strike/>
          <w:lang w:val="fr-FR"/>
        </w:rPr>
        <w:t xml:space="preserve">activé </w:t>
      </w:r>
      <w:r>
        <w:rPr>
          <w:lang w:val="fr-FR"/>
        </w:rPr>
        <w:t>aussi longtemps que dure la défaillance. Il peut être désactivé temporairement, mais doit être remis en fonction chaque fois que le dispositif qui met le moteur en marche ou le coupe est activé ou désactivé. ».</w:t>
      </w:r>
    </w:p>
    <w:p w14:paraId="350799C2" w14:textId="0B84B521" w:rsidR="00D8336A" w:rsidRPr="009E4C12" w:rsidRDefault="00B92131" w:rsidP="00B92131">
      <w:pPr>
        <w:pStyle w:val="H1G"/>
        <w:rPr>
          <w:rFonts w:eastAsia="SimSun"/>
          <w:lang w:val="fr-FR"/>
        </w:rPr>
      </w:pPr>
      <w:r>
        <w:rPr>
          <w:bCs/>
          <w:lang w:val="fr-FR"/>
        </w:rPr>
        <w:lastRenderedPageBreak/>
        <w:tab/>
      </w:r>
      <w:r w:rsidR="00D8336A">
        <w:rPr>
          <w:bCs/>
          <w:lang w:val="fr-FR"/>
        </w:rPr>
        <w:t>C.</w:t>
      </w:r>
      <w:r w:rsidR="00D8336A">
        <w:rPr>
          <w:lang w:val="fr-FR"/>
        </w:rPr>
        <w:tab/>
      </w:r>
      <w:r w:rsidR="00D8336A">
        <w:rPr>
          <w:bCs/>
          <w:lang w:val="fr-FR"/>
        </w:rPr>
        <w:t>Proposition de complément à la série 09 d</w:t>
      </w:r>
      <w:r w:rsidR="001D289A">
        <w:rPr>
          <w:bCs/>
          <w:lang w:val="fr-FR"/>
        </w:rPr>
        <w:t>’</w:t>
      </w:r>
      <w:r w:rsidR="00D8336A">
        <w:rPr>
          <w:bCs/>
          <w:lang w:val="fr-FR"/>
        </w:rPr>
        <w:t xml:space="preserve">amendements </w:t>
      </w:r>
      <w:r>
        <w:rPr>
          <w:bCs/>
          <w:lang w:val="fr-FR"/>
        </w:rPr>
        <w:br/>
      </w:r>
      <w:r w:rsidR="00D8336A">
        <w:rPr>
          <w:bCs/>
          <w:lang w:val="fr-FR"/>
        </w:rPr>
        <w:t>au Règlement ONU n</w:t>
      </w:r>
      <w:r w:rsidR="00D8336A">
        <w:rPr>
          <w:bCs/>
          <w:vertAlign w:val="superscript"/>
          <w:lang w:val="fr-FR"/>
        </w:rPr>
        <w:t>o</w:t>
      </w:r>
      <w:r w:rsidR="00D8336A">
        <w:rPr>
          <w:bCs/>
          <w:lang w:val="fr-FR"/>
        </w:rPr>
        <w:t> 48</w:t>
      </w:r>
    </w:p>
    <w:p w14:paraId="7FA279BF" w14:textId="77777777" w:rsidR="00D8336A" w:rsidRPr="009E4C12" w:rsidRDefault="00D8336A" w:rsidP="00B92131">
      <w:pPr>
        <w:pStyle w:val="SingleTxtG"/>
        <w:rPr>
          <w:lang w:val="fr-FR"/>
        </w:rPr>
      </w:pPr>
      <w:r>
        <w:rPr>
          <w:i/>
          <w:iCs/>
          <w:lang w:val="fr-FR"/>
        </w:rPr>
        <w:t>Paragraphe 6.2.8.2</w:t>
      </w:r>
      <w:r>
        <w:rPr>
          <w:lang w:val="fr-FR"/>
        </w:rPr>
        <w:t>, lire :</w:t>
      </w:r>
    </w:p>
    <w:p w14:paraId="17257F2A" w14:textId="1D57863C" w:rsidR="00D8336A" w:rsidRPr="009E4C12" w:rsidRDefault="00D8336A" w:rsidP="00B92131">
      <w:pPr>
        <w:pStyle w:val="SingleTxtG"/>
        <w:tabs>
          <w:tab w:val="clear" w:pos="1701"/>
          <w:tab w:val="clear" w:pos="2268"/>
          <w:tab w:val="clear" w:pos="2835"/>
        </w:tabs>
        <w:ind w:left="2268" w:hanging="1134"/>
        <w:rPr>
          <w:lang w:val="fr-FR"/>
        </w:rPr>
      </w:pPr>
      <w:r>
        <w:rPr>
          <w:lang w:val="fr-FR"/>
        </w:rPr>
        <w:t>« 6.2.8.2</w:t>
      </w:r>
      <w:r>
        <w:rPr>
          <w:lang w:val="fr-FR"/>
        </w:rPr>
        <w:tab/>
        <w:t>La présence d</w:t>
      </w:r>
      <w:r w:rsidR="001D289A">
        <w:rPr>
          <w:lang w:val="fr-FR"/>
        </w:rPr>
        <w:t>’</w:t>
      </w:r>
      <w:r>
        <w:rPr>
          <w:lang w:val="fr-FR"/>
        </w:rPr>
        <w:t xml:space="preserve">un témoin </w:t>
      </w:r>
      <w:r>
        <w:rPr>
          <w:strike/>
          <w:lang w:val="fr-FR"/>
        </w:rPr>
        <w:t>optique de</w:t>
      </w:r>
      <w:r>
        <w:rPr>
          <w:lang w:val="fr-FR"/>
        </w:rPr>
        <w:t xml:space="preserve"> </w:t>
      </w:r>
      <w:r>
        <w:rPr>
          <w:b/>
          <w:bCs/>
          <w:lang w:val="fr-FR"/>
        </w:rPr>
        <w:t>indiquant une défaillance</w:t>
      </w:r>
      <w:r>
        <w:rPr>
          <w:b/>
          <w:bCs/>
          <w:strike/>
          <w:lang w:val="fr-FR"/>
        </w:rPr>
        <w:t xml:space="preserve"> </w:t>
      </w:r>
      <w:r>
        <w:rPr>
          <w:strike/>
          <w:lang w:val="fr-FR"/>
        </w:rPr>
        <w:t>défaut de fonctionnement</w:t>
      </w:r>
      <w:r>
        <w:rPr>
          <w:lang w:val="fr-FR"/>
        </w:rPr>
        <w:t>, clignotant ou non, est obligatoire :</w:t>
      </w:r>
    </w:p>
    <w:p w14:paraId="148C1B98" w14:textId="28EBCA79" w:rsidR="00D8336A" w:rsidRPr="009E4C12" w:rsidRDefault="00D8336A" w:rsidP="00B92131">
      <w:pPr>
        <w:pStyle w:val="SingleTxtG"/>
        <w:ind w:left="2835" w:hanging="567"/>
        <w:rPr>
          <w:lang w:val="fr-FR"/>
        </w:rPr>
      </w:pPr>
      <w:r w:rsidRPr="00A02F2C">
        <w:rPr>
          <w:lang w:val="fr-FR"/>
        </w:rPr>
        <w:t>a)</w:t>
      </w:r>
      <w:r>
        <w:rPr>
          <w:lang w:val="fr-FR"/>
        </w:rPr>
        <w:tab/>
        <w:t>Si l</w:t>
      </w:r>
      <w:r w:rsidR="001D289A">
        <w:rPr>
          <w:lang w:val="fr-FR"/>
        </w:rPr>
        <w:t>’</w:t>
      </w:r>
      <w:r>
        <w:rPr>
          <w:lang w:val="fr-FR"/>
        </w:rPr>
        <w:t>éclairage de virage est obtenu au moyen d</w:t>
      </w:r>
      <w:r w:rsidR="001D289A">
        <w:rPr>
          <w:lang w:val="fr-FR"/>
        </w:rPr>
        <w:t>’</w:t>
      </w:r>
      <w:r>
        <w:rPr>
          <w:lang w:val="fr-FR"/>
        </w:rPr>
        <w:t>un déplacement de l</w:t>
      </w:r>
      <w:r w:rsidR="001D289A">
        <w:rPr>
          <w:lang w:val="fr-FR"/>
        </w:rPr>
        <w:t>’</w:t>
      </w:r>
      <w:r>
        <w:rPr>
          <w:lang w:val="fr-FR"/>
        </w:rPr>
        <w:t xml:space="preserve">ensemble du faisceau ou du coude de la ligne de coupure ; </w:t>
      </w:r>
      <w:r w:rsidRPr="00537D1C">
        <w:rPr>
          <w:lang w:val="fr-FR"/>
        </w:rPr>
        <w:t>ou</w:t>
      </w:r>
    </w:p>
    <w:p w14:paraId="5E0B4592" w14:textId="33AC1653" w:rsidR="00D8336A" w:rsidRPr="009E4C12" w:rsidRDefault="00D8336A" w:rsidP="00B92131">
      <w:pPr>
        <w:pStyle w:val="SingleTxtG"/>
        <w:ind w:left="2835" w:hanging="567"/>
        <w:rPr>
          <w:lang w:val="fr-FR"/>
        </w:rPr>
      </w:pPr>
      <w:r w:rsidRPr="00A02F2C">
        <w:rPr>
          <w:lang w:val="fr-FR"/>
        </w:rPr>
        <w:t>b)</w:t>
      </w:r>
      <w:r>
        <w:rPr>
          <w:lang w:val="fr-FR"/>
        </w:rPr>
        <w:tab/>
        <w:t>Si le faisceau de croisement principal est produit par un ou plusieurs modules d</w:t>
      </w:r>
      <w:r w:rsidR="001D289A">
        <w:rPr>
          <w:lang w:val="fr-FR"/>
        </w:rPr>
        <w:t>’</w:t>
      </w:r>
      <w:r>
        <w:rPr>
          <w:lang w:val="fr-FR"/>
        </w:rPr>
        <w:t>éclairage ou par une ou plusieurs sources lumineuses non remplaçables ou s</w:t>
      </w:r>
      <w:r w:rsidR="001D289A">
        <w:rPr>
          <w:lang w:val="fr-FR"/>
        </w:rPr>
        <w:t>’</w:t>
      </w:r>
      <w:r>
        <w:rPr>
          <w:lang w:val="fr-FR"/>
        </w:rPr>
        <w:t>il est produit par plus d</w:t>
      </w:r>
      <w:r w:rsidR="001D289A">
        <w:rPr>
          <w:lang w:val="fr-FR"/>
        </w:rPr>
        <w:t>’</w:t>
      </w:r>
      <w:r>
        <w:rPr>
          <w:lang w:val="fr-FR"/>
        </w:rPr>
        <w:t>une source lumineuse faisant l</w:t>
      </w:r>
      <w:r w:rsidR="001D289A">
        <w:rPr>
          <w:lang w:val="fr-FR"/>
        </w:rPr>
        <w:t>’</w:t>
      </w:r>
      <w:r>
        <w:rPr>
          <w:lang w:val="fr-FR"/>
        </w:rPr>
        <w:t>objet d</w:t>
      </w:r>
      <w:r w:rsidR="001D289A">
        <w:rPr>
          <w:lang w:val="fr-FR"/>
        </w:rPr>
        <w:t>’</w:t>
      </w:r>
      <w:r>
        <w:rPr>
          <w:lang w:val="fr-FR"/>
        </w:rPr>
        <w:t>une homologation ONU, sauf si leur branchement électrique est tel qu</w:t>
      </w:r>
      <w:r w:rsidR="001D289A">
        <w:rPr>
          <w:lang w:val="fr-FR"/>
        </w:rPr>
        <w:t>’</w:t>
      </w:r>
      <w:r>
        <w:rPr>
          <w:lang w:val="fr-FR"/>
        </w:rPr>
        <w:t>en cas de défaillance de l</w:t>
      </w:r>
      <w:r w:rsidR="001D289A">
        <w:rPr>
          <w:lang w:val="fr-FR"/>
        </w:rPr>
        <w:t>’</w:t>
      </w:r>
      <w:r>
        <w:rPr>
          <w:lang w:val="fr-FR"/>
        </w:rPr>
        <w:t>une des sources lumineuses toutes les autres s</w:t>
      </w:r>
      <w:r w:rsidR="001D289A">
        <w:rPr>
          <w:lang w:val="fr-FR"/>
        </w:rPr>
        <w:t>’</w:t>
      </w:r>
      <w:r>
        <w:rPr>
          <w:lang w:val="fr-FR"/>
        </w:rPr>
        <w:t>arrêtent d</w:t>
      </w:r>
      <w:r w:rsidR="001D289A">
        <w:rPr>
          <w:lang w:val="fr-FR"/>
        </w:rPr>
        <w:t>’</w:t>
      </w:r>
      <w:r>
        <w:rPr>
          <w:lang w:val="fr-FR"/>
        </w:rPr>
        <w:t>émettre de la lumière.</w:t>
      </w:r>
    </w:p>
    <w:p w14:paraId="7178EA72" w14:textId="3C2C319A" w:rsidR="00D8336A" w:rsidRPr="009E4C12" w:rsidRDefault="00D8336A" w:rsidP="00B92131">
      <w:pPr>
        <w:pStyle w:val="SingleTxtG"/>
        <w:ind w:left="2268"/>
        <w:rPr>
          <w:lang w:val="fr-FR"/>
        </w:rPr>
      </w:pPr>
      <w:r>
        <w:rPr>
          <w:lang w:val="fr-FR"/>
        </w:rPr>
        <w:t>Il doit s</w:t>
      </w:r>
      <w:r w:rsidR="001D289A">
        <w:rPr>
          <w:lang w:val="fr-FR"/>
        </w:rPr>
        <w:t>’</w:t>
      </w:r>
      <w:r>
        <w:rPr>
          <w:lang w:val="fr-FR"/>
        </w:rPr>
        <w:t>activer :</w:t>
      </w:r>
    </w:p>
    <w:p w14:paraId="46C713A5" w14:textId="77777777" w:rsidR="00D8336A" w:rsidRPr="009E4C12" w:rsidRDefault="00D8336A" w:rsidP="00B92131">
      <w:pPr>
        <w:pStyle w:val="SingleTxtG"/>
        <w:ind w:left="2835" w:hanging="567"/>
        <w:rPr>
          <w:lang w:val="fr-FR"/>
        </w:rPr>
      </w:pPr>
      <w:r w:rsidRPr="00A02F2C">
        <w:rPr>
          <w:lang w:val="fr-FR"/>
        </w:rPr>
        <w:t>a)</w:t>
      </w:r>
      <w:r>
        <w:rPr>
          <w:lang w:val="fr-FR"/>
        </w:rPr>
        <w:tab/>
        <w:t xml:space="preserve">En cas de déplacement incorrect du coude de la ligne de coupure ; </w:t>
      </w:r>
      <w:r w:rsidRPr="00A02F2C">
        <w:rPr>
          <w:lang w:val="fr-FR"/>
        </w:rPr>
        <w:t>ou</w:t>
      </w:r>
    </w:p>
    <w:p w14:paraId="5E498113" w14:textId="77777777" w:rsidR="00D8336A" w:rsidRPr="009E4C12" w:rsidRDefault="00D8336A" w:rsidP="00B92131">
      <w:pPr>
        <w:pStyle w:val="SingleTxtG"/>
        <w:ind w:left="2835" w:hanging="567"/>
        <w:rPr>
          <w:lang w:val="fr-FR"/>
        </w:rPr>
      </w:pPr>
      <w:r w:rsidRPr="00A02F2C">
        <w:rPr>
          <w:lang w:val="fr-FR"/>
        </w:rPr>
        <w:t>b)</w:t>
      </w:r>
      <w:r>
        <w:rPr>
          <w:lang w:val="fr-FR"/>
        </w:rPr>
        <w:tab/>
      </w:r>
      <w:r>
        <w:rPr>
          <w:b/>
          <w:bCs/>
          <w:lang w:val="fr-FR"/>
        </w:rPr>
        <w:t>À la discrétion du fabricant,</w:t>
      </w:r>
      <w:r>
        <w:rPr>
          <w:lang w:val="fr-FR"/>
        </w:rPr>
        <w:t xml:space="preserve"> </w:t>
      </w:r>
    </w:p>
    <w:p w14:paraId="44E99177" w14:textId="2881EE96" w:rsidR="00D8336A" w:rsidRPr="009E4C12" w:rsidRDefault="00D8336A" w:rsidP="00B92131">
      <w:pPr>
        <w:pStyle w:val="SingleTxtG"/>
        <w:ind w:left="3119" w:hanging="284"/>
        <w:rPr>
          <w:lang w:val="fr-FR"/>
        </w:rPr>
      </w:pPr>
      <w:r w:rsidRPr="009E4C12">
        <w:rPr>
          <w:rFonts w:ascii="Courier New" w:hAnsi="Courier New"/>
          <w:lang w:val="fr-FR"/>
        </w:rPr>
        <w:t>-</w:t>
      </w:r>
      <w:r w:rsidRPr="009E4C12">
        <w:rPr>
          <w:rFonts w:ascii="Courier New" w:hAnsi="Courier New"/>
          <w:lang w:val="fr-FR"/>
        </w:rPr>
        <w:tab/>
      </w:r>
      <w:r>
        <w:rPr>
          <w:lang w:val="fr-FR"/>
        </w:rPr>
        <w:t>En cas de défaillance d</w:t>
      </w:r>
      <w:r w:rsidR="001D289A">
        <w:rPr>
          <w:lang w:val="fr-FR"/>
        </w:rPr>
        <w:t>’</w:t>
      </w:r>
      <w:r>
        <w:rPr>
          <w:lang w:val="fr-FR"/>
        </w:rPr>
        <w:t>un quelconque des modules d</w:t>
      </w:r>
      <w:r w:rsidR="001D289A">
        <w:rPr>
          <w:lang w:val="fr-FR"/>
        </w:rPr>
        <w:t>’</w:t>
      </w:r>
      <w:r>
        <w:rPr>
          <w:lang w:val="fr-FR"/>
        </w:rPr>
        <w:t>éclairage, des sources lumineuses non remplaçables ou des sources lumineuses faisant l</w:t>
      </w:r>
      <w:r w:rsidR="001D289A">
        <w:rPr>
          <w:lang w:val="fr-FR"/>
        </w:rPr>
        <w:t>’</w:t>
      </w:r>
      <w:r>
        <w:rPr>
          <w:lang w:val="fr-FR"/>
        </w:rPr>
        <w:t>objet d</w:t>
      </w:r>
      <w:r w:rsidR="001D289A">
        <w:rPr>
          <w:lang w:val="fr-FR"/>
        </w:rPr>
        <w:t>’</w:t>
      </w:r>
      <w:r>
        <w:rPr>
          <w:lang w:val="fr-FR"/>
        </w:rPr>
        <w:t>une homologation ONU produisant le faisceau de croisement principal, sauf si leur branchement électrique est tel que la défaillance d</w:t>
      </w:r>
      <w:r w:rsidR="001D289A">
        <w:rPr>
          <w:lang w:val="fr-FR"/>
        </w:rPr>
        <w:t>’</w:t>
      </w:r>
      <w:r>
        <w:rPr>
          <w:lang w:val="fr-FR"/>
        </w:rPr>
        <w:t>une quelconque des sources lumineuses cause l</w:t>
      </w:r>
      <w:r w:rsidR="001D289A">
        <w:rPr>
          <w:lang w:val="fr-FR"/>
        </w:rPr>
        <w:t>’</w:t>
      </w:r>
      <w:r>
        <w:rPr>
          <w:lang w:val="fr-FR"/>
        </w:rPr>
        <w:t>extinction de toutes</w:t>
      </w:r>
      <w:r>
        <w:rPr>
          <w:strike/>
          <w:lang w:val="fr-FR"/>
        </w:rPr>
        <w:t>.</w:t>
      </w:r>
      <w:r>
        <w:rPr>
          <w:lang w:val="fr-FR"/>
        </w:rPr>
        <w:t> </w:t>
      </w:r>
      <w:r>
        <w:rPr>
          <w:b/>
          <w:bCs/>
          <w:lang w:val="fr-FR"/>
        </w:rPr>
        <w:t>;</w:t>
      </w:r>
      <w:r>
        <w:rPr>
          <w:lang w:val="fr-FR"/>
        </w:rPr>
        <w:t xml:space="preserve"> </w:t>
      </w:r>
      <w:r>
        <w:rPr>
          <w:b/>
          <w:bCs/>
          <w:lang w:val="fr-FR"/>
        </w:rPr>
        <w:t>ou</w:t>
      </w:r>
      <w:r>
        <w:rPr>
          <w:lang w:val="fr-FR"/>
        </w:rPr>
        <w:t xml:space="preserve"> </w:t>
      </w:r>
    </w:p>
    <w:p w14:paraId="4F7E5AB8" w14:textId="4ABFECE0" w:rsidR="00D8336A" w:rsidRPr="009E4C12" w:rsidRDefault="00D8336A" w:rsidP="00B92131">
      <w:pPr>
        <w:pStyle w:val="SingleTxtG"/>
        <w:ind w:left="3119" w:hanging="284"/>
        <w:rPr>
          <w:b/>
          <w:bCs/>
          <w:lang w:val="fr-FR"/>
        </w:rPr>
      </w:pPr>
      <w:r w:rsidRPr="009E4C12">
        <w:rPr>
          <w:rFonts w:ascii="Courier New" w:hAnsi="Courier New"/>
          <w:bCs/>
          <w:lang w:val="fr-FR"/>
        </w:rPr>
        <w:t>-</w:t>
      </w:r>
      <w:r w:rsidRPr="009E4C12">
        <w:rPr>
          <w:rFonts w:ascii="Courier New" w:hAnsi="Courier New"/>
          <w:bCs/>
          <w:lang w:val="fr-FR"/>
        </w:rPr>
        <w:tab/>
      </w:r>
      <w:r>
        <w:rPr>
          <w:b/>
          <w:bCs/>
          <w:lang w:val="fr-FR"/>
        </w:rPr>
        <w:t>Si un signal de défaillance est reçu conformément au paragraphe 4.13 de la série 01 ou d</w:t>
      </w:r>
      <w:r w:rsidR="001D289A">
        <w:rPr>
          <w:b/>
          <w:bCs/>
          <w:lang w:val="fr-FR"/>
        </w:rPr>
        <w:t>’</w:t>
      </w:r>
      <w:r>
        <w:rPr>
          <w:b/>
          <w:bCs/>
          <w:lang w:val="fr-FR"/>
        </w:rPr>
        <w:t>une série ultérieure d</w:t>
      </w:r>
      <w:r w:rsidR="001D289A">
        <w:rPr>
          <w:b/>
          <w:bCs/>
          <w:lang w:val="fr-FR"/>
        </w:rPr>
        <w:t>’</w:t>
      </w:r>
      <w:r>
        <w:rPr>
          <w:b/>
          <w:bCs/>
          <w:lang w:val="fr-FR"/>
        </w:rPr>
        <w:t>amendements au Règlement ONU n</w:t>
      </w:r>
      <w:r>
        <w:rPr>
          <w:b/>
          <w:bCs/>
          <w:vertAlign w:val="superscript"/>
          <w:lang w:val="fr-FR"/>
        </w:rPr>
        <w:t>o</w:t>
      </w:r>
      <w:r>
        <w:rPr>
          <w:b/>
          <w:bCs/>
          <w:lang w:val="fr-FR"/>
        </w:rPr>
        <w:t> 149.</w:t>
      </w:r>
    </w:p>
    <w:p w14:paraId="3D6B328A" w14:textId="77777777" w:rsidR="00D8336A" w:rsidRPr="009E4C12" w:rsidRDefault="00D8336A" w:rsidP="00B92131">
      <w:pPr>
        <w:pStyle w:val="SingleTxtG"/>
        <w:ind w:left="2268"/>
        <w:rPr>
          <w:lang w:val="fr-FR"/>
        </w:rPr>
      </w:pPr>
      <w:r>
        <w:rPr>
          <w:b/>
          <w:bCs/>
          <w:lang w:val="fr-FR"/>
        </w:rPr>
        <w:t>Dans tous les cas, une fois activé,</w:t>
      </w:r>
      <w:r>
        <w:rPr>
          <w:lang w:val="fr-FR"/>
        </w:rPr>
        <w:t xml:space="preserve"> </w:t>
      </w:r>
      <w:r>
        <w:rPr>
          <w:b/>
          <w:bCs/>
          <w:lang w:val="fr-FR"/>
        </w:rPr>
        <w:t xml:space="preserve">il </w:t>
      </w:r>
      <w:r>
        <w:rPr>
          <w:strike/>
          <w:lang w:val="fr-FR"/>
        </w:rPr>
        <w:t>Il</w:t>
      </w:r>
      <w:r>
        <w:rPr>
          <w:lang w:val="fr-FR"/>
        </w:rPr>
        <w:t xml:space="preserve"> doit </w:t>
      </w:r>
      <w:r>
        <w:rPr>
          <w:b/>
          <w:bCs/>
          <w:lang w:val="fr-FR"/>
        </w:rPr>
        <w:t>le</w:t>
      </w:r>
      <w:r>
        <w:rPr>
          <w:lang w:val="fr-FR"/>
        </w:rPr>
        <w:t xml:space="preserve"> rester </w:t>
      </w:r>
      <w:r>
        <w:rPr>
          <w:strike/>
          <w:lang w:val="fr-FR"/>
        </w:rPr>
        <w:t xml:space="preserve">activé </w:t>
      </w:r>
      <w:r>
        <w:rPr>
          <w:lang w:val="fr-FR"/>
        </w:rPr>
        <w:t>aussi longtemps que dure la défaillance. Il peut être désactivé temporairement, mais doit être remis en fonction chaque fois que le dispositif qui met le moteur en marche ou le coupe est activé ou désactivé. ».</w:t>
      </w:r>
    </w:p>
    <w:p w14:paraId="547EAEF9" w14:textId="77777777" w:rsidR="00D8336A" w:rsidRPr="009E4C12" w:rsidRDefault="00D8336A" w:rsidP="00B92131">
      <w:pPr>
        <w:pStyle w:val="HChG"/>
        <w:rPr>
          <w:lang w:val="fr-FR"/>
        </w:rPr>
      </w:pPr>
      <w:r>
        <w:rPr>
          <w:lang w:val="fr-FR"/>
        </w:rPr>
        <w:tab/>
        <w:t>II.</w:t>
      </w:r>
      <w:r>
        <w:rPr>
          <w:lang w:val="fr-FR"/>
        </w:rPr>
        <w:tab/>
        <w:t>Justification</w:t>
      </w:r>
    </w:p>
    <w:p w14:paraId="1B0B744E" w14:textId="1345E64A" w:rsidR="00D8336A" w:rsidRPr="009E4C12" w:rsidRDefault="00D8336A" w:rsidP="00B92131">
      <w:pPr>
        <w:pStyle w:val="SingleTxtG"/>
        <w:rPr>
          <w:lang w:val="fr-FR"/>
        </w:rPr>
      </w:pPr>
      <w:r>
        <w:rPr>
          <w:lang w:val="fr-FR"/>
        </w:rPr>
        <w:t>1.</w:t>
      </w:r>
      <w:r>
        <w:rPr>
          <w:lang w:val="fr-FR"/>
        </w:rPr>
        <w:tab/>
        <w:t>Lorsqu</w:t>
      </w:r>
      <w:r w:rsidR="001D289A">
        <w:rPr>
          <w:lang w:val="fr-FR"/>
        </w:rPr>
        <w:t>’</w:t>
      </w:r>
      <w:r>
        <w:rPr>
          <w:lang w:val="fr-FR"/>
        </w:rPr>
        <w:t>elles ont été adoptées, les dispositions relatives à la défaillance des projecteurs étalons et des systèmes d</w:t>
      </w:r>
      <w:r w:rsidR="001D289A">
        <w:rPr>
          <w:lang w:val="fr-FR"/>
        </w:rPr>
        <w:t>’</w:t>
      </w:r>
      <w:r>
        <w:rPr>
          <w:lang w:val="fr-FR"/>
        </w:rPr>
        <w:t>éclairage avant adaptatifs (AFS) étaient cohérentes avec les technologies utilisées à l</w:t>
      </w:r>
      <w:r w:rsidR="001D289A">
        <w:rPr>
          <w:lang w:val="fr-FR"/>
        </w:rPr>
        <w:t>’</w:t>
      </w:r>
      <w:r>
        <w:rPr>
          <w:lang w:val="fr-FR"/>
        </w:rPr>
        <w:t>époque, car chaque élément de la ou des sources lumineuses émettant de la lumière était indispensable pour satisfaire aux prescriptions photométriques. Grâce aux nouvelles technologies et aux nouvelles sources lumineuses, les feux de croisement sont désormais constitués d</w:t>
      </w:r>
      <w:r w:rsidR="001D289A">
        <w:rPr>
          <w:lang w:val="fr-FR"/>
        </w:rPr>
        <w:t>’</w:t>
      </w:r>
      <w:r>
        <w:rPr>
          <w:lang w:val="fr-FR"/>
        </w:rPr>
        <w:t>un grand nombre d</w:t>
      </w:r>
      <w:r w:rsidR="001D289A">
        <w:rPr>
          <w:lang w:val="fr-FR"/>
        </w:rPr>
        <w:t>’</w:t>
      </w:r>
      <w:r>
        <w:rPr>
          <w:lang w:val="fr-FR"/>
        </w:rPr>
        <w:t>éléments émettant un rayonnement optique visible et la défaillance d</w:t>
      </w:r>
      <w:r w:rsidR="001D289A">
        <w:rPr>
          <w:lang w:val="fr-FR"/>
        </w:rPr>
        <w:t>’</w:t>
      </w:r>
      <w:r>
        <w:rPr>
          <w:lang w:val="fr-FR"/>
        </w:rPr>
        <w:t xml:space="preserve">un premier de ces éléments est </w:t>
      </w:r>
      <w:r w:rsidRPr="00AA3727">
        <w:rPr>
          <w:lang w:val="fr-FR"/>
        </w:rPr>
        <w:t>sans conséquence sur les performances photométriques.</w:t>
      </w:r>
    </w:p>
    <w:p w14:paraId="217992C1" w14:textId="77777777" w:rsidR="00D8336A" w:rsidRDefault="00D8336A" w:rsidP="00B92131">
      <w:pPr>
        <w:pStyle w:val="SingleTxtG"/>
        <w:ind w:left="567"/>
      </w:pPr>
      <w:r>
        <w:rPr>
          <w:noProof/>
          <w:lang w:val="fr-FR"/>
        </w:rPr>
        <w:drawing>
          <wp:inline distT="0" distB="0" distL="0" distR="0" wp14:anchorId="6CF95ECD" wp14:editId="35B6D948">
            <wp:extent cx="5300707" cy="959485"/>
            <wp:effectExtent l="0" t="0" r="0" b="0"/>
            <wp:docPr id="22" name="Grafik 1" descr="Une image contenant texte, capture d’écran, ligne, Trac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1" descr="Une image contenant texte, capture d’écran, ligne, Tracé&#10;&#10;Description générée automatiquement"/>
                    <pic:cNvPicPr/>
                  </pic:nvPicPr>
                  <pic:blipFill rotWithShape="1">
                    <a:blip r:embed="rId8"/>
                    <a:srcRect t="14294"/>
                    <a:stretch/>
                  </pic:blipFill>
                  <pic:spPr bwMode="auto">
                    <a:xfrm>
                      <a:off x="0" y="0"/>
                      <a:ext cx="5337028" cy="966060"/>
                    </a:xfrm>
                    <a:prstGeom prst="rect">
                      <a:avLst/>
                    </a:prstGeom>
                    <a:ln>
                      <a:noFill/>
                    </a:ln>
                    <a:extLst>
                      <a:ext uri="{53640926-AAD7-44D8-BBD7-CCE9431645EC}">
                        <a14:shadowObscured xmlns:a14="http://schemas.microsoft.com/office/drawing/2010/main"/>
                      </a:ext>
                    </a:extLst>
                  </pic:spPr>
                </pic:pic>
              </a:graphicData>
            </a:graphic>
          </wp:inline>
        </w:drawing>
      </w:r>
    </w:p>
    <w:p w14:paraId="4FFFB55A" w14:textId="77777777" w:rsidR="00D8336A" w:rsidRPr="009E4C12" w:rsidRDefault="00D8336A" w:rsidP="00B92131">
      <w:pPr>
        <w:pStyle w:val="SingleTxtG"/>
        <w:rPr>
          <w:lang w:val="fr-FR"/>
        </w:rPr>
      </w:pPr>
      <w:r>
        <w:rPr>
          <w:lang w:val="fr-FR"/>
        </w:rPr>
        <w:t>2.</w:t>
      </w:r>
      <w:r>
        <w:rPr>
          <w:lang w:val="fr-FR"/>
        </w:rPr>
        <w:tab/>
        <w:t>Afin que ces nouvelles technologies soient prises en compte, il faut compléter et améliorer les prescriptions relatives à la défaillance des feux de croisement reposant sur de multiples sources lumineuses.</w:t>
      </w:r>
    </w:p>
    <w:p w14:paraId="1FDD233A" w14:textId="219E6BA1" w:rsidR="00D8336A" w:rsidRPr="009E4C12" w:rsidRDefault="00D8336A" w:rsidP="00C36E62">
      <w:pPr>
        <w:pStyle w:val="SingleTxtG"/>
        <w:keepNext/>
        <w:keepLines/>
        <w:rPr>
          <w:lang w:val="fr-FR"/>
        </w:rPr>
      </w:pPr>
      <w:r>
        <w:rPr>
          <w:lang w:val="fr-FR"/>
        </w:rPr>
        <w:lastRenderedPageBreak/>
        <w:t>3.</w:t>
      </w:r>
      <w:r>
        <w:rPr>
          <w:lang w:val="fr-FR"/>
        </w:rPr>
        <w:tab/>
        <w:t>La présente proposition vise à inclure, dans le Règlement ONU n</w:t>
      </w:r>
      <w:r>
        <w:rPr>
          <w:vertAlign w:val="superscript"/>
          <w:lang w:val="fr-FR"/>
        </w:rPr>
        <w:t>o</w:t>
      </w:r>
      <w:r>
        <w:rPr>
          <w:lang w:val="fr-FR"/>
        </w:rPr>
        <w:t> 149, différentes dispositions autorisant le déclenchement d</w:t>
      </w:r>
      <w:r w:rsidR="001D289A">
        <w:rPr>
          <w:lang w:val="fr-FR"/>
        </w:rPr>
        <w:t>’</w:t>
      </w:r>
      <w:r>
        <w:rPr>
          <w:lang w:val="fr-FR"/>
        </w:rPr>
        <w:t>un signal de défaillance uniquement lorsqu</w:t>
      </w:r>
      <w:r w:rsidR="001D289A">
        <w:rPr>
          <w:lang w:val="fr-FR"/>
        </w:rPr>
        <w:t>’</w:t>
      </w:r>
      <w:r>
        <w:rPr>
          <w:lang w:val="fr-FR"/>
        </w:rPr>
        <w:t>un changement significatif du faisceau est détecté et à garantir que la disposition la plus appropriée est appliquée en fonction de la technologie utilisée :</w:t>
      </w:r>
    </w:p>
    <w:p w14:paraId="019D2045" w14:textId="77777777" w:rsidR="00D8336A" w:rsidRPr="009E4C12" w:rsidRDefault="00D8336A" w:rsidP="00B92131">
      <w:pPr>
        <w:pStyle w:val="SingleTxtG"/>
        <w:rPr>
          <w:lang w:val="fr-FR"/>
        </w:rPr>
      </w:pPr>
      <w:r w:rsidRPr="00220E25">
        <w:rPr>
          <w:lang w:val="fr-FR"/>
        </w:rPr>
        <w:t>a)</w:t>
      </w:r>
      <w:r>
        <w:rPr>
          <w:lang w:val="fr-FR"/>
        </w:rPr>
        <w:tab/>
      </w:r>
      <w:r w:rsidRPr="00B92131">
        <w:rPr>
          <w:u w:val="single"/>
          <w:lang w:val="fr-FR"/>
        </w:rPr>
        <w:t>Défaillance du premier élément</w:t>
      </w:r>
    </w:p>
    <w:p w14:paraId="03EBB363" w14:textId="77777777" w:rsidR="00D8336A" w:rsidRPr="009E4C12" w:rsidRDefault="00D8336A" w:rsidP="00B92131">
      <w:pPr>
        <w:pStyle w:val="SingleTxtG"/>
        <w:ind w:left="1701"/>
        <w:rPr>
          <w:lang w:val="fr-FR"/>
        </w:rPr>
      </w:pPr>
      <w:r>
        <w:rPr>
          <w:lang w:val="fr-FR"/>
        </w:rPr>
        <w:t>Détection de la défaillance et activation du signal correspondant dans le cas où un premier élément émettant un rayonnement optique visible cesse de fonctionner.</w:t>
      </w:r>
    </w:p>
    <w:p w14:paraId="044D98EA" w14:textId="222252EB" w:rsidR="00D8336A" w:rsidRPr="009E4C12" w:rsidRDefault="00D8336A" w:rsidP="00B92131">
      <w:pPr>
        <w:pStyle w:val="SingleTxtG"/>
        <w:rPr>
          <w:lang w:val="fr-FR"/>
        </w:rPr>
      </w:pPr>
      <w:r w:rsidRPr="00220E25">
        <w:rPr>
          <w:lang w:val="fr-FR"/>
        </w:rPr>
        <w:t>b)</w:t>
      </w:r>
      <w:r>
        <w:rPr>
          <w:lang w:val="fr-FR"/>
        </w:rPr>
        <w:tab/>
      </w:r>
      <w:r>
        <w:rPr>
          <w:u w:val="single"/>
          <w:lang w:val="fr-FR"/>
        </w:rPr>
        <w:t>Valeur d</w:t>
      </w:r>
      <w:r w:rsidR="001D289A">
        <w:rPr>
          <w:u w:val="single"/>
          <w:lang w:val="fr-FR"/>
        </w:rPr>
        <w:t>’</w:t>
      </w:r>
      <w:r>
        <w:rPr>
          <w:u w:val="single"/>
          <w:lang w:val="fr-FR"/>
        </w:rPr>
        <w:t>intensité lumineuse prescrite</w:t>
      </w:r>
    </w:p>
    <w:p w14:paraId="2FEFED9B" w14:textId="5AD87237" w:rsidR="00D8336A" w:rsidRPr="009E4C12" w:rsidRDefault="00D8336A" w:rsidP="00B92131">
      <w:pPr>
        <w:pStyle w:val="SingleTxtG"/>
        <w:ind w:left="1701"/>
        <w:rPr>
          <w:lang w:val="fr-FR"/>
        </w:rPr>
      </w:pPr>
      <w:r>
        <w:rPr>
          <w:lang w:val="fr-FR"/>
        </w:rPr>
        <w:t>Détection de la défaillance et activation du signal correspondant si, en raison de cette défaillance, l</w:t>
      </w:r>
      <w:r w:rsidR="001D289A">
        <w:rPr>
          <w:lang w:val="fr-FR"/>
        </w:rPr>
        <w:t>’</w:t>
      </w:r>
      <w:r>
        <w:rPr>
          <w:lang w:val="fr-FR"/>
        </w:rPr>
        <w:t>une des valeurs minimales d</w:t>
      </w:r>
      <w:r w:rsidR="001D289A">
        <w:rPr>
          <w:lang w:val="fr-FR"/>
        </w:rPr>
        <w:t>’</w:t>
      </w:r>
      <w:r>
        <w:rPr>
          <w:lang w:val="fr-FR"/>
        </w:rPr>
        <w:t>intensité lumineuse de la courbe de répartition des intensités lumineuses</w:t>
      </w:r>
      <w:r w:rsidRPr="0076645A">
        <w:rPr>
          <w:lang w:val="fr-FR"/>
        </w:rPr>
        <w:t xml:space="preserve"> </w:t>
      </w:r>
      <w:r>
        <w:rPr>
          <w:lang w:val="fr-FR"/>
        </w:rPr>
        <w:t>pour la fonction concernée atteint une valeur inférieure à 80 % de la valeur prescrite pour l</w:t>
      </w:r>
      <w:r w:rsidR="001D289A">
        <w:rPr>
          <w:lang w:val="fr-FR"/>
        </w:rPr>
        <w:t>’</w:t>
      </w:r>
      <w:r>
        <w:rPr>
          <w:lang w:val="fr-FR"/>
        </w:rPr>
        <w:t xml:space="preserve">homologation de type. </w:t>
      </w:r>
    </w:p>
    <w:p w14:paraId="227B2E66" w14:textId="77777777" w:rsidR="00D8336A" w:rsidRPr="009E4C12" w:rsidRDefault="00D8336A" w:rsidP="00B92131">
      <w:pPr>
        <w:pStyle w:val="SingleTxtG"/>
        <w:rPr>
          <w:lang w:val="fr-FR"/>
        </w:rPr>
      </w:pPr>
      <w:r>
        <w:rPr>
          <w:lang w:val="fr-FR"/>
        </w:rPr>
        <w:t>c)</w:t>
      </w:r>
      <w:r>
        <w:rPr>
          <w:lang w:val="fr-FR"/>
        </w:rPr>
        <w:tab/>
      </w:r>
      <w:r>
        <w:rPr>
          <w:u w:val="single"/>
          <w:lang w:val="fr-FR"/>
        </w:rPr>
        <w:t>Flux lumineux</w:t>
      </w:r>
    </w:p>
    <w:p w14:paraId="6AAFD452" w14:textId="41B722D3" w:rsidR="00D8336A" w:rsidRPr="009E4C12" w:rsidRDefault="00D8336A" w:rsidP="00B92131">
      <w:pPr>
        <w:pStyle w:val="SingleTxtG"/>
        <w:ind w:left="1701"/>
        <w:rPr>
          <w:lang w:val="fr-FR"/>
        </w:rPr>
      </w:pPr>
      <w:r>
        <w:rPr>
          <w:lang w:val="fr-FR"/>
        </w:rPr>
        <w:t>Détection de la défaillance et activation du signal correspondant si la perte du flux lumineux total est supérieure à 5 %, indépendamment de la position qu</w:t>
      </w:r>
      <w:r w:rsidR="001D289A">
        <w:rPr>
          <w:lang w:val="fr-FR"/>
        </w:rPr>
        <w:t>’</w:t>
      </w:r>
      <w:r>
        <w:rPr>
          <w:lang w:val="fr-FR"/>
        </w:rPr>
        <w:t>occupent les éléments qui ont cessé de fonctionner dans le faisceau.</w:t>
      </w:r>
    </w:p>
    <w:p w14:paraId="767142C0" w14:textId="3CD40E39" w:rsidR="00D8336A" w:rsidRPr="009E4C12" w:rsidRDefault="00D8336A" w:rsidP="00B92131">
      <w:pPr>
        <w:pStyle w:val="SingleTxtG"/>
        <w:ind w:left="1701"/>
        <w:rPr>
          <w:lang w:val="fr-FR"/>
        </w:rPr>
      </w:pPr>
      <w:r>
        <w:rPr>
          <w:lang w:val="fr-FR"/>
        </w:rPr>
        <w:t>Le pourcentage proposé (5 %) est relativement faible afin d</w:t>
      </w:r>
      <w:r w:rsidR="001D289A">
        <w:rPr>
          <w:lang w:val="fr-FR"/>
        </w:rPr>
        <w:t>’</w:t>
      </w:r>
      <w:r>
        <w:rPr>
          <w:lang w:val="fr-FR"/>
        </w:rPr>
        <w:t>éviter la formation, peu probable, de zones sombres dans la courbe d</w:t>
      </w:r>
      <w:r w:rsidR="001D289A">
        <w:rPr>
          <w:lang w:val="fr-FR"/>
        </w:rPr>
        <w:t>’</w:t>
      </w:r>
      <w:r>
        <w:rPr>
          <w:lang w:val="fr-FR"/>
        </w:rPr>
        <w:t>intensité lumineuse. Il faut en outre tenir compte du fait que, dans le cas d</w:t>
      </w:r>
      <w:r w:rsidR="001D289A">
        <w:rPr>
          <w:lang w:val="fr-FR"/>
        </w:rPr>
        <w:t>’</w:t>
      </w:r>
      <w:r>
        <w:rPr>
          <w:lang w:val="fr-FR"/>
        </w:rPr>
        <w:t>un dispositif/système d</w:t>
      </w:r>
      <w:r w:rsidR="001D289A">
        <w:rPr>
          <w:lang w:val="fr-FR"/>
        </w:rPr>
        <w:t>’</w:t>
      </w:r>
      <w:r>
        <w:rPr>
          <w:lang w:val="fr-FR"/>
        </w:rPr>
        <w:t xml:space="preserve">éclairage à haute définition, les défaillances des éléments émettant un rayonnement optique visible sont généralement réparties de manière aléatoire. Ainsi, le pourcentage proposé correspondra principalement à un ou deux éléments défaillants, </w:t>
      </w:r>
      <w:r w:rsidRPr="004A47B9">
        <w:rPr>
          <w:lang w:val="fr-FR"/>
        </w:rPr>
        <w:t>mais pas à un groupe d</w:t>
      </w:r>
      <w:r w:rsidR="001D289A">
        <w:rPr>
          <w:lang w:val="fr-FR"/>
        </w:rPr>
        <w:t>’</w:t>
      </w:r>
      <w:r w:rsidRPr="004A47B9">
        <w:rPr>
          <w:lang w:val="fr-FR"/>
        </w:rPr>
        <w:t>éléments plus important.</w:t>
      </w:r>
    </w:p>
    <w:p w14:paraId="721AAE57" w14:textId="634BEABE" w:rsidR="00D8336A" w:rsidRPr="009E4C12" w:rsidRDefault="00D8336A" w:rsidP="00B92131">
      <w:pPr>
        <w:pStyle w:val="SingleTxtG"/>
        <w:rPr>
          <w:lang w:val="fr-FR"/>
        </w:rPr>
      </w:pPr>
      <w:r>
        <w:rPr>
          <w:lang w:val="fr-FR"/>
        </w:rPr>
        <w:t>d)</w:t>
      </w:r>
      <w:r>
        <w:rPr>
          <w:lang w:val="fr-FR"/>
        </w:rPr>
        <w:tab/>
      </w:r>
      <w:r>
        <w:rPr>
          <w:u w:val="single"/>
          <w:lang w:val="fr-FR"/>
        </w:rPr>
        <w:t>Nombre d</w:t>
      </w:r>
      <w:r w:rsidR="001D289A">
        <w:rPr>
          <w:u w:val="single"/>
          <w:lang w:val="fr-FR"/>
        </w:rPr>
        <w:t>’</w:t>
      </w:r>
      <w:r>
        <w:rPr>
          <w:u w:val="single"/>
          <w:lang w:val="fr-FR"/>
        </w:rPr>
        <w:t>éléments émettant un rayonnement optique visible</w:t>
      </w:r>
    </w:p>
    <w:p w14:paraId="049F43B5" w14:textId="49901854" w:rsidR="00D8336A" w:rsidRPr="009E4C12" w:rsidRDefault="00D8336A" w:rsidP="00B92131">
      <w:pPr>
        <w:pStyle w:val="SingleTxtG"/>
        <w:ind w:left="1701"/>
        <w:rPr>
          <w:lang w:val="fr-FR"/>
        </w:rPr>
      </w:pPr>
      <w:r>
        <w:rPr>
          <w:lang w:val="fr-FR"/>
        </w:rPr>
        <w:t>Détection de la défaillance et activation du signal correspondant si le nombre d</w:t>
      </w:r>
      <w:r w:rsidR="001D289A">
        <w:rPr>
          <w:lang w:val="fr-FR"/>
        </w:rPr>
        <w:t>’</w:t>
      </w:r>
      <w:r>
        <w:rPr>
          <w:lang w:val="fr-FR"/>
        </w:rPr>
        <w:t>éléments défaillants émettant un rayonnement optique visible est supérieur à 5 % du nombre total d</w:t>
      </w:r>
      <w:r w:rsidR="001D289A">
        <w:rPr>
          <w:lang w:val="fr-FR"/>
        </w:rPr>
        <w:t>’</w:t>
      </w:r>
      <w:r>
        <w:rPr>
          <w:lang w:val="fr-FR"/>
        </w:rPr>
        <w:t>éléments, indépendamment de la position qu</w:t>
      </w:r>
      <w:r w:rsidR="001D289A">
        <w:rPr>
          <w:lang w:val="fr-FR"/>
        </w:rPr>
        <w:t>’</w:t>
      </w:r>
      <w:r>
        <w:rPr>
          <w:lang w:val="fr-FR"/>
        </w:rPr>
        <w:t>ils occupent dans le faisceau.</w:t>
      </w:r>
    </w:p>
    <w:p w14:paraId="6CF53338" w14:textId="0D09B40E" w:rsidR="00D8336A" w:rsidRPr="009E4C12" w:rsidRDefault="00D8336A" w:rsidP="00B92131">
      <w:pPr>
        <w:pStyle w:val="SingleTxtG"/>
        <w:ind w:left="1701"/>
        <w:rPr>
          <w:lang w:val="fr-FR"/>
        </w:rPr>
      </w:pPr>
      <w:r>
        <w:rPr>
          <w:lang w:val="fr-FR"/>
        </w:rPr>
        <w:t>Les mêmes considérations techniques qu</w:t>
      </w:r>
      <w:r w:rsidR="001D289A">
        <w:rPr>
          <w:lang w:val="fr-FR"/>
        </w:rPr>
        <w:t>’</w:t>
      </w:r>
      <w:r>
        <w:rPr>
          <w:lang w:val="fr-FR"/>
        </w:rPr>
        <w:t>au point c) ci-dessus s</w:t>
      </w:r>
      <w:r w:rsidR="001D289A">
        <w:rPr>
          <w:lang w:val="fr-FR"/>
        </w:rPr>
        <w:t>’</w:t>
      </w:r>
      <w:r>
        <w:rPr>
          <w:lang w:val="fr-FR"/>
        </w:rPr>
        <w:t>appliquent.</w:t>
      </w:r>
    </w:p>
    <w:p w14:paraId="15BADB97" w14:textId="66D91FD0" w:rsidR="00D8336A" w:rsidRPr="009E4C12" w:rsidRDefault="00D8336A" w:rsidP="00B92131">
      <w:pPr>
        <w:pStyle w:val="SingleTxtG"/>
        <w:rPr>
          <w:lang w:val="fr-FR"/>
        </w:rPr>
      </w:pPr>
      <w:r>
        <w:rPr>
          <w:lang w:val="fr-FR"/>
        </w:rPr>
        <w:t>e)</w:t>
      </w:r>
      <w:r>
        <w:rPr>
          <w:lang w:val="fr-FR"/>
        </w:rPr>
        <w:tab/>
      </w:r>
      <w:r>
        <w:rPr>
          <w:u w:val="single"/>
          <w:lang w:val="fr-FR"/>
        </w:rPr>
        <w:t>Sources lumineuses faisant l</w:t>
      </w:r>
      <w:r w:rsidR="001D289A">
        <w:rPr>
          <w:u w:val="single"/>
          <w:lang w:val="fr-FR"/>
        </w:rPr>
        <w:t>’</w:t>
      </w:r>
      <w:r>
        <w:rPr>
          <w:u w:val="single"/>
          <w:lang w:val="fr-FR"/>
        </w:rPr>
        <w:t>objet d</w:t>
      </w:r>
      <w:r w:rsidR="001D289A">
        <w:rPr>
          <w:u w:val="single"/>
          <w:lang w:val="fr-FR"/>
        </w:rPr>
        <w:t>’</w:t>
      </w:r>
      <w:r>
        <w:rPr>
          <w:u w:val="single"/>
          <w:lang w:val="fr-FR"/>
        </w:rPr>
        <w:t>une homologation ONU</w:t>
      </w:r>
    </w:p>
    <w:p w14:paraId="3C86E73A" w14:textId="77777777" w:rsidR="00D8336A" w:rsidRPr="009E4C12" w:rsidRDefault="00D8336A" w:rsidP="00B92131">
      <w:pPr>
        <w:pStyle w:val="SingleTxtG"/>
        <w:ind w:left="1701"/>
        <w:rPr>
          <w:lang w:val="fr-FR"/>
        </w:rPr>
      </w:pPr>
      <w:r>
        <w:rPr>
          <w:lang w:val="fr-FR"/>
        </w:rPr>
        <w:t>Dans le cas où une fonction donnée est assurée grâce à des sources lumineuses homologuées, activation du signal sur la base des critères de défaillance applicables à ces sources lumineuses.</w:t>
      </w:r>
    </w:p>
    <w:p w14:paraId="1E617ED4" w14:textId="3198D90E" w:rsidR="00D8336A" w:rsidRPr="009E4C12" w:rsidRDefault="00D8336A" w:rsidP="00B92131">
      <w:pPr>
        <w:pStyle w:val="SingleTxtG"/>
        <w:rPr>
          <w:lang w:val="fr-FR"/>
        </w:rPr>
      </w:pPr>
      <w:r>
        <w:rPr>
          <w:lang w:val="fr-FR"/>
        </w:rPr>
        <w:t>4.</w:t>
      </w:r>
      <w:r>
        <w:rPr>
          <w:lang w:val="fr-FR"/>
        </w:rPr>
        <w:tab/>
        <w:t>La disposition choisie pour la fonction concernée doit être indiquée dans la fiche de communication du Règlement ONU n</w:t>
      </w:r>
      <w:r>
        <w:rPr>
          <w:vertAlign w:val="superscript"/>
          <w:lang w:val="fr-FR"/>
        </w:rPr>
        <w:t>o</w:t>
      </w:r>
      <w:r>
        <w:rPr>
          <w:lang w:val="fr-FR"/>
        </w:rPr>
        <w:t> 149 (annexe 1), afin que toutes les parties concernées puissent bénéficier d</w:t>
      </w:r>
      <w:r w:rsidR="001D289A">
        <w:rPr>
          <w:lang w:val="fr-FR"/>
        </w:rPr>
        <w:t>’</w:t>
      </w:r>
      <w:r>
        <w:rPr>
          <w:lang w:val="fr-FR"/>
        </w:rPr>
        <w:t>informations transparentes et compréhensibles.</w:t>
      </w:r>
    </w:p>
    <w:p w14:paraId="727EAF62" w14:textId="6009690F" w:rsidR="00D8336A" w:rsidRDefault="00D8336A" w:rsidP="00B92131">
      <w:pPr>
        <w:pStyle w:val="SingleTxtG"/>
        <w:rPr>
          <w:lang w:val="fr-FR"/>
        </w:rPr>
      </w:pPr>
      <w:r>
        <w:rPr>
          <w:lang w:val="fr-FR"/>
        </w:rPr>
        <w:t>5.</w:t>
      </w:r>
      <w:r>
        <w:rPr>
          <w:lang w:val="fr-FR"/>
        </w:rPr>
        <w:tab/>
        <w:t>Il est proposé de modifier les dispositions relatives aux défaillances figurant dans les séries d</w:t>
      </w:r>
      <w:r w:rsidR="001D289A">
        <w:rPr>
          <w:lang w:val="fr-FR"/>
        </w:rPr>
        <w:t>’</w:t>
      </w:r>
      <w:r>
        <w:rPr>
          <w:lang w:val="fr-FR"/>
        </w:rPr>
        <w:t>amendements 06 à 09 au Règlement ONU n</w:t>
      </w:r>
      <w:r>
        <w:rPr>
          <w:vertAlign w:val="superscript"/>
          <w:lang w:val="fr-FR"/>
        </w:rPr>
        <w:t>o</w:t>
      </w:r>
      <w:r>
        <w:rPr>
          <w:lang w:val="fr-FR"/>
        </w:rPr>
        <w:t> 48 de manière à ce qu</w:t>
      </w:r>
      <w:r w:rsidR="001D289A">
        <w:rPr>
          <w:lang w:val="fr-FR"/>
        </w:rPr>
        <w:t>’</w:t>
      </w:r>
      <w:r>
        <w:rPr>
          <w:lang w:val="fr-FR"/>
        </w:rPr>
        <w:t>un témoin indiquant une défaillance puisse également être activé lorsqu</w:t>
      </w:r>
      <w:r w:rsidR="001D289A">
        <w:rPr>
          <w:lang w:val="fr-FR"/>
        </w:rPr>
        <w:t>’</w:t>
      </w:r>
      <w:r>
        <w:rPr>
          <w:lang w:val="fr-FR"/>
        </w:rPr>
        <w:t>un signal de défaillance est reçu conformément au paragraphe 4.13 du Règlement ONU n</w:t>
      </w:r>
      <w:r>
        <w:rPr>
          <w:vertAlign w:val="superscript"/>
          <w:lang w:val="fr-FR"/>
        </w:rPr>
        <w:t>o</w:t>
      </w:r>
      <w:r>
        <w:rPr>
          <w:lang w:val="fr-FR"/>
        </w:rPr>
        <w:t> 149.</w:t>
      </w:r>
    </w:p>
    <w:p w14:paraId="26A902C1" w14:textId="3CDB6CC5" w:rsidR="00B92131" w:rsidRPr="00B92131" w:rsidRDefault="00B92131" w:rsidP="00B92131">
      <w:pPr>
        <w:pStyle w:val="SingleTxtG"/>
        <w:spacing w:before="240" w:after="0"/>
        <w:jc w:val="center"/>
        <w:rPr>
          <w:u w:val="single"/>
        </w:rPr>
      </w:pPr>
      <w:r>
        <w:rPr>
          <w:u w:val="single"/>
        </w:rPr>
        <w:tab/>
      </w:r>
      <w:r>
        <w:rPr>
          <w:u w:val="single"/>
        </w:rPr>
        <w:tab/>
      </w:r>
      <w:r>
        <w:rPr>
          <w:u w:val="single"/>
        </w:rPr>
        <w:tab/>
      </w:r>
    </w:p>
    <w:sectPr w:rsidR="00B92131" w:rsidRPr="00B92131" w:rsidSect="00D8336A">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D25C0" w14:textId="77777777" w:rsidR="00E91971" w:rsidRDefault="00E91971" w:rsidP="00F95C08">
      <w:pPr>
        <w:spacing w:line="240" w:lineRule="auto"/>
      </w:pPr>
    </w:p>
  </w:endnote>
  <w:endnote w:type="continuationSeparator" w:id="0">
    <w:p w14:paraId="326EBBBF" w14:textId="77777777" w:rsidR="00E91971" w:rsidRPr="00AC3823" w:rsidRDefault="00E91971" w:rsidP="00AC3823">
      <w:pPr>
        <w:pStyle w:val="Pieddepage"/>
      </w:pPr>
    </w:p>
  </w:endnote>
  <w:endnote w:type="continuationNotice" w:id="1">
    <w:p w14:paraId="7EBD6F02" w14:textId="77777777" w:rsidR="00E91971" w:rsidRDefault="00E919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921A6" w14:textId="796EC337" w:rsidR="00D8336A" w:rsidRPr="00D8336A" w:rsidRDefault="00D8336A" w:rsidP="00D8336A">
    <w:pPr>
      <w:pStyle w:val="Pieddepage"/>
      <w:tabs>
        <w:tab w:val="right" w:pos="9638"/>
      </w:tabs>
    </w:pPr>
    <w:r w:rsidRPr="00D8336A">
      <w:rPr>
        <w:b/>
        <w:sz w:val="18"/>
      </w:rPr>
      <w:fldChar w:fldCharType="begin"/>
    </w:r>
    <w:r w:rsidRPr="00D8336A">
      <w:rPr>
        <w:b/>
        <w:sz w:val="18"/>
      </w:rPr>
      <w:instrText xml:space="preserve"> PAGE  \* MERGEFORMAT </w:instrText>
    </w:r>
    <w:r w:rsidRPr="00D8336A">
      <w:rPr>
        <w:b/>
        <w:sz w:val="18"/>
      </w:rPr>
      <w:fldChar w:fldCharType="separate"/>
    </w:r>
    <w:r w:rsidRPr="00D8336A">
      <w:rPr>
        <w:b/>
        <w:noProof/>
        <w:sz w:val="18"/>
      </w:rPr>
      <w:t>2</w:t>
    </w:r>
    <w:r w:rsidRPr="00D8336A">
      <w:rPr>
        <w:b/>
        <w:sz w:val="18"/>
      </w:rPr>
      <w:fldChar w:fldCharType="end"/>
    </w:r>
    <w:r>
      <w:rPr>
        <w:b/>
        <w:sz w:val="18"/>
      </w:rPr>
      <w:tab/>
    </w:r>
    <w:r>
      <w:t>GE.24-14365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770CE" w14:textId="601B3EA4" w:rsidR="00D8336A" w:rsidRPr="00D8336A" w:rsidRDefault="00D8336A" w:rsidP="00D8336A">
    <w:pPr>
      <w:pStyle w:val="Pieddepage"/>
      <w:tabs>
        <w:tab w:val="right" w:pos="9638"/>
      </w:tabs>
      <w:rPr>
        <w:b/>
        <w:sz w:val="18"/>
      </w:rPr>
    </w:pPr>
    <w:r>
      <w:t>GE.24-14365</w:t>
    </w:r>
    <w:r>
      <w:tab/>
    </w:r>
    <w:r w:rsidRPr="00D8336A">
      <w:rPr>
        <w:b/>
        <w:sz w:val="18"/>
      </w:rPr>
      <w:fldChar w:fldCharType="begin"/>
    </w:r>
    <w:r w:rsidRPr="00D8336A">
      <w:rPr>
        <w:b/>
        <w:sz w:val="18"/>
      </w:rPr>
      <w:instrText xml:space="preserve"> PAGE  \* MERGEFORMAT </w:instrText>
    </w:r>
    <w:r w:rsidRPr="00D8336A">
      <w:rPr>
        <w:b/>
        <w:sz w:val="18"/>
      </w:rPr>
      <w:fldChar w:fldCharType="separate"/>
    </w:r>
    <w:r w:rsidRPr="00D8336A">
      <w:rPr>
        <w:b/>
        <w:noProof/>
        <w:sz w:val="18"/>
      </w:rPr>
      <w:t>3</w:t>
    </w:r>
    <w:r w:rsidRPr="00D8336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D3E0B" w14:textId="0D65C53C" w:rsidR="007F20FA" w:rsidRPr="00D8336A" w:rsidRDefault="00D8336A" w:rsidP="00D8336A">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299E90E4" wp14:editId="769424A2">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24-14365  (F)</w:t>
    </w:r>
    <w:r>
      <w:rPr>
        <w:noProof/>
        <w:sz w:val="20"/>
      </w:rPr>
      <w:drawing>
        <wp:anchor distT="0" distB="0" distL="114300" distR="114300" simplePos="0" relativeHeight="251660288" behindDoc="0" locked="0" layoutInCell="1" allowOverlap="1" wp14:anchorId="7D6B1E6A" wp14:editId="78AE57D2">
          <wp:simplePos x="0" y="0"/>
          <wp:positionH relativeFrom="margin">
            <wp:posOffset>5489575</wp:posOffset>
          </wp:positionH>
          <wp:positionV relativeFrom="margin">
            <wp:posOffset>8891905</wp:posOffset>
          </wp:positionV>
          <wp:extent cx="628650" cy="628650"/>
          <wp:effectExtent l="0" t="0" r="0" b="0"/>
          <wp:wrapNone/>
          <wp:docPr id="9056088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220824    230824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0FAC7" w14:textId="77777777" w:rsidR="00E91971" w:rsidRPr="00AC3823" w:rsidRDefault="00E91971" w:rsidP="00AC3823">
      <w:pPr>
        <w:pStyle w:val="Pieddepage"/>
        <w:tabs>
          <w:tab w:val="right" w:pos="2155"/>
        </w:tabs>
        <w:spacing w:after="80" w:line="240" w:lineRule="atLeast"/>
        <w:ind w:left="680"/>
        <w:rPr>
          <w:u w:val="single"/>
        </w:rPr>
      </w:pPr>
      <w:r>
        <w:rPr>
          <w:u w:val="single"/>
        </w:rPr>
        <w:tab/>
      </w:r>
    </w:p>
  </w:footnote>
  <w:footnote w:type="continuationSeparator" w:id="0">
    <w:p w14:paraId="7CAE35E6" w14:textId="77777777" w:rsidR="00E91971" w:rsidRPr="00AC3823" w:rsidRDefault="00E91971" w:rsidP="00AC3823">
      <w:pPr>
        <w:pStyle w:val="Pieddepage"/>
        <w:tabs>
          <w:tab w:val="right" w:pos="2155"/>
        </w:tabs>
        <w:spacing w:after="80" w:line="240" w:lineRule="atLeast"/>
        <w:ind w:left="680"/>
        <w:rPr>
          <w:u w:val="single"/>
        </w:rPr>
      </w:pPr>
      <w:r>
        <w:rPr>
          <w:u w:val="single"/>
        </w:rPr>
        <w:tab/>
      </w:r>
    </w:p>
  </w:footnote>
  <w:footnote w:type="continuationNotice" w:id="1">
    <w:p w14:paraId="1300A767" w14:textId="77777777" w:rsidR="00E91971" w:rsidRPr="00AC3823" w:rsidRDefault="00E91971">
      <w:pPr>
        <w:spacing w:line="240" w:lineRule="auto"/>
        <w:rPr>
          <w:sz w:val="2"/>
          <w:szCs w:val="2"/>
        </w:rPr>
      </w:pPr>
    </w:p>
  </w:footnote>
  <w:footnote w:id="2">
    <w:p w14:paraId="6CA293D8" w14:textId="5FE4ACB9" w:rsidR="00D8336A" w:rsidRPr="00D8336A" w:rsidRDefault="00D8336A">
      <w:pPr>
        <w:pStyle w:val="Notedebasdepage"/>
      </w:pPr>
      <w:r>
        <w:rPr>
          <w:rStyle w:val="Appelnotedebasdep"/>
        </w:rPr>
        <w:tab/>
      </w:r>
      <w:r w:rsidRPr="00D8336A">
        <w:rPr>
          <w:rStyle w:val="Appelnotedebasdep"/>
          <w:sz w:val="20"/>
          <w:vertAlign w:val="baseline"/>
        </w:rPr>
        <w:t>*</w:t>
      </w:r>
      <w:r>
        <w:rPr>
          <w:rStyle w:val="Appelnotedebasdep"/>
          <w:sz w:val="20"/>
          <w:vertAlign w:val="baseline"/>
        </w:rPr>
        <w:tab/>
      </w:r>
      <w:r>
        <w:rPr>
          <w:lang w:val="fr-FR"/>
        </w:rPr>
        <w:t>Conformément au programme de travail du Comité des transports intérieurs pour 2024 tel qu</w:t>
      </w:r>
      <w:r w:rsidR="001D289A">
        <w:rPr>
          <w:lang w:val="fr-FR"/>
        </w:rPr>
        <w:t>’</w:t>
      </w:r>
      <w:r>
        <w:rPr>
          <w:lang w:val="fr-FR"/>
        </w:rPr>
        <w:t>il figure dans le projet de budget-programme pour 2024 (A/78/6 (Sect. 20), tableau 20.5), le Forum mondial a pour mission d</w:t>
      </w:r>
      <w:r w:rsidR="001D289A">
        <w:rPr>
          <w:lang w:val="fr-FR"/>
        </w:rPr>
        <w:t>’</w:t>
      </w:r>
      <w:r>
        <w:rPr>
          <w:lang w:val="fr-FR"/>
        </w:rPr>
        <w:t>élaborer, d</w:t>
      </w:r>
      <w:r w:rsidR="001D289A">
        <w:rPr>
          <w:lang w:val="fr-FR"/>
        </w:rPr>
        <w:t>’</w:t>
      </w:r>
      <w:r>
        <w:rPr>
          <w:lang w:val="fr-FR"/>
        </w:rPr>
        <w:t>harmoniser et de mettre à jour les Règlements ONU en vue d</w:t>
      </w:r>
      <w:r w:rsidR="001D289A">
        <w:rPr>
          <w:lang w:val="fr-FR"/>
        </w:rPr>
        <w:t>’</w:t>
      </w:r>
      <w:r>
        <w:rPr>
          <w:lang w:val="fr-FR"/>
        </w:rPr>
        <w:t>améliorer les caractéristiques fonctionnelles des véhicules. Le présent document est soumis en vertu de ce mandat.</w:t>
      </w:r>
    </w:p>
  </w:footnote>
  <w:footnote w:id="3">
    <w:p w14:paraId="753E947F" w14:textId="77777777" w:rsidR="00D8336A" w:rsidRPr="009E4C12" w:rsidRDefault="00D8336A" w:rsidP="00D8336A">
      <w:pPr>
        <w:pStyle w:val="Notedebasdepage"/>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BB16C" w14:textId="4576552E" w:rsidR="00D8336A" w:rsidRPr="00D8336A" w:rsidRDefault="00D8336A">
    <w:pPr>
      <w:pStyle w:val="En-tte"/>
    </w:pPr>
    <w:fldSimple w:instr=" TITLE  \* MERGEFORMAT ">
      <w:r w:rsidR="000B4344">
        <w:t>ECE/TRANS/WP.29/GRE/2024/22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63220" w14:textId="2F00EEDB" w:rsidR="00D8336A" w:rsidRPr="00D8336A" w:rsidRDefault="00D8336A" w:rsidP="00D8336A">
    <w:pPr>
      <w:pStyle w:val="En-tte"/>
      <w:jc w:val="right"/>
    </w:pPr>
    <w:fldSimple w:instr=" TITLE  \* MERGEFORMAT ">
      <w:r w:rsidR="000B4344">
        <w:t>ECE/TRANS/WP.29/GRE/2024/22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C633E0"/>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956716814">
    <w:abstractNumId w:val="12"/>
  </w:num>
  <w:num w:numId="2" w16cid:durableId="1714765659">
    <w:abstractNumId w:val="11"/>
  </w:num>
  <w:num w:numId="3" w16cid:durableId="1533760671">
    <w:abstractNumId w:val="10"/>
  </w:num>
  <w:num w:numId="4" w16cid:durableId="2058313733">
    <w:abstractNumId w:val="8"/>
  </w:num>
  <w:num w:numId="5" w16cid:durableId="1518302162">
    <w:abstractNumId w:val="3"/>
  </w:num>
  <w:num w:numId="6" w16cid:durableId="1231036781">
    <w:abstractNumId w:val="2"/>
  </w:num>
  <w:num w:numId="7" w16cid:durableId="1980986741">
    <w:abstractNumId w:val="1"/>
  </w:num>
  <w:num w:numId="8" w16cid:durableId="380174430">
    <w:abstractNumId w:val="0"/>
  </w:num>
  <w:num w:numId="9" w16cid:durableId="769546365">
    <w:abstractNumId w:val="9"/>
  </w:num>
  <w:num w:numId="10" w16cid:durableId="1332564825">
    <w:abstractNumId w:val="7"/>
  </w:num>
  <w:num w:numId="11" w16cid:durableId="51851542">
    <w:abstractNumId w:val="6"/>
  </w:num>
  <w:num w:numId="12" w16cid:durableId="1979920322">
    <w:abstractNumId w:val="5"/>
  </w:num>
  <w:num w:numId="13" w16cid:durableId="892695419">
    <w:abstractNumId w:val="4"/>
  </w:num>
  <w:num w:numId="14" w16cid:durableId="2041584480">
    <w:abstractNumId w:val="12"/>
  </w:num>
  <w:num w:numId="15" w16cid:durableId="69542872">
    <w:abstractNumId w:val="11"/>
  </w:num>
  <w:num w:numId="16" w16cid:durableId="1390105543">
    <w:abstractNumId w:val="10"/>
  </w:num>
  <w:num w:numId="17" w16cid:durableId="14112727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971"/>
    <w:rsid w:val="00017F94"/>
    <w:rsid w:val="00023842"/>
    <w:rsid w:val="000334F9"/>
    <w:rsid w:val="00045FEB"/>
    <w:rsid w:val="0007796D"/>
    <w:rsid w:val="000B4344"/>
    <w:rsid w:val="000B7790"/>
    <w:rsid w:val="00111F2F"/>
    <w:rsid w:val="0014365E"/>
    <w:rsid w:val="00143C66"/>
    <w:rsid w:val="00176178"/>
    <w:rsid w:val="001772E5"/>
    <w:rsid w:val="001D289A"/>
    <w:rsid w:val="001F525A"/>
    <w:rsid w:val="00201148"/>
    <w:rsid w:val="00223272"/>
    <w:rsid w:val="0024779E"/>
    <w:rsid w:val="00257168"/>
    <w:rsid w:val="002632E5"/>
    <w:rsid w:val="002672D9"/>
    <w:rsid w:val="002744B8"/>
    <w:rsid w:val="002832AC"/>
    <w:rsid w:val="002D7C93"/>
    <w:rsid w:val="00305801"/>
    <w:rsid w:val="003916DE"/>
    <w:rsid w:val="00421996"/>
    <w:rsid w:val="00441C3B"/>
    <w:rsid w:val="00446FE5"/>
    <w:rsid w:val="00452396"/>
    <w:rsid w:val="00477EB2"/>
    <w:rsid w:val="004837D8"/>
    <w:rsid w:val="00490F7D"/>
    <w:rsid w:val="004E2EED"/>
    <w:rsid w:val="004E468C"/>
    <w:rsid w:val="005505B7"/>
    <w:rsid w:val="00573BE5"/>
    <w:rsid w:val="00586ED3"/>
    <w:rsid w:val="00596AA9"/>
    <w:rsid w:val="00685B86"/>
    <w:rsid w:val="0071601D"/>
    <w:rsid w:val="007A62E6"/>
    <w:rsid w:val="007F20FA"/>
    <w:rsid w:val="0080684C"/>
    <w:rsid w:val="00871C75"/>
    <w:rsid w:val="008776DC"/>
    <w:rsid w:val="008D5EF9"/>
    <w:rsid w:val="009446C0"/>
    <w:rsid w:val="009705C8"/>
    <w:rsid w:val="009C1CF4"/>
    <w:rsid w:val="009F6B74"/>
    <w:rsid w:val="00A3029F"/>
    <w:rsid w:val="00A30353"/>
    <w:rsid w:val="00AA6C1C"/>
    <w:rsid w:val="00AC3823"/>
    <w:rsid w:val="00AE323C"/>
    <w:rsid w:val="00AF0CB5"/>
    <w:rsid w:val="00B00181"/>
    <w:rsid w:val="00B00B0D"/>
    <w:rsid w:val="00B444A5"/>
    <w:rsid w:val="00B45F2E"/>
    <w:rsid w:val="00B765F7"/>
    <w:rsid w:val="00B77993"/>
    <w:rsid w:val="00B92131"/>
    <w:rsid w:val="00BA0CA9"/>
    <w:rsid w:val="00C02897"/>
    <w:rsid w:val="00C36E62"/>
    <w:rsid w:val="00C97039"/>
    <w:rsid w:val="00D3439C"/>
    <w:rsid w:val="00D7622E"/>
    <w:rsid w:val="00D8336A"/>
    <w:rsid w:val="00DB1831"/>
    <w:rsid w:val="00DD3BFD"/>
    <w:rsid w:val="00DF6678"/>
    <w:rsid w:val="00E0299A"/>
    <w:rsid w:val="00E85C74"/>
    <w:rsid w:val="00E91971"/>
    <w:rsid w:val="00EA6547"/>
    <w:rsid w:val="00ED7237"/>
    <w:rsid w:val="00EE0DB7"/>
    <w:rsid w:val="00EF2E22"/>
    <w:rsid w:val="00F35BAF"/>
    <w:rsid w:val="00F660DF"/>
    <w:rsid w:val="00F94664"/>
    <w:rsid w:val="00F9573C"/>
    <w:rsid w:val="00F95C08"/>
    <w:rsid w:val="00FD0FC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99D82"/>
  <w15:docId w15:val="{2BEF4B00-8806-41EB-B3A3-C04C703C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2672D9"/>
    <w:pPr>
      <w:tabs>
        <w:tab w:val="left" w:pos="1701"/>
        <w:tab w:val="left" w:pos="2268"/>
        <w:tab w:val="left" w:pos="2835"/>
      </w:tabs>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2672D9"/>
    <w:pPr>
      <w:numPr>
        <w:numId w:val="17"/>
      </w:numPr>
      <w:tabs>
        <w:tab w:val="left" w:pos="1701"/>
        <w:tab w:val="left" w:pos="2268"/>
        <w:tab w:val="left" w:pos="2835"/>
      </w:tabs>
      <w:spacing w:after="120"/>
      <w:ind w:right="1134"/>
      <w:jc w:val="both"/>
    </w:pPr>
  </w:style>
  <w:style w:type="character" w:styleId="Appelnotedebasdep">
    <w:name w:val="footnote reference"/>
    <w:aliases w:val="4_G,(Footnote Reference),-E Fußnotenzeichen,BVI fnr, BVI fnr,Footnote symbol,Footnote,Footnote Reference Superscript,SUPERS"/>
    <w:basedOn w:val="Policepardfaut"/>
    <w:uiPriority w:val="99"/>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5_G_6,Footnote Text Char"/>
    <w:basedOn w:val="Normal"/>
    <w:link w:val="NotedebasdepageCar"/>
    <w:uiPriority w:val="99"/>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5_G_6 Car,Footnote Text Char Car"/>
    <w:basedOn w:val="Policepardfaut"/>
    <w:link w:val="Notedebasdepage"/>
    <w:uiPriority w:val="99"/>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F2C1CD-588F-43B6-AAE7-D88AB7DBE1EB}"/>
</file>

<file path=customXml/itemProps2.xml><?xml version="1.0" encoding="utf-8"?>
<ds:datastoreItem xmlns:ds="http://schemas.openxmlformats.org/officeDocument/2006/customXml" ds:itemID="{37102013-E5B7-472A-AE9F-27808FC034B4}"/>
</file>

<file path=docProps/app.xml><?xml version="1.0" encoding="utf-8"?>
<Properties xmlns="http://schemas.openxmlformats.org/officeDocument/2006/extended-properties" xmlns:vt="http://schemas.openxmlformats.org/officeDocument/2006/docPropsVTypes">
  <Template>ECE_TRANS.dotm</Template>
  <TotalTime>6</TotalTime>
  <Pages>5</Pages>
  <Words>1838</Words>
  <Characters>10039</Characters>
  <Application>Microsoft Office Word</Application>
  <DocSecurity>0</DocSecurity>
  <Lines>147</Lines>
  <Paragraphs>28</Paragraphs>
  <ScaleCrop>false</ScaleCrop>
  <HeadingPairs>
    <vt:vector size="2" baseType="variant">
      <vt:variant>
        <vt:lpstr>Titre</vt:lpstr>
      </vt:variant>
      <vt:variant>
        <vt:i4>1</vt:i4>
      </vt:variant>
    </vt:vector>
  </HeadingPairs>
  <TitlesOfParts>
    <vt:vector size="1" baseType="lpstr">
      <vt:lpstr>ECE/TRANS/WP.29/GRE/2024/22</vt:lpstr>
    </vt:vector>
  </TitlesOfParts>
  <Company>DCM</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ECE/TRANS/WP.29/GRE/2024/22</dc:title>
  <dc:subject/>
  <dc:creator>Julien OKRZESIK</dc:creator>
  <cp:keywords/>
  <cp:lastModifiedBy>Julien OKRZESIK</cp:lastModifiedBy>
  <cp:revision>3</cp:revision>
  <cp:lastPrinted>2024-08-23T11:43:00Z</cp:lastPrinted>
  <dcterms:created xsi:type="dcterms:W3CDTF">2024-08-23T11:42:00Z</dcterms:created>
  <dcterms:modified xsi:type="dcterms:W3CDTF">2024-08-23T11:46:00Z</dcterms:modified>
</cp:coreProperties>
</file>