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7DF846F" w14:textId="77777777" w:rsidTr="00C97039">
        <w:trPr>
          <w:trHeight w:hRule="exact" w:val="851"/>
        </w:trPr>
        <w:tc>
          <w:tcPr>
            <w:tcW w:w="1276" w:type="dxa"/>
            <w:tcBorders>
              <w:bottom w:val="single" w:sz="4" w:space="0" w:color="auto"/>
            </w:tcBorders>
          </w:tcPr>
          <w:p w14:paraId="2429DCDC" w14:textId="77777777" w:rsidR="00F35BAF" w:rsidRPr="00DB58B5" w:rsidRDefault="00F35BAF" w:rsidP="00F20653"/>
        </w:tc>
        <w:tc>
          <w:tcPr>
            <w:tcW w:w="2268" w:type="dxa"/>
            <w:tcBorders>
              <w:bottom w:val="single" w:sz="4" w:space="0" w:color="auto"/>
            </w:tcBorders>
            <w:vAlign w:val="bottom"/>
          </w:tcPr>
          <w:p w14:paraId="750A987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28733EB" w14:textId="74B6E8E7" w:rsidR="00F35BAF" w:rsidRPr="00DB58B5" w:rsidRDefault="00F20653" w:rsidP="00F20653">
            <w:pPr>
              <w:jc w:val="right"/>
            </w:pPr>
            <w:r w:rsidRPr="00F20653">
              <w:rPr>
                <w:sz w:val="40"/>
              </w:rPr>
              <w:t>ECE</w:t>
            </w:r>
            <w:r>
              <w:t>/TRANS/WP.29/GRE/2024/16</w:t>
            </w:r>
          </w:p>
        </w:tc>
      </w:tr>
      <w:tr w:rsidR="00F35BAF" w:rsidRPr="00DB58B5" w14:paraId="5FFF335E" w14:textId="77777777" w:rsidTr="00C97039">
        <w:trPr>
          <w:trHeight w:hRule="exact" w:val="2835"/>
        </w:trPr>
        <w:tc>
          <w:tcPr>
            <w:tcW w:w="1276" w:type="dxa"/>
            <w:tcBorders>
              <w:top w:val="single" w:sz="4" w:space="0" w:color="auto"/>
              <w:bottom w:val="single" w:sz="12" w:space="0" w:color="auto"/>
            </w:tcBorders>
          </w:tcPr>
          <w:p w14:paraId="24E8436F" w14:textId="77777777" w:rsidR="00F35BAF" w:rsidRPr="00DB58B5" w:rsidRDefault="00F35BAF" w:rsidP="00C97039">
            <w:pPr>
              <w:spacing w:before="120"/>
              <w:jc w:val="center"/>
            </w:pPr>
            <w:r>
              <w:rPr>
                <w:noProof/>
                <w:lang w:eastAsia="fr-CH"/>
              </w:rPr>
              <w:drawing>
                <wp:inline distT="0" distB="0" distL="0" distR="0" wp14:anchorId="5F1013C2" wp14:editId="06D2D98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6FBA22"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15C4235D" w14:textId="77777777" w:rsidR="00F35BAF" w:rsidRDefault="00F20653" w:rsidP="00C97039">
            <w:pPr>
              <w:spacing w:before="240"/>
            </w:pPr>
            <w:r>
              <w:t>Distr. générale</w:t>
            </w:r>
          </w:p>
          <w:p w14:paraId="03296157" w14:textId="2DA0BBC3" w:rsidR="00F20653" w:rsidRDefault="00F20653" w:rsidP="00F20653">
            <w:pPr>
              <w:spacing w:line="240" w:lineRule="exact"/>
            </w:pPr>
            <w:r>
              <w:t>7 août 2024</w:t>
            </w:r>
          </w:p>
          <w:p w14:paraId="42B0A49D" w14:textId="77777777" w:rsidR="00F20653" w:rsidRDefault="00F20653" w:rsidP="00F20653">
            <w:pPr>
              <w:spacing w:line="240" w:lineRule="exact"/>
            </w:pPr>
            <w:r>
              <w:t>Français</w:t>
            </w:r>
          </w:p>
          <w:p w14:paraId="4244AF20" w14:textId="3777A340" w:rsidR="00F20653" w:rsidRPr="00DB58B5" w:rsidRDefault="00F20653" w:rsidP="00F20653">
            <w:pPr>
              <w:spacing w:line="240" w:lineRule="exact"/>
            </w:pPr>
            <w:r>
              <w:t>Original : anglais</w:t>
            </w:r>
          </w:p>
        </w:tc>
      </w:tr>
    </w:tbl>
    <w:p w14:paraId="5C6287B2" w14:textId="77777777" w:rsidR="007F20FA" w:rsidRPr="000312C0" w:rsidRDefault="007F20FA" w:rsidP="007F20FA">
      <w:pPr>
        <w:spacing w:before="120"/>
        <w:rPr>
          <w:b/>
          <w:sz w:val="28"/>
          <w:szCs w:val="28"/>
        </w:rPr>
      </w:pPr>
      <w:r w:rsidRPr="000312C0">
        <w:rPr>
          <w:b/>
          <w:sz w:val="28"/>
          <w:szCs w:val="28"/>
        </w:rPr>
        <w:t>Commission économique pour l’Europe</w:t>
      </w:r>
    </w:p>
    <w:p w14:paraId="4AFC9CBE" w14:textId="77777777" w:rsidR="007F20FA" w:rsidRDefault="007F20FA" w:rsidP="007F20FA">
      <w:pPr>
        <w:spacing w:before="120"/>
        <w:rPr>
          <w:sz w:val="28"/>
          <w:szCs w:val="28"/>
        </w:rPr>
      </w:pPr>
      <w:r w:rsidRPr="00685843">
        <w:rPr>
          <w:sz w:val="28"/>
          <w:szCs w:val="28"/>
        </w:rPr>
        <w:t>Comité des transports intérieurs</w:t>
      </w:r>
    </w:p>
    <w:p w14:paraId="5CEB243E" w14:textId="570A34D4" w:rsidR="00F20653" w:rsidRDefault="00F20653" w:rsidP="00AF0CB5">
      <w:pPr>
        <w:spacing w:before="120"/>
        <w:rPr>
          <w:b/>
          <w:sz w:val="24"/>
          <w:szCs w:val="24"/>
        </w:rPr>
      </w:pPr>
      <w:r w:rsidRPr="00685843">
        <w:rPr>
          <w:b/>
          <w:sz w:val="24"/>
          <w:szCs w:val="24"/>
        </w:rPr>
        <w:t>Forum mondial de l’harmonisation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DE14BF4" w14:textId="74841DCD" w:rsidR="00F20653" w:rsidRDefault="00F20653" w:rsidP="00AF0CB5">
      <w:pPr>
        <w:spacing w:before="120"/>
        <w:rPr>
          <w:b/>
          <w:sz w:val="24"/>
          <w:szCs w:val="24"/>
        </w:rPr>
      </w:pPr>
      <w:r>
        <w:rPr>
          <w:b/>
          <w:bCs/>
          <w:lang w:val="fr-FR"/>
        </w:rPr>
        <w:t>Groupe de travail de l’éclairage et de la signalisation lumineuse</w:t>
      </w:r>
    </w:p>
    <w:p w14:paraId="43DA3A76" w14:textId="79F7B2CE" w:rsidR="00F20653" w:rsidRDefault="00F20653" w:rsidP="00AF0CB5">
      <w:pPr>
        <w:spacing w:before="120" w:line="240" w:lineRule="exact"/>
        <w:rPr>
          <w:b/>
        </w:rPr>
      </w:pPr>
      <w:r>
        <w:rPr>
          <w:b/>
        </w:rPr>
        <w:t>Quatre-vingt-onzième session</w:t>
      </w:r>
    </w:p>
    <w:p w14:paraId="260195D6" w14:textId="671D712A" w:rsidR="00F20653" w:rsidRDefault="00F20653" w:rsidP="00AF0CB5">
      <w:pPr>
        <w:spacing w:line="240" w:lineRule="exact"/>
      </w:pPr>
      <w:r>
        <w:t>Genève, 22-25 octobre 2024</w:t>
      </w:r>
    </w:p>
    <w:p w14:paraId="25DE0BD5" w14:textId="6AB63F15" w:rsidR="00F20653" w:rsidRDefault="00F20653" w:rsidP="00AF0CB5">
      <w:pPr>
        <w:spacing w:line="240" w:lineRule="exact"/>
      </w:pPr>
      <w:r>
        <w:t>Point 9 de l’ordre du jour provisoire</w:t>
      </w:r>
    </w:p>
    <w:p w14:paraId="5E94183D" w14:textId="77777777" w:rsidR="00F20653" w:rsidRPr="007934C0" w:rsidRDefault="00F20653" w:rsidP="00F20653">
      <w:pPr>
        <w:ind w:right="1134"/>
        <w:rPr>
          <w:b/>
        </w:rPr>
      </w:pPr>
      <w:r>
        <w:rPr>
          <w:b/>
          <w:bCs/>
          <w:lang w:val="fr-FR"/>
        </w:rPr>
        <w:t>Autres Règlements ONU</w:t>
      </w:r>
    </w:p>
    <w:p w14:paraId="7272C6C8" w14:textId="75713756" w:rsidR="00F20653" w:rsidRPr="007934C0" w:rsidRDefault="00F20653" w:rsidP="00F20653">
      <w:pPr>
        <w:pStyle w:val="HChG"/>
        <w:rPr>
          <w:szCs w:val="28"/>
        </w:rPr>
      </w:pPr>
      <w:r>
        <w:rPr>
          <w:lang w:val="fr-FR"/>
        </w:rPr>
        <w:tab/>
      </w:r>
      <w:r>
        <w:rPr>
          <w:lang w:val="fr-FR"/>
        </w:rPr>
        <w:tab/>
      </w:r>
      <w:r>
        <w:rPr>
          <w:lang w:val="fr-FR"/>
        </w:rPr>
        <w:tab/>
      </w:r>
      <w:r>
        <w:rPr>
          <w:lang w:val="fr-FR"/>
        </w:rPr>
        <w:t>Proposition de complément</w:t>
      </w:r>
      <w:r>
        <w:rPr>
          <w:lang w:val="fr-FR"/>
        </w:rPr>
        <w:t> </w:t>
      </w:r>
      <w:r>
        <w:rPr>
          <w:lang w:val="fr-FR"/>
        </w:rPr>
        <w:t>[13] au Règlement ONU n</w:t>
      </w:r>
      <w:r w:rsidRPr="00F20653">
        <w:rPr>
          <w:vertAlign w:val="superscript"/>
          <w:lang w:val="fr-FR"/>
        </w:rPr>
        <w:t>o</w:t>
      </w:r>
      <w:r>
        <w:rPr>
          <w:lang w:val="fr-FR"/>
        </w:rPr>
        <w:t> </w:t>
      </w:r>
      <w:r>
        <w:rPr>
          <w:lang w:val="fr-FR"/>
        </w:rPr>
        <w:t>65</w:t>
      </w:r>
    </w:p>
    <w:p w14:paraId="3840D2B4" w14:textId="416EF3C5" w:rsidR="00F20653" w:rsidRPr="007934C0" w:rsidRDefault="00F20653" w:rsidP="00F20653">
      <w:pPr>
        <w:pStyle w:val="H1G"/>
        <w:rPr>
          <w:szCs w:val="24"/>
        </w:rPr>
      </w:pPr>
      <w:r>
        <w:rPr>
          <w:lang w:val="fr-FR"/>
        </w:rPr>
        <w:tab/>
      </w:r>
      <w:r>
        <w:rPr>
          <w:lang w:val="fr-FR"/>
        </w:rPr>
        <w:tab/>
      </w:r>
      <w:r>
        <w:rPr>
          <w:lang w:val="fr-FR"/>
        </w:rPr>
        <w:t xml:space="preserve">Communication de l’expert du Groupe de travail </w:t>
      </w:r>
      <w:r>
        <w:rPr>
          <w:lang w:val="fr-FR"/>
        </w:rPr>
        <w:t>« </w:t>
      </w:r>
      <w:r>
        <w:rPr>
          <w:lang w:val="fr-FR"/>
        </w:rPr>
        <w:t>Bruxelles 1952</w:t>
      </w:r>
      <w:r>
        <w:rPr>
          <w:lang w:val="fr-FR"/>
        </w:rPr>
        <w:t> »</w:t>
      </w:r>
      <w:r w:rsidRPr="00F20653">
        <w:rPr>
          <w:rStyle w:val="Appelnotedebasdep"/>
          <w:b w:val="0"/>
          <w:bCs/>
          <w:sz w:val="20"/>
          <w:vertAlign w:val="baseline"/>
        </w:rPr>
        <w:footnoteReference w:customMarkFollows="1" w:id="2"/>
        <w:t>*</w:t>
      </w:r>
    </w:p>
    <w:p w14:paraId="0F7668FC" w14:textId="576220EB" w:rsidR="00F9573C" w:rsidRDefault="00F20653" w:rsidP="00F20653">
      <w:pPr>
        <w:pStyle w:val="SingleTxtG"/>
        <w:ind w:firstLine="567"/>
        <w:rPr>
          <w:lang w:val="fr-FR"/>
        </w:rPr>
      </w:pPr>
      <w:r>
        <w:rPr>
          <w:lang w:val="fr-FR"/>
        </w:rPr>
        <w:footnoteReference w:customMarkFollows="1" w:id="3"/>
        <w:t>Le texte ci-après, établi par l’expert du Groupe de travail «</w:t>
      </w:r>
      <w:r>
        <w:rPr>
          <w:lang w:val="fr-FR"/>
        </w:rPr>
        <w:t> </w:t>
      </w:r>
      <w:r>
        <w:rPr>
          <w:lang w:val="fr-FR"/>
        </w:rPr>
        <w:t>Bruxelles 1952</w:t>
      </w:r>
      <w:r>
        <w:rPr>
          <w:lang w:val="fr-FR"/>
        </w:rPr>
        <w:t> </w:t>
      </w:r>
      <w:r>
        <w:rPr>
          <w:lang w:val="fr-FR"/>
        </w:rPr>
        <w:t>» (GTB), vise à corriger et à préciser les dispositions existantes. Les modifications qu’il est proposé d’apporter au texte actuel du Règlement ONU figurent en caractères gras pour les ajouts et biffés pour les suppressions.</w:t>
      </w:r>
    </w:p>
    <w:p w14:paraId="0AEA5FBC" w14:textId="044B02DB" w:rsidR="00F20653" w:rsidRDefault="00F20653" w:rsidP="00F20653">
      <w:pPr>
        <w:pStyle w:val="SingleTxtG"/>
        <w:ind w:firstLine="567"/>
        <w:rPr>
          <w:lang w:val="fr-FR"/>
        </w:rPr>
      </w:pPr>
      <w:r>
        <w:rPr>
          <w:lang w:val="fr-FR"/>
        </w:rPr>
        <w:br w:type="page"/>
      </w:r>
    </w:p>
    <w:p w14:paraId="6F041080" w14:textId="3D997F09" w:rsidR="00F20653" w:rsidRPr="007934C0" w:rsidRDefault="00F20653" w:rsidP="00F20653">
      <w:pPr>
        <w:pStyle w:val="HChG"/>
      </w:pPr>
      <w:r>
        <w:rPr>
          <w:lang w:val="fr-FR"/>
        </w:rPr>
        <w:lastRenderedPageBreak/>
        <w:tab/>
      </w:r>
      <w:r>
        <w:rPr>
          <w:lang w:val="fr-FR"/>
        </w:rPr>
        <w:t>I.</w:t>
      </w:r>
      <w:r>
        <w:rPr>
          <w:lang w:val="fr-FR"/>
        </w:rPr>
        <w:tab/>
        <w:t>Proposition</w:t>
      </w:r>
    </w:p>
    <w:p w14:paraId="09FA0467" w14:textId="6A24F1C1" w:rsidR="00F20653" w:rsidRPr="007934C0" w:rsidRDefault="00F20653" w:rsidP="00F20653">
      <w:pPr>
        <w:pStyle w:val="SingleTxtG"/>
      </w:pPr>
      <w:r>
        <w:rPr>
          <w:i/>
          <w:iCs/>
          <w:lang w:val="fr-FR"/>
        </w:rPr>
        <w:t>Paragraphe</w:t>
      </w:r>
      <w:r>
        <w:rPr>
          <w:i/>
          <w:iCs/>
          <w:lang w:val="fr-FR"/>
        </w:rPr>
        <w:t> </w:t>
      </w:r>
      <w:r>
        <w:rPr>
          <w:i/>
          <w:iCs/>
          <w:lang w:val="fr-FR"/>
        </w:rPr>
        <w:t>5.1</w:t>
      </w:r>
      <w:r>
        <w:rPr>
          <w:lang w:val="fr-FR"/>
        </w:rPr>
        <w:t>, lire</w:t>
      </w:r>
      <w:r>
        <w:rPr>
          <w:lang w:val="fr-FR"/>
        </w:rPr>
        <w:t> </w:t>
      </w:r>
      <w:r>
        <w:rPr>
          <w:lang w:val="fr-FR"/>
        </w:rPr>
        <w:t>:</w:t>
      </w:r>
    </w:p>
    <w:p w14:paraId="5787874F" w14:textId="2B379DD6" w:rsidR="00F20653" w:rsidRPr="001D5FE7" w:rsidRDefault="00F20653" w:rsidP="00F20653">
      <w:pPr>
        <w:pStyle w:val="para"/>
      </w:pPr>
      <w:r>
        <w:t>« </w:t>
      </w:r>
      <w:r>
        <w:t>5.1</w:t>
      </w:r>
      <w:r>
        <w:tab/>
      </w:r>
      <w:r>
        <w:tab/>
        <w:t>Les feux spéciaux d’avertissement doivent être conçus et construits de telle façon que, dans des conditions normales d’utilisation et en dépit des vibrations auxquelles ils peuvent alors être soumis, leur bon fonctionnement reste assuré et ils conservent les caractéristiques imposées par le présent Règlement.</w:t>
      </w:r>
    </w:p>
    <w:p w14:paraId="055EBBC4" w14:textId="533F035A" w:rsidR="00F20653" w:rsidRPr="001D5FE7" w:rsidRDefault="00F20653" w:rsidP="00F20653">
      <w:pPr>
        <w:pStyle w:val="para"/>
        <w:ind w:firstLine="0"/>
      </w:pPr>
      <w:r>
        <w:t>Les feux spéciaux d’avertissement doivent être conçus et construits de telle façon qu’il soit satisfait aux prescriptions concernant une tension interne supérieure à 60</w:t>
      </w:r>
      <w:r>
        <w:t> </w:t>
      </w:r>
      <w:r>
        <w:t>V</w:t>
      </w:r>
      <w:r>
        <w:t> </w:t>
      </w:r>
      <w:r>
        <w:t>; par</w:t>
      </w:r>
      <w:r>
        <w:t> </w:t>
      </w:r>
      <w:r>
        <w:t xml:space="preserve">exemple grâce à l’apposition d’une marque sur le dispositif conformément aux prescriptions du paragraphe </w:t>
      </w:r>
      <w:r>
        <w:rPr>
          <w:strike/>
        </w:rPr>
        <w:t>5.1.1.5</w:t>
      </w:r>
      <w:r>
        <w:t xml:space="preserve"> </w:t>
      </w:r>
      <w:r>
        <w:rPr>
          <w:b/>
          <w:bCs/>
        </w:rPr>
        <w:t>5.1.1.4</w:t>
      </w:r>
      <w:r>
        <w:t xml:space="preserve"> du Règlement n</w:t>
      </w:r>
      <w:r w:rsidRPr="00F20653">
        <w:rPr>
          <w:vertAlign w:val="superscript"/>
        </w:rPr>
        <w:t>o</w:t>
      </w:r>
      <w:r>
        <w:t> </w:t>
      </w:r>
      <w:r>
        <w:t>100.</w:t>
      </w:r>
      <w:r>
        <w:t> </w:t>
      </w:r>
      <w:r>
        <w:t>».</w:t>
      </w:r>
    </w:p>
    <w:p w14:paraId="1E560E6B" w14:textId="1AF71061" w:rsidR="00F20653" w:rsidRPr="007934C0" w:rsidRDefault="00F20653" w:rsidP="00F20653">
      <w:pPr>
        <w:pStyle w:val="SingleTxtG"/>
      </w:pPr>
      <w:r>
        <w:rPr>
          <w:i/>
          <w:iCs/>
          <w:lang w:val="fr-FR"/>
        </w:rPr>
        <w:t>Paragraphe</w:t>
      </w:r>
      <w:r>
        <w:rPr>
          <w:i/>
          <w:iCs/>
          <w:lang w:val="fr-FR"/>
        </w:rPr>
        <w:t> </w:t>
      </w:r>
      <w:r>
        <w:rPr>
          <w:i/>
          <w:iCs/>
          <w:lang w:val="fr-FR"/>
        </w:rPr>
        <w:t>5.8</w:t>
      </w:r>
      <w:r>
        <w:rPr>
          <w:lang w:val="fr-FR"/>
        </w:rPr>
        <w:t>, lire</w:t>
      </w:r>
      <w:r>
        <w:rPr>
          <w:lang w:val="fr-FR"/>
        </w:rPr>
        <w:t> </w:t>
      </w:r>
      <w:r>
        <w:rPr>
          <w:lang w:val="fr-FR"/>
        </w:rPr>
        <w:t>:</w:t>
      </w:r>
    </w:p>
    <w:p w14:paraId="6673EBE5" w14:textId="1146EE8E" w:rsidR="00F20653" w:rsidRPr="001D5FE7" w:rsidRDefault="00F20653" w:rsidP="00F20653">
      <w:pPr>
        <w:pStyle w:val="para"/>
      </w:pPr>
      <w:r>
        <w:t>« </w:t>
      </w:r>
      <w:r>
        <w:t>5.8</w:t>
      </w:r>
      <w:r>
        <w:tab/>
      </w:r>
      <w:r>
        <w:tab/>
        <w:t xml:space="preserve">Un feu spécial d’avertissement </w:t>
      </w:r>
      <w:r>
        <w:rPr>
          <w:strike/>
        </w:rPr>
        <w:t>tournant ou à éclat</w:t>
      </w:r>
      <w:r>
        <w:t xml:space="preserve"> de</w:t>
      </w:r>
      <w:r>
        <w:rPr>
          <w:b/>
          <w:bCs/>
        </w:rPr>
        <w:t>s</w:t>
      </w:r>
      <w:r>
        <w:t xml:space="preserve"> </w:t>
      </w:r>
      <w:r>
        <w:rPr>
          <w:strike/>
        </w:rPr>
        <w:t xml:space="preserve">la </w:t>
      </w:r>
      <w:r>
        <w:t>catégorie</w:t>
      </w:r>
      <w:r>
        <w:rPr>
          <w:b/>
          <w:bCs/>
        </w:rPr>
        <w:t>s</w:t>
      </w:r>
      <w:r>
        <w:t> </w:t>
      </w:r>
      <w:r>
        <w:t>T</w:t>
      </w:r>
      <w:r>
        <w:rPr>
          <w:b/>
          <w:bCs/>
        </w:rPr>
        <w:t>, HT ou X</w:t>
      </w:r>
      <w:r>
        <w:t xml:space="preserve"> peut émettre de la lumière de plusieurs couleurs.</w:t>
      </w:r>
    </w:p>
    <w:p w14:paraId="082DA5E8" w14:textId="77777777" w:rsidR="00F20653" w:rsidRPr="001D5FE7" w:rsidRDefault="00F20653" w:rsidP="00F20653">
      <w:pPr>
        <w:pStyle w:val="para"/>
        <w:ind w:firstLine="0"/>
      </w:pPr>
      <w:r>
        <w:t>Dans ce cas, il doit être satisfait à toutes les prescriptions pour chacune des couleurs séparément sur toute la plage angulaire précisée.</w:t>
      </w:r>
    </w:p>
    <w:p w14:paraId="5A427678" w14:textId="77777777" w:rsidR="00F20653" w:rsidRPr="001D5FE7" w:rsidRDefault="00F20653" w:rsidP="00F20653">
      <w:pPr>
        <w:pStyle w:val="para"/>
        <w:ind w:firstLine="0"/>
      </w:pPr>
      <w:r>
        <w:t>L’activation de plus d’une couleur à la fois est interdite.</w:t>
      </w:r>
    </w:p>
    <w:p w14:paraId="42C7B47B" w14:textId="057FE86A" w:rsidR="00F20653" w:rsidRPr="007934C0" w:rsidRDefault="00F20653" w:rsidP="00F20653">
      <w:pPr>
        <w:spacing w:after="120"/>
        <w:ind w:left="2268" w:right="1134"/>
        <w:jc w:val="both"/>
      </w:pPr>
      <w:r>
        <w:rPr>
          <w:lang w:val="fr-FR"/>
        </w:rPr>
        <w:t>Le fabricant du feu doit fournir des informations de montage pour garantir un montage correct sur le véhicule et veiller à ce qu’une seule couleur du feu spécial d’avertissement soit activée à la fois.</w:t>
      </w:r>
      <w:r>
        <w:rPr>
          <w:lang w:val="fr-FR"/>
        </w:rPr>
        <w:t> </w:t>
      </w:r>
      <w:r>
        <w:rPr>
          <w:lang w:val="fr-FR"/>
        </w:rPr>
        <w:t>».</w:t>
      </w:r>
    </w:p>
    <w:p w14:paraId="0263B931" w14:textId="5E65553A" w:rsidR="00F20653" w:rsidRPr="007934C0" w:rsidRDefault="00F20653" w:rsidP="00F20653">
      <w:pPr>
        <w:pStyle w:val="SingleTxtG"/>
      </w:pPr>
      <w:r>
        <w:rPr>
          <w:i/>
          <w:iCs/>
          <w:lang w:val="fr-FR"/>
        </w:rPr>
        <w:t>Paragraphe</w:t>
      </w:r>
      <w:r>
        <w:rPr>
          <w:i/>
          <w:iCs/>
          <w:lang w:val="fr-FR"/>
        </w:rPr>
        <w:t> </w:t>
      </w:r>
      <w:r>
        <w:rPr>
          <w:i/>
          <w:iCs/>
          <w:lang w:val="fr-FR"/>
        </w:rPr>
        <w:t>5.9</w:t>
      </w:r>
      <w:r>
        <w:rPr>
          <w:lang w:val="fr-FR"/>
        </w:rPr>
        <w:t>, lire</w:t>
      </w:r>
      <w:r>
        <w:rPr>
          <w:lang w:val="fr-FR"/>
        </w:rPr>
        <w:t> </w:t>
      </w:r>
      <w:r>
        <w:rPr>
          <w:lang w:val="fr-FR"/>
        </w:rPr>
        <w:t>:</w:t>
      </w:r>
    </w:p>
    <w:p w14:paraId="46C42C7F" w14:textId="00A73186" w:rsidR="00F20653" w:rsidRPr="007934C0" w:rsidRDefault="00F20653" w:rsidP="00F20653">
      <w:pPr>
        <w:spacing w:after="120"/>
        <w:ind w:left="2268" w:right="1134" w:hanging="1134"/>
        <w:jc w:val="both"/>
        <w:rPr>
          <w:i/>
          <w:iCs/>
        </w:rPr>
      </w:pPr>
      <w:r>
        <w:rPr>
          <w:lang w:val="fr-FR"/>
        </w:rPr>
        <w:t>« </w:t>
      </w:r>
      <w:r>
        <w:rPr>
          <w:lang w:val="fr-FR"/>
        </w:rPr>
        <w:t>5.9</w:t>
      </w:r>
      <w:r>
        <w:rPr>
          <w:lang w:val="fr-FR"/>
        </w:rPr>
        <w:tab/>
      </w:r>
      <w:r>
        <w:rPr>
          <w:lang w:val="fr-FR"/>
        </w:rPr>
        <w:tab/>
        <w:t>S’agissant des feux spéciaux d’avertissement homologués au titre du présent Règlement, l’utilisateur ne doit pas pouvoir activer des groupes de plusieurs éclats (modes de clignotement), qui ne sont pas conformes aux prescriptions du paragraphe</w:t>
      </w:r>
      <w:r w:rsidR="00CD0EBC">
        <w:rPr>
          <w:lang w:val="fr-FR"/>
        </w:rPr>
        <w:t> </w:t>
      </w:r>
      <w:r>
        <w:rPr>
          <w:lang w:val="fr-FR"/>
        </w:rPr>
        <w:t>6</w:t>
      </w:r>
      <w:r>
        <w:rPr>
          <w:strike/>
          <w:lang w:val="fr-FR"/>
        </w:rPr>
        <w:t xml:space="preserve"> de l’annexe 5</w:t>
      </w:r>
      <w:r>
        <w:rPr>
          <w:lang w:val="fr-FR"/>
        </w:rPr>
        <w:t xml:space="preserve"> </w:t>
      </w:r>
      <w:r>
        <w:rPr>
          <w:b/>
          <w:bCs/>
          <w:lang w:val="fr-FR"/>
        </w:rPr>
        <w:t>du présent Règlement</w:t>
      </w:r>
      <w:r>
        <w:rPr>
          <w:lang w:val="fr-FR"/>
        </w:rPr>
        <w:t>.</w:t>
      </w:r>
      <w:r w:rsidR="00CD0EBC">
        <w:rPr>
          <w:lang w:val="fr-FR"/>
        </w:rPr>
        <w:t> </w:t>
      </w:r>
      <w:r>
        <w:rPr>
          <w:lang w:val="fr-FR"/>
        </w:rPr>
        <w:t>».</w:t>
      </w:r>
    </w:p>
    <w:p w14:paraId="6EEBD79B" w14:textId="560F6657" w:rsidR="00F20653" w:rsidRPr="001D5FE7" w:rsidRDefault="00F20653" w:rsidP="00F20653">
      <w:pPr>
        <w:pStyle w:val="para"/>
      </w:pPr>
      <w:r>
        <w:rPr>
          <w:i/>
          <w:iCs/>
        </w:rPr>
        <w:t>Annexe 2</w:t>
      </w:r>
      <w:r>
        <w:t>, lire</w:t>
      </w:r>
      <w:r w:rsidR="00CD0EBC">
        <w:t> </w:t>
      </w:r>
      <w:r>
        <w:t>:</w:t>
      </w:r>
    </w:p>
    <w:p w14:paraId="757EB7C0" w14:textId="2F3D4A90" w:rsidR="00F20653" w:rsidRPr="007934C0" w:rsidRDefault="00CD0EBC" w:rsidP="00CD0EBC">
      <w:pPr>
        <w:ind w:left="1134"/>
        <w:rPr>
          <w:b/>
          <w:bCs/>
          <w:sz w:val="24"/>
          <w:szCs w:val="24"/>
        </w:rPr>
      </w:pPr>
      <w:r>
        <w:rPr>
          <w:b/>
          <w:bCs/>
          <w:lang w:val="fr-FR"/>
        </w:rPr>
        <w:t>« </w:t>
      </w:r>
      <w:r w:rsidR="00F20653">
        <w:rPr>
          <w:b/>
          <w:bCs/>
          <w:lang w:val="fr-FR"/>
        </w:rPr>
        <w:t>Annexe 2</w:t>
      </w:r>
      <w:r w:rsidR="00F20653">
        <w:rPr>
          <w:lang w:val="fr-FR"/>
        </w:rPr>
        <w:t xml:space="preserve"> </w:t>
      </w:r>
      <w:r>
        <w:rPr>
          <w:lang w:val="fr-FR"/>
        </w:rPr>
        <w:br/>
      </w:r>
      <w:r w:rsidR="00F20653">
        <w:rPr>
          <w:b/>
          <w:bCs/>
          <w:lang w:val="fr-FR"/>
        </w:rPr>
        <w:t>Exemples de marques d’homologation</w:t>
      </w:r>
    </w:p>
    <w:p w14:paraId="195C3CAF" w14:textId="77777777" w:rsidR="00F20653" w:rsidRPr="001D5FE7" w:rsidRDefault="00F20653" w:rsidP="00F20653">
      <w:pPr>
        <w:ind w:left="1134"/>
        <w:jc w:val="both"/>
        <w:rPr>
          <w:sz w:val="22"/>
          <w:szCs w:val="22"/>
        </w:rPr>
      </w:pPr>
      <w:r w:rsidRPr="001D5FE7">
        <w:rPr>
          <w:noProof/>
        </w:rPr>
        <w:drawing>
          <wp:inline distT="0" distB="0" distL="0" distR="0" wp14:anchorId="1B14AB80" wp14:editId="57D376ED">
            <wp:extent cx="4930140" cy="2156460"/>
            <wp:effectExtent l="0" t="0" r="3810" b="0"/>
            <wp:docPr id="4" name="Grafik 4" descr="Une image contenant texte, Polic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texte, Police, diagramme, capture d’écra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0140" cy="2156460"/>
                    </a:xfrm>
                    <a:prstGeom prst="rect">
                      <a:avLst/>
                    </a:prstGeom>
                    <a:noFill/>
                    <a:ln>
                      <a:noFill/>
                    </a:ln>
                  </pic:spPr>
                </pic:pic>
              </a:graphicData>
            </a:graphic>
          </wp:inline>
        </w:drawing>
      </w:r>
    </w:p>
    <w:p w14:paraId="0290C9D7" w14:textId="08EAFF95" w:rsidR="00F20653" w:rsidRPr="001D5FE7" w:rsidRDefault="00F20653" w:rsidP="00F20653">
      <w:pPr>
        <w:ind w:left="993" w:right="1134" w:hanging="993"/>
        <w:jc w:val="right"/>
        <w:rPr>
          <w:sz w:val="22"/>
          <w:szCs w:val="22"/>
        </w:rPr>
      </w:pPr>
      <w:r>
        <w:rPr>
          <w:lang w:val="fr-FR"/>
        </w:rPr>
        <w:t xml:space="preserve">a ≥ </w:t>
      </w:r>
      <w:r>
        <w:rPr>
          <w:strike/>
          <w:lang w:val="fr-FR"/>
        </w:rPr>
        <w:t>8</w:t>
      </w:r>
      <w:r>
        <w:rPr>
          <w:b/>
          <w:bCs/>
          <w:lang w:val="fr-FR"/>
        </w:rPr>
        <w:t>5</w:t>
      </w:r>
      <w:r w:rsidR="00CD0EBC">
        <w:rPr>
          <w:lang w:val="fr-FR"/>
        </w:rPr>
        <w:t> </w:t>
      </w:r>
      <w:r>
        <w:rPr>
          <w:lang w:val="fr-FR"/>
        </w:rPr>
        <w:t>mm</w:t>
      </w:r>
    </w:p>
    <w:p w14:paraId="079BDC6E" w14:textId="77777777" w:rsidR="00F20653" w:rsidRPr="001D5FE7" w:rsidRDefault="00F20653" w:rsidP="00F20653">
      <w:pPr>
        <w:pStyle w:val="Paragraphedeliste"/>
        <w:numPr>
          <w:ilvl w:val="0"/>
          <w:numId w:val="17"/>
        </w:numPr>
        <w:spacing w:before="120" w:after="120" w:line="240" w:lineRule="atLeast"/>
        <w:ind w:left="1559" w:hanging="357"/>
        <w:contextualSpacing w:val="0"/>
        <w:rPr>
          <w:sz w:val="22"/>
          <w:szCs w:val="22"/>
        </w:rPr>
      </w:pPr>
      <w:r>
        <w:rPr>
          <w:lang w:val="fr-FR"/>
        </w:rPr>
        <w:t>…</w:t>
      </w:r>
    </w:p>
    <w:p w14:paraId="01641899" w14:textId="77777777" w:rsidR="00F20653" w:rsidRPr="001D5FE7" w:rsidRDefault="00F20653" w:rsidP="00F20653">
      <w:pPr>
        <w:pStyle w:val="Paragraphedeliste"/>
        <w:numPr>
          <w:ilvl w:val="0"/>
          <w:numId w:val="17"/>
        </w:numPr>
        <w:spacing w:after="120" w:line="240" w:lineRule="atLeast"/>
        <w:ind w:left="1559" w:hanging="357"/>
        <w:contextualSpacing w:val="0"/>
        <w:rPr>
          <w:sz w:val="22"/>
          <w:szCs w:val="22"/>
        </w:rPr>
      </w:pPr>
      <w:r>
        <w:rPr>
          <w:lang w:val="fr-FR"/>
        </w:rPr>
        <w:t>…</w:t>
      </w:r>
    </w:p>
    <w:p w14:paraId="78104544" w14:textId="77777777" w:rsidR="00F20653" w:rsidRPr="001D5FE7" w:rsidRDefault="00F20653" w:rsidP="00F20653">
      <w:pPr>
        <w:ind w:left="567"/>
        <w:jc w:val="both"/>
      </w:pPr>
      <w:r w:rsidRPr="001D5FE7">
        <w:rPr>
          <w:noProof/>
        </w:rPr>
        <w:lastRenderedPageBreak/>
        <w:drawing>
          <wp:inline distT="0" distB="0" distL="0" distR="0" wp14:anchorId="4CCE5B2C" wp14:editId="168A6F10">
            <wp:extent cx="5760720" cy="2179320"/>
            <wp:effectExtent l="0" t="0" r="0" b="0"/>
            <wp:docPr id="3" name="Grafik 3" descr="Une image contenant texte, Police, diagramm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Une image contenant texte, Police, diagramme, blanc&#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79320"/>
                    </a:xfrm>
                    <a:prstGeom prst="rect">
                      <a:avLst/>
                    </a:prstGeom>
                    <a:noFill/>
                    <a:ln>
                      <a:noFill/>
                    </a:ln>
                  </pic:spPr>
                </pic:pic>
              </a:graphicData>
            </a:graphic>
          </wp:inline>
        </w:drawing>
      </w:r>
    </w:p>
    <w:p w14:paraId="233E2C48" w14:textId="6BA99716" w:rsidR="00F20653" w:rsidRPr="007934C0" w:rsidRDefault="00F20653" w:rsidP="00F20653">
      <w:pPr>
        <w:ind w:left="993" w:right="1134" w:hanging="993"/>
        <w:jc w:val="right"/>
        <w:rPr>
          <w:sz w:val="22"/>
          <w:szCs w:val="22"/>
        </w:rPr>
      </w:pPr>
      <w:r>
        <w:rPr>
          <w:lang w:val="fr-FR"/>
        </w:rPr>
        <w:t xml:space="preserve">a ≥ </w:t>
      </w:r>
      <w:r>
        <w:rPr>
          <w:strike/>
          <w:lang w:val="fr-FR"/>
        </w:rPr>
        <w:t>8</w:t>
      </w:r>
      <w:r>
        <w:rPr>
          <w:b/>
          <w:bCs/>
          <w:lang w:val="fr-FR"/>
        </w:rPr>
        <w:t>5</w:t>
      </w:r>
      <w:r w:rsidR="00CD0EBC">
        <w:rPr>
          <w:lang w:val="fr-FR"/>
        </w:rPr>
        <w:t> </w:t>
      </w:r>
      <w:r>
        <w:rPr>
          <w:lang w:val="fr-FR"/>
        </w:rPr>
        <w:t>mm</w:t>
      </w:r>
    </w:p>
    <w:p w14:paraId="233597E8" w14:textId="711DD0B8" w:rsidR="00F20653" w:rsidRPr="00120A4B" w:rsidRDefault="00F20653" w:rsidP="00F20653">
      <w:pPr>
        <w:pStyle w:val="para"/>
        <w:rPr>
          <w:sz w:val="22"/>
          <w:szCs w:val="22"/>
        </w:rPr>
      </w:pPr>
      <w:r>
        <w:t>…</w:t>
      </w:r>
      <w:r w:rsidR="00CD0EBC">
        <w:t> »</w:t>
      </w:r>
      <w:r>
        <w:t>.</w:t>
      </w:r>
    </w:p>
    <w:p w14:paraId="5A115946" w14:textId="1FDD1D21" w:rsidR="00F20653" w:rsidRPr="007934C0" w:rsidRDefault="00CD0EBC" w:rsidP="00CD0EBC">
      <w:pPr>
        <w:pStyle w:val="HChG"/>
      </w:pPr>
      <w:r>
        <w:rPr>
          <w:lang w:val="fr-FR"/>
        </w:rPr>
        <w:tab/>
      </w:r>
      <w:r w:rsidR="00F20653">
        <w:rPr>
          <w:lang w:val="fr-FR"/>
        </w:rPr>
        <w:t>II.</w:t>
      </w:r>
      <w:r w:rsidR="00F20653">
        <w:rPr>
          <w:lang w:val="fr-FR"/>
        </w:rPr>
        <w:tab/>
      </w:r>
      <w:r w:rsidR="00F20653">
        <w:rPr>
          <w:lang w:val="fr-FR"/>
        </w:rPr>
        <w:tab/>
      </w:r>
      <w:r w:rsidR="00F20653" w:rsidRPr="00CD0EBC">
        <w:t>Justification</w:t>
      </w:r>
    </w:p>
    <w:p w14:paraId="669AC2E5" w14:textId="2F8AB623" w:rsidR="00F20653" w:rsidRPr="007934C0" w:rsidRDefault="00CD0EBC" w:rsidP="00CD0EBC">
      <w:pPr>
        <w:pStyle w:val="H4G"/>
      </w:pPr>
      <w:r>
        <w:rPr>
          <w:lang w:val="fr-FR"/>
        </w:rPr>
        <w:tab/>
      </w:r>
      <w:r>
        <w:rPr>
          <w:lang w:val="fr-FR"/>
        </w:rPr>
        <w:tab/>
      </w:r>
      <w:r w:rsidR="00F20653">
        <w:rPr>
          <w:lang w:val="fr-FR"/>
        </w:rPr>
        <w:t>Paragraphe</w:t>
      </w:r>
      <w:r>
        <w:rPr>
          <w:lang w:val="fr-FR"/>
        </w:rPr>
        <w:t> </w:t>
      </w:r>
      <w:r w:rsidR="00F20653">
        <w:rPr>
          <w:lang w:val="fr-FR"/>
        </w:rPr>
        <w:t>5.1</w:t>
      </w:r>
    </w:p>
    <w:p w14:paraId="5A33BDAE" w14:textId="02DEC1C8" w:rsidR="00F20653" w:rsidRPr="007934C0" w:rsidRDefault="00F20653" w:rsidP="00F20653">
      <w:pPr>
        <w:pStyle w:val="SingleTxtG"/>
      </w:pPr>
      <w:r>
        <w:rPr>
          <w:lang w:val="fr-FR"/>
        </w:rPr>
        <w:t>1.</w:t>
      </w:r>
      <w:r>
        <w:rPr>
          <w:lang w:val="fr-FR"/>
        </w:rPr>
        <w:tab/>
        <w:t>Le paragraphe</w:t>
      </w:r>
      <w:r w:rsidR="00CD0EBC">
        <w:rPr>
          <w:lang w:val="fr-FR"/>
        </w:rPr>
        <w:t> </w:t>
      </w:r>
      <w:r>
        <w:rPr>
          <w:lang w:val="fr-FR"/>
        </w:rPr>
        <w:t>5.1.1.5 est devenu le paragraphe</w:t>
      </w:r>
      <w:r w:rsidR="00CD0EBC">
        <w:rPr>
          <w:lang w:val="fr-FR"/>
        </w:rPr>
        <w:t> </w:t>
      </w:r>
      <w:r>
        <w:rPr>
          <w:lang w:val="fr-FR"/>
        </w:rPr>
        <w:t>5.1.1.4 dans le complément</w:t>
      </w:r>
      <w:r w:rsidR="00CD0EBC">
        <w:rPr>
          <w:lang w:val="fr-FR"/>
        </w:rPr>
        <w:t> </w:t>
      </w:r>
      <w:r>
        <w:rPr>
          <w:lang w:val="fr-FR"/>
        </w:rPr>
        <w:t>2 à la série</w:t>
      </w:r>
      <w:r w:rsidR="00CD0EBC">
        <w:rPr>
          <w:lang w:val="fr-FR"/>
        </w:rPr>
        <w:t> </w:t>
      </w:r>
      <w:r>
        <w:rPr>
          <w:lang w:val="fr-FR"/>
        </w:rPr>
        <w:t>02 d’amendements au Règlement ONU n</w:t>
      </w:r>
      <w:r w:rsidRPr="00CD0EBC">
        <w:rPr>
          <w:vertAlign w:val="superscript"/>
          <w:lang w:val="fr-FR"/>
        </w:rPr>
        <w:t>o</w:t>
      </w:r>
      <w:r w:rsidR="00CD0EBC">
        <w:rPr>
          <w:lang w:val="fr-FR"/>
        </w:rPr>
        <w:t> </w:t>
      </w:r>
      <w:r>
        <w:rPr>
          <w:lang w:val="fr-FR"/>
        </w:rPr>
        <w:t>100. La présente proposition vise à actualiser en conséquence la référence qui figure dans le Règlement ONU n</w:t>
      </w:r>
      <w:r w:rsidRPr="00CD0EBC">
        <w:rPr>
          <w:vertAlign w:val="superscript"/>
          <w:lang w:val="fr-FR"/>
        </w:rPr>
        <w:t>o</w:t>
      </w:r>
      <w:r w:rsidR="00CD0EBC">
        <w:rPr>
          <w:lang w:val="fr-FR"/>
        </w:rPr>
        <w:t> </w:t>
      </w:r>
      <w:r>
        <w:rPr>
          <w:lang w:val="fr-FR"/>
        </w:rPr>
        <w:t>65.</w:t>
      </w:r>
    </w:p>
    <w:p w14:paraId="0E00AB09" w14:textId="35B649B4" w:rsidR="00F20653" w:rsidRPr="007934C0" w:rsidRDefault="00CD0EBC" w:rsidP="00CD0EBC">
      <w:pPr>
        <w:pStyle w:val="H4G"/>
      </w:pPr>
      <w:r>
        <w:rPr>
          <w:lang w:val="fr-FR"/>
        </w:rPr>
        <w:tab/>
      </w:r>
      <w:r>
        <w:rPr>
          <w:lang w:val="fr-FR"/>
        </w:rPr>
        <w:tab/>
      </w:r>
      <w:r w:rsidR="00F20653">
        <w:rPr>
          <w:lang w:val="fr-FR"/>
        </w:rPr>
        <w:t>Paragraphe</w:t>
      </w:r>
      <w:r>
        <w:rPr>
          <w:lang w:val="fr-FR"/>
        </w:rPr>
        <w:t> </w:t>
      </w:r>
      <w:r w:rsidR="00F20653">
        <w:rPr>
          <w:lang w:val="fr-FR"/>
        </w:rPr>
        <w:t>5.8</w:t>
      </w:r>
    </w:p>
    <w:p w14:paraId="4AAE1E2F" w14:textId="09B83735" w:rsidR="00F20653" w:rsidRPr="007934C0" w:rsidRDefault="00F20653" w:rsidP="00F20653">
      <w:pPr>
        <w:pStyle w:val="SingleTxtG"/>
      </w:pPr>
      <w:r>
        <w:rPr>
          <w:lang w:val="fr-FR"/>
        </w:rPr>
        <w:t>2.</w:t>
      </w:r>
      <w:r>
        <w:rPr>
          <w:lang w:val="fr-FR"/>
        </w:rPr>
        <w:tab/>
        <w:t>En général, l’installation de feux spéciaux d’avertissement est réglementée au niveau national. Cependant, pour qu’un niveau de qualité minimal soit établi, les prescriptions nationales renvoient souvent au Règlement ONU n</w:t>
      </w:r>
      <w:r w:rsidRPr="00CD0EBC">
        <w:rPr>
          <w:vertAlign w:val="superscript"/>
          <w:lang w:val="fr-FR"/>
        </w:rPr>
        <w:t>o</w:t>
      </w:r>
      <w:r w:rsidR="00CD0EBC">
        <w:rPr>
          <w:lang w:val="fr-FR"/>
        </w:rPr>
        <w:t> </w:t>
      </w:r>
      <w:r>
        <w:rPr>
          <w:lang w:val="fr-FR"/>
        </w:rPr>
        <w:t>65 et autorisent les dispositifs homologués au titre de ce Règlement.</w:t>
      </w:r>
    </w:p>
    <w:p w14:paraId="14C8C778" w14:textId="0AF8F865" w:rsidR="00F20653" w:rsidRPr="007934C0" w:rsidRDefault="00F20653" w:rsidP="00F20653">
      <w:pPr>
        <w:pStyle w:val="SingleTxtG"/>
      </w:pPr>
      <w:r>
        <w:rPr>
          <w:lang w:val="fr-FR"/>
        </w:rPr>
        <w:t>3.</w:t>
      </w:r>
      <w:r>
        <w:rPr>
          <w:lang w:val="fr-FR"/>
        </w:rPr>
        <w:tab/>
        <w:t>Il est courant d’associer des feux spéciaux d’avertissement de différentes couleurs sur un véhicule aux fins de différents cas d’utilisation. C’est pourquoi, selon le texte actuel du Règlement ONU n</w:t>
      </w:r>
      <w:r w:rsidRPr="00CD0EBC">
        <w:rPr>
          <w:vertAlign w:val="superscript"/>
          <w:lang w:val="fr-FR"/>
        </w:rPr>
        <w:t>o</w:t>
      </w:r>
      <w:r w:rsidR="00CD0EBC">
        <w:rPr>
          <w:lang w:val="fr-FR"/>
        </w:rPr>
        <w:t> </w:t>
      </w:r>
      <w:r>
        <w:rPr>
          <w:lang w:val="fr-FR"/>
        </w:rPr>
        <w:t xml:space="preserve">65, les feux spéciaux d’avertissement de la </w:t>
      </w:r>
      <w:r w:rsidRPr="00CD0EBC">
        <w:t>catégorie</w:t>
      </w:r>
      <w:r w:rsidR="00CD0EBC">
        <w:t> </w:t>
      </w:r>
      <w:r w:rsidRPr="00CD0EBC">
        <w:t>T</w:t>
      </w:r>
      <w:r>
        <w:rPr>
          <w:lang w:val="fr-FR"/>
        </w:rPr>
        <w:t xml:space="preserve"> peuvent émettre de la lumière de différentes couleurs dans les conditions précises décrites au paragraphe</w:t>
      </w:r>
      <w:r w:rsidR="00CD0EBC">
        <w:rPr>
          <w:lang w:val="fr-FR"/>
        </w:rPr>
        <w:t> </w:t>
      </w:r>
      <w:r>
        <w:rPr>
          <w:lang w:val="fr-FR"/>
        </w:rPr>
        <w:t>5.8.</w:t>
      </w:r>
    </w:p>
    <w:p w14:paraId="75990AA0" w14:textId="6D02D735" w:rsidR="00F20653" w:rsidRPr="007934C0" w:rsidRDefault="00F20653" w:rsidP="00F20653">
      <w:pPr>
        <w:pStyle w:val="SingleTxtG"/>
      </w:pPr>
      <w:r>
        <w:rPr>
          <w:lang w:val="fr-FR"/>
        </w:rPr>
        <w:t>4.</w:t>
      </w:r>
      <w:r>
        <w:rPr>
          <w:lang w:val="fr-FR"/>
        </w:rPr>
        <w:tab/>
        <w:t>Il est courant d’installer un feu spécial d’avertissement de la catégorie</w:t>
      </w:r>
      <w:r w:rsidR="00CD0EBC">
        <w:rPr>
          <w:lang w:val="fr-FR"/>
        </w:rPr>
        <w:t> </w:t>
      </w:r>
      <w:r>
        <w:rPr>
          <w:lang w:val="fr-FR"/>
        </w:rPr>
        <w:t>T à l’avant du toit et, comme le feu est souvent couvert à l’arrière du fait de la présence de matériel spécial, d’installer une demi-rampe supplémentaire à l’arrière du toit.</w:t>
      </w:r>
    </w:p>
    <w:p w14:paraId="0B3999A2" w14:textId="2211C8BF" w:rsidR="00F20653" w:rsidRPr="007934C0" w:rsidRDefault="00F20653" w:rsidP="00F20653">
      <w:pPr>
        <w:pStyle w:val="SingleTxtG"/>
      </w:pPr>
      <w:r>
        <w:rPr>
          <w:lang w:val="fr-FR"/>
        </w:rPr>
        <w:t>5.</w:t>
      </w:r>
      <w:r>
        <w:rPr>
          <w:lang w:val="fr-FR"/>
        </w:rPr>
        <w:tab/>
        <w:t>Le texte actuel du Règlement ONU n</w:t>
      </w:r>
      <w:r w:rsidRPr="00CD0EBC">
        <w:rPr>
          <w:vertAlign w:val="superscript"/>
          <w:lang w:val="fr-FR"/>
        </w:rPr>
        <w:t>o</w:t>
      </w:r>
      <w:r w:rsidR="00CD0EBC">
        <w:rPr>
          <w:lang w:val="fr-FR"/>
        </w:rPr>
        <w:t> </w:t>
      </w:r>
      <w:r>
        <w:rPr>
          <w:lang w:val="fr-FR"/>
        </w:rPr>
        <w:t>65 n’autorise ce type d’installation que sur les véhicules équipés de feux spéciaux d’avertissement de couleur bleue. Les mêmes véhicules équipés de feux spéciaux d’avertissement de couleur jaune ne sont donc pas concernés par cette possibilité, car il n’est pas possible d’homologuer une demi-rampe jaune.</w:t>
      </w:r>
    </w:p>
    <w:p w14:paraId="3BC798EB" w14:textId="365E38E7" w:rsidR="00F20653" w:rsidRPr="007934C0" w:rsidRDefault="00F20653" w:rsidP="00F20653">
      <w:pPr>
        <w:pStyle w:val="SingleTxtG"/>
      </w:pPr>
      <w:r>
        <w:rPr>
          <w:lang w:val="fr-FR"/>
        </w:rPr>
        <w:t>6.</w:t>
      </w:r>
      <w:r>
        <w:rPr>
          <w:lang w:val="fr-FR"/>
        </w:rPr>
        <w:tab/>
        <w:t>Pour éliminer cette incohérence et par souci de neutralité technologique, la présente proposition vise à permettre que les feux spéciaux d’avertissement des catégories</w:t>
      </w:r>
      <w:r w:rsidR="00CD0EBC">
        <w:rPr>
          <w:lang w:val="fr-FR"/>
        </w:rPr>
        <w:t> </w:t>
      </w:r>
      <w:r>
        <w:rPr>
          <w:lang w:val="fr-FR"/>
        </w:rPr>
        <w:t>HT et X émettent de la lumière de différentes couleurs, au même titre que les feux de la catégorie</w:t>
      </w:r>
      <w:r w:rsidR="00CD0EBC">
        <w:rPr>
          <w:lang w:val="fr-FR"/>
        </w:rPr>
        <w:t> </w:t>
      </w:r>
      <w:r>
        <w:rPr>
          <w:lang w:val="fr-FR"/>
        </w:rPr>
        <w:t>T.</w:t>
      </w:r>
    </w:p>
    <w:p w14:paraId="73424AA2" w14:textId="6103F5BD" w:rsidR="00F20653" w:rsidRPr="007934C0" w:rsidRDefault="00CD0EBC" w:rsidP="00CD0EBC">
      <w:pPr>
        <w:pStyle w:val="H4G"/>
      </w:pPr>
      <w:r>
        <w:rPr>
          <w:lang w:val="fr-FR"/>
        </w:rPr>
        <w:tab/>
      </w:r>
      <w:r>
        <w:rPr>
          <w:lang w:val="fr-FR"/>
        </w:rPr>
        <w:tab/>
      </w:r>
      <w:r w:rsidR="00F20653">
        <w:rPr>
          <w:lang w:val="fr-FR"/>
        </w:rPr>
        <w:t>Paragraphe</w:t>
      </w:r>
      <w:r>
        <w:rPr>
          <w:lang w:val="fr-FR"/>
        </w:rPr>
        <w:t> </w:t>
      </w:r>
      <w:r w:rsidR="00F20653">
        <w:rPr>
          <w:lang w:val="fr-FR"/>
        </w:rPr>
        <w:t>5.9</w:t>
      </w:r>
    </w:p>
    <w:p w14:paraId="51360BD5" w14:textId="0F8CDAD7" w:rsidR="00F20653" w:rsidRPr="007934C0" w:rsidRDefault="00F20653" w:rsidP="00F20653">
      <w:pPr>
        <w:pStyle w:val="SingleTxtG"/>
      </w:pPr>
      <w:r>
        <w:rPr>
          <w:lang w:val="fr-FR"/>
        </w:rPr>
        <w:t>7.</w:t>
      </w:r>
      <w:r>
        <w:rPr>
          <w:lang w:val="fr-FR"/>
        </w:rPr>
        <w:tab/>
        <w:t>Le paragraphe</w:t>
      </w:r>
      <w:r w:rsidR="00CD0EBC">
        <w:rPr>
          <w:lang w:val="fr-FR"/>
        </w:rPr>
        <w:t> </w:t>
      </w:r>
      <w:r>
        <w:rPr>
          <w:lang w:val="fr-FR"/>
        </w:rPr>
        <w:t>5.9 a été ajouté en 2014 dans le complément</w:t>
      </w:r>
      <w:r w:rsidR="00CD0EBC">
        <w:rPr>
          <w:lang w:val="fr-FR"/>
        </w:rPr>
        <w:t> </w:t>
      </w:r>
      <w:r>
        <w:rPr>
          <w:lang w:val="fr-FR"/>
        </w:rPr>
        <w:t>9 au Règlement ONU n</w:t>
      </w:r>
      <w:r w:rsidRPr="00CD0EBC">
        <w:rPr>
          <w:vertAlign w:val="superscript"/>
          <w:lang w:val="fr-FR"/>
        </w:rPr>
        <w:t>o</w:t>
      </w:r>
      <w:r w:rsidR="00CD0EBC">
        <w:rPr>
          <w:lang w:val="fr-FR"/>
        </w:rPr>
        <w:t> </w:t>
      </w:r>
      <w:r>
        <w:rPr>
          <w:lang w:val="fr-FR"/>
        </w:rPr>
        <w:t>65. À l’époque, l’idée était de faire en sorte que les groupes de plusieurs éclats soient conformes aux prescriptions du paragraphe</w:t>
      </w:r>
      <w:r w:rsidR="00CD0EBC">
        <w:rPr>
          <w:lang w:val="fr-FR"/>
        </w:rPr>
        <w:t> </w:t>
      </w:r>
      <w:r>
        <w:rPr>
          <w:lang w:val="fr-FR"/>
        </w:rPr>
        <w:t>6 de l’annexe</w:t>
      </w:r>
      <w:r w:rsidR="00CD0EBC">
        <w:rPr>
          <w:lang w:val="fr-FR"/>
        </w:rPr>
        <w:t> </w:t>
      </w:r>
      <w:r>
        <w:rPr>
          <w:lang w:val="fr-FR"/>
        </w:rPr>
        <w:t xml:space="preserve">5, où est décrit </w:t>
      </w:r>
      <w:r w:rsidR="00CD0EBC">
        <w:rPr>
          <w:lang w:val="fr-FR"/>
        </w:rPr>
        <w:t>« </w:t>
      </w:r>
      <w:r>
        <w:rPr>
          <w:lang w:val="fr-FR"/>
        </w:rPr>
        <w:t>l’écart de temps</w:t>
      </w:r>
      <w:r w:rsidR="00CD0EBC">
        <w:rPr>
          <w:lang w:val="fr-FR"/>
        </w:rPr>
        <w:t> </w:t>
      </w:r>
      <w:r>
        <w:rPr>
          <w:lang w:val="fr-FR"/>
        </w:rPr>
        <w:t>Δt</w:t>
      </w:r>
      <w:r w:rsidR="00CD0EBC">
        <w:rPr>
          <w:lang w:val="fr-FR"/>
        </w:rPr>
        <w:t> »</w:t>
      </w:r>
      <w:r>
        <w:rPr>
          <w:lang w:val="fr-FR"/>
        </w:rPr>
        <w:t xml:space="preserve"> entre les éclats qui se suivent immédiatement. Depuis lors, les services techniques interprètent toujours cet amendement comme une prescription supplémentaire pour les groupes d’éclats, qui s’ajoute à toutes les autres prescriptions relatives aux feux spéciaux d’avertissement.</w:t>
      </w:r>
    </w:p>
    <w:p w14:paraId="2170C246" w14:textId="6E5DC409" w:rsidR="00F20653" w:rsidRPr="007934C0" w:rsidRDefault="00F20653" w:rsidP="00CD0EBC">
      <w:pPr>
        <w:pStyle w:val="SingleTxtG"/>
        <w:keepNext/>
        <w:keepLines/>
      </w:pPr>
      <w:r>
        <w:rPr>
          <w:lang w:val="fr-FR"/>
        </w:rPr>
        <w:lastRenderedPageBreak/>
        <w:t>8.</w:t>
      </w:r>
      <w:r>
        <w:rPr>
          <w:lang w:val="fr-FR"/>
        </w:rPr>
        <w:tab/>
        <w:t xml:space="preserve">L’objectif de la proposition est de préciser le texte actuel afin d’éviter la conception de modes de clignotement qui soient uniquement conformes aux prescriptions relatives à </w:t>
      </w:r>
      <w:r w:rsidR="00CD0EBC">
        <w:rPr>
          <w:lang w:val="fr-FR"/>
        </w:rPr>
        <w:t>« </w:t>
      </w:r>
      <w:r>
        <w:rPr>
          <w:lang w:val="fr-FR"/>
        </w:rPr>
        <w:t>l’écart de temps</w:t>
      </w:r>
      <w:r w:rsidR="00CD0EBC">
        <w:rPr>
          <w:lang w:val="fr-FR"/>
        </w:rPr>
        <w:t> </w:t>
      </w:r>
      <w:r>
        <w:rPr>
          <w:lang w:val="fr-FR"/>
        </w:rPr>
        <w:t>Δt</w:t>
      </w:r>
      <w:r w:rsidR="00CD0EBC">
        <w:rPr>
          <w:lang w:val="fr-FR"/>
        </w:rPr>
        <w:t> »</w:t>
      </w:r>
      <w:r>
        <w:rPr>
          <w:lang w:val="fr-FR"/>
        </w:rPr>
        <w:t xml:space="preserve"> qui figurent au paragraphe</w:t>
      </w:r>
      <w:r w:rsidR="00CD0EBC">
        <w:rPr>
          <w:lang w:val="fr-FR"/>
        </w:rPr>
        <w:t> </w:t>
      </w:r>
      <w:r>
        <w:rPr>
          <w:lang w:val="fr-FR"/>
        </w:rPr>
        <w:t>6 de l’annexe</w:t>
      </w:r>
      <w:r w:rsidR="00CD0EBC">
        <w:rPr>
          <w:lang w:val="fr-FR"/>
        </w:rPr>
        <w:t> </w:t>
      </w:r>
      <w:r>
        <w:rPr>
          <w:lang w:val="fr-FR"/>
        </w:rPr>
        <w:t>5 et de veiller à ce qu’ils soient également conformes à d’autres dispositions importantes du Règlement ONU n</w:t>
      </w:r>
      <w:r w:rsidRPr="00CD0EBC">
        <w:rPr>
          <w:vertAlign w:val="superscript"/>
          <w:lang w:val="fr-FR"/>
        </w:rPr>
        <w:t>o</w:t>
      </w:r>
      <w:r w:rsidR="00CD0EBC">
        <w:rPr>
          <w:lang w:val="fr-FR"/>
        </w:rPr>
        <w:t> </w:t>
      </w:r>
      <w:r>
        <w:rPr>
          <w:lang w:val="fr-FR"/>
        </w:rPr>
        <w:t>65, telles que celles qui portent sur la fréquence, la photométrie et les temps d’allumage et d’extinction. La référence au paragraphe</w:t>
      </w:r>
      <w:r w:rsidR="00CD0EBC">
        <w:rPr>
          <w:lang w:val="fr-FR"/>
        </w:rPr>
        <w:t> </w:t>
      </w:r>
      <w:r>
        <w:rPr>
          <w:lang w:val="fr-FR"/>
        </w:rPr>
        <w:t>6 indique que toutes les prescriptions doivent être respectées, et pas uniquement celles du paragraphe</w:t>
      </w:r>
      <w:r w:rsidR="00CD0EBC">
        <w:rPr>
          <w:lang w:val="fr-FR"/>
        </w:rPr>
        <w:t> </w:t>
      </w:r>
      <w:r>
        <w:rPr>
          <w:lang w:val="fr-FR"/>
        </w:rPr>
        <w:t>6 de l’annexe</w:t>
      </w:r>
      <w:r w:rsidR="00CD0EBC">
        <w:rPr>
          <w:lang w:val="fr-FR"/>
        </w:rPr>
        <w:t> </w:t>
      </w:r>
      <w:r>
        <w:rPr>
          <w:lang w:val="fr-FR"/>
        </w:rPr>
        <w:t>5.</w:t>
      </w:r>
    </w:p>
    <w:p w14:paraId="7DD9AD60" w14:textId="495C4349" w:rsidR="00F20653" w:rsidRPr="007934C0" w:rsidRDefault="00CD0EBC" w:rsidP="00CD0EBC">
      <w:pPr>
        <w:pStyle w:val="H4G"/>
      </w:pPr>
      <w:r>
        <w:rPr>
          <w:lang w:val="fr-FR"/>
        </w:rPr>
        <w:tab/>
      </w:r>
      <w:r>
        <w:rPr>
          <w:lang w:val="fr-FR"/>
        </w:rPr>
        <w:tab/>
      </w:r>
      <w:r w:rsidR="00F20653">
        <w:rPr>
          <w:lang w:val="fr-FR"/>
        </w:rPr>
        <w:t>Annexe 2</w:t>
      </w:r>
    </w:p>
    <w:p w14:paraId="4CB94BD9" w14:textId="2DFEBF77" w:rsidR="00F20653" w:rsidRDefault="00F20653" w:rsidP="00F20653">
      <w:pPr>
        <w:pStyle w:val="SingleTxtG"/>
        <w:rPr>
          <w:lang w:val="fr-FR"/>
        </w:rPr>
      </w:pPr>
      <w:r>
        <w:rPr>
          <w:lang w:val="fr-FR"/>
        </w:rPr>
        <w:t>9.</w:t>
      </w:r>
      <w:r>
        <w:rPr>
          <w:lang w:val="fr-FR"/>
        </w:rPr>
        <w:tab/>
        <w:t>En 2012, les prescriptions relatives au marquage pour l’éclairage, la signalisation lumineuse et les dispositifs connexes ont été harmonisées en ce qui concerne les dimensions et le rapport (a/2, a/3) (voir ECE/TRANS/WP.29/GRE/2012/9). Malheureusement, le Règlement ONU n</w:t>
      </w:r>
      <w:r w:rsidRPr="00CD0EBC">
        <w:rPr>
          <w:vertAlign w:val="superscript"/>
          <w:lang w:val="fr-FR"/>
        </w:rPr>
        <w:t>o</w:t>
      </w:r>
      <w:r w:rsidR="00CD0EBC">
        <w:rPr>
          <w:lang w:val="fr-FR"/>
        </w:rPr>
        <w:t> </w:t>
      </w:r>
      <w:r>
        <w:rPr>
          <w:lang w:val="fr-FR"/>
        </w:rPr>
        <w:t>65 a été oublié dans cette démarche. La présente proposition vise à harmoniser les prescriptions relatives aux dimensions des marquages d’homologation pour les feux spéciaux d’avertissement en les faisant passer de 8 à 5 mm.</w:t>
      </w:r>
    </w:p>
    <w:p w14:paraId="4A0BF173" w14:textId="2FF8F383" w:rsidR="00F20653" w:rsidRPr="00F20653" w:rsidRDefault="00F20653" w:rsidP="00F20653">
      <w:pPr>
        <w:pStyle w:val="SingleTxtG"/>
        <w:spacing w:before="240" w:after="0"/>
        <w:jc w:val="center"/>
        <w:rPr>
          <w:u w:val="single"/>
        </w:rPr>
      </w:pPr>
      <w:r>
        <w:rPr>
          <w:u w:val="single"/>
        </w:rPr>
        <w:tab/>
      </w:r>
      <w:r>
        <w:rPr>
          <w:u w:val="single"/>
        </w:rPr>
        <w:tab/>
      </w:r>
      <w:r>
        <w:rPr>
          <w:u w:val="single"/>
        </w:rPr>
        <w:tab/>
      </w:r>
      <w:r>
        <w:rPr>
          <w:u w:val="single"/>
        </w:rPr>
        <w:tab/>
      </w:r>
    </w:p>
    <w:sectPr w:rsidR="00F20653" w:rsidRPr="00F20653" w:rsidSect="00F20653">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8396" w14:textId="77777777" w:rsidR="00E078DE" w:rsidRDefault="00E078DE" w:rsidP="00F95C08">
      <w:pPr>
        <w:spacing w:line="240" w:lineRule="auto"/>
      </w:pPr>
    </w:p>
  </w:endnote>
  <w:endnote w:type="continuationSeparator" w:id="0">
    <w:p w14:paraId="5C75754F" w14:textId="77777777" w:rsidR="00E078DE" w:rsidRPr="00AC3823" w:rsidRDefault="00E078DE" w:rsidP="00AC3823">
      <w:pPr>
        <w:pStyle w:val="Pieddepage"/>
      </w:pPr>
    </w:p>
  </w:endnote>
  <w:endnote w:type="continuationNotice" w:id="1">
    <w:p w14:paraId="3A572FD6" w14:textId="77777777" w:rsidR="00E078DE" w:rsidRDefault="00E078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FF60" w14:textId="5B987C1F" w:rsidR="00F20653" w:rsidRPr="00F20653" w:rsidRDefault="00F20653" w:rsidP="00F20653">
    <w:pPr>
      <w:pStyle w:val="Pieddepage"/>
      <w:tabs>
        <w:tab w:val="right" w:pos="9638"/>
      </w:tabs>
    </w:pPr>
    <w:r w:rsidRPr="00F20653">
      <w:rPr>
        <w:b/>
        <w:sz w:val="18"/>
      </w:rPr>
      <w:fldChar w:fldCharType="begin"/>
    </w:r>
    <w:r w:rsidRPr="00F20653">
      <w:rPr>
        <w:b/>
        <w:sz w:val="18"/>
      </w:rPr>
      <w:instrText xml:space="preserve"> PAGE  \* MERGEFORMAT </w:instrText>
    </w:r>
    <w:r w:rsidRPr="00F20653">
      <w:rPr>
        <w:b/>
        <w:sz w:val="18"/>
      </w:rPr>
      <w:fldChar w:fldCharType="separate"/>
    </w:r>
    <w:r w:rsidRPr="00F20653">
      <w:rPr>
        <w:b/>
        <w:noProof/>
        <w:sz w:val="18"/>
      </w:rPr>
      <w:t>2</w:t>
    </w:r>
    <w:r w:rsidRPr="00F20653">
      <w:rPr>
        <w:b/>
        <w:sz w:val="18"/>
      </w:rPr>
      <w:fldChar w:fldCharType="end"/>
    </w:r>
    <w:r>
      <w:rPr>
        <w:b/>
        <w:sz w:val="18"/>
      </w:rPr>
      <w:tab/>
    </w:r>
    <w:r>
      <w:t>GE.24-14337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7A56" w14:textId="0A57F543" w:rsidR="00F20653" w:rsidRPr="00F20653" w:rsidRDefault="00F20653" w:rsidP="00F20653">
    <w:pPr>
      <w:pStyle w:val="Pieddepage"/>
      <w:tabs>
        <w:tab w:val="right" w:pos="9638"/>
      </w:tabs>
      <w:rPr>
        <w:b/>
        <w:sz w:val="18"/>
      </w:rPr>
    </w:pPr>
    <w:r>
      <w:t>GE.24-14337</w:t>
    </w:r>
    <w:r>
      <w:tab/>
    </w:r>
    <w:r w:rsidRPr="00F20653">
      <w:rPr>
        <w:b/>
        <w:sz w:val="18"/>
      </w:rPr>
      <w:fldChar w:fldCharType="begin"/>
    </w:r>
    <w:r w:rsidRPr="00F20653">
      <w:rPr>
        <w:b/>
        <w:sz w:val="18"/>
      </w:rPr>
      <w:instrText xml:space="preserve"> PAGE  \* MERGEFORMAT </w:instrText>
    </w:r>
    <w:r w:rsidRPr="00F20653">
      <w:rPr>
        <w:b/>
        <w:sz w:val="18"/>
      </w:rPr>
      <w:fldChar w:fldCharType="separate"/>
    </w:r>
    <w:r w:rsidRPr="00F20653">
      <w:rPr>
        <w:b/>
        <w:noProof/>
        <w:sz w:val="18"/>
      </w:rPr>
      <w:t>3</w:t>
    </w:r>
    <w:r w:rsidRPr="00F2065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30B7" w14:textId="1868C9A9" w:rsidR="007F20FA" w:rsidRPr="00F20653" w:rsidRDefault="00F20653" w:rsidP="00F20653">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7442153" wp14:editId="728BDBF5">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24-14337  (F)</w:t>
    </w:r>
    <w:r>
      <w:rPr>
        <w:noProof/>
        <w:sz w:val="20"/>
      </w:rPr>
      <w:drawing>
        <wp:anchor distT="0" distB="0" distL="114300" distR="114300" simplePos="0" relativeHeight="251660288" behindDoc="0" locked="0" layoutInCell="1" allowOverlap="1" wp14:anchorId="51530907" wp14:editId="5CF91419">
          <wp:simplePos x="0" y="0"/>
          <wp:positionH relativeFrom="margin">
            <wp:posOffset>5489575</wp:posOffset>
          </wp:positionH>
          <wp:positionV relativeFrom="margin">
            <wp:posOffset>8891905</wp:posOffset>
          </wp:positionV>
          <wp:extent cx="628650" cy="628650"/>
          <wp:effectExtent l="0" t="0" r="0" b="0"/>
          <wp:wrapNone/>
          <wp:docPr id="624061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160824    160824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29965" w14:textId="77777777" w:rsidR="00E078DE" w:rsidRPr="00AC3823" w:rsidRDefault="00E078DE" w:rsidP="00AC3823">
      <w:pPr>
        <w:pStyle w:val="Pieddepage"/>
        <w:tabs>
          <w:tab w:val="right" w:pos="2155"/>
        </w:tabs>
        <w:spacing w:after="80" w:line="240" w:lineRule="atLeast"/>
        <w:ind w:left="680"/>
        <w:rPr>
          <w:u w:val="single"/>
        </w:rPr>
      </w:pPr>
      <w:r>
        <w:rPr>
          <w:u w:val="single"/>
        </w:rPr>
        <w:tab/>
      </w:r>
    </w:p>
  </w:footnote>
  <w:footnote w:type="continuationSeparator" w:id="0">
    <w:p w14:paraId="563E3E74" w14:textId="77777777" w:rsidR="00E078DE" w:rsidRPr="00AC3823" w:rsidRDefault="00E078DE" w:rsidP="00AC3823">
      <w:pPr>
        <w:pStyle w:val="Pieddepage"/>
        <w:tabs>
          <w:tab w:val="right" w:pos="2155"/>
        </w:tabs>
        <w:spacing w:after="80" w:line="240" w:lineRule="atLeast"/>
        <w:ind w:left="680"/>
        <w:rPr>
          <w:u w:val="single"/>
        </w:rPr>
      </w:pPr>
      <w:r>
        <w:rPr>
          <w:u w:val="single"/>
        </w:rPr>
        <w:tab/>
      </w:r>
    </w:p>
  </w:footnote>
  <w:footnote w:type="continuationNotice" w:id="1">
    <w:p w14:paraId="5EEAC7F9" w14:textId="77777777" w:rsidR="00E078DE" w:rsidRPr="00AC3823" w:rsidRDefault="00E078DE">
      <w:pPr>
        <w:spacing w:line="240" w:lineRule="auto"/>
        <w:rPr>
          <w:sz w:val="2"/>
          <w:szCs w:val="2"/>
        </w:rPr>
      </w:pPr>
    </w:p>
  </w:footnote>
  <w:footnote w:id="2">
    <w:p w14:paraId="588AACC6" w14:textId="339D820C" w:rsidR="00F20653" w:rsidRPr="00F20653" w:rsidRDefault="00F20653">
      <w:pPr>
        <w:pStyle w:val="Notedebasdepage"/>
      </w:pPr>
      <w:r>
        <w:rPr>
          <w:rStyle w:val="Appelnotedebasdep"/>
        </w:rPr>
        <w:tab/>
      </w:r>
      <w:r w:rsidRPr="00F20653">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w:t>
      </w:r>
      <w:r>
        <w:rPr>
          <w:lang w:val="fr-FR"/>
        </w:rPr>
        <w:t> </w:t>
      </w:r>
      <w:r>
        <w:rPr>
          <w:lang w:val="fr-FR"/>
        </w:rPr>
        <w:t>20), tableau</w:t>
      </w:r>
      <w:r>
        <w:rPr>
          <w:lang w:val="fr-FR"/>
        </w:rPr>
        <w:t> </w:t>
      </w:r>
      <w:r>
        <w:rPr>
          <w:lang w:val="fr-FR"/>
        </w:rPr>
        <w:t>20.5), le Forum mondial a pour mission d’élaborer, d’harmoniser et de mettre à jour les Règlements ONU en vue d’améliorer les caractéristiques fonctionnelles des véhicules. Le présent document est soumis en vertu de ce mandat.</w:t>
      </w:r>
    </w:p>
  </w:footnote>
  <w:footnote w:id="3">
    <w:p w14:paraId="1566B6C4" w14:textId="6CEF24AB" w:rsidR="00F20653" w:rsidRPr="007934C0" w:rsidRDefault="00F20653" w:rsidP="00F20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8C9E" w14:textId="76AD0C71" w:rsidR="00F20653" w:rsidRPr="00F20653" w:rsidRDefault="00F20653">
    <w:pPr>
      <w:pStyle w:val="En-tte"/>
    </w:pPr>
    <w:fldSimple w:instr=" TITLE  \* MERGEFORMAT ">
      <w:r>
        <w:t>ECE/TRANS/WP.29/GRE/2024/16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99E0" w14:textId="5FE39E1F" w:rsidR="00F20653" w:rsidRPr="00F20653" w:rsidRDefault="00F20653" w:rsidP="00F20653">
    <w:pPr>
      <w:pStyle w:val="En-tte"/>
      <w:jc w:val="right"/>
    </w:pPr>
    <w:fldSimple w:instr=" TITLE  \* MERGEFORMAT ">
      <w:r>
        <w:t>ECE/TRANS/WP.29/GRE/2024/16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283850954">
    <w:abstractNumId w:val="12"/>
  </w:num>
  <w:num w:numId="2" w16cid:durableId="2129153246">
    <w:abstractNumId w:val="11"/>
  </w:num>
  <w:num w:numId="3" w16cid:durableId="2027125585">
    <w:abstractNumId w:val="10"/>
  </w:num>
  <w:num w:numId="4" w16cid:durableId="821235741">
    <w:abstractNumId w:val="8"/>
  </w:num>
  <w:num w:numId="5" w16cid:durableId="764109283">
    <w:abstractNumId w:val="3"/>
  </w:num>
  <w:num w:numId="6" w16cid:durableId="1327322330">
    <w:abstractNumId w:val="2"/>
  </w:num>
  <w:num w:numId="7" w16cid:durableId="711879220">
    <w:abstractNumId w:val="1"/>
  </w:num>
  <w:num w:numId="8" w16cid:durableId="521288923">
    <w:abstractNumId w:val="0"/>
  </w:num>
  <w:num w:numId="9" w16cid:durableId="2119907282">
    <w:abstractNumId w:val="9"/>
  </w:num>
  <w:num w:numId="10" w16cid:durableId="738210699">
    <w:abstractNumId w:val="7"/>
  </w:num>
  <w:num w:numId="11" w16cid:durableId="1109006923">
    <w:abstractNumId w:val="6"/>
  </w:num>
  <w:num w:numId="12" w16cid:durableId="313602723">
    <w:abstractNumId w:val="5"/>
  </w:num>
  <w:num w:numId="13" w16cid:durableId="642932383">
    <w:abstractNumId w:val="4"/>
  </w:num>
  <w:num w:numId="14" w16cid:durableId="1760904898">
    <w:abstractNumId w:val="12"/>
  </w:num>
  <w:num w:numId="15" w16cid:durableId="2141459529">
    <w:abstractNumId w:val="11"/>
  </w:num>
  <w:num w:numId="16" w16cid:durableId="727387512">
    <w:abstractNumId w:val="10"/>
  </w:num>
  <w:num w:numId="17" w16cid:durableId="21011750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DE"/>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421996"/>
    <w:rsid w:val="00441C3B"/>
    <w:rsid w:val="00446FE5"/>
    <w:rsid w:val="00452396"/>
    <w:rsid w:val="00477EB2"/>
    <w:rsid w:val="004837D8"/>
    <w:rsid w:val="004957CB"/>
    <w:rsid w:val="004E2EED"/>
    <w:rsid w:val="004E468C"/>
    <w:rsid w:val="005505B7"/>
    <w:rsid w:val="00573BE5"/>
    <w:rsid w:val="00586ED3"/>
    <w:rsid w:val="00596AA9"/>
    <w:rsid w:val="0071601D"/>
    <w:rsid w:val="007A62E6"/>
    <w:rsid w:val="007F20FA"/>
    <w:rsid w:val="007F339C"/>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97039"/>
    <w:rsid w:val="00CD0EBC"/>
    <w:rsid w:val="00D3439C"/>
    <w:rsid w:val="00D7622E"/>
    <w:rsid w:val="00DB1831"/>
    <w:rsid w:val="00DD3BFD"/>
    <w:rsid w:val="00DF6678"/>
    <w:rsid w:val="00E0299A"/>
    <w:rsid w:val="00E078DE"/>
    <w:rsid w:val="00E85C74"/>
    <w:rsid w:val="00EA6547"/>
    <w:rsid w:val="00ED7237"/>
    <w:rsid w:val="00EE72E6"/>
    <w:rsid w:val="00EF2E22"/>
    <w:rsid w:val="00F20653"/>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B5F8E"/>
  <w15:docId w15:val="{23732F47-957C-4F2A-9876-422BCFE9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rsid w:val="00F20653"/>
    <w:rPr>
      <w:rFonts w:ascii="Times New Roman" w:eastAsiaTheme="minorHAnsi" w:hAnsi="Times New Roman" w:cs="Times New Roman"/>
      <w:b/>
      <w:sz w:val="28"/>
      <w:szCs w:val="20"/>
      <w:lang w:eastAsia="en-US"/>
    </w:rPr>
  </w:style>
  <w:style w:type="paragraph" w:customStyle="1" w:styleId="para">
    <w:name w:val="para"/>
    <w:basedOn w:val="Normal"/>
    <w:link w:val="paraChar"/>
    <w:qFormat/>
    <w:rsid w:val="00F20653"/>
    <w:pPr>
      <w:suppressAutoHyphens w:val="0"/>
      <w:spacing w:after="120"/>
      <w:ind w:left="2268" w:right="1134" w:hanging="1134"/>
      <w:jc w:val="both"/>
    </w:pPr>
    <w:rPr>
      <w:snapToGrid w:val="0"/>
      <w:kern w:val="2"/>
      <w:lang w:val="fr-FR"/>
      <w14:ligatures w14:val="standardContextual"/>
    </w:rPr>
  </w:style>
  <w:style w:type="character" w:customStyle="1" w:styleId="SingleTxtGChar">
    <w:name w:val="_ Single Txt_G Char"/>
    <w:link w:val="SingleTxtG"/>
    <w:qFormat/>
    <w:rsid w:val="00F20653"/>
    <w:rPr>
      <w:rFonts w:ascii="Times New Roman" w:eastAsiaTheme="minorHAnsi" w:hAnsi="Times New Roman" w:cs="Times New Roman"/>
      <w:sz w:val="20"/>
      <w:szCs w:val="20"/>
      <w:lang w:eastAsia="en-US"/>
    </w:rPr>
  </w:style>
  <w:style w:type="character" w:customStyle="1" w:styleId="paraChar">
    <w:name w:val="para Char"/>
    <w:link w:val="para"/>
    <w:rsid w:val="00F20653"/>
    <w:rPr>
      <w:rFonts w:ascii="Times New Roman" w:eastAsiaTheme="minorHAnsi" w:hAnsi="Times New Roman" w:cs="Times New Roman"/>
      <w:snapToGrid w:val="0"/>
      <w:kern w:val="2"/>
      <w:sz w:val="20"/>
      <w:szCs w:val="20"/>
      <w:lang w:val="fr-FR" w:eastAsia="en-US"/>
      <w14:ligatures w14:val="standardContextual"/>
    </w:rPr>
  </w:style>
  <w:style w:type="paragraph" w:styleId="Paragraphedeliste">
    <w:name w:val="List Paragraph"/>
    <w:basedOn w:val="Normal"/>
    <w:uiPriority w:val="34"/>
    <w:qFormat/>
    <w:rsid w:val="00F20653"/>
    <w:pPr>
      <w:suppressAutoHyphens w:val="0"/>
      <w:spacing w:line="240" w:lineRule="auto"/>
      <w:ind w:left="720"/>
      <w:contextualSpacing/>
    </w:pPr>
    <w:rPr>
      <w:kern w:val="2"/>
      <w:sz w:val="24"/>
      <w:szCs w:val="24"/>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0E306-C97E-4C70-82ED-37F59A567F8A}"/>
</file>

<file path=customXml/itemProps2.xml><?xml version="1.0" encoding="utf-8"?>
<ds:datastoreItem xmlns:ds="http://schemas.openxmlformats.org/officeDocument/2006/customXml" ds:itemID="{756B85C1-A103-495E-95B5-856E5E92A9F5}"/>
</file>

<file path=docProps/app.xml><?xml version="1.0" encoding="utf-8"?>
<Properties xmlns="http://schemas.openxmlformats.org/officeDocument/2006/extended-properties" xmlns:vt="http://schemas.openxmlformats.org/officeDocument/2006/docPropsVTypes">
  <Template>ECE_TRANS.dotm</Template>
  <TotalTime>0</TotalTime>
  <Pages>4</Pages>
  <Words>942</Words>
  <Characters>5096</Characters>
  <Application>Microsoft Office Word</Application>
  <DocSecurity>0</DocSecurity>
  <Lines>107</Lines>
  <Paragraphs>50</Paragraphs>
  <ScaleCrop>false</ScaleCrop>
  <HeadingPairs>
    <vt:vector size="2" baseType="variant">
      <vt:variant>
        <vt:lpstr>Titre</vt:lpstr>
      </vt:variant>
      <vt:variant>
        <vt:i4>1</vt:i4>
      </vt:variant>
    </vt:vector>
  </HeadingPairs>
  <TitlesOfParts>
    <vt:vector size="1" baseType="lpstr">
      <vt:lpstr>ECE/TRANS/WP.29/GRE/2024/16</vt:lpstr>
    </vt:vector>
  </TitlesOfParts>
  <Company>DCM</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ECE/TRANS/WP.29/GRE/2024/16</dc:title>
  <dc:subject/>
  <dc:creator>Marie DESCHAMPS</dc:creator>
  <cp:keywords/>
  <cp:lastModifiedBy>Marie DESCHAMPS</cp:lastModifiedBy>
  <cp:revision>2</cp:revision>
  <cp:lastPrinted>2014-05-14T10:59:00Z</cp:lastPrinted>
  <dcterms:created xsi:type="dcterms:W3CDTF">2024-08-16T12:25:00Z</dcterms:created>
  <dcterms:modified xsi:type="dcterms:W3CDTF">2024-08-16T12:25:00Z</dcterms:modified>
</cp:coreProperties>
</file>