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2268"/>
        <w:gridCol w:w="5529"/>
        <w:gridCol w:w="1842"/>
      </w:tblGrid>
      <w:tr w:rsidR="00EE00F5" w:rsidRPr="00D411A5" w14:paraId="3C1F8FCB" w14:textId="77777777" w:rsidTr="00B15ED3">
        <w:trPr>
          <w:cantSplit/>
          <w:trHeight w:hRule="exact" w:val="851"/>
        </w:trPr>
        <w:tc>
          <w:tcPr>
            <w:tcW w:w="2268" w:type="dxa"/>
            <w:tcBorders>
              <w:bottom w:val="single" w:sz="4" w:space="0" w:color="auto"/>
            </w:tcBorders>
            <w:vAlign w:val="bottom"/>
          </w:tcPr>
          <w:p w14:paraId="37BB3F12" w14:textId="374F4A08" w:rsidR="00EE00F5" w:rsidRPr="00B97172" w:rsidRDefault="00EE00F5" w:rsidP="00B20551">
            <w:pPr>
              <w:spacing w:after="80" w:line="300" w:lineRule="exact"/>
              <w:rPr>
                <w:b/>
                <w:sz w:val="24"/>
                <w:szCs w:val="24"/>
              </w:rPr>
            </w:pPr>
          </w:p>
        </w:tc>
        <w:tc>
          <w:tcPr>
            <w:tcW w:w="7371" w:type="dxa"/>
            <w:gridSpan w:val="2"/>
            <w:tcBorders>
              <w:bottom w:val="single" w:sz="4" w:space="0" w:color="auto"/>
            </w:tcBorders>
            <w:vAlign w:val="bottom"/>
          </w:tcPr>
          <w:p w14:paraId="256F5BC0" w14:textId="2FB27C1D" w:rsidR="00EE00F5" w:rsidRPr="00D411A5" w:rsidRDefault="00EE00F5" w:rsidP="003002FB">
            <w:pPr>
              <w:jc w:val="right"/>
              <w:rPr>
                <w:sz w:val="40"/>
              </w:rPr>
            </w:pPr>
            <w:r w:rsidRPr="003002FB">
              <w:rPr>
                <w:sz w:val="40"/>
              </w:rPr>
              <w:t>INF</w:t>
            </w:r>
            <w:r w:rsidRPr="00D411A5">
              <w:rPr>
                <w:sz w:val="40"/>
              </w:rPr>
              <w:t>.</w:t>
            </w:r>
            <w:r w:rsidR="00AE2A3B">
              <w:rPr>
                <w:sz w:val="40"/>
              </w:rPr>
              <w:t>7</w:t>
            </w:r>
          </w:p>
        </w:tc>
      </w:tr>
      <w:tr w:rsidR="00EE00F5" w14:paraId="1796D452" w14:textId="77777777" w:rsidTr="00592557">
        <w:trPr>
          <w:cantSplit/>
          <w:trHeight w:hRule="exact" w:val="4260"/>
        </w:trPr>
        <w:tc>
          <w:tcPr>
            <w:tcW w:w="7797" w:type="dxa"/>
            <w:gridSpan w:val="2"/>
            <w:tcBorders>
              <w:top w:val="single" w:sz="4" w:space="0" w:color="auto"/>
              <w:bottom w:val="single" w:sz="12" w:space="0" w:color="auto"/>
            </w:tcBorders>
          </w:tcPr>
          <w:p w14:paraId="0A10672D" w14:textId="77777777" w:rsidR="00EE00F5" w:rsidRPr="003134DF" w:rsidRDefault="00EE00F5" w:rsidP="00EE00F5">
            <w:pPr>
              <w:spacing w:before="120"/>
              <w:rPr>
                <w:b/>
                <w:sz w:val="28"/>
                <w:szCs w:val="28"/>
              </w:rPr>
            </w:pPr>
            <w:r w:rsidRPr="003134DF">
              <w:rPr>
                <w:b/>
                <w:sz w:val="28"/>
                <w:szCs w:val="28"/>
              </w:rPr>
              <w:t>Economic Commission for Europe</w:t>
            </w:r>
          </w:p>
          <w:p w14:paraId="3252F04E" w14:textId="77777777" w:rsidR="00EE00F5" w:rsidRPr="003134DF" w:rsidRDefault="00EE00F5" w:rsidP="00EE00F5">
            <w:pPr>
              <w:spacing w:before="120"/>
              <w:rPr>
                <w:sz w:val="28"/>
                <w:szCs w:val="28"/>
              </w:rPr>
            </w:pPr>
            <w:r w:rsidRPr="003134DF">
              <w:rPr>
                <w:sz w:val="28"/>
                <w:szCs w:val="28"/>
              </w:rPr>
              <w:t>Inland Transport Committee</w:t>
            </w:r>
          </w:p>
          <w:p w14:paraId="32D9BAB3" w14:textId="77777777" w:rsidR="00EE00F5" w:rsidRPr="003134DF" w:rsidRDefault="00EE00F5" w:rsidP="00EE00F5">
            <w:pPr>
              <w:spacing w:before="120"/>
              <w:rPr>
                <w:b/>
                <w:sz w:val="24"/>
                <w:szCs w:val="24"/>
              </w:rPr>
            </w:pPr>
            <w:r w:rsidRPr="003134DF">
              <w:rPr>
                <w:b/>
                <w:sz w:val="24"/>
                <w:szCs w:val="24"/>
              </w:rPr>
              <w:t>Working Party on the Transport of Dangerous Goods</w:t>
            </w:r>
          </w:p>
          <w:p w14:paraId="65DC411D" w14:textId="77777777" w:rsidR="00EE00F5" w:rsidRPr="003134DF" w:rsidRDefault="00EE00F5" w:rsidP="00EE00F5">
            <w:pPr>
              <w:spacing w:before="120"/>
              <w:rPr>
                <w:b/>
              </w:rPr>
            </w:pPr>
            <w:r w:rsidRPr="003134DF">
              <w:rPr>
                <w:b/>
              </w:rPr>
              <w:t xml:space="preserve">Joint Meeting of Experts on the Regulations annexed to the </w:t>
            </w:r>
            <w:r w:rsidRPr="003134DF">
              <w:rPr>
                <w:b/>
              </w:rPr>
              <w:br/>
              <w:t xml:space="preserve">European Agreement concerning the International Carriage </w:t>
            </w:r>
            <w:r w:rsidRPr="003134DF">
              <w:rPr>
                <w:b/>
              </w:rPr>
              <w:br/>
              <w:t>of Dangerous Goods by Inland Waterways (ADN)</w:t>
            </w:r>
            <w:r w:rsidRPr="003134DF">
              <w:rPr>
                <w:b/>
              </w:rPr>
              <w:br/>
              <w:t>(ADN Safety Committee)</w:t>
            </w:r>
          </w:p>
          <w:p w14:paraId="4DBAD871" w14:textId="77777777" w:rsidR="00EE00F5" w:rsidRPr="008D7010" w:rsidRDefault="00EE00F5" w:rsidP="00EE00F5">
            <w:pPr>
              <w:spacing w:before="120"/>
              <w:rPr>
                <w:b/>
              </w:rPr>
            </w:pPr>
            <w:r>
              <w:rPr>
                <w:b/>
              </w:rPr>
              <w:t xml:space="preserve">Forty-fourth </w:t>
            </w:r>
            <w:r w:rsidRPr="008D7010">
              <w:rPr>
                <w:b/>
              </w:rPr>
              <w:t>session</w:t>
            </w:r>
          </w:p>
          <w:p w14:paraId="140E37E7" w14:textId="77777777" w:rsidR="00EE00F5" w:rsidRDefault="00EE00F5" w:rsidP="00EE00F5">
            <w:r w:rsidRPr="008D7010">
              <w:t xml:space="preserve">Geneva, </w:t>
            </w:r>
            <w:r>
              <w:t>26-30 August 2024</w:t>
            </w:r>
          </w:p>
          <w:p w14:paraId="00834C06" w14:textId="51C811D7" w:rsidR="00EE00F5" w:rsidRDefault="00EE00F5" w:rsidP="00EE00F5">
            <w:pPr>
              <w:rPr>
                <w:lang w:val="en-US"/>
              </w:rPr>
            </w:pPr>
            <w:r>
              <w:rPr>
                <w:lang w:val="en-US"/>
              </w:rPr>
              <w:t xml:space="preserve">Item </w:t>
            </w:r>
            <w:r w:rsidR="003C6C73">
              <w:rPr>
                <w:lang w:val="en-US"/>
              </w:rPr>
              <w:t>3</w:t>
            </w:r>
            <w:r>
              <w:rPr>
                <w:lang w:val="en-US"/>
              </w:rPr>
              <w:t xml:space="preserve"> (</w:t>
            </w:r>
            <w:r w:rsidR="004C15A8">
              <w:rPr>
                <w:lang w:val="en-US"/>
              </w:rPr>
              <w:t>b</w:t>
            </w:r>
            <w:r>
              <w:rPr>
                <w:lang w:val="en-US"/>
              </w:rPr>
              <w:t>) of the provisional agenda</w:t>
            </w:r>
          </w:p>
          <w:p w14:paraId="2C41CCD4" w14:textId="457340EE" w:rsidR="009E5C1E" w:rsidRPr="00EB41E0" w:rsidRDefault="00EB41E0" w:rsidP="009E5C1E">
            <w:pPr>
              <w:rPr>
                <w:b/>
                <w:bCs/>
              </w:rPr>
            </w:pPr>
            <w:r w:rsidRPr="00EB41E0">
              <w:rPr>
                <w:b/>
                <w:bCs/>
              </w:rPr>
              <w:t xml:space="preserve">Implementation of the European Agreement concerning </w:t>
            </w:r>
            <w:r w:rsidR="005A65CB">
              <w:rPr>
                <w:b/>
                <w:bCs/>
              </w:rPr>
              <w:br/>
            </w:r>
            <w:r w:rsidRPr="00EB41E0">
              <w:rPr>
                <w:b/>
                <w:bCs/>
              </w:rPr>
              <w:t xml:space="preserve">the International Carriage of Dangerous Goods </w:t>
            </w:r>
            <w:r w:rsidR="005A65CB">
              <w:rPr>
                <w:b/>
                <w:bCs/>
              </w:rPr>
              <w:br/>
            </w:r>
            <w:r w:rsidRPr="00EB41E0">
              <w:rPr>
                <w:b/>
                <w:bCs/>
              </w:rPr>
              <w:t>by Inland Waterways (ADN)</w:t>
            </w:r>
            <w:r w:rsidR="009E5C1E" w:rsidRPr="00EB41E0">
              <w:rPr>
                <w:b/>
                <w:bCs/>
              </w:rPr>
              <w:t>:</w:t>
            </w:r>
          </w:p>
          <w:p w14:paraId="19371B5F" w14:textId="1224C7F3" w:rsidR="00EE00F5" w:rsidRPr="00592557" w:rsidRDefault="00F72FC5" w:rsidP="009E5C1E">
            <w:pPr>
              <w:rPr>
                <w:b/>
                <w:bCs/>
                <w:sz w:val="40"/>
                <w:szCs w:val="40"/>
              </w:rPr>
            </w:pPr>
            <w:r>
              <w:rPr>
                <w:b/>
                <w:bCs/>
              </w:rPr>
              <w:t>s</w:t>
            </w:r>
            <w:r w:rsidRPr="0032479E">
              <w:rPr>
                <w:b/>
                <w:bCs/>
              </w:rPr>
              <w:t>pecial authorizations, derogations and equivalents</w:t>
            </w:r>
          </w:p>
        </w:tc>
        <w:tc>
          <w:tcPr>
            <w:tcW w:w="1842" w:type="dxa"/>
            <w:tcBorders>
              <w:top w:val="single" w:sz="4" w:space="0" w:color="auto"/>
              <w:bottom w:val="single" w:sz="12" w:space="0" w:color="auto"/>
            </w:tcBorders>
          </w:tcPr>
          <w:p w14:paraId="3551CF01" w14:textId="77777777" w:rsidR="00B15ED3" w:rsidRDefault="00B15ED3" w:rsidP="004E1A6E">
            <w:pPr>
              <w:spacing w:line="240" w:lineRule="exact"/>
            </w:pPr>
          </w:p>
          <w:p w14:paraId="1235140C" w14:textId="77777777" w:rsidR="00B15ED3" w:rsidRDefault="00B15ED3" w:rsidP="004E1A6E">
            <w:pPr>
              <w:spacing w:line="240" w:lineRule="exact"/>
            </w:pPr>
          </w:p>
          <w:p w14:paraId="58D97E95" w14:textId="49247FBC" w:rsidR="00EE00F5" w:rsidRDefault="00510B45" w:rsidP="004E1A6E">
            <w:pPr>
              <w:spacing w:line="240" w:lineRule="exact"/>
            </w:pPr>
            <w:r>
              <w:t>3</w:t>
            </w:r>
            <w:r w:rsidR="00AE2A3B">
              <w:t>1</w:t>
            </w:r>
            <w:r w:rsidR="00EE00F5">
              <w:t xml:space="preserve"> July 2024</w:t>
            </w:r>
          </w:p>
          <w:p w14:paraId="0A7C1436" w14:textId="77777777" w:rsidR="00EE00F5" w:rsidRDefault="00EE00F5" w:rsidP="003002FB">
            <w:pPr>
              <w:spacing w:line="240" w:lineRule="exact"/>
            </w:pPr>
          </w:p>
          <w:p w14:paraId="7221D936" w14:textId="55201B3B" w:rsidR="00EE00F5" w:rsidRDefault="00EE00F5" w:rsidP="003002FB">
            <w:pPr>
              <w:spacing w:line="240" w:lineRule="exact"/>
            </w:pPr>
            <w:r>
              <w:t>Original: English</w:t>
            </w:r>
          </w:p>
        </w:tc>
      </w:tr>
    </w:tbl>
    <w:p w14:paraId="7EF0FCD6" w14:textId="77777777" w:rsidR="0065245D" w:rsidRPr="004B1A0C" w:rsidRDefault="0065245D" w:rsidP="0065245D">
      <w:pPr>
        <w:pStyle w:val="HChG"/>
        <w:rPr>
          <w:color w:val="000000"/>
          <w:szCs w:val="28"/>
          <w:lang w:val="en-US"/>
        </w:rPr>
      </w:pPr>
      <w:r>
        <w:tab/>
      </w:r>
      <w:r>
        <w:tab/>
      </w:r>
      <w:r w:rsidRPr="002E50F7">
        <w:t>Proposal for a n</w:t>
      </w:r>
      <w:r w:rsidRPr="004B1A0C">
        <w:rPr>
          <w:lang w:val="en-US"/>
        </w:rPr>
        <w:t>ew entry of UN</w:t>
      </w:r>
      <w:r>
        <w:rPr>
          <w:lang w:val="en-US"/>
        </w:rPr>
        <w:t xml:space="preserve"> No. </w:t>
      </w:r>
      <w:r w:rsidRPr="004B1A0C">
        <w:rPr>
          <w:lang w:val="en-US"/>
        </w:rPr>
        <w:t xml:space="preserve">1300 Turpentine Substitute </w:t>
      </w:r>
      <w:r w:rsidRPr="004B1A0C">
        <w:rPr>
          <w:color w:val="000000"/>
          <w:szCs w:val="28"/>
          <w:lang w:val="en-US"/>
        </w:rPr>
        <w:t>in Table C</w:t>
      </w:r>
    </w:p>
    <w:p w14:paraId="7E20A92E" w14:textId="77777777" w:rsidR="0065245D" w:rsidRPr="004B1A0C" w:rsidRDefault="0065245D" w:rsidP="0065245D">
      <w:pPr>
        <w:pStyle w:val="H1G"/>
        <w:rPr>
          <w:lang w:val="en-US"/>
        </w:rPr>
      </w:pPr>
      <w:r>
        <w:rPr>
          <w:lang w:val="en-US"/>
        </w:rPr>
        <w:tab/>
      </w:r>
      <w:r>
        <w:rPr>
          <w:lang w:val="en-US"/>
        </w:rPr>
        <w:tab/>
      </w:r>
      <w:r w:rsidRPr="004B1A0C">
        <w:rPr>
          <w:lang w:val="en-US"/>
        </w:rPr>
        <w:t xml:space="preserve">Transmitted by </w:t>
      </w:r>
      <w:r w:rsidRPr="008B478B">
        <w:rPr>
          <w:lang w:val="en-US"/>
        </w:rPr>
        <w:t xml:space="preserve">European Chemical Industry Council </w:t>
      </w:r>
      <w:r>
        <w:rPr>
          <w:lang w:val="en-US"/>
        </w:rPr>
        <w:t>(</w:t>
      </w:r>
      <w:r w:rsidRPr="004B1A0C">
        <w:rPr>
          <w:lang w:val="en-US"/>
        </w:rPr>
        <w:t>C</w:t>
      </w:r>
      <w:r>
        <w:rPr>
          <w:lang w:val="en-US"/>
        </w:rPr>
        <w:t>efic)</w:t>
      </w:r>
    </w:p>
    <w:p w14:paraId="46074B43" w14:textId="77777777" w:rsidR="0065245D" w:rsidRPr="002E50F7" w:rsidRDefault="0065245D" w:rsidP="006012FB">
      <w:pPr>
        <w:pStyle w:val="H1G"/>
      </w:pPr>
      <w:r>
        <w:tab/>
      </w:r>
      <w:r>
        <w:tab/>
      </w:r>
      <w:r w:rsidRPr="002E50F7">
        <w:t>Annex to document ECE/TRANS/WP.15/AC.2/202</w:t>
      </w:r>
      <w:r>
        <w:t>4</w:t>
      </w:r>
      <w:r w:rsidRPr="002E50F7">
        <w:t>/</w:t>
      </w:r>
      <w:r>
        <w:t>10</w:t>
      </w:r>
    </w:p>
    <w:p w14:paraId="20DF256E" w14:textId="77777777" w:rsidR="0065245D" w:rsidRPr="004B1A0C" w:rsidRDefault="0065245D" w:rsidP="0065245D">
      <w:pPr>
        <w:pStyle w:val="HChG"/>
      </w:pPr>
      <w:r>
        <w:tab/>
      </w:r>
      <w:r>
        <w:tab/>
      </w:r>
      <w:r w:rsidRPr="004B1A0C">
        <w:t>Introduction</w:t>
      </w:r>
    </w:p>
    <w:p w14:paraId="2BABA981" w14:textId="77777777" w:rsidR="0065245D" w:rsidRPr="00EE591C" w:rsidRDefault="0065245D" w:rsidP="0065245D">
      <w:pPr>
        <w:pStyle w:val="SingleTxtG"/>
      </w:pPr>
      <w:r>
        <w:t>1.</w:t>
      </w:r>
      <w:r>
        <w:tab/>
      </w:r>
      <w:r w:rsidRPr="00EE591C">
        <w:t xml:space="preserve">A safe gap of Turpentine is not listed in the official database of PTB and BAM (Chemsafe). Therefore, it has been requested to PTB the determination of the Maximum Experimental Safe Gap (MESG) of our Turpentine. </w:t>
      </w:r>
    </w:p>
    <w:p w14:paraId="73928AB5" w14:textId="77777777" w:rsidR="0065245D" w:rsidRPr="004B1A0C" w:rsidRDefault="0065245D" w:rsidP="0065245D">
      <w:pPr>
        <w:pStyle w:val="HChG"/>
      </w:pPr>
      <w:r>
        <w:tab/>
      </w:r>
      <w:r>
        <w:tab/>
      </w:r>
      <w:r w:rsidRPr="004B1A0C">
        <w:t xml:space="preserve">Proposal </w:t>
      </w:r>
    </w:p>
    <w:p w14:paraId="57E04195" w14:textId="72F52134" w:rsidR="0065245D" w:rsidRPr="00EE591C" w:rsidRDefault="0065245D" w:rsidP="0065245D">
      <w:pPr>
        <w:pStyle w:val="SingleTxtG"/>
      </w:pPr>
      <w:r>
        <w:t>2.</w:t>
      </w:r>
      <w:r>
        <w:tab/>
      </w:r>
      <w:r w:rsidRPr="00EE591C">
        <w:t>Based on the test results (as shown in the Annex of ECE/TRANS/WP.15/AC.2/2024/10), the MESG = 0.91 mm, we recommend the addition of a new entry for UN</w:t>
      </w:r>
      <w:r w:rsidR="006012FB">
        <w:t xml:space="preserve"> No. </w:t>
      </w:r>
      <w:r w:rsidRPr="00EE591C">
        <w:t xml:space="preserve">1300 </w:t>
      </w:r>
      <w:r w:rsidR="008F3E9A">
        <w:t xml:space="preserve">TURPENTINE SUBSTITUTE </w:t>
      </w:r>
      <w:r w:rsidRPr="00EE591C">
        <w:t xml:space="preserve">in Table C of </w:t>
      </w:r>
      <w:r w:rsidR="005E4BC3">
        <w:t>Chapter 3.2</w:t>
      </w:r>
      <w:r w:rsidR="00BA4F10">
        <w:t xml:space="preserve"> </w:t>
      </w:r>
      <w:r w:rsidRPr="00EE591C">
        <w:t xml:space="preserve">of 2025 </w:t>
      </w:r>
      <w:r w:rsidR="00BA4F10">
        <w:t xml:space="preserve">version of </w:t>
      </w:r>
      <w:r w:rsidRPr="00EE591C">
        <w:t>ADN</w:t>
      </w:r>
      <w:r w:rsidR="00BA4F10">
        <w:t>,</w:t>
      </w:r>
      <w:r w:rsidRPr="00EE591C">
        <w:t xml:space="preserve"> with explosion group IIB</w:t>
      </w:r>
      <w:r w:rsidRPr="00635B37">
        <w:rPr>
          <w:vertAlign w:val="superscript"/>
        </w:rPr>
        <w:t>4)</w:t>
      </w:r>
      <w:r w:rsidRPr="00EE591C">
        <w:t xml:space="preserve"> (IIB3) in column 16 and remark 44 in column 20 as represented below: </w:t>
      </w:r>
    </w:p>
    <w:tbl>
      <w:tblPr>
        <w:tblW w:w="936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
        <w:gridCol w:w="1186"/>
        <w:gridCol w:w="270"/>
        <w:gridCol w:w="360"/>
        <w:gridCol w:w="360"/>
        <w:gridCol w:w="810"/>
        <w:gridCol w:w="360"/>
        <w:gridCol w:w="270"/>
        <w:gridCol w:w="236"/>
        <w:gridCol w:w="236"/>
        <w:gridCol w:w="236"/>
        <w:gridCol w:w="372"/>
        <w:gridCol w:w="450"/>
        <w:gridCol w:w="236"/>
        <w:gridCol w:w="484"/>
        <w:gridCol w:w="434"/>
        <w:gridCol w:w="730"/>
        <w:gridCol w:w="540"/>
        <w:gridCol w:w="699"/>
        <w:gridCol w:w="281"/>
        <w:gridCol w:w="360"/>
      </w:tblGrid>
      <w:tr w:rsidR="0065245D" w14:paraId="39D3BF65" w14:textId="77777777" w:rsidTr="00797207">
        <w:tc>
          <w:tcPr>
            <w:tcW w:w="450" w:type="dxa"/>
            <w:shd w:val="clear" w:color="auto" w:fill="auto"/>
          </w:tcPr>
          <w:p w14:paraId="5140C679" w14:textId="77777777" w:rsidR="0065245D" w:rsidRDefault="0065245D" w:rsidP="00797207">
            <w:pPr>
              <w:pStyle w:val="SingleTxtG"/>
              <w:ind w:left="0" w:right="-20" w:hanging="110"/>
              <w:rPr>
                <w:color w:val="000000"/>
                <w:sz w:val="16"/>
                <w:szCs w:val="16"/>
                <w:lang w:val="en-US"/>
              </w:rPr>
            </w:pPr>
            <w:r>
              <w:rPr>
                <w:color w:val="000000"/>
                <w:sz w:val="16"/>
                <w:szCs w:val="16"/>
                <w:lang w:val="en-US"/>
              </w:rPr>
              <w:t>1300</w:t>
            </w:r>
          </w:p>
        </w:tc>
        <w:tc>
          <w:tcPr>
            <w:tcW w:w="1186" w:type="dxa"/>
            <w:shd w:val="clear" w:color="auto" w:fill="auto"/>
          </w:tcPr>
          <w:p w14:paraId="3D0AE587" w14:textId="77777777" w:rsidR="0065245D" w:rsidRDefault="0065245D" w:rsidP="00797207">
            <w:pPr>
              <w:pStyle w:val="SingleTxtG"/>
              <w:ind w:left="0" w:right="-20"/>
              <w:rPr>
                <w:color w:val="000000"/>
                <w:sz w:val="16"/>
                <w:szCs w:val="16"/>
                <w:lang w:val="en-US"/>
              </w:rPr>
            </w:pPr>
            <w:r>
              <w:rPr>
                <w:color w:val="000000"/>
                <w:sz w:val="16"/>
                <w:szCs w:val="16"/>
                <w:lang w:val="en-US"/>
              </w:rPr>
              <w:t>TURPENTINE SUBSTITUTE</w:t>
            </w:r>
          </w:p>
        </w:tc>
        <w:tc>
          <w:tcPr>
            <w:tcW w:w="270" w:type="dxa"/>
            <w:shd w:val="clear" w:color="auto" w:fill="auto"/>
          </w:tcPr>
          <w:p w14:paraId="66143027" w14:textId="77777777" w:rsidR="0065245D" w:rsidRDefault="0065245D" w:rsidP="00797207">
            <w:pPr>
              <w:pStyle w:val="SingleTxtG"/>
              <w:ind w:left="0" w:right="360"/>
              <w:rPr>
                <w:color w:val="000000"/>
                <w:sz w:val="16"/>
                <w:szCs w:val="16"/>
                <w:lang w:val="en-US"/>
              </w:rPr>
            </w:pPr>
            <w:r>
              <w:rPr>
                <w:color w:val="000000"/>
                <w:sz w:val="16"/>
                <w:szCs w:val="16"/>
                <w:lang w:val="en-US"/>
              </w:rPr>
              <w:t>3</w:t>
            </w:r>
          </w:p>
        </w:tc>
        <w:tc>
          <w:tcPr>
            <w:tcW w:w="360" w:type="dxa"/>
            <w:shd w:val="clear" w:color="auto" w:fill="auto"/>
          </w:tcPr>
          <w:p w14:paraId="2F882647" w14:textId="77777777" w:rsidR="0065245D" w:rsidRDefault="0065245D" w:rsidP="00797207">
            <w:pPr>
              <w:pStyle w:val="SingleTxtG"/>
              <w:tabs>
                <w:tab w:val="left" w:pos="0"/>
              </w:tabs>
              <w:ind w:left="0" w:right="-20"/>
              <w:rPr>
                <w:color w:val="000000"/>
                <w:sz w:val="14"/>
                <w:szCs w:val="14"/>
                <w:lang w:val="en-US"/>
              </w:rPr>
            </w:pPr>
            <w:r>
              <w:rPr>
                <w:color w:val="000000"/>
                <w:sz w:val="14"/>
                <w:szCs w:val="14"/>
                <w:lang w:val="en-US"/>
              </w:rPr>
              <w:t>F1</w:t>
            </w:r>
          </w:p>
        </w:tc>
        <w:tc>
          <w:tcPr>
            <w:tcW w:w="360" w:type="dxa"/>
            <w:shd w:val="clear" w:color="auto" w:fill="auto"/>
          </w:tcPr>
          <w:p w14:paraId="15315108" w14:textId="77777777" w:rsidR="0065245D" w:rsidRDefault="0065245D" w:rsidP="00797207">
            <w:pPr>
              <w:pStyle w:val="SingleTxtG"/>
              <w:ind w:left="0" w:right="-20"/>
              <w:rPr>
                <w:color w:val="000000"/>
                <w:sz w:val="16"/>
                <w:szCs w:val="16"/>
                <w:lang w:val="en-US"/>
              </w:rPr>
            </w:pPr>
            <w:r>
              <w:rPr>
                <w:color w:val="000000"/>
                <w:sz w:val="16"/>
                <w:szCs w:val="16"/>
                <w:lang w:val="en-US"/>
              </w:rPr>
              <w:t>III</w:t>
            </w:r>
          </w:p>
        </w:tc>
        <w:tc>
          <w:tcPr>
            <w:tcW w:w="810" w:type="dxa"/>
            <w:shd w:val="clear" w:color="auto" w:fill="auto"/>
          </w:tcPr>
          <w:p w14:paraId="1FFE4E37" w14:textId="77777777" w:rsidR="0065245D" w:rsidRDefault="0065245D" w:rsidP="00797207">
            <w:pPr>
              <w:pStyle w:val="SingleTxtG"/>
              <w:ind w:left="0" w:right="-110"/>
              <w:rPr>
                <w:color w:val="000000"/>
                <w:sz w:val="16"/>
                <w:szCs w:val="16"/>
                <w:lang w:val="en-US"/>
              </w:rPr>
            </w:pPr>
            <w:r>
              <w:rPr>
                <w:color w:val="000000"/>
                <w:sz w:val="16"/>
                <w:szCs w:val="16"/>
                <w:lang w:val="en-US"/>
              </w:rPr>
              <w:t>3+N2+F</w:t>
            </w:r>
          </w:p>
        </w:tc>
        <w:tc>
          <w:tcPr>
            <w:tcW w:w="360" w:type="dxa"/>
            <w:shd w:val="clear" w:color="auto" w:fill="auto"/>
          </w:tcPr>
          <w:p w14:paraId="7A0B5132" w14:textId="77777777" w:rsidR="0065245D" w:rsidRDefault="0065245D" w:rsidP="00797207">
            <w:pPr>
              <w:pStyle w:val="SingleTxtG"/>
              <w:ind w:left="0" w:right="360"/>
              <w:rPr>
                <w:color w:val="000000"/>
                <w:sz w:val="16"/>
                <w:szCs w:val="16"/>
                <w:lang w:val="en-US"/>
              </w:rPr>
            </w:pPr>
            <w:r>
              <w:rPr>
                <w:color w:val="000000"/>
                <w:sz w:val="16"/>
                <w:szCs w:val="16"/>
                <w:lang w:val="en-US"/>
              </w:rPr>
              <w:t>N</w:t>
            </w:r>
          </w:p>
        </w:tc>
        <w:tc>
          <w:tcPr>
            <w:tcW w:w="270" w:type="dxa"/>
            <w:shd w:val="clear" w:color="auto" w:fill="auto"/>
          </w:tcPr>
          <w:p w14:paraId="1F36D45E" w14:textId="77777777" w:rsidR="0065245D" w:rsidRDefault="0065245D" w:rsidP="00797207">
            <w:pPr>
              <w:pStyle w:val="SingleTxtG"/>
              <w:ind w:left="0" w:right="360"/>
              <w:rPr>
                <w:color w:val="000000"/>
                <w:sz w:val="16"/>
                <w:szCs w:val="16"/>
                <w:lang w:val="en-US"/>
              </w:rPr>
            </w:pPr>
            <w:r>
              <w:rPr>
                <w:color w:val="000000"/>
                <w:sz w:val="16"/>
                <w:szCs w:val="16"/>
                <w:lang w:val="en-US"/>
              </w:rPr>
              <w:t>3</w:t>
            </w:r>
          </w:p>
        </w:tc>
        <w:tc>
          <w:tcPr>
            <w:tcW w:w="236" w:type="dxa"/>
            <w:shd w:val="clear" w:color="auto" w:fill="auto"/>
          </w:tcPr>
          <w:p w14:paraId="157DCE87" w14:textId="77777777" w:rsidR="0065245D" w:rsidRDefault="0065245D" w:rsidP="00797207">
            <w:pPr>
              <w:pStyle w:val="SingleTxtG"/>
              <w:ind w:left="0" w:right="360"/>
              <w:rPr>
                <w:color w:val="000000"/>
                <w:sz w:val="16"/>
                <w:szCs w:val="16"/>
                <w:lang w:val="en-US"/>
              </w:rPr>
            </w:pPr>
            <w:r>
              <w:rPr>
                <w:color w:val="000000"/>
                <w:sz w:val="16"/>
                <w:szCs w:val="16"/>
                <w:lang w:val="en-US"/>
              </w:rPr>
              <w:t>3</w:t>
            </w:r>
          </w:p>
        </w:tc>
        <w:tc>
          <w:tcPr>
            <w:tcW w:w="236" w:type="dxa"/>
            <w:shd w:val="clear" w:color="auto" w:fill="auto"/>
          </w:tcPr>
          <w:p w14:paraId="1668C33F" w14:textId="77777777" w:rsidR="0065245D" w:rsidRDefault="0065245D" w:rsidP="00797207">
            <w:pPr>
              <w:pStyle w:val="SingleTxtG"/>
              <w:ind w:left="0" w:right="360"/>
              <w:rPr>
                <w:color w:val="000000"/>
                <w:sz w:val="16"/>
                <w:szCs w:val="16"/>
                <w:lang w:val="en-US"/>
              </w:rPr>
            </w:pPr>
          </w:p>
        </w:tc>
        <w:tc>
          <w:tcPr>
            <w:tcW w:w="236" w:type="dxa"/>
            <w:shd w:val="clear" w:color="auto" w:fill="auto"/>
          </w:tcPr>
          <w:p w14:paraId="4C171630" w14:textId="77777777" w:rsidR="0065245D" w:rsidRDefault="0065245D" w:rsidP="00797207">
            <w:pPr>
              <w:pStyle w:val="SingleTxtG"/>
              <w:ind w:left="0" w:right="360"/>
              <w:rPr>
                <w:color w:val="000000"/>
                <w:sz w:val="16"/>
                <w:szCs w:val="16"/>
                <w:lang w:val="en-US"/>
              </w:rPr>
            </w:pPr>
          </w:p>
        </w:tc>
        <w:tc>
          <w:tcPr>
            <w:tcW w:w="372" w:type="dxa"/>
            <w:shd w:val="clear" w:color="auto" w:fill="auto"/>
          </w:tcPr>
          <w:p w14:paraId="2CBB0229" w14:textId="77777777" w:rsidR="0065245D" w:rsidRDefault="0065245D" w:rsidP="00797207">
            <w:pPr>
              <w:pStyle w:val="SingleTxtG"/>
              <w:ind w:left="0" w:right="-20"/>
              <w:rPr>
                <w:color w:val="000000"/>
                <w:sz w:val="16"/>
                <w:szCs w:val="16"/>
                <w:lang w:val="en-US"/>
              </w:rPr>
            </w:pPr>
            <w:r>
              <w:rPr>
                <w:color w:val="000000"/>
                <w:sz w:val="16"/>
                <w:szCs w:val="16"/>
                <w:lang w:val="en-US"/>
              </w:rPr>
              <w:t>97</w:t>
            </w:r>
          </w:p>
        </w:tc>
        <w:tc>
          <w:tcPr>
            <w:tcW w:w="450" w:type="dxa"/>
            <w:shd w:val="clear" w:color="auto" w:fill="auto"/>
          </w:tcPr>
          <w:p w14:paraId="1D4EA6C1" w14:textId="77777777" w:rsidR="0065245D" w:rsidRDefault="0065245D" w:rsidP="00797207">
            <w:pPr>
              <w:pStyle w:val="SingleTxtG"/>
              <w:ind w:left="0" w:right="-110"/>
              <w:rPr>
                <w:color w:val="000000"/>
                <w:sz w:val="16"/>
                <w:szCs w:val="16"/>
                <w:lang w:val="en-US"/>
              </w:rPr>
            </w:pPr>
            <w:r>
              <w:rPr>
                <w:color w:val="000000"/>
                <w:sz w:val="16"/>
                <w:szCs w:val="16"/>
                <w:lang w:val="en-US"/>
              </w:rPr>
              <w:t>0.78</w:t>
            </w:r>
          </w:p>
        </w:tc>
        <w:tc>
          <w:tcPr>
            <w:tcW w:w="236" w:type="dxa"/>
            <w:shd w:val="clear" w:color="auto" w:fill="auto"/>
          </w:tcPr>
          <w:p w14:paraId="6D5FF501" w14:textId="77777777" w:rsidR="0065245D" w:rsidRDefault="0065245D" w:rsidP="00797207">
            <w:pPr>
              <w:pStyle w:val="SingleTxtG"/>
              <w:ind w:left="0" w:right="360"/>
              <w:rPr>
                <w:color w:val="000000"/>
                <w:sz w:val="16"/>
                <w:szCs w:val="16"/>
                <w:lang w:val="en-US"/>
              </w:rPr>
            </w:pPr>
            <w:r>
              <w:rPr>
                <w:color w:val="000000"/>
                <w:sz w:val="16"/>
                <w:szCs w:val="16"/>
                <w:lang w:val="en-US"/>
              </w:rPr>
              <w:t>3</w:t>
            </w:r>
          </w:p>
        </w:tc>
        <w:tc>
          <w:tcPr>
            <w:tcW w:w="484" w:type="dxa"/>
            <w:shd w:val="clear" w:color="auto" w:fill="auto"/>
          </w:tcPr>
          <w:p w14:paraId="15471EBA" w14:textId="77777777" w:rsidR="0065245D" w:rsidRDefault="0065245D" w:rsidP="00797207">
            <w:pPr>
              <w:pStyle w:val="SingleTxtG"/>
              <w:ind w:left="0" w:right="0"/>
              <w:rPr>
                <w:color w:val="000000"/>
                <w:sz w:val="16"/>
                <w:szCs w:val="16"/>
                <w:lang w:val="en-US"/>
              </w:rPr>
            </w:pPr>
            <w:r>
              <w:rPr>
                <w:color w:val="000000"/>
                <w:sz w:val="16"/>
                <w:szCs w:val="16"/>
                <w:lang w:val="en-US"/>
              </w:rPr>
              <w:t>yes</w:t>
            </w:r>
          </w:p>
        </w:tc>
        <w:tc>
          <w:tcPr>
            <w:tcW w:w="434" w:type="dxa"/>
            <w:shd w:val="clear" w:color="auto" w:fill="auto"/>
          </w:tcPr>
          <w:p w14:paraId="647286AE" w14:textId="77777777" w:rsidR="0065245D" w:rsidRDefault="0065245D" w:rsidP="00797207">
            <w:pPr>
              <w:pStyle w:val="SingleTxtG"/>
              <w:ind w:left="0" w:right="-20"/>
              <w:rPr>
                <w:color w:val="000000"/>
                <w:sz w:val="16"/>
                <w:szCs w:val="16"/>
                <w:lang w:val="en-US"/>
              </w:rPr>
            </w:pPr>
            <w:r>
              <w:rPr>
                <w:color w:val="000000"/>
                <w:sz w:val="16"/>
                <w:szCs w:val="16"/>
                <w:lang w:val="en-US"/>
              </w:rPr>
              <w:t>T3</w:t>
            </w:r>
          </w:p>
        </w:tc>
        <w:tc>
          <w:tcPr>
            <w:tcW w:w="730" w:type="dxa"/>
            <w:shd w:val="clear" w:color="auto" w:fill="auto"/>
          </w:tcPr>
          <w:p w14:paraId="18A5BB7F" w14:textId="77777777" w:rsidR="0065245D" w:rsidRDefault="0065245D" w:rsidP="00797207">
            <w:pPr>
              <w:pStyle w:val="SingleTxtG"/>
              <w:ind w:left="0" w:right="360"/>
              <w:rPr>
                <w:color w:val="000000"/>
                <w:sz w:val="16"/>
                <w:szCs w:val="16"/>
                <w:vertAlign w:val="superscript"/>
                <w:lang w:val="en-US"/>
              </w:rPr>
            </w:pPr>
            <w:r>
              <w:rPr>
                <w:color w:val="000000"/>
                <w:sz w:val="16"/>
                <w:szCs w:val="16"/>
                <w:lang w:val="en-US"/>
              </w:rPr>
              <w:t>IIB</w:t>
            </w:r>
            <w:r>
              <w:rPr>
                <w:color w:val="000000"/>
                <w:sz w:val="16"/>
                <w:szCs w:val="16"/>
                <w:vertAlign w:val="superscript"/>
                <w:lang w:val="en-US"/>
              </w:rPr>
              <w:t>4)</w:t>
            </w:r>
          </w:p>
          <w:p w14:paraId="2916BB66" w14:textId="77777777" w:rsidR="0065245D" w:rsidRDefault="0065245D" w:rsidP="00797207">
            <w:pPr>
              <w:pStyle w:val="SingleTxtG"/>
              <w:ind w:left="0" w:right="50"/>
              <w:rPr>
                <w:color w:val="000000"/>
                <w:sz w:val="16"/>
                <w:szCs w:val="16"/>
                <w:lang w:val="en-US"/>
              </w:rPr>
            </w:pPr>
            <w:r>
              <w:rPr>
                <w:color w:val="000000"/>
                <w:sz w:val="16"/>
                <w:szCs w:val="16"/>
                <w:lang w:val="en-US"/>
              </w:rPr>
              <w:t>(IIB3)</w:t>
            </w:r>
          </w:p>
        </w:tc>
        <w:tc>
          <w:tcPr>
            <w:tcW w:w="540" w:type="dxa"/>
            <w:shd w:val="clear" w:color="auto" w:fill="auto"/>
          </w:tcPr>
          <w:p w14:paraId="681FFDBC" w14:textId="77777777" w:rsidR="0065245D" w:rsidRDefault="0065245D" w:rsidP="00797207">
            <w:pPr>
              <w:pStyle w:val="SingleTxtG"/>
              <w:ind w:left="0" w:right="-20"/>
              <w:rPr>
                <w:color w:val="000000"/>
                <w:sz w:val="16"/>
                <w:szCs w:val="16"/>
                <w:lang w:val="en-US"/>
              </w:rPr>
            </w:pPr>
            <w:r>
              <w:rPr>
                <w:color w:val="000000"/>
                <w:sz w:val="16"/>
                <w:szCs w:val="16"/>
                <w:lang w:val="en-US"/>
              </w:rPr>
              <w:t xml:space="preserve"> Yes </w:t>
            </w:r>
          </w:p>
        </w:tc>
        <w:tc>
          <w:tcPr>
            <w:tcW w:w="699" w:type="dxa"/>
            <w:shd w:val="clear" w:color="auto" w:fill="auto"/>
          </w:tcPr>
          <w:p w14:paraId="2E5612A7" w14:textId="77777777" w:rsidR="0065245D" w:rsidRDefault="0065245D" w:rsidP="00797207">
            <w:pPr>
              <w:pStyle w:val="SingleTxtG"/>
              <w:ind w:left="0" w:right="-20"/>
              <w:rPr>
                <w:color w:val="000000"/>
                <w:sz w:val="16"/>
                <w:szCs w:val="16"/>
                <w:lang w:val="en-US"/>
              </w:rPr>
            </w:pPr>
            <w:r>
              <w:rPr>
                <w:color w:val="000000"/>
                <w:sz w:val="16"/>
                <w:szCs w:val="16"/>
                <w:lang w:val="en-US"/>
              </w:rPr>
              <w:t>PP,EX,A</w:t>
            </w:r>
          </w:p>
        </w:tc>
        <w:tc>
          <w:tcPr>
            <w:tcW w:w="281" w:type="dxa"/>
            <w:shd w:val="clear" w:color="auto" w:fill="auto"/>
          </w:tcPr>
          <w:p w14:paraId="37166616" w14:textId="77777777" w:rsidR="0065245D" w:rsidRDefault="0065245D" w:rsidP="00797207">
            <w:pPr>
              <w:pStyle w:val="SingleTxtG"/>
              <w:ind w:left="0" w:right="360"/>
              <w:rPr>
                <w:color w:val="000000"/>
                <w:sz w:val="16"/>
                <w:szCs w:val="16"/>
                <w:lang w:val="en-US"/>
              </w:rPr>
            </w:pPr>
            <w:r>
              <w:rPr>
                <w:color w:val="000000"/>
                <w:sz w:val="16"/>
                <w:szCs w:val="16"/>
                <w:lang w:val="en-US"/>
              </w:rPr>
              <w:t>0</w:t>
            </w:r>
          </w:p>
        </w:tc>
        <w:tc>
          <w:tcPr>
            <w:tcW w:w="360" w:type="dxa"/>
            <w:shd w:val="clear" w:color="auto" w:fill="auto"/>
          </w:tcPr>
          <w:p w14:paraId="71573687" w14:textId="77777777" w:rsidR="0065245D" w:rsidRDefault="0065245D" w:rsidP="00797207">
            <w:pPr>
              <w:pStyle w:val="SingleTxtG"/>
              <w:ind w:left="0" w:right="-20"/>
              <w:rPr>
                <w:color w:val="000000"/>
                <w:sz w:val="16"/>
                <w:szCs w:val="16"/>
                <w:lang w:val="en-US"/>
              </w:rPr>
            </w:pPr>
            <w:r>
              <w:rPr>
                <w:color w:val="000000"/>
                <w:sz w:val="16"/>
                <w:szCs w:val="16"/>
                <w:lang w:val="en-US"/>
              </w:rPr>
              <w:t>44</w:t>
            </w:r>
          </w:p>
        </w:tc>
      </w:tr>
    </w:tbl>
    <w:p w14:paraId="0B626454" w14:textId="77777777" w:rsidR="0065245D" w:rsidRDefault="0065245D" w:rsidP="0065245D">
      <w:pPr>
        <w:pStyle w:val="SingleTxtG"/>
      </w:pPr>
    </w:p>
    <w:p w14:paraId="58AFADCD" w14:textId="7BA58396" w:rsidR="0065245D" w:rsidRPr="00D726D9" w:rsidRDefault="00BA4911" w:rsidP="0065245D">
      <w:pPr>
        <w:pStyle w:val="SingleTxtG"/>
      </w:pPr>
      <w:r>
        <w:t>3.</w:t>
      </w:r>
      <w:r>
        <w:tab/>
      </w:r>
      <w:r w:rsidR="0065245D" w:rsidRPr="00D726D9">
        <w:t>Due to an oversight during the January meeting, information was not included in column 17. Therefore, as previously indicated, we propose adding "Yes" to column 17 of the adopted proposal.</w:t>
      </w:r>
    </w:p>
    <w:p w14:paraId="4EE7D175" w14:textId="6E9ECFF1" w:rsidR="001C6663" w:rsidRPr="00BA02FF" w:rsidRDefault="00BA02FF" w:rsidP="00BA02FF">
      <w:pPr>
        <w:spacing w:before="240"/>
        <w:jc w:val="center"/>
        <w:rPr>
          <w:u w:val="single"/>
        </w:rPr>
      </w:pPr>
      <w:r>
        <w:rPr>
          <w:u w:val="single"/>
        </w:rPr>
        <w:tab/>
      </w:r>
      <w:r>
        <w:rPr>
          <w:u w:val="single"/>
        </w:rPr>
        <w:tab/>
      </w:r>
      <w:r>
        <w:rPr>
          <w:u w:val="single"/>
        </w:rPr>
        <w:tab/>
      </w:r>
    </w:p>
    <w:sectPr w:rsidR="001C6663" w:rsidRPr="00BA02FF" w:rsidSect="003002FB">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D037" w14:textId="77777777" w:rsidR="00D21B50" w:rsidRDefault="00D21B50"/>
  </w:endnote>
  <w:endnote w:type="continuationSeparator" w:id="0">
    <w:p w14:paraId="440F8C2F" w14:textId="77777777" w:rsidR="00D21B50" w:rsidRDefault="00D21B50"/>
  </w:endnote>
  <w:endnote w:type="continuationNotice" w:id="1">
    <w:p w14:paraId="4300CC1F" w14:textId="77777777" w:rsidR="00D21B50" w:rsidRDefault="00D21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0C42" w14:textId="772F05F2" w:rsidR="003002FB" w:rsidRPr="003002FB" w:rsidRDefault="003002FB" w:rsidP="003002FB">
    <w:pPr>
      <w:pStyle w:val="Footer"/>
      <w:tabs>
        <w:tab w:val="right" w:pos="9638"/>
      </w:tabs>
      <w:rPr>
        <w:sz w:val="18"/>
      </w:rPr>
    </w:pPr>
    <w:r w:rsidRPr="003002FB">
      <w:rPr>
        <w:b/>
        <w:sz w:val="18"/>
      </w:rPr>
      <w:fldChar w:fldCharType="begin"/>
    </w:r>
    <w:r w:rsidRPr="003002FB">
      <w:rPr>
        <w:b/>
        <w:sz w:val="18"/>
      </w:rPr>
      <w:instrText xml:space="preserve"> PAGE  \* MERGEFORMAT </w:instrText>
    </w:r>
    <w:r w:rsidRPr="003002FB">
      <w:rPr>
        <w:b/>
        <w:sz w:val="18"/>
      </w:rPr>
      <w:fldChar w:fldCharType="separate"/>
    </w:r>
    <w:r w:rsidRPr="003002FB">
      <w:rPr>
        <w:b/>
        <w:noProof/>
        <w:sz w:val="18"/>
      </w:rPr>
      <w:t>2</w:t>
    </w:r>
    <w:r w:rsidRPr="003002F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9FD3" w14:textId="6779C470" w:rsidR="003002FB" w:rsidRPr="003002FB" w:rsidRDefault="003002FB" w:rsidP="003002FB">
    <w:pPr>
      <w:pStyle w:val="Footer"/>
      <w:tabs>
        <w:tab w:val="right" w:pos="9638"/>
      </w:tabs>
      <w:rPr>
        <w:b/>
        <w:sz w:val="18"/>
      </w:rPr>
    </w:pPr>
    <w:r>
      <w:tab/>
    </w:r>
    <w:r w:rsidRPr="003002FB">
      <w:rPr>
        <w:b/>
        <w:sz w:val="18"/>
      </w:rPr>
      <w:fldChar w:fldCharType="begin"/>
    </w:r>
    <w:r w:rsidRPr="003002FB">
      <w:rPr>
        <w:b/>
        <w:sz w:val="18"/>
      </w:rPr>
      <w:instrText xml:space="preserve"> PAGE  \* MERGEFORMAT </w:instrText>
    </w:r>
    <w:r w:rsidRPr="003002FB">
      <w:rPr>
        <w:b/>
        <w:sz w:val="18"/>
      </w:rPr>
      <w:fldChar w:fldCharType="separate"/>
    </w:r>
    <w:r w:rsidRPr="003002FB">
      <w:rPr>
        <w:b/>
        <w:noProof/>
        <w:sz w:val="18"/>
      </w:rPr>
      <w:t>3</w:t>
    </w:r>
    <w:r w:rsidRPr="003002F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99063" w14:textId="77777777" w:rsidR="00D21B50" w:rsidRPr="000B175B" w:rsidRDefault="00D21B50" w:rsidP="000B175B">
      <w:pPr>
        <w:tabs>
          <w:tab w:val="right" w:pos="2155"/>
        </w:tabs>
        <w:spacing w:after="80"/>
        <w:ind w:left="680"/>
        <w:rPr>
          <w:u w:val="single"/>
        </w:rPr>
      </w:pPr>
      <w:r>
        <w:rPr>
          <w:u w:val="single"/>
        </w:rPr>
        <w:tab/>
      </w:r>
    </w:p>
  </w:footnote>
  <w:footnote w:type="continuationSeparator" w:id="0">
    <w:p w14:paraId="4008873D" w14:textId="77777777" w:rsidR="00D21B50" w:rsidRPr="00FC68B7" w:rsidRDefault="00D21B50" w:rsidP="00FC68B7">
      <w:pPr>
        <w:tabs>
          <w:tab w:val="left" w:pos="2155"/>
        </w:tabs>
        <w:spacing w:after="80"/>
        <w:ind w:left="680"/>
        <w:rPr>
          <w:u w:val="single"/>
        </w:rPr>
      </w:pPr>
      <w:r>
        <w:rPr>
          <w:u w:val="single"/>
        </w:rPr>
        <w:tab/>
      </w:r>
    </w:p>
  </w:footnote>
  <w:footnote w:type="continuationNotice" w:id="1">
    <w:p w14:paraId="029515B5" w14:textId="77777777" w:rsidR="00D21B50" w:rsidRDefault="00D21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152A" w14:textId="608D7AA6" w:rsidR="003002FB" w:rsidRPr="003002FB" w:rsidRDefault="00000000">
    <w:pPr>
      <w:pStyle w:val="Header"/>
    </w:pPr>
    <w:fldSimple w:instr=" TITLE  \* MERGEFORMAT ">
      <w:r w:rsidR="00DF156D">
        <w:t>INF.4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6D33" w14:textId="5EBF7D1B" w:rsidR="003002FB" w:rsidRPr="003002FB" w:rsidRDefault="00000000" w:rsidP="003002FB">
    <w:pPr>
      <w:pStyle w:val="Header"/>
      <w:jc w:val="right"/>
    </w:pPr>
    <w:fldSimple w:instr=" TITLE  \* MERGEFORMAT ">
      <w:r w:rsidR="00DF156D">
        <w:t>INF.4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2EF0C6A"/>
    <w:multiLevelType w:val="hybridMultilevel"/>
    <w:tmpl w:val="1086317A"/>
    <w:lvl w:ilvl="0" w:tplc="FD8A1A4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58643885">
    <w:abstractNumId w:val="1"/>
  </w:num>
  <w:num w:numId="2" w16cid:durableId="1787195600">
    <w:abstractNumId w:val="0"/>
  </w:num>
  <w:num w:numId="3" w16cid:durableId="1141538703">
    <w:abstractNumId w:val="2"/>
  </w:num>
  <w:num w:numId="4" w16cid:durableId="717630327">
    <w:abstractNumId w:val="3"/>
  </w:num>
  <w:num w:numId="5" w16cid:durableId="1181238899">
    <w:abstractNumId w:val="8"/>
  </w:num>
  <w:num w:numId="6" w16cid:durableId="680670095">
    <w:abstractNumId w:val="9"/>
  </w:num>
  <w:num w:numId="7" w16cid:durableId="807822310">
    <w:abstractNumId w:val="7"/>
  </w:num>
  <w:num w:numId="8" w16cid:durableId="2105035544">
    <w:abstractNumId w:val="6"/>
  </w:num>
  <w:num w:numId="9" w16cid:durableId="1745369578">
    <w:abstractNumId w:val="5"/>
  </w:num>
  <w:num w:numId="10" w16cid:durableId="1677996801">
    <w:abstractNumId w:val="4"/>
  </w:num>
  <w:num w:numId="11" w16cid:durableId="42144272">
    <w:abstractNumId w:val="16"/>
  </w:num>
  <w:num w:numId="12" w16cid:durableId="1785151030">
    <w:abstractNumId w:val="15"/>
  </w:num>
  <w:num w:numId="13" w16cid:durableId="2121685932">
    <w:abstractNumId w:val="10"/>
  </w:num>
  <w:num w:numId="14" w16cid:durableId="562789583">
    <w:abstractNumId w:val="13"/>
  </w:num>
  <w:num w:numId="15" w16cid:durableId="813135858">
    <w:abstractNumId w:val="17"/>
  </w:num>
  <w:num w:numId="16" w16cid:durableId="1668898803">
    <w:abstractNumId w:val="14"/>
  </w:num>
  <w:num w:numId="17" w16cid:durableId="178157749">
    <w:abstractNumId w:val="18"/>
  </w:num>
  <w:num w:numId="18" w16cid:durableId="1401365926">
    <w:abstractNumId w:val="19"/>
  </w:num>
  <w:num w:numId="19" w16cid:durableId="1636909594">
    <w:abstractNumId w:val="11"/>
  </w:num>
  <w:num w:numId="20" w16cid:durableId="979072596">
    <w:abstractNumId w:val="11"/>
  </w:num>
  <w:num w:numId="21" w16cid:durableId="16174649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FB"/>
    <w:rsid w:val="00002A7D"/>
    <w:rsid w:val="000038A8"/>
    <w:rsid w:val="00004BF8"/>
    <w:rsid w:val="00006790"/>
    <w:rsid w:val="00026814"/>
    <w:rsid w:val="00026A43"/>
    <w:rsid w:val="00027624"/>
    <w:rsid w:val="00050F6B"/>
    <w:rsid w:val="000521DE"/>
    <w:rsid w:val="000678CD"/>
    <w:rsid w:val="00072326"/>
    <w:rsid w:val="00072C8C"/>
    <w:rsid w:val="00081CE0"/>
    <w:rsid w:val="00084D30"/>
    <w:rsid w:val="00090320"/>
    <w:rsid w:val="000931C0"/>
    <w:rsid w:val="0009732C"/>
    <w:rsid w:val="000A01F9"/>
    <w:rsid w:val="000A2E09"/>
    <w:rsid w:val="000B175B"/>
    <w:rsid w:val="000B3A0F"/>
    <w:rsid w:val="000C4FA4"/>
    <w:rsid w:val="000E0415"/>
    <w:rsid w:val="000F7715"/>
    <w:rsid w:val="00156B99"/>
    <w:rsid w:val="00166124"/>
    <w:rsid w:val="00182786"/>
    <w:rsid w:val="00184DDA"/>
    <w:rsid w:val="001900CD"/>
    <w:rsid w:val="001A0452"/>
    <w:rsid w:val="001B4B04"/>
    <w:rsid w:val="001B5875"/>
    <w:rsid w:val="001C29A8"/>
    <w:rsid w:val="001C4B9C"/>
    <w:rsid w:val="001C6663"/>
    <w:rsid w:val="001C7895"/>
    <w:rsid w:val="001D26DF"/>
    <w:rsid w:val="001E555D"/>
    <w:rsid w:val="001F1599"/>
    <w:rsid w:val="001F19C4"/>
    <w:rsid w:val="002043F0"/>
    <w:rsid w:val="00211E0B"/>
    <w:rsid w:val="00223715"/>
    <w:rsid w:val="00232575"/>
    <w:rsid w:val="00247258"/>
    <w:rsid w:val="00257CAC"/>
    <w:rsid w:val="00264441"/>
    <w:rsid w:val="0027237A"/>
    <w:rsid w:val="00273E91"/>
    <w:rsid w:val="002974E9"/>
    <w:rsid w:val="002A7F94"/>
    <w:rsid w:val="002B109A"/>
    <w:rsid w:val="002C6D45"/>
    <w:rsid w:val="002D6E53"/>
    <w:rsid w:val="002F046D"/>
    <w:rsid w:val="002F3023"/>
    <w:rsid w:val="003002FB"/>
    <w:rsid w:val="00301764"/>
    <w:rsid w:val="0031335D"/>
    <w:rsid w:val="003225DB"/>
    <w:rsid w:val="003229D8"/>
    <w:rsid w:val="00336C97"/>
    <w:rsid w:val="00337F88"/>
    <w:rsid w:val="00342432"/>
    <w:rsid w:val="0035223F"/>
    <w:rsid w:val="00352D4B"/>
    <w:rsid w:val="0035638C"/>
    <w:rsid w:val="003714F7"/>
    <w:rsid w:val="00394691"/>
    <w:rsid w:val="003A1A46"/>
    <w:rsid w:val="003A46BB"/>
    <w:rsid w:val="003A4EC7"/>
    <w:rsid w:val="003A7295"/>
    <w:rsid w:val="003B1F60"/>
    <w:rsid w:val="003C2CC4"/>
    <w:rsid w:val="003C6C73"/>
    <w:rsid w:val="003D4B23"/>
    <w:rsid w:val="003D6F62"/>
    <w:rsid w:val="003E278A"/>
    <w:rsid w:val="00413520"/>
    <w:rsid w:val="00430D57"/>
    <w:rsid w:val="004325CB"/>
    <w:rsid w:val="00440A07"/>
    <w:rsid w:val="00462880"/>
    <w:rsid w:val="00476F24"/>
    <w:rsid w:val="00494BA2"/>
    <w:rsid w:val="004B4B89"/>
    <w:rsid w:val="004B6867"/>
    <w:rsid w:val="004C15A8"/>
    <w:rsid w:val="004C55B0"/>
    <w:rsid w:val="004E1A6E"/>
    <w:rsid w:val="004F6BA0"/>
    <w:rsid w:val="00503BEA"/>
    <w:rsid w:val="00510B45"/>
    <w:rsid w:val="00533616"/>
    <w:rsid w:val="00535ABA"/>
    <w:rsid w:val="0053768B"/>
    <w:rsid w:val="005420F2"/>
    <w:rsid w:val="0054285C"/>
    <w:rsid w:val="00584173"/>
    <w:rsid w:val="0059072B"/>
    <w:rsid w:val="00592557"/>
    <w:rsid w:val="00595520"/>
    <w:rsid w:val="005A44B9"/>
    <w:rsid w:val="005A65CB"/>
    <w:rsid w:val="005B1BA0"/>
    <w:rsid w:val="005B3DB3"/>
    <w:rsid w:val="005B64F3"/>
    <w:rsid w:val="005D15CA"/>
    <w:rsid w:val="005D477B"/>
    <w:rsid w:val="005D7969"/>
    <w:rsid w:val="005E4BC3"/>
    <w:rsid w:val="005F08DF"/>
    <w:rsid w:val="005F3066"/>
    <w:rsid w:val="005F3E61"/>
    <w:rsid w:val="006012FB"/>
    <w:rsid w:val="00603EFE"/>
    <w:rsid w:val="00604DDD"/>
    <w:rsid w:val="006115CC"/>
    <w:rsid w:val="00611FC4"/>
    <w:rsid w:val="006176FB"/>
    <w:rsid w:val="00630FCB"/>
    <w:rsid w:val="006319D6"/>
    <w:rsid w:val="00635B37"/>
    <w:rsid w:val="0064061B"/>
    <w:rsid w:val="00640B26"/>
    <w:rsid w:val="0065245D"/>
    <w:rsid w:val="0065766B"/>
    <w:rsid w:val="00671C6D"/>
    <w:rsid w:val="006770B2"/>
    <w:rsid w:val="0068488D"/>
    <w:rsid w:val="00686A48"/>
    <w:rsid w:val="006940E1"/>
    <w:rsid w:val="006A2DBC"/>
    <w:rsid w:val="006A3C72"/>
    <w:rsid w:val="006A7392"/>
    <w:rsid w:val="006B03A1"/>
    <w:rsid w:val="006B67D9"/>
    <w:rsid w:val="006C5535"/>
    <w:rsid w:val="006D0589"/>
    <w:rsid w:val="006E564B"/>
    <w:rsid w:val="006E7154"/>
    <w:rsid w:val="007003CD"/>
    <w:rsid w:val="007068AF"/>
    <w:rsid w:val="0070701E"/>
    <w:rsid w:val="007173E0"/>
    <w:rsid w:val="00725968"/>
    <w:rsid w:val="0072632A"/>
    <w:rsid w:val="00733FA2"/>
    <w:rsid w:val="007358E8"/>
    <w:rsid w:val="00736ECE"/>
    <w:rsid w:val="0074533B"/>
    <w:rsid w:val="007631B0"/>
    <w:rsid w:val="007643BC"/>
    <w:rsid w:val="007801C5"/>
    <w:rsid w:val="00780C68"/>
    <w:rsid w:val="007827D8"/>
    <w:rsid w:val="007959FE"/>
    <w:rsid w:val="007A0CF1"/>
    <w:rsid w:val="007A478E"/>
    <w:rsid w:val="007B6BA5"/>
    <w:rsid w:val="007C3390"/>
    <w:rsid w:val="007C42D8"/>
    <w:rsid w:val="007C4F4B"/>
    <w:rsid w:val="007D7362"/>
    <w:rsid w:val="007F5CE2"/>
    <w:rsid w:val="007F6611"/>
    <w:rsid w:val="00800522"/>
    <w:rsid w:val="00806DE0"/>
    <w:rsid w:val="00810BAC"/>
    <w:rsid w:val="00816CE2"/>
    <w:rsid w:val="008175E9"/>
    <w:rsid w:val="008242D7"/>
    <w:rsid w:val="008249CE"/>
    <w:rsid w:val="0082577B"/>
    <w:rsid w:val="008272DD"/>
    <w:rsid w:val="00866893"/>
    <w:rsid w:val="00866F02"/>
    <w:rsid w:val="00867D18"/>
    <w:rsid w:val="00871F9A"/>
    <w:rsid w:val="00871FD5"/>
    <w:rsid w:val="0088172E"/>
    <w:rsid w:val="00881EFA"/>
    <w:rsid w:val="008879CB"/>
    <w:rsid w:val="008979B1"/>
    <w:rsid w:val="008A6B25"/>
    <w:rsid w:val="008A6C4F"/>
    <w:rsid w:val="008A77AE"/>
    <w:rsid w:val="008B389E"/>
    <w:rsid w:val="008B623E"/>
    <w:rsid w:val="008D045E"/>
    <w:rsid w:val="008D3F25"/>
    <w:rsid w:val="008D4D82"/>
    <w:rsid w:val="008E0E46"/>
    <w:rsid w:val="008E7116"/>
    <w:rsid w:val="008F143B"/>
    <w:rsid w:val="008F3882"/>
    <w:rsid w:val="008F3E9A"/>
    <w:rsid w:val="008F4B7C"/>
    <w:rsid w:val="009118DD"/>
    <w:rsid w:val="00926E47"/>
    <w:rsid w:val="00947162"/>
    <w:rsid w:val="009610D0"/>
    <w:rsid w:val="0096375C"/>
    <w:rsid w:val="009662E6"/>
    <w:rsid w:val="0097095E"/>
    <w:rsid w:val="0098592B"/>
    <w:rsid w:val="00985FC4"/>
    <w:rsid w:val="00990766"/>
    <w:rsid w:val="00991261"/>
    <w:rsid w:val="0099211F"/>
    <w:rsid w:val="009964C4"/>
    <w:rsid w:val="009A282B"/>
    <w:rsid w:val="009A7B81"/>
    <w:rsid w:val="009B41EA"/>
    <w:rsid w:val="009D01C0"/>
    <w:rsid w:val="009D6A08"/>
    <w:rsid w:val="009E0A16"/>
    <w:rsid w:val="009E5C1E"/>
    <w:rsid w:val="009E6CB7"/>
    <w:rsid w:val="009E7970"/>
    <w:rsid w:val="009F2EAC"/>
    <w:rsid w:val="009F57E3"/>
    <w:rsid w:val="00A10F4F"/>
    <w:rsid w:val="00A11067"/>
    <w:rsid w:val="00A1704A"/>
    <w:rsid w:val="00A425EB"/>
    <w:rsid w:val="00A72F22"/>
    <w:rsid w:val="00A733BC"/>
    <w:rsid w:val="00A748A6"/>
    <w:rsid w:val="00A76A69"/>
    <w:rsid w:val="00A8592B"/>
    <w:rsid w:val="00A879A4"/>
    <w:rsid w:val="00AA0FF8"/>
    <w:rsid w:val="00AC0F2C"/>
    <w:rsid w:val="00AC502A"/>
    <w:rsid w:val="00AC5349"/>
    <w:rsid w:val="00AD6D1A"/>
    <w:rsid w:val="00AE2A3B"/>
    <w:rsid w:val="00AF58C1"/>
    <w:rsid w:val="00B04A3F"/>
    <w:rsid w:val="00B06643"/>
    <w:rsid w:val="00B14F87"/>
    <w:rsid w:val="00B15055"/>
    <w:rsid w:val="00B15ED3"/>
    <w:rsid w:val="00B20551"/>
    <w:rsid w:val="00B23D55"/>
    <w:rsid w:val="00B30179"/>
    <w:rsid w:val="00B33FC7"/>
    <w:rsid w:val="00B37B15"/>
    <w:rsid w:val="00B45C02"/>
    <w:rsid w:val="00B70B63"/>
    <w:rsid w:val="00B72A1E"/>
    <w:rsid w:val="00B81E12"/>
    <w:rsid w:val="00BA02FF"/>
    <w:rsid w:val="00BA339B"/>
    <w:rsid w:val="00BA4911"/>
    <w:rsid w:val="00BA4F10"/>
    <w:rsid w:val="00BB23CC"/>
    <w:rsid w:val="00BC1E7E"/>
    <w:rsid w:val="00BC6D0D"/>
    <w:rsid w:val="00BC74E9"/>
    <w:rsid w:val="00BE19A5"/>
    <w:rsid w:val="00BE36A9"/>
    <w:rsid w:val="00BE618E"/>
    <w:rsid w:val="00BE7BEC"/>
    <w:rsid w:val="00BF0A5A"/>
    <w:rsid w:val="00BF0E63"/>
    <w:rsid w:val="00BF12A3"/>
    <w:rsid w:val="00BF16D7"/>
    <w:rsid w:val="00BF2373"/>
    <w:rsid w:val="00C0054B"/>
    <w:rsid w:val="00C0294F"/>
    <w:rsid w:val="00C03DD2"/>
    <w:rsid w:val="00C044E2"/>
    <w:rsid w:val="00C048CB"/>
    <w:rsid w:val="00C06325"/>
    <w:rsid w:val="00C066F3"/>
    <w:rsid w:val="00C408B7"/>
    <w:rsid w:val="00C411EB"/>
    <w:rsid w:val="00C463DD"/>
    <w:rsid w:val="00C5139A"/>
    <w:rsid w:val="00C745C3"/>
    <w:rsid w:val="00C978F5"/>
    <w:rsid w:val="00CA24A4"/>
    <w:rsid w:val="00CB348D"/>
    <w:rsid w:val="00CB7A81"/>
    <w:rsid w:val="00CD46F5"/>
    <w:rsid w:val="00CE4A8F"/>
    <w:rsid w:val="00CE78F6"/>
    <w:rsid w:val="00CF071D"/>
    <w:rsid w:val="00CF7D21"/>
    <w:rsid w:val="00D0123D"/>
    <w:rsid w:val="00D15B04"/>
    <w:rsid w:val="00D2031B"/>
    <w:rsid w:val="00D21B50"/>
    <w:rsid w:val="00D25FE2"/>
    <w:rsid w:val="00D368BE"/>
    <w:rsid w:val="00D37DA9"/>
    <w:rsid w:val="00D406A7"/>
    <w:rsid w:val="00D40765"/>
    <w:rsid w:val="00D411A5"/>
    <w:rsid w:val="00D431E9"/>
    <w:rsid w:val="00D43252"/>
    <w:rsid w:val="00D44D86"/>
    <w:rsid w:val="00D50B7D"/>
    <w:rsid w:val="00D52012"/>
    <w:rsid w:val="00D579A0"/>
    <w:rsid w:val="00D704E5"/>
    <w:rsid w:val="00D72727"/>
    <w:rsid w:val="00D978C6"/>
    <w:rsid w:val="00DA0956"/>
    <w:rsid w:val="00DA357F"/>
    <w:rsid w:val="00DA3E12"/>
    <w:rsid w:val="00DB6908"/>
    <w:rsid w:val="00DC18AD"/>
    <w:rsid w:val="00DF156D"/>
    <w:rsid w:val="00DF7CAE"/>
    <w:rsid w:val="00E015E7"/>
    <w:rsid w:val="00E1567D"/>
    <w:rsid w:val="00E2131B"/>
    <w:rsid w:val="00E423C0"/>
    <w:rsid w:val="00E612A2"/>
    <w:rsid w:val="00E6414C"/>
    <w:rsid w:val="00E665DE"/>
    <w:rsid w:val="00E7260F"/>
    <w:rsid w:val="00E8702D"/>
    <w:rsid w:val="00E905F4"/>
    <w:rsid w:val="00E916A9"/>
    <w:rsid w:val="00E916DE"/>
    <w:rsid w:val="00E925AD"/>
    <w:rsid w:val="00E96630"/>
    <w:rsid w:val="00EA16E2"/>
    <w:rsid w:val="00EB41E0"/>
    <w:rsid w:val="00EC1EDF"/>
    <w:rsid w:val="00ED18DC"/>
    <w:rsid w:val="00ED6201"/>
    <w:rsid w:val="00ED7A2A"/>
    <w:rsid w:val="00EE00F5"/>
    <w:rsid w:val="00EF1D7F"/>
    <w:rsid w:val="00F0137E"/>
    <w:rsid w:val="00F21786"/>
    <w:rsid w:val="00F30D36"/>
    <w:rsid w:val="00F3742B"/>
    <w:rsid w:val="00F41FDB"/>
    <w:rsid w:val="00F50596"/>
    <w:rsid w:val="00F56D63"/>
    <w:rsid w:val="00F609A9"/>
    <w:rsid w:val="00F72FC5"/>
    <w:rsid w:val="00F80C99"/>
    <w:rsid w:val="00F81981"/>
    <w:rsid w:val="00F867EC"/>
    <w:rsid w:val="00F90EE6"/>
    <w:rsid w:val="00F91B2B"/>
    <w:rsid w:val="00FC03CD"/>
    <w:rsid w:val="00FC0646"/>
    <w:rsid w:val="00FC68B7"/>
    <w:rsid w:val="00FE6113"/>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252D6"/>
  <w15:docId w15:val="{A218E2E7-4108-47F1-8B64-03B99ABD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HChGChar">
    <w:name w:val="_ H _Ch_G Char"/>
    <w:link w:val="HChG"/>
    <w:rsid w:val="00C03DD2"/>
    <w:rPr>
      <w:b/>
      <w:sz w:val="28"/>
      <w:lang w:val="en-GB"/>
    </w:rPr>
  </w:style>
  <w:style w:type="character" w:customStyle="1" w:styleId="H1GChar">
    <w:name w:val="_ H_1_G Char"/>
    <w:link w:val="H1G"/>
    <w:rsid w:val="00C03DD2"/>
    <w:rPr>
      <w:b/>
      <w:sz w:val="24"/>
      <w:lang w:val="en-GB"/>
    </w:rPr>
  </w:style>
  <w:style w:type="paragraph" w:styleId="Revision">
    <w:name w:val="Revision"/>
    <w:hidden/>
    <w:uiPriority w:val="99"/>
    <w:semiHidden/>
    <w:rsid w:val="003D6F62"/>
    <w:pPr>
      <w:spacing w:line="240" w:lineRule="auto"/>
    </w:pPr>
    <w:rPr>
      <w:lang w:val="en-GB"/>
    </w:rPr>
  </w:style>
  <w:style w:type="character" w:styleId="CommentReference">
    <w:name w:val="annotation reference"/>
    <w:basedOn w:val="DefaultParagraphFont"/>
    <w:semiHidden/>
    <w:unhideWhenUsed/>
    <w:rsid w:val="007068AF"/>
    <w:rPr>
      <w:sz w:val="16"/>
      <w:szCs w:val="16"/>
    </w:rPr>
  </w:style>
  <w:style w:type="paragraph" w:styleId="CommentText">
    <w:name w:val="annotation text"/>
    <w:basedOn w:val="Normal"/>
    <w:link w:val="CommentTextChar"/>
    <w:unhideWhenUsed/>
    <w:rsid w:val="007068AF"/>
    <w:pPr>
      <w:spacing w:line="240" w:lineRule="auto"/>
    </w:pPr>
  </w:style>
  <w:style w:type="character" w:customStyle="1" w:styleId="CommentTextChar">
    <w:name w:val="Comment Text Char"/>
    <w:basedOn w:val="DefaultParagraphFont"/>
    <w:link w:val="CommentText"/>
    <w:rsid w:val="007068AF"/>
    <w:rPr>
      <w:lang w:val="en-GB"/>
    </w:rPr>
  </w:style>
  <w:style w:type="paragraph" w:styleId="CommentSubject">
    <w:name w:val="annotation subject"/>
    <w:basedOn w:val="CommentText"/>
    <w:next w:val="CommentText"/>
    <w:link w:val="CommentSubjectChar"/>
    <w:semiHidden/>
    <w:unhideWhenUsed/>
    <w:rsid w:val="007068AF"/>
    <w:rPr>
      <w:b/>
      <w:bCs/>
    </w:rPr>
  </w:style>
  <w:style w:type="character" w:customStyle="1" w:styleId="CommentSubjectChar">
    <w:name w:val="Comment Subject Char"/>
    <w:basedOn w:val="CommentTextChar"/>
    <w:link w:val="CommentSubject"/>
    <w:semiHidden/>
    <w:rsid w:val="007068A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2.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4.xml><?xml version="1.0" encoding="utf-8"?>
<ds:datastoreItem xmlns:ds="http://schemas.openxmlformats.org/officeDocument/2006/customXml" ds:itemID="{7D07D914-16A4-403D-8F50-AC9F281C4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TRANS_WP1_24_E.dotm</Template>
  <TotalTime>11</TotalTime>
  <Pages>1</Pages>
  <Words>247</Words>
  <Characters>1410</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INF.4</dc:title>
  <dc:creator>ND June 2024</dc:creator>
  <cp:lastModifiedBy>Nadiya Dzyubynska</cp:lastModifiedBy>
  <cp:revision>14</cp:revision>
  <cp:lastPrinted>2024-07-31T11:27:00Z</cp:lastPrinted>
  <dcterms:created xsi:type="dcterms:W3CDTF">2024-07-31T10:48:00Z</dcterms:created>
  <dcterms:modified xsi:type="dcterms:W3CDTF">2024-07-31T11:27:00Z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