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2268"/>
        <w:gridCol w:w="5529"/>
        <w:gridCol w:w="1842"/>
      </w:tblGrid>
      <w:tr w:rsidR="00EE00F5" w:rsidRPr="00D411A5" w14:paraId="3C1F8FCB" w14:textId="77777777" w:rsidTr="00B15ED3">
        <w:trPr>
          <w:cantSplit/>
          <w:trHeight w:hRule="exact" w:val="851"/>
        </w:trPr>
        <w:tc>
          <w:tcPr>
            <w:tcW w:w="2268" w:type="dxa"/>
            <w:tcBorders>
              <w:bottom w:val="single" w:sz="4" w:space="0" w:color="auto"/>
            </w:tcBorders>
            <w:vAlign w:val="bottom"/>
          </w:tcPr>
          <w:p w14:paraId="37BB3F12" w14:textId="374F4A08" w:rsidR="00EE00F5" w:rsidRPr="00B97172" w:rsidRDefault="00EE00F5" w:rsidP="00B20551">
            <w:pPr>
              <w:spacing w:after="80" w:line="300" w:lineRule="exact"/>
              <w:rPr>
                <w:b/>
                <w:sz w:val="24"/>
                <w:szCs w:val="24"/>
              </w:rPr>
            </w:pPr>
          </w:p>
        </w:tc>
        <w:tc>
          <w:tcPr>
            <w:tcW w:w="7371" w:type="dxa"/>
            <w:gridSpan w:val="2"/>
            <w:tcBorders>
              <w:bottom w:val="single" w:sz="4" w:space="0" w:color="auto"/>
            </w:tcBorders>
            <w:vAlign w:val="bottom"/>
          </w:tcPr>
          <w:p w14:paraId="256F5BC0" w14:textId="4EB333A2" w:rsidR="00EE00F5" w:rsidRPr="00D411A5" w:rsidRDefault="00EE00F5" w:rsidP="003002FB">
            <w:pPr>
              <w:jc w:val="right"/>
              <w:rPr>
                <w:sz w:val="40"/>
              </w:rPr>
            </w:pPr>
            <w:r w:rsidRPr="003002FB">
              <w:rPr>
                <w:sz w:val="40"/>
              </w:rPr>
              <w:t>INF</w:t>
            </w:r>
            <w:r w:rsidRPr="00D411A5">
              <w:rPr>
                <w:sz w:val="40"/>
              </w:rPr>
              <w:t>.4</w:t>
            </w:r>
          </w:p>
        </w:tc>
      </w:tr>
      <w:tr w:rsidR="00EE00F5" w14:paraId="1796D452" w14:textId="77777777" w:rsidTr="00EC1EDF">
        <w:trPr>
          <w:cantSplit/>
          <w:trHeight w:hRule="exact" w:val="4119"/>
        </w:trPr>
        <w:tc>
          <w:tcPr>
            <w:tcW w:w="7797" w:type="dxa"/>
            <w:gridSpan w:val="2"/>
            <w:tcBorders>
              <w:top w:val="single" w:sz="4" w:space="0" w:color="auto"/>
              <w:bottom w:val="single" w:sz="12" w:space="0" w:color="auto"/>
            </w:tcBorders>
          </w:tcPr>
          <w:p w14:paraId="0A10672D" w14:textId="77777777" w:rsidR="00EE00F5" w:rsidRPr="003134DF" w:rsidRDefault="00EE00F5" w:rsidP="00EE00F5">
            <w:pPr>
              <w:spacing w:before="120"/>
              <w:rPr>
                <w:b/>
                <w:sz w:val="28"/>
                <w:szCs w:val="28"/>
              </w:rPr>
            </w:pPr>
            <w:r w:rsidRPr="003134DF">
              <w:rPr>
                <w:b/>
                <w:sz w:val="28"/>
                <w:szCs w:val="28"/>
              </w:rPr>
              <w:t>Economic Commission for Europe</w:t>
            </w:r>
          </w:p>
          <w:p w14:paraId="3252F04E" w14:textId="77777777" w:rsidR="00EE00F5" w:rsidRPr="003134DF" w:rsidRDefault="00EE00F5" w:rsidP="00EE00F5">
            <w:pPr>
              <w:spacing w:before="120"/>
              <w:rPr>
                <w:sz w:val="28"/>
                <w:szCs w:val="28"/>
              </w:rPr>
            </w:pPr>
            <w:r w:rsidRPr="003134DF">
              <w:rPr>
                <w:sz w:val="28"/>
                <w:szCs w:val="28"/>
              </w:rPr>
              <w:t>Inland Transport Committee</w:t>
            </w:r>
          </w:p>
          <w:p w14:paraId="32D9BAB3" w14:textId="77777777" w:rsidR="00EE00F5" w:rsidRPr="003134DF" w:rsidRDefault="00EE00F5" w:rsidP="00EE00F5">
            <w:pPr>
              <w:spacing w:before="120"/>
              <w:rPr>
                <w:b/>
                <w:sz w:val="24"/>
                <w:szCs w:val="24"/>
              </w:rPr>
            </w:pPr>
            <w:r w:rsidRPr="003134DF">
              <w:rPr>
                <w:b/>
                <w:sz w:val="24"/>
                <w:szCs w:val="24"/>
              </w:rPr>
              <w:t>Working Party on the Transport of Dangerous Goods</w:t>
            </w:r>
          </w:p>
          <w:p w14:paraId="65DC411D" w14:textId="77777777" w:rsidR="00EE00F5" w:rsidRPr="003134DF" w:rsidRDefault="00EE00F5" w:rsidP="00EE00F5">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4DBAD871" w14:textId="77777777" w:rsidR="00EE00F5" w:rsidRPr="008D7010" w:rsidRDefault="00EE00F5" w:rsidP="00EE00F5">
            <w:pPr>
              <w:spacing w:before="120"/>
              <w:rPr>
                <w:b/>
              </w:rPr>
            </w:pPr>
            <w:r>
              <w:rPr>
                <w:b/>
              </w:rPr>
              <w:t xml:space="preserve">Forty-fourth </w:t>
            </w:r>
            <w:r w:rsidRPr="008D7010">
              <w:rPr>
                <w:b/>
              </w:rPr>
              <w:t>session</w:t>
            </w:r>
          </w:p>
          <w:p w14:paraId="140E37E7" w14:textId="77777777" w:rsidR="00EE00F5" w:rsidRDefault="00EE00F5" w:rsidP="00EE00F5">
            <w:r w:rsidRPr="008D7010">
              <w:t xml:space="preserve">Geneva, </w:t>
            </w:r>
            <w:r>
              <w:t>26-30 August 2024</w:t>
            </w:r>
          </w:p>
          <w:p w14:paraId="00834C06" w14:textId="77777777" w:rsidR="00EE00F5" w:rsidRDefault="00EE00F5" w:rsidP="00EE00F5">
            <w:pPr>
              <w:rPr>
                <w:lang w:val="en-US"/>
              </w:rPr>
            </w:pPr>
            <w:r>
              <w:rPr>
                <w:lang w:val="en-US"/>
              </w:rPr>
              <w:t>Item 3 (c) of the provisional agenda</w:t>
            </w:r>
          </w:p>
          <w:p w14:paraId="48083102" w14:textId="77777777" w:rsidR="00EE00F5" w:rsidRPr="003002FB" w:rsidRDefault="00EE00F5" w:rsidP="00EE00F5">
            <w:r w:rsidRPr="00DA0F77">
              <w:rPr>
                <w:b/>
                <w:bCs/>
              </w:rPr>
              <w:t xml:space="preserve">Implementation of the European Agreement concerning the </w:t>
            </w:r>
            <w:r w:rsidRPr="00DA0F77">
              <w:rPr>
                <w:b/>
                <w:bCs/>
              </w:rPr>
              <w:br/>
              <w:t>International Carriage of Dangerous Goods by Inland Waterways (ADN):</w:t>
            </w:r>
            <w:r w:rsidRPr="00DA0F77">
              <w:rPr>
                <w:b/>
                <w:bCs/>
              </w:rPr>
              <w:br/>
              <w:t>interpretation of the Regulations annexed to ADN</w:t>
            </w:r>
          </w:p>
          <w:p w14:paraId="19371B5F" w14:textId="258317AE" w:rsidR="00EE00F5" w:rsidRPr="00D773DF" w:rsidRDefault="00EE00F5" w:rsidP="00B20551">
            <w:pPr>
              <w:spacing w:before="120" w:line="420" w:lineRule="exact"/>
              <w:rPr>
                <w:sz w:val="40"/>
                <w:szCs w:val="40"/>
              </w:rPr>
            </w:pPr>
          </w:p>
        </w:tc>
        <w:tc>
          <w:tcPr>
            <w:tcW w:w="1842" w:type="dxa"/>
            <w:tcBorders>
              <w:top w:val="single" w:sz="4" w:space="0" w:color="auto"/>
              <w:bottom w:val="single" w:sz="12" w:space="0" w:color="auto"/>
            </w:tcBorders>
          </w:tcPr>
          <w:p w14:paraId="3551CF01" w14:textId="77777777" w:rsidR="00B15ED3" w:rsidRDefault="00B15ED3" w:rsidP="004E1A6E">
            <w:pPr>
              <w:spacing w:line="240" w:lineRule="exact"/>
            </w:pPr>
          </w:p>
          <w:p w14:paraId="1235140C" w14:textId="77777777" w:rsidR="00B15ED3" w:rsidRDefault="00B15ED3" w:rsidP="004E1A6E">
            <w:pPr>
              <w:spacing w:line="240" w:lineRule="exact"/>
            </w:pPr>
          </w:p>
          <w:p w14:paraId="58D97E95" w14:textId="1E7F3C32" w:rsidR="00EE00F5" w:rsidRDefault="00EE00F5" w:rsidP="004E1A6E">
            <w:pPr>
              <w:spacing w:line="240" w:lineRule="exact"/>
            </w:pPr>
            <w:r>
              <w:t>29 July 2024</w:t>
            </w:r>
          </w:p>
          <w:p w14:paraId="0A7C1436" w14:textId="77777777" w:rsidR="00EE00F5" w:rsidRDefault="00EE00F5" w:rsidP="003002FB">
            <w:pPr>
              <w:spacing w:line="240" w:lineRule="exact"/>
            </w:pPr>
          </w:p>
          <w:p w14:paraId="7221D936" w14:textId="55201B3B" w:rsidR="00EE00F5" w:rsidRDefault="00EE00F5" w:rsidP="003002FB">
            <w:pPr>
              <w:spacing w:line="240" w:lineRule="exact"/>
            </w:pPr>
            <w:r>
              <w:t>Original: English</w:t>
            </w:r>
          </w:p>
        </w:tc>
      </w:tr>
    </w:tbl>
    <w:p w14:paraId="498B3256" w14:textId="1B145459" w:rsidR="00C03DD2" w:rsidRPr="00503E2E" w:rsidRDefault="00FE6113" w:rsidP="009118DD">
      <w:pPr>
        <w:pStyle w:val="HChG"/>
      </w:pPr>
      <w:r>
        <w:tab/>
      </w:r>
      <w:r>
        <w:tab/>
      </w:r>
      <w:r w:rsidR="00C03DD2">
        <w:t xml:space="preserve">Comments on document </w:t>
      </w:r>
      <w:r w:rsidR="00B14F87">
        <w:t>ECE/TRANS/WP.15/AC.2/</w:t>
      </w:r>
      <w:r w:rsidR="00C03DD2" w:rsidRPr="007F7D81">
        <w:t>2024/44</w:t>
      </w:r>
      <w:r w:rsidR="00725968">
        <w:t>,</w:t>
      </w:r>
      <w:r w:rsidR="009118DD">
        <w:t xml:space="preserve"> </w:t>
      </w:r>
      <w:r w:rsidR="00C03DD2" w:rsidRPr="00C477B6">
        <w:t xml:space="preserve">List of </w:t>
      </w:r>
      <w:r w:rsidR="00725968">
        <w:t>i</w:t>
      </w:r>
      <w:r w:rsidR="00C03DD2" w:rsidRPr="00C477B6">
        <w:t>nterpretations of the classification societies</w:t>
      </w:r>
      <w:r w:rsidR="009118DD">
        <w:t xml:space="preserve">, </w:t>
      </w:r>
      <w:r w:rsidR="00725968">
        <w:t>t</w:t>
      </w:r>
      <w:r w:rsidR="00C03DD2" w:rsidRPr="00C477B6">
        <w:t xml:space="preserve">ransmitted by the Informal Group of Recommended </w:t>
      </w:r>
      <w:r w:rsidR="00223715">
        <w:t>AD</w:t>
      </w:r>
      <w:r w:rsidR="00C0054B">
        <w:t>N</w:t>
      </w:r>
      <w:r w:rsidR="00223715">
        <w:t xml:space="preserve"> </w:t>
      </w:r>
      <w:r w:rsidR="00C03DD2" w:rsidRPr="00C477B6">
        <w:t>Classification Societies</w:t>
      </w:r>
    </w:p>
    <w:p w14:paraId="15C8A103" w14:textId="77777777" w:rsidR="00C03DD2" w:rsidRDefault="00C03DD2" w:rsidP="009118DD">
      <w:pPr>
        <w:pStyle w:val="H1G"/>
      </w:pPr>
      <w:r w:rsidRPr="00503E2E">
        <w:tab/>
      </w:r>
      <w:r w:rsidRPr="00503E2E">
        <w:tab/>
      </w:r>
      <w:r w:rsidRPr="003134DF">
        <w:t>Transmitted by the Go</w:t>
      </w:r>
      <w:r>
        <w:t>vernment of Germany</w:t>
      </w:r>
    </w:p>
    <w:p w14:paraId="3A72490A" w14:textId="0941D79A" w:rsidR="00C03DD2" w:rsidRPr="000C4FA4" w:rsidRDefault="000C4FA4" w:rsidP="006146DC">
      <w:pPr>
        <w:pStyle w:val="HChG"/>
      </w:pPr>
      <w:r w:rsidRPr="000C4FA4">
        <w:rPr>
          <w:bCs/>
        </w:rPr>
        <w:tab/>
      </w:r>
      <w:r w:rsidRPr="000C4FA4">
        <w:rPr>
          <w:bCs/>
        </w:rPr>
        <w:tab/>
      </w:r>
      <w:r w:rsidR="00C03DD2" w:rsidRPr="000C4FA4">
        <w:t>Para</w:t>
      </w:r>
      <w:r w:rsidR="00A8592B">
        <w:t>.</w:t>
      </w:r>
      <w:r w:rsidR="00C03DD2" w:rsidRPr="000C4FA4">
        <w:t xml:space="preserve"> 1</w:t>
      </w:r>
    </w:p>
    <w:p w14:paraId="4987EC83" w14:textId="536025F1" w:rsidR="00C03DD2" w:rsidRPr="000C4FA4" w:rsidRDefault="003A1A46" w:rsidP="003A1A46">
      <w:pPr>
        <w:pStyle w:val="SingleTxtG"/>
        <w:rPr>
          <w:rFonts w:asciiTheme="majorBidi" w:hAnsiTheme="majorBidi" w:cstheme="majorBidi"/>
        </w:rPr>
      </w:pPr>
      <w:r w:rsidRPr="003A1A46">
        <w:rPr>
          <w:rFonts w:asciiTheme="majorBidi" w:hAnsiTheme="majorBidi" w:cstheme="majorBidi"/>
        </w:rPr>
        <w:t>1.</w:t>
      </w:r>
      <w:r>
        <w:rPr>
          <w:rFonts w:asciiTheme="majorBidi" w:hAnsiTheme="majorBidi" w:cstheme="majorBidi"/>
        </w:rPr>
        <w:tab/>
      </w:r>
      <w:r w:rsidR="00C03DD2" w:rsidRPr="000C4FA4">
        <w:rPr>
          <w:rFonts w:asciiTheme="majorBidi" w:hAnsiTheme="majorBidi" w:cstheme="majorBidi"/>
        </w:rPr>
        <w:t>In our view pending misunderstanding of the allocation of tasks:</w:t>
      </w:r>
    </w:p>
    <w:p w14:paraId="7E892AD6" w14:textId="4FED3111" w:rsidR="00C03DD2" w:rsidRPr="000C4FA4" w:rsidRDefault="00C03DD2" w:rsidP="000C4FA4">
      <w:pPr>
        <w:pStyle w:val="SingleTxtG"/>
        <w:rPr>
          <w:rFonts w:asciiTheme="majorBidi" w:hAnsiTheme="majorBidi" w:cstheme="majorBidi"/>
        </w:rPr>
      </w:pPr>
      <w:r w:rsidRPr="000C4FA4">
        <w:rPr>
          <w:rFonts w:asciiTheme="majorBidi" w:hAnsiTheme="majorBidi" w:cstheme="majorBidi"/>
        </w:rPr>
        <w:t xml:space="preserve">ECE/TRANS/WP.15/AC.2/52: </w:t>
      </w:r>
    </w:p>
    <w:p w14:paraId="6F3D5E5B" w14:textId="271AC7A7" w:rsidR="00C03DD2" w:rsidRPr="000C4FA4" w:rsidRDefault="00C03DD2" w:rsidP="000C4FA4">
      <w:pPr>
        <w:pStyle w:val="SingleTxtG"/>
        <w:rPr>
          <w:rFonts w:asciiTheme="majorBidi" w:hAnsiTheme="majorBidi" w:cstheme="majorBidi"/>
        </w:rPr>
      </w:pPr>
      <w:r w:rsidRPr="000C4FA4">
        <w:rPr>
          <w:rFonts w:asciiTheme="majorBidi" w:hAnsiTheme="majorBidi" w:cstheme="majorBidi"/>
        </w:rPr>
        <w:t>“17.</w:t>
      </w:r>
      <w:r w:rsidRPr="000C4FA4">
        <w:rPr>
          <w:rFonts w:asciiTheme="majorBidi" w:hAnsiTheme="majorBidi" w:cstheme="majorBidi"/>
        </w:rPr>
        <w:tab/>
        <w:t>The Safety Committee reiterated its request that recommended ADN classification societies should maintain a list of any interpretations of ADN which they had agreed on (see ECE/TRANS/WP.15/AC.2/40, para. 49) which should be published on the UNECE website.”</w:t>
      </w:r>
    </w:p>
    <w:p w14:paraId="2FC45E80" w14:textId="75F49838" w:rsidR="00C03DD2" w:rsidRPr="000C4FA4" w:rsidRDefault="00E2131B" w:rsidP="000C4FA4">
      <w:pPr>
        <w:pStyle w:val="SingleTxtG"/>
        <w:rPr>
          <w:rFonts w:asciiTheme="majorBidi" w:hAnsiTheme="majorBidi" w:cstheme="majorBidi"/>
        </w:rPr>
      </w:pPr>
      <w:r>
        <w:rPr>
          <w:rFonts w:asciiTheme="majorBidi" w:hAnsiTheme="majorBidi" w:cstheme="majorBidi"/>
        </w:rPr>
        <w:t>2.</w:t>
      </w:r>
      <w:r>
        <w:rPr>
          <w:rFonts w:asciiTheme="majorBidi" w:hAnsiTheme="majorBidi" w:cstheme="majorBidi"/>
        </w:rPr>
        <w:tab/>
      </w:r>
      <w:r w:rsidR="00C03DD2" w:rsidRPr="000C4FA4">
        <w:rPr>
          <w:rFonts w:asciiTheme="majorBidi" w:hAnsiTheme="majorBidi" w:cstheme="majorBidi"/>
        </w:rPr>
        <w:t xml:space="preserve">This is understood in such a way, that group of </w:t>
      </w:r>
      <w:r w:rsidR="00026814">
        <w:rPr>
          <w:rFonts w:asciiTheme="majorBidi" w:hAnsiTheme="majorBidi" w:cstheme="majorBidi"/>
        </w:rPr>
        <w:t>Classification Societies</w:t>
      </w:r>
      <w:r w:rsidR="00C03DD2" w:rsidRPr="000C4FA4">
        <w:rPr>
          <w:rFonts w:asciiTheme="majorBidi" w:hAnsiTheme="majorBidi" w:cstheme="majorBidi"/>
        </w:rPr>
        <w:t xml:space="preserve"> maintains a clean list of their Interpretations in a format that can be added easily by Secretariat at a proper place.</w:t>
      </w:r>
    </w:p>
    <w:p w14:paraId="53A02FDB" w14:textId="1AB9C35A" w:rsidR="00C03DD2" w:rsidRPr="0064061B" w:rsidRDefault="0064061B" w:rsidP="006146DC">
      <w:pPr>
        <w:pStyle w:val="HChG"/>
      </w:pPr>
      <w:r w:rsidRPr="0064061B">
        <w:rPr>
          <w:bCs/>
        </w:rPr>
        <w:tab/>
      </w:r>
      <w:r w:rsidRPr="0064061B">
        <w:rPr>
          <w:bCs/>
        </w:rPr>
        <w:tab/>
      </w:r>
      <w:r w:rsidR="00C03DD2" w:rsidRPr="0064061B">
        <w:t>Headline II</w:t>
      </w:r>
    </w:p>
    <w:p w14:paraId="21F265C9" w14:textId="0B8E49E5" w:rsidR="00C03DD2" w:rsidRPr="000C4FA4" w:rsidRDefault="00EA16E2" w:rsidP="00EA16E2">
      <w:pPr>
        <w:pStyle w:val="SingleTxtG"/>
        <w:rPr>
          <w:rFonts w:asciiTheme="majorBidi" w:hAnsiTheme="majorBidi" w:cstheme="majorBidi"/>
        </w:rPr>
      </w:pPr>
      <w:r>
        <w:rPr>
          <w:rFonts w:asciiTheme="majorBidi" w:hAnsiTheme="majorBidi" w:cstheme="majorBidi"/>
        </w:rPr>
        <w:t>3.</w:t>
      </w:r>
      <w:r>
        <w:rPr>
          <w:rFonts w:asciiTheme="majorBidi" w:hAnsiTheme="majorBidi" w:cstheme="majorBidi"/>
        </w:rPr>
        <w:tab/>
      </w:r>
      <w:r w:rsidR="00C03DD2" w:rsidRPr="000C4FA4">
        <w:rPr>
          <w:rFonts w:asciiTheme="majorBidi" w:hAnsiTheme="majorBidi" w:cstheme="majorBidi"/>
        </w:rPr>
        <w:t xml:space="preserve">In our view, some of the following points should be subject to amendments to the ADN. </w:t>
      </w:r>
      <w:r>
        <w:rPr>
          <w:rFonts w:asciiTheme="majorBidi" w:hAnsiTheme="majorBidi" w:cstheme="majorBidi"/>
        </w:rPr>
        <w:t>S</w:t>
      </w:r>
      <w:r w:rsidR="00C03DD2" w:rsidRPr="000C4FA4">
        <w:rPr>
          <w:rFonts w:asciiTheme="majorBidi" w:hAnsiTheme="majorBidi" w:cstheme="majorBidi"/>
        </w:rPr>
        <w:t>ee below comment to para 2.</w:t>
      </w:r>
    </w:p>
    <w:p w14:paraId="4FEF8071" w14:textId="7D1BFFBD" w:rsidR="00C03DD2" w:rsidRPr="00EA16E2" w:rsidRDefault="00EA16E2" w:rsidP="006146DC">
      <w:pPr>
        <w:pStyle w:val="HChG"/>
      </w:pPr>
      <w:r w:rsidRPr="00EA16E2">
        <w:rPr>
          <w:bCs/>
        </w:rPr>
        <w:tab/>
      </w:r>
      <w:r w:rsidRPr="00EA16E2">
        <w:rPr>
          <w:bCs/>
        </w:rPr>
        <w:tab/>
      </w:r>
      <w:r w:rsidR="00C03DD2" w:rsidRPr="00EA16E2">
        <w:t>Para</w:t>
      </w:r>
      <w:r w:rsidR="006319D6">
        <w:t>.</w:t>
      </w:r>
      <w:r w:rsidR="00C03DD2" w:rsidRPr="00EA16E2">
        <w:t xml:space="preserve"> 2</w:t>
      </w:r>
    </w:p>
    <w:p w14:paraId="742830EA" w14:textId="38363647" w:rsidR="00C03DD2" w:rsidRPr="000C4FA4" w:rsidRDefault="007827D8" w:rsidP="000C4FA4">
      <w:pPr>
        <w:pStyle w:val="SingleTxtG"/>
        <w:rPr>
          <w:rFonts w:asciiTheme="majorBidi" w:hAnsiTheme="majorBidi" w:cstheme="majorBidi"/>
        </w:rPr>
      </w:pPr>
      <w:r>
        <w:rPr>
          <w:rFonts w:asciiTheme="majorBidi" w:hAnsiTheme="majorBidi" w:cstheme="majorBidi"/>
        </w:rPr>
        <w:t>4.</w:t>
      </w:r>
      <w:r>
        <w:rPr>
          <w:rFonts w:asciiTheme="majorBidi" w:hAnsiTheme="majorBidi" w:cstheme="majorBidi"/>
        </w:rPr>
        <w:tab/>
      </w:r>
      <w:r w:rsidR="00C03DD2" w:rsidRPr="000C4FA4">
        <w:rPr>
          <w:rFonts w:asciiTheme="majorBidi" w:hAnsiTheme="majorBidi" w:cstheme="majorBidi"/>
        </w:rPr>
        <w:t xml:space="preserve">Shall this provision be valid for both existing requirements, sentence </w:t>
      </w:r>
      <w:r>
        <w:rPr>
          <w:rFonts w:asciiTheme="majorBidi" w:hAnsiTheme="majorBidi" w:cstheme="majorBidi"/>
        </w:rPr>
        <w:t>one</w:t>
      </w:r>
      <w:r w:rsidR="00C03DD2" w:rsidRPr="000C4FA4">
        <w:rPr>
          <w:rFonts w:asciiTheme="majorBidi" w:hAnsiTheme="majorBidi" w:cstheme="majorBidi"/>
        </w:rPr>
        <w:t xml:space="preserve"> and sentence </w:t>
      </w:r>
      <w:r>
        <w:rPr>
          <w:rFonts w:asciiTheme="majorBidi" w:hAnsiTheme="majorBidi" w:cstheme="majorBidi"/>
        </w:rPr>
        <w:t>two</w:t>
      </w:r>
      <w:r w:rsidR="00C03DD2" w:rsidRPr="000C4FA4">
        <w:rPr>
          <w:rFonts w:asciiTheme="majorBidi" w:hAnsiTheme="majorBidi" w:cstheme="majorBidi"/>
        </w:rPr>
        <w:t>?</w:t>
      </w:r>
    </w:p>
    <w:p w14:paraId="4909B4AA" w14:textId="12CD24B4" w:rsidR="00C03DD2" w:rsidRPr="000C4FA4" w:rsidRDefault="004B6867" w:rsidP="000C4FA4">
      <w:pPr>
        <w:pStyle w:val="SingleTxtG"/>
        <w:rPr>
          <w:rFonts w:asciiTheme="majorBidi" w:hAnsiTheme="majorBidi" w:cstheme="majorBidi"/>
        </w:rPr>
      </w:pPr>
      <w:r>
        <w:rPr>
          <w:rFonts w:asciiTheme="majorBidi" w:hAnsiTheme="majorBidi" w:cstheme="majorBidi"/>
        </w:rPr>
        <w:t>5.</w:t>
      </w:r>
      <w:r>
        <w:rPr>
          <w:rFonts w:asciiTheme="majorBidi" w:hAnsiTheme="majorBidi" w:cstheme="majorBidi"/>
        </w:rPr>
        <w:tab/>
      </w:r>
      <w:r w:rsidR="00C03DD2" w:rsidRPr="000C4FA4">
        <w:rPr>
          <w:rFonts w:asciiTheme="majorBidi" w:hAnsiTheme="majorBidi" w:cstheme="majorBidi"/>
        </w:rPr>
        <w:t xml:space="preserve">In our view this is a case for adding a new sentence to the article of ADN as suggested by (part of) the </w:t>
      </w:r>
      <w:r w:rsidR="0031335D">
        <w:rPr>
          <w:rFonts w:asciiTheme="majorBidi" w:hAnsiTheme="majorBidi" w:cstheme="majorBidi"/>
        </w:rPr>
        <w:t xml:space="preserve">ADN </w:t>
      </w:r>
      <w:r w:rsidR="00C03DD2" w:rsidRPr="000C4FA4">
        <w:rPr>
          <w:rFonts w:asciiTheme="majorBidi" w:hAnsiTheme="majorBidi" w:cstheme="majorBidi"/>
        </w:rPr>
        <w:t>Safety Committee.</w:t>
      </w:r>
    </w:p>
    <w:p w14:paraId="1464A94A" w14:textId="77777777" w:rsidR="00C03DD2" w:rsidRPr="000C4FA4" w:rsidRDefault="00C03DD2" w:rsidP="000C4FA4">
      <w:pPr>
        <w:pStyle w:val="SingleTxtG"/>
        <w:rPr>
          <w:rFonts w:asciiTheme="majorBidi" w:hAnsiTheme="majorBidi" w:cstheme="majorBidi"/>
        </w:rPr>
      </w:pPr>
      <w:r w:rsidRPr="000C4FA4">
        <w:rPr>
          <w:rFonts w:asciiTheme="majorBidi" w:hAnsiTheme="majorBidi" w:cstheme="majorBidi"/>
        </w:rPr>
        <w:t>ECE/TRANS/WP.15/AC.2/86, 21.:</w:t>
      </w:r>
    </w:p>
    <w:p w14:paraId="74BF32F4" w14:textId="77777777" w:rsidR="00C03DD2" w:rsidRPr="000C4FA4" w:rsidRDefault="00C03DD2" w:rsidP="000C4FA4">
      <w:pPr>
        <w:pStyle w:val="SingleTxtG"/>
        <w:rPr>
          <w:rFonts w:asciiTheme="majorBidi" w:hAnsiTheme="majorBidi" w:cstheme="majorBidi"/>
        </w:rPr>
      </w:pPr>
      <w:r w:rsidRPr="000C4FA4">
        <w:rPr>
          <w:rFonts w:asciiTheme="majorBidi" w:hAnsiTheme="majorBidi" w:cstheme="majorBidi"/>
        </w:rPr>
        <w:t xml:space="preserve">“ …. A number of delegates preferred to transform some of the interpretations into amendments aimed at clarifying the text of the Regulations annexed to the ADN in the different official languages. The representative of the Recommended ADN Classification Societies invited all delegates to send him their written comments. He volunteered to prepare </w:t>
      </w:r>
      <w:r w:rsidRPr="000C4FA4">
        <w:rPr>
          <w:rFonts w:asciiTheme="majorBidi" w:hAnsiTheme="majorBidi" w:cstheme="majorBidi"/>
        </w:rPr>
        <w:lastRenderedPageBreak/>
        <w:t>for the next session in January 2024, an official document with draft amendments taking into account the comments received.”</w:t>
      </w:r>
    </w:p>
    <w:p w14:paraId="74BF8302" w14:textId="4127DC44" w:rsidR="00C03DD2" w:rsidRPr="004B6867" w:rsidRDefault="004B6867" w:rsidP="006146DC">
      <w:pPr>
        <w:pStyle w:val="HChG"/>
      </w:pPr>
      <w:r w:rsidRPr="004B6867">
        <w:rPr>
          <w:bCs/>
        </w:rPr>
        <w:tab/>
      </w:r>
      <w:r w:rsidRPr="004B6867">
        <w:rPr>
          <w:bCs/>
        </w:rPr>
        <w:tab/>
      </w:r>
      <w:r w:rsidR="00C03DD2" w:rsidRPr="004B6867">
        <w:t>Para</w:t>
      </w:r>
      <w:r w:rsidR="006319D6">
        <w:t>.</w:t>
      </w:r>
      <w:r w:rsidR="00C03DD2" w:rsidRPr="004B6867">
        <w:t xml:space="preserve"> 4</w:t>
      </w:r>
    </w:p>
    <w:p w14:paraId="30AD3274" w14:textId="6305B7E0" w:rsidR="00C03DD2" w:rsidRPr="000C4FA4" w:rsidRDefault="00004BF8" w:rsidP="000C4FA4">
      <w:pPr>
        <w:pStyle w:val="SingleTxtG"/>
        <w:rPr>
          <w:rFonts w:asciiTheme="majorBidi" w:hAnsiTheme="majorBidi" w:cstheme="majorBidi"/>
        </w:rPr>
      </w:pPr>
      <w:r>
        <w:rPr>
          <w:rFonts w:asciiTheme="majorBidi" w:hAnsiTheme="majorBidi" w:cstheme="majorBidi"/>
        </w:rPr>
        <w:t>6.</w:t>
      </w:r>
      <w:r>
        <w:rPr>
          <w:rFonts w:asciiTheme="majorBidi" w:hAnsiTheme="majorBidi" w:cstheme="majorBidi"/>
        </w:rPr>
        <w:tab/>
      </w:r>
      <w:r w:rsidR="00C03DD2" w:rsidRPr="000C4FA4">
        <w:rPr>
          <w:rFonts w:asciiTheme="majorBidi" w:hAnsiTheme="majorBidi" w:cstheme="majorBidi"/>
        </w:rPr>
        <w:t>This interpretation was not confirmed by ADN Safety Committee</w:t>
      </w:r>
      <w:r>
        <w:rPr>
          <w:rFonts w:asciiTheme="majorBidi" w:hAnsiTheme="majorBidi" w:cstheme="majorBidi"/>
        </w:rPr>
        <w:t>.</w:t>
      </w:r>
    </w:p>
    <w:p w14:paraId="7F7548E7" w14:textId="77777777" w:rsidR="00C03DD2" w:rsidRPr="000C4FA4" w:rsidRDefault="00C03DD2" w:rsidP="000C4FA4">
      <w:pPr>
        <w:pStyle w:val="SingleTxtG"/>
        <w:rPr>
          <w:rFonts w:asciiTheme="majorBidi" w:hAnsiTheme="majorBidi" w:cstheme="majorBidi"/>
        </w:rPr>
      </w:pPr>
      <w:r w:rsidRPr="000C4FA4">
        <w:rPr>
          <w:rFonts w:asciiTheme="majorBidi" w:hAnsiTheme="majorBidi" w:cstheme="majorBidi"/>
        </w:rPr>
        <w:t xml:space="preserve">ECE/TRANS/WP.15/AC.2/42 para. 54.: </w:t>
      </w:r>
    </w:p>
    <w:p w14:paraId="517AD208" w14:textId="77777777" w:rsidR="00C03DD2" w:rsidRPr="000C4FA4" w:rsidRDefault="00C03DD2" w:rsidP="000C4FA4">
      <w:pPr>
        <w:pStyle w:val="SingleTxtG"/>
        <w:rPr>
          <w:rFonts w:asciiTheme="majorBidi" w:hAnsiTheme="majorBidi" w:cstheme="majorBidi"/>
          <w:lang w:val="en-US"/>
        </w:rPr>
      </w:pPr>
      <w:r w:rsidRPr="000C4FA4">
        <w:rPr>
          <w:rFonts w:asciiTheme="majorBidi" w:hAnsiTheme="majorBidi" w:cstheme="majorBidi"/>
        </w:rPr>
        <w:t>“</w:t>
      </w:r>
      <w:r w:rsidRPr="000C4FA4">
        <w:rPr>
          <w:rFonts w:asciiTheme="majorBidi" w:hAnsiTheme="majorBidi" w:cstheme="majorBidi"/>
          <w:lang w:val="en-US"/>
        </w:rPr>
        <w:t>the Safety Committee indicated that even if the vessel has not been constructed under the supervision of a classification society, it could be considered that it met the construction requirements for classification in the highest class if it could be proved that the technical requirements of the Regulations annexed to ADN had been satisfied. This question could be dealt with in greater depth provided that the problem was spelled out in more detail.”.</w:t>
      </w:r>
    </w:p>
    <w:p w14:paraId="5D618292" w14:textId="052A1ABF" w:rsidR="00C03DD2" w:rsidRPr="00004BF8" w:rsidRDefault="00004BF8" w:rsidP="006146DC">
      <w:pPr>
        <w:pStyle w:val="HChG"/>
      </w:pPr>
      <w:r w:rsidRPr="00004BF8">
        <w:rPr>
          <w:bCs/>
        </w:rPr>
        <w:tab/>
      </w:r>
      <w:r w:rsidRPr="00004BF8">
        <w:rPr>
          <w:bCs/>
        </w:rPr>
        <w:tab/>
      </w:r>
      <w:r w:rsidR="00C03DD2" w:rsidRPr="00004BF8">
        <w:t>Para</w:t>
      </w:r>
      <w:r w:rsidR="006319D6">
        <w:t>.</w:t>
      </w:r>
      <w:r w:rsidR="00C03DD2" w:rsidRPr="00004BF8">
        <w:t xml:space="preserve"> 5</w:t>
      </w:r>
    </w:p>
    <w:p w14:paraId="6B2AAAD2" w14:textId="51003A95" w:rsidR="00C03DD2" w:rsidRPr="000C4FA4" w:rsidRDefault="00004BF8" w:rsidP="000C4FA4">
      <w:pPr>
        <w:pStyle w:val="SingleTxtG"/>
        <w:rPr>
          <w:rFonts w:asciiTheme="majorBidi" w:hAnsiTheme="majorBidi" w:cstheme="majorBidi"/>
        </w:rPr>
      </w:pPr>
      <w:r>
        <w:rPr>
          <w:rFonts w:asciiTheme="majorBidi" w:hAnsiTheme="majorBidi" w:cstheme="majorBidi"/>
        </w:rPr>
        <w:t>7.</w:t>
      </w:r>
      <w:r>
        <w:rPr>
          <w:rFonts w:asciiTheme="majorBidi" w:hAnsiTheme="majorBidi" w:cstheme="majorBidi"/>
        </w:rPr>
        <w:tab/>
      </w:r>
      <w:r w:rsidR="00C03DD2" w:rsidRPr="000C4FA4">
        <w:rPr>
          <w:rFonts w:asciiTheme="majorBidi" w:hAnsiTheme="majorBidi" w:cstheme="majorBidi"/>
        </w:rPr>
        <w:t>Because this goes far beyond the wording of the article, it should be included in the regulation.</w:t>
      </w:r>
    </w:p>
    <w:p w14:paraId="0D2D1BAB" w14:textId="40DBDEEC" w:rsidR="00C03DD2" w:rsidRPr="00004BF8" w:rsidRDefault="00004BF8" w:rsidP="006146DC">
      <w:pPr>
        <w:pStyle w:val="HChG"/>
      </w:pPr>
      <w:r w:rsidRPr="00004BF8">
        <w:rPr>
          <w:bCs/>
        </w:rPr>
        <w:tab/>
      </w:r>
      <w:r w:rsidRPr="00004BF8">
        <w:rPr>
          <w:bCs/>
        </w:rPr>
        <w:tab/>
      </w:r>
      <w:r w:rsidR="00C03DD2" w:rsidRPr="00004BF8">
        <w:t>Para</w:t>
      </w:r>
      <w:r w:rsidR="006319D6">
        <w:t>.</w:t>
      </w:r>
      <w:r w:rsidR="00C03DD2" w:rsidRPr="00004BF8">
        <w:t xml:space="preserve"> 6, first proposal</w:t>
      </w:r>
    </w:p>
    <w:p w14:paraId="72733C7C" w14:textId="6D6BE5D6" w:rsidR="00C03DD2" w:rsidRPr="000C4FA4" w:rsidRDefault="00004BF8" w:rsidP="000C4FA4">
      <w:pPr>
        <w:pStyle w:val="SingleTxtG"/>
        <w:rPr>
          <w:rFonts w:asciiTheme="majorBidi" w:hAnsiTheme="majorBidi" w:cstheme="majorBidi"/>
        </w:rPr>
      </w:pPr>
      <w:r>
        <w:rPr>
          <w:rFonts w:asciiTheme="majorBidi" w:hAnsiTheme="majorBidi" w:cstheme="majorBidi"/>
        </w:rPr>
        <w:t>8.</w:t>
      </w:r>
      <w:r>
        <w:rPr>
          <w:rFonts w:asciiTheme="majorBidi" w:hAnsiTheme="majorBidi" w:cstheme="majorBidi"/>
        </w:rPr>
        <w:tab/>
      </w:r>
      <w:r w:rsidR="00C03DD2" w:rsidRPr="000C4FA4">
        <w:rPr>
          <w:rFonts w:asciiTheme="majorBidi" w:hAnsiTheme="majorBidi" w:cstheme="majorBidi"/>
        </w:rPr>
        <w:t xml:space="preserve">Different statement above from the report of the group and as given by </w:t>
      </w:r>
      <w:r w:rsidR="006319D6">
        <w:rPr>
          <w:rFonts w:asciiTheme="majorBidi" w:hAnsiTheme="majorBidi" w:cstheme="majorBidi"/>
        </w:rPr>
        <w:t xml:space="preserve">the </w:t>
      </w:r>
      <w:r w:rsidR="00C03DD2" w:rsidRPr="000C4FA4">
        <w:rPr>
          <w:rFonts w:asciiTheme="majorBidi" w:hAnsiTheme="majorBidi" w:cstheme="majorBidi"/>
        </w:rPr>
        <w:t>ADN</w:t>
      </w:r>
      <w:r w:rsidR="006319D6">
        <w:rPr>
          <w:rFonts w:asciiTheme="majorBidi" w:hAnsiTheme="majorBidi" w:cstheme="majorBidi"/>
        </w:rPr>
        <w:t xml:space="preserve"> </w:t>
      </w:r>
      <w:r w:rsidR="00C03DD2" w:rsidRPr="000C4FA4">
        <w:rPr>
          <w:rFonts w:asciiTheme="majorBidi" w:hAnsiTheme="majorBidi" w:cstheme="majorBidi"/>
        </w:rPr>
        <w:t xml:space="preserve">Safety Committee: ECE/TRANS/WP.15/AC.2/46, para. 72: </w:t>
      </w:r>
    </w:p>
    <w:p w14:paraId="49E454BC" w14:textId="77777777" w:rsidR="00C03DD2" w:rsidRPr="000C4FA4" w:rsidRDefault="00C03DD2" w:rsidP="000C4FA4">
      <w:pPr>
        <w:pStyle w:val="SingleTxtG"/>
        <w:rPr>
          <w:rFonts w:asciiTheme="majorBidi" w:hAnsiTheme="majorBidi" w:cstheme="majorBidi"/>
          <w:lang w:val="en-US"/>
        </w:rPr>
      </w:pPr>
      <w:r w:rsidRPr="000C4FA4">
        <w:rPr>
          <w:rFonts w:asciiTheme="majorBidi" w:hAnsiTheme="majorBidi" w:cstheme="majorBidi"/>
        </w:rPr>
        <w:t xml:space="preserve">“The Safety Committee confirmed the interpretations proposed in paragraphs 6 (a) and (g), namely </w:t>
      </w:r>
      <w:proofErr w:type="spellStart"/>
      <w:r w:rsidRPr="000C4FA4">
        <w:rPr>
          <w:rFonts w:asciiTheme="majorBidi" w:hAnsiTheme="majorBidi" w:cstheme="majorBidi"/>
        </w:rPr>
        <w:t>tha</w:t>
      </w:r>
      <w:proofErr w:type="spellEnd"/>
      <w:r w:rsidRPr="000C4FA4">
        <w:rPr>
          <w:rFonts w:asciiTheme="majorBidi" w:hAnsiTheme="majorBidi" w:cstheme="majorBidi"/>
          <w:lang w:val="en-US"/>
        </w:rPr>
        <w:t>t a stability booklet can be issued for 3 or 4 different densities, otherwise a loading instrument has to be installed on board”</w:t>
      </w:r>
    </w:p>
    <w:p w14:paraId="54C21462" w14:textId="77777777" w:rsidR="00C03DD2" w:rsidRPr="000C4FA4" w:rsidRDefault="00C03DD2" w:rsidP="000C4FA4">
      <w:pPr>
        <w:pStyle w:val="SingleTxtG"/>
        <w:rPr>
          <w:rFonts w:asciiTheme="majorBidi" w:hAnsiTheme="majorBidi" w:cstheme="majorBidi"/>
          <w:lang w:val="en-US"/>
        </w:rPr>
      </w:pPr>
      <w:r w:rsidRPr="000C4FA4">
        <w:rPr>
          <w:rFonts w:asciiTheme="majorBidi" w:hAnsiTheme="majorBidi" w:cstheme="majorBidi"/>
          <w:lang w:val="en-US"/>
        </w:rPr>
        <w:t>“Not more than” could be understood as 1 or 2 as well.</w:t>
      </w:r>
    </w:p>
    <w:p w14:paraId="4BFBF553" w14:textId="0C7D74E9" w:rsidR="00C03DD2" w:rsidRPr="00004BF8" w:rsidRDefault="00004BF8" w:rsidP="006146DC">
      <w:pPr>
        <w:pStyle w:val="HChG"/>
      </w:pPr>
      <w:r w:rsidRPr="00004BF8">
        <w:rPr>
          <w:bCs/>
        </w:rPr>
        <w:tab/>
      </w:r>
      <w:r w:rsidRPr="00004BF8">
        <w:rPr>
          <w:bCs/>
        </w:rPr>
        <w:tab/>
      </w:r>
      <w:r w:rsidR="00C03DD2" w:rsidRPr="00004BF8">
        <w:t>Para</w:t>
      </w:r>
      <w:r w:rsidR="006319D6">
        <w:t>.</w:t>
      </w:r>
      <w:r w:rsidR="00C03DD2" w:rsidRPr="00004BF8">
        <w:t xml:space="preserve"> 6, second proposal</w:t>
      </w:r>
    </w:p>
    <w:p w14:paraId="2DDB2DB4" w14:textId="01633933" w:rsidR="00C03DD2" w:rsidRPr="000C4FA4" w:rsidRDefault="00004BF8" w:rsidP="000C4FA4">
      <w:pPr>
        <w:pStyle w:val="SingleTxtG"/>
        <w:rPr>
          <w:rFonts w:asciiTheme="majorBidi" w:hAnsiTheme="majorBidi" w:cstheme="majorBidi"/>
        </w:rPr>
      </w:pPr>
      <w:r>
        <w:rPr>
          <w:rFonts w:asciiTheme="majorBidi" w:hAnsiTheme="majorBidi" w:cstheme="majorBidi"/>
        </w:rPr>
        <w:t>9.</w:t>
      </w:r>
      <w:r>
        <w:rPr>
          <w:rFonts w:asciiTheme="majorBidi" w:hAnsiTheme="majorBidi" w:cstheme="majorBidi"/>
        </w:rPr>
        <w:tab/>
      </w:r>
      <w:r w:rsidR="00C03DD2" w:rsidRPr="000C4FA4">
        <w:rPr>
          <w:rFonts w:asciiTheme="majorBidi" w:hAnsiTheme="majorBidi" w:cstheme="majorBidi"/>
        </w:rPr>
        <w:t xml:space="preserve">Different wording to what ADN Safety Committee confirmed: </w:t>
      </w:r>
    </w:p>
    <w:p w14:paraId="4C75197F" w14:textId="77777777" w:rsidR="00C03DD2" w:rsidRPr="000C4FA4" w:rsidRDefault="00C03DD2" w:rsidP="000C4FA4">
      <w:pPr>
        <w:pStyle w:val="SingleTxtG"/>
        <w:rPr>
          <w:rFonts w:asciiTheme="majorBidi" w:hAnsiTheme="majorBidi" w:cstheme="majorBidi"/>
          <w:lang w:val="en-US"/>
        </w:rPr>
      </w:pPr>
      <w:r w:rsidRPr="000C4FA4">
        <w:rPr>
          <w:rFonts w:asciiTheme="majorBidi" w:hAnsiTheme="majorBidi" w:cstheme="majorBidi"/>
        </w:rPr>
        <w:t>“</w:t>
      </w:r>
      <w:r w:rsidRPr="000C4FA4">
        <w:rPr>
          <w:rFonts w:asciiTheme="majorBidi" w:hAnsiTheme="majorBidi" w:cstheme="majorBidi"/>
          <w:lang w:val="en-US"/>
        </w:rPr>
        <w:t>and that regarding firefighting installations, non-return valves cannot be installed in service spaces, accommodation or engine rooms and shall be installed outside the protected area (9.3.X.40.1).”</w:t>
      </w:r>
    </w:p>
    <w:p w14:paraId="55BD6D88" w14:textId="77777777" w:rsidR="00C03DD2" w:rsidRPr="000C4FA4" w:rsidRDefault="00C03DD2" w:rsidP="000C4FA4">
      <w:pPr>
        <w:pStyle w:val="SingleTxtG"/>
        <w:rPr>
          <w:rFonts w:asciiTheme="majorBidi" w:hAnsiTheme="majorBidi" w:cstheme="majorBidi"/>
          <w:lang w:val="en-US"/>
        </w:rPr>
      </w:pPr>
      <w:r w:rsidRPr="000C4FA4">
        <w:rPr>
          <w:rFonts w:asciiTheme="majorBidi" w:hAnsiTheme="majorBidi" w:cstheme="majorBidi"/>
          <w:lang w:val="en-US"/>
        </w:rPr>
        <w:t>“Protected area” (see 1.2.1?) vs. “area which need to be protected.”</w:t>
      </w:r>
    </w:p>
    <w:p w14:paraId="6496D59D" w14:textId="1721EEA7" w:rsidR="00C03DD2" w:rsidRPr="004B4B89" w:rsidRDefault="004B4B89" w:rsidP="006146DC">
      <w:pPr>
        <w:pStyle w:val="HChG"/>
      </w:pPr>
      <w:r w:rsidRPr="004B4B89">
        <w:rPr>
          <w:bCs/>
        </w:rPr>
        <w:tab/>
      </w:r>
      <w:r w:rsidRPr="004B4B89">
        <w:rPr>
          <w:bCs/>
        </w:rPr>
        <w:tab/>
      </w:r>
      <w:r w:rsidR="00C03DD2" w:rsidRPr="004B4B89">
        <w:t>Para</w:t>
      </w:r>
      <w:r w:rsidR="006319D6">
        <w:t>.</w:t>
      </w:r>
      <w:r w:rsidR="00C03DD2" w:rsidRPr="004B4B89">
        <w:t xml:space="preserve"> 8, first proposal</w:t>
      </w:r>
    </w:p>
    <w:p w14:paraId="2397A365" w14:textId="2314A8C5" w:rsidR="00C03DD2" w:rsidRPr="000C4FA4" w:rsidRDefault="004B4B89" w:rsidP="000C4FA4">
      <w:pPr>
        <w:pStyle w:val="SingleTxtG"/>
        <w:rPr>
          <w:rFonts w:asciiTheme="majorBidi" w:hAnsiTheme="majorBidi" w:cstheme="majorBidi"/>
        </w:rPr>
      </w:pPr>
      <w:r>
        <w:rPr>
          <w:rFonts w:asciiTheme="majorBidi" w:hAnsiTheme="majorBidi" w:cstheme="majorBidi"/>
        </w:rPr>
        <w:t>10.</w:t>
      </w:r>
      <w:r>
        <w:rPr>
          <w:rFonts w:asciiTheme="majorBidi" w:hAnsiTheme="majorBidi" w:cstheme="majorBidi"/>
        </w:rPr>
        <w:tab/>
      </w:r>
      <w:r w:rsidR="00C03DD2" w:rsidRPr="000C4FA4">
        <w:rPr>
          <w:rFonts w:asciiTheme="majorBidi" w:hAnsiTheme="majorBidi" w:cstheme="majorBidi"/>
        </w:rPr>
        <w:t>Current 9.3.x.11.2 (a) does not mention a “face plate”:</w:t>
      </w:r>
    </w:p>
    <w:p w14:paraId="46BB46A2" w14:textId="514E422A" w:rsidR="00C03DD2" w:rsidRPr="000C4FA4" w:rsidRDefault="00C03DD2" w:rsidP="004B4B89">
      <w:pPr>
        <w:pStyle w:val="SingleTxtG"/>
        <w:rPr>
          <w:rFonts w:asciiTheme="majorBidi" w:hAnsiTheme="majorBidi" w:cstheme="majorBidi"/>
        </w:rPr>
      </w:pPr>
      <w:r w:rsidRPr="000C4FA4">
        <w:rPr>
          <w:rFonts w:asciiTheme="majorBidi" w:hAnsiTheme="majorBidi" w:cstheme="majorBidi"/>
        </w:rPr>
        <w:t>“In the cargo area (except cofferdams) the vessel shall be designed as a flush–deck double-hull vessel, with double-hull spaces and double bottoms, but without a trunk;</w:t>
      </w:r>
    </w:p>
    <w:p w14:paraId="19918481" w14:textId="77777777" w:rsidR="00C03DD2" w:rsidRPr="000C4FA4" w:rsidRDefault="00C03DD2" w:rsidP="000C4FA4">
      <w:pPr>
        <w:pStyle w:val="SingleTxtG"/>
        <w:rPr>
          <w:rFonts w:asciiTheme="majorBidi" w:hAnsiTheme="majorBidi" w:cstheme="majorBidi"/>
        </w:rPr>
      </w:pPr>
      <w:r w:rsidRPr="000C4FA4">
        <w:rPr>
          <w:rFonts w:asciiTheme="majorBidi" w:hAnsiTheme="majorBidi" w:cstheme="majorBidi"/>
        </w:rPr>
        <w:t>Cargo tanks independent of the vessel’s hull and refrigerated cargo tanks may only be installed in a hold space which is bounded by double-hull spaces and double bottoms in accordance with 9.3.2.11.8 below. The cargo tanks shall not extend beyond the deck;”.</w:t>
      </w:r>
    </w:p>
    <w:p w14:paraId="351D01B8" w14:textId="76F1F9CA" w:rsidR="00C03DD2" w:rsidRPr="004B4B89" w:rsidRDefault="004B4B89" w:rsidP="006146DC">
      <w:pPr>
        <w:pStyle w:val="HChG"/>
        <w:pageBreakBefore/>
      </w:pPr>
      <w:r w:rsidRPr="004B4B89">
        <w:rPr>
          <w:bCs/>
        </w:rPr>
        <w:lastRenderedPageBreak/>
        <w:tab/>
      </w:r>
      <w:r w:rsidRPr="004B4B89">
        <w:rPr>
          <w:bCs/>
        </w:rPr>
        <w:tab/>
      </w:r>
      <w:r w:rsidR="00C03DD2" w:rsidRPr="004B4B89">
        <w:t>Para</w:t>
      </w:r>
      <w:r w:rsidR="006319D6">
        <w:t>.</w:t>
      </w:r>
      <w:r w:rsidR="00C03DD2" w:rsidRPr="004B4B89">
        <w:t xml:space="preserve"> 11</w:t>
      </w:r>
    </w:p>
    <w:p w14:paraId="51C379E3" w14:textId="172BD7AF" w:rsidR="00C03DD2" w:rsidRPr="000C4FA4" w:rsidRDefault="00CF7D21" w:rsidP="000C4FA4">
      <w:pPr>
        <w:pStyle w:val="SingleTxtG"/>
        <w:rPr>
          <w:rFonts w:asciiTheme="majorBidi" w:hAnsiTheme="majorBidi" w:cstheme="majorBidi"/>
        </w:rPr>
      </w:pPr>
      <w:r>
        <w:rPr>
          <w:rFonts w:asciiTheme="majorBidi" w:hAnsiTheme="majorBidi" w:cstheme="majorBidi"/>
        </w:rPr>
        <w:t>11.</w:t>
      </w:r>
      <w:r>
        <w:rPr>
          <w:rFonts w:asciiTheme="majorBidi" w:hAnsiTheme="majorBidi" w:cstheme="majorBidi"/>
        </w:rPr>
        <w:tab/>
      </w:r>
      <w:r w:rsidR="00C03DD2" w:rsidRPr="000C4FA4">
        <w:rPr>
          <w:rFonts w:asciiTheme="majorBidi" w:hAnsiTheme="majorBidi" w:cstheme="majorBidi"/>
        </w:rPr>
        <w:t>In our understanding, this does not cover in total what was said by ADN</w:t>
      </w:r>
      <w:r w:rsidR="006319D6">
        <w:rPr>
          <w:rFonts w:asciiTheme="majorBidi" w:hAnsiTheme="majorBidi" w:cstheme="majorBidi"/>
        </w:rPr>
        <w:t xml:space="preserve"> </w:t>
      </w:r>
      <w:r w:rsidR="00C03DD2" w:rsidRPr="000C4FA4">
        <w:rPr>
          <w:rFonts w:asciiTheme="majorBidi" w:hAnsiTheme="majorBidi" w:cstheme="majorBidi"/>
        </w:rPr>
        <w:t>Safety Committee, ECE/TRANS/WP.15/AC.2/82, para. 16</w:t>
      </w:r>
      <w:r w:rsidR="00C0054B">
        <w:rPr>
          <w:rFonts w:asciiTheme="majorBidi" w:hAnsiTheme="majorBidi" w:cstheme="majorBidi"/>
        </w:rPr>
        <w:t>:</w:t>
      </w:r>
    </w:p>
    <w:p w14:paraId="3D3502BA" w14:textId="77777777" w:rsidR="00C03DD2" w:rsidRPr="000C4FA4" w:rsidRDefault="00C03DD2" w:rsidP="000C4FA4">
      <w:pPr>
        <w:pStyle w:val="SingleTxtG"/>
        <w:rPr>
          <w:rFonts w:asciiTheme="majorBidi" w:hAnsiTheme="majorBidi" w:cstheme="majorBidi"/>
          <w:b/>
          <w:bCs/>
        </w:rPr>
      </w:pPr>
      <w:r w:rsidRPr="000C4FA4">
        <w:rPr>
          <w:rFonts w:asciiTheme="majorBidi" w:hAnsiTheme="majorBidi" w:cstheme="majorBidi"/>
          <w:b/>
          <w:bCs/>
        </w:rPr>
        <w:t>“9.3.4.1.1</w:t>
      </w:r>
    </w:p>
    <w:p w14:paraId="35B67AC1" w14:textId="77777777" w:rsidR="00C03DD2" w:rsidRPr="000C4FA4" w:rsidRDefault="00C03DD2" w:rsidP="000C4FA4">
      <w:pPr>
        <w:pStyle w:val="SingleTxtG"/>
        <w:rPr>
          <w:rFonts w:asciiTheme="majorBidi" w:hAnsiTheme="majorBidi" w:cstheme="majorBidi"/>
          <w:noProof/>
        </w:rPr>
      </w:pPr>
      <w:r w:rsidRPr="000C4FA4">
        <w:rPr>
          <w:rFonts w:asciiTheme="majorBidi" w:hAnsiTheme="majorBidi" w:cstheme="majorBidi"/>
        </w:rPr>
        <w:t>In 9.3.4.1.1 it is mentioned that the maximum allowable tank capacity may exceed the values as given in 9.3.x.11.1, and the minimum distances given in 9.3.1.11.2(a) and 9.3.2.11.7 may be deviated from provided the requirements of 9.3.4 are being complied with. The calculations as mentioned in 9.3.4.1.1 may be used for all ship sizes.”.</w:t>
      </w:r>
    </w:p>
    <w:p w14:paraId="1495389A" w14:textId="727EA6D1" w:rsidR="00C03DD2" w:rsidRPr="00C0054B" w:rsidRDefault="00C0054B" w:rsidP="006146DC">
      <w:pPr>
        <w:pStyle w:val="HChG"/>
      </w:pPr>
      <w:r w:rsidRPr="00C0054B">
        <w:rPr>
          <w:bCs/>
        </w:rPr>
        <w:tab/>
      </w:r>
      <w:r w:rsidRPr="00C0054B">
        <w:rPr>
          <w:bCs/>
        </w:rPr>
        <w:tab/>
      </w:r>
      <w:r w:rsidR="00C03DD2" w:rsidRPr="00C0054B">
        <w:t>After para</w:t>
      </w:r>
      <w:r w:rsidR="006319D6">
        <w:t>.</w:t>
      </w:r>
      <w:r w:rsidR="00C03DD2" w:rsidRPr="00C0054B">
        <w:t xml:space="preserve"> 12</w:t>
      </w:r>
    </w:p>
    <w:p w14:paraId="65EA3894" w14:textId="728EE0DA" w:rsidR="00C03DD2" w:rsidRPr="000C4FA4" w:rsidRDefault="00C0054B" w:rsidP="000C4FA4">
      <w:pPr>
        <w:pStyle w:val="SingleTxtG"/>
        <w:rPr>
          <w:rFonts w:asciiTheme="majorBidi" w:hAnsiTheme="majorBidi" w:cstheme="majorBidi"/>
        </w:rPr>
      </w:pPr>
      <w:r>
        <w:rPr>
          <w:rFonts w:asciiTheme="majorBidi" w:hAnsiTheme="majorBidi" w:cstheme="majorBidi"/>
        </w:rPr>
        <w:t>12.</w:t>
      </w:r>
      <w:r>
        <w:rPr>
          <w:rFonts w:asciiTheme="majorBidi" w:hAnsiTheme="majorBidi" w:cstheme="majorBidi"/>
        </w:rPr>
        <w:tab/>
      </w:r>
      <w:r w:rsidR="00C03DD2" w:rsidRPr="000C4FA4">
        <w:rPr>
          <w:rFonts w:asciiTheme="majorBidi" w:hAnsiTheme="majorBidi" w:cstheme="majorBidi"/>
        </w:rPr>
        <w:t>Any consideration on the pending task in ECE/TRANS/WP.15/AC.2/82, para. 17 is missing.</w:t>
      </w:r>
    </w:p>
    <w:p w14:paraId="67E82CA2" w14:textId="77777777" w:rsidR="00C03DD2" w:rsidRPr="000C4FA4" w:rsidRDefault="00C03DD2" w:rsidP="000C4FA4">
      <w:pPr>
        <w:pStyle w:val="SingleTxtG"/>
        <w:rPr>
          <w:rFonts w:asciiTheme="majorBidi" w:hAnsiTheme="majorBidi" w:cstheme="majorBidi"/>
        </w:rPr>
      </w:pPr>
      <w:r w:rsidRPr="000C4FA4">
        <w:rPr>
          <w:rFonts w:asciiTheme="majorBidi" w:hAnsiTheme="majorBidi" w:cstheme="majorBidi"/>
        </w:rPr>
        <w:t>“17.</w:t>
      </w:r>
      <w:r w:rsidRPr="000C4FA4">
        <w:rPr>
          <w:rFonts w:asciiTheme="majorBidi" w:hAnsiTheme="majorBidi" w:cstheme="majorBidi"/>
        </w:rPr>
        <w:tab/>
        <w:t>… A proposal to add references to the interpretations in the relevant parts of the ADN or to add interpretations as footnotes would also be discussed.”.</w:t>
      </w:r>
    </w:p>
    <w:p w14:paraId="4EE7D175" w14:textId="6C59CE27" w:rsidR="001C6663" w:rsidRPr="00C03DD2" w:rsidRDefault="00C03DD2" w:rsidP="00C03DD2">
      <w:pPr>
        <w:spacing w:before="240"/>
        <w:jc w:val="center"/>
        <w:rPr>
          <w:u w:val="single"/>
        </w:rPr>
      </w:pPr>
      <w:r>
        <w:rPr>
          <w:u w:val="single"/>
        </w:rPr>
        <w:tab/>
      </w:r>
      <w:r>
        <w:rPr>
          <w:u w:val="single"/>
        </w:rPr>
        <w:tab/>
      </w:r>
      <w:r>
        <w:rPr>
          <w:u w:val="single"/>
        </w:rPr>
        <w:tab/>
      </w:r>
    </w:p>
    <w:sectPr w:rsidR="001C6663" w:rsidRPr="00C03DD2" w:rsidSect="003002FB">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C768" w14:textId="77777777" w:rsidR="009B41EA" w:rsidRDefault="009B41EA"/>
  </w:endnote>
  <w:endnote w:type="continuationSeparator" w:id="0">
    <w:p w14:paraId="6F01CC95" w14:textId="77777777" w:rsidR="009B41EA" w:rsidRDefault="009B41EA"/>
  </w:endnote>
  <w:endnote w:type="continuationNotice" w:id="1">
    <w:p w14:paraId="66385584" w14:textId="77777777" w:rsidR="009B41EA" w:rsidRDefault="009B4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0C42" w14:textId="772F05F2" w:rsidR="003002FB" w:rsidRPr="003002FB" w:rsidRDefault="003002FB" w:rsidP="003002FB">
    <w:pPr>
      <w:pStyle w:val="Footer"/>
      <w:tabs>
        <w:tab w:val="right" w:pos="9638"/>
      </w:tabs>
      <w:rPr>
        <w:sz w:val="18"/>
      </w:rPr>
    </w:pP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2</w:t>
    </w:r>
    <w:r w:rsidRPr="003002F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FD3" w14:textId="6779C470" w:rsidR="003002FB" w:rsidRPr="003002FB" w:rsidRDefault="003002FB" w:rsidP="003002FB">
    <w:pPr>
      <w:pStyle w:val="Footer"/>
      <w:tabs>
        <w:tab w:val="right" w:pos="9638"/>
      </w:tabs>
      <w:rPr>
        <w:b/>
        <w:sz w:val="18"/>
      </w:rPr>
    </w:pPr>
    <w:r>
      <w:tab/>
    </w: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3</w:t>
    </w:r>
    <w:r w:rsidRPr="003002F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20DA" w14:textId="77777777" w:rsidR="009B41EA" w:rsidRPr="000B175B" w:rsidRDefault="009B41EA" w:rsidP="000B175B">
      <w:pPr>
        <w:tabs>
          <w:tab w:val="right" w:pos="2155"/>
        </w:tabs>
        <w:spacing w:after="80"/>
        <w:ind w:left="680"/>
        <w:rPr>
          <w:u w:val="single"/>
        </w:rPr>
      </w:pPr>
      <w:r>
        <w:rPr>
          <w:u w:val="single"/>
        </w:rPr>
        <w:tab/>
      </w:r>
    </w:p>
  </w:footnote>
  <w:footnote w:type="continuationSeparator" w:id="0">
    <w:p w14:paraId="7D7A06EF" w14:textId="77777777" w:rsidR="009B41EA" w:rsidRPr="00FC68B7" w:rsidRDefault="009B41EA" w:rsidP="00FC68B7">
      <w:pPr>
        <w:tabs>
          <w:tab w:val="left" w:pos="2155"/>
        </w:tabs>
        <w:spacing w:after="80"/>
        <w:ind w:left="680"/>
        <w:rPr>
          <w:u w:val="single"/>
        </w:rPr>
      </w:pPr>
      <w:r>
        <w:rPr>
          <w:u w:val="single"/>
        </w:rPr>
        <w:tab/>
      </w:r>
    </w:p>
  </w:footnote>
  <w:footnote w:type="continuationNotice" w:id="1">
    <w:p w14:paraId="5134940B" w14:textId="77777777" w:rsidR="009B41EA" w:rsidRDefault="009B4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152A" w14:textId="2DB55DFC" w:rsidR="003002FB" w:rsidRPr="003002FB" w:rsidRDefault="006C609B">
    <w:pPr>
      <w:pStyle w:val="Header"/>
    </w:pPr>
    <w:r>
      <w:fldChar w:fldCharType="begin"/>
    </w:r>
    <w:r>
      <w:instrText xml:space="preserve"> TITLE  \* MERGEFORMAT </w:instrText>
    </w:r>
    <w:r>
      <w:fldChar w:fldCharType="separate"/>
    </w:r>
    <w:r>
      <w:t>INF.4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6D33" w14:textId="2AD061AA" w:rsidR="003002FB" w:rsidRPr="003002FB" w:rsidRDefault="006C609B" w:rsidP="003002FB">
    <w:pPr>
      <w:pStyle w:val="Header"/>
      <w:jc w:val="right"/>
    </w:pPr>
    <w:r>
      <w:fldChar w:fldCharType="begin"/>
    </w:r>
    <w:r>
      <w:instrText xml:space="preserve"> TITLE  \* MERGEFORMAT </w:instrText>
    </w:r>
    <w:r>
      <w:fldChar w:fldCharType="separate"/>
    </w:r>
    <w:r>
      <w:t>INF.4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EF0C6A"/>
    <w:multiLevelType w:val="hybridMultilevel"/>
    <w:tmpl w:val="1086317A"/>
    <w:lvl w:ilvl="0" w:tplc="FD8A1A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8643885">
    <w:abstractNumId w:val="1"/>
  </w:num>
  <w:num w:numId="2" w16cid:durableId="1787195600">
    <w:abstractNumId w:val="0"/>
  </w:num>
  <w:num w:numId="3" w16cid:durableId="1141538703">
    <w:abstractNumId w:val="2"/>
  </w:num>
  <w:num w:numId="4" w16cid:durableId="717630327">
    <w:abstractNumId w:val="3"/>
  </w:num>
  <w:num w:numId="5" w16cid:durableId="1181238899">
    <w:abstractNumId w:val="8"/>
  </w:num>
  <w:num w:numId="6" w16cid:durableId="680670095">
    <w:abstractNumId w:val="9"/>
  </w:num>
  <w:num w:numId="7" w16cid:durableId="807822310">
    <w:abstractNumId w:val="7"/>
  </w:num>
  <w:num w:numId="8" w16cid:durableId="2105035544">
    <w:abstractNumId w:val="6"/>
  </w:num>
  <w:num w:numId="9" w16cid:durableId="1745369578">
    <w:abstractNumId w:val="5"/>
  </w:num>
  <w:num w:numId="10" w16cid:durableId="1677996801">
    <w:abstractNumId w:val="4"/>
  </w:num>
  <w:num w:numId="11" w16cid:durableId="42144272">
    <w:abstractNumId w:val="16"/>
  </w:num>
  <w:num w:numId="12" w16cid:durableId="1785151030">
    <w:abstractNumId w:val="15"/>
  </w:num>
  <w:num w:numId="13" w16cid:durableId="2121685932">
    <w:abstractNumId w:val="10"/>
  </w:num>
  <w:num w:numId="14" w16cid:durableId="562789583">
    <w:abstractNumId w:val="13"/>
  </w:num>
  <w:num w:numId="15" w16cid:durableId="813135858">
    <w:abstractNumId w:val="17"/>
  </w:num>
  <w:num w:numId="16" w16cid:durableId="1668898803">
    <w:abstractNumId w:val="14"/>
  </w:num>
  <w:num w:numId="17" w16cid:durableId="178157749">
    <w:abstractNumId w:val="18"/>
  </w:num>
  <w:num w:numId="18" w16cid:durableId="1401365926">
    <w:abstractNumId w:val="19"/>
  </w:num>
  <w:num w:numId="19" w16cid:durableId="1636909594">
    <w:abstractNumId w:val="11"/>
  </w:num>
  <w:num w:numId="20" w16cid:durableId="979072596">
    <w:abstractNumId w:val="11"/>
  </w:num>
  <w:num w:numId="21" w16cid:durableId="16174649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FB"/>
    <w:rsid w:val="00002A7D"/>
    <w:rsid w:val="000038A8"/>
    <w:rsid w:val="00004BF8"/>
    <w:rsid w:val="00006790"/>
    <w:rsid w:val="00026814"/>
    <w:rsid w:val="00027624"/>
    <w:rsid w:val="00050F6B"/>
    <w:rsid w:val="000521DE"/>
    <w:rsid w:val="000678CD"/>
    <w:rsid w:val="00072C8C"/>
    <w:rsid w:val="00081CE0"/>
    <w:rsid w:val="00084D30"/>
    <w:rsid w:val="00090320"/>
    <w:rsid w:val="000931C0"/>
    <w:rsid w:val="0009732C"/>
    <w:rsid w:val="000A01F9"/>
    <w:rsid w:val="000A2E09"/>
    <w:rsid w:val="000B175B"/>
    <w:rsid w:val="000B3A0F"/>
    <w:rsid w:val="000C4FA4"/>
    <w:rsid w:val="000E0415"/>
    <w:rsid w:val="000F7715"/>
    <w:rsid w:val="00156B99"/>
    <w:rsid w:val="00166124"/>
    <w:rsid w:val="00184DDA"/>
    <w:rsid w:val="001900CD"/>
    <w:rsid w:val="001A0452"/>
    <w:rsid w:val="001B4B04"/>
    <w:rsid w:val="001B5875"/>
    <w:rsid w:val="001C29A8"/>
    <w:rsid w:val="001C4B9C"/>
    <w:rsid w:val="001C6663"/>
    <w:rsid w:val="001C7895"/>
    <w:rsid w:val="001D26DF"/>
    <w:rsid w:val="001E555D"/>
    <w:rsid w:val="001F1599"/>
    <w:rsid w:val="001F19C4"/>
    <w:rsid w:val="002043F0"/>
    <w:rsid w:val="00211E0B"/>
    <w:rsid w:val="00223715"/>
    <w:rsid w:val="00232575"/>
    <w:rsid w:val="00247258"/>
    <w:rsid w:val="00257CAC"/>
    <w:rsid w:val="00264441"/>
    <w:rsid w:val="0027237A"/>
    <w:rsid w:val="002974E9"/>
    <w:rsid w:val="002A7F94"/>
    <w:rsid w:val="002B109A"/>
    <w:rsid w:val="002C6D45"/>
    <w:rsid w:val="002D6E53"/>
    <w:rsid w:val="002F046D"/>
    <w:rsid w:val="002F3023"/>
    <w:rsid w:val="003002FB"/>
    <w:rsid w:val="00301764"/>
    <w:rsid w:val="0031335D"/>
    <w:rsid w:val="003229D8"/>
    <w:rsid w:val="00336C97"/>
    <w:rsid w:val="00337F88"/>
    <w:rsid w:val="00342432"/>
    <w:rsid w:val="0035223F"/>
    <w:rsid w:val="00352D4B"/>
    <w:rsid w:val="0035638C"/>
    <w:rsid w:val="00394691"/>
    <w:rsid w:val="003A1A46"/>
    <w:rsid w:val="003A46BB"/>
    <w:rsid w:val="003A4EC7"/>
    <w:rsid w:val="003A7295"/>
    <w:rsid w:val="003B1F60"/>
    <w:rsid w:val="003C2CC4"/>
    <w:rsid w:val="003D4B23"/>
    <w:rsid w:val="003D6F62"/>
    <w:rsid w:val="003E278A"/>
    <w:rsid w:val="00413520"/>
    <w:rsid w:val="00430D57"/>
    <w:rsid w:val="004325CB"/>
    <w:rsid w:val="00440A07"/>
    <w:rsid w:val="00462880"/>
    <w:rsid w:val="00476F24"/>
    <w:rsid w:val="00494BA2"/>
    <w:rsid w:val="004B4B89"/>
    <w:rsid w:val="004B6867"/>
    <w:rsid w:val="004C55B0"/>
    <w:rsid w:val="004E1A6E"/>
    <w:rsid w:val="004F6BA0"/>
    <w:rsid w:val="00503BEA"/>
    <w:rsid w:val="00533616"/>
    <w:rsid w:val="00535ABA"/>
    <w:rsid w:val="0053768B"/>
    <w:rsid w:val="005420F2"/>
    <w:rsid w:val="0054285C"/>
    <w:rsid w:val="00584173"/>
    <w:rsid w:val="00595520"/>
    <w:rsid w:val="005A44B9"/>
    <w:rsid w:val="005B1BA0"/>
    <w:rsid w:val="005B3DB3"/>
    <w:rsid w:val="005D15CA"/>
    <w:rsid w:val="005D477B"/>
    <w:rsid w:val="005D7969"/>
    <w:rsid w:val="005F08DF"/>
    <w:rsid w:val="005F3066"/>
    <w:rsid w:val="005F3E61"/>
    <w:rsid w:val="00603EFE"/>
    <w:rsid w:val="00604DDD"/>
    <w:rsid w:val="006115CC"/>
    <w:rsid w:val="00611FC4"/>
    <w:rsid w:val="006146DC"/>
    <w:rsid w:val="006176FB"/>
    <w:rsid w:val="00630FCB"/>
    <w:rsid w:val="006319D6"/>
    <w:rsid w:val="0064061B"/>
    <w:rsid w:val="00640B26"/>
    <w:rsid w:val="0065766B"/>
    <w:rsid w:val="006770B2"/>
    <w:rsid w:val="00686A48"/>
    <w:rsid w:val="006940E1"/>
    <w:rsid w:val="006A3C72"/>
    <w:rsid w:val="006A7392"/>
    <w:rsid w:val="006B03A1"/>
    <w:rsid w:val="006B67D9"/>
    <w:rsid w:val="006C5535"/>
    <w:rsid w:val="006C609B"/>
    <w:rsid w:val="006D0589"/>
    <w:rsid w:val="006E564B"/>
    <w:rsid w:val="006E7154"/>
    <w:rsid w:val="007003CD"/>
    <w:rsid w:val="0070701E"/>
    <w:rsid w:val="007173E0"/>
    <w:rsid w:val="00725968"/>
    <w:rsid w:val="0072632A"/>
    <w:rsid w:val="00733FA2"/>
    <w:rsid w:val="007358E8"/>
    <w:rsid w:val="00736ECE"/>
    <w:rsid w:val="0074533B"/>
    <w:rsid w:val="007643BC"/>
    <w:rsid w:val="007801C5"/>
    <w:rsid w:val="00780C68"/>
    <w:rsid w:val="007827D8"/>
    <w:rsid w:val="007959FE"/>
    <w:rsid w:val="007A0CF1"/>
    <w:rsid w:val="007A478E"/>
    <w:rsid w:val="007B6BA5"/>
    <w:rsid w:val="007C3390"/>
    <w:rsid w:val="007C42D8"/>
    <w:rsid w:val="007C4F4B"/>
    <w:rsid w:val="007D7362"/>
    <w:rsid w:val="007F5CE2"/>
    <w:rsid w:val="007F6611"/>
    <w:rsid w:val="00800522"/>
    <w:rsid w:val="00806DE0"/>
    <w:rsid w:val="00810BAC"/>
    <w:rsid w:val="008175E9"/>
    <w:rsid w:val="008242D7"/>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118DD"/>
    <w:rsid w:val="00926E47"/>
    <w:rsid w:val="00947162"/>
    <w:rsid w:val="009610D0"/>
    <w:rsid w:val="0096375C"/>
    <w:rsid w:val="009662E6"/>
    <w:rsid w:val="0097095E"/>
    <w:rsid w:val="0098592B"/>
    <w:rsid w:val="00985FC4"/>
    <w:rsid w:val="00990766"/>
    <w:rsid w:val="00991261"/>
    <w:rsid w:val="009964C4"/>
    <w:rsid w:val="009A7B81"/>
    <w:rsid w:val="009B41EA"/>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592B"/>
    <w:rsid w:val="00A879A4"/>
    <w:rsid w:val="00AA0FF8"/>
    <w:rsid w:val="00AC0F2C"/>
    <w:rsid w:val="00AC502A"/>
    <w:rsid w:val="00AF58C1"/>
    <w:rsid w:val="00B04A3F"/>
    <w:rsid w:val="00B06643"/>
    <w:rsid w:val="00B14F87"/>
    <w:rsid w:val="00B15055"/>
    <w:rsid w:val="00B15ED3"/>
    <w:rsid w:val="00B20551"/>
    <w:rsid w:val="00B23D55"/>
    <w:rsid w:val="00B30179"/>
    <w:rsid w:val="00B33FC7"/>
    <w:rsid w:val="00B37B15"/>
    <w:rsid w:val="00B45C02"/>
    <w:rsid w:val="00B70B63"/>
    <w:rsid w:val="00B72A1E"/>
    <w:rsid w:val="00B81E12"/>
    <w:rsid w:val="00BA339B"/>
    <w:rsid w:val="00BB23CC"/>
    <w:rsid w:val="00BC1E7E"/>
    <w:rsid w:val="00BC6D0D"/>
    <w:rsid w:val="00BC74E9"/>
    <w:rsid w:val="00BE19A5"/>
    <w:rsid w:val="00BE36A9"/>
    <w:rsid w:val="00BE618E"/>
    <w:rsid w:val="00BE7BEC"/>
    <w:rsid w:val="00BF0A5A"/>
    <w:rsid w:val="00BF0E63"/>
    <w:rsid w:val="00BF12A3"/>
    <w:rsid w:val="00BF16D7"/>
    <w:rsid w:val="00BF2373"/>
    <w:rsid w:val="00C0054B"/>
    <w:rsid w:val="00C0294F"/>
    <w:rsid w:val="00C03DD2"/>
    <w:rsid w:val="00C044E2"/>
    <w:rsid w:val="00C048CB"/>
    <w:rsid w:val="00C066F3"/>
    <w:rsid w:val="00C408B7"/>
    <w:rsid w:val="00C411EB"/>
    <w:rsid w:val="00C463DD"/>
    <w:rsid w:val="00C745C3"/>
    <w:rsid w:val="00C978F5"/>
    <w:rsid w:val="00CA24A4"/>
    <w:rsid w:val="00CB348D"/>
    <w:rsid w:val="00CD46F5"/>
    <w:rsid w:val="00CE4A8F"/>
    <w:rsid w:val="00CE78F6"/>
    <w:rsid w:val="00CF071D"/>
    <w:rsid w:val="00CF7D21"/>
    <w:rsid w:val="00D0123D"/>
    <w:rsid w:val="00D15B04"/>
    <w:rsid w:val="00D2031B"/>
    <w:rsid w:val="00D25FE2"/>
    <w:rsid w:val="00D368BE"/>
    <w:rsid w:val="00D37DA9"/>
    <w:rsid w:val="00D406A7"/>
    <w:rsid w:val="00D40765"/>
    <w:rsid w:val="00D411A5"/>
    <w:rsid w:val="00D431E9"/>
    <w:rsid w:val="00D43252"/>
    <w:rsid w:val="00D44D86"/>
    <w:rsid w:val="00D50B7D"/>
    <w:rsid w:val="00D52012"/>
    <w:rsid w:val="00D579A0"/>
    <w:rsid w:val="00D704E5"/>
    <w:rsid w:val="00D72727"/>
    <w:rsid w:val="00D978C6"/>
    <w:rsid w:val="00DA0956"/>
    <w:rsid w:val="00DA357F"/>
    <w:rsid w:val="00DA3E12"/>
    <w:rsid w:val="00DB6908"/>
    <w:rsid w:val="00DC18AD"/>
    <w:rsid w:val="00DF7CAE"/>
    <w:rsid w:val="00E2131B"/>
    <w:rsid w:val="00E423C0"/>
    <w:rsid w:val="00E612A2"/>
    <w:rsid w:val="00E6414C"/>
    <w:rsid w:val="00E7260F"/>
    <w:rsid w:val="00E8702D"/>
    <w:rsid w:val="00E905F4"/>
    <w:rsid w:val="00E916A9"/>
    <w:rsid w:val="00E916DE"/>
    <w:rsid w:val="00E925AD"/>
    <w:rsid w:val="00E96630"/>
    <w:rsid w:val="00EA16E2"/>
    <w:rsid w:val="00EC1EDF"/>
    <w:rsid w:val="00ED18DC"/>
    <w:rsid w:val="00ED6201"/>
    <w:rsid w:val="00ED7A2A"/>
    <w:rsid w:val="00EE00F5"/>
    <w:rsid w:val="00EF1D7F"/>
    <w:rsid w:val="00F0137E"/>
    <w:rsid w:val="00F21786"/>
    <w:rsid w:val="00F30D36"/>
    <w:rsid w:val="00F3742B"/>
    <w:rsid w:val="00F41FDB"/>
    <w:rsid w:val="00F50596"/>
    <w:rsid w:val="00F56D63"/>
    <w:rsid w:val="00F609A9"/>
    <w:rsid w:val="00F80C99"/>
    <w:rsid w:val="00F867EC"/>
    <w:rsid w:val="00F91B2B"/>
    <w:rsid w:val="00FC03CD"/>
    <w:rsid w:val="00FC0646"/>
    <w:rsid w:val="00FC68B7"/>
    <w:rsid w:val="00FE611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52D6"/>
  <w15:docId w15:val="{A218E2E7-4108-47F1-8B64-03B99ABD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uiPriority w:val="99"/>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C03DD2"/>
    <w:rPr>
      <w:b/>
      <w:sz w:val="28"/>
      <w:lang w:val="en-GB"/>
    </w:rPr>
  </w:style>
  <w:style w:type="character" w:customStyle="1" w:styleId="H1GChar">
    <w:name w:val="_ H_1_G Char"/>
    <w:link w:val="H1G"/>
    <w:rsid w:val="00C03DD2"/>
    <w:rPr>
      <w:b/>
      <w:sz w:val="24"/>
      <w:lang w:val="en-GB"/>
    </w:rPr>
  </w:style>
  <w:style w:type="paragraph" w:styleId="Revision">
    <w:name w:val="Revision"/>
    <w:hidden/>
    <w:uiPriority w:val="99"/>
    <w:semiHidden/>
    <w:rsid w:val="003D6F62"/>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B0E6A19E-DE01-423D-ABB1-70531F076FD4}">
  <ds:schemaRefs>
    <ds:schemaRef ds:uri="http://purl.org/dc/elements/1.1/"/>
    <ds:schemaRef ds:uri="http://schemas.microsoft.com/office/2006/metadata/properties"/>
    <ds:schemaRef ds:uri="4b4a1c0d-4a69-4996-a84a-fc699b9f49d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85ec44e-1bab-4c0b-9df0-6ba128686fc9"/>
    <ds:schemaRef ds:uri="acccb6d4-dbe5-46d2-b4d3-5733603d8cc6"/>
    <ds:schemaRef ds:uri="http://www.w3.org/XML/1998/namespace"/>
  </ds:schemaRefs>
</ds:datastoreItem>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7D07D914-16A4-403D-8F50-AC9F281C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TRANS_WP1_24_E.dotm</Template>
  <TotalTime>51</TotalTime>
  <Pages>3</Pages>
  <Words>748</Words>
  <Characters>4269</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INF.4</dc:title>
  <dc:creator>ND June 2024</dc:creator>
  <cp:lastModifiedBy>Nadiya Dzyubynska</cp:lastModifiedBy>
  <cp:revision>43</cp:revision>
  <cp:lastPrinted>2024-07-30T10:36:00Z</cp:lastPrinted>
  <dcterms:created xsi:type="dcterms:W3CDTF">2024-07-29T14:56:00Z</dcterms:created>
  <dcterms:modified xsi:type="dcterms:W3CDTF">2024-07-30T10:37:00Z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