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5B6A6A01"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9B31E6">
              <w:rPr>
                <w:b/>
                <w:bCs/>
                <w:sz w:val="40"/>
                <w:szCs w:val="40"/>
              </w:rPr>
              <w:t>71</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1C0E0618"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9763F1">
        <w:rPr>
          <w:b/>
        </w:rPr>
        <w:t>1 July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57FA17E3" w:rsidR="001F6C71" w:rsidRDefault="0039370E" w:rsidP="001F6C71">
      <w:r w:rsidRPr="006500BA">
        <w:t xml:space="preserve">Item </w:t>
      </w:r>
      <w:r w:rsidR="00B67516">
        <w:t>6 (d)</w:t>
      </w:r>
      <w:r w:rsidR="009300DB">
        <w:t xml:space="preserve"> </w:t>
      </w:r>
      <w:r w:rsidRPr="006500BA">
        <w:t>of the provisional agenda</w:t>
      </w:r>
    </w:p>
    <w:p w14:paraId="4731045A" w14:textId="725D536A" w:rsidR="00111265" w:rsidRDefault="000B310C" w:rsidP="001F6C71">
      <w:pPr>
        <w:rPr>
          <w:b/>
          <w:bCs/>
        </w:rPr>
      </w:pPr>
      <w:r w:rsidRPr="000B310C">
        <w:rPr>
          <w:b/>
          <w:bCs/>
        </w:rPr>
        <w:t>Miscellaneous proposals for amendments to the Model Regulations</w:t>
      </w:r>
      <w:r>
        <w:rPr>
          <w:b/>
          <w:bCs/>
        </w:rPr>
        <w:br/>
      </w:r>
      <w:r w:rsidRPr="000B310C">
        <w:rPr>
          <w:b/>
          <w:bCs/>
        </w:rPr>
        <w:t>on the Transport of Dangerous Goods:</w:t>
      </w:r>
    </w:p>
    <w:p w14:paraId="32927EDF" w14:textId="167B0062" w:rsidR="000B310C" w:rsidRPr="00082A3F" w:rsidRDefault="00082A3F" w:rsidP="001F6C71">
      <w:pPr>
        <w:rPr>
          <w:b/>
          <w:bCs/>
        </w:rPr>
      </w:pPr>
      <w:r w:rsidRPr="00082A3F">
        <w:rPr>
          <w:b/>
          <w:bCs/>
        </w:rPr>
        <w:t>Other miscellaneous proposals</w:t>
      </w:r>
    </w:p>
    <w:p w14:paraId="507951AF" w14:textId="77777777" w:rsidR="004C08D3" w:rsidRPr="007D4E9C" w:rsidRDefault="00CC7758" w:rsidP="004C08D3">
      <w:pPr>
        <w:pStyle w:val="HChG"/>
      </w:pPr>
      <w:r>
        <w:tab/>
      </w:r>
      <w:r>
        <w:tab/>
      </w:r>
      <w:r w:rsidR="004C08D3" w:rsidRPr="008D385F">
        <w:t>Amendments to proposal within document</w:t>
      </w:r>
      <w:r w:rsidR="004C08D3">
        <w:t xml:space="preserve"> </w:t>
      </w:r>
      <w:r w:rsidR="004C08D3" w:rsidRPr="00042FAB">
        <w:t>ST/SG/AC.10/C.3/2024/3</w:t>
      </w:r>
      <w:r w:rsidR="004C08D3">
        <w:t>5</w:t>
      </w:r>
    </w:p>
    <w:p w14:paraId="593F880E" w14:textId="77777777" w:rsidR="004C08D3" w:rsidRPr="007D4E9C" w:rsidRDefault="004C08D3" w:rsidP="004C08D3">
      <w:pPr>
        <w:pStyle w:val="H1G"/>
      </w:pPr>
      <w:r w:rsidRPr="007D4E9C">
        <w:tab/>
      </w:r>
      <w:r w:rsidRPr="007D4E9C">
        <w:tab/>
        <w:t xml:space="preserve">Transmitted by the </w:t>
      </w:r>
      <w:r>
        <w:t>expert from China</w:t>
      </w:r>
    </w:p>
    <w:p w14:paraId="755366FC" w14:textId="77777777" w:rsidR="004C08D3" w:rsidRPr="007D4E9C" w:rsidRDefault="004C08D3" w:rsidP="004C08D3">
      <w:pPr>
        <w:pStyle w:val="HChG"/>
      </w:pPr>
      <w:r w:rsidRPr="007D4E9C">
        <w:tab/>
      </w:r>
      <w:r>
        <w:t>I.</w:t>
      </w:r>
      <w:r>
        <w:tab/>
      </w:r>
      <w:r w:rsidRPr="007D4E9C">
        <w:t>Introduction</w:t>
      </w:r>
    </w:p>
    <w:p w14:paraId="1BA2D2F3" w14:textId="4C55D55A" w:rsidR="004C08D3" w:rsidRPr="00473A2E" w:rsidRDefault="004C08D3" w:rsidP="004C08D3">
      <w:pPr>
        <w:pStyle w:val="SingleTxtG"/>
      </w:pPr>
      <w:r w:rsidRPr="007D4E9C">
        <w:t>1.</w:t>
      </w:r>
      <w:r w:rsidRPr="007D4E9C">
        <w:tab/>
      </w:r>
      <w:r>
        <w:t>During the discussion on</w:t>
      </w:r>
      <w:r w:rsidRPr="008D385F">
        <w:t xml:space="preserve"> </w:t>
      </w:r>
      <w:r w:rsidR="00A367D8">
        <w:t xml:space="preserve">document </w:t>
      </w:r>
      <w:r w:rsidRPr="008D385F">
        <w:t>ST/SG/AC.10/C.3/2024/35</w:t>
      </w:r>
      <w:r>
        <w:t xml:space="preserve"> submitted by China, most experts who spoke showed their preference to amend the </w:t>
      </w:r>
      <w:r w:rsidR="007C089C">
        <w:t>text</w:t>
      </w:r>
      <w:r>
        <w:t xml:space="preserve"> in </w:t>
      </w:r>
      <w:r w:rsidR="007C089C">
        <w:t xml:space="preserve">special provision </w:t>
      </w:r>
      <w:r>
        <w:t xml:space="preserve">SP301, </w:t>
      </w:r>
      <w:r w:rsidR="0040330F">
        <w:t>in line</w:t>
      </w:r>
      <w:r>
        <w:t xml:space="preserve"> with that in </w:t>
      </w:r>
      <w:r w:rsidRPr="008D385F">
        <w:t>2.0.5.6</w:t>
      </w:r>
      <w:r>
        <w:t>. China, thus, submitted this amended proposal.</w:t>
      </w:r>
    </w:p>
    <w:p w14:paraId="5083826D" w14:textId="01F092F8" w:rsidR="004C08D3" w:rsidRDefault="004C08D3" w:rsidP="004C08D3">
      <w:pPr>
        <w:pStyle w:val="HChG"/>
      </w:pPr>
      <w:r w:rsidRPr="007D4E9C">
        <w:tab/>
      </w:r>
      <w:r>
        <w:t>II.</w:t>
      </w:r>
      <w:r>
        <w:tab/>
      </w:r>
      <w:r w:rsidRPr="007D4E9C">
        <w:t>Proposal</w:t>
      </w:r>
    </w:p>
    <w:p w14:paraId="602F7ABE" w14:textId="77777777" w:rsidR="004C08D3" w:rsidRPr="008D385F" w:rsidRDefault="004C08D3" w:rsidP="004C08D3">
      <w:pPr>
        <w:pStyle w:val="SingleTxtG"/>
        <w:tabs>
          <w:tab w:val="left" w:pos="1134"/>
        </w:tabs>
        <w:kinsoku w:val="0"/>
        <w:overflowPunct w:val="0"/>
        <w:autoSpaceDE w:val="0"/>
        <w:autoSpaceDN w:val="0"/>
        <w:adjustRightInd w:val="0"/>
        <w:snapToGrid w:val="0"/>
        <w:rPr>
          <w:rStyle w:val="fontstyle01"/>
          <w:rFonts w:eastAsiaTheme="minorEastAsia" w:hint="default"/>
          <w:color w:val="auto"/>
          <w:lang w:val="en-US"/>
        </w:rPr>
      </w:pPr>
      <w:r>
        <w:rPr>
          <w:lang w:val="en-US"/>
        </w:rPr>
        <w:t>2.</w:t>
      </w:r>
      <w:r w:rsidRPr="00E10B94">
        <w:rPr>
          <w:lang w:val="en-US"/>
        </w:rPr>
        <w:tab/>
        <w:t xml:space="preserve">Amend </w:t>
      </w:r>
      <w:r>
        <w:rPr>
          <w:lang w:val="en-US"/>
        </w:rPr>
        <w:t>SP301 as follows</w:t>
      </w:r>
      <w:r w:rsidRPr="00E10B94">
        <w:rPr>
          <w:lang w:val="en-US"/>
        </w:rPr>
        <w:t xml:space="preserve"> (deleted text appears in </w:t>
      </w:r>
      <w:r w:rsidRPr="002315DC">
        <w:rPr>
          <w:strike/>
          <w:lang w:val="en-US"/>
        </w:rPr>
        <w:t>strikethrough</w:t>
      </w:r>
      <w:r w:rsidRPr="00E10B94">
        <w:rPr>
          <w:lang w:val="en-US"/>
        </w:rPr>
        <w:t xml:space="preserve"> and new text in </w:t>
      </w:r>
      <w:r w:rsidRPr="002315DC">
        <w:rPr>
          <w:b/>
          <w:bCs/>
          <w:u w:val="single"/>
          <w:lang w:val="en-US"/>
        </w:rPr>
        <w:t>bold underlined</w:t>
      </w:r>
      <w:r w:rsidRPr="00E10B94">
        <w:rPr>
          <w:lang w:val="en-US"/>
        </w:rPr>
        <w:t>):</w:t>
      </w:r>
    </w:p>
    <w:p w14:paraId="1884C17D" w14:textId="0DF35EA4" w:rsidR="004C08D3" w:rsidRPr="008D385F" w:rsidRDefault="004C08D3" w:rsidP="004C08D3">
      <w:pPr>
        <w:pStyle w:val="SingleTxtG"/>
        <w:tabs>
          <w:tab w:val="left" w:pos="1134"/>
        </w:tabs>
        <w:kinsoku w:val="0"/>
        <w:overflowPunct w:val="0"/>
        <w:autoSpaceDE w:val="0"/>
        <w:autoSpaceDN w:val="0"/>
        <w:adjustRightInd w:val="0"/>
        <w:snapToGrid w:val="0"/>
        <w:rPr>
          <w:lang w:val="en-US"/>
        </w:rPr>
      </w:pPr>
      <w:r>
        <w:rPr>
          <w:lang w:val="en-US"/>
        </w:rPr>
        <w:t>“</w:t>
      </w:r>
      <w:r w:rsidRPr="008D385F">
        <w:rPr>
          <w:lang w:val="en-US"/>
        </w:rPr>
        <w:t>SP301</w:t>
      </w:r>
      <w:r w:rsidR="001F03B4">
        <w:rPr>
          <w:lang w:val="en-US"/>
        </w:rPr>
        <w:tab/>
      </w:r>
      <w:r w:rsidRPr="008D385F">
        <w:rPr>
          <w:lang w:val="en-US"/>
        </w:rPr>
        <w:t>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The quantity of dangerous goods in articles shall not exceed the quantity specified in Column 7a of the Dangerous Goods List of chapter 3.2 for each item of dangerous goods contained. If the articles contain more than one item of dangerous goods</w:t>
      </w:r>
      <w:r>
        <w:rPr>
          <w:lang w:val="en-US"/>
        </w:rPr>
        <w:t xml:space="preserve"> </w:t>
      </w:r>
      <w:r w:rsidRPr="00491956">
        <w:rPr>
          <w:b/>
          <w:u w:val="single"/>
          <w:lang w:val="en-US"/>
        </w:rPr>
        <w:t>and these could react dangerously with one another during transport</w:t>
      </w:r>
      <w:r w:rsidRPr="008D385F">
        <w:rPr>
          <w:lang w:val="en-US"/>
        </w:rPr>
        <w:t xml:space="preserve">, </w:t>
      </w:r>
      <w:r w:rsidRPr="00491956">
        <w:rPr>
          <w:b/>
          <w:u w:val="single"/>
          <w:lang w:val="en-US"/>
        </w:rPr>
        <w:t>each of</w:t>
      </w:r>
      <w:r>
        <w:rPr>
          <w:lang w:val="en-US"/>
        </w:rPr>
        <w:t xml:space="preserve"> </w:t>
      </w:r>
      <w:r w:rsidRPr="008D385F">
        <w:rPr>
          <w:lang w:val="en-US"/>
        </w:rPr>
        <w:t xml:space="preserve">the </w:t>
      </w:r>
      <w:r w:rsidRPr="00491956">
        <w:rPr>
          <w:strike/>
          <w:lang w:val="en-US"/>
        </w:rPr>
        <w:t>individual</w:t>
      </w:r>
      <w:r w:rsidRPr="008D385F">
        <w:rPr>
          <w:lang w:val="en-US"/>
        </w:rPr>
        <w:t xml:space="preserve"> dangerous goods shall be enclosed </w:t>
      </w:r>
      <w:r w:rsidRPr="00491956">
        <w:rPr>
          <w:b/>
          <w:u w:val="single"/>
          <w:lang w:val="en-US"/>
        </w:rPr>
        <w:t>separately</w:t>
      </w:r>
      <w:r>
        <w:rPr>
          <w:lang w:val="en-US"/>
        </w:rPr>
        <w:t xml:space="preserve"> </w:t>
      </w:r>
      <w:r w:rsidRPr="00491956">
        <w:rPr>
          <w:strike/>
          <w:lang w:val="en-US"/>
        </w:rPr>
        <w:t>to prevent them reacting dangerously with one another during transport</w:t>
      </w:r>
      <w:r w:rsidRPr="008D385F">
        <w:rPr>
          <w:lang w:val="en-US"/>
        </w:rPr>
        <w:t xml:space="preserve"> (see 4.1.1.6). When it is required to ensure liquid dangerous goods remain in their intended orientation, orientation arrows shall be displayed on at least two opposite vertical sides with the arrows pointing in the correct direction in accordance with 5.2.1.7.1.</w:t>
      </w:r>
    </w:p>
    <w:p w14:paraId="39B2F1F6" w14:textId="37FF928E" w:rsidR="0007452E" w:rsidRDefault="004C08D3" w:rsidP="004C08D3">
      <w:pPr>
        <w:pStyle w:val="SingleTxtG"/>
        <w:rPr>
          <w:lang w:val="en-US"/>
        </w:rPr>
      </w:pPr>
      <w:r w:rsidRPr="008D385F">
        <w:rPr>
          <w:lang w:val="en-US"/>
        </w:rPr>
        <w:t>The competent authority may exempt from regulation articles which would otherwise be transported under this entry</w:t>
      </w:r>
      <w:r>
        <w:rPr>
          <w:lang w:val="en-US"/>
        </w:rPr>
        <w:t>.”</w:t>
      </w:r>
    </w:p>
    <w:p w14:paraId="7CEE347C" w14:textId="0FC0EA58" w:rsidR="004C08D3" w:rsidRPr="004C08D3" w:rsidRDefault="004C08D3" w:rsidP="004C08D3">
      <w:pPr>
        <w:spacing w:before="240"/>
        <w:jc w:val="center"/>
        <w:rPr>
          <w:u w:val="single"/>
          <w:lang w:val="en-US"/>
        </w:rPr>
      </w:pPr>
      <w:r>
        <w:rPr>
          <w:u w:val="single"/>
          <w:lang w:val="en-US"/>
        </w:rPr>
        <w:tab/>
      </w:r>
      <w:r>
        <w:rPr>
          <w:u w:val="single"/>
          <w:lang w:val="en-US"/>
        </w:rPr>
        <w:tab/>
      </w:r>
      <w:r>
        <w:rPr>
          <w:u w:val="single"/>
          <w:lang w:val="en-US"/>
        </w:rPr>
        <w:tab/>
      </w:r>
    </w:p>
    <w:sectPr w:rsidR="004C08D3" w:rsidRPr="004C08D3"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1A2B" w14:textId="77777777" w:rsidR="00184144" w:rsidRPr="00C47B2E" w:rsidRDefault="00184144" w:rsidP="00C47B2E">
      <w:pPr>
        <w:pStyle w:val="Footer"/>
      </w:pPr>
    </w:p>
  </w:endnote>
  <w:endnote w:type="continuationSeparator" w:id="0">
    <w:p w14:paraId="11A97D75" w14:textId="77777777" w:rsidR="00184144" w:rsidRPr="00C47B2E" w:rsidRDefault="00184144" w:rsidP="00C47B2E">
      <w:pPr>
        <w:pStyle w:val="Footer"/>
      </w:pPr>
    </w:p>
  </w:endnote>
  <w:endnote w:type="continuationNotice" w:id="1">
    <w:p w14:paraId="3759DFAE" w14:textId="77777777" w:rsidR="00184144" w:rsidRPr="00C47B2E" w:rsidRDefault="001841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B293" w14:textId="77777777" w:rsidR="00184144" w:rsidRPr="00C47B2E" w:rsidRDefault="00184144" w:rsidP="00C47B2E">
      <w:pPr>
        <w:tabs>
          <w:tab w:val="right" w:pos="2155"/>
        </w:tabs>
        <w:spacing w:after="80" w:line="240" w:lineRule="auto"/>
        <w:ind w:left="680"/>
      </w:pPr>
      <w:r>
        <w:rPr>
          <w:u w:val="single"/>
        </w:rPr>
        <w:tab/>
      </w:r>
    </w:p>
  </w:footnote>
  <w:footnote w:type="continuationSeparator" w:id="0">
    <w:p w14:paraId="6801AECB" w14:textId="77777777" w:rsidR="00184144" w:rsidRPr="00C47B2E" w:rsidRDefault="00184144" w:rsidP="005E716E">
      <w:pPr>
        <w:tabs>
          <w:tab w:val="right" w:pos="2155"/>
        </w:tabs>
        <w:spacing w:after="80" w:line="240" w:lineRule="auto"/>
        <w:ind w:left="680"/>
      </w:pPr>
      <w:r>
        <w:rPr>
          <w:u w:val="single"/>
        </w:rPr>
        <w:tab/>
      </w:r>
    </w:p>
  </w:footnote>
  <w:footnote w:type="continuationNotice" w:id="1">
    <w:p w14:paraId="23C379EA" w14:textId="77777777" w:rsidR="00184144" w:rsidRPr="00C47B2E" w:rsidRDefault="00184144"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302BCA6" w:rsidR="0039370E" w:rsidRPr="0087458D" w:rsidRDefault="0087458D">
    <w:pPr>
      <w:pStyle w:val="Header"/>
      <w:rPr>
        <w:lang w:val="fr-CH"/>
      </w:rPr>
    </w:pPr>
    <w:r>
      <w:rPr>
        <w:lang w:val="fr-CH"/>
      </w:rPr>
      <w:t>UN/SCETDG/64/INF.19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000000"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2"/>
  </w:num>
  <w:num w:numId="5" w16cid:durableId="1816027029">
    <w:abstractNumId w:val="13"/>
  </w:num>
  <w:num w:numId="6" w16cid:durableId="1836190579">
    <w:abstractNumId w:val="16"/>
  </w:num>
  <w:num w:numId="7" w16cid:durableId="634676252">
    <w:abstractNumId w:val="6"/>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4"/>
  </w:num>
  <w:num w:numId="13" w16cid:durableId="1988699530">
    <w:abstractNumId w:val="4"/>
  </w:num>
  <w:num w:numId="14" w16cid:durableId="1917550057">
    <w:abstractNumId w:val="17"/>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4"/>
  </w:num>
  <w:num w:numId="20" w16cid:durableId="123348580">
    <w:abstractNumId w:val="11"/>
  </w:num>
  <w:num w:numId="21" w16cid:durableId="1653868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2A3F"/>
    <w:rsid w:val="00083106"/>
    <w:rsid w:val="00097AF4"/>
    <w:rsid w:val="000B310C"/>
    <w:rsid w:val="000C25E4"/>
    <w:rsid w:val="000F3078"/>
    <w:rsid w:val="00101B98"/>
    <w:rsid w:val="00104C0F"/>
    <w:rsid w:val="0010604D"/>
    <w:rsid w:val="0011084B"/>
    <w:rsid w:val="00111265"/>
    <w:rsid w:val="001514D1"/>
    <w:rsid w:val="00155C73"/>
    <w:rsid w:val="00184144"/>
    <w:rsid w:val="001854FD"/>
    <w:rsid w:val="001861DE"/>
    <w:rsid w:val="00186622"/>
    <w:rsid w:val="001A1F33"/>
    <w:rsid w:val="001A4B5F"/>
    <w:rsid w:val="001A7B96"/>
    <w:rsid w:val="001B09B1"/>
    <w:rsid w:val="001B225A"/>
    <w:rsid w:val="001D5E14"/>
    <w:rsid w:val="001E3B26"/>
    <w:rsid w:val="001E4757"/>
    <w:rsid w:val="001E4972"/>
    <w:rsid w:val="001E68FF"/>
    <w:rsid w:val="001F03B4"/>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3F309F"/>
    <w:rsid w:val="0040330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08D3"/>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089C"/>
    <w:rsid w:val="007C52B0"/>
    <w:rsid w:val="007C6033"/>
    <w:rsid w:val="007C7B2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3F1"/>
    <w:rsid w:val="009767EB"/>
    <w:rsid w:val="00987F92"/>
    <w:rsid w:val="0099436D"/>
    <w:rsid w:val="009A0A7F"/>
    <w:rsid w:val="009A1E66"/>
    <w:rsid w:val="009A25A3"/>
    <w:rsid w:val="009A6A8B"/>
    <w:rsid w:val="009B31E6"/>
    <w:rsid w:val="009C02D0"/>
    <w:rsid w:val="009C0A57"/>
    <w:rsid w:val="009C2025"/>
    <w:rsid w:val="009C3369"/>
    <w:rsid w:val="009C4EFF"/>
    <w:rsid w:val="009D0139"/>
    <w:rsid w:val="009D717D"/>
    <w:rsid w:val="009F193D"/>
    <w:rsid w:val="009F5CDC"/>
    <w:rsid w:val="009F7E47"/>
    <w:rsid w:val="00A072D7"/>
    <w:rsid w:val="00A367D8"/>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67516"/>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54C1E"/>
    <w:rsid w:val="00C637FA"/>
    <w:rsid w:val="00C7275C"/>
    <w:rsid w:val="00C8167E"/>
    <w:rsid w:val="00C84422"/>
    <w:rsid w:val="00C863AC"/>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769D6"/>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fontstyle01">
    <w:name w:val="fontstyle01"/>
    <w:basedOn w:val="DefaultParagraphFont"/>
    <w:rsid w:val="004C08D3"/>
    <w:rPr>
      <w:rFonts w:ascii="TimesNewRomanPSMT" w:eastAsia="TimesNewRomanPSMT" w:hAnsi="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11</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UN/SCETDG/64/INF.71</dc:title>
  <dc:subject/>
  <dc:creator>Alicia DORCA-GARCIA</dc:creator>
  <cp:keywords/>
  <cp:lastModifiedBy>Final Romain Hubert</cp:lastModifiedBy>
  <cp:revision>16</cp:revision>
  <dcterms:created xsi:type="dcterms:W3CDTF">2024-07-01T13:16:00Z</dcterms:created>
  <dcterms:modified xsi:type="dcterms:W3CDTF">2024-07-01T14:37:00Z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