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419" w:tblpY="568"/>
        <w:tblOverlap w:val="never"/>
        <w:tblW w:w="9072" w:type="dxa"/>
        <w:tblLayout w:type="fixed"/>
        <w:tblCellMar>
          <w:left w:w="0" w:type="dxa"/>
          <w:right w:w="0" w:type="dxa"/>
        </w:tblCellMar>
        <w:tblLook w:val="01E0" w:firstRow="1" w:lastRow="1" w:firstColumn="1" w:lastColumn="1" w:noHBand="0" w:noVBand="0"/>
      </w:tblPr>
      <w:tblGrid>
        <w:gridCol w:w="9072"/>
      </w:tblGrid>
      <w:tr w:rsidR="00717408" w:rsidRPr="00A24D46" w14:paraId="733BC40E" w14:textId="77777777" w:rsidTr="00FA63B2">
        <w:trPr>
          <w:cantSplit/>
          <w:trHeight w:hRule="exact" w:val="851"/>
        </w:trPr>
        <w:tc>
          <w:tcPr>
            <w:tcW w:w="9072" w:type="dxa"/>
            <w:tcBorders>
              <w:bottom w:val="single" w:sz="4" w:space="0" w:color="auto"/>
            </w:tcBorders>
            <w:vAlign w:val="bottom"/>
          </w:tcPr>
          <w:p w14:paraId="30457239" w14:textId="6C544CDF" w:rsidR="00717408" w:rsidRPr="00A24D46" w:rsidRDefault="00FA63B2" w:rsidP="00D660CB">
            <w:pPr>
              <w:jc w:val="right"/>
              <w:rPr>
                <w:b/>
                <w:sz w:val="40"/>
                <w:szCs w:val="40"/>
              </w:rPr>
            </w:pPr>
            <w:r w:rsidRPr="00A24D46">
              <w:rPr>
                <w:b/>
                <w:sz w:val="40"/>
                <w:szCs w:val="40"/>
              </w:rPr>
              <w:t>UN/SCEGHS/</w:t>
            </w:r>
            <w:r w:rsidR="00260117" w:rsidRPr="00A24D46">
              <w:rPr>
                <w:b/>
                <w:sz w:val="40"/>
                <w:szCs w:val="40"/>
              </w:rPr>
              <w:t>4</w:t>
            </w:r>
            <w:r w:rsidR="0042201E" w:rsidRPr="00A24D46">
              <w:rPr>
                <w:b/>
                <w:sz w:val="40"/>
                <w:szCs w:val="40"/>
              </w:rPr>
              <w:t>6</w:t>
            </w:r>
            <w:r w:rsidRPr="00A24D46">
              <w:rPr>
                <w:b/>
                <w:sz w:val="40"/>
                <w:szCs w:val="40"/>
              </w:rPr>
              <w:t>/INF.</w:t>
            </w:r>
            <w:r w:rsidR="00470B07" w:rsidRPr="00A24D46">
              <w:rPr>
                <w:b/>
                <w:sz w:val="40"/>
                <w:szCs w:val="40"/>
              </w:rPr>
              <w:t>21</w:t>
            </w:r>
          </w:p>
        </w:tc>
      </w:tr>
      <w:tr w:rsidR="00717408" w:rsidRPr="00A24D46" w14:paraId="50374DD2" w14:textId="77777777" w:rsidTr="00FA63B2">
        <w:trPr>
          <w:cantSplit/>
          <w:trHeight w:hRule="exact" w:val="3114"/>
        </w:trPr>
        <w:tc>
          <w:tcPr>
            <w:tcW w:w="9072" w:type="dxa"/>
            <w:tcBorders>
              <w:top w:val="single" w:sz="4" w:space="0" w:color="auto"/>
            </w:tcBorders>
          </w:tcPr>
          <w:p w14:paraId="56DD34A3" w14:textId="77777777" w:rsidR="00717408" w:rsidRPr="00A24D46" w:rsidRDefault="00717408" w:rsidP="00FA63B2">
            <w:pPr>
              <w:spacing w:before="120"/>
              <w:rPr>
                <w:b/>
                <w:sz w:val="24"/>
                <w:szCs w:val="24"/>
              </w:rPr>
            </w:pPr>
            <w:r w:rsidRPr="00A24D46">
              <w:rPr>
                <w:b/>
                <w:sz w:val="24"/>
                <w:szCs w:val="24"/>
              </w:rPr>
              <w:t>Committee of Experts on the Transport of Dangerous Goods</w:t>
            </w:r>
            <w:r w:rsidRPr="00A24D46">
              <w:rPr>
                <w:b/>
                <w:sz w:val="24"/>
                <w:szCs w:val="24"/>
              </w:rPr>
              <w:br/>
              <w:t>and on the Globally Harmonized System of Classification</w:t>
            </w:r>
            <w:r w:rsidRPr="00A24D46">
              <w:rPr>
                <w:b/>
                <w:sz w:val="24"/>
                <w:szCs w:val="24"/>
              </w:rPr>
              <w:br/>
              <w:t>and Labelling of Chemicals</w:t>
            </w:r>
          </w:p>
          <w:p w14:paraId="7F392C40" w14:textId="2BA6BF5F" w:rsidR="00717408" w:rsidRPr="00A24D46" w:rsidRDefault="00FA63B2" w:rsidP="004108A7">
            <w:pPr>
              <w:tabs>
                <w:tab w:val="left" w:pos="7380"/>
              </w:tabs>
              <w:spacing w:before="120"/>
            </w:pPr>
            <w:r w:rsidRPr="00A24D46">
              <w:rPr>
                <w:b/>
                <w:lang w:val="en-US"/>
              </w:rPr>
              <w:t>Sub-Committee of Experts on the Globally Harmonized</w:t>
            </w:r>
            <w:r w:rsidRPr="00A24D46">
              <w:rPr>
                <w:b/>
                <w:lang w:val="en-US"/>
              </w:rPr>
              <w:br/>
              <w:t>System of Classification and Labelling of Chemicals</w:t>
            </w:r>
            <w:r w:rsidRPr="00A24D46">
              <w:t xml:space="preserve"> </w:t>
            </w:r>
            <w:r w:rsidR="00717408" w:rsidRPr="00A24D46">
              <w:tab/>
            </w:r>
            <w:r w:rsidR="006F1B6C" w:rsidRPr="00A24D46">
              <w:rPr>
                <w:b/>
                <w:bCs/>
              </w:rPr>
              <w:t>3</w:t>
            </w:r>
            <w:r w:rsidR="00FC60E0" w:rsidRPr="00A24D46">
              <w:rPr>
                <w:b/>
                <w:bCs/>
              </w:rPr>
              <w:t xml:space="preserve"> </w:t>
            </w:r>
            <w:r w:rsidR="006F1B6C" w:rsidRPr="00A24D46">
              <w:rPr>
                <w:b/>
                <w:bCs/>
              </w:rPr>
              <w:t xml:space="preserve">July </w:t>
            </w:r>
            <w:r w:rsidR="0042201E" w:rsidRPr="00A24D46">
              <w:rPr>
                <w:b/>
                <w:bCs/>
              </w:rPr>
              <w:t>2024</w:t>
            </w:r>
          </w:p>
          <w:p w14:paraId="451767E8" w14:textId="77777777" w:rsidR="00C87C7F" w:rsidRPr="00A24D46" w:rsidRDefault="00C87C7F" w:rsidP="00C87C7F">
            <w:pPr>
              <w:spacing w:before="120"/>
              <w:rPr>
                <w:b/>
              </w:rPr>
            </w:pPr>
            <w:bookmarkStart w:id="0" w:name="_Hlk35441056"/>
            <w:r w:rsidRPr="00A24D46">
              <w:rPr>
                <w:b/>
              </w:rPr>
              <w:t>Forty-sixth session</w:t>
            </w:r>
          </w:p>
          <w:bookmarkEnd w:id="0"/>
          <w:p w14:paraId="2DF9F80A" w14:textId="77777777" w:rsidR="00C87C7F" w:rsidRPr="00A24D46" w:rsidRDefault="00C87C7F" w:rsidP="00C87C7F">
            <w:r w:rsidRPr="00A24D46">
              <w:t>Geneva,  3-5 July 2024</w:t>
            </w:r>
          </w:p>
          <w:p w14:paraId="7F67E7DF" w14:textId="2DA5E630" w:rsidR="00717408" w:rsidRPr="00A24D46" w:rsidRDefault="00C87C7F" w:rsidP="00843314">
            <w:r w:rsidRPr="00A24D46">
              <w:t>Item</w:t>
            </w:r>
            <w:r w:rsidR="006F1B6C" w:rsidRPr="00A24D46">
              <w:t>s</w:t>
            </w:r>
            <w:r w:rsidRPr="00A24D46">
              <w:t xml:space="preserve"> </w:t>
            </w:r>
            <w:r w:rsidR="007905FD" w:rsidRPr="00A24D46">
              <w:t>2 (a), 2 (b)</w:t>
            </w:r>
            <w:r w:rsidR="00843314" w:rsidRPr="00A24D46">
              <w:t xml:space="preserve"> and 2 (j)</w:t>
            </w:r>
            <w:r w:rsidRPr="00A24D46">
              <w:t xml:space="preserve"> of the provisional agenda</w:t>
            </w:r>
          </w:p>
        </w:tc>
      </w:tr>
    </w:tbl>
    <w:p w14:paraId="52029609" w14:textId="0D76A6D0" w:rsidR="008A43AF" w:rsidRPr="00A24D46" w:rsidRDefault="00760F29" w:rsidP="008A43AF">
      <w:pPr>
        <w:pStyle w:val="HChG"/>
        <w:spacing w:before="240"/>
      </w:pPr>
      <w:r w:rsidRPr="00A24D46">
        <w:rPr>
          <w:rFonts w:eastAsia="MS Mincho"/>
          <w:lang w:val="en-US" w:eastAsia="ja-JP"/>
        </w:rPr>
        <w:tab/>
      </w:r>
      <w:r w:rsidR="00E97BCE" w:rsidRPr="00A24D46">
        <w:rPr>
          <w:rFonts w:eastAsia="MS Mincho"/>
          <w:lang w:eastAsia="ja-JP"/>
        </w:rPr>
        <w:tab/>
      </w:r>
      <w:r w:rsidR="008A43AF" w:rsidRPr="00A24D46">
        <w:t>Work of the Sub-Committee of Experts on the Transport of Dangerous Goods (TDG) on matters of interest to the GHS Sub-Committee</w:t>
      </w:r>
    </w:p>
    <w:p w14:paraId="4842A5A5" w14:textId="77777777" w:rsidR="008A43AF" w:rsidRPr="00A24D46" w:rsidRDefault="008A43AF" w:rsidP="008A43AF">
      <w:pPr>
        <w:pStyle w:val="H1G"/>
        <w:rPr>
          <w:rFonts w:eastAsia="MS Mincho"/>
        </w:rPr>
      </w:pPr>
      <w:r w:rsidRPr="00A24D46">
        <w:rPr>
          <w:rFonts w:eastAsia="MS Mincho"/>
        </w:rPr>
        <w:tab/>
      </w:r>
      <w:r w:rsidRPr="00A24D46">
        <w:rPr>
          <w:rFonts w:eastAsia="MS Mincho"/>
        </w:rPr>
        <w:tab/>
        <w:t>Note by the secretariat</w:t>
      </w:r>
    </w:p>
    <w:p w14:paraId="3FD984A2" w14:textId="69F2AED8" w:rsidR="008A43AF" w:rsidRPr="00A24D46" w:rsidRDefault="008A43AF" w:rsidP="008A43AF">
      <w:pPr>
        <w:pStyle w:val="SingleTxtG"/>
        <w:tabs>
          <w:tab w:val="left" w:pos="1701"/>
        </w:tabs>
      </w:pPr>
      <w:r w:rsidRPr="00A24D46">
        <w:t>At its sixty-fourth session, the Sub-Committee of Experts on the Transport of Dangerous Goods (TDG Sub-Committee) considered matters of interest to the GHS Sub-Committee under items 2 and 10 of its agenda</w:t>
      </w:r>
      <w:r w:rsidRPr="00A24D46">
        <w:rPr>
          <w:rStyle w:val="FootnoteReference"/>
        </w:rPr>
        <w:footnoteReference w:id="2"/>
      </w:r>
      <w:r w:rsidRPr="00A24D46">
        <w:t xml:space="preserve"> (“explosives and related matters” and “Issues relating to the Globally Harmonized System of Classification and Labelling of Chemicals” respectively).  The outcome of these discussions is summarized below.</w:t>
      </w:r>
    </w:p>
    <w:p w14:paraId="05109EF3" w14:textId="5C489B72" w:rsidR="00843314" w:rsidRPr="00A24D46" w:rsidRDefault="00843314" w:rsidP="008A43AF">
      <w:pPr>
        <w:pStyle w:val="SingleTxtG"/>
        <w:tabs>
          <w:tab w:val="left" w:pos="1701"/>
        </w:tabs>
      </w:pPr>
      <w:r w:rsidRPr="00A24D46">
        <w:t xml:space="preserve">The full report of the Explosives Working Group (EWG) </w:t>
      </w:r>
      <w:r w:rsidR="006F73F7" w:rsidRPr="00A24D46">
        <w:t xml:space="preserve">containing the summary of the discussion on all </w:t>
      </w:r>
      <w:r w:rsidR="00D478F7" w:rsidRPr="00A24D46">
        <w:t xml:space="preserve">the matters considered by the group as well as its recommendations </w:t>
      </w:r>
      <w:r w:rsidRPr="00A24D46">
        <w:t xml:space="preserve">was circulated during the </w:t>
      </w:r>
      <w:r w:rsidR="00D66549" w:rsidRPr="00A24D46">
        <w:t>TDG Sub-Committee session as informal document INF.67</w:t>
      </w:r>
      <w:r w:rsidR="0007342A" w:rsidRPr="00A24D46">
        <w:t xml:space="preserve">. </w:t>
      </w:r>
      <w:r w:rsidR="00C32522" w:rsidRPr="00A24D46">
        <w:rPr>
          <w:rStyle w:val="FootnoteReference"/>
        </w:rPr>
        <w:footnoteReference w:id="3"/>
      </w:r>
    </w:p>
    <w:p w14:paraId="4C18482C" w14:textId="674277AD" w:rsidR="00C32522" w:rsidRPr="00A24D46" w:rsidRDefault="00C32522" w:rsidP="008A43AF">
      <w:pPr>
        <w:pStyle w:val="SingleTxtG"/>
        <w:tabs>
          <w:tab w:val="left" w:pos="1701"/>
        </w:tabs>
      </w:pPr>
      <w:r w:rsidRPr="00A24D46">
        <w:t xml:space="preserve">The recommendations of the EWG for corrections and amendments to the GHS </w:t>
      </w:r>
      <w:r w:rsidR="007B0C22" w:rsidRPr="00A24D46">
        <w:t>are reproduced in the annex to the this document.</w:t>
      </w:r>
    </w:p>
    <w:p w14:paraId="16C1FE97" w14:textId="77777777" w:rsidR="008A43AF" w:rsidRPr="00A24D46" w:rsidRDefault="008A43AF" w:rsidP="008A43AF">
      <w:pPr>
        <w:pStyle w:val="HChG"/>
      </w:pPr>
      <w:r w:rsidRPr="00A24D46">
        <w:tab/>
      </w:r>
      <w:r w:rsidRPr="00A24D46">
        <w:tab/>
        <w:t>Outcome of the discussions at the TDG Sub-Committee</w:t>
      </w:r>
    </w:p>
    <w:p w14:paraId="29A1984C" w14:textId="77777777" w:rsidR="00CC1911" w:rsidRPr="00A24D46" w:rsidRDefault="00D5509D" w:rsidP="00D5509D">
      <w:pPr>
        <w:pStyle w:val="H1G"/>
        <w:spacing w:before="200" w:after="200"/>
      </w:pPr>
      <w:r w:rsidRPr="00A24D46">
        <w:tab/>
        <w:t>A.</w:t>
      </w:r>
      <w:r w:rsidRPr="00A24D46">
        <w:tab/>
      </w:r>
      <w:r w:rsidR="00667543" w:rsidRPr="00A24D46">
        <w:t xml:space="preserve">GHS agenda item </w:t>
      </w:r>
      <w:r w:rsidR="00CC1911" w:rsidRPr="00A24D46">
        <w:t xml:space="preserve">2 (a) </w:t>
      </w:r>
    </w:p>
    <w:p w14:paraId="0F4A44FC" w14:textId="0B19D113" w:rsidR="00736E85" w:rsidRPr="00A24D46" w:rsidRDefault="00CC1911" w:rsidP="00CC1911">
      <w:pPr>
        <w:pStyle w:val="H23G"/>
        <w:rPr>
          <w:i/>
          <w:iCs/>
        </w:rPr>
      </w:pPr>
      <w:r w:rsidRPr="00A24D46">
        <w:tab/>
      </w:r>
      <w:r w:rsidR="00736E85" w:rsidRPr="00A24D46">
        <w:t>1.</w:t>
      </w:r>
      <w:r w:rsidR="00736E85" w:rsidRPr="00A24D46">
        <w:tab/>
      </w:r>
      <w:r w:rsidR="006B77AF" w:rsidRPr="00A24D46">
        <w:t>Report of the informal correspondence group on the revision of subsection 51.4 of the Manual of Tests and Criteria regarding the burning rate</w:t>
      </w:r>
      <w:r w:rsidR="00736E85" w:rsidRPr="00A24D46">
        <w:rPr>
          <w:rFonts w:eastAsia="MS Mincho"/>
          <w:lang w:eastAsia="ja-JP"/>
        </w:rPr>
        <w:t xml:space="preserve"> </w:t>
      </w:r>
    </w:p>
    <w:p w14:paraId="7202178D" w14:textId="738B259D" w:rsidR="006B77AF" w:rsidRPr="00A24D46" w:rsidRDefault="006B77AF" w:rsidP="009626F6">
      <w:pPr>
        <w:pStyle w:val="SingleTxtG"/>
        <w:ind w:left="2552" w:hanging="1418"/>
        <w:jc w:val="left"/>
      </w:pPr>
      <w:r w:rsidRPr="00A24D46">
        <w:t>Document:</w:t>
      </w:r>
      <w:r w:rsidR="008F3E76" w:rsidRPr="00A24D46">
        <w:tab/>
        <w:t xml:space="preserve">ST/SG/AC.10/C.4/2024/7 </w:t>
      </w:r>
      <w:r w:rsidR="009626F6" w:rsidRPr="00A24D46">
        <w:t xml:space="preserve">(China) - </w:t>
      </w:r>
      <w:r w:rsidR="008F3E76" w:rsidRPr="00A24D46">
        <w:rPr>
          <w:i/>
          <w:iCs/>
        </w:rPr>
        <w:t>ST/SG/AC.10/C.3/2024/41</w:t>
      </w:r>
    </w:p>
    <w:p w14:paraId="2F453537" w14:textId="44546F96" w:rsidR="00736E85" w:rsidRPr="00A24D46" w:rsidRDefault="00736E85" w:rsidP="00736E85">
      <w:pPr>
        <w:pStyle w:val="SingleTxtG"/>
        <w:ind w:left="2552" w:hanging="1418"/>
      </w:pPr>
      <w:r w:rsidRPr="00A24D46">
        <w:t>Informal document</w:t>
      </w:r>
      <w:r w:rsidR="00436997" w:rsidRPr="00A24D46">
        <w:t>s</w:t>
      </w:r>
      <w:r w:rsidRPr="00A24D46">
        <w:t xml:space="preserve">: </w:t>
      </w:r>
      <w:r w:rsidRPr="00A24D46">
        <w:tab/>
        <w:t>GHS/INF.</w:t>
      </w:r>
      <w:r w:rsidR="008F3E76" w:rsidRPr="00A24D46">
        <w:t>4</w:t>
      </w:r>
      <w:r w:rsidRPr="00A24D46">
        <w:t xml:space="preserve"> - TDG/INF.</w:t>
      </w:r>
      <w:r w:rsidR="008F3E76" w:rsidRPr="00A24D46">
        <w:t>5</w:t>
      </w:r>
      <w:r w:rsidRPr="00A24D46">
        <w:t xml:space="preserve"> (</w:t>
      </w:r>
      <w:r w:rsidR="008F3E76" w:rsidRPr="00A24D46">
        <w:t>China</w:t>
      </w:r>
      <w:r w:rsidRPr="00A24D46">
        <w:t>)</w:t>
      </w:r>
    </w:p>
    <w:p w14:paraId="01A56511" w14:textId="2909458B" w:rsidR="00436997" w:rsidRDefault="00436997" w:rsidP="00436997">
      <w:pPr>
        <w:pStyle w:val="SingleTxtG"/>
        <w:ind w:left="2880"/>
        <w:jc w:val="left"/>
      </w:pPr>
      <w:r w:rsidRPr="00A24D46">
        <w:rPr>
          <w:i/>
          <w:iCs/>
        </w:rPr>
        <w:t>TDG/INF.67, paragraph 13  (report of the EWG)</w:t>
      </w:r>
    </w:p>
    <w:p w14:paraId="44FABBA8" w14:textId="754C3187" w:rsidR="00E87332" w:rsidRPr="007278B9" w:rsidRDefault="00E87332" w:rsidP="001B1AC9">
      <w:pPr>
        <w:pStyle w:val="SingleTxtG"/>
        <w:rPr>
          <w:i/>
          <w:iCs/>
        </w:rPr>
      </w:pPr>
      <w:r w:rsidRPr="007278B9">
        <w:rPr>
          <w:b/>
          <w:bCs/>
          <w:i/>
          <w:iCs/>
        </w:rPr>
        <w:t>Conclusion by the Sub-Committee</w:t>
      </w:r>
    </w:p>
    <w:p w14:paraId="38A56B1B" w14:textId="5E979A3D" w:rsidR="007B6A47" w:rsidRDefault="007B6A47" w:rsidP="007B6A47">
      <w:pPr>
        <w:pStyle w:val="SingleTxtG"/>
      </w:pPr>
      <w:r>
        <w:t>76</w:t>
      </w:r>
      <w:r w:rsidRPr="00B03207">
        <w:t>.</w:t>
      </w:r>
      <w:r w:rsidRPr="00B03207">
        <w:tab/>
      </w:r>
      <w:r w:rsidRPr="2A00792A">
        <w:rPr>
          <w:lang w:val="en-US"/>
        </w:rPr>
        <w:t xml:space="preserve">The </w:t>
      </w:r>
      <w:r w:rsidRPr="00B03207">
        <w:t xml:space="preserve">Sub-Committee </w:t>
      </w:r>
      <w:r>
        <w:t>recognized the</w:t>
      </w:r>
      <w:r w:rsidRPr="00B03207">
        <w:t xml:space="preserve"> </w:t>
      </w:r>
      <w:r>
        <w:t>outcome of the discussions in the EWG on the proposed amendments to the Manual of Tests and Criteria</w:t>
      </w:r>
      <w:r>
        <w:rPr>
          <w:lang w:val="en-US"/>
        </w:rPr>
        <w:t>. It was agreed to resume discussion at a future session based on a refined proposal</w:t>
      </w:r>
      <w:r w:rsidR="003A01F3">
        <w:rPr>
          <w:lang w:val="en-US"/>
        </w:rPr>
        <w:t>.</w:t>
      </w:r>
    </w:p>
    <w:p w14:paraId="0B8FB160" w14:textId="79100064" w:rsidR="00E87332" w:rsidRPr="00E87332" w:rsidRDefault="007B6A47" w:rsidP="00C71F59">
      <w:pPr>
        <w:pStyle w:val="SingleTxtG"/>
      </w:pPr>
      <w:r w:rsidRPr="007B0C22">
        <w:rPr>
          <w:i/>
          <w:iCs/>
        </w:rPr>
        <w:t xml:space="preserve">(Ref. Doc: </w:t>
      </w:r>
      <w:r w:rsidR="008010ED" w:rsidRPr="007B0C22">
        <w:rPr>
          <w:i/>
          <w:iCs/>
        </w:rPr>
        <w:t>ST/SG/AC.10/C.3/</w:t>
      </w:r>
      <w:r w:rsidR="000D060F" w:rsidRPr="007B0C22">
        <w:rPr>
          <w:i/>
          <w:iCs/>
        </w:rPr>
        <w:t xml:space="preserve">2024/R.1/Add.8 - </w:t>
      </w:r>
      <w:r w:rsidRPr="007B0C22">
        <w:rPr>
          <w:i/>
          <w:iCs/>
        </w:rPr>
        <w:t xml:space="preserve">Draft report from the TDG Sub-Committee on its </w:t>
      </w:r>
      <w:r w:rsidR="006E4FB4" w:rsidRPr="007B0C22">
        <w:rPr>
          <w:i/>
          <w:iCs/>
        </w:rPr>
        <w:t>sixty-fourth session, as amended)</w:t>
      </w:r>
      <w:r w:rsidR="006E4FB4">
        <w:rPr>
          <w:i/>
          <w:iCs/>
        </w:rPr>
        <w:t xml:space="preserve"> </w:t>
      </w:r>
    </w:p>
    <w:p w14:paraId="39B0A149" w14:textId="73B3D38F" w:rsidR="0085707B" w:rsidRDefault="001C2E49" w:rsidP="001C73EE">
      <w:pPr>
        <w:pStyle w:val="H23G"/>
      </w:pPr>
      <w:r>
        <w:tab/>
        <w:t>2.</w:t>
      </w:r>
      <w:r>
        <w:tab/>
      </w:r>
      <w:r w:rsidRPr="001C2E49">
        <w:t>Corrections and amendments to the Model Regulations, the Globally Harmonized System and the Manual of Tests and Criteria</w:t>
      </w:r>
      <w:r>
        <w:t xml:space="preserve"> </w:t>
      </w:r>
    </w:p>
    <w:p w14:paraId="325D36B5" w14:textId="395ACE1C" w:rsidR="001C2E49" w:rsidRPr="007B0C22" w:rsidRDefault="001C2E49" w:rsidP="00D50A43">
      <w:pPr>
        <w:pStyle w:val="SingleTxtG"/>
        <w:ind w:left="2552" w:hanging="1418"/>
        <w:jc w:val="left"/>
        <w:rPr>
          <w:i/>
          <w:iCs/>
        </w:rPr>
      </w:pPr>
      <w:r w:rsidRPr="007B0C22">
        <w:t>Document:</w:t>
      </w:r>
      <w:r w:rsidRPr="007B0C22">
        <w:tab/>
        <w:t>ST/SG/AC.10/C.4/2024/</w:t>
      </w:r>
      <w:r w:rsidR="00D50A43" w:rsidRPr="007B0C22">
        <w:t>8</w:t>
      </w:r>
      <w:r w:rsidRPr="007B0C22">
        <w:t xml:space="preserve"> (</w:t>
      </w:r>
      <w:r w:rsidR="00D50A43" w:rsidRPr="007B0C22">
        <w:t>AEISG</w:t>
      </w:r>
      <w:r w:rsidRPr="007B0C22">
        <w:t xml:space="preserve">) - </w:t>
      </w:r>
      <w:r w:rsidRPr="007B0C22">
        <w:rPr>
          <w:i/>
          <w:iCs/>
        </w:rPr>
        <w:t>ST/SG/AC.10/C.3/2024/</w:t>
      </w:r>
      <w:r w:rsidR="00D50A43" w:rsidRPr="007B0C22">
        <w:rPr>
          <w:i/>
          <w:iCs/>
        </w:rPr>
        <w:t>52</w:t>
      </w:r>
    </w:p>
    <w:p w14:paraId="6BBBE52A" w14:textId="6B989B45" w:rsidR="00AC78C9" w:rsidRPr="007B0C22" w:rsidRDefault="00AC78C9" w:rsidP="00A30797">
      <w:pPr>
        <w:pStyle w:val="SingleTxtG"/>
        <w:ind w:left="2880" w:hanging="1746"/>
        <w:jc w:val="left"/>
        <w:rPr>
          <w:i/>
          <w:iCs/>
        </w:rPr>
      </w:pPr>
      <w:r w:rsidRPr="007B0C22">
        <w:rPr>
          <w:i/>
          <w:iCs/>
        </w:rPr>
        <w:t>Informal document: TDG/INF.67, paragraph</w:t>
      </w:r>
      <w:r w:rsidR="00590B76" w:rsidRPr="007B0C22">
        <w:rPr>
          <w:i/>
          <w:iCs/>
        </w:rPr>
        <w:t xml:space="preserve"> 1</w:t>
      </w:r>
      <w:r w:rsidR="00E571F6" w:rsidRPr="007B0C22">
        <w:rPr>
          <w:i/>
          <w:iCs/>
        </w:rPr>
        <w:t>3</w:t>
      </w:r>
      <w:r w:rsidRPr="007B0C22">
        <w:rPr>
          <w:i/>
          <w:iCs/>
        </w:rPr>
        <w:t xml:space="preserve">  </w:t>
      </w:r>
      <w:r w:rsidR="00B0378C">
        <w:rPr>
          <w:i/>
          <w:iCs/>
        </w:rPr>
        <w:t xml:space="preserve">and annex 2, amendment </w:t>
      </w:r>
      <w:r w:rsidR="001D33B7">
        <w:rPr>
          <w:i/>
          <w:iCs/>
        </w:rPr>
        <w:t xml:space="preserve">6 </w:t>
      </w:r>
    </w:p>
    <w:p w14:paraId="74BEC98B" w14:textId="23A0D4F7" w:rsidR="005124B3" w:rsidRPr="007278B9" w:rsidRDefault="005124B3" w:rsidP="005124B3">
      <w:pPr>
        <w:pStyle w:val="SingleTxtG"/>
        <w:rPr>
          <w:b/>
          <w:bCs/>
          <w:i/>
          <w:iCs/>
        </w:rPr>
      </w:pPr>
      <w:r w:rsidRPr="007278B9">
        <w:rPr>
          <w:b/>
          <w:bCs/>
          <w:i/>
          <w:iCs/>
        </w:rPr>
        <w:t>Conclusion by the Sub-Committee</w:t>
      </w:r>
    </w:p>
    <w:p w14:paraId="3C1570EE" w14:textId="5CCF9C02" w:rsidR="001362FE" w:rsidRPr="00320B79" w:rsidRDefault="005124B3" w:rsidP="00D85352">
      <w:pPr>
        <w:pStyle w:val="SingleTxtG"/>
        <w:rPr>
          <w:color w:val="FF0000"/>
        </w:rPr>
      </w:pPr>
      <w:r w:rsidRPr="00F9696B">
        <w:t xml:space="preserve">The Sub-Committee endorsed the </w:t>
      </w:r>
      <w:r w:rsidR="00314C20" w:rsidRPr="00F9696B">
        <w:t xml:space="preserve">recommendation from the Explosives Working </w:t>
      </w:r>
      <w:r w:rsidR="00637982">
        <w:t>for</w:t>
      </w:r>
      <w:r w:rsidR="00C1152B" w:rsidRPr="00F9696B">
        <w:t xml:space="preserve"> the </w:t>
      </w:r>
      <w:r w:rsidR="00637982">
        <w:t>proposed change</w:t>
      </w:r>
      <w:r w:rsidR="00C1152B" w:rsidRPr="00F9696B">
        <w:t xml:space="preserve"> </w:t>
      </w:r>
      <w:r w:rsidR="00D85352" w:rsidRPr="00F9696B">
        <w:t>to the definition in chapter 2.8</w:t>
      </w:r>
      <w:r w:rsidR="002644BD" w:rsidRPr="00F9696B">
        <w:t xml:space="preserve">, as amended </w:t>
      </w:r>
      <w:r w:rsidR="00FC61B6" w:rsidRPr="00320B79">
        <w:rPr>
          <w:color w:val="FF0000"/>
        </w:rPr>
        <w:t xml:space="preserve">(see </w:t>
      </w:r>
      <w:r w:rsidR="00862249">
        <w:rPr>
          <w:color w:val="FF0000"/>
        </w:rPr>
        <w:t xml:space="preserve">the annex to this document for the </w:t>
      </w:r>
      <w:r w:rsidR="00FC61B6" w:rsidRPr="00320B79">
        <w:rPr>
          <w:color w:val="FF0000"/>
        </w:rPr>
        <w:t xml:space="preserve">proposed </w:t>
      </w:r>
      <w:r w:rsidR="00320B79">
        <w:rPr>
          <w:color w:val="FF0000"/>
        </w:rPr>
        <w:t>text</w:t>
      </w:r>
      <w:r w:rsidR="001D33B7" w:rsidRPr="00320B79">
        <w:rPr>
          <w:color w:val="FF0000"/>
        </w:rPr>
        <w:t>).</w:t>
      </w:r>
    </w:p>
    <w:p w14:paraId="3E0265BB" w14:textId="1C2253AC" w:rsidR="001107D0" w:rsidRDefault="001107D0" w:rsidP="00D85352">
      <w:pPr>
        <w:pStyle w:val="SingleTxtG"/>
        <w:rPr>
          <w:lang w:val="en-US"/>
        </w:rPr>
      </w:pPr>
      <w:r>
        <w:t xml:space="preserve">For adopted texts on </w:t>
      </w:r>
      <w:r w:rsidR="0016336B">
        <w:t xml:space="preserve">the </w:t>
      </w:r>
      <w:r>
        <w:t xml:space="preserve">proposed amendments/corrections to the Manual of Tests and Criteria and the Model Regulations </w:t>
      </w:r>
      <w:r w:rsidR="00422C1E">
        <w:t xml:space="preserve">refer to </w:t>
      </w:r>
      <w:r w:rsidR="00CF4500">
        <w:t xml:space="preserve">report of the informal working group on explosives and </w:t>
      </w:r>
      <w:r w:rsidR="00422C1E">
        <w:t>the adopted texts</w:t>
      </w:r>
      <w:r w:rsidR="00CF4500">
        <w:t xml:space="preserve"> as reflected</w:t>
      </w:r>
      <w:r w:rsidR="00422C1E">
        <w:t xml:space="preserve"> in the draft report from the </w:t>
      </w:r>
      <w:r w:rsidR="00CF4500">
        <w:t>TDG Sub-Committee on its sixty-fourth session</w:t>
      </w:r>
      <w:r w:rsidR="00E73138">
        <w:t xml:space="preserve"> </w:t>
      </w:r>
      <w:r w:rsidR="00E73138" w:rsidRPr="00A8739E">
        <w:rPr>
          <w:i/>
          <w:iCs/>
        </w:rPr>
        <w:t>ST/SG/AC.10/C.3/2024/R.2/Add.1</w:t>
      </w:r>
      <w:r w:rsidR="0049486F">
        <w:t>.</w:t>
      </w:r>
    </w:p>
    <w:p w14:paraId="054E42C9" w14:textId="0BEEEC4D" w:rsidR="00736E85" w:rsidRPr="00AC78C9" w:rsidRDefault="00736E85" w:rsidP="008E4A26">
      <w:pPr>
        <w:pStyle w:val="H1G"/>
      </w:pPr>
      <w:r w:rsidRPr="00AC78C9">
        <w:tab/>
      </w:r>
      <w:r w:rsidR="00D5509D" w:rsidRPr="00AC78C9">
        <w:t>B</w:t>
      </w:r>
      <w:r w:rsidRPr="00AC78C9">
        <w:t>.</w:t>
      </w:r>
      <w:r w:rsidRPr="00AC78C9">
        <w:tab/>
        <w:t>GHS agenda item 2 (b)</w:t>
      </w:r>
      <w:r w:rsidR="000D060F" w:rsidRPr="00AC78C9">
        <w:t xml:space="preserve"> </w:t>
      </w:r>
    </w:p>
    <w:p w14:paraId="2664BCD6" w14:textId="517DCF30" w:rsidR="00736E85" w:rsidRPr="00736E85" w:rsidRDefault="00736E85" w:rsidP="00736E85">
      <w:pPr>
        <w:pStyle w:val="H23G"/>
        <w:rPr>
          <w:highlight w:val="yellow"/>
        </w:rPr>
      </w:pPr>
      <w:r w:rsidRPr="00AC78C9">
        <w:tab/>
      </w:r>
      <w:r w:rsidR="0090004A" w:rsidRPr="00AC78C9">
        <w:t>1.</w:t>
      </w:r>
      <w:r w:rsidRPr="00AC78C9">
        <w:tab/>
      </w:r>
      <w:r w:rsidR="00AC78C9" w:rsidRPr="00AC78C9">
        <w:t>Proposal for clarifications</w:t>
      </w:r>
      <w:r w:rsidR="00AC78C9" w:rsidRPr="00547E65">
        <w:t xml:space="preserve"> on the combinations of aerosols and chemicals under pressure with other hazard classes in the Globally Harmonized System</w:t>
      </w:r>
    </w:p>
    <w:p w14:paraId="61E390AC" w14:textId="65E989BF" w:rsidR="00B1410A" w:rsidRPr="00F07D34" w:rsidRDefault="00B1410A" w:rsidP="00B1410A">
      <w:pPr>
        <w:pStyle w:val="SingleTxtG"/>
        <w:ind w:left="2552" w:hanging="1418"/>
        <w:jc w:val="left"/>
        <w:rPr>
          <w:i/>
          <w:iCs/>
        </w:rPr>
      </w:pPr>
      <w:r w:rsidRPr="00F07D34">
        <w:t>Document:</w:t>
      </w:r>
      <w:r w:rsidRPr="00F07D34">
        <w:tab/>
        <w:t>ST/SG/AC.10/C.4/2024/1 (</w:t>
      </w:r>
      <w:r w:rsidR="003351DB" w:rsidRPr="00F07D34">
        <w:t>Germany</w:t>
      </w:r>
      <w:r w:rsidRPr="00F07D34">
        <w:t xml:space="preserve">) - </w:t>
      </w:r>
      <w:r w:rsidRPr="00F07D34">
        <w:rPr>
          <w:i/>
          <w:iCs/>
        </w:rPr>
        <w:t>ST/SG/AC.10/C.3/2024/4</w:t>
      </w:r>
    </w:p>
    <w:p w14:paraId="6C8504AF" w14:textId="0617253B" w:rsidR="001C73EE" w:rsidRPr="00F07D34" w:rsidRDefault="00B1410A" w:rsidP="00B1410A">
      <w:pPr>
        <w:pStyle w:val="SingleTxtG"/>
        <w:ind w:left="2552" w:hanging="1418"/>
        <w:jc w:val="left"/>
        <w:rPr>
          <w:i/>
          <w:iCs/>
        </w:rPr>
      </w:pPr>
      <w:r w:rsidRPr="00F07D34">
        <w:rPr>
          <w:i/>
          <w:iCs/>
        </w:rPr>
        <w:t xml:space="preserve">Informal document: </w:t>
      </w:r>
      <w:r w:rsidR="001C73EE" w:rsidRPr="00F07D34">
        <w:rPr>
          <w:i/>
          <w:iCs/>
        </w:rPr>
        <w:tab/>
      </w:r>
      <w:r w:rsidRPr="00F07D34">
        <w:rPr>
          <w:i/>
          <w:iCs/>
        </w:rPr>
        <w:t>INF.3 (TDG/INF.4)</w:t>
      </w:r>
      <w:r w:rsidR="001C73EE" w:rsidRPr="00F07D34">
        <w:rPr>
          <w:i/>
          <w:iCs/>
        </w:rPr>
        <w:t xml:space="preserve"> Germany </w:t>
      </w:r>
    </w:p>
    <w:p w14:paraId="1B330B64" w14:textId="36B25886" w:rsidR="00CF4503" w:rsidRPr="007278B9" w:rsidRDefault="00CF4503" w:rsidP="00CF4503">
      <w:pPr>
        <w:pStyle w:val="SingleTxtG"/>
        <w:rPr>
          <w:b/>
          <w:bCs/>
          <w:i/>
          <w:iCs/>
        </w:rPr>
      </w:pPr>
      <w:r w:rsidRPr="007278B9">
        <w:rPr>
          <w:b/>
          <w:bCs/>
          <w:i/>
          <w:iCs/>
        </w:rPr>
        <w:t>Conclusion by the Sub-Committee</w:t>
      </w:r>
    </w:p>
    <w:p w14:paraId="0240FE2B" w14:textId="77777777" w:rsidR="00B86536" w:rsidRDefault="00B86536" w:rsidP="00B86536">
      <w:pPr>
        <w:pStyle w:val="SingleTxtG"/>
      </w:pPr>
      <w:r>
        <w:t>108</w:t>
      </w:r>
      <w:r w:rsidRPr="00837B90">
        <w:t>.</w:t>
      </w:r>
      <w:r w:rsidRPr="00837B90">
        <w:tab/>
      </w:r>
      <w:r w:rsidRPr="00185E42">
        <w:t>The Sub-Committee supported in principle the proposals (inc</w:t>
      </w:r>
      <w:r>
        <w:t>l</w:t>
      </w:r>
      <w:r w:rsidRPr="00185E42">
        <w:t xml:space="preserve">uding the related options 1 and 2) in paragraphs addressing chemicals under pressure and aerosols in the document from Germany. Following an exchange of views among experts, the </w:t>
      </w:r>
      <w:r>
        <w:t xml:space="preserve">TDG </w:t>
      </w:r>
      <w:r w:rsidRPr="00185E42">
        <w:t>Sub-Committee decided to leave the decision on the preferred options proposed in the document to the discretion of the GHS Sub-Committee</w:t>
      </w:r>
      <w:r>
        <w:t>.</w:t>
      </w:r>
    </w:p>
    <w:p w14:paraId="63E3A58A" w14:textId="6F2E9A1E" w:rsidR="00B86536" w:rsidRPr="00E87332" w:rsidRDefault="00B86536" w:rsidP="00B86536">
      <w:pPr>
        <w:pStyle w:val="SingleTxtG"/>
      </w:pPr>
      <w:r w:rsidRPr="004733BB">
        <w:rPr>
          <w:i/>
          <w:iCs/>
        </w:rPr>
        <w:t>(Ref. Doc: ST/SG/AC.10/C.3/2024/R.1/Add.11 - Draft report from the TDG Sub-Committee on its sixty-fourth session)</w:t>
      </w:r>
      <w:r>
        <w:rPr>
          <w:i/>
          <w:iCs/>
        </w:rPr>
        <w:t xml:space="preserve"> </w:t>
      </w:r>
    </w:p>
    <w:p w14:paraId="7273CB13" w14:textId="20B7636C" w:rsidR="00B1410A" w:rsidRDefault="003351DB" w:rsidP="00736E85">
      <w:pPr>
        <w:pStyle w:val="H23G"/>
        <w:rPr>
          <w:rFonts w:eastAsia="MS Mincho"/>
          <w:lang w:eastAsia="ja-JP"/>
        </w:rPr>
      </w:pPr>
      <w:r>
        <w:rPr>
          <w:rFonts w:eastAsia="MS Mincho"/>
          <w:lang w:eastAsia="ja-JP"/>
        </w:rPr>
        <w:tab/>
        <w:t>2.</w:t>
      </w:r>
      <w:r>
        <w:rPr>
          <w:rFonts w:eastAsia="MS Mincho"/>
          <w:lang w:eastAsia="ja-JP"/>
        </w:rPr>
        <w:tab/>
      </w:r>
      <w:r w:rsidRPr="00547E65">
        <w:rPr>
          <w:rFonts w:eastAsia="MS Mincho"/>
          <w:lang w:eastAsia="ja-JP"/>
        </w:rPr>
        <w:t>Proposal for further clarification on the hazard class “Aerosols”  in the Globally Harmonized System</w:t>
      </w:r>
    </w:p>
    <w:p w14:paraId="780143E6" w14:textId="6768EA93" w:rsidR="003351DB" w:rsidRPr="004733BB" w:rsidRDefault="003351DB" w:rsidP="003351DB">
      <w:pPr>
        <w:pStyle w:val="SingleTxtG"/>
        <w:ind w:left="2552" w:hanging="1418"/>
        <w:jc w:val="left"/>
        <w:rPr>
          <w:i/>
          <w:iCs/>
        </w:rPr>
      </w:pPr>
      <w:r w:rsidRPr="004733BB">
        <w:t>Document:</w:t>
      </w:r>
      <w:r w:rsidRPr="004733BB">
        <w:tab/>
        <w:t>ST/SG/AC.10/C.4/2024/2 (</w:t>
      </w:r>
      <w:r w:rsidR="00013DE8" w:rsidRPr="004733BB">
        <w:t>FEA</w:t>
      </w:r>
      <w:r w:rsidRPr="004733BB">
        <w:t xml:space="preserve">) - </w:t>
      </w:r>
      <w:r w:rsidRPr="004733BB">
        <w:rPr>
          <w:i/>
          <w:iCs/>
        </w:rPr>
        <w:t>ST/SG/AC.10/C.3/2024/</w:t>
      </w:r>
      <w:r w:rsidR="00013DE8" w:rsidRPr="004733BB">
        <w:rPr>
          <w:i/>
          <w:iCs/>
        </w:rPr>
        <w:t>5</w:t>
      </w:r>
    </w:p>
    <w:p w14:paraId="2E5A37BD" w14:textId="57D318DB" w:rsidR="00232A30" w:rsidRPr="007278B9" w:rsidRDefault="00232A30" w:rsidP="00232A30">
      <w:pPr>
        <w:pStyle w:val="SingleTxtG"/>
        <w:rPr>
          <w:b/>
          <w:bCs/>
          <w:i/>
          <w:iCs/>
        </w:rPr>
      </w:pPr>
      <w:r w:rsidRPr="007278B9">
        <w:rPr>
          <w:b/>
          <w:bCs/>
          <w:i/>
          <w:iCs/>
        </w:rPr>
        <w:t>Conclusion by the Sub-Committee</w:t>
      </w:r>
    </w:p>
    <w:p w14:paraId="6DE51537" w14:textId="0232E841" w:rsidR="005316CE" w:rsidRDefault="005316CE" w:rsidP="005316CE">
      <w:pPr>
        <w:pStyle w:val="SingleTxtG"/>
      </w:pPr>
      <w:r>
        <w:t>109</w:t>
      </w:r>
      <w:r w:rsidRPr="00837B90">
        <w:t>.</w:t>
      </w:r>
      <w:r w:rsidRPr="00837B90">
        <w:tab/>
      </w:r>
      <w:r>
        <w:t>The TDG</w:t>
      </w:r>
      <w:r w:rsidRPr="00837B90">
        <w:t xml:space="preserve"> Sub-Committee </w:t>
      </w:r>
      <w:r w:rsidRPr="00C1732D">
        <w:t>considered that the proposed amendment would improve understanding of the criteria and supported the propos</w:t>
      </w:r>
      <w:r>
        <w:t>ed</w:t>
      </w:r>
      <w:r w:rsidRPr="00837B90">
        <w:t xml:space="preserve"> </w:t>
      </w:r>
      <w:r>
        <w:t>amendments to the GHS, subject to the decision by the GHS Sub-Committee.</w:t>
      </w:r>
    </w:p>
    <w:p w14:paraId="31BB7078" w14:textId="2B231D40" w:rsidR="003351DB" w:rsidRPr="007F70E5" w:rsidRDefault="005316CE" w:rsidP="005316CE">
      <w:pPr>
        <w:pStyle w:val="SingleTxtG"/>
        <w:rPr>
          <w:i/>
          <w:iCs/>
        </w:rPr>
      </w:pPr>
      <w:r w:rsidRPr="007F70E5">
        <w:rPr>
          <w:i/>
          <w:iCs/>
        </w:rPr>
        <w:t>(Ref. Doc: ST/SG/AC.10/C.3/2024/R.1/Add.11 - Draft report from the TDG Sub-Committee on its sixty-fourth session)</w:t>
      </w:r>
    </w:p>
    <w:p w14:paraId="3092DCAD" w14:textId="5A9ACF3F" w:rsidR="00CD407C" w:rsidRDefault="005C25B8" w:rsidP="005C25B8">
      <w:pPr>
        <w:pStyle w:val="H23G"/>
        <w:rPr>
          <w:rFonts w:eastAsia="MS Mincho"/>
          <w:lang w:eastAsia="ja-JP"/>
        </w:rPr>
      </w:pPr>
      <w:r>
        <w:rPr>
          <w:rFonts w:eastAsia="MS Mincho"/>
          <w:lang w:eastAsia="ja-JP"/>
        </w:rPr>
        <w:tab/>
        <w:t>3.</w:t>
      </w:r>
      <w:r>
        <w:rPr>
          <w:rFonts w:eastAsia="MS Mincho"/>
          <w:lang w:eastAsia="ja-JP"/>
        </w:rPr>
        <w:tab/>
      </w:r>
      <w:r w:rsidRPr="0000194C">
        <w:rPr>
          <w:rFonts w:eastAsia="MS Mincho"/>
          <w:lang w:eastAsia="ja-JP"/>
        </w:rPr>
        <w:t>Aerosols – Alignment of special provision 63 with special provision 362</w:t>
      </w:r>
    </w:p>
    <w:p w14:paraId="0738CBA5" w14:textId="656242C4" w:rsidR="00E91871" w:rsidRPr="00933ECF" w:rsidRDefault="00E91871" w:rsidP="00E91871">
      <w:pPr>
        <w:pStyle w:val="SingleTxtG"/>
        <w:ind w:left="2552" w:hanging="1418"/>
        <w:jc w:val="left"/>
        <w:rPr>
          <w:i/>
          <w:iCs/>
        </w:rPr>
      </w:pPr>
      <w:r w:rsidRPr="00933ECF">
        <w:t>Document:</w:t>
      </w:r>
      <w:r w:rsidRPr="00933ECF">
        <w:tab/>
        <w:t xml:space="preserve">ST/SG/AC.10/C.4/2024/3 (FEA) - </w:t>
      </w:r>
      <w:r w:rsidRPr="00933ECF">
        <w:rPr>
          <w:i/>
          <w:iCs/>
        </w:rPr>
        <w:t>ST/SG/AC.10/C.3/2024/6</w:t>
      </w:r>
    </w:p>
    <w:p w14:paraId="0D5ABA72" w14:textId="72923A8E" w:rsidR="00232A30" w:rsidRPr="007278B9" w:rsidRDefault="00232A30" w:rsidP="00232A30">
      <w:pPr>
        <w:pStyle w:val="SingleTxtG"/>
        <w:rPr>
          <w:b/>
          <w:bCs/>
          <w:i/>
          <w:iCs/>
        </w:rPr>
      </w:pPr>
      <w:r w:rsidRPr="007278B9">
        <w:rPr>
          <w:b/>
          <w:bCs/>
          <w:i/>
          <w:iCs/>
        </w:rPr>
        <w:t>Conclusion by the Sub-Committee</w:t>
      </w:r>
    </w:p>
    <w:p w14:paraId="21F32ADB" w14:textId="67EDD547" w:rsidR="005C25B8" w:rsidRDefault="00A95B9A" w:rsidP="001E078F">
      <w:pPr>
        <w:pStyle w:val="SingleTxtG"/>
      </w:pPr>
      <w:r>
        <w:t>110</w:t>
      </w:r>
      <w:r w:rsidRPr="00837B90">
        <w:t>.</w:t>
      </w:r>
      <w:r w:rsidRPr="00837B90">
        <w:tab/>
      </w:r>
      <w:r>
        <w:t>The TDG</w:t>
      </w:r>
      <w:r w:rsidRPr="00837B90">
        <w:t xml:space="preserve"> Sub-Committee </w:t>
      </w:r>
      <w:r>
        <w:t>noted general support on</w:t>
      </w:r>
      <w:r w:rsidRPr="00837B90">
        <w:t xml:space="preserve"> the </w:t>
      </w:r>
      <w:r>
        <w:t xml:space="preserve">amendments to the Manual of Tests and Criteria, </w:t>
      </w:r>
      <w:r w:rsidRPr="00837B90">
        <w:t>proposed in</w:t>
      </w:r>
      <w:r>
        <w:t xml:space="preserve"> paragraph 7 of the document. On the proposal in paragraph 6, the Sub-Committee expressed support in principle but considered that additional clarification was needed on the text before it could be considered for adoption. Several delegations pointed out that with the proposed amendments, the scope of the special provision would become unclear, as it regards classification based on the overall contents of the aerosol (including the propellant) or on contents other than the propellant. It was also noted that some editorial improvements may be needed and that a more recent version of standard ISO/FDIS 13943 for determination of the chemical heat of combustion was available. The representative of FEA welcomed the feedback provided and indicated his intention to revise the proposal accordingly, taking also into account any advice that the GHS Sub-Committee may wish to provide during the discussion of this topic at its forty-sixth session.</w:t>
      </w:r>
    </w:p>
    <w:p w14:paraId="1B0993A5" w14:textId="47D59CA0" w:rsidR="002E5742" w:rsidRPr="005C25B8" w:rsidRDefault="002E5742" w:rsidP="002E5742">
      <w:pPr>
        <w:pStyle w:val="SingleTxtG"/>
        <w:rPr>
          <w:rFonts w:eastAsia="MS Mincho"/>
          <w:lang w:eastAsia="ja-JP"/>
        </w:rPr>
      </w:pPr>
      <w:r w:rsidRPr="00933ECF">
        <w:rPr>
          <w:i/>
          <w:iCs/>
        </w:rPr>
        <w:t>(Ref. Doc: ST/SG/AC.10/C.3/2024/R.1/Add.11 - Draft report from the TDG Sub-Committee on its sixty-fourth session)</w:t>
      </w:r>
    </w:p>
    <w:p w14:paraId="7C5AD76A" w14:textId="1F122D98" w:rsidR="0028150B" w:rsidRDefault="009B6BFB" w:rsidP="006D4555">
      <w:pPr>
        <w:pStyle w:val="H23G"/>
        <w:rPr>
          <w:rFonts w:eastAsia="MS Mincho"/>
          <w:lang w:eastAsia="ja-JP"/>
        </w:rPr>
      </w:pPr>
      <w:r w:rsidRPr="006D4555">
        <w:rPr>
          <w:rFonts w:eastAsia="MS Mincho"/>
          <w:lang w:eastAsia="ja-JP"/>
        </w:rPr>
        <w:tab/>
      </w:r>
      <w:r w:rsidR="006D4555">
        <w:rPr>
          <w:rFonts w:eastAsia="MS Mincho"/>
          <w:lang w:eastAsia="ja-JP"/>
        </w:rPr>
        <w:t>4.</w:t>
      </w:r>
      <w:r w:rsidRPr="006D4555">
        <w:rPr>
          <w:rFonts w:eastAsia="MS Mincho"/>
          <w:lang w:eastAsia="ja-JP"/>
        </w:rPr>
        <w:tab/>
      </w:r>
      <w:r w:rsidR="006D4555" w:rsidRPr="00965EDC">
        <w:rPr>
          <w:rFonts w:eastAsia="MS Mincho"/>
          <w:lang w:eastAsia="ja-JP"/>
        </w:rPr>
        <w:t>Status report for the GHS informal working group on combinations of physical hazards</w:t>
      </w:r>
    </w:p>
    <w:p w14:paraId="27D3F5F2" w14:textId="5DFAE9DC" w:rsidR="00232A30" w:rsidRPr="00837B90" w:rsidRDefault="00232A30" w:rsidP="00232A30">
      <w:pPr>
        <w:pStyle w:val="SingleTxtG"/>
        <w:tabs>
          <w:tab w:val="left" w:pos="3119"/>
        </w:tabs>
      </w:pPr>
      <w:r w:rsidRPr="00837B90">
        <w:rPr>
          <w:i/>
          <w:iCs/>
        </w:rPr>
        <w:t>Informal document:</w:t>
      </w:r>
      <w:r>
        <w:tab/>
      </w:r>
      <w:r w:rsidR="006A42FF">
        <w:t>INF.11</w:t>
      </w:r>
      <w:r w:rsidR="00212E8B">
        <w:t xml:space="preserve"> </w:t>
      </w:r>
      <w:r w:rsidR="00212E8B" w:rsidRPr="00B03207">
        <w:t>(</w:t>
      </w:r>
      <w:r w:rsidR="00212E8B">
        <w:t>Germany on behalf of the IWG</w:t>
      </w:r>
      <w:r w:rsidR="00212E8B" w:rsidRPr="00B03207">
        <w:t>)</w:t>
      </w:r>
      <w:r w:rsidR="00212E8B">
        <w:t xml:space="preserve">- </w:t>
      </w:r>
      <w:r w:rsidR="00212E8B" w:rsidRPr="00212E8B">
        <w:rPr>
          <w:i/>
          <w:iCs/>
        </w:rPr>
        <w:t>TDG/</w:t>
      </w:r>
      <w:r w:rsidRPr="00212E8B">
        <w:rPr>
          <w:i/>
          <w:iCs/>
        </w:rPr>
        <w:t>INF.22</w:t>
      </w:r>
      <w:r>
        <w:t xml:space="preserve"> </w:t>
      </w:r>
    </w:p>
    <w:p w14:paraId="48CC8EE7" w14:textId="77777777" w:rsidR="00A96F1A" w:rsidRPr="007278B9" w:rsidRDefault="00A96F1A" w:rsidP="00A96F1A">
      <w:pPr>
        <w:pStyle w:val="SingleTxtG"/>
        <w:rPr>
          <w:b/>
          <w:bCs/>
          <w:i/>
          <w:iCs/>
        </w:rPr>
      </w:pPr>
      <w:r w:rsidRPr="007278B9">
        <w:rPr>
          <w:b/>
          <w:bCs/>
          <w:i/>
          <w:iCs/>
        </w:rPr>
        <w:t>Conclusion by the Sub-Committee</w:t>
      </w:r>
    </w:p>
    <w:p w14:paraId="098EFD7D" w14:textId="145AFAEC" w:rsidR="00232A30" w:rsidRDefault="00232A30" w:rsidP="00232A30">
      <w:pPr>
        <w:pStyle w:val="SingleTxtG"/>
      </w:pPr>
      <w:r>
        <w:t>107</w:t>
      </w:r>
      <w:r w:rsidRPr="00837B90">
        <w:t>.</w:t>
      </w:r>
      <w:r w:rsidRPr="00837B90">
        <w:tab/>
      </w:r>
      <w:r w:rsidRPr="00A82377">
        <w:t>The Sub-Committee took note of the progress report of the informal working group. Experts interested to participate in the work of the informal working group were invited to contact the expert from Germany (Ms. Cordula</w:t>
      </w:r>
      <w:r>
        <w:t xml:space="preserve"> </w:t>
      </w:r>
      <w:r w:rsidRPr="00A82377">
        <w:t>Wilrich).</w:t>
      </w:r>
    </w:p>
    <w:p w14:paraId="79276C1A" w14:textId="77777777" w:rsidR="006D4555" w:rsidRPr="00933ECF" w:rsidRDefault="006D4555" w:rsidP="006D4555">
      <w:pPr>
        <w:pStyle w:val="SingleTxtG"/>
        <w:rPr>
          <w:i/>
          <w:iCs/>
        </w:rPr>
      </w:pPr>
      <w:r w:rsidRPr="00933ECF">
        <w:rPr>
          <w:i/>
          <w:iCs/>
        </w:rPr>
        <w:t>(Ref. Doc: ST/SG/AC.10/C.3/2024/R.1/Add.11 - Draft report from the TDG Sub-Committee on its sixty-fourth session)</w:t>
      </w:r>
    </w:p>
    <w:p w14:paraId="622F698F" w14:textId="0CA0D86B" w:rsidR="008E4A26" w:rsidRDefault="008E4A26" w:rsidP="008E4A26">
      <w:pPr>
        <w:pStyle w:val="H1G"/>
      </w:pPr>
      <w:r>
        <w:tab/>
        <w:t>C.</w:t>
      </w:r>
      <w:r>
        <w:tab/>
      </w:r>
      <w:r w:rsidRPr="00AC78C9">
        <w:t>GHS agenda item 2 (</w:t>
      </w:r>
      <w:r>
        <w:t>j</w:t>
      </w:r>
      <w:r w:rsidRPr="00AC78C9">
        <w:t xml:space="preserve">) </w:t>
      </w:r>
    </w:p>
    <w:p w14:paraId="5674AB39" w14:textId="21EC50CA" w:rsidR="009235D7" w:rsidRPr="009235D7" w:rsidRDefault="009235D7" w:rsidP="009235D7">
      <w:pPr>
        <w:pStyle w:val="H23G"/>
      </w:pPr>
      <w:r>
        <w:rPr>
          <w:rFonts w:eastAsia="MS Mincho"/>
          <w:lang w:eastAsia="ja-JP"/>
        </w:rPr>
        <w:tab/>
        <w:t>1.</w:t>
      </w:r>
      <w:r>
        <w:rPr>
          <w:rFonts w:eastAsia="MS Mincho"/>
          <w:lang w:eastAsia="ja-JP"/>
        </w:rPr>
        <w:tab/>
      </w:r>
      <w:r w:rsidRPr="009235D7">
        <w:rPr>
          <w:rFonts w:eastAsia="MS Mincho"/>
          <w:lang w:eastAsia="ja-JP"/>
        </w:rPr>
        <w:t>Consideration of nitrocellulose mixtures in chapter 2.17 (Desensitized explosives) of the Globally Harmonized System, section 5</w:t>
      </w:r>
      <w:r w:rsidR="007278B9">
        <w:rPr>
          <w:rFonts w:eastAsia="MS Mincho"/>
          <w:lang w:eastAsia="ja-JP"/>
        </w:rPr>
        <w:t xml:space="preserve"> </w:t>
      </w:r>
      <w:r w:rsidRPr="009235D7">
        <w:rPr>
          <w:rFonts w:eastAsia="MS Mincho"/>
          <w:lang w:eastAsia="ja-JP"/>
        </w:rPr>
        <w:t>1 of the Manual of Tests and Criteria and special provision 393 of the Model Regulations</w:t>
      </w:r>
    </w:p>
    <w:p w14:paraId="2A16FA8B" w14:textId="5B034BF8" w:rsidR="008E7BF2" w:rsidRPr="00693CE0" w:rsidRDefault="008E7BF2" w:rsidP="008E7BF2">
      <w:pPr>
        <w:pStyle w:val="SingleTxtG"/>
        <w:ind w:left="2552" w:hanging="1418"/>
        <w:jc w:val="left"/>
        <w:rPr>
          <w:i/>
          <w:iCs/>
        </w:rPr>
      </w:pPr>
      <w:r w:rsidRPr="00693CE0">
        <w:t>Document:</w:t>
      </w:r>
      <w:r w:rsidRPr="00693CE0">
        <w:tab/>
        <w:t xml:space="preserve">ST/SG/AC.10/C.4/2024/5 (AEISG) - </w:t>
      </w:r>
      <w:r w:rsidRPr="00693CE0">
        <w:rPr>
          <w:i/>
          <w:iCs/>
        </w:rPr>
        <w:t>ST/SG/AC.10/C.3/2024/</w:t>
      </w:r>
      <w:r w:rsidR="007978FD" w:rsidRPr="00693CE0">
        <w:rPr>
          <w:i/>
          <w:iCs/>
        </w:rPr>
        <w:t>2</w:t>
      </w:r>
      <w:r w:rsidRPr="00693CE0">
        <w:rPr>
          <w:i/>
          <w:iCs/>
        </w:rPr>
        <w:t>4</w:t>
      </w:r>
    </w:p>
    <w:p w14:paraId="2DB6599B" w14:textId="5EF72578" w:rsidR="00CA322C" w:rsidRPr="00693CE0" w:rsidRDefault="00CA322C" w:rsidP="00CA322C">
      <w:pPr>
        <w:pStyle w:val="SingleTxtG"/>
        <w:ind w:left="2880" w:hanging="1746"/>
        <w:jc w:val="left"/>
        <w:rPr>
          <w:i/>
          <w:iCs/>
        </w:rPr>
      </w:pPr>
      <w:r w:rsidRPr="00693CE0">
        <w:rPr>
          <w:i/>
          <w:iCs/>
        </w:rPr>
        <w:t>Informal document: TDG/INF.67, paragraph 19  (report of the EWG)</w:t>
      </w:r>
    </w:p>
    <w:p w14:paraId="06D12479" w14:textId="3DE9ECC7" w:rsidR="00821621" w:rsidRPr="007278B9" w:rsidRDefault="00821621" w:rsidP="00821621">
      <w:pPr>
        <w:pStyle w:val="SingleTxtG"/>
        <w:rPr>
          <w:b/>
          <w:bCs/>
          <w:i/>
          <w:iCs/>
        </w:rPr>
      </w:pPr>
      <w:r w:rsidRPr="007278B9">
        <w:rPr>
          <w:b/>
          <w:bCs/>
          <w:i/>
          <w:iCs/>
        </w:rPr>
        <w:t xml:space="preserve">Conclusion </w:t>
      </w:r>
      <w:r w:rsidR="00191799" w:rsidRPr="007278B9">
        <w:rPr>
          <w:b/>
          <w:bCs/>
          <w:i/>
          <w:iCs/>
        </w:rPr>
        <w:t xml:space="preserve">by the </w:t>
      </w:r>
      <w:r w:rsidR="00E8635C" w:rsidRPr="007278B9">
        <w:rPr>
          <w:b/>
          <w:bCs/>
          <w:i/>
          <w:iCs/>
        </w:rPr>
        <w:t>Sub-Committee</w:t>
      </w:r>
    </w:p>
    <w:p w14:paraId="03DA5BD3" w14:textId="7977DFC9" w:rsidR="00821621" w:rsidRDefault="00821621" w:rsidP="00821621">
      <w:pPr>
        <w:pStyle w:val="SingleTxtG"/>
      </w:pPr>
      <w:r>
        <w:t>111</w:t>
      </w:r>
      <w:r w:rsidRPr="00837B90">
        <w:t>.</w:t>
      </w:r>
      <w:r w:rsidRPr="00837B90">
        <w:tab/>
      </w:r>
      <w:r w:rsidRPr="00886DE8">
        <w:t xml:space="preserve">The Sub-Committee </w:t>
      </w:r>
      <w:r>
        <w:t>noted</w:t>
      </w:r>
      <w:r w:rsidRPr="00886DE8">
        <w:t xml:space="preserve"> the outcome of the discussion on this topic by the Explosives Working Group and endorsed its recommendation (see </w:t>
      </w:r>
      <w:r>
        <w:t>i</w:t>
      </w:r>
      <w:r w:rsidRPr="00886DE8">
        <w:t xml:space="preserve">nformal document INF.67, </w:t>
      </w:r>
      <w:r>
        <w:t>para.</w:t>
      </w:r>
      <w:r w:rsidRPr="00886DE8">
        <w:t xml:space="preserve"> 19). The representative of AEISG welcomed the offer from SAAMI and the expert from the United States of America to work </w:t>
      </w:r>
      <w:r>
        <w:t>together</w:t>
      </w:r>
      <w:r w:rsidRPr="00886DE8">
        <w:t xml:space="preserve"> on a revised proposal aiming at finding a suitable solution to address the issues raised within this biennium. The Sub-Committee noted that AEISG intended to submit a revised proposal for the next session.</w:t>
      </w:r>
    </w:p>
    <w:p w14:paraId="44E2CA4D" w14:textId="1CF8C32B" w:rsidR="00CF64CA" w:rsidRDefault="00CF64CA" w:rsidP="00CF64CA">
      <w:pPr>
        <w:pStyle w:val="SingleTxtG"/>
      </w:pPr>
      <w:r w:rsidRPr="00102508">
        <w:rPr>
          <w:i/>
          <w:iCs/>
        </w:rPr>
        <w:t>(Ref. Doc: ST/SG/AC.10/C.3/2024/R.1/Add.11 - Draft report from the TDG Sub-Committee on its sixty-fourth session)</w:t>
      </w:r>
    </w:p>
    <w:p w14:paraId="6DA09BBA" w14:textId="44B8CA00" w:rsidR="002921CD" w:rsidRPr="00837B90" w:rsidRDefault="002921CD" w:rsidP="008148C8">
      <w:pPr>
        <w:pStyle w:val="H23G"/>
      </w:pPr>
      <w:r>
        <w:tab/>
      </w:r>
      <w:r w:rsidRPr="00837B90">
        <w:t>2.</w:t>
      </w:r>
      <w:r w:rsidRPr="00837B90">
        <w:tab/>
      </w:r>
      <w:r w:rsidRPr="004770D5">
        <w:rPr>
          <w:lang w:val="en-AU"/>
        </w:rPr>
        <w:t xml:space="preserve">Consideration of amendments to </w:t>
      </w:r>
      <w:r w:rsidR="00102508">
        <w:rPr>
          <w:lang w:val="en-AU"/>
        </w:rPr>
        <w:t>c</w:t>
      </w:r>
      <w:r w:rsidRPr="004770D5">
        <w:rPr>
          <w:lang w:val="en-AU"/>
        </w:rPr>
        <w:t xml:space="preserve">hapter 2.17 (Desensitised explosives) of the </w:t>
      </w:r>
      <w:r w:rsidRPr="00FB0D2C">
        <w:rPr>
          <w:lang w:val="en-AU"/>
        </w:rPr>
        <w:t>Globally Harmonized System and section 51 of the Manual of Tests and Criteria</w:t>
      </w:r>
    </w:p>
    <w:p w14:paraId="458330DF" w14:textId="3F59BF61" w:rsidR="002921CD" w:rsidRDefault="002921CD" w:rsidP="008148C8">
      <w:pPr>
        <w:pStyle w:val="SingleTxtG"/>
        <w:keepNext/>
        <w:keepLines/>
        <w:tabs>
          <w:tab w:val="left" w:pos="3119"/>
        </w:tabs>
      </w:pPr>
      <w:r w:rsidRPr="00837B90">
        <w:rPr>
          <w:i/>
          <w:iCs/>
        </w:rPr>
        <w:t>Document:</w:t>
      </w:r>
      <w:r w:rsidRPr="00837B90">
        <w:t xml:space="preserve"> </w:t>
      </w:r>
      <w:r w:rsidR="00C176BE" w:rsidRPr="00693CE0">
        <w:t>ST/SG/AC.10/C.4/2024/</w:t>
      </w:r>
      <w:r w:rsidR="008148C8">
        <w:t>6</w:t>
      </w:r>
      <w:r w:rsidR="00C176BE">
        <w:t xml:space="preserve"> </w:t>
      </w:r>
      <w:r w:rsidR="00C176BE" w:rsidRPr="00693CE0">
        <w:t>(AEISG)</w:t>
      </w:r>
      <w:r w:rsidR="00C176BE">
        <w:t xml:space="preserve"> - </w:t>
      </w:r>
      <w:r w:rsidR="00C176BE" w:rsidRPr="00693CE0">
        <w:t xml:space="preserve"> </w:t>
      </w:r>
      <w:r w:rsidRPr="00C176BE">
        <w:rPr>
          <w:i/>
          <w:iCs/>
        </w:rPr>
        <w:t>ST/SG/AC.10/C.3/2024/25</w:t>
      </w:r>
    </w:p>
    <w:p w14:paraId="54F6B00E" w14:textId="3DA12546" w:rsidR="002921CD" w:rsidRPr="00837B90" w:rsidRDefault="002921CD" w:rsidP="008148C8">
      <w:pPr>
        <w:pStyle w:val="SingleTxtG"/>
        <w:keepNext/>
        <w:keepLines/>
        <w:tabs>
          <w:tab w:val="left" w:pos="3119"/>
        </w:tabs>
      </w:pPr>
      <w:r w:rsidRPr="00837B90">
        <w:rPr>
          <w:i/>
          <w:iCs/>
        </w:rPr>
        <w:t>Informal document:</w:t>
      </w:r>
      <w:r>
        <w:tab/>
      </w:r>
      <w:r w:rsidR="0005453A">
        <w:t>TDG/</w:t>
      </w:r>
      <w:r w:rsidRPr="00B03207">
        <w:t>INF.</w:t>
      </w:r>
      <w:r>
        <w:t>67, para. 20</w:t>
      </w:r>
      <w:r w:rsidR="0031122E">
        <w:t xml:space="preserve"> and annex 2, amendment</w:t>
      </w:r>
      <w:r w:rsidR="006974B7">
        <w:t xml:space="preserve"> 8</w:t>
      </w:r>
      <w:r>
        <w:t xml:space="preserve"> </w:t>
      </w:r>
      <w:r w:rsidRPr="00B03207">
        <w:t>(</w:t>
      </w:r>
      <w:r>
        <w:t>Chair of the EWG)</w:t>
      </w:r>
    </w:p>
    <w:p w14:paraId="7447DCF7" w14:textId="77777777" w:rsidR="00CF64CA" w:rsidRPr="006D12E2" w:rsidRDefault="00CF64CA" w:rsidP="00744BF2">
      <w:pPr>
        <w:pStyle w:val="SingleTxtG"/>
        <w:keepNext/>
        <w:keepLines/>
        <w:rPr>
          <w:b/>
          <w:bCs/>
          <w:i/>
          <w:iCs/>
        </w:rPr>
      </w:pPr>
      <w:r w:rsidRPr="006D12E2">
        <w:rPr>
          <w:b/>
          <w:bCs/>
          <w:i/>
          <w:iCs/>
        </w:rPr>
        <w:t>Conclusion by the Sub-Committee</w:t>
      </w:r>
    </w:p>
    <w:p w14:paraId="16CCE926" w14:textId="5E37B506" w:rsidR="002921CD" w:rsidRDefault="002921CD" w:rsidP="00744BF2">
      <w:pPr>
        <w:pStyle w:val="SingleTxtG"/>
        <w:keepNext/>
        <w:keepLines/>
      </w:pPr>
      <w:r>
        <w:t>112</w:t>
      </w:r>
      <w:r w:rsidRPr="006E07FE">
        <w:t>.</w:t>
      </w:r>
      <w:r w:rsidRPr="006E07FE">
        <w:tab/>
        <w:t xml:space="preserve">The Sub-Committee </w:t>
      </w:r>
      <w:r>
        <w:t>endorsed</w:t>
      </w:r>
      <w:r w:rsidRPr="006E07FE">
        <w:t xml:space="preserve"> the </w:t>
      </w:r>
      <w:r>
        <w:rPr>
          <w:lang w:val="en-US"/>
        </w:rPr>
        <w:t xml:space="preserve">recommendation by the EWG and </w:t>
      </w:r>
      <w:r w:rsidRPr="009F0A54">
        <w:t xml:space="preserve">and, pending endorsement by the GHS Sub-Committee at its forty-sixth session, provisionally adopted the amendments to section 51 of the Manual of Tests and Criteria as amended by the explosives working group in informal document INF.67, annex 2, amendment 8 (see annex….). The Sub-Committee also endorsed the recommendation by the Explosives Working Group </w:t>
      </w:r>
      <w:r>
        <w:t>on</w:t>
      </w:r>
      <w:r w:rsidRPr="009F0A54">
        <w:t xml:space="preserve"> the proposal for amendment to chapter 2.17 of the GHS</w:t>
      </w:r>
      <w:r>
        <w:t>.</w:t>
      </w:r>
      <w:r w:rsidR="00747888">
        <w:t xml:space="preserve"> </w:t>
      </w:r>
    </w:p>
    <w:p w14:paraId="2527DBE0" w14:textId="1FDCD488" w:rsidR="00747888" w:rsidRDefault="00747888" w:rsidP="00F05E15">
      <w:pPr>
        <w:pStyle w:val="SingleTxtG"/>
      </w:pPr>
      <w:r>
        <w:rPr>
          <w:color w:val="FF0000"/>
        </w:rPr>
        <w:t xml:space="preserve">The recommended amendment </w:t>
      </w:r>
      <w:r w:rsidR="00A272C9">
        <w:rPr>
          <w:color w:val="FF0000"/>
        </w:rPr>
        <w:t>to chapter 2.17</w:t>
      </w:r>
      <w:r w:rsidR="004963A5">
        <w:rPr>
          <w:color w:val="FF0000"/>
        </w:rPr>
        <w:t xml:space="preserve"> </w:t>
      </w:r>
      <w:r>
        <w:rPr>
          <w:color w:val="FF0000"/>
        </w:rPr>
        <w:t>as proposed by the explosives working group is</w:t>
      </w:r>
      <w:r w:rsidR="00F05E15">
        <w:rPr>
          <w:color w:val="FF0000"/>
        </w:rPr>
        <w:t xml:space="preserve"> reproduced in</w:t>
      </w:r>
      <w:r w:rsidRPr="00320B79">
        <w:rPr>
          <w:color w:val="FF0000"/>
        </w:rPr>
        <w:t xml:space="preserve"> </w:t>
      </w:r>
      <w:r>
        <w:rPr>
          <w:color w:val="FF0000"/>
        </w:rPr>
        <w:t xml:space="preserve">the annex to this document for </w:t>
      </w:r>
      <w:r w:rsidR="00F05E15">
        <w:rPr>
          <w:color w:val="FF0000"/>
        </w:rPr>
        <w:t xml:space="preserve">consideration by the GHS Sub-Committee. </w:t>
      </w:r>
    </w:p>
    <w:p w14:paraId="2338B145" w14:textId="4C278205" w:rsidR="005E18A5" w:rsidRDefault="000130A1" w:rsidP="0031122E">
      <w:pPr>
        <w:pStyle w:val="SingleTxtG"/>
      </w:pPr>
      <w:r w:rsidRPr="004963A5">
        <w:rPr>
          <w:i/>
          <w:iCs/>
        </w:rPr>
        <w:t>(Ref. Doc: ST/SG/AC.10/C.3/2024/R.1/Add.11 - Draft report from the TDG Sub-Committee on its sixty-fourth session)</w:t>
      </w:r>
    </w:p>
    <w:p w14:paraId="4E190509" w14:textId="77777777" w:rsidR="002921CD" w:rsidRPr="00837B90" w:rsidRDefault="002921CD" w:rsidP="002921CD">
      <w:pPr>
        <w:pStyle w:val="H23G"/>
      </w:pPr>
      <w:r w:rsidRPr="00837B90">
        <w:tab/>
      </w:r>
      <w:r>
        <w:t>3</w:t>
      </w:r>
      <w:r w:rsidRPr="00837B90">
        <w:t>.</w:t>
      </w:r>
      <w:r w:rsidRPr="00837B90">
        <w:tab/>
      </w:r>
      <w:r w:rsidRPr="00D9143F">
        <w:rPr>
          <w:rFonts w:eastAsia="MS Mincho"/>
          <w:lang w:val="en-US" w:eastAsia="ja-JP"/>
        </w:rPr>
        <w:t xml:space="preserve">Proposal for clarification to </w:t>
      </w:r>
      <w:r w:rsidRPr="00BE46C4">
        <w:rPr>
          <w:lang w:val="en-AU"/>
        </w:rPr>
        <w:t>the</w:t>
      </w:r>
      <w:r w:rsidRPr="00D9143F">
        <w:rPr>
          <w:rFonts w:eastAsia="MS Mincho"/>
          <w:lang w:val="en-US" w:eastAsia="ja-JP"/>
        </w:rPr>
        <w:t xml:space="preserve"> aerosol category 3 criteria</w:t>
      </w:r>
    </w:p>
    <w:p w14:paraId="30E306E2" w14:textId="42276CFD" w:rsidR="002921CD" w:rsidRPr="00837B90" w:rsidRDefault="002921CD" w:rsidP="002921CD">
      <w:pPr>
        <w:pStyle w:val="SingleTxtG"/>
        <w:tabs>
          <w:tab w:val="left" w:pos="3119"/>
        </w:tabs>
      </w:pPr>
      <w:r w:rsidRPr="00837B90">
        <w:rPr>
          <w:i/>
          <w:iCs/>
        </w:rPr>
        <w:t>Informal document:</w:t>
      </w:r>
      <w:r>
        <w:tab/>
      </w:r>
      <w:r w:rsidRPr="00B03207">
        <w:t>INF.</w:t>
      </w:r>
      <w:r w:rsidR="00CF64CA">
        <w:t>16</w:t>
      </w:r>
      <w:r>
        <w:t xml:space="preserve"> </w:t>
      </w:r>
      <w:r w:rsidRPr="00B03207">
        <w:t>(</w:t>
      </w:r>
      <w:r w:rsidRPr="00D9143F">
        <w:rPr>
          <w:rFonts w:eastAsia="MS Mincho"/>
          <w:lang w:val="en-US" w:eastAsia="ja-JP"/>
        </w:rPr>
        <w:t>United States of America</w:t>
      </w:r>
      <w:r w:rsidRPr="00B03207">
        <w:t>)</w:t>
      </w:r>
      <w:r w:rsidR="00CF64CA">
        <w:t xml:space="preserve"> - </w:t>
      </w:r>
      <w:r w:rsidR="00CF64CA" w:rsidRPr="00B10BDB">
        <w:rPr>
          <w:i/>
          <w:iCs/>
        </w:rPr>
        <w:t>TDG/INF.57</w:t>
      </w:r>
    </w:p>
    <w:p w14:paraId="5D090C60" w14:textId="6C276A8C" w:rsidR="0028150B" w:rsidRDefault="002921CD" w:rsidP="007905FD">
      <w:pPr>
        <w:pStyle w:val="SingleTxtG"/>
      </w:pPr>
      <w:r>
        <w:t>113</w:t>
      </w:r>
      <w:r w:rsidRPr="00837B90">
        <w:t>.</w:t>
      </w:r>
      <w:r w:rsidRPr="00837B90">
        <w:tab/>
      </w:r>
      <w:r w:rsidRPr="00FF358C">
        <w:t xml:space="preserve">The Sub-Committee supported the proposal in principle. The expert from the United States of America invited experts who </w:t>
      </w:r>
      <w:r>
        <w:t>commented</w:t>
      </w:r>
      <w:r w:rsidRPr="00FF358C">
        <w:t xml:space="preserve"> to send </w:t>
      </w:r>
      <w:r>
        <w:t xml:space="preserve">their </w:t>
      </w:r>
      <w:r w:rsidRPr="00FF358C">
        <w:t>writ</w:t>
      </w:r>
      <w:r>
        <w:t>ten comments</w:t>
      </w:r>
      <w:r w:rsidRPr="00FF358C">
        <w:t xml:space="preserve"> </w:t>
      </w:r>
      <w:r w:rsidR="0068448F">
        <w:t xml:space="preserve">to </w:t>
      </w:r>
      <w:r w:rsidR="0068448F" w:rsidRPr="00FF358C">
        <w:t>Ms. Janet Carter</w:t>
      </w:r>
      <w:r>
        <w:t xml:space="preserve"> in order to prepare an official document for the next session and to take account of the feedback received.</w:t>
      </w:r>
    </w:p>
    <w:p w14:paraId="1C399C6C" w14:textId="26A11852" w:rsidR="007905FD" w:rsidRDefault="007905FD" w:rsidP="007905FD">
      <w:pPr>
        <w:pStyle w:val="SingleTxtG"/>
        <w:rPr>
          <w:i/>
          <w:iCs/>
        </w:rPr>
      </w:pPr>
      <w:r w:rsidRPr="004963A5">
        <w:rPr>
          <w:i/>
          <w:iCs/>
        </w:rPr>
        <w:t>(Ref. Doc: ST/SG/AC.10/C.3/2024/R.1/Add.11 - Draft report from the TDG Sub-Committee on its sixty-fourth session)</w:t>
      </w:r>
    </w:p>
    <w:p w14:paraId="418A986F" w14:textId="73D5AB40" w:rsidR="00006AA3" w:rsidRDefault="00006AA3" w:rsidP="007905FD">
      <w:pPr>
        <w:pStyle w:val="SingleTxtG"/>
        <w:rPr>
          <w:i/>
          <w:iCs/>
          <w:highlight w:val="yellow"/>
        </w:rPr>
      </w:pPr>
      <w:r>
        <w:rPr>
          <w:i/>
          <w:iCs/>
          <w:highlight w:val="yellow"/>
        </w:rPr>
        <w:br w:type="page"/>
      </w:r>
    </w:p>
    <w:p w14:paraId="6717B494" w14:textId="7548BE61" w:rsidR="001D33B7" w:rsidRDefault="00006AA3" w:rsidP="00006AA3">
      <w:pPr>
        <w:pStyle w:val="HChG"/>
      </w:pPr>
      <w:r>
        <w:tab/>
      </w:r>
      <w:r>
        <w:tab/>
        <w:t>Annex</w:t>
      </w:r>
    </w:p>
    <w:p w14:paraId="2664CCA0" w14:textId="14F07999" w:rsidR="00006AA3" w:rsidRDefault="00006AA3" w:rsidP="00006AA3">
      <w:pPr>
        <w:pStyle w:val="HChG"/>
      </w:pPr>
      <w:r>
        <w:tab/>
      </w:r>
      <w:r>
        <w:tab/>
      </w:r>
      <w:r w:rsidR="00F72395">
        <w:t>P</w:t>
      </w:r>
      <w:r>
        <w:t xml:space="preserve">roposed amendments to the GHS </w:t>
      </w:r>
      <w:r w:rsidR="00DB7F61">
        <w:t>recommended by the explosives working group</w:t>
      </w:r>
    </w:p>
    <w:p w14:paraId="5C31818E" w14:textId="6C516570" w:rsidR="00F72395" w:rsidRPr="007E640E" w:rsidRDefault="007E640E" w:rsidP="007E640E">
      <w:pPr>
        <w:pStyle w:val="H23G"/>
      </w:pPr>
      <w:r w:rsidRPr="007E640E">
        <w:tab/>
      </w:r>
      <w:r w:rsidRPr="007E640E">
        <w:tab/>
      </w:r>
      <w:r w:rsidR="00F72395" w:rsidRPr="007E640E">
        <w:t>Chapter 2.8</w:t>
      </w:r>
    </w:p>
    <w:p w14:paraId="77615103" w14:textId="50493AFF" w:rsidR="0007004F" w:rsidRPr="007E640E" w:rsidRDefault="0007004F" w:rsidP="007E640E">
      <w:pPr>
        <w:pStyle w:val="SingleTxtG"/>
      </w:pPr>
      <w:r w:rsidRPr="007E640E">
        <w:t xml:space="preserve">In paragraph 2.8.1.1, </w:t>
      </w:r>
      <w:r w:rsidR="006478C4" w:rsidRPr="007E640E">
        <w:t xml:space="preserve">amend the end of the </w:t>
      </w:r>
      <w:r w:rsidRPr="007E640E">
        <w:t>second sentence</w:t>
      </w:r>
      <w:r w:rsidR="006478C4" w:rsidRPr="007E640E">
        <w:t xml:space="preserve"> to read as follows</w:t>
      </w:r>
      <w:r w:rsidRPr="007E640E">
        <w:t xml:space="preserve">: </w:t>
      </w:r>
    </w:p>
    <w:p w14:paraId="6B6DE28A" w14:textId="77777777" w:rsidR="0007004F" w:rsidRDefault="0007004F" w:rsidP="005E3E34">
      <w:pPr>
        <w:pStyle w:val="SingleTxtG"/>
        <w:spacing w:line="240" w:lineRule="auto"/>
        <w:ind w:right="43"/>
        <w:rPr>
          <w:lang w:val="en-US"/>
        </w:rPr>
      </w:pPr>
      <w:r w:rsidRPr="00DD7597">
        <w:rPr>
          <w:lang w:val="en-US"/>
        </w:rPr>
        <w:t xml:space="preserve">“… as explosives, organic peroxides or oxidizing </w:t>
      </w:r>
      <w:r w:rsidRPr="00D913E6">
        <w:rPr>
          <w:b/>
          <w:bCs/>
          <w:color w:val="00B0F0"/>
          <w:u w:val="single"/>
          <w:lang w:val="en-US"/>
        </w:rPr>
        <w:t>liquids or solids</w:t>
      </w:r>
      <w:r w:rsidRPr="00DD7597">
        <w:rPr>
          <w:lang w:val="en-US"/>
        </w:rPr>
        <w:t xml:space="preserve">.” </w:t>
      </w:r>
    </w:p>
    <w:p w14:paraId="070CD51A" w14:textId="3648D316" w:rsidR="00166B42" w:rsidRPr="00565495" w:rsidRDefault="00166B42" w:rsidP="005E3E34">
      <w:pPr>
        <w:pStyle w:val="SingleTxtG"/>
        <w:spacing w:line="240" w:lineRule="auto"/>
        <w:ind w:right="43"/>
        <w:rPr>
          <w:i/>
          <w:iCs/>
          <w:lang w:val="en-US"/>
        </w:rPr>
      </w:pPr>
      <w:r w:rsidRPr="00565495">
        <w:rPr>
          <w:i/>
          <w:iCs/>
          <w:lang w:val="en-US"/>
        </w:rPr>
        <w:t>(</w:t>
      </w:r>
      <w:r w:rsidR="00565495">
        <w:rPr>
          <w:i/>
          <w:iCs/>
          <w:lang w:val="en-US"/>
        </w:rPr>
        <w:t xml:space="preserve">For background information, refer to </w:t>
      </w:r>
      <w:r w:rsidRPr="00565495">
        <w:rPr>
          <w:i/>
          <w:iCs/>
          <w:lang w:val="en-US"/>
        </w:rPr>
        <w:t xml:space="preserve">section </w:t>
      </w:r>
      <w:r w:rsidR="00565495" w:rsidRPr="00565495">
        <w:rPr>
          <w:i/>
          <w:iCs/>
          <w:lang w:val="en-US"/>
        </w:rPr>
        <w:t>A.2 in this document)</w:t>
      </w:r>
    </w:p>
    <w:p w14:paraId="2C362BA6" w14:textId="347AB364" w:rsidR="00DB7F61" w:rsidRPr="007E640E" w:rsidRDefault="007E640E" w:rsidP="007E640E">
      <w:pPr>
        <w:pStyle w:val="H23G"/>
      </w:pPr>
      <w:r>
        <w:tab/>
      </w:r>
      <w:r>
        <w:tab/>
      </w:r>
      <w:r w:rsidR="00DB7F61" w:rsidRPr="007E640E">
        <w:t>Chapter 2.17</w:t>
      </w:r>
    </w:p>
    <w:p w14:paraId="41992AE7" w14:textId="55FD8FC5" w:rsidR="007D28A3" w:rsidRPr="007D28A3" w:rsidRDefault="007D28A3" w:rsidP="007E640E">
      <w:pPr>
        <w:pStyle w:val="SingleTxtG"/>
      </w:pPr>
      <w:r w:rsidRPr="007D28A3">
        <w:t>In chapter 2.17 of the GHS amend the note in 2.17.2.2 as follows</w:t>
      </w:r>
      <w:r w:rsidR="007E640E">
        <w:t>:</w:t>
      </w:r>
    </w:p>
    <w:p w14:paraId="2C0FC17A" w14:textId="31990063" w:rsidR="007D28A3" w:rsidRDefault="007D28A3" w:rsidP="007E640E">
      <w:pPr>
        <w:pStyle w:val="SingleTxtG"/>
        <w:spacing w:after="240"/>
        <w:ind w:right="1229"/>
        <w:rPr>
          <w:bCs/>
          <w:i/>
          <w:iCs/>
          <w:lang w:val="en-US"/>
        </w:rPr>
      </w:pPr>
      <w:r w:rsidRPr="008C5E87">
        <w:rPr>
          <w:b/>
          <w:bCs/>
          <w:i/>
          <w:iCs/>
          <w:lang w:val="en-US"/>
        </w:rPr>
        <w:t xml:space="preserve">“NOTE: </w:t>
      </w:r>
      <w:r w:rsidRPr="008C5E87">
        <w:rPr>
          <w:bCs/>
          <w:i/>
          <w:iCs/>
          <w:lang w:val="en-US"/>
        </w:rPr>
        <w:t xml:space="preserve">Phlegmatized explosives which do not meet the criteria of 2.17.2.2 should </w:t>
      </w:r>
      <w:r w:rsidRPr="008C5E87">
        <w:rPr>
          <w:b/>
          <w:i/>
          <w:iCs/>
          <w:color w:val="00B0F0"/>
          <w:u w:val="single"/>
          <w:lang w:val="en-US"/>
        </w:rPr>
        <w:t>not</w:t>
      </w:r>
      <w:r w:rsidRPr="008C5E87">
        <w:rPr>
          <w:bCs/>
          <w:i/>
          <w:iCs/>
          <w:color w:val="00B0F0"/>
          <w:lang w:val="en-US"/>
        </w:rPr>
        <w:t xml:space="preserve"> </w:t>
      </w:r>
      <w:r w:rsidRPr="008C5E87">
        <w:rPr>
          <w:bCs/>
          <w:i/>
          <w:iCs/>
          <w:lang w:val="en-US"/>
        </w:rPr>
        <w:t>be classified as</w:t>
      </w:r>
      <w:r w:rsidRPr="00C41CDA">
        <w:rPr>
          <w:b/>
          <w:bCs/>
          <w:i/>
          <w:iCs/>
          <w:lang w:val="en-US"/>
        </w:rPr>
        <w:t xml:space="preserve"> </w:t>
      </w:r>
      <w:r w:rsidRPr="00C41CDA">
        <w:rPr>
          <w:b/>
          <w:bCs/>
          <w:i/>
          <w:iCs/>
          <w:color w:val="00B0F0"/>
          <w:u w:val="single"/>
        </w:rPr>
        <w:t>a desensitized explosive and should be classified as an explosive in accordance with chapter 2.1 of the GHS</w:t>
      </w:r>
      <w:r>
        <w:rPr>
          <w:b/>
          <w:bCs/>
          <w:color w:val="00B0F0"/>
          <w:u w:val="single"/>
        </w:rPr>
        <w:t>.</w:t>
      </w:r>
      <w:r w:rsidRPr="008C5E87">
        <w:rPr>
          <w:b/>
          <w:bCs/>
          <w:color w:val="00B0F0"/>
        </w:rPr>
        <w:t xml:space="preserve"> </w:t>
      </w:r>
      <w:r w:rsidRPr="008C5E87">
        <w:rPr>
          <w:bCs/>
          <w:i/>
          <w:iCs/>
          <w:strike/>
          <w:color w:val="FF0000"/>
          <w:lang w:val="en-US"/>
        </w:rPr>
        <w:t>explosives (see chapter 2.1)</w:t>
      </w:r>
      <w:r w:rsidRPr="008C5E87">
        <w:rPr>
          <w:bCs/>
          <w:i/>
          <w:iCs/>
          <w:lang w:val="en-US"/>
        </w:rPr>
        <w:t>.”</w:t>
      </w:r>
      <w:r w:rsidR="007E640E">
        <w:rPr>
          <w:bCs/>
          <w:i/>
          <w:iCs/>
          <w:lang w:val="en-US"/>
        </w:rPr>
        <w:t>.</w:t>
      </w:r>
    </w:p>
    <w:p w14:paraId="208FF4F1" w14:textId="63919953" w:rsidR="00565495" w:rsidRDefault="00565495" w:rsidP="00565495">
      <w:pPr>
        <w:pStyle w:val="SingleTxtG"/>
        <w:spacing w:line="240" w:lineRule="auto"/>
        <w:ind w:right="43"/>
        <w:rPr>
          <w:i/>
          <w:iCs/>
          <w:lang w:val="en-US"/>
        </w:rPr>
      </w:pPr>
      <w:r w:rsidRPr="00565495">
        <w:rPr>
          <w:i/>
          <w:iCs/>
          <w:lang w:val="en-US"/>
        </w:rPr>
        <w:t>(</w:t>
      </w:r>
      <w:r>
        <w:rPr>
          <w:i/>
          <w:iCs/>
          <w:lang w:val="en-US"/>
        </w:rPr>
        <w:t xml:space="preserve">For background information, refer to </w:t>
      </w:r>
      <w:r w:rsidRPr="00565495">
        <w:rPr>
          <w:i/>
          <w:iCs/>
          <w:lang w:val="en-US"/>
        </w:rPr>
        <w:t xml:space="preserve">section </w:t>
      </w:r>
      <w:r>
        <w:rPr>
          <w:i/>
          <w:iCs/>
          <w:lang w:val="en-US"/>
        </w:rPr>
        <w:t>C</w:t>
      </w:r>
      <w:r w:rsidRPr="00565495">
        <w:rPr>
          <w:i/>
          <w:iCs/>
          <w:lang w:val="en-US"/>
        </w:rPr>
        <w:t>.2 in this document)</w:t>
      </w:r>
    </w:p>
    <w:p w14:paraId="5D6F11D8" w14:textId="090C6383" w:rsidR="000A4EBE" w:rsidRPr="000A4EBE" w:rsidRDefault="000A4EBE" w:rsidP="000A4EBE">
      <w:pPr>
        <w:spacing w:before="240"/>
        <w:jc w:val="center"/>
        <w:rPr>
          <w:u w:val="single"/>
          <w:lang w:val="en-US"/>
        </w:rPr>
      </w:pPr>
      <w:r>
        <w:rPr>
          <w:u w:val="single"/>
          <w:lang w:val="en-US"/>
        </w:rPr>
        <w:tab/>
      </w:r>
      <w:r>
        <w:rPr>
          <w:u w:val="single"/>
          <w:lang w:val="en-US"/>
        </w:rPr>
        <w:tab/>
      </w:r>
      <w:r>
        <w:rPr>
          <w:u w:val="single"/>
          <w:lang w:val="en-US"/>
        </w:rPr>
        <w:tab/>
      </w:r>
    </w:p>
    <w:sectPr w:rsidR="000A4EBE" w:rsidRPr="000A4EBE" w:rsidSect="00D57610">
      <w:headerReference w:type="even" r:id="rId11"/>
      <w:headerReference w:type="default" r:id="rId12"/>
      <w:footerReference w:type="even" r:id="rId13"/>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6719F" w14:textId="77777777" w:rsidR="00140C46" w:rsidRDefault="00140C46" w:rsidP="00760F29">
      <w:pPr>
        <w:spacing w:line="240" w:lineRule="auto"/>
      </w:pPr>
      <w:r>
        <w:separator/>
      </w:r>
    </w:p>
  </w:endnote>
  <w:endnote w:type="continuationSeparator" w:id="0">
    <w:p w14:paraId="7C9F63E6" w14:textId="77777777" w:rsidR="00140C46" w:rsidRDefault="00140C46" w:rsidP="00760F29">
      <w:pPr>
        <w:spacing w:line="240" w:lineRule="auto"/>
      </w:pPr>
      <w:r>
        <w:continuationSeparator/>
      </w:r>
    </w:p>
  </w:endnote>
  <w:endnote w:type="continuationNotice" w:id="1">
    <w:p w14:paraId="6A6D4D4A" w14:textId="77777777" w:rsidR="00140C46" w:rsidRDefault="00140C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5841143"/>
      <w:docPartObj>
        <w:docPartGallery w:val="Page Numbers (Bottom of Page)"/>
        <w:docPartUnique/>
      </w:docPartObj>
    </w:sdtPr>
    <w:sdtEndPr>
      <w:rPr>
        <w:b/>
        <w:noProof/>
        <w:sz w:val="18"/>
      </w:rPr>
    </w:sdtEndPr>
    <w:sdtContent>
      <w:p w14:paraId="4544BF83" w14:textId="77777777" w:rsidR="00574027" w:rsidRPr="00AA3D2B" w:rsidRDefault="00574027">
        <w:pPr>
          <w:pStyle w:val="Footer"/>
          <w:rPr>
            <w:b/>
            <w:sz w:val="18"/>
          </w:rPr>
        </w:pPr>
        <w:r w:rsidRPr="00AA3D2B">
          <w:rPr>
            <w:b/>
            <w:sz w:val="18"/>
          </w:rPr>
          <w:fldChar w:fldCharType="begin"/>
        </w:r>
        <w:r w:rsidRPr="00AA3D2B">
          <w:rPr>
            <w:b/>
            <w:sz w:val="18"/>
          </w:rPr>
          <w:instrText xml:space="preserve"> PAGE   \* MERGEFORMAT </w:instrText>
        </w:r>
        <w:r w:rsidRPr="00AA3D2B">
          <w:rPr>
            <w:b/>
            <w:sz w:val="18"/>
          </w:rPr>
          <w:fldChar w:fldCharType="separate"/>
        </w:r>
        <w:r w:rsidR="00D660CB">
          <w:rPr>
            <w:b/>
            <w:noProof/>
            <w:sz w:val="18"/>
          </w:rPr>
          <w:t>6</w:t>
        </w:r>
        <w:r w:rsidRPr="00AA3D2B">
          <w:rPr>
            <w:b/>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527124"/>
      <w:docPartObj>
        <w:docPartGallery w:val="Page Numbers (Bottom of Page)"/>
        <w:docPartUnique/>
      </w:docPartObj>
    </w:sdtPr>
    <w:sdtEndPr>
      <w:rPr>
        <w:b/>
        <w:noProof/>
        <w:sz w:val="18"/>
      </w:rPr>
    </w:sdtEndPr>
    <w:sdtContent>
      <w:p w14:paraId="6EFD7E8D" w14:textId="77777777" w:rsidR="00574027" w:rsidRPr="00AA3D2B" w:rsidRDefault="00574027">
        <w:pPr>
          <w:pStyle w:val="Footer"/>
          <w:jc w:val="right"/>
          <w:rPr>
            <w:b/>
            <w:sz w:val="18"/>
          </w:rPr>
        </w:pPr>
        <w:r w:rsidRPr="00AA3D2B">
          <w:rPr>
            <w:b/>
            <w:sz w:val="18"/>
          </w:rPr>
          <w:fldChar w:fldCharType="begin"/>
        </w:r>
        <w:r w:rsidRPr="00AA3D2B">
          <w:rPr>
            <w:b/>
            <w:sz w:val="18"/>
          </w:rPr>
          <w:instrText xml:space="preserve"> PAGE   \* MERGEFORMAT </w:instrText>
        </w:r>
        <w:r w:rsidRPr="00AA3D2B">
          <w:rPr>
            <w:b/>
            <w:sz w:val="18"/>
          </w:rPr>
          <w:fldChar w:fldCharType="separate"/>
        </w:r>
        <w:r w:rsidR="00D660CB">
          <w:rPr>
            <w:b/>
            <w:noProof/>
            <w:sz w:val="18"/>
          </w:rPr>
          <w:t>5</w:t>
        </w:r>
        <w:r w:rsidRPr="00AA3D2B">
          <w:rPr>
            <w:b/>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4775F" w14:textId="77777777" w:rsidR="00140C46" w:rsidRDefault="00140C46" w:rsidP="00760F29">
      <w:pPr>
        <w:spacing w:line="240" w:lineRule="auto"/>
      </w:pPr>
      <w:r>
        <w:separator/>
      </w:r>
    </w:p>
  </w:footnote>
  <w:footnote w:type="continuationSeparator" w:id="0">
    <w:p w14:paraId="7B530E93" w14:textId="77777777" w:rsidR="00140C46" w:rsidRDefault="00140C46" w:rsidP="00760F29">
      <w:pPr>
        <w:spacing w:line="240" w:lineRule="auto"/>
      </w:pPr>
      <w:r>
        <w:continuationSeparator/>
      </w:r>
    </w:p>
  </w:footnote>
  <w:footnote w:type="continuationNotice" w:id="1">
    <w:p w14:paraId="3E4059FD" w14:textId="77777777" w:rsidR="00140C46" w:rsidRDefault="00140C46">
      <w:pPr>
        <w:spacing w:line="240" w:lineRule="auto"/>
      </w:pPr>
    </w:p>
  </w:footnote>
  <w:footnote w:id="2">
    <w:p w14:paraId="4F68731A" w14:textId="0280188C" w:rsidR="008A43AF" w:rsidRPr="00FE42F5" w:rsidRDefault="008A43AF" w:rsidP="008A43AF">
      <w:pPr>
        <w:pStyle w:val="FootnoteText"/>
        <w:rPr>
          <w:lang w:val="fr-CH"/>
        </w:rPr>
      </w:pPr>
      <w:r>
        <w:tab/>
      </w:r>
      <w:r w:rsidRPr="00FE42F5">
        <w:rPr>
          <w:rStyle w:val="FootnoteReference"/>
        </w:rPr>
        <w:footnoteRef/>
      </w:r>
      <w:r w:rsidRPr="00FE42F5">
        <w:t xml:space="preserve"> </w:t>
      </w:r>
      <w:r w:rsidRPr="00FE42F5">
        <w:tab/>
        <w:t>ST/SG/AC.10/C.3/12</w:t>
      </w:r>
      <w:r w:rsidR="00FE42F5" w:rsidRPr="00FE42F5">
        <w:t>7 and -127/Add.1</w:t>
      </w:r>
      <w:r w:rsidRPr="00FE42F5">
        <w:t xml:space="preserve"> (</w:t>
      </w:r>
      <w:r w:rsidR="00FE42F5" w:rsidRPr="00FE42F5">
        <w:t>https://unece.org/info/Transport/Dangerous-Goods/events/385416</w:t>
      </w:r>
      <w:r w:rsidRPr="00FE42F5">
        <w:t>)</w:t>
      </w:r>
    </w:p>
  </w:footnote>
  <w:footnote w:id="3">
    <w:p w14:paraId="768FF3D1" w14:textId="77777777" w:rsidR="00C32522" w:rsidRPr="00FE42F5" w:rsidRDefault="00C32522" w:rsidP="00C32522">
      <w:pPr>
        <w:pStyle w:val="FootnoteText"/>
        <w:rPr>
          <w:lang w:val="fr-CH"/>
        </w:rPr>
      </w:pPr>
      <w:r>
        <w:tab/>
      </w:r>
      <w:r>
        <w:rPr>
          <w:rStyle w:val="FootnoteReference"/>
        </w:rPr>
        <w:footnoteRef/>
      </w:r>
      <w:r>
        <w:t xml:space="preserve"> </w:t>
      </w:r>
      <w:r>
        <w:tab/>
      </w:r>
      <w:r w:rsidRPr="00FE42F5">
        <w:t>https://unece.org/transport/documents/2024/06/informal-documents/report-working-group-explosives-ewg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070A1" w14:textId="41D12CF1" w:rsidR="00574027" w:rsidRPr="00CE031D" w:rsidRDefault="00574027" w:rsidP="00AA3D2B">
    <w:pPr>
      <w:pStyle w:val="Header"/>
      <w:rPr>
        <w:szCs w:val="18"/>
      </w:rPr>
    </w:pPr>
    <w:r w:rsidRPr="00630CCB">
      <w:rPr>
        <w:szCs w:val="18"/>
      </w:rPr>
      <w:t>UN/SCE</w:t>
    </w:r>
    <w:r w:rsidR="00F47212" w:rsidRPr="00630CCB">
      <w:rPr>
        <w:szCs w:val="18"/>
      </w:rPr>
      <w:t>GHS</w:t>
    </w:r>
    <w:r w:rsidRPr="00630CCB">
      <w:rPr>
        <w:szCs w:val="18"/>
      </w:rPr>
      <w:t>/4</w:t>
    </w:r>
    <w:r w:rsidR="00CA35BD" w:rsidRPr="00630CCB">
      <w:rPr>
        <w:szCs w:val="18"/>
      </w:rPr>
      <w:t>6</w:t>
    </w:r>
    <w:r w:rsidR="00101999" w:rsidRPr="00630CCB">
      <w:rPr>
        <w:szCs w:val="18"/>
      </w:rPr>
      <w:t>/</w:t>
    </w:r>
    <w:r w:rsidRPr="00630CCB">
      <w:rPr>
        <w:szCs w:val="18"/>
      </w:rPr>
      <w:t>INF.</w:t>
    </w:r>
    <w:r w:rsidR="00630CCB" w:rsidRPr="00630CCB">
      <w:rPr>
        <w:szCs w:val="18"/>
      </w:rPr>
      <w:t>21</w:t>
    </w:r>
  </w:p>
  <w:p w14:paraId="018D7C53" w14:textId="77777777" w:rsidR="00574027" w:rsidRPr="0062617C" w:rsidRDefault="00574027" w:rsidP="0062617C">
    <w:pPr>
      <w:pStyle w:val="Header"/>
      <w:pBdr>
        <w:bottom w:val="none" w:sz="0" w:space="0" w:color="auto"/>
      </w:pBdr>
    </w:pPr>
    <w:r>
      <w:rPr>
        <w:noProof/>
        <w:lang w:eastAsia="en-GB"/>
      </w:rPr>
      <mc:AlternateContent>
        <mc:Choice Requires="wps">
          <w:drawing>
            <wp:anchor distT="0" distB="0" distL="114300" distR="114300" simplePos="0" relativeHeight="251658241" behindDoc="0" locked="0" layoutInCell="1" allowOverlap="1" wp14:anchorId="69A23957" wp14:editId="729F1E4E">
              <wp:simplePos x="0" y="0"/>
              <wp:positionH relativeFrom="page">
                <wp:posOffset>9880600</wp:posOffset>
              </wp:positionH>
              <wp:positionV relativeFrom="margin">
                <wp:posOffset>7620</wp:posOffset>
              </wp:positionV>
              <wp:extent cx="215900" cy="612013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6DE3E" w14:textId="77777777" w:rsidR="00574027" w:rsidRDefault="00574027" w:rsidP="0062617C">
                          <w:pPr>
                            <w:pStyle w:val="Header"/>
                          </w:pPr>
                          <w:r>
                            <w:t>UN/SCETDG/49/INF.xx</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23957" id="_x0000_t202" coordsize="21600,21600" o:spt="202" path="m,l,21600r21600,l21600,xe">
              <v:stroke joinstyle="miter"/>
              <v:path gradientshapeok="t" o:connecttype="rect"/>
            </v:shapetype>
            <v:shape id="Text Box 16" o:spid="_x0000_s1026" type="#_x0000_t202" style="position:absolute;margin-left:778pt;margin-top:.6pt;width:17pt;height:481.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" stroked="f">
              <v:textbox style="layout-flow:vertical" inset="0,0,0,0">
                <w:txbxContent>
                  <w:p w14:paraId="7536DE3E" w14:textId="77777777" w:rsidR="00574027" w:rsidRDefault="00574027" w:rsidP="0062617C">
                    <w:pPr>
                      <w:pStyle w:val="Header"/>
                    </w:pPr>
                    <w:r>
                      <w:t>UN/SCETDG/49/INF.xx</w:t>
                    </w:r>
                  </w:p>
                </w:txbxContent>
              </v:textbox>
              <w10:wrap anchorx="page" anchory="margin"/>
            </v:shape>
          </w:pict>
        </mc:Fallback>
      </mc:AlternateContent>
    </w:r>
  </w:p>
  <w:p w14:paraId="68C38276" w14:textId="77777777" w:rsidR="00C030CA" w:rsidRDefault="00C030CA"/>
  <w:p w14:paraId="1965A9B4" w14:textId="77777777" w:rsidR="00C030CA" w:rsidRDefault="00C030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2EA7F" w14:textId="125D4FF9" w:rsidR="00574027" w:rsidRPr="00CE031D" w:rsidRDefault="00574027" w:rsidP="00AA3D2B">
    <w:pPr>
      <w:pStyle w:val="Header"/>
      <w:jc w:val="right"/>
      <w:rPr>
        <w:szCs w:val="18"/>
      </w:rPr>
    </w:pPr>
    <w:r w:rsidRPr="00CE031D">
      <w:rPr>
        <w:szCs w:val="18"/>
      </w:rPr>
      <w:t>UN/SCE</w:t>
    </w:r>
    <w:r w:rsidR="00D660CB">
      <w:rPr>
        <w:szCs w:val="18"/>
      </w:rPr>
      <w:t>GHS</w:t>
    </w:r>
    <w:r w:rsidRPr="00CE031D">
      <w:rPr>
        <w:szCs w:val="18"/>
      </w:rPr>
      <w:t>/</w:t>
    </w:r>
    <w:r w:rsidR="009714D8">
      <w:rPr>
        <w:szCs w:val="18"/>
      </w:rPr>
      <w:t>46</w:t>
    </w:r>
    <w:r w:rsidRPr="00CE031D">
      <w:rPr>
        <w:szCs w:val="18"/>
      </w:rPr>
      <w:t>/INF</w:t>
    </w:r>
    <w:r w:rsidR="009714D8">
      <w:rPr>
        <w:szCs w:val="18"/>
      </w:rPr>
      <w:t>.21</w:t>
    </w:r>
  </w:p>
  <w:p w14:paraId="2A0AEDCB" w14:textId="77777777" w:rsidR="00574027" w:rsidRPr="00CE031D" w:rsidRDefault="00574027" w:rsidP="0062617C">
    <w:pPr>
      <w:pStyle w:val="Header"/>
      <w:pBdr>
        <w:bottom w:val="none" w:sz="0" w:space="0" w:color="auto"/>
      </w:pBdr>
    </w:pPr>
    <w:r>
      <w:rPr>
        <w:noProof/>
        <w:lang w:eastAsia="en-GB"/>
      </w:rPr>
      <mc:AlternateContent>
        <mc:Choice Requires="wps">
          <w:drawing>
            <wp:anchor distT="0" distB="0" distL="114300" distR="114300" simplePos="0" relativeHeight="251658240" behindDoc="0" locked="0" layoutInCell="1" allowOverlap="1" wp14:anchorId="7C83A48F" wp14:editId="5D5A78CA">
              <wp:simplePos x="0" y="0"/>
              <wp:positionH relativeFrom="page">
                <wp:posOffset>9728200</wp:posOffset>
              </wp:positionH>
              <wp:positionV relativeFrom="margin">
                <wp:posOffset>64770</wp:posOffset>
              </wp:positionV>
              <wp:extent cx="215900" cy="612013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9A0A0B" w14:textId="77777777" w:rsidR="00574027" w:rsidRDefault="00574027" w:rsidP="0062617C">
                          <w:pPr>
                            <w:pStyle w:val="Header"/>
                            <w:jc w:val="right"/>
                          </w:pPr>
                          <w:r>
                            <w:t>UN/SCETDG/49/INF.xx</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A48F" id="_x0000_t202" coordsize="21600,21600" o:spt="202" path="m,l,21600r21600,l21600,xe">
              <v:stroke joinstyle="miter"/>
              <v:path gradientshapeok="t" o:connecttype="rect"/>
            </v:shapetype>
            <v:shape id="Text Box 14" o:spid="_x0000_s1027" type="#_x0000_t202" style="position:absolute;margin-left:766pt;margin-top:5.1pt;width:17pt;height:48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" stroked="f">
              <v:textbox style="layout-flow:vertical" inset="0,0,0,0">
                <w:txbxContent>
                  <w:p w14:paraId="799A0A0B" w14:textId="77777777" w:rsidR="00574027" w:rsidRDefault="00574027" w:rsidP="0062617C">
                    <w:pPr>
                      <w:pStyle w:val="Header"/>
                      <w:jc w:val="right"/>
                    </w:pPr>
                    <w:r>
                      <w:t>UN/SCETDG/49/INF.xx</w:t>
                    </w:r>
                  </w:p>
                </w:txbxContent>
              </v:textbox>
              <w10:wrap anchorx="page" anchory="margin"/>
            </v:shape>
          </w:pict>
        </mc:Fallback>
      </mc:AlternateContent>
    </w:r>
  </w:p>
  <w:p w14:paraId="26990627" w14:textId="77777777" w:rsidR="00C030CA" w:rsidRDefault="00C030CA"/>
  <w:p w14:paraId="03F28A43" w14:textId="77777777" w:rsidR="00C030CA" w:rsidRDefault="00C030C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5DB1C" w14:textId="77777777" w:rsidR="00D57610" w:rsidRDefault="00D57610" w:rsidP="00D57610">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26D65"/>
    <w:multiLevelType w:val="hybridMultilevel"/>
    <w:tmpl w:val="F93613F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16F693E"/>
    <w:multiLevelType w:val="hybridMultilevel"/>
    <w:tmpl w:val="64CEB9C8"/>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6CA451C"/>
    <w:multiLevelType w:val="hybridMultilevel"/>
    <w:tmpl w:val="64CEB9C8"/>
    <w:lvl w:ilvl="0" w:tplc="FFFFFFFF">
      <w:start w:val="1"/>
      <w:numFmt w:val="upperLetter"/>
      <w:lvlText w:val="%1."/>
      <w:lvlJc w:val="left"/>
      <w:pPr>
        <w:ind w:left="774" w:hanging="360"/>
      </w:pPr>
    </w:lvl>
    <w:lvl w:ilvl="1" w:tplc="FFFFFFFF">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4" w15:restartNumberingAfterBreak="0">
    <w:nsid w:val="46626852"/>
    <w:multiLevelType w:val="hybridMultilevel"/>
    <w:tmpl w:val="A200432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471244F1"/>
    <w:multiLevelType w:val="hybridMultilevel"/>
    <w:tmpl w:val="BBB6B8B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51502AF8"/>
    <w:multiLevelType w:val="hybridMultilevel"/>
    <w:tmpl w:val="7CA2B210"/>
    <w:lvl w:ilvl="0" w:tplc="E3C6E98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B8627B"/>
    <w:multiLevelType w:val="hybridMultilevel"/>
    <w:tmpl w:val="A9221F8C"/>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9"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83867107">
    <w:abstractNumId w:val="7"/>
  </w:num>
  <w:num w:numId="2" w16cid:durableId="1838686835">
    <w:abstractNumId w:val="10"/>
  </w:num>
  <w:num w:numId="3" w16cid:durableId="844979474">
    <w:abstractNumId w:val="0"/>
  </w:num>
  <w:num w:numId="4" w16cid:durableId="1362122833">
    <w:abstractNumId w:val="9"/>
  </w:num>
  <w:num w:numId="5" w16cid:durableId="1004169838">
    <w:abstractNumId w:val="6"/>
  </w:num>
  <w:num w:numId="6" w16cid:durableId="394010598">
    <w:abstractNumId w:val="5"/>
  </w:num>
  <w:num w:numId="7" w16cid:durableId="1791624752">
    <w:abstractNumId w:val="1"/>
  </w:num>
  <w:num w:numId="8" w16cid:durableId="186676716">
    <w:abstractNumId w:val="8"/>
  </w:num>
  <w:num w:numId="9" w16cid:durableId="1775781694">
    <w:abstractNumId w:val="4"/>
  </w:num>
  <w:num w:numId="10" w16cid:durableId="1064913895">
    <w:abstractNumId w:val="7"/>
  </w:num>
  <w:num w:numId="11" w16cid:durableId="637691769">
    <w:abstractNumId w:val="7"/>
  </w:num>
  <w:num w:numId="12" w16cid:durableId="1383555002">
    <w:abstractNumId w:val="7"/>
  </w:num>
  <w:num w:numId="13" w16cid:durableId="1425612137">
    <w:abstractNumId w:val="7"/>
  </w:num>
  <w:num w:numId="14" w16cid:durableId="349531229">
    <w:abstractNumId w:val="3"/>
  </w:num>
  <w:num w:numId="15" w16cid:durableId="1240410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408"/>
    <w:rsid w:val="00006AA3"/>
    <w:rsid w:val="000130A1"/>
    <w:rsid w:val="00013DE8"/>
    <w:rsid w:val="000214BC"/>
    <w:rsid w:val="000249C0"/>
    <w:rsid w:val="0003079A"/>
    <w:rsid w:val="00037A39"/>
    <w:rsid w:val="00045DA5"/>
    <w:rsid w:val="0005453A"/>
    <w:rsid w:val="0006039D"/>
    <w:rsid w:val="000664AC"/>
    <w:rsid w:val="0007004F"/>
    <w:rsid w:val="0007342A"/>
    <w:rsid w:val="000A2193"/>
    <w:rsid w:val="000A4EBE"/>
    <w:rsid w:val="000A5738"/>
    <w:rsid w:val="000B6ACF"/>
    <w:rsid w:val="000D060F"/>
    <w:rsid w:val="000D4319"/>
    <w:rsid w:val="000F5997"/>
    <w:rsid w:val="00101999"/>
    <w:rsid w:val="00102508"/>
    <w:rsid w:val="001107D0"/>
    <w:rsid w:val="001362FE"/>
    <w:rsid w:val="00140C46"/>
    <w:rsid w:val="0016336B"/>
    <w:rsid w:val="001662ED"/>
    <w:rsid w:val="00166B42"/>
    <w:rsid w:val="00191799"/>
    <w:rsid w:val="001A0CA8"/>
    <w:rsid w:val="001B057F"/>
    <w:rsid w:val="001B1AC9"/>
    <w:rsid w:val="001C2E49"/>
    <w:rsid w:val="001C5FE4"/>
    <w:rsid w:val="001C73EE"/>
    <w:rsid w:val="001D33B7"/>
    <w:rsid w:val="001E0294"/>
    <w:rsid w:val="001E078F"/>
    <w:rsid w:val="001E3489"/>
    <w:rsid w:val="00212E8B"/>
    <w:rsid w:val="00223F9F"/>
    <w:rsid w:val="00225747"/>
    <w:rsid w:val="00226CEA"/>
    <w:rsid w:val="00232A30"/>
    <w:rsid w:val="00236385"/>
    <w:rsid w:val="00242401"/>
    <w:rsid w:val="00244E9C"/>
    <w:rsid w:val="00251D80"/>
    <w:rsid w:val="00254EF2"/>
    <w:rsid w:val="00260117"/>
    <w:rsid w:val="002644BD"/>
    <w:rsid w:val="0028150B"/>
    <w:rsid w:val="00291E0C"/>
    <w:rsid w:val="002921CD"/>
    <w:rsid w:val="002D2109"/>
    <w:rsid w:val="002E5742"/>
    <w:rsid w:val="0031122E"/>
    <w:rsid w:val="00314C20"/>
    <w:rsid w:val="00320B79"/>
    <w:rsid w:val="003315DC"/>
    <w:rsid w:val="003351DB"/>
    <w:rsid w:val="00371089"/>
    <w:rsid w:val="003A01F3"/>
    <w:rsid w:val="003A2A96"/>
    <w:rsid w:val="003A3245"/>
    <w:rsid w:val="003B2653"/>
    <w:rsid w:val="003C10B9"/>
    <w:rsid w:val="003C425A"/>
    <w:rsid w:val="003C59AC"/>
    <w:rsid w:val="003D74EA"/>
    <w:rsid w:val="003E64B9"/>
    <w:rsid w:val="00406A6B"/>
    <w:rsid w:val="004108A7"/>
    <w:rsid w:val="00412E24"/>
    <w:rsid w:val="00413701"/>
    <w:rsid w:val="0042201C"/>
    <w:rsid w:val="0042201E"/>
    <w:rsid w:val="00422C1E"/>
    <w:rsid w:val="00436997"/>
    <w:rsid w:val="00470B07"/>
    <w:rsid w:val="004733BB"/>
    <w:rsid w:val="00480002"/>
    <w:rsid w:val="0049486F"/>
    <w:rsid w:val="004963A5"/>
    <w:rsid w:val="004B317A"/>
    <w:rsid w:val="004B5A77"/>
    <w:rsid w:val="004E7435"/>
    <w:rsid w:val="005124B3"/>
    <w:rsid w:val="00512E3F"/>
    <w:rsid w:val="005214E7"/>
    <w:rsid w:val="00522D72"/>
    <w:rsid w:val="005316CE"/>
    <w:rsid w:val="00565495"/>
    <w:rsid w:val="005709AD"/>
    <w:rsid w:val="00570F56"/>
    <w:rsid w:val="00574027"/>
    <w:rsid w:val="00590B76"/>
    <w:rsid w:val="00592369"/>
    <w:rsid w:val="00597B94"/>
    <w:rsid w:val="005A369C"/>
    <w:rsid w:val="005A3B45"/>
    <w:rsid w:val="005C0B65"/>
    <w:rsid w:val="005C25B8"/>
    <w:rsid w:val="005E18A5"/>
    <w:rsid w:val="005E3E34"/>
    <w:rsid w:val="005E79BB"/>
    <w:rsid w:val="005F5286"/>
    <w:rsid w:val="005F7AE9"/>
    <w:rsid w:val="0062617C"/>
    <w:rsid w:val="00630265"/>
    <w:rsid w:val="00630CCB"/>
    <w:rsid w:val="00633F54"/>
    <w:rsid w:val="00637982"/>
    <w:rsid w:val="00647244"/>
    <w:rsid w:val="006478C4"/>
    <w:rsid w:val="00667543"/>
    <w:rsid w:val="0068448F"/>
    <w:rsid w:val="00686B73"/>
    <w:rsid w:val="00693CE0"/>
    <w:rsid w:val="006974B7"/>
    <w:rsid w:val="006A2C7D"/>
    <w:rsid w:val="006A42FF"/>
    <w:rsid w:val="006B77AF"/>
    <w:rsid w:val="006C6BA7"/>
    <w:rsid w:val="006D12E2"/>
    <w:rsid w:val="006D3E76"/>
    <w:rsid w:val="006D4555"/>
    <w:rsid w:val="006E4FB4"/>
    <w:rsid w:val="006F1B6C"/>
    <w:rsid w:val="006F73F7"/>
    <w:rsid w:val="00717408"/>
    <w:rsid w:val="007278B9"/>
    <w:rsid w:val="00736E85"/>
    <w:rsid w:val="00744BF2"/>
    <w:rsid w:val="00747888"/>
    <w:rsid w:val="00750E80"/>
    <w:rsid w:val="00760F29"/>
    <w:rsid w:val="0077039B"/>
    <w:rsid w:val="007905FD"/>
    <w:rsid w:val="007978FD"/>
    <w:rsid w:val="007A5031"/>
    <w:rsid w:val="007B0C22"/>
    <w:rsid w:val="007B23FB"/>
    <w:rsid w:val="007B6A47"/>
    <w:rsid w:val="007C1E4D"/>
    <w:rsid w:val="007C61DB"/>
    <w:rsid w:val="007D28A3"/>
    <w:rsid w:val="007D47BB"/>
    <w:rsid w:val="007E0B86"/>
    <w:rsid w:val="007E3CA0"/>
    <w:rsid w:val="007E640E"/>
    <w:rsid w:val="007F1D3F"/>
    <w:rsid w:val="007F70E5"/>
    <w:rsid w:val="008010ED"/>
    <w:rsid w:val="008058B3"/>
    <w:rsid w:val="008148C8"/>
    <w:rsid w:val="0082152F"/>
    <w:rsid w:val="00821621"/>
    <w:rsid w:val="00822F3B"/>
    <w:rsid w:val="00823B54"/>
    <w:rsid w:val="00843314"/>
    <w:rsid w:val="0085707B"/>
    <w:rsid w:val="00862249"/>
    <w:rsid w:val="008A43AF"/>
    <w:rsid w:val="008D54D0"/>
    <w:rsid w:val="008E4A26"/>
    <w:rsid w:val="008E7BF2"/>
    <w:rsid w:val="008F3E76"/>
    <w:rsid w:val="0090004A"/>
    <w:rsid w:val="0090690A"/>
    <w:rsid w:val="009235D7"/>
    <w:rsid w:val="00930F93"/>
    <w:rsid w:val="00933ECF"/>
    <w:rsid w:val="0094551F"/>
    <w:rsid w:val="009626F6"/>
    <w:rsid w:val="009714D8"/>
    <w:rsid w:val="00983B32"/>
    <w:rsid w:val="009855D0"/>
    <w:rsid w:val="009B11B2"/>
    <w:rsid w:val="009B6BFB"/>
    <w:rsid w:val="009C0D6B"/>
    <w:rsid w:val="009E1F11"/>
    <w:rsid w:val="009E245E"/>
    <w:rsid w:val="009E42E4"/>
    <w:rsid w:val="009F0A04"/>
    <w:rsid w:val="009F552B"/>
    <w:rsid w:val="00A0746E"/>
    <w:rsid w:val="00A24D46"/>
    <w:rsid w:val="00A25B3D"/>
    <w:rsid w:val="00A272C9"/>
    <w:rsid w:val="00A30797"/>
    <w:rsid w:val="00A55BFD"/>
    <w:rsid w:val="00A57ACB"/>
    <w:rsid w:val="00A83A4A"/>
    <w:rsid w:val="00A8739E"/>
    <w:rsid w:val="00A91B52"/>
    <w:rsid w:val="00A9552A"/>
    <w:rsid w:val="00A95B9A"/>
    <w:rsid w:val="00A96F1A"/>
    <w:rsid w:val="00AA3D2B"/>
    <w:rsid w:val="00AA6BD9"/>
    <w:rsid w:val="00AC78C9"/>
    <w:rsid w:val="00AD6475"/>
    <w:rsid w:val="00AE5E35"/>
    <w:rsid w:val="00AE7142"/>
    <w:rsid w:val="00B0378C"/>
    <w:rsid w:val="00B10BDB"/>
    <w:rsid w:val="00B1410A"/>
    <w:rsid w:val="00B22A92"/>
    <w:rsid w:val="00B64854"/>
    <w:rsid w:val="00B77E3D"/>
    <w:rsid w:val="00B85035"/>
    <w:rsid w:val="00B86536"/>
    <w:rsid w:val="00B916B8"/>
    <w:rsid w:val="00B94C55"/>
    <w:rsid w:val="00BC4070"/>
    <w:rsid w:val="00BF0E50"/>
    <w:rsid w:val="00BF3559"/>
    <w:rsid w:val="00C030CA"/>
    <w:rsid w:val="00C1152B"/>
    <w:rsid w:val="00C13576"/>
    <w:rsid w:val="00C13F89"/>
    <w:rsid w:val="00C176BE"/>
    <w:rsid w:val="00C21DFE"/>
    <w:rsid w:val="00C26549"/>
    <w:rsid w:val="00C32522"/>
    <w:rsid w:val="00C41B5C"/>
    <w:rsid w:val="00C60AE5"/>
    <w:rsid w:val="00C64CCA"/>
    <w:rsid w:val="00C65283"/>
    <w:rsid w:val="00C71F59"/>
    <w:rsid w:val="00C87C7F"/>
    <w:rsid w:val="00C97ECF"/>
    <w:rsid w:val="00CA0E46"/>
    <w:rsid w:val="00CA28D8"/>
    <w:rsid w:val="00CA322C"/>
    <w:rsid w:val="00CA35BD"/>
    <w:rsid w:val="00CA3BB9"/>
    <w:rsid w:val="00CA5128"/>
    <w:rsid w:val="00CA7A13"/>
    <w:rsid w:val="00CC1911"/>
    <w:rsid w:val="00CD407C"/>
    <w:rsid w:val="00CE031D"/>
    <w:rsid w:val="00CF4500"/>
    <w:rsid w:val="00CF4503"/>
    <w:rsid w:val="00CF64CA"/>
    <w:rsid w:val="00D25778"/>
    <w:rsid w:val="00D42FC0"/>
    <w:rsid w:val="00D478F7"/>
    <w:rsid w:val="00D50A43"/>
    <w:rsid w:val="00D5509D"/>
    <w:rsid w:val="00D57610"/>
    <w:rsid w:val="00D660CB"/>
    <w:rsid w:val="00D66549"/>
    <w:rsid w:val="00D77EE7"/>
    <w:rsid w:val="00D841B8"/>
    <w:rsid w:val="00D85352"/>
    <w:rsid w:val="00DB521F"/>
    <w:rsid w:val="00DB7F61"/>
    <w:rsid w:val="00DD396E"/>
    <w:rsid w:val="00DD773C"/>
    <w:rsid w:val="00E12260"/>
    <w:rsid w:val="00E15AE8"/>
    <w:rsid w:val="00E1727E"/>
    <w:rsid w:val="00E571F6"/>
    <w:rsid w:val="00E63FB0"/>
    <w:rsid w:val="00E73138"/>
    <w:rsid w:val="00E7454A"/>
    <w:rsid w:val="00E8635C"/>
    <w:rsid w:val="00E87332"/>
    <w:rsid w:val="00E91871"/>
    <w:rsid w:val="00E91F23"/>
    <w:rsid w:val="00E97BCE"/>
    <w:rsid w:val="00EA3F81"/>
    <w:rsid w:val="00EA5B52"/>
    <w:rsid w:val="00EB7377"/>
    <w:rsid w:val="00ED1663"/>
    <w:rsid w:val="00EF28BB"/>
    <w:rsid w:val="00EF32FC"/>
    <w:rsid w:val="00F05E15"/>
    <w:rsid w:val="00F07D34"/>
    <w:rsid w:val="00F22714"/>
    <w:rsid w:val="00F27F2C"/>
    <w:rsid w:val="00F41B6B"/>
    <w:rsid w:val="00F47212"/>
    <w:rsid w:val="00F5189B"/>
    <w:rsid w:val="00F72395"/>
    <w:rsid w:val="00F84D75"/>
    <w:rsid w:val="00F8539E"/>
    <w:rsid w:val="00F9696B"/>
    <w:rsid w:val="00F970C4"/>
    <w:rsid w:val="00FA63B2"/>
    <w:rsid w:val="00FC60E0"/>
    <w:rsid w:val="00FC61B6"/>
    <w:rsid w:val="00FE179E"/>
    <w:rsid w:val="00FE42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DCCC7"/>
  <w15:docId w15:val="{4E572424-9925-476E-A2A9-1EDB0BA8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408"/>
    <w:pPr>
      <w:suppressAutoHyphens/>
      <w:spacing w:line="240" w:lineRule="atLeast"/>
    </w:pPr>
    <w:rPr>
      <w:rFonts w:eastAsia="Times New Roman"/>
      <w:lang w:eastAsia="en-US"/>
    </w:rPr>
  </w:style>
  <w:style w:type="paragraph" w:styleId="Heading1">
    <w:name w:val="heading 1"/>
    <w:aliases w:val="Table_G"/>
    <w:basedOn w:val="SingleTxtG"/>
    <w:next w:val="SingleTxtG"/>
    <w:link w:val="Heading1Char"/>
    <w:qFormat/>
    <w:rsid w:val="00C65283"/>
    <w:pPr>
      <w:spacing w:after="0" w:line="240" w:lineRule="auto"/>
      <w:ind w:right="0"/>
      <w:jc w:val="left"/>
      <w:outlineLvl w:val="0"/>
    </w:pPr>
  </w:style>
  <w:style w:type="paragraph" w:styleId="Heading2">
    <w:name w:val="heading 2"/>
    <w:basedOn w:val="Normal"/>
    <w:next w:val="Normal"/>
    <w:link w:val="Heading2Char"/>
    <w:qFormat/>
    <w:rsid w:val="00C65283"/>
    <w:pPr>
      <w:spacing w:line="240" w:lineRule="auto"/>
      <w:outlineLvl w:val="1"/>
    </w:pPr>
  </w:style>
  <w:style w:type="paragraph" w:styleId="Heading3">
    <w:name w:val="heading 3"/>
    <w:basedOn w:val="Normal"/>
    <w:next w:val="Normal"/>
    <w:link w:val="Heading3Char"/>
    <w:qFormat/>
    <w:rsid w:val="00C65283"/>
    <w:pPr>
      <w:spacing w:line="240" w:lineRule="auto"/>
      <w:outlineLvl w:val="2"/>
    </w:pPr>
  </w:style>
  <w:style w:type="paragraph" w:styleId="Heading4">
    <w:name w:val="heading 4"/>
    <w:basedOn w:val="Normal"/>
    <w:next w:val="Normal"/>
    <w:link w:val="Heading4Char"/>
    <w:qFormat/>
    <w:rsid w:val="00C65283"/>
    <w:pPr>
      <w:spacing w:line="240" w:lineRule="auto"/>
      <w:outlineLvl w:val="3"/>
    </w:pPr>
  </w:style>
  <w:style w:type="paragraph" w:styleId="Heading5">
    <w:name w:val="heading 5"/>
    <w:basedOn w:val="Normal"/>
    <w:next w:val="Normal"/>
    <w:link w:val="Heading5Char"/>
    <w:qFormat/>
    <w:rsid w:val="00C65283"/>
    <w:pPr>
      <w:spacing w:line="240" w:lineRule="auto"/>
      <w:outlineLvl w:val="4"/>
    </w:pPr>
  </w:style>
  <w:style w:type="paragraph" w:styleId="Heading6">
    <w:name w:val="heading 6"/>
    <w:basedOn w:val="Normal"/>
    <w:next w:val="Normal"/>
    <w:link w:val="Heading6Char"/>
    <w:qFormat/>
    <w:rsid w:val="00C65283"/>
    <w:pPr>
      <w:spacing w:line="240" w:lineRule="auto"/>
      <w:outlineLvl w:val="5"/>
    </w:pPr>
  </w:style>
  <w:style w:type="paragraph" w:styleId="Heading7">
    <w:name w:val="heading 7"/>
    <w:basedOn w:val="Normal"/>
    <w:next w:val="Normal"/>
    <w:link w:val="Heading7Char"/>
    <w:qFormat/>
    <w:rsid w:val="00C65283"/>
    <w:pPr>
      <w:spacing w:line="240" w:lineRule="auto"/>
      <w:outlineLvl w:val="6"/>
    </w:pPr>
  </w:style>
  <w:style w:type="paragraph" w:styleId="Heading8">
    <w:name w:val="heading 8"/>
    <w:basedOn w:val="Normal"/>
    <w:next w:val="Normal"/>
    <w:link w:val="Heading8Char"/>
    <w:qFormat/>
    <w:rsid w:val="00C65283"/>
    <w:pPr>
      <w:spacing w:line="240" w:lineRule="auto"/>
      <w:outlineLvl w:val="7"/>
    </w:pPr>
  </w:style>
  <w:style w:type="paragraph" w:styleId="Heading9">
    <w:name w:val="heading 9"/>
    <w:basedOn w:val="Normal"/>
    <w:next w:val="Normal"/>
    <w:link w:val="Heading9Char"/>
    <w:qFormat/>
    <w:rsid w:val="00C6528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rsid w:val="00C65283"/>
  </w:style>
  <w:style w:type="character" w:customStyle="1" w:styleId="Heading2Char">
    <w:name w:val="Heading 2 Char"/>
    <w:basedOn w:val="DefaultParagraphFont"/>
    <w:link w:val="Heading2"/>
    <w:rsid w:val="00C65283"/>
  </w:style>
  <w:style w:type="character" w:customStyle="1" w:styleId="Heading3Char">
    <w:name w:val="Heading 3 Char"/>
    <w:basedOn w:val="DefaultParagraphFont"/>
    <w:link w:val="Heading3"/>
    <w:rsid w:val="00C65283"/>
  </w:style>
  <w:style w:type="character" w:customStyle="1" w:styleId="Heading4Char">
    <w:name w:val="Heading 4 Char"/>
    <w:basedOn w:val="DefaultParagraphFont"/>
    <w:link w:val="Heading4"/>
    <w:rsid w:val="00C65283"/>
  </w:style>
  <w:style w:type="character" w:customStyle="1" w:styleId="Heading5Char">
    <w:name w:val="Heading 5 Char"/>
    <w:basedOn w:val="DefaultParagraphFont"/>
    <w:link w:val="Heading5"/>
    <w:rsid w:val="00C65283"/>
  </w:style>
  <w:style w:type="character" w:customStyle="1" w:styleId="Heading6Char">
    <w:name w:val="Heading 6 Char"/>
    <w:basedOn w:val="DefaultParagraphFont"/>
    <w:link w:val="Heading6"/>
    <w:rsid w:val="00C65283"/>
  </w:style>
  <w:style w:type="character" w:customStyle="1" w:styleId="Heading7Char">
    <w:name w:val="Heading 7 Char"/>
    <w:basedOn w:val="DefaultParagraphFont"/>
    <w:link w:val="Heading7"/>
    <w:rsid w:val="00C65283"/>
  </w:style>
  <w:style w:type="character" w:customStyle="1" w:styleId="Heading8Char">
    <w:name w:val="Heading 8 Char"/>
    <w:basedOn w:val="DefaultParagraphFont"/>
    <w:link w:val="Heading8"/>
    <w:rsid w:val="00C65283"/>
  </w:style>
  <w:style w:type="character" w:customStyle="1" w:styleId="Heading9Char">
    <w:name w:val="Heading 9 Char"/>
    <w:basedOn w:val="DefaultParagraphFont"/>
    <w:link w:val="Heading9"/>
    <w:rsid w:val="00C65283"/>
  </w:style>
  <w:style w:type="paragraph" w:customStyle="1" w:styleId="HMG">
    <w:name w:val="_ H __M_G"/>
    <w:basedOn w:val="Normal"/>
    <w:next w:val="Normal"/>
    <w:rsid w:val="00930F9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930F93"/>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930F9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930F9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930F9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930F93"/>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uiPriority w:val="99"/>
    <w:qFormat/>
    <w:rsid w:val="00930F93"/>
    <w:pPr>
      <w:spacing w:after="120"/>
      <w:ind w:left="1134" w:right="1134"/>
      <w:jc w:val="both"/>
    </w:pPr>
  </w:style>
  <w:style w:type="paragraph" w:customStyle="1" w:styleId="SLG">
    <w:name w:val="__S_L_G"/>
    <w:basedOn w:val="Normal"/>
    <w:next w:val="Normal"/>
    <w:rsid w:val="00930F93"/>
    <w:pPr>
      <w:keepNext/>
      <w:keepLines/>
      <w:spacing w:before="240" w:after="240" w:line="580" w:lineRule="exact"/>
      <w:ind w:left="1134" w:right="1134"/>
    </w:pPr>
    <w:rPr>
      <w:b/>
      <w:sz w:val="56"/>
    </w:rPr>
  </w:style>
  <w:style w:type="paragraph" w:customStyle="1" w:styleId="SMG">
    <w:name w:val="__S_M_G"/>
    <w:basedOn w:val="Normal"/>
    <w:next w:val="Normal"/>
    <w:rsid w:val="00930F93"/>
    <w:pPr>
      <w:keepNext/>
      <w:keepLines/>
      <w:spacing w:before="240" w:after="240" w:line="420" w:lineRule="exact"/>
      <w:ind w:left="1134" w:right="1134"/>
    </w:pPr>
    <w:rPr>
      <w:b/>
      <w:sz w:val="40"/>
    </w:rPr>
  </w:style>
  <w:style w:type="paragraph" w:customStyle="1" w:styleId="SSG">
    <w:name w:val="__S_S_G"/>
    <w:basedOn w:val="Normal"/>
    <w:next w:val="Normal"/>
    <w:rsid w:val="00930F93"/>
    <w:pPr>
      <w:keepNext/>
      <w:keepLines/>
      <w:spacing w:before="240" w:after="240" w:line="300" w:lineRule="exact"/>
      <w:ind w:left="1134" w:right="1134"/>
    </w:pPr>
    <w:rPr>
      <w:b/>
      <w:sz w:val="28"/>
    </w:rPr>
  </w:style>
  <w:style w:type="paragraph" w:customStyle="1" w:styleId="XLargeG">
    <w:name w:val="__XLarge_G"/>
    <w:basedOn w:val="Normal"/>
    <w:next w:val="Normal"/>
    <w:rsid w:val="00930F93"/>
    <w:pPr>
      <w:keepNext/>
      <w:keepLines/>
      <w:spacing w:before="240" w:after="240" w:line="420" w:lineRule="exact"/>
      <w:ind w:left="1134" w:right="1134"/>
    </w:pPr>
    <w:rPr>
      <w:b/>
      <w:sz w:val="40"/>
    </w:rPr>
  </w:style>
  <w:style w:type="paragraph" w:customStyle="1" w:styleId="Bullet1G">
    <w:name w:val="_Bullet 1_G"/>
    <w:basedOn w:val="Normal"/>
    <w:rsid w:val="00930F93"/>
    <w:pPr>
      <w:numPr>
        <w:numId w:val="1"/>
      </w:numPr>
      <w:spacing w:after="120"/>
      <w:ind w:right="1134"/>
      <w:jc w:val="both"/>
    </w:pPr>
  </w:style>
  <w:style w:type="paragraph" w:customStyle="1" w:styleId="Bullet2G">
    <w:name w:val="_Bullet 2_G"/>
    <w:basedOn w:val="Normal"/>
    <w:rsid w:val="00930F93"/>
    <w:pPr>
      <w:numPr>
        <w:numId w:val="2"/>
      </w:numPr>
      <w:spacing w:after="120"/>
      <w:ind w:right="1134"/>
      <w:jc w:val="both"/>
    </w:pPr>
  </w:style>
  <w:style w:type="character" w:styleId="EndnoteReference">
    <w:name w:val="endnote reference"/>
    <w:aliases w:val="1_G"/>
    <w:basedOn w:val="FootnoteReference"/>
    <w:rsid w:val="00930F93"/>
    <w:rPr>
      <w:rFonts w:ascii="Times New Roman" w:hAnsi="Times New Roman"/>
      <w:sz w:val="18"/>
      <w:vertAlign w:val="superscript"/>
    </w:rPr>
  </w:style>
  <w:style w:type="character" w:styleId="FootnoteReference">
    <w:name w:val="footnote reference"/>
    <w:aliases w:val="4_G"/>
    <w:basedOn w:val="DefaultParagraphFont"/>
    <w:rsid w:val="00930F93"/>
    <w:rPr>
      <w:rFonts w:ascii="Times New Roman" w:hAnsi="Times New Roman"/>
      <w:sz w:val="18"/>
      <w:vertAlign w:val="superscript"/>
    </w:rPr>
  </w:style>
  <w:style w:type="paragraph" w:styleId="EndnoteText">
    <w:name w:val="endnote text"/>
    <w:aliases w:val="2_G"/>
    <w:basedOn w:val="FootnoteText"/>
    <w:link w:val="EndnoteTextChar"/>
    <w:rsid w:val="00930F93"/>
  </w:style>
  <w:style w:type="character" w:customStyle="1" w:styleId="EndnoteTextChar">
    <w:name w:val="Endnote Text Char"/>
    <w:aliases w:val="2_G Char"/>
    <w:basedOn w:val="DefaultParagraphFont"/>
    <w:link w:val="EndnoteText"/>
    <w:rsid w:val="00930F93"/>
    <w:rPr>
      <w:sz w:val="18"/>
    </w:rPr>
  </w:style>
  <w:style w:type="paragraph" w:styleId="FootnoteText">
    <w:name w:val="footnote text"/>
    <w:aliases w:val="5_G"/>
    <w:basedOn w:val="Normal"/>
    <w:link w:val="FootnoteTextChar"/>
    <w:rsid w:val="00930F93"/>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930F93"/>
    <w:rPr>
      <w:sz w:val="18"/>
    </w:rPr>
  </w:style>
  <w:style w:type="character" w:styleId="FollowedHyperlink">
    <w:name w:val="FollowedHyperlink"/>
    <w:basedOn w:val="DefaultParagraphFont"/>
    <w:uiPriority w:val="99"/>
    <w:semiHidden/>
    <w:rsid w:val="00930F93"/>
    <w:rPr>
      <w:color w:val="auto"/>
      <w:u w:val="none"/>
    </w:rPr>
  </w:style>
  <w:style w:type="paragraph" w:styleId="Footer">
    <w:name w:val="footer"/>
    <w:aliases w:val="3_G"/>
    <w:basedOn w:val="Normal"/>
    <w:link w:val="FooterChar"/>
    <w:uiPriority w:val="99"/>
    <w:rsid w:val="00930F93"/>
    <w:pPr>
      <w:spacing w:line="240" w:lineRule="auto"/>
    </w:pPr>
    <w:rPr>
      <w:sz w:val="16"/>
    </w:rPr>
  </w:style>
  <w:style w:type="character" w:customStyle="1" w:styleId="FooterChar">
    <w:name w:val="Footer Char"/>
    <w:aliases w:val="3_G Char"/>
    <w:basedOn w:val="DefaultParagraphFont"/>
    <w:link w:val="Footer"/>
    <w:uiPriority w:val="99"/>
    <w:rsid w:val="00930F93"/>
    <w:rPr>
      <w:sz w:val="16"/>
    </w:rPr>
  </w:style>
  <w:style w:type="paragraph" w:styleId="Header">
    <w:name w:val="header"/>
    <w:aliases w:val="6_G"/>
    <w:basedOn w:val="Normal"/>
    <w:link w:val="HeaderChar"/>
    <w:rsid w:val="00930F93"/>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930F93"/>
    <w:rPr>
      <w:b/>
      <w:sz w:val="18"/>
    </w:rPr>
  </w:style>
  <w:style w:type="character" w:styleId="PageNumber">
    <w:name w:val="page number"/>
    <w:aliases w:val="7_G"/>
    <w:basedOn w:val="DefaultParagraphFont"/>
    <w:rsid w:val="00930F93"/>
    <w:rPr>
      <w:rFonts w:ascii="Times New Roman" w:hAnsi="Times New Roman"/>
      <w:b/>
      <w:sz w:val="18"/>
    </w:rPr>
  </w:style>
  <w:style w:type="character" w:customStyle="1" w:styleId="SingleTxtGChar">
    <w:name w:val="_ Single Txt_G Char"/>
    <w:link w:val="SingleTxtG"/>
    <w:uiPriority w:val="99"/>
    <w:qFormat/>
    <w:rsid w:val="00760F29"/>
  </w:style>
  <w:style w:type="character" w:customStyle="1" w:styleId="HChGChar">
    <w:name w:val="_ H _Ch_G Char"/>
    <w:link w:val="HChG"/>
    <w:qFormat/>
    <w:rsid w:val="00760F29"/>
    <w:rPr>
      <w:b/>
      <w:sz w:val="28"/>
    </w:rPr>
  </w:style>
  <w:style w:type="table" w:styleId="TableGrid">
    <w:name w:val="Table Grid"/>
    <w:basedOn w:val="TableNormal"/>
    <w:rsid w:val="00760F29"/>
    <w:pPr>
      <w:suppressAutoHyphens/>
      <w:spacing w:line="24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760F29"/>
    <w:rPr>
      <w:color w:val="auto"/>
      <w:u w:val="none"/>
    </w:rPr>
  </w:style>
  <w:style w:type="paragraph" w:styleId="BalloonText">
    <w:name w:val="Balloon Text"/>
    <w:basedOn w:val="Normal"/>
    <w:link w:val="BalloonTextChar"/>
    <w:rsid w:val="00760F2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60F29"/>
    <w:rPr>
      <w:rFonts w:ascii="Tahoma" w:eastAsia="Times New Roman" w:hAnsi="Tahoma" w:cs="Tahoma"/>
      <w:sz w:val="16"/>
      <w:szCs w:val="16"/>
      <w:lang w:eastAsia="en-US"/>
    </w:rPr>
  </w:style>
  <w:style w:type="character" w:customStyle="1" w:styleId="H1GChar">
    <w:name w:val="_ H_1_G Char"/>
    <w:link w:val="H1G"/>
    <w:rsid w:val="00E97BCE"/>
    <w:rPr>
      <w:rFonts w:eastAsia="Times New Roman"/>
      <w:b/>
      <w:sz w:val="24"/>
      <w:lang w:eastAsia="en-US"/>
    </w:rPr>
  </w:style>
  <w:style w:type="paragraph" w:styleId="ListParagraph">
    <w:name w:val="List Paragraph"/>
    <w:basedOn w:val="Normal"/>
    <w:uiPriority w:val="34"/>
    <w:qFormat/>
    <w:rsid w:val="009B6BFB"/>
    <w:pPr>
      <w:ind w:left="720"/>
      <w:contextualSpacing/>
    </w:pPr>
  </w:style>
  <w:style w:type="character" w:customStyle="1" w:styleId="H23GChar">
    <w:name w:val="_ H_2/3_G Char"/>
    <w:link w:val="H23G"/>
    <w:rsid w:val="00736E85"/>
    <w:rPr>
      <w:rFonts w:eastAsia="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834247-6F58-4884-B2FF-26F6269CB1D7}">
  <ds:schemaRefs>
    <ds:schemaRef ds:uri="http://schemas.microsoft.com/sharepoint/v3/contenttype/forms"/>
  </ds:schemaRefs>
</ds:datastoreItem>
</file>

<file path=customXml/itemProps2.xml><?xml version="1.0" encoding="utf-8"?>
<ds:datastoreItem xmlns:ds="http://schemas.openxmlformats.org/officeDocument/2006/customXml" ds:itemID="{870BB150-6975-4088-9F31-83C3C5F7E88A}">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B3EF07E5-F007-410C-95EF-51FFED7676EC}">
  <ds:schemaRefs>
    <ds:schemaRef ds:uri="http://schemas.openxmlformats.org/officeDocument/2006/bibliography"/>
  </ds:schemaRefs>
</ds:datastoreItem>
</file>

<file path=customXml/itemProps4.xml><?xml version="1.0" encoding="utf-8"?>
<ds:datastoreItem xmlns:ds="http://schemas.openxmlformats.org/officeDocument/2006/customXml" ds:itemID="{13AF78FF-B6C4-4F8C-97F4-4E82DD78F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1425</Words>
  <Characters>8126</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ECE-ISU</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Garcia-Couto</dc:creator>
  <cp:keywords/>
  <cp:lastModifiedBy>Rosa Garcia Couto</cp:lastModifiedBy>
  <cp:revision>167</cp:revision>
  <cp:lastPrinted>2024-07-03T05:56:00Z</cp:lastPrinted>
  <dcterms:created xsi:type="dcterms:W3CDTF">2024-07-01T13:29:00Z</dcterms:created>
  <dcterms:modified xsi:type="dcterms:W3CDTF">2024-07-03T19:54:00Z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7926000</vt:r8>
  </property>
  <property fmtid="{D5CDD505-2E9C-101B-9397-08002B2CF9AE}" pid="4" name="Office of Origin">
    <vt:lpwstr/>
  </property>
  <property fmtid="{D5CDD505-2E9C-101B-9397-08002B2CF9AE}" pid="5" name="MediaServiceImageTags">
    <vt:lpwstr/>
  </property>
  <property fmtid="{D5CDD505-2E9C-101B-9397-08002B2CF9AE}" pid="6" name="Office_x0020_of_x0020_Origin">
    <vt:lpwstr/>
  </property>
  <property fmtid="{D5CDD505-2E9C-101B-9397-08002B2CF9AE}" pid="7" name="gba66df640194346a5267c50f24d4797">
    <vt:lpwstr/>
  </property>
</Properties>
</file>