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108CF5" w14:textId="77777777" w:rsidR="001748FC" w:rsidRDefault="001748FC"/>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9639"/>
      </w:tblGrid>
      <w:tr w:rsidR="00164115" w:rsidRPr="0099001C" w14:paraId="0BBDF9CA" w14:textId="77777777" w:rsidTr="00C81840">
        <w:trPr>
          <w:cantSplit/>
          <w:trHeight w:hRule="exact" w:val="851"/>
        </w:trPr>
        <w:tc>
          <w:tcPr>
            <w:tcW w:w="9639" w:type="dxa"/>
            <w:tcBorders>
              <w:bottom w:val="single" w:sz="4" w:space="0" w:color="auto"/>
            </w:tcBorders>
            <w:vAlign w:val="bottom"/>
          </w:tcPr>
          <w:p w14:paraId="6EC4B76E" w14:textId="79FA69B8" w:rsidR="00164115" w:rsidRPr="0099001C" w:rsidRDefault="00164115" w:rsidP="00AE4666">
            <w:pPr>
              <w:jc w:val="right"/>
              <w:rPr>
                <w:b/>
                <w:sz w:val="40"/>
                <w:szCs w:val="40"/>
              </w:rPr>
            </w:pPr>
            <w:r w:rsidRPr="0099001C">
              <w:rPr>
                <w:b/>
                <w:sz w:val="40"/>
                <w:szCs w:val="40"/>
              </w:rPr>
              <w:t>UN/SCEGHS/</w:t>
            </w:r>
            <w:r w:rsidR="007E797B">
              <w:rPr>
                <w:b/>
                <w:sz w:val="40"/>
                <w:szCs w:val="40"/>
              </w:rPr>
              <w:t>4</w:t>
            </w:r>
            <w:r w:rsidR="00B54CAF">
              <w:rPr>
                <w:b/>
                <w:sz w:val="40"/>
                <w:szCs w:val="40"/>
              </w:rPr>
              <w:t>6</w:t>
            </w:r>
            <w:r w:rsidRPr="0099001C">
              <w:rPr>
                <w:b/>
                <w:sz w:val="40"/>
                <w:szCs w:val="40"/>
              </w:rPr>
              <w:t>/INF.</w:t>
            </w:r>
            <w:r w:rsidR="00AC05F3">
              <w:rPr>
                <w:b/>
                <w:sz w:val="40"/>
                <w:szCs w:val="40"/>
              </w:rPr>
              <w:t>20</w:t>
            </w:r>
          </w:p>
        </w:tc>
      </w:tr>
      <w:tr w:rsidR="00164115" w14:paraId="4D07D853" w14:textId="77777777" w:rsidTr="0038227A">
        <w:trPr>
          <w:cantSplit/>
          <w:trHeight w:hRule="exact" w:val="3268"/>
        </w:trPr>
        <w:tc>
          <w:tcPr>
            <w:tcW w:w="9639" w:type="dxa"/>
            <w:tcBorders>
              <w:top w:val="single" w:sz="4" w:space="0" w:color="auto"/>
            </w:tcBorders>
          </w:tcPr>
          <w:p w14:paraId="1224738E" w14:textId="77777777" w:rsidR="00164115" w:rsidRPr="00691F20" w:rsidRDefault="00164115">
            <w:pPr>
              <w:spacing w:before="120"/>
              <w:rPr>
                <w:b/>
                <w:sz w:val="24"/>
                <w:szCs w:val="24"/>
                <w:lang w:val="en-US"/>
              </w:rPr>
            </w:pPr>
            <w:r w:rsidRPr="00691F20">
              <w:rPr>
                <w:b/>
                <w:sz w:val="24"/>
                <w:szCs w:val="24"/>
                <w:lang w:val="en-US"/>
              </w:rPr>
              <w:t>Committee of Experts on the Transport of Dangerous Goods</w:t>
            </w:r>
            <w:r w:rsidRPr="00691F20">
              <w:rPr>
                <w:b/>
                <w:sz w:val="24"/>
                <w:szCs w:val="24"/>
                <w:lang w:val="en-US"/>
              </w:rPr>
              <w:br/>
              <w:t>and on the Globally Harmonized System of Classification</w:t>
            </w:r>
            <w:r w:rsidRPr="00691F20">
              <w:rPr>
                <w:b/>
                <w:sz w:val="24"/>
                <w:szCs w:val="24"/>
                <w:lang w:val="en-US"/>
              </w:rPr>
              <w:br/>
              <w:t>and Labelling of Chemicals</w:t>
            </w:r>
          </w:p>
          <w:p w14:paraId="1B71D8C4" w14:textId="4413D38B" w:rsidR="00164115" w:rsidRPr="009F0F06" w:rsidRDefault="00164115" w:rsidP="005A3E43">
            <w:pPr>
              <w:tabs>
                <w:tab w:val="right" w:pos="9300"/>
              </w:tabs>
              <w:spacing w:before="120"/>
              <w:rPr>
                <w:rFonts w:ascii="Helv" w:hAnsi="Helv" w:cs="Helv"/>
                <w:b/>
                <w:color w:val="000000"/>
                <w:lang w:val="en-US"/>
              </w:rPr>
            </w:pPr>
            <w:r w:rsidRPr="00691F20">
              <w:rPr>
                <w:b/>
                <w:lang w:val="en-US"/>
              </w:rPr>
              <w:t>Sub-Committee of Experts on the Globally Harmonized</w:t>
            </w:r>
            <w:r w:rsidRPr="00691F20">
              <w:rPr>
                <w:b/>
                <w:lang w:val="en-US"/>
              </w:rPr>
              <w:br/>
              <w:t>System of Classification and Labelling of Chemicals</w:t>
            </w:r>
            <w:r w:rsidR="00137D32">
              <w:rPr>
                <w:b/>
                <w:lang w:val="en-US"/>
              </w:rPr>
              <w:tab/>
            </w:r>
            <w:r w:rsidR="00287484">
              <w:rPr>
                <w:b/>
                <w:lang w:val="en-US"/>
              </w:rPr>
              <w:t>2</w:t>
            </w:r>
            <w:r w:rsidR="00340F15" w:rsidRPr="000D188E">
              <w:rPr>
                <w:b/>
                <w:lang w:val="en-US"/>
              </w:rPr>
              <w:t xml:space="preserve"> July</w:t>
            </w:r>
            <w:r w:rsidR="00D45D51" w:rsidRPr="000D188E">
              <w:rPr>
                <w:b/>
                <w:lang w:val="en-US"/>
              </w:rPr>
              <w:t xml:space="preserve"> </w:t>
            </w:r>
            <w:r w:rsidR="00DD1EC9" w:rsidRPr="000D188E">
              <w:rPr>
                <w:b/>
                <w:lang w:val="en-US"/>
              </w:rPr>
              <w:t>2024</w:t>
            </w:r>
            <w:r>
              <w:rPr>
                <w:b/>
                <w:lang w:val="en-US"/>
              </w:rPr>
              <w:tab/>
            </w:r>
          </w:p>
          <w:p w14:paraId="7995AA4C" w14:textId="77777777" w:rsidR="00164115" w:rsidRDefault="00164115">
            <w:pPr>
              <w:jc w:val="both"/>
              <w:rPr>
                <w:b/>
              </w:rPr>
            </w:pPr>
          </w:p>
          <w:p w14:paraId="7DB3104E" w14:textId="2F621FDD" w:rsidR="00164115" w:rsidRPr="007E797B" w:rsidRDefault="00AE4666">
            <w:pPr>
              <w:jc w:val="both"/>
            </w:pPr>
            <w:r w:rsidRPr="007E797B">
              <w:rPr>
                <w:b/>
              </w:rPr>
              <w:t>Forty-</w:t>
            </w:r>
            <w:r w:rsidR="00B54CAF">
              <w:rPr>
                <w:b/>
              </w:rPr>
              <w:t>sixth</w:t>
            </w:r>
            <w:r w:rsidR="004255A7" w:rsidRPr="007E797B">
              <w:rPr>
                <w:b/>
              </w:rPr>
              <w:t xml:space="preserve"> </w:t>
            </w:r>
            <w:r w:rsidR="00164115" w:rsidRPr="007E797B">
              <w:rPr>
                <w:b/>
              </w:rPr>
              <w:t>session</w:t>
            </w:r>
            <w:r w:rsidR="00164115" w:rsidRPr="007E797B">
              <w:t xml:space="preserve"> </w:t>
            </w:r>
          </w:p>
          <w:p w14:paraId="5985735A" w14:textId="44F8F05B" w:rsidR="00164115" w:rsidRPr="007E797B" w:rsidRDefault="00164115">
            <w:pPr>
              <w:jc w:val="both"/>
            </w:pPr>
            <w:r w:rsidRPr="007E797B">
              <w:t>Geneva</w:t>
            </w:r>
            <w:r w:rsidR="00B54CAF">
              <w:t>, 3-5 July 2024</w:t>
            </w:r>
          </w:p>
          <w:p w14:paraId="32657468" w14:textId="77777777" w:rsidR="007E797B" w:rsidRDefault="007E797B">
            <w:pPr>
              <w:spacing w:line="240" w:lineRule="exact"/>
            </w:pPr>
            <w:r>
              <w:t>Item 2 (e) of the provisional agenda</w:t>
            </w:r>
          </w:p>
          <w:p w14:paraId="2807C471" w14:textId="1B5472C8" w:rsidR="00164115" w:rsidRPr="00C47D66" w:rsidRDefault="007E797B" w:rsidP="0038227A">
            <w:pPr>
              <w:spacing w:line="240" w:lineRule="exact"/>
              <w:rPr>
                <w:b/>
                <w:bCs/>
              </w:rPr>
            </w:pPr>
            <w:r w:rsidRPr="007E797B">
              <w:rPr>
                <w:b/>
                <w:bCs/>
              </w:rPr>
              <w:t xml:space="preserve">Work on the Globally Harmonized System of Classification </w:t>
            </w:r>
            <w:r w:rsidR="0038227A">
              <w:rPr>
                <w:b/>
                <w:bCs/>
              </w:rPr>
              <w:br/>
            </w:r>
            <w:r w:rsidRPr="007E797B">
              <w:rPr>
                <w:b/>
                <w:bCs/>
              </w:rPr>
              <w:t xml:space="preserve">and Labelling of Chemicals: Potential hazard issues and </w:t>
            </w:r>
            <w:r w:rsidR="0038227A">
              <w:rPr>
                <w:b/>
                <w:bCs/>
              </w:rPr>
              <w:br/>
            </w:r>
            <w:r w:rsidRPr="007E797B">
              <w:rPr>
                <w:b/>
                <w:bCs/>
              </w:rPr>
              <w:t>their presentation in the Globally Harmonized System</w:t>
            </w:r>
          </w:p>
        </w:tc>
      </w:tr>
    </w:tbl>
    <w:p w14:paraId="22A504C2" w14:textId="592218BC" w:rsidR="000D1812" w:rsidRPr="003B342C" w:rsidRDefault="000D1812" w:rsidP="000D1812">
      <w:pPr>
        <w:pStyle w:val="HChG"/>
        <w:spacing w:before="240"/>
        <w:rPr>
          <w:rFonts w:eastAsia="MS Mincho"/>
          <w:lang w:eastAsia="ja-JP"/>
        </w:rPr>
      </w:pPr>
      <w:r w:rsidRPr="009E7ABD">
        <w:rPr>
          <w:rFonts w:eastAsia="MS Mincho"/>
          <w:lang w:val="en-US" w:eastAsia="ja-JP"/>
        </w:rPr>
        <w:tab/>
      </w:r>
      <w:r>
        <w:rPr>
          <w:rFonts w:eastAsia="MS Mincho"/>
          <w:lang w:val="en-US" w:eastAsia="ja-JP"/>
        </w:rPr>
        <w:tab/>
      </w:r>
      <w:r w:rsidR="007E797B">
        <w:t xml:space="preserve">Potential hazard issues and their presentation in the Globally Harmonized System: </w:t>
      </w:r>
      <w:r w:rsidR="003A3101">
        <w:t xml:space="preserve">status </w:t>
      </w:r>
      <w:r w:rsidR="003461C4">
        <w:t>report</w:t>
      </w:r>
      <w:r w:rsidR="00B54CAF">
        <w:t xml:space="preserve"> on persistence and mobility</w:t>
      </w:r>
    </w:p>
    <w:p w14:paraId="38848A1A" w14:textId="5F2A0A36" w:rsidR="001E34E4" w:rsidRPr="000D188E" w:rsidRDefault="000D1812" w:rsidP="000D188E">
      <w:pPr>
        <w:pStyle w:val="H1G"/>
        <w:spacing w:before="240"/>
      </w:pPr>
      <w:r w:rsidRPr="003C265A">
        <w:rPr>
          <w:rFonts w:eastAsia="MS Mincho"/>
        </w:rPr>
        <w:tab/>
      </w:r>
      <w:r w:rsidRPr="003C265A">
        <w:rPr>
          <w:rFonts w:eastAsia="MS Mincho"/>
        </w:rPr>
        <w:tab/>
      </w:r>
      <w:r w:rsidRPr="003C265A">
        <w:t>Transmitted by t</w:t>
      </w:r>
      <w:r w:rsidRPr="00E337C6">
        <w:t>he European Union</w:t>
      </w:r>
      <w:r w:rsidR="007E797B">
        <w:t xml:space="preserve"> on behalf of the informal working group on potential hazard issues and their presentation in the Globally Harmonized System</w:t>
      </w:r>
      <w:r>
        <w:t xml:space="preserve"> </w:t>
      </w:r>
    </w:p>
    <w:p w14:paraId="0449BE28" w14:textId="3AC429C9" w:rsidR="001E34E4" w:rsidRPr="001E34E4" w:rsidRDefault="005D4D02" w:rsidP="005D4D02">
      <w:pPr>
        <w:pStyle w:val="HChG"/>
      </w:pPr>
      <w:r>
        <w:tab/>
      </w:r>
      <w:r>
        <w:tab/>
      </w:r>
      <w:r w:rsidR="001E34E4">
        <w:t>Background</w:t>
      </w:r>
    </w:p>
    <w:p w14:paraId="47B6ECB3" w14:textId="0077312E" w:rsidR="000D1812" w:rsidRPr="005D4D02" w:rsidRDefault="00AC05F3" w:rsidP="005D4D02">
      <w:pPr>
        <w:pStyle w:val="SingleTxtG"/>
        <w:tabs>
          <w:tab w:val="left" w:pos="1701"/>
        </w:tabs>
      </w:pPr>
      <w:r w:rsidRPr="005D4D02">
        <w:t>1.</w:t>
      </w:r>
      <w:r w:rsidRPr="005D4D02">
        <w:tab/>
      </w:r>
      <w:r w:rsidR="003461C4" w:rsidRPr="005D4D02">
        <w:t xml:space="preserve">At its forty-third session in December 2022, the Sub-Committee </w:t>
      </w:r>
      <w:r w:rsidR="00415DEC" w:rsidRPr="005D4D02">
        <w:t>included</w:t>
      </w:r>
      <w:r w:rsidR="003461C4" w:rsidRPr="005D4D02">
        <w:t xml:space="preserve"> a new item on “</w:t>
      </w:r>
      <w:r w:rsidR="00FF5781" w:rsidRPr="005D4D02">
        <w:t xml:space="preserve">Potential </w:t>
      </w:r>
      <w:r w:rsidR="003461C4" w:rsidRPr="005D4D02">
        <w:t>hazard issues and their presentation in the GHS</w:t>
      </w:r>
      <w:r w:rsidR="00CC061F" w:rsidRPr="005D4D02">
        <w:t xml:space="preserve">” </w:t>
      </w:r>
      <w:r w:rsidR="00DD127B" w:rsidRPr="005D4D02">
        <w:t xml:space="preserve">in </w:t>
      </w:r>
      <w:r w:rsidR="003461C4" w:rsidRPr="005D4D02">
        <w:t xml:space="preserve">its programme of work for the biennium 2023-2024. </w:t>
      </w:r>
      <w:r w:rsidR="001747A7" w:rsidRPr="005D4D02">
        <w:t xml:space="preserve">This item is addressed by the </w:t>
      </w:r>
      <w:r w:rsidR="003461C4" w:rsidRPr="005D4D02">
        <w:t>PHI-IWG based on the workplan and terms of reference (ToR) in ST/SG/AC.10/C.4/2022/18</w:t>
      </w:r>
      <w:r w:rsidR="003461C4" w:rsidRPr="005D4D02">
        <w:rPr>
          <w:rStyle w:val="FootnoteReference"/>
          <w:sz w:val="20"/>
        </w:rPr>
        <w:footnoteReference w:id="2"/>
      </w:r>
      <w:r w:rsidR="003461C4" w:rsidRPr="005D4D02">
        <w:rPr>
          <w:vertAlign w:val="superscript"/>
        </w:rPr>
        <w:t xml:space="preserve"> </w:t>
      </w:r>
      <w:r w:rsidR="003461C4" w:rsidRPr="005D4D02">
        <w:t>as amended in informal document INF.39 (forty-third session)</w:t>
      </w:r>
      <w:r w:rsidR="003461C4" w:rsidRPr="005D4D02">
        <w:rPr>
          <w:rStyle w:val="FootnoteReference"/>
          <w:sz w:val="20"/>
        </w:rPr>
        <w:footnoteReference w:id="3"/>
      </w:r>
      <w:r w:rsidR="003461C4" w:rsidRPr="005D4D02">
        <w:rPr>
          <w:vertAlign w:val="superscript"/>
        </w:rPr>
        <w:t>,</w:t>
      </w:r>
      <w:r w:rsidR="003461C4" w:rsidRPr="005D4D02">
        <w:t xml:space="preserve"> as agreed by the Sub-Committee</w:t>
      </w:r>
      <w:r w:rsidR="003461C4" w:rsidRPr="005D4D02">
        <w:rPr>
          <w:rStyle w:val="FootnoteReference"/>
          <w:sz w:val="20"/>
        </w:rPr>
        <w:footnoteReference w:id="4"/>
      </w:r>
      <w:r w:rsidR="003461C4" w:rsidRPr="005D4D02">
        <w:t>.</w:t>
      </w:r>
    </w:p>
    <w:p w14:paraId="5A29DDC6" w14:textId="02332DF8" w:rsidR="00AB485F" w:rsidRPr="005D4D02" w:rsidRDefault="00AC05F3" w:rsidP="005D4D02">
      <w:pPr>
        <w:pStyle w:val="SingleTxtG"/>
        <w:tabs>
          <w:tab w:val="left" w:pos="1701"/>
        </w:tabs>
        <w:rPr>
          <w:rFonts w:eastAsiaTheme="minorEastAsia"/>
        </w:rPr>
      </w:pPr>
      <w:r w:rsidRPr="005D4D02">
        <w:rPr>
          <w:rFonts w:eastAsiaTheme="minorEastAsia"/>
        </w:rPr>
        <w:t>2.</w:t>
      </w:r>
      <w:r w:rsidRPr="005D4D02">
        <w:rPr>
          <w:rFonts w:eastAsiaTheme="minorEastAsia"/>
        </w:rPr>
        <w:tab/>
      </w:r>
      <w:r w:rsidR="003461C4" w:rsidRPr="005D4D02">
        <w:t xml:space="preserve">At its forty-fourth session in July 2023, the Sub-Committee approved the 2023-2024 workplan for the </w:t>
      </w:r>
      <w:r w:rsidR="007313E9" w:rsidRPr="005D4D02">
        <w:t>PHI-IWG</w:t>
      </w:r>
      <w:r w:rsidR="003461C4" w:rsidRPr="005D4D02">
        <w:t xml:space="preserve"> as proposed in informal document INF.19 (forty-fourth session)</w:t>
      </w:r>
      <w:r w:rsidR="003461C4" w:rsidRPr="005D4D02">
        <w:rPr>
          <w:rStyle w:val="FootnoteReference"/>
          <w:sz w:val="20"/>
        </w:rPr>
        <w:footnoteReference w:id="5"/>
      </w:r>
      <w:r w:rsidR="008A0FBD" w:rsidRPr="005D4D02">
        <w:t>.</w:t>
      </w:r>
      <w:r w:rsidR="00B54CAF" w:rsidRPr="005D4D02">
        <w:rPr>
          <w:rFonts w:eastAsiaTheme="minorEastAsia"/>
        </w:rPr>
        <w:t xml:space="preserve"> </w:t>
      </w:r>
    </w:p>
    <w:p w14:paraId="6D786C0F" w14:textId="337DF52A" w:rsidR="00292929" w:rsidRPr="005D4D02" w:rsidRDefault="00AC05F3" w:rsidP="005D4D02">
      <w:pPr>
        <w:pStyle w:val="SingleTxtG"/>
        <w:tabs>
          <w:tab w:val="left" w:pos="1701"/>
        </w:tabs>
      </w:pPr>
      <w:r w:rsidRPr="005D4D02">
        <w:t>3.</w:t>
      </w:r>
      <w:r w:rsidRPr="005D4D02">
        <w:tab/>
      </w:r>
      <w:r w:rsidR="00292929" w:rsidRPr="005D4D02">
        <w:t xml:space="preserve">This informal </w:t>
      </w:r>
      <w:r w:rsidR="00EB6514" w:rsidRPr="005D4D02">
        <w:t>document</w:t>
      </w:r>
      <w:r w:rsidR="00292929" w:rsidRPr="005D4D02">
        <w:t xml:space="preserve"> informs the Sub-Committee of the progress on the “persistence and mobility” workstream in the “Potential hazard issues and their presentation in the GHS (PHI)” informal working group (IWG) since its adoption in July 2023.</w:t>
      </w:r>
    </w:p>
    <w:p w14:paraId="51744838" w14:textId="5AD83534" w:rsidR="00292929" w:rsidRPr="005D4D02" w:rsidRDefault="00AC05F3" w:rsidP="005D4D02">
      <w:pPr>
        <w:pStyle w:val="SingleTxtG"/>
        <w:tabs>
          <w:tab w:val="left" w:pos="1701"/>
        </w:tabs>
      </w:pPr>
      <w:r w:rsidRPr="005D4D02">
        <w:t>4.</w:t>
      </w:r>
      <w:r w:rsidRPr="005D4D02">
        <w:tab/>
      </w:r>
      <w:r w:rsidR="00292929" w:rsidRPr="005D4D02">
        <w:t>The current state of the discussions in the PHI-IWG regarding the workstream on “persistence and mobility” is reflected both in this document and in ST/SG/AC.10/C.4/2024/9.</w:t>
      </w:r>
    </w:p>
    <w:p w14:paraId="4B5B234E" w14:textId="72291ABC" w:rsidR="002C527A" w:rsidRDefault="00AB485F" w:rsidP="00575366">
      <w:pPr>
        <w:pStyle w:val="HChG"/>
        <w:rPr>
          <w:rFonts w:eastAsiaTheme="minorEastAsia"/>
          <w:lang w:val="en-IE" w:eastAsia="zh-CN"/>
        </w:rPr>
      </w:pPr>
      <w:r w:rsidRPr="00AB485F">
        <w:rPr>
          <w:rFonts w:eastAsiaTheme="minorEastAsia"/>
          <w:sz w:val="24"/>
          <w:szCs w:val="24"/>
          <w:lang w:val="en-IE" w:eastAsia="zh-CN"/>
        </w:rPr>
        <w:t xml:space="preserve"> </w:t>
      </w:r>
      <w:r>
        <w:rPr>
          <w:rFonts w:eastAsiaTheme="minorEastAsia"/>
          <w:sz w:val="24"/>
          <w:szCs w:val="24"/>
          <w:lang w:val="en-IE" w:eastAsia="zh-CN"/>
        </w:rPr>
        <w:tab/>
      </w:r>
      <w:r>
        <w:rPr>
          <w:rFonts w:eastAsiaTheme="minorEastAsia"/>
          <w:sz w:val="24"/>
          <w:szCs w:val="24"/>
          <w:lang w:val="en-IE" w:eastAsia="zh-CN"/>
        </w:rPr>
        <w:tab/>
      </w:r>
      <w:r w:rsidRPr="00AB485F">
        <w:rPr>
          <w:rFonts w:eastAsiaTheme="minorEastAsia"/>
          <w:lang w:val="en-IE" w:eastAsia="zh-CN"/>
        </w:rPr>
        <w:t>Status report</w:t>
      </w:r>
      <w:r w:rsidR="003A351D">
        <w:rPr>
          <w:rFonts w:eastAsiaTheme="minorEastAsia"/>
          <w:lang w:val="en-IE" w:eastAsia="zh-CN"/>
        </w:rPr>
        <w:t xml:space="preserve"> of the work on persistence and mobility</w:t>
      </w:r>
    </w:p>
    <w:p w14:paraId="443AC02B" w14:textId="53D62F0F" w:rsidR="00ED224A" w:rsidRPr="00ED2AF1" w:rsidRDefault="00AC05F3" w:rsidP="005D4D02">
      <w:pPr>
        <w:pStyle w:val="ListParagraph"/>
        <w:widowControl/>
        <w:tabs>
          <w:tab w:val="left" w:pos="1701"/>
        </w:tabs>
        <w:autoSpaceDE/>
        <w:autoSpaceDN/>
        <w:spacing w:before="120" w:after="120" w:line="259" w:lineRule="auto"/>
        <w:ind w:left="1134" w:right="1134"/>
        <w:jc w:val="both"/>
        <w:rPr>
          <w:sz w:val="20"/>
          <w:szCs w:val="20"/>
          <w:lang w:val="en-IE"/>
        </w:rPr>
      </w:pPr>
      <w:r w:rsidRPr="005D4D02">
        <w:rPr>
          <w:rStyle w:val="SingleTxtGChar"/>
        </w:rPr>
        <w:t>5.</w:t>
      </w:r>
      <w:r w:rsidRPr="005D4D02">
        <w:rPr>
          <w:rStyle w:val="SingleTxtGChar"/>
        </w:rPr>
        <w:tab/>
      </w:r>
      <w:r w:rsidR="008D24A3" w:rsidRPr="005D4D02">
        <w:rPr>
          <w:rStyle w:val="SingleTxtGChar"/>
        </w:rPr>
        <w:t>The PHI-IWG noted that no harmonised rules and procedures on the classification of substances and mixtures for persistence</w:t>
      </w:r>
      <w:r w:rsidR="009478F2" w:rsidRPr="005D4D02">
        <w:rPr>
          <w:rStyle w:val="SingleTxtGChar"/>
        </w:rPr>
        <w:t>,</w:t>
      </w:r>
      <w:r w:rsidR="008D24A3" w:rsidRPr="005D4D02">
        <w:rPr>
          <w:rStyle w:val="SingleTxtGChar"/>
        </w:rPr>
        <w:t xml:space="preserve"> mobility</w:t>
      </w:r>
      <w:r w:rsidR="009478F2" w:rsidRPr="005D4D02">
        <w:rPr>
          <w:rStyle w:val="SingleTxtGChar"/>
        </w:rPr>
        <w:t xml:space="preserve">, or </w:t>
      </w:r>
      <w:r w:rsidR="00253180" w:rsidRPr="005D4D02">
        <w:rPr>
          <w:rStyle w:val="SingleTxtGChar"/>
        </w:rPr>
        <w:t xml:space="preserve">for </w:t>
      </w:r>
      <w:r w:rsidR="009478F2" w:rsidRPr="005D4D02">
        <w:rPr>
          <w:rStyle w:val="SingleTxtGChar"/>
        </w:rPr>
        <w:t xml:space="preserve">a </w:t>
      </w:r>
      <w:r w:rsidR="008D24A3" w:rsidRPr="005D4D02">
        <w:rPr>
          <w:rStyle w:val="SingleTxtGChar"/>
        </w:rPr>
        <w:t xml:space="preserve">combination of </w:t>
      </w:r>
      <w:r w:rsidR="009478F2" w:rsidRPr="005D4D02">
        <w:rPr>
          <w:rStyle w:val="SingleTxtGChar"/>
        </w:rPr>
        <w:t>these</w:t>
      </w:r>
      <w:r w:rsidR="009478F2">
        <w:rPr>
          <w:sz w:val="20"/>
          <w:szCs w:val="20"/>
          <w:lang w:val="en-IE"/>
        </w:rPr>
        <w:t xml:space="preserve"> </w:t>
      </w:r>
      <w:r w:rsidR="008D24A3" w:rsidRPr="008D24A3">
        <w:rPr>
          <w:sz w:val="20"/>
          <w:szCs w:val="20"/>
          <w:lang w:val="en-IE"/>
        </w:rPr>
        <w:t xml:space="preserve">properties </w:t>
      </w:r>
      <w:r w:rsidR="008D24A3" w:rsidRPr="008D24A3">
        <w:rPr>
          <w:sz w:val="20"/>
          <w:szCs w:val="20"/>
          <w:lang w:val="en-IE"/>
        </w:rPr>
        <w:lastRenderedPageBreak/>
        <w:t xml:space="preserve">seem to exist in the GHS. However, the current version of </w:t>
      </w:r>
      <w:r w:rsidR="008D1EC0">
        <w:rPr>
          <w:sz w:val="20"/>
          <w:szCs w:val="20"/>
          <w:lang w:val="en-IE"/>
        </w:rPr>
        <w:t xml:space="preserve">the </w:t>
      </w:r>
      <w:r w:rsidR="008D24A3" w:rsidRPr="008D24A3">
        <w:rPr>
          <w:sz w:val="20"/>
          <w:szCs w:val="20"/>
          <w:lang w:val="en-IE"/>
        </w:rPr>
        <w:t>GHS</w:t>
      </w:r>
      <w:r w:rsidR="00211589">
        <w:rPr>
          <w:rStyle w:val="FootnoteReference"/>
          <w:szCs w:val="20"/>
          <w:lang w:val="en-IE"/>
        </w:rPr>
        <w:footnoteReference w:id="6"/>
      </w:r>
      <w:r w:rsidR="008D24A3" w:rsidRPr="008D24A3">
        <w:rPr>
          <w:sz w:val="20"/>
          <w:szCs w:val="20"/>
          <w:lang w:val="en-IE"/>
        </w:rPr>
        <w:t xml:space="preserve"> already contains various references to persistence</w:t>
      </w:r>
      <w:r w:rsidR="00AE39DB">
        <w:rPr>
          <w:sz w:val="20"/>
          <w:szCs w:val="20"/>
          <w:lang w:val="en-IE"/>
        </w:rPr>
        <w:t xml:space="preserve">, </w:t>
      </w:r>
      <w:r w:rsidR="00AE39DB" w:rsidRPr="008D24A3">
        <w:rPr>
          <w:sz w:val="20"/>
          <w:szCs w:val="20"/>
          <w:lang w:val="en-IE"/>
        </w:rPr>
        <w:t>deg</w:t>
      </w:r>
      <w:r w:rsidR="00AE39DB" w:rsidRPr="00ED2AF1">
        <w:rPr>
          <w:sz w:val="20"/>
          <w:szCs w:val="20"/>
          <w:lang w:val="en-IE"/>
        </w:rPr>
        <w:t xml:space="preserve">radability, as well as </w:t>
      </w:r>
      <w:r w:rsidR="00DC26A5" w:rsidRPr="00ED2AF1">
        <w:rPr>
          <w:sz w:val="20"/>
          <w:szCs w:val="20"/>
          <w:lang w:val="en-IE"/>
        </w:rPr>
        <w:t>to</w:t>
      </w:r>
      <w:r w:rsidR="008D24A3" w:rsidRPr="00ED2AF1">
        <w:rPr>
          <w:sz w:val="20"/>
          <w:szCs w:val="20"/>
          <w:lang w:val="en-IE"/>
        </w:rPr>
        <w:t xml:space="preserve"> mobility</w:t>
      </w:r>
      <w:r w:rsidR="00AE39DB" w:rsidRPr="00ED2AF1">
        <w:rPr>
          <w:sz w:val="20"/>
          <w:szCs w:val="20"/>
          <w:lang w:val="en-IE"/>
        </w:rPr>
        <w:t xml:space="preserve"> in soil</w:t>
      </w:r>
      <w:r w:rsidR="00B66419" w:rsidRPr="00ED2AF1">
        <w:rPr>
          <w:sz w:val="20"/>
          <w:szCs w:val="20"/>
          <w:lang w:val="en-IE"/>
        </w:rPr>
        <w:t>.</w:t>
      </w:r>
      <w:r w:rsidR="008D24A3" w:rsidRPr="00ED2AF1">
        <w:rPr>
          <w:sz w:val="20"/>
          <w:szCs w:val="20"/>
          <w:lang w:val="en-IE"/>
        </w:rPr>
        <w:t xml:space="preserve"> </w:t>
      </w:r>
      <w:r w:rsidR="00893098" w:rsidRPr="00ED2AF1">
        <w:rPr>
          <w:color w:val="000000" w:themeColor="text1"/>
          <w:sz w:val="20"/>
          <w:szCs w:val="20"/>
          <w:lang w:val="en-IE"/>
        </w:rPr>
        <w:t xml:space="preserve">Users of the </w:t>
      </w:r>
      <w:r w:rsidR="00ED2AF1" w:rsidRPr="00ED2AF1">
        <w:rPr>
          <w:color w:val="000000" w:themeColor="text1"/>
          <w:sz w:val="20"/>
          <w:szCs w:val="20"/>
          <w:lang w:val="en-IE"/>
        </w:rPr>
        <w:t>substances and mixtures</w:t>
      </w:r>
      <w:r w:rsidR="00ED2AF1">
        <w:rPr>
          <w:color w:val="000000" w:themeColor="text1"/>
          <w:sz w:val="20"/>
          <w:szCs w:val="20"/>
          <w:lang w:val="en-IE"/>
        </w:rPr>
        <w:t xml:space="preserve"> </w:t>
      </w:r>
      <w:r w:rsidR="00893098" w:rsidRPr="00ED2AF1">
        <w:rPr>
          <w:color w:val="000000" w:themeColor="text1"/>
          <w:sz w:val="20"/>
          <w:szCs w:val="20"/>
          <w:lang w:val="en-IE"/>
        </w:rPr>
        <w:t>can be informed about these properties via section 12 on ‘ecological information’ of the safety data sheet under the GHS.</w:t>
      </w:r>
      <w:r w:rsidR="00AD1FCB">
        <w:rPr>
          <w:color w:val="000000" w:themeColor="text1"/>
          <w:sz w:val="20"/>
          <w:szCs w:val="20"/>
          <w:lang w:val="en-IE"/>
        </w:rPr>
        <w:t xml:space="preserve"> </w:t>
      </w:r>
      <w:r w:rsidR="00AD1FCB" w:rsidRPr="00AD1FCB">
        <w:rPr>
          <w:color w:val="000000" w:themeColor="text1"/>
          <w:sz w:val="20"/>
          <w:szCs w:val="20"/>
          <w:lang w:val="en-IE"/>
        </w:rPr>
        <w:t>In addition, degradability is used as a part of the classification criteria under the GHS hazard class “Hazardous to the aquatic environment</w:t>
      </w:r>
      <w:r w:rsidR="003A2D27">
        <w:rPr>
          <w:color w:val="000000" w:themeColor="text1"/>
          <w:sz w:val="20"/>
          <w:szCs w:val="20"/>
          <w:lang w:val="en-IE"/>
        </w:rPr>
        <w:t>”</w:t>
      </w:r>
      <w:r w:rsidR="00AD1FCB">
        <w:rPr>
          <w:color w:val="000000" w:themeColor="text1"/>
          <w:sz w:val="20"/>
          <w:szCs w:val="20"/>
          <w:lang w:val="en-IE"/>
        </w:rPr>
        <w:t>.</w:t>
      </w:r>
    </w:p>
    <w:p w14:paraId="4EC4A91E" w14:textId="06D27B70" w:rsidR="00D73C67" w:rsidRPr="00D73C67" w:rsidRDefault="00AC05F3" w:rsidP="005D4D02">
      <w:pPr>
        <w:pStyle w:val="SingleTxtG"/>
        <w:tabs>
          <w:tab w:val="left" w:pos="1701"/>
        </w:tabs>
        <w:rPr>
          <w:lang w:val="en-IE"/>
        </w:rPr>
      </w:pPr>
      <w:r w:rsidRPr="00D73C67">
        <w:rPr>
          <w:lang w:val="en-IE"/>
        </w:rPr>
        <w:t>6.</w:t>
      </w:r>
      <w:r w:rsidRPr="00D73C67">
        <w:rPr>
          <w:lang w:val="en-IE"/>
        </w:rPr>
        <w:tab/>
      </w:r>
      <w:r w:rsidR="00893098" w:rsidRPr="00ED2AF1">
        <w:rPr>
          <w:lang w:val="en-IE"/>
        </w:rPr>
        <w:t>U</w:t>
      </w:r>
      <w:r w:rsidR="00C96554" w:rsidRPr="00ED2AF1">
        <w:rPr>
          <w:lang w:val="en-IE"/>
        </w:rPr>
        <w:t xml:space="preserve">nder the </w:t>
      </w:r>
      <w:r w:rsidR="00EB4950" w:rsidRPr="00ED2AF1">
        <w:rPr>
          <w:lang w:val="en-IE"/>
        </w:rPr>
        <w:t xml:space="preserve">GHS </w:t>
      </w:r>
      <w:r w:rsidR="00C96554" w:rsidRPr="00ED2AF1">
        <w:rPr>
          <w:lang w:val="en-IE"/>
        </w:rPr>
        <w:t xml:space="preserve">hazard class “Hazardous to the aquatic environment”, information on degradability is used in the classification scheme for </w:t>
      </w:r>
      <w:r w:rsidR="00F5378B" w:rsidRPr="00ED2AF1">
        <w:rPr>
          <w:lang w:val="en-IE"/>
        </w:rPr>
        <w:t>long-term (chronic) aquatic hazard</w:t>
      </w:r>
      <w:r w:rsidR="00EB4950" w:rsidRPr="00ED2AF1">
        <w:rPr>
          <w:lang w:val="en-IE"/>
        </w:rPr>
        <w:t>,</w:t>
      </w:r>
      <w:r w:rsidR="00C96554" w:rsidRPr="00ED2AF1">
        <w:rPr>
          <w:lang w:val="en-IE"/>
        </w:rPr>
        <w:t xml:space="preserve"> in combination with information on acute toxicity</w:t>
      </w:r>
      <w:r w:rsidR="002A663A" w:rsidRPr="00964224">
        <w:rPr>
          <w:color w:val="000000" w:themeColor="text1"/>
          <w:lang w:val="en-IE"/>
        </w:rPr>
        <w:t xml:space="preserve"> only if adequate chronic toxicity data are not available</w:t>
      </w:r>
      <w:r w:rsidR="00EB4950" w:rsidRPr="00964224">
        <w:rPr>
          <w:color w:val="000000" w:themeColor="text1"/>
          <w:lang w:val="en-IE"/>
        </w:rPr>
        <w:t>.</w:t>
      </w:r>
      <w:r w:rsidR="00ED2AF1">
        <w:rPr>
          <w:lang w:val="en-IE"/>
        </w:rPr>
        <w:t xml:space="preserve"> </w:t>
      </w:r>
      <w:r w:rsidR="002A663A" w:rsidRPr="00ED2AF1">
        <w:rPr>
          <w:lang w:val="en-IE"/>
        </w:rPr>
        <w:t>A</w:t>
      </w:r>
      <w:r w:rsidR="00EB4950" w:rsidRPr="00ED2AF1">
        <w:rPr>
          <w:lang w:val="en-IE"/>
        </w:rPr>
        <w:t xml:space="preserve">s this is only one of the approaches </w:t>
      </w:r>
      <w:r w:rsidR="009C5C96" w:rsidRPr="00ED2AF1">
        <w:rPr>
          <w:lang w:val="en-IE"/>
        </w:rPr>
        <w:t>that can be used for</w:t>
      </w:r>
      <w:r w:rsidR="00F5378B" w:rsidRPr="00ED2AF1">
        <w:rPr>
          <w:lang w:val="en-IE"/>
        </w:rPr>
        <w:t xml:space="preserve"> the </w:t>
      </w:r>
      <w:r w:rsidR="009C5C96" w:rsidRPr="00ED2AF1">
        <w:rPr>
          <w:lang w:val="en-IE"/>
        </w:rPr>
        <w:t>classification</w:t>
      </w:r>
      <w:r w:rsidR="00F5378B" w:rsidRPr="00ED2AF1">
        <w:rPr>
          <w:lang w:val="en-IE"/>
        </w:rPr>
        <w:t xml:space="preserve"> for chronic aquatic hazard</w:t>
      </w:r>
      <w:r w:rsidR="00466EF6">
        <w:rPr>
          <w:lang w:val="en-IE"/>
        </w:rPr>
        <w:t>s</w:t>
      </w:r>
      <w:r w:rsidR="00EB4950" w:rsidRPr="00ED2AF1">
        <w:rPr>
          <w:lang w:val="en-IE"/>
        </w:rPr>
        <w:t xml:space="preserve">, </w:t>
      </w:r>
      <w:r w:rsidR="009478F2" w:rsidRPr="00ED2AF1">
        <w:rPr>
          <w:lang w:val="en-IE"/>
        </w:rPr>
        <w:t xml:space="preserve">any particular </w:t>
      </w:r>
      <w:r w:rsidR="00EB4950" w:rsidRPr="00ED2AF1">
        <w:rPr>
          <w:lang w:val="en-IE"/>
        </w:rPr>
        <w:t xml:space="preserve">classification for </w:t>
      </w:r>
      <w:r w:rsidR="00F5378B" w:rsidRPr="00ED2AF1">
        <w:rPr>
          <w:lang w:val="en-IE"/>
        </w:rPr>
        <w:t>chronic aquatic hazard</w:t>
      </w:r>
      <w:r w:rsidR="00466EF6">
        <w:rPr>
          <w:lang w:val="en-IE"/>
        </w:rPr>
        <w:t>s</w:t>
      </w:r>
      <w:r w:rsidR="00AE3E64" w:rsidRPr="00ED2AF1">
        <w:rPr>
          <w:lang w:val="en-IE"/>
        </w:rPr>
        <w:t xml:space="preserve"> </w:t>
      </w:r>
      <w:r w:rsidR="009478F2" w:rsidRPr="00ED2AF1">
        <w:rPr>
          <w:lang w:val="en-IE"/>
        </w:rPr>
        <w:t xml:space="preserve">is not </w:t>
      </w:r>
      <w:r w:rsidR="0039508E" w:rsidRPr="00ED2AF1">
        <w:rPr>
          <w:lang w:val="en-IE"/>
        </w:rPr>
        <w:t xml:space="preserve">necessarily </w:t>
      </w:r>
      <w:r w:rsidR="009478F2" w:rsidRPr="00D73C67">
        <w:rPr>
          <w:lang w:val="en-IE"/>
        </w:rPr>
        <w:t>dependent on degradability</w:t>
      </w:r>
      <w:r w:rsidR="0039508E" w:rsidRPr="00D73C67">
        <w:rPr>
          <w:lang w:val="en-IE"/>
        </w:rPr>
        <w:t>.</w:t>
      </w:r>
      <w:r w:rsidR="009478F2" w:rsidRPr="00D73C67">
        <w:rPr>
          <w:lang w:val="en-IE"/>
        </w:rPr>
        <w:t xml:space="preserve"> </w:t>
      </w:r>
      <w:r w:rsidR="0039508E" w:rsidRPr="00D73C67">
        <w:rPr>
          <w:lang w:val="en-IE"/>
        </w:rPr>
        <w:t>C</w:t>
      </w:r>
      <w:r w:rsidR="009478F2" w:rsidRPr="00D73C67">
        <w:rPr>
          <w:lang w:val="en-IE"/>
        </w:rPr>
        <w:t xml:space="preserve">onsequently, classification </w:t>
      </w:r>
      <w:r w:rsidR="007D7CE3" w:rsidRPr="00D73C67">
        <w:rPr>
          <w:lang w:val="en-IE"/>
        </w:rPr>
        <w:t xml:space="preserve">(or absence of) for chronic aquatic </w:t>
      </w:r>
      <w:r w:rsidR="0003040E" w:rsidRPr="00D73C67">
        <w:rPr>
          <w:lang w:val="en-IE"/>
        </w:rPr>
        <w:t xml:space="preserve">hazard </w:t>
      </w:r>
      <w:r w:rsidR="00AE3E64" w:rsidRPr="00D73C67">
        <w:rPr>
          <w:lang w:val="en-IE"/>
        </w:rPr>
        <w:t>does not on its own inform on degradability.</w:t>
      </w:r>
      <w:r w:rsidR="0039508E" w:rsidRPr="00D73C67">
        <w:rPr>
          <w:b/>
          <w:bCs/>
          <w:lang w:val="en-IE"/>
        </w:rPr>
        <w:t xml:space="preserve"> </w:t>
      </w:r>
    </w:p>
    <w:p w14:paraId="773F1B2B" w14:textId="2C9C64C4" w:rsidR="008D24A3" w:rsidRPr="00AF5A2B" w:rsidRDefault="00AC05F3" w:rsidP="005D4D02">
      <w:pPr>
        <w:pStyle w:val="SingleTxtG"/>
        <w:tabs>
          <w:tab w:val="left" w:pos="1701"/>
        </w:tabs>
        <w:rPr>
          <w:lang w:val="en-IE"/>
        </w:rPr>
      </w:pPr>
      <w:r w:rsidRPr="00AF5A2B">
        <w:rPr>
          <w:lang w:val="en-IE"/>
        </w:rPr>
        <w:t>7.</w:t>
      </w:r>
      <w:r w:rsidRPr="00AF5A2B">
        <w:rPr>
          <w:lang w:val="en-IE"/>
        </w:rPr>
        <w:tab/>
      </w:r>
      <w:r w:rsidR="00B043B4" w:rsidRPr="00D73C67">
        <w:rPr>
          <w:lang w:val="en-IE"/>
        </w:rPr>
        <w:t>T</w:t>
      </w:r>
      <w:r w:rsidR="00191266" w:rsidRPr="00D73C67">
        <w:rPr>
          <w:lang w:val="en-IE"/>
        </w:rPr>
        <w:t xml:space="preserve">he </w:t>
      </w:r>
      <w:r w:rsidR="00C00DE8" w:rsidRPr="008D24A3">
        <w:rPr>
          <w:lang w:val="en-IE"/>
        </w:rPr>
        <w:t>PHI-IWG</w:t>
      </w:r>
      <w:r w:rsidR="00C00DE8" w:rsidRPr="00D73C67" w:rsidDel="00C00DE8">
        <w:rPr>
          <w:lang w:val="en-IE"/>
        </w:rPr>
        <w:t xml:space="preserve"> </w:t>
      </w:r>
      <w:r w:rsidR="00191266" w:rsidRPr="00D73C67">
        <w:rPr>
          <w:lang w:val="en-IE"/>
        </w:rPr>
        <w:t>noted that</w:t>
      </w:r>
      <w:r w:rsidR="00191266" w:rsidRPr="00D73C67">
        <w:rPr>
          <w:color w:val="000000" w:themeColor="text1"/>
          <w:lang w:val="en-IE"/>
        </w:rPr>
        <w:t xml:space="preserve"> </w:t>
      </w:r>
      <w:r w:rsidR="00B043B4" w:rsidRPr="00D73C67">
        <w:rPr>
          <w:color w:val="000000" w:themeColor="text1"/>
          <w:lang w:val="en-IE"/>
        </w:rPr>
        <w:t xml:space="preserve">there are </w:t>
      </w:r>
      <w:r w:rsidR="00191266" w:rsidRPr="00D73C67">
        <w:rPr>
          <w:color w:val="000000" w:themeColor="text1"/>
          <w:lang w:val="en-IE"/>
        </w:rPr>
        <w:t xml:space="preserve">no </w:t>
      </w:r>
      <w:r w:rsidR="00D73C67" w:rsidRPr="00D73C67">
        <w:rPr>
          <w:color w:val="000000" w:themeColor="text1"/>
          <w:lang w:val="en-IE"/>
        </w:rPr>
        <w:t>explicit and sufficient</w:t>
      </w:r>
      <w:r w:rsidR="00B043B4" w:rsidRPr="00D73C67">
        <w:rPr>
          <w:color w:val="000000" w:themeColor="text1"/>
          <w:lang w:val="en-IE"/>
        </w:rPr>
        <w:t xml:space="preserve"> reference</w:t>
      </w:r>
      <w:r w:rsidR="00466EF6">
        <w:rPr>
          <w:color w:val="000000" w:themeColor="text1"/>
          <w:lang w:val="en-IE"/>
        </w:rPr>
        <w:t>s</w:t>
      </w:r>
      <w:r w:rsidR="00191266" w:rsidRPr="00D73C67">
        <w:rPr>
          <w:color w:val="000000" w:themeColor="text1"/>
          <w:lang w:val="en-IE"/>
        </w:rPr>
        <w:t xml:space="preserve"> to</w:t>
      </w:r>
      <w:r w:rsidR="00B043B4" w:rsidRPr="00D73C67">
        <w:rPr>
          <w:color w:val="000000" w:themeColor="text1"/>
          <w:lang w:val="en-IE"/>
        </w:rPr>
        <w:t xml:space="preserve"> “persistence” and “mobility”- either</w:t>
      </w:r>
      <w:r w:rsidR="008D1EC0">
        <w:rPr>
          <w:color w:val="000000" w:themeColor="text1"/>
          <w:lang w:val="en-IE"/>
        </w:rPr>
        <w:t xml:space="preserve"> </w:t>
      </w:r>
      <w:r w:rsidR="00B043B4" w:rsidRPr="00D73C67">
        <w:rPr>
          <w:color w:val="000000" w:themeColor="text1"/>
          <w:lang w:val="en-IE"/>
        </w:rPr>
        <w:t>individual</w:t>
      </w:r>
      <w:r w:rsidR="008D1EC0">
        <w:rPr>
          <w:color w:val="000000" w:themeColor="text1"/>
          <w:lang w:val="en-IE"/>
        </w:rPr>
        <w:t>ly</w:t>
      </w:r>
      <w:r w:rsidR="00B043B4" w:rsidRPr="00D73C67">
        <w:rPr>
          <w:color w:val="000000" w:themeColor="text1"/>
          <w:lang w:val="en-IE"/>
        </w:rPr>
        <w:t xml:space="preserve"> or in combination - for</w:t>
      </w:r>
      <w:r w:rsidR="00191266" w:rsidRPr="00D73C67">
        <w:rPr>
          <w:color w:val="000000" w:themeColor="text1"/>
          <w:lang w:val="en-IE"/>
        </w:rPr>
        <w:t xml:space="preserve"> the protection of water bodies (including drinking water resources, e.g. surface water, groundwater) to protect human health and the environment</w:t>
      </w:r>
      <w:r w:rsidR="00AF5A2B">
        <w:rPr>
          <w:rStyle w:val="FootnoteReference"/>
          <w:color w:val="000000" w:themeColor="text1"/>
          <w:lang w:val="en-IE"/>
        </w:rPr>
        <w:footnoteReference w:id="7"/>
      </w:r>
      <w:r w:rsidR="00191266" w:rsidRPr="00D73C67">
        <w:rPr>
          <w:color w:val="000000" w:themeColor="text1"/>
          <w:lang w:val="en-IE"/>
        </w:rPr>
        <w:t>.</w:t>
      </w:r>
    </w:p>
    <w:p w14:paraId="4C3EE0C5" w14:textId="5BF6F831" w:rsidR="008D24A3" w:rsidRPr="00ED2AF1" w:rsidRDefault="00AC05F3" w:rsidP="00233F63">
      <w:pPr>
        <w:pStyle w:val="SingleTxtG"/>
        <w:tabs>
          <w:tab w:val="left" w:pos="1701"/>
        </w:tabs>
        <w:rPr>
          <w:lang w:val="en-IE"/>
        </w:rPr>
      </w:pPr>
      <w:r w:rsidRPr="00ED2AF1">
        <w:rPr>
          <w:lang w:val="en-IE"/>
        </w:rPr>
        <w:t>8.</w:t>
      </w:r>
      <w:r w:rsidRPr="00ED2AF1">
        <w:rPr>
          <w:lang w:val="en-IE"/>
        </w:rPr>
        <w:tab/>
      </w:r>
      <w:r w:rsidR="00400133" w:rsidRPr="00400133">
        <w:rPr>
          <w:lang w:val="en-IE"/>
        </w:rPr>
        <w:t>During the discussion there were different views regarding the regulatory use of the combination of persistence and mobility. Some members of the PHI-IWG noted that the concept of combining persistence and mobility is not new to chemical hazard-based approaches. Others considered that their use in chemical hazard-based approaches is rather new, noting that</w:t>
      </w:r>
      <w:r w:rsidR="00187294">
        <w:rPr>
          <w:lang w:val="en-IE"/>
        </w:rPr>
        <w:t xml:space="preserve"> </w:t>
      </w:r>
      <w:r w:rsidR="00400133" w:rsidRPr="00400133">
        <w:rPr>
          <w:lang w:val="en-IE"/>
        </w:rPr>
        <w:t>persistence and mobility are used in chemical risk management, but there is still ongoing debate as to the scientific foundation of these concepts for use in hazard-based approaches.</w:t>
      </w:r>
      <w:r w:rsidR="008D24A3" w:rsidRPr="00ED2AF1">
        <w:rPr>
          <w:lang w:val="en-IE"/>
        </w:rPr>
        <w:t xml:space="preserve"> </w:t>
      </w:r>
    </w:p>
    <w:p w14:paraId="19629D74" w14:textId="498705D1" w:rsidR="008D24A3" w:rsidRPr="008D24A3" w:rsidRDefault="00AC05F3" w:rsidP="00233F63">
      <w:pPr>
        <w:pStyle w:val="SingleTxtG"/>
        <w:tabs>
          <w:tab w:val="left" w:pos="1701"/>
        </w:tabs>
        <w:rPr>
          <w:lang w:val="en-IE"/>
        </w:rPr>
      </w:pPr>
      <w:r w:rsidRPr="008D24A3">
        <w:rPr>
          <w:lang w:val="en-IE"/>
        </w:rPr>
        <w:t>9.</w:t>
      </w:r>
      <w:r w:rsidRPr="008D24A3">
        <w:rPr>
          <w:lang w:val="en-IE"/>
        </w:rPr>
        <w:tab/>
      </w:r>
      <w:r w:rsidR="008D24A3" w:rsidRPr="008D24A3">
        <w:rPr>
          <w:lang w:val="en-IE"/>
        </w:rPr>
        <w:t xml:space="preserve">The PHI-IWG therefore concluded </w:t>
      </w:r>
      <w:r w:rsidR="00D823C9">
        <w:rPr>
          <w:lang w:val="en-IE"/>
        </w:rPr>
        <w:t>up</w:t>
      </w:r>
      <w:r w:rsidR="008D24A3" w:rsidRPr="008D24A3">
        <w:rPr>
          <w:lang w:val="en-IE"/>
        </w:rPr>
        <w:t xml:space="preserve">on the need to consult </w:t>
      </w:r>
      <w:r w:rsidR="00805C93">
        <w:rPr>
          <w:lang w:val="en-IE"/>
        </w:rPr>
        <w:t xml:space="preserve">the </w:t>
      </w:r>
      <w:r w:rsidR="005F093A">
        <w:rPr>
          <w:lang w:val="en-IE"/>
        </w:rPr>
        <w:t>OECD</w:t>
      </w:r>
      <w:r w:rsidR="008D24A3" w:rsidRPr="008D24A3">
        <w:rPr>
          <w:lang w:val="en-IE"/>
        </w:rPr>
        <w:t xml:space="preserve"> on this matter </w:t>
      </w:r>
      <w:r w:rsidR="00B66419">
        <w:rPr>
          <w:lang w:val="en-IE"/>
        </w:rPr>
        <w:t xml:space="preserve">as </w:t>
      </w:r>
      <w:r w:rsidR="008D24A3" w:rsidRPr="008D24A3">
        <w:rPr>
          <w:lang w:val="en-IE"/>
        </w:rPr>
        <w:t>its focal point for health and environmental hazards.</w:t>
      </w:r>
    </w:p>
    <w:p w14:paraId="6893A1F8" w14:textId="251A266A" w:rsidR="002C527A" w:rsidRPr="00233F63" w:rsidRDefault="005D3BFC" w:rsidP="00233F63">
      <w:pPr>
        <w:pStyle w:val="HChG"/>
        <w:rPr>
          <w:rFonts w:eastAsiaTheme="minorEastAsia"/>
          <w:sz w:val="24"/>
          <w:szCs w:val="24"/>
          <w:lang w:val="en-IE" w:eastAsia="zh-CN"/>
        </w:rPr>
      </w:pPr>
      <w:r w:rsidRPr="00233F63">
        <w:rPr>
          <w:rFonts w:eastAsiaTheme="minorEastAsia"/>
          <w:sz w:val="24"/>
          <w:szCs w:val="24"/>
          <w:lang w:val="en-IE" w:eastAsia="zh-CN"/>
        </w:rPr>
        <w:tab/>
      </w:r>
      <w:r w:rsidRPr="00233F63">
        <w:rPr>
          <w:rFonts w:eastAsiaTheme="minorEastAsia"/>
          <w:sz w:val="24"/>
          <w:szCs w:val="24"/>
          <w:lang w:val="en-IE" w:eastAsia="zh-CN"/>
        </w:rPr>
        <w:tab/>
      </w:r>
      <w:r w:rsidR="002C527A" w:rsidRPr="00233F63">
        <w:rPr>
          <w:rFonts w:eastAsiaTheme="minorEastAsia"/>
          <w:sz w:val="24"/>
          <w:szCs w:val="24"/>
          <w:lang w:val="en-IE" w:eastAsia="zh-CN"/>
        </w:rPr>
        <w:t xml:space="preserve">Proposed mandate to </w:t>
      </w:r>
      <w:r w:rsidR="00805C93" w:rsidRPr="00233F63">
        <w:rPr>
          <w:rFonts w:eastAsiaTheme="minorEastAsia"/>
          <w:sz w:val="24"/>
          <w:szCs w:val="24"/>
          <w:lang w:val="en-IE" w:eastAsia="zh-CN"/>
        </w:rPr>
        <w:t xml:space="preserve">the </w:t>
      </w:r>
      <w:r w:rsidR="002C527A" w:rsidRPr="00233F63">
        <w:rPr>
          <w:rFonts w:eastAsiaTheme="minorEastAsia"/>
          <w:sz w:val="24"/>
          <w:szCs w:val="24"/>
          <w:lang w:val="en-IE" w:eastAsia="zh-CN"/>
        </w:rPr>
        <w:t>OECD on persistence and mobility</w:t>
      </w:r>
      <w:r w:rsidR="00EB1709" w:rsidRPr="00233F63">
        <w:rPr>
          <w:rFonts w:eastAsiaTheme="minorEastAsia"/>
          <w:sz w:val="24"/>
          <w:szCs w:val="24"/>
          <w:lang w:val="en-IE" w:eastAsia="zh-CN"/>
        </w:rPr>
        <w:t xml:space="preserve"> in the GHS</w:t>
      </w:r>
    </w:p>
    <w:p w14:paraId="4C7BE0E1" w14:textId="3F7A1511" w:rsidR="008926B5" w:rsidRPr="00841EE2" w:rsidRDefault="00AC05F3" w:rsidP="00233F63">
      <w:pPr>
        <w:pStyle w:val="SingleTxtG"/>
        <w:tabs>
          <w:tab w:val="left" w:pos="1701"/>
        </w:tabs>
        <w:rPr>
          <w:lang w:val="en-IE"/>
        </w:rPr>
      </w:pPr>
      <w:r w:rsidRPr="00841EE2">
        <w:rPr>
          <w:lang w:val="en-IE"/>
        </w:rPr>
        <w:t>10.</w:t>
      </w:r>
      <w:r w:rsidRPr="00841EE2">
        <w:rPr>
          <w:lang w:val="en-IE"/>
        </w:rPr>
        <w:tab/>
      </w:r>
      <w:r w:rsidR="002C527A" w:rsidRPr="008D24A3">
        <w:rPr>
          <w:lang w:val="en-IE"/>
        </w:rPr>
        <w:t xml:space="preserve">The </w:t>
      </w:r>
      <w:r w:rsidR="00B54DAD">
        <w:rPr>
          <w:lang w:val="en-IE"/>
        </w:rPr>
        <w:t xml:space="preserve">PHI-IWG have submitted to the </w:t>
      </w:r>
      <w:r w:rsidR="002C527A" w:rsidRPr="008D24A3">
        <w:rPr>
          <w:lang w:val="en-IE"/>
        </w:rPr>
        <w:t xml:space="preserve">Sub-Committee </w:t>
      </w:r>
      <w:r w:rsidR="00917E66" w:rsidRPr="008D24A3">
        <w:rPr>
          <w:lang w:val="en-IE"/>
        </w:rPr>
        <w:t xml:space="preserve">a proposal </w:t>
      </w:r>
      <w:r w:rsidR="00EA5993" w:rsidRPr="008D24A3">
        <w:rPr>
          <w:lang w:val="en-IE"/>
        </w:rPr>
        <w:t>to</w:t>
      </w:r>
      <w:r w:rsidR="002C527A" w:rsidRPr="008D24A3">
        <w:rPr>
          <w:lang w:val="en-IE"/>
        </w:rPr>
        <w:t xml:space="preserve"> mandate</w:t>
      </w:r>
      <w:r w:rsidR="00B54DAD">
        <w:rPr>
          <w:lang w:val="en-IE"/>
        </w:rPr>
        <w:t xml:space="preserve"> to</w:t>
      </w:r>
      <w:r w:rsidR="002C527A" w:rsidRPr="008D24A3">
        <w:rPr>
          <w:lang w:val="en-IE"/>
        </w:rPr>
        <w:t xml:space="preserve"> the OECD to review the state of the science needed for </w:t>
      </w:r>
      <w:r w:rsidR="000842A8" w:rsidRPr="008D24A3">
        <w:rPr>
          <w:lang w:val="en-IE"/>
        </w:rPr>
        <w:t xml:space="preserve">the </w:t>
      </w:r>
      <w:r w:rsidR="002C527A" w:rsidRPr="008D24A3">
        <w:rPr>
          <w:lang w:val="en-IE"/>
        </w:rPr>
        <w:t xml:space="preserve">classification and labelling of substances and mixtures that have persistence </w:t>
      </w:r>
      <w:r w:rsidR="00EB6514">
        <w:rPr>
          <w:lang w:val="en-IE"/>
        </w:rPr>
        <w:t xml:space="preserve">(P) </w:t>
      </w:r>
      <w:r w:rsidR="002C527A" w:rsidRPr="008D24A3">
        <w:rPr>
          <w:lang w:val="en-IE"/>
        </w:rPr>
        <w:t>and mobility</w:t>
      </w:r>
      <w:r w:rsidR="00EB6514">
        <w:rPr>
          <w:lang w:val="en-IE"/>
        </w:rPr>
        <w:t xml:space="preserve"> (M)</w:t>
      </w:r>
      <w:r w:rsidR="002C527A" w:rsidRPr="008D24A3">
        <w:rPr>
          <w:lang w:val="en-IE"/>
        </w:rPr>
        <w:t xml:space="preserve"> properties</w:t>
      </w:r>
      <w:r w:rsidR="008A08A3">
        <w:rPr>
          <w:rStyle w:val="FootnoteReference"/>
          <w:lang w:val="en-IE"/>
        </w:rPr>
        <w:footnoteReference w:id="8"/>
      </w:r>
      <w:r w:rsidR="002C527A" w:rsidRPr="008D24A3">
        <w:rPr>
          <w:lang w:val="en-IE"/>
        </w:rPr>
        <w:t>.</w:t>
      </w:r>
      <w:r w:rsidR="006172E4" w:rsidRPr="008D24A3">
        <w:rPr>
          <w:lang w:val="en-IE"/>
        </w:rPr>
        <w:t xml:space="preserve"> </w:t>
      </w:r>
      <w:r w:rsidR="00917E66" w:rsidRPr="008D24A3">
        <w:rPr>
          <w:lang w:val="en-IE"/>
        </w:rPr>
        <w:t xml:space="preserve">It was clarified that </w:t>
      </w:r>
      <w:r w:rsidR="006172E4" w:rsidRPr="008D24A3">
        <w:rPr>
          <w:lang w:val="en-IE"/>
        </w:rPr>
        <w:t xml:space="preserve">the wording “state of </w:t>
      </w:r>
      <w:r w:rsidR="00935C0C">
        <w:rPr>
          <w:lang w:val="en-IE"/>
        </w:rPr>
        <w:t xml:space="preserve">the </w:t>
      </w:r>
      <w:r w:rsidR="006172E4" w:rsidRPr="008D24A3">
        <w:rPr>
          <w:lang w:val="en-IE"/>
        </w:rPr>
        <w:t>sci</w:t>
      </w:r>
      <w:r w:rsidR="006172E4" w:rsidRPr="00841EE2">
        <w:rPr>
          <w:lang w:val="en-IE"/>
        </w:rPr>
        <w:t>ence”</w:t>
      </w:r>
      <w:r w:rsidR="004C5A70" w:rsidRPr="00841EE2">
        <w:rPr>
          <w:lang w:val="en-IE"/>
        </w:rPr>
        <w:t xml:space="preserve"> and “mixtures”</w:t>
      </w:r>
      <w:r w:rsidR="00917E66" w:rsidRPr="00841EE2">
        <w:rPr>
          <w:lang w:val="en-IE"/>
        </w:rPr>
        <w:t xml:space="preserve"> was included</w:t>
      </w:r>
      <w:r w:rsidR="0014474F" w:rsidRPr="00841EE2">
        <w:rPr>
          <w:lang w:val="en-IE"/>
        </w:rPr>
        <w:t xml:space="preserve"> for consistency</w:t>
      </w:r>
      <w:r w:rsidR="00602467" w:rsidRPr="00841EE2">
        <w:rPr>
          <w:lang w:val="en-IE"/>
        </w:rPr>
        <w:t xml:space="preserve"> with the GHS text</w:t>
      </w:r>
      <w:r w:rsidR="0014474F" w:rsidRPr="00841EE2">
        <w:rPr>
          <w:lang w:val="en-IE"/>
        </w:rPr>
        <w:t xml:space="preserve">. </w:t>
      </w:r>
    </w:p>
    <w:p w14:paraId="25E56D93" w14:textId="4AE14753" w:rsidR="00A66B7B" w:rsidRPr="00841EE2" w:rsidRDefault="00AC05F3" w:rsidP="00233F63">
      <w:pPr>
        <w:pStyle w:val="SingleTxtG"/>
        <w:tabs>
          <w:tab w:val="left" w:pos="1701"/>
        </w:tabs>
        <w:rPr>
          <w:lang w:val="en-IE"/>
        </w:rPr>
      </w:pPr>
      <w:r w:rsidRPr="00841EE2">
        <w:rPr>
          <w:lang w:val="en-IE"/>
        </w:rPr>
        <w:t>11.</w:t>
      </w:r>
      <w:r w:rsidRPr="00841EE2">
        <w:rPr>
          <w:lang w:val="en-IE"/>
        </w:rPr>
        <w:tab/>
      </w:r>
      <w:r w:rsidR="00917E66" w:rsidRPr="00841EE2">
        <w:t xml:space="preserve">The </w:t>
      </w:r>
      <w:r w:rsidR="00C00DE8" w:rsidRPr="00841EE2">
        <w:rPr>
          <w:lang w:val="en-IE"/>
        </w:rPr>
        <w:t>PHI-IWG</w:t>
      </w:r>
      <w:r w:rsidR="00C00DE8" w:rsidRPr="00841EE2" w:rsidDel="00C00DE8">
        <w:t xml:space="preserve"> </w:t>
      </w:r>
      <w:r w:rsidR="00917E66" w:rsidRPr="00841EE2">
        <w:t>discussed if the potential hazards should be assessed both individually and in combination.</w:t>
      </w:r>
      <w:r w:rsidR="00A66B7B" w:rsidRPr="00841EE2">
        <w:t xml:space="preserve"> </w:t>
      </w:r>
      <w:r w:rsidR="008A08A3" w:rsidRPr="00841EE2">
        <w:rPr>
          <w:lang w:val="en-IE"/>
        </w:rPr>
        <w:t xml:space="preserve">The </w:t>
      </w:r>
      <w:r w:rsidR="00200078" w:rsidRPr="00841EE2">
        <w:rPr>
          <w:lang w:val="en-IE"/>
        </w:rPr>
        <w:t>proposed</w:t>
      </w:r>
      <w:r w:rsidR="008A08A3" w:rsidRPr="00841EE2">
        <w:rPr>
          <w:lang w:val="en-IE"/>
        </w:rPr>
        <w:t xml:space="preserve"> mandate </w:t>
      </w:r>
      <w:r w:rsidR="00200078" w:rsidRPr="00841EE2">
        <w:rPr>
          <w:lang w:val="en-IE"/>
        </w:rPr>
        <w:t>entails</w:t>
      </w:r>
      <w:r w:rsidR="008A08A3" w:rsidRPr="00841EE2">
        <w:rPr>
          <w:lang w:val="en-IE"/>
        </w:rPr>
        <w:t xml:space="preserve"> a stepwise </w:t>
      </w:r>
      <w:r w:rsidR="00200078" w:rsidRPr="00841EE2">
        <w:rPr>
          <w:lang w:val="en-IE"/>
        </w:rPr>
        <w:t>approach foreseeing a</w:t>
      </w:r>
      <w:r w:rsidR="008A08A3" w:rsidRPr="00841EE2">
        <w:rPr>
          <w:lang w:val="en-IE"/>
        </w:rPr>
        <w:t xml:space="preserve"> review of the state </w:t>
      </w:r>
      <w:r w:rsidR="0019454E" w:rsidRPr="00841EE2">
        <w:rPr>
          <w:lang w:val="en-IE"/>
        </w:rPr>
        <w:t xml:space="preserve">of the science </w:t>
      </w:r>
      <w:r w:rsidR="00200078" w:rsidRPr="00841EE2">
        <w:rPr>
          <w:lang w:val="en-IE"/>
        </w:rPr>
        <w:t>as outlined in sub-paragraph 4</w:t>
      </w:r>
      <w:r w:rsidR="00047A63">
        <w:rPr>
          <w:lang w:val="en-IE"/>
        </w:rPr>
        <w:t> </w:t>
      </w:r>
      <w:r w:rsidR="00200078" w:rsidRPr="00841EE2">
        <w:rPr>
          <w:lang w:val="en-IE"/>
        </w:rPr>
        <w:t xml:space="preserve">(a) </w:t>
      </w:r>
      <w:r w:rsidR="00047A63">
        <w:rPr>
          <w:lang w:val="en-IE"/>
        </w:rPr>
        <w:t xml:space="preserve">in document </w:t>
      </w:r>
      <w:r w:rsidR="00200078" w:rsidRPr="00841EE2">
        <w:rPr>
          <w:lang w:val="en-IE"/>
        </w:rPr>
        <w:t>ST/SG/AC.10/C.4/2024/9</w:t>
      </w:r>
      <w:r w:rsidR="008A08A3" w:rsidRPr="00841EE2">
        <w:rPr>
          <w:lang w:val="en-IE"/>
        </w:rPr>
        <w:t xml:space="preserve">. The results of this work </w:t>
      </w:r>
      <w:r w:rsidR="00F61218" w:rsidRPr="00841EE2">
        <w:rPr>
          <w:lang w:val="en-IE"/>
        </w:rPr>
        <w:t xml:space="preserve">can </w:t>
      </w:r>
      <w:r w:rsidR="008A08A3" w:rsidRPr="00841EE2">
        <w:rPr>
          <w:lang w:val="en-IE"/>
        </w:rPr>
        <w:t xml:space="preserve">be used </w:t>
      </w:r>
      <w:r w:rsidR="00F61218" w:rsidRPr="00841EE2">
        <w:rPr>
          <w:lang w:val="en-IE"/>
        </w:rPr>
        <w:t>for the assessment</w:t>
      </w:r>
      <w:r w:rsidR="008A08A3" w:rsidRPr="00841EE2">
        <w:rPr>
          <w:lang w:val="en-IE"/>
        </w:rPr>
        <w:t xml:space="preserve"> of the </w:t>
      </w:r>
      <w:r w:rsidR="008A08A3" w:rsidRPr="00841EE2">
        <w:rPr>
          <w:lang w:val="en-IE"/>
        </w:rPr>
        <w:lastRenderedPageBreak/>
        <w:t xml:space="preserve">potential hazard of the combination of these properties. </w:t>
      </w:r>
      <w:r w:rsidR="00A66B7B" w:rsidRPr="00841EE2">
        <w:rPr>
          <w:lang w:val="en-IE"/>
        </w:rPr>
        <w:t xml:space="preserve">There is common understanding that </w:t>
      </w:r>
      <w:r w:rsidR="00EB6514">
        <w:rPr>
          <w:lang w:val="en-IE"/>
        </w:rPr>
        <w:t>P</w:t>
      </w:r>
      <w:r w:rsidR="00A66B7B" w:rsidRPr="00841EE2">
        <w:rPr>
          <w:lang w:val="en-IE"/>
        </w:rPr>
        <w:t xml:space="preserve"> and </w:t>
      </w:r>
      <w:r w:rsidR="00EB6514">
        <w:rPr>
          <w:lang w:val="en-IE"/>
        </w:rPr>
        <w:t>M</w:t>
      </w:r>
      <w:r w:rsidR="00A66B7B" w:rsidRPr="00841EE2">
        <w:rPr>
          <w:lang w:val="en-IE"/>
        </w:rPr>
        <w:t xml:space="preserve"> should be addressed in combination</w:t>
      </w:r>
      <w:r w:rsidR="00A66B7B" w:rsidRPr="00841EE2">
        <w:rPr>
          <w:rStyle w:val="FootnoteReference"/>
          <w:sz w:val="20"/>
          <w:lang w:val="en-IE"/>
        </w:rPr>
        <w:footnoteReference w:id="9"/>
      </w:r>
      <w:r w:rsidR="00A66B7B" w:rsidRPr="00841EE2">
        <w:rPr>
          <w:lang w:val="en-IE"/>
        </w:rPr>
        <w:t xml:space="preserve"> to identify problematic substances.</w:t>
      </w:r>
      <w:r w:rsidR="001F1D6D" w:rsidRPr="00841EE2">
        <w:rPr>
          <w:lang w:val="en-IE"/>
        </w:rPr>
        <w:t xml:space="preserve"> The proposed mandate</w:t>
      </w:r>
      <w:r w:rsidR="008D1EC0">
        <w:rPr>
          <w:lang w:val="en-IE"/>
        </w:rPr>
        <w:t xml:space="preserve"> therefore</w:t>
      </w:r>
      <w:r w:rsidR="001F1D6D" w:rsidRPr="00841EE2">
        <w:rPr>
          <w:lang w:val="en-IE"/>
        </w:rPr>
        <w:t xml:space="preserve"> includes an </w:t>
      </w:r>
      <w:r w:rsidR="001F1D6D" w:rsidRPr="00841EE2">
        <w:t>assessment of the potential hazard of the combination of these properties.</w:t>
      </w:r>
    </w:p>
    <w:p w14:paraId="75324689" w14:textId="32D25A5C" w:rsidR="00A66B7B" w:rsidRPr="00841EE2" w:rsidRDefault="00AC05F3" w:rsidP="002017EA">
      <w:pPr>
        <w:pStyle w:val="SingleTxtG"/>
        <w:tabs>
          <w:tab w:val="left" w:pos="1701"/>
        </w:tabs>
        <w:rPr>
          <w:lang w:val="en-IE"/>
        </w:rPr>
      </w:pPr>
      <w:r w:rsidRPr="00841EE2">
        <w:rPr>
          <w:lang w:val="en-IE"/>
        </w:rPr>
        <w:t>12.</w:t>
      </w:r>
      <w:r w:rsidRPr="00841EE2">
        <w:rPr>
          <w:lang w:val="en-IE"/>
        </w:rPr>
        <w:tab/>
      </w:r>
      <w:r w:rsidR="00A66B7B" w:rsidRPr="00841EE2">
        <w:t>Some experts expressed the need to also address toxicity (PMT), as well as to address very persistent and very mobile substances (vPvM).</w:t>
      </w:r>
      <w:r w:rsidR="00205219" w:rsidRPr="00841EE2">
        <w:t xml:space="preserve"> </w:t>
      </w:r>
      <w:r w:rsidR="0014420B" w:rsidRPr="00841EE2">
        <w:t xml:space="preserve">Aware of the prioritisation as per </w:t>
      </w:r>
      <w:r w:rsidR="00187294" w:rsidRPr="00841EE2">
        <w:t xml:space="preserve">the </w:t>
      </w:r>
      <w:r w:rsidR="0014420B" w:rsidRPr="00841EE2">
        <w:t>PHI-IWG workplan</w:t>
      </w:r>
      <w:r w:rsidR="00C83018" w:rsidRPr="00841EE2">
        <w:t>,</w:t>
      </w:r>
      <w:r w:rsidR="008A08A3" w:rsidRPr="00841EE2">
        <w:rPr>
          <w:lang w:val="en-IE"/>
        </w:rPr>
        <w:t xml:space="preserve"> the addition of toxicity </w:t>
      </w:r>
      <w:r w:rsidR="00EB6514">
        <w:rPr>
          <w:lang w:val="en-IE"/>
        </w:rPr>
        <w:t xml:space="preserve">(T) </w:t>
      </w:r>
      <w:r w:rsidR="008A08A3" w:rsidRPr="00841EE2">
        <w:rPr>
          <w:lang w:val="en-IE"/>
        </w:rPr>
        <w:t xml:space="preserve">as a factor in combination with </w:t>
      </w:r>
      <w:r w:rsidR="00EB6514">
        <w:rPr>
          <w:lang w:val="en-IE"/>
        </w:rPr>
        <w:t>P and M</w:t>
      </w:r>
      <w:r w:rsidR="008A08A3" w:rsidRPr="00841EE2">
        <w:rPr>
          <w:lang w:val="en-IE"/>
        </w:rPr>
        <w:t xml:space="preserve"> has not yet been discussed within the PHI-IWG</w:t>
      </w:r>
      <w:r w:rsidR="00A66B7B" w:rsidRPr="00841EE2">
        <w:rPr>
          <w:lang w:val="en-IE"/>
        </w:rPr>
        <w:t>.</w:t>
      </w:r>
      <w:r w:rsidR="008A08A3" w:rsidRPr="00841EE2">
        <w:rPr>
          <w:lang w:val="en-IE"/>
        </w:rPr>
        <w:t xml:space="preserve"> </w:t>
      </w:r>
      <w:r w:rsidR="00A66B7B" w:rsidRPr="00841EE2">
        <w:rPr>
          <w:lang w:val="en-IE"/>
        </w:rPr>
        <w:t>H</w:t>
      </w:r>
      <w:r w:rsidR="008A08A3" w:rsidRPr="00841EE2">
        <w:rPr>
          <w:lang w:val="en-IE"/>
        </w:rPr>
        <w:t>owever, following the review of persistence and mobility</w:t>
      </w:r>
      <w:r w:rsidR="0019454E" w:rsidRPr="00841EE2">
        <w:rPr>
          <w:lang w:val="en-IE"/>
        </w:rPr>
        <w:t>,</w:t>
      </w:r>
      <w:r w:rsidR="008A08A3" w:rsidRPr="00841EE2">
        <w:rPr>
          <w:lang w:val="en-IE"/>
        </w:rPr>
        <w:t xml:space="preserve"> the </w:t>
      </w:r>
      <w:r w:rsidR="0019454E" w:rsidRPr="00841EE2">
        <w:rPr>
          <w:lang w:val="en-IE"/>
        </w:rPr>
        <w:t>PHI-IWG</w:t>
      </w:r>
      <w:r w:rsidR="008A08A3" w:rsidRPr="00841EE2">
        <w:rPr>
          <w:lang w:val="en-IE"/>
        </w:rPr>
        <w:t xml:space="preserve"> may wish to consider </w:t>
      </w:r>
      <w:r w:rsidR="00EB6514">
        <w:rPr>
          <w:lang w:val="en-IE"/>
        </w:rPr>
        <w:t>T</w:t>
      </w:r>
      <w:r w:rsidR="008A08A3" w:rsidRPr="00841EE2">
        <w:rPr>
          <w:lang w:val="en-IE"/>
        </w:rPr>
        <w:t xml:space="preserve"> in combination with </w:t>
      </w:r>
      <w:r w:rsidR="00EB6514">
        <w:rPr>
          <w:lang w:val="en-IE"/>
        </w:rPr>
        <w:t>P</w:t>
      </w:r>
      <w:r w:rsidR="008A08A3" w:rsidRPr="00841EE2">
        <w:rPr>
          <w:lang w:val="en-IE"/>
        </w:rPr>
        <w:t xml:space="preserve"> and </w:t>
      </w:r>
      <w:r w:rsidR="00EB6514">
        <w:rPr>
          <w:lang w:val="en-IE"/>
        </w:rPr>
        <w:t>M.</w:t>
      </w:r>
      <w:r w:rsidR="00917E66" w:rsidRPr="00841EE2">
        <w:rPr>
          <w:lang w:val="en-IE"/>
        </w:rPr>
        <w:t xml:space="preserve"> </w:t>
      </w:r>
      <w:r w:rsidR="00A66B7B" w:rsidRPr="00841EE2">
        <w:rPr>
          <w:lang w:val="en-IE"/>
        </w:rPr>
        <w:t xml:space="preserve">The PHI-IWG decided therefore that if the OECD is tasked with a specific request on how to fill any gaps, it could consider </w:t>
      </w:r>
      <w:r w:rsidR="00EB6514">
        <w:t>T</w:t>
      </w:r>
      <w:r w:rsidR="00EB6514" w:rsidRPr="00841EE2">
        <w:t xml:space="preserve"> </w:t>
      </w:r>
      <w:r w:rsidR="00A66B7B" w:rsidRPr="00841EE2">
        <w:t xml:space="preserve">to humans and/or to the environment as an additional intrinsic property to complement </w:t>
      </w:r>
      <w:r w:rsidR="00EB6514">
        <w:t>P</w:t>
      </w:r>
      <w:r w:rsidR="00A66B7B" w:rsidRPr="00841EE2">
        <w:t xml:space="preserve"> and </w:t>
      </w:r>
      <w:r w:rsidR="00EB6514">
        <w:t>M</w:t>
      </w:r>
      <w:r w:rsidR="00A66B7B" w:rsidRPr="00841EE2">
        <w:t>.</w:t>
      </w:r>
    </w:p>
    <w:p w14:paraId="4CD66144" w14:textId="403E5868" w:rsidR="00D67069" w:rsidRPr="00D67069" w:rsidRDefault="00AC05F3" w:rsidP="002017EA">
      <w:pPr>
        <w:pStyle w:val="SingleTxtG"/>
        <w:tabs>
          <w:tab w:val="left" w:pos="1701"/>
        </w:tabs>
        <w:rPr>
          <w:color w:val="000000" w:themeColor="text1"/>
          <w:lang w:val="en-IE"/>
        </w:rPr>
      </w:pPr>
      <w:r w:rsidRPr="00D67069">
        <w:rPr>
          <w:color w:val="000000" w:themeColor="text1"/>
          <w:lang w:val="en-IE"/>
        </w:rPr>
        <w:t>13.</w:t>
      </w:r>
      <w:r w:rsidRPr="00D67069">
        <w:rPr>
          <w:color w:val="000000" w:themeColor="text1"/>
          <w:lang w:val="en-IE"/>
        </w:rPr>
        <w:tab/>
      </w:r>
      <w:r w:rsidR="00927C4C" w:rsidRPr="003860E2">
        <w:t xml:space="preserve">The </w:t>
      </w:r>
      <w:r w:rsidR="00602467" w:rsidRPr="003860E2">
        <w:t xml:space="preserve">PHI-IWG discussed </w:t>
      </w:r>
      <w:r w:rsidR="00695889" w:rsidRPr="003860E2">
        <w:t xml:space="preserve">if </w:t>
      </w:r>
      <w:r w:rsidR="0089406D" w:rsidRPr="003860E2">
        <w:t>the scope should be exclusively</w:t>
      </w:r>
      <w:r w:rsidR="00695889" w:rsidRPr="003860E2">
        <w:t xml:space="preserve"> limited</w:t>
      </w:r>
      <w:r w:rsidR="0089406D" w:rsidRPr="003860E2">
        <w:t xml:space="preserve"> to drinking water resources </w:t>
      </w:r>
      <w:r w:rsidR="00695889" w:rsidRPr="003860E2">
        <w:t>or</w:t>
      </w:r>
      <w:r w:rsidR="0089406D" w:rsidRPr="003860E2">
        <w:t xml:space="preserve"> </w:t>
      </w:r>
      <w:r w:rsidR="00695889" w:rsidRPr="003860E2">
        <w:t xml:space="preserve">if </w:t>
      </w:r>
      <w:r w:rsidR="00770CBF" w:rsidRPr="003860E2">
        <w:t>the</w:t>
      </w:r>
      <w:r w:rsidR="00AF473C" w:rsidRPr="003860E2">
        <w:t xml:space="preserve"> </w:t>
      </w:r>
      <w:r w:rsidR="00695889" w:rsidRPr="003860E2">
        <w:t xml:space="preserve">scope should cover an </w:t>
      </w:r>
      <w:r w:rsidR="000842A8" w:rsidRPr="003860E2">
        <w:t xml:space="preserve">overall </w:t>
      </w:r>
      <w:r w:rsidR="008F49D6" w:rsidRPr="003860E2">
        <w:t>protection goal</w:t>
      </w:r>
      <w:r w:rsidR="00AF473C" w:rsidRPr="003860E2">
        <w:t xml:space="preserve"> both</w:t>
      </w:r>
      <w:r w:rsidR="00695889" w:rsidRPr="003860E2">
        <w:t xml:space="preserve"> for</w:t>
      </w:r>
      <w:r w:rsidR="00AF473C" w:rsidRPr="003860E2">
        <w:t xml:space="preserve"> human health and the environment</w:t>
      </w:r>
      <w:r w:rsidR="00CA6059" w:rsidRPr="003860E2">
        <w:t>.</w:t>
      </w:r>
      <w:r w:rsidR="0089406D" w:rsidRPr="003860E2">
        <w:rPr>
          <w:lang w:val="en-IE"/>
        </w:rPr>
        <w:t xml:space="preserve"> </w:t>
      </w:r>
      <w:r w:rsidR="008E3097" w:rsidRPr="003860E2">
        <w:rPr>
          <w:lang w:val="en-IE"/>
        </w:rPr>
        <w:t xml:space="preserve">This included a reflection on </w:t>
      </w:r>
      <w:r w:rsidR="008E3097" w:rsidRPr="003860E2">
        <w:t xml:space="preserve">whether to use the terms “all” or “any” water bodies as part of the protection goal. </w:t>
      </w:r>
      <w:r w:rsidR="008E3097" w:rsidRPr="003860E2">
        <w:rPr>
          <w:lang w:val="en-IE"/>
        </w:rPr>
        <w:t>I</w:t>
      </w:r>
      <w:r w:rsidR="00CD3F99" w:rsidRPr="003860E2">
        <w:rPr>
          <w:lang w:val="en-IE"/>
        </w:rPr>
        <w:t>t was noted that different water bodies may be relevant in different jurisdictions and that a review of the use of surface water for drin</w:t>
      </w:r>
      <w:r w:rsidR="00CD3F99" w:rsidRPr="00D67069">
        <w:rPr>
          <w:lang w:val="en-IE"/>
        </w:rPr>
        <w:t>king water across UN regions may be helpful. It was also pointed out that the GHS already covers other hazards to the aquat</w:t>
      </w:r>
      <w:r w:rsidR="00CD3F99" w:rsidRPr="00D67069">
        <w:rPr>
          <w:color w:val="000000" w:themeColor="text1"/>
          <w:lang w:val="en-IE"/>
        </w:rPr>
        <w:t>ic environment in a dedicated hazard class.</w:t>
      </w:r>
    </w:p>
    <w:p w14:paraId="2CA72C1B" w14:textId="3BEE4E4B" w:rsidR="00D67069" w:rsidRPr="00D67069" w:rsidRDefault="00AC05F3" w:rsidP="002017EA">
      <w:pPr>
        <w:pStyle w:val="SingleTxtG"/>
        <w:tabs>
          <w:tab w:val="left" w:pos="1701"/>
        </w:tabs>
        <w:rPr>
          <w:lang w:val="en-IE"/>
        </w:rPr>
      </w:pPr>
      <w:bookmarkStart w:id="0" w:name="_Hlk164948285"/>
      <w:r w:rsidRPr="00D67069">
        <w:rPr>
          <w:lang w:val="en-IE"/>
        </w:rPr>
        <w:t>14.</w:t>
      </w:r>
      <w:r w:rsidRPr="00D67069">
        <w:rPr>
          <w:lang w:val="en-IE"/>
        </w:rPr>
        <w:tab/>
      </w:r>
      <w:r w:rsidR="006A5DCF" w:rsidRPr="00D67069">
        <w:rPr>
          <w:lang w:val="en-IE"/>
        </w:rPr>
        <w:t xml:space="preserve">On the possible influence of environmental factors and the ability to generate standardized results and available testing methodologies, some members suggested that </w:t>
      </w:r>
      <w:r w:rsidR="00EB6514">
        <w:rPr>
          <w:lang w:val="en-IE"/>
        </w:rPr>
        <w:t xml:space="preserve">persistence </w:t>
      </w:r>
      <w:r w:rsidR="006A5DCF" w:rsidRPr="00D67069">
        <w:rPr>
          <w:lang w:val="en-IE"/>
        </w:rPr>
        <w:t xml:space="preserve">and </w:t>
      </w:r>
      <w:r w:rsidR="00EB6514">
        <w:rPr>
          <w:lang w:val="en-IE"/>
        </w:rPr>
        <w:t>mobility</w:t>
      </w:r>
      <w:r w:rsidR="006A5DCF" w:rsidRPr="00D67069">
        <w:rPr>
          <w:lang w:val="en-IE"/>
        </w:rPr>
        <w:t xml:space="preserve"> are intrinsic properties, </w:t>
      </w:r>
      <w:r w:rsidR="00D67069" w:rsidRPr="00D67069">
        <w:rPr>
          <w:lang w:val="en-IE"/>
        </w:rPr>
        <w:t xml:space="preserve">the degree of which is </w:t>
      </w:r>
      <w:r w:rsidR="006A5DCF" w:rsidRPr="00D67069">
        <w:rPr>
          <w:lang w:val="en-IE"/>
        </w:rPr>
        <w:t xml:space="preserve">influenced by environmental factors. They considered that data </w:t>
      </w:r>
      <w:r w:rsidR="00900F21" w:rsidRPr="00D67069">
        <w:rPr>
          <w:lang w:val="en-IE"/>
        </w:rPr>
        <w:t xml:space="preserve">on </w:t>
      </w:r>
      <w:r w:rsidR="00900F21" w:rsidRPr="00EB6514">
        <w:rPr>
          <w:lang w:val="en-IE"/>
        </w:rPr>
        <w:t>persistence</w:t>
      </w:r>
      <w:r w:rsidR="00EB6514">
        <w:rPr>
          <w:lang w:val="en-IE"/>
        </w:rPr>
        <w:t xml:space="preserve"> </w:t>
      </w:r>
      <w:r w:rsidR="00EB6514" w:rsidRPr="00D67069">
        <w:rPr>
          <w:lang w:val="en-IE"/>
        </w:rPr>
        <w:t xml:space="preserve">and </w:t>
      </w:r>
      <w:r w:rsidR="00EB6514">
        <w:rPr>
          <w:lang w:val="en-IE"/>
        </w:rPr>
        <w:t>mobility</w:t>
      </w:r>
      <w:r w:rsidR="006A5DCF" w:rsidRPr="00D67069">
        <w:rPr>
          <w:lang w:val="en-IE"/>
        </w:rPr>
        <w:t xml:space="preserve"> can be generated, standardized and used to compare and classify substances.</w:t>
      </w:r>
    </w:p>
    <w:p w14:paraId="73D2E5F5" w14:textId="1EE46B1F" w:rsidR="00D67069" w:rsidRPr="00D67069" w:rsidRDefault="00AC05F3" w:rsidP="002017EA">
      <w:pPr>
        <w:pStyle w:val="SingleTxtG"/>
        <w:tabs>
          <w:tab w:val="left" w:pos="1701"/>
        </w:tabs>
        <w:rPr>
          <w:lang w:val="en-IE"/>
        </w:rPr>
      </w:pPr>
      <w:r w:rsidRPr="00D67069">
        <w:rPr>
          <w:lang w:val="en-IE"/>
        </w:rPr>
        <w:t>15.</w:t>
      </w:r>
      <w:r w:rsidRPr="00D67069">
        <w:rPr>
          <w:lang w:val="en-IE"/>
        </w:rPr>
        <w:tab/>
      </w:r>
      <w:r w:rsidR="006A5DCF" w:rsidRPr="00D67069">
        <w:rPr>
          <w:lang w:val="en-IE"/>
        </w:rPr>
        <w:t xml:space="preserve">On the other hand, other members disagreed </w:t>
      </w:r>
      <w:r w:rsidR="00900F21" w:rsidRPr="00D67069">
        <w:rPr>
          <w:lang w:val="en-IE"/>
        </w:rPr>
        <w:t xml:space="preserve">that </w:t>
      </w:r>
      <w:r w:rsidR="00900F21" w:rsidRPr="00EB6514">
        <w:rPr>
          <w:lang w:val="en-IE"/>
        </w:rPr>
        <w:t>persistence</w:t>
      </w:r>
      <w:r w:rsidR="00EB6514">
        <w:rPr>
          <w:lang w:val="en-IE"/>
        </w:rPr>
        <w:t xml:space="preserve"> </w:t>
      </w:r>
      <w:r w:rsidR="00EB6514" w:rsidRPr="00D67069">
        <w:rPr>
          <w:lang w:val="en-IE"/>
        </w:rPr>
        <w:t xml:space="preserve">and </w:t>
      </w:r>
      <w:r w:rsidR="00EB6514">
        <w:rPr>
          <w:lang w:val="en-IE"/>
        </w:rPr>
        <w:t>mobility</w:t>
      </w:r>
      <w:r w:rsidR="006A5DCF" w:rsidRPr="00D67069">
        <w:rPr>
          <w:lang w:val="en-IE"/>
        </w:rPr>
        <w:t xml:space="preserve"> constitute intrinsic properties, pointing out that the GHS refers to the </w:t>
      </w:r>
      <w:r w:rsidR="006D517F">
        <w:rPr>
          <w:lang w:val="en-IE"/>
        </w:rPr>
        <w:t>“</w:t>
      </w:r>
      <w:r w:rsidR="006A5DCF" w:rsidRPr="00D67069">
        <w:rPr>
          <w:lang w:val="en-IE"/>
        </w:rPr>
        <w:t>degree of degradation</w:t>
      </w:r>
      <w:r w:rsidR="006D517F">
        <w:rPr>
          <w:lang w:val="en-IE"/>
        </w:rPr>
        <w:t>”</w:t>
      </w:r>
      <w:r w:rsidR="006A5DCF" w:rsidRPr="00D67069">
        <w:rPr>
          <w:lang w:val="en-IE"/>
        </w:rPr>
        <w:t xml:space="preserve"> depending as well on the actual conditions in the receiving environmental compartment, and that </w:t>
      </w:r>
      <w:r w:rsidR="00EB6514">
        <w:rPr>
          <w:lang w:val="en-IE"/>
        </w:rPr>
        <w:t>M</w:t>
      </w:r>
      <w:r w:rsidR="006A5DCF" w:rsidRPr="00D67069">
        <w:rPr>
          <w:lang w:val="en-IE"/>
        </w:rPr>
        <w:t xml:space="preserve"> is influenced by various environmental factors. </w:t>
      </w:r>
    </w:p>
    <w:p w14:paraId="10B85C3A" w14:textId="4B4B32B0" w:rsidR="006A5DCF" w:rsidRDefault="00AC05F3" w:rsidP="002017EA">
      <w:pPr>
        <w:pStyle w:val="SingleTxtG"/>
        <w:tabs>
          <w:tab w:val="left" w:pos="1701"/>
        </w:tabs>
        <w:rPr>
          <w:lang w:val="en-IE"/>
        </w:rPr>
      </w:pPr>
      <w:r>
        <w:rPr>
          <w:lang w:val="en-IE"/>
        </w:rPr>
        <w:t>16.</w:t>
      </w:r>
      <w:r>
        <w:rPr>
          <w:lang w:val="en-IE"/>
        </w:rPr>
        <w:tab/>
      </w:r>
      <w:r w:rsidR="006A5DCF" w:rsidRPr="00D67069">
        <w:rPr>
          <w:lang w:val="en-IE"/>
        </w:rPr>
        <w:t xml:space="preserve">Therefore, the </w:t>
      </w:r>
      <w:r w:rsidR="00841EE2">
        <w:rPr>
          <w:lang w:val="en-IE"/>
        </w:rPr>
        <w:t>PHI-IWG</w:t>
      </w:r>
      <w:r w:rsidR="006A5DCF" w:rsidRPr="00D67069">
        <w:rPr>
          <w:lang w:val="en-IE"/>
        </w:rPr>
        <w:t xml:space="preserve"> agreed that the OECD should consider the available testing methodologies and the ability to generate standardized results as part of the mandate on </w:t>
      </w:r>
      <w:r w:rsidR="00EB6514">
        <w:rPr>
          <w:lang w:val="en-IE"/>
        </w:rPr>
        <w:t xml:space="preserve">persistence </w:t>
      </w:r>
      <w:r w:rsidR="00EB6514" w:rsidRPr="00D67069">
        <w:rPr>
          <w:lang w:val="en-IE"/>
        </w:rPr>
        <w:t xml:space="preserve">and </w:t>
      </w:r>
      <w:r w:rsidR="00EB6514">
        <w:rPr>
          <w:lang w:val="en-IE"/>
        </w:rPr>
        <w:t>mobility</w:t>
      </w:r>
      <w:r w:rsidR="00D67069" w:rsidRPr="00D67069">
        <w:rPr>
          <w:lang w:val="en-IE"/>
        </w:rPr>
        <w:t>; clarifying if persistence and mobility can be defined as intrinsic</w:t>
      </w:r>
      <w:r w:rsidR="00D67069">
        <w:rPr>
          <w:color w:val="FF0000"/>
          <w:lang w:val="en-IE"/>
        </w:rPr>
        <w:t xml:space="preserve"> </w:t>
      </w:r>
      <w:r w:rsidR="00D67069" w:rsidRPr="00D67069">
        <w:rPr>
          <w:lang w:val="en-IE"/>
        </w:rPr>
        <w:t>properties under</w:t>
      </w:r>
      <w:r w:rsidR="008D1EC0">
        <w:rPr>
          <w:lang w:val="en-IE"/>
        </w:rPr>
        <w:t xml:space="preserve"> the</w:t>
      </w:r>
      <w:r w:rsidR="00D67069" w:rsidRPr="00D67069">
        <w:rPr>
          <w:lang w:val="en-IE"/>
        </w:rPr>
        <w:t xml:space="preserve"> GHS.</w:t>
      </w:r>
    </w:p>
    <w:p w14:paraId="44202262" w14:textId="5F012DE9" w:rsidR="001B7C9C" w:rsidRPr="00D67069" w:rsidRDefault="00AC05F3" w:rsidP="002017EA">
      <w:pPr>
        <w:pStyle w:val="SingleTxtG"/>
        <w:tabs>
          <w:tab w:val="left" w:pos="1701"/>
        </w:tabs>
        <w:rPr>
          <w:lang w:val="en-IE"/>
        </w:rPr>
      </w:pPr>
      <w:r w:rsidRPr="00D67069">
        <w:rPr>
          <w:lang w:val="en-IE"/>
        </w:rPr>
        <w:t>17.</w:t>
      </w:r>
      <w:r w:rsidRPr="00D67069">
        <w:rPr>
          <w:lang w:val="en-IE"/>
        </w:rPr>
        <w:tab/>
      </w:r>
      <w:r w:rsidR="001B7C9C" w:rsidRPr="00F61218">
        <w:rPr>
          <w:lang w:val="en-IE"/>
        </w:rPr>
        <w:t>Some members proposed that additional work is needed to clarify and establish which are the relevant environmental factors to be considered for each property as well as their potential influence for the assessment. The establishment of these factors needs to take place in a conservative (realistic worst-case) basis and be considered when generating standardised test results</w:t>
      </w:r>
      <w:r w:rsidR="001B7C9C">
        <w:rPr>
          <w:lang w:val="en-IE"/>
        </w:rPr>
        <w:t>.</w:t>
      </w:r>
    </w:p>
    <w:bookmarkEnd w:id="0"/>
    <w:p w14:paraId="166C56B6" w14:textId="76530BC7" w:rsidR="00C82928" w:rsidRPr="006523E1" w:rsidRDefault="00AC05F3" w:rsidP="002017EA">
      <w:pPr>
        <w:pStyle w:val="SingleTxtG"/>
        <w:tabs>
          <w:tab w:val="left" w:pos="1701"/>
        </w:tabs>
        <w:rPr>
          <w:lang w:val="en-IE"/>
        </w:rPr>
      </w:pPr>
      <w:r w:rsidRPr="006523E1">
        <w:rPr>
          <w:lang w:val="en-IE"/>
        </w:rPr>
        <w:t>18.</w:t>
      </w:r>
      <w:r w:rsidRPr="006523E1">
        <w:rPr>
          <w:lang w:val="en-IE"/>
        </w:rPr>
        <w:tab/>
      </w:r>
      <w:r w:rsidR="009B4C15" w:rsidRPr="00D67069">
        <w:rPr>
          <w:lang w:val="en-IE"/>
        </w:rPr>
        <w:t>In the context of sub-paragraph 4 (b) of the draft mandate, t</w:t>
      </w:r>
      <w:r w:rsidR="007A4D6C" w:rsidRPr="00D67069">
        <w:rPr>
          <w:lang w:val="en-IE"/>
        </w:rPr>
        <w:t xml:space="preserve">he </w:t>
      </w:r>
      <w:r w:rsidR="00C00DE8" w:rsidRPr="00D67069">
        <w:rPr>
          <w:lang w:val="en-IE"/>
        </w:rPr>
        <w:t>PHI-IWG</w:t>
      </w:r>
      <w:r w:rsidR="00C00DE8" w:rsidRPr="00D67069" w:rsidDel="00C00DE8">
        <w:rPr>
          <w:lang w:val="en-IE"/>
        </w:rPr>
        <w:t xml:space="preserve"> </w:t>
      </w:r>
      <w:r w:rsidR="007A4D6C" w:rsidRPr="00D67069">
        <w:rPr>
          <w:lang w:val="en-IE"/>
        </w:rPr>
        <w:t xml:space="preserve">also </w:t>
      </w:r>
      <w:r w:rsidR="008B777F" w:rsidRPr="00D67069">
        <w:rPr>
          <w:lang w:val="en-IE"/>
        </w:rPr>
        <w:t>discussed</w:t>
      </w:r>
      <w:r w:rsidR="009B4C15" w:rsidRPr="00D67069">
        <w:rPr>
          <w:lang w:val="en-IE"/>
        </w:rPr>
        <w:t xml:space="preserve"> </w:t>
      </w:r>
      <w:r w:rsidR="007A4D6C" w:rsidRPr="00D67069">
        <w:rPr>
          <w:lang w:val="en-IE"/>
        </w:rPr>
        <w:t>if</w:t>
      </w:r>
      <w:r w:rsidR="00D4156F" w:rsidRPr="00D67069">
        <w:rPr>
          <w:lang w:val="en-IE"/>
        </w:rPr>
        <w:t xml:space="preserve"> t</w:t>
      </w:r>
      <w:r w:rsidR="00D4156F" w:rsidRPr="001A4431">
        <w:rPr>
          <w:lang w:val="en-IE"/>
        </w:rPr>
        <w:t>he assessment should include consideration</w:t>
      </w:r>
      <w:r w:rsidR="007A4D6C" w:rsidRPr="001A4431">
        <w:rPr>
          <w:lang w:val="en-IE"/>
        </w:rPr>
        <w:t>s</w:t>
      </w:r>
      <w:r w:rsidR="00D4156F" w:rsidRPr="001A4431">
        <w:rPr>
          <w:lang w:val="en-IE"/>
        </w:rPr>
        <w:t xml:space="preserve"> </w:t>
      </w:r>
      <w:r w:rsidR="007A4D6C" w:rsidRPr="001A4431">
        <w:rPr>
          <w:lang w:val="en-IE"/>
        </w:rPr>
        <w:t>on</w:t>
      </w:r>
      <w:r w:rsidR="00D4156F" w:rsidRPr="001A4431">
        <w:rPr>
          <w:lang w:val="en-IE"/>
        </w:rPr>
        <w:t xml:space="preserve"> whether there should be a new definition for substances and mixtures that are determined to be both persistent and mobile, and if so</w:t>
      </w:r>
      <w:r w:rsidR="00592471" w:rsidRPr="001A4431">
        <w:rPr>
          <w:lang w:val="en-IE"/>
        </w:rPr>
        <w:t>,</w:t>
      </w:r>
      <w:r w:rsidR="00D4156F" w:rsidRPr="001A4431">
        <w:rPr>
          <w:lang w:val="en-IE"/>
        </w:rPr>
        <w:t xml:space="preserve"> </w:t>
      </w:r>
      <w:r w:rsidR="00592471" w:rsidRPr="001A4431">
        <w:rPr>
          <w:lang w:val="en-IE"/>
        </w:rPr>
        <w:t xml:space="preserve">to </w:t>
      </w:r>
      <w:r w:rsidR="00D4156F" w:rsidRPr="001A4431">
        <w:rPr>
          <w:lang w:val="en-IE"/>
        </w:rPr>
        <w:t>provide a recommendation f</w:t>
      </w:r>
      <w:r w:rsidR="00D4156F" w:rsidRPr="00D67069">
        <w:rPr>
          <w:lang w:val="en-IE"/>
        </w:rPr>
        <w:t>or this.</w:t>
      </w:r>
      <w:r w:rsidR="009B4C15" w:rsidRPr="00D67069">
        <w:rPr>
          <w:lang w:val="en-IE"/>
        </w:rPr>
        <w:t xml:space="preserve"> </w:t>
      </w:r>
      <w:r w:rsidR="00C82928" w:rsidRPr="00D67069">
        <w:rPr>
          <w:lang w:val="en-IE"/>
        </w:rPr>
        <w:t>It was mentioned that in case of amended definitions, their consiste</w:t>
      </w:r>
      <w:r w:rsidR="00C82928">
        <w:rPr>
          <w:lang w:val="en-IE"/>
        </w:rPr>
        <w:t xml:space="preserve">ncy with the GHS chapter “Hazardous to the Aquatic Environment” should be </w:t>
      </w:r>
      <w:r w:rsidR="00B54DAD">
        <w:rPr>
          <w:lang w:val="en-IE"/>
        </w:rPr>
        <w:t>investigated</w:t>
      </w:r>
      <w:r w:rsidR="00C82928">
        <w:rPr>
          <w:lang w:val="en-IE"/>
        </w:rPr>
        <w:t>. Finally</w:t>
      </w:r>
      <w:r w:rsidR="009B4C15">
        <w:rPr>
          <w:lang w:val="en-IE"/>
        </w:rPr>
        <w:t>, in</w:t>
      </w:r>
      <w:r w:rsidR="009B4C15" w:rsidRPr="003860E2">
        <w:rPr>
          <w:lang w:val="en-IE"/>
        </w:rPr>
        <w:t xml:space="preserve"> </w:t>
      </w:r>
      <w:r w:rsidR="009B4C15" w:rsidRPr="003860E2">
        <w:t>assess</w:t>
      </w:r>
      <w:r w:rsidR="009B4C15">
        <w:t>ing</w:t>
      </w:r>
      <w:r w:rsidR="009B4C15" w:rsidRPr="003860E2">
        <w:t xml:space="preserve"> the existing definitions for persistence and mobility in the GHS</w:t>
      </w:r>
      <w:r w:rsidR="009B4C15">
        <w:t xml:space="preserve">, </w:t>
      </w:r>
      <w:r w:rsidR="009B4C15">
        <w:rPr>
          <w:lang w:val="en-IE"/>
        </w:rPr>
        <w:t>the PHI-IWG would highly appreciate if the OECD could clarify the difference in meaning of “degradability” and “degree of degradation” in the current GHS.</w:t>
      </w:r>
      <w:r w:rsidR="009B4C15">
        <w:t xml:space="preserve"> </w:t>
      </w:r>
    </w:p>
    <w:p w14:paraId="04CBCE55" w14:textId="2C3131DF" w:rsidR="008D52A6" w:rsidRPr="0067161E" w:rsidRDefault="00AC05F3" w:rsidP="002017EA">
      <w:pPr>
        <w:pStyle w:val="SingleTxtG"/>
        <w:tabs>
          <w:tab w:val="left" w:pos="1701"/>
        </w:tabs>
        <w:rPr>
          <w:lang w:val="en-IE"/>
        </w:rPr>
      </w:pPr>
      <w:r w:rsidRPr="0067161E">
        <w:rPr>
          <w:lang w:val="en-IE"/>
        </w:rPr>
        <w:t>19.</w:t>
      </w:r>
      <w:r w:rsidRPr="0067161E">
        <w:rPr>
          <w:lang w:val="en-IE"/>
        </w:rPr>
        <w:tab/>
      </w:r>
      <w:r w:rsidR="007A4D6C">
        <w:t>A</w:t>
      </w:r>
      <w:r w:rsidR="00E5149C">
        <w:t xml:space="preserve"> summary of technical points</w:t>
      </w:r>
      <w:r w:rsidR="007A4D6C">
        <w:t xml:space="preserve"> that were discussed by the </w:t>
      </w:r>
      <w:r w:rsidR="00C00DE8" w:rsidRPr="008D24A3">
        <w:rPr>
          <w:lang w:val="en-IE"/>
        </w:rPr>
        <w:t>PHI-IWG</w:t>
      </w:r>
      <w:r w:rsidR="00C00DE8" w:rsidDel="00C00DE8">
        <w:t xml:space="preserve"> </w:t>
      </w:r>
      <w:r w:rsidR="0089406D">
        <w:t>on the definition of persistence and on the defini</w:t>
      </w:r>
      <w:r w:rsidR="0089406D" w:rsidRPr="00F1389D">
        <w:t xml:space="preserve">tion of mobility </w:t>
      </w:r>
      <w:r w:rsidR="007A4D6C" w:rsidRPr="00F1389D">
        <w:t>were summarized</w:t>
      </w:r>
      <w:r w:rsidR="00E5149C" w:rsidRPr="00F1389D">
        <w:t xml:space="preserve"> in </w:t>
      </w:r>
      <w:r w:rsidR="0089406D" w:rsidRPr="00F1389D">
        <w:t xml:space="preserve">the </w:t>
      </w:r>
      <w:r w:rsidR="00A56E6A">
        <w:t>a</w:t>
      </w:r>
      <w:r w:rsidR="0089406D" w:rsidRPr="00F1389D">
        <w:t xml:space="preserve">nnex </w:t>
      </w:r>
      <w:r w:rsidR="00A56E6A">
        <w:t xml:space="preserve">to </w:t>
      </w:r>
      <w:r w:rsidR="0089406D" w:rsidRPr="00F1389D">
        <w:rPr>
          <w:lang w:val="en-IE"/>
        </w:rPr>
        <w:t xml:space="preserve">ST/SG/AC.10/C.4/2024/9. </w:t>
      </w:r>
      <w:r w:rsidR="007A4D6C" w:rsidRPr="00F1389D">
        <w:t xml:space="preserve">There were </w:t>
      </w:r>
      <w:r w:rsidR="002D6DFC" w:rsidRPr="00F1389D">
        <w:t xml:space="preserve">concerns raised by some members on the structure of the Annex and the </w:t>
      </w:r>
      <w:r w:rsidR="00C00DE8" w:rsidRPr="00F1389D">
        <w:rPr>
          <w:lang w:val="en-IE"/>
        </w:rPr>
        <w:t>P</w:t>
      </w:r>
      <w:r w:rsidR="00C00DE8" w:rsidRPr="008D24A3">
        <w:rPr>
          <w:lang w:val="en-IE"/>
        </w:rPr>
        <w:t>HI-IWG</w:t>
      </w:r>
      <w:r w:rsidR="00C00DE8" w:rsidDel="00C00DE8">
        <w:t xml:space="preserve"> </w:t>
      </w:r>
      <w:r w:rsidR="002D6DFC">
        <w:t>discussed different views in relation to what information to provide in the</w:t>
      </w:r>
      <w:r w:rsidR="00675A79">
        <w:t xml:space="preserve"> </w:t>
      </w:r>
      <w:r w:rsidR="00A56E6A">
        <w:t>a</w:t>
      </w:r>
      <w:r w:rsidR="002D6DFC">
        <w:t>nnex</w:t>
      </w:r>
      <w:r w:rsidR="00EB6514">
        <w:t xml:space="preserve"> to document </w:t>
      </w:r>
      <w:r w:rsidR="00EB6514" w:rsidRPr="00F1389D">
        <w:rPr>
          <w:lang w:val="en-IE"/>
        </w:rPr>
        <w:t>ST/SG/AC.10/C.4/2024/9</w:t>
      </w:r>
      <w:r w:rsidR="002D6DFC">
        <w:t>.</w:t>
      </w:r>
      <w:r w:rsidR="0089406D">
        <w:t xml:space="preserve"> The following paragraphs </w:t>
      </w:r>
      <w:r w:rsidR="0089406D">
        <w:lastRenderedPageBreak/>
        <w:t>present further details</w:t>
      </w:r>
      <w:r w:rsidR="00A52D36">
        <w:t xml:space="preserve"> of</w:t>
      </w:r>
      <w:r w:rsidR="0089406D">
        <w:t xml:space="preserve"> discussion points raised during the elaboration of the proposed mandate. </w:t>
      </w:r>
    </w:p>
    <w:p w14:paraId="38B60781" w14:textId="77AA6464" w:rsidR="00E57DF4" w:rsidRDefault="002017EA" w:rsidP="002017EA">
      <w:pPr>
        <w:pStyle w:val="H1G"/>
        <w:rPr>
          <w:lang w:val="en-IE"/>
        </w:rPr>
      </w:pPr>
      <w:r>
        <w:rPr>
          <w:lang w:val="en-IE"/>
        </w:rPr>
        <w:tab/>
      </w:r>
      <w:r>
        <w:rPr>
          <w:lang w:val="en-IE"/>
        </w:rPr>
        <w:tab/>
      </w:r>
      <w:r w:rsidR="004E238E">
        <w:rPr>
          <w:lang w:val="en-IE"/>
        </w:rPr>
        <w:t>Proposed d</w:t>
      </w:r>
      <w:r w:rsidR="00B54CAF" w:rsidRPr="00005C6D">
        <w:rPr>
          <w:lang w:val="en-IE"/>
        </w:rPr>
        <w:t>efinition</w:t>
      </w:r>
      <w:r w:rsidR="00095D2F">
        <w:rPr>
          <w:lang w:val="en-IE"/>
        </w:rPr>
        <w:t>s</w:t>
      </w:r>
      <w:r w:rsidR="00B54CAF" w:rsidRPr="00005C6D">
        <w:rPr>
          <w:lang w:val="en-IE"/>
        </w:rPr>
        <w:t xml:space="preserve"> of </w:t>
      </w:r>
      <w:r w:rsidR="00EB6514">
        <w:rPr>
          <w:lang w:val="en-IE"/>
        </w:rPr>
        <w:t>“</w:t>
      </w:r>
      <w:r w:rsidR="00B54CAF" w:rsidRPr="00005C6D">
        <w:rPr>
          <w:lang w:val="en-IE"/>
        </w:rPr>
        <w:t>persistence</w:t>
      </w:r>
      <w:r w:rsidR="00EB6514">
        <w:rPr>
          <w:lang w:val="en-IE"/>
        </w:rPr>
        <w:t>”</w:t>
      </w:r>
      <w:r w:rsidR="00B54CAF" w:rsidRPr="00005C6D">
        <w:rPr>
          <w:lang w:val="en-IE"/>
        </w:rPr>
        <w:t xml:space="preserve"> and </w:t>
      </w:r>
      <w:r w:rsidR="00EB6514">
        <w:rPr>
          <w:lang w:val="en-IE"/>
        </w:rPr>
        <w:t>“</w:t>
      </w:r>
      <w:r w:rsidR="00B54CAF" w:rsidRPr="00005C6D">
        <w:rPr>
          <w:lang w:val="en-IE"/>
        </w:rPr>
        <w:t>mobility</w:t>
      </w:r>
      <w:r w:rsidR="00EB6514">
        <w:rPr>
          <w:lang w:val="en-IE"/>
        </w:rPr>
        <w:t>”</w:t>
      </w:r>
      <w:r w:rsidR="00B54CAF" w:rsidRPr="00005C6D">
        <w:rPr>
          <w:lang w:val="en-IE"/>
        </w:rPr>
        <w:t xml:space="preserve"> in the GHS</w:t>
      </w:r>
      <w:r w:rsidR="00174BC8">
        <w:rPr>
          <w:lang w:val="en-IE"/>
        </w:rPr>
        <w:t xml:space="preserve"> </w:t>
      </w:r>
    </w:p>
    <w:p w14:paraId="6924D57D" w14:textId="290596BD" w:rsidR="00B54CAF" w:rsidRPr="002017EA" w:rsidRDefault="002017EA" w:rsidP="002017EA">
      <w:pPr>
        <w:pStyle w:val="ListParagraph"/>
        <w:tabs>
          <w:tab w:val="left" w:pos="1134"/>
        </w:tabs>
        <w:spacing w:after="240"/>
        <w:ind w:left="0"/>
        <w:rPr>
          <w:b/>
          <w:i/>
          <w:lang w:val="en-IE"/>
        </w:rPr>
      </w:pPr>
      <w:r>
        <w:rPr>
          <w:b/>
          <w:i/>
          <w:lang w:val="en-IE"/>
        </w:rPr>
        <w:tab/>
      </w:r>
      <w:r w:rsidR="00434BA1" w:rsidRPr="002017EA">
        <w:rPr>
          <w:b/>
          <w:i/>
          <w:lang w:val="en-IE"/>
        </w:rPr>
        <w:t>General considerations</w:t>
      </w:r>
    </w:p>
    <w:p w14:paraId="74ABC28F" w14:textId="176581CC" w:rsidR="00157652" w:rsidRPr="00157652" w:rsidRDefault="00AC05F3" w:rsidP="002017EA">
      <w:pPr>
        <w:pStyle w:val="SingleTxtG"/>
        <w:tabs>
          <w:tab w:val="left" w:pos="1701"/>
        </w:tabs>
        <w:spacing w:line="240" w:lineRule="auto"/>
        <w:rPr>
          <w:lang w:val="en-IE"/>
        </w:rPr>
      </w:pPr>
      <w:r w:rsidRPr="00157652">
        <w:rPr>
          <w:lang w:val="en-IE"/>
        </w:rPr>
        <w:t>20.</w:t>
      </w:r>
      <w:r w:rsidRPr="00157652">
        <w:rPr>
          <w:lang w:val="en-IE"/>
        </w:rPr>
        <w:tab/>
      </w:r>
      <w:r w:rsidR="00AE5872" w:rsidRPr="008B777F">
        <w:rPr>
          <w:lang w:val="en-IE"/>
        </w:rPr>
        <w:t>There was general support among the PHI-IWG for using</w:t>
      </w:r>
      <w:r w:rsidR="00AE5872">
        <w:rPr>
          <w:lang w:val="en-IE"/>
        </w:rPr>
        <w:t xml:space="preserve"> the</w:t>
      </w:r>
      <w:r w:rsidR="00AE5872" w:rsidRPr="008B777F">
        <w:rPr>
          <w:lang w:val="en-IE"/>
        </w:rPr>
        <w:t xml:space="preserve"> existing language in the GHS</w:t>
      </w:r>
      <w:r w:rsidR="00466EF6" w:rsidRPr="00466EF6">
        <w:rPr>
          <w:lang w:val="en-IE"/>
        </w:rPr>
        <w:t xml:space="preserve"> </w:t>
      </w:r>
      <w:r w:rsidR="00466EF6">
        <w:rPr>
          <w:lang w:val="en-IE"/>
        </w:rPr>
        <w:t>as much as possible</w:t>
      </w:r>
      <w:r w:rsidR="00AE5872" w:rsidRPr="008B777F">
        <w:rPr>
          <w:lang w:val="en-IE"/>
        </w:rPr>
        <w:t xml:space="preserve"> to define persistence and mobility</w:t>
      </w:r>
      <w:r w:rsidR="00AE5872">
        <w:rPr>
          <w:lang w:val="en-IE"/>
        </w:rPr>
        <w:t>.</w:t>
      </w:r>
      <w:r w:rsidR="00AE5872" w:rsidRPr="008B777F">
        <w:rPr>
          <w:lang w:val="en-IE"/>
        </w:rPr>
        <w:t xml:space="preserve"> </w:t>
      </w:r>
      <w:r w:rsidR="00B54CAF" w:rsidRPr="00B54CAF">
        <w:rPr>
          <w:lang w:val="en-IE"/>
        </w:rPr>
        <w:t>The</w:t>
      </w:r>
      <w:r w:rsidR="00582FD6" w:rsidRPr="00582FD6">
        <w:rPr>
          <w:lang w:val="en-IE"/>
        </w:rPr>
        <w:t xml:space="preserve"> </w:t>
      </w:r>
      <w:r w:rsidR="008D24A3">
        <w:rPr>
          <w:lang w:val="en-IE"/>
        </w:rPr>
        <w:t xml:space="preserve">existing defining elements </w:t>
      </w:r>
      <w:r w:rsidR="00AE5872">
        <w:rPr>
          <w:lang w:val="en-IE"/>
        </w:rPr>
        <w:t>in</w:t>
      </w:r>
      <w:r w:rsidR="00A52D36">
        <w:rPr>
          <w:lang w:val="en-IE"/>
        </w:rPr>
        <w:t xml:space="preserve"> the</w:t>
      </w:r>
      <w:r w:rsidR="00AE5872">
        <w:rPr>
          <w:lang w:val="en-IE"/>
        </w:rPr>
        <w:t xml:space="preserve"> GHS </w:t>
      </w:r>
      <w:r w:rsidR="008D24A3">
        <w:rPr>
          <w:lang w:val="en-IE"/>
        </w:rPr>
        <w:t xml:space="preserve">for persistence and for mobility </w:t>
      </w:r>
      <w:r w:rsidR="00AE5872">
        <w:rPr>
          <w:lang w:val="en-IE"/>
        </w:rPr>
        <w:t xml:space="preserve">are presented in </w:t>
      </w:r>
      <w:r w:rsidR="0073073D">
        <w:rPr>
          <w:lang w:val="en-IE"/>
        </w:rPr>
        <w:t>a</w:t>
      </w:r>
      <w:r w:rsidR="00AE5872" w:rsidRPr="00582FD6">
        <w:rPr>
          <w:lang w:val="en-IE"/>
        </w:rPr>
        <w:t>nnex</w:t>
      </w:r>
      <w:r w:rsidR="00AE5872">
        <w:rPr>
          <w:lang w:val="en-IE"/>
        </w:rPr>
        <w:t xml:space="preserve"> </w:t>
      </w:r>
      <w:r w:rsidR="0073073D">
        <w:rPr>
          <w:lang w:val="en-IE"/>
        </w:rPr>
        <w:t>to</w:t>
      </w:r>
      <w:r w:rsidR="00AE5872">
        <w:rPr>
          <w:lang w:val="en-IE"/>
        </w:rPr>
        <w:t xml:space="preserve"> document </w:t>
      </w:r>
      <w:r w:rsidR="00AE5872" w:rsidRPr="008B777F">
        <w:rPr>
          <w:lang w:val="en-IE"/>
        </w:rPr>
        <w:t>ST/SG/AC.10/C.4/2024/9</w:t>
      </w:r>
      <w:r w:rsidR="00AE5872">
        <w:rPr>
          <w:lang w:val="en-IE"/>
        </w:rPr>
        <w:t xml:space="preserve">. </w:t>
      </w:r>
      <w:r w:rsidR="00AE5872" w:rsidRPr="00AE5872">
        <w:rPr>
          <w:lang w:val="en-IE"/>
        </w:rPr>
        <w:t xml:space="preserve">As </w:t>
      </w:r>
      <w:r w:rsidR="00AE5872">
        <w:rPr>
          <w:lang w:val="en-IE"/>
        </w:rPr>
        <w:t>per</w:t>
      </w:r>
      <w:r w:rsidR="00AE5872" w:rsidRPr="00AE5872">
        <w:rPr>
          <w:lang w:val="en-IE"/>
        </w:rPr>
        <w:t xml:space="preserve"> subparagraph 4 (b)</w:t>
      </w:r>
      <w:r w:rsidR="00AE5872">
        <w:rPr>
          <w:lang w:val="en-IE"/>
        </w:rPr>
        <w:t xml:space="preserve"> of th</w:t>
      </w:r>
      <w:r w:rsidR="0073073D">
        <w:rPr>
          <w:lang w:val="en-IE"/>
        </w:rPr>
        <w:t>at</w:t>
      </w:r>
      <w:r w:rsidR="00AE5872">
        <w:rPr>
          <w:lang w:val="en-IE"/>
        </w:rPr>
        <w:t xml:space="preserve"> document</w:t>
      </w:r>
      <w:r w:rsidR="00AE5872" w:rsidRPr="00AE5872">
        <w:rPr>
          <w:lang w:val="en-IE"/>
        </w:rPr>
        <w:t xml:space="preserve">, if the </w:t>
      </w:r>
      <w:r w:rsidR="00AE5872">
        <w:rPr>
          <w:lang w:val="en-IE"/>
        </w:rPr>
        <w:t xml:space="preserve">OECD finds that the </w:t>
      </w:r>
      <w:r w:rsidR="00AE5872" w:rsidRPr="00AE5872">
        <w:rPr>
          <w:lang w:val="en-IE"/>
        </w:rPr>
        <w:t>existing definitions for persistence and mobility in the GHS are not fit for purpose in the context of classification and labellin</w:t>
      </w:r>
      <w:r w:rsidR="00AE5872">
        <w:rPr>
          <w:lang w:val="en-IE"/>
        </w:rPr>
        <w:t xml:space="preserve">g, the OECD could consider the technical points presented in paragraph 3 of </w:t>
      </w:r>
      <w:r w:rsidR="00340F15">
        <w:rPr>
          <w:lang w:val="en-IE"/>
        </w:rPr>
        <w:t xml:space="preserve">the </w:t>
      </w:r>
      <w:r w:rsidR="0073073D">
        <w:rPr>
          <w:lang w:val="en-IE"/>
        </w:rPr>
        <w:t xml:space="preserve">annex </w:t>
      </w:r>
      <w:r w:rsidR="00340F15" w:rsidRPr="00340F15">
        <w:rPr>
          <w:lang w:val="en-IE"/>
        </w:rPr>
        <w:t>to  document  ST/SG/AC.10/C.4/2024/9</w:t>
      </w:r>
      <w:r w:rsidR="00340F15">
        <w:rPr>
          <w:lang w:val="en-IE"/>
        </w:rPr>
        <w:t xml:space="preserve"> </w:t>
      </w:r>
      <w:r w:rsidR="005F4295">
        <w:rPr>
          <w:lang w:val="en-IE"/>
        </w:rPr>
        <w:t>for recommending the adaptation or replacement of the current definitions</w:t>
      </w:r>
      <w:r w:rsidR="00AE5872">
        <w:rPr>
          <w:lang w:val="en-IE"/>
        </w:rPr>
        <w:t>.</w:t>
      </w:r>
      <w:r w:rsidR="00095D2F" w:rsidRPr="008B777F">
        <w:rPr>
          <w:lang w:val="en-IE"/>
        </w:rPr>
        <w:t xml:space="preserve"> </w:t>
      </w:r>
      <w:r w:rsidR="00AE5872">
        <w:rPr>
          <w:lang w:val="en-IE"/>
        </w:rPr>
        <w:t xml:space="preserve">These technical points intentionally have some not yet agreed wording in the proposed definitions in </w:t>
      </w:r>
      <w:r w:rsidR="00AE5872" w:rsidRPr="0030208B">
        <w:rPr>
          <w:lang w:val="en-IE"/>
        </w:rPr>
        <w:t>squa</w:t>
      </w:r>
      <w:r w:rsidR="00AE5872" w:rsidRPr="00157652">
        <w:rPr>
          <w:lang w:val="en-IE"/>
        </w:rPr>
        <w:t xml:space="preserve">re brackets (e.g. “[organic]”, “[smaller]”) for discussion by the OECD. </w:t>
      </w:r>
    </w:p>
    <w:p w14:paraId="0EF804DC" w14:textId="4191F4B4" w:rsidR="00157652" w:rsidRPr="00157652" w:rsidRDefault="00AC05F3" w:rsidP="002017EA">
      <w:pPr>
        <w:pStyle w:val="SingleTxtG"/>
        <w:tabs>
          <w:tab w:val="left" w:pos="1701"/>
        </w:tabs>
        <w:spacing w:line="240" w:lineRule="auto"/>
        <w:rPr>
          <w:lang w:val="en-IE"/>
        </w:rPr>
      </w:pPr>
      <w:r w:rsidRPr="00157652">
        <w:rPr>
          <w:lang w:val="en-IE"/>
        </w:rPr>
        <w:t>21.</w:t>
      </w:r>
      <w:r w:rsidRPr="00157652">
        <w:rPr>
          <w:lang w:val="en-IE"/>
        </w:rPr>
        <w:tab/>
      </w:r>
      <w:r w:rsidR="00912562" w:rsidRPr="00157652">
        <w:rPr>
          <w:lang w:val="en-IE"/>
        </w:rPr>
        <w:t xml:space="preserve">There was also general support </w:t>
      </w:r>
      <w:r w:rsidR="00143C09" w:rsidRPr="00157652">
        <w:rPr>
          <w:lang w:val="en-IE"/>
        </w:rPr>
        <w:t xml:space="preserve">among the PHI-IWG </w:t>
      </w:r>
      <w:r w:rsidR="00912562" w:rsidRPr="00157652">
        <w:rPr>
          <w:lang w:val="en-IE"/>
        </w:rPr>
        <w:t>for maintaining consistency with the current structure of the GHS</w:t>
      </w:r>
      <w:r w:rsidR="002434F0" w:rsidRPr="00157652">
        <w:rPr>
          <w:lang w:val="en-IE"/>
        </w:rPr>
        <w:t xml:space="preserve">. In the GHS, there is typically a clear delineation between </w:t>
      </w:r>
      <w:r w:rsidR="00912562" w:rsidRPr="00157652">
        <w:rPr>
          <w:lang w:val="en-IE"/>
        </w:rPr>
        <w:t>the definition</w:t>
      </w:r>
      <w:r w:rsidR="002434F0" w:rsidRPr="00157652">
        <w:rPr>
          <w:lang w:val="en-IE"/>
        </w:rPr>
        <w:t>, which</w:t>
      </w:r>
      <w:r w:rsidR="00912562" w:rsidRPr="00157652">
        <w:rPr>
          <w:lang w:val="en-IE"/>
        </w:rPr>
        <w:t xml:space="preserve"> is </w:t>
      </w:r>
      <w:r w:rsidR="002434F0" w:rsidRPr="00157652">
        <w:rPr>
          <w:lang w:val="en-IE"/>
        </w:rPr>
        <w:t xml:space="preserve">usually </w:t>
      </w:r>
      <w:r w:rsidR="00912562" w:rsidRPr="00157652">
        <w:rPr>
          <w:lang w:val="en-IE"/>
        </w:rPr>
        <w:t xml:space="preserve">brief, </w:t>
      </w:r>
      <w:r w:rsidR="002434F0" w:rsidRPr="00157652">
        <w:rPr>
          <w:lang w:val="en-IE"/>
        </w:rPr>
        <w:t xml:space="preserve">and </w:t>
      </w:r>
      <w:r w:rsidR="00912562" w:rsidRPr="00157652">
        <w:rPr>
          <w:lang w:val="en-IE"/>
        </w:rPr>
        <w:t xml:space="preserve">elements for the interpretation of the definition </w:t>
      </w:r>
      <w:r w:rsidR="00D82906" w:rsidRPr="00157652">
        <w:rPr>
          <w:lang w:val="en-IE"/>
        </w:rPr>
        <w:t>(e.g. half-life</w:t>
      </w:r>
      <w:r w:rsidR="002434F0" w:rsidRPr="00157652">
        <w:rPr>
          <w:lang w:val="en-IE"/>
        </w:rPr>
        <w:t>, specific test mechanisms</w:t>
      </w:r>
      <w:r w:rsidR="00D82906" w:rsidRPr="00157652">
        <w:rPr>
          <w:lang w:val="en-IE"/>
        </w:rPr>
        <w:t>)</w:t>
      </w:r>
      <w:r w:rsidR="002434F0" w:rsidRPr="00157652">
        <w:rPr>
          <w:lang w:val="en-IE"/>
        </w:rPr>
        <w:t>, which</w:t>
      </w:r>
      <w:r w:rsidR="00D82906" w:rsidRPr="00157652">
        <w:rPr>
          <w:lang w:val="en-IE"/>
        </w:rPr>
        <w:t xml:space="preserve"> </w:t>
      </w:r>
      <w:r w:rsidR="00912562" w:rsidRPr="00157652">
        <w:rPr>
          <w:lang w:val="en-IE"/>
        </w:rPr>
        <w:t xml:space="preserve">are provided in </w:t>
      </w:r>
      <w:r w:rsidR="001E60F6" w:rsidRPr="00157652">
        <w:rPr>
          <w:lang w:val="en-IE"/>
        </w:rPr>
        <w:t xml:space="preserve">further </w:t>
      </w:r>
      <w:r w:rsidR="00912562" w:rsidRPr="00157652">
        <w:rPr>
          <w:lang w:val="en-IE"/>
        </w:rPr>
        <w:t>sections (e.g. basic elements, criteria).</w:t>
      </w:r>
      <w:r w:rsidR="00AE5872" w:rsidRPr="00157652">
        <w:t xml:space="preserve"> </w:t>
      </w:r>
    </w:p>
    <w:p w14:paraId="22698673" w14:textId="5FC5C7E1" w:rsidR="006523E1" w:rsidRPr="00157652" w:rsidRDefault="00AC05F3" w:rsidP="002017EA">
      <w:pPr>
        <w:pStyle w:val="SingleTxtG"/>
        <w:tabs>
          <w:tab w:val="left" w:pos="1701"/>
        </w:tabs>
        <w:spacing w:line="240" w:lineRule="auto"/>
        <w:rPr>
          <w:lang w:val="en-IE"/>
        </w:rPr>
      </w:pPr>
      <w:r w:rsidRPr="00157652">
        <w:rPr>
          <w:lang w:val="en-IE"/>
        </w:rPr>
        <w:t>22.</w:t>
      </w:r>
      <w:r w:rsidRPr="00157652">
        <w:rPr>
          <w:lang w:val="en-IE"/>
        </w:rPr>
        <w:tab/>
      </w:r>
      <w:r w:rsidR="00241A0F" w:rsidRPr="00157652">
        <w:rPr>
          <w:lang w:val="en-IE"/>
        </w:rPr>
        <w:t xml:space="preserve">It was also requested to point out that the PHI-IWG did not discuss the basic elements nor the criteria for persistence and mobility in the GHS so far. </w:t>
      </w:r>
    </w:p>
    <w:p w14:paraId="72D637E6" w14:textId="12E113EB" w:rsidR="00DC7EC6" w:rsidRDefault="00AC05F3" w:rsidP="002017EA">
      <w:pPr>
        <w:pStyle w:val="SingleTxtG"/>
        <w:tabs>
          <w:tab w:val="left" w:pos="1701"/>
        </w:tabs>
        <w:spacing w:line="240" w:lineRule="auto"/>
        <w:rPr>
          <w:lang w:val="en-IE"/>
        </w:rPr>
      </w:pPr>
      <w:r>
        <w:rPr>
          <w:lang w:val="en-IE"/>
        </w:rPr>
        <w:t>23.</w:t>
      </w:r>
      <w:r>
        <w:rPr>
          <w:lang w:val="en-IE"/>
        </w:rPr>
        <w:tab/>
      </w:r>
      <w:r w:rsidR="00AE5872" w:rsidRPr="00157652">
        <w:rPr>
          <w:lang w:val="en-IE"/>
        </w:rPr>
        <w:t>It was also mentioned that</w:t>
      </w:r>
      <w:r w:rsidR="00805C93" w:rsidRPr="00157652">
        <w:rPr>
          <w:lang w:val="en-IE"/>
        </w:rPr>
        <w:t xml:space="preserve"> </w:t>
      </w:r>
      <w:r w:rsidR="0048416C" w:rsidRPr="00157652">
        <w:rPr>
          <w:lang w:val="en-IE"/>
        </w:rPr>
        <w:t xml:space="preserve">it will be necessary to analyse </w:t>
      </w:r>
      <w:r w:rsidR="00AE5872" w:rsidRPr="00157652">
        <w:rPr>
          <w:lang w:val="en-IE"/>
        </w:rPr>
        <w:t>the implications on the GHS of defining a new hazard class based on combinations of substance properties</w:t>
      </w:r>
      <w:r w:rsidR="00DC7EC6" w:rsidRPr="00157652">
        <w:rPr>
          <w:lang w:val="en-IE"/>
        </w:rPr>
        <w:t xml:space="preserve">; recalling that </w:t>
      </w:r>
      <w:r w:rsidR="00DC7EC6">
        <w:rPr>
          <w:lang w:val="en-IE"/>
        </w:rPr>
        <w:t>the GHS already has examples w</w:t>
      </w:r>
      <w:r w:rsidR="00ED6E9C">
        <w:rPr>
          <w:lang w:val="en-IE"/>
        </w:rPr>
        <w:t>h</w:t>
      </w:r>
      <w:r w:rsidR="00DC7EC6">
        <w:rPr>
          <w:lang w:val="en-IE"/>
        </w:rPr>
        <w:t>ere the combination of intrinsic properties can be used in criteria.</w:t>
      </w:r>
    </w:p>
    <w:p w14:paraId="44CBF5FB" w14:textId="68F5110F" w:rsidR="00330BA3" w:rsidRPr="002017EA" w:rsidRDefault="002017EA" w:rsidP="002017EA">
      <w:pPr>
        <w:pStyle w:val="ListParagraph"/>
        <w:tabs>
          <w:tab w:val="left" w:pos="1134"/>
        </w:tabs>
        <w:spacing w:after="240"/>
        <w:ind w:left="0"/>
        <w:rPr>
          <w:b/>
          <w:i/>
          <w:lang w:val="en-IE"/>
        </w:rPr>
      </w:pPr>
      <w:r>
        <w:rPr>
          <w:b/>
          <w:i/>
          <w:lang w:val="en-IE"/>
        </w:rPr>
        <w:tab/>
      </w:r>
      <w:r w:rsidR="00031898" w:rsidRPr="00157652">
        <w:rPr>
          <w:b/>
          <w:i/>
          <w:lang w:val="en-IE"/>
        </w:rPr>
        <w:t>On</w:t>
      </w:r>
      <w:r w:rsidR="004D7066">
        <w:rPr>
          <w:b/>
          <w:i/>
          <w:lang w:val="en-IE"/>
        </w:rPr>
        <w:t xml:space="preserve"> the proposed definition of</w:t>
      </w:r>
      <w:r w:rsidR="00031898" w:rsidRPr="00157652">
        <w:rPr>
          <w:b/>
          <w:i/>
          <w:lang w:val="en-IE"/>
        </w:rPr>
        <w:t xml:space="preserve"> </w:t>
      </w:r>
      <w:r w:rsidR="004D7066">
        <w:rPr>
          <w:b/>
          <w:i/>
          <w:lang w:val="en-IE"/>
        </w:rPr>
        <w:t>“</w:t>
      </w:r>
      <w:r w:rsidR="00031898" w:rsidRPr="00157652">
        <w:rPr>
          <w:b/>
          <w:i/>
          <w:lang w:val="en-IE"/>
        </w:rPr>
        <w:t>persistence</w:t>
      </w:r>
      <w:r w:rsidR="004D7066">
        <w:rPr>
          <w:b/>
          <w:i/>
          <w:lang w:val="en-IE"/>
        </w:rPr>
        <w:t>”</w:t>
      </w:r>
      <w:r w:rsidR="00434BA1" w:rsidRPr="00157652">
        <w:rPr>
          <w:b/>
          <w:i/>
          <w:lang w:val="en-IE"/>
        </w:rPr>
        <w:t xml:space="preserve"> </w:t>
      </w:r>
      <w:r w:rsidR="00031898" w:rsidRPr="00157652">
        <w:rPr>
          <w:b/>
          <w:i/>
          <w:lang w:val="en-IE"/>
        </w:rPr>
        <w:t>in the GHS</w:t>
      </w:r>
    </w:p>
    <w:p w14:paraId="36C8C1BC" w14:textId="4C0264C7" w:rsidR="00AD04D7" w:rsidRPr="00B54CAF" w:rsidRDefault="00AC05F3" w:rsidP="002017EA">
      <w:pPr>
        <w:pStyle w:val="ListParagraph"/>
        <w:widowControl/>
        <w:tabs>
          <w:tab w:val="left" w:pos="1701"/>
          <w:tab w:val="left" w:pos="8505"/>
        </w:tabs>
        <w:autoSpaceDE/>
        <w:autoSpaceDN/>
        <w:spacing w:before="120" w:after="120"/>
        <w:ind w:left="1134" w:right="1134"/>
        <w:jc w:val="both"/>
        <w:rPr>
          <w:sz w:val="20"/>
          <w:szCs w:val="20"/>
          <w:lang w:val="en-IE"/>
        </w:rPr>
      </w:pPr>
      <w:r w:rsidRPr="00B54CAF">
        <w:rPr>
          <w:sz w:val="20"/>
          <w:szCs w:val="20"/>
          <w:lang w:val="en-IE"/>
        </w:rPr>
        <w:t>24.</w:t>
      </w:r>
      <w:r w:rsidRPr="00B54CAF">
        <w:rPr>
          <w:sz w:val="20"/>
          <w:szCs w:val="20"/>
          <w:lang w:val="en-IE"/>
        </w:rPr>
        <w:tab/>
      </w:r>
      <w:r w:rsidR="0011265C">
        <w:rPr>
          <w:sz w:val="20"/>
          <w:szCs w:val="20"/>
          <w:lang w:val="en-IE"/>
        </w:rPr>
        <w:t>During the discussion within the PHI-IWG</w:t>
      </w:r>
      <w:r w:rsidR="00002AF1">
        <w:rPr>
          <w:sz w:val="20"/>
          <w:szCs w:val="20"/>
          <w:lang w:val="en-IE"/>
        </w:rPr>
        <w:t>,</w:t>
      </w:r>
      <w:r w:rsidR="0011265C">
        <w:rPr>
          <w:sz w:val="20"/>
          <w:szCs w:val="20"/>
          <w:lang w:val="en-IE"/>
        </w:rPr>
        <w:t xml:space="preserve"> </w:t>
      </w:r>
      <w:r w:rsidR="0011265C" w:rsidRPr="00B54CAF">
        <w:rPr>
          <w:sz w:val="20"/>
          <w:szCs w:val="20"/>
          <w:lang w:val="en-IE"/>
        </w:rPr>
        <w:t>the potential influence of external conditions</w:t>
      </w:r>
      <w:r w:rsidR="0011265C">
        <w:rPr>
          <w:sz w:val="20"/>
          <w:szCs w:val="20"/>
          <w:lang w:val="en-IE"/>
        </w:rPr>
        <w:t xml:space="preserve"> on </w:t>
      </w:r>
      <w:r w:rsidR="00ED5A7C">
        <w:rPr>
          <w:sz w:val="20"/>
          <w:szCs w:val="20"/>
          <w:lang w:val="en-IE"/>
        </w:rPr>
        <w:t>persistence</w:t>
      </w:r>
      <w:r w:rsidR="0011265C">
        <w:rPr>
          <w:sz w:val="20"/>
          <w:szCs w:val="20"/>
          <w:lang w:val="en-IE"/>
        </w:rPr>
        <w:t xml:space="preserve"> was </w:t>
      </w:r>
      <w:r w:rsidR="00B463ED">
        <w:rPr>
          <w:sz w:val="20"/>
          <w:szCs w:val="20"/>
          <w:lang w:val="en-IE"/>
        </w:rPr>
        <w:t>highlighted and discussed</w:t>
      </w:r>
      <w:r w:rsidR="001776B2">
        <w:rPr>
          <w:sz w:val="20"/>
          <w:szCs w:val="20"/>
          <w:lang w:val="en-IE"/>
        </w:rPr>
        <w:t>, as there is ongoing scientific debate as to whether persistence is an intrinsic property</w:t>
      </w:r>
      <w:r w:rsidR="0011265C">
        <w:rPr>
          <w:sz w:val="20"/>
          <w:szCs w:val="20"/>
          <w:lang w:val="en-IE"/>
        </w:rPr>
        <w:t xml:space="preserve">. </w:t>
      </w:r>
      <w:r w:rsidR="003C707D">
        <w:rPr>
          <w:sz w:val="20"/>
          <w:szCs w:val="20"/>
          <w:lang w:val="en-IE"/>
        </w:rPr>
        <w:t>The PHI-IWG</w:t>
      </w:r>
      <w:r w:rsidR="00002AF1">
        <w:rPr>
          <w:sz w:val="20"/>
          <w:szCs w:val="20"/>
          <w:lang w:val="en-IE"/>
        </w:rPr>
        <w:t xml:space="preserve"> further</w:t>
      </w:r>
      <w:r w:rsidR="003C707D">
        <w:rPr>
          <w:sz w:val="20"/>
          <w:szCs w:val="20"/>
          <w:lang w:val="en-IE"/>
        </w:rPr>
        <w:t xml:space="preserve"> </w:t>
      </w:r>
      <w:r w:rsidR="0011265C">
        <w:rPr>
          <w:sz w:val="20"/>
          <w:szCs w:val="20"/>
          <w:lang w:val="en-IE"/>
        </w:rPr>
        <w:t>note</w:t>
      </w:r>
      <w:r w:rsidR="00ED5A7C">
        <w:rPr>
          <w:sz w:val="20"/>
          <w:szCs w:val="20"/>
          <w:lang w:val="en-IE"/>
        </w:rPr>
        <w:t xml:space="preserve">d the difference between </w:t>
      </w:r>
      <w:r w:rsidR="00653823">
        <w:rPr>
          <w:sz w:val="20"/>
          <w:szCs w:val="20"/>
          <w:lang w:val="en-IE"/>
        </w:rPr>
        <w:t>“</w:t>
      </w:r>
      <w:r w:rsidR="00ED5A7C">
        <w:rPr>
          <w:sz w:val="20"/>
          <w:szCs w:val="20"/>
          <w:lang w:val="en-IE"/>
        </w:rPr>
        <w:t>intrinsic degradability</w:t>
      </w:r>
      <w:r w:rsidR="00653823">
        <w:rPr>
          <w:sz w:val="20"/>
          <w:szCs w:val="20"/>
          <w:lang w:val="en-IE"/>
        </w:rPr>
        <w:t>”</w:t>
      </w:r>
      <w:r w:rsidR="00ED5A7C">
        <w:rPr>
          <w:sz w:val="20"/>
          <w:szCs w:val="20"/>
          <w:lang w:val="en-IE"/>
        </w:rPr>
        <w:t xml:space="preserve"> and the </w:t>
      </w:r>
      <w:r w:rsidR="00653823">
        <w:rPr>
          <w:sz w:val="20"/>
          <w:szCs w:val="20"/>
          <w:lang w:val="en-IE"/>
        </w:rPr>
        <w:t>“</w:t>
      </w:r>
      <w:r w:rsidR="00ED5A7C">
        <w:rPr>
          <w:sz w:val="20"/>
          <w:szCs w:val="20"/>
          <w:lang w:val="en-IE"/>
        </w:rPr>
        <w:t>degree of degradation</w:t>
      </w:r>
      <w:r w:rsidR="00653823">
        <w:rPr>
          <w:sz w:val="20"/>
          <w:szCs w:val="20"/>
          <w:lang w:val="en-IE"/>
        </w:rPr>
        <w:t>”</w:t>
      </w:r>
      <w:r w:rsidR="00A236A7">
        <w:rPr>
          <w:sz w:val="20"/>
          <w:szCs w:val="20"/>
          <w:lang w:val="en-IE"/>
        </w:rPr>
        <w:t xml:space="preserve">. </w:t>
      </w:r>
    </w:p>
    <w:p w14:paraId="091B9B7D" w14:textId="7CFB33E2" w:rsidR="000B3F02" w:rsidRPr="00ED6E9C" w:rsidRDefault="00AC05F3" w:rsidP="002017EA">
      <w:pPr>
        <w:pStyle w:val="ListParagraph"/>
        <w:widowControl/>
        <w:tabs>
          <w:tab w:val="left" w:pos="1701"/>
          <w:tab w:val="left" w:pos="8505"/>
        </w:tabs>
        <w:autoSpaceDE/>
        <w:autoSpaceDN/>
        <w:spacing w:before="120" w:after="120"/>
        <w:ind w:left="1134" w:right="1134"/>
        <w:jc w:val="both"/>
        <w:rPr>
          <w:lang w:val="en-IE"/>
        </w:rPr>
      </w:pPr>
      <w:r w:rsidRPr="00ED6E9C">
        <w:rPr>
          <w:lang w:val="en-IE"/>
        </w:rPr>
        <w:t>25.</w:t>
      </w:r>
      <w:r w:rsidRPr="00ED6E9C">
        <w:rPr>
          <w:lang w:val="en-IE"/>
        </w:rPr>
        <w:tab/>
      </w:r>
      <w:r w:rsidR="00AD04D7" w:rsidRPr="00B54CAF">
        <w:rPr>
          <w:sz w:val="20"/>
          <w:szCs w:val="20"/>
          <w:lang w:val="en-IE"/>
        </w:rPr>
        <w:t xml:space="preserve">Furthermore, </w:t>
      </w:r>
      <w:r w:rsidR="00AD3088">
        <w:rPr>
          <w:sz w:val="20"/>
          <w:szCs w:val="20"/>
          <w:lang w:val="en-IE"/>
        </w:rPr>
        <w:t>t</w:t>
      </w:r>
      <w:r w:rsidR="00AD3088" w:rsidRPr="00B54CAF">
        <w:rPr>
          <w:sz w:val="20"/>
          <w:szCs w:val="20"/>
          <w:lang w:val="en-IE"/>
        </w:rPr>
        <w:t xml:space="preserve">he </w:t>
      </w:r>
      <w:r w:rsidR="00AD3088">
        <w:rPr>
          <w:sz w:val="20"/>
          <w:szCs w:val="20"/>
          <w:lang w:val="en-IE"/>
        </w:rPr>
        <w:t>PHI-IWG</w:t>
      </w:r>
      <w:r w:rsidR="00AD3088" w:rsidRPr="00B54CAF">
        <w:rPr>
          <w:sz w:val="20"/>
          <w:szCs w:val="20"/>
          <w:lang w:val="en-IE"/>
        </w:rPr>
        <w:t xml:space="preserve"> </w:t>
      </w:r>
      <w:r w:rsidR="00AD04D7" w:rsidRPr="00B54CAF">
        <w:rPr>
          <w:sz w:val="20"/>
          <w:szCs w:val="20"/>
          <w:lang w:val="en-IE"/>
        </w:rPr>
        <w:t xml:space="preserve">suggested </w:t>
      </w:r>
      <w:r w:rsidR="00AD04D7">
        <w:rPr>
          <w:sz w:val="20"/>
          <w:szCs w:val="20"/>
          <w:lang w:val="en-IE"/>
        </w:rPr>
        <w:t>consider</w:t>
      </w:r>
      <w:r w:rsidR="00A52D36">
        <w:rPr>
          <w:sz w:val="20"/>
          <w:szCs w:val="20"/>
          <w:lang w:val="en-IE"/>
        </w:rPr>
        <w:t>ing</w:t>
      </w:r>
      <w:r w:rsidR="00AD04D7" w:rsidRPr="00B54CAF">
        <w:rPr>
          <w:sz w:val="20"/>
          <w:szCs w:val="20"/>
          <w:lang w:val="en-IE"/>
        </w:rPr>
        <w:t xml:space="preserve"> </w:t>
      </w:r>
      <w:r w:rsidR="00ED6E9C">
        <w:rPr>
          <w:sz w:val="20"/>
          <w:szCs w:val="20"/>
          <w:lang w:val="en-IE"/>
        </w:rPr>
        <w:t>degradabilit</w:t>
      </w:r>
      <w:r w:rsidR="00ED6E9C" w:rsidRPr="00ED6E9C">
        <w:rPr>
          <w:sz w:val="20"/>
          <w:szCs w:val="20"/>
          <w:lang w:val="en-IE"/>
        </w:rPr>
        <w:t>y</w:t>
      </w:r>
      <w:r w:rsidR="00AD04D7" w:rsidRPr="00ED6E9C">
        <w:rPr>
          <w:sz w:val="20"/>
          <w:szCs w:val="20"/>
          <w:lang w:val="en-IE"/>
        </w:rPr>
        <w:t xml:space="preserve"> for each of the relevant environmental compartments, in line with existing approaches</w:t>
      </w:r>
      <w:r w:rsidR="00ED6E9C" w:rsidRPr="00ED6E9C">
        <w:rPr>
          <w:sz w:val="20"/>
          <w:szCs w:val="20"/>
          <w:lang w:val="en-IE"/>
        </w:rPr>
        <w:t xml:space="preserve"> such as OECD </w:t>
      </w:r>
      <w:r w:rsidR="0073073D">
        <w:rPr>
          <w:sz w:val="20"/>
          <w:szCs w:val="20"/>
          <w:lang w:val="en-IE"/>
        </w:rPr>
        <w:t xml:space="preserve">test guidelines </w:t>
      </w:r>
      <w:r w:rsidR="00ED6E9C" w:rsidRPr="00ED6E9C">
        <w:rPr>
          <w:sz w:val="20"/>
          <w:szCs w:val="20"/>
          <w:lang w:val="en-IE"/>
        </w:rPr>
        <w:t>307, 308 and 309</w:t>
      </w:r>
      <w:r w:rsidR="00AD04D7" w:rsidRPr="00ED6E9C">
        <w:rPr>
          <w:sz w:val="20"/>
          <w:szCs w:val="20"/>
          <w:lang w:val="en-IE"/>
        </w:rPr>
        <w:t>.</w:t>
      </w:r>
      <w:r w:rsidR="00ED5A7C" w:rsidRPr="00ED6E9C">
        <w:t xml:space="preserve"> </w:t>
      </w:r>
      <w:r w:rsidR="00ED5A7C" w:rsidRPr="00ED6E9C">
        <w:rPr>
          <w:sz w:val="20"/>
          <w:szCs w:val="20"/>
          <w:lang w:val="en-IE"/>
        </w:rPr>
        <w:t xml:space="preserve">Namely, persistence </w:t>
      </w:r>
      <w:r w:rsidR="00ED6E9C" w:rsidRPr="00ED6E9C">
        <w:rPr>
          <w:sz w:val="20"/>
          <w:szCs w:val="20"/>
          <w:lang w:val="en-IE"/>
        </w:rPr>
        <w:t>needs to be considered</w:t>
      </w:r>
      <w:r w:rsidR="00ED5A7C" w:rsidRPr="00ED6E9C">
        <w:rPr>
          <w:sz w:val="20"/>
          <w:szCs w:val="20"/>
          <w:lang w:val="en-IE"/>
        </w:rPr>
        <w:t xml:space="preserve"> in</w:t>
      </w:r>
      <w:r w:rsidR="0081597D" w:rsidRPr="00ED6E9C">
        <w:rPr>
          <w:sz w:val="20"/>
          <w:szCs w:val="20"/>
          <w:lang w:val="en-IE"/>
        </w:rPr>
        <w:t xml:space="preserve"> </w:t>
      </w:r>
      <w:r w:rsidR="00ED5A7C" w:rsidRPr="00ED6E9C">
        <w:rPr>
          <w:sz w:val="20"/>
          <w:szCs w:val="20"/>
          <w:lang w:val="en-IE"/>
        </w:rPr>
        <w:t xml:space="preserve">soil, water and sediment </w:t>
      </w:r>
      <w:r w:rsidR="0081597D" w:rsidRPr="00ED6E9C">
        <w:rPr>
          <w:sz w:val="20"/>
          <w:szCs w:val="20"/>
          <w:lang w:val="en-IE"/>
        </w:rPr>
        <w:t>compartment</w:t>
      </w:r>
      <w:r w:rsidR="00E328F5" w:rsidRPr="00ED6E9C">
        <w:rPr>
          <w:sz w:val="20"/>
          <w:szCs w:val="20"/>
          <w:lang w:val="en-IE"/>
        </w:rPr>
        <w:t>s</w:t>
      </w:r>
      <w:r w:rsidR="0081597D" w:rsidRPr="00ED6E9C">
        <w:rPr>
          <w:sz w:val="20"/>
          <w:szCs w:val="20"/>
          <w:lang w:val="en-IE"/>
        </w:rPr>
        <w:t xml:space="preserve"> </w:t>
      </w:r>
      <w:r w:rsidR="00ED5A7C" w:rsidRPr="00ED6E9C">
        <w:rPr>
          <w:sz w:val="20"/>
          <w:szCs w:val="20"/>
          <w:lang w:val="en-IE"/>
        </w:rPr>
        <w:t>in the GHS.</w:t>
      </w:r>
      <w:r w:rsidR="00FE1646" w:rsidRPr="00ED6E9C">
        <w:rPr>
          <w:sz w:val="20"/>
          <w:szCs w:val="20"/>
          <w:lang w:val="en-IE"/>
        </w:rPr>
        <w:t xml:space="preserve"> </w:t>
      </w:r>
    </w:p>
    <w:p w14:paraId="585151C9" w14:textId="081A88B5" w:rsidR="00071BFC" w:rsidRPr="00071BFC" w:rsidRDefault="00AC05F3" w:rsidP="002017EA">
      <w:pPr>
        <w:pStyle w:val="ListParagraph"/>
        <w:tabs>
          <w:tab w:val="left" w:pos="1701"/>
          <w:tab w:val="left" w:pos="8505"/>
        </w:tabs>
        <w:spacing w:before="120" w:after="120"/>
        <w:ind w:left="1134" w:right="1134"/>
        <w:jc w:val="both"/>
        <w:rPr>
          <w:sz w:val="20"/>
          <w:szCs w:val="20"/>
          <w:lang w:val="en-IE"/>
        </w:rPr>
      </w:pPr>
      <w:r w:rsidRPr="00071BFC">
        <w:rPr>
          <w:sz w:val="20"/>
          <w:szCs w:val="20"/>
          <w:lang w:val="en-IE"/>
        </w:rPr>
        <w:t>26.</w:t>
      </w:r>
      <w:r w:rsidRPr="00071BFC">
        <w:rPr>
          <w:sz w:val="20"/>
          <w:szCs w:val="20"/>
          <w:lang w:val="en-IE"/>
        </w:rPr>
        <w:tab/>
      </w:r>
      <w:r w:rsidR="00EE4143" w:rsidRPr="00CD6463">
        <w:rPr>
          <w:sz w:val="20"/>
          <w:szCs w:val="20"/>
          <w:lang w:val="en-IE"/>
        </w:rPr>
        <w:t xml:space="preserve">The PHI-IWG discussed the appropriateness of certain terminologies in the </w:t>
      </w:r>
      <w:r w:rsidR="00480ED2" w:rsidRPr="00CD6463">
        <w:rPr>
          <w:sz w:val="20"/>
          <w:szCs w:val="20"/>
          <w:lang w:val="en-IE"/>
        </w:rPr>
        <w:t xml:space="preserve">proposed </w:t>
      </w:r>
      <w:r w:rsidR="00EE4143" w:rsidRPr="00CD6463">
        <w:rPr>
          <w:sz w:val="20"/>
          <w:szCs w:val="20"/>
          <w:lang w:val="en-IE"/>
        </w:rPr>
        <w:t xml:space="preserve">definition of persistence. </w:t>
      </w:r>
      <w:r w:rsidR="00CD6463">
        <w:rPr>
          <w:sz w:val="20"/>
          <w:szCs w:val="20"/>
          <w:lang w:val="en-IE"/>
        </w:rPr>
        <w:t>Specifically</w:t>
      </w:r>
      <w:r w:rsidR="00EE4143" w:rsidRPr="00CD6463">
        <w:rPr>
          <w:sz w:val="20"/>
          <w:szCs w:val="20"/>
          <w:lang w:val="en-IE"/>
        </w:rPr>
        <w:t xml:space="preserve">, the </w:t>
      </w:r>
      <w:r w:rsidR="00CD6463">
        <w:rPr>
          <w:sz w:val="20"/>
          <w:szCs w:val="20"/>
          <w:lang w:val="en-IE"/>
        </w:rPr>
        <w:t xml:space="preserve">meanings of the </w:t>
      </w:r>
      <w:r w:rsidR="00EE4143" w:rsidRPr="00CD6463">
        <w:rPr>
          <w:sz w:val="20"/>
          <w:szCs w:val="20"/>
          <w:lang w:val="en-IE"/>
        </w:rPr>
        <w:t>term</w:t>
      </w:r>
      <w:r w:rsidR="00CD6463">
        <w:rPr>
          <w:sz w:val="20"/>
          <w:szCs w:val="20"/>
          <w:lang w:val="en-IE"/>
        </w:rPr>
        <w:t>s</w:t>
      </w:r>
      <w:r w:rsidR="00EE4143" w:rsidRPr="00CD6463">
        <w:rPr>
          <w:sz w:val="20"/>
          <w:szCs w:val="20"/>
          <w:lang w:val="en-IE"/>
        </w:rPr>
        <w:t xml:space="preserve"> “decomposition”</w:t>
      </w:r>
      <w:r w:rsidR="00857E1D">
        <w:rPr>
          <w:sz w:val="20"/>
          <w:szCs w:val="20"/>
          <w:lang w:val="en-IE"/>
        </w:rPr>
        <w:t xml:space="preserve"> and </w:t>
      </w:r>
      <w:r w:rsidR="00CD6463">
        <w:rPr>
          <w:sz w:val="20"/>
          <w:szCs w:val="20"/>
          <w:lang w:val="en-IE"/>
        </w:rPr>
        <w:t xml:space="preserve">“degradation” were discussed. </w:t>
      </w:r>
      <w:r w:rsidR="00263C2B">
        <w:rPr>
          <w:sz w:val="20"/>
          <w:szCs w:val="20"/>
          <w:lang w:val="en-IE"/>
        </w:rPr>
        <w:t>There was a general understanding that the difference between these terms lies within the</w:t>
      </w:r>
      <w:r w:rsidR="00ED6E9C">
        <w:rPr>
          <w:sz w:val="20"/>
          <w:szCs w:val="20"/>
          <w:lang w:val="en-IE"/>
        </w:rPr>
        <w:t xml:space="preserve"> endpoint measurement</w:t>
      </w:r>
      <w:r w:rsidR="00263C2B">
        <w:rPr>
          <w:sz w:val="20"/>
          <w:szCs w:val="20"/>
          <w:lang w:val="en-IE"/>
        </w:rPr>
        <w:t xml:space="preserve">, i.e. </w:t>
      </w:r>
      <w:r w:rsidR="001D1EAF">
        <w:rPr>
          <w:sz w:val="20"/>
          <w:szCs w:val="20"/>
          <w:lang w:val="en-IE"/>
        </w:rPr>
        <w:t xml:space="preserve">mineralisation </w:t>
      </w:r>
      <w:r w:rsidR="00263C2B">
        <w:rPr>
          <w:sz w:val="20"/>
          <w:szCs w:val="20"/>
          <w:lang w:val="en-IE"/>
        </w:rPr>
        <w:t>versus</w:t>
      </w:r>
      <w:r w:rsidR="001D1EAF">
        <w:rPr>
          <w:sz w:val="20"/>
          <w:szCs w:val="20"/>
          <w:lang w:val="en-IE"/>
        </w:rPr>
        <w:t xml:space="preserve"> primary degradation</w:t>
      </w:r>
      <w:r w:rsidR="00263C2B">
        <w:rPr>
          <w:sz w:val="20"/>
          <w:szCs w:val="20"/>
          <w:lang w:val="en-IE"/>
        </w:rPr>
        <w:t xml:space="preserve">, respectively. </w:t>
      </w:r>
      <w:r w:rsidR="002147A6">
        <w:rPr>
          <w:sz w:val="20"/>
          <w:szCs w:val="20"/>
          <w:lang w:val="en-IE"/>
        </w:rPr>
        <w:t>The</w:t>
      </w:r>
      <w:r w:rsidR="007E4923">
        <w:rPr>
          <w:sz w:val="20"/>
          <w:szCs w:val="20"/>
          <w:lang w:val="en-IE"/>
        </w:rPr>
        <w:t xml:space="preserve"> PHI-IWG further discussed whether the term “degradation” or “transformation” and “primary degradation” or “biodegradation” would be more appropriate</w:t>
      </w:r>
      <w:r w:rsidR="00264D2E">
        <w:rPr>
          <w:sz w:val="20"/>
          <w:szCs w:val="20"/>
          <w:lang w:val="en-IE"/>
        </w:rPr>
        <w:t xml:space="preserve"> to use</w:t>
      </w:r>
      <w:r w:rsidR="007E4923">
        <w:rPr>
          <w:sz w:val="20"/>
          <w:szCs w:val="20"/>
          <w:lang w:val="en-IE"/>
        </w:rPr>
        <w:t xml:space="preserve">. </w:t>
      </w:r>
      <w:r w:rsidR="00FF13D8">
        <w:rPr>
          <w:sz w:val="20"/>
          <w:szCs w:val="20"/>
          <w:lang w:val="en-IE"/>
        </w:rPr>
        <w:t xml:space="preserve">Several </w:t>
      </w:r>
      <w:r w:rsidR="00121135">
        <w:rPr>
          <w:sz w:val="20"/>
          <w:szCs w:val="20"/>
          <w:lang w:val="en-IE"/>
        </w:rPr>
        <w:t xml:space="preserve">experts acknowledged the need to assess intermediates, and to classify </w:t>
      </w:r>
      <w:r w:rsidR="00AD1FCB">
        <w:rPr>
          <w:sz w:val="20"/>
          <w:szCs w:val="20"/>
          <w:lang w:val="en-IE"/>
        </w:rPr>
        <w:t>these in addition to end products of the degradation process</w:t>
      </w:r>
      <w:r w:rsidR="00121135">
        <w:rPr>
          <w:sz w:val="20"/>
          <w:szCs w:val="20"/>
          <w:lang w:val="en-IE"/>
        </w:rPr>
        <w:t xml:space="preserve">. </w:t>
      </w:r>
      <w:r w:rsidR="00474D02">
        <w:rPr>
          <w:sz w:val="20"/>
          <w:szCs w:val="20"/>
          <w:lang w:val="en-IE"/>
        </w:rPr>
        <w:t>Some experts expressed caution in using the term “organic”</w:t>
      </w:r>
      <w:r w:rsidR="007F6C75">
        <w:rPr>
          <w:sz w:val="20"/>
          <w:szCs w:val="20"/>
          <w:lang w:val="en-IE"/>
        </w:rPr>
        <w:t>,</w:t>
      </w:r>
      <w:r w:rsidR="00121918">
        <w:rPr>
          <w:sz w:val="20"/>
          <w:szCs w:val="20"/>
          <w:lang w:val="en-IE"/>
        </w:rPr>
        <w:t xml:space="preserve"> </w:t>
      </w:r>
      <w:r w:rsidR="00A574C7">
        <w:rPr>
          <w:sz w:val="20"/>
          <w:szCs w:val="20"/>
          <w:lang w:val="en-IE"/>
        </w:rPr>
        <w:t xml:space="preserve">as reflected by the square </w:t>
      </w:r>
      <w:r w:rsidR="00931F99">
        <w:rPr>
          <w:sz w:val="20"/>
          <w:szCs w:val="20"/>
          <w:lang w:val="en-IE"/>
        </w:rPr>
        <w:t>brackets, which</w:t>
      </w:r>
      <w:r w:rsidR="00C43EF2">
        <w:rPr>
          <w:sz w:val="20"/>
          <w:szCs w:val="20"/>
          <w:lang w:val="en-IE"/>
        </w:rPr>
        <w:t xml:space="preserve"> should be further considered by OECD.</w:t>
      </w:r>
      <w:r w:rsidR="00121918">
        <w:rPr>
          <w:sz w:val="20"/>
          <w:szCs w:val="20"/>
          <w:lang w:val="en-IE"/>
        </w:rPr>
        <w:t xml:space="preserve"> </w:t>
      </w:r>
      <w:r w:rsidR="00C43EF2">
        <w:rPr>
          <w:sz w:val="20"/>
          <w:szCs w:val="20"/>
          <w:lang w:val="en-IE"/>
        </w:rPr>
        <w:t>O</w:t>
      </w:r>
      <w:r w:rsidR="00A574C7">
        <w:rPr>
          <w:sz w:val="20"/>
          <w:szCs w:val="20"/>
          <w:lang w:val="en-IE"/>
        </w:rPr>
        <w:t xml:space="preserve">thers pointed to </w:t>
      </w:r>
      <w:r w:rsidR="00A06B3F">
        <w:rPr>
          <w:sz w:val="20"/>
          <w:szCs w:val="20"/>
          <w:lang w:val="en-IE"/>
        </w:rPr>
        <w:t>annexes</w:t>
      </w:r>
      <w:r w:rsidR="000259FD">
        <w:rPr>
          <w:sz w:val="20"/>
          <w:szCs w:val="20"/>
          <w:lang w:val="en-IE"/>
        </w:rPr>
        <w:t xml:space="preserve"> of th</w:t>
      </w:r>
      <w:r w:rsidR="000259FD" w:rsidRPr="00071BFC">
        <w:rPr>
          <w:sz w:val="20"/>
          <w:szCs w:val="20"/>
          <w:lang w:val="en-IE"/>
        </w:rPr>
        <w:t>e GHS</w:t>
      </w:r>
      <w:r w:rsidR="009A4C15" w:rsidRPr="00071BFC">
        <w:rPr>
          <w:sz w:val="20"/>
          <w:szCs w:val="20"/>
          <w:lang w:val="en-IE"/>
        </w:rPr>
        <w:t xml:space="preserve"> that</w:t>
      </w:r>
      <w:r w:rsidR="00B9187C" w:rsidRPr="00071BFC">
        <w:rPr>
          <w:sz w:val="20"/>
          <w:szCs w:val="20"/>
          <w:lang w:val="en-IE"/>
        </w:rPr>
        <w:t xml:space="preserve"> </w:t>
      </w:r>
      <w:r w:rsidR="00047A59" w:rsidRPr="00071BFC">
        <w:rPr>
          <w:sz w:val="20"/>
          <w:szCs w:val="20"/>
          <w:lang w:val="en-IE"/>
        </w:rPr>
        <w:t>recognis</w:t>
      </w:r>
      <w:r w:rsidR="009A4C15" w:rsidRPr="00071BFC">
        <w:rPr>
          <w:sz w:val="20"/>
          <w:szCs w:val="20"/>
          <w:lang w:val="en-IE"/>
        </w:rPr>
        <w:t>e</w:t>
      </w:r>
      <w:r w:rsidR="00B9187C" w:rsidRPr="00071BFC">
        <w:rPr>
          <w:sz w:val="20"/>
          <w:szCs w:val="20"/>
          <w:lang w:val="en-IE"/>
        </w:rPr>
        <w:t xml:space="preserve"> the specificities of</w:t>
      </w:r>
      <w:r w:rsidR="000259FD" w:rsidRPr="00071BFC">
        <w:rPr>
          <w:sz w:val="20"/>
          <w:szCs w:val="20"/>
          <w:lang w:val="en-IE"/>
        </w:rPr>
        <w:t xml:space="preserve"> </w:t>
      </w:r>
      <w:r w:rsidR="00463AFD" w:rsidRPr="00071BFC">
        <w:rPr>
          <w:sz w:val="20"/>
          <w:szCs w:val="20"/>
          <w:lang w:val="en-IE"/>
        </w:rPr>
        <w:t xml:space="preserve">“metals” and </w:t>
      </w:r>
      <w:r w:rsidR="00121918" w:rsidRPr="00071BFC">
        <w:rPr>
          <w:sz w:val="20"/>
          <w:szCs w:val="20"/>
          <w:lang w:val="en-IE"/>
        </w:rPr>
        <w:t>“metal compounds”</w:t>
      </w:r>
      <w:r w:rsidR="00A3210C" w:rsidRPr="00071BFC">
        <w:rPr>
          <w:sz w:val="20"/>
          <w:szCs w:val="20"/>
          <w:lang w:val="en-IE"/>
        </w:rPr>
        <w:t>.</w:t>
      </w:r>
    </w:p>
    <w:p w14:paraId="42208D31" w14:textId="08177CC7" w:rsidR="00E65F36" w:rsidRPr="00071BFC" w:rsidRDefault="00AC05F3" w:rsidP="002017EA">
      <w:pPr>
        <w:pStyle w:val="ListParagraph"/>
        <w:tabs>
          <w:tab w:val="left" w:pos="1701"/>
          <w:tab w:val="left" w:pos="1985"/>
          <w:tab w:val="left" w:pos="8505"/>
        </w:tabs>
        <w:spacing w:before="120" w:after="120"/>
        <w:ind w:left="1134" w:right="1134"/>
        <w:jc w:val="both"/>
        <w:rPr>
          <w:sz w:val="20"/>
          <w:szCs w:val="20"/>
          <w:lang w:val="en-IE"/>
        </w:rPr>
      </w:pPr>
      <w:r w:rsidRPr="00071BFC">
        <w:rPr>
          <w:sz w:val="20"/>
          <w:szCs w:val="20"/>
          <w:lang w:val="en-IE"/>
        </w:rPr>
        <w:t>27.</w:t>
      </w:r>
      <w:r w:rsidRPr="00071BFC">
        <w:rPr>
          <w:sz w:val="20"/>
          <w:szCs w:val="20"/>
          <w:lang w:val="en-IE"/>
        </w:rPr>
        <w:tab/>
      </w:r>
      <w:r w:rsidR="00121918" w:rsidRPr="00071BFC">
        <w:rPr>
          <w:sz w:val="20"/>
          <w:szCs w:val="20"/>
          <w:lang w:val="en-IE"/>
        </w:rPr>
        <w:t>F</w:t>
      </w:r>
      <w:r w:rsidR="00AD04D7" w:rsidRPr="00071BFC">
        <w:rPr>
          <w:sz w:val="20"/>
          <w:szCs w:val="20"/>
          <w:lang w:val="en-IE"/>
        </w:rPr>
        <w:t>inally</w:t>
      </w:r>
      <w:r w:rsidR="00121918" w:rsidRPr="00071BFC">
        <w:rPr>
          <w:sz w:val="20"/>
          <w:szCs w:val="20"/>
          <w:lang w:val="en-IE"/>
        </w:rPr>
        <w:t>, the PHI-IWG discussed the value in including further references to GHS annexes in the definition of persistenc</w:t>
      </w:r>
      <w:r w:rsidR="00675A79">
        <w:rPr>
          <w:sz w:val="20"/>
          <w:szCs w:val="20"/>
          <w:lang w:val="en-IE"/>
        </w:rPr>
        <w:t>e</w:t>
      </w:r>
      <w:r w:rsidR="00121918" w:rsidRPr="00071BFC">
        <w:rPr>
          <w:sz w:val="20"/>
          <w:szCs w:val="20"/>
          <w:lang w:val="en-IE"/>
        </w:rPr>
        <w:t xml:space="preserve">. In particular, Annex 9 on the </w:t>
      </w:r>
      <w:r w:rsidR="00463AFD" w:rsidRPr="00071BFC">
        <w:rPr>
          <w:sz w:val="20"/>
          <w:szCs w:val="20"/>
          <w:lang w:val="en-IE"/>
        </w:rPr>
        <w:t>guidance on hazards to the aquatic environment</w:t>
      </w:r>
      <w:r w:rsidR="00121918" w:rsidRPr="00071BFC">
        <w:rPr>
          <w:sz w:val="20"/>
          <w:szCs w:val="20"/>
          <w:lang w:val="en-IE"/>
        </w:rPr>
        <w:t xml:space="preserve"> and Annex 10 on </w:t>
      </w:r>
      <w:r w:rsidR="00463AFD" w:rsidRPr="00071BFC">
        <w:rPr>
          <w:sz w:val="20"/>
          <w:szCs w:val="20"/>
          <w:lang w:val="en-IE"/>
        </w:rPr>
        <w:t>the guidance on the transformation/dissolution of metals and metal compounds in aqueous environment</w:t>
      </w:r>
      <w:r w:rsidR="003D3632" w:rsidRPr="00071BFC">
        <w:rPr>
          <w:sz w:val="20"/>
          <w:szCs w:val="20"/>
          <w:lang w:val="en-IE"/>
        </w:rPr>
        <w:t xml:space="preserve"> should be </w:t>
      </w:r>
      <w:r w:rsidR="00A52D36">
        <w:rPr>
          <w:sz w:val="20"/>
          <w:szCs w:val="20"/>
          <w:lang w:val="en-IE"/>
        </w:rPr>
        <w:t>considered</w:t>
      </w:r>
      <w:r w:rsidR="003D3632" w:rsidRPr="00071BFC">
        <w:rPr>
          <w:sz w:val="20"/>
          <w:szCs w:val="20"/>
          <w:lang w:val="en-IE"/>
        </w:rPr>
        <w:t xml:space="preserve"> by</w:t>
      </w:r>
      <w:r w:rsidR="00805C93" w:rsidRPr="00071BFC">
        <w:rPr>
          <w:sz w:val="20"/>
          <w:szCs w:val="20"/>
          <w:lang w:val="en-IE"/>
        </w:rPr>
        <w:t xml:space="preserve"> the</w:t>
      </w:r>
      <w:r w:rsidR="003D3632" w:rsidRPr="00071BFC">
        <w:rPr>
          <w:sz w:val="20"/>
          <w:szCs w:val="20"/>
          <w:lang w:val="en-IE"/>
        </w:rPr>
        <w:t xml:space="preserve"> OECD. </w:t>
      </w:r>
      <w:r w:rsidR="00241A0F" w:rsidRPr="00071BFC">
        <w:rPr>
          <w:sz w:val="20"/>
          <w:szCs w:val="20"/>
          <w:lang w:val="en-IE"/>
        </w:rPr>
        <w:t xml:space="preserve">These references were added in the </w:t>
      </w:r>
      <w:r w:rsidR="00656A8E">
        <w:rPr>
          <w:sz w:val="20"/>
          <w:szCs w:val="20"/>
          <w:lang w:val="en-IE"/>
        </w:rPr>
        <w:t>a</w:t>
      </w:r>
      <w:r w:rsidR="00656A8E" w:rsidRPr="00071BFC">
        <w:rPr>
          <w:sz w:val="20"/>
          <w:szCs w:val="20"/>
          <w:lang w:val="en-IE"/>
        </w:rPr>
        <w:t xml:space="preserve">nnex </w:t>
      </w:r>
      <w:r w:rsidR="00656A8E">
        <w:rPr>
          <w:sz w:val="20"/>
          <w:szCs w:val="20"/>
          <w:lang w:val="en-IE"/>
        </w:rPr>
        <w:t xml:space="preserve">to </w:t>
      </w:r>
      <w:r w:rsidR="00241A0F" w:rsidRPr="00071BFC">
        <w:rPr>
          <w:sz w:val="20"/>
          <w:szCs w:val="20"/>
          <w:lang w:val="en-IE"/>
        </w:rPr>
        <w:t>document ST/SG/AC.10/C.4/2024/9.</w:t>
      </w:r>
      <w:r w:rsidR="004F776D" w:rsidRPr="00071BFC">
        <w:rPr>
          <w:sz w:val="20"/>
          <w:szCs w:val="20"/>
          <w:lang w:val="en-IE"/>
        </w:rPr>
        <w:t xml:space="preserve"> The PHI-IWG also considered </w:t>
      </w:r>
      <w:r w:rsidR="0011244F" w:rsidRPr="00071BFC">
        <w:rPr>
          <w:sz w:val="20"/>
          <w:szCs w:val="20"/>
          <w:lang w:val="en-IE"/>
        </w:rPr>
        <w:t xml:space="preserve">that </w:t>
      </w:r>
      <w:r w:rsidR="00530B83" w:rsidRPr="00071BFC">
        <w:rPr>
          <w:sz w:val="20"/>
          <w:szCs w:val="20"/>
          <w:lang w:val="en-IE"/>
        </w:rPr>
        <w:t xml:space="preserve">the </w:t>
      </w:r>
      <w:r w:rsidR="00530B83" w:rsidRPr="00071BFC">
        <w:rPr>
          <w:i/>
          <w:iCs/>
          <w:sz w:val="20"/>
          <w:szCs w:val="20"/>
          <w:lang w:val="en-IE"/>
        </w:rPr>
        <w:t>R</w:t>
      </w:r>
      <w:r w:rsidR="0012111B" w:rsidRPr="00071BFC">
        <w:rPr>
          <w:i/>
          <w:iCs/>
          <w:sz w:val="20"/>
          <w:szCs w:val="20"/>
          <w:lang w:val="en-IE"/>
        </w:rPr>
        <w:t xml:space="preserve">evised </w:t>
      </w:r>
      <w:r w:rsidR="0012111B" w:rsidRPr="00071BFC">
        <w:rPr>
          <w:i/>
          <w:iCs/>
          <w:sz w:val="20"/>
          <w:szCs w:val="20"/>
        </w:rPr>
        <w:t>introduction to the OECD guidelines</w:t>
      </w:r>
      <w:r w:rsidR="00530B83" w:rsidRPr="00071BFC">
        <w:rPr>
          <w:i/>
          <w:iCs/>
          <w:sz w:val="20"/>
          <w:szCs w:val="20"/>
        </w:rPr>
        <w:t>, section 3</w:t>
      </w:r>
      <w:r w:rsidR="0012111B" w:rsidRPr="00071BFC">
        <w:rPr>
          <w:sz w:val="20"/>
          <w:szCs w:val="20"/>
        </w:rPr>
        <w:t xml:space="preserve"> is one </w:t>
      </w:r>
      <w:r w:rsidR="0012111B" w:rsidRPr="00071BFC">
        <w:rPr>
          <w:sz w:val="20"/>
          <w:szCs w:val="20"/>
        </w:rPr>
        <w:lastRenderedPageBreak/>
        <w:t>of the relevant document</w:t>
      </w:r>
      <w:r w:rsidR="000C0667" w:rsidRPr="00071BFC">
        <w:rPr>
          <w:sz w:val="20"/>
          <w:szCs w:val="20"/>
        </w:rPr>
        <w:t>s</w:t>
      </w:r>
      <w:r w:rsidR="0012111B" w:rsidRPr="00071BFC">
        <w:rPr>
          <w:sz w:val="20"/>
          <w:szCs w:val="20"/>
        </w:rPr>
        <w:t xml:space="preserve"> </w:t>
      </w:r>
      <w:r w:rsidR="000C0667" w:rsidRPr="00071BFC">
        <w:rPr>
          <w:sz w:val="20"/>
          <w:szCs w:val="20"/>
        </w:rPr>
        <w:t>to be considered by the PHI-IWG as well as</w:t>
      </w:r>
      <w:r w:rsidR="00ED6E9C" w:rsidRPr="00071BFC">
        <w:rPr>
          <w:sz w:val="20"/>
          <w:szCs w:val="20"/>
        </w:rPr>
        <w:t xml:space="preserve"> by</w:t>
      </w:r>
      <w:r w:rsidR="000C0667" w:rsidRPr="00071BFC">
        <w:rPr>
          <w:sz w:val="20"/>
          <w:szCs w:val="20"/>
        </w:rPr>
        <w:t xml:space="preserve"> </w:t>
      </w:r>
      <w:r w:rsidR="00805C93" w:rsidRPr="00071BFC">
        <w:rPr>
          <w:sz w:val="20"/>
          <w:szCs w:val="20"/>
        </w:rPr>
        <w:t xml:space="preserve">the </w:t>
      </w:r>
      <w:r w:rsidR="000C0667" w:rsidRPr="00071BFC">
        <w:rPr>
          <w:sz w:val="20"/>
          <w:szCs w:val="20"/>
        </w:rPr>
        <w:t>OECD</w:t>
      </w:r>
      <w:r w:rsidR="00530B83" w:rsidRPr="00071BFC">
        <w:rPr>
          <w:sz w:val="20"/>
          <w:szCs w:val="20"/>
        </w:rPr>
        <w:t xml:space="preserve"> in the context of </w:t>
      </w:r>
      <w:r w:rsidR="00E65F36" w:rsidRPr="00071BFC">
        <w:rPr>
          <w:sz w:val="20"/>
          <w:szCs w:val="20"/>
        </w:rPr>
        <w:t>the workstream “</w:t>
      </w:r>
      <w:r w:rsidR="0075657F" w:rsidRPr="00071BFC">
        <w:rPr>
          <w:sz w:val="20"/>
          <w:szCs w:val="20"/>
        </w:rPr>
        <w:t>persistence and mobility</w:t>
      </w:r>
      <w:r w:rsidR="00E65F36" w:rsidRPr="00071BFC">
        <w:rPr>
          <w:sz w:val="20"/>
          <w:szCs w:val="20"/>
        </w:rPr>
        <w:t>”</w:t>
      </w:r>
      <w:r w:rsidR="007C1E42" w:rsidRPr="00071BFC">
        <w:rPr>
          <w:rStyle w:val="FootnoteReference"/>
          <w:sz w:val="20"/>
          <w:szCs w:val="20"/>
        </w:rPr>
        <w:t xml:space="preserve"> </w:t>
      </w:r>
      <w:r w:rsidR="007C1E42" w:rsidRPr="00071BFC">
        <w:rPr>
          <w:rStyle w:val="FootnoteReference"/>
          <w:sz w:val="20"/>
          <w:szCs w:val="20"/>
        </w:rPr>
        <w:footnoteReference w:id="10"/>
      </w:r>
      <w:r w:rsidR="00530B83" w:rsidRPr="00071BFC">
        <w:rPr>
          <w:sz w:val="20"/>
          <w:szCs w:val="20"/>
        </w:rPr>
        <w:t xml:space="preserve">. </w:t>
      </w:r>
    </w:p>
    <w:p w14:paraId="74E43D2B" w14:textId="4C32C4C3" w:rsidR="00434BA1" w:rsidRPr="00071BFC" w:rsidRDefault="002017EA" w:rsidP="002017EA">
      <w:pPr>
        <w:pStyle w:val="ListParagraph"/>
        <w:tabs>
          <w:tab w:val="left" w:pos="1134"/>
        </w:tabs>
        <w:spacing w:after="240"/>
        <w:ind w:left="0"/>
        <w:rPr>
          <w:b/>
          <w:i/>
          <w:lang w:val="en-IE"/>
        </w:rPr>
      </w:pPr>
      <w:r>
        <w:rPr>
          <w:b/>
          <w:i/>
          <w:lang w:val="en-IE"/>
        </w:rPr>
        <w:tab/>
      </w:r>
      <w:r w:rsidR="00031898" w:rsidRPr="00071BFC">
        <w:rPr>
          <w:b/>
          <w:i/>
          <w:lang w:val="en-IE"/>
        </w:rPr>
        <w:t>On</w:t>
      </w:r>
      <w:r w:rsidR="004D7066">
        <w:rPr>
          <w:b/>
          <w:i/>
          <w:lang w:val="en-IE"/>
        </w:rPr>
        <w:t xml:space="preserve"> the proposed definition of</w:t>
      </w:r>
      <w:r w:rsidR="00031898" w:rsidRPr="00071BFC">
        <w:rPr>
          <w:b/>
          <w:i/>
          <w:lang w:val="en-IE"/>
        </w:rPr>
        <w:t xml:space="preserve"> mobility in the GHS</w:t>
      </w:r>
      <w:r w:rsidR="00434BA1" w:rsidRPr="00071BFC">
        <w:rPr>
          <w:b/>
          <w:i/>
          <w:lang w:val="en-IE"/>
        </w:rPr>
        <w:t xml:space="preserve"> </w:t>
      </w:r>
    </w:p>
    <w:p w14:paraId="34101EDD" w14:textId="032076CF" w:rsidR="00895FC4" w:rsidRPr="002017EA" w:rsidRDefault="00AC05F3" w:rsidP="002017EA">
      <w:pPr>
        <w:pStyle w:val="ListParagraph"/>
        <w:tabs>
          <w:tab w:val="left" w:pos="1701"/>
          <w:tab w:val="left" w:pos="8505"/>
        </w:tabs>
        <w:spacing w:before="120" w:after="120"/>
        <w:ind w:left="1134" w:right="1134"/>
        <w:jc w:val="both"/>
        <w:rPr>
          <w:sz w:val="20"/>
          <w:szCs w:val="20"/>
          <w:lang w:val="en-IE"/>
        </w:rPr>
      </w:pPr>
      <w:r w:rsidRPr="002017EA">
        <w:rPr>
          <w:sz w:val="20"/>
          <w:szCs w:val="20"/>
          <w:lang w:val="en-IE"/>
        </w:rPr>
        <w:t>28.</w:t>
      </w:r>
      <w:r w:rsidRPr="002017EA">
        <w:rPr>
          <w:sz w:val="20"/>
          <w:szCs w:val="20"/>
          <w:lang w:val="en-IE"/>
        </w:rPr>
        <w:tab/>
      </w:r>
      <w:r w:rsidR="00895FC4" w:rsidRPr="002017EA">
        <w:rPr>
          <w:sz w:val="20"/>
          <w:szCs w:val="20"/>
          <w:lang w:val="en-IE"/>
        </w:rPr>
        <w:t xml:space="preserve">The PHI-IWG discussed </w:t>
      </w:r>
      <w:r w:rsidR="00B45635" w:rsidRPr="002017EA">
        <w:rPr>
          <w:sz w:val="20"/>
          <w:szCs w:val="20"/>
          <w:lang w:val="en-IE"/>
        </w:rPr>
        <w:t xml:space="preserve">the different pathways for the release of </w:t>
      </w:r>
      <w:r w:rsidR="00436B23">
        <w:rPr>
          <w:sz w:val="20"/>
          <w:szCs w:val="20"/>
          <w:lang w:val="en-IE"/>
        </w:rPr>
        <w:t>relevant</w:t>
      </w:r>
      <w:r w:rsidR="00B45635" w:rsidRPr="00F77290">
        <w:rPr>
          <w:sz w:val="20"/>
          <w:szCs w:val="20"/>
          <w:lang w:val="en-IE"/>
        </w:rPr>
        <w:t xml:space="preserve"> </w:t>
      </w:r>
      <w:r w:rsidR="00023043" w:rsidRPr="002017EA">
        <w:rPr>
          <w:sz w:val="20"/>
          <w:szCs w:val="20"/>
          <w:lang w:val="en-IE"/>
        </w:rPr>
        <w:t xml:space="preserve">substances </w:t>
      </w:r>
      <w:r w:rsidR="00B45635" w:rsidRPr="002017EA">
        <w:rPr>
          <w:sz w:val="20"/>
          <w:szCs w:val="20"/>
          <w:lang w:val="en-IE"/>
        </w:rPr>
        <w:t xml:space="preserve">into the environment, </w:t>
      </w:r>
      <w:r w:rsidR="00B45635" w:rsidRPr="00F77290">
        <w:rPr>
          <w:sz w:val="20"/>
          <w:szCs w:val="20"/>
          <w:lang w:val="en-IE"/>
        </w:rPr>
        <w:t>includ</w:t>
      </w:r>
      <w:r w:rsidR="00436B23">
        <w:rPr>
          <w:sz w:val="20"/>
          <w:szCs w:val="20"/>
          <w:lang w:val="en-IE"/>
        </w:rPr>
        <w:t>ing</w:t>
      </w:r>
      <w:r w:rsidR="00B45635" w:rsidRPr="002017EA">
        <w:rPr>
          <w:sz w:val="20"/>
          <w:szCs w:val="20"/>
          <w:lang w:val="en-IE"/>
        </w:rPr>
        <w:t xml:space="preserve"> soil, sediment and water. </w:t>
      </w:r>
      <w:r w:rsidR="00B76639">
        <w:rPr>
          <w:sz w:val="20"/>
          <w:szCs w:val="20"/>
          <w:lang w:val="en-IE"/>
        </w:rPr>
        <w:t xml:space="preserve">It </w:t>
      </w:r>
      <w:r w:rsidR="00B76639" w:rsidRPr="00B76639">
        <w:rPr>
          <w:sz w:val="20"/>
          <w:szCs w:val="20"/>
          <w:lang w:val="en-IE"/>
        </w:rPr>
        <w:t xml:space="preserve">was agreed that limiting the definition </w:t>
      </w:r>
      <w:r w:rsidR="00412AC4">
        <w:rPr>
          <w:sz w:val="20"/>
          <w:szCs w:val="20"/>
          <w:lang w:val="en-IE"/>
        </w:rPr>
        <w:t xml:space="preserve">of mobility </w:t>
      </w:r>
      <w:r w:rsidR="00B76639" w:rsidRPr="00B76639">
        <w:rPr>
          <w:sz w:val="20"/>
          <w:szCs w:val="20"/>
          <w:lang w:val="en-IE"/>
        </w:rPr>
        <w:t xml:space="preserve">to soil </w:t>
      </w:r>
      <w:r w:rsidR="00592471">
        <w:rPr>
          <w:sz w:val="20"/>
          <w:szCs w:val="20"/>
          <w:lang w:val="en-IE"/>
        </w:rPr>
        <w:t>would</w:t>
      </w:r>
      <w:r w:rsidR="00B76639" w:rsidRPr="00B76639">
        <w:rPr>
          <w:sz w:val="20"/>
          <w:szCs w:val="20"/>
          <w:lang w:val="en-IE"/>
        </w:rPr>
        <w:t xml:space="preserve"> not reflect </w:t>
      </w:r>
      <w:r w:rsidR="00592471">
        <w:rPr>
          <w:sz w:val="20"/>
          <w:szCs w:val="20"/>
          <w:lang w:val="en-IE"/>
        </w:rPr>
        <w:t xml:space="preserve">the </w:t>
      </w:r>
      <w:r w:rsidR="00B76639" w:rsidRPr="00B76639">
        <w:rPr>
          <w:sz w:val="20"/>
          <w:szCs w:val="20"/>
          <w:lang w:val="en-IE"/>
        </w:rPr>
        <w:t xml:space="preserve">current state of </w:t>
      </w:r>
      <w:r w:rsidR="00071BFC">
        <w:rPr>
          <w:sz w:val="20"/>
          <w:szCs w:val="20"/>
          <w:lang w:val="en-IE"/>
        </w:rPr>
        <w:t xml:space="preserve">the </w:t>
      </w:r>
      <w:r w:rsidR="00B76639" w:rsidRPr="00B76639">
        <w:rPr>
          <w:sz w:val="20"/>
          <w:szCs w:val="20"/>
          <w:lang w:val="en-IE"/>
        </w:rPr>
        <w:t>scien</w:t>
      </w:r>
      <w:r w:rsidR="00B76639" w:rsidRPr="00412AC4">
        <w:rPr>
          <w:sz w:val="20"/>
          <w:szCs w:val="20"/>
          <w:lang w:val="en-IE"/>
        </w:rPr>
        <w:t xml:space="preserve">ce, </w:t>
      </w:r>
      <w:r w:rsidR="0089281E" w:rsidRPr="00412AC4">
        <w:rPr>
          <w:sz w:val="20"/>
          <w:szCs w:val="20"/>
          <w:lang w:val="en-IE"/>
        </w:rPr>
        <w:t xml:space="preserve">as drinking water </w:t>
      </w:r>
      <w:r w:rsidR="00412AC4" w:rsidRPr="00412AC4">
        <w:rPr>
          <w:sz w:val="20"/>
          <w:szCs w:val="20"/>
          <w:lang w:val="en-IE"/>
        </w:rPr>
        <w:t>is</w:t>
      </w:r>
      <w:r w:rsidR="0089281E" w:rsidRPr="00412AC4">
        <w:rPr>
          <w:sz w:val="20"/>
          <w:szCs w:val="20"/>
          <w:lang w:val="en-IE"/>
        </w:rPr>
        <w:t xml:space="preserve"> not solely sourced from groundwater</w:t>
      </w:r>
      <w:r w:rsidR="00412AC4" w:rsidRPr="00412AC4">
        <w:rPr>
          <w:sz w:val="20"/>
          <w:szCs w:val="20"/>
          <w:lang w:val="en-IE"/>
        </w:rPr>
        <w:t xml:space="preserve"> in all regions of the world</w:t>
      </w:r>
      <w:r w:rsidR="0089281E" w:rsidRPr="00412AC4">
        <w:rPr>
          <w:sz w:val="20"/>
          <w:szCs w:val="20"/>
          <w:lang w:val="en-IE"/>
        </w:rPr>
        <w:t>.</w:t>
      </w:r>
      <w:r w:rsidR="0089281E">
        <w:rPr>
          <w:sz w:val="20"/>
          <w:szCs w:val="20"/>
          <w:lang w:val="en-IE"/>
        </w:rPr>
        <w:t xml:space="preserve"> </w:t>
      </w:r>
      <w:r w:rsidR="00B66419">
        <w:rPr>
          <w:sz w:val="20"/>
          <w:szCs w:val="20"/>
          <w:lang w:val="en-IE"/>
        </w:rPr>
        <w:t>A</w:t>
      </w:r>
      <w:r w:rsidR="00B76639" w:rsidRPr="00B76639">
        <w:rPr>
          <w:sz w:val="20"/>
          <w:szCs w:val="20"/>
          <w:lang w:val="en-IE"/>
        </w:rPr>
        <w:t xml:space="preserve"> wider definition</w:t>
      </w:r>
      <w:r w:rsidR="000A2AF3">
        <w:rPr>
          <w:sz w:val="20"/>
          <w:szCs w:val="20"/>
          <w:lang w:val="en-IE"/>
        </w:rPr>
        <w:t>, encompassing sediment, soil and water</w:t>
      </w:r>
      <w:r w:rsidR="00B76639" w:rsidRPr="00B76639">
        <w:rPr>
          <w:sz w:val="20"/>
          <w:szCs w:val="20"/>
          <w:lang w:val="en-IE"/>
        </w:rPr>
        <w:t xml:space="preserve"> </w:t>
      </w:r>
      <w:r w:rsidR="008B777F" w:rsidRPr="008B777F">
        <w:rPr>
          <w:sz w:val="20"/>
          <w:szCs w:val="20"/>
          <w:lang w:val="en-IE"/>
        </w:rPr>
        <w:t xml:space="preserve">was deemed more appropriate by the </w:t>
      </w:r>
      <w:r w:rsidR="00C00DE8" w:rsidRPr="008D24A3">
        <w:rPr>
          <w:sz w:val="20"/>
          <w:szCs w:val="20"/>
          <w:lang w:val="en-IE"/>
        </w:rPr>
        <w:t>PHI-IWG</w:t>
      </w:r>
      <w:r w:rsidR="008B777F">
        <w:rPr>
          <w:sz w:val="20"/>
          <w:szCs w:val="20"/>
          <w:lang w:val="en-IE"/>
        </w:rPr>
        <w:t>.</w:t>
      </w:r>
    </w:p>
    <w:p w14:paraId="6069B3F1" w14:textId="132EBD4A" w:rsidR="009043E8" w:rsidRPr="002017EA" w:rsidRDefault="00AC05F3" w:rsidP="002017EA">
      <w:pPr>
        <w:pStyle w:val="ListParagraph"/>
        <w:tabs>
          <w:tab w:val="left" w:pos="1701"/>
          <w:tab w:val="left" w:pos="8505"/>
        </w:tabs>
        <w:spacing w:before="120" w:after="120"/>
        <w:ind w:left="1134" w:right="1134"/>
        <w:jc w:val="both"/>
        <w:rPr>
          <w:sz w:val="20"/>
          <w:szCs w:val="20"/>
          <w:lang w:val="en-IE"/>
        </w:rPr>
      </w:pPr>
      <w:r w:rsidRPr="002017EA">
        <w:rPr>
          <w:sz w:val="20"/>
          <w:szCs w:val="20"/>
          <w:lang w:val="en-IE"/>
        </w:rPr>
        <w:t>29.</w:t>
      </w:r>
      <w:r w:rsidRPr="002017EA">
        <w:rPr>
          <w:sz w:val="20"/>
          <w:szCs w:val="20"/>
          <w:lang w:val="en-IE"/>
        </w:rPr>
        <w:tab/>
      </w:r>
      <w:r w:rsidR="00155E3E" w:rsidRPr="002017EA">
        <w:rPr>
          <w:sz w:val="20"/>
          <w:szCs w:val="20"/>
          <w:lang w:val="en-IE"/>
        </w:rPr>
        <w:t>The PHI-IWG</w:t>
      </w:r>
      <w:r w:rsidR="00CB103C" w:rsidRPr="002017EA">
        <w:rPr>
          <w:sz w:val="20"/>
          <w:szCs w:val="20"/>
          <w:lang w:val="en-IE"/>
        </w:rPr>
        <w:t xml:space="preserve"> considered whether the definition of mobility also encompasses the transport of substances that are bound to particles. </w:t>
      </w:r>
      <w:r w:rsidR="009043E8" w:rsidRPr="002017EA">
        <w:rPr>
          <w:sz w:val="20"/>
          <w:szCs w:val="20"/>
          <w:lang w:val="en-IE"/>
        </w:rPr>
        <w:t>The conclusion of the PHI-IWG was however not to include this element in the definition of mobility.</w:t>
      </w:r>
    </w:p>
    <w:p w14:paraId="6035F988" w14:textId="615EF6CB" w:rsidR="00E63062" w:rsidRPr="002017EA" w:rsidRDefault="00AC05F3" w:rsidP="002017EA">
      <w:pPr>
        <w:pStyle w:val="ListParagraph"/>
        <w:tabs>
          <w:tab w:val="left" w:pos="1701"/>
          <w:tab w:val="left" w:pos="8505"/>
        </w:tabs>
        <w:spacing w:before="120" w:after="120"/>
        <w:ind w:left="1134" w:right="1134"/>
        <w:jc w:val="both"/>
        <w:rPr>
          <w:sz w:val="20"/>
          <w:szCs w:val="20"/>
          <w:lang w:val="en-IE"/>
        </w:rPr>
      </w:pPr>
      <w:r w:rsidRPr="002017EA">
        <w:rPr>
          <w:sz w:val="20"/>
          <w:szCs w:val="20"/>
          <w:lang w:val="en-IE"/>
        </w:rPr>
        <w:t>30.</w:t>
      </w:r>
      <w:r w:rsidRPr="002017EA">
        <w:rPr>
          <w:sz w:val="20"/>
          <w:szCs w:val="20"/>
          <w:lang w:val="en-IE"/>
        </w:rPr>
        <w:tab/>
      </w:r>
      <w:r w:rsidR="009043E8" w:rsidRPr="002017EA">
        <w:rPr>
          <w:sz w:val="20"/>
          <w:szCs w:val="20"/>
          <w:lang w:val="en-IE"/>
        </w:rPr>
        <w:t xml:space="preserve">Furthermore, </w:t>
      </w:r>
      <w:r w:rsidR="00053817" w:rsidRPr="002017EA">
        <w:rPr>
          <w:sz w:val="20"/>
          <w:szCs w:val="20"/>
          <w:lang w:val="en-IE"/>
        </w:rPr>
        <w:t>the PHI-IWG</w:t>
      </w:r>
      <w:r w:rsidR="00434BA1" w:rsidRPr="002017EA">
        <w:rPr>
          <w:sz w:val="20"/>
          <w:szCs w:val="20"/>
          <w:lang w:val="en-IE"/>
        </w:rPr>
        <w:t xml:space="preserve"> proposed that the definition of mobility</w:t>
      </w:r>
      <w:r w:rsidR="00675A79" w:rsidRPr="002017EA">
        <w:rPr>
          <w:sz w:val="20"/>
          <w:szCs w:val="20"/>
          <w:lang w:val="en-IE"/>
        </w:rPr>
        <w:t xml:space="preserve"> </w:t>
      </w:r>
      <w:r w:rsidR="00434BA1" w:rsidRPr="002017EA">
        <w:rPr>
          <w:sz w:val="20"/>
          <w:szCs w:val="20"/>
          <w:lang w:val="en-IE"/>
        </w:rPr>
        <w:t xml:space="preserve">should relate to </w:t>
      </w:r>
      <w:r w:rsidR="009043E8" w:rsidRPr="002017EA">
        <w:rPr>
          <w:sz w:val="20"/>
          <w:szCs w:val="20"/>
          <w:lang w:val="en-IE"/>
        </w:rPr>
        <w:t xml:space="preserve">hydraulic transport through </w:t>
      </w:r>
      <w:r w:rsidR="00053817" w:rsidRPr="002017EA">
        <w:rPr>
          <w:sz w:val="20"/>
          <w:szCs w:val="20"/>
          <w:lang w:val="en-IE"/>
        </w:rPr>
        <w:t xml:space="preserve">surface water and </w:t>
      </w:r>
      <w:r w:rsidR="00434BA1" w:rsidRPr="002017EA">
        <w:rPr>
          <w:sz w:val="20"/>
          <w:szCs w:val="20"/>
          <w:lang w:val="en-IE"/>
        </w:rPr>
        <w:t xml:space="preserve">sub-surface </w:t>
      </w:r>
      <w:r w:rsidR="009043E8" w:rsidRPr="002017EA">
        <w:rPr>
          <w:sz w:val="20"/>
          <w:szCs w:val="20"/>
          <w:lang w:val="en-IE"/>
        </w:rPr>
        <w:t>environments, i.e.</w:t>
      </w:r>
      <w:r w:rsidR="00434BA1" w:rsidRPr="002017EA">
        <w:rPr>
          <w:sz w:val="20"/>
          <w:szCs w:val="20"/>
          <w:lang w:val="en-IE"/>
        </w:rPr>
        <w:t xml:space="preserve"> sediment</w:t>
      </w:r>
      <w:r w:rsidR="00023043" w:rsidRPr="002017EA">
        <w:rPr>
          <w:sz w:val="20"/>
          <w:szCs w:val="20"/>
          <w:lang w:val="en-IE"/>
        </w:rPr>
        <w:t>,</w:t>
      </w:r>
      <w:r w:rsidR="00434BA1" w:rsidRPr="002017EA">
        <w:rPr>
          <w:sz w:val="20"/>
          <w:szCs w:val="20"/>
          <w:lang w:val="en-IE"/>
        </w:rPr>
        <w:t xml:space="preserve"> soil</w:t>
      </w:r>
      <w:r w:rsidR="009043E8" w:rsidRPr="002017EA">
        <w:rPr>
          <w:sz w:val="20"/>
          <w:szCs w:val="20"/>
          <w:lang w:val="en-IE"/>
        </w:rPr>
        <w:t xml:space="preserve">, </w:t>
      </w:r>
      <w:r w:rsidR="00053817" w:rsidRPr="002017EA">
        <w:rPr>
          <w:sz w:val="20"/>
          <w:szCs w:val="20"/>
          <w:lang w:val="en-IE"/>
        </w:rPr>
        <w:t>aquifers</w:t>
      </w:r>
      <w:r w:rsidR="00023043" w:rsidRPr="002017EA">
        <w:rPr>
          <w:sz w:val="20"/>
          <w:szCs w:val="20"/>
          <w:lang w:val="en-IE"/>
        </w:rPr>
        <w:t xml:space="preserve"> and </w:t>
      </w:r>
      <w:r w:rsidR="008B777F" w:rsidRPr="002017EA">
        <w:rPr>
          <w:sz w:val="20"/>
          <w:szCs w:val="20"/>
          <w:lang w:val="en-IE"/>
        </w:rPr>
        <w:t>riverbanks</w:t>
      </w:r>
      <w:r w:rsidR="009043E8" w:rsidRPr="002017EA">
        <w:rPr>
          <w:sz w:val="20"/>
          <w:szCs w:val="20"/>
          <w:lang w:val="en-IE"/>
        </w:rPr>
        <w:t xml:space="preserve">; </w:t>
      </w:r>
      <w:r w:rsidR="00434BA1" w:rsidRPr="002017EA">
        <w:rPr>
          <w:sz w:val="20"/>
          <w:szCs w:val="20"/>
          <w:lang w:val="en-IE"/>
        </w:rPr>
        <w:t xml:space="preserve">rather than long-range transport through air. </w:t>
      </w:r>
    </w:p>
    <w:p w14:paraId="4CD81BE9" w14:textId="5415BF76" w:rsidR="008B777F" w:rsidRPr="002017EA" w:rsidRDefault="00AC05F3" w:rsidP="002017EA">
      <w:pPr>
        <w:pStyle w:val="ListParagraph"/>
        <w:tabs>
          <w:tab w:val="left" w:pos="1701"/>
          <w:tab w:val="left" w:pos="8505"/>
        </w:tabs>
        <w:spacing w:before="120" w:after="120"/>
        <w:ind w:left="1134" w:right="1134"/>
        <w:jc w:val="both"/>
        <w:rPr>
          <w:sz w:val="20"/>
          <w:szCs w:val="20"/>
          <w:lang w:val="en-IE"/>
        </w:rPr>
      </w:pPr>
      <w:r w:rsidRPr="002017EA">
        <w:rPr>
          <w:sz w:val="20"/>
          <w:szCs w:val="20"/>
          <w:lang w:val="en-IE"/>
        </w:rPr>
        <w:t>31.</w:t>
      </w:r>
      <w:r w:rsidRPr="002017EA">
        <w:rPr>
          <w:sz w:val="20"/>
          <w:szCs w:val="20"/>
          <w:lang w:val="en-IE"/>
        </w:rPr>
        <w:tab/>
      </w:r>
      <w:r w:rsidR="00A82C82" w:rsidRPr="002017EA">
        <w:rPr>
          <w:sz w:val="20"/>
          <w:szCs w:val="20"/>
          <w:lang w:val="en-IE"/>
        </w:rPr>
        <w:t>Moreover, the PHI-IWG discussed the distinctions between</w:t>
      </w:r>
      <w:r w:rsidR="00FC59E7" w:rsidRPr="002017EA">
        <w:rPr>
          <w:sz w:val="20"/>
          <w:szCs w:val="20"/>
          <w:lang w:val="en-IE"/>
        </w:rPr>
        <w:t xml:space="preserve"> </w:t>
      </w:r>
      <w:r w:rsidR="00A82C82" w:rsidRPr="002017EA">
        <w:rPr>
          <w:sz w:val="20"/>
          <w:szCs w:val="20"/>
          <w:lang w:val="en-IE"/>
        </w:rPr>
        <w:t>“transport”, “sorption” and “filtration/permeation”</w:t>
      </w:r>
      <w:r w:rsidR="007A4EA7" w:rsidRPr="002017EA">
        <w:rPr>
          <w:sz w:val="20"/>
          <w:szCs w:val="20"/>
          <w:lang w:val="en-IE"/>
        </w:rPr>
        <w:t>.</w:t>
      </w:r>
      <w:r w:rsidR="003C34BC" w:rsidRPr="002017EA">
        <w:rPr>
          <w:sz w:val="20"/>
          <w:szCs w:val="20"/>
          <w:lang w:val="en-IE"/>
        </w:rPr>
        <w:t xml:space="preserve"> </w:t>
      </w:r>
      <w:r w:rsidR="00241A0F" w:rsidRPr="002017EA">
        <w:rPr>
          <w:sz w:val="20"/>
          <w:szCs w:val="20"/>
          <w:lang w:val="en-IE"/>
        </w:rPr>
        <w:t>It c</w:t>
      </w:r>
      <w:r w:rsidR="003C34BC" w:rsidRPr="002017EA">
        <w:rPr>
          <w:sz w:val="20"/>
          <w:szCs w:val="20"/>
          <w:lang w:val="en-IE"/>
        </w:rPr>
        <w:t xml:space="preserve">ould be further investigated whether mobility can be quantified by measuring the sorption </w:t>
      </w:r>
      <w:r w:rsidR="007A7FE5" w:rsidRPr="002017EA">
        <w:rPr>
          <w:sz w:val="20"/>
          <w:szCs w:val="20"/>
          <w:lang w:val="en-IE"/>
        </w:rPr>
        <w:t>in the environmental matrix, including but not limited to sorption to organic matter</w:t>
      </w:r>
      <w:r w:rsidR="00171AFC" w:rsidRPr="002017EA">
        <w:rPr>
          <w:sz w:val="20"/>
          <w:szCs w:val="20"/>
          <w:lang w:val="en-IE"/>
        </w:rPr>
        <w:t xml:space="preserve"> in soil and sediments</w:t>
      </w:r>
      <w:r w:rsidR="007A7FE5" w:rsidRPr="002017EA">
        <w:rPr>
          <w:sz w:val="20"/>
          <w:szCs w:val="20"/>
          <w:lang w:val="en-IE"/>
        </w:rPr>
        <w:t>.</w:t>
      </w:r>
      <w:r w:rsidR="003C34BC" w:rsidRPr="002017EA">
        <w:rPr>
          <w:sz w:val="20"/>
          <w:szCs w:val="20"/>
          <w:lang w:val="en-IE"/>
        </w:rPr>
        <w:t xml:space="preserve"> </w:t>
      </w:r>
      <w:r w:rsidR="00A52D36" w:rsidRPr="002017EA">
        <w:rPr>
          <w:sz w:val="20"/>
          <w:szCs w:val="20"/>
          <w:lang w:val="en-IE"/>
        </w:rPr>
        <w:t xml:space="preserve">In this context, a </w:t>
      </w:r>
      <w:r w:rsidR="003C34BC" w:rsidRPr="002017EA">
        <w:rPr>
          <w:sz w:val="20"/>
          <w:szCs w:val="20"/>
          <w:lang w:val="en-IE"/>
        </w:rPr>
        <w:t xml:space="preserve">review </w:t>
      </w:r>
      <w:r w:rsidR="00053817" w:rsidRPr="002017EA">
        <w:rPr>
          <w:sz w:val="20"/>
          <w:szCs w:val="20"/>
          <w:lang w:val="en-IE"/>
        </w:rPr>
        <w:t xml:space="preserve">of </w:t>
      </w:r>
      <w:r w:rsidR="003C34BC" w:rsidRPr="002017EA">
        <w:rPr>
          <w:sz w:val="20"/>
          <w:szCs w:val="20"/>
          <w:lang w:val="en-IE"/>
        </w:rPr>
        <w:t xml:space="preserve">existing standardised test guidelines </w:t>
      </w:r>
      <w:r w:rsidR="00053817" w:rsidRPr="002017EA">
        <w:rPr>
          <w:sz w:val="20"/>
          <w:szCs w:val="20"/>
          <w:lang w:val="en-IE"/>
        </w:rPr>
        <w:t xml:space="preserve">to assess mobility </w:t>
      </w:r>
      <w:r w:rsidR="003C34BC" w:rsidRPr="002017EA">
        <w:rPr>
          <w:sz w:val="20"/>
          <w:szCs w:val="20"/>
          <w:lang w:val="en-IE"/>
        </w:rPr>
        <w:t xml:space="preserve">could be </w:t>
      </w:r>
      <w:r w:rsidR="00053817" w:rsidRPr="002017EA">
        <w:rPr>
          <w:sz w:val="20"/>
          <w:szCs w:val="20"/>
          <w:lang w:val="en-IE"/>
        </w:rPr>
        <w:t>performed</w:t>
      </w:r>
      <w:r w:rsidR="003C34BC" w:rsidRPr="002017EA">
        <w:rPr>
          <w:sz w:val="20"/>
          <w:szCs w:val="20"/>
          <w:lang w:val="en-IE"/>
        </w:rPr>
        <w:t xml:space="preserve">. </w:t>
      </w:r>
    </w:p>
    <w:p w14:paraId="028D8A81" w14:textId="6E97E414" w:rsidR="00252BD1" w:rsidRPr="002017EA" w:rsidRDefault="00AC05F3" w:rsidP="002017EA">
      <w:pPr>
        <w:pStyle w:val="ListParagraph"/>
        <w:tabs>
          <w:tab w:val="left" w:pos="1701"/>
          <w:tab w:val="left" w:pos="8505"/>
        </w:tabs>
        <w:spacing w:before="120" w:after="120"/>
        <w:ind w:left="1134" w:right="1134"/>
        <w:jc w:val="both"/>
        <w:rPr>
          <w:sz w:val="20"/>
          <w:szCs w:val="20"/>
          <w:lang w:val="en-IE"/>
        </w:rPr>
      </w:pPr>
      <w:r w:rsidRPr="002017EA">
        <w:rPr>
          <w:sz w:val="20"/>
          <w:szCs w:val="20"/>
          <w:lang w:val="en-IE"/>
        </w:rPr>
        <w:t>32.</w:t>
      </w:r>
      <w:r w:rsidRPr="002017EA">
        <w:rPr>
          <w:sz w:val="20"/>
          <w:szCs w:val="20"/>
          <w:lang w:val="en-IE"/>
        </w:rPr>
        <w:tab/>
      </w:r>
      <w:r w:rsidR="00B463ED" w:rsidRPr="002017EA">
        <w:rPr>
          <w:sz w:val="20"/>
          <w:szCs w:val="20"/>
          <w:lang w:val="en-IE"/>
        </w:rPr>
        <w:t>The suggestion</w:t>
      </w:r>
      <w:r w:rsidR="00241A0F" w:rsidRPr="002017EA">
        <w:rPr>
          <w:sz w:val="20"/>
          <w:szCs w:val="20"/>
          <w:lang w:val="en-IE"/>
        </w:rPr>
        <w:t xml:space="preserve"> of</w:t>
      </w:r>
      <w:r w:rsidR="00F16059" w:rsidRPr="002017EA">
        <w:rPr>
          <w:sz w:val="20"/>
          <w:szCs w:val="20"/>
          <w:lang w:val="en-IE"/>
        </w:rPr>
        <w:t xml:space="preserve"> introducing a definition for the term “transport” in the GHS</w:t>
      </w:r>
      <w:r w:rsidR="00B463ED" w:rsidRPr="002017EA">
        <w:rPr>
          <w:sz w:val="20"/>
          <w:szCs w:val="20"/>
          <w:lang w:val="en-IE"/>
        </w:rPr>
        <w:t xml:space="preserve"> was </w:t>
      </w:r>
      <w:r w:rsidR="00241A0F" w:rsidRPr="002017EA">
        <w:rPr>
          <w:sz w:val="20"/>
          <w:szCs w:val="20"/>
          <w:lang w:val="en-IE"/>
        </w:rPr>
        <w:t>mentioned</w:t>
      </w:r>
      <w:r w:rsidR="00F16059" w:rsidRPr="002017EA">
        <w:rPr>
          <w:sz w:val="20"/>
          <w:szCs w:val="20"/>
          <w:lang w:val="en-IE"/>
        </w:rPr>
        <w:t xml:space="preserve">. </w:t>
      </w:r>
      <w:r w:rsidR="00B463ED" w:rsidRPr="002017EA">
        <w:rPr>
          <w:sz w:val="20"/>
          <w:szCs w:val="20"/>
          <w:lang w:val="en-IE"/>
        </w:rPr>
        <w:t>Furthermore, the suggestion</w:t>
      </w:r>
      <w:r w:rsidR="00E41EA6" w:rsidRPr="002017EA">
        <w:rPr>
          <w:sz w:val="20"/>
          <w:szCs w:val="20"/>
          <w:lang w:val="en-IE"/>
        </w:rPr>
        <w:t xml:space="preserve"> that this definition could be developed in analogy to the GHS concept of “degree of degradability”</w:t>
      </w:r>
      <w:r w:rsidR="00B463ED" w:rsidRPr="002017EA">
        <w:rPr>
          <w:sz w:val="20"/>
          <w:szCs w:val="20"/>
          <w:lang w:val="en-IE"/>
        </w:rPr>
        <w:t xml:space="preserve"> was </w:t>
      </w:r>
      <w:r w:rsidR="00241A0F" w:rsidRPr="002017EA">
        <w:rPr>
          <w:sz w:val="20"/>
          <w:szCs w:val="20"/>
          <w:lang w:val="en-IE"/>
        </w:rPr>
        <w:t>also mentioned</w:t>
      </w:r>
      <w:r w:rsidR="00E41EA6" w:rsidRPr="002017EA">
        <w:rPr>
          <w:sz w:val="20"/>
          <w:szCs w:val="20"/>
          <w:lang w:val="en-IE"/>
        </w:rPr>
        <w:t xml:space="preserve">. </w:t>
      </w:r>
    </w:p>
    <w:p w14:paraId="0DBC17ED" w14:textId="62839FD7" w:rsidR="001A4431" w:rsidRPr="002017EA" w:rsidRDefault="00AC05F3" w:rsidP="002017EA">
      <w:pPr>
        <w:pStyle w:val="ListParagraph"/>
        <w:tabs>
          <w:tab w:val="left" w:pos="1701"/>
          <w:tab w:val="left" w:pos="8505"/>
        </w:tabs>
        <w:spacing w:before="120" w:after="120"/>
        <w:ind w:left="1134" w:right="1134"/>
        <w:jc w:val="both"/>
        <w:rPr>
          <w:sz w:val="20"/>
          <w:szCs w:val="20"/>
          <w:lang w:val="en-IE"/>
        </w:rPr>
      </w:pPr>
      <w:r w:rsidRPr="002017EA">
        <w:rPr>
          <w:sz w:val="20"/>
          <w:szCs w:val="20"/>
          <w:lang w:val="en-IE"/>
        </w:rPr>
        <w:t>33.</w:t>
      </w:r>
      <w:r w:rsidRPr="002017EA">
        <w:rPr>
          <w:sz w:val="20"/>
          <w:szCs w:val="20"/>
          <w:lang w:val="en-IE"/>
        </w:rPr>
        <w:tab/>
      </w:r>
      <w:r w:rsidR="00767794" w:rsidRPr="002017EA">
        <w:rPr>
          <w:sz w:val="20"/>
          <w:szCs w:val="20"/>
          <w:lang w:val="en-IE"/>
        </w:rPr>
        <w:t>On the definition of mobility proposed in sub-paragraph 3 (b) of the</w:t>
      </w:r>
      <w:r w:rsidR="00340F15" w:rsidRPr="002017EA">
        <w:rPr>
          <w:sz w:val="20"/>
          <w:szCs w:val="20"/>
          <w:lang w:val="en-IE"/>
        </w:rPr>
        <w:t xml:space="preserve"> annex in ST/SG/AC.10/C.4/2024/9</w:t>
      </w:r>
      <w:r w:rsidR="00767794" w:rsidRPr="002017EA">
        <w:rPr>
          <w:sz w:val="20"/>
          <w:szCs w:val="20"/>
          <w:lang w:val="en-IE"/>
        </w:rPr>
        <w:t>, the word “intrinsic property” in square brackets reflected that the PHI-IWG could not come to consensus. S</w:t>
      </w:r>
      <w:r w:rsidR="00C00DE8" w:rsidRPr="002017EA">
        <w:rPr>
          <w:sz w:val="20"/>
          <w:szCs w:val="20"/>
          <w:lang w:val="en-IE"/>
        </w:rPr>
        <w:t xml:space="preserve">ome experts of the PHI-IWG </w:t>
      </w:r>
      <w:r w:rsidR="005F208B" w:rsidRPr="002017EA">
        <w:rPr>
          <w:sz w:val="20"/>
          <w:szCs w:val="20"/>
          <w:lang w:val="en-IE"/>
        </w:rPr>
        <w:t xml:space="preserve">suggested that </w:t>
      </w:r>
      <w:r w:rsidR="00CE7DD4" w:rsidRPr="002017EA">
        <w:rPr>
          <w:sz w:val="20"/>
          <w:szCs w:val="20"/>
          <w:lang w:val="en-IE"/>
        </w:rPr>
        <w:t>“</w:t>
      </w:r>
      <w:r w:rsidR="005F208B" w:rsidRPr="002017EA">
        <w:rPr>
          <w:sz w:val="20"/>
          <w:szCs w:val="20"/>
          <w:lang w:val="en-IE"/>
        </w:rPr>
        <w:t>mobility</w:t>
      </w:r>
      <w:r w:rsidR="00CE7DD4" w:rsidRPr="002017EA">
        <w:rPr>
          <w:sz w:val="20"/>
          <w:szCs w:val="20"/>
          <w:lang w:val="en-IE"/>
        </w:rPr>
        <w:t>”</w:t>
      </w:r>
      <w:r w:rsidR="005F208B" w:rsidRPr="002017EA">
        <w:rPr>
          <w:sz w:val="20"/>
          <w:szCs w:val="20"/>
          <w:lang w:val="en-IE"/>
        </w:rPr>
        <w:t xml:space="preserve"> is an intrinsic substance property, </w:t>
      </w:r>
      <w:r w:rsidR="00570951" w:rsidRPr="002017EA">
        <w:rPr>
          <w:sz w:val="20"/>
          <w:szCs w:val="20"/>
          <w:lang w:val="en-IE"/>
        </w:rPr>
        <w:t xml:space="preserve">arguing that </w:t>
      </w:r>
      <w:r w:rsidR="00A83A7E" w:rsidRPr="002017EA">
        <w:rPr>
          <w:sz w:val="20"/>
          <w:szCs w:val="20"/>
          <w:lang w:val="en-IE"/>
        </w:rPr>
        <w:t xml:space="preserve">low </w:t>
      </w:r>
      <w:r w:rsidR="00570951" w:rsidRPr="002017EA">
        <w:rPr>
          <w:sz w:val="20"/>
          <w:szCs w:val="20"/>
          <w:lang w:val="en-IE"/>
        </w:rPr>
        <w:t>adsorption</w:t>
      </w:r>
      <w:r w:rsidR="008B1FDC" w:rsidRPr="002017EA">
        <w:rPr>
          <w:sz w:val="20"/>
          <w:szCs w:val="20"/>
          <w:lang w:val="en-IE"/>
        </w:rPr>
        <w:t xml:space="preserve"> potential</w:t>
      </w:r>
      <w:r w:rsidR="00570951" w:rsidRPr="002017EA">
        <w:rPr>
          <w:sz w:val="20"/>
          <w:szCs w:val="20"/>
          <w:lang w:val="en-IE"/>
        </w:rPr>
        <w:t xml:space="preserve"> </w:t>
      </w:r>
      <w:r w:rsidR="008B1FDC" w:rsidRPr="002017EA">
        <w:rPr>
          <w:sz w:val="20"/>
          <w:szCs w:val="20"/>
          <w:lang w:val="en-IE"/>
        </w:rPr>
        <w:t>is a</w:t>
      </w:r>
      <w:r w:rsidR="00570951" w:rsidRPr="002017EA">
        <w:rPr>
          <w:sz w:val="20"/>
          <w:szCs w:val="20"/>
          <w:lang w:val="en-IE"/>
        </w:rPr>
        <w:t xml:space="preserve"> fundamental physico-chemical substance propert</w:t>
      </w:r>
      <w:r w:rsidR="004D7066" w:rsidRPr="002017EA">
        <w:rPr>
          <w:sz w:val="20"/>
          <w:szCs w:val="20"/>
          <w:lang w:val="en-IE"/>
        </w:rPr>
        <w:t>y</w:t>
      </w:r>
      <w:r w:rsidR="008B1FDC" w:rsidRPr="002017EA">
        <w:rPr>
          <w:sz w:val="20"/>
          <w:szCs w:val="20"/>
          <w:lang w:val="en-IE"/>
        </w:rPr>
        <w:t xml:space="preserve"> (size, polarity, ionizability)</w:t>
      </w:r>
      <w:r w:rsidR="00570951" w:rsidRPr="002017EA">
        <w:rPr>
          <w:sz w:val="20"/>
          <w:szCs w:val="20"/>
          <w:lang w:val="en-IE"/>
        </w:rPr>
        <w:t xml:space="preserve">. </w:t>
      </w:r>
      <w:r w:rsidR="002936E5" w:rsidRPr="002017EA">
        <w:rPr>
          <w:sz w:val="20"/>
          <w:szCs w:val="20"/>
          <w:lang w:val="en-IE"/>
        </w:rPr>
        <w:t>Other experts suggested that the substance’s mobility could not be defined as</w:t>
      </w:r>
      <w:r w:rsidR="00425E34" w:rsidRPr="002017EA">
        <w:rPr>
          <w:sz w:val="20"/>
          <w:szCs w:val="20"/>
          <w:lang w:val="en-IE"/>
        </w:rPr>
        <w:t xml:space="preserve"> an</w:t>
      </w:r>
      <w:r w:rsidR="002936E5" w:rsidRPr="002017EA">
        <w:rPr>
          <w:sz w:val="20"/>
          <w:szCs w:val="20"/>
          <w:lang w:val="en-IE"/>
        </w:rPr>
        <w:t xml:space="preserve"> intrinsic </w:t>
      </w:r>
      <w:r w:rsidR="00425E34" w:rsidRPr="002017EA">
        <w:rPr>
          <w:sz w:val="20"/>
          <w:szCs w:val="20"/>
          <w:lang w:val="en-IE"/>
        </w:rPr>
        <w:t xml:space="preserve">property </w:t>
      </w:r>
      <w:r w:rsidR="002936E5" w:rsidRPr="002017EA">
        <w:rPr>
          <w:sz w:val="20"/>
          <w:szCs w:val="20"/>
          <w:lang w:val="en-IE"/>
        </w:rPr>
        <w:t xml:space="preserve">due to the co-dependence on environmental factors. </w:t>
      </w:r>
      <w:r w:rsidR="008B1FDC" w:rsidRPr="002017EA">
        <w:rPr>
          <w:sz w:val="20"/>
          <w:szCs w:val="20"/>
          <w:lang w:val="en-IE"/>
        </w:rPr>
        <w:t>There was also a suggestion to use</w:t>
      </w:r>
      <w:r w:rsidR="00793873" w:rsidRPr="002017EA">
        <w:rPr>
          <w:sz w:val="20"/>
          <w:szCs w:val="20"/>
          <w:lang w:val="en-IE"/>
        </w:rPr>
        <w:t xml:space="preserve"> the terms </w:t>
      </w:r>
      <w:r w:rsidR="00570951" w:rsidRPr="002017EA">
        <w:rPr>
          <w:sz w:val="20"/>
          <w:szCs w:val="20"/>
          <w:lang w:val="en-IE"/>
        </w:rPr>
        <w:t>“</w:t>
      </w:r>
      <w:r w:rsidR="005F208B" w:rsidRPr="002017EA">
        <w:rPr>
          <w:sz w:val="20"/>
          <w:szCs w:val="20"/>
          <w:lang w:val="en-IE"/>
        </w:rPr>
        <w:t>potential</w:t>
      </w:r>
      <w:r w:rsidR="00570951" w:rsidRPr="002017EA">
        <w:rPr>
          <w:sz w:val="20"/>
          <w:szCs w:val="20"/>
          <w:lang w:val="en-IE"/>
        </w:rPr>
        <w:t>”</w:t>
      </w:r>
      <w:r w:rsidR="005F208B" w:rsidRPr="002017EA">
        <w:rPr>
          <w:sz w:val="20"/>
          <w:szCs w:val="20"/>
          <w:lang w:val="en-IE"/>
        </w:rPr>
        <w:t xml:space="preserve"> of a substance</w:t>
      </w:r>
      <w:r w:rsidR="00334373" w:rsidRPr="002017EA">
        <w:rPr>
          <w:sz w:val="20"/>
          <w:szCs w:val="20"/>
          <w:lang w:val="en-IE"/>
        </w:rPr>
        <w:t xml:space="preserve"> and “environmental partitioning</w:t>
      </w:r>
      <w:r w:rsidR="00793873" w:rsidRPr="002017EA">
        <w:rPr>
          <w:sz w:val="20"/>
          <w:szCs w:val="20"/>
          <w:lang w:val="en-IE"/>
        </w:rPr>
        <w:t xml:space="preserve"> potential to the water phase</w:t>
      </w:r>
      <w:r w:rsidR="00334373" w:rsidRPr="002017EA">
        <w:rPr>
          <w:sz w:val="20"/>
          <w:szCs w:val="20"/>
          <w:lang w:val="en-IE"/>
        </w:rPr>
        <w:t>”</w:t>
      </w:r>
      <w:r w:rsidR="00CE7DD4" w:rsidRPr="002017EA">
        <w:rPr>
          <w:sz w:val="20"/>
          <w:szCs w:val="20"/>
          <w:lang w:val="en-IE"/>
        </w:rPr>
        <w:t xml:space="preserve"> in the definition of mobility</w:t>
      </w:r>
      <w:r w:rsidR="00334373" w:rsidRPr="002017EA">
        <w:rPr>
          <w:sz w:val="20"/>
          <w:szCs w:val="20"/>
          <w:lang w:val="en-IE"/>
        </w:rPr>
        <w:t xml:space="preserve">. </w:t>
      </w:r>
    </w:p>
    <w:p w14:paraId="6C58D1FF" w14:textId="2416847B" w:rsidR="007171A1" w:rsidRPr="00575366" w:rsidRDefault="002017EA" w:rsidP="002017EA">
      <w:pPr>
        <w:pStyle w:val="HChG"/>
        <w:rPr>
          <w:lang w:val="en-IE"/>
        </w:rPr>
      </w:pPr>
      <w:r>
        <w:rPr>
          <w:lang w:val="en-IE"/>
        </w:rPr>
        <w:tab/>
      </w:r>
      <w:r>
        <w:rPr>
          <w:lang w:val="en-IE"/>
        </w:rPr>
        <w:tab/>
      </w:r>
      <w:r w:rsidR="00B1229C" w:rsidRPr="00575366">
        <w:rPr>
          <w:lang w:val="en-IE"/>
        </w:rPr>
        <w:t>Actions requested from the Sub-Committee</w:t>
      </w:r>
    </w:p>
    <w:p w14:paraId="72FE108C" w14:textId="6AE6A0C8" w:rsidR="000D188E" w:rsidRPr="00575366" w:rsidRDefault="002017EA" w:rsidP="002017EA">
      <w:pPr>
        <w:pStyle w:val="SingleTxtG"/>
        <w:tabs>
          <w:tab w:val="left" w:pos="1701"/>
        </w:tabs>
        <w:spacing w:before="120"/>
      </w:pPr>
      <w:r>
        <w:t>34</w:t>
      </w:r>
      <w:r w:rsidR="00AC05F3" w:rsidRPr="00575366">
        <w:t>.</w:t>
      </w:r>
      <w:r w:rsidR="00AC05F3" w:rsidRPr="00575366">
        <w:tab/>
      </w:r>
      <w:r w:rsidR="007171A1" w:rsidRPr="00575366">
        <w:t xml:space="preserve">The Sub-Committee is invited to take note of the </w:t>
      </w:r>
      <w:r w:rsidR="001E0BDF" w:rsidRPr="00575366">
        <w:t xml:space="preserve">progress of the </w:t>
      </w:r>
      <w:r w:rsidR="00425E34" w:rsidRPr="00575366">
        <w:t xml:space="preserve">discussions with the </w:t>
      </w:r>
      <w:r w:rsidR="00C00DE8" w:rsidRPr="00575366">
        <w:rPr>
          <w:lang w:val="en-IE"/>
        </w:rPr>
        <w:t>PHI-IWG</w:t>
      </w:r>
      <w:r w:rsidR="001E0BDF" w:rsidRPr="00575366" w:rsidDel="001E0BDF">
        <w:t xml:space="preserve"> </w:t>
      </w:r>
      <w:r w:rsidR="007171A1" w:rsidRPr="00575366">
        <w:t xml:space="preserve">on </w:t>
      </w:r>
      <w:r w:rsidR="00057713" w:rsidRPr="00575366">
        <w:t xml:space="preserve">the workstream </w:t>
      </w:r>
      <w:r w:rsidR="00675A79">
        <w:t>“</w:t>
      </w:r>
      <w:r w:rsidR="007171A1" w:rsidRPr="00575366">
        <w:t>persistence and mobility</w:t>
      </w:r>
      <w:r w:rsidR="00675A79">
        <w:t>”</w:t>
      </w:r>
      <w:r w:rsidR="000D188E" w:rsidRPr="00575366">
        <w:t xml:space="preserve"> as presented</w:t>
      </w:r>
      <w:r w:rsidR="007F2546" w:rsidRPr="00575366">
        <w:t xml:space="preserve"> </w:t>
      </w:r>
      <w:r w:rsidR="000D188E" w:rsidRPr="00575366">
        <w:t>i</w:t>
      </w:r>
      <w:r w:rsidR="009F5BFB" w:rsidRPr="007F2546">
        <w:t xml:space="preserve">n paragraphs </w:t>
      </w:r>
      <w:r w:rsidR="00A52D36">
        <w:t>5</w:t>
      </w:r>
      <w:r w:rsidR="009F5BFB" w:rsidRPr="007F2546">
        <w:t xml:space="preserve"> to </w:t>
      </w:r>
      <w:r w:rsidR="00A52D36">
        <w:t>33</w:t>
      </w:r>
      <w:r w:rsidR="009F5BFB" w:rsidRPr="007F2546">
        <w:t xml:space="preserve"> above</w:t>
      </w:r>
      <w:r w:rsidR="007F2546" w:rsidRPr="00575366">
        <w:t xml:space="preserve">, as well as in </w:t>
      </w:r>
      <w:r w:rsidR="007F2546" w:rsidRPr="00575366">
        <w:rPr>
          <w:color w:val="000000" w:themeColor="text1"/>
          <w:lang w:val="en-IE"/>
        </w:rPr>
        <w:t>document ST/SG/AC.10/C.4/2024/9</w:t>
      </w:r>
      <w:r w:rsidR="009F5BFB" w:rsidRPr="007F2546">
        <w:t>.</w:t>
      </w:r>
    </w:p>
    <w:p w14:paraId="267D1874" w14:textId="58972BE5" w:rsidR="007171A1" w:rsidRPr="00575366" w:rsidRDefault="002017EA" w:rsidP="002017EA">
      <w:pPr>
        <w:pStyle w:val="SingleTxtG"/>
        <w:tabs>
          <w:tab w:val="left" w:pos="1701"/>
        </w:tabs>
        <w:spacing w:before="120"/>
      </w:pPr>
      <w:r>
        <w:t>35</w:t>
      </w:r>
      <w:r w:rsidR="00AC05F3" w:rsidRPr="00575366">
        <w:t>.</w:t>
      </w:r>
      <w:r w:rsidR="00AC05F3" w:rsidRPr="00575366">
        <w:tab/>
      </w:r>
      <w:r w:rsidR="000D188E" w:rsidRPr="00575366">
        <w:rPr>
          <w:color w:val="000000" w:themeColor="text1"/>
          <w:lang w:val="en-IE"/>
        </w:rPr>
        <w:t>The PHI-IWG supports the proposed mandate to the OECD on “persistence” and “mobility” contained in paragraph 4 of document ST/SG/AC.10/C.4/2024/9 and recommends its adoption by the Sub-Committee.</w:t>
      </w:r>
      <w:r w:rsidR="007F2546" w:rsidRPr="00575366">
        <w:rPr>
          <w:color w:val="000000" w:themeColor="text1"/>
          <w:lang w:val="en-IE"/>
        </w:rPr>
        <w:t xml:space="preserve"> The PHI-IWG recommends informing</w:t>
      </w:r>
      <w:r w:rsidR="007F2546" w:rsidRPr="00575366">
        <w:t xml:space="preserve"> the OECD </w:t>
      </w:r>
      <w:r w:rsidR="006576ED">
        <w:t>on</w:t>
      </w:r>
      <w:r w:rsidR="007F2546" w:rsidRPr="00575366">
        <w:t xml:space="preserve"> the progress of such discussions</w:t>
      </w:r>
      <w:r w:rsidR="007F2546" w:rsidRPr="00575366">
        <w:rPr>
          <w:color w:val="000000" w:themeColor="text1"/>
          <w:lang w:val="en-IE"/>
        </w:rPr>
        <w:t>.</w:t>
      </w:r>
    </w:p>
    <w:p w14:paraId="4506BAC2" w14:textId="06C2BCAB" w:rsidR="000D188E" w:rsidRPr="00575366" w:rsidRDefault="002017EA" w:rsidP="002017EA">
      <w:pPr>
        <w:pStyle w:val="SingleTxtG"/>
        <w:tabs>
          <w:tab w:val="left" w:pos="1701"/>
        </w:tabs>
        <w:spacing w:before="120"/>
      </w:pPr>
      <w:r>
        <w:t>36</w:t>
      </w:r>
      <w:r w:rsidR="00AC05F3" w:rsidRPr="00575366">
        <w:t>.</w:t>
      </w:r>
      <w:r w:rsidR="00AC05F3" w:rsidRPr="00575366">
        <w:tab/>
      </w:r>
      <w:r w:rsidR="000D188E" w:rsidRPr="00575366">
        <w:rPr>
          <w:color w:val="000000" w:themeColor="text1"/>
          <w:lang w:val="en-IE"/>
        </w:rPr>
        <w:t xml:space="preserve">The Sub-Committee </w:t>
      </w:r>
      <w:r w:rsidR="007F2546" w:rsidRPr="00575366">
        <w:rPr>
          <w:color w:val="000000" w:themeColor="text1"/>
          <w:lang w:val="en-IE"/>
        </w:rPr>
        <w:t>is therefore invited to transmit</w:t>
      </w:r>
      <w:r w:rsidR="000D188E" w:rsidRPr="00575366">
        <w:rPr>
          <w:color w:val="000000" w:themeColor="text1"/>
          <w:lang w:val="en-IE"/>
        </w:rPr>
        <w:t xml:space="preserve"> </w:t>
      </w:r>
      <w:r w:rsidR="00466EF6">
        <w:rPr>
          <w:color w:val="000000" w:themeColor="text1"/>
          <w:lang w:val="en-IE"/>
        </w:rPr>
        <w:t>both</w:t>
      </w:r>
      <w:r w:rsidR="000D188E" w:rsidRPr="00575366">
        <w:rPr>
          <w:color w:val="000000" w:themeColor="text1"/>
          <w:lang w:val="en-IE"/>
        </w:rPr>
        <w:t xml:space="preserve"> the mandate presented in document ST/SG/AC.10/C.4/2024/9</w:t>
      </w:r>
      <w:r w:rsidR="00466EF6">
        <w:rPr>
          <w:color w:val="000000" w:themeColor="text1"/>
          <w:lang w:val="en-IE"/>
        </w:rPr>
        <w:t xml:space="preserve"> and </w:t>
      </w:r>
      <w:r w:rsidR="000D188E" w:rsidRPr="00575366">
        <w:rPr>
          <w:color w:val="000000" w:themeColor="text1"/>
          <w:lang w:val="en-IE"/>
        </w:rPr>
        <w:t>this informal document</w:t>
      </w:r>
      <w:r w:rsidR="00466EF6">
        <w:rPr>
          <w:color w:val="000000" w:themeColor="text1"/>
          <w:lang w:val="en-IE"/>
        </w:rPr>
        <w:t xml:space="preserve"> to the OECD</w:t>
      </w:r>
      <w:r w:rsidR="000D188E" w:rsidRPr="00575366">
        <w:rPr>
          <w:color w:val="000000" w:themeColor="text1"/>
          <w:lang w:val="en-IE"/>
        </w:rPr>
        <w:t>.</w:t>
      </w:r>
    </w:p>
    <w:p w14:paraId="23394CA0" w14:textId="2772934C" w:rsidR="001158D2" w:rsidRPr="00A523FB" w:rsidRDefault="005A4BB8" w:rsidP="00A523FB">
      <w:pPr>
        <w:spacing w:before="240"/>
        <w:jc w:val="center"/>
      </w:pPr>
      <w:r>
        <w:rPr>
          <w:u w:val="single"/>
        </w:rPr>
        <w:tab/>
      </w:r>
      <w:r>
        <w:rPr>
          <w:u w:val="single"/>
        </w:rPr>
        <w:tab/>
      </w:r>
      <w:r>
        <w:rPr>
          <w:u w:val="single"/>
        </w:rPr>
        <w:tab/>
      </w:r>
    </w:p>
    <w:sectPr w:rsidR="001158D2" w:rsidRPr="00A523FB" w:rsidSect="00900F21">
      <w:headerReference w:type="even" r:id="rId12"/>
      <w:headerReference w:type="default" r:id="rId13"/>
      <w:footerReference w:type="even" r:id="rId14"/>
      <w:footerReference w:type="default" r:id="rId15"/>
      <w:endnotePr>
        <w:numFmt w:val="decimal"/>
      </w:endnotePr>
      <w:pgSz w:w="11907" w:h="16840" w:code="9"/>
      <w:pgMar w:top="1701" w:right="1134" w:bottom="1134" w:left="1134" w:header="1134" w:footer="1134"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03D685" w14:textId="77777777" w:rsidR="00AB5B3A" w:rsidRDefault="00AB5B3A" w:rsidP="00164115">
      <w:pPr>
        <w:spacing w:line="240" w:lineRule="auto"/>
      </w:pPr>
      <w:r>
        <w:separator/>
      </w:r>
    </w:p>
  </w:endnote>
  <w:endnote w:type="continuationSeparator" w:id="0">
    <w:p w14:paraId="5DFD7D1C" w14:textId="77777777" w:rsidR="00AB5B3A" w:rsidRDefault="00AB5B3A" w:rsidP="00164115">
      <w:pPr>
        <w:spacing w:line="240" w:lineRule="auto"/>
      </w:pPr>
      <w:r>
        <w:continuationSeparator/>
      </w:r>
    </w:p>
  </w:endnote>
  <w:endnote w:type="continuationNotice" w:id="1">
    <w:p w14:paraId="302539EC" w14:textId="77777777" w:rsidR="00AB5B3A" w:rsidRDefault="00AB5B3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DDA99" w14:textId="77777777" w:rsidR="007476C7" w:rsidRPr="0099001C" w:rsidRDefault="00FB3B54">
    <w:pPr>
      <w:pStyle w:val="Footer"/>
      <w:tabs>
        <w:tab w:val="right" w:pos="9638"/>
      </w:tabs>
      <w:rPr>
        <w:sz w:val="18"/>
      </w:rPr>
    </w:pPr>
    <w:r w:rsidRPr="0099001C">
      <w:rPr>
        <w:b/>
        <w:sz w:val="18"/>
      </w:rPr>
      <w:fldChar w:fldCharType="begin"/>
    </w:r>
    <w:r w:rsidRPr="0099001C">
      <w:rPr>
        <w:b/>
        <w:sz w:val="18"/>
      </w:rPr>
      <w:instrText xml:space="preserve"> PAGE  \* MERGEFORMAT </w:instrText>
    </w:r>
    <w:r w:rsidRPr="0099001C">
      <w:rPr>
        <w:b/>
        <w:sz w:val="18"/>
      </w:rPr>
      <w:fldChar w:fldCharType="separate"/>
    </w:r>
    <w:r>
      <w:rPr>
        <w:b/>
        <w:noProof/>
        <w:sz w:val="18"/>
      </w:rPr>
      <w:t>6</w:t>
    </w:r>
    <w:r w:rsidRPr="0099001C">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25924" w14:textId="0315493F" w:rsidR="007476C7" w:rsidRPr="0099001C" w:rsidRDefault="00FB3B54" w:rsidP="00C91DF5">
    <w:pPr>
      <w:pStyle w:val="Footer"/>
      <w:tabs>
        <w:tab w:val="right" w:pos="9638"/>
      </w:tabs>
      <w:jc w:val="right"/>
      <w:rPr>
        <w:b/>
        <w:sz w:val="18"/>
      </w:rPr>
    </w:pPr>
    <w:r w:rsidRPr="0099001C">
      <w:rPr>
        <w:b/>
        <w:sz w:val="18"/>
      </w:rPr>
      <w:fldChar w:fldCharType="begin"/>
    </w:r>
    <w:r w:rsidRPr="0099001C">
      <w:rPr>
        <w:b/>
        <w:sz w:val="18"/>
      </w:rPr>
      <w:instrText xml:space="preserve"> PAGE  \* MERGEFORMAT </w:instrText>
    </w:r>
    <w:r w:rsidRPr="0099001C">
      <w:rPr>
        <w:b/>
        <w:sz w:val="18"/>
      </w:rPr>
      <w:fldChar w:fldCharType="separate"/>
    </w:r>
    <w:r w:rsidR="008C727E">
      <w:rPr>
        <w:b/>
        <w:noProof/>
        <w:sz w:val="18"/>
      </w:rPr>
      <w:t>2</w:t>
    </w:r>
    <w:r w:rsidRPr="0099001C">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806248" w14:textId="77777777" w:rsidR="00AB5B3A" w:rsidRDefault="00AB5B3A" w:rsidP="00164115">
      <w:pPr>
        <w:spacing w:line="240" w:lineRule="auto"/>
      </w:pPr>
      <w:r>
        <w:separator/>
      </w:r>
    </w:p>
  </w:footnote>
  <w:footnote w:type="continuationSeparator" w:id="0">
    <w:p w14:paraId="23ED17A2" w14:textId="77777777" w:rsidR="00AB5B3A" w:rsidRDefault="00AB5B3A" w:rsidP="00164115">
      <w:pPr>
        <w:spacing w:line="240" w:lineRule="auto"/>
      </w:pPr>
      <w:r>
        <w:continuationSeparator/>
      </w:r>
    </w:p>
  </w:footnote>
  <w:footnote w:type="continuationNotice" w:id="1">
    <w:p w14:paraId="60558031" w14:textId="77777777" w:rsidR="00AB5B3A" w:rsidRDefault="00AB5B3A">
      <w:pPr>
        <w:spacing w:line="240" w:lineRule="auto"/>
      </w:pPr>
    </w:p>
  </w:footnote>
  <w:footnote w:id="2">
    <w:p w14:paraId="2838C0D9" w14:textId="77777777" w:rsidR="003461C4" w:rsidRPr="00D96978" w:rsidRDefault="003461C4" w:rsidP="003461C4">
      <w:pPr>
        <w:pStyle w:val="FootnoteText"/>
        <w:rPr>
          <w:lang w:val="en-IE"/>
        </w:rPr>
      </w:pPr>
      <w:r>
        <w:tab/>
      </w:r>
      <w:r>
        <w:rPr>
          <w:rStyle w:val="FootnoteReference"/>
        </w:rPr>
        <w:footnoteRef/>
      </w:r>
      <w:r>
        <w:t xml:space="preserve"> </w:t>
      </w:r>
      <w:r>
        <w:tab/>
      </w:r>
      <w:hyperlink r:id="rId1" w:history="1">
        <w:r w:rsidRPr="00D96978">
          <w:rPr>
            <w:rStyle w:val="Hyperlink"/>
          </w:rPr>
          <w:t>Proposal for new work on unaddressed hazard classes in the programme of work for the biennium 2023-2024</w:t>
        </w:r>
      </w:hyperlink>
    </w:p>
  </w:footnote>
  <w:footnote w:id="3">
    <w:p w14:paraId="244B06EC" w14:textId="77777777" w:rsidR="003461C4" w:rsidRPr="00D96978" w:rsidRDefault="003461C4" w:rsidP="003461C4">
      <w:pPr>
        <w:pStyle w:val="FootnoteText"/>
        <w:rPr>
          <w:lang w:val="en-IE"/>
        </w:rPr>
      </w:pPr>
      <w:r>
        <w:tab/>
      </w:r>
      <w:r>
        <w:rPr>
          <w:rStyle w:val="FootnoteReference"/>
        </w:rPr>
        <w:footnoteRef/>
      </w:r>
      <w:r>
        <w:t xml:space="preserve"> </w:t>
      </w:r>
      <w:r>
        <w:tab/>
        <w:t xml:space="preserve">See </w:t>
      </w:r>
      <w:r w:rsidRPr="009F790D">
        <w:t>informal document INF.39 (forty-third session)</w:t>
      </w:r>
      <w:r>
        <w:t xml:space="preserve">, paragraph 4 </w:t>
      </w:r>
      <w:hyperlink r:id="rId2" w:history="1">
        <w:r w:rsidRPr="009A1988">
          <w:rPr>
            <w:rStyle w:val="Hyperlink"/>
          </w:rPr>
          <w:t>https://unece.org/transport/documents/2022/12/informal-documents/addendum-stsgac10c4202218-unaddressed-hazard-classes</w:t>
        </w:r>
      </w:hyperlink>
      <w:r>
        <w:t xml:space="preserve">  </w:t>
      </w:r>
      <w:r w:rsidRPr="00D96978">
        <w:rPr>
          <w:lang w:val="en-IE"/>
        </w:rPr>
        <w:t xml:space="preserve"> </w:t>
      </w:r>
    </w:p>
  </w:footnote>
  <w:footnote w:id="4">
    <w:p w14:paraId="6D554726" w14:textId="77777777" w:rsidR="003461C4" w:rsidRPr="00D96978" w:rsidRDefault="003461C4" w:rsidP="003461C4">
      <w:pPr>
        <w:pStyle w:val="FootnoteText"/>
        <w:rPr>
          <w:lang w:val="en-IE"/>
        </w:rPr>
      </w:pPr>
      <w:r>
        <w:tab/>
      </w:r>
      <w:r>
        <w:rPr>
          <w:rStyle w:val="FootnoteReference"/>
        </w:rPr>
        <w:footnoteRef/>
      </w:r>
      <w:r>
        <w:t xml:space="preserve"> </w:t>
      </w:r>
      <w:r>
        <w:tab/>
        <w:t>Report of the Sub-Committee on its forty-third session (</w:t>
      </w:r>
      <w:hyperlink r:id="rId3" w:history="1">
        <w:r w:rsidRPr="00D96978">
          <w:rPr>
            <w:rStyle w:val="Hyperlink"/>
          </w:rPr>
          <w:t>ST/SG/AC.10/C.4/86, paragraph</w:t>
        </w:r>
        <w:r>
          <w:rPr>
            <w:rStyle w:val="Hyperlink"/>
          </w:rPr>
          <w:t>s</w:t>
        </w:r>
        <w:r w:rsidRPr="00D96978">
          <w:rPr>
            <w:rStyle w:val="Hyperlink"/>
          </w:rPr>
          <w:t xml:space="preserve"> </w:t>
        </w:r>
        <w:r>
          <w:rPr>
            <w:rStyle w:val="Hyperlink"/>
          </w:rPr>
          <w:t xml:space="preserve">51 to </w:t>
        </w:r>
        <w:r w:rsidRPr="00D96978">
          <w:rPr>
            <w:rStyle w:val="Hyperlink"/>
          </w:rPr>
          <w:t>53</w:t>
        </w:r>
      </w:hyperlink>
      <w:r>
        <w:rPr>
          <w:rStyle w:val="Hyperlink"/>
        </w:rPr>
        <w:t xml:space="preserve"> and Annex I</w:t>
      </w:r>
      <w:r>
        <w:t>)</w:t>
      </w:r>
    </w:p>
  </w:footnote>
  <w:footnote w:id="5">
    <w:p w14:paraId="4FF50536" w14:textId="2024C06B" w:rsidR="003461C4" w:rsidRPr="003461C4" w:rsidRDefault="003461C4" w:rsidP="003461C4">
      <w:pPr>
        <w:pStyle w:val="FootnoteText"/>
        <w:ind w:hanging="141"/>
        <w:rPr>
          <w:lang w:val="en-IE"/>
        </w:rPr>
      </w:pPr>
      <w:r>
        <w:rPr>
          <w:rStyle w:val="FootnoteReference"/>
        </w:rPr>
        <w:footnoteRef/>
      </w:r>
      <w:r>
        <w:t xml:space="preserve"> See informal document INF.19 (forty-fourth session), paragraphs 15 to 19 </w:t>
      </w:r>
      <w:hyperlink r:id="rId4" w:history="1">
        <w:r w:rsidR="004A1C4D" w:rsidRPr="001627FB">
          <w:rPr>
            <w:rStyle w:val="Hyperlink"/>
          </w:rPr>
          <w:t>https://unece.org/transport/documents/2023/07/informal-documents/potential-hazard-issues-and-their-presentation-0</w:t>
        </w:r>
      </w:hyperlink>
      <w:r>
        <w:t xml:space="preserve"> </w:t>
      </w:r>
    </w:p>
  </w:footnote>
  <w:footnote w:id="6">
    <w:p w14:paraId="36F012DA" w14:textId="436975E3" w:rsidR="00211589" w:rsidRPr="008A0FBD" w:rsidRDefault="00233F63" w:rsidP="008A0FBD">
      <w:pPr>
        <w:pStyle w:val="FootnoteText"/>
        <w:tabs>
          <w:tab w:val="left" w:pos="8505"/>
        </w:tabs>
        <w:spacing w:after="120"/>
        <w:rPr>
          <w:sz w:val="20"/>
        </w:rPr>
      </w:pPr>
      <w:r>
        <w:rPr>
          <w:sz w:val="20"/>
        </w:rPr>
        <w:tab/>
      </w:r>
      <w:r w:rsidR="00211589" w:rsidRPr="008A0FBD">
        <w:rPr>
          <w:rStyle w:val="FootnoteReference"/>
          <w:sz w:val="20"/>
        </w:rPr>
        <w:footnoteRef/>
      </w:r>
      <w:r w:rsidR="00211589" w:rsidRPr="008A0FBD">
        <w:rPr>
          <w:sz w:val="20"/>
        </w:rPr>
        <w:t xml:space="preserve"> </w:t>
      </w:r>
      <w:r>
        <w:rPr>
          <w:sz w:val="20"/>
        </w:rPr>
        <w:tab/>
      </w:r>
      <w:r w:rsidR="008A0FBD" w:rsidRPr="008A0FBD">
        <w:rPr>
          <w:sz w:val="20"/>
        </w:rPr>
        <w:t xml:space="preserve">See Globally Harmonized System of Classification and Labelling of Chemicals (GHS Rev. 10, 2023) </w:t>
      </w:r>
      <w:hyperlink r:id="rId5" w:history="1">
        <w:r w:rsidR="008A0FBD" w:rsidRPr="008A0FBD">
          <w:rPr>
            <w:rStyle w:val="Hyperlink"/>
            <w:sz w:val="20"/>
          </w:rPr>
          <w:t>https://unece.org/transport/dangerous-goods/ghs-rev10-2023</w:t>
        </w:r>
      </w:hyperlink>
      <w:r w:rsidR="008A0FBD" w:rsidRPr="008A0FBD">
        <w:rPr>
          <w:sz w:val="20"/>
        </w:rPr>
        <w:t xml:space="preserve"> </w:t>
      </w:r>
    </w:p>
  </w:footnote>
  <w:footnote w:id="7">
    <w:p w14:paraId="268115E0" w14:textId="023E87A0" w:rsidR="00AF5A2B" w:rsidRPr="00AF5A2B" w:rsidRDefault="00233F63" w:rsidP="008A0FBD">
      <w:pPr>
        <w:pStyle w:val="FootnoteText"/>
        <w:tabs>
          <w:tab w:val="left" w:pos="8505"/>
        </w:tabs>
        <w:spacing w:after="120"/>
        <w:jc w:val="both"/>
      </w:pPr>
      <w:r>
        <w:rPr>
          <w:sz w:val="20"/>
        </w:rPr>
        <w:tab/>
      </w:r>
      <w:r w:rsidR="00AF5A2B" w:rsidRPr="008A0FBD">
        <w:rPr>
          <w:rStyle w:val="FootnoteReference"/>
          <w:sz w:val="20"/>
        </w:rPr>
        <w:footnoteRef/>
      </w:r>
      <w:r w:rsidR="00AF5A2B" w:rsidRPr="008A0FBD">
        <w:rPr>
          <w:sz w:val="20"/>
        </w:rPr>
        <w:t xml:space="preserve"> </w:t>
      </w:r>
      <w:r>
        <w:rPr>
          <w:sz w:val="20"/>
        </w:rPr>
        <w:tab/>
      </w:r>
      <w:r w:rsidR="00AF5A2B" w:rsidRPr="008A0FBD">
        <w:rPr>
          <w:sz w:val="20"/>
          <w:lang w:val="en-IE"/>
        </w:rPr>
        <w:t>In this context it is also relevant to note that under the hazard class “Hazardous to the aquatic environment, it is stated (Section 4.1.1.7.1) that “</w:t>
      </w:r>
      <w:r w:rsidR="00AF5A2B" w:rsidRPr="008A0FBD">
        <w:rPr>
          <w:i/>
          <w:iCs/>
          <w:sz w:val="20"/>
          <w:lang w:val="en-IE"/>
        </w:rPr>
        <w:t>The aquatic environment may be considered in terms of the aquatic organisms that live in the water, and the aquatic ecosystem of which they are part. To that extent, the proposal does not address aquatic pollutants for which there may be a need to consider effects beyond the aquatic environment such as the impacts on human health etc. The basis, therefore, of the identification of hazard is the aquatic toxicity of the substance, although this may be modified by further information on the degradation and bioaccumulation behaviour</w:t>
      </w:r>
      <w:r w:rsidR="00AF5A2B" w:rsidRPr="008A0FBD">
        <w:rPr>
          <w:sz w:val="20"/>
          <w:lang w:val="en-IE"/>
        </w:rPr>
        <w:t>”</w:t>
      </w:r>
      <w:r w:rsidR="008A0FBD">
        <w:rPr>
          <w:sz w:val="20"/>
          <w:lang w:val="en-IE"/>
        </w:rPr>
        <w:t>.</w:t>
      </w:r>
    </w:p>
  </w:footnote>
  <w:footnote w:id="8">
    <w:p w14:paraId="4E3CC500" w14:textId="0EF33D1B" w:rsidR="008A08A3" w:rsidRPr="008A08A3" w:rsidRDefault="00233F63">
      <w:pPr>
        <w:pStyle w:val="FootnoteText"/>
      </w:pPr>
      <w:r>
        <w:tab/>
      </w:r>
      <w:r w:rsidR="008A08A3">
        <w:rPr>
          <w:rStyle w:val="FootnoteReference"/>
        </w:rPr>
        <w:footnoteRef/>
      </w:r>
      <w:r w:rsidR="008A08A3">
        <w:t xml:space="preserve"> </w:t>
      </w:r>
      <w:r>
        <w:tab/>
      </w:r>
      <w:r w:rsidR="003860E2" w:rsidRPr="003860E2">
        <w:t>Mandate to the Organisation for Economic Co-operation and Development (OECD) on persistence and mobility</w:t>
      </w:r>
      <w:r w:rsidR="003860E2">
        <w:t xml:space="preserve">. </w:t>
      </w:r>
      <w:hyperlink r:id="rId6" w:history="1">
        <w:r w:rsidR="00935C0C" w:rsidRPr="00AA4A98">
          <w:rPr>
            <w:rStyle w:val="Hyperlink"/>
          </w:rPr>
          <w:t>https://unece.org/transport/documents/2024/04/working-documents/potential-hazard-issues-and-their-presentation-3</w:t>
        </w:r>
      </w:hyperlink>
      <w:r w:rsidR="00935C0C">
        <w:t xml:space="preserve"> </w:t>
      </w:r>
    </w:p>
  </w:footnote>
  <w:footnote w:id="9">
    <w:p w14:paraId="33084C50" w14:textId="40499215" w:rsidR="00A66B7B" w:rsidRPr="00A66B7B" w:rsidRDefault="002017EA">
      <w:pPr>
        <w:pStyle w:val="FootnoteText"/>
        <w:rPr>
          <w:lang w:val="en-IE"/>
        </w:rPr>
      </w:pPr>
      <w:r>
        <w:tab/>
      </w:r>
      <w:r w:rsidR="00A66B7B" w:rsidRPr="00841EE2">
        <w:rPr>
          <w:rStyle w:val="FootnoteReference"/>
        </w:rPr>
        <w:footnoteRef/>
      </w:r>
      <w:r w:rsidR="00A66B7B" w:rsidRPr="00841EE2">
        <w:t xml:space="preserve"> </w:t>
      </w:r>
      <w:r>
        <w:tab/>
      </w:r>
      <w:hyperlink r:id="rId7" w:history="1">
        <w:r w:rsidR="00935C0C" w:rsidRPr="00841EE2">
          <w:rPr>
            <w:rStyle w:val="Hyperlink"/>
          </w:rPr>
          <w:t>ST/SG/AC.10/C.4/86</w:t>
        </w:r>
      </w:hyperlink>
      <w:r w:rsidR="00935C0C" w:rsidRPr="00841EE2">
        <w:t>, paragraph</w:t>
      </w:r>
      <w:r w:rsidR="00841EE2">
        <w:t>s</w:t>
      </w:r>
      <w:r w:rsidR="00935C0C" w:rsidRPr="00841EE2">
        <w:t xml:space="preserve"> </w:t>
      </w:r>
      <w:r w:rsidR="00643390" w:rsidRPr="00841EE2">
        <w:t>52</w:t>
      </w:r>
      <w:r w:rsidR="00841EE2" w:rsidRPr="00841EE2">
        <w:t>-53.</w:t>
      </w:r>
    </w:p>
  </w:footnote>
  <w:footnote w:id="10">
    <w:p w14:paraId="196F2413" w14:textId="3F78FB53" w:rsidR="007C1E42" w:rsidRPr="000C0667" w:rsidRDefault="00BF6946" w:rsidP="007C1E42">
      <w:pPr>
        <w:pStyle w:val="FootnoteText"/>
        <w:rPr>
          <w:lang w:val="en-US"/>
        </w:rPr>
      </w:pPr>
      <w:r>
        <w:tab/>
      </w:r>
      <w:r w:rsidR="007C1E42">
        <w:rPr>
          <w:rStyle w:val="FootnoteReference"/>
        </w:rPr>
        <w:footnoteRef/>
      </w:r>
      <w:r w:rsidR="007C1E42">
        <w:t xml:space="preserve"> </w:t>
      </w:r>
      <w:r>
        <w:tab/>
      </w:r>
      <w:r w:rsidR="007C1E42" w:rsidRPr="00A3039E">
        <w:t xml:space="preserve">OECD (2006), Revised Introduction to the OECD Guidelines for Testing of Chemicals, Section 3, OECD Guidelines for the Testing of Chemicals, Section 3, OECD Publishing, Paris, </w:t>
      </w:r>
      <w:hyperlink r:id="rId8" w:history="1">
        <w:r w:rsidR="007C1E42" w:rsidRPr="00A3039E">
          <w:rPr>
            <w:rStyle w:val="Hyperlink"/>
          </w:rPr>
          <w:t>https://doi.org/10.1787/9789264030213-en</w:t>
        </w:r>
      </w:hyperlink>
      <w:r w:rsidR="007C1E42" w:rsidRPr="00A3039E">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BDC1D" w14:textId="63C57D3B" w:rsidR="007476C7" w:rsidRPr="0099001C" w:rsidRDefault="00FB3B54">
    <w:pPr>
      <w:pStyle w:val="Header"/>
    </w:pPr>
    <w:r w:rsidRPr="00774B07">
      <w:t>UN/SCEGHS/</w:t>
    </w:r>
    <w:r w:rsidR="0042566E">
      <w:t>4</w:t>
    </w:r>
    <w:r w:rsidR="00B54CAF">
      <w:t>6</w:t>
    </w:r>
    <w:r w:rsidRPr="00774B07">
      <w:t>/INF.</w:t>
    </w:r>
    <w:r w:rsidR="005D4D02">
      <w:t>20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63390" w14:textId="29F0203B" w:rsidR="007476C7" w:rsidRPr="0099001C" w:rsidRDefault="00FB3B54" w:rsidP="00C91DF5">
    <w:pPr>
      <w:pStyle w:val="Header"/>
      <w:jc w:val="right"/>
    </w:pPr>
    <w:r>
      <w:t>UN/SCEGHS/</w:t>
    </w:r>
    <w:r w:rsidR="00677693">
      <w:t>4</w:t>
    </w:r>
    <w:r w:rsidR="00BF6946">
      <w:t>6</w:t>
    </w:r>
    <w:r>
      <w:t>/INF</w:t>
    </w:r>
    <w:r w:rsidR="00A64E59">
      <w:t>.</w:t>
    </w:r>
    <w:r w:rsidR="00BF6946">
      <w:t>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76BC3"/>
    <w:multiLevelType w:val="hybridMultilevel"/>
    <w:tmpl w:val="EB420708"/>
    <w:lvl w:ilvl="0" w:tplc="FFFFFFFF">
      <w:start w:val="1"/>
      <w:numFmt w:val="decimal"/>
      <w:lvlText w:val="%1."/>
      <w:lvlJc w:val="left"/>
      <w:pPr>
        <w:ind w:left="1494" w:hanging="360"/>
      </w:pPr>
      <w:rPr>
        <w:rFonts w:hint="default"/>
        <w:b w:val="0"/>
      </w:rPr>
    </w:lvl>
    <w:lvl w:ilvl="1" w:tplc="FFFFFFFF">
      <w:start w:val="1"/>
      <w:numFmt w:val="lowerLetter"/>
      <w:lvlText w:val="%2."/>
      <w:lvlJc w:val="left"/>
      <w:pPr>
        <w:ind w:left="2061" w:hanging="360"/>
      </w:pPr>
    </w:lvl>
    <w:lvl w:ilvl="2" w:tplc="FFFFFFFF">
      <w:start w:val="1"/>
      <w:numFmt w:val="lowerRoman"/>
      <w:lvlText w:val="%3."/>
      <w:lvlJc w:val="right"/>
      <w:pPr>
        <w:ind w:left="2934" w:hanging="180"/>
      </w:pPr>
    </w:lvl>
    <w:lvl w:ilvl="3" w:tplc="FFFFFFFF" w:tentative="1">
      <w:start w:val="1"/>
      <w:numFmt w:val="decimal"/>
      <w:lvlText w:val="%4."/>
      <w:lvlJc w:val="left"/>
      <w:pPr>
        <w:ind w:left="3654" w:hanging="360"/>
      </w:pPr>
    </w:lvl>
    <w:lvl w:ilvl="4" w:tplc="FFFFFFFF" w:tentative="1">
      <w:start w:val="1"/>
      <w:numFmt w:val="lowerLetter"/>
      <w:lvlText w:val="%5."/>
      <w:lvlJc w:val="left"/>
      <w:pPr>
        <w:ind w:left="4374" w:hanging="360"/>
      </w:pPr>
    </w:lvl>
    <w:lvl w:ilvl="5" w:tplc="FFFFFFFF" w:tentative="1">
      <w:start w:val="1"/>
      <w:numFmt w:val="lowerRoman"/>
      <w:lvlText w:val="%6."/>
      <w:lvlJc w:val="right"/>
      <w:pPr>
        <w:ind w:left="5094" w:hanging="180"/>
      </w:pPr>
    </w:lvl>
    <w:lvl w:ilvl="6" w:tplc="FFFFFFFF" w:tentative="1">
      <w:start w:val="1"/>
      <w:numFmt w:val="decimal"/>
      <w:lvlText w:val="%7."/>
      <w:lvlJc w:val="left"/>
      <w:pPr>
        <w:ind w:left="5814" w:hanging="360"/>
      </w:pPr>
    </w:lvl>
    <w:lvl w:ilvl="7" w:tplc="FFFFFFFF" w:tentative="1">
      <w:start w:val="1"/>
      <w:numFmt w:val="lowerLetter"/>
      <w:lvlText w:val="%8."/>
      <w:lvlJc w:val="left"/>
      <w:pPr>
        <w:ind w:left="6534" w:hanging="360"/>
      </w:pPr>
    </w:lvl>
    <w:lvl w:ilvl="8" w:tplc="FFFFFFFF" w:tentative="1">
      <w:start w:val="1"/>
      <w:numFmt w:val="lowerRoman"/>
      <w:lvlText w:val="%9."/>
      <w:lvlJc w:val="right"/>
      <w:pPr>
        <w:ind w:left="7254"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676BFB"/>
    <w:multiLevelType w:val="hybridMultilevel"/>
    <w:tmpl w:val="8A32377A"/>
    <w:lvl w:ilvl="0" w:tplc="416E7194">
      <w:start w:val="1"/>
      <w:numFmt w:val="decimal"/>
      <w:lvlText w:val="%1."/>
      <w:lvlJc w:val="left"/>
      <w:pPr>
        <w:ind w:left="2988" w:hanging="360"/>
      </w:pPr>
      <w:rPr>
        <w:rFonts w:hint="default"/>
      </w:rPr>
    </w:lvl>
    <w:lvl w:ilvl="1" w:tplc="08090019" w:tentative="1">
      <w:start w:val="1"/>
      <w:numFmt w:val="lowerLetter"/>
      <w:lvlText w:val="%2."/>
      <w:lvlJc w:val="left"/>
      <w:pPr>
        <w:ind w:left="3708" w:hanging="360"/>
      </w:pPr>
    </w:lvl>
    <w:lvl w:ilvl="2" w:tplc="0809001B" w:tentative="1">
      <w:start w:val="1"/>
      <w:numFmt w:val="lowerRoman"/>
      <w:lvlText w:val="%3."/>
      <w:lvlJc w:val="right"/>
      <w:pPr>
        <w:ind w:left="4428" w:hanging="180"/>
      </w:pPr>
    </w:lvl>
    <w:lvl w:ilvl="3" w:tplc="0809000F" w:tentative="1">
      <w:start w:val="1"/>
      <w:numFmt w:val="decimal"/>
      <w:lvlText w:val="%4."/>
      <w:lvlJc w:val="left"/>
      <w:pPr>
        <w:ind w:left="5148" w:hanging="360"/>
      </w:pPr>
    </w:lvl>
    <w:lvl w:ilvl="4" w:tplc="08090019" w:tentative="1">
      <w:start w:val="1"/>
      <w:numFmt w:val="lowerLetter"/>
      <w:lvlText w:val="%5."/>
      <w:lvlJc w:val="left"/>
      <w:pPr>
        <w:ind w:left="5868" w:hanging="360"/>
      </w:pPr>
    </w:lvl>
    <w:lvl w:ilvl="5" w:tplc="0809001B" w:tentative="1">
      <w:start w:val="1"/>
      <w:numFmt w:val="lowerRoman"/>
      <w:lvlText w:val="%6."/>
      <w:lvlJc w:val="right"/>
      <w:pPr>
        <w:ind w:left="6588" w:hanging="180"/>
      </w:pPr>
    </w:lvl>
    <w:lvl w:ilvl="6" w:tplc="0809000F" w:tentative="1">
      <w:start w:val="1"/>
      <w:numFmt w:val="decimal"/>
      <w:lvlText w:val="%7."/>
      <w:lvlJc w:val="left"/>
      <w:pPr>
        <w:ind w:left="7308" w:hanging="360"/>
      </w:pPr>
    </w:lvl>
    <w:lvl w:ilvl="7" w:tplc="08090019" w:tentative="1">
      <w:start w:val="1"/>
      <w:numFmt w:val="lowerLetter"/>
      <w:lvlText w:val="%8."/>
      <w:lvlJc w:val="left"/>
      <w:pPr>
        <w:ind w:left="8028" w:hanging="360"/>
      </w:pPr>
    </w:lvl>
    <w:lvl w:ilvl="8" w:tplc="0809001B" w:tentative="1">
      <w:start w:val="1"/>
      <w:numFmt w:val="lowerRoman"/>
      <w:lvlText w:val="%9."/>
      <w:lvlJc w:val="right"/>
      <w:pPr>
        <w:ind w:left="8748" w:hanging="180"/>
      </w:pPr>
    </w:lvl>
  </w:abstractNum>
  <w:abstractNum w:abstractNumId="3" w15:restartNumberingAfterBreak="0">
    <w:nsid w:val="06371204"/>
    <w:multiLevelType w:val="hybridMultilevel"/>
    <w:tmpl w:val="F752B3EC"/>
    <w:lvl w:ilvl="0" w:tplc="07F21EE0">
      <w:start w:val="2"/>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4" w15:restartNumberingAfterBreak="0">
    <w:nsid w:val="0C0308D4"/>
    <w:multiLevelType w:val="hybridMultilevel"/>
    <w:tmpl w:val="35A8FC26"/>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0C140267"/>
    <w:multiLevelType w:val="hybridMultilevel"/>
    <w:tmpl w:val="EA30DDF0"/>
    <w:lvl w:ilvl="0" w:tplc="FFFFFFFF">
      <w:start w:val="1"/>
      <w:numFmt w:val="decimal"/>
      <w:lvlText w:val="%1."/>
      <w:lvlJc w:val="left"/>
      <w:pPr>
        <w:ind w:left="1494" w:hanging="360"/>
      </w:pPr>
      <w:rPr>
        <w:rFonts w:hint="default"/>
      </w:rPr>
    </w:lvl>
    <w:lvl w:ilvl="1" w:tplc="FFFFFFFF">
      <w:start w:val="1"/>
      <w:numFmt w:val="lowerLetter"/>
      <w:lvlText w:val="%2."/>
      <w:lvlJc w:val="left"/>
      <w:pPr>
        <w:ind w:left="2214" w:hanging="360"/>
      </w:pPr>
    </w:lvl>
    <w:lvl w:ilvl="2" w:tplc="FFFFFFFF">
      <w:start w:val="1"/>
      <w:numFmt w:val="lowerRoman"/>
      <w:lvlText w:val="%3."/>
      <w:lvlJc w:val="right"/>
      <w:pPr>
        <w:ind w:left="2934" w:hanging="180"/>
      </w:pPr>
    </w:lvl>
    <w:lvl w:ilvl="3" w:tplc="FFFFFFFF" w:tentative="1">
      <w:start w:val="1"/>
      <w:numFmt w:val="decimal"/>
      <w:lvlText w:val="%4."/>
      <w:lvlJc w:val="left"/>
      <w:pPr>
        <w:ind w:left="3654" w:hanging="360"/>
      </w:pPr>
    </w:lvl>
    <w:lvl w:ilvl="4" w:tplc="FFFFFFFF" w:tentative="1">
      <w:start w:val="1"/>
      <w:numFmt w:val="lowerLetter"/>
      <w:lvlText w:val="%5."/>
      <w:lvlJc w:val="left"/>
      <w:pPr>
        <w:ind w:left="4374" w:hanging="360"/>
      </w:pPr>
    </w:lvl>
    <w:lvl w:ilvl="5" w:tplc="FFFFFFFF" w:tentative="1">
      <w:start w:val="1"/>
      <w:numFmt w:val="lowerRoman"/>
      <w:lvlText w:val="%6."/>
      <w:lvlJc w:val="right"/>
      <w:pPr>
        <w:ind w:left="5094" w:hanging="180"/>
      </w:pPr>
    </w:lvl>
    <w:lvl w:ilvl="6" w:tplc="FFFFFFFF" w:tentative="1">
      <w:start w:val="1"/>
      <w:numFmt w:val="decimal"/>
      <w:lvlText w:val="%7."/>
      <w:lvlJc w:val="left"/>
      <w:pPr>
        <w:ind w:left="5814" w:hanging="360"/>
      </w:pPr>
    </w:lvl>
    <w:lvl w:ilvl="7" w:tplc="FFFFFFFF" w:tentative="1">
      <w:start w:val="1"/>
      <w:numFmt w:val="lowerLetter"/>
      <w:lvlText w:val="%8."/>
      <w:lvlJc w:val="left"/>
      <w:pPr>
        <w:ind w:left="6534" w:hanging="360"/>
      </w:pPr>
    </w:lvl>
    <w:lvl w:ilvl="8" w:tplc="FFFFFFFF" w:tentative="1">
      <w:start w:val="1"/>
      <w:numFmt w:val="lowerRoman"/>
      <w:lvlText w:val="%9."/>
      <w:lvlJc w:val="right"/>
      <w:pPr>
        <w:ind w:left="7254" w:hanging="180"/>
      </w:pPr>
    </w:lvl>
  </w:abstractNum>
  <w:abstractNum w:abstractNumId="6" w15:restartNumberingAfterBreak="0">
    <w:nsid w:val="0DF638AD"/>
    <w:multiLevelType w:val="hybridMultilevel"/>
    <w:tmpl w:val="4B16162E"/>
    <w:lvl w:ilvl="0" w:tplc="FFFFFFFF">
      <w:start w:val="1"/>
      <w:numFmt w:val="decimal"/>
      <w:lvlText w:val="%1."/>
      <w:lvlJc w:val="left"/>
      <w:pPr>
        <w:ind w:left="1494" w:hanging="360"/>
      </w:pPr>
      <w:rPr>
        <w:rFonts w:hint="default"/>
      </w:rPr>
    </w:lvl>
    <w:lvl w:ilvl="1" w:tplc="FFFFFFFF">
      <w:start w:val="1"/>
      <w:numFmt w:val="lowerLetter"/>
      <w:lvlText w:val="%2."/>
      <w:lvlJc w:val="left"/>
      <w:pPr>
        <w:ind w:left="2214" w:hanging="360"/>
      </w:pPr>
    </w:lvl>
    <w:lvl w:ilvl="2" w:tplc="FFFFFFFF">
      <w:start w:val="1"/>
      <w:numFmt w:val="lowerRoman"/>
      <w:lvlText w:val="%3."/>
      <w:lvlJc w:val="right"/>
      <w:pPr>
        <w:ind w:left="2934" w:hanging="180"/>
      </w:pPr>
    </w:lvl>
    <w:lvl w:ilvl="3" w:tplc="FFFFFFFF" w:tentative="1">
      <w:start w:val="1"/>
      <w:numFmt w:val="decimal"/>
      <w:lvlText w:val="%4."/>
      <w:lvlJc w:val="left"/>
      <w:pPr>
        <w:ind w:left="3654" w:hanging="360"/>
      </w:pPr>
    </w:lvl>
    <w:lvl w:ilvl="4" w:tplc="FFFFFFFF" w:tentative="1">
      <w:start w:val="1"/>
      <w:numFmt w:val="lowerLetter"/>
      <w:lvlText w:val="%5."/>
      <w:lvlJc w:val="left"/>
      <w:pPr>
        <w:ind w:left="4374" w:hanging="360"/>
      </w:pPr>
    </w:lvl>
    <w:lvl w:ilvl="5" w:tplc="FFFFFFFF" w:tentative="1">
      <w:start w:val="1"/>
      <w:numFmt w:val="lowerRoman"/>
      <w:lvlText w:val="%6."/>
      <w:lvlJc w:val="right"/>
      <w:pPr>
        <w:ind w:left="5094" w:hanging="180"/>
      </w:pPr>
    </w:lvl>
    <w:lvl w:ilvl="6" w:tplc="FFFFFFFF" w:tentative="1">
      <w:start w:val="1"/>
      <w:numFmt w:val="decimal"/>
      <w:lvlText w:val="%7."/>
      <w:lvlJc w:val="left"/>
      <w:pPr>
        <w:ind w:left="5814" w:hanging="360"/>
      </w:pPr>
    </w:lvl>
    <w:lvl w:ilvl="7" w:tplc="FFFFFFFF" w:tentative="1">
      <w:start w:val="1"/>
      <w:numFmt w:val="lowerLetter"/>
      <w:lvlText w:val="%8."/>
      <w:lvlJc w:val="left"/>
      <w:pPr>
        <w:ind w:left="6534" w:hanging="360"/>
      </w:pPr>
    </w:lvl>
    <w:lvl w:ilvl="8" w:tplc="FFFFFFFF" w:tentative="1">
      <w:start w:val="1"/>
      <w:numFmt w:val="lowerRoman"/>
      <w:lvlText w:val="%9."/>
      <w:lvlJc w:val="right"/>
      <w:pPr>
        <w:ind w:left="7254" w:hanging="180"/>
      </w:pPr>
    </w:lvl>
  </w:abstractNum>
  <w:abstractNum w:abstractNumId="7" w15:restartNumberingAfterBreak="0">
    <w:nsid w:val="0E5A53E6"/>
    <w:multiLevelType w:val="hybridMultilevel"/>
    <w:tmpl w:val="3D6CC130"/>
    <w:lvl w:ilvl="0" w:tplc="0CB6F706">
      <w:start w:val="1"/>
      <w:numFmt w:val="decimal"/>
      <w:lvlText w:val="%1."/>
      <w:lvlJc w:val="left"/>
      <w:pPr>
        <w:ind w:left="1711" w:hanging="576"/>
      </w:pPr>
      <w:rPr>
        <w:rFonts w:hint="default"/>
      </w:rPr>
    </w:lvl>
    <w:lvl w:ilvl="1" w:tplc="18090019">
      <w:start w:val="1"/>
      <w:numFmt w:val="lowerLetter"/>
      <w:lvlText w:val="%2."/>
      <w:lvlJc w:val="left"/>
      <w:pPr>
        <w:ind w:left="2214" w:hanging="360"/>
      </w:pPr>
    </w:lvl>
    <w:lvl w:ilvl="2" w:tplc="1809001B">
      <w:start w:val="1"/>
      <w:numFmt w:val="lowerRoman"/>
      <w:lvlText w:val="%3."/>
      <w:lvlJc w:val="right"/>
      <w:pPr>
        <w:ind w:left="2934" w:hanging="180"/>
      </w:pPr>
    </w:lvl>
    <w:lvl w:ilvl="3" w:tplc="1809000F" w:tentative="1">
      <w:start w:val="1"/>
      <w:numFmt w:val="decimal"/>
      <w:lvlText w:val="%4."/>
      <w:lvlJc w:val="left"/>
      <w:pPr>
        <w:ind w:left="3654" w:hanging="360"/>
      </w:pPr>
    </w:lvl>
    <w:lvl w:ilvl="4" w:tplc="18090019" w:tentative="1">
      <w:start w:val="1"/>
      <w:numFmt w:val="lowerLetter"/>
      <w:lvlText w:val="%5."/>
      <w:lvlJc w:val="left"/>
      <w:pPr>
        <w:ind w:left="4374" w:hanging="360"/>
      </w:pPr>
    </w:lvl>
    <w:lvl w:ilvl="5" w:tplc="1809001B" w:tentative="1">
      <w:start w:val="1"/>
      <w:numFmt w:val="lowerRoman"/>
      <w:lvlText w:val="%6."/>
      <w:lvlJc w:val="right"/>
      <w:pPr>
        <w:ind w:left="5094" w:hanging="180"/>
      </w:pPr>
    </w:lvl>
    <w:lvl w:ilvl="6" w:tplc="1809000F" w:tentative="1">
      <w:start w:val="1"/>
      <w:numFmt w:val="decimal"/>
      <w:lvlText w:val="%7."/>
      <w:lvlJc w:val="left"/>
      <w:pPr>
        <w:ind w:left="5814" w:hanging="360"/>
      </w:pPr>
    </w:lvl>
    <w:lvl w:ilvl="7" w:tplc="18090019" w:tentative="1">
      <w:start w:val="1"/>
      <w:numFmt w:val="lowerLetter"/>
      <w:lvlText w:val="%8."/>
      <w:lvlJc w:val="left"/>
      <w:pPr>
        <w:ind w:left="6534" w:hanging="360"/>
      </w:pPr>
    </w:lvl>
    <w:lvl w:ilvl="8" w:tplc="1809001B" w:tentative="1">
      <w:start w:val="1"/>
      <w:numFmt w:val="lowerRoman"/>
      <w:lvlText w:val="%9."/>
      <w:lvlJc w:val="right"/>
      <w:pPr>
        <w:ind w:left="7254" w:hanging="180"/>
      </w:pPr>
    </w:lvl>
  </w:abstractNum>
  <w:abstractNum w:abstractNumId="8" w15:restartNumberingAfterBreak="0">
    <w:nsid w:val="0EDD64CD"/>
    <w:multiLevelType w:val="hybridMultilevel"/>
    <w:tmpl w:val="F84E5646"/>
    <w:lvl w:ilvl="0" w:tplc="88DE21FC">
      <w:start w:val="1"/>
      <w:numFmt w:val="decimal"/>
      <w:lvlText w:val="%1."/>
      <w:lvlJc w:val="left"/>
      <w:pPr>
        <w:ind w:left="1710" w:hanging="576"/>
      </w:pPr>
      <w:rPr>
        <w:rFonts w:hint="default"/>
      </w:rPr>
    </w:lvl>
    <w:lvl w:ilvl="1" w:tplc="18090019">
      <w:start w:val="1"/>
      <w:numFmt w:val="lowerLetter"/>
      <w:lvlText w:val="%2."/>
      <w:lvlJc w:val="left"/>
      <w:pPr>
        <w:ind w:left="2214" w:hanging="360"/>
      </w:pPr>
    </w:lvl>
    <w:lvl w:ilvl="2" w:tplc="1809001B">
      <w:start w:val="1"/>
      <w:numFmt w:val="lowerRoman"/>
      <w:lvlText w:val="%3."/>
      <w:lvlJc w:val="right"/>
      <w:pPr>
        <w:ind w:left="2934" w:hanging="180"/>
      </w:pPr>
    </w:lvl>
    <w:lvl w:ilvl="3" w:tplc="1809000F" w:tentative="1">
      <w:start w:val="1"/>
      <w:numFmt w:val="decimal"/>
      <w:lvlText w:val="%4."/>
      <w:lvlJc w:val="left"/>
      <w:pPr>
        <w:ind w:left="3654" w:hanging="360"/>
      </w:pPr>
    </w:lvl>
    <w:lvl w:ilvl="4" w:tplc="18090019" w:tentative="1">
      <w:start w:val="1"/>
      <w:numFmt w:val="lowerLetter"/>
      <w:lvlText w:val="%5."/>
      <w:lvlJc w:val="left"/>
      <w:pPr>
        <w:ind w:left="4374" w:hanging="360"/>
      </w:pPr>
    </w:lvl>
    <w:lvl w:ilvl="5" w:tplc="1809001B" w:tentative="1">
      <w:start w:val="1"/>
      <w:numFmt w:val="lowerRoman"/>
      <w:lvlText w:val="%6."/>
      <w:lvlJc w:val="right"/>
      <w:pPr>
        <w:ind w:left="5094" w:hanging="180"/>
      </w:pPr>
    </w:lvl>
    <w:lvl w:ilvl="6" w:tplc="1809000F" w:tentative="1">
      <w:start w:val="1"/>
      <w:numFmt w:val="decimal"/>
      <w:lvlText w:val="%7."/>
      <w:lvlJc w:val="left"/>
      <w:pPr>
        <w:ind w:left="5814" w:hanging="360"/>
      </w:pPr>
    </w:lvl>
    <w:lvl w:ilvl="7" w:tplc="18090019" w:tentative="1">
      <w:start w:val="1"/>
      <w:numFmt w:val="lowerLetter"/>
      <w:lvlText w:val="%8."/>
      <w:lvlJc w:val="left"/>
      <w:pPr>
        <w:ind w:left="6534" w:hanging="360"/>
      </w:pPr>
    </w:lvl>
    <w:lvl w:ilvl="8" w:tplc="1809001B" w:tentative="1">
      <w:start w:val="1"/>
      <w:numFmt w:val="lowerRoman"/>
      <w:lvlText w:val="%9."/>
      <w:lvlJc w:val="right"/>
      <w:pPr>
        <w:ind w:left="7254" w:hanging="180"/>
      </w:pPr>
    </w:lvl>
  </w:abstractNum>
  <w:abstractNum w:abstractNumId="9" w15:restartNumberingAfterBreak="0">
    <w:nsid w:val="22110FCF"/>
    <w:multiLevelType w:val="hybridMultilevel"/>
    <w:tmpl w:val="2842F1EA"/>
    <w:lvl w:ilvl="0" w:tplc="FFFFFFFF">
      <w:start w:val="1"/>
      <w:numFmt w:val="decimal"/>
      <w:lvlText w:val="%1."/>
      <w:lvlJc w:val="left"/>
      <w:pPr>
        <w:ind w:left="1710" w:hanging="576"/>
      </w:pPr>
      <w:rPr>
        <w:rFonts w:hint="default"/>
      </w:rPr>
    </w:lvl>
    <w:lvl w:ilvl="1" w:tplc="FFFFFFFF" w:tentative="1">
      <w:start w:val="1"/>
      <w:numFmt w:val="lowerLetter"/>
      <w:lvlText w:val="%2."/>
      <w:lvlJc w:val="left"/>
      <w:pPr>
        <w:ind w:left="2214" w:hanging="360"/>
      </w:pPr>
    </w:lvl>
    <w:lvl w:ilvl="2" w:tplc="FFFFFFFF" w:tentative="1">
      <w:start w:val="1"/>
      <w:numFmt w:val="lowerRoman"/>
      <w:lvlText w:val="%3."/>
      <w:lvlJc w:val="right"/>
      <w:pPr>
        <w:ind w:left="2934" w:hanging="180"/>
      </w:pPr>
    </w:lvl>
    <w:lvl w:ilvl="3" w:tplc="FFFFFFFF" w:tentative="1">
      <w:start w:val="1"/>
      <w:numFmt w:val="decimal"/>
      <w:lvlText w:val="%4."/>
      <w:lvlJc w:val="left"/>
      <w:pPr>
        <w:ind w:left="3654" w:hanging="360"/>
      </w:pPr>
    </w:lvl>
    <w:lvl w:ilvl="4" w:tplc="FFFFFFFF" w:tentative="1">
      <w:start w:val="1"/>
      <w:numFmt w:val="lowerLetter"/>
      <w:lvlText w:val="%5."/>
      <w:lvlJc w:val="left"/>
      <w:pPr>
        <w:ind w:left="4374" w:hanging="360"/>
      </w:pPr>
    </w:lvl>
    <w:lvl w:ilvl="5" w:tplc="FFFFFFFF" w:tentative="1">
      <w:start w:val="1"/>
      <w:numFmt w:val="lowerRoman"/>
      <w:lvlText w:val="%6."/>
      <w:lvlJc w:val="right"/>
      <w:pPr>
        <w:ind w:left="5094" w:hanging="180"/>
      </w:pPr>
    </w:lvl>
    <w:lvl w:ilvl="6" w:tplc="FFFFFFFF" w:tentative="1">
      <w:start w:val="1"/>
      <w:numFmt w:val="decimal"/>
      <w:lvlText w:val="%7."/>
      <w:lvlJc w:val="left"/>
      <w:pPr>
        <w:ind w:left="5814" w:hanging="360"/>
      </w:pPr>
    </w:lvl>
    <w:lvl w:ilvl="7" w:tplc="FFFFFFFF" w:tentative="1">
      <w:start w:val="1"/>
      <w:numFmt w:val="lowerLetter"/>
      <w:lvlText w:val="%8."/>
      <w:lvlJc w:val="left"/>
      <w:pPr>
        <w:ind w:left="6534" w:hanging="360"/>
      </w:pPr>
    </w:lvl>
    <w:lvl w:ilvl="8" w:tplc="FFFFFFFF" w:tentative="1">
      <w:start w:val="1"/>
      <w:numFmt w:val="lowerRoman"/>
      <w:lvlText w:val="%9."/>
      <w:lvlJc w:val="right"/>
      <w:pPr>
        <w:ind w:left="7254" w:hanging="180"/>
      </w:pPr>
    </w:lvl>
  </w:abstractNum>
  <w:abstractNum w:abstractNumId="10" w15:restartNumberingAfterBreak="0">
    <w:nsid w:val="2C30634D"/>
    <w:multiLevelType w:val="hybridMultilevel"/>
    <w:tmpl w:val="2D14DDEE"/>
    <w:lvl w:ilvl="0" w:tplc="FFFFFFFF">
      <w:start w:val="1"/>
      <w:numFmt w:val="decimal"/>
      <w:lvlText w:val="%1."/>
      <w:lvlJc w:val="left"/>
      <w:pPr>
        <w:ind w:left="1494" w:hanging="360"/>
      </w:pPr>
      <w:rPr>
        <w:rFonts w:hint="default"/>
        <w:b w:val="0"/>
      </w:rPr>
    </w:lvl>
    <w:lvl w:ilvl="1" w:tplc="FFFFFFFF">
      <w:start w:val="1"/>
      <w:numFmt w:val="lowerLetter"/>
      <w:lvlText w:val="%2."/>
      <w:lvlJc w:val="left"/>
      <w:pPr>
        <w:ind w:left="2061" w:hanging="360"/>
      </w:pPr>
    </w:lvl>
    <w:lvl w:ilvl="2" w:tplc="FFFFFFFF">
      <w:start w:val="1"/>
      <w:numFmt w:val="lowerRoman"/>
      <w:lvlText w:val="%3."/>
      <w:lvlJc w:val="right"/>
      <w:pPr>
        <w:ind w:left="2934" w:hanging="180"/>
      </w:pPr>
    </w:lvl>
    <w:lvl w:ilvl="3" w:tplc="FFFFFFFF" w:tentative="1">
      <w:start w:val="1"/>
      <w:numFmt w:val="decimal"/>
      <w:lvlText w:val="%4."/>
      <w:lvlJc w:val="left"/>
      <w:pPr>
        <w:ind w:left="3654" w:hanging="360"/>
      </w:pPr>
    </w:lvl>
    <w:lvl w:ilvl="4" w:tplc="FFFFFFFF" w:tentative="1">
      <w:start w:val="1"/>
      <w:numFmt w:val="lowerLetter"/>
      <w:lvlText w:val="%5."/>
      <w:lvlJc w:val="left"/>
      <w:pPr>
        <w:ind w:left="4374" w:hanging="360"/>
      </w:pPr>
    </w:lvl>
    <w:lvl w:ilvl="5" w:tplc="FFFFFFFF" w:tentative="1">
      <w:start w:val="1"/>
      <w:numFmt w:val="lowerRoman"/>
      <w:lvlText w:val="%6."/>
      <w:lvlJc w:val="right"/>
      <w:pPr>
        <w:ind w:left="5094" w:hanging="180"/>
      </w:pPr>
    </w:lvl>
    <w:lvl w:ilvl="6" w:tplc="FFFFFFFF" w:tentative="1">
      <w:start w:val="1"/>
      <w:numFmt w:val="decimal"/>
      <w:lvlText w:val="%7."/>
      <w:lvlJc w:val="left"/>
      <w:pPr>
        <w:ind w:left="5814" w:hanging="360"/>
      </w:pPr>
    </w:lvl>
    <w:lvl w:ilvl="7" w:tplc="FFFFFFFF" w:tentative="1">
      <w:start w:val="1"/>
      <w:numFmt w:val="lowerLetter"/>
      <w:lvlText w:val="%8."/>
      <w:lvlJc w:val="left"/>
      <w:pPr>
        <w:ind w:left="6534" w:hanging="360"/>
      </w:pPr>
    </w:lvl>
    <w:lvl w:ilvl="8" w:tplc="FFFFFFFF" w:tentative="1">
      <w:start w:val="1"/>
      <w:numFmt w:val="lowerRoman"/>
      <w:lvlText w:val="%9."/>
      <w:lvlJc w:val="right"/>
      <w:pPr>
        <w:ind w:left="7254" w:hanging="180"/>
      </w:pPr>
    </w:lvl>
  </w:abstractNum>
  <w:abstractNum w:abstractNumId="11" w15:restartNumberingAfterBreak="0">
    <w:nsid w:val="2EF64575"/>
    <w:multiLevelType w:val="hybridMultilevel"/>
    <w:tmpl w:val="9E1E714E"/>
    <w:lvl w:ilvl="0" w:tplc="0407000F">
      <w:start w:val="1"/>
      <w:numFmt w:val="decimal"/>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12" w15:restartNumberingAfterBreak="0">
    <w:nsid w:val="31844299"/>
    <w:multiLevelType w:val="hybridMultilevel"/>
    <w:tmpl w:val="78CCC21C"/>
    <w:lvl w:ilvl="0" w:tplc="30467C96">
      <w:start w:val="1"/>
      <w:numFmt w:val="bullet"/>
      <w:lvlText w:val="•"/>
      <w:lvlJc w:val="left"/>
      <w:pPr>
        <w:tabs>
          <w:tab w:val="num" w:pos="720"/>
        </w:tabs>
        <w:ind w:left="720" w:hanging="360"/>
      </w:pPr>
      <w:rPr>
        <w:rFonts w:ascii="Arial" w:hAnsi="Arial" w:hint="default"/>
      </w:rPr>
    </w:lvl>
    <w:lvl w:ilvl="1" w:tplc="EE3E6022" w:tentative="1">
      <w:start w:val="1"/>
      <w:numFmt w:val="bullet"/>
      <w:lvlText w:val="•"/>
      <w:lvlJc w:val="left"/>
      <w:pPr>
        <w:tabs>
          <w:tab w:val="num" w:pos="1440"/>
        </w:tabs>
        <w:ind w:left="1440" w:hanging="360"/>
      </w:pPr>
      <w:rPr>
        <w:rFonts w:ascii="Arial" w:hAnsi="Arial" w:hint="default"/>
      </w:rPr>
    </w:lvl>
    <w:lvl w:ilvl="2" w:tplc="61661468" w:tentative="1">
      <w:start w:val="1"/>
      <w:numFmt w:val="bullet"/>
      <w:lvlText w:val="•"/>
      <w:lvlJc w:val="left"/>
      <w:pPr>
        <w:tabs>
          <w:tab w:val="num" w:pos="2160"/>
        </w:tabs>
        <w:ind w:left="2160" w:hanging="360"/>
      </w:pPr>
      <w:rPr>
        <w:rFonts w:ascii="Arial" w:hAnsi="Arial" w:hint="default"/>
      </w:rPr>
    </w:lvl>
    <w:lvl w:ilvl="3" w:tplc="1C52EE3C" w:tentative="1">
      <w:start w:val="1"/>
      <w:numFmt w:val="bullet"/>
      <w:lvlText w:val="•"/>
      <w:lvlJc w:val="left"/>
      <w:pPr>
        <w:tabs>
          <w:tab w:val="num" w:pos="2880"/>
        </w:tabs>
        <w:ind w:left="2880" w:hanging="360"/>
      </w:pPr>
      <w:rPr>
        <w:rFonts w:ascii="Arial" w:hAnsi="Arial" w:hint="default"/>
      </w:rPr>
    </w:lvl>
    <w:lvl w:ilvl="4" w:tplc="36BC206C" w:tentative="1">
      <w:start w:val="1"/>
      <w:numFmt w:val="bullet"/>
      <w:lvlText w:val="•"/>
      <w:lvlJc w:val="left"/>
      <w:pPr>
        <w:tabs>
          <w:tab w:val="num" w:pos="3600"/>
        </w:tabs>
        <w:ind w:left="3600" w:hanging="360"/>
      </w:pPr>
      <w:rPr>
        <w:rFonts w:ascii="Arial" w:hAnsi="Arial" w:hint="default"/>
      </w:rPr>
    </w:lvl>
    <w:lvl w:ilvl="5" w:tplc="354CFBA0" w:tentative="1">
      <w:start w:val="1"/>
      <w:numFmt w:val="bullet"/>
      <w:lvlText w:val="•"/>
      <w:lvlJc w:val="left"/>
      <w:pPr>
        <w:tabs>
          <w:tab w:val="num" w:pos="4320"/>
        </w:tabs>
        <w:ind w:left="4320" w:hanging="360"/>
      </w:pPr>
      <w:rPr>
        <w:rFonts w:ascii="Arial" w:hAnsi="Arial" w:hint="default"/>
      </w:rPr>
    </w:lvl>
    <w:lvl w:ilvl="6" w:tplc="C7B86BB4" w:tentative="1">
      <w:start w:val="1"/>
      <w:numFmt w:val="bullet"/>
      <w:lvlText w:val="•"/>
      <w:lvlJc w:val="left"/>
      <w:pPr>
        <w:tabs>
          <w:tab w:val="num" w:pos="5040"/>
        </w:tabs>
        <w:ind w:left="5040" w:hanging="360"/>
      </w:pPr>
      <w:rPr>
        <w:rFonts w:ascii="Arial" w:hAnsi="Arial" w:hint="default"/>
      </w:rPr>
    </w:lvl>
    <w:lvl w:ilvl="7" w:tplc="3AC0351E" w:tentative="1">
      <w:start w:val="1"/>
      <w:numFmt w:val="bullet"/>
      <w:lvlText w:val="•"/>
      <w:lvlJc w:val="left"/>
      <w:pPr>
        <w:tabs>
          <w:tab w:val="num" w:pos="5760"/>
        </w:tabs>
        <w:ind w:left="5760" w:hanging="360"/>
      </w:pPr>
      <w:rPr>
        <w:rFonts w:ascii="Arial" w:hAnsi="Arial" w:hint="default"/>
      </w:rPr>
    </w:lvl>
    <w:lvl w:ilvl="8" w:tplc="235842B0"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387348CD"/>
    <w:multiLevelType w:val="hybridMultilevel"/>
    <w:tmpl w:val="DA605064"/>
    <w:lvl w:ilvl="0" w:tplc="9F7490D2">
      <w:start w:val="1"/>
      <w:numFmt w:val="lowerRoman"/>
      <w:lvlText w:val="(%1)"/>
      <w:lvlJc w:val="left"/>
      <w:pPr>
        <w:ind w:left="2988" w:hanging="360"/>
      </w:pPr>
      <w:rPr>
        <w:rFonts w:ascii="Times New Roman" w:eastAsia="Times New Roman" w:hAnsi="Times New Roman" w:cs="Times New Roman"/>
      </w:rPr>
    </w:lvl>
    <w:lvl w:ilvl="1" w:tplc="08090019" w:tentative="1">
      <w:start w:val="1"/>
      <w:numFmt w:val="lowerLetter"/>
      <w:lvlText w:val="%2."/>
      <w:lvlJc w:val="left"/>
      <w:pPr>
        <w:ind w:left="3708" w:hanging="360"/>
      </w:pPr>
    </w:lvl>
    <w:lvl w:ilvl="2" w:tplc="0809001B" w:tentative="1">
      <w:start w:val="1"/>
      <w:numFmt w:val="lowerRoman"/>
      <w:lvlText w:val="%3."/>
      <w:lvlJc w:val="right"/>
      <w:pPr>
        <w:ind w:left="4428" w:hanging="180"/>
      </w:pPr>
    </w:lvl>
    <w:lvl w:ilvl="3" w:tplc="0809000F" w:tentative="1">
      <w:start w:val="1"/>
      <w:numFmt w:val="decimal"/>
      <w:lvlText w:val="%4."/>
      <w:lvlJc w:val="left"/>
      <w:pPr>
        <w:ind w:left="5148" w:hanging="360"/>
      </w:pPr>
    </w:lvl>
    <w:lvl w:ilvl="4" w:tplc="08090019" w:tentative="1">
      <w:start w:val="1"/>
      <w:numFmt w:val="lowerLetter"/>
      <w:lvlText w:val="%5."/>
      <w:lvlJc w:val="left"/>
      <w:pPr>
        <w:ind w:left="5868" w:hanging="360"/>
      </w:pPr>
    </w:lvl>
    <w:lvl w:ilvl="5" w:tplc="0809001B" w:tentative="1">
      <w:start w:val="1"/>
      <w:numFmt w:val="lowerRoman"/>
      <w:lvlText w:val="%6."/>
      <w:lvlJc w:val="right"/>
      <w:pPr>
        <w:ind w:left="6588" w:hanging="180"/>
      </w:pPr>
    </w:lvl>
    <w:lvl w:ilvl="6" w:tplc="0809000F" w:tentative="1">
      <w:start w:val="1"/>
      <w:numFmt w:val="decimal"/>
      <w:lvlText w:val="%7."/>
      <w:lvlJc w:val="left"/>
      <w:pPr>
        <w:ind w:left="7308" w:hanging="360"/>
      </w:pPr>
    </w:lvl>
    <w:lvl w:ilvl="7" w:tplc="08090019" w:tentative="1">
      <w:start w:val="1"/>
      <w:numFmt w:val="lowerLetter"/>
      <w:lvlText w:val="%8."/>
      <w:lvlJc w:val="left"/>
      <w:pPr>
        <w:ind w:left="8028" w:hanging="360"/>
      </w:pPr>
    </w:lvl>
    <w:lvl w:ilvl="8" w:tplc="0809001B" w:tentative="1">
      <w:start w:val="1"/>
      <w:numFmt w:val="lowerRoman"/>
      <w:lvlText w:val="%9."/>
      <w:lvlJc w:val="right"/>
      <w:pPr>
        <w:ind w:left="8748" w:hanging="180"/>
      </w:pPr>
    </w:lvl>
  </w:abstractNum>
  <w:abstractNum w:abstractNumId="14" w15:restartNumberingAfterBreak="0">
    <w:nsid w:val="3873658C"/>
    <w:multiLevelType w:val="hybridMultilevel"/>
    <w:tmpl w:val="F08E18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55F0C03"/>
    <w:multiLevelType w:val="hybridMultilevel"/>
    <w:tmpl w:val="62A0F9C4"/>
    <w:lvl w:ilvl="0" w:tplc="FFFFFFFF">
      <w:start w:val="1"/>
      <w:numFmt w:val="decimal"/>
      <w:lvlText w:val="%1."/>
      <w:lvlJc w:val="left"/>
      <w:pPr>
        <w:ind w:left="1710" w:hanging="576"/>
      </w:pPr>
      <w:rPr>
        <w:rFonts w:hint="default"/>
      </w:rPr>
    </w:lvl>
    <w:lvl w:ilvl="1" w:tplc="FFFFFFFF" w:tentative="1">
      <w:start w:val="1"/>
      <w:numFmt w:val="lowerLetter"/>
      <w:lvlText w:val="%2."/>
      <w:lvlJc w:val="left"/>
      <w:pPr>
        <w:ind w:left="2214" w:hanging="360"/>
      </w:pPr>
    </w:lvl>
    <w:lvl w:ilvl="2" w:tplc="FFFFFFFF" w:tentative="1">
      <w:start w:val="1"/>
      <w:numFmt w:val="lowerRoman"/>
      <w:lvlText w:val="%3."/>
      <w:lvlJc w:val="right"/>
      <w:pPr>
        <w:ind w:left="2934" w:hanging="180"/>
      </w:pPr>
    </w:lvl>
    <w:lvl w:ilvl="3" w:tplc="FFFFFFFF" w:tentative="1">
      <w:start w:val="1"/>
      <w:numFmt w:val="decimal"/>
      <w:lvlText w:val="%4."/>
      <w:lvlJc w:val="left"/>
      <w:pPr>
        <w:ind w:left="3654" w:hanging="360"/>
      </w:pPr>
    </w:lvl>
    <w:lvl w:ilvl="4" w:tplc="FFFFFFFF" w:tentative="1">
      <w:start w:val="1"/>
      <w:numFmt w:val="lowerLetter"/>
      <w:lvlText w:val="%5."/>
      <w:lvlJc w:val="left"/>
      <w:pPr>
        <w:ind w:left="4374" w:hanging="360"/>
      </w:pPr>
    </w:lvl>
    <w:lvl w:ilvl="5" w:tplc="FFFFFFFF" w:tentative="1">
      <w:start w:val="1"/>
      <w:numFmt w:val="lowerRoman"/>
      <w:lvlText w:val="%6."/>
      <w:lvlJc w:val="right"/>
      <w:pPr>
        <w:ind w:left="5094" w:hanging="180"/>
      </w:pPr>
    </w:lvl>
    <w:lvl w:ilvl="6" w:tplc="FFFFFFFF" w:tentative="1">
      <w:start w:val="1"/>
      <w:numFmt w:val="decimal"/>
      <w:lvlText w:val="%7."/>
      <w:lvlJc w:val="left"/>
      <w:pPr>
        <w:ind w:left="5814" w:hanging="360"/>
      </w:pPr>
    </w:lvl>
    <w:lvl w:ilvl="7" w:tplc="FFFFFFFF" w:tentative="1">
      <w:start w:val="1"/>
      <w:numFmt w:val="lowerLetter"/>
      <w:lvlText w:val="%8."/>
      <w:lvlJc w:val="left"/>
      <w:pPr>
        <w:ind w:left="6534" w:hanging="360"/>
      </w:pPr>
    </w:lvl>
    <w:lvl w:ilvl="8" w:tplc="FFFFFFFF" w:tentative="1">
      <w:start w:val="1"/>
      <w:numFmt w:val="lowerRoman"/>
      <w:lvlText w:val="%9."/>
      <w:lvlJc w:val="right"/>
      <w:pPr>
        <w:ind w:left="7254" w:hanging="180"/>
      </w:pPr>
    </w:lvl>
  </w:abstractNum>
  <w:abstractNum w:abstractNumId="16" w15:restartNumberingAfterBreak="0">
    <w:nsid w:val="4DFD36D6"/>
    <w:multiLevelType w:val="hybridMultilevel"/>
    <w:tmpl w:val="9FA29714"/>
    <w:lvl w:ilvl="0" w:tplc="BD9479AE">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7" w15:restartNumberingAfterBreak="0">
    <w:nsid w:val="5D280C55"/>
    <w:multiLevelType w:val="hybridMultilevel"/>
    <w:tmpl w:val="98FEBD40"/>
    <w:lvl w:ilvl="0" w:tplc="0407000F">
      <w:start w:val="1"/>
      <w:numFmt w:val="decimal"/>
      <w:lvlText w:val="%1."/>
      <w:lvlJc w:val="left"/>
      <w:pPr>
        <w:ind w:left="2214" w:hanging="360"/>
      </w:pPr>
    </w:lvl>
    <w:lvl w:ilvl="1" w:tplc="04070019" w:tentative="1">
      <w:start w:val="1"/>
      <w:numFmt w:val="lowerLetter"/>
      <w:lvlText w:val="%2."/>
      <w:lvlJc w:val="left"/>
      <w:pPr>
        <w:ind w:left="2934" w:hanging="360"/>
      </w:pPr>
    </w:lvl>
    <w:lvl w:ilvl="2" w:tplc="0407001B" w:tentative="1">
      <w:start w:val="1"/>
      <w:numFmt w:val="lowerRoman"/>
      <w:lvlText w:val="%3."/>
      <w:lvlJc w:val="right"/>
      <w:pPr>
        <w:ind w:left="3654" w:hanging="180"/>
      </w:pPr>
    </w:lvl>
    <w:lvl w:ilvl="3" w:tplc="0407000F" w:tentative="1">
      <w:start w:val="1"/>
      <w:numFmt w:val="decimal"/>
      <w:lvlText w:val="%4."/>
      <w:lvlJc w:val="left"/>
      <w:pPr>
        <w:ind w:left="4374" w:hanging="360"/>
      </w:pPr>
    </w:lvl>
    <w:lvl w:ilvl="4" w:tplc="04070019" w:tentative="1">
      <w:start w:val="1"/>
      <w:numFmt w:val="lowerLetter"/>
      <w:lvlText w:val="%5."/>
      <w:lvlJc w:val="left"/>
      <w:pPr>
        <w:ind w:left="5094" w:hanging="360"/>
      </w:pPr>
    </w:lvl>
    <w:lvl w:ilvl="5" w:tplc="0407001B" w:tentative="1">
      <w:start w:val="1"/>
      <w:numFmt w:val="lowerRoman"/>
      <w:lvlText w:val="%6."/>
      <w:lvlJc w:val="right"/>
      <w:pPr>
        <w:ind w:left="5814" w:hanging="180"/>
      </w:pPr>
    </w:lvl>
    <w:lvl w:ilvl="6" w:tplc="0407000F" w:tentative="1">
      <w:start w:val="1"/>
      <w:numFmt w:val="decimal"/>
      <w:lvlText w:val="%7."/>
      <w:lvlJc w:val="left"/>
      <w:pPr>
        <w:ind w:left="6534" w:hanging="360"/>
      </w:pPr>
    </w:lvl>
    <w:lvl w:ilvl="7" w:tplc="04070019" w:tentative="1">
      <w:start w:val="1"/>
      <w:numFmt w:val="lowerLetter"/>
      <w:lvlText w:val="%8."/>
      <w:lvlJc w:val="left"/>
      <w:pPr>
        <w:ind w:left="7254" w:hanging="360"/>
      </w:pPr>
    </w:lvl>
    <w:lvl w:ilvl="8" w:tplc="0407001B" w:tentative="1">
      <w:start w:val="1"/>
      <w:numFmt w:val="lowerRoman"/>
      <w:lvlText w:val="%9."/>
      <w:lvlJc w:val="right"/>
      <w:pPr>
        <w:ind w:left="7974" w:hanging="180"/>
      </w:pPr>
    </w:lvl>
  </w:abstractNum>
  <w:abstractNum w:abstractNumId="18" w15:restartNumberingAfterBreak="0">
    <w:nsid w:val="5FD06FC3"/>
    <w:multiLevelType w:val="hybridMultilevel"/>
    <w:tmpl w:val="9E1E6696"/>
    <w:lvl w:ilvl="0" w:tplc="416E7194">
      <w:start w:val="1"/>
      <w:numFmt w:val="decimal"/>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9" w15:restartNumberingAfterBreak="0">
    <w:nsid w:val="651F124A"/>
    <w:multiLevelType w:val="hybridMultilevel"/>
    <w:tmpl w:val="9128171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0" w15:restartNumberingAfterBreak="0">
    <w:nsid w:val="657765E0"/>
    <w:multiLevelType w:val="hybridMultilevel"/>
    <w:tmpl w:val="2D14DDEE"/>
    <w:lvl w:ilvl="0" w:tplc="00DC405E">
      <w:start w:val="1"/>
      <w:numFmt w:val="decimal"/>
      <w:lvlText w:val="%1."/>
      <w:lvlJc w:val="left"/>
      <w:pPr>
        <w:ind w:left="1494" w:hanging="360"/>
      </w:pPr>
      <w:rPr>
        <w:rFonts w:hint="default"/>
        <w:b w:val="0"/>
      </w:rPr>
    </w:lvl>
    <w:lvl w:ilvl="1" w:tplc="18090019">
      <w:start w:val="1"/>
      <w:numFmt w:val="lowerLetter"/>
      <w:lvlText w:val="%2."/>
      <w:lvlJc w:val="left"/>
      <w:pPr>
        <w:ind w:left="2061" w:hanging="360"/>
      </w:pPr>
    </w:lvl>
    <w:lvl w:ilvl="2" w:tplc="1809001B">
      <w:start w:val="1"/>
      <w:numFmt w:val="lowerRoman"/>
      <w:lvlText w:val="%3."/>
      <w:lvlJc w:val="right"/>
      <w:pPr>
        <w:ind w:left="2934" w:hanging="180"/>
      </w:pPr>
    </w:lvl>
    <w:lvl w:ilvl="3" w:tplc="1809000F" w:tentative="1">
      <w:start w:val="1"/>
      <w:numFmt w:val="decimal"/>
      <w:lvlText w:val="%4."/>
      <w:lvlJc w:val="left"/>
      <w:pPr>
        <w:ind w:left="3654" w:hanging="360"/>
      </w:pPr>
    </w:lvl>
    <w:lvl w:ilvl="4" w:tplc="18090019" w:tentative="1">
      <w:start w:val="1"/>
      <w:numFmt w:val="lowerLetter"/>
      <w:lvlText w:val="%5."/>
      <w:lvlJc w:val="left"/>
      <w:pPr>
        <w:ind w:left="4374" w:hanging="360"/>
      </w:pPr>
    </w:lvl>
    <w:lvl w:ilvl="5" w:tplc="1809001B" w:tentative="1">
      <w:start w:val="1"/>
      <w:numFmt w:val="lowerRoman"/>
      <w:lvlText w:val="%6."/>
      <w:lvlJc w:val="right"/>
      <w:pPr>
        <w:ind w:left="5094" w:hanging="180"/>
      </w:pPr>
    </w:lvl>
    <w:lvl w:ilvl="6" w:tplc="1809000F" w:tentative="1">
      <w:start w:val="1"/>
      <w:numFmt w:val="decimal"/>
      <w:lvlText w:val="%7."/>
      <w:lvlJc w:val="left"/>
      <w:pPr>
        <w:ind w:left="5814" w:hanging="360"/>
      </w:pPr>
    </w:lvl>
    <w:lvl w:ilvl="7" w:tplc="18090019" w:tentative="1">
      <w:start w:val="1"/>
      <w:numFmt w:val="lowerLetter"/>
      <w:lvlText w:val="%8."/>
      <w:lvlJc w:val="left"/>
      <w:pPr>
        <w:ind w:left="6534" w:hanging="360"/>
      </w:pPr>
    </w:lvl>
    <w:lvl w:ilvl="8" w:tplc="1809001B" w:tentative="1">
      <w:start w:val="1"/>
      <w:numFmt w:val="lowerRoman"/>
      <w:lvlText w:val="%9."/>
      <w:lvlJc w:val="right"/>
      <w:pPr>
        <w:ind w:left="7254" w:hanging="180"/>
      </w:pPr>
    </w:lvl>
  </w:abstractNum>
  <w:abstractNum w:abstractNumId="21"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DB1705C"/>
    <w:multiLevelType w:val="hybridMultilevel"/>
    <w:tmpl w:val="9BF218D0"/>
    <w:lvl w:ilvl="0" w:tplc="FDC89878">
      <w:start w:val="1"/>
      <w:numFmt w:val="lowerRoman"/>
      <w:lvlText w:val="(%1)"/>
      <w:lvlJc w:val="left"/>
      <w:pPr>
        <w:ind w:left="525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5C900E3"/>
    <w:multiLevelType w:val="multilevel"/>
    <w:tmpl w:val="6468710C"/>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24" w15:restartNumberingAfterBreak="0">
    <w:nsid w:val="78F35588"/>
    <w:multiLevelType w:val="hybridMultilevel"/>
    <w:tmpl w:val="0F080072"/>
    <w:lvl w:ilvl="0" w:tplc="B2F25F5C">
      <w:start w:val="1"/>
      <w:numFmt w:val="lowerRoman"/>
      <w:lvlText w:val="%1."/>
      <w:lvlJc w:val="center"/>
      <w:pPr>
        <w:ind w:left="720" w:hanging="360"/>
      </w:pPr>
      <w:rPr>
        <w:rFonts w:ascii="Times New Roman" w:hAnsi="Times New Roman"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503978601">
    <w:abstractNumId w:val="1"/>
  </w:num>
  <w:num w:numId="2" w16cid:durableId="776368870">
    <w:abstractNumId w:val="21"/>
  </w:num>
  <w:num w:numId="3" w16cid:durableId="1803959604">
    <w:abstractNumId w:val="23"/>
  </w:num>
  <w:num w:numId="4" w16cid:durableId="60353650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164468126">
    <w:abstractNumId w:val="19"/>
  </w:num>
  <w:num w:numId="6" w16cid:durableId="1436097712">
    <w:abstractNumId w:val="22"/>
  </w:num>
  <w:num w:numId="7" w16cid:durableId="316344017">
    <w:abstractNumId w:val="24"/>
  </w:num>
  <w:num w:numId="8" w16cid:durableId="1333676467">
    <w:abstractNumId w:val="13"/>
  </w:num>
  <w:num w:numId="9" w16cid:durableId="156044671">
    <w:abstractNumId w:val="16"/>
  </w:num>
  <w:num w:numId="10" w16cid:durableId="1587032841">
    <w:abstractNumId w:val="3"/>
  </w:num>
  <w:num w:numId="11" w16cid:durableId="444740599">
    <w:abstractNumId w:val="18"/>
  </w:num>
  <w:num w:numId="12" w16cid:durableId="1114983020">
    <w:abstractNumId w:val="2"/>
  </w:num>
  <w:num w:numId="13" w16cid:durableId="1669795265">
    <w:abstractNumId w:val="14"/>
  </w:num>
  <w:num w:numId="14" w16cid:durableId="882595489">
    <w:abstractNumId w:val="8"/>
  </w:num>
  <w:num w:numId="15" w16cid:durableId="1116875391">
    <w:abstractNumId w:val="9"/>
  </w:num>
  <w:num w:numId="16" w16cid:durableId="1880051202">
    <w:abstractNumId w:val="15"/>
  </w:num>
  <w:num w:numId="17" w16cid:durableId="1859780707">
    <w:abstractNumId w:val="4"/>
  </w:num>
  <w:num w:numId="18" w16cid:durableId="929584192">
    <w:abstractNumId w:val="20"/>
  </w:num>
  <w:num w:numId="19" w16cid:durableId="1499925359">
    <w:abstractNumId w:val="6"/>
  </w:num>
  <w:num w:numId="20" w16cid:durableId="191118182">
    <w:abstractNumId w:val="12"/>
  </w:num>
  <w:num w:numId="21" w16cid:durableId="1499464856">
    <w:abstractNumId w:val="5"/>
  </w:num>
  <w:num w:numId="22" w16cid:durableId="1741713158">
    <w:abstractNumId w:val="17"/>
  </w:num>
  <w:num w:numId="23" w16cid:durableId="420612721">
    <w:abstractNumId w:val="11"/>
  </w:num>
  <w:num w:numId="24" w16cid:durableId="424545044">
    <w:abstractNumId w:val="7"/>
  </w:num>
  <w:num w:numId="25" w16cid:durableId="129444814">
    <w:abstractNumId w:val="0"/>
  </w:num>
  <w:num w:numId="26" w16cid:durableId="113823147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20"/>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4115"/>
    <w:rsid w:val="00000DE0"/>
    <w:rsid w:val="00000F65"/>
    <w:rsid w:val="00002AF1"/>
    <w:rsid w:val="000047A9"/>
    <w:rsid w:val="00005C6D"/>
    <w:rsid w:val="00010C82"/>
    <w:rsid w:val="0001111C"/>
    <w:rsid w:val="000137B7"/>
    <w:rsid w:val="0001631B"/>
    <w:rsid w:val="0001641A"/>
    <w:rsid w:val="00017645"/>
    <w:rsid w:val="00023043"/>
    <w:rsid w:val="000241D7"/>
    <w:rsid w:val="000259FD"/>
    <w:rsid w:val="00026C33"/>
    <w:rsid w:val="000273AA"/>
    <w:rsid w:val="0003040E"/>
    <w:rsid w:val="000308A7"/>
    <w:rsid w:val="0003097F"/>
    <w:rsid w:val="00031898"/>
    <w:rsid w:val="000373B2"/>
    <w:rsid w:val="00042075"/>
    <w:rsid w:val="000432FA"/>
    <w:rsid w:val="000436A5"/>
    <w:rsid w:val="00047A59"/>
    <w:rsid w:val="00047A63"/>
    <w:rsid w:val="00051298"/>
    <w:rsid w:val="00053817"/>
    <w:rsid w:val="00053E14"/>
    <w:rsid w:val="00057713"/>
    <w:rsid w:val="00060108"/>
    <w:rsid w:val="000628A8"/>
    <w:rsid w:val="00067A00"/>
    <w:rsid w:val="00071BFC"/>
    <w:rsid w:val="00074029"/>
    <w:rsid w:val="00076982"/>
    <w:rsid w:val="000842A8"/>
    <w:rsid w:val="00091E1B"/>
    <w:rsid w:val="0009464D"/>
    <w:rsid w:val="00094A51"/>
    <w:rsid w:val="0009530F"/>
    <w:rsid w:val="000957E6"/>
    <w:rsid w:val="00095D2F"/>
    <w:rsid w:val="000A2AF3"/>
    <w:rsid w:val="000A543A"/>
    <w:rsid w:val="000A56DD"/>
    <w:rsid w:val="000A6B5A"/>
    <w:rsid w:val="000B0D5E"/>
    <w:rsid w:val="000B20E0"/>
    <w:rsid w:val="000B2BEE"/>
    <w:rsid w:val="000B3F02"/>
    <w:rsid w:val="000C0667"/>
    <w:rsid w:val="000D1812"/>
    <w:rsid w:val="000D188E"/>
    <w:rsid w:val="000D2373"/>
    <w:rsid w:val="000D2B8A"/>
    <w:rsid w:val="000D55C4"/>
    <w:rsid w:val="000E13C8"/>
    <w:rsid w:val="000E5D24"/>
    <w:rsid w:val="000E6559"/>
    <w:rsid w:val="000E73F5"/>
    <w:rsid w:val="000F1F4A"/>
    <w:rsid w:val="000F7AEC"/>
    <w:rsid w:val="000F7E74"/>
    <w:rsid w:val="0010159D"/>
    <w:rsid w:val="00101C2A"/>
    <w:rsid w:val="00102A49"/>
    <w:rsid w:val="0010310E"/>
    <w:rsid w:val="00103ED3"/>
    <w:rsid w:val="00104DB2"/>
    <w:rsid w:val="001064EA"/>
    <w:rsid w:val="00107D74"/>
    <w:rsid w:val="0011244F"/>
    <w:rsid w:val="0011265C"/>
    <w:rsid w:val="001158D2"/>
    <w:rsid w:val="0012111B"/>
    <w:rsid w:val="00121135"/>
    <w:rsid w:val="00121918"/>
    <w:rsid w:val="001238FC"/>
    <w:rsid w:val="00134418"/>
    <w:rsid w:val="00134B35"/>
    <w:rsid w:val="00135984"/>
    <w:rsid w:val="00137D32"/>
    <w:rsid w:val="00140212"/>
    <w:rsid w:val="0014157A"/>
    <w:rsid w:val="001424D4"/>
    <w:rsid w:val="0014281E"/>
    <w:rsid w:val="00142D50"/>
    <w:rsid w:val="00143C09"/>
    <w:rsid w:val="0014420B"/>
    <w:rsid w:val="0014474F"/>
    <w:rsid w:val="00145752"/>
    <w:rsid w:val="001460DF"/>
    <w:rsid w:val="00155E3E"/>
    <w:rsid w:val="00157652"/>
    <w:rsid w:val="00161FB5"/>
    <w:rsid w:val="00164115"/>
    <w:rsid w:val="00171AFC"/>
    <w:rsid w:val="00172B80"/>
    <w:rsid w:val="00173B5A"/>
    <w:rsid w:val="001747A7"/>
    <w:rsid w:val="001748FC"/>
    <w:rsid w:val="00174BC8"/>
    <w:rsid w:val="001776B2"/>
    <w:rsid w:val="00181FF8"/>
    <w:rsid w:val="00186B57"/>
    <w:rsid w:val="00187294"/>
    <w:rsid w:val="00191266"/>
    <w:rsid w:val="00191E83"/>
    <w:rsid w:val="0019454E"/>
    <w:rsid w:val="001A2B14"/>
    <w:rsid w:val="001A3729"/>
    <w:rsid w:val="001A4431"/>
    <w:rsid w:val="001A4B5C"/>
    <w:rsid w:val="001B33BB"/>
    <w:rsid w:val="001B7C9C"/>
    <w:rsid w:val="001C1F58"/>
    <w:rsid w:val="001C371B"/>
    <w:rsid w:val="001D1EAF"/>
    <w:rsid w:val="001E0BDF"/>
    <w:rsid w:val="001E34E4"/>
    <w:rsid w:val="001E46D7"/>
    <w:rsid w:val="001E60F6"/>
    <w:rsid w:val="001F1D6D"/>
    <w:rsid w:val="001F5298"/>
    <w:rsid w:val="001F647E"/>
    <w:rsid w:val="00200078"/>
    <w:rsid w:val="002017EA"/>
    <w:rsid w:val="00202311"/>
    <w:rsid w:val="00205219"/>
    <w:rsid w:val="00210226"/>
    <w:rsid w:val="00211589"/>
    <w:rsid w:val="00213675"/>
    <w:rsid w:val="002147A6"/>
    <w:rsid w:val="00220061"/>
    <w:rsid w:val="00221F65"/>
    <w:rsid w:val="00223EC2"/>
    <w:rsid w:val="002254B1"/>
    <w:rsid w:val="002279B3"/>
    <w:rsid w:val="002305D0"/>
    <w:rsid w:val="002316B0"/>
    <w:rsid w:val="00231E76"/>
    <w:rsid w:val="002336CA"/>
    <w:rsid w:val="00233F63"/>
    <w:rsid w:val="00240730"/>
    <w:rsid w:val="00240FCE"/>
    <w:rsid w:val="00241A0F"/>
    <w:rsid w:val="002434F0"/>
    <w:rsid w:val="00244420"/>
    <w:rsid w:val="00246835"/>
    <w:rsid w:val="0024696D"/>
    <w:rsid w:val="00252BD1"/>
    <w:rsid w:val="00252D72"/>
    <w:rsid w:val="00253180"/>
    <w:rsid w:val="002549FB"/>
    <w:rsid w:val="00256A07"/>
    <w:rsid w:val="0026031B"/>
    <w:rsid w:val="00263C2B"/>
    <w:rsid w:val="00264D2E"/>
    <w:rsid w:val="00265A17"/>
    <w:rsid w:val="00265C0E"/>
    <w:rsid w:val="00266138"/>
    <w:rsid w:val="00273532"/>
    <w:rsid w:val="00274F21"/>
    <w:rsid w:val="00285BE7"/>
    <w:rsid w:val="00287484"/>
    <w:rsid w:val="00290D2E"/>
    <w:rsid w:val="00291834"/>
    <w:rsid w:val="00291BD6"/>
    <w:rsid w:val="00292929"/>
    <w:rsid w:val="00293068"/>
    <w:rsid w:val="002936E5"/>
    <w:rsid w:val="00296C49"/>
    <w:rsid w:val="00297772"/>
    <w:rsid w:val="002A663A"/>
    <w:rsid w:val="002C3720"/>
    <w:rsid w:val="002C527A"/>
    <w:rsid w:val="002C572D"/>
    <w:rsid w:val="002D347A"/>
    <w:rsid w:val="002D4E22"/>
    <w:rsid w:val="002D6556"/>
    <w:rsid w:val="002D6DFC"/>
    <w:rsid w:val="002E3912"/>
    <w:rsid w:val="002E6104"/>
    <w:rsid w:val="002F0835"/>
    <w:rsid w:val="0030208B"/>
    <w:rsid w:val="0030227B"/>
    <w:rsid w:val="00307396"/>
    <w:rsid w:val="003104B4"/>
    <w:rsid w:val="003127EE"/>
    <w:rsid w:val="00314A42"/>
    <w:rsid w:val="00325A9B"/>
    <w:rsid w:val="00330BA3"/>
    <w:rsid w:val="00334373"/>
    <w:rsid w:val="00340F15"/>
    <w:rsid w:val="00343EFE"/>
    <w:rsid w:val="003461C4"/>
    <w:rsid w:val="003511CF"/>
    <w:rsid w:val="00352BB1"/>
    <w:rsid w:val="003560F6"/>
    <w:rsid w:val="0036447E"/>
    <w:rsid w:val="00364A13"/>
    <w:rsid w:val="0036543F"/>
    <w:rsid w:val="00371197"/>
    <w:rsid w:val="00377C69"/>
    <w:rsid w:val="00377F4E"/>
    <w:rsid w:val="0038227A"/>
    <w:rsid w:val="003860E2"/>
    <w:rsid w:val="00390013"/>
    <w:rsid w:val="0039508E"/>
    <w:rsid w:val="00395B89"/>
    <w:rsid w:val="0039733F"/>
    <w:rsid w:val="003A18F9"/>
    <w:rsid w:val="003A1AA4"/>
    <w:rsid w:val="003A2D27"/>
    <w:rsid w:val="003A3101"/>
    <w:rsid w:val="003A351D"/>
    <w:rsid w:val="003A3B60"/>
    <w:rsid w:val="003A5195"/>
    <w:rsid w:val="003B0416"/>
    <w:rsid w:val="003B40DA"/>
    <w:rsid w:val="003C10AE"/>
    <w:rsid w:val="003C34BC"/>
    <w:rsid w:val="003C35A9"/>
    <w:rsid w:val="003C46EC"/>
    <w:rsid w:val="003C6589"/>
    <w:rsid w:val="003C707D"/>
    <w:rsid w:val="003D3632"/>
    <w:rsid w:val="003D3707"/>
    <w:rsid w:val="003E04BD"/>
    <w:rsid w:val="003E1067"/>
    <w:rsid w:val="003E4637"/>
    <w:rsid w:val="003E5DC1"/>
    <w:rsid w:val="003F144B"/>
    <w:rsid w:val="003F287E"/>
    <w:rsid w:val="003F764B"/>
    <w:rsid w:val="00400133"/>
    <w:rsid w:val="004050A7"/>
    <w:rsid w:val="00405563"/>
    <w:rsid w:val="004068F6"/>
    <w:rsid w:val="00412AC4"/>
    <w:rsid w:val="004143F8"/>
    <w:rsid w:val="00415DEC"/>
    <w:rsid w:val="0042255B"/>
    <w:rsid w:val="00422995"/>
    <w:rsid w:val="00422C6C"/>
    <w:rsid w:val="00422E38"/>
    <w:rsid w:val="00423E1B"/>
    <w:rsid w:val="004255A7"/>
    <w:rsid w:val="0042566E"/>
    <w:rsid w:val="00425E34"/>
    <w:rsid w:val="00430796"/>
    <w:rsid w:val="00432CBB"/>
    <w:rsid w:val="00434BA1"/>
    <w:rsid w:val="00436B23"/>
    <w:rsid w:val="00446119"/>
    <w:rsid w:val="0045263B"/>
    <w:rsid w:val="00452B5D"/>
    <w:rsid w:val="00453CF7"/>
    <w:rsid w:val="00453E49"/>
    <w:rsid w:val="00454FB6"/>
    <w:rsid w:val="0045567D"/>
    <w:rsid w:val="00461E6E"/>
    <w:rsid w:val="00461EE4"/>
    <w:rsid w:val="00463AFD"/>
    <w:rsid w:val="00466EB9"/>
    <w:rsid w:val="00466EF6"/>
    <w:rsid w:val="004677C9"/>
    <w:rsid w:val="0047113E"/>
    <w:rsid w:val="00471DD0"/>
    <w:rsid w:val="00474D02"/>
    <w:rsid w:val="00477802"/>
    <w:rsid w:val="00480712"/>
    <w:rsid w:val="00480ED2"/>
    <w:rsid w:val="004837DB"/>
    <w:rsid w:val="004838B9"/>
    <w:rsid w:val="0048416C"/>
    <w:rsid w:val="00484476"/>
    <w:rsid w:val="00491817"/>
    <w:rsid w:val="004A1C4D"/>
    <w:rsid w:val="004A584C"/>
    <w:rsid w:val="004A6517"/>
    <w:rsid w:val="004B1F38"/>
    <w:rsid w:val="004B4125"/>
    <w:rsid w:val="004C0491"/>
    <w:rsid w:val="004C23CA"/>
    <w:rsid w:val="004C5A70"/>
    <w:rsid w:val="004C6359"/>
    <w:rsid w:val="004D115D"/>
    <w:rsid w:val="004D444B"/>
    <w:rsid w:val="004D4871"/>
    <w:rsid w:val="004D7066"/>
    <w:rsid w:val="004E238E"/>
    <w:rsid w:val="004E260B"/>
    <w:rsid w:val="004E26FA"/>
    <w:rsid w:val="004F2B41"/>
    <w:rsid w:val="004F3674"/>
    <w:rsid w:val="004F5690"/>
    <w:rsid w:val="004F776D"/>
    <w:rsid w:val="00503F8D"/>
    <w:rsid w:val="00512C62"/>
    <w:rsid w:val="00513A15"/>
    <w:rsid w:val="00516D65"/>
    <w:rsid w:val="0052135F"/>
    <w:rsid w:val="00525972"/>
    <w:rsid w:val="00530B83"/>
    <w:rsid w:val="005340EA"/>
    <w:rsid w:val="005341D1"/>
    <w:rsid w:val="005408D9"/>
    <w:rsid w:val="00540D80"/>
    <w:rsid w:val="00544DA0"/>
    <w:rsid w:val="00547D92"/>
    <w:rsid w:val="00552785"/>
    <w:rsid w:val="005663BA"/>
    <w:rsid w:val="00570951"/>
    <w:rsid w:val="00570F20"/>
    <w:rsid w:val="005712EE"/>
    <w:rsid w:val="00571516"/>
    <w:rsid w:val="00575366"/>
    <w:rsid w:val="00575A27"/>
    <w:rsid w:val="00575CE1"/>
    <w:rsid w:val="0057627A"/>
    <w:rsid w:val="005769E9"/>
    <w:rsid w:val="00577B06"/>
    <w:rsid w:val="005805F4"/>
    <w:rsid w:val="00582FD6"/>
    <w:rsid w:val="00586D03"/>
    <w:rsid w:val="00590111"/>
    <w:rsid w:val="00590503"/>
    <w:rsid w:val="00590B7F"/>
    <w:rsid w:val="00590B9C"/>
    <w:rsid w:val="00592390"/>
    <w:rsid w:val="00592471"/>
    <w:rsid w:val="0059505C"/>
    <w:rsid w:val="005A3E43"/>
    <w:rsid w:val="005A4BB8"/>
    <w:rsid w:val="005A543B"/>
    <w:rsid w:val="005A6436"/>
    <w:rsid w:val="005B3564"/>
    <w:rsid w:val="005B4DBE"/>
    <w:rsid w:val="005B5F5B"/>
    <w:rsid w:val="005B69A9"/>
    <w:rsid w:val="005C0411"/>
    <w:rsid w:val="005C169C"/>
    <w:rsid w:val="005C2405"/>
    <w:rsid w:val="005C2CE9"/>
    <w:rsid w:val="005C3F46"/>
    <w:rsid w:val="005C600E"/>
    <w:rsid w:val="005C676A"/>
    <w:rsid w:val="005C6C1F"/>
    <w:rsid w:val="005D383A"/>
    <w:rsid w:val="005D3BFC"/>
    <w:rsid w:val="005D4D02"/>
    <w:rsid w:val="005D6564"/>
    <w:rsid w:val="005E4BC8"/>
    <w:rsid w:val="005E4C08"/>
    <w:rsid w:val="005E67DD"/>
    <w:rsid w:val="005F093A"/>
    <w:rsid w:val="005F0ADF"/>
    <w:rsid w:val="005F147A"/>
    <w:rsid w:val="005F208B"/>
    <w:rsid w:val="005F3544"/>
    <w:rsid w:val="005F4295"/>
    <w:rsid w:val="005F47BB"/>
    <w:rsid w:val="00602467"/>
    <w:rsid w:val="00603A95"/>
    <w:rsid w:val="006053D9"/>
    <w:rsid w:val="00610142"/>
    <w:rsid w:val="00613A84"/>
    <w:rsid w:val="0061700D"/>
    <w:rsid w:val="006172E4"/>
    <w:rsid w:val="00621BC7"/>
    <w:rsid w:val="00631F7C"/>
    <w:rsid w:val="006344CB"/>
    <w:rsid w:val="0063550B"/>
    <w:rsid w:val="006370AB"/>
    <w:rsid w:val="0064175A"/>
    <w:rsid w:val="00642FA8"/>
    <w:rsid w:val="00643390"/>
    <w:rsid w:val="00646947"/>
    <w:rsid w:val="00647A07"/>
    <w:rsid w:val="00650256"/>
    <w:rsid w:val="00650E7B"/>
    <w:rsid w:val="006523E1"/>
    <w:rsid w:val="00653823"/>
    <w:rsid w:val="00654E07"/>
    <w:rsid w:val="00656A8E"/>
    <w:rsid w:val="006576ED"/>
    <w:rsid w:val="006654DB"/>
    <w:rsid w:val="00665898"/>
    <w:rsid w:val="00665AE0"/>
    <w:rsid w:val="00667693"/>
    <w:rsid w:val="0067161E"/>
    <w:rsid w:val="00671C3B"/>
    <w:rsid w:val="00673D9E"/>
    <w:rsid w:val="0067507C"/>
    <w:rsid w:val="00675A79"/>
    <w:rsid w:val="00677693"/>
    <w:rsid w:val="006814D6"/>
    <w:rsid w:val="00690432"/>
    <w:rsid w:val="00690685"/>
    <w:rsid w:val="006937A2"/>
    <w:rsid w:val="00693B9A"/>
    <w:rsid w:val="00695656"/>
    <w:rsid w:val="00695889"/>
    <w:rsid w:val="00697040"/>
    <w:rsid w:val="006973B1"/>
    <w:rsid w:val="006A0EA6"/>
    <w:rsid w:val="006A1118"/>
    <w:rsid w:val="006A5DCF"/>
    <w:rsid w:val="006B1667"/>
    <w:rsid w:val="006B1C8A"/>
    <w:rsid w:val="006B540B"/>
    <w:rsid w:val="006B66C1"/>
    <w:rsid w:val="006B7C48"/>
    <w:rsid w:val="006C0FAB"/>
    <w:rsid w:val="006C35C3"/>
    <w:rsid w:val="006C6F14"/>
    <w:rsid w:val="006D224E"/>
    <w:rsid w:val="006D4826"/>
    <w:rsid w:val="006D517F"/>
    <w:rsid w:val="006D739A"/>
    <w:rsid w:val="006E0ED9"/>
    <w:rsid w:val="006E6315"/>
    <w:rsid w:val="006E6C53"/>
    <w:rsid w:val="006F1207"/>
    <w:rsid w:val="006F2FDC"/>
    <w:rsid w:val="006F796F"/>
    <w:rsid w:val="00700115"/>
    <w:rsid w:val="00705C62"/>
    <w:rsid w:val="0071001B"/>
    <w:rsid w:val="00710626"/>
    <w:rsid w:val="0071212B"/>
    <w:rsid w:val="00712F9E"/>
    <w:rsid w:val="00714EB2"/>
    <w:rsid w:val="0071503E"/>
    <w:rsid w:val="007171A1"/>
    <w:rsid w:val="00720043"/>
    <w:rsid w:val="0072205F"/>
    <w:rsid w:val="00725003"/>
    <w:rsid w:val="0073073D"/>
    <w:rsid w:val="007313E9"/>
    <w:rsid w:val="00731BB1"/>
    <w:rsid w:val="00731D6A"/>
    <w:rsid w:val="00737479"/>
    <w:rsid w:val="00745D5E"/>
    <w:rsid w:val="00746E3E"/>
    <w:rsid w:val="007476C7"/>
    <w:rsid w:val="0075369B"/>
    <w:rsid w:val="007548CC"/>
    <w:rsid w:val="00756307"/>
    <w:rsid w:val="0075657F"/>
    <w:rsid w:val="00760AC3"/>
    <w:rsid w:val="00766534"/>
    <w:rsid w:val="00767794"/>
    <w:rsid w:val="00770B5B"/>
    <w:rsid w:val="00770CBF"/>
    <w:rsid w:val="00773855"/>
    <w:rsid w:val="00776AFF"/>
    <w:rsid w:val="0077737A"/>
    <w:rsid w:val="00777A93"/>
    <w:rsid w:val="0078015A"/>
    <w:rsid w:val="00791FB9"/>
    <w:rsid w:val="007936F3"/>
    <w:rsid w:val="00793873"/>
    <w:rsid w:val="00793F0E"/>
    <w:rsid w:val="007947C7"/>
    <w:rsid w:val="0079650F"/>
    <w:rsid w:val="007A2F83"/>
    <w:rsid w:val="007A4C5E"/>
    <w:rsid w:val="007A4D6C"/>
    <w:rsid w:val="007A4EA7"/>
    <w:rsid w:val="007A7FE5"/>
    <w:rsid w:val="007B3E78"/>
    <w:rsid w:val="007C0530"/>
    <w:rsid w:val="007C1E42"/>
    <w:rsid w:val="007C2E51"/>
    <w:rsid w:val="007D08C9"/>
    <w:rsid w:val="007D5F27"/>
    <w:rsid w:val="007D7CE3"/>
    <w:rsid w:val="007E0AED"/>
    <w:rsid w:val="007E2252"/>
    <w:rsid w:val="007E4923"/>
    <w:rsid w:val="007E5F66"/>
    <w:rsid w:val="007E797B"/>
    <w:rsid w:val="007F2546"/>
    <w:rsid w:val="007F6C75"/>
    <w:rsid w:val="00801529"/>
    <w:rsid w:val="00804912"/>
    <w:rsid w:val="008057F1"/>
    <w:rsid w:val="00805C93"/>
    <w:rsid w:val="0081597D"/>
    <w:rsid w:val="00820C4D"/>
    <w:rsid w:val="00826561"/>
    <w:rsid w:val="008330F8"/>
    <w:rsid w:val="00835276"/>
    <w:rsid w:val="00836280"/>
    <w:rsid w:val="00841EE2"/>
    <w:rsid w:val="0084211B"/>
    <w:rsid w:val="0084448F"/>
    <w:rsid w:val="008523E9"/>
    <w:rsid w:val="00856590"/>
    <w:rsid w:val="008566FB"/>
    <w:rsid w:val="00856A47"/>
    <w:rsid w:val="00857E1D"/>
    <w:rsid w:val="008703CA"/>
    <w:rsid w:val="0087595A"/>
    <w:rsid w:val="008904FF"/>
    <w:rsid w:val="00890CC2"/>
    <w:rsid w:val="0089187E"/>
    <w:rsid w:val="008926B5"/>
    <w:rsid w:val="0089281E"/>
    <w:rsid w:val="00893098"/>
    <w:rsid w:val="00893E4B"/>
    <w:rsid w:val="0089406D"/>
    <w:rsid w:val="00895FC4"/>
    <w:rsid w:val="008A08A3"/>
    <w:rsid w:val="008A0FBD"/>
    <w:rsid w:val="008A28F8"/>
    <w:rsid w:val="008A2F02"/>
    <w:rsid w:val="008A6DC1"/>
    <w:rsid w:val="008B1FDC"/>
    <w:rsid w:val="008B2F28"/>
    <w:rsid w:val="008B5CA6"/>
    <w:rsid w:val="008B777F"/>
    <w:rsid w:val="008C0CA5"/>
    <w:rsid w:val="008C727E"/>
    <w:rsid w:val="008C7CE3"/>
    <w:rsid w:val="008D10D2"/>
    <w:rsid w:val="008D1EC0"/>
    <w:rsid w:val="008D24A3"/>
    <w:rsid w:val="008D4517"/>
    <w:rsid w:val="008D52A6"/>
    <w:rsid w:val="008D66A4"/>
    <w:rsid w:val="008D768E"/>
    <w:rsid w:val="008E3097"/>
    <w:rsid w:val="008F49D6"/>
    <w:rsid w:val="008F62B6"/>
    <w:rsid w:val="00900F21"/>
    <w:rsid w:val="009030D3"/>
    <w:rsid w:val="009043E8"/>
    <w:rsid w:val="00905DE3"/>
    <w:rsid w:val="00912562"/>
    <w:rsid w:val="009134E3"/>
    <w:rsid w:val="0091363D"/>
    <w:rsid w:val="00913DB7"/>
    <w:rsid w:val="00917E66"/>
    <w:rsid w:val="009216A2"/>
    <w:rsid w:val="00922DBB"/>
    <w:rsid w:val="00924FA7"/>
    <w:rsid w:val="00927C4C"/>
    <w:rsid w:val="00930B03"/>
    <w:rsid w:val="00931F99"/>
    <w:rsid w:val="00934FC4"/>
    <w:rsid w:val="00935C0C"/>
    <w:rsid w:val="00944B48"/>
    <w:rsid w:val="00944C25"/>
    <w:rsid w:val="009474BC"/>
    <w:rsid w:val="009478F2"/>
    <w:rsid w:val="00955AA1"/>
    <w:rsid w:val="00957A78"/>
    <w:rsid w:val="00960684"/>
    <w:rsid w:val="00964224"/>
    <w:rsid w:val="009705A6"/>
    <w:rsid w:val="00970CE2"/>
    <w:rsid w:val="00975131"/>
    <w:rsid w:val="009808E5"/>
    <w:rsid w:val="009842D0"/>
    <w:rsid w:val="00986D59"/>
    <w:rsid w:val="009948C4"/>
    <w:rsid w:val="00994A56"/>
    <w:rsid w:val="00995ABF"/>
    <w:rsid w:val="009973A1"/>
    <w:rsid w:val="00997F6C"/>
    <w:rsid w:val="009A4C15"/>
    <w:rsid w:val="009B059B"/>
    <w:rsid w:val="009B21CE"/>
    <w:rsid w:val="009B4C15"/>
    <w:rsid w:val="009B4DDF"/>
    <w:rsid w:val="009C3CDE"/>
    <w:rsid w:val="009C5BE9"/>
    <w:rsid w:val="009C5C96"/>
    <w:rsid w:val="009C72DB"/>
    <w:rsid w:val="009D243C"/>
    <w:rsid w:val="009D2F1E"/>
    <w:rsid w:val="009D6283"/>
    <w:rsid w:val="009D6A74"/>
    <w:rsid w:val="009E1573"/>
    <w:rsid w:val="009F4C76"/>
    <w:rsid w:val="009F5BFB"/>
    <w:rsid w:val="009F75C6"/>
    <w:rsid w:val="009F7D61"/>
    <w:rsid w:val="00A00DE2"/>
    <w:rsid w:val="00A041F8"/>
    <w:rsid w:val="00A0436A"/>
    <w:rsid w:val="00A04628"/>
    <w:rsid w:val="00A06B3F"/>
    <w:rsid w:val="00A104FE"/>
    <w:rsid w:val="00A11AC9"/>
    <w:rsid w:val="00A11B2F"/>
    <w:rsid w:val="00A13D20"/>
    <w:rsid w:val="00A1478E"/>
    <w:rsid w:val="00A1536C"/>
    <w:rsid w:val="00A20582"/>
    <w:rsid w:val="00A236A7"/>
    <w:rsid w:val="00A244FB"/>
    <w:rsid w:val="00A2562F"/>
    <w:rsid w:val="00A26F89"/>
    <w:rsid w:val="00A3039E"/>
    <w:rsid w:val="00A317FB"/>
    <w:rsid w:val="00A3210C"/>
    <w:rsid w:val="00A33995"/>
    <w:rsid w:val="00A35A5B"/>
    <w:rsid w:val="00A37290"/>
    <w:rsid w:val="00A37B0D"/>
    <w:rsid w:val="00A4007F"/>
    <w:rsid w:val="00A402D3"/>
    <w:rsid w:val="00A40B8E"/>
    <w:rsid w:val="00A42268"/>
    <w:rsid w:val="00A42F36"/>
    <w:rsid w:val="00A43984"/>
    <w:rsid w:val="00A43BB1"/>
    <w:rsid w:val="00A45163"/>
    <w:rsid w:val="00A46358"/>
    <w:rsid w:val="00A523FB"/>
    <w:rsid w:val="00A52D36"/>
    <w:rsid w:val="00A5525A"/>
    <w:rsid w:val="00A56E6A"/>
    <w:rsid w:val="00A5736B"/>
    <w:rsid w:val="00A574C7"/>
    <w:rsid w:val="00A579E8"/>
    <w:rsid w:val="00A57BBE"/>
    <w:rsid w:val="00A62339"/>
    <w:rsid w:val="00A64E59"/>
    <w:rsid w:val="00A65C71"/>
    <w:rsid w:val="00A66B7B"/>
    <w:rsid w:val="00A675D1"/>
    <w:rsid w:val="00A72096"/>
    <w:rsid w:val="00A74A60"/>
    <w:rsid w:val="00A77DC3"/>
    <w:rsid w:val="00A82A21"/>
    <w:rsid w:val="00A82C82"/>
    <w:rsid w:val="00A833FD"/>
    <w:rsid w:val="00A83A7E"/>
    <w:rsid w:val="00A847D4"/>
    <w:rsid w:val="00A87124"/>
    <w:rsid w:val="00A87156"/>
    <w:rsid w:val="00A91EB6"/>
    <w:rsid w:val="00A93B03"/>
    <w:rsid w:val="00A94A0F"/>
    <w:rsid w:val="00AA39DA"/>
    <w:rsid w:val="00AA4E5F"/>
    <w:rsid w:val="00AA5CA6"/>
    <w:rsid w:val="00AA78D3"/>
    <w:rsid w:val="00AB194D"/>
    <w:rsid w:val="00AB485F"/>
    <w:rsid w:val="00AB49E1"/>
    <w:rsid w:val="00AB5800"/>
    <w:rsid w:val="00AB5B3A"/>
    <w:rsid w:val="00AC05F3"/>
    <w:rsid w:val="00AC2B41"/>
    <w:rsid w:val="00AC4819"/>
    <w:rsid w:val="00AC70C0"/>
    <w:rsid w:val="00AD04D7"/>
    <w:rsid w:val="00AD1FCB"/>
    <w:rsid w:val="00AD3088"/>
    <w:rsid w:val="00AE05CF"/>
    <w:rsid w:val="00AE28A5"/>
    <w:rsid w:val="00AE39DB"/>
    <w:rsid w:val="00AE3E64"/>
    <w:rsid w:val="00AE4666"/>
    <w:rsid w:val="00AE5872"/>
    <w:rsid w:val="00AE61B2"/>
    <w:rsid w:val="00AF2435"/>
    <w:rsid w:val="00AF473C"/>
    <w:rsid w:val="00AF5A2B"/>
    <w:rsid w:val="00AF6467"/>
    <w:rsid w:val="00B00602"/>
    <w:rsid w:val="00B02E02"/>
    <w:rsid w:val="00B043B4"/>
    <w:rsid w:val="00B07F44"/>
    <w:rsid w:val="00B104D9"/>
    <w:rsid w:val="00B11660"/>
    <w:rsid w:val="00B1229C"/>
    <w:rsid w:val="00B15A36"/>
    <w:rsid w:val="00B17791"/>
    <w:rsid w:val="00B22C51"/>
    <w:rsid w:val="00B2584E"/>
    <w:rsid w:val="00B26A08"/>
    <w:rsid w:val="00B270CB"/>
    <w:rsid w:val="00B35F7D"/>
    <w:rsid w:val="00B36D9A"/>
    <w:rsid w:val="00B372EB"/>
    <w:rsid w:val="00B37916"/>
    <w:rsid w:val="00B44F68"/>
    <w:rsid w:val="00B45635"/>
    <w:rsid w:val="00B463ED"/>
    <w:rsid w:val="00B5111D"/>
    <w:rsid w:val="00B54CAF"/>
    <w:rsid w:val="00B54DAD"/>
    <w:rsid w:val="00B54FD9"/>
    <w:rsid w:val="00B5694B"/>
    <w:rsid w:val="00B62BC6"/>
    <w:rsid w:val="00B6302E"/>
    <w:rsid w:val="00B63EF3"/>
    <w:rsid w:val="00B64C6E"/>
    <w:rsid w:val="00B651BB"/>
    <w:rsid w:val="00B66419"/>
    <w:rsid w:val="00B71E6F"/>
    <w:rsid w:val="00B76639"/>
    <w:rsid w:val="00B801B0"/>
    <w:rsid w:val="00B82285"/>
    <w:rsid w:val="00B82EAD"/>
    <w:rsid w:val="00B84C89"/>
    <w:rsid w:val="00B85E6F"/>
    <w:rsid w:val="00B86990"/>
    <w:rsid w:val="00B9187C"/>
    <w:rsid w:val="00BA0319"/>
    <w:rsid w:val="00BA3D77"/>
    <w:rsid w:val="00BB01E4"/>
    <w:rsid w:val="00BB352C"/>
    <w:rsid w:val="00BB49CD"/>
    <w:rsid w:val="00BC10EC"/>
    <w:rsid w:val="00BC14E1"/>
    <w:rsid w:val="00BC2BF7"/>
    <w:rsid w:val="00BC4EFE"/>
    <w:rsid w:val="00BD270C"/>
    <w:rsid w:val="00BD7CCF"/>
    <w:rsid w:val="00BE329F"/>
    <w:rsid w:val="00BE68D4"/>
    <w:rsid w:val="00BF02C9"/>
    <w:rsid w:val="00BF261C"/>
    <w:rsid w:val="00BF6946"/>
    <w:rsid w:val="00BF6C5F"/>
    <w:rsid w:val="00BF7328"/>
    <w:rsid w:val="00C00DE8"/>
    <w:rsid w:val="00C05689"/>
    <w:rsid w:val="00C063BF"/>
    <w:rsid w:val="00C12195"/>
    <w:rsid w:val="00C14047"/>
    <w:rsid w:val="00C162EF"/>
    <w:rsid w:val="00C17B49"/>
    <w:rsid w:val="00C21D7A"/>
    <w:rsid w:val="00C2446B"/>
    <w:rsid w:val="00C24DFE"/>
    <w:rsid w:val="00C37279"/>
    <w:rsid w:val="00C439C8"/>
    <w:rsid w:val="00C43EF2"/>
    <w:rsid w:val="00C47D66"/>
    <w:rsid w:val="00C50B59"/>
    <w:rsid w:val="00C54E8C"/>
    <w:rsid w:val="00C7135D"/>
    <w:rsid w:val="00C7259D"/>
    <w:rsid w:val="00C73B89"/>
    <w:rsid w:val="00C7459B"/>
    <w:rsid w:val="00C74E96"/>
    <w:rsid w:val="00C81840"/>
    <w:rsid w:val="00C8195C"/>
    <w:rsid w:val="00C8264B"/>
    <w:rsid w:val="00C82928"/>
    <w:rsid w:val="00C83018"/>
    <w:rsid w:val="00C83179"/>
    <w:rsid w:val="00C83A38"/>
    <w:rsid w:val="00C83F71"/>
    <w:rsid w:val="00C87F32"/>
    <w:rsid w:val="00C90326"/>
    <w:rsid w:val="00C9170A"/>
    <w:rsid w:val="00C91DF5"/>
    <w:rsid w:val="00C9223E"/>
    <w:rsid w:val="00C96554"/>
    <w:rsid w:val="00C96CF5"/>
    <w:rsid w:val="00CA1BEB"/>
    <w:rsid w:val="00CA3B86"/>
    <w:rsid w:val="00CA50D4"/>
    <w:rsid w:val="00CA5CF0"/>
    <w:rsid w:val="00CA6059"/>
    <w:rsid w:val="00CA6EB5"/>
    <w:rsid w:val="00CB103C"/>
    <w:rsid w:val="00CB2FEE"/>
    <w:rsid w:val="00CC061F"/>
    <w:rsid w:val="00CC3BD8"/>
    <w:rsid w:val="00CC41FD"/>
    <w:rsid w:val="00CC6B8E"/>
    <w:rsid w:val="00CD3626"/>
    <w:rsid w:val="00CD3F99"/>
    <w:rsid w:val="00CD45E7"/>
    <w:rsid w:val="00CD6463"/>
    <w:rsid w:val="00CE3A8A"/>
    <w:rsid w:val="00CE7973"/>
    <w:rsid w:val="00CE7DD4"/>
    <w:rsid w:val="00CF37AE"/>
    <w:rsid w:val="00D022D1"/>
    <w:rsid w:val="00D04E67"/>
    <w:rsid w:val="00D053AD"/>
    <w:rsid w:val="00D054C1"/>
    <w:rsid w:val="00D057A5"/>
    <w:rsid w:val="00D16F6F"/>
    <w:rsid w:val="00D20C69"/>
    <w:rsid w:val="00D230A3"/>
    <w:rsid w:val="00D23DCE"/>
    <w:rsid w:val="00D27368"/>
    <w:rsid w:val="00D34AAC"/>
    <w:rsid w:val="00D4156F"/>
    <w:rsid w:val="00D41DF3"/>
    <w:rsid w:val="00D44F99"/>
    <w:rsid w:val="00D45D51"/>
    <w:rsid w:val="00D5211C"/>
    <w:rsid w:val="00D526AE"/>
    <w:rsid w:val="00D5634A"/>
    <w:rsid w:val="00D56DC0"/>
    <w:rsid w:val="00D573EE"/>
    <w:rsid w:val="00D60316"/>
    <w:rsid w:val="00D62798"/>
    <w:rsid w:val="00D64011"/>
    <w:rsid w:val="00D64B59"/>
    <w:rsid w:val="00D64DF9"/>
    <w:rsid w:val="00D6528B"/>
    <w:rsid w:val="00D662E4"/>
    <w:rsid w:val="00D6657F"/>
    <w:rsid w:val="00D67069"/>
    <w:rsid w:val="00D70800"/>
    <w:rsid w:val="00D73C67"/>
    <w:rsid w:val="00D823C9"/>
    <w:rsid w:val="00D82906"/>
    <w:rsid w:val="00D834E3"/>
    <w:rsid w:val="00D913A1"/>
    <w:rsid w:val="00D9252E"/>
    <w:rsid w:val="00D94757"/>
    <w:rsid w:val="00D960D6"/>
    <w:rsid w:val="00D96708"/>
    <w:rsid w:val="00DA218C"/>
    <w:rsid w:val="00DA5B57"/>
    <w:rsid w:val="00DA7700"/>
    <w:rsid w:val="00DB0146"/>
    <w:rsid w:val="00DB3C76"/>
    <w:rsid w:val="00DB5748"/>
    <w:rsid w:val="00DB6CCA"/>
    <w:rsid w:val="00DB7D1C"/>
    <w:rsid w:val="00DC26A5"/>
    <w:rsid w:val="00DC27A3"/>
    <w:rsid w:val="00DC7EC6"/>
    <w:rsid w:val="00DD07F6"/>
    <w:rsid w:val="00DD127B"/>
    <w:rsid w:val="00DD1EC9"/>
    <w:rsid w:val="00DD27D4"/>
    <w:rsid w:val="00DE2FB6"/>
    <w:rsid w:val="00DE354B"/>
    <w:rsid w:val="00DE4026"/>
    <w:rsid w:val="00DF2F0B"/>
    <w:rsid w:val="00DF6461"/>
    <w:rsid w:val="00E02CF9"/>
    <w:rsid w:val="00E05B3E"/>
    <w:rsid w:val="00E0646D"/>
    <w:rsid w:val="00E14568"/>
    <w:rsid w:val="00E1556A"/>
    <w:rsid w:val="00E157BD"/>
    <w:rsid w:val="00E2125C"/>
    <w:rsid w:val="00E21F89"/>
    <w:rsid w:val="00E31C62"/>
    <w:rsid w:val="00E328F5"/>
    <w:rsid w:val="00E334CD"/>
    <w:rsid w:val="00E40B2C"/>
    <w:rsid w:val="00E41EA6"/>
    <w:rsid w:val="00E43B86"/>
    <w:rsid w:val="00E46FDA"/>
    <w:rsid w:val="00E475F4"/>
    <w:rsid w:val="00E5149C"/>
    <w:rsid w:val="00E52EE5"/>
    <w:rsid w:val="00E55487"/>
    <w:rsid w:val="00E56F9E"/>
    <w:rsid w:val="00E57DF4"/>
    <w:rsid w:val="00E60417"/>
    <w:rsid w:val="00E60768"/>
    <w:rsid w:val="00E63062"/>
    <w:rsid w:val="00E6470D"/>
    <w:rsid w:val="00E64B57"/>
    <w:rsid w:val="00E656CA"/>
    <w:rsid w:val="00E65F36"/>
    <w:rsid w:val="00E73965"/>
    <w:rsid w:val="00E73A91"/>
    <w:rsid w:val="00E75541"/>
    <w:rsid w:val="00E75960"/>
    <w:rsid w:val="00E801BC"/>
    <w:rsid w:val="00E83DCB"/>
    <w:rsid w:val="00E852AE"/>
    <w:rsid w:val="00E85669"/>
    <w:rsid w:val="00E86488"/>
    <w:rsid w:val="00E91F05"/>
    <w:rsid w:val="00E93D06"/>
    <w:rsid w:val="00E94212"/>
    <w:rsid w:val="00E9531C"/>
    <w:rsid w:val="00E95802"/>
    <w:rsid w:val="00EA0180"/>
    <w:rsid w:val="00EA5993"/>
    <w:rsid w:val="00EA6EC0"/>
    <w:rsid w:val="00EB1709"/>
    <w:rsid w:val="00EB4471"/>
    <w:rsid w:val="00EB4950"/>
    <w:rsid w:val="00EB6514"/>
    <w:rsid w:val="00EB6DF1"/>
    <w:rsid w:val="00EC4C12"/>
    <w:rsid w:val="00EC4C60"/>
    <w:rsid w:val="00EC5E91"/>
    <w:rsid w:val="00EC6D95"/>
    <w:rsid w:val="00ED0698"/>
    <w:rsid w:val="00ED224A"/>
    <w:rsid w:val="00ED2A74"/>
    <w:rsid w:val="00ED2AF1"/>
    <w:rsid w:val="00ED5A7C"/>
    <w:rsid w:val="00ED6E82"/>
    <w:rsid w:val="00ED6E9C"/>
    <w:rsid w:val="00EE3CC9"/>
    <w:rsid w:val="00EE4143"/>
    <w:rsid w:val="00EE4D81"/>
    <w:rsid w:val="00EF65E8"/>
    <w:rsid w:val="00F00550"/>
    <w:rsid w:val="00F006F4"/>
    <w:rsid w:val="00F12D77"/>
    <w:rsid w:val="00F1389D"/>
    <w:rsid w:val="00F16059"/>
    <w:rsid w:val="00F1685D"/>
    <w:rsid w:val="00F27BEC"/>
    <w:rsid w:val="00F31A5F"/>
    <w:rsid w:val="00F372EC"/>
    <w:rsid w:val="00F40245"/>
    <w:rsid w:val="00F47F8E"/>
    <w:rsid w:val="00F506A7"/>
    <w:rsid w:val="00F5378B"/>
    <w:rsid w:val="00F54208"/>
    <w:rsid w:val="00F61218"/>
    <w:rsid w:val="00F6372B"/>
    <w:rsid w:val="00F650A3"/>
    <w:rsid w:val="00F67012"/>
    <w:rsid w:val="00F67BB8"/>
    <w:rsid w:val="00F705A0"/>
    <w:rsid w:val="00F708E9"/>
    <w:rsid w:val="00F75AEA"/>
    <w:rsid w:val="00F75FFC"/>
    <w:rsid w:val="00F77290"/>
    <w:rsid w:val="00F814A0"/>
    <w:rsid w:val="00F829D6"/>
    <w:rsid w:val="00F86D09"/>
    <w:rsid w:val="00F96F7E"/>
    <w:rsid w:val="00F979A0"/>
    <w:rsid w:val="00FA2A27"/>
    <w:rsid w:val="00FA5492"/>
    <w:rsid w:val="00FA564C"/>
    <w:rsid w:val="00FB1673"/>
    <w:rsid w:val="00FB1E16"/>
    <w:rsid w:val="00FB242B"/>
    <w:rsid w:val="00FB3B54"/>
    <w:rsid w:val="00FC0041"/>
    <w:rsid w:val="00FC53B1"/>
    <w:rsid w:val="00FC59E7"/>
    <w:rsid w:val="00FC61BE"/>
    <w:rsid w:val="00FC6EEB"/>
    <w:rsid w:val="00FD085D"/>
    <w:rsid w:val="00FD1412"/>
    <w:rsid w:val="00FD63D6"/>
    <w:rsid w:val="00FE1646"/>
    <w:rsid w:val="00FE26CD"/>
    <w:rsid w:val="00FF13D8"/>
    <w:rsid w:val="00FF1764"/>
    <w:rsid w:val="00FF22E3"/>
    <w:rsid w:val="00FF3618"/>
    <w:rsid w:val="00FF36D5"/>
    <w:rsid w:val="00FF5377"/>
    <w:rsid w:val="00FF5781"/>
    <w:rsid w:val="00FF693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C9F398"/>
  <w15:docId w15:val="{F4F0152A-1769-46BC-99E7-1E35CCF72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4115"/>
    <w:pPr>
      <w:suppressAutoHyphens/>
      <w:spacing w:after="0" w:line="240" w:lineRule="atLeast"/>
    </w:pPr>
    <w:rPr>
      <w:rFonts w:ascii="Times New Roman" w:eastAsia="Times New Roman" w:hAnsi="Times New Roman" w:cs="Times New Roman"/>
      <w:sz w:val="20"/>
      <w:szCs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164115"/>
    <w:pPr>
      <w:spacing w:after="120"/>
      <w:ind w:left="1134" w:right="1134"/>
      <w:jc w:val="both"/>
    </w:pPr>
  </w:style>
  <w:style w:type="paragraph" w:customStyle="1" w:styleId="HMG">
    <w:name w:val="_ H __M_G"/>
    <w:basedOn w:val="Normal"/>
    <w:next w:val="Normal"/>
    <w:rsid w:val="00164115"/>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164115"/>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uiPriority w:val="99"/>
    <w:rsid w:val="00164115"/>
    <w:rPr>
      <w:rFonts w:ascii="Times New Roman" w:hAnsi="Times New Roman"/>
      <w:sz w:val="18"/>
      <w:vertAlign w:val="superscript"/>
    </w:rPr>
  </w:style>
  <w:style w:type="paragraph" w:styleId="Header">
    <w:name w:val="header"/>
    <w:aliases w:val="6_G"/>
    <w:basedOn w:val="Normal"/>
    <w:link w:val="HeaderChar"/>
    <w:rsid w:val="00164115"/>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164115"/>
    <w:rPr>
      <w:rFonts w:ascii="Times New Roman" w:eastAsia="Times New Roman" w:hAnsi="Times New Roman" w:cs="Times New Roman"/>
      <w:b/>
      <w:sz w:val="18"/>
      <w:szCs w:val="20"/>
      <w:lang w:val="en-GB" w:eastAsia="en-US"/>
    </w:rPr>
  </w:style>
  <w:style w:type="paragraph" w:styleId="FootnoteText">
    <w:name w:val="footnote text"/>
    <w:aliases w:val="5_G"/>
    <w:basedOn w:val="Normal"/>
    <w:link w:val="FootnoteTextChar"/>
    <w:uiPriority w:val="99"/>
    <w:rsid w:val="00164115"/>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uiPriority w:val="99"/>
    <w:rsid w:val="00164115"/>
    <w:rPr>
      <w:rFonts w:ascii="Times New Roman" w:eastAsia="Times New Roman" w:hAnsi="Times New Roman" w:cs="Times New Roman"/>
      <w:sz w:val="18"/>
      <w:szCs w:val="20"/>
      <w:lang w:val="en-GB" w:eastAsia="en-US"/>
    </w:rPr>
  </w:style>
  <w:style w:type="paragraph" w:customStyle="1" w:styleId="Bullet1G">
    <w:name w:val="_Bullet 1_G"/>
    <w:basedOn w:val="Normal"/>
    <w:rsid w:val="00164115"/>
    <w:pPr>
      <w:numPr>
        <w:numId w:val="1"/>
      </w:numPr>
      <w:spacing w:after="120"/>
      <w:ind w:right="1134"/>
      <w:jc w:val="both"/>
    </w:pPr>
  </w:style>
  <w:style w:type="paragraph" w:styleId="Footer">
    <w:name w:val="footer"/>
    <w:aliases w:val="3_G"/>
    <w:basedOn w:val="Normal"/>
    <w:link w:val="FooterChar"/>
    <w:rsid w:val="00164115"/>
    <w:pPr>
      <w:spacing w:line="240" w:lineRule="auto"/>
    </w:pPr>
    <w:rPr>
      <w:sz w:val="16"/>
    </w:rPr>
  </w:style>
  <w:style w:type="character" w:customStyle="1" w:styleId="FooterChar">
    <w:name w:val="Footer Char"/>
    <w:aliases w:val="3_G Char"/>
    <w:basedOn w:val="DefaultParagraphFont"/>
    <w:link w:val="Footer"/>
    <w:rsid w:val="00164115"/>
    <w:rPr>
      <w:rFonts w:ascii="Times New Roman" w:eastAsia="Times New Roman" w:hAnsi="Times New Roman" w:cs="Times New Roman"/>
      <w:sz w:val="16"/>
      <w:szCs w:val="20"/>
      <w:lang w:val="en-GB" w:eastAsia="en-US"/>
    </w:rPr>
  </w:style>
  <w:style w:type="paragraph" w:customStyle="1" w:styleId="H1G">
    <w:name w:val="_ H_1_G"/>
    <w:basedOn w:val="Normal"/>
    <w:next w:val="Normal"/>
    <w:rsid w:val="00164115"/>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164115"/>
    <w:pPr>
      <w:keepNext/>
      <w:keepLines/>
      <w:tabs>
        <w:tab w:val="right" w:pos="851"/>
      </w:tabs>
      <w:spacing w:before="240" w:after="120" w:line="240" w:lineRule="exact"/>
      <w:ind w:left="1134" w:right="1134" w:hanging="1134"/>
    </w:pPr>
    <w:rPr>
      <w:b/>
    </w:rPr>
  </w:style>
  <w:style w:type="character" w:customStyle="1" w:styleId="HChGChar">
    <w:name w:val="_ H _Ch_G Char"/>
    <w:link w:val="HChG"/>
    <w:rsid w:val="00164115"/>
    <w:rPr>
      <w:rFonts w:ascii="Times New Roman" w:eastAsia="Times New Roman" w:hAnsi="Times New Roman" w:cs="Times New Roman"/>
      <w:b/>
      <w:sz w:val="28"/>
      <w:szCs w:val="20"/>
      <w:lang w:val="en-GB" w:eastAsia="en-US"/>
    </w:rPr>
  </w:style>
  <w:style w:type="character" w:customStyle="1" w:styleId="SingleTxtGChar">
    <w:name w:val="_ Single Txt_G Char"/>
    <w:link w:val="SingleTxtG"/>
    <w:qFormat/>
    <w:rsid w:val="00164115"/>
    <w:rPr>
      <w:rFonts w:ascii="Times New Roman" w:eastAsia="Times New Roman" w:hAnsi="Times New Roman" w:cs="Times New Roman"/>
      <w:sz w:val="20"/>
      <w:szCs w:val="20"/>
      <w:lang w:val="en-GB" w:eastAsia="en-US"/>
    </w:rPr>
  </w:style>
  <w:style w:type="character" w:styleId="CommentReference">
    <w:name w:val="annotation reference"/>
    <w:uiPriority w:val="99"/>
    <w:rsid w:val="00164115"/>
    <w:rPr>
      <w:sz w:val="6"/>
    </w:rPr>
  </w:style>
  <w:style w:type="paragraph" w:styleId="CommentText">
    <w:name w:val="annotation text"/>
    <w:basedOn w:val="Normal"/>
    <w:link w:val="CommentTextChar"/>
    <w:uiPriority w:val="99"/>
    <w:rsid w:val="00164115"/>
  </w:style>
  <w:style w:type="character" w:customStyle="1" w:styleId="CommentTextChar">
    <w:name w:val="Comment Text Char"/>
    <w:basedOn w:val="DefaultParagraphFont"/>
    <w:link w:val="CommentText"/>
    <w:uiPriority w:val="99"/>
    <w:rsid w:val="00164115"/>
    <w:rPr>
      <w:rFonts w:ascii="Times New Roman" w:eastAsia="Times New Roman" w:hAnsi="Times New Roman" w:cs="Times New Roman"/>
      <w:sz w:val="20"/>
      <w:szCs w:val="20"/>
      <w:lang w:val="en-GB" w:eastAsia="en-US"/>
    </w:rPr>
  </w:style>
  <w:style w:type="character" w:styleId="EndnoteReference">
    <w:name w:val="endnote reference"/>
    <w:aliases w:val="1_G"/>
    <w:basedOn w:val="FootnoteReference"/>
    <w:rsid w:val="00552785"/>
    <w:rPr>
      <w:rFonts w:ascii="Times New Roman" w:hAnsi="Times New Roman"/>
      <w:sz w:val="18"/>
      <w:vertAlign w:val="superscript"/>
    </w:rPr>
  </w:style>
  <w:style w:type="paragraph" w:styleId="BalloonText">
    <w:name w:val="Balloon Text"/>
    <w:basedOn w:val="Normal"/>
    <w:link w:val="BalloonTextChar"/>
    <w:uiPriority w:val="99"/>
    <w:semiHidden/>
    <w:unhideWhenUsed/>
    <w:rsid w:val="008D66A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66A4"/>
    <w:rPr>
      <w:rFonts w:ascii="Tahoma" w:eastAsia="Times New Roman" w:hAnsi="Tahoma" w:cs="Tahoma"/>
      <w:sz w:val="16"/>
      <w:szCs w:val="16"/>
      <w:lang w:val="en-GB" w:eastAsia="en-US"/>
    </w:rPr>
  </w:style>
  <w:style w:type="paragraph" w:styleId="CommentSubject">
    <w:name w:val="annotation subject"/>
    <w:basedOn w:val="CommentText"/>
    <w:next w:val="CommentText"/>
    <w:link w:val="CommentSubjectChar"/>
    <w:uiPriority w:val="99"/>
    <w:semiHidden/>
    <w:unhideWhenUsed/>
    <w:rsid w:val="00186B57"/>
    <w:pPr>
      <w:spacing w:line="240" w:lineRule="auto"/>
    </w:pPr>
    <w:rPr>
      <w:b/>
      <w:bCs/>
    </w:rPr>
  </w:style>
  <w:style w:type="character" w:customStyle="1" w:styleId="CommentSubjectChar">
    <w:name w:val="Comment Subject Char"/>
    <w:basedOn w:val="CommentTextChar"/>
    <w:link w:val="CommentSubject"/>
    <w:uiPriority w:val="99"/>
    <w:semiHidden/>
    <w:rsid w:val="00186B57"/>
    <w:rPr>
      <w:rFonts w:ascii="Times New Roman" w:eastAsia="Times New Roman" w:hAnsi="Times New Roman" w:cs="Times New Roman"/>
      <w:b/>
      <w:bCs/>
      <w:sz w:val="20"/>
      <w:szCs w:val="20"/>
      <w:lang w:val="en-GB" w:eastAsia="en-US"/>
    </w:rPr>
  </w:style>
  <w:style w:type="paragraph" w:customStyle="1" w:styleId="Default">
    <w:name w:val="Default"/>
    <w:rsid w:val="001F647E"/>
    <w:pPr>
      <w:autoSpaceDE w:val="0"/>
      <w:autoSpaceDN w:val="0"/>
      <w:adjustRightInd w:val="0"/>
      <w:spacing w:after="0" w:line="240" w:lineRule="auto"/>
    </w:pPr>
    <w:rPr>
      <w:rFonts w:ascii="Times New Roman" w:hAnsi="Times New Roman" w:cs="Times New Roman"/>
      <w:color w:val="000000"/>
      <w:sz w:val="24"/>
      <w:szCs w:val="24"/>
      <w:lang w:val="en-GB"/>
    </w:rPr>
  </w:style>
  <w:style w:type="character" w:customStyle="1" w:styleId="SingleTxtGCar">
    <w:name w:val="_ Single Txt_G Car"/>
    <w:rsid w:val="00AE28A5"/>
    <w:rPr>
      <w:lang w:eastAsia="en-US"/>
    </w:rPr>
  </w:style>
  <w:style w:type="character" w:customStyle="1" w:styleId="markedcontent">
    <w:name w:val="markedcontent"/>
    <w:basedOn w:val="DefaultParagraphFont"/>
    <w:rsid w:val="004838B9"/>
  </w:style>
  <w:style w:type="paragraph" w:styleId="ListParagraph">
    <w:name w:val="List Paragraph"/>
    <w:basedOn w:val="Normal"/>
    <w:uiPriority w:val="34"/>
    <w:qFormat/>
    <w:rsid w:val="00A77DC3"/>
    <w:pPr>
      <w:widowControl w:val="0"/>
      <w:suppressAutoHyphens w:val="0"/>
      <w:autoSpaceDE w:val="0"/>
      <w:autoSpaceDN w:val="0"/>
      <w:spacing w:line="240" w:lineRule="auto"/>
      <w:ind w:left="1632"/>
    </w:pPr>
    <w:rPr>
      <w:sz w:val="22"/>
      <w:szCs w:val="22"/>
      <w:lang w:val="en-US"/>
    </w:rPr>
  </w:style>
  <w:style w:type="character" w:styleId="Hyperlink">
    <w:name w:val="Hyperlink"/>
    <w:basedOn w:val="DefaultParagraphFont"/>
    <w:uiPriority w:val="99"/>
    <w:unhideWhenUsed/>
    <w:rsid w:val="000D1812"/>
    <w:rPr>
      <w:color w:val="0563C1" w:themeColor="hyperlink"/>
      <w:u w:val="single"/>
    </w:rPr>
  </w:style>
  <w:style w:type="character" w:styleId="UnresolvedMention">
    <w:name w:val="Unresolved Mention"/>
    <w:basedOn w:val="DefaultParagraphFont"/>
    <w:uiPriority w:val="99"/>
    <w:semiHidden/>
    <w:unhideWhenUsed/>
    <w:rsid w:val="003461C4"/>
    <w:rPr>
      <w:color w:val="605E5C"/>
      <w:shd w:val="clear" w:color="auto" w:fill="E1DFDD"/>
    </w:rPr>
  </w:style>
  <w:style w:type="character" w:styleId="FollowedHyperlink">
    <w:name w:val="FollowedHyperlink"/>
    <w:basedOn w:val="DefaultParagraphFont"/>
    <w:uiPriority w:val="99"/>
    <w:semiHidden/>
    <w:unhideWhenUsed/>
    <w:rsid w:val="00FD085D"/>
    <w:rPr>
      <w:color w:val="954F72" w:themeColor="followedHyperlink"/>
      <w:u w:val="single"/>
    </w:rPr>
  </w:style>
  <w:style w:type="paragraph" w:styleId="Revision">
    <w:name w:val="Revision"/>
    <w:hidden/>
    <w:uiPriority w:val="99"/>
    <w:semiHidden/>
    <w:rsid w:val="006C0FAB"/>
    <w:pPr>
      <w:spacing w:after="0" w:line="240" w:lineRule="auto"/>
    </w:pPr>
    <w:rPr>
      <w:rFonts w:ascii="Times New Roman" w:eastAsia="Times New Roman" w:hAnsi="Times New Roman" w:cs="Times New Roman"/>
      <w:sz w:val="20"/>
      <w:szCs w:val="20"/>
      <w:lang w:val="en-GB" w:eastAsia="en-US"/>
    </w:rPr>
  </w:style>
  <w:style w:type="character" w:styleId="LineNumber">
    <w:name w:val="line number"/>
    <w:basedOn w:val="DefaultParagraphFont"/>
    <w:uiPriority w:val="99"/>
    <w:semiHidden/>
    <w:unhideWhenUsed/>
    <w:rsid w:val="000B0D5E"/>
  </w:style>
  <w:style w:type="character" w:customStyle="1" w:styleId="UnresolvedMention1">
    <w:name w:val="Unresolved Mention1"/>
    <w:basedOn w:val="DefaultParagraphFont"/>
    <w:uiPriority w:val="99"/>
    <w:semiHidden/>
    <w:unhideWhenUsed/>
    <w:rsid w:val="00A523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2055367">
      <w:bodyDiv w:val="1"/>
      <w:marLeft w:val="0"/>
      <w:marRight w:val="0"/>
      <w:marTop w:val="0"/>
      <w:marBottom w:val="0"/>
      <w:divBdr>
        <w:top w:val="none" w:sz="0" w:space="0" w:color="auto"/>
        <w:left w:val="none" w:sz="0" w:space="0" w:color="auto"/>
        <w:bottom w:val="none" w:sz="0" w:space="0" w:color="auto"/>
        <w:right w:val="none" w:sz="0" w:space="0" w:color="auto"/>
      </w:divBdr>
    </w:div>
    <w:div w:id="368989123">
      <w:bodyDiv w:val="1"/>
      <w:marLeft w:val="0"/>
      <w:marRight w:val="0"/>
      <w:marTop w:val="0"/>
      <w:marBottom w:val="0"/>
      <w:divBdr>
        <w:top w:val="none" w:sz="0" w:space="0" w:color="auto"/>
        <w:left w:val="none" w:sz="0" w:space="0" w:color="auto"/>
        <w:bottom w:val="none" w:sz="0" w:space="0" w:color="auto"/>
        <w:right w:val="none" w:sz="0" w:space="0" w:color="auto"/>
      </w:divBdr>
    </w:div>
    <w:div w:id="689259430">
      <w:bodyDiv w:val="1"/>
      <w:marLeft w:val="0"/>
      <w:marRight w:val="0"/>
      <w:marTop w:val="0"/>
      <w:marBottom w:val="0"/>
      <w:divBdr>
        <w:top w:val="none" w:sz="0" w:space="0" w:color="auto"/>
        <w:left w:val="none" w:sz="0" w:space="0" w:color="auto"/>
        <w:bottom w:val="none" w:sz="0" w:space="0" w:color="auto"/>
        <w:right w:val="none" w:sz="0" w:space="0" w:color="auto"/>
      </w:divBdr>
      <w:divsChild>
        <w:div w:id="1710108723">
          <w:marLeft w:val="144"/>
          <w:marRight w:val="0"/>
          <w:marTop w:val="240"/>
          <w:marBottom w:val="40"/>
          <w:divBdr>
            <w:top w:val="none" w:sz="0" w:space="0" w:color="auto"/>
            <w:left w:val="none" w:sz="0" w:space="0" w:color="auto"/>
            <w:bottom w:val="none" w:sz="0" w:space="0" w:color="auto"/>
            <w:right w:val="none" w:sz="0" w:space="0" w:color="auto"/>
          </w:divBdr>
        </w:div>
      </w:divsChild>
    </w:div>
    <w:div w:id="742527488">
      <w:bodyDiv w:val="1"/>
      <w:marLeft w:val="0"/>
      <w:marRight w:val="0"/>
      <w:marTop w:val="0"/>
      <w:marBottom w:val="0"/>
      <w:divBdr>
        <w:top w:val="none" w:sz="0" w:space="0" w:color="auto"/>
        <w:left w:val="none" w:sz="0" w:space="0" w:color="auto"/>
        <w:bottom w:val="none" w:sz="0" w:space="0" w:color="auto"/>
        <w:right w:val="none" w:sz="0" w:space="0" w:color="auto"/>
      </w:divBdr>
    </w:div>
    <w:div w:id="896092501">
      <w:bodyDiv w:val="1"/>
      <w:marLeft w:val="0"/>
      <w:marRight w:val="0"/>
      <w:marTop w:val="0"/>
      <w:marBottom w:val="0"/>
      <w:divBdr>
        <w:top w:val="none" w:sz="0" w:space="0" w:color="auto"/>
        <w:left w:val="none" w:sz="0" w:space="0" w:color="auto"/>
        <w:bottom w:val="none" w:sz="0" w:space="0" w:color="auto"/>
        <w:right w:val="none" w:sz="0" w:space="0" w:color="auto"/>
      </w:divBdr>
    </w:div>
    <w:div w:id="919565256">
      <w:bodyDiv w:val="1"/>
      <w:marLeft w:val="0"/>
      <w:marRight w:val="0"/>
      <w:marTop w:val="0"/>
      <w:marBottom w:val="0"/>
      <w:divBdr>
        <w:top w:val="none" w:sz="0" w:space="0" w:color="auto"/>
        <w:left w:val="none" w:sz="0" w:space="0" w:color="auto"/>
        <w:bottom w:val="none" w:sz="0" w:space="0" w:color="auto"/>
        <w:right w:val="none" w:sz="0" w:space="0" w:color="auto"/>
      </w:divBdr>
    </w:div>
    <w:div w:id="1173494522">
      <w:bodyDiv w:val="1"/>
      <w:marLeft w:val="0"/>
      <w:marRight w:val="0"/>
      <w:marTop w:val="0"/>
      <w:marBottom w:val="0"/>
      <w:divBdr>
        <w:top w:val="none" w:sz="0" w:space="0" w:color="auto"/>
        <w:left w:val="none" w:sz="0" w:space="0" w:color="auto"/>
        <w:bottom w:val="none" w:sz="0" w:space="0" w:color="auto"/>
        <w:right w:val="none" w:sz="0" w:space="0" w:color="auto"/>
      </w:divBdr>
    </w:div>
    <w:div w:id="1302612195">
      <w:bodyDiv w:val="1"/>
      <w:marLeft w:val="0"/>
      <w:marRight w:val="0"/>
      <w:marTop w:val="0"/>
      <w:marBottom w:val="0"/>
      <w:divBdr>
        <w:top w:val="none" w:sz="0" w:space="0" w:color="auto"/>
        <w:left w:val="none" w:sz="0" w:space="0" w:color="auto"/>
        <w:bottom w:val="none" w:sz="0" w:space="0" w:color="auto"/>
        <w:right w:val="none" w:sz="0" w:space="0" w:color="auto"/>
      </w:divBdr>
      <w:divsChild>
        <w:div w:id="380833391">
          <w:marLeft w:val="144"/>
          <w:marRight w:val="0"/>
          <w:marTop w:val="240"/>
          <w:marBottom w:val="40"/>
          <w:divBdr>
            <w:top w:val="none" w:sz="0" w:space="0" w:color="auto"/>
            <w:left w:val="none" w:sz="0" w:space="0" w:color="auto"/>
            <w:bottom w:val="none" w:sz="0" w:space="0" w:color="auto"/>
            <w:right w:val="none" w:sz="0" w:space="0" w:color="auto"/>
          </w:divBdr>
        </w:div>
      </w:divsChild>
    </w:div>
    <w:div w:id="1312708432">
      <w:bodyDiv w:val="1"/>
      <w:marLeft w:val="0"/>
      <w:marRight w:val="0"/>
      <w:marTop w:val="0"/>
      <w:marBottom w:val="0"/>
      <w:divBdr>
        <w:top w:val="none" w:sz="0" w:space="0" w:color="auto"/>
        <w:left w:val="none" w:sz="0" w:space="0" w:color="auto"/>
        <w:bottom w:val="none" w:sz="0" w:space="0" w:color="auto"/>
        <w:right w:val="none" w:sz="0" w:space="0" w:color="auto"/>
      </w:divBdr>
    </w:div>
    <w:div w:id="1772898245">
      <w:bodyDiv w:val="1"/>
      <w:marLeft w:val="0"/>
      <w:marRight w:val="0"/>
      <w:marTop w:val="0"/>
      <w:marBottom w:val="0"/>
      <w:divBdr>
        <w:top w:val="none" w:sz="0" w:space="0" w:color="auto"/>
        <w:left w:val="none" w:sz="0" w:space="0" w:color="auto"/>
        <w:bottom w:val="none" w:sz="0" w:space="0" w:color="auto"/>
        <w:right w:val="none" w:sz="0" w:space="0" w:color="auto"/>
      </w:divBdr>
    </w:div>
    <w:div w:id="18324834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doi.org/10.1787/9789264030213-en" TargetMode="External"/><Relationship Id="rId3" Type="http://schemas.openxmlformats.org/officeDocument/2006/relationships/hyperlink" Target="https://unece.org/transport/documents/2022/12/reports/report-sub-committee-experts-globally-harmonized-system" TargetMode="External"/><Relationship Id="rId7" Type="http://schemas.openxmlformats.org/officeDocument/2006/relationships/hyperlink" Target="https://unece.org/sites/default/files/2022-12/ST-SG-AC10-C4-86e_0.pdf" TargetMode="External"/><Relationship Id="rId2" Type="http://schemas.openxmlformats.org/officeDocument/2006/relationships/hyperlink" Target="https://unece.org/transport/documents/2022/12/informal-documents/addendum-stsgac10c4202218-unaddressed-hazard-classes" TargetMode="External"/><Relationship Id="rId1" Type="http://schemas.openxmlformats.org/officeDocument/2006/relationships/hyperlink" Target="https://unece.org/transport/documents/2022/09/working-documents/proposal-new-work-unaddressed-hazard-classes" TargetMode="External"/><Relationship Id="rId6" Type="http://schemas.openxmlformats.org/officeDocument/2006/relationships/hyperlink" Target="https://unece.org/transport/documents/2024/04/working-documents/potential-hazard-issues-and-their-presentation-3" TargetMode="External"/><Relationship Id="rId5" Type="http://schemas.openxmlformats.org/officeDocument/2006/relationships/hyperlink" Target="https://unece.org/transport/dangerous-goods/ghs-rev10-2023" TargetMode="External"/><Relationship Id="rId4" Type="http://schemas.openxmlformats.org/officeDocument/2006/relationships/hyperlink" Target="https://unece.org/transport/documents/2023/07/informal-documents/potential-hazard-issues-and-their-presentation-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9" ma:contentTypeDescription="Create a new document." ma:contentTypeScope="" ma:versionID="957983f112ff70deb4ba3514eaba81b6">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226e8c697896011a9f0e61e90df53f9c"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382C75-0838-40C0-BA91-09C4DEEB870B}">
  <ds:schemaRefs>
    <ds:schemaRef ds:uri="http://schemas.microsoft.com/sharepoint/v3/contenttype/forms"/>
  </ds:schemaRefs>
</ds:datastoreItem>
</file>

<file path=customXml/itemProps2.xml><?xml version="1.0" encoding="utf-8"?>
<ds:datastoreItem xmlns:ds="http://schemas.openxmlformats.org/officeDocument/2006/customXml" ds:itemID="{C1FDD5FE-3F03-4B8E-9DDE-3D89A9DADD3C}">
  <ds:schemaRefs>
    <ds:schemaRef ds:uri="http://schemas.microsoft.com/sharepoint/v3/contenttype/forms"/>
  </ds:schemaRefs>
</ds:datastoreItem>
</file>

<file path=customXml/itemProps3.xml><?xml version="1.0" encoding="utf-8"?>
<ds:datastoreItem xmlns:ds="http://schemas.openxmlformats.org/officeDocument/2006/customXml" ds:itemID="{DC501C49-3A01-4DB9-A3B2-AAFF0ECAC4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AF962D5-BF50-4CDA-B94A-32275336C1C9}">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customXml/itemProps5.xml><?xml version="1.0" encoding="utf-8"?>
<ds:datastoreItem xmlns:ds="http://schemas.openxmlformats.org/officeDocument/2006/customXml" ds:itemID="{D49C5479-3EB3-4F7B-B650-214B1DFED4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5</Pages>
  <Words>2510</Words>
  <Characters>13809</Characters>
  <Application>Microsoft Office Word</Application>
  <DocSecurity>0</DocSecurity>
  <Lines>115</Lines>
  <Paragraphs>32</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PHI-IWG status of work report</vt:lpstr>
      <vt:lpstr>PHI-IWG status of work report</vt:lpstr>
      <vt:lpstr/>
    </vt:vector>
  </TitlesOfParts>
  <Manager>EU</Manager>
  <Company>ECE-ISU</Company>
  <LinksUpToDate>false</LinksUpToDate>
  <CharactersWithSpaces>16287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PHI-IWG status of work report</dc:title>
  <dc:subject>GHS</dc:subject>
  <dc:creator>PHI-IWG</dc:creator>
  <cp:keywords/>
  <dc:description/>
  <cp:lastModifiedBy>Alicia Dorca Garcia</cp:lastModifiedBy>
  <cp:revision>9</cp:revision>
  <cp:lastPrinted>2022-06-21T09:49:00Z</cp:lastPrinted>
  <dcterms:created xsi:type="dcterms:W3CDTF">2024-07-01T15:12:00Z</dcterms:created>
  <dcterms:modified xsi:type="dcterms:W3CDTF">2024-07-02T06:29:00Z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MediaServiceImageTags">
    <vt:lpwstr/>
  </property>
  <property fmtid="{D5CDD505-2E9C-101B-9397-08002B2CF9AE}" pid="4" name="MSIP_Label_6bd9ddd1-4d20-43f6-abfa-fc3c07406f94_Enabled">
    <vt:lpwstr>true</vt:lpwstr>
  </property>
  <property fmtid="{D5CDD505-2E9C-101B-9397-08002B2CF9AE}" pid="5" name="MSIP_Label_6bd9ddd1-4d20-43f6-abfa-fc3c07406f94_SetDate">
    <vt:lpwstr>2022-10-14T14:59:06Z</vt:lpwstr>
  </property>
  <property fmtid="{D5CDD505-2E9C-101B-9397-08002B2CF9AE}" pid="6" name="MSIP_Label_6bd9ddd1-4d20-43f6-abfa-fc3c07406f94_Method">
    <vt:lpwstr>Privileged</vt:lpwstr>
  </property>
  <property fmtid="{D5CDD505-2E9C-101B-9397-08002B2CF9AE}" pid="7" name="MSIP_Label_6bd9ddd1-4d20-43f6-abfa-fc3c07406f94_Name">
    <vt:lpwstr>Commission Use</vt:lpwstr>
  </property>
  <property fmtid="{D5CDD505-2E9C-101B-9397-08002B2CF9AE}" pid="8" name="MSIP_Label_6bd9ddd1-4d20-43f6-abfa-fc3c07406f94_SiteId">
    <vt:lpwstr>b24c8b06-522c-46fe-9080-70926f8dddb1</vt:lpwstr>
  </property>
  <property fmtid="{D5CDD505-2E9C-101B-9397-08002B2CF9AE}" pid="9" name="MSIP_Label_6bd9ddd1-4d20-43f6-abfa-fc3c07406f94_ActionId">
    <vt:lpwstr>46a0f87b-799b-4998-968b-440367b7870b</vt:lpwstr>
  </property>
  <property fmtid="{D5CDD505-2E9C-101B-9397-08002B2CF9AE}" pid="10" name="MSIP_Label_6bd9ddd1-4d20-43f6-abfa-fc3c07406f94_ContentBits">
    <vt:lpwstr>0</vt:lpwstr>
  </property>
  <property fmtid="{D5CDD505-2E9C-101B-9397-08002B2CF9AE}" pid="11" name="gba66df640194346a5267c50f24d4797">
    <vt:lpwstr/>
  </property>
  <property fmtid="{D5CDD505-2E9C-101B-9397-08002B2CF9AE}" pid="12" name="Office_x0020_of_x0020_Origin">
    <vt:lpwstr/>
  </property>
  <property fmtid="{D5CDD505-2E9C-101B-9397-08002B2CF9AE}" pid="13" name="Office of Origin">
    <vt:lpwstr/>
  </property>
  <property fmtid="{D5CDD505-2E9C-101B-9397-08002B2CF9AE}" pid="14" name="_dlc_DocIdItemGuid">
    <vt:lpwstr>601c9ccf-4faa-446a-8aee-412b543ca437</vt:lpwstr>
  </property>
  <property fmtid="{D5CDD505-2E9C-101B-9397-08002B2CF9AE}" pid="15" name="Julkisuusluokka metatiedot">
    <vt:lpwstr>34;#Salassa pidettävä|9217128b-d36d-45d6-8d2c-0343fd6af4f1</vt:lpwstr>
  </property>
</Properties>
</file>