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07237C" w14:paraId="733BC40E" w14:textId="77777777" w:rsidTr="00FA63B2">
        <w:trPr>
          <w:cantSplit/>
          <w:trHeight w:hRule="exact" w:val="851"/>
        </w:trPr>
        <w:tc>
          <w:tcPr>
            <w:tcW w:w="9072" w:type="dxa"/>
            <w:tcBorders>
              <w:bottom w:val="single" w:sz="4" w:space="0" w:color="auto"/>
            </w:tcBorders>
            <w:vAlign w:val="bottom"/>
          </w:tcPr>
          <w:p w14:paraId="30457239" w14:textId="203AD6D1" w:rsidR="00717408" w:rsidRPr="0007237C" w:rsidRDefault="00FA63B2" w:rsidP="00D660CB">
            <w:pPr>
              <w:jc w:val="right"/>
              <w:rPr>
                <w:b/>
                <w:sz w:val="40"/>
                <w:szCs w:val="40"/>
              </w:rPr>
            </w:pPr>
            <w:r w:rsidRPr="0007237C">
              <w:rPr>
                <w:b/>
                <w:sz w:val="40"/>
                <w:szCs w:val="40"/>
              </w:rPr>
              <w:t>UN/SCEGHS/</w:t>
            </w:r>
            <w:r w:rsidR="00260117" w:rsidRPr="0007237C">
              <w:rPr>
                <w:b/>
                <w:sz w:val="40"/>
                <w:szCs w:val="40"/>
              </w:rPr>
              <w:t>4</w:t>
            </w:r>
            <w:r w:rsidR="00654670">
              <w:rPr>
                <w:b/>
                <w:sz w:val="40"/>
                <w:szCs w:val="40"/>
              </w:rPr>
              <w:t>6</w:t>
            </w:r>
            <w:r w:rsidRPr="0007237C">
              <w:rPr>
                <w:b/>
                <w:sz w:val="40"/>
                <w:szCs w:val="40"/>
              </w:rPr>
              <w:t>/INF.</w:t>
            </w:r>
            <w:r w:rsidR="00BD6282">
              <w:rPr>
                <w:b/>
                <w:sz w:val="40"/>
                <w:szCs w:val="40"/>
              </w:rPr>
              <w:t>19</w:t>
            </w:r>
          </w:p>
        </w:tc>
      </w:tr>
      <w:tr w:rsidR="00717408" w:rsidRPr="0007237C" w14:paraId="50374DD2" w14:textId="77777777" w:rsidTr="00144A37">
        <w:trPr>
          <w:cantSplit/>
          <w:trHeight w:hRule="exact" w:val="3689"/>
        </w:trPr>
        <w:tc>
          <w:tcPr>
            <w:tcW w:w="9072" w:type="dxa"/>
            <w:tcBorders>
              <w:top w:val="single" w:sz="4" w:space="0" w:color="auto"/>
            </w:tcBorders>
          </w:tcPr>
          <w:p w14:paraId="56DD34A3" w14:textId="77777777" w:rsidR="00717408" w:rsidRPr="0007237C" w:rsidRDefault="00717408" w:rsidP="00FA63B2">
            <w:pPr>
              <w:spacing w:before="120"/>
              <w:rPr>
                <w:b/>
                <w:sz w:val="24"/>
                <w:szCs w:val="24"/>
              </w:rPr>
            </w:pPr>
            <w:r w:rsidRPr="0007237C">
              <w:rPr>
                <w:b/>
                <w:sz w:val="24"/>
                <w:szCs w:val="24"/>
              </w:rPr>
              <w:t>Committee of Experts on the Transport of Dangerous Goods</w:t>
            </w:r>
            <w:r w:rsidRPr="0007237C">
              <w:rPr>
                <w:b/>
                <w:sz w:val="24"/>
                <w:szCs w:val="24"/>
              </w:rPr>
              <w:br/>
              <w:t>and on the Globally Harmonized System of Classification</w:t>
            </w:r>
            <w:r w:rsidRPr="0007237C">
              <w:rPr>
                <w:b/>
                <w:sz w:val="24"/>
                <w:szCs w:val="24"/>
              </w:rPr>
              <w:br/>
              <w:t>and Labelling of Chemicals</w:t>
            </w:r>
          </w:p>
          <w:p w14:paraId="7F392C40" w14:textId="5610E6D8" w:rsidR="00717408" w:rsidRPr="0007237C" w:rsidRDefault="00FA63B2" w:rsidP="00496520">
            <w:pPr>
              <w:tabs>
                <w:tab w:val="left" w:pos="7371"/>
              </w:tabs>
              <w:spacing w:before="120"/>
            </w:pPr>
            <w:r w:rsidRPr="0007237C">
              <w:rPr>
                <w:b/>
                <w:lang w:val="en-US"/>
              </w:rPr>
              <w:t>Sub-Committee of Experts on the Globally Harmonized</w:t>
            </w:r>
            <w:r w:rsidRPr="0007237C">
              <w:rPr>
                <w:b/>
                <w:lang w:val="en-US"/>
              </w:rPr>
              <w:br/>
              <w:t>System of Classification and Labelling of Chemicals</w:t>
            </w:r>
            <w:r w:rsidRPr="0007237C">
              <w:t xml:space="preserve"> </w:t>
            </w:r>
            <w:r w:rsidR="00717408" w:rsidRPr="0007237C">
              <w:tab/>
            </w:r>
            <w:r w:rsidR="00BD6282" w:rsidRPr="00BD6282">
              <w:rPr>
                <w:b/>
                <w:bCs/>
              </w:rPr>
              <w:t>1 July 2024</w:t>
            </w:r>
          </w:p>
          <w:p w14:paraId="6956C3CF" w14:textId="2199F12D" w:rsidR="00333A50" w:rsidRPr="0007237C" w:rsidRDefault="00333A50" w:rsidP="00333A50">
            <w:pPr>
              <w:spacing w:before="120"/>
              <w:rPr>
                <w:b/>
              </w:rPr>
            </w:pPr>
            <w:r w:rsidRPr="0007237C">
              <w:rPr>
                <w:b/>
              </w:rPr>
              <w:t>Forty-</w:t>
            </w:r>
            <w:r w:rsidR="00654670">
              <w:rPr>
                <w:b/>
              </w:rPr>
              <w:t>sixth</w:t>
            </w:r>
            <w:r w:rsidR="006F280C">
              <w:rPr>
                <w:b/>
              </w:rPr>
              <w:t xml:space="preserve"> </w:t>
            </w:r>
            <w:r w:rsidRPr="0007237C">
              <w:rPr>
                <w:b/>
              </w:rPr>
              <w:t>session</w:t>
            </w:r>
          </w:p>
          <w:p w14:paraId="40A2DCED" w14:textId="7FD14C6B" w:rsidR="00333A50" w:rsidRPr="0007237C" w:rsidRDefault="00333A50" w:rsidP="003658E0">
            <w:r w:rsidRPr="0007237C">
              <w:t xml:space="preserve">Geneva, </w:t>
            </w:r>
            <w:r w:rsidR="00905B6B">
              <w:t>3</w:t>
            </w:r>
            <w:r w:rsidR="007517E9">
              <w:t>-</w:t>
            </w:r>
            <w:r w:rsidR="00905B6B">
              <w:t>5</w:t>
            </w:r>
            <w:r w:rsidR="00D13CA0">
              <w:t xml:space="preserve"> </w:t>
            </w:r>
            <w:r w:rsidR="00905B6B">
              <w:t>July</w:t>
            </w:r>
            <w:r w:rsidR="007517E9">
              <w:t xml:space="preserve"> </w:t>
            </w:r>
            <w:r w:rsidRPr="0007237C">
              <w:t>202</w:t>
            </w:r>
            <w:r w:rsidR="00905B6B">
              <w:t>4</w:t>
            </w:r>
            <w:r w:rsidRPr="0007237C">
              <w:t xml:space="preserve"> </w:t>
            </w:r>
          </w:p>
          <w:p w14:paraId="43024C2F" w14:textId="6FE45942" w:rsidR="00333A50" w:rsidRPr="0007237C" w:rsidRDefault="00333A50" w:rsidP="00333A50">
            <w:r w:rsidRPr="0007237C">
              <w:t xml:space="preserve">Item </w:t>
            </w:r>
            <w:r w:rsidR="00CA79A1" w:rsidRPr="0007237C">
              <w:t>2</w:t>
            </w:r>
            <w:r w:rsidR="0024786A" w:rsidRPr="0007237C">
              <w:t xml:space="preserve"> </w:t>
            </w:r>
            <w:r w:rsidRPr="0007237C">
              <w:t>(</w:t>
            </w:r>
            <w:r w:rsidR="00144A37" w:rsidRPr="0007237C">
              <w:t>f</w:t>
            </w:r>
            <w:r w:rsidRPr="0007237C">
              <w:t>) of the provisional agenda</w:t>
            </w:r>
          </w:p>
          <w:p w14:paraId="0A7F2EF9" w14:textId="77777777" w:rsidR="00144A37" w:rsidRPr="00B94EB2" w:rsidRDefault="00144A37" w:rsidP="00333A50">
            <w:pPr>
              <w:spacing w:line="240" w:lineRule="exact"/>
              <w:rPr>
                <w:b/>
                <w:bCs/>
              </w:rPr>
            </w:pPr>
            <w:r w:rsidRPr="00B94EB2">
              <w:rPr>
                <w:b/>
                <w:bCs/>
              </w:rPr>
              <w:t xml:space="preserve">Work on the Globally Harmonized System </w:t>
            </w:r>
          </w:p>
          <w:p w14:paraId="5F11A6D0" w14:textId="77777777" w:rsidR="00144A37" w:rsidRPr="00B94EB2" w:rsidRDefault="00144A37" w:rsidP="00333A50">
            <w:pPr>
              <w:spacing w:line="240" w:lineRule="exact"/>
              <w:rPr>
                <w:b/>
                <w:bCs/>
              </w:rPr>
            </w:pPr>
            <w:r w:rsidRPr="00B94EB2">
              <w:rPr>
                <w:b/>
                <w:bCs/>
              </w:rPr>
              <w:t xml:space="preserve">of Classification and Labelling of Chemicals: </w:t>
            </w:r>
          </w:p>
          <w:p w14:paraId="1EB7FCBB" w14:textId="16C2DC88" w:rsidR="00333A50" w:rsidRPr="0007237C" w:rsidRDefault="00144A37" w:rsidP="002B540D">
            <w:pPr>
              <w:spacing w:line="240" w:lineRule="exact"/>
              <w:rPr>
                <w:b/>
                <w:bCs/>
              </w:rPr>
            </w:pPr>
            <w:r w:rsidRPr="00B94EB2">
              <w:rPr>
                <w:b/>
                <w:bCs/>
              </w:rPr>
              <w:t xml:space="preserve">Practical classification issues </w:t>
            </w:r>
            <w:r w:rsidR="003378A9" w:rsidRPr="00B94EB2">
              <w:rPr>
                <w:b/>
                <w:bCs/>
              </w:rPr>
              <w:t>(</w:t>
            </w:r>
            <w:r w:rsidRPr="00B94EB2">
              <w:rPr>
                <w:b/>
                <w:bCs/>
              </w:rPr>
              <w:t xml:space="preserve">proposed amendments </w:t>
            </w:r>
            <w:r w:rsidR="003378A9" w:rsidRPr="00B94EB2">
              <w:rPr>
                <w:b/>
                <w:bCs/>
              </w:rPr>
              <w:br/>
            </w:r>
            <w:r w:rsidRPr="00B94EB2">
              <w:rPr>
                <w:b/>
                <w:bCs/>
              </w:rPr>
              <w:t xml:space="preserve">to the Globally Harmonized System of Classification </w:t>
            </w:r>
            <w:r w:rsidR="003378A9" w:rsidRPr="00B94EB2">
              <w:rPr>
                <w:b/>
                <w:bCs/>
              </w:rPr>
              <w:br/>
            </w:r>
            <w:r w:rsidRPr="00B94EB2">
              <w:rPr>
                <w:b/>
                <w:bCs/>
              </w:rPr>
              <w:t>and Labelling of Chemicals)</w:t>
            </w:r>
          </w:p>
          <w:p w14:paraId="7DE127AA" w14:textId="77777777" w:rsidR="00333A50" w:rsidRPr="0007237C" w:rsidRDefault="00333A50" w:rsidP="00333A50">
            <w:pPr>
              <w:spacing w:line="240" w:lineRule="exact"/>
              <w:rPr>
                <w:b/>
                <w:bCs/>
              </w:rPr>
            </w:pPr>
          </w:p>
          <w:p w14:paraId="5552B2F2" w14:textId="77777777" w:rsidR="00333A50" w:rsidRPr="0007237C" w:rsidRDefault="00333A50" w:rsidP="00333A50">
            <w:pPr>
              <w:spacing w:line="240" w:lineRule="exact"/>
              <w:rPr>
                <w:b/>
                <w:bCs/>
              </w:rPr>
            </w:pPr>
          </w:p>
          <w:p w14:paraId="7F67E7DF" w14:textId="41BB9BBF" w:rsidR="00333A50" w:rsidRPr="0007237C" w:rsidRDefault="00333A50" w:rsidP="00333A50">
            <w:pPr>
              <w:spacing w:line="240" w:lineRule="exact"/>
              <w:rPr>
                <w:b/>
                <w:bCs/>
              </w:rPr>
            </w:pPr>
          </w:p>
        </w:tc>
      </w:tr>
    </w:tbl>
    <w:p w14:paraId="6FFE0E8A" w14:textId="4C92FBDD" w:rsidR="00522E58" w:rsidRDefault="00BA4B76" w:rsidP="00522E58">
      <w:pPr>
        <w:pStyle w:val="HChG"/>
      </w:pPr>
      <w:r w:rsidRPr="0007237C">
        <w:tab/>
      </w:r>
      <w:r w:rsidRPr="0007237C">
        <w:tab/>
      </w:r>
      <w:r w:rsidR="00522E58">
        <w:t xml:space="preserve">Status update on the work of the </w:t>
      </w:r>
      <w:r w:rsidR="00BD6282">
        <w:t>p</w:t>
      </w:r>
      <w:r w:rsidR="00522E58">
        <w:t xml:space="preserve">ractical </w:t>
      </w:r>
      <w:r w:rsidR="00BD6282">
        <w:t>c</w:t>
      </w:r>
      <w:r w:rsidR="00522E58">
        <w:t xml:space="preserve">lassification </w:t>
      </w:r>
      <w:r w:rsidR="00BD6282">
        <w:t>i</w:t>
      </w:r>
      <w:r w:rsidR="00522E58">
        <w:t xml:space="preserve">ssues </w:t>
      </w:r>
      <w:r w:rsidR="00BD6282">
        <w:t>i</w:t>
      </w:r>
      <w:r w:rsidR="00522E58">
        <w:t xml:space="preserve">nformal </w:t>
      </w:r>
      <w:r w:rsidR="00BD6282">
        <w:t>w</w:t>
      </w:r>
      <w:r w:rsidR="002A6E83">
        <w:t xml:space="preserve">orking </w:t>
      </w:r>
      <w:r w:rsidR="00BD6282">
        <w:t>g</w:t>
      </w:r>
      <w:r w:rsidR="00522E58">
        <w:t>roup</w:t>
      </w:r>
    </w:p>
    <w:p w14:paraId="58E47D51" w14:textId="05896EB8" w:rsidR="00BA4B76" w:rsidRPr="0007237C" w:rsidRDefault="00BA4B76" w:rsidP="00BA4B76">
      <w:pPr>
        <w:pStyle w:val="H1G"/>
        <w:rPr>
          <w:rFonts w:eastAsia="MS Mincho"/>
        </w:rPr>
      </w:pPr>
      <w:r w:rsidRPr="0007237C">
        <w:rPr>
          <w:rFonts w:eastAsia="MS Mincho"/>
        </w:rPr>
        <w:tab/>
      </w:r>
      <w:r w:rsidRPr="0007237C">
        <w:rPr>
          <w:rFonts w:eastAsia="MS Mincho"/>
        </w:rPr>
        <w:tab/>
        <w:t xml:space="preserve">Transmitted by the expert from the United States of America on behalf of the practical classification issues informal </w:t>
      </w:r>
      <w:r w:rsidR="002A6E83">
        <w:rPr>
          <w:rFonts w:eastAsia="MS Mincho"/>
        </w:rPr>
        <w:t>working</w:t>
      </w:r>
      <w:r w:rsidR="002A6E83" w:rsidRPr="0007237C">
        <w:rPr>
          <w:rFonts w:eastAsia="MS Mincho"/>
        </w:rPr>
        <w:t xml:space="preserve"> </w:t>
      </w:r>
      <w:r w:rsidRPr="0007237C">
        <w:rPr>
          <w:rFonts w:eastAsia="MS Mincho"/>
        </w:rPr>
        <w:t>group</w:t>
      </w:r>
    </w:p>
    <w:p w14:paraId="6B1B0464" w14:textId="532A59B1" w:rsidR="0024091A" w:rsidRPr="0007237C" w:rsidRDefault="0024091A" w:rsidP="0024091A">
      <w:pPr>
        <w:pStyle w:val="HChG"/>
      </w:pPr>
      <w:bookmarkStart w:id="0" w:name="_Hlk56087534"/>
      <w:r w:rsidRPr="0007237C">
        <w:tab/>
      </w:r>
      <w:r w:rsidRPr="0007237C">
        <w:tab/>
        <w:t>Purpose</w:t>
      </w:r>
    </w:p>
    <w:p w14:paraId="30FE316D" w14:textId="2AFE6A06" w:rsidR="00BD787A" w:rsidRPr="00FD74E1" w:rsidRDefault="00BD6282" w:rsidP="00FD74E1">
      <w:pPr>
        <w:pStyle w:val="SingleTxtG"/>
      </w:pPr>
      <w:r w:rsidRPr="00FD74E1">
        <w:t>1.</w:t>
      </w:r>
      <w:r w:rsidRPr="00FD74E1">
        <w:tab/>
      </w:r>
      <w:r w:rsidR="009A1C13" w:rsidRPr="00FD74E1">
        <w:t>T</w:t>
      </w:r>
      <w:r w:rsidR="00AE2B73" w:rsidRPr="00FD74E1">
        <w:t>his</w:t>
      </w:r>
      <w:r w:rsidR="001B1170" w:rsidRPr="00FD74E1">
        <w:t xml:space="preserve"> paper</w:t>
      </w:r>
      <w:r w:rsidR="00AE2B73" w:rsidRPr="00FD74E1">
        <w:t xml:space="preserve"> </w:t>
      </w:r>
      <w:r w:rsidR="001B1170" w:rsidRPr="00FD74E1">
        <w:t>provide</w:t>
      </w:r>
      <w:r w:rsidR="00AE2B73" w:rsidRPr="00FD74E1">
        <w:t>s</w:t>
      </w:r>
      <w:r w:rsidR="001B1170" w:rsidRPr="00FD74E1">
        <w:t xml:space="preserve"> an update on the work undertaken </w:t>
      </w:r>
      <w:r w:rsidR="00E51BC3" w:rsidRPr="00FD74E1">
        <w:t xml:space="preserve">by the </w:t>
      </w:r>
      <w:r w:rsidR="00FD74E1" w:rsidRPr="00FD74E1">
        <w:t>p</w:t>
      </w:r>
      <w:r w:rsidR="009A1C13" w:rsidRPr="00FD74E1">
        <w:t xml:space="preserve">ractical </w:t>
      </w:r>
      <w:r w:rsidR="00FD74E1" w:rsidRPr="00FD74E1">
        <w:t>c</w:t>
      </w:r>
      <w:r w:rsidR="009A1C13" w:rsidRPr="00FD74E1">
        <w:t xml:space="preserve">lassification </w:t>
      </w:r>
      <w:r w:rsidR="00FD74E1" w:rsidRPr="00FD74E1">
        <w:t>i</w:t>
      </w:r>
      <w:r w:rsidR="009A1C13" w:rsidRPr="00FD74E1">
        <w:t xml:space="preserve">ssues </w:t>
      </w:r>
      <w:r w:rsidR="00E00BA7" w:rsidRPr="00FD74E1">
        <w:t>i</w:t>
      </w:r>
      <w:r w:rsidR="009A1C13" w:rsidRPr="00FD74E1">
        <w:t xml:space="preserve">nformal </w:t>
      </w:r>
      <w:r w:rsidR="002A6E83" w:rsidRPr="00FD74E1">
        <w:t xml:space="preserve">working </w:t>
      </w:r>
      <w:r w:rsidR="00E00BA7" w:rsidRPr="00FD74E1">
        <w:t>g</w:t>
      </w:r>
      <w:r w:rsidR="009A1C13" w:rsidRPr="00FD74E1">
        <w:t xml:space="preserve">roup </w:t>
      </w:r>
      <w:r w:rsidR="001E593A" w:rsidRPr="00FD74E1">
        <w:t>(PCI</w:t>
      </w:r>
      <w:r w:rsidR="002A6E83" w:rsidRPr="00FD74E1">
        <w:t xml:space="preserve"> IWG</w:t>
      </w:r>
      <w:r w:rsidR="001E593A" w:rsidRPr="00FD74E1">
        <w:t xml:space="preserve">) </w:t>
      </w:r>
      <w:r w:rsidR="00E51BC3" w:rsidRPr="00FD74E1">
        <w:t xml:space="preserve">since the </w:t>
      </w:r>
      <w:r w:rsidR="003B15C7" w:rsidRPr="00FD74E1">
        <w:t>45</w:t>
      </w:r>
      <w:r w:rsidR="00FD74E1" w:rsidRPr="00FD74E1">
        <w:t>th</w:t>
      </w:r>
      <w:r w:rsidR="003B15C7" w:rsidRPr="00FD74E1">
        <w:t xml:space="preserve"> </w:t>
      </w:r>
      <w:r w:rsidR="00FD74E1" w:rsidRPr="00FD74E1">
        <w:t>s</w:t>
      </w:r>
      <w:r w:rsidR="003B15C7" w:rsidRPr="00FD74E1">
        <w:t>ession</w:t>
      </w:r>
      <w:r w:rsidR="00FD74E1" w:rsidRPr="00FD74E1">
        <w:t xml:space="preserve"> of the Sub-Committee</w:t>
      </w:r>
      <w:r w:rsidR="009A6133" w:rsidRPr="00FD74E1">
        <w:t>.</w:t>
      </w:r>
    </w:p>
    <w:p w14:paraId="7EF50273" w14:textId="5A52BE2D" w:rsidR="00F45699" w:rsidRDefault="00F45699" w:rsidP="00F45699">
      <w:pPr>
        <w:pStyle w:val="SingleTxtG"/>
        <w:tabs>
          <w:tab w:val="left" w:pos="1701"/>
        </w:tabs>
        <w:rPr>
          <w:b/>
          <w:bCs/>
          <w:sz w:val="28"/>
          <w:szCs w:val="28"/>
        </w:rPr>
      </w:pPr>
      <w:r w:rsidRPr="00A81C63">
        <w:rPr>
          <w:b/>
          <w:bCs/>
          <w:sz w:val="28"/>
          <w:szCs w:val="28"/>
        </w:rPr>
        <w:t xml:space="preserve">Status </w:t>
      </w:r>
      <w:r w:rsidR="00674321">
        <w:rPr>
          <w:b/>
          <w:bCs/>
          <w:sz w:val="28"/>
          <w:szCs w:val="28"/>
        </w:rPr>
        <w:t>r</w:t>
      </w:r>
      <w:r w:rsidRPr="00A81C63">
        <w:rPr>
          <w:b/>
          <w:bCs/>
          <w:sz w:val="28"/>
          <w:szCs w:val="28"/>
        </w:rPr>
        <w:t>eport</w:t>
      </w:r>
    </w:p>
    <w:p w14:paraId="3D257807" w14:textId="63283180" w:rsidR="000859D0" w:rsidRDefault="00BD6282" w:rsidP="00D15DA8">
      <w:pPr>
        <w:pStyle w:val="SingleTxtG"/>
      </w:pPr>
      <w:r>
        <w:t>2.</w:t>
      </w:r>
      <w:r>
        <w:tab/>
      </w:r>
      <w:r w:rsidR="00F45699">
        <w:t xml:space="preserve">The PCI </w:t>
      </w:r>
      <w:r w:rsidR="002A6E83">
        <w:t>IWG</w:t>
      </w:r>
      <w:r w:rsidR="007B4E14">
        <w:t xml:space="preserve"> met virtually</w:t>
      </w:r>
      <w:r w:rsidR="00201756">
        <w:t xml:space="preserve"> on </w:t>
      </w:r>
      <w:r w:rsidR="0008168E">
        <w:t xml:space="preserve">three occasions to further consider proposals </w:t>
      </w:r>
      <w:r w:rsidR="00F10662">
        <w:t xml:space="preserve">developed by Germany </w:t>
      </w:r>
      <w:r w:rsidR="00201756">
        <w:t xml:space="preserve">on </w:t>
      </w:r>
      <w:r w:rsidR="00475DB2">
        <w:t xml:space="preserve">work </w:t>
      </w:r>
      <w:r w:rsidR="00201756">
        <w:t>item</w:t>
      </w:r>
      <w:r w:rsidR="004921F4">
        <w:t xml:space="preserve"> </w:t>
      </w:r>
      <w:r w:rsidR="00E738A8">
        <w:t>4</w:t>
      </w:r>
      <w:r w:rsidR="004921F4">
        <w:t xml:space="preserve"> </w:t>
      </w:r>
      <w:r w:rsidR="008B3C32">
        <w:t>from</w:t>
      </w:r>
      <w:r w:rsidR="004921F4">
        <w:t xml:space="preserve"> the </w:t>
      </w:r>
      <w:r w:rsidR="008B3C32">
        <w:t>PCI</w:t>
      </w:r>
      <w:r w:rsidR="002F1141">
        <w:t xml:space="preserve"> </w:t>
      </w:r>
      <w:r w:rsidR="004921F4">
        <w:t>program of work</w:t>
      </w:r>
      <w:r w:rsidR="008449D6">
        <w:t xml:space="preserve"> (</w:t>
      </w:r>
      <w:r w:rsidR="00475DB2">
        <w:t>see INF.34</w:t>
      </w:r>
      <w:r w:rsidR="00D15DA8">
        <w:t>, 43</w:t>
      </w:r>
      <w:r w:rsidR="00D15DA8" w:rsidRPr="00D15DA8">
        <w:rPr>
          <w:vertAlign w:val="superscript"/>
        </w:rPr>
        <w:t>rd</w:t>
      </w:r>
      <w:r w:rsidR="00D15DA8">
        <w:t xml:space="preserve"> session)</w:t>
      </w:r>
      <w:r w:rsidR="00475DB2">
        <w:t>)</w:t>
      </w:r>
      <w:r w:rsidR="006666AD">
        <w:t xml:space="preserve"> on</w:t>
      </w:r>
      <w:r w:rsidR="002A6E83">
        <w:t xml:space="preserve"> </w:t>
      </w:r>
      <w:r w:rsidR="00D15DA8">
        <w:t xml:space="preserve">13 </w:t>
      </w:r>
      <w:r w:rsidR="00255277">
        <w:t xml:space="preserve">December 2023, </w:t>
      </w:r>
      <w:r w:rsidR="00D15DA8">
        <w:t xml:space="preserve">29 </w:t>
      </w:r>
      <w:r w:rsidR="00D7481C">
        <w:t xml:space="preserve">February 2024 and </w:t>
      </w:r>
      <w:r w:rsidR="00D15DA8">
        <w:t xml:space="preserve">4 </w:t>
      </w:r>
      <w:r w:rsidR="00D7481C">
        <w:t>June 2024.</w:t>
      </w:r>
      <w:r w:rsidR="005C46D9">
        <w:t xml:space="preserve"> </w:t>
      </w:r>
      <w:r w:rsidR="00A82EE1">
        <w:t xml:space="preserve">The </w:t>
      </w:r>
      <w:r w:rsidR="002A6E83">
        <w:t>IWG</w:t>
      </w:r>
      <w:r w:rsidR="00A82EE1">
        <w:t xml:space="preserve"> is </w:t>
      </w:r>
      <w:r w:rsidR="00A82EE1" w:rsidRPr="00D3223C">
        <w:t xml:space="preserve">exploring by comparison with the relevant sections of </w:t>
      </w:r>
      <w:r w:rsidR="006666AD">
        <w:t>c</w:t>
      </w:r>
      <w:r w:rsidR="00A82EE1" w:rsidRPr="00D3223C">
        <w:t xml:space="preserve">hapter 1.3, to which extent improvements of the classification process for mixtures in chapters 3.2 to 3.4 are compatible with the rules in </w:t>
      </w:r>
      <w:r w:rsidR="006666AD">
        <w:t>c</w:t>
      </w:r>
      <w:r w:rsidR="00A82EE1" w:rsidRPr="00D3223C">
        <w:t xml:space="preserve">hapter 1.3.  </w:t>
      </w:r>
      <w:r w:rsidR="00C649B8">
        <w:t>The work has progressed to such an extent that the PCI expects to submit a</w:t>
      </w:r>
      <w:r w:rsidR="006666AD">
        <w:t>n</w:t>
      </w:r>
      <w:r w:rsidR="00C649B8">
        <w:t xml:space="preserve"> </w:t>
      </w:r>
      <w:r w:rsidR="006666AD">
        <w:t xml:space="preserve">official </w:t>
      </w:r>
      <w:r w:rsidR="00C649B8">
        <w:t>document for the 47</w:t>
      </w:r>
      <w:r w:rsidR="00C649B8" w:rsidRPr="00C649B8">
        <w:rPr>
          <w:vertAlign w:val="superscript"/>
        </w:rPr>
        <w:t>th</w:t>
      </w:r>
      <w:r w:rsidR="00C649B8">
        <w:t xml:space="preserve"> </w:t>
      </w:r>
      <w:r w:rsidR="006666AD">
        <w:t>s</w:t>
      </w:r>
      <w:r w:rsidR="00C649B8">
        <w:t>ession</w:t>
      </w:r>
      <w:r w:rsidR="006666AD">
        <w:t xml:space="preserve"> of the Sub-Committee</w:t>
      </w:r>
      <w:r w:rsidR="00C649B8">
        <w:t xml:space="preserve">. </w:t>
      </w:r>
    </w:p>
    <w:p w14:paraId="345D7B1E" w14:textId="19ECAB4C" w:rsidR="000859D0" w:rsidRPr="00AC7B62" w:rsidRDefault="00BD6282" w:rsidP="00D15DA8">
      <w:pPr>
        <w:pStyle w:val="SingleTxtG"/>
      </w:pPr>
      <w:r w:rsidRPr="00AC7B62">
        <w:t>3.</w:t>
      </w:r>
      <w:r w:rsidRPr="00AC7B62">
        <w:tab/>
      </w:r>
      <w:r w:rsidR="00A00CD7">
        <w:t xml:space="preserve">Additionally, the PCI </w:t>
      </w:r>
      <w:r w:rsidR="002A6E83">
        <w:t>IWG</w:t>
      </w:r>
      <w:r w:rsidR="00A00CD7">
        <w:t xml:space="preserve"> met on </w:t>
      </w:r>
      <w:r w:rsidR="006666AD">
        <w:t xml:space="preserve">5 </w:t>
      </w:r>
      <w:r w:rsidR="00AC7B62">
        <w:t xml:space="preserve">June 2024, </w:t>
      </w:r>
      <w:r w:rsidR="00AC7B62" w:rsidRPr="00AC7B62">
        <w:t xml:space="preserve">to discuss a thought starter </w:t>
      </w:r>
      <w:r w:rsidR="00745434">
        <w:t>on work item</w:t>
      </w:r>
      <w:r w:rsidR="006666AD">
        <w:t> </w:t>
      </w:r>
      <w:r w:rsidR="00745434">
        <w:t>5 from the PCI program of work</w:t>
      </w:r>
      <w:r w:rsidR="00E373D1">
        <w:t>, which</w:t>
      </w:r>
      <w:r w:rsidR="00745434">
        <w:t xml:space="preserve"> focuse</w:t>
      </w:r>
      <w:r w:rsidR="007463F2">
        <w:t xml:space="preserve">s </w:t>
      </w:r>
      <w:r w:rsidR="00AC7B62" w:rsidRPr="00AC7B62">
        <w:t xml:space="preserve">on addressing simple asphyxiants in </w:t>
      </w:r>
      <w:r w:rsidR="006666AD">
        <w:t>a</w:t>
      </w:r>
      <w:r w:rsidR="00AC7B62" w:rsidRPr="00AC7B62">
        <w:t xml:space="preserve">nnex 11 of the GHS.  The </w:t>
      </w:r>
      <w:r w:rsidR="002A6E83">
        <w:t>IWG</w:t>
      </w:r>
      <w:r w:rsidR="00AC7B62" w:rsidRPr="00AC7B62">
        <w:t xml:space="preserve"> was generally supportive of the proposal, however </w:t>
      </w:r>
      <w:r w:rsidR="00C42F23">
        <w:t xml:space="preserve">it </w:t>
      </w:r>
      <w:r w:rsidR="00896F5A">
        <w:t xml:space="preserve">determined that </w:t>
      </w:r>
      <w:r w:rsidR="00AC7B62" w:rsidRPr="00AC7B62">
        <w:t xml:space="preserve">more discussion is necessary </w:t>
      </w:r>
      <w:r w:rsidR="00896F5A">
        <w:t>regarding</w:t>
      </w:r>
      <w:r w:rsidR="00AC7B62" w:rsidRPr="00AC7B62">
        <w:t xml:space="preserve"> the definition of simple asphyxiant</w:t>
      </w:r>
      <w:r w:rsidR="00EE4608">
        <w:t xml:space="preserve">. </w:t>
      </w:r>
      <w:r w:rsidR="009D3DF0">
        <w:t>During the discussion of the thought starter</w:t>
      </w:r>
      <w:r w:rsidR="002A6E83">
        <w:t>,</w:t>
      </w:r>
      <w:r w:rsidR="009D3DF0">
        <w:t xml:space="preserve"> one delegation asked if </w:t>
      </w:r>
      <w:r w:rsidR="00AC7B62" w:rsidRPr="00AC7B62">
        <w:t xml:space="preserve">an alternative location in the GHS would be better suited for </w:t>
      </w:r>
      <w:r w:rsidR="00EE4608">
        <w:t xml:space="preserve">information on </w:t>
      </w:r>
      <w:r w:rsidR="00AC7B62" w:rsidRPr="00AC7B62">
        <w:t>simple asphyxiants</w:t>
      </w:r>
      <w:r w:rsidR="00C42F23">
        <w:t xml:space="preserve"> (i.e</w:t>
      </w:r>
      <w:r w:rsidR="006666AD">
        <w:t>.:</w:t>
      </w:r>
      <w:r w:rsidR="00385A39">
        <w:t xml:space="preserve"> </w:t>
      </w:r>
      <w:r w:rsidR="006666AD">
        <w:t>a</w:t>
      </w:r>
      <w:r w:rsidR="00385A39">
        <w:t>spiration</w:t>
      </w:r>
      <w:r w:rsidR="00C42F23">
        <w:t xml:space="preserve"> </w:t>
      </w:r>
      <w:r w:rsidR="006666AD">
        <w:t>h</w:t>
      </w:r>
      <w:r w:rsidR="00C42F23">
        <w:t>azard)</w:t>
      </w:r>
      <w:r w:rsidR="00AC7B62" w:rsidRPr="00AC7B62">
        <w:t>.</w:t>
      </w:r>
      <w:r w:rsidR="00D00EAA">
        <w:t xml:space="preserve"> </w:t>
      </w:r>
      <w:r w:rsidR="009D3DF0">
        <w:t xml:space="preserve">This will be further discussed at the next PCI </w:t>
      </w:r>
      <w:r w:rsidR="0057321F">
        <w:t xml:space="preserve">IWG </w:t>
      </w:r>
      <w:r w:rsidR="00C42F23">
        <w:t>meeting,</w:t>
      </w:r>
      <w:r w:rsidR="009D3DF0">
        <w:t xml:space="preserve"> but it is noted that the program of work approved by the Sub-</w:t>
      </w:r>
      <w:r w:rsidR="006666AD">
        <w:t>C</w:t>
      </w:r>
      <w:r w:rsidR="009D3DF0">
        <w:t xml:space="preserve">ommittee specifically </w:t>
      </w:r>
      <w:r w:rsidR="002A6E83">
        <w:t>states that</w:t>
      </w:r>
      <w:r w:rsidR="009D3DF0">
        <w:t xml:space="preserve"> this item be developed for </w:t>
      </w:r>
      <w:r w:rsidR="006666AD">
        <w:t>a</w:t>
      </w:r>
      <w:r w:rsidR="009D3DF0">
        <w:t xml:space="preserve">nnex 11. </w:t>
      </w:r>
      <w:r w:rsidR="00C649B8">
        <w:t xml:space="preserve">The PCI </w:t>
      </w:r>
      <w:r w:rsidR="002A6E83">
        <w:t>IWG</w:t>
      </w:r>
      <w:r w:rsidR="00363307">
        <w:t xml:space="preserve"> </w:t>
      </w:r>
      <w:r w:rsidR="00C649B8">
        <w:t xml:space="preserve">plans to continue working on this item with the </w:t>
      </w:r>
      <w:r w:rsidR="002A6E83">
        <w:t>goal</w:t>
      </w:r>
      <w:r w:rsidR="00C649B8">
        <w:t xml:space="preserve"> of submit</w:t>
      </w:r>
      <w:r w:rsidR="002A6E83">
        <w:t>ting</w:t>
      </w:r>
      <w:r w:rsidR="00C649B8">
        <w:t xml:space="preserve"> a</w:t>
      </w:r>
      <w:r w:rsidR="006666AD">
        <w:t>n</w:t>
      </w:r>
      <w:r w:rsidR="00C649B8">
        <w:t xml:space="preserve"> </w:t>
      </w:r>
      <w:r w:rsidR="006666AD">
        <w:t xml:space="preserve">official </w:t>
      </w:r>
      <w:r w:rsidR="00C649B8">
        <w:t>document for the 47</w:t>
      </w:r>
      <w:r w:rsidR="00C649B8" w:rsidRPr="00C649B8">
        <w:rPr>
          <w:vertAlign w:val="superscript"/>
        </w:rPr>
        <w:t>th</w:t>
      </w:r>
      <w:r w:rsidR="00C649B8">
        <w:t xml:space="preserve"> </w:t>
      </w:r>
      <w:r w:rsidR="006666AD">
        <w:t>s</w:t>
      </w:r>
      <w:r w:rsidR="00C649B8">
        <w:t>ession.</w:t>
      </w:r>
    </w:p>
    <w:p w14:paraId="6CBC3EE1" w14:textId="4E8FD3DB" w:rsidR="00E03DA3" w:rsidRPr="006666AD" w:rsidRDefault="00BD6282" w:rsidP="006666AD">
      <w:pPr>
        <w:pStyle w:val="SingleTxtG"/>
      </w:pPr>
      <w:r w:rsidRPr="006666AD">
        <w:t>4.</w:t>
      </w:r>
      <w:r w:rsidRPr="006666AD">
        <w:tab/>
      </w:r>
      <w:r w:rsidR="002E2829">
        <w:t>Part</w:t>
      </w:r>
      <w:r w:rsidR="00C649B8" w:rsidRPr="006666AD">
        <w:t xml:space="preserve"> I and II of this document </w:t>
      </w:r>
      <w:r w:rsidR="00385A39" w:rsidRPr="006666AD">
        <w:t>provide a</w:t>
      </w:r>
      <w:r w:rsidR="009D3DF0" w:rsidRPr="006666AD">
        <w:t xml:space="preserve"> “snapshot” </w:t>
      </w:r>
      <w:r w:rsidR="00607C23" w:rsidRPr="006666AD">
        <w:t>of the proposals</w:t>
      </w:r>
      <w:r w:rsidR="002478ED" w:rsidRPr="006666AD">
        <w:t xml:space="preserve"> for </w:t>
      </w:r>
      <w:r w:rsidR="004D5110" w:rsidRPr="006666AD">
        <w:t>work item</w:t>
      </w:r>
      <w:r w:rsidR="0057321F" w:rsidRPr="006666AD">
        <w:t>s</w:t>
      </w:r>
      <w:r w:rsidR="006666AD">
        <w:t> </w:t>
      </w:r>
      <w:r w:rsidR="004D5110" w:rsidRPr="006666AD">
        <w:t xml:space="preserve">4 </w:t>
      </w:r>
      <w:r w:rsidR="003E5F94" w:rsidRPr="006666AD">
        <w:t>and</w:t>
      </w:r>
      <w:r w:rsidR="00E67900" w:rsidRPr="006666AD">
        <w:t xml:space="preserve"> </w:t>
      </w:r>
      <w:r w:rsidR="00D42FCD" w:rsidRPr="006666AD">
        <w:t>5</w:t>
      </w:r>
      <w:r w:rsidR="00C649B8" w:rsidRPr="006666AD">
        <w:t>, respectively</w:t>
      </w:r>
      <w:r w:rsidR="00D42FCD" w:rsidRPr="006666AD">
        <w:t>.</w:t>
      </w:r>
      <w:r w:rsidR="00A82EE1" w:rsidRPr="006666AD">
        <w:t xml:space="preserve"> </w:t>
      </w:r>
      <w:r w:rsidR="00E03DA3" w:rsidRPr="006666AD">
        <w:t xml:space="preserve">The following convention is used in </w:t>
      </w:r>
      <w:r w:rsidR="00330138">
        <w:t xml:space="preserve">the proposals in </w:t>
      </w:r>
      <w:r w:rsidR="009318E6">
        <w:t>this document</w:t>
      </w:r>
      <w:r w:rsidR="003023D7" w:rsidRPr="006666AD">
        <w:t>:</w:t>
      </w:r>
      <w:r w:rsidR="00E03DA3" w:rsidRPr="006666AD">
        <w:t xml:space="preserve"> </w:t>
      </w:r>
    </w:p>
    <w:p w14:paraId="52AFE649" w14:textId="518A592D" w:rsidR="00E03DA3" w:rsidRDefault="00E03DA3" w:rsidP="00674321">
      <w:pPr>
        <w:pStyle w:val="Bullet1G"/>
      </w:pPr>
      <w:r w:rsidRPr="00B933D1">
        <w:rPr>
          <w:lang w:eastAsia="fr-FR"/>
        </w:rPr>
        <w:t xml:space="preserve">Black text (including deleted text which is shown in </w:t>
      </w:r>
      <w:r w:rsidRPr="00E03DA3">
        <w:rPr>
          <w:strike/>
          <w:lang w:eastAsia="fr-FR"/>
        </w:rPr>
        <w:t>strikethrough</w:t>
      </w:r>
      <w:r w:rsidRPr="00B933D1">
        <w:rPr>
          <w:lang w:eastAsia="fr-FR"/>
        </w:rPr>
        <w:t>) is existing text</w:t>
      </w:r>
      <w:r w:rsidR="00674321">
        <w:rPr>
          <w:lang w:eastAsia="fr-FR"/>
        </w:rPr>
        <w:t>.</w:t>
      </w:r>
    </w:p>
    <w:p w14:paraId="4D5279C8" w14:textId="438BFE58" w:rsidR="00E03DA3" w:rsidRDefault="00E03DA3" w:rsidP="00674321">
      <w:pPr>
        <w:pStyle w:val="Bullet1G"/>
        <w:rPr>
          <w:lang w:eastAsia="fr-FR"/>
        </w:rPr>
      </w:pPr>
      <w:r w:rsidRPr="00E03DA3">
        <w:rPr>
          <w:color w:val="0070C0"/>
        </w:rPr>
        <w:t xml:space="preserve">Blue </w:t>
      </w:r>
      <w:r w:rsidRPr="00E03DA3">
        <w:t>text is proposed text that is provisionally agreed upon by the PCI</w:t>
      </w:r>
      <w:r w:rsidR="002A6E83">
        <w:t xml:space="preserve"> IWG</w:t>
      </w:r>
      <w:r w:rsidR="00674321">
        <w:t>.</w:t>
      </w:r>
      <w:r>
        <w:t xml:space="preserve"> </w:t>
      </w:r>
    </w:p>
    <w:p w14:paraId="5EDB0520" w14:textId="6CA95E7E" w:rsidR="00E03DA3" w:rsidRPr="00E03DA3" w:rsidRDefault="00E03DA3" w:rsidP="00674321">
      <w:pPr>
        <w:pStyle w:val="Bullet1G"/>
        <w:rPr>
          <w:lang w:eastAsia="fr-FR"/>
        </w:rPr>
      </w:pPr>
      <w:r w:rsidRPr="00E03DA3">
        <w:rPr>
          <w:color w:val="FF0000"/>
          <w:lang w:eastAsia="fr-FR"/>
        </w:rPr>
        <w:t>Red</w:t>
      </w:r>
      <w:r w:rsidRPr="00E03DA3">
        <w:rPr>
          <w:lang w:eastAsia="fr-FR"/>
        </w:rPr>
        <w:t xml:space="preserve"> text indicates proposed text that is currently in discussion and thus subject to further considerations by the </w:t>
      </w:r>
      <w:r w:rsidR="002A6E83">
        <w:rPr>
          <w:lang w:eastAsia="fr-FR"/>
        </w:rPr>
        <w:t>IWG</w:t>
      </w:r>
      <w:r w:rsidR="00674321">
        <w:rPr>
          <w:lang w:eastAsia="fr-FR"/>
        </w:rPr>
        <w:t>.</w:t>
      </w:r>
    </w:p>
    <w:p w14:paraId="1360854E" w14:textId="389AF086" w:rsidR="00E03DA3" w:rsidRPr="00E03DA3" w:rsidRDefault="00E03DA3" w:rsidP="00674321">
      <w:pPr>
        <w:pStyle w:val="Bullet1G"/>
        <w:rPr>
          <w:lang w:eastAsia="fr-FR"/>
        </w:rPr>
      </w:pPr>
      <w:r w:rsidRPr="00E03DA3">
        <w:rPr>
          <w:color w:val="FF0000"/>
        </w:rPr>
        <w:t xml:space="preserve">Red </w:t>
      </w:r>
      <w:r w:rsidRPr="00E03DA3">
        <w:t xml:space="preserve">text in </w:t>
      </w:r>
      <w:r w:rsidRPr="00E03DA3">
        <w:rPr>
          <w:strike/>
          <w:color w:val="FF0000"/>
        </w:rPr>
        <w:t>strikethrough</w:t>
      </w:r>
      <w:r w:rsidRPr="00E03DA3">
        <w:t xml:space="preserve"> represents an option </w:t>
      </w:r>
      <w:r w:rsidR="003023D7">
        <w:t xml:space="preserve">for which there was no support and </w:t>
      </w:r>
      <w:r w:rsidRPr="00E03DA3">
        <w:t xml:space="preserve">the </w:t>
      </w:r>
      <w:r w:rsidR="002A6E83">
        <w:t>IWG</w:t>
      </w:r>
      <w:r w:rsidR="002A6E83" w:rsidRPr="00E03DA3">
        <w:t xml:space="preserve"> </w:t>
      </w:r>
      <w:r w:rsidRPr="00E03DA3">
        <w:t xml:space="preserve">agreed should be </w:t>
      </w:r>
      <w:r w:rsidR="003023D7">
        <w:t>removed from consideration</w:t>
      </w:r>
      <w:r>
        <w:t xml:space="preserve"> in</w:t>
      </w:r>
      <w:r w:rsidRPr="00E03DA3">
        <w:t xml:space="preserve"> the proposal</w:t>
      </w:r>
      <w:r w:rsidR="00674321">
        <w:t>.</w:t>
      </w:r>
    </w:p>
    <w:p w14:paraId="6F232CA8" w14:textId="0C6E2DD1" w:rsidR="00C0634F" w:rsidRDefault="00BD6282" w:rsidP="00674321">
      <w:pPr>
        <w:pStyle w:val="SingleTxtG"/>
      </w:pPr>
      <w:r>
        <w:t>5.</w:t>
      </w:r>
      <w:r>
        <w:tab/>
      </w:r>
      <w:r w:rsidR="003F2799" w:rsidRPr="00674321">
        <w:t xml:space="preserve">The Sub-Committee is invited to note the progress of the PCI </w:t>
      </w:r>
      <w:r w:rsidR="002A6E83" w:rsidRPr="00674321">
        <w:t>IWG</w:t>
      </w:r>
      <w:r w:rsidR="003F2799" w:rsidRPr="00674321">
        <w:t>.</w:t>
      </w:r>
      <w:r w:rsidR="00385A39" w:rsidRPr="00674321">
        <w:t xml:space="preserve"> Any input provided by the Sub-Committee on the proposals in </w:t>
      </w:r>
      <w:r w:rsidR="008419F8">
        <w:t>parts I and II in this document</w:t>
      </w:r>
      <w:r w:rsidR="00385A39" w:rsidRPr="00674321">
        <w:t xml:space="preserve"> will be considered by the PCI IWG.</w:t>
      </w:r>
    </w:p>
    <w:p w14:paraId="4367BAC7" w14:textId="5DA242F2" w:rsidR="00F83A45" w:rsidRDefault="00267CF7" w:rsidP="00267CF7">
      <w:pPr>
        <w:pStyle w:val="HChG"/>
      </w:pPr>
      <w:r>
        <w:t>Part</w:t>
      </w:r>
      <w:r w:rsidR="00FE6C4A" w:rsidRPr="00720B14">
        <w:t xml:space="preserve"> I</w:t>
      </w:r>
      <w:r>
        <w:t xml:space="preserve">: </w:t>
      </w:r>
      <w:r w:rsidR="006930A5">
        <w:tab/>
      </w:r>
      <w:r w:rsidR="00F83A45">
        <w:t xml:space="preserve">PCI </w:t>
      </w:r>
      <w:r w:rsidR="006930A5">
        <w:t>w</w:t>
      </w:r>
      <w:r w:rsidR="00F83A45">
        <w:t xml:space="preserve">ork </w:t>
      </w:r>
      <w:r w:rsidR="00720B14">
        <w:t>i</w:t>
      </w:r>
      <w:r w:rsidR="00F83A45">
        <w:t>tem 4</w:t>
      </w:r>
    </w:p>
    <w:p w14:paraId="23F3E514" w14:textId="70FD1D36" w:rsidR="00F155AD" w:rsidRDefault="00F155AD" w:rsidP="006930A5">
      <w:pPr>
        <w:pStyle w:val="SingleTxtG"/>
        <w:rPr>
          <w:b/>
          <w:bCs/>
          <w:sz w:val="24"/>
          <w:szCs w:val="24"/>
        </w:rPr>
      </w:pPr>
      <w:r>
        <w:t xml:space="preserve">Develop and propose a scientifically sound procedure for the tiered approach for classification of mixtures in chapters 3.2 to 3.4 allowing use of the available data in the most appropriate possible way (see </w:t>
      </w:r>
      <w:r w:rsidRPr="00FD0DFF">
        <w:t>informal document INF.23 for proposed workstreams</w:t>
      </w:r>
      <w:r>
        <w:t xml:space="preserve">). A preliminary evaluation will be conducted: (i) including an analysis of the present strategies for all health hazards and aiming at identifying when and how bridging principles are best to be considered in the classification process; (ii) defining which requirements need to apply to data from similar mixtures to be useful for bridging purposes; (iii) exploring by comparison with the relevant sections of </w:t>
      </w:r>
      <w:r w:rsidR="006930A5">
        <w:t>c</w:t>
      </w:r>
      <w:r>
        <w:t xml:space="preserve">hapter 1.3, to which extent improvements of the classification process for mixtures in chapters 3.2 to 3.4 are compatible with the rules in </w:t>
      </w:r>
      <w:r w:rsidR="006930A5">
        <w:t>c</w:t>
      </w:r>
      <w:r>
        <w:t>hapter 1.3. If deemed necessary, options for improvement will be identified and proposed.</w:t>
      </w:r>
    </w:p>
    <w:p w14:paraId="7CCB4890" w14:textId="614B6E64" w:rsidR="00FE6C4A" w:rsidRPr="00B933D1" w:rsidRDefault="00FE6C4A" w:rsidP="006930A5">
      <w:pPr>
        <w:pStyle w:val="SingleTxtG"/>
        <w:rPr>
          <w:lang w:eastAsia="fr-FR"/>
        </w:rPr>
      </w:pPr>
      <w:r w:rsidRPr="00B933D1">
        <w:rPr>
          <w:lang w:eastAsia="fr-FR"/>
        </w:rPr>
        <w:t>The</w:t>
      </w:r>
      <w:r w:rsidR="000239C3">
        <w:rPr>
          <w:lang w:eastAsia="fr-FR"/>
        </w:rPr>
        <w:t xml:space="preserve"> current</w:t>
      </w:r>
      <w:r w:rsidR="00A128B6">
        <w:rPr>
          <w:lang w:eastAsia="fr-FR"/>
        </w:rPr>
        <w:t>/ongoing</w:t>
      </w:r>
      <w:r w:rsidRPr="00B933D1">
        <w:rPr>
          <w:lang w:eastAsia="fr-FR"/>
        </w:rPr>
        <w:t xml:space="preserve"> discussions in the PCI IWG in relation to work item 4 </w:t>
      </w:r>
      <w:r w:rsidR="00A128B6">
        <w:rPr>
          <w:lang w:eastAsia="fr-FR"/>
        </w:rPr>
        <w:t xml:space="preserve">are </w:t>
      </w:r>
      <w:r w:rsidRPr="00B933D1">
        <w:rPr>
          <w:lang w:eastAsia="fr-FR"/>
        </w:rPr>
        <w:t>focus</w:t>
      </w:r>
      <w:r w:rsidR="00A128B6">
        <w:rPr>
          <w:lang w:eastAsia="fr-FR"/>
        </w:rPr>
        <w:t>ing</w:t>
      </w:r>
      <w:r w:rsidRPr="00B933D1">
        <w:rPr>
          <w:lang w:eastAsia="fr-FR"/>
        </w:rPr>
        <w:t xml:space="preserve"> on relevant section</w:t>
      </w:r>
      <w:r w:rsidR="0057321F">
        <w:rPr>
          <w:lang w:eastAsia="fr-FR"/>
        </w:rPr>
        <w:t>s</w:t>
      </w:r>
      <w:r w:rsidRPr="00B933D1">
        <w:rPr>
          <w:lang w:eastAsia="fr-FR"/>
        </w:rPr>
        <w:t xml:space="preserve"> of chapter 3.2. It is noted that potential changes in chapter 3.2 will result in the need for consequential amendments in chapters 3.3, 3.4 and 1.3 (see </w:t>
      </w:r>
      <w:r w:rsidR="006930A5">
        <w:rPr>
          <w:lang w:eastAsia="fr-FR"/>
        </w:rPr>
        <w:t>terms of reference</w:t>
      </w:r>
      <w:r w:rsidRPr="00B933D1">
        <w:rPr>
          <w:lang w:eastAsia="fr-FR"/>
        </w:rPr>
        <w:t xml:space="preserve"> in INF.2</w:t>
      </w:r>
      <w:r w:rsidR="006930A5">
        <w:rPr>
          <w:lang w:eastAsia="fr-FR"/>
        </w:rPr>
        <w:t>, 39</w:t>
      </w:r>
      <w:r w:rsidR="006930A5" w:rsidRPr="006930A5">
        <w:rPr>
          <w:vertAlign w:val="superscript"/>
          <w:lang w:eastAsia="fr-FR"/>
        </w:rPr>
        <w:t>th</w:t>
      </w:r>
      <w:r w:rsidR="006930A5">
        <w:rPr>
          <w:lang w:eastAsia="fr-FR"/>
        </w:rPr>
        <w:t xml:space="preserve"> session</w:t>
      </w:r>
      <w:r w:rsidRPr="00B933D1">
        <w:rPr>
          <w:lang w:eastAsia="fr-FR"/>
        </w:rPr>
        <w:t>).</w:t>
      </w:r>
    </w:p>
    <w:p w14:paraId="0D339C84" w14:textId="0B250821" w:rsidR="00FE6C4A" w:rsidRPr="00B933D1" w:rsidRDefault="00FE6C4A" w:rsidP="006930A5">
      <w:pPr>
        <w:pStyle w:val="SingleTxtG"/>
        <w:rPr>
          <w:i/>
          <w:iCs/>
          <w:lang w:eastAsia="fr-FR"/>
        </w:rPr>
      </w:pPr>
      <w:r w:rsidRPr="00B933D1">
        <w:rPr>
          <w:b/>
          <w:bCs/>
          <w:i/>
          <w:iCs/>
          <w:lang w:eastAsia="fr-FR"/>
        </w:rPr>
        <w:t>NOTE</w:t>
      </w:r>
      <w:r w:rsidRPr="00B933D1">
        <w:rPr>
          <w:i/>
          <w:iCs/>
          <w:lang w:eastAsia="fr-FR"/>
        </w:rPr>
        <w:t>: There are a number of sections within the chapter that have not been amended. To focus the readers review on what has been amended in the chapter</w:t>
      </w:r>
      <w:r w:rsidRPr="00B933D1" w:rsidDel="004E2BF9">
        <w:rPr>
          <w:i/>
          <w:iCs/>
          <w:lang w:eastAsia="fr-FR"/>
        </w:rPr>
        <w:t xml:space="preserve"> </w:t>
      </w:r>
      <w:r w:rsidRPr="00B933D1">
        <w:rPr>
          <w:i/>
          <w:iCs/>
          <w:lang w:eastAsia="fr-FR"/>
        </w:rPr>
        <w:t xml:space="preserve">below, only sections for which changes were discussed by the IWG members are included </w:t>
      </w:r>
      <w:r w:rsidR="0057321F" w:rsidRPr="00B933D1">
        <w:rPr>
          <w:i/>
          <w:iCs/>
          <w:lang w:eastAsia="fr-FR"/>
        </w:rPr>
        <w:t xml:space="preserve">in </w:t>
      </w:r>
      <w:r w:rsidR="006A6A03">
        <w:rPr>
          <w:i/>
          <w:iCs/>
          <w:lang w:eastAsia="fr-FR"/>
        </w:rPr>
        <w:t>this document</w:t>
      </w:r>
      <w:r w:rsidRPr="00B933D1">
        <w:rPr>
          <w:i/>
          <w:iCs/>
          <w:lang w:eastAsia="fr-FR"/>
        </w:rPr>
        <w:t>.</w:t>
      </w:r>
    </w:p>
    <w:p w14:paraId="22AFA637" w14:textId="1D2CBE30" w:rsidR="00FE6C4A" w:rsidRPr="004C688D" w:rsidRDefault="00FE6C4A" w:rsidP="004C688D">
      <w:pPr>
        <w:spacing w:after="120" w:line="26" w:lineRule="atLeast"/>
        <w:ind w:left="1134" w:right="1133"/>
        <w:jc w:val="both"/>
        <w:rPr>
          <w:rFonts w:eastAsia="Arial Unicode MS"/>
          <w:b/>
        </w:rPr>
      </w:pPr>
      <w:r w:rsidRPr="004C688D">
        <w:rPr>
          <w:rFonts w:eastAsia="Arial Unicode MS"/>
          <w:b/>
        </w:rPr>
        <w:t xml:space="preserve">3.2 </w:t>
      </w:r>
      <w:r w:rsidR="004C688D" w:rsidRPr="004C688D">
        <w:rPr>
          <w:rFonts w:eastAsia="Arial Unicode MS"/>
          <w:b/>
        </w:rPr>
        <w:tab/>
      </w:r>
      <w:r w:rsidR="004C688D" w:rsidRPr="004C688D">
        <w:rPr>
          <w:rFonts w:eastAsia="Arial Unicode MS"/>
          <w:b/>
        </w:rPr>
        <w:tab/>
      </w:r>
      <w:r w:rsidRPr="004C688D">
        <w:rPr>
          <w:rFonts w:eastAsia="Arial Unicode MS"/>
          <w:b/>
        </w:rPr>
        <w:t>Skin corrosion/irritation</w:t>
      </w:r>
    </w:p>
    <w:p w14:paraId="52810B75" w14:textId="698BF9D5" w:rsidR="00FE6C4A" w:rsidRPr="004C688D" w:rsidRDefault="00FE6C4A" w:rsidP="004C688D">
      <w:pPr>
        <w:spacing w:after="120" w:line="26" w:lineRule="atLeast"/>
        <w:ind w:left="1134" w:right="1133"/>
        <w:jc w:val="both"/>
        <w:rPr>
          <w:rFonts w:eastAsia="Arial Unicode MS"/>
          <w:b/>
        </w:rPr>
      </w:pPr>
      <w:r w:rsidRPr="004C688D">
        <w:rPr>
          <w:rFonts w:eastAsia="Arial Unicode MS"/>
          <w:b/>
        </w:rPr>
        <w:t xml:space="preserve">3.2.3.2 </w:t>
      </w:r>
      <w:r w:rsidR="004C688D">
        <w:rPr>
          <w:rFonts w:eastAsia="Arial Unicode MS"/>
          <w:b/>
        </w:rPr>
        <w:tab/>
      </w:r>
      <w:r w:rsidRPr="004C688D">
        <w:rPr>
          <w:rFonts w:eastAsia="Arial Unicode MS"/>
          <w:b/>
        </w:rPr>
        <w:t>Classification of mixtures when data are not available for the complete mixture: bridging principles</w:t>
      </w:r>
    </w:p>
    <w:p w14:paraId="3AAFCCAA" w14:textId="77777777" w:rsidR="00FE6C4A" w:rsidRPr="00B933D1" w:rsidRDefault="00FE6C4A" w:rsidP="006A6A03">
      <w:pPr>
        <w:spacing w:after="120" w:line="26" w:lineRule="atLeast"/>
        <w:ind w:left="1134" w:right="1133"/>
        <w:jc w:val="both"/>
        <w:rPr>
          <w:rFonts w:eastAsia="Arial Unicode MS"/>
          <w:b/>
        </w:rPr>
      </w:pPr>
      <w:r w:rsidRPr="004C688D">
        <w:rPr>
          <w:rFonts w:eastAsia="Arial Unicode MS"/>
          <w:bCs/>
        </w:rPr>
        <w:t>3.2.3.2.1</w:t>
      </w:r>
      <w:r w:rsidRPr="00B933D1">
        <w:rPr>
          <w:rFonts w:eastAsia="Arial Unicode MS"/>
          <w:b/>
        </w:rPr>
        <w:t xml:space="preserve"> </w:t>
      </w:r>
      <w:r w:rsidRPr="00B933D1">
        <w:rPr>
          <w:rFonts w:eastAsia="Arial Unicode MS"/>
        </w:rPr>
        <w:t xml:space="preserve">Where the mixture itself has not been tested to determine its skin corrosion/ irritation potential, but there are sufficient data on both the individual ingredients and similar tested mixtures to adequately characterize the hazards of the mixture, these data </w:t>
      </w:r>
      <w:r w:rsidRPr="009665C2">
        <w:rPr>
          <w:rFonts w:eastAsia="Arial Unicode MS"/>
        </w:rPr>
        <w:t>will be used</w:t>
      </w:r>
      <w:r w:rsidRPr="00B933D1">
        <w:rPr>
          <w:rFonts w:eastAsia="Arial Unicode MS"/>
        </w:rPr>
        <w:t xml:space="preserve"> in accordance with the following agreed bridging principles. This ensures that the classification process uses the available data to the greatest extent possible in characterizing the hazards of the mixture without the necessity for additional testing </w:t>
      </w:r>
      <w:r w:rsidRPr="00B933D1">
        <w:rPr>
          <w:rFonts w:eastAsia="Arial Unicode MS"/>
          <w:strike/>
          <w:color w:val="000000" w:themeColor="text1"/>
        </w:rPr>
        <w:t>in animals</w:t>
      </w:r>
      <w:r w:rsidRPr="00B933D1">
        <w:rPr>
          <w:rFonts w:eastAsia="Arial Unicode MS"/>
          <w:color w:val="000000" w:themeColor="text1"/>
        </w:rPr>
        <w:t xml:space="preserve"> </w:t>
      </w:r>
      <w:r w:rsidRPr="00B933D1">
        <w:rPr>
          <w:rFonts w:eastAsia="Arial Unicode MS"/>
          <w:color w:val="0070C0"/>
        </w:rPr>
        <w:t>(in line with 1.3.2.4.6)</w:t>
      </w:r>
      <w:r w:rsidRPr="00B933D1">
        <w:rPr>
          <w:rFonts w:eastAsia="Arial Unicode MS"/>
        </w:rPr>
        <w:t>.</w:t>
      </w:r>
    </w:p>
    <w:p w14:paraId="054B71C6" w14:textId="7E0F451D" w:rsidR="00FE6C4A" w:rsidRPr="00B933D1" w:rsidRDefault="00FE6C4A" w:rsidP="006A6A03">
      <w:pPr>
        <w:spacing w:after="120" w:line="26" w:lineRule="atLeast"/>
        <w:ind w:left="1134" w:right="1133"/>
        <w:jc w:val="both"/>
        <w:rPr>
          <w:rFonts w:eastAsia="Arial Unicode MS"/>
          <w:b/>
        </w:rPr>
      </w:pPr>
      <w:r w:rsidRPr="00B933D1">
        <w:rPr>
          <w:rFonts w:eastAsia="Arial Unicode MS"/>
          <w:b/>
        </w:rPr>
        <w:t>3.2.3.2.2</w:t>
      </w:r>
      <w:r w:rsidR="006A6A03">
        <w:rPr>
          <w:rFonts w:eastAsia="Arial Unicode MS"/>
          <w:b/>
        </w:rPr>
        <w:tab/>
      </w:r>
      <w:r w:rsidRPr="00B933D1">
        <w:rPr>
          <w:rFonts w:eastAsia="Arial Unicode MS"/>
          <w:b/>
        </w:rPr>
        <w:t>Dilution</w:t>
      </w:r>
    </w:p>
    <w:p w14:paraId="3A586E81" w14:textId="0FADA7B9" w:rsidR="00FE6C4A" w:rsidRPr="004C688D" w:rsidRDefault="00303B87" w:rsidP="004C688D">
      <w:pPr>
        <w:pStyle w:val="H4G"/>
        <w:rPr>
          <w:rFonts w:eastAsia="Arial Unicode MS"/>
          <w:b/>
          <w:bCs/>
        </w:rPr>
      </w:pPr>
      <w:r>
        <w:rPr>
          <w:rFonts w:eastAsia="Arial Unicode MS"/>
        </w:rPr>
        <w:tab/>
      </w:r>
      <w:r>
        <w:rPr>
          <w:rFonts w:eastAsia="Arial Unicode MS"/>
        </w:rPr>
        <w:tab/>
      </w:r>
      <w:r w:rsidR="00FE6C4A" w:rsidRPr="004C688D">
        <w:rPr>
          <w:rFonts w:eastAsia="Arial Unicode MS"/>
          <w:b/>
          <w:bCs/>
        </w:rPr>
        <w:t>The principle</w:t>
      </w:r>
    </w:p>
    <w:p w14:paraId="66960777" w14:textId="5C06704E" w:rsidR="00FE6C4A" w:rsidRPr="00B933D1" w:rsidRDefault="00FE6C4A" w:rsidP="00DE316F">
      <w:pPr>
        <w:spacing w:after="120" w:line="26" w:lineRule="atLeast"/>
        <w:ind w:left="1134" w:right="1133"/>
        <w:jc w:val="both"/>
        <w:rPr>
          <w:rFonts w:eastAsia="Arial Unicode MS"/>
        </w:rPr>
      </w:pPr>
      <w:r w:rsidRPr="00B933D1">
        <w:rPr>
          <w:lang w:val="en-US"/>
        </w:rPr>
        <w:t xml:space="preserve">If a tested mixture is diluted with a diluent which has an equivalent or lower </w:t>
      </w:r>
      <w:r w:rsidRPr="00B933D1">
        <w:rPr>
          <w:color w:val="0070C0"/>
          <w:lang w:val="en-US"/>
        </w:rPr>
        <w:t xml:space="preserve">classification for </w:t>
      </w:r>
      <w:r w:rsidRPr="00B933D1">
        <w:rPr>
          <w:lang w:val="en-US"/>
        </w:rPr>
        <w:t xml:space="preserve">skin corrosivity/irritancy </w:t>
      </w:r>
      <w:r w:rsidRPr="00B933D1">
        <w:rPr>
          <w:strike/>
          <w:color w:val="000000" w:themeColor="text1"/>
          <w:lang w:val="en-US"/>
        </w:rPr>
        <w:t>classification</w:t>
      </w:r>
      <w:r w:rsidRPr="00B933D1">
        <w:rPr>
          <w:lang w:val="en-US"/>
        </w:rPr>
        <w:t xml:space="preserve"> than the least skin corrosive/irritant original ingredient and which is not expected to affect the skin corrosivity/irritancy of other ingredients, then the new diluted mixture may be classified as equivalent to the original tested mixture. Alternatively, the method explained in 3.2.3.3 could be applied.</w:t>
      </w:r>
    </w:p>
    <w:p w14:paraId="622372ED" w14:textId="0CD5C1B1" w:rsidR="00FE6C4A" w:rsidRPr="00B933D1" w:rsidRDefault="004C688D" w:rsidP="004C688D">
      <w:pPr>
        <w:pStyle w:val="H4G"/>
        <w:rPr>
          <w:rFonts w:eastAsia="Arial Unicode MS"/>
        </w:rPr>
      </w:pPr>
      <w:r>
        <w:rPr>
          <w:rFonts w:eastAsia="Arial Unicode MS"/>
        </w:rPr>
        <w:tab/>
      </w:r>
      <w:r>
        <w:rPr>
          <w:rFonts w:eastAsia="Arial Unicode MS"/>
        </w:rPr>
        <w:tab/>
      </w:r>
      <w:r w:rsidR="00FE6C4A" w:rsidRPr="00B933D1">
        <w:rPr>
          <w:rFonts w:eastAsia="Arial Unicode MS"/>
        </w:rPr>
        <w:t>Eye irritation proposal</w:t>
      </w:r>
    </w:p>
    <w:p w14:paraId="04FCEB28" w14:textId="1F6DC78F" w:rsidR="00FE6C4A" w:rsidRDefault="00303B87" w:rsidP="00DE316F">
      <w:pPr>
        <w:spacing w:after="120" w:line="26" w:lineRule="atLeast"/>
        <w:ind w:left="1134" w:right="1133"/>
        <w:jc w:val="both"/>
        <w:rPr>
          <w:rFonts w:eastAsia="Arial Unicode MS"/>
        </w:rPr>
      </w:pPr>
      <w:r>
        <w:rPr>
          <w:rFonts w:eastAsia="Arial Unicode MS"/>
        </w:rPr>
        <w:t>“</w:t>
      </w:r>
      <w:r w:rsidR="00FE6C4A" w:rsidRPr="00B933D1">
        <w:rPr>
          <w:rFonts w:eastAsia="Arial Unicode MS"/>
        </w:rPr>
        <w:t>If a tested mixture is diluted with a diluent which has an equivalent or lower classification for serious eye damage/eye irritation than the least seriously eye damaging/eye irritant original ingredient and which is not expected to affect the serious eye damage /eye irritancy of other ingredients, then the new diluted mixture may be classified as equivalent to the original tested mixture. Alternatively, the method explained in 3.3.3.3 could be applied.</w:t>
      </w:r>
      <w:r>
        <w:rPr>
          <w:rFonts w:eastAsia="Arial Unicode MS"/>
        </w:rPr>
        <w:t>”</w:t>
      </w:r>
    </w:p>
    <w:p w14:paraId="314020ED" w14:textId="33773B03" w:rsidR="00FE6C4A" w:rsidRPr="00B933D1" w:rsidRDefault="004C688D" w:rsidP="004C688D">
      <w:pPr>
        <w:pStyle w:val="H4G"/>
        <w:rPr>
          <w:rFonts w:eastAsia="Arial Unicode MS"/>
        </w:rPr>
      </w:pPr>
      <w:r>
        <w:rPr>
          <w:rFonts w:eastAsia="Arial Unicode MS"/>
        </w:rPr>
        <w:tab/>
      </w:r>
      <w:r>
        <w:rPr>
          <w:rFonts w:eastAsia="Arial Unicode MS"/>
        </w:rPr>
        <w:tab/>
      </w:r>
      <w:r w:rsidR="00FE6C4A" w:rsidRPr="00B933D1">
        <w:rPr>
          <w:rFonts w:eastAsia="Arial Unicode MS"/>
        </w:rPr>
        <w:t>Skin sensitisation proposal</w:t>
      </w:r>
    </w:p>
    <w:p w14:paraId="043BE2AB" w14:textId="77777777" w:rsidR="00FE6C4A" w:rsidRPr="00B933D1" w:rsidRDefault="00FE6C4A" w:rsidP="002B4A15">
      <w:pPr>
        <w:spacing w:after="120" w:line="26" w:lineRule="atLeast"/>
        <w:ind w:left="1134" w:right="1133"/>
        <w:jc w:val="both"/>
        <w:rPr>
          <w:rFonts w:eastAsia="Arial Unicode MS"/>
        </w:rPr>
      </w:pPr>
      <w:r w:rsidRPr="00B933D1">
        <w:rPr>
          <w:rFonts w:eastAsia="Arial Unicode MS"/>
        </w:rPr>
        <w:t>If a tested mixture is diluted with a diluent which is not a sensitizer and which is not expected to affect the sensitization</w:t>
      </w:r>
      <w:r w:rsidRPr="00B933D1">
        <w:rPr>
          <w:rFonts w:eastAsia="Arial Unicode MS"/>
          <w:color w:val="0070C0"/>
        </w:rPr>
        <w:t xml:space="preserve"> </w:t>
      </w:r>
      <w:r w:rsidRPr="00B933D1">
        <w:rPr>
          <w:rFonts w:eastAsia="Arial Unicode MS"/>
        </w:rPr>
        <w:t>of other ingredients, then the new diluted mixture may be classified as equivalent to the original tested mixture.</w:t>
      </w:r>
    </w:p>
    <w:p w14:paraId="4D5A8E1C" w14:textId="10760A90" w:rsidR="00FE6C4A" w:rsidRPr="00B933D1" w:rsidRDefault="00FE6C4A" w:rsidP="00F15769">
      <w:pPr>
        <w:keepNext/>
        <w:keepLines/>
        <w:spacing w:after="120" w:line="26" w:lineRule="atLeast"/>
        <w:ind w:left="1134" w:right="1133"/>
        <w:jc w:val="both"/>
        <w:rPr>
          <w:rFonts w:eastAsia="Arial Unicode MS"/>
          <w:b/>
        </w:rPr>
      </w:pPr>
      <w:r w:rsidRPr="00B933D1">
        <w:rPr>
          <w:rFonts w:eastAsia="Arial Unicode MS"/>
          <w:b/>
        </w:rPr>
        <w:t xml:space="preserve">3.2.3.2.3 </w:t>
      </w:r>
      <w:r w:rsidR="00642E23">
        <w:rPr>
          <w:rFonts w:eastAsia="Arial Unicode MS"/>
          <w:b/>
        </w:rPr>
        <w:tab/>
      </w:r>
      <w:r w:rsidRPr="00B933D1">
        <w:rPr>
          <w:rFonts w:eastAsia="Arial Unicode MS"/>
          <w:b/>
        </w:rPr>
        <w:t>Batching</w:t>
      </w:r>
    </w:p>
    <w:p w14:paraId="260AA77C" w14:textId="7FEA23EC" w:rsidR="00FE6C4A" w:rsidRPr="004C688D" w:rsidRDefault="004C688D" w:rsidP="00F15769">
      <w:pPr>
        <w:pStyle w:val="H4G"/>
        <w:rPr>
          <w:rFonts w:eastAsia="Arial Unicode MS"/>
          <w:b/>
          <w:bCs/>
        </w:rPr>
      </w:pPr>
      <w:r w:rsidRPr="004C688D">
        <w:rPr>
          <w:rFonts w:eastAsia="Arial Unicode MS"/>
          <w:b/>
          <w:bCs/>
        </w:rPr>
        <w:tab/>
      </w:r>
      <w:r w:rsidRPr="004C688D">
        <w:rPr>
          <w:rFonts w:eastAsia="Arial Unicode MS"/>
          <w:b/>
          <w:bCs/>
        </w:rPr>
        <w:tab/>
      </w:r>
      <w:r w:rsidR="00FE6C4A" w:rsidRPr="004C688D">
        <w:rPr>
          <w:rFonts w:eastAsia="Arial Unicode MS"/>
          <w:b/>
          <w:bCs/>
        </w:rPr>
        <w:t xml:space="preserve">The principle </w:t>
      </w:r>
    </w:p>
    <w:p w14:paraId="01C7F553" w14:textId="77777777" w:rsidR="00FE6C4A" w:rsidRPr="00B933D1" w:rsidRDefault="00FE6C4A" w:rsidP="00F15769">
      <w:pPr>
        <w:keepNext/>
        <w:keepLines/>
        <w:spacing w:after="120" w:line="26" w:lineRule="atLeast"/>
        <w:ind w:left="1134" w:right="991"/>
        <w:jc w:val="both"/>
        <w:rPr>
          <w:rFonts w:eastAsia="Arial Unicode MS"/>
        </w:rPr>
      </w:pPr>
      <w:r w:rsidRPr="00B933D1">
        <w:rPr>
          <w:lang w:val="en-US"/>
        </w:rPr>
        <w:t xml:space="preserve">The skin corrosion/irritation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w:t>
      </w:r>
      <w:r w:rsidRPr="00B933D1">
        <w:rPr>
          <w:color w:val="0070C0"/>
          <w:lang w:val="en-US"/>
        </w:rPr>
        <w:t xml:space="preserve">deviation </w:t>
      </w:r>
      <w:r w:rsidRPr="00B933D1">
        <w:rPr>
          <w:strike/>
          <w:color w:val="000000" w:themeColor="text1"/>
          <w:lang w:val="en-US"/>
        </w:rPr>
        <w:t>variation</w:t>
      </w:r>
      <w:r w:rsidRPr="00B933D1">
        <w:rPr>
          <w:lang w:val="en-US"/>
        </w:rPr>
        <w:t xml:space="preserve"> </w:t>
      </w:r>
      <w:r w:rsidRPr="00B933D1">
        <w:rPr>
          <w:color w:val="0070C0"/>
          <w:lang w:val="en-US"/>
        </w:rPr>
        <w:t xml:space="preserve">(e.g. caused by variation in an ingredient’s composition or processing conditions) </w:t>
      </w:r>
      <w:r w:rsidRPr="00B933D1">
        <w:rPr>
          <w:lang w:val="en-US"/>
        </w:rPr>
        <w:t xml:space="preserve">such that the skin corrosion/irritation potential of the untested batch has changed. If the latter occurs, a new </w:t>
      </w:r>
      <w:r w:rsidRPr="00B933D1">
        <w:rPr>
          <w:color w:val="0070C0"/>
          <w:lang w:val="en-US"/>
        </w:rPr>
        <w:t>assessment of the</w:t>
      </w:r>
      <w:r w:rsidRPr="00B933D1">
        <w:rPr>
          <w:lang w:val="en-US"/>
        </w:rPr>
        <w:t xml:space="preserve"> classification is necessary.</w:t>
      </w:r>
    </w:p>
    <w:p w14:paraId="00309C78" w14:textId="077DFD50" w:rsidR="00FE6C4A" w:rsidRPr="00DE316F" w:rsidRDefault="00FE6C4A" w:rsidP="00DE316F">
      <w:pPr>
        <w:pStyle w:val="SingleTxtG"/>
        <w:rPr>
          <w:rFonts w:eastAsia="Arial Unicode MS"/>
          <w:b/>
          <w:bCs/>
        </w:rPr>
      </w:pPr>
      <w:r w:rsidRPr="00DE316F">
        <w:rPr>
          <w:rFonts w:eastAsia="Arial Unicode MS"/>
          <w:b/>
          <w:bCs/>
        </w:rPr>
        <w:t xml:space="preserve">3.2.3.2.4 </w:t>
      </w:r>
      <w:r w:rsidR="0030037D" w:rsidRPr="00DE316F">
        <w:rPr>
          <w:rFonts w:eastAsia="Arial Unicode MS"/>
          <w:b/>
          <w:bCs/>
        </w:rPr>
        <w:tab/>
      </w:r>
      <w:r w:rsidRPr="00DE316F">
        <w:rPr>
          <w:rFonts w:eastAsia="Arial Unicode MS"/>
          <w:b/>
          <w:bCs/>
        </w:rPr>
        <w:t>Concentration of mixtures of the highest skin corrosion/irritation category/sub-category</w:t>
      </w:r>
    </w:p>
    <w:p w14:paraId="6DD3B240" w14:textId="2BB030E6" w:rsidR="00FE6C4A" w:rsidRPr="004C688D" w:rsidRDefault="004C688D" w:rsidP="004C688D">
      <w:pPr>
        <w:pStyle w:val="H4G"/>
        <w:rPr>
          <w:rFonts w:eastAsia="Arial Unicode MS"/>
          <w:b/>
          <w:bCs/>
        </w:rPr>
      </w:pPr>
      <w:r>
        <w:rPr>
          <w:rFonts w:eastAsia="Arial Unicode MS"/>
          <w:b/>
          <w:bCs/>
        </w:rPr>
        <w:tab/>
      </w:r>
      <w:r>
        <w:rPr>
          <w:rFonts w:eastAsia="Arial Unicode MS"/>
          <w:b/>
          <w:bCs/>
        </w:rPr>
        <w:tab/>
      </w:r>
      <w:r w:rsidR="00FE6C4A" w:rsidRPr="004C688D">
        <w:rPr>
          <w:rFonts w:eastAsia="Arial Unicode MS"/>
          <w:b/>
          <w:bCs/>
        </w:rPr>
        <w:t>The principle</w:t>
      </w:r>
    </w:p>
    <w:p w14:paraId="6D6A20A2" w14:textId="77777777" w:rsidR="00FE6C4A" w:rsidRPr="00B933D1" w:rsidRDefault="00FE6C4A" w:rsidP="004C688D">
      <w:pPr>
        <w:suppressAutoHyphens w:val="0"/>
        <w:spacing w:after="120" w:line="26" w:lineRule="atLeast"/>
        <w:ind w:left="1134" w:right="849"/>
        <w:jc w:val="both"/>
        <w:rPr>
          <w:rFonts w:eastAsia="Calibri"/>
          <w:lang w:val="en-US"/>
        </w:rPr>
      </w:pPr>
      <w:r w:rsidRPr="00B933D1">
        <w:rPr>
          <w:rFonts w:eastAsia="Calibri"/>
          <w:lang w:val="en-US"/>
        </w:rPr>
        <w:t xml:space="preserve">If a tested mixture classified in </w:t>
      </w:r>
      <w:r w:rsidRPr="00B933D1">
        <w:rPr>
          <w:rFonts w:eastAsia="Calibri"/>
          <w:color w:val="FF0000"/>
          <w:lang w:val="en-US"/>
        </w:rPr>
        <w:t xml:space="preserve">Category 1 or </w:t>
      </w:r>
      <w:r w:rsidRPr="00B933D1">
        <w:rPr>
          <w:rFonts w:eastAsia="Calibri"/>
          <w:lang w:val="en-US"/>
        </w:rPr>
        <w:t xml:space="preserve">the highest sub-category </w:t>
      </w:r>
      <w:r w:rsidRPr="00B933D1">
        <w:rPr>
          <w:rFonts w:eastAsia="Calibri"/>
          <w:color w:val="FF0000"/>
          <w:lang w:val="en-US"/>
        </w:rPr>
        <w:t xml:space="preserve">(Category 1A) </w:t>
      </w:r>
      <w:r w:rsidRPr="00B933D1">
        <w:rPr>
          <w:rFonts w:eastAsia="Calibri"/>
          <w:lang w:val="en-US"/>
        </w:rPr>
        <w:t xml:space="preserve">for skin corrosion is concentrated </w:t>
      </w:r>
      <w:r w:rsidRPr="00B933D1">
        <w:rPr>
          <w:rFonts w:eastAsia="Calibri"/>
          <w:color w:val="FF0000"/>
          <w:lang w:val="en-US"/>
        </w:rPr>
        <w:t>by reducing or removing an ingredient of less severe or no classification</w:t>
      </w:r>
      <w:r w:rsidRPr="00B933D1">
        <w:rPr>
          <w:rFonts w:eastAsia="Calibri"/>
          <w:lang w:val="en-US"/>
        </w:rPr>
        <w:t xml:space="preserve">, the more concentrated untested mixture should be classified in </w:t>
      </w:r>
      <w:r w:rsidRPr="00B933D1">
        <w:rPr>
          <w:rFonts w:eastAsia="Calibri"/>
          <w:color w:val="FF0000"/>
          <w:lang w:val="en-US"/>
        </w:rPr>
        <w:t xml:space="preserve">Category 1 or </w:t>
      </w:r>
      <w:r w:rsidRPr="00B933D1">
        <w:rPr>
          <w:rFonts w:eastAsia="Calibri"/>
          <w:lang w:val="en-US"/>
        </w:rPr>
        <w:t xml:space="preserve">the highest corrosion sub-category </w:t>
      </w:r>
      <w:r w:rsidRPr="00B933D1">
        <w:rPr>
          <w:rFonts w:eastAsia="Calibri"/>
          <w:color w:val="FF0000"/>
          <w:lang w:val="en-US"/>
        </w:rPr>
        <w:t xml:space="preserve">(Category 1A), respectively, </w:t>
      </w:r>
      <w:r w:rsidRPr="00B933D1">
        <w:rPr>
          <w:rFonts w:eastAsia="Calibri"/>
          <w:lang w:val="en-US"/>
        </w:rPr>
        <w:t xml:space="preserve">without additional testing. </w:t>
      </w:r>
    </w:p>
    <w:p w14:paraId="1B72C989" w14:textId="77777777" w:rsidR="00FE6C4A" w:rsidRPr="00B933D1" w:rsidRDefault="00FE6C4A" w:rsidP="004C688D">
      <w:pPr>
        <w:suppressAutoHyphens w:val="0"/>
        <w:spacing w:after="120" w:line="26" w:lineRule="atLeast"/>
        <w:ind w:left="1134" w:right="849"/>
        <w:jc w:val="both"/>
        <w:rPr>
          <w:rFonts w:eastAsia="Calibri"/>
          <w:lang w:val="en-US"/>
        </w:rPr>
      </w:pPr>
      <w:r w:rsidRPr="00B933D1">
        <w:rPr>
          <w:rFonts w:eastAsia="Calibri"/>
          <w:lang w:val="en-US"/>
        </w:rPr>
        <w:t xml:space="preserve">If a tested mixture classified </w:t>
      </w:r>
      <w:r w:rsidRPr="00B933D1">
        <w:rPr>
          <w:rFonts w:eastAsia="Calibri"/>
          <w:color w:val="FF0000"/>
          <w:lang w:val="en-US"/>
        </w:rPr>
        <w:t xml:space="preserve">in Category 2 </w:t>
      </w:r>
      <w:r w:rsidRPr="00B933D1">
        <w:rPr>
          <w:rFonts w:eastAsia="Calibri"/>
          <w:lang w:val="en-US"/>
        </w:rPr>
        <w:t xml:space="preserve">for skin irritation </w:t>
      </w:r>
      <w:r w:rsidRPr="00B933D1">
        <w:rPr>
          <w:rFonts w:eastAsia="Calibri"/>
          <w:strike/>
          <w:color w:val="FF0000"/>
          <w:lang w:val="en-US"/>
        </w:rPr>
        <w:t>(Category 2)</w:t>
      </w:r>
      <w:r w:rsidRPr="00B933D1">
        <w:rPr>
          <w:rFonts w:eastAsia="Calibri"/>
          <w:color w:val="FF0000"/>
          <w:lang w:val="en-US"/>
        </w:rPr>
        <w:t xml:space="preserve">  </w:t>
      </w:r>
      <w:r w:rsidRPr="00B933D1">
        <w:rPr>
          <w:rFonts w:eastAsia="Calibri"/>
          <w:lang w:val="en-US"/>
        </w:rPr>
        <w:t xml:space="preserve">is concentrated </w:t>
      </w:r>
      <w:r w:rsidRPr="00B933D1">
        <w:rPr>
          <w:rFonts w:eastAsia="Calibri"/>
          <w:color w:val="FF0000"/>
          <w:lang w:val="en-US"/>
        </w:rPr>
        <w:t>by reducing or removing an ingredient of less severe or no classification</w:t>
      </w:r>
      <w:r w:rsidRPr="00B933D1">
        <w:rPr>
          <w:rFonts w:eastAsia="Calibri"/>
          <w:lang w:val="en-US"/>
        </w:rPr>
        <w:t xml:space="preserve"> </w:t>
      </w:r>
      <w:r w:rsidRPr="00B933D1">
        <w:rPr>
          <w:rFonts w:eastAsia="Calibri"/>
          <w:color w:val="000000" w:themeColor="text1"/>
          <w:lang w:val="en-US"/>
        </w:rPr>
        <w:t>and does not contain skin corrosive ingredients,</w:t>
      </w:r>
      <w:r w:rsidRPr="00B933D1">
        <w:rPr>
          <w:rFonts w:eastAsia="Calibri"/>
          <w:lang w:val="en-US"/>
        </w:rPr>
        <w:t xml:space="preserve"> the more concentrated untested mixture should be classified for skin irritation (Category 2) without additional testing. </w:t>
      </w:r>
    </w:p>
    <w:p w14:paraId="1DAA48CA" w14:textId="77777777" w:rsidR="00FE6C4A" w:rsidRPr="00B933D1" w:rsidRDefault="00FE6C4A" w:rsidP="004C688D">
      <w:pPr>
        <w:suppressAutoHyphens w:val="0"/>
        <w:spacing w:after="120" w:line="26" w:lineRule="atLeast"/>
        <w:ind w:left="1134" w:right="849"/>
        <w:jc w:val="both"/>
        <w:rPr>
          <w:rFonts w:eastAsia="Calibri"/>
          <w:color w:val="FF0000"/>
          <w:lang w:val="en-US"/>
        </w:rPr>
      </w:pPr>
      <w:r w:rsidRPr="00B933D1">
        <w:rPr>
          <w:rFonts w:eastAsia="Calibri"/>
          <w:color w:val="FF0000"/>
          <w:lang w:val="en-US"/>
        </w:rPr>
        <w:t xml:space="preserve">If a tested mixture classified in Category 3 for mild skin irritation is concentrated by reducing or removing an ingredient of </w:t>
      </w:r>
      <w:r>
        <w:rPr>
          <w:rFonts w:eastAsia="Calibri"/>
          <w:strike/>
          <w:color w:val="FF0000"/>
          <w:lang w:val="en-US"/>
        </w:rPr>
        <w:t xml:space="preserve">less severe or </w:t>
      </w:r>
      <w:r w:rsidRPr="00B933D1">
        <w:rPr>
          <w:rFonts w:eastAsia="Calibri"/>
          <w:color w:val="FF0000"/>
          <w:lang w:val="en-US"/>
        </w:rPr>
        <w:t>no classification and does not contain skin irritant (Category 2) and corrosive ingredients, the more concentrated untested mixture should be classified for mild skin irritation (Category 3) without additional testing.</w:t>
      </w:r>
    </w:p>
    <w:p w14:paraId="174BA8E1" w14:textId="1B9F7212" w:rsidR="00FE6C4A" w:rsidRPr="00DE316F" w:rsidRDefault="00FE6C4A" w:rsidP="00DE316F">
      <w:pPr>
        <w:pStyle w:val="SingleTxtG"/>
        <w:rPr>
          <w:rFonts w:eastAsia="Arial Unicode MS"/>
          <w:b/>
          <w:bCs/>
        </w:rPr>
      </w:pPr>
      <w:r w:rsidRPr="00DE316F">
        <w:rPr>
          <w:rFonts w:eastAsia="Arial Unicode MS"/>
          <w:b/>
          <w:bCs/>
        </w:rPr>
        <w:t xml:space="preserve">3.2.3.2.5 </w:t>
      </w:r>
      <w:r w:rsidR="00DE316F">
        <w:rPr>
          <w:rFonts w:eastAsia="Arial Unicode MS"/>
          <w:b/>
          <w:bCs/>
        </w:rPr>
        <w:tab/>
      </w:r>
      <w:r w:rsidRPr="00DE316F">
        <w:rPr>
          <w:rFonts w:eastAsia="Arial Unicode MS"/>
          <w:b/>
          <w:bCs/>
        </w:rPr>
        <w:t>Interpolation within one hazard category/sub-category</w:t>
      </w:r>
    </w:p>
    <w:p w14:paraId="5B2C0332" w14:textId="22921B0C" w:rsidR="00FE6C4A" w:rsidRPr="004C688D" w:rsidRDefault="004C688D" w:rsidP="004C688D">
      <w:pPr>
        <w:pStyle w:val="H4G"/>
        <w:rPr>
          <w:rFonts w:eastAsia="Arial Unicode MS"/>
          <w:b/>
          <w:bCs/>
        </w:rPr>
      </w:pPr>
      <w:r>
        <w:rPr>
          <w:rFonts w:eastAsia="Arial Unicode MS"/>
          <w:b/>
          <w:bCs/>
        </w:rPr>
        <w:tab/>
      </w:r>
      <w:r>
        <w:rPr>
          <w:rFonts w:eastAsia="Arial Unicode MS"/>
          <w:b/>
          <w:bCs/>
        </w:rPr>
        <w:tab/>
      </w:r>
      <w:r w:rsidR="00FE6C4A" w:rsidRPr="004C688D">
        <w:rPr>
          <w:rFonts w:eastAsia="Arial Unicode MS"/>
          <w:b/>
          <w:bCs/>
        </w:rPr>
        <w:t xml:space="preserve">The principle </w:t>
      </w:r>
    </w:p>
    <w:p w14:paraId="42837EAA" w14:textId="77777777" w:rsidR="00FE6C4A" w:rsidRPr="00B933D1" w:rsidRDefault="00FE6C4A" w:rsidP="004C688D">
      <w:pPr>
        <w:suppressAutoHyphens w:val="0"/>
        <w:spacing w:after="120" w:line="26" w:lineRule="atLeast"/>
        <w:ind w:left="1134" w:right="707"/>
        <w:jc w:val="both"/>
        <w:rPr>
          <w:rFonts w:eastAsia="Calibri"/>
          <w:lang w:val="en-US"/>
        </w:rPr>
      </w:pPr>
      <w:r w:rsidRPr="00B933D1">
        <w:rPr>
          <w:rFonts w:eastAsia="Calibri"/>
          <w:lang w:val="en-US"/>
        </w:rPr>
        <w:t xml:space="preserve">For three mixtures </w:t>
      </w:r>
      <w:r w:rsidRPr="0003090E">
        <w:rPr>
          <w:rFonts w:eastAsia="Calibri"/>
          <w:strike/>
          <w:lang w:val="en-US"/>
        </w:rPr>
        <w:t>A, B and C</w:t>
      </w:r>
      <w:r w:rsidRPr="0003090E">
        <w:rPr>
          <w:rFonts w:eastAsia="Calibri"/>
          <w:lang w:val="en-US"/>
        </w:rPr>
        <w:t xml:space="preserve"> </w:t>
      </w:r>
      <w:r w:rsidRPr="009665C2">
        <w:rPr>
          <w:rFonts w:eastAsia="Calibri"/>
          <w:color w:val="0070C0"/>
          <w:lang w:val="en-US"/>
        </w:rPr>
        <w:t xml:space="preserve">(i), (ii) and (iii) </w:t>
      </w:r>
      <w:r w:rsidRPr="00B933D1">
        <w:rPr>
          <w:rFonts w:eastAsia="Calibri"/>
          <w:lang w:val="en-US"/>
        </w:rPr>
        <w:t xml:space="preserve">with identical ingredients, where mixtures </w:t>
      </w:r>
      <w:r w:rsidRPr="0003090E">
        <w:rPr>
          <w:rFonts w:eastAsia="Calibri"/>
          <w:strike/>
          <w:lang w:val="en-US"/>
        </w:rPr>
        <w:t>A and B</w:t>
      </w:r>
      <w:r w:rsidRPr="0003090E">
        <w:rPr>
          <w:rFonts w:eastAsia="Calibri"/>
          <w:lang w:val="en-US"/>
        </w:rPr>
        <w:t xml:space="preserve"> </w:t>
      </w:r>
      <w:r w:rsidRPr="009665C2">
        <w:rPr>
          <w:rFonts w:eastAsia="Calibri"/>
          <w:color w:val="0070C0"/>
          <w:lang w:val="en-US"/>
        </w:rPr>
        <w:t xml:space="preserve">(i) and (ii) </w:t>
      </w:r>
      <w:r w:rsidRPr="00B933D1">
        <w:rPr>
          <w:rFonts w:eastAsia="Calibri"/>
          <w:lang w:val="en-US"/>
        </w:rPr>
        <w:t xml:space="preserve">have been tested and are in the same skin corrosion/irritation </w:t>
      </w:r>
      <w:r w:rsidRPr="0003090E">
        <w:rPr>
          <w:rFonts w:eastAsia="Calibri"/>
          <w:strike/>
          <w:lang w:val="en-US"/>
        </w:rPr>
        <w:t>hazard</w:t>
      </w:r>
      <w:r w:rsidRPr="0003090E">
        <w:rPr>
          <w:rFonts w:eastAsia="Calibri"/>
          <w:lang w:val="en-US"/>
        </w:rPr>
        <w:t xml:space="preserve"> </w:t>
      </w:r>
      <w:r w:rsidRPr="00B933D1">
        <w:rPr>
          <w:rFonts w:eastAsia="Calibri"/>
          <w:lang w:val="en-US"/>
        </w:rPr>
        <w:t xml:space="preserve">category, </w:t>
      </w:r>
      <w:r w:rsidRPr="001544CB">
        <w:rPr>
          <w:strike/>
          <w:color w:val="FF0000"/>
          <w:lang w:val="en-US"/>
        </w:rPr>
        <w:t>and where untested mixture C has the same toxicologically active ingredients as mixtures A and B</w:t>
      </w:r>
      <w:r w:rsidRPr="001544CB">
        <w:rPr>
          <w:rFonts w:eastAsia="Calibri"/>
          <w:color w:val="FF0000"/>
          <w:lang w:val="en-US"/>
        </w:rPr>
        <w:t xml:space="preserve"> </w:t>
      </w:r>
      <w:r w:rsidRPr="00B933D1">
        <w:rPr>
          <w:rFonts w:eastAsia="Calibri"/>
          <w:lang w:val="en-US"/>
        </w:rPr>
        <w:t xml:space="preserve">but </w:t>
      </w:r>
      <w:r w:rsidRPr="00B933D1">
        <w:rPr>
          <w:rFonts w:eastAsia="Calibri"/>
          <w:color w:val="FF0000"/>
          <w:lang w:val="en-US"/>
        </w:rPr>
        <w:t>the untested mixture (iii)</w:t>
      </w:r>
      <w:r w:rsidRPr="00B933D1">
        <w:rPr>
          <w:rFonts w:eastAsia="Calibri"/>
          <w:lang w:val="en-US"/>
        </w:rPr>
        <w:t xml:space="preserve"> has concentrations of </w:t>
      </w:r>
      <w:r w:rsidRPr="00B933D1">
        <w:rPr>
          <w:rFonts w:eastAsia="Calibri"/>
          <w:color w:val="FF0000"/>
          <w:lang w:val="en-US"/>
        </w:rPr>
        <w:t xml:space="preserve">the </w:t>
      </w:r>
      <w:r w:rsidRPr="00B933D1">
        <w:rPr>
          <w:rFonts w:eastAsia="Calibri"/>
          <w:lang w:val="en-US"/>
        </w:rPr>
        <w:t xml:space="preserve">toxicologically active ingredients intermediate to the concentrations in mixtures </w:t>
      </w:r>
      <w:r w:rsidRPr="0003090E">
        <w:rPr>
          <w:rFonts w:eastAsia="Calibri"/>
          <w:strike/>
          <w:lang w:val="en-US"/>
        </w:rPr>
        <w:t>A and B</w:t>
      </w:r>
      <w:r w:rsidRPr="0003090E">
        <w:rPr>
          <w:rFonts w:eastAsia="Calibri"/>
          <w:lang w:val="en-US"/>
        </w:rPr>
        <w:t xml:space="preserve"> </w:t>
      </w:r>
      <w:r w:rsidRPr="009665C2">
        <w:rPr>
          <w:rFonts w:eastAsia="Calibri"/>
          <w:color w:val="0070C0"/>
          <w:lang w:val="en-US"/>
        </w:rPr>
        <w:t>(i) and (ii)</w:t>
      </w:r>
      <w:r w:rsidRPr="00B933D1">
        <w:rPr>
          <w:rFonts w:eastAsia="Calibri"/>
          <w:lang w:val="en-US"/>
        </w:rPr>
        <w:t xml:space="preserve">,  then mixture </w:t>
      </w:r>
      <w:r w:rsidRPr="0003090E">
        <w:rPr>
          <w:rFonts w:eastAsia="Calibri"/>
          <w:strike/>
          <w:lang w:val="en-US"/>
        </w:rPr>
        <w:t>C</w:t>
      </w:r>
      <w:r w:rsidRPr="009665C2">
        <w:rPr>
          <w:rFonts w:eastAsia="Calibri"/>
          <w:color w:val="0070C0"/>
          <w:lang w:val="en-US"/>
        </w:rPr>
        <w:t xml:space="preserve"> (iii) </w:t>
      </w:r>
      <w:r w:rsidRPr="00B933D1">
        <w:rPr>
          <w:rFonts w:eastAsia="Calibri"/>
          <w:lang w:val="en-US"/>
        </w:rPr>
        <w:t xml:space="preserve">is assumed to be in the same skin corrosion/irritation category as </w:t>
      </w:r>
      <w:r w:rsidRPr="0003090E">
        <w:rPr>
          <w:rFonts w:eastAsia="Calibri"/>
          <w:strike/>
          <w:lang w:val="en-US"/>
        </w:rPr>
        <w:t>A and B</w:t>
      </w:r>
      <w:r w:rsidRPr="0003090E">
        <w:rPr>
          <w:rFonts w:eastAsia="Calibri"/>
          <w:lang w:val="en-US"/>
        </w:rPr>
        <w:t xml:space="preserve"> </w:t>
      </w:r>
      <w:r w:rsidRPr="009665C2">
        <w:rPr>
          <w:rFonts w:eastAsia="Calibri"/>
          <w:color w:val="0070C0"/>
          <w:lang w:val="en-US"/>
        </w:rPr>
        <w:t>(</w:t>
      </w:r>
      <w:proofErr w:type="spellStart"/>
      <w:r w:rsidRPr="009665C2">
        <w:rPr>
          <w:rFonts w:eastAsia="Calibri"/>
          <w:color w:val="0070C0"/>
          <w:lang w:val="en-US"/>
        </w:rPr>
        <w:t>i</w:t>
      </w:r>
      <w:proofErr w:type="spellEnd"/>
      <w:r w:rsidRPr="009665C2">
        <w:rPr>
          <w:rFonts w:eastAsia="Calibri"/>
          <w:color w:val="0070C0"/>
          <w:lang w:val="en-US"/>
        </w:rPr>
        <w:t>) and (ii)</w:t>
      </w:r>
      <w:r w:rsidRPr="00B933D1">
        <w:rPr>
          <w:rFonts w:eastAsia="Calibri"/>
          <w:lang w:val="en-US"/>
        </w:rPr>
        <w:t>.</w:t>
      </w:r>
    </w:p>
    <w:p w14:paraId="499F1001" w14:textId="77777777" w:rsidR="00FE6C4A" w:rsidRPr="00B933D1" w:rsidRDefault="00FE6C4A" w:rsidP="004C688D">
      <w:pPr>
        <w:suppressAutoHyphens w:val="0"/>
        <w:spacing w:after="120" w:line="26" w:lineRule="atLeast"/>
        <w:ind w:left="1134" w:right="707"/>
        <w:jc w:val="both"/>
        <w:rPr>
          <w:rFonts w:eastAsia="Calibri"/>
          <w:color w:val="FF0000"/>
        </w:rPr>
      </w:pPr>
      <w:r w:rsidRPr="00B933D1">
        <w:rPr>
          <w:rFonts w:eastAsia="Calibri"/>
          <w:color w:val="FF0000"/>
          <w:lang w:val="en-US"/>
        </w:rPr>
        <w:t>The sum of the concentrations of the toxicologically active ingredients in the same hazard category in (iii) should be equal to or below (i) and (ii).</w:t>
      </w:r>
    </w:p>
    <w:p w14:paraId="0C97A900" w14:textId="4F85BFA7" w:rsidR="00FE6C4A" w:rsidRPr="00DE316F" w:rsidRDefault="00FE6C4A" w:rsidP="00DE316F">
      <w:pPr>
        <w:pStyle w:val="SingleTxtG"/>
        <w:rPr>
          <w:rFonts w:eastAsia="Arial Unicode MS"/>
          <w:b/>
          <w:bCs/>
        </w:rPr>
      </w:pPr>
      <w:r w:rsidRPr="00DE316F">
        <w:rPr>
          <w:rFonts w:eastAsia="Arial Unicode MS"/>
          <w:b/>
          <w:bCs/>
        </w:rPr>
        <w:t xml:space="preserve">3.2.3.2.6 </w:t>
      </w:r>
      <w:r w:rsidR="00DE316F" w:rsidRPr="00DE316F">
        <w:rPr>
          <w:rFonts w:eastAsia="Arial Unicode MS"/>
          <w:b/>
          <w:bCs/>
        </w:rPr>
        <w:tab/>
      </w:r>
      <w:r w:rsidRPr="00DE316F">
        <w:rPr>
          <w:rFonts w:eastAsia="Arial Unicode MS"/>
          <w:b/>
          <w:bCs/>
        </w:rPr>
        <w:t>Substantially similar mixtures</w:t>
      </w:r>
    </w:p>
    <w:p w14:paraId="313B29B6" w14:textId="64DF04A2" w:rsidR="00FE6C4A" w:rsidRPr="004C688D" w:rsidRDefault="004C688D" w:rsidP="004C688D">
      <w:pPr>
        <w:pStyle w:val="H4G"/>
        <w:rPr>
          <w:rFonts w:eastAsia="Arial Unicode MS"/>
          <w:b/>
          <w:bCs/>
        </w:rPr>
      </w:pPr>
      <w:r>
        <w:rPr>
          <w:rFonts w:eastAsia="Arial Unicode MS"/>
          <w:b/>
          <w:bCs/>
        </w:rPr>
        <w:tab/>
      </w:r>
      <w:r>
        <w:rPr>
          <w:rFonts w:eastAsia="Arial Unicode MS"/>
          <w:b/>
          <w:bCs/>
        </w:rPr>
        <w:tab/>
      </w:r>
      <w:r w:rsidR="00FE6C4A" w:rsidRPr="004C688D">
        <w:rPr>
          <w:rFonts w:eastAsia="Arial Unicode MS"/>
          <w:b/>
          <w:bCs/>
        </w:rPr>
        <w:t xml:space="preserve">The principle </w:t>
      </w:r>
    </w:p>
    <w:p w14:paraId="45BBF43F" w14:textId="77777777" w:rsidR="00FE6C4A" w:rsidRPr="00B933D1" w:rsidRDefault="00FE6C4A" w:rsidP="004C688D">
      <w:pPr>
        <w:tabs>
          <w:tab w:val="left" w:pos="8931"/>
        </w:tabs>
        <w:spacing w:after="120"/>
        <w:ind w:left="1134" w:right="707"/>
        <w:jc w:val="both"/>
      </w:pPr>
      <w:r w:rsidRPr="00B933D1">
        <w:t>Given the following:</w:t>
      </w:r>
    </w:p>
    <w:p w14:paraId="5695F984" w14:textId="41CC56B2" w:rsidR="00FE6C4A" w:rsidRPr="00B933D1" w:rsidRDefault="00FE6C4A" w:rsidP="004C688D">
      <w:pPr>
        <w:tabs>
          <w:tab w:val="left" w:pos="1985"/>
          <w:tab w:val="left" w:pos="2694"/>
          <w:tab w:val="left" w:pos="3402"/>
          <w:tab w:val="left" w:pos="8931"/>
        </w:tabs>
        <w:spacing w:after="120"/>
        <w:ind w:left="1418" w:right="707"/>
        <w:jc w:val="both"/>
      </w:pPr>
      <w:r w:rsidRPr="00B933D1">
        <w:t xml:space="preserve">(a) </w:t>
      </w:r>
      <w:r w:rsidR="004C688D">
        <w:tab/>
      </w:r>
      <w:r w:rsidRPr="00B933D1">
        <w:t>Two mixtures:</w:t>
      </w:r>
      <w:r w:rsidR="004C688D">
        <w:t xml:space="preserve"> </w:t>
      </w:r>
      <w:r w:rsidR="004C688D">
        <w:tab/>
      </w:r>
      <w:r w:rsidRPr="00B933D1">
        <w:t>(</w:t>
      </w:r>
      <w:proofErr w:type="spellStart"/>
      <w:r w:rsidRPr="00B933D1">
        <w:t>i</w:t>
      </w:r>
      <w:proofErr w:type="spellEnd"/>
      <w:r w:rsidRPr="00B933D1">
        <w:t>) A + B;</w:t>
      </w:r>
    </w:p>
    <w:p w14:paraId="5292149E" w14:textId="0129F5EE" w:rsidR="00FE6C4A" w:rsidRPr="00B933D1" w:rsidRDefault="004C688D" w:rsidP="004C688D">
      <w:pPr>
        <w:tabs>
          <w:tab w:val="left" w:pos="1985"/>
          <w:tab w:val="left" w:pos="3402"/>
          <w:tab w:val="left" w:pos="8931"/>
        </w:tabs>
        <w:spacing w:after="120"/>
        <w:ind w:left="1418" w:right="707"/>
        <w:jc w:val="both"/>
      </w:pPr>
      <w:r>
        <w:tab/>
      </w:r>
      <w:r>
        <w:tab/>
      </w:r>
      <w:r w:rsidR="00FE6C4A" w:rsidRPr="00B933D1">
        <w:t>(ii) C + B;</w:t>
      </w:r>
    </w:p>
    <w:p w14:paraId="492DDF2B" w14:textId="46863555" w:rsidR="00FE6C4A" w:rsidRPr="00B933D1" w:rsidRDefault="00FE6C4A" w:rsidP="004C688D">
      <w:pPr>
        <w:tabs>
          <w:tab w:val="left" w:pos="1985"/>
          <w:tab w:val="left" w:pos="8931"/>
        </w:tabs>
        <w:spacing w:after="120"/>
        <w:ind w:left="1418" w:right="707"/>
        <w:jc w:val="both"/>
      </w:pPr>
      <w:r w:rsidRPr="00B933D1">
        <w:t xml:space="preserve">(b) </w:t>
      </w:r>
      <w:r w:rsidR="004C688D">
        <w:tab/>
      </w:r>
      <w:r w:rsidRPr="00B933D1">
        <w:t>The concentration of ingredient B is essentially the same in both mixtures;</w:t>
      </w:r>
    </w:p>
    <w:p w14:paraId="02822FB0" w14:textId="77BB6191" w:rsidR="00FE6C4A" w:rsidRPr="008776E9" w:rsidRDefault="00FE6C4A" w:rsidP="004C688D">
      <w:pPr>
        <w:tabs>
          <w:tab w:val="left" w:pos="8931"/>
        </w:tabs>
        <w:spacing w:after="120"/>
        <w:ind w:left="1985" w:right="707" w:hanging="567"/>
        <w:jc w:val="both"/>
        <w:rPr>
          <w:strike/>
          <w:color w:val="FF0000"/>
        </w:rPr>
      </w:pPr>
      <w:r w:rsidRPr="008776E9">
        <w:rPr>
          <w:strike/>
          <w:color w:val="FF0000"/>
        </w:rPr>
        <w:t xml:space="preserve">(c) </w:t>
      </w:r>
      <w:r w:rsidR="004C688D">
        <w:rPr>
          <w:strike/>
          <w:color w:val="FF0000"/>
        </w:rPr>
        <w:tab/>
      </w:r>
      <w:r w:rsidRPr="008776E9">
        <w:rPr>
          <w:strike/>
          <w:color w:val="FF0000"/>
        </w:rPr>
        <w:t>The concentration of ingredient A in mixture (i) equals that of ingredient C in mixture (ii);</w:t>
      </w:r>
    </w:p>
    <w:p w14:paraId="6CBF6E86" w14:textId="6A9ADD6D" w:rsidR="00FE6C4A" w:rsidRPr="00B933D1" w:rsidRDefault="00FE6C4A" w:rsidP="004C688D">
      <w:pPr>
        <w:tabs>
          <w:tab w:val="left" w:pos="8931"/>
        </w:tabs>
        <w:spacing w:after="120"/>
        <w:ind w:left="1985" w:right="707" w:hanging="567"/>
        <w:jc w:val="both"/>
        <w:rPr>
          <w:color w:val="FF0000"/>
        </w:rPr>
      </w:pPr>
      <w:r w:rsidRPr="00B933D1">
        <w:rPr>
          <w:color w:val="FF0000"/>
        </w:rPr>
        <w:t xml:space="preserve">(d) </w:t>
      </w:r>
      <w:r w:rsidR="004C688D">
        <w:rPr>
          <w:color w:val="FF0000"/>
        </w:rPr>
        <w:tab/>
      </w:r>
      <w:r w:rsidRPr="00B933D1">
        <w:rPr>
          <w:color w:val="FF0000"/>
        </w:rPr>
        <w:t xml:space="preserve">B is the ingredient driving the skin corrosion/irritation potential of the mixtures (i) and (ii) as its skin corrosive/irritant potential or classification is more severe than that of A and C; </w:t>
      </w:r>
      <w:r w:rsidRPr="00B933D1">
        <w:rPr>
          <w:strike/>
          <w:color w:val="FF0000"/>
        </w:rPr>
        <w:t>or none of the ingredients in mixtures (i) and (ii) are skin corrosive/irritant;</w:t>
      </w:r>
    </w:p>
    <w:p w14:paraId="06FFEE7D" w14:textId="77777777" w:rsidR="00FE6C4A" w:rsidRPr="00B933D1" w:rsidRDefault="00FE6C4A" w:rsidP="004C688D">
      <w:pPr>
        <w:tabs>
          <w:tab w:val="left" w:pos="8931"/>
        </w:tabs>
        <w:spacing w:after="120"/>
        <w:ind w:left="1985" w:right="707" w:hanging="567"/>
        <w:jc w:val="both"/>
      </w:pPr>
      <w:r w:rsidRPr="00B933D1">
        <w:t xml:space="preserve">(e) Data on skin corrosion/irritation for A and C are available and substantially equivalent, i.e. they are </w:t>
      </w:r>
      <w:r w:rsidRPr="008776E9">
        <w:rPr>
          <w:color w:val="FF0000"/>
        </w:rPr>
        <w:t>[</w:t>
      </w:r>
      <w:r w:rsidRPr="008776E9">
        <w:rPr>
          <w:strike/>
          <w:color w:val="FF0000"/>
        </w:rPr>
        <w:t>in the same hazard category</w:t>
      </w:r>
      <w:r w:rsidRPr="008776E9">
        <w:rPr>
          <w:color w:val="FF0000"/>
        </w:rPr>
        <w:t xml:space="preserve"> </w:t>
      </w:r>
      <w:r w:rsidRPr="00B933D1">
        <w:rPr>
          <w:color w:val="FF0000"/>
        </w:rPr>
        <w:t>of less severe skin corrosive/irritant potential or classification than that of the tested mixture</w:t>
      </w:r>
      <w:r w:rsidRPr="008776E9">
        <w:rPr>
          <w:color w:val="FF0000"/>
        </w:rPr>
        <w:t>]</w:t>
      </w:r>
      <w:r w:rsidRPr="00B933D1">
        <w:rPr>
          <w:color w:val="FF0000"/>
        </w:rPr>
        <w:t xml:space="preserve"> </w:t>
      </w:r>
      <w:r w:rsidRPr="00B933D1">
        <w:t>and are not expected to affect the skin corrosion/irritation potential of B</w:t>
      </w:r>
      <w:r w:rsidRPr="00B933D1">
        <w:rPr>
          <w:strike/>
          <w:color w:val="FF0000"/>
        </w:rPr>
        <w:t>;</w:t>
      </w:r>
      <w:r w:rsidRPr="008776E9">
        <w:rPr>
          <w:strike/>
          <w:color w:val="FF0000"/>
        </w:rPr>
        <w:t>.</w:t>
      </w:r>
    </w:p>
    <w:p w14:paraId="236CE2CA" w14:textId="77777777" w:rsidR="00FE6C4A" w:rsidRPr="00B933D1" w:rsidRDefault="00FE6C4A" w:rsidP="004C688D">
      <w:pPr>
        <w:tabs>
          <w:tab w:val="left" w:pos="8931"/>
        </w:tabs>
        <w:spacing w:after="120"/>
        <w:ind w:left="1134" w:right="707"/>
        <w:jc w:val="both"/>
      </w:pPr>
      <w:r w:rsidRPr="00B933D1">
        <w:t>If mixture (</w:t>
      </w:r>
      <w:proofErr w:type="spellStart"/>
      <w:r w:rsidRPr="00B933D1">
        <w:t>i</w:t>
      </w:r>
      <w:proofErr w:type="spellEnd"/>
      <w:r w:rsidRPr="00B933D1">
        <w:t xml:space="preserve">) or (ii) is already classified based on data, </w:t>
      </w:r>
      <w:r w:rsidRPr="008776E9">
        <w:rPr>
          <w:strike/>
          <w:color w:val="FF0000"/>
        </w:rPr>
        <w:t xml:space="preserve">test </w:t>
      </w:r>
      <w:r w:rsidRPr="00B933D1">
        <w:t xml:space="preserve">then the other mixture can be assigned the same hazard category. </w:t>
      </w:r>
    </w:p>
    <w:p w14:paraId="23452DC3" w14:textId="77777777" w:rsidR="00FE6C4A" w:rsidRPr="00B933D1" w:rsidRDefault="00FE6C4A" w:rsidP="004C688D">
      <w:pPr>
        <w:spacing w:after="120"/>
        <w:ind w:left="1134" w:right="707"/>
        <w:jc w:val="both"/>
        <w:rPr>
          <w:color w:val="FF0000"/>
        </w:rPr>
      </w:pPr>
      <w:r w:rsidRPr="00B933D1">
        <w:rPr>
          <w:rFonts w:eastAsia="Calibri"/>
          <w:color w:val="FF0000"/>
        </w:rPr>
        <w:t>Ingredients A, B and C could each consist of one substance with data, one mixture with data or multiple substances and/or mixture with data for each substance or mixture.</w:t>
      </w:r>
    </w:p>
    <w:p w14:paraId="08DF465C" w14:textId="0E68B0E9" w:rsidR="00FE6C4A" w:rsidRPr="004C688D" w:rsidRDefault="00FE6C4A" w:rsidP="005F029E">
      <w:pPr>
        <w:pStyle w:val="SingleTxtG"/>
        <w:tabs>
          <w:tab w:val="left" w:pos="2268"/>
        </w:tabs>
        <w:rPr>
          <w:rFonts w:eastAsia="Arial Unicode MS"/>
          <w:b/>
          <w:bCs/>
        </w:rPr>
      </w:pPr>
      <w:r w:rsidRPr="004C688D">
        <w:rPr>
          <w:rFonts w:eastAsia="Arial Unicode MS"/>
          <w:b/>
          <w:bCs/>
        </w:rPr>
        <w:t xml:space="preserve">3.2.3.2.7 </w:t>
      </w:r>
      <w:r w:rsidR="005F029E">
        <w:rPr>
          <w:rFonts w:eastAsia="Arial Unicode MS"/>
          <w:b/>
          <w:bCs/>
        </w:rPr>
        <w:tab/>
      </w:r>
      <w:r w:rsidRPr="004C688D">
        <w:rPr>
          <w:rFonts w:eastAsia="Arial Unicode MS"/>
          <w:b/>
          <w:bCs/>
        </w:rPr>
        <w:t>Aerosols</w:t>
      </w:r>
    </w:p>
    <w:p w14:paraId="789AF2B0" w14:textId="26E7A67E" w:rsidR="00FE6C4A" w:rsidRPr="004C688D" w:rsidRDefault="004C688D" w:rsidP="004C688D">
      <w:pPr>
        <w:pStyle w:val="H4G"/>
        <w:rPr>
          <w:rFonts w:eastAsia="Arial Unicode MS"/>
          <w:b/>
          <w:bCs/>
        </w:rPr>
      </w:pPr>
      <w:r>
        <w:rPr>
          <w:rFonts w:eastAsia="Arial Unicode MS"/>
          <w:b/>
          <w:bCs/>
        </w:rPr>
        <w:tab/>
      </w:r>
      <w:r>
        <w:rPr>
          <w:rFonts w:eastAsia="Arial Unicode MS"/>
          <w:b/>
          <w:bCs/>
        </w:rPr>
        <w:tab/>
      </w:r>
      <w:r w:rsidR="00FE6C4A" w:rsidRPr="004C688D">
        <w:rPr>
          <w:rFonts w:eastAsia="Arial Unicode MS"/>
          <w:b/>
          <w:bCs/>
        </w:rPr>
        <w:t>The principle</w:t>
      </w:r>
    </w:p>
    <w:p w14:paraId="6B5D3DC6" w14:textId="77777777" w:rsidR="00FE6C4A" w:rsidRPr="00B933D1" w:rsidRDefault="00FE6C4A" w:rsidP="004C688D">
      <w:pPr>
        <w:suppressAutoHyphens w:val="0"/>
        <w:autoSpaceDE w:val="0"/>
        <w:autoSpaceDN w:val="0"/>
        <w:adjustRightInd w:val="0"/>
        <w:spacing w:before="60" w:after="120" w:line="26" w:lineRule="atLeast"/>
        <w:ind w:left="1134" w:right="707"/>
        <w:rPr>
          <w:rFonts w:eastAsia="Calibri"/>
          <w:color w:val="000000"/>
          <w:lang w:val="en-US"/>
        </w:rPr>
      </w:pPr>
      <w:r w:rsidRPr="00B933D1">
        <w:rPr>
          <w:rFonts w:eastAsia="Calibri"/>
          <w:lang w:val="en-US"/>
        </w:rPr>
        <w:t>An aerosol form of a mixture may be classified in the same hazard category as the tested non-aerosolized form of the mixture provided that the added propellant does not affect the skin corrosion/irritation properties of the mixture upon spraying.</w:t>
      </w:r>
    </w:p>
    <w:p w14:paraId="14B6E36A" w14:textId="79DC4814" w:rsidR="009578DA" w:rsidRDefault="00267CF7" w:rsidP="00762E6E">
      <w:pPr>
        <w:pStyle w:val="H1G"/>
      </w:pPr>
      <w:r>
        <w:t>Part</w:t>
      </w:r>
      <w:r w:rsidR="00FE6C4A">
        <w:t xml:space="preserve"> II</w:t>
      </w:r>
      <w:r w:rsidR="00762E6E">
        <w:t xml:space="preserve">: </w:t>
      </w:r>
      <w:r w:rsidR="005F029E">
        <w:tab/>
      </w:r>
      <w:r w:rsidR="005F029E">
        <w:tab/>
      </w:r>
      <w:r w:rsidR="00345095">
        <w:t xml:space="preserve">PCI </w:t>
      </w:r>
      <w:r w:rsidR="005F029E">
        <w:t>w</w:t>
      </w:r>
      <w:r w:rsidR="00345095">
        <w:t xml:space="preserve">ork </w:t>
      </w:r>
      <w:r w:rsidR="005F029E">
        <w:t>i</w:t>
      </w:r>
      <w:r w:rsidR="009578DA" w:rsidRPr="008B4B14">
        <w:t>tem 5</w:t>
      </w:r>
    </w:p>
    <w:p w14:paraId="473F178C" w14:textId="77777777" w:rsidR="009578DA" w:rsidRDefault="009578DA" w:rsidP="005F029E">
      <w:pPr>
        <w:pStyle w:val="SingleTxtG"/>
      </w:pPr>
      <w:r w:rsidRPr="008B4B14">
        <w:t xml:space="preserve">Asphyxiation is a well-known hazard in the workplace and is not currently included in the GHS.  Consider developing a global approach to addressing simple asphyxiants in Annex </w:t>
      </w:r>
      <w:r>
        <w:t>11</w:t>
      </w:r>
      <w:r w:rsidRPr="008B4B14">
        <w:t xml:space="preserve"> of the GHS.</w:t>
      </w:r>
    </w:p>
    <w:p w14:paraId="5A773EFC" w14:textId="78DD9B03" w:rsidR="009578DA" w:rsidRDefault="005F029E" w:rsidP="005F029E">
      <w:pPr>
        <w:pStyle w:val="H23G"/>
      </w:pPr>
      <w:r>
        <w:tab/>
      </w:r>
      <w:r>
        <w:tab/>
      </w:r>
      <w:r w:rsidR="009578DA" w:rsidRPr="00D727E4">
        <w:t>Background of issue</w:t>
      </w:r>
    </w:p>
    <w:p w14:paraId="2BB81D51" w14:textId="472D0A16" w:rsidR="009578DA" w:rsidRPr="005F029E" w:rsidRDefault="009578DA" w:rsidP="005F029E">
      <w:pPr>
        <w:pStyle w:val="SingleTxtG"/>
      </w:pPr>
      <w:r w:rsidRPr="005F029E">
        <w:t xml:space="preserve">During its seventeenth session, the Sub-Committee approved the programme of work to be undertaken by the PCI </w:t>
      </w:r>
      <w:r w:rsidR="00385A39" w:rsidRPr="005F029E">
        <w:t>IWG</w:t>
      </w:r>
      <w:r w:rsidRPr="005F029E">
        <w:t xml:space="preserve"> which included an item to address simple asphyxiants.</w:t>
      </w:r>
    </w:p>
    <w:p w14:paraId="5149891D" w14:textId="295B1403" w:rsidR="009578DA" w:rsidRPr="005F029E" w:rsidRDefault="009578DA" w:rsidP="005F029E">
      <w:pPr>
        <w:pStyle w:val="SingleTxtG"/>
      </w:pPr>
      <w:r w:rsidRPr="005F029E">
        <w:t xml:space="preserve">The PCI </w:t>
      </w:r>
      <w:r w:rsidR="002A6E83" w:rsidRPr="005F029E">
        <w:t>IWG</w:t>
      </w:r>
      <w:r w:rsidRPr="005F029E">
        <w:t xml:space="preserve"> considered several proposals to address simple asphyxiants in the GHS, which included covering simple asphyxiants in </w:t>
      </w:r>
      <w:r w:rsidR="008959E7">
        <w:t>c</w:t>
      </w:r>
      <w:r w:rsidRPr="005F029E">
        <w:t xml:space="preserve">hapter 2.5 (Gases under </w:t>
      </w:r>
      <w:r w:rsidR="008959E7">
        <w:t>p</w:t>
      </w:r>
      <w:r w:rsidRPr="005F029E">
        <w:t xml:space="preserve">ressure), </w:t>
      </w:r>
      <w:r w:rsidR="008959E7">
        <w:t>c</w:t>
      </w:r>
      <w:r w:rsidRPr="005F029E">
        <w:t xml:space="preserve">hapter 3.1 (Acute toxicity) and </w:t>
      </w:r>
      <w:r w:rsidR="008959E7">
        <w:t>c</w:t>
      </w:r>
      <w:r w:rsidRPr="005F029E">
        <w:t xml:space="preserve">hapter 3.8 (Specific target organ toxicity – Single exposure). The group decided it would be more appropriate to address simple asphyxiants in </w:t>
      </w:r>
      <w:r w:rsidR="008959E7">
        <w:t>c</w:t>
      </w:r>
      <w:r w:rsidRPr="005F029E">
        <w:t>hapter 2.5 (Gases under pressure).</w:t>
      </w:r>
    </w:p>
    <w:p w14:paraId="0D1DEB77" w14:textId="17AE8735" w:rsidR="009578DA" w:rsidRPr="005F029E" w:rsidRDefault="009578DA" w:rsidP="005F029E">
      <w:pPr>
        <w:pStyle w:val="SingleTxtG"/>
      </w:pPr>
      <w:r w:rsidRPr="005F029E">
        <w:t>The PCI</w:t>
      </w:r>
      <w:r w:rsidR="00385A39" w:rsidRPr="005F029E">
        <w:t xml:space="preserve"> IWG</w:t>
      </w:r>
      <w:r w:rsidRPr="005F029E">
        <w:t xml:space="preserve"> developed and submitted a</w:t>
      </w:r>
      <w:r w:rsidR="008959E7">
        <w:t>n</w:t>
      </w:r>
      <w:r w:rsidRPr="005F029E">
        <w:t xml:space="preserve"> </w:t>
      </w:r>
      <w:r w:rsidR="008959E7">
        <w:t xml:space="preserve">official document </w:t>
      </w:r>
      <w:r w:rsidRPr="005F029E">
        <w:t xml:space="preserve">addressing simple asphyxiants in </w:t>
      </w:r>
      <w:r w:rsidR="008959E7">
        <w:t>c</w:t>
      </w:r>
      <w:r w:rsidRPr="005F029E">
        <w:t xml:space="preserve">hapter 2.5 </w:t>
      </w:r>
      <w:r w:rsidR="008959E7">
        <w:t>to</w:t>
      </w:r>
      <w:r w:rsidRPr="005F029E">
        <w:t xml:space="preserve"> the 20th </w:t>
      </w:r>
      <w:r w:rsidR="008959E7">
        <w:t>s</w:t>
      </w:r>
      <w:r w:rsidRPr="005F029E">
        <w:t xml:space="preserve">ession.  Subsequent to the </w:t>
      </w:r>
      <w:r w:rsidR="008959E7">
        <w:t>document</w:t>
      </w:r>
      <w:r w:rsidRPr="005F029E">
        <w:t xml:space="preserve"> being submitted it was requested that the PCI </w:t>
      </w:r>
      <w:r w:rsidR="00385A39" w:rsidRPr="005F029E">
        <w:t xml:space="preserve">IWG </w:t>
      </w:r>
      <w:r w:rsidRPr="005F029E">
        <w:t xml:space="preserve">hold a conference call in which there was a slight modification to the proposed definition in the </w:t>
      </w:r>
      <w:r w:rsidR="008959E7">
        <w:t>official document</w:t>
      </w:r>
      <w:r w:rsidRPr="005F029E">
        <w:t xml:space="preserve">.  EIGA couldn’t make the conference call and they submitted an update to the modified definition that was agreed during the PCI </w:t>
      </w:r>
      <w:r w:rsidR="00385A39" w:rsidRPr="005F029E">
        <w:t xml:space="preserve">IWG </w:t>
      </w:r>
      <w:r w:rsidRPr="005F029E">
        <w:t>conference call. Given the short time frame of receiving EIGA’s comments, a working group meeting was held in the margins of the 20th Sub</w:t>
      </w:r>
      <w:r w:rsidR="001A5D9B">
        <w:t>-C</w:t>
      </w:r>
      <w:r w:rsidRPr="005F029E">
        <w:t xml:space="preserve">ommittee </w:t>
      </w:r>
      <w:r w:rsidR="001A5D9B">
        <w:t>s</w:t>
      </w:r>
      <w:r w:rsidRPr="005F029E">
        <w:t xml:space="preserve">ession. Consensus was not reached on the EIGA proposal during that meeting and the </w:t>
      </w:r>
      <w:r w:rsidR="001A5D9B">
        <w:t>United States of America</w:t>
      </w:r>
      <w:r w:rsidRPr="005F029E">
        <w:t xml:space="preserve"> subsequently withdrew the </w:t>
      </w:r>
      <w:r w:rsidR="001A5D9B">
        <w:t>official document</w:t>
      </w:r>
      <w:r w:rsidRPr="005F029E">
        <w:t xml:space="preserve"> from consideration by the Sub</w:t>
      </w:r>
      <w:r w:rsidR="001A5D9B">
        <w:t>-C</w:t>
      </w:r>
      <w:r w:rsidRPr="005F029E">
        <w:t xml:space="preserve">ommittee. </w:t>
      </w:r>
    </w:p>
    <w:p w14:paraId="4FDEE41C" w14:textId="77777777" w:rsidR="009578DA" w:rsidRPr="005F029E" w:rsidRDefault="009578DA" w:rsidP="005F029E">
      <w:pPr>
        <w:pStyle w:val="SingleTxtG"/>
      </w:pPr>
      <w:r w:rsidRPr="005F029E">
        <w:t>The working group put this item back on its program of work as item 5 in the current biennium.</w:t>
      </w:r>
    </w:p>
    <w:p w14:paraId="58C0403C" w14:textId="0434458F" w:rsidR="009578DA" w:rsidRPr="001A5D9B" w:rsidRDefault="001A5D9B" w:rsidP="001A5D9B">
      <w:pPr>
        <w:pStyle w:val="H23G"/>
      </w:pPr>
      <w:r>
        <w:tab/>
      </w:r>
      <w:r>
        <w:tab/>
      </w:r>
      <w:r w:rsidR="009578DA" w:rsidRPr="001A5D9B">
        <w:t>Proposal</w:t>
      </w:r>
    </w:p>
    <w:p w14:paraId="0F80EAC2" w14:textId="77777777" w:rsidR="009578DA" w:rsidRPr="008B4B14" w:rsidRDefault="009578DA" w:rsidP="001A5D9B">
      <w:pPr>
        <w:pStyle w:val="H1G"/>
        <w:ind w:firstLine="0"/>
        <w:rPr>
          <w:sz w:val="20"/>
        </w:rPr>
      </w:pPr>
      <w:r w:rsidRPr="008B4B14">
        <w:rPr>
          <w:sz w:val="20"/>
        </w:rPr>
        <w:t>Annex 11</w:t>
      </w:r>
    </w:p>
    <w:p w14:paraId="5FBAD80F" w14:textId="3FF5D0D1" w:rsidR="009578DA" w:rsidRPr="00933D98" w:rsidRDefault="009578DA" w:rsidP="001A5D9B">
      <w:pPr>
        <w:pStyle w:val="SingleTxtG"/>
        <w:rPr>
          <w:color w:val="0070C0"/>
        </w:rPr>
      </w:pPr>
      <w:r w:rsidRPr="00933D98">
        <w:rPr>
          <w:b/>
          <w:bCs/>
          <w:color w:val="0070C0"/>
        </w:rPr>
        <w:t>A11.3</w:t>
      </w:r>
      <w:r w:rsidRPr="00933D98">
        <w:rPr>
          <w:color w:val="0070C0"/>
        </w:rPr>
        <w:t xml:space="preserve"> </w:t>
      </w:r>
      <w:r w:rsidRPr="00933D98">
        <w:rPr>
          <w:color w:val="0070C0"/>
        </w:rPr>
        <w:tab/>
      </w:r>
      <w:r w:rsidRPr="00933D98">
        <w:rPr>
          <w:b/>
          <w:bCs/>
          <w:color w:val="0070C0"/>
        </w:rPr>
        <w:t>Simple asphyxiants</w:t>
      </w:r>
    </w:p>
    <w:p w14:paraId="1DFFB183" w14:textId="42BC556C" w:rsidR="009578DA" w:rsidRPr="00933D98" w:rsidRDefault="001A5D9B" w:rsidP="001A5D9B">
      <w:pPr>
        <w:pStyle w:val="SingleTxtG"/>
        <w:tabs>
          <w:tab w:val="left" w:pos="2127"/>
        </w:tabs>
        <w:ind w:firstLine="306"/>
        <w:rPr>
          <w:color w:val="0070C0"/>
        </w:rPr>
      </w:pPr>
      <w:r>
        <w:rPr>
          <w:color w:val="0070C0"/>
        </w:rPr>
        <w:tab/>
      </w:r>
      <w:r w:rsidR="009578DA" w:rsidRPr="00933D98">
        <w:rPr>
          <w:color w:val="0070C0"/>
        </w:rPr>
        <w:t>This section provides information to facilitate the identification of simple asphyxiant hazards.</w:t>
      </w:r>
    </w:p>
    <w:p w14:paraId="75499DF1" w14:textId="5458C667" w:rsidR="009578DA" w:rsidRPr="00933D98" w:rsidRDefault="009578DA" w:rsidP="001A5D9B">
      <w:pPr>
        <w:pStyle w:val="SingleTxtG"/>
        <w:rPr>
          <w:color w:val="0070C0"/>
        </w:rPr>
      </w:pPr>
      <w:r w:rsidRPr="001A5D9B">
        <w:rPr>
          <w:b/>
          <w:bCs/>
          <w:color w:val="0070C0"/>
        </w:rPr>
        <w:t xml:space="preserve">A11.3.1 </w:t>
      </w:r>
      <w:r w:rsidRPr="001A5D9B">
        <w:rPr>
          <w:b/>
          <w:bCs/>
          <w:color w:val="0070C0"/>
        </w:rPr>
        <w:tab/>
      </w:r>
      <w:r w:rsidRPr="00933D98">
        <w:rPr>
          <w:b/>
          <w:bCs/>
          <w:color w:val="0070C0"/>
        </w:rPr>
        <w:t>Scope and applicability</w:t>
      </w:r>
    </w:p>
    <w:p w14:paraId="243D1EF6" w14:textId="39067B3D" w:rsidR="009578DA" w:rsidRPr="00933D98" w:rsidRDefault="001A5D9B" w:rsidP="001A5D9B">
      <w:pPr>
        <w:pStyle w:val="SingleTxtG"/>
        <w:tabs>
          <w:tab w:val="left" w:pos="2127"/>
        </w:tabs>
        <w:ind w:firstLine="306"/>
        <w:rPr>
          <w:color w:val="0070C0"/>
        </w:rPr>
      </w:pPr>
      <w:r>
        <w:rPr>
          <w:color w:val="0070C0"/>
        </w:rPr>
        <w:tab/>
      </w:r>
      <w:r w:rsidR="009578DA" w:rsidRPr="00933D98">
        <w:rPr>
          <w:color w:val="0070C0"/>
        </w:rPr>
        <w:t>An asphyxiant is a vapour or gas that can cause unconsciousness or death by suffocation due to lack of oxygen</w:t>
      </w:r>
      <w:r w:rsidR="009578DA" w:rsidRPr="00933D98">
        <w:rPr>
          <w:rFonts w:ascii="Arial" w:hAnsi="Arial" w:cs="Arial"/>
          <w:color w:val="0070C0"/>
          <w:sz w:val="22"/>
          <w:szCs w:val="22"/>
        </w:rPr>
        <w:t>.</w:t>
      </w:r>
      <w:r w:rsidR="009578DA">
        <w:rPr>
          <w:rFonts w:ascii="Arial" w:hAnsi="Arial" w:cs="Arial"/>
          <w:color w:val="0070C0"/>
          <w:sz w:val="22"/>
          <w:szCs w:val="22"/>
        </w:rPr>
        <w:t xml:space="preserve"> </w:t>
      </w:r>
      <w:r w:rsidR="009578DA" w:rsidRPr="00933D98">
        <w:rPr>
          <w:color w:val="0070C0"/>
        </w:rPr>
        <w:t xml:space="preserve">Asphyxiants can be either chemical asphyxiants or simple asphyxiants. Simple asphyxiants are inert gases or vapours which are harmful to the body when they become so concentrated that they reduce oxygen in the air (normally about 21 percent) to dangerous levels (19.5 percent or less). When the concentration of a particular gas increases, the fraction of inspired oxygen decreases, causing decreased oxygen in the blood. A decrease in the fraction of inspired oxygen to less than 19.5% causes inadequate oxygen supply within minutes after exposure to a simple asphyxiant, and may result in unconsciousness or death. </w:t>
      </w:r>
    </w:p>
    <w:p w14:paraId="57D9994F" w14:textId="48B2B4B7" w:rsidR="009578DA" w:rsidRPr="00933D98" w:rsidRDefault="001A5D9B" w:rsidP="001A5D9B">
      <w:pPr>
        <w:pStyle w:val="SingleTxtG"/>
        <w:tabs>
          <w:tab w:val="left" w:pos="2127"/>
        </w:tabs>
        <w:rPr>
          <w:color w:val="0070C0"/>
        </w:rPr>
      </w:pPr>
      <w:r>
        <w:rPr>
          <w:color w:val="0070C0"/>
        </w:rPr>
        <w:tab/>
      </w:r>
      <w:r w:rsidR="009578DA" w:rsidRPr="00933D98">
        <w:rPr>
          <w:color w:val="0070C0"/>
        </w:rPr>
        <w:t xml:space="preserve">Inhaling an atmosphere containing no oxygen causes loss of consciousness in a matter of seconds because such an atmosphere not only fails to provide fresh oxygen, but also removes that already present in the bloodstream. </w:t>
      </w:r>
      <w:r w:rsidR="009578DA" w:rsidRPr="00BD5BB1">
        <w:rPr>
          <w:color w:val="0070C0"/>
        </w:rPr>
        <w:t>There will be little sense of breathlessness to warn the victim that something is amiss, and they will rapidly lose consciousness. The heart will continue to function for a short time, but will then arrest, causing circulatory failure.</w:t>
      </w:r>
      <w:r w:rsidR="009578DA" w:rsidRPr="00933D98">
        <w:rPr>
          <w:color w:val="0070C0"/>
        </w:rPr>
        <w:t xml:space="preserve">  </w:t>
      </w:r>
    </w:p>
    <w:p w14:paraId="51DB52A6" w14:textId="0ACBBD5B" w:rsidR="009578DA" w:rsidRPr="00933D98" w:rsidRDefault="001A5D9B" w:rsidP="001A5D9B">
      <w:pPr>
        <w:pStyle w:val="SingleTxtG"/>
        <w:tabs>
          <w:tab w:val="left" w:pos="2127"/>
        </w:tabs>
        <w:rPr>
          <w:color w:val="0070C0"/>
        </w:rPr>
      </w:pPr>
      <w:r>
        <w:rPr>
          <w:color w:val="0070C0"/>
        </w:rPr>
        <w:tab/>
      </w:r>
      <w:r w:rsidR="009578DA" w:rsidRPr="00933D98">
        <w:rPr>
          <w:color w:val="0070C0"/>
        </w:rPr>
        <w:t>Asphyxiation is a well-known hazard in the workplace. Simple asphyxiants frequently contribute to industrial accidents involving loss of life and are of particular concern for those who work in confined spaces.</w:t>
      </w:r>
    </w:p>
    <w:p w14:paraId="65FE9A2C" w14:textId="0D620DC4" w:rsidR="009578DA" w:rsidRPr="00933D98" w:rsidRDefault="001A5D9B" w:rsidP="00B1712D">
      <w:pPr>
        <w:pStyle w:val="SingleTxtG"/>
        <w:tabs>
          <w:tab w:val="left" w:pos="2127"/>
        </w:tabs>
        <w:rPr>
          <w:color w:val="0070C0"/>
        </w:rPr>
      </w:pPr>
      <w:r>
        <w:rPr>
          <w:color w:val="0070C0"/>
        </w:rPr>
        <w:tab/>
      </w:r>
      <w:r w:rsidR="009578DA" w:rsidRPr="00933D98">
        <w:rPr>
          <w:color w:val="0070C0"/>
        </w:rPr>
        <w:t>Chemical asphyxiants cause suffocation by either preventing the uptake of oxygen in the blood or by preventing the normal oxygen transfer from the blood to the tissues or within the cell itself.  The specific toxic health effects associated with chemical asphyxiants are covered by the Specific Target Organ Toxicity Single Exposure (Chapter</w:t>
      </w:r>
      <w:r w:rsidR="00B1712D">
        <w:rPr>
          <w:color w:val="0070C0"/>
        </w:rPr>
        <w:t> </w:t>
      </w:r>
      <w:r w:rsidR="009578DA" w:rsidRPr="00933D98">
        <w:rPr>
          <w:color w:val="0070C0"/>
        </w:rPr>
        <w:t>3.8) and Specific Target Organ Toxicity Repeated Exposure (Chapter 3.9).</w:t>
      </w:r>
    </w:p>
    <w:p w14:paraId="736D6B17" w14:textId="26D77AAE" w:rsidR="009578DA" w:rsidRDefault="009578DA" w:rsidP="00B1712D">
      <w:pPr>
        <w:pStyle w:val="SingleTxtG"/>
        <w:tabs>
          <w:tab w:val="left" w:pos="2552"/>
        </w:tabs>
      </w:pPr>
      <w:r w:rsidRPr="00E03BBC">
        <w:rPr>
          <w:b/>
          <w:bCs/>
        </w:rPr>
        <w:t>A11.</w:t>
      </w:r>
      <w:r>
        <w:rPr>
          <w:b/>
          <w:bCs/>
        </w:rPr>
        <w:t>3.2</w:t>
      </w:r>
      <w:r w:rsidRPr="008B4B14">
        <w:tab/>
      </w:r>
      <w:r w:rsidRPr="00DE43CE">
        <w:rPr>
          <w:b/>
          <w:bCs/>
        </w:rPr>
        <w:t xml:space="preserve">Definition </w:t>
      </w:r>
    </w:p>
    <w:p w14:paraId="47B23AC8" w14:textId="77777777" w:rsidR="009578DA" w:rsidRPr="00933D98" w:rsidRDefault="009578DA" w:rsidP="00B1712D">
      <w:pPr>
        <w:pStyle w:val="SingleTxtG"/>
        <w:tabs>
          <w:tab w:val="left" w:pos="2552"/>
        </w:tabs>
        <w:rPr>
          <w:color w:val="FF0000"/>
        </w:rPr>
      </w:pPr>
      <w:r w:rsidRPr="00933D98">
        <w:rPr>
          <w:i/>
          <w:iCs/>
          <w:color w:val="FF0000"/>
        </w:rPr>
        <w:t>Version 1: Simple asphyxiant</w:t>
      </w:r>
      <w:r w:rsidRPr="00933D98">
        <w:rPr>
          <w:color w:val="FF0000"/>
        </w:rPr>
        <w:t xml:space="preserve"> means a substance or mixture that displaces oxygen in the ambient atmosphere, and can thus cause oxygen deprivation in those who are exposed, leading to unconsciousness and death.</w:t>
      </w:r>
    </w:p>
    <w:p w14:paraId="1B85D403" w14:textId="77777777" w:rsidR="009578DA" w:rsidRPr="00933D98" w:rsidRDefault="009578DA" w:rsidP="00B1712D">
      <w:pPr>
        <w:pStyle w:val="SingleTxtG"/>
        <w:tabs>
          <w:tab w:val="left" w:pos="2552"/>
        </w:tabs>
        <w:rPr>
          <w:color w:val="FF0000"/>
        </w:rPr>
      </w:pPr>
      <w:r w:rsidRPr="00933D98">
        <w:rPr>
          <w:i/>
          <w:iCs/>
          <w:color w:val="FF0000"/>
        </w:rPr>
        <w:t>Note: this definition was agreed to by the PCI WG and included in the working paper</w:t>
      </w:r>
      <w:r w:rsidRPr="00933D98">
        <w:rPr>
          <w:color w:val="FF0000"/>
        </w:rPr>
        <w:t xml:space="preserve"> </w:t>
      </w:r>
    </w:p>
    <w:p w14:paraId="78234A42" w14:textId="77777777" w:rsidR="009578DA" w:rsidRPr="00933D98" w:rsidRDefault="009578DA" w:rsidP="00B1712D">
      <w:pPr>
        <w:pStyle w:val="SingleTxtG"/>
        <w:tabs>
          <w:tab w:val="left" w:pos="2552"/>
        </w:tabs>
        <w:rPr>
          <w:color w:val="FF0000"/>
        </w:rPr>
      </w:pPr>
      <w:r>
        <w:rPr>
          <w:color w:val="FF0000"/>
        </w:rPr>
        <w:t xml:space="preserve">A blend of Version 1, suggestions from the UK and alignment with the existing structure of health definitions: </w:t>
      </w:r>
    </w:p>
    <w:p w14:paraId="7CE4B7A4" w14:textId="77777777" w:rsidR="009578DA" w:rsidRPr="003A34AC" w:rsidRDefault="009578DA" w:rsidP="00B1712D">
      <w:pPr>
        <w:pStyle w:val="SingleTxtG"/>
        <w:tabs>
          <w:tab w:val="left" w:pos="2552"/>
        </w:tabs>
        <w:rPr>
          <w:color w:val="FF0000"/>
        </w:rPr>
      </w:pPr>
      <w:r w:rsidRPr="00BD5BB1">
        <w:rPr>
          <w:color w:val="FF0000"/>
        </w:rPr>
        <w:t xml:space="preserve">“Simple </w:t>
      </w:r>
      <w:r w:rsidRPr="003A34AC">
        <w:rPr>
          <w:color w:val="FF0000"/>
        </w:rPr>
        <w:t>asphyxiants refers to</w:t>
      </w:r>
      <w:r w:rsidRPr="00BD5BB1">
        <w:rPr>
          <w:color w:val="FF0000"/>
        </w:rPr>
        <w:t xml:space="preserve"> a gas</w:t>
      </w:r>
      <w:r w:rsidRPr="00BD5BB1">
        <w:rPr>
          <w:strike/>
          <w:color w:val="FF0000"/>
        </w:rPr>
        <w:t>es</w:t>
      </w:r>
      <w:r w:rsidRPr="00BD5BB1">
        <w:rPr>
          <w:color w:val="FF0000"/>
        </w:rPr>
        <w:t xml:space="preserve"> or vapour</w:t>
      </w:r>
      <w:r w:rsidRPr="00BD5BB1">
        <w:rPr>
          <w:strike/>
          <w:color w:val="FF0000"/>
        </w:rPr>
        <w:t>s</w:t>
      </w:r>
      <w:r w:rsidRPr="00BD5BB1">
        <w:rPr>
          <w:rFonts w:ascii="Calibri" w:hAnsi="Calibri" w:cs="Calibri"/>
          <w:b/>
          <w:bCs/>
          <w:color w:val="FF0000"/>
          <w:sz w:val="22"/>
          <w:szCs w:val="22"/>
        </w:rPr>
        <w:t xml:space="preserve"> </w:t>
      </w:r>
      <w:r w:rsidRPr="00BD5BB1">
        <w:rPr>
          <w:color w:val="FF0000"/>
        </w:rPr>
        <w:t>which can displace oxygen to dangerous levels which can result in unconsciousness and death to those exposed without any warning of the imminent danger</w:t>
      </w:r>
      <w:r w:rsidRPr="003A34AC">
        <w:rPr>
          <w:color w:val="FF0000"/>
        </w:rPr>
        <w:t xml:space="preserve"> after exposure to a substance or mixture.”</w:t>
      </w:r>
    </w:p>
    <w:p w14:paraId="6D65FD8B" w14:textId="77777777" w:rsidR="009578DA" w:rsidRPr="00933D98" w:rsidRDefault="009578DA" w:rsidP="00B1712D">
      <w:pPr>
        <w:pStyle w:val="SingleTxtG"/>
        <w:tabs>
          <w:tab w:val="left" w:pos="2552"/>
        </w:tabs>
        <w:rPr>
          <w:color w:val="FF0000"/>
        </w:rPr>
      </w:pPr>
      <w:r w:rsidRPr="00933D98">
        <w:rPr>
          <w:i/>
          <w:iCs/>
          <w:color w:val="FF0000"/>
        </w:rPr>
        <w:t xml:space="preserve">Version 2: Simple asphyxiant </w:t>
      </w:r>
      <w:r w:rsidRPr="00933D98">
        <w:rPr>
          <w:color w:val="FF0000"/>
        </w:rPr>
        <w:t>means a substance or mixture that displaces oxygen in the ambient atmosphere,</w:t>
      </w:r>
      <w:r>
        <w:rPr>
          <w:color w:val="FF0000"/>
        </w:rPr>
        <w:t xml:space="preserve"> </w:t>
      </w:r>
      <w:r w:rsidRPr="00933D98">
        <w:rPr>
          <w:color w:val="FF0000"/>
        </w:rPr>
        <w:t xml:space="preserve">and can thus cause oxygen deprivation </w:t>
      </w:r>
      <w:r w:rsidRPr="00933D98">
        <w:rPr>
          <w:color w:val="FF0000"/>
          <w:u w:val="single"/>
        </w:rPr>
        <w:t>(before the occurrence of significant physiological effects)</w:t>
      </w:r>
      <w:r w:rsidRPr="00933D98">
        <w:rPr>
          <w:color w:val="FF0000"/>
        </w:rPr>
        <w:t xml:space="preserve"> in those who are exposed, leading to unconsciousness or death”. </w:t>
      </w:r>
    </w:p>
    <w:p w14:paraId="7CBCBE25" w14:textId="77777777" w:rsidR="009578DA" w:rsidRPr="00933D98" w:rsidRDefault="009578DA" w:rsidP="00B1712D">
      <w:pPr>
        <w:pStyle w:val="SingleTxtG"/>
        <w:tabs>
          <w:tab w:val="left" w:pos="2552"/>
        </w:tabs>
        <w:rPr>
          <w:i/>
          <w:iCs/>
          <w:color w:val="FF0000"/>
        </w:rPr>
      </w:pPr>
      <w:r w:rsidRPr="00933D98">
        <w:rPr>
          <w:i/>
          <w:iCs/>
          <w:color w:val="FF0000"/>
        </w:rPr>
        <w:t>Note: this definition was agreed to by the PCI WG in October 2010</w:t>
      </w:r>
    </w:p>
    <w:p w14:paraId="6FD78CFF" w14:textId="77777777" w:rsidR="009578DA" w:rsidRPr="00BD5BB1" w:rsidRDefault="009578DA" w:rsidP="00B1712D">
      <w:pPr>
        <w:pStyle w:val="SingleTxtG"/>
        <w:tabs>
          <w:tab w:val="left" w:pos="2552"/>
        </w:tabs>
        <w:rPr>
          <w:strike/>
          <w:color w:val="FF0000"/>
        </w:rPr>
      </w:pPr>
      <w:r w:rsidRPr="00BD5BB1">
        <w:rPr>
          <w:i/>
          <w:iCs/>
          <w:strike/>
          <w:color w:val="FF0000"/>
        </w:rPr>
        <w:t xml:space="preserve">Version 3: Simple asphyxiant </w:t>
      </w:r>
      <w:r w:rsidRPr="00BD5BB1">
        <w:rPr>
          <w:strike/>
          <w:color w:val="FF0000"/>
        </w:rPr>
        <w:t xml:space="preserve">means a substance or mixture that </w:t>
      </w:r>
      <w:r w:rsidRPr="00933D98">
        <w:rPr>
          <w:strike/>
          <w:color w:val="FF0000"/>
        </w:rPr>
        <w:t>displaces oxygen</w:t>
      </w:r>
      <w:r w:rsidRPr="00BD5BB1">
        <w:rPr>
          <w:strike/>
          <w:color w:val="FF0000"/>
        </w:rPr>
        <w:t xml:space="preserve"> </w:t>
      </w:r>
      <w:r w:rsidRPr="00BD5BB1">
        <w:rPr>
          <w:strike/>
          <w:color w:val="FF0000"/>
          <w:u w:val="single"/>
        </w:rPr>
        <w:t xml:space="preserve">has no other health hazard than displacing oxygen </w:t>
      </w:r>
      <w:r w:rsidRPr="00BD5BB1">
        <w:rPr>
          <w:strike/>
          <w:color w:val="FF0000"/>
        </w:rPr>
        <w:t xml:space="preserve">in the ambient atmosphere, and thus can cause oxygen deprivation (before the occurrence of significant physiological effects) in those who are exposed, leading to unconsciousness or death”. </w:t>
      </w:r>
    </w:p>
    <w:p w14:paraId="3B4900B5" w14:textId="77777777" w:rsidR="009578DA" w:rsidRPr="00BD5BB1" w:rsidRDefault="009578DA" w:rsidP="00B1712D">
      <w:pPr>
        <w:pStyle w:val="SingleTxtG"/>
        <w:tabs>
          <w:tab w:val="left" w:pos="2552"/>
        </w:tabs>
        <w:rPr>
          <w:i/>
          <w:iCs/>
          <w:strike/>
          <w:color w:val="FF0000"/>
        </w:rPr>
      </w:pPr>
      <w:r w:rsidRPr="00BD5BB1">
        <w:rPr>
          <w:i/>
          <w:iCs/>
          <w:strike/>
          <w:color w:val="FF0000"/>
        </w:rPr>
        <w:t>Note: this definition was proposed by EIGA in November 2010. During a meeting in the margins of the 20</w:t>
      </w:r>
      <w:r w:rsidRPr="00BD5BB1">
        <w:rPr>
          <w:i/>
          <w:iCs/>
          <w:strike/>
          <w:color w:val="FF0000"/>
          <w:vertAlign w:val="superscript"/>
        </w:rPr>
        <w:t>th</w:t>
      </w:r>
      <w:r w:rsidRPr="00BD5BB1">
        <w:rPr>
          <w:i/>
          <w:iCs/>
          <w:strike/>
          <w:color w:val="FF0000"/>
        </w:rPr>
        <w:t xml:space="preserve"> Session many participants supported the EIGA proposal. However, the U.S. and Canada did not agree with the proposal. Subsequently, the U.S. withdrew the working paper given the lack of consensus on the definition. </w:t>
      </w:r>
    </w:p>
    <w:p w14:paraId="7AACF325" w14:textId="4E2FA47D" w:rsidR="009578DA" w:rsidRPr="00DA56B2" w:rsidRDefault="009578DA" w:rsidP="00B1712D">
      <w:pPr>
        <w:pStyle w:val="SingleTxtG"/>
        <w:tabs>
          <w:tab w:val="left" w:pos="2552"/>
        </w:tabs>
        <w:rPr>
          <w:b/>
          <w:bCs/>
          <w:color w:val="0070C0"/>
        </w:rPr>
      </w:pPr>
      <w:r w:rsidRPr="00EF4EE9">
        <w:rPr>
          <w:b/>
          <w:bCs/>
        </w:rPr>
        <w:t>A11.3.3</w:t>
      </w:r>
      <w:r>
        <w:rPr>
          <w:b/>
          <w:bCs/>
        </w:rPr>
        <w:tab/>
      </w:r>
      <w:r w:rsidRPr="00DA56B2">
        <w:rPr>
          <w:b/>
          <w:bCs/>
          <w:color w:val="0070C0"/>
        </w:rPr>
        <w:t>Identification of simple asphyxiant</w:t>
      </w:r>
    </w:p>
    <w:p w14:paraId="57F8D903" w14:textId="1E3A2B52" w:rsidR="009578DA" w:rsidRPr="00DA56B2" w:rsidRDefault="001A5D9B" w:rsidP="00B1712D">
      <w:pPr>
        <w:pStyle w:val="SingleTxtG"/>
        <w:tabs>
          <w:tab w:val="left" w:pos="2552"/>
          <w:tab w:val="left" w:pos="2835"/>
        </w:tabs>
        <w:rPr>
          <w:color w:val="0070C0"/>
        </w:rPr>
      </w:pPr>
      <w:r>
        <w:rPr>
          <w:color w:val="0070C0"/>
        </w:rPr>
        <w:tab/>
      </w:r>
      <w:r w:rsidR="009578DA" w:rsidRPr="00DA56B2">
        <w:rPr>
          <w:color w:val="0070C0"/>
        </w:rPr>
        <w:t>Simple asphyxiants are of particular concern in enclosed spaces. Some examples of simple asphyxiants include: carbon dioxide, hydrogen, nitrogen, helium, neon, argon, krypton, xenon, ethane, ethylene, acetylene, methane, propane, propylene, aliphatic alkanes and the chlorofluorocarbons. These gases are well-known simple asphyxiants from experience in the workplace. Evaluation of other gases and vapours as simple asphyxiants requires expert judgment to evaluate evidence such as human experience, information from similar substances, and other pertinent data.</w:t>
      </w:r>
    </w:p>
    <w:p w14:paraId="1B31EA22" w14:textId="14C62AFA" w:rsidR="009578DA" w:rsidRPr="00DA56B2" w:rsidRDefault="009578DA" w:rsidP="00B1712D">
      <w:pPr>
        <w:pStyle w:val="SingleTxtG"/>
        <w:tabs>
          <w:tab w:val="left" w:pos="2552"/>
        </w:tabs>
        <w:rPr>
          <w:color w:val="0070C0"/>
        </w:rPr>
      </w:pPr>
      <w:r w:rsidRPr="00DA56B2">
        <w:rPr>
          <w:b/>
          <w:bCs/>
          <w:color w:val="0070C0"/>
        </w:rPr>
        <w:t>A11.3.4</w:t>
      </w:r>
      <w:r w:rsidRPr="00DA56B2">
        <w:rPr>
          <w:color w:val="0070C0"/>
        </w:rPr>
        <w:tab/>
      </w:r>
      <w:r w:rsidRPr="00DA56B2">
        <w:rPr>
          <w:b/>
          <w:bCs/>
          <w:color w:val="0070C0"/>
        </w:rPr>
        <w:t>Supplemental information for hazard communication</w:t>
      </w:r>
    </w:p>
    <w:p w14:paraId="64EFE20F" w14:textId="77777777" w:rsidR="009578DA" w:rsidRPr="00DA56B2" w:rsidRDefault="009578DA" w:rsidP="00B1712D">
      <w:pPr>
        <w:pStyle w:val="SingleTxtG"/>
        <w:tabs>
          <w:tab w:val="left" w:pos="2552"/>
        </w:tabs>
        <w:rPr>
          <w:color w:val="0070C0"/>
        </w:rPr>
      </w:pPr>
      <w:r w:rsidRPr="00DA56B2">
        <w:rPr>
          <w:color w:val="0070C0"/>
        </w:rPr>
        <w:t>A11.3.4.1</w:t>
      </w:r>
      <w:r w:rsidRPr="00DA56B2">
        <w:rPr>
          <w:color w:val="0070C0"/>
        </w:rPr>
        <w:tab/>
        <w:t>As explained in 1.4.6.3, there are many communication elements which have not been standardized in the harmonized system.  Some of these clearly need to be communicated to the downstream user.  For substances and mixtures that are simple asphyxiants, information should be provided in section 2 of the SDS (A4.3.2) that addresses hazards that do not result in classification.</w:t>
      </w:r>
    </w:p>
    <w:p w14:paraId="61C03845" w14:textId="77777777" w:rsidR="009578DA" w:rsidRPr="00DA56B2" w:rsidRDefault="009578DA" w:rsidP="00B1712D">
      <w:pPr>
        <w:pStyle w:val="SingleTxtG"/>
        <w:tabs>
          <w:tab w:val="left" w:pos="2552"/>
        </w:tabs>
        <w:rPr>
          <w:color w:val="0070C0"/>
        </w:rPr>
      </w:pPr>
      <w:r w:rsidRPr="00DA56B2">
        <w:rPr>
          <w:color w:val="0070C0"/>
        </w:rPr>
        <w:t xml:space="preserve">A11.3.4.2 </w:t>
      </w:r>
      <w:r w:rsidRPr="00DA56B2">
        <w:rPr>
          <w:color w:val="0070C0"/>
        </w:rPr>
        <w:tab/>
        <w:t>To communicate the simple asphyxiant hazard, competent authorities may require the use of the following phrases on labels, SDSs and/or operating instructions or may leave the choice to the manufacturer or supplier.</w:t>
      </w:r>
    </w:p>
    <w:p w14:paraId="263B96EB" w14:textId="066247B4" w:rsidR="009578DA" w:rsidRPr="00DA56B2" w:rsidRDefault="00BD6282" w:rsidP="001A5D9B">
      <w:pPr>
        <w:pStyle w:val="SingleTxtG"/>
        <w:tabs>
          <w:tab w:val="left" w:pos="3119"/>
          <w:tab w:val="left" w:pos="3700"/>
        </w:tabs>
        <w:ind w:left="2552"/>
        <w:rPr>
          <w:color w:val="0070C0"/>
        </w:rPr>
      </w:pPr>
      <w:r w:rsidRPr="00DA56B2">
        <w:rPr>
          <w:color w:val="0070C0"/>
        </w:rPr>
        <w:t>(a)</w:t>
      </w:r>
      <w:r w:rsidRPr="00DA56B2">
        <w:rPr>
          <w:color w:val="0070C0"/>
        </w:rPr>
        <w:tab/>
      </w:r>
      <w:r w:rsidR="009578DA" w:rsidRPr="00DA56B2">
        <w:rPr>
          <w:color w:val="0070C0"/>
        </w:rPr>
        <w:t xml:space="preserve">“May displace oxygen and cause rapid suffocation.” </w:t>
      </w:r>
    </w:p>
    <w:p w14:paraId="571985C5" w14:textId="4CDAF127" w:rsidR="009578DA" w:rsidRPr="00DA56B2" w:rsidRDefault="00BD6282" w:rsidP="001A5D9B">
      <w:pPr>
        <w:pStyle w:val="SingleTxtG"/>
        <w:tabs>
          <w:tab w:val="left" w:pos="3119"/>
          <w:tab w:val="left" w:pos="3700"/>
        </w:tabs>
        <w:ind w:left="3119" w:hanging="567"/>
        <w:rPr>
          <w:color w:val="0070C0"/>
        </w:rPr>
      </w:pPr>
      <w:r w:rsidRPr="00DA56B2">
        <w:rPr>
          <w:color w:val="0070C0"/>
        </w:rPr>
        <w:t>(b)</w:t>
      </w:r>
      <w:r w:rsidRPr="00DA56B2">
        <w:rPr>
          <w:color w:val="0070C0"/>
        </w:rPr>
        <w:tab/>
      </w:r>
      <w:r w:rsidR="009578DA" w:rsidRPr="00DA56B2">
        <w:rPr>
          <w:color w:val="0070C0"/>
        </w:rPr>
        <w:t>In addition, the phrase “Warning” may be used in conjunction with item (a).</w:t>
      </w:r>
    </w:p>
    <w:p w14:paraId="3842BE0D" w14:textId="77777777" w:rsidR="009578DA" w:rsidRPr="00385A39" w:rsidRDefault="009578DA" w:rsidP="00762E6E">
      <w:pPr>
        <w:pStyle w:val="SingleTxtG"/>
        <w:ind w:left="1701"/>
        <w:rPr>
          <w:b/>
          <w:bCs/>
          <w:sz w:val="24"/>
          <w:szCs w:val="24"/>
          <w:u w:val="single"/>
        </w:rPr>
      </w:pPr>
      <w:r w:rsidRPr="00385A39">
        <w:rPr>
          <w:b/>
          <w:bCs/>
          <w:sz w:val="24"/>
          <w:szCs w:val="24"/>
          <w:u w:val="single"/>
        </w:rPr>
        <w:t>References</w:t>
      </w:r>
    </w:p>
    <w:p w14:paraId="0EEEECD2" w14:textId="6D515B70" w:rsidR="00385A39" w:rsidRDefault="009578DA" w:rsidP="00762E6E">
      <w:pPr>
        <w:pStyle w:val="SingleTxtG"/>
        <w:ind w:left="1701"/>
        <w:jc w:val="left"/>
        <w:rPr>
          <w:rStyle w:val="Hyperlink"/>
        </w:rPr>
      </w:pPr>
      <w:r w:rsidRPr="001759AF">
        <w:t>ST/SG/AC.10/C.4/2010/16</w:t>
      </w:r>
      <w:r w:rsidRPr="00D15BE0">
        <w:t>:</w:t>
      </w:r>
      <w:r w:rsidR="00D15BE0">
        <w:t xml:space="preserve">  </w:t>
      </w:r>
      <w:hyperlink r:id="rId11" w:history="1">
        <w:r w:rsidR="00D15BE0" w:rsidRPr="000E35CE">
          <w:rPr>
            <w:rStyle w:val="Hyperlink"/>
            <w:u w:val="single"/>
          </w:rPr>
          <w:t>https://unece.org/DAM/trans/doc/2010/ac10c4/ST-SG-AC10-C4-2010-16e.pdf</w:t>
        </w:r>
      </w:hyperlink>
    </w:p>
    <w:p w14:paraId="5CC6C376" w14:textId="5224BC59" w:rsidR="009578DA" w:rsidRPr="0007237C" w:rsidRDefault="009578DA" w:rsidP="00762E6E">
      <w:pPr>
        <w:pStyle w:val="SingleTxtG"/>
        <w:ind w:left="1701"/>
        <w:jc w:val="left"/>
      </w:pPr>
      <w:r>
        <w:t xml:space="preserve">UN/SCEGHS/20/INF.40: </w:t>
      </w:r>
      <w:r w:rsidR="00363307">
        <w:t xml:space="preserve"> </w:t>
      </w:r>
      <w:hyperlink r:id="rId12" w:history="1">
        <w:r w:rsidR="00363307" w:rsidRPr="00D15BE0">
          <w:rPr>
            <w:rStyle w:val="Hyperlink"/>
            <w:u w:val="single"/>
          </w:rPr>
          <w:t>https://unece.org/DAM/trans/doc/2010/ac10c4/UN-SCEGHS-20-INF40e.pdf</w:t>
        </w:r>
      </w:hyperlink>
    </w:p>
    <w:p w14:paraId="623D9D20" w14:textId="6AC4021B" w:rsidR="00670F83" w:rsidRDefault="003F65A6" w:rsidP="003F65A6">
      <w:pPr>
        <w:spacing w:before="240"/>
        <w:jc w:val="center"/>
        <w:rPr>
          <w:b/>
          <w:bCs/>
          <w:sz w:val="28"/>
          <w:szCs w:val="28"/>
        </w:rPr>
      </w:pPr>
      <w:r>
        <w:rPr>
          <w:u w:val="single"/>
        </w:rPr>
        <w:tab/>
      </w:r>
      <w:r>
        <w:rPr>
          <w:u w:val="single"/>
        </w:rPr>
        <w:tab/>
      </w:r>
      <w:r>
        <w:rPr>
          <w:u w:val="single"/>
        </w:rPr>
        <w:tab/>
      </w:r>
      <w:bookmarkEnd w:id="0"/>
    </w:p>
    <w:sectPr w:rsidR="00670F83" w:rsidSect="0024091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1134" w:right="1134" w:bottom="1134" w:left="1134"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BDC97" w14:textId="77777777" w:rsidR="00C92AEC" w:rsidRDefault="00C92AEC" w:rsidP="00760F29">
      <w:pPr>
        <w:spacing w:line="240" w:lineRule="auto"/>
      </w:pPr>
      <w:r>
        <w:separator/>
      </w:r>
    </w:p>
  </w:endnote>
  <w:endnote w:type="continuationSeparator" w:id="0">
    <w:p w14:paraId="67EB1724" w14:textId="77777777" w:rsidR="00C92AEC" w:rsidRDefault="00C92AEC" w:rsidP="00760F29">
      <w:pPr>
        <w:spacing w:line="240" w:lineRule="auto"/>
      </w:pPr>
      <w:r>
        <w:continuationSeparator/>
      </w:r>
    </w:p>
  </w:endnote>
  <w:endnote w:type="continuationNotice" w:id="1">
    <w:p w14:paraId="79B699F5" w14:textId="77777777" w:rsidR="00C92AEC" w:rsidRDefault="00C92A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47750" w14:textId="77777777" w:rsidR="0076675C" w:rsidRPr="000216CC" w:rsidRDefault="00A31103" w:rsidP="0076675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F66A1" w14:textId="77777777" w:rsidR="0076675C" w:rsidRPr="000216CC" w:rsidRDefault="00A31103" w:rsidP="0076675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0982126"/>
      <w:docPartObj>
        <w:docPartGallery w:val="Page Numbers (Bottom of Page)"/>
        <w:docPartUnique/>
      </w:docPartObj>
    </w:sdtPr>
    <w:sdtEndPr>
      <w:rPr>
        <w:b/>
        <w:bCs/>
        <w:noProof/>
        <w:sz w:val="18"/>
        <w:szCs w:val="22"/>
      </w:rPr>
    </w:sdtEndPr>
    <w:sdtContent>
      <w:p w14:paraId="2D4C9FAC" w14:textId="2BE8FDD0" w:rsidR="0076675C" w:rsidRPr="00A43354" w:rsidRDefault="00A43354" w:rsidP="00A43354">
        <w:pPr>
          <w:pStyle w:val="Footer"/>
          <w:jc w:val="right"/>
          <w:rPr>
            <w:b/>
            <w:bCs/>
            <w:sz w:val="18"/>
            <w:szCs w:val="22"/>
          </w:rPr>
        </w:pPr>
        <w:r w:rsidRPr="00A43354">
          <w:rPr>
            <w:b/>
            <w:bCs/>
            <w:sz w:val="18"/>
            <w:szCs w:val="22"/>
          </w:rPr>
          <w:fldChar w:fldCharType="begin"/>
        </w:r>
        <w:r w:rsidRPr="00A43354">
          <w:rPr>
            <w:b/>
            <w:bCs/>
            <w:sz w:val="18"/>
            <w:szCs w:val="22"/>
          </w:rPr>
          <w:instrText xml:space="preserve"> PAGE   \* MERGEFORMAT </w:instrText>
        </w:r>
        <w:r w:rsidRPr="00A43354">
          <w:rPr>
            <w:b/>
            <w:bCs/>
            <w:sz w:val="18"/>
            <w:szCs w:val="22"/>
          </w:rPr>
          <w:fldChar w:fldCharType="separate"/>
        </w:r>
        <w:r w:rsidRPr="00A43354">
          <w:rPr>
            <w:b/>
            <w:bCs/>
            <w:noProof/>
            <w:sz w:val="18"/>
            <w:szCs w:val="22"/>
          </w:rPr>
          <w:t>2</w:t>
        </w:r>
        <w:r w:rsidRPr="00A4335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912EC" w14:textId="77777777" w:rsidR="00C92AEC" w:rsidRDefault="00C92AEC" w:rsidP="00760F29">
      <w:pPr>
        <w:spacing w:line="240" w:lineRule="auto"/>
      </w:pPr>
      <w:r>
        <w:separator/>
      </w:r>
    </w:p>
  </w:footnote>
  <w:footnote w:type="continuationSeparator" w:id="0">
    <w:p w14:paraId="1A295A7D" w14:textId="77777777" w:rsidR="00C92AEC" w:rsidRDefault="00C92AEC" w:rsidP="00760F29">
      <w:pPr>
        <w:spacing w:line="240" w:lineRule="auto"/>
      </w:pPr>
      <w:r>
        <w:continuationSeparator/>
      </w:r>
    </w:p>
  </w:footnote>
  <w:footnote w:type="continuationNotice" w:id="1">
    <w:p w14:paraId="5C862035" w14:textId="77777777" w:rsidR="00C92AEC" w:rsidRDefault="00C92A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18ADA" w14:textId="688EB8F5" w:rsidR="0076675C" w:rsidRPr="001E5919" w:rsidRDefault="00A31103" w:rsidP="0076675C">
    <w:pPr>
      <w:pStyle w:val="Header"/>
      <w:rPr>
        <w:lang w:val="fr-FR"/>
      </w:rPr>
    </w:pPr>
    <w:r w:rsidRPr="005B2428">
      <w:rPr>
        <w:lang w:val="fr-FR"/>
      </w:rPr>
      <w:t>UN/SCEGHS/</w:t>
    </w:r>
    <w:r w:rsidR="00193A30" w:rsidRPr="005B2428">
      <w:rPr>
        <w:lang w:val="fr-FR"/>
      </w:rPr>
      <w:t>4</w:t>
    </w:r>
    <w:r w:rsidR="00674321">
      <w:rPr>
        <w:lang w:val="fr-FR"/>
      </w:rPr>
      <w:t>6</w:t>
    </w:r>
    <w:r w:rsidRPr="005B2428">
      <w:rPr>
        <w:lang w:val="fr-FR"/>
      </w:rPr>
      <w:t>/INF.</w:t>
    </w:r>
    <w:r w:rsidR="00674321">
      <w:rPr>
        <w:lang w:val="fr-FR"/>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91E6B" w14:textId="3A43AFA7" w:rsidR="0076675C" w:rsidRPr="001E5919" w:rsidRDefault="00A31103" w:rsidP="0076675C">
    <w:pPr>
      <w:pStyle w:val="Header"/>
      <w:jc w:val="right"/>
      <w:rPr>
        <w:lang w:val="fr-FR"/>
      </w:rPr>
    </w:pPr>
    <w:r w:rsidRPr="00350C82">
      <w:rPr>
        <w:lang w:val="fr-FR"/>
      </w:rPr>
      <w:t>UN/SCEGHS/4</w:t>
    </w:r>
    <w:r w:rsidR="007B5E5C">
      <w:rPr>
        <w:lang w:val="fr-FR"/>
      </w:rPr>
      <w:t>6</w:t>
    </w:r>
    <w:r w:rsidR="000F27ED" w:rsidRPr="00350C82">
      <w:rPr>
        <w:lang w:val="fr-FR"/>
      </w:rPr>
      <w:t>/INF.</w:t>
    </w:r>
    <w:r w:rsidR="007B5E5C">
      <w:rPr>
        <w:lang w:val="fr-FR"/>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9B383" w14:textId="30154839" w:rsidR="0076675C" w:rsidRPr="00C969C0" w:rsidRDefault="0076675C"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97AC7"/>
    <w:multiLevelType w:val="hybridMultilevel"/>
    <w:tmpl w:val="BD1A31F4"/>
    <w:lvl w:ilvl="0" w:tplc="7E4C8DD0">
      <w:start w:val="1"/>
      <w:numFmt w:val="decimal"/>
      <w:lvlText w:val="%1."/>
      <w:lvlJc w:val="left"/>
      <w:pPr>
        <w:ind w:left="1494" w:hanging="360"/>
      </w:pPr>
      <w:rPr>
        <w:rFonts w:hint="default"/>
      </w:rPr>
    </w:lvl>
    <w:lvl w:ilvl="1" w:tplc="0409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D3F3E57"/>
    <w:multiLevelType w:val="hybridMultilevel"/>
    <w:tmpl w:val="58AE94C4"/>
    <w:lvl w:ilvl="0" w:tplc="01B260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893A74"/>
    <w:multiLevelType w:val="hybridMultilevel"/>
    <w:tmpl w:val="960A789C"/>
    <w:lvl w:ilvl="0" w:tplc="FFFFFFFF">
      <w:start w:val="1"/>
      <w:numFmt w:val="decimal"/>
      <w:lvlText w:val="%1."/>
      <w:lvlJc w:val="left"/>
      <w:pPr>
        <w:ind w:left="1120" w:hanging="560"/>
      </w:pPr>
      <w:rPr>
        <w:rFonts w:hint="default"/>
      </w:rPr>
    </w:lvl>
    <w:lvl w:ilvl="1" w:tplc="FFFFFFFF">
      <w:start w:val="1"/>
      <w:numFmt w:val="decimal"/>
      <w:lvlText w:val="%2."/>
      <w:lvlJc w:val="left"/>
      <w:pPr>
        <w:ind w:left="1840" w:hanging="560"/>
      </w:pPr>
      <w:rPr>
        <w:rFonts w:hint="default"/>
      </w:r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B3D9B"/>
    <w:multiLevelType w:val="hybridMultilevel"/>
    <w:tmpl w:val="49580436"/>
    <w:lvl w:ilvl="0" w:tplc="04090001">
      <w:start w:val="1"/>
      <w:numFmt w:val="bullet"/>
      <w:lvlText w:val=""/>
      <w:lvlJc w:val="left"/>
      <w:pPr>
        <w:ind w:left="1647"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0856668">
    <w:abstractNumId w:val="5"/>
  </w:num>
  <w:num w:numId="2" w16cid:durableId="1638679254">
    <w:abstractNumId w:val="7"/>
  </w:num>
  <w:num w:numId="3" w16cid:durableId="1596985262">
    <w:abstractNumId w:val="4"/>
  </w:num>
  <w:num w:numId="4" w16cid:durableId="653685780">
    <w:abstractNumId w:val="8"/>
  </w:num>
  <w:num w:numId="5" w16cid:durableId="292947103">
    <w:abstractNumId w:val="1"/>
  </w:num>
  <w:num w:numId="6" w16cid:durableId="2100129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7967769">
    <w:abstractNumId w:val="6"/>
  </w:num>
  <w:num w:numId="8" w16cid:durableId="198785002">
    <w:abstractNumId w:val="0"/>
  </w:num>
  <w:num w:numId="9" w16cid:durableId="4976179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evenAndOddHeaders/>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1CE1"/>
    <w:rsid w:val="0000299A"/>
    <w:rsid w:val="000061D1"/>
    <w:rsid w:val="00010BDD"/>
    <w:rsid w:val="00013A05"/>
    <w:rsid w:val="00014872"/>
    <w:rsid w:val="00015F9B"/>
    <w:rsid w:val="0001776B"/>
    <w:rsid w:val="000214BC"/>
    <w:rsid w:val="000218F8"/>
    <w:rsid w:val="000239C3"/>
    <w:rsid w:val="0003079A"/>
    <w:rsid w:val="0004046B"/>
    <w:rsid w:val="00040DE3"/>
    <w:rsid w:val="00041403"/>
    <w:rsid w:val="00046E3E"/>
    <w:rsid w:val="000471D6"/>
    <w:rsid w:val="0005459E"/>
    <w:rsid w:val="0005653A"/>
    <w:rsid w:val="0006039D"/>
    <w:rsid w:val="000614E2"/>
    <w:rsid w:val="00061EEB"/>
    <w:rsid w:val="00063259"/>
    <w:rsid w:val="0006580F"/>
    <w:rsid w:val="00065BA5"/>
    <w:rsid w:val="00067399"/>
    <w:rsid w:val="00067AF0"/>
    <w:rsid w:val="00067DD1"/>
    <w:rsid w:val="00072007"/>
    <w:rsid w:val="0007237C"/>
    <w:rsid w:val="00076071"/>
    <w:rsid w:val="000809A5"/>
    <w:rsid w:val="0008168E"/>
    <w:rsid w:val="000859D0"/>
    <w:rsid w:val="00086587"/>
    <w:rsid w:val="00092F68"/>
    <w:rsid w:val="0009425C"/>
    <w:rsid w:val="000944C3"/>
    <w:rsid w:val="00094BF7"/>
    <w:rsid w:val="00094C7F"/>
    <w:rsid w:val="00096229"/>
    <w:rsid w:val="000A277D"/>
    <w:rsid w:val="000A35E5"/>
    <w:rsid w:val="000A4184"/>
    <w:rsid w:val="000A6640"/>
    <w:rsid w:val="000B03C5"/>
    <w:rsid w:val="000B0949"/>
    <w:rsid w:val="000B2D5C"/>
    <w:rsid w:val="000B6ACF"/>
    <w:rsid w:val="000C20F7"/>
    <w:rsid w:val="000C55A3"/>
    <w:rsid w:val="000C5F34"/>
    <w:rsid w:val="000C6595"/>
    <w:rsid w:val="000D23AF"/>
    <w:rsid w:val="000E0978"/>
    <w:rsid w:val="000E15E5"/>
    <w:rsid w:val="000E1E26"/>
    <w:rsid w:val="000E35CE"/>
    <w:rsid w:val="000E6591"/>
    <w:rsid w:val="000E6D59"/>
    <w:rsid w:val="000F27ED"/>
    <w:rsid w:val="000F29DB"/>
    <w:rsid w:val="00100095"/>
    <w:rsid w:val="00103FA3"/>
    <w:rsid w:val="0011190A"/>
    <w:rsid w:val="00112DA5"/>
    <w:rsid w:val="0012282B"/>
    <w:rsid w:val="00122928"/>
    <w:rsid w:val="00122B0B"/>
    <w:rsid w:val="00123885"/>
    <w:rsid w:val="00127FC6"/>
    <w:rsid w:val="00136BAB"/>
    <w:rsid w:val="00137021"/>
    <w:rsid w:val="00140246"/>
    <w:rsid w:val="00141A1D"/>
    <w:rsid w:val="001425EB"/>
    <w:rsid w:val="00144A37"/>
    <w:rsid w:val="001506E7"/>
    <w:rsid w:val="00162329"/>
    <w:rsid w:val="001630FF"/>
    <w:rsid w:val="00163F95"/>
    <w:rsid w:val="00164DE3"/>
    <w:rsid w:val="00171159"/>
    <w:rsid w:val="001720A7"/>
    <w:rsid w:val="0017322E"/>
    <w:rsid w:val="00181E17"/>
    <w:rsid w:val="00183075"/>
    <w:rsid w:val="00184D16"/>
    <w:rsid w:val="001851B2"/>
    <w:rsid w:val="00193A30"/>
    <w:rsid w:val="00195B83"/>
    <w:rsid w:val="001A1D96"/>
    <w:rsid w:val="001A35E0"/>
    <w:rsid w:val="001A5D9B"/>
    <w:rsid w:val="001B057F"/>
    <w:rsid w:val="001B1170"/>
    <w:rsid w:val="001C02E3"/>
    <w:rsid w:val="001C1E78"/>
    <w:rsid w:val="001C2B95"/>
    <w:rsid w:val="001C5FE4"/>
    <w:rsid w:val="001D15D2"/>
    <w:rsid w:val="001D1904"/>
    <w:rsid w:val="001D38E4"/>
    <w:rsid w:val="001D459E"/>
    <w:rsid w:val="001E246A"/>
    <w:rsid w:val="001E56B5"/>
    <w:rsid w:val="001E593A"/>
    <w:rsid w:val="001E750E"/>
    <w:rsid w:val="001E7C2F"/>
    <w:rsid w:val="001F19BA"/>
    <w:rsid w:val="001F5B40"/>
    <w:rsid w:val="002006B8"/>
    <w:rsid w:val="00201756"/>
    <w:rsid w:val="00202043"/>
    <w:rsid w:val="00206553"/>
    <w:rsid w:val="00212C7F"/>
    <w:rsid w:val="00215672"/>
    <w:rsid w:val="002164F8"/>
    <w:rsid w:val="0021738A"/>
    <w:rsid w:val="002239B8"/>
    <w:rsid w:val="00223F9F"/>
    <w:rsid w:val="002240C4"/>
    <w:rsid w:val="00224956"/>
    <w:rsid w:val="00224F24"/>
    <w:rsid w:val="00225747"/>
    <w:rsid w:val="00226CEA"/>
    <w:rsid w:val="00226F39"/>
    <w:rsid w:val="00227C4D"/>
    <w:rsid w:val="00234AEC"/>
    <w:rsid w:val="00235889"/>
    <w:rsid w:val="00236385"/>
    <w:rsid w:val="002372E4"/>
    <w:rsid w:val="0024091A"/>
    <w:rsid w:val="0024310D"/>
    <w:rsid w:val="0024786A"/>
    <w:rsid w:val="002478ED"/>
    <w:rsid w:val="00250194"/>
    <w:rsid w:val="00250F41"/>
    <w:rsid w:val="00254335"/>
    <w:rsid w:val="00255277"/>
    <w:rsid w:val="00260117"/>
    <w:rsid w:val="00261FA3"/>
    <w:rsid w:val="00263C2E"/>
    <w:rsid w:val="00266719"/>
    <w:rsid w:val="00267CF7"/>
    <w:rsid w:val="002713F6"/>
    <w:rsid w:val="00275729"/>
    <w:rsid w:val="00276858"/>
    <w:rsid w:val="00276B4C"/>
    <w:rsid w:val="002804ED"/>
    <w:rsid w:val="00280ED1"/>
    <w:rsid w:val="0028150B"/>
    <w:rsid w:val="00287ABA"/>
    <w:rsid w:val="00290043"/>
    <w:rsid w:val="00294B2C"/>
    <w:rsid w:val="002952DA"/>
    <w:rsid w:val="00295F66"/>
    <w:rsid w:val="002A01A8"/>
    <w:rsid w:val="002A15A7"/>
    <w:rsid w:val="002A4F6F"/>
    <w:rsid w:val="002A5B7F"/>
    <w:rsid w:val="002A6E83"/>
    <w:rsid w:val="002B02C4"/>
    <w:rsid w:val="002B445D"/>
    <w:rsid w:val="002B4A15"/>
    <w:rsid w:val="002B4FB4"/>
    <w:rsid w:val="002B540D"/>
    <w:rsid w:val="002B7299"/>
    <w:rsid w:val="002B7F28"/>
    <w:rsid w:val="002C0672"/>
    <w:rsid w:val="002D0D9A"/>
    <w:rsid w:val="002D3FC3"/>
    <w:rsid w:val="002E0292"/>
    <w:rsid w:val="002E2829"/>
    <w:rsid w:val="002E53D1"/>
    <w:rsid w:val="002E7EA6"/>
    <w:rsid w:val="002F0C16"/>
    <w:rsid w:val="002F1141"/>
    <w:rsid w:val="002F6B4A"/>
    <w:rsid w:val="002F7C78"/>
    <w:rsid w:val="0030037D"/>
    <w:rsid w:val="003023D7"/>
    <w:rsid w:val="00302AE0"/>
    <w:rsid w:val="00302BFC"/>
    <w:rsid w:val="00303B87"/>
    <w:rsid w:val="00304CBC"/>
    <w:rsid w:val="0030509D"/>
    <w:rsid w:val="0030626F"/>
    <w:rsid w:val="00307BE6"/>
    <w:rsid w:val="00313097"/>
    <w:rsid w:val="0031445F"/>
    <w:rsid w:val="00325F26"/>
    <w:rsid w:val="00330138"/>
    <w:rsid w:val="00330944"/>
    <w:rsid w:val="00331F10"/>
    <w:rsid w:val="00332450"/>
    <w:rsid w:val="00333A50"/>
    <w:rsid w:val="003378A9"/>
    <w:rsid w:val="00340588"/>
    <w:rsid w:val="00344BA0"/>
    <w:rsid w:val="00345095"/>
    <w:rsid w:val="00346C0F"/>
    <w:rsid w:val="00350C1C"/>
    <w:rsid w:val="00350C57"/>
    <w:rsid w:val="00350C82"/>
    <w:rsid w:val="003548DF"/>
    <w:rsid w:val="003561D6"/>
    <w:rsid w:val="00363307"/>
    <w:rsid w:val="003635C7"/>
    <w:rsid w:val="00363B88"/>
    <w:rsid w:val="00364666"/>
    <w:rsid w:val="003658E0"/>
    <w:rsid w:val="00366194"/>
    <w:rsid w:val="00370501"/>
    <w:rsid w:val="00371089"/>
    <w:rsid w:val="00371B0B"/>
    <w:rsid w:val="00372484"/>
    <w:rsid w:val="00374178"/>
    <w:rsid w:val="00381D29"/>
    <w:rsid w:val="00383739"/>
    <w:rsid w:val="00385A39"/>
    <w:rsid w:val="00386A0C"/>
    <w:rsid w:val="00393BDF"/>
    <w:rsid w:val="003949B7"/>
    <w:rsid w:val="003A228D"/>
    <w:rsid w:val="003A2720"/>
    <w:rsid w:val="003A2A96"/>
    <w:rsid w:val="003A3245"/>
    <w:rsid w:val="003A3258"/>
    <w:rsid w:val="003A75AC"/>
    <w:rsid w:val="003B15C7"/>
    <w:rsid w:val="003B2653"/>
    <w:rsid w:val="003B3AEF"/>
    <w:rsid w:val="003C0E03"/>
    <w:rsid w:val="003C10B9"/>
    <w:rsid w:val="003C2BA4"/>
    <w:rsid w:val="003C425A"/>
    <w:rsid w:val="003C4B75"/>
    <w:rsid w:val="003C4DF9"/>
    <w:rsid w:val="003D01E1"/>
    <w:rsid w:val="003D31FD"/>
    <w:rsid w:val="003D6940"/>
    <w:rsid w:val="003E36B5"/>
    <w:rsid w:val="003E5F94"/>
    <w:rsid w:val="003E64B9"/>
    <w:rsid w:val="003E7193"/>
    <w:rsid w:val="003F1180"/>
    <w:rsid w:val="003F2799"/>
    <w:rsid w:val="003F40BB"/>
    <w:rsid w:val="003F4DC0"/>
    <w:rsid w:val="003F65A6"/>
    <w:rsid w:val="003F7360"/>
    <w:rsid w:val="0040141F"/>
    <w:rsid w:val="00402415"/>
    <w:rsid w:val="0040625C"/>
    <w:rsid w:val="00406A6B"/>
    <w:rsid w:val="004110EF"/>
    <w:rsid w:val="0041122F"/>
    <w:rsid w:val="00412F3F"/>
    <w:rsid w:val="004145B4"/>
    <w:rsid w:val="004152C8"/>
    <w:rsid w:val="00416769"/>
    <w:rsid w:val="0041768C"/>
    <w:rsid w:val="00423FB4"/>
    <w:rsid w:val="00426B05"/>
    <w:rsid w:val="00430151"/>
    <w:rsid w:val="00432A97"/>
    <w:rsid w:val="00435344"/>
    <w:rsid w:val="00437D1D"/>
    <w:rsid w:val="004409C6"/>
    <w:rsid w:val="00440F59"/>
    <w:rsid w:val="00447081"/>
    <w:rsid w:val="004473FB"/>
    <w:rsid w:val="00451105"/>
    <w:rsid w:val="00451858"/>
    <w:rsid w:val="00456059"/>
    <w:rsid w:val="0045752F"/>
    <w:rsid w:val="0046204C"/>
    <w:rsid w:val="0046209C"/>
    <w:rsid w:val="004629AD"/>
    <w:rsid w:val="00462A16"/>
    <w:rsid w:val="004640A7"/>
    <w:rsid w:val="004656D2"/>
    <w:rsid w:val="00470E54"/>
    <w:rsid w:val="0047553C"/>
    <w:rsid w:val="00475DB2"/>
    <w:rsid w:val="004774AF"/>
    <w:rsid w:val="00480595"/>
    <w:rsid w:val="004854BD"/>
    <w:rsid w:val="004859A9"/>
    <w:rsid w:val="00486C0D"/>
    <w:rsid w:val="00490887"/>
    <w:rsid w:val="004921F4"/>
    <w:rsid w:val="00493CF5"/>
    <w:rsid w:val="004957C8"/>
    <w:rsid w:val="00496520"/>
    <w:rsid w:val="004A064D"/>
    <w:rsid w:val="004A2C86"/>
    <w:rsid w:val="004A6A7F"/>
    <w:rsid w:val="004A6FA4"/>
    <w:rsid w:val="004B2D21"/>
    <w:rsid w:val="004B4644"/>
    <w:rsid w:val="004B5A77"/>
    <w:rsid w:val="004C135A"/>
    <w:rsid w:val="004C2F12"/>
    <w:rsid w:val="004C303A"/>
    <w:rsid w:val="004C40DE"/>
    <w:rsid w:val="004C688D"/>
    <w:rsid w:val="004D1769"/>
    <w:rsid w:val="004D3744"/>
    <w:rsid w:val="004D5110"/>
    <w:rsid w:val="004E06AD"/>
    <w:rsid w:val="004E0CC0"/>
    <w:rsid w:val="004E7435"/>
    <w:rsid w:val="004F5CD4"/>
    <w:rsid w:val="00501143"/>
    <w:rsid w:val="00501BA0"/>
    <w:rsid w:val="00507081"/>
    <w:rsid w:val="00507870"/>
    <w:rsid w:val="00507FDD"/>
    <w:rsid w:val="00510057"/>
    <w:rsid w:val="00513EED"/>
    <w:rsid w:val="00514588"/>
    <w:rsid w:val="00514E95"/>
    <w:rsid w:val="005210E2"/>
    <w:rsid w:val="00522D72"/>
    <w:rsid w:val="00522E58"/>
    <w:rsid w:val="00526749"/>
    <w:rsid w:val="0053307F"/>
    <w:rsid w:val="00536F4D"/>
    <w:rsid w:val="00551892"/>
    <w:rsid w:val="005545DE"/>
    <w:rsid w:val="00555FA3"/>
    <w:rsid w:val="0055778E"/>
    <w:rsid w:val="00561E93"/>
    <w:rsid w:val="005632E6"/>
    <w:rsid w:val="005632F6"/>
    <w:rsid w:val="005639E7"/>
    <w:rsid w:val="0057321F"/>
    <w:rsid w:val="00574027"/>
    <w:rsid w:val="005745C7"/>
    <w:rsid w:val="005746FD"/>
    <w:rsid w:val="00581297"/>
    <w:rsid w:val="00581763"/>
    <w:rsid w:val="0058204D"/>
    <w:rsid w:val="005821AC"/>
    <w:rsid w:val="00585251"/>
    <w:rsid w:val="00592369"/>
    <w:rsid w:val="005924BF"/>
    <w:rsid w:val="0059523F"/>
    <w:rsid w:val="005A248A"/>
    <w:rsid w:val="005A5F59"/>
    <w:rsid w:val="005B1C55"/>
    <w:rsid w:val="005B2428"/>
    <w:rsid w:val="005B56D1"/>
    <w:rsid w:val="005C0B65"/>
    <w:rsid w:val="005C46D9"/>
    <w:rsid w:val="005E1732"/>
    <w:rsid w:val="005E17D4"/>
    <w:rsid w:val="005E79BB"/>
    <w:rsid w:val="005F029E"/>
    <w:rsid w:val="005F1C6C"/>
    <w:rsid w:val="005F1EE5"/>
    <w:rsid w:val="005F22CC"/>
    <w:rsid w:val="005F2949"/>
    <w:rsid w:val="005F34FB"/>
    <w:rsid w:val="005F58D4"/>
    <w:rsid w:val="005F7AE9"/>
    <w:rsid w:val="00600EF2"/>
    <w:rsid w:val="00604FBD"/>
    <w:rsid w:val="00607C23"/>
    <w:rsid w:val="00607D03"/>
    <w:rsid w:val="0061276A"/>
    <w:rsid w:val="00613BFE"/>
    <w:rsid w:val="00617AD6"/>
    <w:rsid w:val="00620144"/>
    <w:rsid w:val="006218BA"/>
    <w:rsid w:val="0062268F"/>
    <w:rsid w:val="006231F8"/>
    <w:rsid w:val="00623C57"/>
    <w:rsid w:val="00624265"/>
    <w:rsid w:val="0062617C"/>
    <w:rsid w:val="00630265"/>
    <w:rsid w:val="00633F54"/>
    <w:rsid w:val="00636810"/>
    <w:rsid w:val="00642E23"/>
    <w:rsid w:val="0064473E"/>
    <w:rsid w:val="0064644C"/>
    <w:rsid w:val="00647141"/>
    <w:rsid w:val="00654670"/>
    <w:rsid w:val="00661DE9"/>
    <w:rsid w:val="00662454"/>
    <w:rsid w:val="006666AD"/>
    <w:rsid w:val="00670F83"/>
    <w:rsid w:val="00671F09"/>
    <w:rsid w:val="00674321"/>
    <w:rsid w:val="006743BC"/>
    <w:rsid w:val="00674E0C"/>
    <w:rsid w:val="006775D4"/>
    <w:rsid w:val="00680944"/>
    <w:rsid w:val="00686B73"/>
    <w:rsid w:val="006919CF"/>
    <w:rsid w:val="006930A5"/>
    <w:rsid w:val="00693AB1"/>
    <w:rsid w:val="00695070"/>
    <w:rsid w:val="00695446"/>
    <w:rsid w:val="00697483"/>
    <w:rsid w:val="00697A8B"/>
    <w:rsid w:val="006A2C7D"/>
    <w:rsid w:val="006A4036"/>
    <w:rsid w:val="006A6580"/>
    <w:rsid w:val="006A6A03"/>
    <w:rsid w:val="006A730C"/>
    <w:rsid w:val="006B0B78"/>
    <w:rsid w:val="006B7074"/>
    <w:rsid w:val="006C0ABA"/>
    <w:rsid w:val="006C180B"/>
    <w:rsid w:val="006D2D60"/>
    <w:rsid w:val="006D3E76"/>
    <w:rsid w:val="006D4BA9"/>
    <w:rsid w:val="006D5FE6"/>
    <w:rsid w:val="006D7553"/>
    <w:rsid w:val="006E0172"/>
    <w:rsid w:val="006F23DD"/>
    <w:rsid w:val="006F280C"/>
    <w:rsid w:val="006F5B1F"/>
    <w:rsid w:val="00701F0D"/>
    <w:rsid w:val="00705D5B"/>
    <w:rsid w:val="00716E28"/>
    <w:rsid w:val="00717408"/>
    <w:rsid w:val="00720B14"/>
    <w:rsid w:val="0072143B"/>
    <w:rsid w:val="007239D6"/>
    <w:rsid w:val="007360BB"/>
    <w:rsid w:val="00744B84"/>
    <w:rsid w:val="00745434"/>
    <w:rsid w:val="007463F2"/>
    <w:rsid w:val="007517E9"/>
    <w:rsid w:val="0075251A"/>
    <w:rsid w:val="0075412F"/>
    <w:rsid w:val="007552E9"/>
    <w:rsid w:val="00760133"/>
    <w:rsid w:val="00760F29"/>
    <w:rsid w:val="00762E1B"/>
    <w:rsid w:val="00762E6E"/>
    <w:rsid w:val="00764A83"/>
    <w:rsid w:val="00764BF8"/>
    <w:rsid w:val="00765300"/>
    <w:rsid w:val="0076675C"/>
    <w:rsid w:val="007757FB"/>
    <w:rsid w:val="007765BF"/>
    <w:rsid w:val="00783749"/>
    <w:rsid w:val="00785828"/>
    <w:rsid w:val="007874DB"/>
    <w:rsid w:val="00787CA8"/>
    <w:rsid w:val="0079209A"/>
    <w:rsid w:val="007954C0"/>
    <w:rsid w:val="007965E7"/>
    <w:rsid w:val="00797CE1"/>
    <w:rsid w:val="007A1D6B"/>
    <w:rsid w:val="007A5031"/>
    <w:rsid w:val="007B112C"/>
    <w:rsid w:val="007B431E"/>
    <w:rsid w:val="007B4E14"/>
    <w:rsid w:val="007B5E5C"/>
    <w:rsid w:val="007B6812"/>
    <w:rsid w:val="007C1E4D"/>
    <w:rsid w:val="007C2967"/>
    <w:rsid w:val="007C61DB"/>
    <w:rsid w:val="007C6F77"/>
    <w:rsid w:val="007C7EE8"/>
    <w:rsid w:val="007D6912"/>
    <w:rsid w:val="007D7B1D"/>
    <w:rsid w:val="007E2FE4"/>
    <w:rsid w:val="007E4C3D"/>
    <w:rsid w:val="007F15D8"/>
    <w:rsid w:val="007F1D3F"/>
    <w:rsid w:val="007F38C1"/>
    <w:rsid w:val="007F6C08"/>
    <w:rsid w:val="00800A23"/>
    <w:rsid w:val="00801D5A"/>
    <w:rsid w:val="00804C4D"/>
    <w:rsid w:val="008123B0"/>
    <w:rsid w:val="008130B6"/>
    <w:rsid w:val="00813F4E"/>
    <w:rsid w:val="00814F18"/>
    <w:rsid w:val="00815224"/>
    <w:rsid w:val="00816B53"/>
    <w:rsid w:val="0081788C"/>
    <w:rsid w:val="00820224"/>
    <w:rsid w:val="00822B9D"/>
    <w:rsid w:val="00822F3B"/>
    <w:rsid w:val="0082334F"/>
    <w:rsid w:val="00823D62"/>
    <w:rsid w:val="008312D4"/>
    <w:rsid w:val="00833F47"/>
    <w:rsid w:val="00837FE5"/>
    <w:rsid w:val="00840982"/>
    <w:rsid w:val="008417C1"/>
    <w:rsid w:val="008419F8"/>
    <w:rsid w:val="008449D6"/>
    <w:rsid w:val="00844C8F"/>
    <w:rsid w:val="008471F1"/>
    <w:rsid w:val="0085283D"/>
    <w:rsid w:val="00855A2B"/>
    <w:rsid w:val="00857813"/>
    <w:rsid w:val="00862DAD"/>
    <w:rsid w:val="0086512C"/>
    <w:rsid w:val="008674AD"/>
    <w:rsid w:val="00872250"/>
    <w:rsid w:val="00880A9D"/>
    <w:rsid w:val="008959E7"/>
    <w:rsid w:val="00896F5A"/>
    <w:rsid w:val="0089773A"/>
    <w:rsid w:val="008A1CC0"/>
    <w:rsid w:val="008A7C6D"/>
    <w:rsid w:val="008B3C32"/>
    <w:rsid w:val="008B5DD0"/>
    <w:rsid w:val="008B6631"/>
    <w:rsid w:val="008C0D90"/>
    <w:rsid w:val="008C1963"/>
    <w:rsid w:val="008C3F42"/>
    <w:rsid w:val="008C5A45"/>
    <w:rsid w:val="008C5DE2"/>
    <w:rsid w:val="008E0705"/>
    <w:rsid w:val="008E0BFF"/>
    <w:rsid w:val="008E1749"/>
    <w:rsid w:val="008E3269"/>
    <w:rsid w:val="008F003A"/>
    <w:rsid w:val="008F0E55"/>
    <w:rsid w:val="008F2933"/>
    <w:rsid w:val="008F2BC5"/>
    <w:rsid w:val="008F6F04"/>
    <w:rsid w:val="00901873"/>
    <w:rsid w:val="00905B6B"/>
    <w:rsid w:val="00905FE8"/>
    <w:rsid w:val="00910A8F"/>
    <w:rsid w:val="00911B4D"/>
    <w:rsid w:val="009143FF"/>
    <w:rsid w:val="009305D4"/>
    <w:rsid w:val="00930F93"/>
    <w:rsid w:val="009318E6"/>
    <w:rsid w:val="00932AAB"/>
    <w:rsid w:val="00933123"/>
    <w:rsid w:val="00935F35"/>
    <w:rsid w:val="0094333C"/>
    <w:rsid w:val="0094551F"/>
    <w:rsid w:val="009461EB"/>
    <w:rsid w:val="00951170"/>
    <w:rsid w:val="00953A95"/>
    <w:rsid w:val="009578DA"/>
    <w:rsid w:val="009616D6"/>
    <w:rsid w:val="0096227E"/>
    <w:rsid w:val="009752B7"/>
    <w:rsid w:val="00977DDF"/>
    <w:rsid w:val="009855D0"/>
    <w:rsid w:val="00991CD9"/>
    <w:rsid w:val="00993954"/>
    <w:rsid w:val="00996D2E"/>
    <w:rsid w:val="009A048B"/>
    <w:rsid w:val="009A1C13"/>
    <w:rsid w:val="009A5DD9"/>
    <w:rsid w:val="009A6133"/>
    <w:rsid w:val="009B11B2"/>
    <w:rsid w:val="009B2E8F"/>
    <w:rsid w:val="009B3A10"/>
    <w:rsid w:val="009B490C"/>
    <w:rsid w:val="009B6609"/>
    <w:rsid w:val="009B7C35"/>
    <w:rsid w:val="009C2C6E"/>
    <w:rsid w:val="009C6587"/>
    <w:rsid w:val="009C6594"/>
    <w:rsid w:val="009C7036"/>
    <w:rsid w:val="009C7695"/>
    <w:rsid w:val="009C7B7F"/>
    <w:rsid w:val="009D0A39"/>
    <w:rsid w:val="009D0DA4"/>
    <w:rsid w:val="009D3DF0"/>
    <w:rsid w:val="009D759F"/>
    <w:rsid w:val="009E1F11"/>
    <w:rsid w:val="009E245E"/>
    <w:rsid w:val="009E2F3E"/>
    <w:rsid w:val="009E42E4"/>
    <w:rsid w:val="009E4916"/>
    <w:rsid w:val="009F08AF"/>
    <w:rsid w:val="009F0E39"/>
    <w:rsid w:val="009F3C16"/>
    <w:rsid w:val="009F7871"/>
    <w:rsid w:val="00A00CD7"/>
    <w:rsid w:val="00A032F5"/>
    <w:rsid w:val="00A0469A"/>
    <w:rsid w:val="00A0760F"/>
    <w:rsid w:val="00A1222C"/>
    <w:rsid w:val="00A128B6"/>
    <w:rsid w:val="00A134F7"/>
    <w:rsid w:val="00A13ED2"/>
    <w:rsid w:val="00A15BD9"/>
    <w:rsid w:val="00A174C4"/>
    <w:rsid w:val="00A20A07"/>
    <w:rsid w:val="00A22594"/>
    <w:rsid w:val="00A25245"/>
    <w:rsid w:val="00A31103"/>
    <w:rsid w:val="00A3176A"/>
    <w:rsid w:val="00A43354"/>
    <w:rsid w:val="00A43F19"/>
    <w:rsid w:val="00A45838"/>
    <w:rsid w:val="00A55BFD"/>
    <w:rsid w:val="00A56556"/>
    <w:rsid w:val="00A569B6"/>
    <w:rsid w:val="00A57074"/>
    <w:rsid w:val="00A57ACB"/>
    <w:rsid w:val="00A61901"/>
    <w:rsid w:val="00A708FA"/>
    <w:rsid w:val="00A72105"/>
    <w:rsid w:val="00A75990"/>
    <w:rsid w:val="00A77DD7"/>
    <w:rsid w:val="00A812D4"/>
    <w:rsid w:val="00A82EE1"/>
    <w:rsid w:val="00A83A4A"/>
    <w:rsid w:val="00A84500"/>
    <w:rsid w:val="00A85FC4"/>
    <w:rsid w:val="00A8793F"/>
    <w:rsid w:val="00A91B52"/>
    <w:rsid w:val="00A951DB"/>
    <w:rsid w:val="00A967F3"/>
    <w:rsid w:val="00AA3D2B"/>
    <w:rsid w:val="00AA65E3"/>
    <w:rsid w:val="00AB03B2"/>
    <w:rsid w:val="00AB0487"/>
    <w:rsid w:val="00AB1AF0"/>
    <w:rsid w:val="00AB503A"/>
    <w:rsid w:val="00AC2A15"/>
    <w:rsid w:val="00AC54EC"/>
    <w:rsid w:val="00AC5882"/>
    <w:rsid w:val="00AC7597"/>
    <w:rsid w:val="00AC7AA7"/>
    <w:rsid w:val="00AC7B62"/>
    <w:rsid w:val="00AD606C"/>
    <w:rsid w:val="00AD6C46"/>
    <w:rsid w:val="00AE0560"/>
    <w:rsid w:val="00AE1992"/>
    <w:rsid w:val="00AE2B73"/>
    <w:rsid w:val="00AE35F2"/>
    <w:rsid w:val="00AF1E5E"/>
    <w:rsid w:val="00AF56C8"/>
    <w:rsid w:val="00AF5AFD"/>
    <w:rsid w:val="00AF779F"/>
    <w:rsid w:val="00B04910"/>
    <w:rsid w:val="00B062D2"/>
    <w:rsid w:val="00B12B8A"/>
    <w:rsid w:val="00B14FA6"/>
    <w:rsid w:val="00B1712D"/>
    <w:rsid w:val="00B17783"/>
    <w:rsid w:val="00B208F6"/>
    <w:rsid w:val="00B21C0B"/>
    <w:rsid w:val="00B25713"/>
    <w:rsid w:val="00B2646C"/>
    <w:rsid w:val="00B32CA6"/>
    <w:rsid w:val="00B34269"/>
    <w:rsid w:val="00B34494"/>
    <w:rsid w:val="00B350AE"/>
    <w:rsid w:val="00B45363"/>
    <w:rsid w:val="00B45F31"/>
    <w:rsid w:val="00B513FB"/>
    <w:rsid w:val="00B5164B"/>
    <w:rsid w:val="00B54183"/>
    <w:rsid w:val="00B552D1"/>
    <w:rsid w:val="00B558AE"/>
    <w:rsid w:val="00B5674A"/>
    <w:rsid w:val="00B56E76"/>
    <w:rsid w:val="00B60261"/>
    <w:rsid w:val="00B62D47"/>
    <w:rsid w:val="00B63312"/>
    <w:rsid w:val="00B64854"/>
    <w:rsid w:val="00B7107D"/>
    <w:rsid w:val="00B746E6"/>
    <w:rsid w:val="00B77E3D"/>
    <w:rsid w:val="00B77F0A"/>
    <w:rsid w:val="00B80CE0"/>
    <w:rsid w:val="00B83FAD"/>
    <w:rsid w:val="00B85035"/>
    <w:rsid w:val="00B8545A"/>
    <w:rsid w:val="00B85B89"/>
    <w:rsid w:val="00B87848"/>
    <w:rsid w:val="00B92856"/>
    <w:rsid w:val="00B94EB2"/>
    <w:rsid w:val="00B9564D"/>
    <w:rsid w:val="00B97B41"/>
    <w:rsid w:val="00BA0B5B"/>
    <w:rsid w:val="00BA29D6"/>
    <w:rsid w:val="00BA2AD5"/>
    <w:rsid w:val="00BA33B5"/>
    <w:rsid w:val="00BA4B76"/>
    <w:rsid w:val="00BB2714"/>
    <w:rsid w:val="00BB4D43"/>
    <w:rsid w:val="00BB505B"/>
    <w:rsid w:val="00BB535D"/>
    <w:rsid w:val="00BB74A5"/>
    <w:rsid w:val="00BB769C"/>
    <w:rsid w:val="00BC0AFE"/>
    <w:rsid w:val="00BC0E29"/>
    <w:rsid w:val="00BD6282"/>
    <w:rsid w:val="00BD787A"/>
    <w:rsid w:val="00BE386F"/>
    <w:rsid w:val="00BE52D6"/>
    <w:rsid w:val="00BE52E1"/>
    <w:rsid w:val="00BF0E50"/>
    <w:rsid w:val="00BF37A2"/>
    <w:rsid w:val="00C02F8D"/>
    <w:rsid w:val="00C030C7"/>
    <w:rsid w:val="00C04B58"/>
    <w:rsid w:val="00C0634F"/>
    <w:rsid w:val="00C06C5D"/>
    <w:rsid w:val="00C11183"/>
    <w:rsid w:val="00C130FB"/>
    <w:rsid w:val="00C13576"/>
    <w:rsid w:val="00C13F89"/>
    <w:rsid w:val="00C15551"/>
    <w:rsid w:val="00C16067"/>
    <w:rsid w:val="00C275C7"/>
    <w:rsid w:val="00C31BFC"/>
    <w:rsid w:val="00C34EDB"/>
    <w:rsid w:val="00C34F52"/>
    <w:rsid w:val="00C36081"/>
    <w:rsid w:val="00C37C01"/>
    <w:rsid w:val="00C42F23"/>
    <w:rsid w:val="00C5116F"/>
    <w:rsid w:val="00C51F95"/>
    <w:rsid w:val="00C5390E"/>
    <w:rsid w:val="00C53F24"/>
    <w:rsid w:val="00C5440F"/>
    <w:rsid w:val="00C55D07"/>
    <w:rsid w:val="00C55F0A"/>
    <w:rsid w:val="00C60AE5"/>
    <w:rsid w:val="00C611CF"/>
    <w:rsid w:val="00C649B8"/>
    <w:rsid w:val="00C64CCA"/>
    <w:rsid w:val="00C65283"/>
    <w:rsid w:val="00C70A06"/>
    <w:rsid w:val="00C70B7C"/>
    <w:rsid w:val="00C74ACD"/>
    <w:rsid w:val="00C84332"/>
    <w:rsid w:val="00C846BC"/>
    <w:rsid w:val="00C90E4D"/>
    <w:rsid w:val="00C92AEC"/>
    <w:rsid w:val="00C940BF"/>
    <w:rsid w:val="00C969C0"/>
    <w:rsid w:val="00C96E3B"/>
    <w:rsid w:val="00CA28D8"/>
    <w:rsid w:val="00CA5128"/>
    <w:rsid w:val="00CA7831"/>
    <w:rsid w:val="00CA79A1"/>
    <w:rsid w:val="00CB2271"/>
    <w:rsid w:val="00CB24C7"/>
    <w:rsid w:val="00CB6635"/>
    <w:rsid w:val="00CC5877"/>
    <w:rsid w:val="00CD06DC"/>
    <w:rsid w:val="00CD0A0B"/>
    <w:rsid w:val="00CE031D"/>
    <w:rsid w:val="00CE2A99"/>
    <w:rsid w:val="00CE5143"/>
    <w:rsid w:val="00CE5440"/>
    <w:rsid w:val="00CE6284"/>
    <w:rsid w:val="00CF5183"/>
    <w:rsid w:val="00CF5E7D"/>
    <w:rsid w:val="00CF6737"/>
    <w:rsid w:val="00CF7E62"/>
    <w:rsid w:val="00D00EAA"/>
    <w:rsid w:val="00D125C7"/>
    <w:rsid w:val="00D13CA0"/>
    <w:rsid w:val="00D15BE0"/>
    <w:rsid w:val="00D15DA8"/>
    <w:rsid w:val="00D3031C"/>
    <w:rsid w:val="00D41F75"/>
    <w:rsid w:val="00D42FCD"/>
    <w:rsid w:val="00D44C15"/>
    <w:rsid w:val="00D56126"/>
    <w:rsid w:val="00D60175"/>
    <w:rsid w:val="00D60488"/>
    <w:rsid w:val="00D63D2E"/>
    <w:rsid w:val="00D660CB"/>
    <w:rsid w:val="00D670CE"/>
    <w:rsid w:val="00D70239"/>
    <w:rsid w:val="00D718E5"/>
    <w:rsid w:val="00D73B2E"/>
    <w:rsid w:val="00D7481C"/>
    <w:rsid w:val="00D767FB"/>
    <w:rsid w:val="00D841B8"/>
    <w:rsid w:val="00D870CB"/>
    <w:rsid w:val="00D918AD"/>
    <w:rsid w:val="00D9351F"/>
    <w:rsid w:val="00DA2E58"/>
    <w:rsid w:val="00DA5FBC"/>
    <w:rsid w:val="00DA6169"/>
    <w:rsid w:val="00DB4A72"/>
    <w:rsid w:val="00DB521F"/>
    <w:rsid w:val="00DB6F3B"/>
    <w:rsid w:val="00DC2BC6"/>
    <w:rsid w:val="00DC372E"/>
    <w:rsid w:val="00DC7646"/>
    <w:rsid w:val="00DD0021"/>
    <w:rsid w:val="00DD396E"/>
    <w:rsid w:val="00DE11BA"/>
    <w:rsid w:val="00DE316F"/>
    <w:rsid w:val="00DE37D5"/>
    <w:rsid w:val="00DE536D"/>
    <w:rsid w:val="00DE594E"/>
    <w:rsid w:val="00DF0B06"/>
    <w:rsid w:val="00E002DD"/>
    <w:rsid w:val="00E00BA7"/>
    <w:rsid w:val="00E03DA3"/>
    <w:rsid w:val="00E0419A"/>
    <w:rsid w:val="00E05466"/>
    <w:rsid w:val="00E11ECF"/>
    <w:rsid w:val="00E15AE8"/>
    <w:rsid w:val="00E167D5"/>
    <w:rsid w:val="00E1727E"/>
    <w:rsid w:val="00E23631"/>
    <w:rsid w:val="00E26063"/>
    <w:rsid w:val="00E319C2"/>
    <w:rsid w:val="00E34DB9"/>
    <w:rsid w:val="00E373D1"/>
    <w:rsid w:val="00E37BDF"/>
    <w:rsid w:val="00E41600"/>
    <w:rsid w:val="00E43205"/>
    <w:rsid w:val="00E449C3"/>
    <w:rsid w:val="00E44A64"/>
    <w:rsid w:val="00E50EE8"/>
    <w:rsid w:val="00E51AC9"/>
    <w:rsid w:val="00E51BC3"/>
    <w:rsid w:val="00E56308"/>
    <w:rsid w:val="00E61EC3"/>
    <w:rsid w:val="00E63D10"/>
    <w:rsid w:val="00E640A6"/>
    <w:rsid w:val="00E66413"/>
    <w:rsid w:val="00E664E2"/>
    <w:rsid w:val="00E67900"/>
    <w:rsid w:val="00E67F2E"/>
    <w:rsid w:val="00E70C2F"/>
    <w:rsid w:val="00E738A8"/>
    <w:rsid w:val="00E76A5B"/>
    <w:rsid w:val="00E76D29"/>
    <w:rsid w:val="00E772B2"/>
    <w:rsid w:val="00E80599"/>
    <w:rsid w:val="00E80D90"/>
    <w:rsid w:val="00E8673D"/>
    <w:rsid w:val="00E86FBA"/>
    <w:rsid w:val="00E93287"/>
    <w:rsid w:val="00E97BCE"/>
    <w:rsid w:val="00EA3F81"/>
    <w:rsid w:val="00EA5465"/>
    <w:rsid w:val="00EA5B52"/>
    <w:rsid w:val="00EB1291"/>
    <w:rsid w:val="00EB5681"/>
    <w:rsid w:val="00EB5CBF"/>
    <w:rsid w:val="00EC6691"/>
    <w:rsid w:val="00ED1B17"/>
    <w:rsid w:val="00ED69FE"/>
    <w:rsid w:val="00ED752F"/>
    <w:rsid w:val="00EE4608"/>
    <w:rsid w:val="00EF35EF"/>
    <w:rsid w:val="00EF3EAD"/>
    <w:rsid w:val="00EF7D84"/>
    <w:rsid w:val="00F0058E"/>
    <w:rsid w:val="00F01B28"/>
    <w:rsid w:val="00F01DF9"/>
    <w:rsid w:val="00F02DE0"/>
    <w:rsid w:val="00F035D0"/>
    <w:rsid w:val="00F052F8"/>
    <w:rsid w:val="00F06313"/>
    <w:rsid w:val="00F06765"/>
    <w:rsid w:val="00F10662"/>
    <w:rsid w:val="00F155AD"/>
    <w:rsid w:val="00F15769"/>
    <w:rsid w:val="00F178A8"/>
    <w:rsid w:val="00F21D60"/>
    <w:rsid w:val="00F22714"/>
    <w:rsid w:val="00F22BAA"/>
    <w:rsid w:val="00F2782B"/>
    <w:rsid w:val="00F27F2C"/>
    <w:rsid w:val="00F305B3"/>
    <w:rsid w:val="00F311DD"/>
    <w:rsid w:val="00F32B41"/>
    <w:rsid w:val="00F34BF8"/>
    <w:rsid w:val="00F414FF"/>
    <w:rsid w:val="00F41B6B"/>
    <w:rsid w:val="00F41DD7"/>
    <w:rsid w:val="00F45699"/>
    <w:rsid w:val="00F60A53"/>
    <w:rsid w:val="00F61A56"/>
    <w:rsid w:val="00F628F4"/>
    <w:rsid w:val="00F64F17"/>
    <w:rsid w:val="00F652A7"/>
    <w:rsid w:val="00F717DC"/>
    <w:rsid w:val="00F73505"/>
    <w:rsid w:val="00F73683"/>
    <w:rsid w:val="00F83A45"/>
    <w:rsid w:val="00F84D75"/>
    <w:rsid w:val="00F85DE2"/>
    <w:rsid w:val="00F90571"/>
    <w:rsid w:val="00FA02E6"/>
    <w:rsid w:val="00FA0F0E"/>
    <w:rsid w:val="00FA1604"/>
    <w:rsid w:val="00FA2F9E"/>
    <w:rsid w:val="00FA3496"/>
    <w:rsid w:val="00FA5BE7"/>
    <w:rsid w:val="00FA63B2"/>
    <w:rsid w:val="00FB0354"/>
    <w:rsid w:val="00FB0F9F"/>
    <w:rsid w:val="00FB234B"/>
    <w:rsid w:val="00FB24BC"/>
    <w:rsid w:val="00FB62FD"/>
    <w:rsid w:val="00FC3E9B"/>
    <w:rsid w:val="00FC42E0"/>
    <w:rsid w:val="00FC7652"/>
    <w:rsid w:val="00FD0DFF"/>
    <w:rsid w:val="00FD2694"/>
    <w:rsid w:val="00FD377B"/>
    <w:rsid w:val="00FD3EBB"/>
    <w:rsid w:val="00FD414B"/>
    <w:rsid w:val="00FD4302"/>
    <w:rsid w:val="00FD7086"/>
    <w:rsid w:val="00FD74E1"/>
    <w:rsid w:val="00FE179E"/>
    <w:rsid w:val="00FE28D3"/>
    <w:rsid w:val="00FE6C4A"/>
    <w:rsid w:val="00FF1C02"/>
    <w:rsid w:val="00FF508A"/>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C46DD0AD-6EC5-4AB1-AD9B-024C7741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uiPriority w:val="99"/>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Pub"/>
    <w:basedOn w:val="DefaultParagraphFont"/>
    <w:qForma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276B4C"/>
    <w:pPr>
      <w:suppressAutoHyphens w:val="0"/>
      <w:spacing w:line="240" w:lineRule="auto"/>
    </w:pPr>
    <w:rPr>
      <w:sz w:val="22"/>
      <w:szCs w:val="24"/>
    </w:rPr>
  </w:style>
  <w:style w:type="paragraph" w:customStyle="1" w:styleId="Num-DocParagraph">
    <w:name w:val="Num-Doc Paragraph"/>
    <w:basedOn w:val="BodyText"/>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nhideWhenUsed/>
    <w:rsid w:val="00276B4C"/>
    <w:pPr>
      <w:spacing w:after="120"/>
    </w:pPr>
  </w:style>
  <w:style w:type="character" w:customStyle="1" w:styleId="BodyTextChar">
    <w:name w:val="Body Text Char"/>
    <w:basedOn w:val="DefaultParagraphFont"/>
    <w:link w:val="BodyText"/>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semiHidden/>
    <w:unhideWhenUsed/>
    <w:rsid w:val="00276B4C"/>
    <w:rPr>
      <w:b/>
      <w:bCs/>
    </w:rPr>
  </w:style>
  <w:style w:type="character" w:customStyle="1" w:styleId="CommentSubjectChar">
    <w:name w:val="Comment Subject Char"/>
    <w:basedOn w:val="CommentTextChar"/>
    <w:link w:val="CommentSubject"/>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nhideWhenUsed/>
    <w:rsid w:val="00C5390E"/>
    <w:pPr>
      <w:spacing w:line="240" w:lineRule="auto"/>
      <w:ind w:left="200" w:hanging="200"/>
    </w:pPr>
  </w:style>
  <w:style w:type="paragraph" w:styleId="IndexHeading">
    <w:name w:val="index heading"/>
    <w:basedOn w:val="Normal"/>
    <w:next w:val="Index1"/>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link w:val="ListParagraphChar"/>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character" w:customStyle="1" w:styleId="ListParagraphChar">
    <w:name w:val="List Paragraph Char"/>
    <w:basedOn w:val="DefaultParagraphFont"/>
    <w:link w:val="ListParagraph"/>
    <w:uiPriority w:val="34"/>
    <w:locked/>
    <w:rsid w:val="00507870"/>
    <w:rPr>
      <w:rFonts w:eastAsia="Times New Roman"/>
      <w:sz w:val="24"/>
      <w:szCs w:val="24"/>
      <w:lang w:val="en-US" w:eastAsia="en-US"/>
    </w:rPr>
  </w:style>
  <w:style w:type="paragraph" w:customStyle="1" w:styleId="ParNoG">
    <w:name w:val="_ParNo_G"/>
    <w:basedOn w:val="SingleTxtG"/>
    <w:qFormat/>
    <w:rsid w:val="00670F83"/>
    <w:pPr>
      <w:numPr>
        <w:numId w:val="5"/>
      </w:numPr>
      <w:suppressAutoHyphens w:val="0"/>
    </w:pPr>
    <w:rPr>
      <w:lang w:eastAsia="zh-CN"/>
    </w:rPr>
  </w:style>
  <w:style w:type="numbering" w:styleId="111111">
    <w:name w:val="Outline List 2"/>
    <w:basedOn w:val="NoList"/>
    <w:semiHidden/>
    <w:rsid w:val="00670F83"/>
    <w:pPr>
      <w:numPr>
        <w:numId w:val="3"/>
      </w:numPr>
    </w:pPr>
  </w:style>
  <w:style w:type="numbering" w:styleId="1ai">
    <w:name w:val="Outline List 1"/>
    <w:basedOn w:val="NoList"/>
    <w:semiHidden/>
    <w:rsid w:val="00670F83"/>
    <w:pPr>
      <w:numPr>
        <w:numId w:val="4"/>
      </w:numPr>
    </w:pPr>
  </w:style>
  <w:style w:type="character" w:customStyle="1" w:styleId="StyleBold">
    <w:name w:val="Style Bold"/>
    <w:rsid w:val="00670F83"/>
    <w:rPr>
      <w:rFonts w:ascii="Times New Roman" w:hAnsi="Times New Roman" w:cs="Times New Roman" w:hint="default"/>
      <w:b/>
      <w:bCs/>
    </w:rPr>
  </w:style>
  <w:style w:type="character" w:customStyle="1" w:styleId="StyleItalic">
    <w:name w:val="Style Italic"/>
    <w:rsid w:val="00670F83"/>
    <w:rPr>
      <w:rFonts w:ascii="Times New Roman" w:hAnsi="Times New Roman"/>
      <w:i/>
      <w:iCs/>
    </w:rPr>
  </w:style>
  <w:style w:type="paragraph" w:styleId="BodyTextIndent">
    <w:name w:val="Body Text Indent"/>
    <w:basedOn w:val="Normal"/>
    <w:link w:val="BodyTextIndentChar"/>
    <w:unhideWhenUsed/>
    <w:rsid w:val="00670F83"/>
    <w:pPr>
      <w:spacing w:after="120"/>
      <w:ind w:left="283"/>
    </w:pPr>
  </w:style>
  <w:style w:type="character" w:customStyle="1" w:styleId="BodyTextIndentChar">
    <w:name w:val="Body Text Indent Char"/>
    <w:basedOn w:val="DefaultParagraphFont"/>
    <w:link w:val="BodyTextIndent"/>
    <w:rsid w:val="00670F83"/>
    <w:rPr>
      <w:rFonts w:eastAsia="Times New Roman"/>
      <w:lang w:eastAsia="en-US"/>
    </w:rPr>
  </w:style>
  <w:style w:type="paragraph" w:styleId="BodyText3">
    <w:name w:val="Body Text 3"/>
    <w:basedOn w:val="Normal"/>
    <w:link w:val="BodyText3Char"/>
    <w:uiPriority w:val="99"/>
    <w:rsid w:val="00670F83"/>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uiPriority w:val="99"/>
    <w:rsid w:val="00670F83"/>
    <w:rPr>
      <w:rFonts w:eastAsia="Times New Roman"/>
      <w:color w:val="000000"/>
      <w:sz w:val="22"/>
      <w:lang w:eastAsia="fr-FR"/>
    </w:rPr>
  </w:style>
  <w:style w:type="paragraph" w:styleId="BodyText2">
    <w:name w:val="Body Text 2"/>
    <w:basedOn w:val="Normal"/>
    <w:link w:val="BodyText2Char"/>
    <w:rsid w:val="00670F83"/>
    <w:pPr>
      <w:suppressAutoHyphens w:val="0"/>
      <w:autoSpaceDE w:val="0"/>
      <w:autoSpaceDN w:val="0"/>
      <w:adjustRightInd w:val="0"/>
      <w:spacing w:after="120" w:line="480" w:lineRule="auto"/>
    </w:pPr>
    <w:rPr>
      <w:rFonts w:ascii="CG Times" w:hAnsi="CG Times"/>
      <w:lang w:val="fr-FR" w:eastAsia="fr-FR"/>
    </w:rPr>
  </w:style>
  <w:style w:type="character" w:customStyle="1" w:styleId="BodyText2Char">
    <w:name w:val="Body Text 2 Char"/>
    <w:basedOn w:val="DefaultParagraphFont"/>
    <w:link w:val="BodyText2"/>
    <w:rsid w:val="00670F83"/>
    <w:rPr>
      <w:rFonts w:ascii="CG Times" w:eastAsia="Times New Roman" w:hAnsi="CG Times"/>
      <w:lang w:val="fr-FR" w:eastAsia="fr-FR"/>
    </w:rPr>
  </w:style>
  <w:style w:type="paragraph" w:styleId="BodyTextIndent2">
    <w:name w:val="Body Text Indent 2"/>
    <w:basedOn w:val="Normal"/>
    <w:link w:val="BodyTextIndent2Char"/>
    <w:rsid w:val="00670F83"/>
    <w:pPr>
      <w:tabs>
        <w:tab w:val="left" w:pos="-722"/>
        <w:tab w:val="left" w:pos="718"/>
        <w:tab w:val="left" w:pos="1438"/>
        <w:tab w:val="left" w:pos="1701"/>
        <w:tab w:val="left" w:pos="2268"/>
        <w:tab w:val="left" w:pos="2719"/>
        <w:tab w:val="left" w:pos="2835"/>
        <w:tab w:val="left" w:pos="3402"/>
        <w:tab w:val="left" w:leader="dot" w:pos="8729"/>
        <w:tab w:val="center" w:pos="9409"/>
      </w:tabs>
      <w:suppressAutoHyphens w:val="0"/>
      <w:spacing w:line="240" w:lineRule="auto"/>
      <w:ind w:left="2154" w:hanging="1436"/>
      <w:jc w:val="both"/>
    </w:pPr>
    <w:rPr>
      <w:color w:val="000000"/>
      <w:sz w:val="22"/>
      <w:szCs w:val="24"/>
    </w:rPr>
  </w:style>
  <w:style w:type="character" w:customStyle="1" w:styleId="BodyTextIndent2Char">
    <w:name w:val="Body Text Indent 2 Char"/>
    <w:basedOn w:val="DefaultParagraphFont"/>
    <w:link w:val="BodyTextIndent2"/>
    <w:rsid w:val="00670F83"/>
    <w:rPr>
      <w:rFonts w:eastAsia="Times New Roman"/>
      <w:color w:val="000000"/>
      <w:sz w:val="22"/>
      <w:szCs w:val="24"/>
      <w:lang w:eastAsia="en-US"/>
    </w:rPr>
  </w:style>
  <w:style w:type="paragraph" w:styleId="BodyTextIndent3">
    <w:name w:val="Body Text Indent 3"/>
    <w:basedOn w:val="Normal"/>
    <w:link w:val="BodyTextIndent3Char"/>
    <w:rsid w:val="00670F83"/>
    <w:pPr>
      <w:suppressAutoHyphens w:val="0"/>
      <w:spacing w:line="240" w:lineRule="auto"/>
      <w:ind w:left="550"/>
      <w:jc w:val="both"/>
    </w:pPr>
    <w:rPr>
      <w:sz w:val="22"/>
      <w:szCs w:val="24"/>
    </w:rPr>
  </w:style>
  <w:style w:type="character" w:customStyle="1" w:styleId="BodyTextIndent3Char">
    <w:name w:val="Body Text Indent 3 Char"/>
    <w:basedOn w:val="DefaultParagraphFont"/>
    <w:link w:val="BodyTextIndent3"/>
    <w:rsid w:val="00670F83"/>
    <w:rPr>
      <w:rFonts w:eastAsia="Times New Roman"/>
      <w:sz w:val="22"/>
      <w:szCs w:val="24"/>
      <w:lang w:eastAsia="en-US"/>
    </w:rPr>
  </w:style>
  <w:style w:type="paragraph" w:customStyle="1" w:styleId="GHSHeading1">
    <w:name w:val="GHSHeading1"/>
    <w:basedOn w:val="Normal"/>
    <w:link w:val="GHSHeading1Char"/>
    <w:rsid w:val="00670F83"/>
    <w:pPr>
      <w:tabs>
        <w:tab w:val="left" w:pos="1134"/>
        <w:tab w:val="left" w:pos="1425"/>
        <w:tab w:val="left" w:pos="1701"/>
        <w:tab w:val="left" w:pos="2268"/>
        <w:tab w:val="left" w:pos="2835"/>
        <w:tab w:val="left" w:pos="3402"/>
      </w:tabs>
      <w:suppressAutoHyphens w:val="0"/>
      <w:autoSpaceDE w:val="0"/>
      <w:autoSpaceDN w:val="0"/>
      <w:adjustRightInd w:val="0"/>
      <w:spacing w:line="240" w:lineRule="auto"/>
      <w:jc w:val="center"/>
    </w:pPr>
    <w:rPr>
      <w:b/>
      <w:bCs/>
      <w:color w:val="000000"/>
      <w:sz w:val="56"/>
      <w:szCs w:val="56"/>
      <w:lang w:eastAsia="fr-FR"/>
    </w:rPr>
  </w:style>
  <w:style w:type="paragraph" w:styleId="BlockText">
    <w:name w:val="Block Text"/>
    <w:basedOn w:val="Normal"/>
    <w:uiPriority w:val="99"/>
    <w:rsid w:val="00670F83"/>
    <w:pPr>
      <w:suppressAutoHyphens w:val="0"/>
      <w:spacing w:line="240" w:lineRule="auto"/>
      <w:ind w:left="1440" w:right="720"/>
    </w:pPr>
    <w:rPr>
      <w:sz w:val="22"/>
    </w:rPr>
  </w:style>
  <w:style w:type="paragraph" w:customStyle="1" w:styleId="DefaultText">
    <w:name w:val="Default Text"/>
    <w:basedOn w:val="Normal"/>
    <w:rsid w:val="00670F83"/>
    <w:pPr>
      <w:tabs>
        <w:tab w:val="left" w:pos="0"/>
      </w:tabs>
      <w:suppressAutoHyphens w:val="0"/>
      <w:spacing w:line="240" w:lineRule="auto"/>
    </w:pPr>
    <w:rPr>
      <w:sz w:val="22"/>
    </w:rPr>
  </w:style>
  <w:style w:type="paragraph" w:customStyle="1" w:styleId="NumDocPara">
    <w:name w:val="Num©Doc Para"/>
    <w:basedOn w:val="Normal"/>
    <w:rsid w:val="00670F83"/>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customStyle="1" w:styleId="Style0">
    <w:name w:val="Style0"/>
    <w:rsid w:val="00670F83"/>
    <w:rPr>
      <w:rFonts w:ascii="Arial" w:eastAsia="Times New Roman" w:hAnsi="Arial"/>
      <w:snapToGrid w:val="0"/>
      <w:sz w:val="24"/>
      <w:lang w:eastAsia="en-US"/>
    </w:rPr>
  </w:style>
  <w:style w:type="paragraph" w:customStyle="1" w:styleId="Level1">
    <w:name w:val="Level 1"/>
    <w:basedOn w:val="Normal"/>
    <w:rsid w:val="00670F83"/>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uppressAutoHyphens w:val="0"/>
      <w:spacing w:line="240" w:lineRule="auto"/>
      <w:ind w:left="1080" w:hanging="720"/>
    </w:pPr>
    <w:rPr>
      <w:snapToGrid w:val="0"/>
      <w:sz w:val="24"/>
    </w:rPr>
  </w:style>
  <w:style w:type="paragraph" w:customStyle="1" w:styleId="Textedebulles">
    <w:name w:val="Texte de bulles"/>
    <w:basedOn w:val="Normal"/>
    <w:semiHidden/>
    <w:rsid w:val="00670F83"/>
    <w:pPr>
      <w:suppressAutoHyphens w:val="0"/>
      <w:spacing w:line="240" w:lineRule="auto"/>
    </w:pPr>
    <w:rPr>
      <w:rFonts w:ascii="Tahoma" w:hAnsi="Tahoma" w:cs="Tahoma"/>
      <w:sz w:val="16"/>
      <w:szCs w:val="16"/>
    </w:rPr>
  </w:style>
  <w:style w:type="character" w:customStyle="1" w:styleId="NormalcentrCar">
    <w:name w:val="Normal centré Car"/>
    <w:rsid w:val="00670F83"/>
    <w:rPr>
      <w:sz w:val="22"/>
      <w:lang w:val="en-GB" w:eastAsia="en-US" w:bidi="ar-SA"/>
    </w:rPr>
  </w:style>
  <w:style w:type="paragraph" w:customStyle="1" w:styleId="GHSHeading2">
    <w:name w:val="GHSHeading2"/>
    <w:basedOn w:val="Normal"/>
    <w:rsid w:val="00670F83"/>
    <w:pPr>
      <w:suppressAutoHyphens w:val="0"/>
      <w:autoSpaceDE w:val="0"/>
      <w:autoSpaceDN w:val="0"/>
      <w:adjustRightInd w:val="0"/>
      <w:spacing w:after="240" w:line="240" w:lineRule="auto"/>
      <w:jc w:val="center"/>
    </w:pPr>
    <w:rPr>
      <w:b/>
      <w:bCs/>
      <w:color w:val="000000"/>
      <w:szCs w:val="28"/>
      <w:lang w:eastAsia="fr-FR"/>
    </w:rPr>
  </w:style>
  <w:style w:type="paragraph" w:customStyle="1" w:styleId="GHSFootnotetext">
    <w:name w:val="GHSFootnotetext"/>
    <w:basedOn w:val="Normal"/>
    <w:link w:val="GHSFootnotetextChar"/>
    <w:rsid w:val="00670F83"/>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6">
    <w:name w:val="GHSHeading6"/>
    <w:basedOn w:val="Normal"/>
    <w:rsid w:val="00670F83"/>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color w:val="000000"/>
      <w:sz w:val="22"/>
      <w:szCs w:val="22"/>
      <w:lang w:eastAsia="fr-FR"/>
    </w:rPr>
  </w:style>
  <w:style w:type="character" w:styleId="Strong">
    <w:name w:val="Strong"/>
    <w:qFormat/>
    <w:rsid w:val="00670F83"/>
    <w:rPr>
      <w:b/>
      <w:bCs/>
    </w:rPr>
  </w:style>
  <w:style w:type="paragraph" w:styleId="ListBullet">
    <w:name w:val="List Bullet"/>
    <w:basedOn w:val="Normal"/>
    <w:autoRedefine/>
    <w:rsid w:val="00670F83"/>
    <w:pPr>
      <w:tabs>
        <w:tab w:val="num" w:pos="360"/>
      </w:tabs>
      <w:suppressAutoHyphens w:val="0"/>
      <w:spacing w:line="240" w:lineRule="auto"/>
      <w:ind w:left="360" w:hanging="360"/>
    </w:pPr>
    <w:rPr>
      <w:sz w:val="24"/>
      <w:szCs w:val="24"/>
    </w:rPr>
  </w:style>
  <w:style w:type="paragraph" w:styleId="ListBullet2">
    <w:name w:val="List Bullet 2"/>
    <w:basedOn w:val="Normal"/>
    <w:autoRedefine/>
    <w:rsid w:val="00670F83"/>
    <w:pPr>
      <w:tabs>
        <w:tab w:val="num" w:pos="643"/>
      </w:tabs>
      <w:suppressAutoHyphens w:val="0"/>
      <w:spacing w:line="240" w:lineRule="auto"/>
      <w:ind w:left="643" w:hanging="360"/>
    </w:pPr>
    <w:rPr>
      <w:sz w:val="24"/>
      <w:szCs w:val="24"/>
    </w:rPr>
  </w:style>
  <w:style w:type="paragraph" w:styleId="ListBullet3">
    <w:name w:val="List Bullet 3"/>
    <w:basedOn w:val="Normal"/>
    <w:autoRedefine/>
    <w:rsid w:val="00670F83"/>
    <w:pPr>
      <w:tabs>
        <w:tab w:val="num" w:pos="926"/>
      </w:tabs>
      <w:suppressAutoHyphens w:val="0"/>
      <w:spacing w:line="240" w:lineRule="auto"/>
      <w:ind w:left="926" w:hanging="360"/>
    </w:pPr>
    <w:rPr>
      <w:sz w:val="24"/>
      <w:szCs w:val="24"/>
    </w:rPr>
  </w:style>
  <w:style w:type="paragraph" w:styleId="ListBullet4">
    <w:name w:val="List Bullet 4"/>
    <w:basedOn w:val="Normal"/>
    <w:autoRedefine/>
    <w:rsid w:val="00670F83"/>
    <w:pPr>
      <w:tabs>
        <w:tab w:val="num" w:pos="1209"/>
      </w:tabs>
      <w:suppressAutoHyphens w:val="0"/>
      <w:spacing w:line="240" w:lineRule="auto"/>
      <w:ind w:left="1209" w:hanging="360"/>
    </w:pPr>
    <w:rPr>
      <w:sz w:val="24"/>
      <w:szCs w:val="24"/>
    </w:rPr>
  </w:style>
  <w:style w:type="paragraph" w:styleId="ListBullet5">
    <w:name w:val="List Bullet 5"/>
    <w:basedOn w:val="Normal"/>
    <w:autoRedefine/>
    <w:rsid w:val="00670F83"/>
    <w:pPr>
      <w:tabs>
        <w:tab w:val="num" w:pos="1492"/>
      </w:tabs>
      <w:suppressAutoHyphens w:val="0"/>
      <w:spacing w:line="240" w:lineRule="auto"/>
      <w:ind w:left="1492" w:hanging="360"/>
    </w:pPr>
    <w:rPr>
      <w:sz w:val="24"/>
      <w:szCs w:val="24"/>
    </w:rPr>
  </w:style>
  <w:style w:type="paragraph" w:styleId="ListNumber">
    <w:name w:val="List Number"/>
    <w:basedOn w:val="Normal"/>
    <w:rsid w:val="00670F83"/>
    <w:pPr>
      <w:tabs>
        <w:tab w:val="num" w:pos="360"/>
      </w:tabs>
      <w:suppressAutoHyphens w:val="0"/>
      <w:spacing w:line="240" w:lineRule="auto"/>
      <w:ind w:left="360" w:hanging="360"/>
    </w:pPr>
    <w:rPr>
      <w:sz w:val="24"/>
      <w:szCs w:val="24"/>
    </w:rPr>
  </w:style>
  <w:style w:type="paragraph" w:styleId="ListNumber2">
    <w:name w:val="List Number 2"/>
    <w:basedOn w:val="Normal"/>
    <w:rsid w:val="00670F83"/>
    <w:pPr>
      <w:tabs>
        <w:tab w:val="num" w:pos="643"/>
      </w:tabs>
      <w:suppressAutoHyphens w:val="0"/>
      <w:spacing w:line="240" w:lineRule="auto"/>
      <w:ind w:left="643" w:hanging="360"/>
    </w:pPr>
    <w:rPr>
      <w:sz w:val="24"/>
      <w:szCs w:val="24"/>
    </w:rPr>
  </w:style>
  <w:style w:type="paragraph" w:styleId="ListNumber3">
    <w:name w:val="List Number 3"/>
    <w:basedOn w:val="Normal"/>
    <w:rsid w:val="00670F83"/>
    <w:pPr>
      <w:tabs>
        <w:tab w:val="num" w:pos="926"/>
      </w:tabs>
      <w:suppressAutoHyphens w:val="0"/>
      <w:spacing w:line="240" w:lineRule="auto"/>
      <w:ind w:left="926" w:hanging="360"/>
    </w:pPr>
    <w:rPr>
      <w:sz w:val="24"/>
      <w:szCs w:val="24"/>
    </w:rPr>
  </w:style>
  <w:style w:type="paragraph" w:styleId="ListNumber4">
    <w:name w:val="List Number 4"/>
    <w:basedOn w:val="Normal"/>
    <w:rsid w:val="00670F83"/>
    <w:pPr>
      <w:tabs>
        <w:tab w:val="num" w:pos="1209"/>
      </w:tabs>
      <w:suppressAutoHyphens w:val="0"/>
      <w:spacing w:line="240" w:lineRule="auto"/>
      <w:ind w:left="1209" w:hanging="360"/>
    </w:pPr>
    <w:rPr>
      <w:sz w:val="24"/>
      <w:szCs w:val="24"/>
    </w:rPr>
  </w:style>
  <w:style w:type="paragraph" w:styleId="PlainText">
    <w:name w:val="Plain Text"/>
    <w:basedOn w:val="Normal"/>
    <w:link w:val="PlainTextChar"/>
    <w:uiPriority w:val="99"/>
    <w:rsid w:val="00670F83"/>
    <w:pPr>
      <w:suppressAutoHyphens w:val="0"/>
      <w:spacing w:line="240" w:lineRule="auto"/>
    </w:pPr>
    <w:rPr>
      <w:rFonts w:ascii="Courier New" w:hAnsi="Courier New" w:cs="Courier New"/>
    </w:rPr>
  </w:style>
  <w:style w:type="character" w:customStyle="1" w:styleId="PlainTextChar">
    <w:name w:val="Plain Text Char"/>
    <w:basedOn w:val="DefaultParagraphFont"/>
    <w:link w:val="PlainText"/>
    <w:uiPriority w:val="99"/>
    <w:rsid w:val="00670F83"/>
    <w:rPr>
      <w:rFonts w:ascii="Courier New" w:eastAsia="Times New Roman" w:hAnsi="Courier New" w:cs="Courier New"/>
      <w:lang w:eastAsia="en-US"/>
    </w:rPr>
  </w:style>
  <w:style w:type="paragraph" w:styleId="NormalWeb">
    <w:name w:val="Normal (Web)"/>
    <w:basedOn w:val="Normal"/>
    <w:uiPriority w:val="99"/>
    <w:rsid w:val="00670F83"/>
    <w:pPr>
      <w:suppressAutoHyphens w:val="0"/>
      <w:spacing w:before="100" w:beforeAutospacing="1" w:after="119" w:line="240" w:lineRule="auto"/>
    </w:pPr>
    <w:rPr>
      <w:rFonts w:ascii="Arial Unicode MS" w:eastAsia="Arial Unicode MS" w:hAnsi="Arial Unicode MS" w:cs="Arial Unicode MS"/>
      <w:sz w:val="24"/>
      <w:szCs w:val="24"/>
    </w:rPr>
  </w:style>
  <w:style w:type="character" w:styleId="Emphasis">
    <w:name w:val="Emphasis"/>
    <w:uiPriority w:val="20"/>
    <w:qFormat/>
    <w:rsid w:val="00670F83"/>
    <w:rPr>
      <w:i/>
      <w:iCs/>
    </w:rPr>
  </w:style>
  <w:style w:type="paragraph" w:styleId="Revision">
    <w:name w:val="Revision"/>
    <w:hidden/>
    <w:uiPriority w:val="99"/>
    <w:semiHidden/>
    <w:rsid w:val="00670F83"/>
    <w:rPr>
      <w:rFonts w:eastAsia="Times New Roman"/>
      <w:sz w:val="22"/>
      <w:szCs w:val="24"/>
      <w:lang w:eastAsia="en-US"/>
    </w:rPr>
  </w:style>
  <w:style w:type="paragraph" w:styleId="Subtitle">
    <w:name w:val="Subtitle"/>
    <w:basedOn w:val="Normal"/>
    <w:link w:val="SubtitleChar"/>
    <w:qFormat/>
    <w:rsid w:val="00670F83"/>
    <w:pPr>
      <w:widowControl w:val="0"/>
      <w:suppressAutoHyphens w:val="0"/>
      <w:autoSpaceDE w:val="0"/>
      <w:autoSpaceDN w:val="0"/>
      <w:adjustRightInd w:val="0"/>
      <w:spacing w:line="240" w:lineRule="auto"/>
    </w:pPr>
    <w:rPr>
      <w:b/>
      <w:sz w:val="24"/>
      <w:lang w:val="en-US"/>
    </w:rPr>
  </w:style>
  <w:style w:type="character" w:customStyle="1" w:styleId="SubtitleChar">
    <w:name w:val="Subtitle Char"/>
    <w:basedOn w:val="DefaultParagraphFont"/>
    <w:link w:val="Subtitle"/>
    <w:rsid w:val="00670F83"/>
    <w:rPr>
      <w:rFonts w:eastAsia="Times New Roman"/>
      <w:b/>
      <w:sz w:val="24"/>
      <w:lang w:val="en-US" w:eastAsia="en-US"/>
    </w:rPr>
  </w:style>
  <w:style w:type="paragraph" w:styleId="EnvelopeReturn">
    <w:name w:val="envelope return"/>
    <w:basedOn w:val="Normal"/>
    <w:rsid w:val="00670F83"/>
    <w:pPr>
      <w:suppressAutoHyphens w:val="0"/>
      <w:spacing w:line="240" w:lineRule="auto"/>
    </w:pPr>
    <w:rPr>
      <w:rFonts w:ascii="Arial" w:hAnsi="Arial" w:cs="Arial"/>
    </w:rPr>
  </w:style>
  <w:style w:type="paragraph" w:styleId="HTMLAddress">
    <w:name w:val="HTML Address"/>
    <w:basedOn w:val="Normal"/>
    <w:link w:val="HTMLAddressChar"/>
    <w:rsid w:val="00670F83"/>
    <w:pPr>
      <w:suppressAutoHyphens w:val="0"/>
      <w:spacing w:line="240" w:lineRule="auto"/>
    </w:pPr>
    <w:rPr>
      <w:i/>
      <w:iCs/>
      <w:sz w:val="22"/>
      <w:szCs w:val="24"/>
    </w:rPr>
  </w:style>
  <w:style w:type="character" w:customStyle="1" w:styleId="HTMLAddressChar">
    <w:name w:val="HTML Address Char"/>
    <w:basedOn w:val="DefaultParagraphFont"/>
    <w:link w:val="HTMLAddress"/>
    <w:rsid w:val="00670F83"/>
    <w:rPr>
      <w:rFonts w:eastAsia="Times New Roman"/>
      <w:i/>
      <w:iCs/>
      <w:sz w:val="22"/>
      <w:szCs w:val="24"/>
      <w:lang w:eastAsia="en-US"/>
    </w:rPr>
  </w:style>
  <w:style w:type="paragraph" w:styleId="NormalIndent">
    <w:name w:val="Normal Indent"/>
    <w:basedOn w:val="Normal"/>
    <w:uiPriority w:val="99"/>
    <w:rsid w:val="00670F83"/>
    <w:pPr>
      <w:suppressAutoHyphens w:val="0"/>
      <w:spacing w:line="240" w:lineRule="auto"/>
      <w:ind w:left="720"/>
    </w:pPr>
    <w:rPr>
      <w:sz w:val="22"/>
      <w:szCs w:val="24"/>
    </w:rPr>
  </w:style>
  <w:style w:type="paragraph" w:styleId="TOC1">
    <w:name w:val="toc 1"/>
    <w:basedOn w:val="Normal"/>
    <w:next w:val="Normal"/>
    <w:autoRedefine/>
    <w:rsid w:val="00670F83"/>
    <w:pPr>
      <w:tabs>
        <w:tab w:val="left" w:pos="1134"/>
        <w:tab w:val="left" w:pos="1418"/>
        <w:tab w:val="left" w:pos="1701"/>
        <w:tab w:val="left" w:pos="1985"/>
        <w:tab w:val="left" w:pos="2268"/>
        <w:tab w:val="left" w:pos="2552"/>
        <w:tab w:val="left" w:pos="3119"/>
        <w:tab w:val="left" w:pos="3402"/>
        <w:tab w:val="left" w:pos="3686"/>
        <w:tab w:val="left" w:pos="3969"/>
      </w:tabs>
      <w:suppressAutoHyphens w:val="0"/>
      <w:spacing w:line="240" w:lineRule="auto"/>
    </w:pPr>
    <w:rPr>
      <w:b/>
      <w:i/>
      <w:iCs/>
      <w:sz w:val="22"/>
      <w:szCs w:val="24"/>
    </w:rPr>
  </w:style>
  <w:style w:type="paragraph" w:styleId="DocumentMap">
    <w:name w:val="Document Map"/>
    <w:basedOn w:val="Normal"/>
    <w:link w:val="DocumentMapChar"/>
    <w:rsid w:val="00670F83"/>
    <w:pPr>
      <w:shd w:val="clear" w:color="auto" w:fill="000080"/>
      <w:suppressAutoHyphens w:val="0"/>
      <w:spacing w:line="240" w:lineRule="auto"/>
    </w:pPr>
    <w:rPr>
      <w:rFonts w:ascii="Tahoma" w:hAnsi="Tahoma" w:cs="Tahoma"/>
      <w:sz w:val="22"/>
      <w:szCs w:val="24"/>
    </w:rPr>
  </w:style>
  <w:style w:type="character" w:customStyle="1" w:styleId="DocumentMapChar">
    <w:name w:val="Document Map Char"/>
    <w:basedOn w:val="DefaultParagraphFont"/>
    <w:link w:val="DocumentMap"/>
    <w:rsid w:val="00670F83"/>
    <w:rPr>
      <w:rFonts w:ascii="Tahoma" w:eastAsia="Times New Roman" w:hAnsi="Tahoma" w:cs="Tahoma"/>
      <w:sz w:val="22"/>
      <w:szCs w:val="24"/>
      <w:shd w:val="clear" w:color="auto" w:fill="000080"/>
      <w:lang w:eastAsia="en-US"/>
    </w:rPr>
  </w:style>
  <w:style w:type="character" w:customStyle="1" w:styleId="GHSFootnotetextChar">
    <w:name w:val="GHSFootnotetext Char"/>
    <w:link w:val="GHSFootnotetext"/>
    <w:rsid w:val="00670F83"/>
    <w:rPr>
      <w:rFonts w:eastAsia="Times New Roman"/>
      <w:i/>
      <w:iCs/>
      <w:lang w:val="fr-FR" w:eastAsia="fr-FR"/>
    </w:rPr>
  </w:style>
  <w:style w:type="paragraph" w:styleId="Title">
    <w:name w:val="Title"/>
    <w:basedOn w:val="Normal"/>
    <w:link w:val="TitleChar"/>
    <w:qFormat/>
    <w:rsid w:val="00670F83"/>
    <w:pPr>
      <w:tabs>
        <w:tab w:val="left" w:pos="1134"/>
        <w:tab w:val="left" w:pos="1701"/>
        <w:tab w:val="left" w:pos="2268"/>
        <w:tab w:val="left" w:pos="2835"/>
        <w:tab w:val="left" w:pos="3402"/>
        <w:tab w:val="left" w:pos="3969"/>
      </w:tabs>
      <w:suppressAutoHyphens w:val="0"/>
      <w:spacing w:line="240" w:lineRule="auto"/>
      <w:jc w:val="center"/>
    </w:pPr>
    <w:rPr>
      <w:b/>
      <w:bCs/>
      <w:sz w:val="28"/>
      <w:szCs w:val="28"/>
    </w:rPr>
  </w:style>
  <w:style w:type="character" w:customStyle="1" w:styleId="TitleChar">
    <w:name w:val="Title Char"/>
    <w:basedOn w:val="DefaultParagraphFont"/>
    <w:link w:val="Title"/>
    <w:rsid w:val="00670F83"/>
    <w:rPr>
      <w:rFonts w:eastAsia="Times New Roman"/>
      <w:b/>
      <w:bCs/>
      <w:sz w:val="28"/>
      <w:szCs w:val="28"/>
      <w:lang w:eastAsia="en-US"/>
    </w:rPr>
  </w:style>
  <w:style w:type="paragraph" w:styleId="Caption">
    <w:name w:val="caption"/>
    <w:basedOn w:val="Normal"/>
    <w:next w:val="Normal"/>
    <w:qFormat/>
    <w:rsid w:val="00670F83"/>
    <w:pPr>
      <w:suppressAutoHyphens w:val="0"/>
      <w:spacing w:before="120" w:line="216" w:lineRule="auto"/>
      <w:jc w:val="center"/>
    </w:pPr>
    <w:rPr>
      <w:sz w:val="22"/>
      <w:szCs w:val="24"/>
    </w:rPr>
  </w:style>
  <w:style w:type="paragraph" w:customStyle="1" w:styleId="Annotation">
    <w:name w:val="Annotation"/>
    <w:basedOn w:val="BodyText"/>
    <w:rsid w:val="00670F83"/>
    <w:pPr>
      <w:suppressAutoHyphens w:val="0"/>
      <w:spacing w:after="240" w:line="240" w:lineRule="auto"/>
    </w:pPr>
    <w:rPr>
      <w:b/>
      <w:bCs/>
      <w:i/>
      <w:iCs/>
      <w:sz w:val="22"/>
      <w:szCs w:val="24"/>
    </w:rPr>
  </w:style>
  <w:style w:type="paragraph" w:customStyle="1" w:styleId="GHSpageNumber">
    <w:name w:val="GHSpageNumber"/>
    <w:basedOn w:val="Normal"/>
    <w:rsid w:val="00670F83"/>
    <w:pPr>
      <w:suppressAutoHyphens w:val="0"/>
      <w:spacing w:line="240" w:lineRule="auto"/>
      <w:jc w:val="center"/>
    </w:pPr>
    <w:rPr>
      <w:szCs w:val="22"/>
    </w:rPr>
  </w:style>
  <w:style w:type="paragraph" w:customStyle="1" w:styleId="TableText">
    <w:name w:val="Table Text"/>
    <w:basedOn w:val="Normal"/>
    <w:rsid w:val="00670F83"/>
    <w:pPr>
      <w:tabs>
        <w:tab w:val="left" w:pos="0"/>
      </w:tabs>
      <w:suppressAutoHyphens w:val="0"/>
      <w:spacing w:line="240" w:lineRule="auto"/>
    </w:pPr>
  </w:style>
  <w:style w:type="paragraph" w:customStyle="1" w:styleId="BlockQuotation">
    <w:name w:val="Block Quotation"/>
    <w:basedOn w:val="Normal"/>
    <w:rsid w:val="00670F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2448"/>
    </w:pPr>
    <w:rPr>
      <w:lang w:val="en-US"/>
    </w:rPr>
  </w:style>
  <w:style w:type="paragraph" w:customStyle="1" w:styleId="ParaBlock">
    <w:name w:val="ParaBlock"/>
    <w:basedOn w:val="Normal"/>
    <w:rsid w:val="00670F83"/>
    <w:pPr>
      <w:tabs>
        <w:tab w:val="left" w:pos="851"/>
        <w:tab w:val="left" w:pos="1191"/>
        <w:tab w:val="left" w:pos="1531"/>
      </w:tabs>
      <w:suppressAutoHyphens w:val="0"/>
      <w:spacing w:after="240" w:line="240" w:lineRule="auto"/>
      <w:jc w:val="both"/>
    </w:pPr>
    <w:rPr>
      <w:rFonts w:ascii="Times" w:hAnsi="Times"/>
      <w:sz w:val="22"/>
    </w:rPr>
  </w:style>
  <w:style w:type="paragraph" w:customStyle="1" w:styleId="HeadingA">
    <w:name w:val="Heading A"/>
    <w:basedOn w:val="Heading1"/>
    <w:next w:val="Normal"/>
    <w:rsid w:val="00670F83"/>
    <w:pPr>
      <w:keepNext/>
      <w:tabs>
        <w:tab w:val="left" w:pos="1134"/>
      </w:tabs>
      <w:suppressAutoHyphens w:val="0"/>
      <w:spacing w:after="240"/>
      <w:ind w:left="0"/>
      <w:outlineLvl w:val="9"/>
    </w:pPr>
    <w:rPr>
      <w:b/>
      <w:kern w:val="28"/>
      <w:sz w:val="40"/>
      <w:szCs w:val="24"/>
      <w:lang w:val="da-DK"/>
    </w:rPr>
  </w:style>
  <w:style w:type="paragraph" w:styleId="TOC2">
    <w:name w:val="toc 2"/>
    <w:basedOn w:val="Normal"/>
    <w:next w:val="Normal"/>
    <w:autoRedefine/>
    <w:rsid w:val="00670F83"/>
    <w:pPr>
      <w:tabs>
        <w:tab w:val="right" w:leader="dot" w:pos="9458"/>
      </w:tabs>
      <w:suppressAutoHyphens w:val="0"/>
      <w:spacing w:line="240" w:lineRule="auto"/>
      <w:ind w:left="238"/>
    </w:pPr>
    <w:rPr>
      <w:smallCaps/>
      <w:noProof/>
      <w:sz w:val="22"/>
    </w:rPr>
  </w:style>
  <w:style w:type="paragraph" w:customStyle="1" w:styleId="EndnotesHeading">
    <w:name w:val="Endnotes Heading"/>
    <w:basedOn w:val="Normal"/>
    <w:next w:val="BodyText"/>
    <w:rsid w:val="00670F83"/>
    <w:pPr>
      <w:keepNext/>
      <w:tabs>
        <w:tab w:val="left" w:pos="850"/>
        <w:tab w:val="left" w:pos="1191"/>
        <w:tab w:val="left" w:pos="1531"/>
      </w:tabs>
      <w:suppressAutoHyphens w:val="0"/>
      <w:spacing w:before="1200" w:after="480" w:line="240" w:lineRule="auto"/>
      <w:jc w:val="center"/>
    </w:pPr>
    <w:rPr>
      <w:rFonts w:ascii="Times" w:hAnsi="Times"/>
      <w:b/>
      <w:caps/>
      <w:sz w:val="22"/>
    </w:rPr>
  </w:style>
  <w:style w:type="character" w:customStyle="1" w:styleId="Hypertext">
    <w:name w:val="Hypertext"/>
    <w:rsid w:val="00670F83"/>
    <w:rPr>
      <w:color w:val="0000FF"/>
      <w:u w:val="single"/>
    </w:rPr>
  </w:style>
  <w:style w:type="paragraph" w:customStyle="1" w:styleId="XP">
    <w:name w:val="XP"/>
    <w:rsid w:val="00670F83"/>
    <w:pPr>
      <w:widowControl w:val="0"/>
      <w:spacing w:before="120" w:after="120" w:line="280" w:lineRule="exact"/>
      <w:jc w:val="both"/>
    </w:pPr>
    <w:rPr>
      <w:rFonts w:ascii="Arial" w:eastAsia="Times New Roman" w:hAnsi="Arial"/>
      <w:lang w:val="nl-NL" w:eastAsia="en-US"/>
    </w:rPr>
  </w:style>
  <w:style w:type="paragraph" w:customStyle="1" w:styleId="IT">
    <w:name w:val="IT"/>
    <w:rsid w:val="00670F83"/>
    <w:pPr>
      <w:tabs>
        <w:tab w:val="left" w:pos="170"/>
      </w:tabs>
      <w:spacing w:line="280" w:lineRule="exact"/>
      <w:jc w:val="both"/>
    </w:pPr>
    <w:rPr>
      <w:rFonts w:ascii="Arial" w:eastAsia="Times New Roman" w:hAnsi="Arial"/>
      <w:lang w:val="nl-NL" w:eastAsia="en-US"/>
    </w:rPr>
  </w:style>
  <w:style w:type="paragraph" w:customStyle="1" w:styleId="LT">
    <w:name w:val="LT"/>
    <w:basedOn w:val="IT"/>
    <w:next w:val="XP"/>
    <w:rsid w:val="00670F83"/>
    <w:pPr>
      <w:spacing w:after="120"/>
    </w:pPr>
  </w:style>
  <w:style w:type="paragraph" w:customStyle="1" w:styleId="GHStext">
    <w:name w:val="GHS_text"/>
    <w:basedOn w:val="Normal"/>
    <w:link w:val="GHStextChar"/>
    <w:qFormat/>
    <w:rsid w:val="00670F83"/>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670F83"/>
    <w:rPr>
      <w:rFonts w:eastAsia="SimSun"/>
      <w:snapToGrid w:val="0"/>
      <w:color w:val="000000"/>
      <w:szCs w:val="22"/>
      <w:lang w:val="es-ES" w:eastAsia="en-US"/>
    </w:rPr>
  </w:style>
  <w:style w:type="paragraph" w:customStyle="1" w:styleId="Table4">
    <w:name w:val="Table4"/>
    <w:basedOn w:val="Normal"/>
    <w:autoRedefine/>
    <w:rsid w:val="00670F83"/>
    <w:pPr>
      <w:keepNext/>
      <w:keepLines/>
      <w:suppressAutoHyphens w:val="0"/>
      <w:spacing w:line="240" w:lineRule="auto"/>
    </w:pPr>
    <w:rPr>
      <w:rFonts w:eastAsia="SimSun"/>
      <w:b/>
      <w:bCs/>
      <w:sz w:val="18"/>
      <w:szCs w:val="18"/>
    </w:rPr>
  </w:style>
  <w:style w:type="paragraph" w:customStyle="1" w:styleId="TNR11">
    <w:name w:val="TNR11"/>
    <w:rsid w:val="00670F83"/>
    <w:pPr>
      <w:spacing w:before="240"/>
      <w:ind w:firstLine="1276"/>
      <w:jc w:val="both"/>
    </w:pPr>
    <w:rPr>
      <w:rFonts w:eastAsia="Times New Roman"/>
      <w:noProof/>
      <w:sz w:val="22"/>
      <w:lang w:eastAsia="en-US"/>
    </w:rPr>
  </w:style>
  <w:style w:type="paragraph" w:customStyle="1" w:styleId="Tabb">
    <w:name w:val="TabÜb"/>
    <w:basedOn w:val="Normal"/>
    <w:next w:val="Normal"/>
    <w:rsid w:val="00670F83"/>
    <w:pPr>
      <w:widowControl w:val="0"/>
      <w:tabs>
        <w:tab w:val="left" w:pos="360"/>
      </w:tabs>
      <w:suppressAutoHyphens w:val="0"/>
      <w:spacing w:before="120" w:after="120" w:line="240" w:lineRule="auto"/>
      <w:jc w:val="center"/>
    </w:pPr>
    <w:rPr>
      <w:rFonts w:ascii="Tahoma" w:hAnsi="Tahoma"/>
      <w:b/>
      <w:sz w:val="18"/>
    </w:rPr>
  </w:style>
  <w:style w:type="paragraph" w:customStyle="1" w:styleId="Beschriftung1">
    <w:name w:val="Beschriftung1"/>
    <w:basedOn w:val="Caption"/>
    <w:rsid w:val="00670F83"/>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670F83"/>
    <w:rPr>
      <w:rFonts w:ascii="Times New Roman" w:hAnsi="Times New Roman"/>
      <w:b/>
      <w:bCs/>
    </w:rPr>
  </w:style>
  <w:style w:type="character" w:customStyle="1" w:styleId="StyleBoldStrikethrough">
    <w:name w:val="Style Bold Strikethrough"/>
    <w:semiHidden/>
    <w:rsid w:val="00670F83"/>
    <w:rPr>
      <w:rFonts w:ascii="Times New Roman" w:hAnsi="Times New Roman"/>
      <w:b/>
      <w:bCs/>
      <w:strike/>
      <w:dstrike w:val="0"/>
    </w:rPr>
  </w:style>
  <w:style w:type="character" w:customStyle="1" w:styleId="StyleBold2">
    <w:name w:val="Style Bold2"/>
    <w:semiHidden/>
    <w:rsid w:val="00670F83"/>
    <w:rPr>
      <w:rFonts w:ascii="Times New Roman" w:hAnsi="Times New Roman"/>
      <w:b/>
      <w:bCs/>
    </w:rPr>
  </w:style>
  <w:style w:type="paragraph" w:customStyle="1" w:styleId="GHSPartHeading">
    <w:name w:val="GHS Part Heading"/>
    <w:basedOn w:val="GHSHeading1"/>
    <w:link w:val="GHSPartHeadingChar"/>
    <w:qFormat/>
    <w:rsid w:val="00670F83"/>
    <w:pPr>
      <w:tabs>
        <w:tab w:val="clear" w:pos="1134"/>
        <w:tab w:val="clear" w:pos="1425"/>
        <w:tab w:val="clear" w:pos="1701"/>
        <w:tab w:val="clear" w:pos="2268"/>
        <w:tab w:val="clear" w:pos="2835"/>
        <w:tab w:val="clear" w:pos="3402"/>
      </w:tabs>
    </w:pPr>
    <w:rPr>
      <w:sz w:val="52"/>
      <w:szCs w:val="52"/>
    </w:rPr>
  </w:style>
  <w:style w:type="character" w:customStyle="1" w:styleId="GHSHeading1Char">
    <w:name w:val="GHSHeading1 Char"/>
    <w:link w:val="GHSHeading1"/>
    <w:rsid w:val="00670F83"/>
    <w:rPr>
      <w:rFonts w:eastAsia="Times New Roman"/>
      <w:b/>
      <w:bCs/>
      <w:color w:val="000000"/>
      <w:sz w:val="56"/>
      <w:szCs w:val="56"/>
      <w:lang w:eastAsia="fr-FR"/>
    </w:rPr>
  </w:style>
  <w:style w:type="character" w:customStyle="1" w:styleId="GHSPartHeadingChar">
    <w:name w:val="GHS Part Heading Char"/>
    <w:link w:val="GHSPartHeading"/>
    <w:rsid w:val="00670F83"/>
    <w:rPr>
      <w:rFonts w:eastAsia="Times New Roman"/>
      <w:b/>
      <w:bCs/>
      <w:color w:val="000000"/>
      <w:sz w:val="52"/>
      <w:szCs w:val="52"/>
      <w:lang w:eastAsia="fr-FR"/>
    </w:rPr>
  </w:style>
  <w:style w:type="table" w:styleId="TableTheme">
    <w:name w:val="Table Theme"/>
    <w:basedOn w:val="TableNormal"/>
    <w:semiHidden/>
    <w:rsid w:val="00670F83"/>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670F83"/>
    <w:pPr>
      <w:suppressAutoHyphens w:val="0"/>
      <w:spacing w:line="240" w:lineRule="auto"/>
      <w:jc w:val="both"/>
    </w:pPr>
    <w:rPr>
      <w:sz w:val="22"/>
      <w:szCs w:val="24"/>
    </w:rPr>
  </w:style>
  <w:style w:type="character" w:customStyle="1" w:styleId="DateChar">
    <w:name w:val="Date Char"/>
    <w:basedOn w:val="DefaultParagraphFont"/>
    <w:link w:val="Date"/>
    <w:rsid w:val="00670F83"/>
    <w:rPr>
      <w:rFonts w:eastAsia="Times New Roman"/>
      <w:sz w:val="22"/>
      <w:szCs w:val="24"/>
      <w:lang w:eastAsia="en-US"/>
    </w:rPr>
  </w:style>
  <w:style w:type="paragraph" w:styleId="List">
    <w:name w:val="List"/>
    <w:basedOn w:val="Normal"/>
    <w:semiHidden/>
    <w:unhideWhenUsed/>
    <w:rsid w:val="00670F83"/>
    <w:pPr>
      <w:suppressAutoHyphens w:val="0"/>
      <w:spacing w:line="240" w:lineRule="auto"/>
      <w:ind w:left="283" w:hanging="283"/>
      <w:contextualSpacing/>
      <w:jc w:val="both"/>
    </w:pPr>
    <w:rPr>
      <w:sz w:val="22"/>
      <w:szCs w:val="24"/>
    </w:rPr>
  </w:style>
  <w:style w:type="character" w:customStyle="1" w:styleId="H23GChar">
    <w:name w:val="_ H_2/3_G Char"/>
    <w:link w:val="H23G"/>
    <w:locked/>
    <w:rsid w:val="00670F83"/>
    <w:rPr>
      <w:rFonts w:eastAsia="Times New Roman"/>
      <w:b/>
      <w:lang w:eastAsia="en-US"/>
    </w:rPr>
  </w:style>
  <w:style w:type="table" w:customStyle="1" w:styleId="Tabellrutnt1">
    <w:name w:val="Tabellrutnät1"/>
    <w:basedOn w:val="TableNormal"/>
    <w:uiPriority w:val="39"/>
    <w:rsid w:val="00670F83"/>
    <w:pPr>
      <w:spacing w:line="254"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Continue4">
    <w:name w:val="List Continue 4"/>
    <w:basedOn w:val="Normal"/>
    <w:semiHidden/>
    <w:unhideWhenUsed/>
    <w:rsid w:val="00670F83"/>
    <w:pPr>
      <w:suppressAutoHyphens w:val="0"/>
      <w:spacing w:after="120" w:line="240" w:lineRule="auto"/>
      <w:ind w:left="1132"/>
      <w:contextualSpacing/>
      <w:jc w:val="both"/>
    </w:pPr>
    <w:rPr>
      <w:sz w:val="22"/>
      <w:szCs w:val="24"/>
    </w:rPr>
  </w:style>
  <w:style w:type="paragraph" w:customStyle="1" w:styleId="StyleStyleGHSHeading410ptBefore12pt">
    <w:name w:val="Style Style GHSHeading4 + 10 pt + Before:  12 pt"/>
    <w:basedOn w:val="StyleGHSHeading410pt"/>
    <w:rsid w:val="00670F83"/>
    <w:pPr>
      <w:spacing w:before="240"/>
    </w:pPr>
  </w:style>
  <w:style w:type="paragraph" w:customStyle="1" w:styleId="StyleSingleTxtGBefore0cmAfter-0cm">
    <w:name w:val="Style _ Single Txt_G + Before:  0 cm After:  -0 cm"/>
    <w:basedOn w:val="SingleTxtG"/>
    <w:rsid w:val="00670F83"/>
    <w:pPr>
      <w:suppressAutoHyphens w:val="0"/>
      <w:spacing w:after="240" w:line="240" w:lineRule="auto"/>
      <w:ind w:left="0" w:right="0"/>
    </w:pPr>
    <w:rPr>
      <w:sz w:val="22"/>
      <w:szCs w:val="24"/>
    </w:rPr>
  </w:style>
  <w:style w:type="paragraph" w:customStyle="1" w:styleId="GHSindent1">
    <w:name w:val="GHSindent_1"/>
    <w:basedOn w:val="GHSBodyText"/>
    <w:link w:val="GHSindent1Char"/>
    <w:qFormat/>
    <w:rsid w:val="00670F83"/>
  </w:style>
  <w:style w:type="paragraph" w:customStyle="1" w:styleId="StyleGHSBodyTextBefore025cmFirstline0cm">
    <w:name w:val="Style GHSBody Text + Before:  0.25 cm First line:  0 cm"/>
    <w:basedOn w:val="GHSBodyText"/>
    <w:rsid w:val="00670F83"/>
    <w:pPr>
      <w:ind w:left="142"/>
    </w:pPr>
    <w:rPr>
      <w:sz w:val="20"/>
    </w:rPr>
  </w:style>
  <w:style w:type="character" w:customStyle="1" w:styleId="GHSindent1Char">
    <w:name w:val="GHSindent_1 Char"/>
    <w:basedOn w:val="GHSBodyTextChar"/>
    <w:link w:val="GHSindent1"/>
    <w:rsid w:val="00670F83"/>
    <w:rPr>
      <w:rFonts w:eastAsia="Times New Roman"/>
      <w:sz w:val="22"/>
      <w:lang w:eastAsia="en-US"/>
    </w:rPr>
  </w:style>
  <w:style w:type="paragraph" w:customStyle="1" w:styleId="GHSsubparas1">
    <w:name w:val="GHSsubparas1"/>
    <w:basedOn w:val="Normal"/>
    <w:rsid w:val="00670F83"/>
    <w:pPr>
      <w:suppressAutoHyphens w:val="0"/>
      <w:spacing w:after="240" w:line="240" w:lineRule="auto"/>
      <w:ind w:left="1973" w:hanging="561"/>
      <w:jc w:val="both"/>
    </w:pPr>
    <w:rPr>
      <w:bCs/>
      <w:color w:val="000000"/>
      <w:szCs w:val="24"/>
    </w:rPr>
  </w:style>
  <w:style w:type="paragraph" w:customStyle="1" w:styleId="GHSSubparas10">
    <w:name w:val="GHS Subparas1"/>
    <w:basedOn w:val="Normal"/>
    <w:qFormat/>
    <w:rsid w:val="00670F83"/>
    <w:pPr>
      <w:suppressAutoHyphens w:val="0"/>
      <w:spacing w:after="240" w:line="240" w:lineRule="auto"/>
      <w:ind w:left="1973" w:hanging="561"/>
      <w:jc w:val="both"/>
    </w:pPr>
    <w:rPr>
      <w:bCs/>
      <w:color w:val="000000"/>
      <w:szCs w:val="24"/>
    </w:rPr>
  </w:style>
  <w:style w:type="paragraph" w:customStyle="1" w:styleId="GHSSub2">
    <w:name w:val="GHS Sub2"/>
    <w:basedOn w:val="Normal"/>
    <w:qFormat/>
    <w:rsid w:val="00670F83"/>
    <w:pPr>
      <w:suppressAutoHyphens w:val="0"/>
      <w:spacing w:after="240" w:line="240" w:lineRule="auto"/>
      <w:ind w:left="2552" w:hanging="567"/>
      <w:jc w:val="both"/>
    </w:pPr>
    <w:rPr>
      <w:szCs w:val="22"/>
    </w:rPr>
  </w:style>
  <w:style w:type="paragraph" w:customStyle="1" w:styleId="GHS1stline">
    <w:name w:val="GHS_1st line"/>
    <w:basedOn w:val="GHSBodyText"/>
    <w:qFormat/>
    <w:rsid w:val="00670F83"/>
    <w:pPr>
      <w:ind w:firstLine="1418"/>
    </w:pPr>
    <w:rPr>
      <w:sz w:val="20"/>
    </w:rPr>
  </w:style>
  <w:style w:type="character" w:styleId="PlaceholderText">
    <w:name w:val="Placeholder Text"/>
    <w:basedOn w:val="DefaultParagraphFont"/>
    <w:uiPriority w:val="99"/>
    <w:semiHidden/>
    <w:rsid w:val="00670F83"/>
    <w:rPr>
      <w:color w:val="808080"/>
    </w:rPr>
  </w:style>
  <w:style w:type="character" w:styleId="UnresolvedMention">
    <w:name w:val="Unresolved Mention"/>
    <w:basedOn w:val="DefaultParagraphFont"/>
    <w:uiPriority w:val="99"/>
    <w:semiHidden/>
    <w:unhideWhenUsed/>
    <w:rsid w:val="00670F83"/>
    <w:rPr>
      <w:color w:val="605E5C"/>
      <w:shd w:val="clear" w:color="auto" w:fill="E1DFDD"/>
    </w:rPr>
  </w:style>
  <w:style w:type="paragraph" w:styleId="NoSpacing">
    <w:name w:val="No Spacing"/>
    <w:uiPriority w:val="1"/>
    <w:qFormat/>
    <w:rsid w:val="00670F83"/>
    <w:pPr>
      <w:suppressAutoHyphens/>
    </w:pPr>
    <w:rPr>
      <w:rFonts w:eastAsia="Times New Roman"/>
      <w:lang w:eastAsia="en-US"/>
    </w:rPr>
  </w:style>
  <w:style w:type="character" w:customStyle="1" w:styleId="ui-provider">
    <w:name w:val="ui-provider"/>
    <w:basedOn w:val="DefaultParagraphFont"/>
    <w:rsid w:val="003F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478801">
      <w:bodyDiv w:val="1"/>
      <w:marLeft w:val="0"/>
      <w:marRight w:val="0"/>
      <w:marTop w:val="0"/>
      <w:marBottom w:val="0"/>
      <w:divBdr>
        <w:top w:val="none" w:sz="0" w:space="0" w:color="auto"/>
        <w:left w:val="none" w:sz="0" w:space="0" w:color="auto"/>
        <w:bottom w:val="none" w:sz="0" w:space="0" w:color="auto"/>
        <w:right w:val="none" w:sz="0" w:space="0" w:color="auto"/>
      </w:divBdr>
    </w:div>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452094594">
      <w:bodyDiv w:val="1"/>
      <w:marLeft w:val="0"/>
      <w:marRight w:val="0"/>
      <w:marTop w:val="0"/>
      <w:marBottom w:val="0"/>
      <w:divBdr>
        <w:top w:val="none" w:sz="0" w:space="0" w:color="auto"/>
        <w:left w:val="none" w:sz="0" w:space="0" w:color="auto"/>
        <w:bottom w:val="none" w:sz="0" w:space="0" w:color="auto"/>
        <w:right w:val="none" w:sz="0" w:space="0" w:color="auto"/>
      </w:divBdr>
    </w:div>
    <w:div w:id="531697593">
      <w:bodyDiv w:val="1"/>
      <w:marLeft w:val="0"/>
      <w:marRight w:val="0"/>
      <w:marTop w:val="0"/>
      <w:marBottom w:val="0"/>
      <w:divBdr>
        <w:top w:val="none" w:sz="0" w:space="0" w:color="auto"/>
        <w:left w:val="none" w:sz="0" w:space="0" w:color="auto"/>
        <w:bottom w:val="none" w:sz="0" w:space="0" w:color="auto"/>
        <w:right w:val="none" w:sz="0" w:space="0" w:color="auto"/>
      </w:divBdr>
    </w:div>
    <w:div w:id="665934736">
      <w:bodyDiv w:val="1"/>
      <w:marLeft w:val="0"/>
      <w:marRight w:val="0"/>
      <w:marTop w:val="0"/>
      <w:marBottom w:val="0"/>
      <w:divBdr>
        <w:top w:val="none" w:sz="0" w:space="0" w:color="auto"/>
        <w:left w:val="none" w:sz="0" w:space="0" w:color="auto"/>
        <w:bottom w:val="none" w:sz="0" w:space="0" w:color="auto"/>
        <w:right w:val="none" w:sz="0" w:space="0" w:color="auto"/>
      </w:divBdr>
    </w:div>
    <w:div w:id="787696330">
      <w:bodyDiv w:val="1"/>
      <w:marLeft w:val="0"/>
      <w:marRight w:val="0"/>
      <w:marTop w:val="0"/>
      <w:marBottom w:val="0"/>
      <w:divBdr>
        <w:top w:val="none" w:sz="0" w:space="0" w:color="auto"/>
        <w:left w:val="none" w:sz="0" w:space="0" w:color="auto"/>
        <w:bottom w:val="none" w:sz="0" w:space="0" w:color="auto"/>
        <w:right w:val="none" w:sz="0" w:space="0" w:color="auto"/>
      </w:divBdr>
    </w:div>
    <w:div w:id="826632119">
      <w:bodyDiv w:val="1"/>
      <w:marLeft w:val="0"/>
      <w:marRight w:val="0"/>
      <w:marTop w:val="0"/>
      <w:marBottom w:val="0"/>
      <w:divBdr>
        <w:top w:val="none" w:sz="0" w:space="0" w:color="auto"/>
        <w:left w:val="none" w:sz="0" w:space="0" w:color="auto"/>
        <w:bottom w:val="none" w:sz="0" w:space="0" w:color="auto"/>
        <w:right w:val="none" w:sz="0" w:space="0" w:color="auto"/>
      </w:divBdr>
    </w:div>
    <w:div w:id="864365244">
      <w:bodyDiv w:val="1"/>
      <w:marLeft w:val="0"/>
      <w:marRight w:val="0"/>
      <w:marTop w:val="0"/>
      <w:marBottom w:val="0"/>
      <w:divBdr>
        <w:top w:val="none" w:sz="0" w:space="0" w:color="auto"/>
        <w:left w:val="none" w:sz="0" w:space="0" w:color="auto"/>
        <w:bottom w:val="none" w:sz="0" w:space="0" w:color="auto"/>
        <w:right w:val="none" w:sz="0" w:space="0" w:color="auto"/>
      </w:divBdr>
    </w:div>
    <w:div w:id="866134965">
      <w:bodyDiv w:val="1"/>
      <w:marLeft w:val="0"/>
      <w:marRight w:val="0"/>
      <w:marTop w:val="0"/>
      <w:marBottom w:val="0"/>
      <w:divBdr>
        <w:top w:val="none" w:sz="0" w:space="0" w:color="auto"/>
        <w:left w:val="none" w:sz="0" w:space="0" w:color="auto"/>
        <w:bottom w:val="none" w:sz="0" w:space="0" w:color="auto"/>
        <w:right w:val="none" w:sz="0" w:space="0" w:color="auto"/>
      </w:divBdr>
    </w:div>
    <w:div w:id="1216821209">
      <w:bodyDiv w:val="1"/>
      <w:marLeft w:val="0"/>
      <w:marRight w:val="0"/>
      <w:marTop w:val="0"/>
      <w:marBottom w:val="0"/>
      <w:divBdr>
        <w:top w:val="none" w:sz="0" w:space="0" w:color="auto"/>
        <w:left w:val="none" w:sz="0" w:space="0" w:color="auto"/>
        <w:bottom w:val="none" w:sz="0" w:space="0" w:color="auto"/>
        <w:right w:val="none" w:sz="0" w:space="0" w:color="auto"/>
      </w:divBdr>
    </w:div>
    <w:div w:id="1270504072">
      <w:bodyDiv w:val="1"/>
      <w:marLeft w:val="0"/>
      <w:marRight w:val="0"/>
      <w:marTop w:val="0"/>
      <w:marBottom w:val="0"/>
      <w:divBdr>
        <w:top w:val="none" w:sz="0" w:space="0" w:color="auto"/>
        <w:left w:val="none" w:sz="0" w:space="0" w:color="auto"/>
        <w:bottom w:val="none" w:sz="0" w:space="0" w:color="auto"/>
        <w:right w:val="none" w:sz="0" w:space="0" w:color="auto"/>
      </w:divBdr>
    </w:div>
    <w:div w:id="1285961053">
      <w:bodyDiv w:val="1"/>
      <w:marLeft w:val="0"/>
      <w:marRight w:val="0"/>
      <w:marTop w:val="0"/>
      <w:marBottom w:val="0"/>
      <w:divBdr>
        <w:top w:val="none" w:sz="0" w:space="0" w:color="auto"/>
        <w:left w:val="none" w:sz="0" w:space="0" w:color="auto"/>
        <w:bottom w:val="none" w:sz="0" w:space="0" w:color="auto"/>
        <w:right w:val="none" w:sz="0" w:space="0" w:color="auto"/>
      </w:divBdr>
    </w:div>
    <w:div w:id="1288270579">
      <w:bodyDiv w:val="1"/>
      <w:marLeft w:val="0"/>
      <w:marRight w:val="0"/>
      <w:marTop w:val="0"/>
      <w:marBottom w:val="0"/>
      <w:divBdr>
        <w:top w:val="none" w:sz="0" w:space="0" w:color="auto"/>
        <w:left w:val="none" w:sz="0" w:space="0" w:color="auto"/>
        <w:bottom w:val="none" w:sz="0" w:space="0" w:color="auto"/>
        <w:right w:val="none" w:sz="0" w:space="0" w:color="auto"/>
      </w:divBdr>
    </w:div>
    <w:div w:id="1586301902">
      <w:bodyDiv w:val="1"/>
      <w:marLeft w:val="0"/>
      <w:marRight w:val="0"/>
      <w:marTop w:val="0"/>
      <w:marBottom w:val="0"/>
      <w:divBdr>
        <w:top w:val="none" w:sz="0" w:space="0" w:color="auto"/>
        <w:left w:val="none" w:sz="0" w:space="0" w:color="auto"/>
        <w:bottom w:val="none" w:sz="0" w:space="0" w:color="auto"/>
        <w:right w:val="none" w:sz="0" w:space="0" w:color="auto"/>
      </w:divBdr>
    </w:div>
    <w:div w:id="1670674642">
      <w:bodyDiv w:val="1"/>
      <w:marLeft w:val="0"/>
      <w:marRight w:val="0"/>
      <w:marTop w:val="0"/>
      <w:marBottom w:val="0"/>
      <w:divBdr>
        <w:top w:val="none" w:sz="0" w:space="0" w:color="auto"/>
        <w:left w:val="none" w:sz="0" w:space="0" w:color="auto"/>
        <w:bottom w:val="none" w:sz="0" w:space="0" w:color="auto"/>
        <w:right w:val="none" w:sz="0" w:space="0" w:color="auto"/>
      </w:divBdr>
    </w:div>
    <w:div w:id="1835412402">
      <w:bodyDiv w:val="1"/>
      <w:marLeft w:val="0"/>
      <w:marRight w:val="0"/>
      <w:marTop w:val="0"/>
      <w:marBottom w:val="0"/>
      <w:divBdr>
        <w:top w:val="none" w:sz="0" w:space="0" w:color="auto"/>
        <w:left w:val="none" w:sz="0" w:space="0" w:color="auto"/>
        <w:bottom w:val="none" w:sz="0" w:space="0" w:color="auto"/>
        <w:right w:val="none" w:sz="0" w:space="0" w:color="auto"/>
      </w:divBdr>
    </w:div>
    <w:div w:id="2098279895">
      <w:bodyDiv w:val="1"/>
      <w:marLeft w:val="0"/>
      <w:marRight w:val="0"/>
      <w:marTop w:val="0"/>
      <w:marBottom w:val="0"/>
      <w:divBdr>
        <w:top w:val="none" w:sz="0" w:space="0" w:color="auto"/>
        <w:left w:val="none" w:sz="0" w:space="0" w:color="auto"/>
        <w:bottom w:val="none" w:sz="0" w:space="0" w:color="auto"/>
        <w:right w:val="none" w:sz="0" w:space="0" w:color="auto"/>
      </w:divBdr>
    </w:div>
    <w:div w:id="21440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DAM/trans/doc/2010/ac10c4/UN-SCEGHS-20-INF40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DAM/trans/doc/2010/ac10c4/ST-SG-AC10-C4-2010-16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0C57C-EADC-4D61-AA9B-CFCAED1C711A}">
  <ds:schemaRefs>
    <ds:schemaRef ds:uri="http://schemas.openxmlformats.org/officeDocument/2006/bibliography"/>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870BB150-6975-4088-9F31-83C3C5F7E88A}">
  <ds:schemaRefs>
    <ds:schemaRef ds:uri="4b4a1c0d-4a69-4996-a84a-fc699b9f49d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85ec44e-1bab-4c0b-9df0-6ba128686fc9"/>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6BC44193-AF7D-4D6D-A1C2-1412475F4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2668</Words>
  <Characters>15210</Characters>
  <Application>Microsoft Office Word</Application>
  <DocSecurity>4</DocSecurity>
  <Lines>126</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3.2 Skin corrosion/irritation</vt:lpstr>
      <vt:lpstr>        3.2.3.2 Classification of mixtures when data are not available for the complete </vt:lpstr>
    </vt:vector>
  </TitlesOfParts>
  <Company>ECE-ISU</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Rosa Garcia Couto</cp:lastModifiedBy>
  <cp:revision>35</cp:revision>
  <cp:lastPrinted>2021-12-01T21:07:00Z</cp:lastPrinted>
  <dcterms:created xsi:type="dcterms:W3CDTF">2024-07-01T16:53:00Z</dcterms:created>
  <dcterms:modified xsi:type="dcterms:W3CDTF">2024-07-01T23:31:00Z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