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99001C" w:rsidRPr="00EA2D43" w14:paraId="30C104C8" w14:textId="77777777" w:rsidTr="00691F20">
        <w:trPr>
          <w:cantSplit/>
          <w:trHeight w:hRule="exact" w:val="851"/>
        </w:trPr>
        <w:tc>
          <w:tcPr>
            <w:tcW w:w="9639" w:type="dxa"/>
            <w:tcBorders>
              <w:bottom w:val="single" w:sz="4" w:space="0" w:color="auto"/>
            </w:tcBorders>
            <w:vAlign w:val="bottom"/>
          </w:tcPr>
          <w:p w14:paraId="70380913" w14:textId="4C9A1668" w:rsidR="0099001C" w:rsidRPr="00EA2D43" w:rsidRDefault="0099001C" w:rsidP="00226D9D">
            <w:pPr>
              <w:jc w:val="right"/>
              <w:rPr>
                <w:b/>
                <w:sz w:val="40"/>
                <w:szCs w:val="40"/>
              </w:rPr>
            </w:pPr>
            <w:r w:rsidRPr="00EA2D43">
              <w:rPr>
                <w:b/>
                <w:sz w:val="40"/>
                <w:szCs w:val="40"/>
              </w:rPr>
              <w:t>UN/SCE</w:t>
            </w:r>
            <w:r w:rsidR="00B83093">
              <w:rPr>
                <w:b/>
                <w:sz w:val="40"/>
                <w:szCs w:val="40"/>
              </w:rPr>
              <w:t>GHS</w:t>
            </w:r>
            <w:r w:rsidRPr="00EA2D43">
              <w:rPr>
                <w:b/>
                <w:sz w:val="40"/>
                <w:szCs w:val="40"/>
              </w:rPr>
              <w:t>/</w:t>
            </w:r>
            <w:r w:rsidR="006F1999">
              <w:rPr>
                <w:b/>
                <w:sz w:val="40"/>
                <w:szCs w:val="40"/>
              </w:rPr>
              <w:t>4</w:t>
            </w:r>
            <w:r w:rsidR="002029CA">
              <w:rPr>
                <w:b/>
                <w:sz w:val="40"/>
                <w:szCs w:val="40"/>
              </w:rPr>
              <w:t>6</w:t>
            </w:r>
            <w:r w:rsidRPr="00EA2D43">
              <w:rPr>
                <w:b/>
                <w:sz w:val="40"/>
                <w:szCs w:val="40"/>
              </w:rPr>
              <w:t>/INF.</w:t>
            </w:r>
            <w:r w:rsidR="00FB48D5" w:rsidRPr="00EA2D43">
              <w:rPr>
                <w:b/>
                <w:sz w:val="40"/>
                <w:szCs w:val="40"/>
              </w:rPr>
              <w:t>1</w:t>
            </w:r>
          </w:p>
        </w:tc>
      </w:tr>
      <w:tr w:rsidR="0099001C" w:rsidRPr="00EA2D43" w14:paraId="65B0C0A9" w14:textId="77777777" w:rsidTr="008B6E26">
        <w:trPr>
          <w:cantSplit/>
          <w:trHeight w:hRule="exact" w:val="3114"/>
        </w:trPr>
        <w:tc>
          <w:tcPr>
            <w:tcW w:w="9639" w:type="dxa"/>
            <w:tcBorders>
              <w:top w:val="single" w:sz="4" w:space="0" w:color="auto"/>
            </w:tcBorders>
          </w:tcPr>
          <w:p w14:paraId="49EAEE05" w14:textId="77777777" w:rsidR="00192056" w:rsidRDefault="00192056" w:rsidP="00192056">
            <w:pPr>
              <w:spacing w:before="120"/>
              <w:rPr>
                <w:b/>
                <w:sz w:val="24"/>
                <w:szCs w:val="24"/>
                <w:lang w:val="en-US"/>
              </w:rPr>
            </w:pPr>
            <w:r>
              <w:rPr>
                <w:b/>
                <w:sz w:val="24"/>
                <w:szCs w:val="24"/>
                <w:lang w:val="en-US"/>
              </w:rPr>
              <w:t>Committee of Experts on the Transport of Dangerous Goods</w:t>
            </w:r>
            <w:r>
              <w:rPr>
                <w:b/>
                <w:sz w:val="24"/>
                <w:szCs w:val="24"/>
                <w:lang w:val="en-US"/>
              </w:rPr>
              <w:br/>
              <w:t>and on the Globally Harmonized System of Classification</w:t>
            </w:r>
            <w:r>
              <w:rPr>
                <w:b/>
                <w:sz w:val="24"/>
                <w:szCs w:val="24"/>
                <w:lang w:val="en-US"/>
              </w:rPr>
              <w:br/>
              <w:t>and Labelling of Chemicals</w:t>
            </w:r>
          </w:p>
          <w:p w14:paraId="54BA071D" w14:textId="3421C1F7" w:rsidR="00192056" w:rsidRDefault="00192056" w:rsidP="00192056">
            <w:pPr>
              <w:tabs>
                <w:tab w:val="right" w:pos="9300"/>
              </w:tabs>
              <w:spacing w:before="120"/>
              <w:rPr>
                <w:b/>
                <w:lang w:val="en-US"/>
              </w:rPr>
            </w:pPr>
            <w:r w:rsidRPr="000B4919">
              <w:rPr>
                <w:b/>
              </w:rPr>
              <w:t xml:space="preserve">Sub-Committee of Experts on the Globally Harmonized System </w:t>
            </w:r>
            <w:r>
              <w:rPr>
                <w:b/>
              </w:rPr>
              <w:br/>
            </w:r>
            <w:r w:rsidRPr="008B11BF">
              <w:rPr>
                <w:b/>
              </w:rPr>
              <w:t>of Classification and Labelling of Chemicals</w:t>
            </w:r>
            <w:r w:rsidRPr="008B11BF">
              <w:rPr>
                <w:b/>
                <w:lang w:val="en-US"/>
              </w:rPr>
              <w:t xml:space="preserve">  </w:t>
            </w:r>
            <w:r w:rsidRPr="008B11BF">
              <w:rPr>
                <w:b/>
                <w:lang w:val="en-US"/>
              </w:rPr>
              <w:tab/>
            </w:r>
            <w:r w:rsidR="00AE0223" w:rsidRPr="00AE0223">
              <w:rPr>
                <w:b/>
                <w:lang w:val="en-US"/>
              </w:rPr>
              <w:t>3</w:t>
            </w:r>
            <w:r w:rsidR="002029CA" w:rsidRPr="00AE0223">
              <w:rPr>
                <w:b/>
                <w:lang w:val="en-US"/>
              </w:rPr>
              <w:t xml:space="preserve"> July </w:t>
            </w:r>
            <w:r w:rsidRPr="00AE0223">
              <w:rPr>
                <w:b/>
                <w:lang w:val="en-US"/>
              </w:rPr>
              <w:t>202</w:t>
            </w:r>
            <w:r w:rsidR="002029CA" w:rsidRPr="00AE0223">
              <w:rPr>
                <w:b/>
                <w:lang w:val="en-US"/>
              </w:rPr>
              <w:t>4</w:t>
            </w:r>
          </w:p>
          <w:p w14:paraId="79F2BDC1" w14:textId="1F73F0E0" w:rsidR="009D7DB7" w:rsidRPr="00227269" w:rsidRDefault="009D7DB7" w:rsidP="009D7DB7">
            <w:pPr>
              <w:spacing w:before="120"/>
              <w:rPr>
                <w:b/>
              </w:rPr>
            </w:pPr>
            <w:r w:rsidRPr="00227269">
              <w:rPr>
                <w:b/>
              </w:rPr>
              <w:t>Forty-</w:t>
            </w:r>
            <w:r w:rsidR="002029CA">
              <w:rPr>
                <w:b/>
              </w:rPr>
              <w:t>sixth</w:t>
            </w:r>
            <w:r w:rsidRPr="00227269">
              <w:rPr>
                <w:b/>
              </w:rPr>
              <w:t xml:space="preserve"> session</w:t>
            </w:r>
          </w:p>
          <w:p w14:paraId="70668C2C" w14:textId="79ADAFC1" w:rsidR="009D7DB7" w:rsidRPr="00227269" w:rsidRDefault="009D7DB7" w:rsidP="009D7DB7">
            <w:r w:rsidRPr="00227269">
              <w:t xml:space="preserve">Geneva, </w:t>
            </w:r>
            <w:r w:rsidR="002029CA">
              <w:t>3</w:t>
            </w:r>
            <w:r w:rsidRPr="00227269">
              <w:t>-</w:t>
            </w:r>
            <w:r w:rsidR="002029CA">
              <w:t>5</w:t>
            </w:r>
            <w:r w:rsidRPr="00227269">
              <w:t xml:space="preserve"> </w:t>
            </w:r>
            <w:r w:rsidR="002029CA">
              <w:t>July 2024</w:t>
            </w:r>
          </w:p>
          <w:p w14:paraId="298712D8" w14:textId="77777777" w:rsidR="00192056" w:rsidRPr="00951EBC" w:rsidRDefault="00192056" w:rsidP="00192056">
            <w:r>
              <w:t>I</w:t>
            </w:r>
            <w:r w:rsidRPr="00951EBC">
              <w:t>tem 1 of the provisional agenda</w:t>
            </w:r>
          </w:p>
          <w:p w14:paraId="32F46AC4" w14:textId="3DEAA6A9" w:rsidR="0099001C" w:rsidRPr="00EA2D43" w:rsidRDefault="00192056" w:rsidP="00192056">
            <w:pPr>
              <w:jc w:val="both"/>
              <w:rPr>
                <w:highlight w:val="yellow"/>
              </w:rPr>
            </w:pPr>
            <w:r w:rsidRPr="00951EBC">
              <w:rPr>
                <w:b/>
                <w:bCs/>
                <w:lang w:eastAsia="en-GB"/>
              </w:rPr>
              <w:t>Adoption of the agenda</w:t>
            </w:r>
          </w:p>
        </w:tc>
      </w:tr>
    </w:tbl>
    <w:p w14:paraId="48DBFCF8" w14:textId="7A0B19E6" w:rsidR="006A7757" w:rsidRPr="00870D13" w:rsidRDefault="0099001C" w:rsidP="006A7757">
      <w:pPr>
        <w:pStyle w:val="HChG"/>
      </w:pPr>
      <w:r w:rsidRPr="00870D13">
        <w:rPr>
          <w:rFonts w:eastAsia="MS Mincho"/>
          <w:lang w:val="en-US" w:eastAsia="ja-JP"/>
        </w:rPr>
        <w:tab/>
      </w:r>
      <w:r w:rsidR="002A5A2D" w:rsidRPr="00870D13">
        <w:rPr>
          <w:rFonts w:eastAsia="MS Mincho"/>
          <w:lang w:val="en-US" w:eastAsia="ja-JP"/>
        </w:rPr>
        <w:t>List of documents</w:t>
      </w:r>
      <w:r w:rsidR="006A7757" w:rsidRPr="00870D13">
        <w:t xml:space="preserve"> </w:t>
      </w:r>
    </w:p>
    <w:p w14:paraId="3A848D50" w14:textId="7C8E4C1E" w:rsidR="006A7757" w:rsidRPr="00870D13" w:rsidRDefault="006A7757" w:rsidP="006A7757">
      <w:pPr>
        <w:pStyle w:val="H1G"/>
        <w:rPr>
          <w:rFonts w:eastAsia="MS Mincho"/>
        </w:rPr>
      </w:pPr>
      <w:r w:rsidRPr="00870D13">
        <w:rPr>
          <w:rFonts w:eastAsia="MS Mincho"/>
        </w:rPr>
        <w:tab/>
      </w:r>
      <w:r w:rsidR="00FB48D5" w:rsidRPr="00870D13">
        <w:rPr>
          <w:rFonts w:eastAsia="MS Mincho"/>
        </w:rPr>
        <w:t>Note</w:t>
      </w:r>
      <w:r w:rsidRPr="00870D13">
        <w:rPr>
          <w:rFonts w:eastAsia="MS Mincho"/>
        </w:rPr>
        <w:t xml:space="preserve"> by </w:t>
      </w:r>
      <w:r w:rsidR="00FB48D5" w:rsidRPr="00870D13">
        <w:rPr>
          <w:rFonts w:eastAsia="MS Mincho"/>
        </w:rPr>
        <w:t>the secretariat</w:t>
      </w:r>
    </w:p>
    <w:p w14:paraId="0A2DFA07" w14:textId="7CE51CC9" w:rsidR="00FB48D5" w:rsidRPr="00870D13" w:rsidRDefault="00FB48D5" w:rsidP="002E7B40">
      <w:pPr>
        <w:pStyle w:val="HChG"/>
      </w:pPr>
      <w:r w:rsidRPr="00870D13">
        <w:tab/>
        <w:t>Background documents</w:t>
      </w:r>
      <w:r w:rsidR="004E674C" w:rsidRPr="00870D13">
        <w:t xml:space="preserve"> (</w:t>
      </w:r>
      <w:r w:rsidR="000B3A1F">
        <w:t>s</w:t>
      </w:r>
      <w:r w:rsidR="004E674C" w:rsidRPr="00870D13">
        <w:t>ecretariat)</w:t>
      </w:r>
    </w:p>
    <w:tbl>
      <w:tblPr>
        <w:tblW w:w="9356" w:type="dxa"/>
        <w:tblLayout w:type="fixed"/>
        <w:tblCellMar>
          <w:left w:w="0" w:type="dxa"/>
          <w:right w:w="0" w:type="dxa"/>
        </w:tblCellMar>
        <w:tblLook w:val="01E0" w:firstRow="1" w:lastRow="1" w:firstColumn="1" w:lastColumn="1" w:noHBand="0" w:noVBand="0"/>
      </w:tblPr>
      <w:tblGrid>
        <w:gridCol w:w="9356"/>
      </w:tblGrid>
      <w:tr w:rsidR="003C5E58" w:rsidRPr="00956B7C" w14:paraId="18620957" w14:textId="77777777" w:rsidTr="003C5E58">
        <w:tc>
          <w:tcPr>
            <w:tcW w:w="9356" w:type="dxa"/>
            <w:shd w:val="clear" w:color="auto" w:fill="auto"/>
          </w:tcPr>
          <w:p w14:paraId="5DA5749D" w14:textId="45E38C54" w:rsidR="003C5E58" w:rsidRPr="00956B7C" w:rsidRDefault="003C5E58" w:rsidP="001D0A91">
            <w:pPr>
              <w:tabs>
                <w:tab w:val="left" w:pos="2835"/>
              </w:tabs>
              <w:spacing w:before="40" w:after="40"/>
            </w:pPr>
            <w:r w:rsidRPr="00956B7C">
              <w:t>ST/SG/AC.10/C.4/</w:t>
            </w:r>
            <w:r>
              <w:t>91</w:t>
            </w:r>
            <w:r w:rsidRPr="00956B7C">
              <w:t xml:space="preserve"> and</w:t>
            </w:r>
            <w:r w:rsidRPr="00956B7C">
              <w:tab/>
            </w:r>
            <w:r w:rsidRPr="00956B7C">
              <w:tab/>
              <w:t>Agenda for the forty-</w:t>
            </w:r>
            <w:r>
              <w:t>sixth</w:t>
            </w:r>
            <w:r w:rsidRPr="00956B7C">
              <w:t xml:space="preserve"> session</w:t>
            </w:r>
          </w:p>
        </w:tc>
      </w:tr>
      <w:tr w:rsidR="003C5E58" w:rsidRPr="00956B7C" w14:paraId="696C927E" w14:textId="77777777" w:rsidTr="003C5E58">
        <w:tc>
          <w:tcPr>
            <w:tcW w:w="9356" w:type="dxa"/>
            <w:shd w:val="clear" w:color="auto" w:fill="auto"/>
          </w:tcPr>
          <w:p w14:paraId="41F716B0" w14:textId="05662A7D" w:rsidR="003C5E58" w:rsidRPr="00956B7C" w:rsidRDefault="003C5E58" w:rsidP="001D0A91">
            <w:pPr>
              <w:tabs>
                <w:tab w:val="left" w:pos="2835"/>
              </w:tabs>
              <w:spacing w:before="40" w:after="40"/>
            </w:pPr>
            <w:r w:rsidRPr="00956B7C">
              <w:t>ST/SG/AC.10/C.4/</w:t>
            </w:r>
            <w:r>
              <w:t>91</w:t>
            </w:r>
            <w:r w:rsidRPr="00956B7C">
              <w:t>/Add.1</w:t>
            </w:r>
            <w:r w:rsidRPr="00956B7C">
              <w:tab/>
              <w:t>Annotated provisional agenda for the forty-</w:t>
            </w:r>
            <w:r>
              <w:t>sixth</w:t>
            </w:r>
            <w:r w:rsidRPr="00956B7C">
              <w:t xml:space="preserve"> session</w:t>
            </w:r>
          </w:p>
        </w:tc>
      </w:tr>
      <w:tr w:rsidR="003C5E58" w:rsidRPr="00146318" w14:paraId="31D987E8" w14:textId="77777777" w:rsidTr="003C5E58">
        <w:tc>
          <w:tcPr>
            <w:tcW w:w="9356" w:type="dxa"/>
            <w:shd w:val="clear" w:color="auto" w:fill="auto"/>
          </w:tcPr>
          <w:tbl>
            <w:tblPr>
              <w:tblStyle w:val="TableGrid"/>
              <w:tblW w:w="9604" w:type="dxa"/>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6"/>
              <w:gridCol w:w="6838"/>
            </w:tblGrid>
            <w:tr w:rsidR="003C5E58" w:rsidRPr="00956B7C" w14:paraId="080F4162" w14:textId="77777777" w:rsidTr="00516875">
              <w:tc>
                <w:tcPr>
                  <w:tcW w:w="2766" w:type="dxa"/>
                </w:tcPr>
                <w:p w14:paraId="6914677B" w14:textId="6141EF6F" w:rsidR="003C5E58" w:rsidRPr="00956B7C" w:rsidRDefault="003C5E58" w:rsidP="00AC706E">
                  <w:pPr>
                    <w:spacing w:before="40" w:after="40"/>
                  </w:pPr>
                  <w:r w:rsidRPr="00956B7C">
                    <w:t>ST/SG/AC.10/30/Rev.10</w:t>
                  </w:r>
                </w:p>
              </w:tc>
              <w:tc>
                <w:tcPr>
                  <w:tcW w:w="6838" w:type="dxa"/>
                </w:tcPr>
                <w:p w14:paraId="4ED2CCFF" w14:textId="11D3F315" w:rsidR="003C5E58" w:rsidRPr="00956B7C" w:rsidRDefault="003C5E58" w:rsidP="00AC706E">
                  <w:pPr>
                    <w:spacing w:before="40" w:after="40"/>
                  </w:pPr>
                  <w:r w:rsidRPr="00956B7C">
                    <w:t>Globally Harmonized System of Classification and Labelling of Chemicals (GHS), tenth revised edition</w:t>
                  </w:r>
                </w:p>
              </w:tc>
            </w:tr>
            <w:tr w:rsidR="003C5E58" w:rsidRPr="00956B7C" w14:paraId="51F1D28E" w14:textId="77777777" w:rsidTr="00516875">
              <w:tc>
                <w:tcPr>
                  <w:tcW w:w="2766" w:type="dxa"/>
                </w:tcPr>
                <w:p w14:paraId="4C4C11E9" w14:textId="0F9D4BB6" w:rsidR="003C5E58" w:rsidRPr="00956B7C" w:rsidRDefault="003C5E58" w:rsidP="00170F4C">
                  <w:pPr>
                    <w:spacing w:before="40" w:after="40"/>
                  </w:pPr>
                  <w:r w:rsidRPr="00956B7C">
                    <w:t>ST/SG/AC.10/1/Rev.23</w:t>
                  </w:r>
                </w:p>
              </w:tc>
              <w:tc>
                <w:tcPr>
                  <w:tcW w:w="6838" w:type="dxa"/>
                </w:tcPr>
                <w:p w14:paraId="1D57F229" w14:textId="1C53D715" w:rsidR="003C5E58" w:rsidRPr="00956B7C" w:rsidRDefault="003C5E58" w:rsidP="00AC706E">
                  <w:pPr>
                    <w:spacing w:before="40" w:after="40"/>
                  </w:pPr>
                  <w:r w:rsidRPr="00956B7C">
                    <w:t>Recommendations on the Transport of Dangerous Goods, Model Regulations (twenty-third revised edition)</w:t>
                  </w:r>
                </w:p>
              </w:tc>
            </w:tr>
            <w:tr w:rsidR="003C5E58" w:rsidRPr="00956B7C" w14:paraId="4070EB41" w14:textId="77777777" w:rsidTr="00516875">
              <w:tc>
                <w:tcPr>
                  <w:tcW w:w="2766" w:type="dxa"/>
                </w:tcPr>
                <w:p w14:paraId="45276C40" w14:textId="3E3BA5B1" w:rsidR="003C5E58" w:rsidRPr="00956B7C" w:rsidRDefault="003C5E58" w:rsidP="00AC706E">
                  <w:pPr>
                    <w:spacing w:before="40" w:after="40"/>
                  </w:pPr>
                  <w:r w:rsidRPr="00956B7C">
                    <w:t xml:space="preserve">ST/SG/AC.10/11/Rev.8 </w:t>
                  </w:r>
                </w:p>
              </w:tc>
              <w:tc>
                <w:tcPr>
                  <w:tcW w:w="6838" w:type="dxa"/>
                </w:tcPr>
                <w:p w14:paraId="1470A4DA" w14:textId="214AB29A" w:rsidR="003C5E58" w:rsidRPr="00956B7C" w:rsidRDefault="003C5E58" w:rsidP="00AC706E">
                  <w:pPr>
                    <w:spacing w:before="40" w:after="40"/>
                  </w:pPr>
                  <w:r w:rsidRPr="00956B7C">
                    <w:t xml:space="preserve">Manual of Tests and Criteria, eighth revised edition </w:t>
                  </w:r>
                </w:p>
              </w:tc>
            </w:tr>
            <w:tr w:rsidR="003C5E58" w:rsidRPr="00956B7C" w14:paraId="465C2BC0" w14:textId="77777777" w:rsidTr="00516875">
              <w:tc>
                <w:tcPr>
                  <w:tcW w:w="2766" w:type="dxa"/>
                </w:tcPr>
                <w:p w14:paraId="697A5796" w14:textId="607BF6DC" w:rsidR="003C5E58" w:rsidRPr="00956B7C" w:rsidRDefault="003C5E58" w:rsidP="001341DD">
                  <w:pPr>
                    <w:spacing w:before="40" w:after="40"/>
                  </w:pPr>
                  <w:r w:rsidRPr="00956B7C">
                    <w:t>ST/SG/AC.10/C.4/</w:t>
                  </w:r>
                  <w:r w:rsidR="001341DD">
                    <w:t>90</w:t>
                  </w:r>
                </w:p>
              </w:tc>
              <w:tc>
                <w:tcPr>
                  <w:tcW w:w="6838" w:type="dxa"/>
                </w:tcPr>
                <w:p w14:paraId="157F0E81" w14:textId="4E97E032" w:rsidR="003C5E58" w:rsidRPr="00956B7C" w:rsidRDefault="003C5E58" w:rsidP="00AC706E">
                  <w:pPr>
                    <w:spacing w:before="40" w:after="40"/>
                  </w:pPr>
                  <w:r w:rsidRPr="00956B7C">
                    <w:t>Report of the Sub-Committee of Experts on the Globally Harmonized System of Classification and Labelling of Chemicals on its forty-</w:t>
                  </w:r>
                  <w:r>
                    <w:t>fifth</w:t>
                  </w:r>
                  <w:r w:rsidRPr="00956B7C">
                    <w:t xml:space="preserve"> session</w:t>
                  </w:r>
                </w:p>
              </w:tc>
            </w:tr>
            <w:tr w:rsidR="003C5E58" w:rsidRPr="00B93415" w14:paraId="11745864" w14:textId="77777777" w:rsidTr="00516875">
              <w:tc>
                <w:tcPr>
                  <w:tcW w:w="2766" w:type="dxa"/>
                </w:tcPr>
                <w:p w14:paraId="14709112" w14:textId="1C226B56" w:rsidR="003C5E58" w:rsidRPr="00956B7C" w:rsidRDefault="003C5E58" w:rsidP="000F1822">
                  <w:pPr>
                    <w:spacing w:before="40" w:after="40"/>
                  </w:pPr>
                  <w:r w:rsidRPr="00956B7C">
                    <w:t>ST/SG/AC.10/C.3/12</w:t>
                  </w:r>
                  <w:r w:rsidR="001341DD">
                    <w:t>6</w:t>
                  </w:r>
                  <w:r w:rsidRPr="00956B7C">
                    <w:br/>
                    <w:t>and -/Add.1  </w:t>
                  </w:r>
                </w:p>
              </w:tc>
              <w:tc>
                <w:tcPr>
                  <w:tcW w:w="6838" w:type="dxa"/>
                </w:tcPr>
                <w:p w14:paraId="3D7A21ED" w14:textId="584521BF" w:rsidR="003C5E58" w:rsidRPr="00B93415" w:rsidRDefault="003C5E58" w:rsidP="00AC706E">
                  <w:pPr>
                    <w:spacing w:before="40" w:after="40"/>
                  </w:pPr>
                  <w:r w:rsidRPr="00956B7C">
                    <w:t>Report of the Sub-Committee of Experts on the Transport of Dangerous Goods on its sixty-</w:t>
                  </w:r>
                  <w:r>
                    <w:t>third</w:t>
                  </w:r>
                  <w:r w:rsidRPr="00956B7C">
                    <w:t xml:space="preserve"> session</w:t>
                  </w:r>
                </w:p>
              </w:tc>
            </w:tr>
          </w:tbl>
          <w:p w14:paraId="20DD885B" w14:textId="688D9C87" w:rsidR="003C5E58" w:rsidRPr="00B93415" w:rsidRDefault="003C5E58" w:rsidP="007A4977">
            <w:pPr>
              <w:spacing w:before="30" w:after="30"/>
            </w:pPr>
          </w:p>
        </w:tc>
      </w:tr>
    </w:tbl>
    <w:p w14:paraId="42100DBA" w14:textId="77777777" w:rsidR="00FB48D5" w:rsidRPr="00870D13" w:rsidRDefault="00FB48D5" w:rsidP="002A5947">
      <w:pPr>
        <w:pStyle w:val="HChG"/>
        <w:keepNext w:val="0"/>
        <w:keepLines w:val="0"/>
        <w:spacing w:before="240" w:after="200"/>
      </w:pPr>
      <w:r w:rsidRPr="00870D13">
        <w:t>Working documents (ST/SG/AC.10/C.</w:t>
      </w:r>
      <w:r w:rsidR="00F244F1">
        <w:t>4</w:t>
      </w:r>
      <w:r w:rsidRPr="00870D13">
        <w:t>/</w:t>
      </w:r>
      <w:r w:rsidR="00110DF6" w:rsidRPr="00870D13">
        <w:t>-</w:t>
      </w:r>
      <w:r w:rsidRPr="00870D13">
        <w:t>)</w:t>
      </w:r>
    </w:p>
    <w:tbl>
      <w:tblPr>
        <w:tblW w:w="9639" w:type="dxa"/>
        <w:tblLook w:val="0000" w:firstRow="0" w:lastRow="0" w:firstColumn="0" w:lastColumn="0" w:noHBand="0" w:noVBand="0"/>
      </w:tblPr>
      <w:tblGrid>
        <w:gridCol w:w="1701"/>
        <w:gridCol w:w="696"/>
        <w:gridCol w:w="7242"/>
      </w:tblGrid>
      <w:tr w:rsidR="001D5801" w:rsidRPr="001D5801" w14:paraId="33EA3399" w14:textId="77777777" w:rsidTr="00F51789">
        <w:tc>
          <w:tcPr>
            <w:tcW w:w="1701" w:type="dxa"/>
            <w:shd w:val="clear" w:color="auto" w:fill="F2F2F2" w:themeFill="background1" w:themeFillShade="F2"/>
          </w:tcPr>
          <w:p w14:paraId="7CEB79C0" w14:textId="6DA2B1C6" w:rsidR="00FB48D5" w:rsidRPr="001D5801" w:rsidRDefault="00FB48D5" w:rsidP="00870D13">
            <w:pPr>
              <w:tabs>
                <w:tab w:val="left" w:pos="567"/>
                <w:tab w:val="left" w:pos="1134"/>
              </w:tabs>
              <w:spacing w:before="20" w:after="20"/>
              <w:ind w:right="-28"/>
              <w:rPr>
                <w:b/>
                <w:i/>
              </w:rPr>
            </w:pPr>
            <w:r w:rsidRPr="001D5801">
              <w:rPr>
                <w:b/>
                <w:i/>
              </w:rPr>
              <w:t>Document</w:t>
            </w:r>
          </w:p>
        </w:tc>
        <w:tc>
          <w:tcPr>
            <w:tcW w:w="696" w:type="dxa"/>
            <w:shd w:val="clear" w:color="auto" w:fill="F2F2F2" w:themeFill="background1" w:themeFillShade="F2"/>
          </w:tcPr>
          <w:p w14:paraId="70AAAB24" w14:textId="77777777" w:rsidR="00FB48D5" w:rsidRPr="001D5801" w:rsidRDefault="00FB48D5" w:rsidP="00870D13">
            <w:pPr>
              <w:spacing w:before="20" w:after="20"/>
              <w:ind w:left="6"/>
              <w:rPr>
                <w:b/>
              </w:rPr>
            </w:pPr>
            <w:r w:rsidRPr="001D5801">
              <w:rPr>
                <w:b/>
                <w:i/>
              </w:rPr>
              <w:t>item</w:t>
            </w:r>
          </w:p>
        </w:tc>
        <w:tc>
          <w:tcPr>
            <w:tcW w:w="7242" w:type="dxa"/>
            <w:shd w:val="clear" w:color="auto" w:fill="F2F2F2" w:themeFill="background1" w:themeFillShade="F2"/>
          </w:tcPr>
          <w:p w14:paraId="5E746F99" w14:textId="77777777" w:rsidR="00FB48D5" w:rsidRPr="001D5801" w:rsidRDefault="00FB48D5" w:rsidP="00870D13">
            <w:pPr>
              <w:spacing w:before="20" w:after="20"/>
              <w:ind w:left="6"/>
              <w:rPr>
                <w:b/>
              </w:rPr>
            </w:pPr>
          </w:p>
        </w:tc>
      </w:tr>
      <w:tr w:rsidR="00CF2B07" w:rsidRPr="00B31887" w14:paraId="09B000DB" w14:textId="77777777" w:rsidTr="00F51789">
        <w:tc>
          <w:tcPr>
            <w:tcW w:w="1701" w:type="dxa"/>
          </w:tcPr>
          <w:p w14:paraId="3ACA4774" w14:textId="1F9F0BED" w:rsidR="00FB48D5" w:rsidRPr="00B844EC" w:rsidRDefault="00226D9D" w:rsidP="00226D9D">
            <w:pPr>
              <w:tabs>
                <w:tab w:val="left" w:pos="567"/>
                <w:tab w:val="left" w:pos="1134"/>
              </w:tabs>
              <w:spacing w:before="20" w:after="20"/>
              <w:ind w:right="-28"/>
            </w:pPr>
            <w:r w:rsidRPr="003933D2">
              <w:rPr>
                <w:b/>
                <w:bCs/>
              </w:rPr>
              <w:t>–/</w:t>
            </w:r>
            <w:r w:rsidR="00605319" w:rsidRPr="003933D2">
              <w:rPr>
                <w:b/>
                <w:bCs/>
              </w:rPr>
              <w:t>202</w:t>
            </w:r>
            <w:r w:rsidR="001341DD" w:rsidRPr="003933D2">
              <w:rPr>
                <w:b/>
                <w:bCs/>
              </w:rPr>
              <w:t>4</w:t>
            </w:r>
            <w:r w:rsidR="00C07F9E" w:rsidRPr="003933D2">
              <w:rPr>
                <w:b/>
                <w:bCs/>
              </w:rPr>
              <w:t>/</w:t>
            </w:r>
            <w:r w:rsidR="001341DD" w:rsidRPr="003933D2">
              <w:rPr>
                <w:b/>
                <w:bCs/>
              </w:rPr>
              <w:t>1</w:t>
            </w:r>
            <w:r w:rsidR="00B12EC9" w:rsidRPr="00B844EC">
              <w:t xml:space="preserve"> </w:t>
            </w:r>
            <w:r w:rsidR="00E02946" w:rsidRPr="00B844EC">
              <w:br/>
            </w:r>
            <w:r w:rsidR="003A6162" w:rsidRPr="00B844EC">
              <w:rPr>
                <w:i/>
                <w:iCs/>
              </w:rPr>
              <w:t>(TDG</w:t>
            </w:r>
            <w:r w:rsidR="00F51789">
              <w:rPr>
                <w:i/>
                <w:iCs/>
              </w:rPr>
              <w:t>,-</w:t>
            </w:r>
            <w:r w:rsidR="00A15BD5" w:rsidRPr="00B844EC">
              <w:rPr>
                <w:i/>
                <w:iCs/>
              </w:rPr>
              <w:t>/</w:t>
            </w:r>
            <w:r w:rsidR="003A6162" w:rsidRPr="00B844EC">
              <w:rPr>
                <w:i/>
                <w:iCs/>
              </w:rPr>
              <w:t>2024/4)</w:t>
            </w:r>
          </w:p>
        </w:tc>
        <w:tc>
          <w:tcPr>
            <w:tcW w:w="696" w:type="dxa"/>
          </w:tcPr>
          <w:p w14:paraId="7D2402EE" w14:textId="65F4B70C" w:rsidR="00FB48D5" w:rsidRPr="00B844EC" w:rsidRDefault="001A4044" w:rsidP="003565E5">
            <w:pPr>
              <w:tabs>
                <w:tab w:val="left" w:pos="75"/>
                <w:tab w:val="center" w:pos="317"/>
              </w:tabs>
              <w:spacing w:before="20" w:after="20"/>
              <w:ind w:left="-108" w:right="-108"/>
              <w:jc w:val="center"/>
            </w:pPr>
            <w:r w:rsidRPr="00B844EC">
              <w:t>2 (</w:t>
            </w:r>
            <w:r w:rsidR="00466E3A" w:rsidRPr="00B844EC">
              <w:t>b</w:t>
            </w:r>
            <w:r w:rsidRPr="00B844EC">
              <w:t>)</w:t>
            </w:r>
          </w:p>
        </w:tc>
        <w:tc>
          <w:tcPr>
            <w:tcW w:w="7242" w:type="dxa"/>
          </w:tcPr>
          <w:p w14:paraId="699163D6" w14:textId="65FB1D90" w:rsidR="00FB48D5" w:rsidRPr="00AA1A9A" w:rsidRDefault="00DE3F35" w:rsidP="003565E5">
            <w:pPr>
              <w:spacing w:before="20" w:after="20"/>
              <w:ind w:left="6"/>
            </w:pPr>
            <w:r w:rsidRPr="00DE3F35">
              <w:t xml:space="preserve">Proposal for clarifications on the combinations of aerosols and chemicals under pressure with other hazard classes in the </w:t>
            </w:r>
            <w:r w:rsidR="00916B5B">
              <w:t>Globally Harmonized System</w:t>
            </w:r>
            <w:r w:rsidRPr="00DE3F35">
              <w:t xml:space="preserve"> </w:t>
            </w:r>
            <w:r w:rsidR="001A4044" w:rsidRPr="00AA1A9A">
              <w:t>(</w:t>
            </w:r>
            <w:r w:rsidR="003A6162">
              <w:t>Germany on behalf of the informal working group</w:t>
            </w:r>
            <w:r w:rsidR="00466E3A">
              <w:t xml:space="preserve"> </w:t>
            </w:r>
            <w:r w:rsidR="00466E3A" w:rsidRPr="00EF00FA">
              <w:rPr>
                <w:lang w:val="en-US" w:eastAsia="ja-JP"/>
              </w:rPr>
              <w:t>on combinations of physical hazards</w:t>
            </w:r>
            <w:r w:rsidR="001A4044" w:rsidRPr="00AA1A9A">
              <w:t>)</w:t>
            </w:r>
          </w:p>
        </w:tc>
      </w:tr>
      <w:tr w:rsidR="00183CBA" w:rsidRPr="00B31887" w14:paraId="679FA717" w14:textId="77777777" w:rsidTr="00F51789">
        <w:tc>
          <w:tcPr>
            <w:tcW w:w="1701" w:type="dxa"/>
          </w:tcPr>
          <w:p w14:paraId="5AA5714B" w14:textId="15134732" w:rsidR="00183CBA" w:rsidRPr="00B844EC" w:rsidRDefault="00183CBA" w:rsidP="00183CBA">
            <w:pPr>
              <w:tabs>
                <w:tab w:val="left" w:pos="567"/>
                <w:tab w:val="left" w:pos="1134"/>
              </w:tabs>
              <w:spacing w:before="20" w:after="20"/>
              <w:ind w:right="-28"/>
            </w:pPr>
            <w:r w:rsidRPr="003933D2">
              <w:rPr>
                <w:b/>
                <w:bCs/>
              </w:rPr>
              <w:t>–/202</w:t>
            </w:r>
            <w:r w:rsidR="003A6162" w:rsidRPr="003933D2">
              <w:rPr>
                <w:b/>
                <w:bCs/>
              </w:rPr>
              <w:t>4</w:t>
            </w:r>
            <w:r w:rsidRPr="003933D2">
              <w:rPr>
                <w:b/>
                <w:bCs/>
              </w:rPr>
              <w:t>/</w:t>
            </w:r>
            <w:r w:rsidR="00581586" w:rsidRPr="003933D2">
              <w:rPr>
                <w:b/>
                <w:bCs/>
              </w:rPr>
              <w:t>2</w:t>
            </w:r>
            <w:r w:rsidRPr="00B844EC">
              <w:t xml:space="preserve"> </w:t>
            </w:r>
            <w:r w:rsidRPr="00B844EC">
              <w:br/>
            </w:r>
            <w:r w:rsidR="00581586" w:rsidRPr="00B844EC">
              <w:rPr>
                <w:i/>
                <w:iCs/>
              </w:rPr>
              <w:t>(TDG</w:t>
            </w:r>
            <w:r w:rsidR="00F51789">
              <w:rPr>
                <w:i/>
                <w:iCs/>
              </w:rPr>
              <w:t>,-/</w:t>
            </w:r>
            <w:r w:rsidR="00581586" w:rsidRPr="00B844EC">
              <w:rPr>
                <w:i/>
                <w:iCs/>
              </w:rPr>
              <w:t>2024/5)</w:t>
            </w:r>
          </w:p>
        </w:tc>
        <w:tc>
          <w:tcPr>
            <w:tcW w:w="696" w:type="dxa"/>
          </w:tcPr>
          <w:p w14:paraId="17F82FC7" w14:textId="1CCB726F" w:rsidR="00183CBA" w:rsidRPr="00B844EC" w:rsidRDefault="00E52B09" w:rsidP="00183CBA">
            <w:pPr>
              <w:tabs>
                <w:tab w:val="left" w:pos="75"/>
                <w:tab w:val="center" w:pos="317"/>
              </w:tabs>
              <w:spacing w:before="20" w:after="20"/>
              <w:ind w:left="-108" w:right="-108"/>
              <w:jc w:val="center"/>
            </w:pPr>
            <w:r w:rsidRPr="00B844EC">
              <w:t>2 (b)</w:t>
            </w:r>
          </w:p>
        </w:tc>
        <w:tc>
          <w:tcPr>
            <w:tcW w:w="7242" w:type="dxa"/>
          </w:tcPr>
          <w:p w14:paraId="274D9D7E" w14:textId="12F17E93" w:rsidR="00183CBA" w:rsidRPr="00AA1A9A" w:rsidRDefault="00E52B09" w:rsidP="00183CBA">
            <w:pPr>
              <w:spacing w:before="20" w:after="20"/>
              <w:ind w:left="6"/>
              <w:rPr>
                <w:rFonts w:eastAsia="MS Mincho"/>
                <w:lang w:val="en-US" w:eastAsia="ja-JP"/>
              </w:rPr>
            </w:pPr>
            <w:r w:rsidRPr="00E52B09">
              <w:rPr>
                <w:rFonts w:eastAsia="MS Mincho"/>
                <w:lang w:val="en-US" w:eastAsia="ja-JP"/>
              </w:rPr>
              <w:t>Proposal for further clarification on the hazard class “Aerosols”  in the Globally Harmonized System</w:t>
            </w:r>
            <w:r>
              <w:rPr>
                <w:rFonts w:eastAsia="MS Mincho"/>
                <w:lang w:val="en-US" w:eastAsia="ja-JP"/>
              </w:rPr>
              <w:t xml:space="preserve"> (FEA)</w:t>
            </w:r>
          </w:p>
        </w:tc>
      </w:tr>
      <w:tr w:rsidR="00183CBA" w:rsidRPr="00CF2B07" w14:paraId="7EB389FF" w14:textId="77777777" w:rsidTr="00F51789">
        <w:tc>
          <w:tcPr>
            <w:tcW w:w="1701" w:type="dxa"/>
          </w:tcPr>
          <w:p w14:paraId="16FAD1EE" w14:textId="1CEEED53" w:rsidR="00183CBA" w:rsidRPr="00B844EC" w:rsidRDefault="00E52B09" w:rsidP="00183CBA">
            <w:pPr>
              <w:tabs>
                <w:tab w:val="left" w:pos="567"/>
                <w:tab w:val="left" w:pos="1134"/>
              </w:tabs>
              <w:spacing w:before="20" w:after="20"/>
              <w:ind w:right="-28"/>
            </w:pPr>
            <w:r w:rsidRPr="003933D2">
              <w:rPr>
                <w:b/>
                <w:bCs/>
              </w:rPr>
              <w:t>–/2024/3</w:t>
            </w:r>
            <w:r w:rsidRPr="00B844EC">
              <w:t xml:space="preserve"> </w:t>
            </w:r>
            <w:r w:rsidRPr="00B844EC">
              <w:br/>
            </w:r>
            <w:r w:rsidRPr="00B844EC">
              <w:rPr>
                <w:i/>
                <w:iCs/>
              </w:rPr>
              <w:t>(TDG</w:t>
            </w:r>
            <w:r w:rsidR="00F51789">
              <w:rPr>
                <w:i/>
                <w:iCs/>
              </w:rPr>
              <w:t>,-</w:t>
            </w:r>
            <w:r w:rsidR="00A15BD5" w:rsidRPr="00B844EC">
              <w:rPr>
                <w:i/>
                <w:iCs/>
              </w:rPr>
              <w:t>/</w:t>
            </w:r>
            <w:r w:rsidRPr="00B844EC">
              <w:rPr>
                <w:i/>
                <w:iCs/>
              </w:rPr>
              <w:t>2024/6)</w:t>
            </w:r>
          </w:p>
        </w:tc>
        <w:tc>
          <w:tcPr>
            <w:tcW w:w="696" w:type="dxa"/>
          </w:tcPr>
          <w:p w14:paraId="2F544BD6" w14:textId="2989A7C7" w:rsidR="00183CBA" w:rsidRPr="00B844EC" w:rsidRDefault="0000194C" w:rsidP="00183CBA">
            <w:pPr>
              <w:tabs>
                <w:tab w:val="left" w:pos="75"/>
                <w:tab w:val="center" w:pos="317"/>
              </w:tabs>
              <w:spacing w:before="20" w:after="20"/>
              <w:ind w:left="-108" w:right="-108"/>
              <w:jc w:val="center"/>
            </w:pPr>
            <w:r w:rsidRPr="00B844EC">
              <w:t>2 (b)</w:t>
            </w:r>
          </w:p>
        </w:tc>
        <w:tc>
          <w:tcPr>
            <w:tcW w:w="7242" w:type="dxa"/>
          </w:tcPr>
          <w:p w14:paraId="4FEE294F" w14:textId="3A8448F3" w:rsidR="00183CBA" w:rsidRPr="00AA1A9A" w:rsidRDefault="0000194C" w:rsidP="00183CBA">
            <w:pPr>
              <w:spacing w:before="20" w:after="20"/>
              <w:ind w:left="6"/>
              <w:rPr>
                <w:rFonts w:eastAsia="MS Mincho"/>
                <w:lang w:val="en-US" w:eastAsia="ja-JP"/>
              </w:rPr>
            </w:pPr>
            <w:r w:rsidRPr="0000194C">
              <w:rPr>
                <w:rFonts w:eastAsia="MS Mincho"/>
                <w:lang w:val="en-US" w:eastAsia="ja-JP"/>
              </w:rPr>
              <w:t>Aerosols – Alignment of special provision 63 with special provision 362</w:t>
            </w:r>
            <w:r>
              <w:rPr>
                <w:rFonts w:eastAsia="MS Mincho"/>
                <w:lang w:val="en-US" w:eastAsia="ja-JP"/>
              </w:rPr>
              <w:t xml:space="preserve"> (FEA)</w:t>
            </w:r>
          </w:p>
        </w:tc>
      </w:tr>
      <w:tr w:rsidR="00183CBA" w:rsidRPr="00435ED3" w14:paraId="27F63ED8" w14:textId="77777777" w:rsidTr="00F51789">
        <w:tc>
          <w:tcPr>
            <w:tcW w:w="1701" w:type="dxa"/>
          </w:tcPr>
          <w:p w14:paraId="08C8B1CA" w14:textId="5399445C" w:rsidR="00183CBA" w:rsidRPr="003933D2" w:rsidRDefault="0000194C" w:rsidP="00183CBA">
            <w:pPr>
              <w:tabs>
                <w:tab w:val="left" w:pos="567"/>
                <w:tab w:val="left" w:pos="1134"/>
              </w:tabs>
              <w:spacing w:before="20" w:after="20"/>
              <w:ind w:right="-28"/>
              <w:rPr>
                <w:b/>
                <w:bCs/>
              </w:rPr>
            </w:pPr>
            <w:r w:rsidRPr="003933D2">
              <w:rPr>
                <w:b/>
                <w:bCs/>
              </w:rPr>
              <w:t xml:space="preserve">–/2024/4 </w:t>
            </w:r>
          </w:p>
        </w:tc>
        <w:tc>
          <w:tcPr>
            <w:tcW w:w="696" w:type="dxa"/>
          </w:tcPr>
          <w:p w14:paraId="16594197" w14:textId="43AC85B5" w:rsidR="00183CBA" w:rsidRPr="00B844EC" w:rsidRDefault="009E3C56" w:rsidP="00183CBA">
            <w:pPr>
              <w:tabs>
                <w:tab w:val="left" w:pos="75"/>
                <w:tab w:val="center" w:pos="317"/>
              </w:tabs>
              <w:spacing w:before="20" w:after="20"/>
              <w:ind w:left="-108" w:right="-108"/>
              <w:jc w:val="center"/>
            </w:pPr>
            <w:r w:rsidRPr="00B844EC">
              <w:t>2 (j)</w:t>
            </w:r>
          </w:p>
        </w:tc>
        <w:tc>
          <w:tcPr>
            <w:tcW w:w="7242" w:type="dxa"/>
          </w:tcPr>
          <w:p w14:paraId="793601F6" w14:textId="5C688090" w:rsidR="00D5068B" w:rsidRPr="00435ED3" w:rsidRDefault="009E3C56" w:rsidP="00D5068B">
            <w:pPr>
              <w:spacing w:before="20" w:after="20"/>
              <w:ind w:left="6"/>
              <w:rPr>
                <w:rFonts w:eastAsia="MS Mincho"/>
                <w:lang w:val="en-US" w:eastAsia="ja-JP"/>
              </w:rPr>
            </w:pPr>
            <w:r w:rsidRPr="009E3C56">
              <w:rPr>
                <w:rFonts w:eastAsia="MS Mincho"/>
                <w:lang w:val="en-US" w:eastAsia="ja-JP"/>
              </w:rPr>
              <w:t>Proposed revision of the term “radioisotopic” in chapter 3.4</w:t>
            </w:r>
            <w:r>
              <w:rPr>
                <w:rFonts w:eastAsia="MS Mincho"/>
                <w:lang w:val="en-US" w:eastAsia="ja-JP"/>
              </w:rPr>
              <w:t xml:space="preserve"> (UK, Netherlands)</w:t>
            </w:r>
          </w:p>
        </w:tc>
      </w:tr>
      <w:tr w:rsidR="00D5068B" w:rsidRPr="00435ED3" w14:paraId="60DFF6C1" w14:textId="77777777" w:rsidTr="00F51789">
        <w:tc>
          <w:tcPr>
            <w:tcW w:w="1701" w:type="dxa"/>
          </w:tcPr>
          <w:p w14:paraId="6F047A0C" w14:textId="4F3E1D17" w:rsidR="00D5068B" w:rsidRPr="00B844EC" w:rsidRDefault="00D5068B" w:rsidP="00183CBA">
            <w:pPr>
              <w:tabs>
                <w:tab w:val="left" w:pos="567"/>
                <w:tab w:val="left" w:pos="1134"/>
              </w:tabs>
              <w:spacing w:before="20" w:after="20"/>
              <w:ind w:right="-28"/>
            </w:pPr>
            <w:r w:rsidRPr="003933D2">
              <w:rPr>
                <w:b/>
                <w:bCs/>
              </w:rPr>
              <w:t>–/2024/5</w:t>
            </w:r>
            <w:r w:rsidRPr="00B844EC">
              <w:t xml:space="preserve"> </w:t>
            </w:r>
            <w:r w:rsidRPr="00B844EC">
              <w:br/>
            </w:r>
            <w:r w:rsidRPr="00B844EC">
              <w:rPr>
                <w:i/>
                <w:iCs/>
              </w:rPr>
              <w:t>(TDG</w:t>
            </w:r>
            <w:r w:rsidR="00F51789">
              <w:rPr>
                <w:i/>
                <w:iCs/>
              </w:rPr>
              <w:t>,-</w:t>
            </w:r>
            <w:r w:rsidR="00A15BD5" w:rsidRPr="00B844EC">
              <w:rPr>
                <w:i/>
                <w:iCs/>
              </w:rPr>
              <w:t>/</w:t>
            </w:r>
            <w:r w:rsidRPr="00B844EC">
              <w:rPr>
                <w:i/>
                <w:iCs/>
              </w:rPr>
              <w:t>2024/</w:t>
            </w:r>
            <w:r w:rsidR="006D750C" w:rsidRPr="00B844EC">
              <w:rPr>
                <w:i/>
                <w:iCs/>
              </w:rPr>
              <w:t>24</w:t>
            </w:r>
            <w:r w:rsidRPr="00B844EC">
              <w:rPr>
                <w:i/>
                <w:iCs/>
              </w:rPr>
              <w:t>)</w:t>
            </w:r>
          </w:p>
        </w:tc>
        <w:tc>
          <w:tcPr>
            <w:tcW w:w="696" w:type="dxa"/>
          </w:tcPr>
          <w:p w14:paraId="19CB0D8E" w14:textId="1B1E1F85" w:rsidR="00D5068B" w:rsidRPr="00B844EC" w:rsidRDefault="00BF4977" w:rsidP="00183CBA">
            <w:pPr>
              <w:tabs>
                <w:tab w:val="left" w:pos="75"/>
                <w:tab w:val="center" w:pos="317"/>
              </w:tabs>
              <w:spacing w:before="20" w:after="20"/>
              <w:ind w:left="-108" w:right="-108"/>
              <w:jc w:val="center"/>
            </w:pPr>
            <w:r>
              <w:t>2 (a)</w:t>
            </w:r>
          </w:p>
        </w:tc>
        <w:tc>
          <w:tcPr>
            <w:tcW w:w="7242" w:type="dxa"/>
          </w:tcPr>
          <w:p w14:paraId="1DD3C958" w14:textId="18F64760" w:rsidR="00D5068B" w:rsidRPr="009E3C56" w:rsidRDefault="00A2537D" w:rsidP="00D5068B">
            <w:pPr>
              <w:spacing w:before="20" w:after="20"/>
              <w:ind w:left="6"/>
              <w:rPr>
                <w:rFonts w:eastAsia="MS Mincho"/>
                <w:lang w:val="en-US" w:eastAsia="ja-JP"/>
              </w:rPr>
            </w:pPr>
            <w:r w:rsidRPr="00A2537D">
              <w:rPr>
                <w:rFonts w:eastAsia="MS Mincho"/>
                <w:lang w:val="en-US" w:eastAsia="ja-JP"/>
              </w:rPr>
              <w:t>Consideration of nitrocellulose mixtures in chapter 2.17 (Desensitized explosives) of the Globally Harmonized System, Section 51 of the Manual of Tests and Criteria and special provision 393 of the Model Regulations</w:t>
            </w:r>
            <w:r>
              <w:rPr>
                <w:rFonts w:eastAsia="MS Mincho"/>
                <w:lang w:val="en-US" w:eastAsia="ja-JP"/>
              </w:rPr>
              <w:t xml:space="preserve"> (AEISG)</w:t>
            </w:r>
          </w:p>
        </w:tc>
      </w:tr>
      <w:tr w:rsidR="00D5068B" w:rsidRPr="00435ED3" w14:paraId="60BB7112" w14:textId="77777777" w:rsidTr="00F51789">
        <w:tc>
          <w:tcPr>
            <w:tcW w:w="1701" w:type="dxa"/>
          </w:tcPr>
          <w:p w14:paraId="36E7A13F" w14:textId="41A9B614" w:rsidR="00D5068B" w:rsidRPr="00B844EC" w:rsidRDefault="00165723" w:rsidP="00183CBA">
            <w:pPr>
              <w:tabs>
                <w:tab w:val="left" w:pos="567"/>
                <w:tab w:val="left" w:pos="1134"/>
              </w:tabs>
              <w:spacing w:before="20" w:after="20"/>
              <w:ind w:right="-28"/>
            </w:pPr>
            <w:r w:rsidRPr="003933D2">
              <w:rPr>
                <w:b/>
                <w:bCs/>
              </w:rPr>
              <w:t>–/2024/6</w:t>
            </w:r>
            <w:r w:rsidRPr="00B844EC">
              <w:t xml:space="preserve"> </w:t>
            </w:r>
            <w:r w:rsidRPr="00B844EC">
              <w:br/>
            </w:r>
            <w:r w:rsidRPr="00B844EC">
              <w:rPr>
                <w:i/>
                <w:iCs/>
              </w:rPr>
              <w:t>(TDG</w:t>
            </w:r>
            <w:r w:rsidR="003C10E5">
              <w:rPr>
                <w:i/>
                <w:iCs/>
              </w:rPr>
              <w:t>,</w:t>
            </w:r>
            <w:r w:rsidR="00F51789">
              <w:rPr>
                <w:i/>
                <w:iCs/>
              </w:rPr>
              <w:t>-</w:t>
            </w:r>
            <w:r w:rsidR="00A15BD5" w:rsidRPr="00B844EC">
              <w:rPr>
                <w:i/>
                <w:iCs/>
              </w:rPr>
              <w:t>/</w:t>
            </w:r>
            <w:r w:rsidRPr="00B844EC">
              <w:rPr>
                <w:i/>
                <w:iCs/>
              </w:rPr>
              <w:t>2024/25)</w:t>
            </w:r>
          </w:p>
        </w:tc>
        <w:tc>
          <w:tcPr>
            <w:tcW w:w="696" w:type="dxa"/>
          </w:tcPr>
          <w:p w14:paraId="6F21C9AC" w14:textId="163826B9" w:rsidR="00D5068B" w:rsidRPr="00B844EC" w:rsidRDefault="00687ACF" w:rsidP="00183CBA">
            <w:pPr>
              <w:tabs>
                <w:tab w:val="left" w:pos="75"/>
                <w:tab w:val="center" w:pos="317"/>
              </w:tabs>
              <w:spacing w:before="20" w:after="20"/>
              <w:ind w:left="-108" w:right="-108"/>
              <w:jc w:val="center"/>
            </w:pPr>
            <w:r w:rsidRPr="00B844EC">
              <w:t>2 (j)</w:t>
            </w:r>
          </w:p>
        </w:tc>
        <w:tc>
          <w:tcPr>
            <w:tcW w:w="7242" w:type="dxa"/>
          </w:tcPr>
          <w:p w14:paraId="7E42B8E0" w14:textId="76D71DEA" w:rsidR="00D5068B" w:rsidRPr="009E3C56" w:rsidRDefault="001D21BC" w:rsidP="00D5068B">
            <w:pPr>
              <w:spacing w:before="20" w:after="20"/>
              <w:ind w:left="6"/>
              <w:rPr>
                <w:rFonts w:eastAsia="MS Mincho"/>
                <w:lang w:val="en-US" w:eastAsia="ja-JP"/>
              </w:rPr>
            </w:pPr>
            <w:r>
              <w:rPr>
                <w:lang w:val="en-AU"/>
              </w:rPr>
              <w:t xml:space="preserve">Consideration of amendments to chapter 2.17 (Desensitized </w:t>
            </w:r>
            <w:r w:rsidRPr="00F44F36">
              <w:rPr>
                <w:lang w:val="en-AU"/>
              </w:rPr>
              <w:t>e</w:t>
            </w:r>
            <w:r>
              <w:rPr>
                <w:lang w:val="en-AU"/>
              </w:rPr>
              <w:t>xplosives) of the Globally Harmonized System and section 51 of the Manual of Tests and Criteria</w:t>
            </w:r>
            <w:r w:rsidR="00EB6DFB">
              <w:rPr>
                <w:lang w:val="en-AU"/>
              </w:rPr>
              <w:t xml:space="preserve"> (AEISG)</w:t>
            </w:r>
          </w:p>
        </w:tc>
      </w:tr>
      <w:tr w:rsidR="00D5068B" w:rsidRPr="00435ED3" w14:paraId="6A1BAEE1" w14:textId="77777777" w:rsidTr="00F51789">
        <w:tc>
          <w:tcPr>
            <w:tcW w:w="1701" w:type="dxa"/>
          </w:tcPr>
          <w:p w14:paraId="77707DA0" w14:textId="09103E99" w:rsidR="00D5068B" w:rsidRPr="00B844EC" w:rsidRDefault="00ED3D6A" w:rsidP="00183CBA">
            <w:pPr>
              <w:tabs>
                <w:tab w:val="left" w:pos="567"/>
                <w:tab w:val="left" w:pos="1134"/>
              </w:tabs>
              <w:spacing w:before="20" w:after="20"/>
              <w:ind w:right="-28"/>
            </w:pPr>
            <w:r w:rsidRPr="003933D2">
              <w:rPr>
                <w:b/>
                <w:bCs/>
              </w:rPr>
              <w:t>–/2024/7</w:t>
            </w:r>
            <w:r w:rsidRPr="00B844EC">
              <w:t xml:space="preserve"> </w:t>
            </w:r>
            <w:r w:rsidRPr="00B844EC">
              <w:br/>
            </w:r>
            <w:r w:rsidRPr="00B844EC">
              <w:rPr>
                <w:i/>
                <w:iCs/>
              </w:rPr>
              <w:t>(TDG</w:t>
            </w:r>
            <w:r w:rsidR="003C10E5">
              <w:rPr>
                <w:i/>
                <w:iCs/>
              </w:rPr>
              <w:t>,-</w:t>
            </w:r>
            <w:r w:rsidR="00A15BD5" w:rsidRPr="00B844EC">
              <w:rPr>
                <w:i/>
                <w:iCs/>
              </w:rPr>
              <w:t>/</w:t>
            </w:r>
            <w:r w:rsidRPr="00B844EC">
              <w:rPr>
                <w:i/>
                <w:iCs/>
              </w:rPr>
              <w:t>2024/41)</w:t>
            </w:r>
          </w:p>
        </w:tc>
        <w:tc>
          <w:tcPr>
            <w:tcW w:w="696" w:type="dxa"/>
          </w:tcPr>
          <w:p w14:paraId="31905D09" w14:textId="5D79DAFB" w:rsidR="00D5068B" w:rsidRPr="00B844EC" w:rsidRDefault="00EB6DFB" w:rsidP="00183CBA">
            <w:pPr>
              <w:tabs>
                <w:tab w:val="left" w:pos="75"/>
                <w:tab w:val="center" w:pos="317"/>
              </w:tabs>
              <w:spacing w:before="20" w:after="20"/>
              <w:ind w:left="-108" w:right="-108"/>
              <w:jc w:val="center"/>
            </w:pPr>
            <w:r w:rsidRPr="00B844EC">
              <w:t>2 (a)</w:t>
            </w:r>
          </w:p>
        </w:tc>
        <w:tc>
          <w:tcPr>
            <w:tcW w:w="7242" w:type="dxa"/>
          </w:tcPr>
          <w:p w14:paraId="0A4DEA21" w14:textId="46534F8F" w:rsidR="00D5068B" w:rsidRPr="009E3C56" w:rsidRDefault="00EB6DFB" w:rsidP="00D5068B">
            <w:pPr>
              <w:spacing w:before="20" w:after="20"/>
              <w:ind w:left="6"/>
              <w:rPr>
                <w:rFonts w:eastAsia="MS Mincho"/>
                <w:lang w:val="en-US" w:eastAsia="ja-JP"/>
              </w:rPr>
            </w:pPr>
            <w:r w:rsidRPr="00EB6DFB">
              <w:rPr>
                <w:rFonts w:eastAsia="MS Mincho"/>
                <w:lang w:val="en-US" w:eastAsia="ja-JP"/>
              </w:rPr>
              <w:t>Report of the burn rate informal correspondence group on the revision of section 51.4 of the Manual of Tests and Criteria</w:t>
            </w:r>
            <w:r>
              <w:rPr>
                <w:rFonts w:eastAsia="MS Mincho"/>
                <w:lang w:val="en-US" w:eastAsia="ja-JP"/>
              </w:rPr>
              <w:t xml:space="preserve"> (China)</w:t>
            </w:r>
          </w:p>
        </w:tc>
      </w:tr>
      <w:tr w:rsidR="00D5068B" w:rsidRPr="00435ED3" w14:paraId="6BBED2D5" w14:textId="77777777" w:rsidTr="00F51789">
        <w:tc>
          <w:tcPr>
            <w:tcW w:w="1701" w:type="dxa"/>
          </w:tcPr>
          <w:p w14:paraId="6CE7B6A9" w14:textId="1CA65F56" w:rsidR="00D5068B" w:rsidRPr="003C10E5" w:rsidRDefault="0072183C" w:rsidP="00183CBA">
            <w:pPr>
              <w:tabs>
                <w:tab w:val="left" w:pos="567"/>
                <w:tab w:val="left" w:pos="1134"/>
              </w:tabs>
              <w:spacing w:before="20" w:after="20"/>
              <w:ind w:right="-28"/>
              <w:rPr>
                <w:i/>
                <w:iCs/>
              </w:rPr>
            </w:pPr>
            <w:r w:rsidRPr="00B14D79">
              <w:rPr>
                <w:b/>
                <w:bCs/>
              </w:rPr>
              <w:t>–/2024/8</w:t>
            </w:r>
            <w:r w:rsidRPr="00B14D79">
              <w:br/>
            </w:r>
            <w:r w:rsidR="00B844EC" w:rsidRPr="003C10E5">
              <w:rPr>
                <w:i/>
                <w:iCs/>
              </w:rPr>
              <w:t>(</w:t>
            </w:r>
            <w:r w:rsidRPr="003C10E5">
              <w:rPr>
                <w:i/>
                <w:iCs/>
              </w:rPr>
              <w:t>TDG</w:t>
            </w:r>
            <w:r w:rsidR="003C10E5" w:rsidRPr="003C10E5">
              <w:rPr>
                <w:i/>
                <w:iCs/>
              </w:rPr>
              <w:t>,-</w:t>
            </w:r>
            <w:r w:rsidR="00A15BD5" w:rsidRPr="003C10E5">
              <w:rPr>
                <w:i/>
                <w:iCs/>
              </w:rPr>
              <w:t>/2024/</w:t>
            </w:r>
            <w:r w:rsidR="00584331" w:rsidRPr="003C10E5">
              <w:rPr>
                <w:i/>
                <w:iCs/>
              </w:rPr>
              <w:t>52</w:t>
            </w:r>
            <w:r w:rsidR="00AF31E8" w:rsidRPr="003C10E5">
              <w:rPr>
                <w:i/>
                <w:iCs/>
              </w:rPr>
              <w:t>)</w:t>
            </w:r>
          </w:p>
          <w:p w14:paraId="43DC3175" w14:textId="35A4342B" w:rsidR="00AF31E8" w:rsidRPr="00B14D79" w:rsidRDefault="00AF31E8" w:rsidP="00183CBA">
            <w:pPr>
              <w:tabs>
                <w:tab w:val="left" w:pos="567"/>
                <w:tab w:val="left" w:pos="1134"/>
              </w:tabs>
              <w:spacing w:before="20" w:after="20"/>
              <w:ind w:right="-28"/>
            </w:pPr>
          </w:p>
        </w:tc>
        <w:tc>
          <w:tcPr>
            <w:tcW w:w="696" w:type="dxa"/>
          </w:tcPr>
          <w:p w14:paraId="716221C7" w14:textId="5C59016E" w:rsidR="00D5068B" w:rsidRDefault="005D50ED" w:rsidP="00183CBA">
            <w:pPr>
              <w:tabs>
                <w:tab w:val="left" w:pos="75"/>
                <w:tab w:val="center" w:pos="317"/>
              </w:tabs>
              <w:spacing w:before="20" w:after="20"/>
              <w:ind w:left="-108" w:right="-108"/>
              <w:jc w:val="center"/>
            </w:pPr>
            <w:r>
              <w:t>2 (a)</w:t>
            </w:r>
          </w:p>
        </w:tc>
        <w:tc>
          <w:tcPr>
            <w:tcW w:w="7242" w:type="dxa"/>
          </w:tcPr>
          <w:p w14:paraId="5CB6CC0C" w14:textId="6226627D" w:rsidR="00D5068B" w:rsidRPr="009E3C56" w:rsidRDefault="00284D60" w:rsidP="00D5068B">
            <w:pPr>
              <w:spacing w:before="20" w:after="20"/>
              <w:ind w:left="6"/>
              <w:rPr>
                <w:rFonts w:eastAsia="MS Mincho"/>
                <w:lang w:val="en-US" w:eastAsia="ja-JP"/>
              </w:rPr>
            </w:pPr>
            <w:r>
              <w:rPr>
                <w:rFonts w:eastAsia="MS Mincho"/>
                <w:lang w:val="en-US" w:eastAsia="ja-JP"/>
              </w:rPr>
              <w:t>C</w:t>
            </w:r>
            <w:r w:rsidR="00F8746F" w:rsidRPr="00F8746F">
              <w:rPr>
                <w:rFonts w:eastAsia="MS Mincho"/>
                <w:lang w:val="en-US" w:eastAsia="ja-JP"/>
              </w:rPr>
              <w:t>orrections and amendments to the Model Regulations, the Globally Harmonized System and the Manual of Tests and Criteria</w:t>
            </w:r>
            <w:r w:rsidR="00F8746F">
              <w:rPr>
                <w:rFonts w:eastAsia="MS Mincho"/>
                <w:lang w:val="en-US" w:eastAsia="ja-JP"/>
              </w:rPr>
              <w:t xml:space="preserve"> (AEISG)</w:t>
            </w:r>
          </w:p>
        </w:tc>
      </w:tr>
      <w:tr w:rsidR="003D7247" w:rsidRPr="00435ED3" w14:paraId="61FF4BC2" w14:textId="77777777" w:rsidTr="00F51789">
        <w:tc>
          <w:tcPr>
            <w:tcW w:w="1701" w:type="dxa"/>
          </w:tcPr>
          <w:p w14:paraId="2369219D" w14:textId="77722BDC" w:rsidR="003D7247" w:rsidRPr="003933D2" w:rsidRDefault="003D7247" w:rsidP="00914C3A">
            <w:pPr>
              <w:tabs>
                <w:tab w:val="left" w:pos="567"/>
                <w:tab w:val="left" w:pos="1134"/>
              </w:tabs>
              <w:spacing w:before="20" w:after="20"/>
              <w:ind w:right="-28"/>
              <w:rPr>
                <w:b/>
                <w:bCs/>
              </w:rPr>
            </w:pPr>
            <w:r w:rsidRPr="003933D2">
              <w:rPr>
                <w:b/>
                <w:bCs/>
              </w:rPr>
              <w:lastRenderedPageBreak/>
              <w:t>–/2024/9</w:t>
            </w:r>
          </w:p>
        </w:tc>
        <w:tc>
          <w:tcPr>
            <w:tcW w:w="696" w:type="dxa"/>
          </w:tcPr>
          <w:p w14:paraId="133B38DD" w14:textId="7A654CF9" w:rsidR="003D7247" w:rsidRPr="00B844EC" w:rsidRDefault="003D7247" w:rsidP="00914C3A">
            <w:pPr>
              <w:tabs>
                <w:tab w:val="left" w:pos="75"/>
                <w:tab w:val="center" w:pos="317"/>
              </w:tabs>
              <w:spacing w:before="20" w:after="20"/>
              <w:ind w:left="-108" w:right="-108"/>
              <w:jc w:val="center"/>
            </w:pPr>
            <w:r w:rsidRPr="00B844EC">
              <w:t>2 (</w:t>
            </w:r>
            <w:r w:rsidR="0092749C">
              <w:t>e</w:t>
            </w:r>
            <w:r w:rsidRPr="00B844EC">
              <w:t>)</w:t>
            </w:r>
          </w:p>
        </w:tc>
        <w:tc>
          <w:tcPr>
            <w:tcW w:w="7242" w:type="dxa"/>
          </w:tcPr>
          <w:p w14:paraId="62012BEF" w14:textId="765E7B97" w:rsidR="003D7247" w:rsidRPr="009E3C56" w:rsidRDefault="0092749C" w:rsidP="00914C3A">
            <w:pPr>
              <w:spacing w:before="20" w:after="20"/>
              <w:ind w:left="6"/>
              <w:rPr>
                <w:rFonts w:eastAsia="MS Mincho"/>
                <w:lang w:val="en-US" w:eastAsia="ja-JP"/>
              </w:rPr>
            </w:pPr>
            <w:r w:rsidRPr="00A53FAB">
              <w:rPr>
                <w:lang w:val="en-US"/>
              </w:rPr>
              <w:t xml:space="preserve">Potential hazard issues and their presentation in the Globally Harmonized System: </w:t>
            </w:r>
            <w:bookmarkStart w:id="0" w:name="_Hlk163642101"/>
            <w:r w:rsidRPr="00A53FAB">
              <w:rPr>
                <w:lang w:val="en-US"/>
              </w:rPr>
              <w:t>Mandate to the Organisation for Economic Co-operation and Development (OECD) on persistence and mobility</w:t>
            </w:r>
            <w:bookmarkEnd w:id="0"/>
            <w:r w:rsidR="003D7247">
              <w:rPr>
                <w:rFonts w:eastAsia="MS Mincho"/>
                <w:lang w:val="en-US" w:eastAsia="ja-JP"/>
              </w:rPr>
              <w:t xml:space="preserve"> (</w:t>
            </w:r>
            <w:r>
              <w:rPr>
                <w:rFonts w:eastAsia="MS Mincho"/>
                <w:lang w:val="en-US" w:eastAsia="ja-JP"/>
              </w:rPr>
              <w:t>European Union on behalf of the informal working group</w:t>
            </w:r>
            <w:r w:rsidR="003D7247">
              <w:rPr>
                <w:rFonts w:eastAsia="MS Mincho"/>
                <w:lang w:val="en-US" w:eastAsia="ja-JP"/>
              </w:rPr>
              <w:t>)</w:t>
            </w:r>
          </w:p>
        </w:tc>
      </w:tr>
      <w:tr w:rsidR="0092749C" w:rsidRPr="00435ED3" w14:paraId="2113CE31" w14:textId="77777777" w:rsidTr="00F51789">
        <w:tc>
          <w:tcPr>
            <w:tcW w:w="1701" w:type="dxa"/>
          </w:tcPr>
          <w:p w14:paraId="6549C5EB" w14:textId="328BA910" w:rsidR="0092749C" w:rsidRPr="003933D2" w:rsidRDefault="0092749C" w:rsidP="00914C3A">
            <w:pPr>
              <w:tabs>
                <w:tab w:val="left" w:pos="567"/>
                <w:tab w:val="left" w:pos="1134"/>
              </w:tabs>
              <w:spacing w:before="20" w:after="20"/>
              <w:ind w:right="-28"/>
              <w:rPr>
                <w:b/>
                <w:bCs/>
              </w:rPr>
            </w:pPr>
            <w:r w:rsidRPr="003933D2">
              <w:rPr>
                <w:b/>
                <w:bCs/>
              </w:rPr>
              <w:t>–/2024/10</w:t>
            </w:r>
            <w:r w:rsidRPr="003933D2">
              <w:rPr>
                <w:b/>
                <w:bCs/>
              </w:rPr>
              <w:br/>
            </w:r>
          </w:p>
        </w:tc>
        <w:tc>
          <w:tcPr>
            <w:tcW w:w="696" w:type="dxa"/>
          </w:tcPr>
          <w:p w14:paraId="5A3AB624" w14:textId="77777777" w:rsidR="0092749C" w:rsidRPr="00B844EC" w:rsidRDefault="0092749C" w:rsidP="00914C3A">
            <w:pPr>
              <w:tabs>
                <w:tab w:val="left" w:pos="75"/>
                <w:tab w:val="center" w:pos="317"/>
              </w:tabs>
              <w:spacing w:before="20" w:after="20"/>
              <w:ind w:left="-108" w:right="-108"/>
              <w:jc w:val="center"/>
            </w:pPr>
            <w:r w:rsidRPr="00B844EC">
              <w:t>2 (</w:t>
            </w:r>
            <w:r>
              <w:t>e</w:t>
            </w:r>
            <w:r w:rsidRPr="00B844EC">
              <w:t>)</w:t>
            </w:r>
          </w:p>
        </w:tc>
        <w:tc>
          <w:tcPr>
            <w:tcW w:w="7242" w:type="dxa"/>
          </w:tcPr>
          <w:p w14:paraId="196A60E4" w14:textId="77777777" w:rsidR="0092749C" w:rsidRPr="009E3C56" w:rsidRDefault="0092749C" w:rsidP="00914C3A">
            <w:pPr>
              <w:spacing w:before="20" w:after="20"/>
              <w:ind w:left="6"/>
              <w:rPr>
                <w:rFonts w:eastAsia="MS Mincho"/>
                <w:lang w:val="en-US" w:eastAsia="ja-JP"/>
              </w:rPr>
            </w:pPr>
            <w:r w:rsidRPr="00A53FAB">
              <w:rPr>
                <w:lang w:val="en-US"/>
              </w:rPr>
              <w:t>Potential hazard issues and their presentation in the Globally Harmonized System: Mandate to the Organisation for Economic Co-operation and Development (OECD) on persistence and mobility</w:t>
            </w:r>
            <w:r>
              <w:rPr>
                <w:rFonts w:eastAsia="MS Mincho"/>
                <w:lang w:val="en-US" w:eastAsia="ja-JP"/>
              </w:rPr>
              <w:t xml:space="preserve"> (European Union on behalf of the informal working group)</w:t>
            </w:r>
          </w:p>
        </w:tc>
      </w:tr>
    </w:tbl>
    <w:p w14:paraId="532CD5AA" w14:textId="1AE190CD" w:rsidR="00FB48D5" w:rsidRPr="00CF2B07" w:rsidRDefault="00FB48D5" w:rsidP="00CF2B07">
      <w:pPr>
        <w:pStyle w:val="HChG"/>
      </w:pPr>
      <w:r w:rsidRPr="00CF2B07">
        <w:t>Informa</w:t>
      </w:r>
      <w:r w:rsidR="001035FB" w:rsidRPr="00CF2B07">
        <w:t>l</w:t>
      </w:r>
      <w:r w:rsidRPr="00CF2B07">
        <w:t xml:space="preserve"> documents</w:t>
      </w:r>
    </w:p>
    <w:tbl>
      <w:tblPr>
        <w:tblW w:w="9498" w:type="dxa"/>
        <w:tblLayout w:type="fixed"/>
        <w:tblLook w:val="0000" w:firstRow="0" w:lastRow="0" w:firstColumn="0" w:lastColumn="0" w:noHBand="0" w:noVBand="0"/>
      </w:tblPr>
      <w:tblGrid>
        <w:gridCol w:w="1985"/>
        <w:gridCol w:w="992"/>
        <w:gridCol w:w="6521"/>
      </w:tblGrid>
      <w:tr w:rsidR="00CF2B07" w:rsidRPr="00CF2B07" w14:paraId="473036C1" w14:textId="77777777" w:rsidTr="00516875">
        <w:trPr>
          <w:tblHeader/>
        </w:trPr>
        <w:tc>
          <w:tcPr>
            <w:tcW w:w="1985" w:type="dxa"/>
            <w:shd w:val="clear" w:color="auto" w:fill="F2F2F2" w:themeFill="background1" w:themeFillShade="F2"/>
          </w:tcPr>
          <w:p w14:paraId="7A0DCAD9" w14:textId="77777777" w:rsidR="00FB48D5" w:rsidRPr="00CF2B07" w:rsidRDefault="00FB48D5" w:rsidP="00275D77">
            <w:pPr>
              <w:tabs>
                <w:tab w:val="left" w:pos="567"/>
                <w:tab w:val="left" w:pos="1134"/>
              </w:tabs>
              <w:spacing w:before="20" w:after="20"/>
              <w:ind w:left="3" w:right="-28"/>
              <w:rPr>
                <w:b/>
              </w:rPr>
            </w:pPr>
            <w:r w:rsidRPr="00CF2B07">
              <w:rPr>
                <w:b/>
                <w:i/>
              </w:rPr>
              <w:t>INF. N</w:t>
            </w:r>
            <w:r w:rsidR="00275D77" w:rsidRPr="00CF2B07">
              <w:rPr>
                <w:b/>
                <w:i/>
              </w:rPr>
              <w:t>o</w:t>
            </w:r>
            <w:r w:rsidRPr="00CF2B07">
              <w:rPr>
                <w:b/>
                <w:i/>
              </w:rPr>
              <w:t>.</w:t>
            </w:r>
          </w:p>
        </w:tc>
        <w:tc>
          <w:tcPr>
            <w:tcW w:w="992" w:type="dxa"/>
            <w:shd w:val="clear" w:color="auto" w:fill="F2F2F2" w:themeFill="background1" w:themeFillShade="F2"/>
          </w:tcPr>
          <w:p w14:paraId="7E2BDCD7" w14:textId="77777777" w:rsidR="00FB48D5" w:rsidRPr="00CF2B07" w:rsidRDefault="00FB48D5" w:rsidP="00F618D8">
            <w:pPr>
              <w:tabs>
                <w:tab w:val="left" w:pos="1134"/>
              </w:tabs>
              <w:spacing w:before="20" w:after="20"/>
              <w:ind w:left="-108" w:right="-108"/>
              <w:jc w:val="center"/>
              <w:rPr>
                <w:b/>
                <w:i/>
              </w:rPr>
            </w:pPr>
            <w:r w:rsidRPr="00CF2B07">
              <w:rPr>
                <w:b/>
                <w:i/>
              </w:rPr>
              <w:t>item</w:t>
            </w:r>
          </w:p>
        </w:tc>
        <w:tc>
          <w:tcPr>
            <w:tcW w:w="6521" w:type="dxa"/>
            <w:shd w:val="clear" w:color="auto" w:fill="F2F2F2" w:themeFill="background1" w:themeFillShade="F2"/>
          </w:tcPr>
          <w:p w14:paraId="73C4279A" w14:textId="77777777" w:rsidR="00FB48D5" w:rsidRPr="00CF2B07" w:rsidRDefault="00FB48D5" w:rsidP="002A5A2D">
            <w:pPr>
              <w:tabs>
                <w:tab w:val="left" w:pos="567"/>
                <w:tab w:val="left" w:pos="1134"/>
              </w:tabs>
              <w:spacing w:before="20" w:after="20"/>
              <w:ind w:right="-28"/>
              <w:rPr>
                <w:b/>
                <w:i/>
              </w:rPr>
            </w:pPr>
            <w:r w:rsidRPr="00CF2B07">
              <w:rPr>
                <w:b/>
                <w:i/>
              </w:rPr>
              <w:t>Title</w:t>
            </w:r>
          </w:p>
        </w:tc>
      </w:tr>
      <w:tr w:rsidR="0047030D" w:rsidRPr="00AA1A9A" w14:paraId="4CCE3DAC" w14:textId="77777777" w:rsidTr="00516875">
        <w:tc>
          <w:tcPr>
            <w:tcW w:w="1985" w:type="dxa"/>
          </w:tcPr>
          <w:p w14:paraId="1FB1750A" w14:textId="0AC1F73C" w:rsidR="00FB48D5" w:rsidRPr="00AA1A9A" w:rsidRDefault="00FB48D5" w:rsidP="002A5A2D">
            <w:pPr>
              <w:tabs>
                <w:tab w:val="left" w:pos="567"/>
                <w:tab w:val="left" w:pos="1134"/>
              </w:tabs>
              <w:spacing w:before="20" w:after="20"/>
              <w:ind w:left="-51" w:right="23"/>
            </w:pPr>
            <w:r w:rsidRPr="00AA1A9A">
              <w:t xml:space="preserve">INF.1 </w:t>
            </w:r>
          </w:p>
        </w:tc>
        <w:tc>
          <w:tcPr>
            <w:tcW w:w="992" w:type="dxa"/>
          </w:tcPr>
          <w:p w14:paraId="75E3BBD3" w14:textId="77777777" w:rsidR="00FB48D5" w:rsidRPr="00AA1A9A" w:rsidRDefault="002931D7" w:rsidP="00F618D8">
            <w:pPr>
              <w:tabs>
                <w:tab w:val="left" w:pos="1134"/>
              </w:tabs>
              <w:spacing w:before="20" w:after="20"/>
              <w:ind w:left="-108" w:right="-108"/>
              <w:jc w:val="center"/>
            </w:pPr>
            <w:r w:rsidRPr="00AA1A9A">
              <w:t>1</w:t>
            </w:r>
          </w:p>
        </w:tc>
        <w:tc>
          <w:tcPr>
            <w:tcW w:w="6521" w:type="dxa"/>
          </w:tcPr>
          <w:p w14:paraId="3CA97A86" w14:textId="3D81F900" w:rsidR="00FB48D5" w:rsidRPr="00AA1A9A" w:rsidRDefault="002931D7" w:rsidP="00123D39">
            <w:pPr>
              <w:tabs>
                <w:tab w:val="left" w:pos="567"/>
                <w:tab w:val="left" w:pos="1134"/>
              </w:tabs>
              <w:spacing w:before="20" w:after="20"/>
              <w:ind w:left="-51" w:right="23"/>
            </w:pPr>
            <w:r w:rsidRPr="00AA1A9A">
              <w:t>List of documents</w:t>
            </w:r>
            <w:r w:rsidR="00D1475A" w:rsidRPr="00AA1A9A">
              <w:t xml:space="preserve"> (secretariat)</w:t>
            </w:r>
          </w:p>
        </w:tc>
      </w:tr>
      <w:tr w:rsidR="0047030D" w:rsidRPr="00AA1A9A" w14:paraId="1FEC8643" w14:textId="77777777" w:rsidTr="00516875">
        <w:tc>
          <w:tcPr>
            <w:tcW w:w="1985" w:type="dxa"/>
          </w:tcPr>
          <w:p w14:paraId="1F20C4E8" w14:textId="14CC1A09" w:rsidR="002A5A2D" w:rsidRPr="00AA1A9A" w:rsidRDefault="002A5A2D" w:rsidP="002A5A2D">
            <w:pPr>
              <w:tabs>
                <w:tab w:val="left" w:pos="567"/>
                <w:tab w:val="left" w:pos="1134"/>
              </w:tabs>
              <w:spacing w:before="20" w:after="20"/>
              <w:ind w:left="-51" w:right="23"/>
            </w:pPr>
            <w:r w:rsidRPr="00AA1A9A">
              <w:t xml:space="preserve">INF.2 </w:t>
            </w:r>
          </w:p>
        </w:tc>
        <w:tc>
          <w:tcPr>
            <w:tcW w:w="992" w:type="dxa"/>
          </w:tcPr>
          <w:p w14:paraId="472EAE74" w14:textId="77777777" w:rsidR="002A5A2D" w:rsidRPr="00AA1A9A" w:rsidRDefault="002931D7" w:rsidP="00F618D8">
            <w:pPr>
              <w:tabs>
                <w:tab w:val="left" w:pos="1134"/>
              </w:tabs>
              <w:spacing w:before="20" w:after="20"/>
              <w:ind w:left="-108" w:right="-108"/>
              <w:jc w:val="center"/>
            </w:pPr>
            <w:r w:rsidRPr="00AA1A9A">
              <w:t>1</w:t>
            </w:r>
          </w:p>
        </w:tc>
        <w:tc>
          <w:tcPr>
            <w:tcW w:w="6521" w:type="dxa"/>
          </w:tcPr>
          <w:p w14:paraId="64E77E7E" w14:textId="750F7B98" w:rsidR="002A5A2D" w:rsidRPr="00AA1A9A" w:rsidRDefault="00166E15" w:rsidP="00123D39">
            <w:pPr>
              <w:tabs>
                <w:tab w:val="left" w:pos="567"/>
                <w:tab w:val="left" w:pos="1134"/>
              </w:tabs>
              <w:spacing w:before="20" w:after="20"/>
              <w:ind w:left="-51" w:right="23"/>
            </w:pPr>
            <w:r w:rsidRPr="00AA1A9A">
              <w:t xml:space="preserve">List of documents under agenda item </w:t>
            </w:r>
            <w:r w:rsidR="00D1475A" w:rsidRPr="00AA1A9A">
              <w:t>(secretariat)</w:t>
            </w:r>
          </w:p>
        </w:tc>
      </w:tr>
      <w:tr w:rsidR="00A11670" w:rsidRPr="00A11670" w14:paraId="2DA473E7" w14:textId="77777777" w:rsidTr="00516875">
        <w:tc>
          <w:tcPr>
            <w:tcW w:w="1985" w:type="dxa"/>
          </w:tcPr>
          <w:p w14:paraId="4FE76DB0" w14:textId="72E3A396" w:rsidR="002A5A2D" w:rsidRPr="00AA1A9A" w:rsidRDefault="003565E5" w:rsidP="003565E5">
            <w:pPr>
              <w:tabs>
                <w:tab w:val="left" w:pos="567"/>
                <w:tab w:val="left" w:pos="1134"/>
              </w:tabs>
              <w:spacing w:before="20" w:after="20"/>
              <w:ind w:left="-51" w:right="23"/>
            </w:pPr>
            <w:r w:rsidRPr="00AA1A9A">
              <w:t>INF.</w:t>
            </w:r>
            <w:r w:rsidR="009D0EC7" w:rsidRPr="00AA1A9A">
              <w:t>3</w:t>
            </w:r>
            <w:r w:rsidR="00C2784E" w:rsidRPr="00AA1A9A">
              <w:t xml:space="preserve"> </w:t>
            </w:r>
            <w:r w:rsidR="00466E3A" w:rsidRPr="00AA1A9A">
              <w:rPr>
                <w:i/>
                <w:iCs/>
              </w:rPr>
              <w:t>(TDG INF.</w:t>
            </w:r>
            <w:r w:rsidR="003566E0">
              <w:rPr>
                <w:i/>
                <w:iCs/>
              </w:rPr>
              <w:t>4</w:t>
            </w:r>
            <w:r w:rsidR="00466E3A" w:rsidRPr="00AA1A9A">
              <w:rPr>
                <w:i/>
                <w:iCs/>
              </w:rPr>
              <w:t>)</w:t>
            </w:r>
          </w:p>
        </w:tc>
        <w:tc>
          <w:tcPr>
            <w:tcW w:w="992" w:type="dxa"/>
          </w:tcPr>
          <w:p w14:paraId="7C67DF5C" w14:textId="2843D01F" w:rsidR="002A5A2D" w:rsidRPr="00AA1A9A" w:rsidRDefault="00D1475A" w:rsidP="00787C77">
            <w:pPr>
              <w:ind w:left="-108" w:right="-108"/>
              <w:jc w:val="center"/>
            </w:pPr>
            <w:r w:rsidRPr="00AA1A9A">
              <w:t>2 (</w:t>
            </w:r>
            <w:r w:rsidR="00466E3A">
              <w:t>b</w:t>
            </w:r>
            <w:r w:rsidRPr="00AA1A9A">
              <w:t>)</w:t>
            </w:r>
          </w:p>
        </w:tc>
        <w:tc>
          <w:tcPr>
            <w:tcW w:w="6521" w:type="dxa"/>
          </w:tcPr>
          <w:p w14:paraId="37F0D83D" w14:textId="56FB9193" w:rsidR="007E7DCA" w:rsidRPr="00AA1A9A" w:rsidRDefault="00466E3A" w:rsidP="007E7DCA">
            <w:pPr>
              <w:tabs>
                <w:tab w:val="left" w:pos="567"/>
                <w:tab w:val="left" w:pos="1134"/>
              </w:tabs>
              <w:spacing w:before="20" w:after="20"/>
              <w:ind w:left="-51" w:right="23"/>
              <w:rPr>
                <w:rFonts w:eastAsia="MS Mincho"/>
                <w:lang w:eastAsia="ja-JP"/>
              </w:rPr>
            </w:pPr>
            <w:r w:rsidRPr="00DE3F35">
              <w:t xml:space="preserve">Proposal for clarifications on the combinations of aerosols and chemicals under pressure with other hazard classes in the GHS </w:t>
            </w:r>
            <w:r w:rsidRPr="00AA1A9A">
              <w:t>(</w:t>
            </w:r>
            <w:r>
              <w:t>Germany</w:t>
            </w:r>
            <w:r w:rsidRPr="00AA1A9A">
              <w:t>)</w:t>
            </w:r>
          </w:p>
        </w:tc>
      </w:tr>
      <w:tr w:rsidR="00F95474" w:rsidRPr="00A11670" w14:paraId="7740C883" w14:textId="77777777" w:rsidTr="00914C3A">
        <w:tc>
          <w:tcPr>
            <w:tcW w:w="1985" w:type="dxa"/>
          </w:tcPr>
          <w:p w14:paraId="25020610" w14:textId="7748612D" w:rsidR="00F95474" w:rsidRPr="00AA1A9A" w:rsidRDefault="00F95474" w:rsidP="00914C3A">
            <w:pPr>
              <w:tabs>
                <w:tab w:val="left" w:pos="567"/>
                <w:tab w:val="left" w:pos="1134"/>
              </w:tabs>
              <w:spacing w:before="20" w:after="20"/>
              <w:ind w:left="-51" w:right="23"/>
            </w:pPr>
            <w:r w:rsidRPr="00AA1A9A">
              <w:t>INF.</w:t>
            </w:r>
            <w:r>
              <w:t>4</w:t>
            </w:r>
            <w:r w:rsidRPr="00AA1A9A">
              <w:t xml:space="preserve"> </w:t>
            </w:r>
            <w:r w:rsidRPr="00AA1A9A">
              <w:rPr>
                <w:i/>
                <w:iCs/>
              </w:rPr>
              <w:t>(TDG INF.</w:t>
            </w:r>
            <w:r w:rsidR="003B1220">
              <w:rPr>
                <w:i/>
                <w:iCs/>
              </w:rPr>
              <w:t>5</w:t>
            </w:r>
            <w:r w:rsidRPr="00AA1A9A">
              <w:rPr>
                <w:i/>
                <w:iCs/>
              </w:rPr>
              <w:t>)</w:t>
            </w:r>
          </w:p>
        </w:tc>
        <w:tc>
          <w:tcPr>
            <w:tcW w:w="992" w:type="dxa"/>
          </w:tcPr>
          <w:p w14:paraId="59AF54A0" w14:textId="70E3689C" w:rsidR="00F95474" w:rsidRPr="00AA1A9A" w:rsidRDefault="00F95474" w:rsidP="00914C3A">
            <w:pPr>
              <w:ind w:left="-108" w:right="-108"/>
              <w:jc w:val="center"/>
            </w:pPr>
            <w:r w:rsidRPr="00AA1A9A">
              <w:t>2 (</w:t>
            </w:r>
            <w:r w:rsidR="003B1220">
              <w:t>a</w:t>
            </w:r>
            <w:r w:rsidRPr="00AA1A9A">
              <w:t>)</w:t>
            </w:r>
          </w:p>
        </w:tc>
        <w:tc>
          <w:tcPr>
            <w:tcW w:w="6521" w:type="dxa"/>
          </w:tcPr>
          <w:p w14:paraId="364E5C89" w14:textId="0C0C9849" w:rsidR="00F95474" w:rsidRPr="00AA1A9A" w:rsidRDefault="003B1220" w:rsidP="00914C3A">
            <w:pPr>
              <w:tabs>
                <w:tab w:val="left" w:pos="567"/>
                <w:tab w:val="left" w:pos="1134"/>
              </w:tabs>
              <w:spacing w:before="20" w:after="20"/>
              <w:ind w:left="-51" w:right="23"/>
              <w:rPr>
                <w:rFonts w:eastAsia="MS Mincho"/>
                <w:lang w:eastAsia="ja-JP"/>
              </w:rPr>
            </w:pPr>
            <w:r w:rsidRPr="003B1220">
              <w:t>Report of the informal correspondence group on burning rate: Amendments to subsection 51.4 of the Manual of Tests and Criteria</w:t>
            </w:r>
            <w:r>
              <w:t xml:space="preserve"> (China)</w:t>
            </w:r>
          </w:p>
        </w:tc>
      </w:tr>
      <w:tr w:rsidR="00D439EB" w:rsidRPr="00AA1A9A" w14:paraId="157B165E" w14:textId="77777777" w:rsidTr="00516875">
        <w:tc>
          <w:tcPr>
            <w:tcW w:w="1985" w:type="dxa"/>
          </w:tcPr>
          <w:p w14:paraId="18FF334C" w14:textId="41E457FB" w:rsidR="00F31CF4" w:rsidRPr="00AA1A9A" w:rsidRDefault="009F39C8" w:rsidP="00F31CF4">
            <w:pPr>
              <w:tabs>
                <w:tab w:val="left" w:pos="567"/>
                <w:tab w:val="left" w:pos="1134"/>
              </w:tabs>
              <w:spacing w:before="20" w:after="20"/>
              <w:ind w:left="-51" w:right="23"/>
            </w:pPr>
            <w:r>
              <w:t xml:space="preserve">INF.5 </w:t>
            </w:r>
          </w:p>
        </w:tc>
        <w:tc>
          <w:tcPr>
            <w:tcW w:w="992" w:type="dxa"/>
          </w:tcPr>
          <w:p w14:paraId="115F9DF0" w14:textId="139D2F2C" w:rsidR="00F31CF4" w:rsidRPr="00AA1A9A" w:rsidRDefault="00F14A43" w:rsidP="00F31CF4">
            <w:pPr>
              <w:ind w:left="-108" w:right="-108"/>
              <w:jc w:val="center"/>
            </w:pPr>
            <w:r>
              <w:t>2 (c)</w:t>
            </w:r>
          </w:p>
        </w:tc>
        <w:tc>
          <w:tcPr>
            <w:tcW w:w="6521" w:type="dxa"/>
          </w:tcPr>
          <w:p w14:paraId="1C3AC3ED" w14:textId="411ED5C4" w:rsidR="00F31CF4" w:rsidRPr="00AA1A9A" w:rsidRDefault="00F14A43" w:rsidP="00D439EB">
            <w:pPr>
              <w:tabs>
                <w:tab w:val="left" w:pos="567"/>
                <w:tab w:val="left" w:pos="1134"/>
              </w:tabs>
              <w:spacing w:before="20" w:after="20"/>
              <w:ind w:left="-51" w:right="23"/>
            </w:pPr>
            <w:r w:rsidRPr="00F14A43">
              <w:t>Revision of chapter 3.4 to fully incorporate non-animal testing methods for skin sensitization - mixtures</w:t>
            </w:r>
            <w:r>
              <w:t xml:space="preserve"> (United Kingdom and the Netherlands)</w:t>
            </w:r>
          </w:p>
        </w:tc>
      </w:tr>
      <w:tr w:rsidR="0099358E" w:rsidRPr="00AA1A9A" w14:paraId="670435E6" w14:textId="77777777" w:rsidTr="00516875">
        <w:tc>
          <w:tcPr>
            <w:tcW w:w="1985" w:type="dxa"/>
          </w:tcPr>
          <w:p w14:paraId="43A51A6B" w14:textId="59A74B1B" w:rsidR="0099358E" w:rsidRPr="00AA1A9A" w:rsidRDefault="00A4467A" w:rsidP="00F31CF4">
            <w:pPr>
              <w:tabs>
                <w:tab w:val="left" w:pos="567"/>
                <w:tab w:val="left" w:pos="1134"/>
              </w:tabs>
              <w:spacing w:before="20" w:after="20"/>
              <w:ind w:left="-51" w:right="23"/>
            </w:pPr>
            <w:r>
              <w:t xml:space="preserve">INF.6 </w:t>
            </w:r>
          </w:p>
        </w:tc>
        <w:tc>
          <w:tcPr>
            <w:tcW w:w="992" w:type="dxa"/>
          </w:tcPr>
          <w:p w14:paraId="2FF35A1B" w14:textId="20691D2C" w:rsidR="0099358E" w:rsidRPr="00AA1A9A" w:rsidRDefault="00A4467A" w:rsidP="00F31CF4">
            <w:pPr>
              <w:ind w:left="-108" w:right="-108"/>
              <w:jc w:val="center"/>
            </w:pPr>
            <w:r>
              <w:t>2 (j)</w:t>
            </w:r>
          </w:p>
        </w:tc>
        <w:tc>
          <w:tcPr>
            <w:tcW w:w="6521" w:type="dxa"/>
          </w:tcPr>
          <w:p w14:paraId="25D4927B" w14:textId="4E840007" w:rsidR="0099358E" w:rsidRPr="00AA1A9A" w:rsidRDefault="00A4467A" w:rsidP="00D439EB">
            <w:pPr>
              <w:tabs>
                <w:tab w:val="left" w:pos="567"/>
                <w:tab w:val="left" w:pos="1134"/>
              </w:tabs>
              <w:spacing w:before="20" w:after="20"/>
              <w:ind w:left="-51" w:right="23"/>
            </w:pPr>
            <w:r>
              <w:t>Subcategorization in the GHS</w:t>
            </w:r>
            <w:r w:rsidR="005262A9">
              <w:t xml:space="preserve"> (Secretariat)</w:t>
            </w:r>
          </w:p>
        </w:tc>
      </w:tr>
      <w:tr w:rsidR="00A61A6B" w:rsidRPr="00AA1A9A" w14:paraId="25AD0F60" w14:textId="77777777" w:rsidTr="00516875">
        <w:tc>
          <w:tcPr>
            <w:tcW w:w="1985" w:type="dxa"/>
          </w:tcPr>
          <w:p w14:paraId="5C97CA81" w14:textId="0FB1DB5B" w:rsidR="00A61A6B" w:rsidRPr="00AA1A9A" w:rsidRDefault="007500D1" w:rsidP="00F31CF4">
            <w:pPr>
              <w:tabs>
                <w:tab w:val="left" w:pos="567"/>
                <w:tab w:val="left" w:pos="1134"/>
              </w:tabs>
              <w:spacing w:before="20" w:after="20"/>
              <w:ind w:left="-51" w:right="23"/>
            </w:pPr>
            <w:r>
              <w:t xml:space="preserve">INF.7 </w:t>
            </w:r>
          </w:p>
        </w:tc>
        <w:tc>
          <w:tcPr>
            <w:tcW w:w="992" w:type="dxa"/>
          </w:tcPr>
          <w:p w14:paraId="46408E88" w14:textId="47B31A24" w:rsidR="00A61A6B" w:rsidRPr="00AA1A9A" w:rsidRDefault="007500D1" w:rsidP="00F31CF4">
            <w:pPr>
              <w:ind w:left="-108" w:right="-108"/>
              <w:jc w:val="center"/>
            </w:pPr>
            <w:r>
              <w:t xml:space="preserve">2 (c) </w:t>
            </w:r>
          </w:p>
        </w:tc>
        <w:tc>
          <w:tcPr>
            <w:tcW w:w="6521" w:type="dxa"/>
          </w:tcPr>
          <w:p w14:paraId="35A8BED0" w14:textId="614C3BA4" w:rsidR="00A61A6B" w:rsidRPr="00AA1A9A" w:rsidRDefault="007500D1" w:rsidP="00D439EB">
            <w:pPr>
              <w:tabs>
                <w:tab w:val="left" w:pos="567"/>
                <w:tab w:val="left" w:pos="1134"/>
              </w:tabs>
              <w:spacing w:before="20" w:after="20"/>
              <w:ind w:left="-51" w:right="23"/>
              <w:rPr>
                <w:rFonts w:eastAsia="MS Mincho"/>
                <w:lang w:eastAsia="ja-JP"/>
              </w:rPr>
            </w:pPr>
            <w:r w:rsidRPr="007500D1">
              <w:rPr>
                <w:rFonts w:eastAsia="MS Mincho"/>
                <w:lang w:eastAsia="ja-JP"/>
              </w:rPr>
              <w:t>Comments on document ST/SG/AC.10/C.4/2024/10</w:t>
            </w:r>
            <w:r w:rsidR="005262A9">
              <w:rPr>
                <w:rFonts w:eastAsia="MS Mincho"/>
                <w:lang w:eastAsia="ja-JP"/>
              </w:rPr>
              <w:t xml:space="preserve"> </w:t>
            </w:r>
            <w:r w:rsidR="005262A9">
              <w:t>(Secretariat)</w:t>
            </w:r>
          </w:p>
        </w:tc>
      </w:tr>
      <w:tr w:rsidR="00AB4780" w:rsidRPr="00AA1A9A" w14:paraId="22EA0E63" w14:textId="77777777" w:rsidTr="00516875">
        <w:tc>
          <w:tcPr>
            <w:tcW w:w="1985" w:type="dxa"/>
          </w:tcPr>
          <w:p w14:paraId="7C8BFB9A" w14:textId="726D9424" w:rsidR="00AB4780" w:rsidRPr="00AA1A9A" w:rsidRDefault="005262A9" w:rsidP="00AB4780">
            <w:pPr>
              <w:tabs>
                <w:tab w:val="left" w:pos="567"/>
                <w:tab w:val="left" w:pos="1134"/>
              </w:tabs>
              <w:spacing w:before="20" w:after="20"/>
              <w:ind w:left="-51" w:right="23"/>
            </w:pPr>
            <w:r>
              <w:t xml:space="preserve">INF.8 </w:t>
            </w:r>
          </w:p>
        </w:tc>
        <w:tc>
          <w:tcPr>
            <w:tcW w:w="992" w:type="dxa"/>
          </w:tcPr>
          <w:p w14:paraId="21403643" w14:textId="01EDD962" w:rsidR="00AB4780" w:rsidRPr="00AA1A9A" w:rsidRDefault="008E0056" w:rsidP="00AB4780">
            <w:pPr>
              <w:ind w:left="-108" w:right="-108"/>
              <w:jc w:val="center"/>
            </w:pPr>
            <w:r>
              <w:t>2 (e)</w:t>
            </w:r>
          </w:p>
        </w:tc>
        <w:tc>
          <w:tcPr>
            <w:tcW w:w="6521" w:type="dxa"/>
          </w:tcPr>
          <w:p w14:paraId="376E70CC" w14:textId="5A4C5987" w:rsidR="00AB4780" w:rsidRPr="00AA1A9A" w:rsidRDefault="008E0056" w:rsidP="00AB4780">
            <w:pPr>
              <w:tabs>
                <w:tab w:val="left" w:pos="567"/>
                <w:tab w:val="left" w:pos="1134"/>
              </w:tabs>
              <w:spacing w:before="20" w:after="20"/>
              <w:ind w:left="-51" w:right="23"/>
              <w:rPr>
                <w:rFonts w:eastAsia="MS Mincho"/>
                <w:lang w:eastAsia="ja-JP"/>
              </w:rPr>
            </w:pPr>
            <w:r w:rsidRPr="008E0056">
              <w:t xml:space="preserve">OECD activities to support the mandate on endocrine disruptors from the GHS Sub-Committee to OECD </w:t>
            </w:r>
            <w:r w:rsidR="005262A9">
              <w:t>(OECD)</w:t>
            </w:r>
          </w:p>
        </w:tc>
      </w:tr>
      <w:tr w:rsidR="00AB4780" w:rsidRPr="00AA1A9A" w14:paraId="7F8E5444" w14:textId="77777777" w:rsidTr="00516875">
        <w:tc>
          <w:tcPr>
            <w:tcW w:w="1985" w:type="dxa"/>
          </w:tcPr>
          <w:p w14:paraId="43AF84F9" w14:textId="6F4011ED" w:rsidR="00AB4780" w:rsidRPr="00AA1A9A" w:rsidRDefault="005262A9" w:rsidP="00AB4780">
            <w:pPr>
              <w:tabs>
                <w:tab w:val="left" w:pos="567"/>
                <w:tab w:val="left" w:pos="1134"/>
              </w:tabs>
              <w:spacing w:before="20" w:after="20"/>
              <w:ind w:left="-51" w:right="23"/>
            </w:pPr>
            <w:r>
              <w:t xml:space="preserve">INF.9 </w:t>
            </w:r>
          </w:p>
        </w:tc>
        <w:tc>
          <w:tcPr>
            <w:tcW w:w="992" w:type="dxa"/>
          </w:tcPr>
          <w:p w14:paraId="3F8D2557" w14:textId="7938591E" w:rsidR="00AB4780" w:rsidRPr="00AA1A9A" w:rsidRDefault="0030023E" w:rsidP="00AB4780">
            <w:pPr>
              <w:ind w:left="-108" w:right="-108"/>
              <w:jc w:val="center"/>
            </w:pPr>
            <w:r>
              <w:t>1</w:t>
            </w:r>
          </w:p>
        </w:tc>
        <w:tc>
          <w:tcPr>
            <w:tcW w:w="6521" w:type="dxa"/>
          </w:tcPr>
          <w:p w14:paraId="24DE4F20" w14:textId="45C17C9C" w:rsidR="00AB4780" w:rsidRPr="00AA1A9A" w:rsidRDefault="005262A9" w:rsidP="00AB4780">
            <w:pPr>
              <w:tabs>
                <w:tab w:val="left" w:pos="567"/>
                <w:tab w:val="left" w:pos="1134"/>
              </w:tabs>
              <w:spacing w:before="20" w:after="20"/>
              <w:ind w:left="-51" w:right="23"/>
            </w:pPr>
            <w:r>
              <w:t>(Secretariat)</w:t>
            </w:r>
            <w:r w:rsidR="0030023E" w:rsidRPr="0030023E">
              <w:t xml:space="preserve"> Practical information and provisional timetable  </w:t>
            </w:r>
          </w:p>
        </w:tc>
      </w:tr>
      <w:tr w:rsidR="00AB4780" w:rsidRPr="00AA1A9A" w14:paraId="3E952F30" w14:textId="77777777" w:rsidTr="00516875">
        <w:tc>
          <w:tcPr>
            <w:tcW w:w="1985" w:type="dxa"/>
          </w:tcPr>
          <w:p w14:paraId="59FC71BA" w14:textId="214225A1" w:rsidR="00AB4780" w:rsidRPr="00AA1A9A" w:rsidRDefault="0030023E" w:rsidP="00AB4780">
            <w:pPr>
              <w:tabs>
                <w:tab w:val="left" w:pos="567"/>
                <w:tab w:val="left" w:pos="1134"/>
              </w:tabs>
              <w:spacing w:before="20" w:after="20"/>
              <w:ind w:left="-51" w:right="23"/>
            </w:pPr>
            <w:r>
              <w:t>INF.10</w:t>
            </w:r>
          </w:p>
        </w:tc>
        <w:tc>
          <w:tcPr>
            <w:tcW w:w="992" w:type="dxa"/>
          </w:tcPr>
          <w:p w14:paraId="44A3DD1D" w14:textId="0CF9236E" w:rsidR="00AB4780" w:rsidRPr="00AA1A9A" w:rsidRDefault="008B667E" w:rsidP="00AB4780">
            <w:pPr>
              <w:ind w:left="-108" w:right="-108"/>
              <w:jc w:val="center"/>
            </w:pPr>
            <w:r>
              <w:t>4 (c)</w:t>
            </w:r>
          </w:p>
        </w:tc>
        <w:tc>
          <w:tcPr>
            <w:tcW w:w="6521" w:type="dxa"/>
          </w:tcPr>
          <w:p w14:paraId="5D6674A1" w14:textId="515BD5E8" w:rsidR="00AB4780" w:rsidRPr="00AA1A9A" w:rsidRDefault="008B667E" w:rsidP="00AB4780">
            <w:pPr>
              <w:tabs>
                <w:tab w:val="left" w:pos="567"/>
                <w:tab w:val="left" w:pos="1134"/>
              </w:tabs>
              <w:spacing w:before="20" w:after="20"/>
              <w:ind w:left="-51" w:right="23"/>
            </w:pPr>
            <w:r w:rsidRPr="008B667E">
              <w:t>Proposed workshops for industry and implementing authoritative bodies to highlight the implementation barriers and provide clear, actionable items to improve effectiveness of the GHS (ICCA)</w:t>
            </w:r>
          </w:p>
        </w:tc>
      </w:tr>
      <w:tr w:rsidR="00AB4780" w:rsidRPr="00AA1A9A" w14:paraId="5492E580" w14:textId="77777777" w:rsidTr="00516875">
        <w:tc>
          <w:tcPr>
            <w:tcW w:w="1985" w:type="dxa"/>
          </w:tcPr>
          <w:p w14:paraId="3B94E864" w14:textId="277CE9FF" w:rsidR="00AB4780" w:rsidRPr="00AA1A9A" w:rsidRDefault="001D003E" w:rsidP="00AB4780">
            <w:pPr>
              <w:tabs>
                <w:tab w:val="left" w:pos="567"/>
                <w:tab w:val="left" w:pos="1134"/>
              </w:tabs>
              <w:spacing w:before="20" w:after="20"/>
              <w:ind w:left="-51" w:right="23"/>
            </w:pPr>
            <w:r>
              <w:t>INF.11</w:t>
            </w:r>
            <w:r w:rsidR="00A658A1">
              <w:t xml:space="preserve"> </w:t>
            </w:r>
            <w:r w:rsidR="00A658A1" w:rsidRPr="00A658A1">
              <w:rPr>
                <w:i/>
                <w:iCs/>
              </w:rPr>
              <w:t>(TDG/INF.</w:t>
            </w:r>
            <w:r w:rsidR="00A658A1">
              <w:rPr>
                <w:i/>
                <w:iCs/>
              </w:rPr>
              <w:t>22</w:t>
            </w:r>
            <w:r w:rsidR="00A658A1" w:rsidRPr="00A658A1">
              <w:rPr>
                <w:i/>
                <w:iCs/>
              </w:rPr>
              <w:t>)</w:t>
            </w:r>
          </w:p>
        </w:tc>
        <w:tc>
          <w:tcPr>
            <w:tcW w:w="992" w:type="dxa"/>
          </w:tcPr>
          <w:p w14:paraId="5AA4267C" w14:textId="6847CBD3" w:rsidR="00AB4780" w:rsidRPr="00AA1A9A" w:rsidRDefault="001D003E" w:rsidP="00AB4780">
            <w:pPr>
              <w:ind w:left="-108" w:right="-108"/>
              <w:jc w:val="center"/>
            </w:pPr>
            <w:r>
              <w:t>2 (b)</w:t>
            </w:r>
          </w:p>
        </w:tc>
        <w:tc>
          <w:tcPr>
            <w:tcW w:w="6521" w:type="dxa"/>
          </w:tcPr>
          <w:p w14:paraId="66653AF0" w14:textId="5C885C4F" w:rsidR="00AB4780" w:rsidRPr="00AA1A9A" w:rsidRDefault="001D003E" w:rsidP="00AB4780">
            <w:pPr>
              <w:tabs>
                <w:tab w:val="left" w:pos="567"/>
                <w:tab w:val="left" w:pos="1134"/>
              </w:tabs>
              <w:spacing w:before="20" w:after="20"/>
              <w:ind w:left="-51" w:right="23"/>
            </w:pPr>
            <w:r w:rsidRPr="001D003E">
              <w:t>Status report for the GHS informal working group on combinations of physical hazards</w:t>
            </w:r>
            <w:r>
              <w:t xml:space="preserve"> (Germany)</w:t>
            </w:r>
          </w:p>
        </w:tc>
      </w:tr>
      <w:tr w:rsidR="00AB4780" w:rsidRPr="00AA1A9A" w14:paraId="09436856" w14:textId="77777777" w:rsidTr="00516875">
        <w:tc>
          <w:tcPr>
            <w:tcW w:w="1985" w:type="dxa"/>
          </w:tcPr>
          <w:p w14:paraId="698C6EF1" w14:textId="602700E8" w:rsidR="00AB4780" w:rsidRPr="00AA1A9A" w:rsidRDefault="00FB55CE" w:rsidP="00AB4780">
            <w:pPr>
              <w:tabs>
                <w:tab w:val="left" w:pos="567"/>
                <w:tab w:val="left" w:pos="1134"/>
              </w:tabs>
              <w:spacing w:before="20" w:after="20"/>
              <w:ind w:left="-51" w:right="23"/>
            </w:pPr>
            <w:r>
              <w:t>INF.12</w:t>
            </w:r>
          </w:p>
        </w:tc>
        <w:tc>
          <w:tcPr>
            <w:tcW w:w="992" w:type="dxa"/>
          </w:tcPr>
          <w:p w14:paraId="4B89152D" w14:textId="7F3D848F" w:rsidR="00AB4780" w:rsidRPr="00AA1A9A" w:rsidRDefault="00FB55CE" w:rsidP="00AB4780">
            <w:pPr>
              <w:ind w:left="-108" w:right="-108"/>
              <w:jc w:val="center"/>
            </w:pPr>
            <w:r>
              <w:t>2 (c)</w:t>
            </w:r>
          </w:p>
        </w:tc>
        <w:tc>
          <w:tcPr>
            <w:tcW w:w="6521" w:type="dxa"/>
          </w:tcPr>
          <w:p w14:paraId="64FE4253" w14:textId="2DAE4CCA" w:rsidR="00AB4780" w:rsidRPr="00AA1A9A" w:rsidRDefault="00FB55CE" w:rsidP="00AB4780">
            <w:pPr>
              <w:tabs>
                <w:tab w:val="left" w:pos="567"/>
                <w:tab w:val="left" w:pos="1134"/>
              </w:tabs>
              <w:spacing w:before="20" w:after="20"/>
              <w:ind w:left="-51" w:right="23"/>
            </w:pPr>
            <w:r w:rsidRPr="00FB55CE">
              <w:t xml:space="preserve">Use of non-animal testing methods for classification of health and environmental hazards: progress report </w:t>
            </w:r>
            <w:r>
              <w:t>(United Kingdom, the Netherlands)</w:t>
            </w:r>
          </w:p>
        </w:tc>
      </w:tr>
      <w:tr w:rsidR="00AB4780" w:rsidRPr="00AA1A9A" w14:paraId="61461B4E" w14:textId="77777777" w:rsidTr="00516875">
        <w:tc>
          <w:tcPr>
            <w:tcW w:w="1985" w:type="dxa"/>
          </w:tcPr>
          <w:p w14:paraId="14100064" w14:textId="76571E2B" w:rsidR="00AB4780" w:rsidRPr="00AA1A9A" w:rsidRDefault="00042286" w:rsidP="00AB4780">
            <w:pPr>
              <w:tabs>
                <w:tab w:val="left" w:pos="567"/>
                <w:tab w:val="left" w:pos="1134"/>
              </w:tabs>
              <w:spacing w:before="20" w:after="20"/>
              <w:ind w:left="-51" w:right="23"/>
            </w:pPr>
            <w:r>
              <w:t>INF.13</w:t>
            </w:r>
          </w:p>
        </w:tc>
        <w:tc>
          <w:tcPr>
            <w:tcW w:w="992" w:type="dxa"/>
          </w:tcPr>
          <w:p w14:paraId="44EBB580" w14:textId="470D73A2" w:rsidR="00AB4780" w:rsidRPr="00AA1A9A" w:rsidRDefault="00387D76" w:rsidP="00AB4780">
            <w:pPr>
              <w:ind w:left="-108" w:right="-108"/>
              <w:jc w:val="center"/>
            </w:pPr>
            <w:r>
              <w:t>2 (i)</w:t>
            </w:r>
          </w:p>
        </w:tc>
        <w:tc>
          <w:tcPr>
            <w:tcW w:w="6521" w:type="dxa"/>
          </w:tcPr>
          <w:p w14:paraId="219EB9AE" w14:textId="07E0F8D1" w:rsidR="00AB4780" w:rsidRPr="00AA1A9A" w:rsidRDefault="00042286" w:rsidP="00AB4780">
            <w:pPr>
              <w:tabs>
                <w:tab w:val="left" w:pos="567"/>
                <w:tab w:val="left" w:pos="1134"/>
              </w:tabs>
              <w:spacing w:before="20" w:after="20"/>
              <w:ind w:left="-51" w:right="23"/>
            </w:pPr>
            <w:r w:rsidRPr="00042286">
              <w:t>Status of the work of the improvement of annexes 1 to 3 informal working group</w:t>
            </w:r>
            <w:r w:rsidR="00387D76">
              <w:t xml:space="preserve"> (United Kingdom)</w:t>
            </w:r>
          </w:p>
        </w:tc>
      </w:tr>
      <w:tr w:rsidR="00AB4780" w:rsidRPr="00AA1A9A" w14:paraId="081A26A5" w14:textId="77777777" w:rsidTr="00516875">
        <w:tc>
          <w:tcPr>
            <w:tcW w:w="1985" w:type="dxa"/>
          </w:tcPr>
          <w:p w14:paraId="0C752D3C" w14:textId="38017D89" w:rsidR="00AB4780" w:rsidRPr="00AA1A9A" w:rsidRDefault="00387D76" w:rsidP="00AB4780">
            <w:pPr>
              <w:tabs>
                <w:tab w:val="left" w:pos="567"/>
                <w:tab w:val="left" w:pos="1134"/>
              </w:tabs>
              <w:spacing w:before="20" w:after="20"/>
              <w:ind w:left="-51" w:right="23"/>
            </w:pPr>
            <w:r>
              <w:t>INF.14</w:t>
            </w:r>
            <w:r w:rsidR="00A658A1">
              <w:t xml:space="preserve"> </w:t>
            </w:r>
            <w:r w:rsidR="00A658A1" w:rsidRPr="00A658A1">
              <w:rPr>
                <w:i/>
                <w:iCs/>
              </w:rPr>
              <w:t>(TDG/INF.</w:t>
            </w:r>
            <w:r w:rsidR="00A658A1">
              <w:rPr>
                <w:i/>
                <w:iCs/>
              </w:rPr>
              <w:t>38</w:t>
            </w:r>
            <w:r w:rsidR="00A658A1" w:rsidRPr="00A658A1">
              <w:rPr>
                <w:i/>
                <w:iCs/>
              </w:rPr>
              <w:t>)</w:t>
            </w:r>
          </w:p>
        </w:tc>
        <w:tc>
          <w:tcPr>
            <w:tcW w:w="992" w:type="dxa"/>
          </w:tcPr>
          <w:p w14:paraId="0654FD64" w14:textId="7B1611BB" w:rsidR="00AB4780" w:rsidRPr="00AA1A9A" w:rsidRDefault="009007D4" w:rsidP="00AB4780">
            <w:pPr>
              <w:ind w:left="-108" w:right="-108"/>
              <w:jc w:val="center"/>
            </w:pPr>
            <w:r>
              <w:t>6</w:t>
            </w:r>
          </w:p>
        </w:tc>
        <w:tc>
          <w:tcPr>
            <w:tcW w:w="6521" w:type="dxa"/>
          </w:tcPr>
          <w:p w14:paraId="05898759" w14:textId="5FEBFE72" w:rsidR="00AB4780" w:rsidRPr="00AA1A9A" w:rsidRDefault="009007D4" w:rsidP="00AB4780">
            <w:pPr>
              <w:tabs>
                <w:tab w:val="left" w:pos="567"/>
                <w:tab w:val="left" w:pos="1134"/>
              </w:tabs>
              <w:spacing w:before="20" w:after="20"/>
              <w:ind w:left="-51" w:right="23"/>
              <w:rPr>
                <w:rFonts w:eastAsia="MS Mincho"/>
                <w:lang w:eastAsia="ja-JP"/>
              </w:rPr>
            </w:pPr>
            <w:r w:rsidRPr="009007D4">
              <w:rPr>
                <w:rFonts w:eastAsia="MS Mincho"/>
                <w:lang w:eastAsia="ja-JP"/>
              </w:rPr>
              <w:t>Contributions by the Committee of Experts to the coordination segment of the Economic and Social Council</w:t>
            </w:r>
            <w:r>
              <w:rPr>
                <w:rFonts w:eastAsia="MS Mincho"/>
                <w:lang w:eastAsia="ja-JP"/>
              </w:rPr>
              <w:t xml:space="preserve"> (secretariat)</w:t>
            </w:r>
          </w:p>
        </w:tc>
      </w:tr>
      <w:tr w:rsidR="00AB4780" w:rsidRPr="00AA1A9A" w14:paraId="0EBCA463" w14:textId="77777777" w:rsidTr="00516875">
        <w:tc>
          <w:tcPr>
            <w:tcW w:w="1985" w:type="dxa"/>
          </w:tcPr>
          <w:p w14:paraId="5D900AAF" w14:textId="0EF15084" w:rsidR="00AB4780" w:rsidRPr="00AA1A9A" w:rsidRDefault="009007D4" w:rsidP="00AB4780">
            <w:pPr>
              <w:tabs>
                <w:tab w:val="left" w:pos="567"/>
                <w:tab w:val="left" w:pos="1134"/>
              </w:tabs>
              <w:spacing w:before="20" w:after="20"/>
              <w:ind w:left="-51" w:right="23"/>
            </w:pPr>
            <w:r>
              <w:t>INF.15</w:t>
            </w:r>
          </w:p>
        </w:tc>
        <w:tc>
          <w:tcPr>
            <w:tcW w:w="992" w:type="dxa"/>
          </w:tcPr>
          <w:p w14:paraId="79F6BE2D" w14:textId="57B5F8F7" w:rsidR="00AB4780" w:rsidRPr="00AA1A9A" w:rsidRDefault="00C37B8B" w:rsidP="00AB4780">
            <w:pPr>
              <w:ind w:left="-108" w:right="-108"/>
              <w:jc w:val="center"/>
            </w:pPr>
            <w:r>
              <w:t>2 (d)</w:t>
            </w:r>
          </w:p>
        </w:tc>
        <w:tc>
          <w:tcPr>
            <w:tcW w:w="6521" w:type="dxa"/>
          </w:tcPr>
          <w:p w14:paraId="09EAC60D" w14:textId="504D5764" w:rsidR="00AB4780" w:rsidRPr="00AA1A9A" w:rsidRDefault="00C37B8B" w:rsidP="00AB4780">
            <w:pPr>
              <w:tabs>
                <w:tab w:val="left" w:pos="567"/>
                <w:tab w:val="left" w:pos="1134"/>
              </w:tabs>
              <w:spacing w:before="20" w:after="20"/>
              <w:ind w:left="-51" w:right="23"/>
              <w:rPr>
                <w:rFonts w:eastAsia="MS Mincho"/>
                <w:lang w:eastAsia="ja-JP"/>
              </w:rPr>
            </w:pPr>
            <w:r w:rsidRPr="00C37B8B">
              <w:rPr>
                <w:rFonts w:eastAsia="MS Mincho"/>
                <w:lang w:eastAsia="ja-JP"/>
              </w:rPr>
              <w:t xml:space="preserve">Status of the work of the informal working group on clarification of the criteria for classification for germ cell mutagenicity </w:t>
            </w:r>
            <w:r>
              <w:rPr>
                <w:rFonts w:eastAsia="MS Mincho"/>
                <w:lang w:eastAsia="ja-JP"/>
              </w:rPr>
              <w:t>(</w:t>
            </w:r>
            <w:r w:rsidRPr="00C37B8B">
              <w:rPr>
                <w:rFonts w:eastAsia="MS Mincho"/>
                <w:lang w:eastAsia="ja-JP"/>
              </w:rPr>
              <w:t>European Union</w:t>
            </w:r>
          </w:p>
        </w:tc>
      </w:tr>
      <w:tr w:rsidR="00AB4780" w:rsidRPr="00AA1A9A" w14:paraId="3D209053" w14:textId="77777777" w:rsidTr="00516875">
        <w:tc>
          <w:tcPr>
            <w:tcW w:w="1985" w:type="dxa"/>
          </w:tcPr>
          <w:p w14:paraId="367BDECC" w14:textId="74473C76" w:rsidR="00AB4780" w:rsidRPr="00AA1A9A" w:rsidRDefault="00A658A1" w:rsidP="00AB4780">
            <w:pPr>
              <w:tabs>
                <w:tab w:val="left" w:pos="567"/>
                <w:tab w:val="left" w:pos="1134"/>
              </w:tabs>
              <w:spacing w:before="20" w:after="20"/>
              <w:ind w:left="-51" w:right="23"/>
            </w:pPr>
            <w:r>
              <w:t xml:space="preserve">INF.16 </w:t>
            </w:r>
            <w:r w:rsidRPr="00A658A1">
              <w:rPr>
                <w:i/>
                <w:iCs/>
              </w:rPr>
              <w:t>(TDG/INF.</w:t>
            </w:r>
            <w:r>
              <w:rPr>
                <w:i/>
                <w:iCs/>
              </w:rPr>
              <w:t>57</w:t>
            </w:r>
            <w:r w:rsidRPr="00A658A1">
              <w:rPr>
                <w:i/>
                <w:iCs/>
              </w:rPr>
              <w:t>)</w:t>
            </w:r>
          </w:p>
        </w:tc>
        <w:tc>
          <w:tcPr>
            <w:tcW w:w="992" w:type="dxa"/>
          </w:tcPr>
          <w:p w14:paraId="491F1180" w14:textId="6D79A0F2" w:rsidR="00AB4780" w:rsidRPr="00AA1A9A" w:rsidRDefault="0002122C" w:rsidP="00AB4780">
            <w:pPr>
              <w:ind w:left="-108" w:right="-108"/>
              <w:jc w:val="center"/>
            </w:pPr>
            <w:r>
              <w:t>2 (j)</w:t>
            </w:r>
          </w:p>
        </w:tc>
        <w:tc>
          <w:tcPr>
            <w:tcW w:w="6521" w:type="dxa"/>
          </w:tcPr>
          <w:p w14:paraId="47EF29BA" w14:textId="6258EA27" w:rsidR="00AB4780" w:rsidRPr="00AA1A9A" w:rsidRDefault="0002122C" w:rsidP="00AB4780">
            <w:pPr>
              <w:tabs>
                <w:tab w:val="left" w:pos="567"/>
                <w:tab w:val="left" w:pos="1134"/>
              </w:tabs>
              <w:spacing w:before="20" w:after="20"/>
              <w:ind w:left="-51" w:right="23"/>
              <w:rPr>
                <w:rFonts w:eastAsia="MS Mincho"/>
                <w:lang w:val="en-US" w:eastAsia="ja-JP"/>
              </w:rPr>
            </w:pPr>
            <w:r w:rsidRPr="0002122C">
              <w:rPr>
                <w:rFonts w:eastAsia="MS Mincho"/>
                <w:lang w:val="en-US" w:eastAsia="ja-JP"/>
              </w:rPr>
              <w:t>Proposal for clarification to the aerosol category 3 criteria</w:t>
            </w:r>
            <w:r>
              <w:rPr>
                <w:rFonts w:eastAsia="MS Mincho"/>
                <w:lang w:val="en-US" w:eastAsia="ja-JP"/>
              </w:rPr>
              <w:t xml:space="preserve"> (United States of America)</w:t>
            </w:r>
          </w:p>
        </w:tc>
      </w:tr>
      <w:tr w:rsidR="00AE0223" w:rsidRPr="00AA1A9A" w14:paraId="1E026430" w14:textId="77777777" w:rsidTr="00516875">
        <w:tc>
          <w:tcPr>
            <w:tcW w:w="1985" w:type="dxa"/>
          </w:tcPr>
          <w:p w14:paraId="3FE75ECB" w14:textId="707EC5C5" w:rsidR="00AE0223" w:rsidRDefault="00AE0223" w:rsidP="00AB4780">
            <w:pPr>
              <w:tabs>
                <w:tab w:val="left" w:pos="567"/>
                <w:tab w:val="left" w:pos="1134"/>
              </w:tabs>
              <w:spacing w:before="20" w:after="20"/>
              <w:ind w:left="-51" w:right="23"/>
            </w:pPr>
            <w:r>
              <w:t>INF.17</w:t>
            </w:r>
          </w:p>
        </w:tc>
        <w:tc>
          <w:tcPr>
            <w:tcW w:w="992" w:type="dxa"/>
          </w:tcPr>
          <w:p w14:paraId="2A2C78ED" w14:textId="03C83554" w:rsidR="00AE0223" w:rsidRDefault="00ED390E" w:rsidP="00AB4780">
            <w:pPr>
              <w:ind w:left="-108" w:right="-108"/>
              <w:jc w:val="center"/>
            </w:pPr>
            <w:r>
              <w:t>2 (j)</w:t>
            </w:r>
          </w:p>
        </w:tc>
        <w:tc>
          <w:tcPr>
            <w:tcW w:w="6521" w:type="dxa"/>
          </w:tcPr>
          <w:p w14:paraId="0727D426" w14:textId="5E105C12" w:rsidR="00AE0223" w:rsidRPr="0002122C" w:rsidRDefault="00ED390E" w:rsidP="00AB4780">
            <w:pPr>
              <w:tabs>
                <w:tab w:val="left" w:pos="567"/>
                <w:tab w:val="left" w:pos="1134"/>
              </w:tabs>
              <w:spacing w:before="20" w:after="20"/>
              <w:ind w:left="-51" w:right="23"/>
              <w:rPr>
                <w:rFonts w:eastAsia="MS Mincho"/>
                <w:lang w:val="en-US" w:eastAsia="ja-JP"/>
              </w:rPr>
            </w:pPr>
            <w:r w:rsidRPr="00ED390E">
              <w:rPr>
                <w:rFonts w:eastAsia="MS Mincho"/>
                <w:lang w:val="en-US" w:eastAsia="ja-JP"/>
              </w:rPr>
              <w:t>Use of “should”, “shall”, “may” and “must” in the GHS</w:t>
            </w:r>
            <w:r>
              <w:rPr>
                <w:rFonts w:eastAsia="MS Mincho"/>
                <w:lang w:val="en-US" w:eastAsia="ja-JP"/>
              </w:rPr>
              <w:t xml:space="preserve"> (United States of America)</w:t>
            </w:r>
          </w:p>
        </w:tc>
      </w:tr>
      <w:tr w:rsidR="00ED390E" w:rsidRPr="00AA1A9A" w14:paraId="441D73C0" w14:textId="77777777" w:rsidTr="00516875">
        <w:tc>
          <w:tcPr>
            <w:tcW w:w="1985" w:type="dxa"/>
          </w:tcPr>
          <w:p w14:paraId="3F31B935" w14:textId="11E0BEA1" w:rsidR="00ED390E" w:rsidRDefault="00ED390E" w:rsidP="00AB4780">
            <w:pPr>
              <w:tabs>
                <w:tab w:val="left" w:pos="567"/>
                <w:tab w:val="left" w:pos="1134"/>
              </w:tabs>
              <w:spacing w:before="20" w:after="20"/>
              <w:ind w:left="-51" w:right="23"/>
            </w:pPr>
            <w:r>
              <w:t>INF.18</w:t>
            </w:r>
          </w:p>
        </w:tc>
        <w:tc>
          <w:tcPr>
            <w:tcW w:w="992" w:type="dxa"/>
          </w:tcPr>
          <w:p w14:paraId="719B0DE1" w14:textId="1D16BC37" w:rsidR="00ED390E" w:rsidRDefault="00ED390E" w:rsidP="00AB4780">
            <w:pPr>
              <w:ind w:left="-108" w:right="-108"/>
              <w:jc w:val="center"/>
            </w:pPr>
            <w:r>
              <w:t>2 (j)</w:t>
            </w:r>
          </w:p>
        </w:tc>
        <w:tc>
          <w:tcPr>
            <w:tcW w:w="6521" w:type="dxa"/>
          </w:tcPr>
          <w:p w14:paraId="64705298" w14:textId="0B813DB2" w:rsidR="00ED390E" w:rsidRPr="00ED390E" w:rsidRDefault="00E471F5" w:rsidP="00AB4780">
            <w:pPr>
              <w:tabs>
                <w:tab w:val="left" w:pos="567"/>
                <w:tab w:val="left" w:pos="1134"/>
              </w:tabs>
              <w:spacing w:before="20" w:after="20"/>
              <w:ind w:left="-51" w:right="23"/>
              <w:rPr>
                <w:rFonts w:eastAsia="MS Mincho"/>
                <w:lang w:val="en-US" w:eastAsia="ja-JP"/>
              </w:rPr>
            </w:pPr>
            <w:r>
              <w:rPr>
                <w:rFonts w:eastAsia="MS Mincho"/>
                <w:lang w:val="en-US" w:eastAsia="ja-JP"/>
              </w:rPr>
              <w:t xml:space="preserve">Proposed amendment to </w:t>
            </w:r>
            <w:r>
              <w:t>4.1.3.6 (UNITAR)</w:t>
            </w:r>
          </w:p>
        </w:tc>
      </w:tr>
      <w:tr w:rsidR="00AB4780" w:rsidRPr="00AA1A9A" w14:paraId="55602500" w14:textId="77777777" w:rsidTr="00516875">
        <w:tc>
          <w:tcPr>
            <w:tcW w:w="1985" w:type="dxa"/>
          </w:tcPr>
          <w:p w14:paraId="63AA5C3E" w14:textId="4CCDD0A3" w:rsidR="00AB4780" w:rsidRPr="00AA1A9A" w:rsidRDefault="00E471F5" w:rsidP="00AB4780">
            <w:pPr>
              <w:tabs>
                <w:tab w:val="left" w:pos="567"/>
                <w:tab w:val="left" w:pos="1134"/>
              </w:tabs>
              <w:spacing w:before="20" w:after="20"/>
              <w:ind w:left="-51" w:right="23"/>
            </w:pPr>
            <w:r>
              <w:t>INF.19</w:t>
            </w:r>
          </w:p>
        </w:tc>
        <w:tc>
          <w:tcPr>
            <w:tcW w:w="992" w:type="dxa"/>
          </w:tcPr>
          <w:p w14:paraId="19A1904A" w14:textId="14CF3F36" w:rsidR="00AB4780" w:rsidRPr="00AA1A9A" w:rsidRDefault="000A5B7E" w:rsidP="00AB4780">
            <w:pPr>
              <w:ind w:left="-108" w:right="-108"/>
              <w:jc w:val="center"/>
            </w:pPr>
            <w:r>
              <w:t>2 (f)</w:t>
            </w:r>
          </w:p>
        </w:tc>
        <w:tc>
          <w:tcPr>
            <w:tcW w:w="6521" w:type="dxa"/>
          </w:tcPr>
          <w:p w14:paraId="66293196" w14:textId="6D8300AB" w:rsidR="00AB4780" w:rsidRPr="00AA1A9A" w:rsidRDefault="007E3F43" w:rsidP="00AB4780">
            <w:pPr>
              <w:tabs>
                <w:tab w:val="left" w:pos="567"/>
                <w:tab w:val="left" w:pos="1134"/>
              </w:tabs>
              <w:spacing w:before="20" w:after="20"/>
              <w:ind w:left="-51" w:right="23"/>
              <w:rPr>
                <w:rFonts w:eastAsia="MS Mincho"/>
                <w:lang w:eastAsia="ja-JP"/>
              </w:rPr>
            </w:pPr>
            <w:r>
              <w:t>Status update on the work of the practical classification issues informal working group(</w:t>
            </w:r>
            <w:r>
              <w:rPr>
                <w:rFonts w:eastAsia="MS Mincho"/>
                <w:lang w:val="en-US" w:eastAsia="ja-JP"/>
              </w:rPr>
              <w:t>United States of America)</w:t>
            </w:r>
          </w:p>
        </w:tc>
      </w:tr>
      <w:tr w:rsidR="007E3F43" w:rsidRPr="00AA1A9A" w14:paraId="72885E50" w14:textId="77777777" w:rsidTr="00516875">
        <w:tc>
          <w:tcPr>
            <w:tcW w:w="1985" w:type="dxa"/>
          </w:tcPr>
          <w:p w14:paraId="354798A0" w14:textId="4F08DBCD" w:rsidR="007E3F43" w:rsidRPr="00E65F97" w:rsidRDefault="007E3F43" w:rsidP="00AB4780">
            <w:pPr>
              <w:tabs>
                <w:tab w:val="left" w:pos="567"/>
                <w:tab w:val="left" w:pos="1134"/>
              </w:tabs>
              <w:spacing w:before="20" w:after="20"/>
              <w:ind w:left="-51" w:right="23"/>
            </w:pPr>
            <w:r w:rsidRPr="00E65F97">
              <w:t>INF.20</w:t>
            </w:r>
          </w:p>
        </w:tc>
        <w:tc>
          <w:tcPr>
            <w:tcW w:w="992" w:type="dxa"/>
          </w:tcPr>
          <w:p w14:paraId="16B6FBDB" w14:textId="1754D6F0" w:rsidR="007E3F43" w:rsidRPr="00E65F97" w:rsidRDefault="002F1DD9" w:rsidP="00AB4780">
            <w:pPr>
              <w:ind w:left="-108" w:right="-108"/>
              <w:jc w:val="center"/>
            </w:pPr>
            <w:r w:rsidRPr="00E65F97">
              <w:t>2 (e)</w:t>
            </w:r>
          </w:p>
        </w:tc>
        <w:tc>
          <w:tcPr>
            <w:tcW w:w="6521" w:type="dxa"/>
          </w:tcPr>
          <w:p w14:paraId="04E8D036" w14:textId="683C5115" w:rsidR="007E3F43" w:rsidRDefault="00E65F97" w:rsidP="00AB4780">
            <w:pPr>
              <w:tabs>
                <w:tab w:val="left" w:pos="567"/>
                <w:tab w:val="left" w:pos="1134"/>
              </w:tabs>
              <w:spacing w:before="20" w:after="20"/>
              <w:ind w:left="-51" w:right="23"/>
            </w:pPr>
            <w:r w:rsidRPr="00E65F97">
              <w:t>Potential hazard issues and their presentation in the Globally Harmonized System: status report on persistence and mobility</w:t>
            </w:r>
            <w:r w:rsidRPr="00E65F97">
              <w:t xml:space="preserve"> (European Union)</w:t>
            </w:r>
          </w:p>
        </w:tc>
      </w:tr>
      <w:tr w:rsidR="00AB4780" w:rsidRPr="00AA1A9A" w14:paraId="5757A577" w14:textId="77777777" w:rsidTr="00516875">
        <w:tc>
          <w:tcPr>
            <w:tcW w:w="1985" w:type="dxa"/>
          </w:tcPr>
          <w:p w14:paraId="1CDC1769" w14:textId="5CBB125D" w:rsidR="00AB4780" w:rsidRPr="002F57BC" w:rsidRDefault="007A5A21" w:rsidP="00AB4780">
            <w:pPr>
              <w:tabs>
                <w:tab w:val="left" w:pos="567"/>
                <w:tab w:val="left" w:pos="1134"/>
              </w:tabs>
              <w:spacing w:before="20" w:after="20"/>
              <w:ind w:left="-51" w:right="23"/>
            </w:pPr>
            <w:r w:rsidRPr="002F57BC">
              <w:t>INF.21</w:t>
            </w:r>
          </w:p>
          <w:p w14:paraId="10A10456" w14:textId="13378BA4" w:rsidR="007A5A21" w:rsidRPr="002F57BC" w:rsidRDefault="007A5A21" w:rsidP="00AB4780">
            <w:pPr>
              <w:tabs>
                <w:tab w:val="left" w:pos="567"/>
                <w:tab w:val="left" w:pos="1134"/>
              </w:tabs>
              <w:spacing w:before="20" w:after="20"/>
              <w:ind w:left="-51" w:right="23"/>
            </w:pPr>
          </w:p>
        </w:tc>
        <w:tc>
          <w:tcPr>
            <w:tcW w:w="992" w:type="dxa"/>
          </w:tcPr>
          <w:p w14:paraId="0C300687" w14:textId="2975ACCB" w:rsidR="00AB4780" w:rsidRPr="002F57BC" w:rsidRDefault="003607D6" w:rsidP="00AB4780">
            <w:pPr>
              <w:ind w:left="-108" w:right="-108"/>
              <w:jc w:val="center"/>
            </w:pPr>
            <w:r w:rsidRPr="002F57BC">
              <w:t>2 (a), 2(b), 2(j)</w:t>
            </w:r>
          </w:p>
        </w:tc>
        <w:tc>
          <w:tcPr>
            <w:tcW w:w="6521" w:type="dxa"/>
          </w:tcPr>
          <w:p w14:paraId="29770DC2" w14:textId="50393B76" w:rsidR="00AB4780" w:rsidRPr="00AA1A9A" w:rsidRDefault="002F57BC" w:rsidP="00AB4780">
            <w:pPr>
              <w:tabs>
                <w:tab w:val="left" w:pos="567"/>
                <w:tab w:val="left" w:pos="1134"/>
              </w:tabs>
              <w:spacing w:before="20" w:after="20"/>
              <w:ind w:left="-51" w:right="23"/>
            </w:pPr>
            <w:r w:rsidRPr="002F57BC">
              <w:t xml:space="preserve">Work of the Sub-Committee of Experts on the Transport of Dangerous Goods (TDG) on matters of interest to the GHS Sub-Committee </w:t>
            </w:r>
            <w:r w:rsidRPr="002F57BC">
              <w:t>(secretariat)</w:t>
            </w:r>
          </w:p>
        </w:tc>
      </w:tr>
      <w:tr w:rsidR="00D34739" w:rsidRPr="00AA1A9A" w14:paraId="6CD20BAD" w14:textId="77777777" w:rsidTr="00516875">
        <w:tc>
          <w:tcPr>
            <w:tcW w:w="1985" w:type="dxa"/>
          </w:tcPr>
          <w:p w14:paraId="1845CA8D" w14:textId="4D5C7F37" w:rsidR="00D34739" w:rsidRPr="00AA1A9A" w:rsidRDefault="002F57BC" w:rsidP="00AB4780">
            <w:pPr>
              <w:tabs>
                <w:tab w:val="left" w:pos="567"/>
                <w:tab w:val="left" w:pos="1134"/>
              </w:tabs>
              <w:spacing w:before="20" w:after="20"/>
              <w:ind w:left="-51" w:right="23"/>
            </w:pPr>
            <w:r>
              <w:t>INF.22</w:t>
            </w:r>
          </w:p>
        </w:tc>
        <w:tc>
          <w:tcPr>
            <w:tcW w:w="992" w:type="dxa"/>
          </w:tcPr>
          <w:p w14:paraId="48782EFB" w14:textId="1109536A" w:rsidR="00D34739" w:rsidRPr="00AA1A9A" w:rsidRDefault="004D0993" w:rsidP="00AB4780">
            <w:pPr>
              <w:ind w:left="-108" w:right="-108"/>
              <w:jc w:val="center"/>
            </w:pPr>
            <w:r>
              <w:t>2 (h)</w:t>
            </w:r>
          </w:p>
        </w:tc>
        <w:tc>
          <w:tcPr>
            <w:tcW w:w="6521" w:type="dxa"/>
          </w:tcPr>
          <w:p w14:paraId="45AF3005" w14:textId="48946C22" w:rsidR="00D34739" w:rsidRPr="00AA1A9A" w:rsidRDefault="00170FD6" w:rsidP="00AB4780">
            <w:pPr>
              <w:tabs>
                <w:tab w:val="left" w:pos="567"/>
                <w:tab w:val="left" w:pos="1134"/>
              </w:tabs>
              <w:spacing w:before="20" w:after="20"/>
              <w:ind w:left="-51" w:right="23"/>
            </w:pPr>
            <w:r>
              <w:t>Status of the work of the informal working group</w:t>
            </w:r>
            <w:r w:rsidRPr="008D57DF">
              <w:t xml:space="preserve"> </w:t>
            </w:r>
            <w:r>
              <w:t>on substances that are h</w:t>
            </w:r>
            <w:r w:rsidRPr="00B71D73">
              <w:t>azardous to the atmospheric system</w:t>
            </w:r>
            <w:r>
              <w:t xml:space="preserve"> (European Union)</w:t>
            </w:r>
          </w:p>
        </w:tc>
      </w:tr>
      <w:tr w:rsidR="00892FFA" w:rsidRPr="00AA1A9A" w14:paraId="002BFFD4" w14:textId="77777777" w:rsidTr="00516875">
        <w:tc>
          <w:tcPr>
            <w:tcW w:w="1985" w:type="dxa"/>
          </w:tcPr>
          <w:p w14:paraId="28A5DF7E" w14:textId="77D93EA1" w:rsidR="00892FFA" w:rsidRDefault="00892FFA" w:rsidP="00AB4780">
            <w:pPr>
              <w:tabs>
                <w:tab w:val="left" w:pos="567"/>
                <w:tab w:val="left" w:pos="1134"/>
              </w:tabs>
              <w:spacing w:before="20" w:after="20"/>
              <w:ind w:left="-51" w:right="23"/>
            </w:pPr>
            <w:r>
              <w:t>INF.23</w:t>
            </w:r>
          </w:p>
        </w:tc>
        <w:tc>
          <w:tcPr>
            <w:tcW w:w="992" w:type="dxa"/>
          </w:tcPr>
          <w:p w14:paraId="7E7BB757" w14:textId="18DE2A6D" w:rsidR="00892FFA" w:rsidRDefault="00892FFA" w:rsidP="00AB4780">
            <w:pPr>
              <w:ind w:left="-108" w:right="-108"/>
              <w:jc w:val="center"/>
            </w:pPr>
            <w:r>
              <w:t xml:space="preserve">3 (a) </w:t>
            </w:r>
          </w:p>
        </w:tc>
        <w:tc>
          <w:tcPr>
            <w:tcW w:w="6521" w:type="dxa"/>
          </w:tcPr>
          <w:p w14:paraId="6B358B40" w14:textId="250ACAAB" w:rsidR="00892FFA" w:rsidRDefault="00540A54" w:rsidP="00AB4780">
            <w:pPr>
              <w:tabs>
                <w:tab w:val="left" w:pos="567"/>
                <w:tab w:val="left" w:pos="1134"/>
              </w:tabs>
              <w:spacing w:before="20" w:after="20"/>
              <w:ind w:left="-51" w:right="23"/>
            </w:pPr>
            <w:r w:rsidRPr="00C97098">
              <w:t>Status update on the continuing work of the global list informal working grou</w:t>
            </w:r>
            <w:r>
              <w:t>p</w:t>
            </w:r>
            <w:r>
              <w:t xml:space="preserve"> (United States of America and Canada)</w:t>
            </w:r>
          </w:p>
        </w:tc>
      </w:tr>
    </w:tbl>
    <w:p w14:paraId="5A9EED16" w14:textId="486BB531" w:rsidR="00D45103" w:rsidRPr="0002122C" w:rsidRDefault="00BA550A" w:rsidP="00BA550A">
      <w:pPr>
        <w:spacing w:before="240"/>
        <w:jc w:val="center"/>
        <w:rPr>
          <w:u w:val="single"/>
          <w:lang w:val="fr-CH" w:eastAsia="en-AU"/>
        </w:rPr>
      </w:pPr>
      <w:r>
        <w:rPr>
          <w:u w:val="single"/>
          <w:lang w:val="en-AU" w:eastAsia="en-AU"/>
        </w:rPr>
        <w:tab/>
      </w:r>
      <w:r>
        <w:rPr>
          <w:u w:val="single"/>
          <w:lang w:val="en-AU" w:eastAsia="en-AU"/>
        </w:rPr>
        <w:tab/>
      </w:r>
      <w:r>
        <w:rPr>
          <w:u w:val="single"/>
          <w:lang w:val="en-AU" w:eastAsia="en-AU"/>
        </w:rPr>
        <w:tab/>
      </w:r>
    </w:p>
    <w:sectPr w:rsidR="00D45103" w:rsidRPr="0002122C" w:rsidSect="007B16C8">
      <w:headerReference w:type="even" r:id="rId11"/>
      <w:headerReference w:type="default" r:id="rId12"/>
      <w:footerReference w:type="even" r:id="rId13"/>
      <w:footerReference w:type="default" r:id="rId14"/>
      <w:endnotePr>
        <w:numFmt w:val="decimal"/>
      </w:endnotePr>
      <w:pgSz w:w="11907" w:h="16840" w:code="9"/>
      <w:pgMar w:top="1701" w:right="1134" w:bottom="1134" w:left="1134" w:header="113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B0D4" w14:textId="77777777" w:rsidR="00E33EC5" w:rsidRDefault="00E33EC5"/>
  </w:endnote>
  <w:endnote w:type="continuationSeparator" w:id="0">
    <w:p w14:paraId="40569378" w14:textId="77777777" w:rsidR="00E33EC5" w:rsidRDefault="00E33EC5"/>
  </w:endnote>
  <w:endnote w:type="continuationNotice" w:id="1">
    <w:p w14:paraId="2241A48D" w14:textId="77777777" w:rsidR="00E33EC5" w:rsidRDefault="00E33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7DC8" w14:textId="77777777" w:rsidR="006C0DC6" w:rsidRPr="0099001C" w:rsidRDefault="006C0DC6" w:rsidP="0099001C">
    <w:pPr>
      <w:pStyle w:val="Footer"/>
      <w:tabs>
        <w:tab w:val="right" w:pos="9638"/>
      </w:tabs>
      <w:rPr>
        <w:sz w:val="18"/>
      </w:rPr>
    </w:pP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2</w:t>
    </w:r>
    <w:r w:rsidRPr="0099001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80F9" w14:textId="77777777" w:rsidR="006C0DC6" w:rsidRPr="0099001C" w:rsidRDefault="006C0DC6" w:rsidP="0099001C">
    <w:pPr>
      <w:pStyle w:val="Footer"/>
      <w:tabs>
        <w:tab w:val="right" w:pos="9638"/>
      </w:tabs>
      <w:rPr>
        <w:b/>
        <w:sz w:val="18"/>
      </w:rPr>
    </w:pPr>
    <w:r>
      <w:tab/>
    </w: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3</w:t>
    </w:r>
    <w:r w:rsidRPr="0099001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453C" w14:textId="77777777" w:rsidR="00E33EC5" w:rsidRPr="000B175B" w:rsidRDefault="00E33EC5" w:rsidP="000B175B">
      <w:pPr>
        <w:tabs>
          <w:tab w:val="right" w:pos="2155"/>
        </w:tabs>
        <w:spacing w:after="80"/>
        <w:ind w:left="680"/>
        <w:rPr>
          <w:u w:val="single"/>
        </w:rPr>
      </w:pPr>
      <w:r>
        <w:rPr>
          <w:u w:val="single"/>
        </w:rPr>
        <w:tab/>
      </w:r>
    </w:p>
  </w:footnote>
  <w:footnote w:type="continuationSeparator" w:id="0">
    <w:p w14:paraId="244DD075" w14:textId="77777777" w:rsidR="00E33EC5" w:rsidRPr="00FC68B7" w:rsidRDefault="00E33EC5" w:rsidP="00FC68B7">
      <w:pPr>
        <w:tabs>
          <w:tab w:val="left" w:pos="2155"/>
        </w:tabs>
        <w:spacing w:after="80"/>
        <w:ind w:left="680"/>
        <w:rPr>
          <w:u w:val="single"/>
        </w:rPr>
      </w:pPr>
      <w:r>
        <w:rPr>
          <w:u w:val="single"/>
        </w:rPr>
        <w:tab/>
      </w:r>
    </w:p>
  </w:footnote>
  <w:footnote w:type="continuationNotice" w:id="1">
    <w:p w14:paraId="1AFBEFC8" w14:textId="77777777" w:rsidR="00E33EC5" w:rsidRDefault="00E33E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CBEE" w14:textId="5C5D32FB" w:rsidR="006C0DC6" w:rsidRPr="0099001C" w:rsidRDefault="006C0DC6" w:rsidP="00366CA7">
    <w:pPr>
      <w:pStyle w:val="Header"/>
    </w:pPr>
    <w:r>
      <w:t>UN/SCE</w:t>
    </w:r>
    <w:r w:rsidR="00F244F1">
      <w:t>GHS</w:t>
    </w:r>
    <w:r w:rsidR="00692718">
      <w:t>/</w:t>
    </w:r>
    <w:r w:rsidR="001E40AD">
      <w:t>4</w:t>
    </w:r>
    <w:r w:rsidR="00466E3A">
      <w:t>6</w:t>
    </w:r>
    <w:r>
      <w:t>/INF.1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6B16" w14:textId="3AA631ED" w:rsidR="006C0DC6" w:rsidRPr="0099001C" w:rsidRDefault="006C0DC6" w:rsidP="0099001C">
    <w:pPr>
      <w:pStyle w:val="Header"/>
      <w:jc w:val="right"/>
    </w:pPr>
    <w:r>
      <w:t>UN/SCEGHS/</w:t>
    </w:r>
    <w:r w:rsidR="001E40AD">
      <w:t>4</w:t>
    </w:r>
    <w:r w:rsidR="00146318">
      <w:t>4</w:t>
    </w:r>
    <w:r w:rsidR="00C07F9E">
      <w:t>/</w:t>
    </w:r>
    <w:r>
      <w:t>INF.1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331641"/>
    <w:multiLevelType w:val="hybridMultilevel"/>
    <w:tmpl w:val="428EC2FC"/>
    <w:lvl w:ilvl="0" w:tplc="92F8CD1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72922656">
    <w:abstractNumId w:val="0"/>
  </w:num>
  <w:num w:numId="2" w16cid:durableId="1680304476">
    <w:abstractNumId w:val="2"/>
  </w:num>
  <w:num w:numId="3" w16cid:durableId="14706603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C"/>
    <w:rsid w:val="0000194C"/>
    <w:rsid w:val="00002EFA"/>
    <w:rsid w:val="00002F33"/>
    <w:rsid w:val="00006AF9"/>
    <w:rsid w:val="00012CCC"/>
    <w:rsid w:val="00013671"/>
    <w:rsid w:val="000211A8"/>
    <w:rsid w:val="0002122C"/>
    <w:rsid w:val="00030E94"/>
    <w:rsid w:val="0003123C"/>
    <w:rsid w:val="000316DC"/>
    <w:rsid w:val="00031CBB"/>
    <w:rsid w:val="00032D87"/>
    <w:rsid w:val="00033B3D"/>
    <w:rsid w:val="00035153"/>
    <w:rsid w:val="00037D3B"/>
    <w:rsid w:val="00040D3C"/>
    <w:rsid w:val="0004216B"/>
    <w:rsid w:val="00042286"/>
    <w:rsid w:val="000448F5"/>
    <w:rsid w:val="00045390"/>
    <w:rsid w:val="00050F6B"/>
    <w:rsid w:val="0005512E"/>
    <w:rsid w:val="000604F9"/>
    <w:rsid w:val="00066C22"/>
    <w:rsid w:val="000715C0"/>
    <w:rsid w:val="00072C8C"/>
    <w:rsid w:val="00076E62"/>
    <w:rsid w:val="00080F78"/>
    <w:rsid w:val="00081647"/>
    <w:rsid w:val="00082474"/>
    <w:rsid w:val="00083C33"/>
    <w:rsid w:val="00084F62"/>
    <w:rsid w:val="000859D7"/>
    <w:rsid w:val="000877CA"/>
    <w:rsid w:val="00090FEC"/>
    <w:rsid w:val="00092572"/>
    <w:rsid w:val="000931C0"/>
    <w:rsid w:val="000932EF"/>
    <w:rsid w:val="0009395A"/>
    <w:rsid w:val="00094F1E"/>
    <w:rsid w:val="00096CD4"/>
    <w:rsid w:val="000A0664"/>
    <w:rsid w:val="000A18E8"/>
    <w:rsid w:val="000A27C1"/>
    <w:rsid w:val="000A4960"/>
    <w:rsid w:val="000A5146"/>
    <w:rsid w:val="000A5B7E"/>
    <w:rsid w:val="000B0C0A"/>
    <w:rsid w:val="000B175B"/>
    <w:rsid w:val="000B277D"/>
    <w:rsid w:val="000B3A0F"/>
    <w:rsid w:val="000B3A1F"/>
    <w:rsid w:val="000C124B"/>
    <w:rsid w:val="000C2277"/>
    <w:rsid w:val="000C2F47"/>
    <w:rsid w:val="000C311F"/>
    <w:rsid w:val="000C3E42"/>
    <w:rsid w:val="000C4920"/>
    <w:rsid w:val="000C503A"/>
    <w:rsid w:val="000C6544"/>
    <w:rsid w:val="000D191F"/>
    <w:rsid w:val="000D209B"/>
    <w:rsid w:val="000D385C"/>
    <w:rsid w:val="000D39F8"/>
    <w:rsid w:val="000D3B0C"/>
    <w:rsid w:val="000D400B"/>
    <w:rsid w:val="000D4B28"/>
    <w:rsid w:val="000E01AC"/>
    <w:rsid w:val="000E0415"/>
    <w:rsid w:val="000E5577"/>
    <w:rsid w:val="000E5853"/>
    <w:rsid w:val="000E776A"/>
    <w:rsid w:val="000F1822"/>
    <w:rsid w:val="000F2D6D"/>
    <w:rsid w:val="000F368C"/>
    <w:rsid w:val="000F4338"/>
    <w:rsid w:val="000F4FAA"/>
    <w:rsid w:val="000F6C7B"/>
    <w:rsid w:val="00100A9D"/>
    <w:rsid w:val="001035FB"/>
    <w:rsid w:val="00105320"/>
    <w:rsid w:val="00107042"/>
    <w:rsid w:val="0011098D"/>
    <w:rsid w:val="00110DF6"/>
    <w:rsid w:val="00111D56"/>
    <w:rsid w:val="001176A4"/>
    <w:rsid w:val="0011793B"/>
    <w:rsid w:val="001220B8"/>
    <w:rsid w:val="00123D39"/>
    <w:rsid w:val="001341DD"/>
    <w:rsid w:val="00137D36"/>
    <w:rsid w:val="00140837"/>
    <w:rsid w:val="00142C81"/>
    <w:rsid w:val="00146318"/>
    <w:rsid w:val="00156F3C"/>
    <w:rsid w:val="00161433"/>
    <w:rsid w:val="00162BF7"/>
    <w:rsid w:val="00165723"/>
    <w:rsid w:val="00166E15"/>
    <w:rsid w:val="0017030B"/>
    <w:rsid w:val="00170F4C"/>
    <w:rsid w:val="00170FD6"/>
    <w:rsid w:val="001715A2"/>
    <w:rsid w:val="00172E04"/>
    <w:rsid w:val="00174980"/>
    <w:rsid w:val="001774E0"/>
    <w:rsid w:val="00182DDC"/>
    <w:rsid w:val="00183CBA"/>
    <w:rsid w:val="00190AEA"/>
    <w:rsid w:val="00191C2E"/>
    <w:rsid w:val="00192056"/>
    <w:rsid w:val="001938D6"/>
    <w:rsid w:val="0019504F"/>
    <w:rsid w:val="00195391"/>
    <w:rsid w:val="001A4044"/>
    <w:rsid w:val="001A4AB0"/>
    <w:rsid w:val="001B0566"/>
    <w:rsid w:val="001B1CED"/>
    <w:rsid w:val="001B1F42"/>
    <w:rsid w:val="001B4B04"/>
    <w:rsid w:val="001B70FD"/>
    <w:rsid w:val="001B7FE6"/>
    <w:rsid w:val="001C180D"/>
    <w:rsid w:val="001C6663"/>
    <w:rsid w:val="001C7895"/>
    <w:rsid w:val="001D003E"/>
    <w:rsid w:val="001D0A91"/>
    <w:rsid w:val="001D21BC"/>
    <w:rsid w:val="001D26DF"/>
    <w:rsid w:val="001D4DBF"/>
    <w:rsid w:val="001D5801"/>
    <w:rsid w:val="001D5A94"/>
    <w:rsid w:val="001E40AD"/>
    <w:rsid w:val="001E47FD"/>
    <w:rsid w:val="001E4C75"/>
    <w:rsid w:val="001E67B0"/>
    <w:rsid w:val="001E710B"/>
    <w:rsid w:val="001F527C"/>
    <w:rsid w:val="001F6A6D"/>
    <w:rsid w:val="002029CA"/>
    <w:rsid w:val="00202BA7"/>
    <w:rsid w:val="00205593"/>
    <w:rsid w:val="00211ADF"/>
    <w:rsid w:val="00211E0B"/>
    <w:rsid w:val="00214D62"/>
    <w:rsid w:val="002178E4"/>
    <w:rsid w:val="0022466B"/>
    <w:rsid w:val="00226D9D"/>
    <w:rsid w:val="00227269"/>
    <w:rsid w:val="00231CA6"/>
    <w:rsid w:val="002348F4"/>
    <w:rsid w:val="00236E81"/>
    <w:rsid w:val="00237536"/>
    <w:rsid w:val="002405A7"/>
    <w:rsid w:val="00245F4B"/>
    <w:rsid w:val="0024624B"/>
    <w:rsid w:val="00246F41"/>
    <w:rsid w:val="002505DA"/>
    <w:rsid w:val="00252CF5"/>
    <w:rsid w:val="002570BC"/>
    <w:rsid w:val="00257D55"/>
    <w:rsid w:val="00257E45"/>
    <w:rsid w:val="00261207"/>
    <w:rsid w:val="00262488"/>
    <w:rsid w:val="00266309"/>
    <w:rsid w:val="00267291"/>
    <w:rsid w:val="0027313E"/>
    <w:rsid w:val="00275662"/>
    <w:rsid w:val="00275D77"/>
    <w:rsid w:val="00277585"/>
    <w:rsid w:val="00284A54"/>
    <w:rsid w:val="00284D60"/>
    <w:rsid w:val="00291AA5"/>
    <w:rsid w:val="002931D7"/>
    <w:rsid w:val="002938AE"/>
    <w:rsid w:val="002966C0"/>
    <w:rsid w:val="002A128C"/>
    <w:rsid w:val="002A2D3E"/>
    <w:rsid w:val="002A5947"/>
    <w:rsid w:val="002A5A2D"/>
    <w:rsid w:val="002B1F8A"/>
    <w:rsid w:val="002B3229"/>
    <w:rsid w:val="002B3D2E"/>
    <w:rsid w:val="002C133E"/>
    <w:rsid w:val="002C38A6"/>
    <w:rsid w:val="002C40A7"/>
    <w:rsid w:val="002C4DEE"/>
    <w:rsid w:val="002C710D"/>
    <w:rsid w:val="002D14A8"/>
    <w:rsid w:val="002D59D3"/>
    <w:rsid w:val="002D7989"/>
    <w:rsid w:val="002E0624"/>
    <w:rsid w:val="002E1C26"/>
    <w:rsid w:val="002E34A6"/>
    <w:rsid w:val="002E7B40"/>
    <w:rsid w:val="002E7C49"/>
    <w:rsid w:val="002E7F8C"/>
    <w:rsid w:val="002F1024"/>
    <w:rsid w:val="002F1DD9"/>
    <w:rsid w:val="002F4558"/>
    <w:rsid w:val="002F57BC"/>
    <w:rsid w:val="002F6D07"/>
    <w:rsid w:val="0030023E"/>
    <w:rsid w:val="00300BAE"/>
    <w:rsid w:val="00300EE9"/>
    <w:rsid w:val="0030270D"/>
    <w:rsid w:val="00302CD3"/>
    <w:rsid w:val="00305C3C"/>
    <w:rsid w:val="0030642A"/>
    <w:rsid w:val="00307BB6"/>
    <w:rsid w:val="0031010C"/>
    <w:rsid w:val="0031024C"/>
    <w:rsid w:val="003107FA"/>
    <w:rsid w:val="00310840"/>
    <w:rsid w:val="003118D4"/>
    <w:rsid w:val="00311EC5"/>
    <w:rsid w:val="003127A2"/>
    <w:rsid w:val="00313E8C"/>
    <w:rsid w:val="00314180"/>
    <w:rsid w:val="003168C3"/>
    <w:rsid w:val="00317ADF"/>
    <w:rsid w:val="00321878"/>
    <w:rsid w:val="003229D8"/>
    <w:rsid w:val="00323FD8"/>
    <w:rsid w:val="00326087"/>
    <w:rsid w:val="00332301"/>
    <w:rsid w:val="00334D85"/>
    <w:rsid w:val="0033745A"/>
    <w:rsid w:val="00337513"/>
    <w:rsid w:val="00342A02"/>
    <w:rsid w:val="003443E5"/>
    <w:rsid w:val="00350146"/>
    <w:rsid w:val="00350692"/>
    <w:rsid w:val="00353DBA"/>
    <w:rsid w:val="003542AA"/>
    <w:rsid w:val="003565E5"/>
    <w:rsid w:val="003566E0"/>
    <w:rsid w:val="003607D6"/>
    <w:rsid w:val="00366CA7"/>
    <w:rsid w:val="00366F1B"/>
    <w:rsid w:val="00367256"/>
    <w:rsid w:val="00367FDA"/>
    <w:rsid w:val="00371853"/>
    <w:rsid w:val="00373C77"/>
    <w:rsid w:val="003841B8"/>
    <w:rsid w:val="0038656E"/>
    <w:rsid w:val="00387D76"/>
    <w:rsid w:val="00390D42"/>
    <w:rsid w:val="0039277A"/>
    <w:rsid w:val="003933D2"/>
    <w:rsid w:val="003937A6"/>
    <w:rsid w:val="003972E0"/>
    <w:rsid w:val="003A35BE"/>
    <w:rsid w:val="003A4B23"/>
    <w:rsid w:val="003A6162"/>
    <w:rsid w:val="003B0B39"/>
    <w:rsid w:val="003B1220"/>
    <w:rsid w:val="003B39CC"/>
    <w:rsid w:val="003C10E5"/>
    <w:rsid w:val="003C2CC4"/>
    <w:rsid w:val="003C32AD"/>
    <w:rsid w:val="003C3936"/>
    <w:rsid w:val="003C40BA"/>
    <w:rsid w:val="003C5E58"/>
    <w:rsid w:val="003D02C2"/>
    <w:rsid w:val="003D0476"/>
    <w:rsid w:val="003D15AE"/>
    <w:rsid w:val="003D4B23"/>
    <w:rsid w:val="003D621B"/>
    <w:rsid w:val="003D6D11"/>
    <w:rsid w:val="003D7247"/>
    <w:rsid w:val="003E1216"/>
    <w:rsid w:val="003E166C"/>
    <w:rsid w:val="003E1B5B"/>
    <w:rsid w:val="003E2A39"/>
    <w:rsid w:val="003F0752"/>
    <w:rsid w:val="003F103C"/>
    <w:rsid w:val="003F18A0"/>
    <w:rsid w:val="003F1ED3"/>
    <w:rsid w:val="003F7973"/>
    <w:rsid w:val="00406EF0"/>
    <w:rsid w:val="004117BF"/>
    <w:rsid w:val="004160C6"/>
    <w:rsid w:val="004230C0"/>
    <w:rsid w:val="00426C9C"/>
    <w:rsid w:val="004303F9"/>
    <w:rsid w:val="004325B1"/>
    <w:rsid w:val="004325CB"/>
    <w:rsid w:val="00435ED3"/>
    <w:rsid w:val="00446DE4"/>
    <w:rsid w:val="00447538"/>
    <w:rsid w:val="0045333F"/>
    <w:rsid w:val="00453FEB"/>
    <w:rsid w:val="00454B78"/>
    <w:rsid w:val="004558E0"/>
    <w:rsid w:val="004563BE"/>
    <w:rsid w:val="00460A62"/>
    <w:rsid w:val="00460DD9"/>
    <w:rsid w:val="00463BE7"/>
    <w:rsid w:val="00465BDB"/>
    <w:rsid w:val="0046610F"/>
    <w:rsid w:val="00466E3A"/>
    <w:rsid w:val="0047030D"/>
    <w:rsid w:val="00471E4E"/>
    <w:rsid w:val="0047324D"/>
    <w:rsid w:val="004769D7"/>
    <w:rsid w:val="0048291A"/>
    <w:rsid w:val="00483579"/>
    <w:rsid w:val="00484B10"/>
    <w:rsid w:val="004901B7"/>
    <w:rsid w:val="00495D81"/>
    <w:rsid w:val="004A2F84"/>
    <w:rsid w:val="004A41CA"/>
    <w:rsid w:val="004A6C6E"/>
    <w:rsid w:val="004A7239"/>
    <w:rsid w:val="004B14D6"/>
    <w:rsid w:val="004B1DE7"/>
    <w:rsid w:val="004B2B6E"/>
    <w:rsid w:val="004B6733"/>
    <w:rsid w:val="004C73BB"/>
    <w:rsid w:val="004D0993"/>
    <w:rsid w:val="004D0E8C"/>
    <w:rsid w:val="004D56AF"/>
    <w:rsid w:val="004D5CB2"/>
    <w:rsid w:val="004D6E91"/>
    <w:rsid w:val="004E1ECA"/>
    <w:rsid w:val="004E478E"/>
    <w:rsid w:val="004E5083"/>
    <w:rsid w:val="004E674C"/>
    <w:rsid w:val="004F3B51"/>
    <w:rsid w:val="004F4B24"/>
    <w:rsid w:val="004F65C1"/>
    <w:rsid w:val="004F66A5"/>
    <w:rsid w:val="00503228"/>
    <w:rsid w:val="005049A9"/>
    <w:rsid w:val="00505384"/>
    <w:rsid w:val="00511072"/>
    <w:rsid w:val="005141C1"/>
    <w:rsid w:val="00516318"/>
    <w:rsid w:val="00516875"/>
    <w:rsid w:val="00516B82"/>
    <w:rsid w:val="0052266E"/>
    <w:rsid w:val="00523086"/>
    <w:rsid w:val="0052543F"/>
    <w:rsid w:val="005254AC"/>
    <w:rsid w:val="00526214"/>
    <w:rsid w:val="005262A9"/>
    <w:rsid w:val="00532EF8"/>
    <w:rsid w:val="0053389A"/>
    <w:rsid w:val="00533A2F"/>
    <w:rsid w:val="005356FB"/>
    <w:rsid w:val="00540A54"/>
    <w:rsid w:val="00540DD6"/>
    <w:rsid w:val="005420F2"/>
    <w:rsid w:val="005504B6"/>
    <w:rsid w:val="00553222"/>
    <w:rsid w:val="00570364"/>
    <w:rsid w:val="00570DDB"/>
    <w:rsid w:val="00572B36"/>
    <w:rsid w:val="00573B67"/>
    <w:rsid w:val="005772E6"/>
    <w:rsid w:val="005777F3"/>
    <w:rsid w:val="00581586"/>
    <w:rsid w:val="00584331"/>
    <w:rsid w:val="005850CA"/>
    <w:rsid w:val="00590B7E"/>
    <w:rsid w:val="0059189E"/>
    <w:rsid w:val="00592D34"/>
    <w:rsid w:val="005934AE"/>
    <w:rsid w:val="00594DD2"/>
    <w:rsid w:val="0059731C"/>
    <w:rsid w:val="005A113F"/>
    <w:rsid w:val="005A531C"/>
    <w:rsid w:val="005B1F57"/>
    <w:rsid w:val="005B2C89"/>
    <w:rsid w:val="005B3DB3"/>
    <w:rsid w:val="005B4554"/>
    <w:rsid w:val="005B7FBD"/>
    <w:rsid w:val="005C4004"/>
    <w:rsid w:val="005C4858"/>
    <w:rsid w:val="005C53DB"/>
    <w:rsid w:val="005D425A"/>
    <w:rsid w:val="005D50ED"/>
    <w:rsid w:val="005D65DA"/>
    <w:rsid w:val="005D6E68"/>
    <w:rsid w:val="005E743D"/>
    <w:rsid w:val="005F0ED6"/>
    <w:rsid w:val="005F7309"/>
    <w:rsid w:val="006023C5"/>
    <w:rsid w:val="00602F4B"/>
    <w:rsid w:val="00602FF5"/>
    <w:rsid w:val="00603E59"/>
    <w:rsid w:val="00605319"/>
    <w:rsid w:val="0061022E"/>
    <w:rsid w:val="00611FC4"/>
    <w:rsid w:val="006150FC"/>
    <w:rsid w:val="00616DA1"/>
    <w:rsid w:val="006176FB"/>
    <w:rsid w:val="006218CD"/>
    <w:rsid w:val="00623353"/>
    <w:rsid w:val="006241C1"/>
    <w:rsid w:val="00624260"/>
    <w:rsid w:val="0062479F"/>
    <w:rsid w:val="0062601D"/>
    <w:rsid w:val="00627ED0"/>
    <w:rsid w:val="006315C8"/>
    <w:rsid w:val="00633B10"/>
    <w:rsid w:val="00633B6C"/>
    <w:rsid w:val="00634702"/>
    <w:rsid w:val="00635D36"/>
    <w:rsid w:val="00640B26"/>
    <w:rsid w:val="00643E18"/>
    <w:rsid w:val="00645CD2"/>
    <w:rsid w:val="00645F39"/>
    <w:rsid w:val="00646911"/>
    <w:rsid w:val="006524FE"/>
    <w:rsid w:val="0065309D"/>
    <w:rsid w:val="006631FC"/>
    <w:rsid w:val="006632CE"/>
    <w:rsid w:val="00665595"/>
    <w:rsid w:val="006666F6"/>
    <w:rsid w:val="00677682"/>
    <w:rsid w:val="00677FFB"/>
    <w:rsid w:val="00680497"/>
    <w:rsid w:val="00680B5A"/>
    <w:rsid w:val="00684780"/>
    <w:rsid w:val="00686A4C"/>
    <w:rsid w:val="00687ACF"/>
    <w:rsid w:val="00690889"/>
    <w:rsid w:val="00691F20"/>
    <w:rsid w:val="00692718"/>
    <w:rsid w:val="00693543"/>
    <w:rsid w:val="00694E7D"/>
    <w:rsid w:val="006A3F47"/>
    <w:rsid w:val="006A4D36"/>
    <w:rsid w:val="006A5235"/>
    <w:rsid w:val="006A55EF"/>
    <w:rsid w:val="006A7392"/>
    <w:rsid w:val="006A7757"/>
    <w:rsid w:val="006B1215"/>
    <w:rsid w:val="006B352C"/>
    <w:rsid w:val="006B4217"/>
    <w:rsid w:val="006B4EA7"/>
    <w:rsid w:val="006B71CD"/>
    <w:rsid w:val="006C0DC6"/>
    <w:rsid w:val="006C52B9"/>
    <w:rsid w:val="006D258E"/>
    <w:rsid w:val="006D2C01"/>
    <w:rsid w:val="006D3111"/>
    <w:rsid w:val="006D5BDC"/>
    <w:rsid w:val="006D673E"/>
    <w:rsid w:val="006D750C"/>
    <w:rsid w:val="006E09C2"/>
    <w:rsid w:val="006E4F08"/>
    <w:rsid w:val="006E5093"/>
    <w:rsid w:val="006E564B"/>
    <w:rsid w:val="006E7CEF"/>
    <w:rsid w:val="006F17B5"/>
    <w:rsid w:val="006F1999"/>
    <w:rsid w:val="006F2032"/>
    <w:rsid w:val="006F2413"/>
    <w:rsid w:val="00702BA6"/>
    <w:rsid w:val="00703D6C"/>
    <w:rsid w:val="007054E7"/>
    <w:rsid w:val="0070625A"/>
    <w:rsid w:val="0071349F"/>
    <w:rsid w:val="00717E07"/>
    <w:rsid w:val="00720DEB"/>
    <w:rsid w:val="00720E11"/>
    <w:rsid w:val="0072183C"/>
    <w:rsid w:val="00721C1F"/>
    <w:rsid w:val="00725227"/>
    <w:rsid w:val="00725594"/>
    <w:rsid w:val="0072632A"/>
    <w:rsid w:val="0073084C"/>
    <w:rsid w:val="007327BF"/>
    <w:rsid w:val="00733AAE"/>
    <w:rsid w:val="00741094"/>
    <w:rsid w:val="007415A9"/>
    <w:rsid w:val="00745024"/>
    <w:rsid w:val="007500D1"/>
    <w:rsid w:val="007503C7"/>
    <w:rsid w:val="00752BD5"/>
    <w:rsid w:val="00754EE1"/>
    <w:rsid w:val="00755A5C"/>
    <w:rsid w:val="00763C11"/>
    <w:rsid w:val="00773A09"/>
    <w:rsid w:val="0077406B"/>
    <w:rsid w:val="007750C3"/>
    <w:rsid w:val="00775FD1"/>
    <w:rsid w:val="00781A60"/>
    <w:rsid w:val="0078400A"/>
    <w:rsid w:val="00785B42"/>
    <w:rsid w:val="00787875"/>
    <w:rsid w:val="00787C77"/>
    <w:rsid w:val="00790122"/>
    <w:rsid w:val="007931C9"/>
    <w:rsid w:val="00793B61"/>
    <w:rsid w:val="007952B3"/>
    <w:rsid w:val="0079583D"/>
    <w:rsid w:val="00795BA9"/>
    <w:rsid w:val="007A0A17"/>
    <w:rsid w:val="007A3C2E"/>
    <w:rsid w:val="007A3FBD"/>
    <w:rsid w:val="007A46B3"/>
    <w:rsid w:val="007A4977"/>
    <w:rsid w:val="007A56B1"/>
    <w:rsid w:val="007A5A21"/>
    <w:rsid w:val="007A7379"/>
    <w:rsid w:val="007B0A9C"/>
    <w:rsid w:val="007B16C8"/>
    <w:rsid w:val="007B179E"/>
    <w:rsid w:val="007B6BA5"/>
    <w:rsid w:val="007C22F5"/>
    <w:rsid w:val="007C3390"/>
    <w:rsid w:val="007C3709"/>
    <w:rsid w:val="007C41E2"/>
    <w:rsid w:val="007C4F4B"/>
    <w:rsid w:val="007C5AA6"/>
    <w:rsid w:val="007D4767"/>
    <w:rsid w:val="007E3F43"/>
    <w:rsid w:val="007E7DCA"/>
    <w:rsid w:val="007F025F"/>
    <w:rsid w:val="007F07A4"/>
    <w:rsid w:val="007F0B83"/>
    <w:rsid w:val="007F2A10"/>
    <w:rsid w:val="007F48EF"/>
    <w:rsid w:val="007F4FCD"/>
    <w:rsid w:val="007F64C3"/>
    <w:rsid w:val="007F6611"/>
    <w:rsid w:val="00801114"/>
    <w:rsid w:val="00801E05"/>
    <w:rsid w:val="008166C5"/>
    <w:rsid w:val="0081732C"/>
    <w:rsid w:val="008175E9"/>
    <w:rsid w:val="008200F6"/>
    <w:rsid w:val="00820370"/>
    <w:rsid w:val="00822F07"/>
    <w:rsid w:val="008242D7"/>
    <w:rsid w:val="00826EFF"/>
    <w:rsid w:val="00827E05"/>
    <w:rsid w:val="00830DB0"/>
    <w:rsid w:val="008311A3"/>
    <w:rsid w:val="00836AF7"/>
    <w:rsid w:val="00842E4A"/>
    <w:rsid w:val="00844008"/>
    <w:rsid w:val="00847479"/>
    <w:rsid w:val="00847C30"/>
    <w:rsid w:val="00852EAB"/>
    <w:rsid w:val="00854525"/>
    <w:rsid w:val="00854F2C"/>
    <w:rsid w:val="00856F7D"/>
    <w:rsid w:val="0086000D"/>
    <w:rsid w:val="00860FF5"/>
    <w:rsid w:val="00861ED3"/>
    <w:rsid w:val="00862FA0"/>
    <w:rsid w:val="00864B6B"/>
    <w:rsid w:val="00865A21"/>
    <w:rsid w:val="00870D13"/>
    <w:rsid w:val="00871E56"/>
    <w:rsid w:val="00871FD5"/>
    <w:rsid w:val="00873530"/>
    <w:rsid w:val="008929D1"/>
    <w:rsid w:val="00892FFA"/>
    <w:rsid w:val="00896186"/>
    <w:rsid w:val="008979B1"/>
    <w:rsid w:val="008A643A"/>
    <w:rsid w:val="008A6B25"/>
    <w:rsid w:val="008A6C1B"/>
    <w:rsid w:val="008A6C4F"/>
    <w:rsid w:val="008B11BF"/>
    <w:rsid w:val="008B667E"/>
    <w:rsid w:val="008B6E26"/>
    <w:rsid w:val="008C34B0"/>
    <w:rsid w:val="008C64C8"/>
    <w:rsid w:val="008D0BEF"/>
    <w:rsid w:val="008D1A22"/>
    <w:rsid w:val="008D5C5D"/>
    <w:rsid w:val="008E0056"/>
    <w:rsid w:val="008E0E46"/>
    <w:rsid w:val="008E4987"/>
    <w:rsid w:val="008E4C4C"/>
    <w:rsid w:val="008E63D9"/>
    <w:rsid w:val="008F53D3"/>
    <w:rsid w:val="008F7DA2"/>
    <w:rsid w:val="009007D4"/>
    <w:rsid w:val="00901ABF"/>
    <w:rsid w:val="00902BF1"/>
    <w:rsid w:val="00905BB8"/>
    <w:rsid w:val="00907AD2"/>
    <w:rsid w:val="00911047"/>
    <w:rsid w:val="009134D8"/>
    <w:rsid w:val="00916B5B"/>
    <w:rsid w:val="00921936"/>
    <w:rsid w:val="00921D42"/>
    <w:rsid w:val="00921DF8"/>
    <w:rsid w:val="00922225"/>
    <w:rsid w:val="00923580"/>
    <w:rsid w:val="0092749C"/>
    <w:rsid w:val="00927FFB"/>
    <w:rsid w:val="00930308"/>
    <w:rsid w:val="00933D9F"/>
    <w:rsid w:val="00935057"/>
    <w:rsid w:val="0093545E"/>
    <w:rsid w:val="00940735"/>
    <w:rsid w:val="00940847"/>
    <w:rsid w:val="0094220B"/>
    <w:rsid w:val="00951447"/>
    <w:rsid w:val="00951778"/>
    <w:rsid w:val="009524E5"/>
    <w:rsid w:val="00952BE3"/>
    <w:rsid w:val="009564E3"/>
    <w:rsid w:val="00956B7C"/>
    <w:rsid w:val="0095713C"/>
    <w:rsid w:val="00957AD6"/>
    <w:rsid w:val="00960550"/>
    <w:rsid w:val="009612BF"/>
    <w:rsid w:val="00963CBA"/>
    <w:rsid w:val="0096731F"/>
    <w:rsid w:val="009706A5"/>
    <w:rsid w:val="009715EE"/>
    <w:rsid w:val="00974146"/>
    <w:rsid w:val="00974A8D"/>
    <w:rsid w:val="00974F4C"/>
    <w:rsid w:val="009754D8"/>
    <w:rsid w:val="00975826"/>
    <w:rsid w:val="0098016B"/>
    <w:rsid w:val="00983F80"/>
    <w:rsid w:val="00985096"/>
    <w:rsid w:val="00986712"/>
    <w:rsid w:val="00987072"/>
    <w:rsid w:val="009871E8"/>
    <w:rsid w:val="00987E26"/>
    <w:rsid w:val="0099001C"/>
    <w:rsid w:val="009901DF"/>
    <w:rsid w:val="00991261"/>
    <w:rsid w:val="00992BE6"/>
    <w:rsid w:val="0099358E"/>
    <w:rsid w:val="0099777C"/>
    <w:rsid w:val="009A0D5F"/>
    <w:rsid w:val="009A23DA"/>
    <w:rsid w:val="009A2732"/>
    <w:rsid w:val="009B55EC"/>
    <w:rsid w:val="009B5C4D"/>
    <w:rsid w:val="009B5E67"/>
    <w:rsid w:val="009B71F3"/>
    <w:rsid w:val="009C31E7"/>
    <w:rsid w:val="009D0EC7"/>
    <w:rsid w:val="009D1390"/>
    <w:rsid w:val="009D1B37"/>
    <w:rsid w:val="009D21D5"/>
    <w:rsid w:val="009D3B48"/>
    <w:rsid w:val="009D7DB7"/>
    <w:rsid w:val="009E2F2F"/>
    <w:rsid w:val="009E3C56"/>
    <w:rsid w:val="009E72B5"/>
    <w:rsid w:val="009E7885"/>
    <w:rsid w:val="009E7EB1"/>
    <w:rsid w:val="009F39C8"/>
    <w:rsid w:val="009F3A17"/>
    <w:rsid w:val="009F60E2"/>
    <w:rsid w:val="009F6E01"/>
    <w:rsid w:val="00A103CC"/>
    <w:rsid w:val="00A11670"/>
    <w:rsid w:val="00A119EF"/>
    <w:rsid w:val="00A1427D"/>
    <w:rsid w:val="00A15BD5"/>
    <w:rsid w:val="00A1649D"/>
    <w:rsid w:val="00A202EC"/>
    <w:rsid w:val="00A22066"/>
    <w:rsid w:val="00A2537D"/>
    <w:rsid w:val="00A25A43"/>
    <w:rsid w:val="00A27974"/>
    <w:rsid w:val="00A3227A"/>
    <w:rsid w:val="00A341C1"/>
    <w:rsid w:val="00A36772"/>
    <w:rsid w:val="00A36D59"/>
    <w:rsid w:val="00A41C9A"/>
    <w:rsid w:val="00A429E3"/>
    <w:rsid w:val="00A4467A"/>
    <w:rsid w:val="00A449C3"/>
    <w:rsid w:val="00A467EC"/>
    <w:rsid w:val="00A52B4E"/>
    <w:rsid w:val="00A5384D"/>
    <w:rsid w:val="00A548BF"/>
    <w:rsid w:val="00A55FB2"/>
    <w:rsid w:val="00A605AD"/>
    <w:rsid w:val="00A61A6B"/>
    <w:rsid w:val="00A658A1"/>
    <w:rsid w:val="00A65B71"/>
    <w:rsid w:val="00A6650E"/>
    <w:rsid w:val="00A665BE"/>
    <w:rsid w:val="00A67424"/>
    <w:rsid w:val="00A67771"/>
    <w:rsid w:val="00A70749"/>
    <w:rsid w:val="00A71EC0"/>
    <w:rsid w:val="00A72F22"/>
    <w:rsid w:val="00A73D69"/>
    <w:rsid w:val="00A748A6"/>
    <w:rsid w:val="00A74C42"/>
    <w:rsid w:val="00A805EB"/>
    <w:rsid w:val="00A81711"/>
    <w:rsid w:val="00A85311"/>
    <w:rsid w:val="00A8577D"/>
    <w:rsid w:val="00A8584C"/>
    <w:rsid w:val="00A879A4"/>
    <w:rsid w:val="00A91158"/>
    <w:rsid w:val="00A94CB3"/>
    <w:rsid w:val="00A958C8"/>
    <w:rsid w:val="00A97044"/>
    <w:rsid w:val="00A972A2"/>
    <w:rsid w:val="00AA1A9A"/>
    <w:rsid w:val="00AA332B"/>
    <w:rsid w:val="00AA496B"/>
    <w:rsid w:val="00AB3FD6"/>
    <w:rsid w:val="00AB4780"/>
    <w:rsid w:val="00AC2B6F"/>
    <w:rsid w:val="00AC2BA3"/>
    <w:rsid w:val="00AC35ED"/>
    <w:rsid w:val="00AC4747"/>
    <w:rsid w:val="00AC6829"/>
    <w:rsid w:val="00AC706E"/>
    <w:rsid w:val="00AD6092"/>
    <w:rsid w:val="00AE0223"/>
    <w:rsid w:val="00AE3FBF"/>
    <w:rsid w:val="00AF26F8"/>
    <w:rsid w:val="00AF31E8"/>
    <w:rsid w:val="00B00FE6"/>
    <w:rsid w:val="00B02038"/>
    <w:rsid w:val="00B03393"/>
    <w:rsid w:val="00B10465"/>
    <w:rsid w:val="00B10CA2"/>
    <w:rsid w:val="00B12EC9"/>
    <w:rsid w:val="00B14D79"/>
    <w:rsid w:val="00B16407"/>
    <w:rsid w:val="00B2779A"/>
    <w:rsid w:val="00B30179"/>
    <w:rsid w:val="00B3083A"/>
    <w:rsid w:val="00B31887"/>
    <w:rsid w:val="00B336DE"/>
    <w:rsid w:val="00B33EC0"/>
    <w:rsid w:val="00B40E5F"/>
    <w:rsid w:val="00B4319A"/>
    <w:rsid w:val="00B44F71"/>
    <w:rsid w:val="00B500D4"/>
    <w:rsid w:val="00B546FA"/>
    <w:rsid w:val="00B561A9"/>
    <w:rsid w:val="00B5742C"/>
    <w:rsid w:val="00B60C26"/>
    <w:rsid w:val="00B73D8C"/>
    <w:rsid w:val="00B81E12"/>
    <w:rsid w:val="00B83093"/>
    <w:rsid w:val="00B83916"/>
    <w:rsid w:val="00B839A7"/>
    <w:rsid w:val="00B844EC"/>
    <w:rsid w:val="00B845D6"/>
    <w:rsid w:val="00B85329"/>
    <w:rsid w:val="00B87CF1"/>
    <w:rsid w:val="00B90C56"/>
    <w:rsid w:val="00B91F5C"/>
    <w:rsid w:val="00B93415"/>
    <w:rsid w:val="00B94086"/>
    <w:rsid w:val="00B94E3D"/>
    <w:rsid w:val="00B953BE"/>
    <w:rsid w:val="00BA1611"/>
    <w:rsid w:val="00BA4ED4"/>
    <w:rsid w:val="00BA515F"/>
    <w:rsid w:val="00BA550A"/>
    <w:rsid w:val="00BB116C"/>
    <w:rsid w:val="00BB52B2"/>
    <w:rsid w:val="00BB5DF7"/>
    <w:rsid w:val="00BB6799"/>
    <w:rsid w:val="00BC3830"/>
    <w:rsid w:val="00BC3C7D"/>
    <w:rsid w:val="00BC74E9"/>
    <w:rsid w:val="00BD2146"/>
    <w:rsid w:val="00BD5794"/>
    <w:rsid w:val="00BD785A"/>
    <w:rsid w:val="00BE4F74"/>
    <w:rsid w:val="00BE6017"/>
    <w:rsid w:val="00BE618E"/>
    <w:rsid w:val="00BE725B"/>
    <w:rsid w:val="00BE7E74"/>
    <w:rsid w:val="00BF4200"/>
    <w:rsid w:val="00BF4977"/>
    <w:rsid w:val="00C00D8D"/>
    <w:rsid w:val="00C066E8"/>
    <w:rsid w:val="00C07F9E"/>
    <w:rsid w:val="00C07FD5"/>
    <w:rsid w:val="00C1027D"/>
    <w:rsid w:val="00C114F9"/>
    <w:rsid w:val="00C117F2"/>
    <w:rsid w:val="00C12062"/>
    <w:rsid w:val="00C127CB"/>
    <w:rsid w:val="00C17699"/>
    <w:rsid w:val="00C1778D"/>
    <w:rsid w:val="00C22925"/>
    <w:rsid w:val="00C25DDD"/>
    <w:rsid w:val="00C2784E"/>
    <w:rsid w:val="00C33A83"/>
    <w:rsid w:val="00C37443"/>
    <w:rsid w:val="00C37B8B"/>
    <w:rsid w:val="00C419CE"/>
    <w:rsid w:val="00C41A28"/>
    <w:rsid w:val="00C463DD"/>
    <w:rsid w:val="00C505B2"/>
    <w:rsid w:val="00C527B3"/>
    <w:rsid w:val="00C5566B"/>
    <w:rsid w:val="00C564FA"/>
    <w:rsid w:val="00C6298F"/>
    <w:rsid w:val="00C67B25"/>
    <w:rsid w:val="00C73EA4"/>
    <w:rsid w:val="00C745C3"/>
    <w:rsid w:val="00C75695"/>
    <w:rsid w:val="00C82E3D"/>
    <w:rsid w:val="00C87312"/>
    <w:rsid w:val="00C9279F"/>
    <w:rsid w:val="00C94B66"/>
    <w:rsid w:val="00C962AD"/>
    <w:rsid w:val="00C9663B"/>
    <w:rsid w:val="00CA1321"/>
    <w:rsid w:val="00CA4005"/>
    <w:rsid w:val="00CA59D6"/>
    <w:rsid w:val="00CA67D4"/>
    <w:rsid w:val="00CA797A"/>
    <w:rsid w:val="00CB1281"/>
    <w:rsid w:val="00CC65C1"/>
    <w:rsid w:val="00CC716F"/>
    <w:rsid w:val="00CD1260"/>
    <w:rsid w:val="00CE14AF"/>
    <w:rsid w:val="00CE3C0E"/>
    <w:rsid w:val="00CE4A8F"/>
    <w:rsid w:val="00CE4CB7"/>
    <w:rsid w:val="00CE5DA9"/>
    <w:rsid w:val="00CF1FA2"/>
    <w:rsid w:val="00CF2B07"/>
    <w:rsid w:val="00CF2FA9"/>
    <w:rsid w:val="00CF694F"/>
    <w:rsid w:val="00D01185"/>
    <w:rsid w:val="00D032BA"/>
    <w:rsid w:val="00D05E94"/>
    <w:rsid w:val="00D06FFE"/>
    <w:rsid w:val="00D0721D"/>
    <w:rsid w:val="00D1475A"/>
    <w:rsid w:val="00D1509C"/>
    <w:rsid w:val="00D171FE"/>
    <w:rsid w:val="00D1722D"/>
    <w:rsid w:val="00D20104"/>
    <w:rsid w:val="00D2031B"/>
    <w:rsid w:val="00D23428"/>
    <w:rsid w:val="00D24347"/>
    <w:rsid w:val="00D25FE2"/>
    <w:rsid w:val="00D26207"/>
    <w:rsid w:val="00D279BB"/>
    <w:rsid w:val="00D317BB"/>
    <w:rsid w:val="00D3192B"/>
    <w:rsid w:val="00D31A35"/>
    <w:rsid w:val="00D34739"/>
    <w:rsid w:val="00D35D8F"/>
    <w:rsid w:val="00D37410"/>
    <w:rsid w:val="00D43252"/>
    <w:rsid w:val="00D439EB"/>
    <w:rsid w:val="00D4403B"/>
    <w:rsid w:val="00D44AA7"/>
    <w:rsid w:val="00D45103"/>
    <w:rsid w:val="00D47074"/>
    <w:rsid w:val="00D5068B"/>
    <w:rsid w:val="00D514B3"/>
    <w:rsid w:val="00D54F6F"/>
    <w:rsid w:val="00D56F2D"/>
    <w:rsid w:val="00D63AF3"/>
    <w:rsid w:val="00D64ED3"/>
    <w:rsid w:val="00D64F75"/>
    <w:rsid w:val="00D66FD7"/>
    <w:rsid w:val="00D701EE"/>
    <w:rsid w:val="00D74E9A"/>
    <w:rsid w:val="00D7745D"/>
    <w:rsid w:val="00D815EC"/>
    <w:rsid w:val="00D81865"/>
    <w:rsid w:val="00D81A2B"/>
    <w:rsid w:val="00D83367"/>
    <w:rsid w:val="00D839C1"/>
    <w:rsid w:val="00D85983"/>
    <w:rsid w:val="00D90195"/>
    <w:rsid w:val="00D9246C"/>
    <w:rsid w:val="00D9249E"/>
    <w:rsid w:val="00D978C6"/>
    <w:rsid w:val="00DA3054"/>
    <w:rsid w:val="00DA4DC9"/>
    <w:rsid w:val="00DA618C"/>
    <w:rsid w:val="00DA67AD"/>
    <w:rsid w:val="00DB27B6"/>
    <w:rsid w:val="00DB5D0F"/>
    <w:rsid w:val="00DB7C96"/>
    <w:rsid w:val="00DC0E67"/>
    <w:rsid w:val="00DC2272"/>
    <w:rsid w:val="00DC3156"/>
    <w:rsid w:val="00DC3242"/>
    <w:rsid w:val="00DD1E2D"/>
    <w:rsid w:val="00DD4EB5"/>
    <w:rsid w:val="00DD5F36"/>
    <w:rsid w:val="00DD6647"/>
    <w:rsid w:val="00DD6DB6"/>
    <w:rsid w:val="00DE057D"/>
    <w:rsid w:val="00DE3F35"/>
    <w:rsid w:val="00DE48FC"/>
    <w:rsid w:val="00DF0A29"/>
    <w:rsid w:val="00DF12F7"/>
    <w:rsid w:val="00DF2C64"/>
    <w:rsid w:val="00DF6813"/>
    <w:rsid w:val="00DF6F00"/>
    <w:rsid w:val="00E01AFD"/>
    <w:rsid w:val="00E027C0"/>
    <w:rsid w:val="00E02946"/>
    <w:rsid w:val="00E02BA9"/>
    <w:rsid w:val="00E02C81"/>
    <w:rsid w:val="00E05953"/>
    <w:rsid w:val="00E0660D"/>
    <w:rsid w:val="00E06EAB"/>
    <w:rsid w:val="00E07263"/>
    <w:rsid w:val="00E130AB"/>
    <w:rsid w:val="00E140A7"/>
    <w:rsid w:val="00E218CA"/>
    <w:rsid w:val="00E24274"/>
    <w:rsid w:val="00E259FD"/>
    <w:rsid w:val="00E25C7F"/>
    <w:rsid w:val="00E26913"/>
    <w:rsid w:val="00E309CA"/>
    <w:rsid w:val="00E329E0"/>
    <w:rsid w:val="00E33EC5"/>
    <w:rsid w:val="00E37D5B"/>
    <w:rsid w:val="00E471F5"/>
    <w:rsid w:val="00E52B09"/>
    <w:rsid w:val="00E56E17"/>
    <w:rsid w:val="00E61F55"/>
    <w:rsid w:val="00E64376"/>
    <w:rsid w:val="00E65F97"/>
    <w:rsid w:val="00E6761B"/>
    <w:rsid w:val="00E71B23"/>
    <w:rsid w:val="00E72251"/>
    <w:rsid w:val="00E7260F"/>
    <w:rsid w:val="00E72FE9"/>
    <w:rsid w:val="00E75C15"/>
    <w:rsid w:val="00E80F5F"/>
    <w:rsid w:val="00E810AA"/>
    <w:rsid w:val="00E828B8"/>
    <w:rsid w:val="00E85307"/>
    <w:rsid w:val="00E8715E"/>
    <w:rsid w:val="00E87921"/>
    <w:rsid w:val="00E9159E"/>
    <w:rsid w:val="00E949B2"/>
    <w:rsid w:val="00E96630"/>
    <w:rsid w:val="00E97F8A"/>
    <w:rsid w:val="00EA264E"/>
    <w:rsid w:val="00EA2D43"/>
    <w:rsid w:val="00EA3A41"/>
    <w:rsid w:val="00EA52FB"/>
    <w:rsid w:val="00EB430E"/>
    <w:rsid w:val="00EB6DFB"/>
    <w:rsid w:val="00EB7DAE"/>
    <w:rsid w:val="00EC0D2D"/>
    <w:rsid w:val="00EC2A90"/>
    <w:rsid w:val="00EC3AE0"/>
    <w:rsid w:val="00EC4194"/>
    <w:rsid w:val="00EC5B23"/>
    <w:rsid w:val="00EC5C86"/>
    <w:rsid w:val="00EC66FE"/>
    <w:rsid w:val="00ED0FE9"/>
    <w:rsid w:val="00ED390E"/>
    <w:rsid w:val="00ED3D6A"/>
    <w:rsid w:val="00ED5C86"/>
    <w:rsid w:val="00ED6CF6"/>
    <w:rsid w:val="00ED7A2A"/>
    <w:rsid w:val="00EE5411"/>
    <w:rsid w:val="00EE5DF8"/>
    <w:rsid w:val="00EE686F"/>
    <w:rsid w:val="00EF0716"/>
    <w:rsid w:val="00EF0A24"/>
    <w:rsid w:val="00EF1D7F"/>
    <w:rsid w:val="00EF3A31"/>
    <w:rsid w:val="00EF7A6D"/>
    <w:rsid w:val="00EF7DEE"/>
    <w:rsid w:val="00F05659"/>
    <w:rsid w:val="00F07179"/>
    <w:rsid w:val="00F10706"/>
    <w:rsid w:val="00F10DBF"/>
    <w:rsid w:val="00F11145"/>
    <w:rsid w:val="00F112C2"/>
    <w:rsid w:val="00F14A43"/>
    <w:rsid w:val="00F17440"/>
    <w:rsid w:val="00F20A41"/>
    <w:rsid w:val="00F2251B"/>
    <w:rsid w:val="00F227C7"/>
    <w:rsid w:val="00F23051"/>
    <w:rsid w:val="00F244F1"/>
    <w:rsid w:val="00F27EFF"/>
    <w:rsid w:val="00F27F41"/>
    <w:rsid w:val="00F30322"/>
    <w:rsid w:val="00F31CF4"/>
    <w:rsid w:val="00F32BB4"/>
    <w:rsid w:val="00F37844"/>
    <w:rsid w:val="00F37CBD"/>
    <w:rsid w:val="00F4145E"/>
    <w:rsid w:val="00F4234A"/>
    <w:rsid w:val="00F429EB"/>
    <w:rsid w:val="00F44D10"/>
    <w:rsid w:val="00F50504"/>
    <w:rsid w:val="00F51789"/>
    <w:rsid w:val="00F53EDA"/>
    <w:rsid w:val="00F6169D"/>
    <w:rsid w:val="00F618D8"/>
    <w:rsid w:val="00F7753D"/>
    <w:rsid w:val="00F84736"/>
    <w:rsid w:val="00F85F34"/>
    <w:rsid w:val="00F8746F"/>
    <w:rsid w:val="00F87F19"/>
    <w:rsid w:val="00F95474"/>
    <w:rsid w:val="00F96ABA"/>
    <w:rsid w:val="00F9789D"/>
    <w:rsid w:val="00FA06F7"/>
    <w:rsid w:val="00FA142A"/>
    <w:rsid w:val="00FA3A6F"/>
    <w:rsid w:val="00FB003B"/>
    <w:rsid w:val="00FB09F9"/>
    <w:rsid w:val="00FB171A"/>
    <w:rsid w:val="00FB48D5"/>
    <w:rsid w:val="00FB55CE"/>
    <w:rsid w:val="00FC68B7"/>
    <w:rsid w:val="00FD3820"/>
    <w:rsid w:val="00FD4730"/>
    <w:rsid w:val="00FD4D51"/>
    <w:rsid w:val="00FD4DBE"/>
    <w:rsid w:val="00FD4F7E"/>
    <w:rsid w:val="00FD7BF6"/>
    <w:rsid w:val="00FE0392"/>
    <w:rsid w:val="00FE57F9"/>
    <w:rsid w:val="00FE7133"/>
    <w:rsid w:val="00FF0A40"/>
    <w:rsid w:val="00FF1DEA"/>
    <w:rsid w:val="00FF2FF9"/>
    <w:rsid w:val="00FF590C"/>
    <w:rsid w:val="00FF5918"/>
    <w:rsid w:val="00FF62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F65F1"/>
  <w15:docId w15:val="{75F221BB-1AA6-4A64-AA9F-AED12B93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247"/>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ChGChar">
    <w:name w:val="_ H _Ch_G Char"/>
    <w:link w:val="HChG"/>
    <w:qFormat/>
    <w:rsid w:val="0099001C"/>
    <w:rPr>
      <w:b/>
      <w:sz w:val="28"/>
      <w:lang w:val="en-GB" w:eastAsia="en-US" w:bidi="ar-SA"/>
    </w:rPr>
  </w:style>
  <w:style w:type="character" w:customStyle="1" w:styleId="SingleTxtGChar">
    <w:name w:val="_ Single Txt_G Char"/>
    <w:link w:val="SingleTxtG"/>
    <w:rsid w:val="006A7757"/>
    <w:rPr>
      <w:lang w:eastAsia="en-US"/>
    </w:rPr>
  </w:style>
  <w:style w:type="character" w:customStyle="1" w:styleId="FootnoteTextChar">
    <w:name w:val="Footnote Text Char"/>
    <w:aliases w:val="5_G Char"/>
    <w:link w:val="FootnoteText"/>
    <w:rsid w:val="006A7757"/>
    <w:rPr>
      <w:sz w:val="18"/>
      <w:lang w:eastAsia="en-US"/>
    </w:rPr>
  </w:style>
  <w:style w:type="character" w:customStyle="1" w:styleId="apple-converted-space">
    <w:name w:val="apple-converted-space"/>
    <w:rsid w:val="009B55EC"/>
  </w:style>
  <w:style w:type="paragraph" w:customStyle="1" w:styleId="Default">
    <w:name w:val="Default"/>
    <w:rsid w:val="004E5083"/>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4475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47538"/>
    <w:rPr>
      <w:rFonts w:ascii="Segoe UI" w:hAnsi="Segoe UI" w:cs="Segoe UI"/>
      <w:sz w:val="18"/>
      <w:szCs w:val="18"/>
      <w:lang w:eastAsia="en-US"/>
    </w:rPr>
  </w:style>
  <w:style w:type="character" w:styleId="CommentReference">
    <w:name w:val="annotation reference"/>
    <w:basedOn w:val="DefaultParagraphFont"/>
    <w:semiHidden/>
    <w:unhideWhenUsed/>
    <w:rsid w:val="00B953BE"/>
    <w:rPr>
      <w:sz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4595">
      <w:bodyDiv w:val="1"/>
      <w:marLeft w:val="0"/>
      <w:marRight w:val="0"/>
      <w:marTop w:val="0"/>
      <w:marBottom w:val="0"/>
      <w:divBdr>
        <w:top w:val="none" w:sz="0" w:space="0" w:color="auto"/>
        <w:left w:val="none" w:sz="0" w:space="0" w:color="auto"/>
        <w:bottom w:val="none" w:sz="0" w:space="0" w:color="auto"/>
        <w:right w:val="none" w:sz="0" w:space="0" w:color="auto"/>
      </w:divBdr>
    </w:div>
    <w:div w:id="1021472815">
      <w:bodyDiv w:val="1"/>
      <w:marLeft w:val="0"/>
      <w:marRight w:val="0"/>
      <w:marTop w:val="0"/>
      <w:marBottom w:val="0"/>
      <w:divBdr>
        <w:top w:val="none" w:sz="0" w:space="0" w:color="auto"/>
        <w:left w:val="none" w:sz="0" w:space="0" w:color="auto"/>
        <w:bottom w:val="none" w:sz="0" w:space="0" w:color="auto"/>
        <w:right w:val="none" w:sz="0" w:space="0" w:color="auto"/>
      </w:divBdr>
      <w:divsChild>
        <w:div w:id="503401896">
          <w:marLeft w:val="0"/>
          <w:marRight w:val="0"/>
          <w:marTop w:val="0"/>
          <w:marBottom w:val="0"/>
          <w:divBdr>
            <w:top w:val="none" w:sz="0" w:space="0" w:color="auto"/>
            <w:left w:val="none" w:sz="0" w:space="0" w:color="auto"/>
            <w:bottom w:val="none" w:sz="0" w:space="0" w:color="auto"/>
            <w:right w:val="none" w:sz="0" w:space="0" w:color="auto"/>
          </w:divBdr>
        </w:div>
        <w:div w:id="775439950">
          <w:marLeft w:val="0"/>
          <w:marRight w:val="0"/>
          <w:marTop w:val="0"/>
          <w:marBottom w:val="0"/>
          <w:divBdr>
            <w:top w:val="none" w:sz="0" w:space="0" w:color="auto"/>
            <w:left w:val="none" w:sz="0" w:space="0" w:color="auto"/>
            <w:bottom w:val="none" w:sz="0" w:space="0" w:color="auto"/>
            <w:right w:val="none" w:sz="0" w:space="0" w:color="auto"/>
          </w:divBdr>
        </w:div>
        <w:div w:id="876968543">
          <w:marLeft w:val="0"/>
          <w:marRight w:val="0"/>
          <w:marTop w:val="0"/>
          <w:marBottom w:val="0"/>
          <w:divBdr>
            <w:top w:val="none" w:sz="0" w:space="0" w:color="auto"/>
            <w:left w:val="none" w:sz="0" w:space="0" w:color="auto"/>
            <w:bottom w:val="none" w:sz="0" w:space="0" w:color="auto"/>
            <w:right w:val="none" w:sz="0" w:space="0" w:color="auto"/>
          </w:divBdr>
        </w:div>
        <w:div w:id="1339113150">
          <w:marLeft w:val="0"/>
          <w:marRight w:val="0"/>
          <w:marTop w:val="0"/>
          <w:marBottom w:val="0"/>
          <w:divBdr>
            <w:top w:val="none" w:sz="0" w:space="0" w:color="auto"/>
            <w:left w:val="none" w:sz="0" w:space="0" w:color="auto"/>
            <w:bottom w:val="none" w:sz="0" w:space="0" w:color="auto"/>
            <w:right w:val="none" w:sz="0" w:space="0" w:color="auto"/>
          </w:divBdr>
        </w:div>
      </w:divsChild>
    </w:div>
    <w:div w:id="1023440843">
      <w:bodyDiv w:val="1"/>
      <w:marLeft w:val="0"/>
      <w:marRight w:val="0"/>
      <w:marTop w:val="0"/>
      <w:marBottom w:val="0"/>
      <w:divBdr>
        <w:top w:val="none" w:sz="0" w:space="0" w:color="auto"/>
        <w:left w:val="none" w:sz="0" w:space="0" w:color="auto"/>
        <w:bottom w:val="none" w:sz="0" w:space="0" w:color="auto"/>
        <w:right w:val="none" w:sz="0" w:space="0" w:color="auto"/>
      </w:divBdr>
    </w:div>
    <w:div w:id="1073547098">
      <w:bodyDiv w:val="1"/>
      <w:marLeft w:val="0"/>
      <w:marRight w:val="0"/>
      <w:marTop w:val="0"/>
      <w:marBottom w:val="0"/>
      <w:divBdr>
        <w:top w:val="none" w:sz="0" w:space="0" w:color="auto"/>
        <w:left w:val="none" w:sz="0" w:space="0" w:color="auto"/>
        <w:bottom w:val="none" w:sz="0" w:space="0" w:color="auto"/>
        <w:right w:val="none" w:sz="0" w:space="0" w:color="auto"/>
      </w:divBdr>
      <w:divsChild>
        <w:div w:id="157506478">
          <w:marLeft w:val="0"/>
          <w:marRight w:val="0"/>
          <w:marTop w:val="0"/>
          <w:marBottom w:val="0"/>
          <w:divBdr>
            <w:top w:val="none" w:sz="0" w:space="0" w:color="auto"/>
            <w:left w:val="none" w:sz="0" w:space="0" w:color="auto"/>
            <w:bottom w:val="none" w:sz="0" w:space="0" w:color="auto"/>
            <w:right w:val="none" w:sz="0" w:space="0" w:color="auto"/>
          </w:divBdr>
        </w:div>
        <w:div w:id="506288603">
          <w:marLeft w:val="0"/>
          <w:marRight w:val="0"/>
          <w:marTop w:val="0"/>
          <w:marBottom w:val="0"/>
          <w:divBdr>
            <w:top w:val="none" w:sz="0" w:space="0" w:color="auto"/>
            <w:left w:val="none" w:sz="0" w:space="0" w:color="auto"/>
            <w:bottom w:val="none" w:sz="0" w:space="0" w:color="auto"/>
            <w:right w:val="none" w:sz="0" w:space="0" w:color="auto"/>
          </w:divBdr>
        </w:div>
        <w:div w:id="551429916">
          <w:marLeft w:val="0"/>
          <w:marRight w:val="0"/>
          <w:marTop w:val="0"/>
          <w:marBottom w:val="0"/>
          <w:divBdr>
            <w:top w:val="none" w:sz="0" w:space="0" w:color="auto"/>
            <w:left w:val="none" w:sz="0" w:space="0" w:color="auto"/>
            <w:bottom w:val="none" w:sz="0" w:space="0" w:color="auto"/>
            <w:right w:val="none" w:sz="0" w:space="0" w:color="auto"/>
          </w:divBdr>
        </w:div>
        <w:div w:id="1051882702">
          <w:marLeft w:val="0"/>
          <w:marRight w:val="0"/>
          <w:marTop w:val="0"/>
          <w:marBottom w:val="0"/>
          <w:divBdr>
            <w:top w:val="none" w:sz="0" w:space="0" w:color="auto"/>
            <w:left w:val="none" w:sz="0" w:space="0" w:color="auto"/>
            <w:bottom w:val="none" w:sz="0" w:space="0" w:color="auto"/>
            <w:right w:val="none" w:sz="0" w:space="0" w:color="auto"/>
          </w:divBdr>
        </w:div>
        <w:div w:id="1067998298">
          <w:marLeft w:val="0"/>
          <w:marRight w:val="0"/>
          <w:marTop w:val="0"/>
          <w:marBottom w:val="0"/>
          <w:divBdr>
            <w:top w:val="none" w:sz="0" w:space="0" w:color="auto"/>
            <w:left w:val="none" w:sz="0" w:space="0" w:color="auto"/>
            <w:bottom w:val="none" w:sz="0" w:space="0" w:color="auto"/>
            <w:right w:val="none" w:sz="0" w:space="0" w:color="auto"/>
          </w:divBdr>
        </w:div>
        <w:div w:id="1288852012">
          <w:marLeft w:val="0"/>
          <w:marRight w:val="0"/>
          <w:marTop w:val="0"/>
          <w:marBottom w:val="0"/>
          <w:divBdr>
            <w:top w:val="none" w:sz="0" w:space="0" w:color="auto"/>
            <w:left w:val="none" w:sz="0" w:space="0" w:color="auto"/>
            <w:bottom w:val="none" w:sz="0" w:space="0" w:color="auto"/>
            <w:right w:val="none" w:sz="0" w:space="0" w:color="auto"/>
          </w:divBdr>
        </w:div>
        <w:div w:id="1592199607">
          <w:marLeft w:val="0"/>
          <w:marRight w:val="0"/>
          <w:marTop w:val="0"/>
          <w:marBottom w:val="0"/>
          <w:divBdr>
            <w:top w:val="none" w:sz="0" w:space="0" w:color="auto"/>
            <w:left w:val="none" w:sz="0" w:space="0" w:color="auto"/>
            <w:bottom w:val="none" w:sz="0" w:space="0" w:color="auto"/>
            <w:right w:val="none" w:sz="0" w:space="0" w:color="auto"/>
          </w:divBdr>
        </w:div>
        <w:div w:id="1647470945">
          <w:marLeft w:val="0"/>
          <w:marRight w:val="0"/>
          <w:marTop w:val="0"/>
          <w:marBottom w:val="0"/>
          <w:divBdr>
            <w:top w:val="none" w:sz="0" w:space="0" w:color="auto"/>
            <w:left w:val="none" w:sz="0" w:space="0" w:color="auto"/>
            <w:bottom w:val="none" w:sz="0" w:space="0" w:color="auto"/>
            <w:right w:val="none" w:sz="0" w:space="0" w:color="auto"/>
          </w:divBdr>
        </w:div>
        <w:div w:id="2061515067">
          <w:marLeft w:val="0"/>
          <w:marRight w:val="0"/>
          <w:marTop w:val="0"/>
          <w:marBottom w:val="0"/>
          <w:divBdr>
            <w:top w:val="none" w:sz="0" w:space="0" w:color="auto"/>
            <w:left w:val="none" w:sz="0" w:space="0" w:color="auto"/>
            <w:bottom w:val="none" w:sz="0" w:space="0" w:color="auto"/>
            <w:right w:val="none" w:sz="0" w:space="0" w:color="auto"/>
          </w:divBdr>
        </w:div>
      </w:divsChild>
    </w:div>
    <w:div w:id="1080175225">
      <w:bodyDiv w:val="1"/>
      <w:marLeft w:val="0"/>
      <w:marRight w:val="0"/>
      <w:marTop w:val="0"/>
      <w:marBottom w:val="0"/>
      <w:divBdr>
        <w:top w:val="none" w:sz="0" w:space="0" w:color="auto"/>
        <w:left w:val="none" w:sz="0" w:space="0" w:color="auto"/>
        <w:bottom w:val="none" w:sz="0" w:space="0" w:color="auto"/>
        <w:right w:val="none" w:sz="0" w:space="0" w:color="auto"/>
      </w:divBdr>
      <w:divsChild>
        <w:div w:id="282200259">
          <w:marLeft w:val="0"/>
          <w:marRight w:val="0"/>
          <w:marTop w:val="0"/>
          <w:marBottom w:val="0"/>
          <w:divBdr>
            <w:top w:val="none" w:sz="0" w:space="0" w:color="auto"/>
            <w:left w:val="none" w:sz="0" w:space="0" w:color="auto"/>
            <w:bottom w:val="none" w:sz="0" w:space="0" w:color="auto"/>
            <w:right w:val="none" w:sz="0" w:space="0" w:color="auto"/>
          </w:divBdr>
        </w:div>
        <w:div w:id="466819039">
          <w:marLeft w:val="0"/>
          <w:marRight w:val="0"/>
          <w:marTop w:val="0"/>
          <w:marBottom w:val="0"/>
          <w:divBdr>
            <w:top w:val="none" w:sz="0" w:space="0" w:color="auto"/>
            <w:left w:val="none" w:sz="0" w:space="0" w:color="auto"/>
            <w:bottom w:val="none" w:sz="0" w:space="0" w:color="auto"/>
            <w:right w:val="none" w:sz="0" w:space="0" w:color="auto"/>
          </w:divBdr>
        </w:div>
        <w:div w:id="571543197">
          <w:marLeft w:val="0"/>
          <w:marRight w:val="0"/>
          <w:marTop w:val="0"/>
          <w:marBottom w:val="0"/>
          <w:divBdr>
            <w:top w:val="none" w:sz="0" w:space="0" w:color="auto"/>
            <w:left w:val="none" w:sz="0" w:space="0" w:color="auto"/>
            <w:bottom w:val="none" w:sz="0" w:space="0" w:color="auto"/>
            <w:right w:val="none" w:sz="0" w:space="0" w:color="auto"/>
          </w:divBdr>
        </w:div>
        <w:div w:id="587546595">
          <w:marLeft w:val="0"/>
          <w:marRight w:val="0"/>
          <w:marTop w:val="0"/>
          <w:marBottom w:val="0"/>
          <w:divBdr>
            <w:top w:val="none" w:sz="0" w:space="0" w:color="auto"/>
            <w:left w:val="none" w:sz="0" w:space="0" w:color="auto"/>
            <w:bottom w:val="none" w:sz="0" w:space="0" w:color="auto"/>
            <w:right w:val="none" w:sz="0" w:space="0" w:color="auto"/>
          </w:divBdr>
        </w:div>
        <w:div w:id="665519665">
          <w:marLeft w:val="0"/>
          <w:marRight w:val="0"/>
          <w:marTop w:val="0"/>
          <w:marBottom w:val="0"/>
          <w:divBdr>
            <w:top w:val="none" w:sz="0" w:space="0" w:color="auto"/>
            <w:left w:val="none" w:sz="0" w:space="0" w:color="auto"/>
            <w:bottom w:val="none" w:sz="0" w:space="0" w:color="auto"/>
            <w:right w:val="none" w:sz="0" w:space="0" w:color="auto"/>
          </w:divBdr>
        </w:div>
        <w:div w:id="674890756">
          <w:marLeft w:val="0"/>
          <w:marRight w:val="0"/>
          <w:marTop w:val="0"/>
          <w:marBottom w:val="0"/>
          <w:divBdr>
            <w:top w:val="none" w:sz="0" w:space="0" w:color="auto"/>
            <w:left w:val="none" w:sz="0" w:space="0" w:color="auto"/>
            <w:bottom w:val="none" w:sz="0" w:space="0" w:color="auto"/>
            <w:right w:val="none" w:sz="0" w:space="0" w:color="auto"/>
          </w:divBdr>
        </w:div>
        <w:div w:id="785463826">
          <w:marLeft w:val="0"/>
          <w:marRight w:val="0"/>
          <w:marTop w:val="0"/>
          <w:marBottom w:val="0"/>
          <w:divBdr>
            <w:top w:val="none" w:sz="0" w:space="0" w:color="auto"/>
            <w:left w:val="none" w:sz="0" w:space="0" w:color="auto"/>
            <w:bottom w:val="none" w:sz="0" w:space="0" w:color="auto"/>
            <w:right w:val="none" w:sz="0" w:space="0" w:color="auto"/>
          </w:divBdr>
        </w:div>
        <w:div w:id="1570575683">
          <w:marLeft w:val="0"/>
          <w:marRight w:val="0"/>
          <w:marTop w:val="0"/>
          <w:marBottom w:val="0"/>
          <w:divBdr>
            <w:top w:val="none" w:sz="0" w:space="0" w:color="auto"/>
            <w:left w:val="none" w:sz="0" w:space="0" w:color="auto"/>
            <w:bottom w:val="none" w:sz="0" w:space="0" w:color="auto"/>
            <w:right w:val="none" w:sz="0" w:space="0" w:color="auto"/>
          </w:divBdr>
        </w:div>
        <w:div w:id="1655529675">
          <w:marLeft w:val="0"/>
          <w:marRight w:val="0"/>
          <w:marTop w:val="0"/>
          <w:marBottom w:val="0"/>
          <w:divBdr>
            <w:top w:val="none" w:sz="0" w:space="0" w:color="auto"/>
            <w:left w:val="none" w:sz="0" w:space="0" w:color="auto"/>
            <w:bottom w:val="none" w:sz="0" w:space="0" w:color="auto"/>
            <w:right w:val="none" w:sz="0" w:space="0" w:color="auto"/>
          </w:divBdr>
        </w:div>
        <w:div w:id="1709453230">
          <w:marLeft w:val="0"/>
          <w:marRight w:val="0"/>
          <w:marTop w:val="0"/>
          <w:marBottom w:val="0"/>
          <w:divBdr>
            <w:top w:val="none" w:sz="0" w:space="0" w:color="auto"/>
            <w:left w:val="none" w:sz="0" w:space="0" w:color="auto"/>
            <w:bottom w:val="none" w:sz="0" w:space="0" w:color="auto"/>
            <w:right w:val="none" w:sz="0" w:space="0" w:color="auto"/>
          </w:divBdr>
        </w:div>
        <w:div w:id="1803035094">
          <w:marLeft w:val="0"/>
          <w:marRight w:val="0"/>
          <w:marTop w:val="0"/>
          <w:marBottom w:val="0"/>
          <w:divBdr>
            <w:top w:val="none" w:sz="0" w:space="0" w:color="auto"/>
            <w:left w:val="none" w:sz="0" w:space="0" w:color="auto"/>
            <w:bottom w:val="none" w:sz="0" w:space="0" w:color="auto"/>
            <w:right w:val="none" w:sz="0" w:space="0" w:color="auto"/>
          </w:divBdr>
        </w:div>
        <w:div w:id="1922643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_Couto\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EC13BE-CF9F-454F-9B6B-8A87C1930A8D}">
  <ds:schemaRefs>
    <ds:schemaRef ds:uri="http://schemas.openxmlformats.org/officeDocument/2006/bibliography"/>
  </ds:schemaRefs>
</ds:datastoreItem>
</file>

<file path=customXml/itemProps2.xml><?xml version="1.0" encoding="utf-8"?>
<ds:datastoreItem xmlns:ds="http://schemas.openxmlformats.org/officeDocument/2006/customXml" ds:itemID="{3BD37DE4-1DA9-4F8A-A402-7A3F7F33C20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53DAA943-C883-4B9E-8331-B0BEFA671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1A12B0-C827-4380-8AC2-915111759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PlainPage_E.dot</Template>
  <TotalTime>383</TotalTime>
  <Pages>2</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UN/SCEGHS/19/INF</vt:lpstr>
    </vt:vector>
  </TitlesOfParts>
  <Company>CSD</Company>
  <LinksUpToDate>false</LinksUpToDate>
  <CharactersWithSpaces>6009</CharactersWithSpaces>
  <SharedDoc>false</SharedDoc>
  <HLinks>
    <vt:vector size="6" baseType="variant">
      <vt:variant>
        <vt:i4>7798886</vt:i4>
      </vt:variant>
      <vt:variant>
        <vt:i4>0</vt:i4>
      </vt:variant>
      <vt:variant>
        <vt:i4>0</vt:i4>
      </vt:variant>
      <vt:variant>
        <vt:i4>5</vt:i4>
      </vt:variant>
      <vt:variant>
        <vt:lpwstr>https://unece.org/transport/documents/2022/09/working-documents/consolidated-list-draft-amendments-adopted-sub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UN/SCEGHS/19/INF</dc:title>
  <dc:subject/>
  <dc:creator>Garcia_Couto</dc:creator>
  <cp:keywords/>
  <cp:lastModifiedBy>Rosa Garcia Couto</cp:lastModifiedBy>
  <cp:revision>411</cp:revision>
  <cp:lastPrinted>2019-06-14T13:25:00Z</cp:lastPrinted>
  <dcterms:created xsi:type="dcterms:W3CDTF">2022-06-03T08:40:00Z</dcterms:created>
  <dcterms:modified xsi:type="dcterms:W3CDTF">2024-07-02T20:53:00Z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7911400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