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190A9F" w14:paraId="4D755072" w14:textId="77777777" w:rsidTr="00F01738">
        <w:trPr>
          <w:trHeight w:hRule="exact" w:val="851"/>
        </w:trPr>
        <w:tc>
          <w:tcPr>
            <w:tcW w:w="1276" w:type="dxa"/>
            <w:tcBorders>
              <w:bottom w:val="single" w:sz="4" w:space="0" w:color="auto"/>
            </w:tcBorders>
          </w:tcPr>
          <w:p w14:paraId="215D8F05" w14:textId="77777777" w:rsidR="00132EA9" w:rsidRPr="00DB58B5" w:rsidRDefault="00132EA9" w:rsidP="00F01738"/>
        </w:tc>
        <w:tc>
          <w:tcPr>
            <w:tcW w:w="2268" w:type="dxa"/>
            <w:tcBorders>
              <w:bottom w:val="single" w:sz="4" w:space="0" w:color="auto"/>
            </w:tcBorders>
            <w:vAlign w:val="bottom"/>
          </w:tcPr>
          <w:p w14:paraId="1D44834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6D8ADE" w14:textId="3196D4A9" w:rsidR="00132EA9" w:rsidRPr="00D53D05" w:rsidRDefault="00D53D05" w:rsidP="00D53D05">
            <w:pPr>
              <w:jc w:val="right"/>
              <w:rPr>
                <w:lang w:val="en-US"/>
              </w:rPr>
            </w:pPr>
            <w:r w:rsidRPr="00D53D05">
              <w:rPr>
                <w:sz w:val="40"/>
                <w:lang w:val="en-US"/>
              </w:rPr>
              <w:t>ST</w:t>
            </w:r>
            <w:r>
              <w:rPr>
                <w:lang w:val="en-US"/>
              </w:rPr>
              <w:t>/SG/AC.10/C.3/128/Add.1</w:t>
            </w:r>
          </w:p>
        </w:tc>
      </w:tr>
      <w:tr w:rsidR="00132EA9" w:rsidRPr="00DB58B5" w14:paraId="1AFFEB6F" w14:textId="77777777" w:rsidTr="00F01738">
        <w:trPr>
          <w:trHeight w:hRule="exact" w:val="2835"/>
        </w:trPr>
        <w:tc>
          <w:tcPr>
            <w:tcW w:w="1276" w:type="dxa"/>
            <w:tcBorders>
              <w:top w:val="single" w:sz="4" w:space="0" w:color="auto"/>
              <w:bottom w:val="single" w:sz="12" w:space="0" w:color="auto"/>
            </w:tcBorders>
          </w:tcPr>
          <w:p w14:paraId="289C118A" w14:textId="77777777" w:rsidR="00132EA9" w:rsidRPr="00DB58B5" w:rsidRDefault="00132EA9" w:rsidP="00F01738">
            <w:pPr>
              <w:spacing w:before="120"/>
              <w:jc w:val="center"/>
            </w:pPr>
            <w:r>
              <w:rPr>
                <w:noProof/>
                <w:lang w:eastAsia="fr-CH"/>
              </w:rPr>
              <w:drawing>
                <wp:inline distT="0" distB="0" distL="0" distR="0" wp14:anchorId="4935FEC1" wp14:editId="377B13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5992B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55EE13B" w14:textId="77777777" w:rsidR="00132EA9" w:rsidRDefault="003F179E" w:rsidP="003F179E">
            <w:pPr>
              <w:spacing w:before="240" w:line="240" w:lineRule="exact"/>
            </w:pPr>
            <w:proofErr w:type="spellStart"/>
            <w:r>
              <w:t>Distr</w:t>
            </w:r>
            <w:proofErr w:type="spellEnd"/>
            <w:r>
              <w:t>. générale</w:t>
            </w:r>
          </w:p>
          <w:p w14:paraId="13F37159" w14:textId="0CD82B70" w:rsidR="003F179E" w:rsidRDefault="002E2C53" w:rsidP="003F179E">
            <w:pPr>
              <w:spacing w:line="240" w:lineRule="exact"/>
            </w:pPr>
            <w:r>
              <w:t>2</w:t>
            </w:r>
            <w:r w:rsidR="00137F0A">
              <w:t>3</w:t>
            </w:r>
            <w:r w:rsidR="003F179E" w:rsidRPr="002E2C53">
              <w:t xml:space="preserve"> jui</w:t>
            </w:r>
            <w:r w:rsidR="006C7D55" w:rsidRPr="002E2C53">
              <w:t>llet</w:t>
            </w:r>
            <w:r w:rsidR="003F179E" w:rsidRPr="002E2C53">
              <w:t xml:space="preserve"> 2024</w:t>
            </w:r>
          </w:p>
          <w:p w14:paraId="7D501FCC" w14:textId="21ED336A" w:rsidR="003F179E" w:rsidRDefault="007565DD" w:rsidP="003F179E">
            <w:pPr>
              <w:spacing w:line="240" w:lineRule="exact"/>
            </w:pPr>
            <w:r>
              <w:t>Fran</w:t>
            </w:r>
            <w:r w:rsidR="006C7D55">
              <w:t>çais</w:t>
            </w:r>
          </w:p>
          <w:p w14:paraId="05E0C55B" w14:textId="6A5A9CAC" w:rsidR="003F179E" w:rsidRPr="00DB58B5" w:rsidRDefault="003F179E" w:rsidP="003F179E">
            <w:pPr>
              <w:spacing w:line="240" w:lineRule="exact"/>
            </w:pPr>
            <w:r>
              <w:t xml:space="preserve">Original : </w:t>
            </w:r>
            <w:r w:rsidR="00736C35">
              <w:t>anglais</w:t>
            </w:r>
            <w:r w:rsidR="006C7D55">
              <w:t xml:space="preserve"> et </w:t>
            </w:r>
            <w:r w:rsidR="00736C35">
              <w:t>français</w:t>
            </w:r>
          </w:p>
        </w:tc>
      </w:tr>
    </w:tbl>
    <w:p w14:paraId="0C6E603B" w14:textId="77777777" w:rsidR="006C7D55" w:rsidRPr="00CA0680" w:rsidRDefault="006C7D55" w:rsidP="009744DF">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16E77BA" w14:textId="77777777" w:rsidR="006C7D55" w:rsidRPr="00CA0680" w:rsidRDefault="006C7D55" w:rsidP="009744DF">
      <w:pPr>
        <w:spacing w:before="120"/>
        <w:rPr>
          <w:b/>
        </w:rPr>
      </w:pPr>
      <w:r w:rsidRPr="00CA0680">
        <w:rPr>
          <w:b/>
        </w:rPr>
        <w:t>Sous</w:t>
      </w:r>
      <w:r>
        <w:rPr>
          <w:b/>
        </w:rPr>
        <w:t>-</w:t>
      </w:r>
      <w:r w:rsidRPr="00CA0680">
        <w:rPr>
          <w:b/>
        </w:rPr>
        <w:t>Comité d’experts du transport des marchandises dangereuses</w:t>
      </w:r>
    </w:p>
    <w:p w14:paraId="4E360147" w14:textId="0A082BAA" w:rsidR="006C7D55" w:rsidRDefault="006C7D55" w:rsidP="006C7D55">
      <w:pPr>
        <w:pStyle w:val="HChG"/>
      </w:pPr>
      <w:r>
        <w:tab/>
      </w:r>
      <w:r>
        <w:tab/>
      </w:r>
      <w:r w:rsidR="005D321C" w:rsidRPr="00692350">
        <w:rPr>
          <w:lang w:val="fr-FR"/>
        </w:rPr>
        <w:t>Rapport du Sous-Comité d’experts du transport</w:t>
      </w:r>
      <w:r w:rsidR="006F74BD">
        <w:rPr>
          <w:lang w:val="fr-FR"/>
        </w:rPr>
        <w:br/>
      </w:r>
      <w:r w:rsidR="005D321C" w:rsidRPr="00692350">
        <w:rPr>
          <w:lang w:val="fr-FR"/>
        </w:rPr>
        <w:t xml:space="preserve">des marchandises dangereuses sur sa </w:t>
      </w:r>
      <w:r w:rsidR="005D321C">
        <w:t>soixante</w:t>
      </w:r>
      <w:r w:rsidR="0071178E">
        <w:t>-quatrième</w:t>
      </w:r>
      <w:r w:rsidR="005D321C">
        <w:t xml:space="preserve"> session</w:t>
      </w:r>
    </w:p>
    <w:p w14:paraId="7B2630F3" w14:textId="13FA9CE2" w:rsidR="00866131" w:rsidRPr="002829E4" w:rsidRDefault="00E33E33" w:rsidP="00E33E33">
      <w:pPr>
        <w:pStyle w:val="H56G"/>
        <w:rPr>
          <w:rFonts w:eastAsiaTheme="minorHAnsi"/>
          <w:lang w:val="fr-FR" w:eastAsia="en-US"/>
        </w:rPr>
      </w:pPr>
      <w:r>
        <w:rPr>
          <w:rFonts w:eastAsiaTheme="minorHAnsi"/>
          <w:lang w:val="fr-FR" w:eastAsia="en-US"/>
        </w:rPr>
        <w:tab/>
      </w:r>
      <w:r>
        <w:rPr>
          <w:rFonts w:eastAsiaTheme="minorHAnsi"/>
          <w:lang w:val="fr-FR" w:eastAsia="en-US"/>
        </w:rPr>
        <w:tab/>
      </w:r>
      <w:r w:rsidR="00CC1899">
        <w:rPr>
          <w:rFonts w:eastAsiaTheme="minorHAnsi"/>
          <w:lang w:val="fr-FR" w:eastAsia="en-US"/>
        </w:rPr>
        <w:t>T</w:t>
      </w:r>
      <w:r w:rsidR="008E4BB6" w:rsidRPr="002829E4">
        <w:rPr>
          <w:rFonts w:eastAsiaTheme="minorHAnsi"/>
          <w:lang w:val="fr-FR" w:eastAsia="en-US"/>
        </w:rPr>
        <w:t xml:space="preserve">enue </w:t>
      </w:r>
      <w:r w:rsidR="00CC1899">
        <w:rPr>
          <w:rFonts w:eastAsiaTheme="minorHAnsi"/>
          <w:lang w:val="fr-FR" w:eastAsia="en-US"/>
        </w:rPr>
        <w:t>au Palais des Nations,</w:t>
      </w:r>
      <w:r w:rsidR="008E4BB6" w:rsidRPr="002829E4">
        <w:rPr>
          <w:rFonts w:eastAsiaTheme="minorHAnsi"/>
          <w:lang w:val="fr-FR" w:eastAsia="en-US"/>
        </w:rPr>
        <w:t xml:space="preserve"> Genève</w:t>
      </w:r>
      <w:r w:rsidR="00CC1899">
        <w:rPr>
          <w:rFonts w:eastAsiaTheme="minorHAnsi"/>
          <w:lang w:val="fr-FR" w:eastAsia="en-US"/>
        </w:rPr>
        <w:t xml:space="preserve">, </w:t>
      </w:r>
      <w:r w:rsidR="008E4BB6" w:rsidRPr="002829E4">
        <w:rPr>
          <w:rFonts w:eastAsiaTheme="minorHAnsi"/>
          <w:lang w:val="fr-FR" w:eastAsia="en-US"/>
        </w:rPr>
        <w:t>2</w:t>
      </w:r>
      <w:r w:rsidR="00B629ED">
        <w:rPr>
          <w:rFonts w:eastAsiaTheme="minorHAnsi"/>
          <w:lang w:val="fr-FR" w:eastAsia="en-US"/>
        </w:rPr>
        <w:t>4 juin</w:t>
      </w:r>
      <w:r w:rsidR="00CC1899">
        <w:rPr>
          <w:rFonts w:eastAsiaTheme="minorHAnsi"/>
          <w:lang w:val="fr-FR" w:eastAsia="en-US"/>
        </w:rPr>
        <w:t>-</w:t>
      </w:r>
      <w:r w:rsidR="00B629ED">
        <w:rPr>
          <w:rFonts w:eastAsiaTheme="minorHAnsi"/>
          <w:lang w:val="fr-FR" w:eastAsia="en-US"/>
        </w:rPr>
        <w:t>3 juillet 2024</w:t>
      </w:r>
    </w:p>
    <w:p w14:paraId="4AEFA45A" w14:textId="7FCB5CD2" w:rsidR="00903355" w:rsidRDefault="00903355" w:rsidP="00866131">
      <w:pPr>
        <w:pStyle w:val="H23G"/>
      </w:pPr>
      <w:r>
        <w:tab/>
      </w:r>
      <w:r>
        <w:tab/>
        <w:t>Additif</w:t>
      </w:r>
    </w:p>
    <w:p w14:paraId="63B19782" w14:textId="1C6F84ED" w:rsidR="0031387E" w:rsidRPr="00692350" w:rsidRDefault="0031387E" w:rsidP="0031387E">
      <w:pPr>
        <w:spacing w:after="120"/>
        <w:rPr>
          <w:sz w:val="28"/>
          <w:lang w:val="fr-FR"/>
        </w:rPr>
      </w:pPr>
      <w:r w:rsidRPr="00692350">
        <w:rPr>
          <w:sz w:val="28"/>
          <w:lang w:val="fr-FR"/>
        </w:rPr>
        <w:t>Table des matières</w:t>
      </w:r>
    </w:p>
    <w:p w14:paraId="2F0E51DC" w14:textId="77777777" w:rsidR="0031387E" w:rsidRPr="00692350" w:rsidRDefault="0031387E" w:rsidP="00CC7292">
      <w:pPr>
        <w:tabs>
          <w:tab w:val="right" w:pos="9072"/>
        </w:tabs>
        <w:spacing w:after="120"/>
        <w:ind w:left="283"/>
        <w:rPr>
          <w:sz w:val="18"/>
          <w:lang w:val="fr-FR"/>
        </w:rPr>
      </w:pPr>
      <w:r w:rsidRPr="00692350">
        <w:rPr>
          <w:i/>
          <w:sz w:val="18"/>
          <w:lang w:val="fr-FR"/>
        </w:rPr>
        <w:tab/>
        <w:t>Page</w:t>
      </w:r>
    </w:p>
    <w:p w14:paraId="53673385" w14:textId="7A077AD7" w:rsidR="0031387E" w:rsidRDefault="0031387E" w:rsidP="0031387E">
      <w:pPr>
        <w:pStyle w:val="SingleTxtG"/>
        <w:spacing w:after="60"/>
        <w:ind w:left="0"/>
        <w:rPr>
          <w:sz w:val="24"/>
          <w:szCs w:val="24"/>
          <w:lang w:val="fr-FR"/>
        </w:rPr>
      </w:pPr>
      <w:r w:rsidRPr="00692350">
        <w:rPr>
          <w:sz w:val="24"/>
          <w:szCs w:val="24"/>
          <w:lang w:val="fr-FR"/>
        </w:rPr>
        <w:t>Annexes</w:t>
      </w:r>
      <w:r w:rsidR="00E557D7">
        <w:rPr>
          <w:sz w:val="24"/>
          <w:szCs w:val="24"/>
          <w:lang w:val="fr-FR"/>
        </w:rPr>
        <w:t xml:space="preserve"> - </w:t>
      </w:r>
      <w:r w:rsidR="00B211A8" w:rsidRPr="00B211A8">
        <w:rPr>
          <w:sz w:val="24"/>
          <w:szCs w:val="24"/>
          <w:lang w:val="fr-FR"/>
        </w:rPr>
        <w:t>Textes adoptés</w:t>
      </w:r>
      <w:r w:rsidR="00B211A8">
        <w:rPr>
          <w:rStyle w:val="Appelnotedebasdep"/>
        </w:rPr>
        <w:footnoteReference w:id="2"/>
      </w:r>
    </w:p>
    <w:p w14:paraId="393063E9" w14:textId="55BAF9DA" w:rsidR="0031387E" w:rsidRDefault="00B477A5" w:rsidP="000C2AB2">
      <w:pPr>
        <w:pStyle w:val="SingleTxtG"/>
        <w:numPr>
          <w:ilvl w:val="0"/>
          <w:numId w:val="17"/>
        </w:numPr>
        <w:tabs>
          <w:tab w:val="clear" w:pos="1701"/>
          <w:tab w:val="clear" w:pos="2268"/>
          <w:tab w:val="clear" w:pos="2835"/>
          <w:tab w:val="left" w:pos="1134"/>
          <w:tab w:val="left" w:leader="dot" w:pos="7655"/>
          <w:tab w:val="right" w:pos="8930"/>
          <w:tab w:val="right" w:pos="9639"/>
        </w:tabs>
        <w:suppressAutoHyphens/>
        <w:kinsoku w:val="0"/>
        <w:overflowPunct w:val="0"/>
        <w:autoSpaceDE w:val="0"/>
        <w:autoSpaceDN w:val="0"/>
        <w:adjustRightInd w:val="0"/>
        <w:snapToGrid w:val="0"/>
        <w:spacing w:before="120"/>
        <w:ind w:left="1134" w:right="1558" w:hanging="567"/>
        <w:jc w:val="left"/>
        <w:rPr>
          <w:lang w:val="fr-FR"/>
        </w:rPr>
      </w:pPr>
      <w:r w:rsidRPr="003C30D9">
        <w:rPr>
          <w:lang w:val="fr-FR"/>
        </w:rPr>
        <w:t>Projet d’amendements à la huitième édition révisée du Manuel d’épreuves et de critères (ST/SG/AC.10/11/Rev.8)</w:t>
      </w:r>
      <w:r w:rsidR="0031387E">
        <w:rPr>
          <w:lang w:val="fr-FR"/>
        </w:rPr>
        <w:t>…………………………………………………….</w:t>
      </w:r>
      <w:r w:rsidR="0031387E">
        <w:rPr>
          <w:lang w:val="fr-FR"/>
        </w:rPr>
        <w:tab/>
      </w:r>
      <w:r w:rsidR="000C2AB2">
        <w:rPr>
          <w:lang w:val="fr-FR"/>
        </w:rPr>
        <w:t>2</w:t>
      </w:r>
    </w:p>
    <w:p w14:paraId="1075BF62" w14:textId="3F84807B" w:rsidR="0031387E" w:rsidRDefault="00011F78" w:rsidP="00CC7292">
      <w:pPr>
        <w:pStyle w:val="SingleTxtG"/>
        <w:numPr>
          <w:ilvl w:val="0"/>
          <w:numId w:val="17"/>
        </w:numPr>
        <w:tabs>
          <w:tab w:val="clear" w:pos="1701"/>
          <w:tab w:val="clear" w:pos="2268"/>
          <w:tab w:val="clear" w:pos="2835"/>
          <w:tab w:val="left" w:pos="1134"/>
          <w:tab w:val="left" w:leader="dot" w:pos="7655"/>
          <w:tab w:val="right" w:pos="8930"/>
          <w:tab w:val="right" w:pos="9639"/>
        </w:tabs>
        <w:suppressAutoHyphens/>
        <w:kinsoku w:val="0"/>
        <w:overflowPunct w:val="0"/>
        <w:autoSpaceDE w:val="0"/>
        <w:autoSpaceDN w:val="0"/>
        <w:adjustRightInd w:val="0"/>
        <w:snapToGrid w:val="0"/>
        <w:spacing w:before="120"/>
        <w:ind w:left="1134" w:right="1558" w:hanging="567"/>
        <w:jc w:val="left"/>
        <w:rPr>
          <w:lang w:val="fr-FR"/>
        </w:rPr>
      </w:pPr>
      <w:r w:rsidRPr="003C30D9">
        <w:rPr>
          <w:lang w:val="fr-FR"/>
        </w:rPr>
        <w:t>Projet d'amendements à la vingt-troisième édition révisée des Recommandations relatives au transport des marchandises dangereuses, Règlement type (ST/SG/AC.10/1/Rev.23)</w:t>
      </w:r>
      <w:r w:rsidR="0031387E">
        <w:rPr>
          <w:lang w:val="fr-FR"/>
        </w:rPr>
        <w:t>…………………………………………….</w:t>
      </w:r>
      <w:r w:rsidR="0031387E">
        <w:rPr>
          <w:lang w:val="fr-FR"/>
        </w:rPr>
        <w:tab/>
      </w:r>
      <w:r w:rsidR="0031387E">
        <w:rPr>
          <w:lang w:val="fr-FR"/>
        </w:rPr>
        <w:tab/>
      </w:r>
      <w:r w:rsidR="00142A6D">
        <w:rPr>
          <w:lang w:val="fr-FR"/>
        </w:rPr>
        <w:t>4</w:t>
      </w:r>
    </w:p>
    <w:p w14:paraId="691AA0D7" w14:textId="6ABB3C9A" w:rsidR="006E3968" w:rsidRDefault="006E3968" w:rsidP="00CC7292">
      <w:pPr>
        <w:pStyle w:val="SingleTxtG"/>
        <w:numPr>
          <w:ilvl w:val="0"/>
          <w:numId w:val="17"/>
        </w:numPr>
        <w:tabs>
          <w:tab w:val="clear" w:pos="1701"/>
          <w:tab w:val="clear" w:pos="2268"/>
          <w:tab w:val="clear" w:pos="2835"/>
          <w:tab w:val="left" w:pos="1134"/>
          <w:tab w:val="left" w:leader="dot" w:pos="7655"/>
          <w:tab w:val="right" w:pos="8930"/>
          <w:tab w:val="right" w:pos="9639"/>
        </w:tabs>
        <w:suppressAutoHyphens/>
        <w:kinsoku w:val="0"/>
        <w:overflowPunct w:val="0"/>
        <w:autoSpaceDE w:val="0"/>
        <w:autoSpaceDN w:val="0"/>
        <w:adjustRightInd w:val="0"/>
        <w:snapToGrid w:val="0"/>
        <w:spacing w:before="120"/>
        <w:ind w:left="1134" w:right="1558" w:hanging="567"/>
        <w:jc w:val="left"/>
        <w:rPr>
          <w:lang w:val="fr-FR"/>
        </w:rPr>
      </w:pPr>
      <w:r w:rsidRPr="003C30D9">
        <w:rPr>
          <w:lang w:val="fr-FR"/>
        </w:rPr>
        <w:t>Corrections à la vingt-troisième édition révisée des Recommandations relatives au transport des marchandises dangereuses, Règlement type (ST/SG/AC.10/1/Rev.23)</w:t>
      </w:r>
      <w:r w:rsidR="00F17693">
        <w:rPr>
          <w:lang w:val="fr-FR"/>
        </w:rPr>
        <w:tab/>
        <w:t>1</w:t>
      </w:r>
      <w:r w:rsidR="00142A6D">
        <w:rPr>
          <w:lang w:val="fr-FR"/>
        </w:rPr>
        <w:t>5</w:t>
      </w:r>
    </w:p>
    <w:p w14:paraId="6783531A" w14:textId="1E73E37B" w:rsidR="0031387E" w:rsidRPr="009D2995" w:rsidRDefault="008F1085" w:rsidP="00EB0630">
      <w:pPr>
        <w:pStyle w:val="SingleTxtG"/>
        <w:numPr>
          <w:ilvl w:val="0"/>
          <w:numId w:val="17"/>
        </w:numPr>
        <w:tabs>
          <w:tab w:val="clear" w:pos="1701"/>
          <w:tab w:val="clear" w:pos="2268"/>
          <w:tab w:val="clear" w:pos="2835"/>
          <w:tab w:val="left" w:pos="1134"/>
          <w:tab w:val="left" w:leader="dot" w:pos="7655"/>
          <w:tab w:val="right" w:pos="8930"/>
          <w:tab w:val="right" w:pos="9639"/>
        </w:tabs>
        <w:suppressAutoHyphens/>
        <w:kinsoku w:val="0"/>
        <w:overflowPunct w:val="0"/>
        <w:autoSpaceDE w:val="0"/>
        <w:autoSpaceDN w:val="0"/>
        <w:adjustRightInd w:val="0"/>
        <w:snapToGrid w:val="0"/>
        <w:spacing w:before="120"/>
        <w:ind w:left="1134" w:right="1558" w:hanging="567"/>
        <w:jc w:val="left"/>
        <w:rPr>
          <w:lang w:val="fr-FR"/>
        </w:rPr>
      </w:pPr>
      <w:r w:rsidRPr="003C30D9">
        <w:rPr>
          <w:lang w:val="fr-FR" w:eastAsia="en-US"/>
        </w:rPr>
        <w:t xml:space="preserve">Amendements à la septième édition des principes directeurs à appliquer pour le développement du </w:t>
      </w:r>
      <w:r w:rsidRPr="003C30D9">
        <w:rPr>
          <w:lang w:val="fr-FR"/>
        </w:rPr>
        <w:t>Règlement</w:t>
      </w:r>
      <w:r w:rsidRPr="003C30D9">
        <w:rPr>
          <w:lang w:val="fr-FR" w:eastAsia="en-US"/>
        </w:rPr>
        <w:t xml:space="preserve"> type </w:t>
      </w:r>
      <w:r w:rsidR="00D2113A">
        <w:rPr>
          <w:lang w:val="fr-FR"/>
        </w:rPr>
        <w:t>…………………………………………….</w:t>
      </w:r>
      <w:r w:rsidR="00D2113A">
        <w:rPr>
          <w:lang w:val="fr-FR"/>
        </w:rPr>
        <w:tab/>
      </w:r>
      <w:r w:rsidR="00D2113A">
        <w:rPr>
          <w:lang w:val="fr-FR"/>
        </w:rPr>
        <w:tab/>
      </w:r>
      <w:r w:rsidR="00EB0630">
        <w:rPr>
          <w:lang w:val="fr-FR"/>
        </w:rPr>
        <w:t>1</w:t>
      </w:r>
      <w:r w:rsidR="00142A6D">
        <w:rPr>
          <w:lang w:val="fr-FR"/>
        </w:rPr>
        <w:t>5</w:t>
      </w:r>
    </w:p>
    <w:p w14:paraId="3F5ADC25" w14:textId="751230F0" w:rsidR="007024EB" w:rsidRDefault="00D2113A" w:rsidP="00175EA3">
      <w:pPr>
        <w:rPr>
          <w:lang w:val="fr-FR"/>
        </w:rPr>
      </w:pPr>
      <w:r>
        <w:rPr>
          <w:lang w:val="fr-FR"/>
        </w:rPr>
        <w:br w:type="page"/>
      </w:r>
    </w:p>
    <w:p w14:paraId="5CC51B5A" w14:textId="68DFBDBA" w:rsidR="003C6D9D" w:rsidRPr="003C30D9" w:rsidRDefault="003C6D9D" w:rsidP="003C6D9D">
      <w:pPr>
        <w:pStyle w:val="HChG"/>
        <w:rPr>
          <w:lang w:val="fr-FR"/>
        </w:rPr>
      </w:pPr>
      <w:r w:rsidRPr="003C30D9">
        <w:rPr>
          <w:lang w:val="fr-FR"/>
        </w:rPr>
        <w:lastRenderedPageBreak/>
        <w:tab/>
      </w:r>
      <w:r w:rsidR="00175EA3">
        <w:rPr>
          <w:lang w:val="fr-FR"/>
        </w:rPr>
        <w:t>I.</w:t>
      </w:r>
      <w:r w:rsidRPr="003C30D9">
        <w:rPr>
          <w:lang w:val="fr-FR"/>
        </w:rPr>
        <w:tab/>
        <w:t>Projet d’amendements à la huitième édition révisée du Manuel d’épreuves et de critères (ST/SG/AC.10/11/Rev.8)</w:t>
      </w:r>
    </w:p>
    <w:p w14:paraId="10B720BE" w14:textId="77777777" w:rsidR="003C6D9D" w:rsidRPr="003C30D9" w:rsidRDefault="003C6D9D" w:rsidP="003C6D9D">
      <w:pPr>
        <w:pStyle w:val="H1G"/>
        <w:rPr>
          <w:lang w:val="fr-FR"/>
        </w:rPr>
      </w:pPr>
      <w:r w:rsidRPr="003C30D9">
        <w:rPr>
          <w:lang w:val="fr-FR"/>
        </w:rPr>
        <w:tab/>
      </w:r>
      <w:r w:rsidRPr="003C30D9">
        <w:rPr>
          <w:lang w:val="fr-FR"/>
        </w:rPr>
        <w:tab/>
        <w:t>Section 10</w:t>
      </w:r>
    </w:p>
    <w:p w14:paraId="5C6FD2B8"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10.3.2.2</w:t>
      </w:r>
      <w:r w:rsidRPr="003C30D9">
        <w:rPr>
          <w:lang w:val="fr-FR"/>
        </w:rPr>
        <w:tab/>
        <w:t>Dans la première phrase, remplacer « S'agit-il d'une matière explosible ? » par « Est-ce que la matière a des propriétés explosives ? ».</w:t>
      </w:r>
    </w:p>
    <w:p w14:paraId="48F3B170" w14:textId="77777777" w:rsidR="003C6D9D" w:rsidRPr="003C30D9" w:rsidRDefault="003C6D9D" w:rsidP="003C6D9D">
      <w:pPr>
        <w:pStyle w:val="SingleTxtG"/>
        <w:ind w:left="2268" w:hanging="1134"/>
        <w:rPr>
          <w:lang w:val="fr-FR"/>
        </w:rPr>
      </w:pPr>
      <w:r w:rsidRPr="003C30D9">
        <w:rPr>
          <w:lang w:val="fr-FR"/>
        </w:rPr>
        <w:t>Figure 10.2</w:t>
      </w:r>
      <w:r w:rsidRPr="003C30D9">
        <w:rPr>
          <w:lang w:val="fr-FR"/>
        </w:rPr>
        <w:tab/>
        <w:t>Modifier le texte de la case 5 pour lire « Est-ce que la matière a des propriétés explosives ? ».</w:t>
      </w:r>
    </w:p>
    <w:p w14:paraId="47EAF24C" w14:textId="77777777" w:rsidR="003C6D9D" w:rsidRPr="003C30D9" w:rsidRDefault="003C6D9D" w:rsidP="003C6D9D">
      <w:pPr>
        <w:pStyle w:val="SingleTxtG"/>
        <w:ind w:left="2268" w:hanging="1134"/>
        <w:rPr>
          <w:lang w:val="fr-FR"/>
        </w:rPr>
      </w:pPr>
      <w:r w:rsidRPr="003C30D9">
        <w:rPr>
          <w:lang w:val="fr-FR"/>
        </w:rPr>
        <w:t>Figure 10.7 a)</w:t>
      </w:r>
      <w:r w:rsidRPr="003C30D9">
        <w:rPr>
          <w:lang w:val="fr-FR"/>
        </w:rPr>
        <w:tab/>
        <w:t>Au point 6, remplacer « S'agit-il d'une matière explosible ? » par « Est-ce que la matière a des propriétés explosives ? ».</w:t>
      </w:r>
    </w:p>
    <w:p w14:paraId="1B5E3AEF" w14:textId="77777777" w:rsidR="003C6D9D" w:rsidRPr="003C30D9" w:rsidRDefault="003C6D9D" w:rsidP="003C6D9D">
      <w:pPr>
        <w:pStyle w:val="SingleTxtG"/>
        <w:rPr>
          <w:i/>
          <w:iCs/>
          <w:lang w:val="fr-FR"/>
        </w:rPr>
      </w:pPr>
      <w:r w:rsidRPr="003C30D9">
        <w:rPr>
          <w:i/>
          <w:iCs/>
          <w:lang w:val="fr-FR"/>
        </w:rPr>
        <w:t>(Document de référence : document informel INF.67, amendement 6, modifié sur le plan rédactionnel, amendements de conséquence à la version française)</w:t>
      </w:r>
    </w:p>
    <w:p w14:paraId="090796D4" w14:textId="77777777" w:rsidR="003C6D9D" w:rsidRPr="003C30D9" w:rsidRDefault="003C6D9D" w:rsidP="003C6D9D">
      <w:pPr>
        <w:pStyle w:val="H1G"/>
        <w:rPr>
          <w:lang w:val="fr-FR"/>
        </w:rPr>
      </w:pPr>
      <w:r w:rsidRPr="003C30D9">
        <w:rPr>
          <w:lang w:val="fr-FR"/>
        </w:rPr>
        <w:tab/>
      </w:r>
      <w:r w:rsidRPr="003C30D9">
        <w:rPr>
          <w:lang w:val="fr-FR"/>
        </w:rPr>
        <w:tab/>
        <w:t>Section 11</w:t>
      </w:r>
    </w:p>
    <w:p w14:paraId="0331F8BE"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11.1.1</w:t>
      </w:r>
      <w:r w:rsidRPr="003C30D9">
        <w:rPr>
          <w:lang w:val="fr-FR"/>
        </w:rPr>
        <w:tab/>
        <w:t>Dans la première phrase, remplacer « S'agit-il d'une matière explosible ? » par « Est-ce que la matière a des propriétés explosives ? ».</w:t>
      </w:r>
    </w:p>
    <w:p w14:paraId="2F204D91" w14:textId="77777777" w:rsidR="003C6D9D" w:rsidRPr="003C30D9" w:rsidRDefault="003C6D9D" w:rsidP="003C6D9D">
      <w:pPr>
        <w:pStyle w:val="SingleTxtG"/>
        <w:rPr>
          <w:i/>
          <w:iCs/>
          <w:lang w:val="fr-FR"/>
        </w:rPr>
      </w:pPr>
      <w:r w:rsidRPr="003C30D9">
        <w:rPr>
          <w:i/>
          <w:iCs/>
          <w:lang w:val="fr-FR"/>
        </w:rPr>
        <w:t>(Document de référence : document informel INF.67, amendement 6, modifié sur le plan rédactionnel)</w:t>
      </w:r>
    </w:p>
    <w:p w14:paraId="054C8488" w14:textId="77777777" w:rsidR="003C6D9D" w:rsidRPr="003C30D9" w:rsidRDefault="003C6D9D" w:rsidP="003C6D9D">
      <w:pPr>
        <w:pStyle w:val="H1G"/>
        <w:rPr>
          <w:lang w:val="fr-FR"/>
        </w:rPr>
      </w:pPr>
      <w:r w:rsidRPr="003C30D9">
        <w:rPr>
          <w:lang w:val="fr-FR"/>
        </w:rPr>
        <w:tab/>
      </w:r>
      <w:r w:rsidRPr="003C30D9">
        <w:rPr>
          <w:lang w:val="fr-FR"/>
        </w:rPr>
        <w:tab/>
        <w:t>Section 12</w:t>
      </w:r>
    </w:p>
    <w:p w14:paraId="6384F925"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12.1.1</w:t>
      </w:r>
      <w:r w:rsidRPr="003C30D9">
        <w:rPr>
          <w:lang w:val="fr-FR"/>
        </w:rPr>
        <w:tab/>
        <w:t>Ne s’applique pas au texte français.</w:t>
      </w:r>
    </w:p>
    <w:p w14:paraId="7F56F2EE" w14:textId="77777777" w:rsidR="003C6D9D" w:rsidRPr="003C30D9" w:rsidRDefault="003C6D9D" w:rsidP="003C6D9D">
      <w:pPr>
        <w:pStyle w:val="SingleTxtG"/>
        <w:rPr>
          <w:i/>
          <w:iCs/>
          <w:lang w:val="fr-FR"/>
        </w:rPr>
      </w:pPr>
      <w:r w:rsidRPr="003C30D9">
        <w:rPr>
          <w:i/>
          <w:iCs/>
          <w:lang w:val="fr-FR"/>
        </w:rPr>
        <w:t>(Document de référence : document informel INF.67, amendement 6)</w:t>
      </w:r>
    </w:p>
    <w:p w14:paraId="45B28348" w14:textId="77777777" w:rsidR="003C6D9D" w:rsidRPr="003C30D9" w:rsidRDefault="003C6D9D" w:rsidP="003C6D9D">
      <w:pPr>
        <w:pStyle w:val="H1G"/>
        <w:rPr>
          <w:lang w:val="fr-FR"/>
        </w:rPr>
      </w:pPr>
      <w:r w:rsidRPr="003C30D9">
        <w:rPr>
          <w:lang w:val="fr-FR"/>
        </w:rPr>
        <w:tab/>
      </w:r>
      <w:r w:rsidRPr="003C30D9">
        <w:rPr>
          <w:lang w:val="fr-FR"/>
        </w:rPr>
        <w:tab/>
        <w:t>Section 18</w:t>
      </w:r>
    </w:p>
    <w:p w14:paraId="6C632D81"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18.8.1.2.1</w:t>
      </w:r>
      <w:r w:rsidRPr="003C30D9">
        <w:rPr>
          <w:lang w:val="fr-FR"/>
        </w:rPr>
        <w:tab/>
        <w:t>Dans la quatrième phrase, à la fin, ajouter « par exemple à l'aide d'une seringue ou d'une poche à douille lorsque la viscosité de l'échantillon le permet ».</w:t>
      </w:r>
    </w:p>
    <w:p w14:paraId="33D5B197" w14:textId="77777777" w:rsidR="003C6D9D" w:rsidRPr="003C30D9" w:rsidRDefault="003C6D9D" w:rsidP="003C6D9D">
      <w:pPr>
        <w:pStyle w:val="SingleTxtG"/>
        <w:rPr>
          <w:i/>
          <w:iCs/>
          <w:lang w:val="fr-FR"/>
        </w:rPr>
      </w:pPr>
      <w:r w:rsidRPr="003C30D9">
        <w:rPr>
          <w:i/>
          <w:iCs/>
          <w:lang w:val="fr-FR"/>
        </w:rPr>
        <w:t>(Document de référence : document informel INF.67, amendement 1)</w:t>
      </w:r>
    </w:p>
    <w:p w14:paraId="280AADEC"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18.8.1.2.2</w:t>
      </w:r>
      <w:r w:rsidRPr="003C30D9">
        <w:rPr>
          <w:lang w:val="fr-FR"/>
        </w:rPr>
        <w:tab/>
        <w:t>Dans la première phrase, remplacer « 0,51 mm » par « 0,50 à 0,51 mm » et remplacer « 5,5 Ω m</w:t>
      </w:r>
      <w:r w:rsidRPr="003C30D9">
        <w:rPr>
          <w:vertAlign w:val="superscript"/>
          <w:lang w:val="fr-FR"/>
        </w:rPr>
        <w:t>-1</w:t>
      </w:r>
      <w:r w:rsidRPr="003C30D9">
        <w:rPr>
          <w:lang w:val="fr-FR"/>
        </w:rPr>
        <w:t> » par « 5,50 à 5,75 Ω·m</w:t>
      </w:r>
      <w:r w:rsidRPr="003C30D9">
        <w:rPr>
          <w:vertAlign w:val="superscript"/>
          <w:lang w:val="fr-FR"/>
        </w:rPr>
        <w:t>-1</w:t>
      </w:r>
      <w:r w:rsidRPr="003C30D9">
        <w:rPr>
          <w:lang w:val="fr-FR"/>
        </w:rPr>
        <w:t> ».</w:t>
      </w:r>
    </w:p>
    <w:p w14:paraId="3CBEF5D3" w14:textId="77777777" w:rsidR="003C6D9D" w:rsidRPr="003C30D9" w:rsidRDefault="003C6D9D" w:rsidP="003C6D9D">
      <w:pPr>
        <w:pStyle w:val="SingleTxtG"/>
        <w:rPr>
          <w:i/>
          <w:iCs/>
          <w:lang w:val="fr-FR"/>
        </w:rPr>
      </w:pPr>
      <w:r w:rsidRPr="003C30D9">
        <w:rPr>
          <w:i/>
          <w:iCs/>
          <w:lang w:val="fr-FR"/>
        </w:rPr>
        <w:t>(Document de référence : document informel INF.67, amendement 1)</w:t>
      </w:r>
    </w:p>
    <w:p w14:paraId="04E9773F"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18.8.1.2.3</w:t>
      </w:r>
      <w:r w:rsidRPr="003C30D9">
        <w:rPr>
          <w:lang w:val="fr-FR"/>
        </w:rPr>
        <w:tab/>
        <w:t>À la fin, ajouter « et d’un thermocouple de type K permettant de mesurer la température du gaz ».</w:t>
      </w:r>
    </w:p>
    <w:p w14:paraId="0B906C54" w14:textId="77777777" w:rsidR="003C6D9D" w:rsidRPr="003C30D9" w:rsidRDefault="003C6D9D" w:rsidP="003C6D9D">
      <w:pPr>
        <w:pStyle w:val="SingleTxtG"/>
        <w:rPr>
          <w:i/>
          <w:iCs/>
          <w:lang w:val="fr-FR"/>
        </w:rPr>
      </w:pPr>
      <w:r w:rsidRPr="003C30D9">
        <w:rPr>
          <w:i/>
          <w:iCs/>
          <w:lang w:val="fr-FR"/>
        </w:rPr>
        <w:t>(Document de référence : document informel INF.67, amendement 1)</w:t>
      </w:r>
    </w:p>
    <w:p w14:paraId="3E988E16"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18.8.1.3.3</w:t>
      </w:r>
      <w:r w:rsidRPr="003C30D9">
        <w:rPr>
          <w:lang w:val="fr-FR"/>
        </w:rPr>
        <w:tab/>
        <w:t>À la fin, ajuter les deux nouvelles phrases suivantes : « L'épreuve doit être lancé une fois que la température du gaz est redescendue à la température ambiante ou que la pression du gaz s'est stabilisée. La valeur du capteur de pression est alors consignée comme étant la pression initiale. ».</w:t>
      </w:r>
    </w:p>
    <w:p w14:paraId="7D8FA4FA" w14:textId="77777777" w:rsidR="003C6D9D" w:rsidRPr="003C30D9" w:rsidRDefault="003C6D9D" w:rsidP="003C6D9D">
      <w:pPr>
        <w:pStyle w:val="SingleTxtG"/>
        <w:rPr>
          <w:i/>
          <w:iCs/>
          <w:lang w:val="fr-FR"/>
        </w:rPr>
      </w:pPr>
      <w:r w:rsidRPr="003C30D9">
        <w:rPr>
          <w:i/>
          <w:iCs/>
          <w:lang w:val="fr-FR"/>
        </w:rPr>
        <w:t>(Document de référence : document informel INF.67, amendement 1)</w:t>
      </w:r>
    </w:p>
    <w:p w14:paraId="0AB8F380" w14:textId="77777777" w:rsidR="003C6D9D" w:rsidRPr="003C30D9" w:rsidRDefault="003C6D9D" w:rsidP="003C6D9D">
      <w:pPr>
        <w:pStyle w:val="H1G"/>
        <w:rPr>
          <w:lang w:val="fr-FR"/>
        </w:rPr>
      </w:pPr>
      <w:r w:rsidRPr="003C30D9">
        <w:rPr>
          <w:lang w:val="fr-FR"/>
        </w:rPr>
        <w:tab/>
      </w:r>
      <w:r w:rsidRPr="003C30D9">
        <w:rPr>
          <w:lang w:val="fr-FR"/>
        </w:rPr>
        <w:tab/>
        <w:t>Section 32</w:t>
      </w:r>
    </w:p>
    <w:p w14:paraId="74621F88"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32.3.2.1</w:t>
      </w:r>
      <w:r w:rsidRPr="003C30D9">
        <w:rPr>
          <w:lang w:val="fr-FR"/>
        </w:rPr>
        <w:tab/>
        <w:t xml:space="preserve">Dans la première phrase, remplacer « Nota 2 au paragraphe 2.1.1 du </w:t>
      </w:r>
      <w:r w:rsidRPr="003C30D9">
        <w:rPr>
          <w:i/>
          <w:iCs/>
          <w:lang w:val="fr-FR"/>
        </w:rPr>
        <w:t>SGH</w:t>
      </w:r>
      <w:r w:rsidRPr="003C30D9">
        <w:rPr>
          <w:lang w:val="fr-FR"/>
        </w:rPr>
        <w:t xml:space="preserve"> » par « 2.17.1.2 b) du </w:t>
      </w:r>
      <w:r w:rsidRPr="003C30D9">
        <w:rPr>
          <w:i/>
          <w:iCs/>
          <w:lang w:val="fr-FR"/>
        </w:rPr>
        <w:t>SGH</w:t>
      </w:r>
      <w:r w:rsidRPr="003C30D9">
        <w:rPr>
          <w:lang w:val="fr-FR"/>
        </w:rPr>
        <w:t> ».</w:t>
      </w:r>
    </w:p>
    <w:p w14:paraId="7360A0C9" w14:textId="77777777" w:rsidR="003C6D9D" w:rsidRPr="003C30D9" w:rsidRDefault="003C6D9D" w:rsidP="003C6D9D">
      <w:pPr>
        <w:pStyle w:val="SingleTxtG"/>
        <w:rPr>
          <w:i/>
          <w:iCs/>
          <w:lang w:val="fr-FR"/>
        </w:rPr>
      </w:pPr>
      <w:r w:rsidRPr="003C30D9">
        <w:rPr>
          <w:i/>
          <w:iCs/>
          <w:lang w:val="fr-FR"/>
        </w:rPr>
        <w:t>(Document de référence : document informel INF.67, amendement 6)</w:t>
      </w:r>
    </w:p>
    <w:p w14:paraId="5D052CF0" w14:textId="77777777" w:rsidR="003C6D9D" w:rsidRPr="003C30D9" w:rsidRDefault="003C6D9D" w:rsidP="003C6D9D">
      <w:pPr>
        <w:pStyle w:val="H1G"/>
        <w:rPr>
          <w:lang w:val="fr-FR"/>
        </w:rPr>
      </w:pPr>
      <w:r w:rsidRPr="003C30D9">
        <w:rPr>
          <w:lang w:val="fr-FR"/>
        </w:rPr>
        <w:lastRenderedPageBreak/>
        <w:tab/>
      </w:r>
      <w:r w:rsidRPr="003C30D9">
        <w:rPr>
          <w:lang w:val="fr-FR"/>
        </w:rPr>
        <w:tab/>
        <w:t>Section 33</w:t>
      </w:r>
    </w:p>
    <w:p w14:paraId="2A99DF03"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33.3.1</w:t>
      </w:r>
      <w:r w:rsidRPr="003C30D9">
        <w:rPr>
          <w:lang w:val="fr-FR"/>
        </w:rPr>
        <w:tab/>
        <w:t xml:space="preserve">Dans la première phrase, remplacer « Nota 2 au 2.1.2.2 du </w:t>
      </w:r>
      <w:r w:rsidRPr="003C30D9">
        <w:rPr>
          <w:i/>
          <w:iCs/>
          <w:lang w:val="fr-FR"/>
        </w:rPr>
        <w:t>SGH</w:t>
      </w:r>
      <w:r w:rsidRPr="003C30D9">
        <w:rPr>
          <w:lang w:val="fr-FR"/>
        </w:rPr>
        <w:t xml:space="preserve"> » par « 2.17.1.2 a) du </w:t>
      </w:r>
      <w:r w:rsidRPr="003C30D9">
        <w:rPr>
          <w:i/>
          <w:iCs/>
          <w:lang w:val="fr-FR"/>
        </w:rPr>
        <w:t>SGH</w:t>
      </w:r>
      <w:r w:rsidRPr="003C30D9">
        <w:rPr>
          <w:lang w:val="fr-FR"/>
        </w:rPr>
        <w:t> ».</w:t>
      </w:r>
    </w:p>
    <w:p w14:paraId="6C0D382D" w14:textId="77777777" w:rsidR="003C6D9D" w:rsidRPr="003C30D9" w:rsidRDefault="003C6D9D" w:rsidP="003C6D9D">
      <w:pPr>
        <w:pStyle w:val="SingleTxtG"/>
        <w:rPr>
          <w:i/>
          <w:iCs/>
          <w:lang w:val="fr-FR"/>
        </w:rPr>
      </w:pPr>
      <w:r w:rsidRPr="003C30D9">
        <w:rPr>
          <w:i/>
          <w:iCs/>
          <w:lang w:val="fr-FR"/>
        </w:rPr>
        <w:t>(Document de référence : document informel INF.67, amendement 6)</w:t>
      </w:r>
    </w:p>
    <w:p w14:paraId="5230F821" w14:textId="77777777" w:rsidR="003C6D9D" w:rsidRPr="003C30D9" w:rsidRDefault="003C6D9D" w:rsidP="003C6D9D">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Section 38</w:t>
      </w:r>
    </w:p>
    <w:p w14:paraId="3BABE57A" w14:textId="77777777" w:rsidR="003C6D9D" w:rsidRPr="003C30D9" w:rsidRDefault="003C6D9D" w:rsidP="003C6D9D">
      <w:pPr>
        <w:pStyle w:val="SingleTxtG"/>
        <w:tabs>
          <w:tab w:val="clear" w:pos="1701"/>
        </w:tabs>
        <w:ind w:left="2268" w:hanging="1134"/>
        <w:rPr>
          <w:lang w:val="fr-FR"/>
        </w:rPr>
      </w:pPr>
      <w:r w:rsidRPr="003C30D9">
        <w:rPr>
          <w:lang w:val="fr-FR"/>
        </w:rPr>
        <w:t>38.3.4.5.2</w:t>
      </w:r>
      <w:r w:rsidRPr="003C30D9">
        <w:rPr>
          <w:lang w:val="fr-FR"/>
        </w:rPr>
        <w:tab/>
        <w:t>Dans le premier paragraphe, à la fin de la première phrase, remplacer « dans son enveloppe externe » par « sur l’enveloppe externe ou sur une pile interne ». Dans le deuxième paragraphe, remplacer « température de l’enveloppe extérieure » par « température mesurée ».</w:t>
      </w:r>
    </w:p>
    <w:p w14:paraId="4C8F4AD8" w14:textId="77777777" w:rsidR="003C6D9D" w:rsidRPr="003C30D9" w:rsidRDefault="003C6D9D" w:rsidP="003C6D9D">
      <w:pPr>
        <w:pStyle w:val="SingleTxtG"/>
        <w:tabs>
          <w:tab w:val="clear" w:pos="1701"/>
        </w:tabs>
        <w:rPr>
          <w:i/>
          <w:iCs/>
          <w:lang w:val="fr-FR"/>
        </w:rPr>
      </w:pPr>
      <w:r w:rsidRPr="003C30D9">
        <w:rPr>
          <w:i/>
          <w:iCs/>
          <w:lang w:val="fr-FR"/>
        </w:rPr>
        <w:t>(Document de référence : document informel INF.65 tel que modifié)</w:t>
      </w:r>
    </w:p>
    <w:p w14:paraId="30370BEC" w14:textId="77777777" w:rsidR="003C6D9D" w:rsidRPr="003C30D9" w:rsidRDefault="003C6D9D" w:rsidP="003C6D9D">
      <w:pPr>
        <w:pStyle w:val="SingleTxtG"/>
        <w:tabs>
          <w:tab w:val="clear" w:pos="1701"/>
        </w:tabs>
        <w:ind w:left="2268" w:hanging="1134"/>
        <w:rPr>
          <w:lang w:val="fr-FR"/>
        </w:rPr>
      </w:pPr>
      <w:r w:rsidRPr="003C30D9">
        <w:rPr>
          <w:lang w:val="fr-FR"/>
        </w:rPr>
        <w:t>38.3.4.5.3</w:t>
      </w:r>
      <w:r w:rsidRPr="003C30D9">
        <w:rPr>
          <w:lang w:val="fr-FR"/>
        </w:rPr>
        <w:tab/>
        <w:t>Remplacer « température externe » par « température mesurée ».</w:t>
      </w:r>
    </w:p>
    <w:p w14:paraId="4AD13334" w14:textId="77777777" w:rsidR="003C6D9D" w:rsidRPr="003C30D9" w:rsidRDefault="003C6D9D" w:rsidP="003C6D9D">
      <w:pPr>
        <w:pStyle w:val="SingleTxtG"/>
        <w:tabs>
          <w:tab w:val="clear" w:pos="1701"/>
        </w:tabs>
        <w:rPr>
          <w:i/>
          <w:iCs/>
          <w:lang w:val="fr-FR"/>
        </w:rPr>
      </w:pPr>
      <w:r w:rsidRPr="003C30D9">
        <w:rPr>
          <w:i/>
          <w:iCs/>
          <w:lang w:val="fr-FR"/>
        </w:rPr>
        <w:t>(Document de référence : document informel INF.65)</w:t>
      </w:r>
    </w:p>
    <w:p w14:paraId="56A61CE5" w14:textId="77777777" w:rsidR="003C6D9D" w:rsidRPr="003C30D9" w:rsidRDefault="003C6D9D" w:rsidP="003C6D9D">
      <w:pPr>
        <w:pStyle w:val="SingleTxtG"/>
        <w:tabs>
          <w:tab w:val="clear" w:pos="1701"/>
        </w:tabs>
        <w:ind w:left="2268" w:hanging="1134"/>
        <w:rPr>
          <w:rStyle w:val="ui-provider"/>
          <w:rFonts w:eastAsiaTheme="minorHAnsi"/>
          <w:lang w:val="fr-FR"/>
        </w:rPr>
      </w:pPr>
      <w:r w:rsidRPr="003C30D9">
        <w:rPr>
          <w:lang w:val="fr-FR"/>
        </w:rPr>
        <w:t>38.3.4.6.3</w:t>
      </w:r>
      <w:r w:rsidRPr="003C30D9">
        <w:rPr>
          <w:lang w:val="fr-FR"/>
        </w:rPr>
        <w:tab/>
        <w:t>Dans le paragraphe après le nota, à la fin de la première phrase, ajouter « , chacune ayant une surface suffisante pour que la force d'écrasement soit appliquée uniformément sur toute la surface de la pile ».</w:t>
      </w:r>
    </w:p>
    <w:p w14:paraId="3DAF5036" w14:textId="77777777" w:rsidR="003C6D9D" w:rsidRPr="003C30D9" w:rsidRDefault="003C6D9D" w:rsidP="003C6D9D">
      <w:pPr>
        <w:pStyle w:val="SingleTxtG"/>
        <w:tabs>
          <w:tab w:val="clear" w:pos="1701"/>
        </w:tabs>
        <w:rPr>
          <w:rStyle w:val="ui-provider"/>
          <w:rFonts w:eastAsiaTheme="minorHAnsi"/>
          <w:i/>
          <w:iCs/>
          <w:lang w:val="fr-FR"/>
        </w:rPr>
      </w:pPr>
      <w:r w:rsidRPr="003C30D9">
        <w:rPr>
          <w:rStyle w:val="ui-provider"/>
          <w:rFonts w:eastAsiaTheme="minorHAnsi"/>
          <w:i/>
          <w:iCs/>
          <w:lang w:val="fr-FR"/>
        </w:rPr>
        <w:t>(Document de référence : document informel INF.41, option 1 (a))</w:t>
      </w:r>
    </w:p>
    <w:p w14:paraId="09A50B5A" w14:textId="77777777" w:rsidR="003C6D9D" w:rsidRPr="003C30D9" w:rsidRDefault="003C6D9D" w:rsidP="003C6D9D">
      <w:pPr>
        <w:pStyle w:val="H1G"/>
        <w:rPr>
          <w:lang w:val="fr-FR"/>
        </w:rPr>
      </w:pPr>
      <w:r w:rsidRPr="003C30D9">
        <w:rPr>
          <w:lang w:val="fr-FR"/>
        </w:rPr>
        <w:tab/>
      </w:r>
      <w:r w:rsidRPr="003C30D9">
        <w:rPr>
          <w:lang w:val="fr-FR"/>
        </w:rPr>
        <w:tab/>
        <w:t>Section 51</w:t>
      </w:r>
    </w:p>
    <w:p w14:paraId="1BB1261B"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51.4.4.3</w:t>
      </w:r>
      <w:r w:rsidRPr="003C30D9">
        <w:rPr>
          <w:lang w:val="fr-FR"/>
        </w:rPr>
        <w:tab/>
        <w:t xml:space="preserve">Remplacer « est classée comme matière explosible » par « n’est pas classée comme matière explosible désensibilisée et doit être classée comme matière explosible conformément au chapitre 2.1 du </w:t>
      </w:r>
      <w:r w:rsidRPr="003C30D9">
        <w:rPr>
          <w:i/>
          <w:iCs/>
          <w:lang w:val="fr-FR"/>
        </w:rPr>
        <w:t>SGH</w:t>
      </w:r>
      <w:r w:rsidRPr="003C30D9">
        <w:rPr>
          <w:lang w:val="fr-FR"/>
        </w:rPr>
        <w:t> ».</w:t>
      </w:r>
    </w:p>
    <w:p w14:paraId="760FAC4D" w14:textId="77777777" w:rsidR="003C6D9D" w:rsidRPr="003C30D9" w:rsidRDefault="003C6D9D" w:rsidP="003C6D9D">
      <w:pPr>
        <w:pStyle w:val="SingleTxtG"/>
        <w:rPr>
          <w:i/>
          <w:iCs/>
          <w:lang w:val="fr-FR"/>
        </w:rPr>
      </w:pPr>
      <w:r w:rsidRPr="003C30D9">
        <w:rPr>
          <w:i/>
          <w:iCs/>
          <w:lang w:val="fr-FR"/>
        </w:rPr>
        <w:t>(Document de référence : document informel INF.67, amendement 8)</w:t>
      </w:r>
    </w:p>
    <w:p w14:paraId="525205A6" w14:textId="77777777" w:rsidR="003C6D9D" w:rsidRPr="003C30D9" w:rsidRDefault="003C6D9D" w:rsidP="003C6D9D">
      <w:pPr>
        <w:pStyle w:val="SingleTxtG"/>
        <w:ind w:left="2268" w:hanging="1134"/>
        <w:rPr>
          <w:lang w:val="fr-FR"/>
        </w:rPr>
      </w:pPr>
      <w:r w:rsidRPr="003C30D9">
        <w:rPr>
          <w:lang w:val="fr-FR"/>
        </w:rPr>
        <w:t>51.4.4.5</w:t>
      </w:r>
      <w:r w:rsidRPr="003C30D9">
        <w:rPr>
          <w:lang w:val="fr-FR"/>
        </w:rPr>
        <w:tab/>
        <w:t xml:space="preserve">Dans la dernière phrase, remplacer « est classée comme matière explosible (voir le chapitre 2.1 du </w:t>
      </w:r>
      <w:r w:rsidRPr="003C30D9">
        <w:rPr>
          <w:i/>
          <w:iCs/>
          <w:lang w:val="fr-FR"/>
        </w:rPr>
        <w:t>SGH</w:t>
      </w:r>
      <w:r w:rsidRPr="003C30D9">
        <w:rPr>
          <w:lang w:val="fr-FR"/>
        </w:rPr>
        <w:t xml:space="preserve">) » par « n’est pas classée comme matière explosible désensibilisée et doit être classée comme matière explosible conformément au chapitre 2.1 du </w:t>
      </w:r>
      <w:r w:rsidRPr="003C30D9">
        <w:rPr>
          <w:i/>
          <w:iCs/>
          <w:lang w:val="fr-FR"/>
        </w:rPr>
        <w:t>SGH</w:t>
      </w:r>
      <w:r w:rsidRPr="003C30D9">
        <w:rPr>
          <w:lang w:val="fr-FR"/>
        </w:rPr>
        <w:t> ».</w:t>
      </w:r>
    </w:p>
    <w:p w14:paraId="2FAF9EED" w14:textId="77777777" w:rsidR="003C6D9D" w:rsidRPr="003C30D9" w:rsidRDefault="003C6D9D" w:rsidP="003C6D9D">
      <w:pPr>
        <w:pStyle w:val="SingleTxtG"/>
        <w:rPr>
          <w:i/>
          <w:iCs/>
          <w:lang w:val="fr-FR"/>
        </w:rPr>
      </w:pPr>
      <w:r w:rsidRPr="003C30D9">
        <w:rPr>
          <w:i/>
          <w:iCs/>
          <w:lang w:val="fr-FR"/>
        </w:rPr>
        <w:t>(Document de référence : document informel INF.67, amendement 8)</w:t>
      </w:r>
    </w:p>
    <w:p w14:paraId="7F70B9F8" w14:textId="77777777" w:rsidR="003C6D9D" w:rsidRPr="003C30D9" w:rsidRDefault="003C6D9D" w:rsidP="003C6D9D">
      <w:pPr>
        <w:pStyle w:val="H1G"/>
        <w:rPr>
          <w:lang w:val="fr-FR"/>
        </w:rPr>
      </w:pPr>
      <w:r w:rsidRPr="003C30D9">
        <w:rPr>
          <w:lang w:val="fr-FR"/>
        </w:rPr>
        <w:tab/>
      </w:r>
      <w:r w:rsidRPr="003C30D9">
        <w:rPr>
          <w:lang w:val="fr-FR"/>
        </w:rPr>
        <w:tab/>
        <w:t>Appendice 6</w:t>
      </w:r>
    </w:p>
    <w:p w14:paraId="229B5110"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A6.5.1</w:t>
      </w:r>
      <w:r w:rsidRPr="003C30D9">
        <w:rPr>
          <w:lang w:val="fr-FR"/>
        </w:rPr>
        <w:tab/>
        <w:t>Modifier b) pour lire comme suit :</w:t>
      </w:r>
    </w:p>
    <w:p w14:paraId="3B8190EE"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 b)</w:t>
      </w:r>
      <w:r w:rsidRPr="003C30D9">
        <w:rPr>
          <w:lang w:val="fr-FR"/>
        </w:rPr>
        <w:tab/>
        <w:t>Pour une matière organique unique ou un mélange homogène de matières organiques, la TDAA estimée pour un colis de 50 kg est supérieure à 75 °C ou l'énergie de décomposition exothermique est inférieure à 300 J/g. Une méthode appropriée pour estimer si la TDAA pour un colis de 50 kg est supérieure à 75 °C est la suivante :</w:t>
      </w:r>
    </w:p>
    <w:p w14:paraId="74A1C430" w14:textId="77777777" w:rsidR="003C6D9D" w:rsidRPr="003C30D9" w:rsidRDefault="003C6D9D" w:rsidP="003C6D9D">
      <w:pPr>
        <w:pStyle w:val="SingleTxtG"/>
        <w:tabs>
          <w:tab w:val="clear" w:pos="1701"/>
          <w:tab w:val="clear" w:pos="2268"/>
          <w:tab w:val="clear" w:pos="2835"/>
        </w:tabs>
        <w:ind w:left="2835" w:hanging="567"/>
        <w:rPr>
          <w:lang w:val="fr-FR"/>
        </w:rPr>
      </w:pPr>
      <w:r w:rsidRPr="003C30D9">
        <w:rPr>
          <w:lang w:val="fr-FR"/>
        </w:rPr>
        <w:t>i)</w:t>
      </w:r>
      <w:r w:rsidRPr="003C30D9">
        <w:rPr>
          <w:lang w:val="fr-FR"/>
        </w:rPr>
        <w:tab/>
        <w:t>La première réaction exothermique observée (température initiale, seuil de détection maximal à 20 W·kg</w:t>
      </w:r>
      <w:r w:rsidRPr="003C30D9">
        <w:rPr>
          <w:vertAlign w:val="superscript"/>
          <w:lang w:val="fr-FR"/>
        </w:rPr>
        <w:t>-1</w:t>
      </w:r>
      <w:r w:rsidRPr="003C30D9">
        <w:rPr>
          <w:lang w:val="fr-FR"/>
        </w:rPr>
        <w:t>) dans le cadre d’une ACD est égale ou supérieure à 175 °C pour les liquides ou à 200 °C pour les solides ; ou</w:t>
      </w:r>
    </w:p>
    <w:p w14:paraId="7CF05B72" w14:textId="77777777" w:rsidR="003C6D9D" w:rsidRPr="003C30D9" w:rsidRDefault="003C6D9D" w:rsidP="003C6D9D">
      <w:pPr>
        <w:pStyle w:val="SingleTxtG"/>
        <w:tabs>
          <w:tab w:val="clear" w:pos="1701"/>
          <w:tab w:val="clear" w:pos="2268"/>
          <w:tab w:val="clear" w:pos="2835"/>
        </w:tabs>
        <w:ind w:left="2835" w:hanging="567"/>
        <w:rPr>
          <w:lang w:val="fr-FR"/>
        </w:rPr>
      </w:pPr>
      <w:r w:rsidRPr="003C30D9">
        <w:rPr>
          <w:lang w:val="fr-FR"/>
        </w:rPr>
        <w:t>ii)</w:t>
      </w:r>
      <w:r w:rsidRPr="003C30D9">
        <w:rPr>
          <w:lang w:val="fr-FR"/>
        </w:rPr>
        <w:tab/>
        <w:t>Le flux de chaleur isotherme maximal mesuré à 75 °C est inférieur ou égal 100 mW·kg</w:t>
      </w:r>
      <w:r w:rsidRPr="003C30D9">
        <w:rPr>
          <w:vertAlign w:val="superscript"/>
          <w:lang w:val="fr-FR"/>
        </w:rPr>
        <w:t>-1</w:t>
      </w:r>
      <w:r w:rsidRPr="003C30D9">
        <w:rPr>
          <w:lang w:val="fr-FR"/>
        </w:rPr>
        <w:t xml:space="preserve"> pour les liquides ou à 50 mW·kg</w:t>
      </w:r>
      <w:r w:rsidRPr="003C30D9">
        <w:rPr>
          <w:vertAlign w:val="superscript"/>
          <w:lang w:val="fr-FR"/>
        </w:rPr>
        <w:t>-1</w:t>
      </w:r>
      <w:r w:rsidRPr="003C30D9">
        <w:rPr>
          <w:lang w:val="fr-FR"/>
        </w:rPr>
        <w:t xml:space="preserve"> pour les solides.</w:t>
      </w:r>
    </w:p>
    <w:p w14:paraId="2BF127EA"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ab/>
        <w:t xml:space="preserve">Les données calorimétriques doivent être obtenues suivant les indications énoncées au 20.3.3.3. </w:t>
      </w:r>
    </w:p>
    <w:p w14:paraId="5D950D74" w14:textId="77777777" w:rsidR="003C6D9D" w:rsidRPr="003C30D9" w:rsidRDefault="003C6D9D" w:rsidP="003C6D9D">
      <w:pPr>
        <w:pStyle w:val="SingleTxtG"/>
        <w:tabs>
          <w:tab w:val="clear" w:pos="1701"/>
          <w:tab w:val="clear" w:pos="2268"/>
          <w:tab w:val="clear" w:pos="2835"/>
        </w:tabs>
        <w:ind w:left="2268" w:hanging="1134"/>
        <w:rPr>
          <w:i/>
          <w:iCs/>
          <w:lang w:val="fr-FR"/>
        </w:rPr>
      </w:pPr>
      <w:r w:rsidRPr="003C30D9">
        <w:rPr>
          <w:b/>
          <w:bCs/>
          <w:lang w:val="fr-FR"/>
        </w:rPr>
        <w:tab/>
      </w:r>
      <w:r w:rsidRPr="003C30D9">
        <w:rPr>
          <w:b/>
          <w:bCs/>
          <w:i/>
          <w:iCs/>
          <w:lang w:val="fr-FR"/>
        </w:rPr>
        <w:t>NOTA :</w:t>
      </w:r>
      <w:r w:rsidRPr="003C30D9">
        <w:rPr>
          <w:i/>
          <w:iCs/>
          <w:lang w:val="fr-FR"/>
        </w:rPr>
        <w:t xml:space="preserve"> Ces règles de sélection peuvent ne pas fonctionner pour les matières présentant un comportement autocatalytique marqué pendant la </w:t>
      </w:r>
      <w:r w:rsidRPr="003C30D9">
        <w:rPr>
          <w:i/>
          <w:iCs/>
          <w:lang w:val="fr-FR"/>
        </w:rPr>
        <w:lastRenderedPageBreak/>
        <w:t>décomposition. Pour ces matières, des informations supplémentaires sont nécessaires pour déterminer si ces règles de sélection simples s'appliquent à la matière en question (en tenant compte, par exemple, de l’effet du vieillissement des échantillons sur la décomposition). On peut obtenir des informations sur le comportement autocatalytique potentiel à partir de nouvelles mesures calorimétriques (comparaison de l’ACD d’échantillons après contrainte thermique par rapport à de nouveaux échantillons ou ACD à différentes vitesses de balayage, par exemple). Les critères relatifs à la température initiale ou au flux de chaleur doivent toujours être respectés pour les nouveaux échantillons et les échantillons vieillis pour une durée correspondant à la durée prévue du transport. »</w:t>
      </w:r>
    </w:p>
    <w:p w14:paraId="3A3205FD" w14:textId="77777777" w:rsidR="003C6D9D" w:rsidRPr="003C30D9" w:rsidRDefault="003C6D9D" w:rsidP="003C6D9D">
      <w:pPr>
        <w:pStyle w:val="SingleTxtG"/>
        <w:rPr>
          <w:i/>
          <w:iCs/>
          <w:lang w:val="fr-FR"/>
        </w:rPr>
      </w:pPr>
      <w:r w:rsidRPr="003C30D9">
        <w:rPr>
          <w:i/>
          <w:iCs/>
          <w:lang w:val="fr-FR"/>
        </w:rPr>
        <w:t>(Document de référence : document informel INF.67, amendement 3)</w:t>
      </w:r>
    </w:p>
    <w:p w14:paraId="2C1C9580" w14:textId="77777777" w:rsidR="003C6D9D" w:rsidRPr="003C30D9" w:rsidRDefault="003C6D9D" w:rsidP="003C6D9D">
      <w:pPr>
        <w:pStyle w:val="H1G"/>
        <w:rPr>
          <w:lang w:val="fr-FR"/>
        </w:rPr>
      </w:pPr>
      <w:r w:rsidRPr="003C30D9">
        <w:rPr>
          <w:lang w:val="fr-FR"/>
        </w:rPr>
        <w:tab/>
      </w:r>
      <w:r w:rsidRPr="003C30D9">
        <w:rPr>
          <w:lang w:val="fr-FR"/>
        </w:rPr>
        <w:tab/>
        <w:t>Appendice 10</w:t>
      </w:r>
    </w:p>
    <w:p w14:paraId="5FA01A21"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A10.3.4.4</w:t>
      </w:r>
      <w:r w:rsidRPr="003C30D9">
        <w:rPr>
          <w:lang w:val="fr-FR"/>
        </w:rPr>
        <w:tab/>
        <w:t>Dans la première phrase, remplacer « moins de 30 min » par « 30 min ou moins ».</w:t>
      </w:r>
    </w:p>
    <w:p w14:paraId="1C173A88" w14:textId="77777777" w:rsidR="003C6D9D" w:rsidRPr="003C30D9" w:rsidRDefault="003C6D9D" w:rsidP="003C6D9D">
      <w:pPr>
        <w:pStyle w:val="SingleTxtG"/>
        <w:rPr>
          <w:i/>
          <w:iCs/>
          <w:lang w:val="fr-FR"/>
        </w:rPr>
      </w:pPr>
      <w:r w:rsidRPr="003C30D9">
        <w:rPr>
          <w:i/>
          <w:iCs/>
          <w:lang w:val="fr-FR"/>
        </w:rPr>
        <w:t>(Document de référence : document informel INF.67, amendement 5)</w:t>
      </w:r>
    </w:p>
    <w:p w14:paraId="422D4561" w14:textId="77777777" w:rsidR="003C6D9D" w:rsidRPr="003C30D9" w:rsidRDefault="003C6D9D" w:rsidP="003C6D9D">
      <w:pPr>
        <w:pStyle w:val="SingleTxtG"/>
        <w:tabs>
          <w:tab w:val="clear" w:pos="1701"/>
          <w:tab w:val="clear" w:pos="2268"/>
          <w:tab w:val="clear" w:pos="2835"/>
        </w:tabs>
        <w:ind w:left="2268" w:hanging="1134"/>
        <w:rPr>
          <w:lang w:val="fr-FR"/>
        </w:rPr>
      </w:pPr>
      <w:r w:rsidRPr="003C30D9">
        <w:rPr>
          <w:lang w:val="fr-FR"/>
        </w:rPr>
        <w:t>A10.3.5</w:t>
      </w:r>
      <w:r w:rsidRPr="003C30D9">
        <w:rPr>
          <w:lang w:val="fr-FR"/>
        </w:rPr>
        <w:tab/>
        <w:t>Modifier le tableau pour lire comme suit :</w:t>
      </w:r>
    </w:p>
    <w:tbl>
      <w:tblPr>
        <w:tblStyle w:val="Grilledutableau"/>
        <w:tblW w:w="0" w:type="auto"/>
        <w:jc w:val="center"/>
        <w:tblLook w:val="04A0" w:firstRow="1" w:lastRow="0" w:firstColumn="1" w:lastColumn="0" w:noHBand="0" w:noVBand="1"/>
      </w:tblPr>
      <w:tblGrid>
        <w:gridCol w:w="3587"/>
        <w:gridCol w:w="2792"/>
      </w:tblGrid>
      <w:tr w:rsidR="003C6D9D" w:rsidRPr="003C30D9" w14:paraId="4A09108A" w14:textId="77777777" w:rsidTr="001F3651">
        <w:trPr>
          <w:jc w:val="center"/>
        </w:trPr>
        <w:tc>
          <w:tcPr>
            <w:tcW w:w="3587" w:type="dxa"/>
            <w:tcBorders>
              <w:top w:val="single" w:sz="4" w:space="0" w:color="auto"/>
              <w:left w:val="nil"/>
              <w:bottom w:val="single" w:sz="4" w:space="0" w:color="auto"/>
              <w:right w:val="nil"/>
            </w:tcBorders>
          </w:tcPr>
          <w:p w14:paraId="5DCB6923" w14:textId="77777777" w:rsidR="003C6D9D" w:rsidRPr="003C30D9" w:rsidRDefault="003C6D9D" w:rsidP="001F3651">
            <w:pPr>
              <w:pStyle w:val="MTabTxt"/>
              <w:jc w:val="center"/>
              <w:rPr>
                <w:rFonts w:asciiTheme="majorBidi" w:hAnsiTheme="majorBidi" w:cstheme="majorBidi"/>
                <w:b/>
                <w:bCs/>
                <w:lang w:val="fr-FR"/>
              </w:rPr>
            </w:pPr>
            <w:r w:rsidRPr="003C30D9">
              <w:rPr>
                <w:rFonts w:asciiTheme="majorBidi" w:hAnsiTheme="majorBidi" w:cstheme="majorBidi"/>
                <w:b/>
                <w:bCs/>
                <w:lang w:val="fr-FR"/>
              </w:rPr>
              <w:t>Durée de l’épreuve (min)</w:t>
            </w:r>
          </w:p>
        </w:tc>
        <w:tc>
          <w:tcPr>
            <w:tcW w:w="2792" w:type="dxa"/>
            <w:tcBorders>
              <w:top w:val="single" w:sz="4" w:space="0" w:color="auto"/>
              <w:left w:val="nil"/>
              <w:bottom w:val="single" w:sz="4" w:space="0" w:color="auto"/>
              <w:right w:val="nil"/>
            </w:tcBorders>
          </w:tcPr>
          <w:p w14:paraId="5F8D47D1" w14:textId="77777777" w:rsidR="003C6D9D" w:rsidRPr="003C30D9" w:rsidRDefault="003C6D9D" w:rsidP="001F3651">
            <w:pPr>
              <w:pStyle w:val="MTabTxt"/>
              <w:jc w:val="center"/>
              <w:rPr>
                <w:rFonts w:asciiTheme="majorBidi" w:hAnsiTheme="majorBidi" w:cstheme="majorBidi"/>
                <w:b/>
                <w:bCs/>
                <w:lang w:val="fr-FR"/>
              </w:rPr>
            </w:pPr>
            <w:r w:rsidRPr="003C30D9">
              <w:rPr>
                <w:rFonts w:asciiTheme="majorBidi" w:hAnsiTheme="majorBidi" w:cstheme="majorBidi"/>
                <w:b/>
                <w:bCs/>
                <w:lang w:val="fr-FR"/>
              </w:rPr>
              <w:t>Résultat</w:t>
            </w:r>
          </w:p>
        </w:tc>
      </w:tr>
      <w:tr w:rsidR="003C6D9D" w:rsidRPr="003C30D9" w14:paraId="4B3AF32E" w14:textId="77777777" w:rsidTr="001F3651">
        <w:trPr>
          <w:jc w:val="center"/>
        </w:trPr>
        <w:tc>
          <w:tcPr>
            <w:tcW w:w="3587" w:type="dxa"/>
            <w:tcBorders>
              <w:top w:val="single" w:sz="4" w:space="0" w:color="auto"/>
              <w:left w:val="nil"/>
              <w:bottom w:val="nil"/>
              <w:right w:val="nil"/>
            </w:tcBorders>
          </w:tcPr>
          <w:p w14:paraId="58CC6263" w14:textId="77777777" w:rsidR="003C6D9D" w:rsidRPr="003C30D9" w:rsidRDefault="003C6D9D" w:rsidP="001F3651">
            <w:pPr>
              <w:pStyle w:val="MTabTxt"/>
              <w:jc w:val="center"/>
              <w:rPr>
                <w:rFonts w:asciiTheme="majorBidi" w:hAnsiTheme="majorBidi" w:cstheme="majorBidi"/>
                <w:lang w:val="fr-FR"/>
              </w:rPr>
            </w:pPr>
            <w:r w:rsidRPr="003C30D9">
              <w:rPr>
                <w:rFonts w:asciiTheme="majorBidi" w:hAnsiTheme="majorBidi" w:cstheme="majorBidi"/>
                <w:lang w:val="fr-FR"/>
              </w:rPr>
              <w:t>25</w:t>
            </w:r>
          </w:p>
        </w:tc>
        <w:tc>
          <w:tcPr>
            <w:tcW w:w="2792" w:type="dxa"/>
            <w:tcBorders>
              <w:top w:val="single" w:sz="4" w:space="0" w:color="auto"/>
              <w:left w:val="nil"/>
              <w:bottom w:val="nil"/>
              <w:right w:val="nil"/>
            </w:tcBorders>
          </w:tcPr>
          <w:p w14:paraId="33E74B27" w14:textId="77777777" w:rsidR="003C6D9D" w:rsidRPr="003C30D9" w:rsidRDefault="003C6D9D" w:rsidP="001F3651">
            <w:pPr>
              <w:pStyle w:val="MTabTxt"/>
              <w:jc w:val="center"/>
              <w:rPr>
                <w:rFonts w:asciiTheme="majorBidi" w:hAnsiTheme="majorBidi" w:cstheme="majorBidi"/>
                <w:lang w:val="fr-FR"/>
              </w:rPr>
            </w:pPr>
            <w:r w:rsidRPr="003C30D9">
              <w:rPr>
                <w:rFonts w:asciiTheme="majorBidi" w:hAnsiTheme="majorBidi" w:cstheme="majorBidi"/>
                <w:lang w:val="fr-FR"/>
              </w:rPr>
              <w:t>+</w:t>
            </w:r>
          </w:p>
        </w:tc>
      </w:tr>
      <w:tr w:rsidR="003C6D9D" w:rsidRPr="003C30D9" w14:paraId="76E89684" w14:textId="77777777" w:rsidTr="001F3651">
        <w:trPr>
          <w:jc w:val="center"/>
        </w:trPr>
        <w:tc>
          <w:tcPr>
            <w:tcW w:w="3587" w:type="dxa"/>
            <w:tcBorders>
              <w:top w:val="nil"/>
              <w:left w:val="nil"/>
              <w:bottom w:val="nil"/>
              <w:right w:val="nil"/>
            </w:tcBorders>
          </w:tcPr>
          <w:p w14:paraId="2F9007A6" w14:textId="77777777" w:rsidR="003C6D9D" w:rsidRPr="003C30D9" w:rsidRDefault="003C6D9D" w:rsidP="001F3651">
            <w:pPr>
              <w:pStyle w:val="MTabTxt"/>
              <w:jc w:val="center"/>
              <w:rPr>
                <w:rFonts w:asciiTheme="majorBidi" w:hAnsiTheme="majorBidi" w:cstheme="majorBidi"/>
                <w:lang w:val="fr-FR"/>
              </w:rPr>
            </w:pPr>
            <w:r w:rsidRPr="003C30D9">
              <w:rPr>
                <w:rFonts w:asciiTheme="majorBidi" w:hAnsiTheme="majorBidi" w:cstheme="majorBidi"/>
                <w:lang w:val="fr-FR"/>
              </w:rPr>
              <w:t>30</w:t>
            </w:r>
          </w:p>
        </w:tc>
        <w:tc>
          <w:tcPr>
            <w:tcW w:w="2792" w:type="dxa"/>
            <w:tcBorders>
              <w:top w:val="nil"/>
              <w:left w:val="nil"/>
              <w:bottom w:val="nil"/>
              <w:right w:val="nil"/>
            </w:tcBorders>
          </w:tcPr>
          <w:p w14:paraId="43824046" w14:textId="77777777" w:rsidR="003C6D9D" w:rsidRPr="003C30D9" w:rsidRDefault="003C6D9D" w:rsidP="001F3651">
            <w:pPr>
              <w:pStyle w:val="MTabTxt"/>
              <w:jc w:val="center"/>
              <w:rPr>
                <w:rFonts w:asciiTheme="majorBidi" w:hAnsiTheme="majorBidi" w:cstheme="majorBidi"/>
                <w:lang w:val="fr-FR"/>
              </w:rPr>
            </w:pPr>
            <w:r w:rsidRPr="003C30D9">
              <w:rPr>
                <w:rFonts w:asciiTheme="majorBidi" w:hAnsiTheme="majorBidi" w:cstheme="majorBidi"/>
                <w:lang w:val="fr-FR"/>
              </w:rPr>
              <w:t>+</w:t>
            </w:r>
          </w:p>
        </w:tc>
      </w:tr>
      <w:tr w:rsidR="003C6D9D" w:rsidRPr="003C30D9" w14:paraId="27C9F5EC" w14:textId="77777777" w:rsidTr="001F3651">
        <w:trPr>
          <w:jc w:val="center"/>
        </w:trPr>
        <w:tc>
          <w:tcPr>
            <w:tcW w:w="3587" w:type="dxa"/>
            <w:tcBorders>
              <w:top w:val="nil"/>
              <w:left w:val="nil"/>
              <w:bottom w:val="single" w:sz="4" w:space="0" w:color="auto"/>
              <w:right w:val="nil"/>
            </w:tcBorders>
          </w:tcPr>
          <w:p w14:paraId="53E34508" w14:textId="77777777" w:rsidR="003C6D9D" w:rsidRPr="003C30D9" w:rsidRDefault="003C6D9D" w:rsidP="001F3651">
            <w:pPr>
              <w:pStyle w:val="MTabTxt"/>
              <w:jc w:val="center"/>
              <w:rPr>
                <w:rFonts w:asciiTheme="majorBidi" w:hAnsiTheme="majorBidi" w:cstheme="majorBidi"/>
                <w:lang w:val="fr-FR"/>
              </w:rPr>
            </w:pPr>
            <w:r w:rsidRPr="003C30D9">
              <w:rPr>
                <w:rFonts w:asciiTheme="majorBidi" w:hAnsiTheme="majorBidi" w:cstheme="majorBidi"/>
                <w:lang w:val="fr-FR"/>
              </w:rPr>
              <w:t>35</w:t>
            </w:r>
          </w:p>
        </w:tc>
        <w:tc>
          <w:tcPr>
            <w:tcW w:w="2792" w:type="dxa"/>
            <w:tcBorders>
              <w:top w:val="nil"/>
              <w:left w:val="nil"/>
              <w:bottom w:val="single" w:sz="4" w:space="0" w:color="auto"/>
              <w:right w:val="nil"/>
            </w:tcBorders>
          </w:tcPr>
          <w:p w14:paraId="50DC2024" w14:textId="77777777" w:rsidR="003C6D9D" w:rsidRPr="003C30D9" w:rsidRDefault="003C6D9D" w:rsidP="001F3651">
            <w:pPr>
              <w:pStyle w:val="MTabTxt"/>
              <w:jc w:val="center"/>
              <w:rPr>
                <w:rFonts w:asciiTheme="majorBidi" w:hAnsiTheme="majorBidi" w:cstheme="majorBidi"/>
                <w:lang w:val="fr-FR"/>
              </w:rPr>
            </w:pPr>
            <w:r w:rsidRPr="003C30D9">
              <w:rPr>
                <w:rFonts w:asciiTheme="majorBidi" w:hAnsiTheme="majorBidi" w:cstheme="majorBidi"/>
                <w:lang w:val="fr-FR"/>
              </w:rPr>
              <w:t>–</w:t>
            </w:r>
          </w:p>
        </w:tc>
      </w:tr>
    </w:tbl>
    <w:p w14:paraId="0B27D398" w14:textId="6A33AFBF" w:rsidR="002C43BE" w:rsidRPr="00142A6D" w:rsidRDefault="003C6D9D" w:rsidP="00142A6D">
      <w:pPr>
        <w:pStyle w:val="SingleTxtG"/>
        <w:spacing w:before="120"/>
        <w:rPr>
          <w:i/>
          <w:iCs/>
          <w:lang w:val="fr-FR"/>
        </w:rPr>
      </w:pPr>
      <w:r w:rsidRPr="003C30D9">
        <w:rPr>
          <w:i/>
          <w:iCs/>
          <w:lang w:val="fr-FR"/>
        </w:rPr>
        <w:t>(Document de référence : document informel INF.67, amendement 5, modifié sur le plan rédactionnel)</w:t>
      </w:r>
    </w:p>
    <w:p w14:paraId="11ED2D63" w14:textId="1F51BA23" w:rsidR="002C43BE" w:rsidRPr="003C30D9" w:rsidRDefault="002C43BE" w:rsidP="00EF6113">
      <w:pPr>
        <w:pStyle w:val="HChG"/>
        <w:spacing w:before="240" w:after="120"/>
        <w:rPr>
          <w:lang w:val="fr-FR"/>
        </w:rPr>
      </w:pPr>
      <w:r w:rsidRPr="003C30D9">
        <w:rPr>
          <w:lang w:val="fr-FR"/>
        </w:rPr>
        <w:tab/>
      </w:r>
      <w:r w:rsidR="00175EA3">
        <w:rPr>
          <w:lang w:val="fr-FR"/>
        </w:rPr>
        <w:t>II.</w:t>
      </w:r>
      <w:r w:rsidRPr="003C30D9">
        <w:rPr>
          <w:lang w:val="fr-FR"/>
        </w:rPr>
        <w:tab/>
        <w:t>Projet d'amendements à la vingt-troisième édition révisée des Recommandations relatives au transport des marchandises dangereuses, Règlement type (ST/SG/AC.10/1/Rev.23)</w:t>
      </w:r>
    </w:p>
    <w:p w14:paraId="52F2E729"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1.2</w:t>
      </w:r>
    </w:p>
    <w:p w14:paraId="4B9AF293"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1.2.2.1</w:t>
      </w:r>
      <w:r w:rsidRPr="003C30D9">
        <w:rPr>
          <w:rFonts w:eastAsiaTheme="minorHAnsi"/>
          <w:lang w:val="fr-FR" w:eastAsia="en-US"/>
        </w:rPr>
        <w:tab/>
      </w:r>
      <w:r w:rsidRPr="003C30D9">
        <w:rPr>
          <w:rFonts w:eastAsiaTheme="minorHAnsi"/>
          <w:lang w:val="fr-FR" w:eastAsia="en-US"/>
        </w:rPr>
        <w:tab/>
        <w:t>Dans le tableau, dans la deuxième ligne pour « Masse », dans la colonne « Autre unité admise », après « (tonne) » ajouter « (tonne métrique) ».</w:t>
      </w:r>
    </w:p>
    <w:p w14:paraId="1258D3B6"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ST/SG/AC.10/C.3/2024/3 tel que modifié)</w:t>
      </w:r>
    </w:p>
    <w:p w14:paraId="74BEAC94" w14:textId="77777777" w:rsidR="002C43BE" w:rsidRPr="003C30D9" w:rsidRDefault="002C43BE" w:rsidP="002C43BE">
      <w:pPr>
        <w:pStyle w:val="H1G"/>
        <w:rPr>
          <w:lang w:val="fr-FR"/>
        </w:rPr>
      </w:pPr>
      <w:r w:rsidRPr="003C30D9">
        <w:rPr>
          <w:lang w:val="fr-FR"/>
        </w:rPr>
        <w:tab/>
      </w:r>
      <w:r w:rsidRPr="003C30D9">
        <w:rPr>
          <w:lang w:val="fr-FR"/>
        </w:rPr>
        <w:tab/>
        <w:t>Chapitre 2.0</w:t>
      </w:r>
    </w:p>
    <w:p w14:paraId="51EFA433" w14:textId="77777777" w:rsidR="002C43BE" w:rsidRPr="003C30D9" w:rsidRDefault="002C43BE" w:rsidP="002C43BE">
      <w:pPr>
        <w:pStyle w:val="SingleTxtG"/>
        <w:tabs>
          <w:tab w:val="clear" w:pos="1701"/>
          <w:tab w:val="clear" w:pos="2268"/>
          <w:tab w:val="clear" w:pos="2835"/>
        </w:tabs>
        <w:ind w:left="2268" w:hanging="1134"/>
        <w:rPr>
          <w:lang w:val="fr-FR"/>
        </w:rPr>
      </w:pPr>
      <w:r w:rsidRPr="003C30D9">
        <w:rPr>
          <w:lang w:val="fr-FR"/>
        </w:rPr>
        <w:t>2.0.4.3</w:t>
      </w:r>
      <w:r w:rsidRPr="003C30D9">
        <w:rPr>
          <w:lang w:val="fr-FR"/>
        </w:rPr>
        <w:tab/>
        <w:t>Ajouter un nouveau 2.0.4.3.2 et un nouveau 2.0.4.3.3 pour lire comme suit :</w:t>
      </w:r>
    </w:p>
    <w:p w14:paraId="717B0ADF" w14:textId="77777777" w:rsidR="002C43BE" w:rsidRPr="003C30D9" w:rsidRDefault="002C43BE" w:rsidP="002C43BE">
      <w:pPr>
        <w:pStyle w:val="SingleTxtG"/>
        <w:tabs>
          <w:tab w:val="clear" w:pos="1701"/>
          <w:tab w:val="clear" w:pos="2268"/>
          <w:tab w:val="clear" w:pos="2835"/>
        </w:tabs>
        <w:ind w:left="2268" w:hanging="1134"/>
        <w:rPr>
          <w:lang w:val="fr-FR"/>
        </w:rPr>
      </w:pPr>
      <w:r w:rsidRPr="003C30D9">
        <w:rPr>
          <w:lang w:val="fr-FR"/>
        </w:rPr>
        <w:t>« 2.0.4.3.2</w:t>
      </w:r>
      <w:r w:rsidRPr="003C30D9">
        <w:rPr>
          <w:lang w:val="fr-FR"/>
        </w:rPr>
        <w:tab/>
        <w:t xml:space="preserve">Les échantillons de matières organiques dont les groupes fonctionnels sont énumérés dans les tableaux A6.1 ou A6.3 de l’appendice 6 du </w:t>
      </w:r>
      <w:r w:rsidRPr="003C30D9">
        <w:rPr>
          <w:i/>
          <w:iCs/>
          <w:lang w:val="fr-FR"/>
        </w:rPr>
        <w:t>Manuel d’épreuves et de critères</w:t>
      </w:r>
      <w:r w:rsidRPr="003C30D9">
        <w:rPr>
          <w:lang w:val="fr-FR"/>
        </w:rPr>
        <w:t xml:space="preserve"> peuvent être affectés à l’un des numéros ONU appropriés pour les matières </w:t>
      </w:r>
      <w:proofErr w:type="spellStart"/>
      <w:r w:rsidRPr="003C30D9">
        <w:rPr>
          <w:lang w:val="fr-FR"/>
        </w:rPr>
        <w:t>autoréactives</w:t>
      </w:r>
      <w:proofErr w:type="spellEnd"/>
      <w:r w:rsidRPr="003C30D9">
        <w:rPr>
          <w:lang w:val="fr-FR"/>
        </w:rPr>
        <w:t xml:space="preserve"> du type C (No ONU 3223, 3224, 3233 ou 3234, selon le cas) de la Division 4.1 et transportés conformément aux dispositions du 2.4.2.3.2.4 b) pour le transport en quantités ne dépassant pas 200 g par emballage extérieur, à condition :</w:t>
      </w:r>
    </w:p>
    <w:p w14:paraId="185CFEC1" w14:textId="77777777" w:rsidR="002C43BE" w:rsidRPr="003C30D9" w:rsidRDefault="002C43BE" w:rsidP="002C43BE">
      <w:pPr>
        <w:pStyle w:val="SingleTxtG"/>
        <w:ind w:left="2835" w:hanging="567"/>
        <w:rPr>
          <w:lang w:val="fr-FR"/>
        </w:rPr>
      </w:pPr>
      <w:r w:rsidRPr="003C30D9">
        <w:rPr>
          <w:lang w:val="fr-FR"/>
        </w:rPr>
        <w:t>a)</w:t>
      </w:r>
      <w:r w:rsidRPr="003C30D9">
        <w:rPr>
          <w:lang w:val="fr-FR"/>
        </w:rPr>
        <w:tab/>
        <w:t>Qu’ils satisfassent aux critères des 2.0.4.3.1 a) à c) ; et</w:t>
      </w:r>
    </w:p>
    <w:p w14:paraId="42A601C3" w14:textId="77777777" w:rsidR="002C43BE" w:rsidRPr="003C30D9" w:rsidRDefault="002C43BE" w:rsidP="002C43BE">
      <w:pPr>
        <w:pStyle w:val="SingleTxtG"/>
        <w:ind w:left="2835" w:hanging="567"/>
        <w:rPr>
          <w:lang w:val="fr-FR"/>
        </w:rPr>
      </w:pPr>
      <w:r w:rsidRPr="003C30D9">
        <w:rPr>
          <w:lang w:val="fr-FR"/>
        </w:rPr>
        <w:t>b)</w:t>
      </w:r>
      <w:r w:rsidRPr="003C30D9">
        <w:rPr>
          <w:lang w:val="fr-FR"/>
        </w:rPr>
        <w:tab/>
        <w:t>Que leur énergie de décomposition soit :</w:t>
      </w:r>
    </w:p>
    <w:p w14:paraId="759E72E6" w14:textId="77777777" w:rsidR="002C43BE" w:rsidRPr="003C30D9" w:rsidRDefault="002C43BE" w:rsidP="0063263C">
      <w:pPr>
        <w:pStyle w:val="SingleTxtG"/>
        <w:ind w:left="2835"/>
        <w:rPr>
          <w:lang w:val="fr-FR"/>
        </w:rPr>
      </w:pPr>
      <w:r w:rsidRPr="003C30D9">
        <w:rPr>
          <w:lang w:val="fr-FR"/>
        </w:rPr>
        <w:t>i)</w:t>
      </w:r>
      <w:r w:rsidRPr="003C30D9">
        <w:rPr>
          <w:lang w:val="fr-FR"/>
        </w:rPr>
        <w:tab/>
        <w:t xml:space="preserve">Inférieure à 1 500 J/g pour les sels ou les complexes de composés organiques ; </w:t>
      </w:r>
    </w:p>
    <w:p w14:paraId="5AAAD252" w14:textId="77777777" w:rsidR="002C43BE" w:rsidRPr="003C30D9" w:rsidRDefault="002C43BE" w:rsidP="0063263C">
      <w:pPr>
        <w:pStyle w:val="SingleTxtG"/>
        <w:ind w:left="2835"/>
        <w:rPr>
          <w:lang w:val="fr-FR"/>
        </w:rPr>
      </w:pPr>
      <w:r w:rsidRPr="003C30D9">
        <w:rPr>
          <w:lang w:val="fr-FR"/>
        </w:rPr>
        <w:lastRenderedPageBreak/>
        <w:t>ii)</w:t>
      </w:r>
      <w:r w:rsidRPr="003C30D9">
        <w:rPr>
          <w:lang w:val="fr-FR"/>
        </w:rPr>
        <w:tab/>
        <w:t xml:space="preserve">Inférieure à 2 000 J/g pour les autres matières organiques ; </w:t>
      </w:r>
    </w:p>
    <w:p w14:paraId="66537BDD" w14:textId="77777777" w:rsidR="002C43BE" w:rsidRPr="003C30D9" w:rsidRDefault="002C43BE" w:rsidP="0063263C">
      <w:pPr>
        <w:pStyle w:val="SingleTxtG"/>
        <w:ind w:left="2835"/>
        <w:rPr>
          <w:lang w:val="fr-FR"/>
        </w:rPr>
      </w:pPr>
      <w:r w:rsidRPr="003C30D9">
        <w:rPr>
          <w:lang w:val="fr-FR"/>
        </w:rPr>
        <w:t>iii)</w:t>
      </w:r>
      <w:r w:rsidRPr="003C30D9">
        <w:rPr>
          <w:lang w:val="fr-FR"/>
        </w:rPr>
        <w:tab/>
        <w:t xml:space="preserve">Supérieure ou égale à 1 500 J/g pour les sels et complexes de composés organiques, dans les cas où le résultat de l’épreuve C.1 n’est pas « Oui, rapidement » et, dans n'importe quelle épreuve de la série F, le résultat de l’épreuve n'est pas « Réaction significative » ; </w:t>
      </w:r>
    </w:p>
    <w:p w14:paraId="2BC3B297" w14:textId="77777777" w:rsidR="002C43BE" w:rsidRPr="003C30D9" w:rsidRDefault="002C43BE" w:rsidP="0063263C">
      <w:pPr>
        <w:pStyle w:val="SingleTxtG"/>
        <w:ind w:left="2835"/>
        <w:rPr>
          <w:lang w:val="fr-FR"/>
        </w:rPr>
      </w:pPr>
      <w:r w:rsidRPr="003C30D9">
        <w:rPr>
          <w:lang w:val="fr-FR"/>
        </w:rPr>
        <w:t>iv)</w:t>
      </w:r>
      <w:r w:rsidRPr="003C30D9">
        <w:rPr>
          <w:lang w:val="fr-FR"/>
        </w:rPr>
        <w:tab/>
        <w:t xml:space="preserve">Supérieure ou égale à 2 000 J/g pour les autres matières organiques, dans les cas où le résultat de l’épreuve C.1 n’est pas « Oui, rapidement » et, dans n'importe quelle épreuve de la série F, le résultat de l’épreuve n'est pas « Réaction significative ». </w:t>
      </w:r>
    </w:p>
    <w:p w14:paraId="0DA71483" w14:textId="77777777" w:rsidR="002C43BE" w:rsidRPr="003C30D9" w:rsidRDefault="002C43BE" w:rsidP="002C43BE">
      <w:pPr>
        <w:pStyle w:val="SingleTxtG"/>
        <w:ind w:left="2268"/>
        <w:rPr>
          <w:lang w:val="fr-FR"/>
        </w:rPr>
      </w:pPr>
      <w:r w:rsidRPr="003C30D9">
        <w:rPr>
          <w:lang w:val="fr-FR"/>
        </w:rPr>
        <w:t xml:space="preserve">L’évaluation des conditions énoncées aux b) iii) et iv) peut reposer sur une seule épreuve C.1 et sur une seule épreuve de la série F. Si les critères énoncés au b) sont satisfaits, on peut supposer que l’échantillon n’est pas plus dangereux qu’une matière </w:t>
      </w:r>
      <w:proofErr w:type="spellStart"/>
      <w:r w:rsidRPr="003C30D9">
        <w:rPr>
          <w:lang w:val="fr-FR"/>
        </w:rPr>
        <w:t>autoréactive</w:t>
      </w:r>
      <w:proofErr w:type="spellEnd"/>
      <w:r w:rsidRPr="003C30D9">
        <w:rPr>
          <w:lang w:val="fr-FR"/>
        </w:rPr>
        <w:t xml:space="preserve"> du type B.</w:t>
      </w:r>
    </w:p>
    <w:p w14:paraId="5DCAAE45" w14:textId="77777777" w:rsidR="002C43BE" w:rsidRPr="003C30D9" w:rsidRDefault="002C43BE" w:rsidP="002C43BE">
      <w:pPr>
        <w:pStyle w:val="SingleTxtG"/>
        <w:ind w:left="2268"/>
        <w:rPr>
          <w:lang w:val="fr-FR"/>
        </w:rPr>
      </w:pPr>
      <w:r w:rsidRPr="003C30D9">
        <w:rPr>
          <w:lang w:val="fr-FR"/>
        </w:rPr>
        <w:t xml:space="preserve">La section 20.3.4 du </w:t>
      </w:r>
      <w:r w:rsidRPr="003C30D9">
        <w:rPr>
          <w:i/>
          <w:iCs/>
          <w:lang w:val="fr-FR"/>
        </w:rPr>
        <w:t>Manuel d’épreuves et de critères</w:t>
      </w:r>
      <w:r w:rsidRPr="003C30D9">
        <w:rPr>
          <w:lang w:val="fr-FR"/>
        </w:rPr>
        <w:t xml:space="preserve"> présente une méthode appropriée qui permet de déterminer s’il est nécessaire de réguler la température.</w:t>
      </w:r>
    </w:p>
    <w:p w14:paraId="438C6E40" w14:textId="77777777" w:rsidR="002C43BE" w:rsidRPr="003C30D9" w:rsidRDefault="002C43BE" w:rsidP="002C43BE">
      <w:pPr>
        <w:pStyle w:val="SingleTxtG"/>
        <w:tabs>
          <w:tab w:val="clear" w:pos="1701"/>
          <w:tab w:val="clear" w:pos="2268"/>
          <w:tab w:val="clear" w:pos="2835"/>
        </w:tabs>
        <w:ind w:left="2268"/>
        <w:rPr>
          <w:lang w:val="fr-FR"/>
        </w:rPr>
      </w:pPr>
      <w:r w:rsidRPr="003C30D9">
        <w:rPr>
          <w:lang w:val="fr-FR"/>
        </w:rPr>
        <w:t>Les échantillons qui ne satisfont pas aux critères énoncés au b) iii) ou iv) peuvent être transportés à la condition que l’autorité compétente du pays d’origine délivre un agrément. La déclaration d’agrément doit être fondée sur les renseignements disponibles et mentionner le classement et les conditions de transport applicables. L’échantillon peut également être dissous ou dilué avec un composé inerte pour former un mélange homogène conformément aux critères énoncés au b) i) ou ii), selon le cas. »</w:t>
      </w:r>
    </w:p>
    <w:p w14:paraId="4E073068" w14:textId="77777777" w:rsidR="001F59A1" w:rsidRDefault="002C43BE" w:rsidP="001F59A1">
      <w:pPr>
        <w:pStyle w:val="SingleTxtG"/>
        <w:ind w:left="2268" w:hanging="1134"/>
        <w:rPr>
          <w:lang w:val="fr-FR"/>
        </w:rPr>
      </w:pPr>
      <w:r w:rsidRPr="003C30D9">
        <w:rPr>
          <w:lang w:val="fr-FR"/>
        </w:rPr>
        <w:t>« 2.0.4.3.3</w:t>
      </w:r>
      <w:r w:rsidRPr="003C30D9">
        <w:rPr>
          <w:lang w:val="fr-FR"/>
        </w:rPr>
        <w:tab/>
        <w:t xml:space="preserve">Le </w:t>
      </w:r>
      <w:bookmarkStart w:id="0" w:name="_Hlk170893534"/>
      <w:r w:rsidRPr="003C30D9">
        <w:rPr>
          <w:lang w:val="fr-FR"/>
        </w:rPr>
        <w:t xml:space="preserve">classement des échantillons de matières énergétiques </w:t>
      </w:r>
      <w:bookmarkEnd w:id="0"/>
      <w:r w:rsidRPr="003C30D9">
        <w:rPr>
          <w:lang w:val="fr-FR"/>
        </w:rPr>
        <w:t>est représenté sous forme de diagramme logique à la figure 2.0.1.</w:t>
      </w:r>
    </w:p>
    <w:p w14:paraId="10357ADC" w14:textId="77777777" w:rsidR="001F59A1" w:rsidRDefault="001F59A1" w:rsidP="001F59A1">
      <w:pPr>
        <w:pStyle w:val="SingleTxtG"/>
        <w:ind w:left="2268" w:hanging="1134"/>
        <w:rPr>
          <w:lang w:val="fr-FR"/>
        </w:rPr>
      </w:pPr>
    </w:p>
    <w:p w14:paraId="0D172A52" w14:textId="04D8E77E" w:rsidR="002C43BE" w:rsidRPr="001F59A1" w:rsidRDefault="002C43BE" w:rsidP="001F59A1">
      <w:pPr>
        <w:pStyle w:val="SingleTxtG"/>
        <w:ind w:left="2268" w:hanging="1134"/>
        <w:rPr>
          <w:lang w:val="fr-FR"/>
        </w:rPr>
      </w:pPr>
      <w:r w:rsidRPr="003C30D9">
        <w:rPr>
          <w:b/>
          <w:bCs/>
          <w:lang w:val="fr-FR"/>
        </w:rPr>
        <w:br w:type="page"/>
      </w:r>
    </w:p>
    <w:p w14:paraId="4CBF3214" w14:textId="77777777" w:rsidR="002C43BE" w:rsidRPr="003C30D9" w:rsidRDefault="002C43BE" w:rsidP="002C43BE">
      <w:pPr>
        <w:pStyle w:val="SingleTxtG"/>
        <w:keepNext/>
        <w:tabs>
          <w:tab w:val="clear" w:pos="1701"/>
          <w:tab w:val="clear" w:pos="2268"/>
          <w:tab w:val="clear" w:pos="2835"/>
        </w:tabs>
        <w:jc w:val="center"/>
        <w:rPr>
          <w:b/>
          <w:bCs/>
          <w:lang w:val="fr-FR"/>
        </w:rPr>
      </w:pPr>
      <w:r w:rsidRPr="003C30D9">
        <w:rPr>
          <w:b/>
          <w:bCs/>
          <w:lang w:val="fr-FR"/>
        </w:rPr>
        <w:lastRenderedPageBreak/>
        <w:t>Figure 2.0.1: classement des échantillons de matières énergétiques</w:t>
      </w:r>
    </w:p>
    <w:p w14:paraId="5DF0FC23" w14:textId="77777777" w:rsidR="002C43BE" w:rsidRPr="003C30D9" w:rsidRDefault="002C43BE" w:rsidP="002C43BE">
      <w:pPr>
        <w:pStyle w:val="SingleTxtG"/>
        <w:rPr>
          <w:i/>
          <w:iCs/>
          <w:lang w:val="fr-FR"/>
        </w:rPr>
      </w:pPr>
      <w:r w:rsidRPr="003C30D9">
        <w:rPr>
          <w:i/>
          <w:iCs/>
          <w:lang w:val="fr-FR"/>
        </w:rPr>
        <w:t>Note du secrétariat : La figure 2.0.1 a été éditée par le secrétariat après l'adoption du rapport, en consultation avec les auteurs de la proposition originale.</w:t>
      </w:r>
    </w:p>
    <w:p w14:paraId="0105A083" w14:textId="77777777" w:rsidR="002C43BE" w:rsidRPr="003C30D9" w:rsidRDefault="002C43BE" w:rsidP="002C43BE">
      <w:pPr>
        <w:pStyle w:val="SingleTxtG"/>
        <w:keepNext/>
        <w:tabs>
          <w:tab w:val="clear" w:pos="1701"/>
          <w:tab w:val="clear" w:pos="2268"/>
          <w:tab w:val="clear" w:pos="2835"/>
        </w:tabs>
        <w:jc w:val="center"/>
        <w:rPr>
          <w:b/>
          <w:bCs/>
          <w:lang w:val="fr-FR"/>
        </w:rPr>
      </w:pPr>
    </w:p>
    <w:p w14:paraId="4FEB743E" w14:textId="77777777" w:rsidR="002C43BE" w:rsidRPr="003C30D9" w:rsidRDefault="002C43BE" w:rsidP="002C43BE">
      <w:pPr>
        <w:jc w:val="center"/>
        <w:rPr>
          <w:rFonts w:eastAsiaTheme="minorHAnsi"/>
          <w:b/>
          <w:sz w:val="24"/>
          <w:lang w:val="fr-FR" w:eastAsia="en-US"/>
        </w:rPr>
      </w:pPr>
      <w:r w:rsidRPr="003C30D9">
        <w:rPr>
          <w:rFonts w:eastAsiaTheme="minorHAnsi"/>
          <w:b/>
          <w:sz w:val="24"/>
          <w:lang w:val="fr-FR" w:eastAsia="en-US"/>
        </w:rPr>
        <w:object w:dxaOrig="8001" w:dyaOrig="11661" w14:anchorId="0A13F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65pt" o:ole="">
            <v:imagedata r:id="rId12" o:title=""/>
          </v:shape>
          <o:OLEObject Type="Embed" ProgID="Visio.Drawing.15" ShapeID="_x0000_i1025" DrawAspect="Content" ObjectID="_1783240688" r:id="rId13"/>
        </w:object>
      </w:r>
    </w:p>
    <w:p w14:paraId="16D74046" w14:textId="77777777" w:rsidR="002C43BE" w:rsidRPr="003C30D9" w:rsidRDefault="002C43BE" w:rsidP="002C43BE">
      <w:pPr>
        <w:rPr>
          <w:b/>
          <w:bCs/>
          <w:lang w:val="fr-FR"/>
        </w:rPr>
      </w:pPr>
      <w:r w:rsidRPr="003C30D9">
        <w:rPr>
          <w:b/>
          <w:bCs/>
          <w:lang w:val="fr-FR"/>
        </w:rPr>
        <w:br w:type="page"/>
      </w:r>
    </w:p>
    <w:p w14:paraId="5AC982E3" w14:textId="77777777" w:rsidR="002C43BE" w:rsidRPr="003C30D9" w:rsidRDefault="002C43BE" w:rsidP="002C43BE">
      <w:pPr>
        <w:pStyle w:val="SingleTxtG"/>
        <w:keepNext/>
        <w:tabs>
          <w:tab w:val="clear" w:pos="1701"/>
          <w:tab w:val="clear" w:pos="2268"/>
          <w:tab w:val="clear" w:pos="2835"/>
        </w:tabs>
        <w:ind w:left="2268" w:hanging="1134"/>
        <w:jc w:val="center"/>
        <w:rPr>
          <w:b/>
          <w:bCs/>
          <w:i/>
          <w:iCs/>
          <w:lang w:val="fr-FR"/>
        </w:rPr>
      </w:pPr>
      <w:r w:rsidRPr="003C30D9">
        <w:rPr>
          <w:b/>
          <w:bCs/>
          <w:lang w:val="fr-FR"/>
        </w:rPr>
        <w:lastRenderedPageBreak/>
        <w:t>Figure 2.0.1: classement des échantillons de matières énergétiques</w:t>
      </w:r>
      <w:r w:rsidRPr="003C30D9">
        <w:rPr>
          <w:b/>
          <w:bCs/>
          <w:i/>
          <w:iCs/>
          <w:lang w:val="fr-FR"/>
        </w:rPr>
        <w:t xml:space="preserve"> (suite)</w:t>
      </w:r>
    </w:p>
    <w:p w14:paraId="7FAF26E9" w14:textId="77777777" w:rsidR="002C43BE" w:rsidRPr="003C30D9" w:rsidRDefault="002C43BE" w:rsidP="002C43BE">
      <w:pPr>
        <w:pStyle w:val="SingleTxtG"/>
        <w:keepNext/>
        <w:tabs>
          <w:tab w:val="clear" w:pos="1701"/>
          <w:tab w:val="clear" w:pos="2268"/>
          <w:tab w:val="clear" w:pos="2835"/>
        </w:tabs>
        <w:ind w:left="1701" w:hanging="1559"/>
        <w:jc w:val="left"/>
        <w:rPr>
          <w:b/>
          <w:bCs/>
          <w:i/>
          <w:iCs/>
          <w:lang w:val="fr-FR"/>
        </w:rPr>
      </w:pPr>
      <w:r w:rsidRPr="003C30D9">
        <w:rPr>
          <w:b/>
          <w:bCs/>
          <w:i/>
          <w:iCs/>
          <w:lang w:val="fr-FR"/>
        </w:rPr>
        <w:object w:dxaOrig="12050" w:dyaOrig="15710" w14:anchorId="3B962C21">
          <v:shape id="_x0000_i1026" type="#_x0000_t75" style="width:506.65pt;height:663pt" o:ole="">
            <v:imagedata r:id="rId14" o:title=""/>
          </v:shape>
          <o:OLEObject Type="Embed" ProgID="Visio.Drawing.15" ShapeID="_x0000_i1026" DrawAspect="Content" ObjectID="_1783240689" r:id="rId15"/>
        </w:object>
      </w:r>
    </w:p>
    <w:p w14:paraId="7D74C0C9" w14:textId="77777777" w:rsidR="002C43BE" w:rsidRPr="003C30D9" w:rsidRDefault="002C43BE" w:rsidP="002C43BE">
      <w:pPr>
        <w:pStyle w:val="SingleTxtG"/>
        <w:rPr>
          <w:rFonts w:eastAsiaTheme="minorHAnsi"/>
          <w:b/>
          <w:sz w:val="24"/>
          <w:lang w:val="fr-FR" w:eastAsia="en-US"/>
        </w:rPr>
      </w:pPr>
      <w:r w:rsidRPr="003C30D9">
        <w:rPr>
          <w:i/>
          <w:iCs/>
          <w:lang w:val="fr-FR"/>
        </w:rPr>
        <w:t>(Document de référence : document informel INF.67, amendement 2, modifié sur le plan rédactionnel)</w:t>
      </w:r>
      <w:r w:rsidRPr="003C30D9">
        <w:rPr>
          <w:rFonts w:eastAsiaTheme="minorHAnsi"/>
          <w:b/>
          <w:sz w:val="24"/>
          <w:lang w:val="fr-FR" w:eastAsia="en-US"/>
        </w:rPr>
        <w:br w:type="page"/>
      </w:r>
    </w:p>
    <w:p w14:paraId="0314E0E0" w14:textId="77777777" w:rsidR="002C43BE" w:rsidRPr="003C30D9" w:rsidRDefault="002C43BE" w:rsidP="002C43BE">
      <w:pPr>
        <w:pStyle w:val="H1G"/>
        <w:rPr>
          <w:lang w:val="fr-FR"/>
        </w:rPr>
      </w:pPr>
      <w:r w:rsidRPr="003C30D9">
        <w:rPr>
          <w:lang w:val="fr-FR"/>
        </w:rPr>
        <w:lastRenderedPageBreak/>
        <w:tab/>
      </w:r>
      <w:r w:rsidRPr="003C30D9">
        <w:rPr>
          <w:lang w:val="fr-FR"/>
        </w:rPr>
        <w:tab/>
        <w:t>Chapitre 2.1</w:t>
      </w:r>
    </w:p>
    <w:p w14:paraId="53039C9C" w14:textId="77777777" w:rsidR="002C43BE" w:rsidRPr="003C30D9" w:rsidRDefault="002C43BE" w:rsidP="002C43BE">
      <w:pPr>
        <w:pStyle w:val="SingleTxtG"/>
        <w:tabs>
          <w:tab w:val="clear" w:pos="1701"/>
          <w:tab w:val="clear" w:pos="2268"/>
          <w:tab w:val="clear" w:pos="2835"/>
        </w:tabs>
        <w:ind w:left="2268" w:hanging="1134"/>
        <w:rPr>
          <w:lang w:val="fr-FR"/>
        </w:rPr>
      </w:pPr>
      <w:r w:rsidRPr="003C30D9">
        <w:rPr>
          <w:lang w:val="fr-FR"/>
        </w:rPr>
        <w:t>2.1.3.2.2</w:t>
      </w:r>
      <w:r w:rsidRPr="003C30D9">
        <w:rPr>
          <w:lang w:val="fr-FR"/>
        </w:rPr>
        <w:tab/>
        <w:t>Dans la première phrase, remplacer « sept » par « huit ».</w:t>
      </w:r>
    </w:p>
    <w:p w14:paraId="4C9BDF18" w14:textId="77777777" w:rsidR="002C43BE" w:rsidRPr="003C30D9" w:rsidRDefault="002C43BE" w:rsidP="002C43BE">
      <w:pPr>
        <w:pStyle w:val="SingleTxtG"/>
        <w:rPr>
          <w:i/>
          <w:iCs/>
          <w:lang w:val="fr-FR"/>
        </w:rPr>
      </w:pPr>
      <w:r w:rsidRPr="003C30D9">
        <w:rPr>
          <w:i/>
          <w:iCs/>
          <w:lang w:val="fr-FR"/>
        </w:rPr>
        <w:t>(Document de référence : document informel INF.67, amendement 6)</w:t>
      </w:r>
    </w:p>
    <w:p w14:paraId="12CA8512"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2.6</w:t>
      </w:r>
    </w:p>
    <w:p w14:paraId="7E5FC5D9" w14:textId="77777777" w:rsidR="002C43BE" w:rsidRPr="003C30D9" w:rsidRDefault="002C43BE" w:rsidP="002C43BE">
      <w:pPr>
        <w:pStyle w:val="SingleTxtG"/>
        <w:tabs>
          <w:tab w:val="clear" w:pos="1701"/>
        </w:tabs>
        <w:ind w:left="2268" w:hanging="1134"/>
        <w:rPr>
          <w:rFonts w:eastAsiaTheme="minorHAnsi"/>
          <w:lang w:val="fr-FR" w:eastAsia="en-US"/>
        </w:rPr>
      </w:pPr>
      <w:r w:rsidRPr="003C30D9">
        <w:rPr>
          <w:rFonts w:eastAsiaTheme="minorHAnsi"/>
          <w:lang w:val="fr-FR" w:eastAsia="en-US"/>
        </w:rPr>
        <w:t>[2.6.3.2.2</w:t>
      </w:r>
      <w:r w:rsidRPr="003C30D9">
        <w:rPr>
          <w:rFonts w:eastAsiaTheme="minorHAnsi"/>
          <w:lang w:val="fr-FR" w:eastAsia="en-US"/>
        </w:rPr>
        <w:tab/>
        <w:t>Remplacer « </w:t>
      </w:r>
      <w:r w:rsidRPr="003C30D9">
        <w:rPr>
          <w:lang w:val="fr-FR"/>
        </w:rPr>
        <w:t>catégories définies ci-après : » par « </w:t>
      </w:r>
      <w:r w:rsidRPr="003C30D9">
        <w:rPr>
          <w:rFonts w:eastAsiaTheme="minorHAnsi"/>
          <w:lang w:val="fr-FR" w:eastAsia="en-US"/>
        </w:rPr>
        <w:t>catégories A et B. ».]</w:t>
      </w:r>
    </w:p>
    <w:p w14:paraId="3B360C85"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INF.68/Rev.1)</w:t>
      </w:r>
    </w:p>
    <w:p w14:paraId="238B195E" w14:textId="77777777" w:rsidR="002C43BE" w:rsidRPr="003C30D9" w:rsidRDefault="002C43BE" w:rsidP="002C43BE">
      <w:pPr>
        <w:pStyle w:val="SingleTxtG"/>
        <w:tabs>
          <w:tab w:val="clear" w:pos="1701"/>
        </w:tabs>
        <w:rPr>
          <w:lang w:val="fr-FR"/>
        </w:rPr>
      </w:pPr>
      <w:r w:rsidRPr="003C30D9">
        <w:rPr>
          <w:lang w:val="fr-FR"/>
        </w:rPr>
        <w:t>[2.6.3.2.2.1</w:t>
      </w:r>
      <w:r w:rsidRPr="003C30D9">
        <w:rPr>
          <w:lang w:val="fr-FR"/>
        </w:rPr>
        <w:tab/>
        <w:t>Modifier le texte avant le tableau pour lire comme suit :</w:t>
      </w:r>
    </w:p>
    <w:p w14:paraId="2A58F6D4" w14:textId="77777777" w:rsidR="002C43BE" w:rsidRPr="003C30D9" w:rsidRDefault="002C43BE" w:rsidP="002C43BE">
      <w:pPr>
        <w:pStyle w:val="SingleTxtG"/>
        <w:rPr>
          <w:lang w:val="fr-FR"/>
        </w:rPr>
      </w:pPr>
      <w:r w:rsidRPr="003C30D9">
        <w:rPr>
          <w:lang w:val="fr-FR"/>
        </w:rPr>
        <w:t>« 2.6.3.2.2.1</w:t>
      </w:r>
      <w:r w:rsidRPr="003C30D9">
        <w:rPr>
          <w:lang w:val="fr-FR"/>
        </w:rPr>
        <w:tab/>
        <w:t xml:space="preserve">Catégorie A </w:t>
      </w:r>
    </w:p>
    <w:p w14:paraId="3201E807" w14:textId="77777777" w:rsidR="002C43BE" w:rsidRPr="003C30D9" w:rsidRDefault="002C43BE" w:rsidP="002C43BE">
      <w:pPr>
        <w:pStyle w:val="SingleTxtG"/>
        <w:tabs>
          <w:tab w:val="clear" w:pos="1701"/>
        </w:tabs>
        <w:rPr>
          <w:lang w:val="fr-FR"/>
        </w:rPr>
      </w:pPr>
      <w:r w:rsidRPr="003C30D9">
        <w:rPr>
          <w:lang w:val="fr-FR"/>
        </w:rPr>
        <w:tab/>
        <w:t>Une matière infectieuse qui, de la manière dont elle est transportée, peut, lorsqu’une exposition se produit, provoquer une invalidité permanente ou une maladie mortelle ou potentiellement mortelle chez l’homme ou l’animal, jusque-là en bonne santé, est affectée à la catégorie A. Des exemples de matières répondant à ces critères figurent dans le tableau accompagnant le présent paragraphe.</w:t>
      </w:r>
    </w:p>
    <w:p w14:paraId="0E2F1330" w14:textId="77777777" w:rsidR="002C43BE" w:rsidRPr="003C30D9" w:rsidRDefault="002C43BE" w:rsidP="002C43BE">
      <w:pPr>
        <w:pStyle w:val="SingleTxtG"/>
        <w:tabs>
          <w:tab w:val="clear" w:pos="1701"/>
        </w:tabs>
        <w:rPr>
          <w:lang w:val="fr-FR"/>
        </w:rPr>
      </w:pPr>
      <w:r w:rsidRPr="003C30D9">
        <w:rPr>
          <w:lang w:val="fr-FR"/>
        </w:rPr>
        <w:tab/>
        <w:t>Les matières infectieuses répondant à ces critères qui provoquent des maladies chez l’homme ou à la fois chez l’homme et chez l’animal sont affectées au No ONU 2814. Celles qui ne provoquent des maladies que chez l’animal sont affectées au No ONU 2900.</w:t>
      </w:r>
    </w:p>
    <w:p w14:paraId="3EFFC638" w14:textId="77777777" w:rsidR="002C43BE" w:rsidRPr="003C30D9" w:rsidRDefault="002C43BE" w:rsidP="002C43BE">
      <w:pPr>
        <w:pStyle w:val="SingleTxtG"/>
        <w:tabs>
          <w:tab w:val="clear" w:pos="1701"/>
        </w:tabs>
        <w:rPr>
          <w:lang w:val="fr-FR"/>
        </w:rPr>
      </w:pPr>
      <w:r w:rsidRPr="003C30D9">
        <w:rPr>
          <w:lang w:val="fr-FR"/>
        </w:rPr>
        <w:tab/>
        <w:t>L’affectation aux Nos ONU 2814 ou 2900 est fondée sur les antécédents médicaux et symptômes connus de l’être humain ou animal source, les conditions endémiques locales ou le jugement du spécialiste concernant l’état individuel de l’être humain ou animal source.</w:t>
      </w:r>
    </w:p>
    <w:p w14:paraId="75642B81" w14:textId="77777777" w:rsidR="002C43BE" w:rsidRPr="003C30D9" w:rsidRDefault="002C43BE" w:rsidP="002C43BE">
      <w:pPr>
        <w:pStyle w:val="SingleTxtG"/>
        <w:tabs>
          <w:tab w:val="clear" w:pos="1701"/>
        </w:tabs>
        <w:rPr>
          <w:lang w:val="fr-FR"/>
        </w:rPr>
      </w:pPr>
      <w:r w:rsidRPr="003C30D9">
        <w:rPr>
          <w:lang w:val="fr-FR"/>
        </w:rPr>
        <w:tab/>
        <w:t xml:space="preserve">Le tableau ci-après n’est pas exhaustif. Les matières infectieuses, y compris les agents pathogènes nouveaux ou émergents, qui n’y figurent pas mais répondent aux mêmes critères doivent être classées dans la catégorie A. En outre, une matière dont on ne peut déterminer si elle répond ou non aux critères doit être incluse dans la catégorie A. Pour faire face aux situations sanitaires émergentes, des informations plus récentes sur les catégories applicables peuvent être obtenues auprès des organisations </w:t>
      </w:r>
      <w:proofErr w:type="spellStart"/>
      <w:r w:rsidRPr="003C30D9">
        <w:rPr>
          <w:lang w:val="fr-FR"/>
        </w:rPr>
        <w:t>intergouvernementales</w:t>
      </w:r>
      <w:proofErr w:type="spellEnd"/>
      <w:r w:rsidRPr="003C30D9">
        <w:rPr>
          <w:lang w:val="fr-FR"/>
        </w:rPr>
        <w:t xml:space="preserve"> de santé humaine et animale et des autorités nationales.</w:t>
      </w:r>
    </w:p>
    <w:p w14:paraId="1EE5F9EA" w14:textId="77777777" w:rsidR="002C43BE" w:rsidRPr="003C30D9" w:rsidRDefault="002C43BE" w:rsidP="002C43BE">
      <w:pPr>
        <w:pStyle w:val="SingleTxtG"/>
        <w:tabs>
          <w:tab w:val="clear" w:pos="1701"/>
        </w:tabs>
        <w:rPr>
          <w:i/>
          <w:iCs/>
          <w:lang w:val="fr-FR"/>
        </w:rPr>
      </w:pPr>
      <w:r w:rsidRPr="003C30D9">
        <w:rPr>
          <w:b/>
          <w:bCs/>
          <w:i/>
          <w:iCs/>
          <w:lang w:val="fr-FR"/>
        </w:rPr>
        <w:t xml:space="preserve">NOTA 1 : </w:t>
      </w:r>
      <w:r w:rsidRPr="003C30D9">
        <w:rPr>
          <w:i/>
          <w:iCs/>
          <w:lang w:val="fr-FR"/>
        </w:rPr>
        <w:t>Une exposition a lieu lorsqu’une matière infectieuse s’échappe de l’emballage de protection et entre en contact avec un être humain ou un animal.</w:t>
      </w:r>
    </w:p>
    <w:p w14:paraId="77B137D5" w14:textId="77777777" w:rsidR="002C43BE" w:rsidRPr="003C30D9" w:rsidRDefault="002C43BE" w:rsidP="002C43BE">
      <w:pPr>
        <w:pStyle w:val="SingleTxtG"/>
        <w:rPr>
          <w:lang w:val="fr-FR"/>
        </w:rPr>
      </w:pPr>
      <w:r w:rsidRPr="003C30D9">
        <w:rPr>
          <w:lang w:val="fr-FR"/>
        </w:rPr>
        <w:tab/>
      </w:r>
      <w:r w:rsidRPr="003C30D9">
        <w:rPr>
          <w:b/>
          <w:bCs/>
          <w:i/>
          <w:iCs/>
          <w:lang w:val="fr-FR"/>
        </w:rPr>
        <w:t>2 :</w:t>
      </w:r>
      <w:r w:rsidRPr="003C30D9">
        <w:rPr>
          <w:lang w:val="fr-FR"/>
        </w:rPr>
        <w:t xml:space="preserve"> </w:t>
      </w:r>
      <w:r w:rsidRPr="003C30D9">
        <w:rPr>
          <w:i/>
          <w:iCs/>
          <w:lang w:val="fr-FR"/>
        </w:rPr>
        <w:t>La désignation officielle de transport pour le No ONU 2814 est « MATIÈRE INFECTIEUSE POUR L’HOMME ». La désignation officielle de transport pour le No ONU 2900 est « MATIÈRE INFECTIEUSE POUR LES ANIMAUX uniquement ».</w:t>
      </w:r>
      <w:r w:rsidRPr="003C30D9">
        <w:rPr>
          <w:lang w:val="fr-FR"/>
        </w:rPr>
        <w:t xml:space="preserve"> </w:t>
      </w:r>
    </w:p>
    <w:p w14:paraId="64B7DE90" w14:textId="77777777" w:rsidR="002C43BE" w:rsidRPr="003C30D9" w:rsidRDefault="002C43BE" w:rsidP="002C43BE">
      <w:pPr>
        <w:pStyle w:val="SingleTxtG"/>
        <w:tabs>
          <w:tab w:val="clear" w:pos="2268"/>
        </w:tabs>
        <w:rPr>
          <w:lang w:val="fr-FR"/>
        </w:rPr>
      </w:pPr>
      <w:r w:rsidRPr="003C30D9">
        <w:rPr>
          <w:lang w:val="fr-FR"/>
        </w:rPr>
        <w:tab/>
      </w:r>
      <w:r w:rsidRPr="003C30D9">
        <w:rPr>
          <w:b/>
          <w:bCs/>
          <w:i/>
          <w:iCs/>
          <w:lang w:val="fr-FR"/>
        </w:rPr>
        <w:t xml:space="preserve">3 : </w:t>
      </w:r>
      <w:r w:rsidRPr="003C30D9">
        <w:rPr>
          <w:i/>
          <w:iCs/>
          <w:lang w:val="fr-FR"/>
        </w:rPr>
        <w:t>Dans le tableau ci-après, les micro-organismes mentionnés en italiques sont des bactéries ou des champignons.</w:t>
      </w:r>
      <w:r w:rsidRPr="003C30D9">
        <w:rPr>
          <w:lang w:val="fr-FR"/>
        </w:rPr>
        <w:t> »</w:t>
      </w:r>
    </w:p>
    <w:p w14:paraId="7CE221A3" w14:textId="77777777" w:rsidR="002C43BE" w:rsidRPr="003C30D9" w:rsidRDefault="002C43BE" w:rsidP="002C43BE">
      <w:pPr>
        <w:pStyle w:val="SingleTxtG"/>
        <w:tabs>
          <w:tab w:val="clear" w:pos="1701"/>
        </w:tabs>
        <w:rPr>
          <w:lang w:val="fr-FR"/>
        </w:rPr>
      </w:pPr>
      <w:r w:rsidRPr="003C30D9">
        <w:rPr>
          <w:lang w:val="fr-FR"/>
        </w:rPr>
        <w:tab/>
        <w:t>Dans le titre du tableau, supprimer « (2.6.3.2.2.1 a)) ».]</w:t>
      </w:r>
    </w:p>
    <w:p w14:paraId="0A315691" w14:textId="77777777" w:rsidR="002C43BE" w:rsidRPr="003C30D9" w:rsidRDefault="002C43BE" w:rsidP="002C43BE">
      <w:pPr>
        <w:pStyle w:val="SingleTxtG"/>
        <w:tabs>
          <w:tab w:val="clear" w:pos="1701"/>
        </w:tabs>
        <w:rPr>
          <w:i/>
          <w:iCs/>
          <w:lang w:val="fr-FR"/>
        </w:rPr>
      </w:pPr>
      <w:r w:rsidRPr="003C30D9">
        <w:rPr>
          <w:i/>
          <w:iCs/>
          <w:lang w:val="fr-FR"/>
        </w:rPr>
        <w:t>(Documents de référence : documents informels INF.58/Rev.1 et INF.68/Rev.1)</w:t>
      </w:r>
    </w:p>
    <w:p w14:paraId="21D29EF7" w14:textId="77777777" w:rsidR="002C43BE" w:rsidRPr="003C30D9" w:rsidRDefault="002C43BE" w:rsidP="002C43BE">
      <w:pPr>
        <w:pStyle w:val="SingleTxtG"/>
        <w:rPr>
          <w:rFonts w:eastAsiaTheme="minorHAnsi"/>
          <w:i/>
          <w:iCs/>
          <w:lang w:val="fr-FR" w:eastAsia="en-US"/>
        </w:rPr>
      </w:pPr>
      <w:r w:rsidRPr="003C30D9">
        <w:rPr>
          <w:rFonts w:eastAsiaTheme="minorHAnsi"/>
          <w:i/>
          <w:iCs/>
          <w:lang w:val="fr-FR" w:eastAsia="en-US"/>
        </w:rPr>
        <w:t>(</w:t>
      </w:r>
      <w:r w:rsidRPr="003C30D9">
        <w:rPr>
          <w:rFonts w:eastAsiaTheme="minorHAnsi"/>
          <w:b/>
          <w:bCs/>
          <w:i/>
          <w:iCs/>
          <w:lang w:val="fr-FR" w:eastAsia="en-US"/>
        </w:rPr>
        <w:t>Nota:</w:t>
      </w:r>
      <w:r w:rsidRPr="003C30D9">
        <w:rPr>
          <w:rFonts w:eastAsiaTheme="minorHAnsi"/>
          <w:i/>
          <w:iCs/>
          <w:lang w:val="fr-FR" w:eastAsia="en-US"/>
        </w:rPr>
        <w:t xml:space="preserve"> Les crochets ne s'appliquent qu'aux amendements rédactionnels du document informel INF.68/Rev.1. Ils ne s'appliquent pas aux amendements venant du document informel INF.58/Rev.1.)</w:t>
      </w:r>
    </w:p>
    <w:p w14:paraId="28293C9A" w14:textId="77777777" w:rsidR="002C43BE" w:rsidRPr="003C30D9" w:rsidRDefault="002C43BE" w:rsidP="002C43BE">
      <w:pPr>
        <w:pStyle w:val="SingleTxtG"/>
        <w:tabs>
          <w:tab w:val="clear" w:pos="1701"/>
        </w:tabs>
        <w:rPr>
          <w:lang w:val="fr-FR"/>
        </w:rPr>
      </w:pPr>
      <w:r w:rsidRPr="003C30D9">
        <w:rPr>
          <w:lang w:val="fr-FR"/>
        </w:rPr>
        <w:t>[2.6.3.2.2.2</w:t>
      </w:r>
      <w:r w:rsidRPr="003C30D9">
        <w:rPr>
          <w:lang w:val="fr-FR"/>
        </w:rPr>
        <w:tab/>
        <w:t>Modifier le texte avant le Nota pour lire comme suit :</w:t>
      </w:r>
    </w:p>
    <w:p w14:paraId="5106B5BD" w14:textId="77777777" w:rsidR="002C43BE" w:rsidRPr="003C30D9" w:rsidRDefault="002C43BE" w:rsidP="002C43BE">
      <w:pPr>
        <w:pStyle w:val="SingleTxtG"/>
        <w:tabs>
          <w:tab w:val="clear" w:pos="1701"/>
        </w:tabs>
        <w:rPr>
          <w:lang w:val="fr-FR"/>
        </w:rPr>
      </w:pPr>
      <w:r w:rsidRPr="003C30D9">
        <w:rPr>
          <w:lang w:val="fr-FR"/>
        </w:rPr>
        <w:t>« 2.6.3.2.2.2</w:t>
      </w:r>
      <w:r w:rsidRPr="003C30D9">
        <w:rPr>
          <w:lang w:val="fr-FR"/>
        </w:rPr>
        <w:tab/>
        <w:t>Catégorie B</w:t>
      </w:r>
    </w:p>
    <w:p w14:paraId="0976ECAE" w14:textId="77777777" w:rsidR="002C43BE" w:rsidRPr="003C30D9" w:rsidRDefault="002C43BE" w:rsidP="002C43BE">
      <w:pPr>
        <w:pStyle w:val="SingleTxtG"/>
        <w:tabs>
          <w:tab w:val="clear" w:pos="1701"/>
        </w:tabs>
        <w:rPr>
          <w:lang w:val="fr-FR"/>
        </w:rPr>
      </w:pPr>
      <w:r w:rsidRPr="003C30D9">
        <w:rPr>
          <w:lang w:val="fr-FR"/>
        </w:rPr>
        <w:tab/>
        <w:t>Une matière infectieuse qui ne répond pas aux critères de classification dans la catégorie A est affectée à la catégorie B. Les matières infectieuses de la catégorie B doivent être affectées au No ONU 3373. »]</w:t>
      </w:r>
    </w:p>
    <w:p w14:paraId="32627A98"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INF.68/Rev.1)</w:t>
      </w:r>
    </w:p>
    <w:p w14:paraId="0705F995"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lastRenderedPageBreak/>
        <w:tab/>
      </w:r>
      <w:r w:rsidRPr="003C30D9">
        <w:rPr>
          <w:rFonts w:eastAsiaTheme="minorHAnsi"/>
          <w:b/>
          <w:sz w:val="24"/>
          <w:lang w:val="fr-FR" w:eastAsia="en-US"/>
        </w:rPr>
        <w:tab/>
        <w:t>Chapitre 2.9</w:t>
      </w:r>
    </w:p>
    <w:p w14:paraId="0B446CE0" w14:textId="77777777" w:rsidR="002C43BE" w:rsidRPr="003C30D9" w:rsidRDefault="002C43BE" w:rsidP="002C43BE">
      <w:pPr>
        <w:pStyle w:val="SingleTxtG"/>
        <w:tabs>
          <w:tab w:val="clear" w:pos="1701"/>
        </w:tabs>
        <w:ind w:left="2268" w:hanging="1134"/>
        <w:rPr>
          <w:rFonts w:eastAsiaTheme="minorHAnsi"/>
          <w:lang w:val="fr-FR" w:eastAsia="en-US"/>
        </w:rPr>
      </w:pPr>
      <w:r w:rsidRPr="003C30D9">
        <w:rPr>
          <w:rFonts w:eastAsiaTheme="minorHAnsi"/>
          <w:lang w:val="fr-FR" w:eastAsia="en-US"/>
        </w:rPr>
        <w:t>2.9.2</w:t>
      </w:r>
      <w:r w:rsidRPr="003C30D9">
        <w:rPr>
          <w:rFonts w:eastAsiaTheme="minorHAnsi"/>
          <w:lang w:val="fr-FR" w:eastAsia="en-US"/>
        </w:rPr>
        <w:tab/>
        <w:t>Sous « Accumulateurs au sodium ionique », après la ligne pour 3552, ajouter la nouvelle ligne suivante :</w:t>
      </w:r>
    </w:p>
    <w:p w14:paraId="5B117323" w14:textId="77777777" w:rsidR="002C43BE" w:rsidRPr="003C30D9" w:rsidRDefault="002C43BE" w:rsidP="002C43BE">
      <w:pPr>
        <w:pStyle w:val="SingleTxtG"/>
        <w:tabs>
          <w:tab w:val="clear" w:pos="1701"/>
        </w:tabs>
        <w:ind w:left="2268" w:hanging="1134"/>
        <w:rPr>
          <w:lang w:val="fr-FR"/>
        </w:rPr>
      </w:pPr>
      <w:r w:rsidRPr="003C30D9">
        <w:rPr>
          <w:rFonts w:eastAsiaTheme="minorHAnsi"/>
          <w:lang w:val="fr-FR" w:eastAsia="en-US"/>
        </w:rPr>
        <w:t>« 3536</w:t>
      </w:r>
      <w:r w:rsidRPr="003C30D9">
        <w:rPr>
          <w:rFonts w:eastAsiaTheme="minorHAnsi"/>
          <w:lang w:val="fr-FR" w:eastAsia="en-US"/>
        </w:rPr>
        <w:tab/>
      </w:r>
      <w:r w:rsidRPr="003C30D9">
        <w:rPr>
          <w:lang w:val="fr-FR"/>
        </w:rPr>
        <w:t>ACCUMULATEURS AU SODIUM IONIQUE INSTALLÉS DANS DES ENGINS DE TRANSPORT »</w:t>
      </w:r>
    </w:p>
    <w:p w14:paraId="477AF489"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INF.66, tel que modifié)</w:t>
      </w:r>
    </w:p>
    <w:p w14:paraId="5303F80C"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3.2, Liste des marchandises dangereuses</w:t>
      </w:r>
    </w:p>
    <w:p w14:paraId="5A4FBAC0" w14:textId="77777777" w:rsidR="002C43BE" w:rsidRPr="003C30D9" w:rsidRDefault="002C43BE" w:rsidP="002C43BE">
      <w:pPr>
        <w:pStyle w:val="SingleTxtG"/>
        <w:rPr>
          <w:lang w:val="fr-FR"/>
        </w:rPr>
      </w:pPr>
      <w:r w:rsidRPr="003C30D9">
        <w:rPr>
          <w:lang w:val="fr-FR"/>
        </w:rPr>
        <w:t>Pour les Nos ONU 0012 et 0014, dans la colonne (9), ajouter « PP98 » au regard de P130.</w:t>
      </w:r>
    </w:p>
    <w:p w14:paraId="3FBC4226" w14:textId="77777777" w:rsidR="002C43BE" w:rsidRPr="003C30D9" w:rsidRDefault="002C43BE" w:rsidP="002C43BE">
      <w:pPr>
        <w:pStyle w:val="SingleTxtG"/>
        <w:rPr>
          <w:i/>
          <w:iCs/>
          <w:lang w:val="fr-FR"/>
        </w:rPr>
      </w:pPr>
      <w:r w:rsidRPr="003C30D9">
        <w:rPr>
          <w:i/>
          <w:iCs/>
          <w:lang w:val="fr-FR"/>
        </w:rPr>
        <w:t>(Document de référence : document informel INF.67, amendement 4, amendement de conséquence)</w:t>
      </w:r>
    </w:p>
    <w:p w14:paraId="344282F3" w14:textId="77777777" w:rsidR="002C43BE" w:rsidRPr="003C30D9" w:rsidRDefault="002C43BE" w:rsidP="002C43BE">
      <w:pPr>
        <w:pStyle w:val="SingleTxtG"/>
        <w:rPr>
          <w:lang w:val="fr-FR"/>
        </w:rPr>
      </w:pPr>
      <w:r w:rsidRPr="003C30D9">
        <w:rPr>
          <w:rFonts w:eastAsiaTheme="minorHAnsi"/>
          <w:lang w:val="fr-FR" w:eastAsia="en-US"/>
        </w:rPr>
        <w:t xml:space="preserve">Pour les Nos ONU </w:t>
      </w:r>
      <w:r w:rsidRPr="003C30D9">
        <w:rPr>
          <w:lang w:val="fr-FR"/>
        </w:rPr>
        <w:t xml:space="preserve">1075 et 1965, </w:t>
      </w:r>
      <w:r w:rsidRPr="003C30D9">
        <w:rPr>
          <w:rFonts w:eastAsiaTheme="minorHAnsi"/>
          <w:lang w:val="fr-FR" w:eastAsia="en-US"/>
        </w:rPr>
        <w:t>dans la colonne (6), ajouter « 412 ».</w:t>
      </w:r>
    </w:p>
    <w:p w14:paraId="76A66144"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INF.61, proposition 2 telle que modifiée)</w:t>
      </w:r>
    </w:p>
    <w:p w14:paraId="67EE685C" w14:textId="77777777" w:rsidR="002C43BE" w:rsidRPr="003C30D9" w:rsidRDefault="002C43BE" w:rsidP="002C43BE">
      <w:pPr>
        <w:pStyle w:val="SingleTxtG"/>
        <w:rPr>
          <w:rStyle w:val="jlqj4b"/>
          <w:lang w:val="fr-FR"/>
        </w:rPr>
      </w:pPr>
      <w:r w:rsidRPr="003C30D9">
        <w:rPr>
          <w:lang w:val="fr-FR"/>
        </w:rPr>
        <w:t xml:space="preserve">Pour le </w:t>
      </w:r>
      <w:r w:rsidRPr="003C30D9">
        <w:rPr>
          <w:rFonts w:eastAsiaTheme="minorHAnsi"/>
          <w:lang w:val="fr-FR" w:eastAsia="en-US"/>
        </w:rPr>
        <w:t xml:space="preserve">No </w:t>
      </w:r>
      <w:r w:rsidRPr="003C30D9">
        <w:rPr>
          <w:lang w:val="fr-FR"/>
        </w:rPr>
        <w:t xml:space="preserve">ONU 2735, groupe d’emballage II, </w:t>
      </w:r>
      <w:r w:rsidRPr="003C30D9">
        <w:rPr>
          <w:rFonts w:eastAsiaTheme="minorHAnsi"/>
          <w:lang w:val="fr-FR" w:eastAsia="en-US"/>
        </w:rPr>
        <w:t>dans la colonne (11), remplacer « </w:t>
      </w:r>
      <w:r w:rsidRPr="003C30D9">
        <w:rPr>
          <w:lang w:val="fr-FR"/>
        </w:rPr>
        <w:t>TP1 » par « TP2 ».</w:t>
      </w:r>
    </w:p>
    <w:p w14:paraId="40267899" w14:textId="77777777" w:rsidR="002C43BE" w:rsidRPr="003C30D9" w:rsidRDefault="002C43BE" w:rsidP="002C43BE">
      <w:pPr>
        <w:pStyle w:val="SingleTxtG"/>
        <w:tabs>
          <w:tab w:val="clear" w:pos="1701"/>
        </w:tabs>
        <w:rPr>
          <w:rStyle w:val="ui-provider"/>
          <w:rFonts w:eastAsiaTheme="minorHAnsi"/>
          <w:i/>
          <w:iCs/>
          <w:lang w:val="fr-FR"/>
        </w:rPr>
      </w:pPr>
      <w:r w:rsidRPr="003C30D9">
        <w:rPr>
          <w:rStyle w:val="ui-provider"/>
          <w:rFonts w:eastAsiaTheme="minorHAnsi"/>
          <w:i/>
          <w:iCs/>
          <w:lang w:val="fr-FR"/>
        </w:rPr>
        <w:t>(Document de référence : ST/SG/AC.10/C.3/2024/14)</w:t>
      </w:r>
    </w:p>
    <w:p w14:paraId="1EED63FE" w14:textId="77777777" w:rsidR="002C43BE" w:rsidRPr="003C30D9" w:rsidRDefault="002C43BE" w:rsidP="002C43BE">
      <w:pPr>
        <w:pStyle w:val="SingleTxtG"/>
        <w:rPr>
          <w:rFonts w:eastAsiaTheme="minorHAnsi"/>
          <w:lang w:val="fr-FR" w:eastAsia="en-US"/>
        </w:rPr>
      </w:pPr>
      <w:r w:rsidRPr="003C30D9">
        <w:rPr>
          <w:rFonts w:eastAsiaTheme="minorHAnsi"/>
          <w:lang w:val="fr-FR" w:eastAsia="en-US"/>
        </w:rPr>
        <w:t>Pour les Nos ONU 2857 et 3358, dans la colonne (2), après « MACHINES FRIGORIFIQUES » ajouter « ou DISPOSITIFS DE CHAUFFAGE ».</w:t>
      </w:r>
    </w:p>
    <w:p w14:paraId="1421DC05"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INF.63)</w:t>
      </w:r>
    </w:p>
    <w:p w14:paraId="72027000" w14:textId="77777777" w:rsidR="002C43BE" w:rsidRPr="003C30D9" w:rsidRDefault="002C43BE" w:rsidP="002C43BE">
      <w:pPr>
        <w:pStyle w:val="SingleTxtG"/>
        <w:rPr>
          <w:lang w:val="fr-FR"/>
        </w:rPr>
      </w:pPr>
      <w:r w:rsidRPr="003C30D9">
        <w:rPr>
          <w:rFonts w:eastAsiaTheme="minorHAnsi"/>
          <w:lang w:val="fr-FR" w:eastAsia="en-US"/>
        </w:rPr>
        <w:t xml:space="preserve">Pour le No ONU </w:t>
      </w:r>
      <w:r w:rsidRPr="003C30D9">
        <w:rPr>
          <w:lang w:val="fr-FR"/>
        </w:rPr>
        <w:t xml:space="preserve">2956, </w:t>
      </w:r>
      <w:r w:rsidRPr="003C30D9">
        <w:rPr>
          <w:rFonts w:eastAsiaTheme="minorHAnsi"/>
          <w:lang w:val="fr-FR" w:eastAsia="en-US"/>
        </w:rPr>
        <w:t>dans la colonne (7a), remplacer « 5 kg » par « 0 ».</w:t>
      </w:r>
    </w:p>
    <w:p w14:paraId="628F9514" w14:textId="77777777" w:rsidR="002C43BE" w:rsidRPr="003C30D9" w:rsidRDefault="002C43BE" w:rsidP="002C43BE">
      <w:pPr>
        <w:pStyle w:val="SingleTxtG"/>
        <w:tabs>
          <w:tab w:val="clear" w:pos="1701"/>
        </w:tabs>
        <w:rPr>
          <w:rStyle w:val="ui-provider"/>
          <w:rFonts w:eastAsiaTheme="minorHAnsi"/>
          <w:i/>
          <w:iCs/>
          <w:lang w:val="fr-FR"/>
        </w:rPr>
      </w:pPr>
      <w:r w:rsidRPr="003C30D9">
        <w:rPr>
          <w:rStyle w:val="ui-provider"/>
          <w:rFonts w:eastAsiaTheme="minorHAnsi"/>
          <w:i/>
          <w:iCs/>
          <w:lang w:val="fr-FR"/>
        </w:rPr>
        <w:t>(Document de référence : ST/SG/AC.10/C.3/2024/22)</w:t>
      </w:r>
    </w:p>
    <w:p w14:paraId="3956FB74" w14:textId="77777777" w:rsidR="002C43BE" w:rsidRPr="003C30D9" w:rsidRDefault="002C43BE" w:rsidP="002C43BE">
      <w:pPr>
        <w:pStyle w:val="SingleTxtG"/>
        <w:rPr>
          <w:rFonts w:eastAsiaTheme="minorHAnsi"/>
          <w:lang w:val="fr-FR" w:eastAsia="en-US"/>
        </w:rPr>
      </w:pPr>
      <w:r w:rsidRPr="003C30D9">
        <w:rPr>
          <w:rFonts w:eastAsiaTheme="minorHAnsi"/>
          <w:lang w:val="fr-FR" w:eastAsia="en-US"/>
        </w:rPr>
        <w:t>Pour le No ONU 3536, modifier la désignation dans la colonne (2) pour lire « </w:t>
      </w:r>
      <w:r w:rsidRPr="003C30D9">
        <w:rPr>
          <w:lang w:val="fr-FR"/>
        </w:rPr>
        <w:t>BATTERIES AU LITHIUM INSTALLÉES DANS DES ENGINS DE TRANSPORT ou ACCUMULATEURS AU SODIUM IONIQUE INSTALLÉS DANS DES ENGINS DE TRANSPORT, batteries au lithium ionique, batteries au lithium métal ou accumulateurs au sodium ionique ».</w:t>
      </w:r>
    </w:p>
    <w:p w14:paraId="58F96D27"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INF.66, tel que modifié)</w:t>
      </w:r>
    </w:p>
    <w:p w14:paraId="73DD4D1A" w14:textId="77777777" w:rsidR="002C43BE" w:rsidRPr="003C30D9" w:rsidRDefault="002C43BE" w:rsidP="002C43BE">
      <w:pPr>
        <w:pStyle w:val="SingleTxtG"/>
        <w:rPr>
          <w:lang w:val="fr-FR"/>
        </w:rPr>
      </w:pPr>
      <w:r w:rsidRPr="003C30D9">
        <w:rPr>
          <w:rFonts w:eastAsiaTheme="minorHAnsi"/>
          <w:lang w:val="fr-FR" w:eastAsia="en-US"/>
        </w:rPr>
        <w:t xml:space="preserve">Pour le No ONU </w:t>
      </w:r>
      <w:r w:rsidRPr="003C30D9">
        <w:rPr>
          <w:lang w:val="fr-FR"/>
        </w:rPr>
        <w:t xml:space="preserve">3538, </w:t>
      </w:r>
      <w:r w:rsidRPr="003C30D9">
        <w:rPr>
          <w:rFonts w:eastAsiaTheme="minorHAnsi"/>
          <w:lang w:val="fr-FR" w:eastAsia="en-US"/>
        </w:rPr>
        <w:t>dans la colonne (6), ajouter « 411 ».</w:t>
      </w:r>
    </w:p>
    <w:p w14:paraId="0BE3D9C8" w14:textId="77777777" w:rsidR="002C43BE" w:rsidRPr="003C30D9" w:rsidRDefault="002C43BE" w:rsidP="002C43BE">
      <w:pPr>
        <w:pStyle w:val="SingleTxtG"/>
        <w:tabs>
          <w:tab w:val="clear" w:pos="1701"/>
        </w:tabs>
        <w:rPr>
          <w:i/>
          <w:iCs/>
          <w:lang w:val="fr-FR"/>
        </w:rPr>
      </w:pPr>
      <w:r w:rsidRPr="003C30D9">
        <w:rPr>
          <w:i/>
          <w:iCs/>
          <w:lang w:val="fr-FR"/>
        </w:rPr>
        <w:t>(Document de référence : ST/SG/AC.10/C.3/2024/32)</w:t>
      </w:r>
    </w:p>
    <w:p w14:paraId="3F268088" w14:textId="77777777" w:rsidR="002C43BE" w:rsidRPr="003C30D9" w:rsidRDefault="002C43BE" w:rsidP="002C43BE">
      <w:pPr>
        <w:tabs>
          <w:tab w:val="left" w:pos="1701"/>
          <w:tab w:val="left" w:pos="2268"/>
          <w:tab w:val="left" w:pos="2835"/>
        </w:tabs>
        <w:spacing w:after="120"/>
        <w:ind w:left="1134" w:right="1134"/>
        <w:jc w:val="both"/>
        <w:rPr>
          <w:rFonts w:eastAsiaTheme="minorHAnsi"/>
          <w:iCs/>
          <w:lang w:val="fr-FR" w:eastAsia="en-US"/>
        </w:rPr>
      </w:pPr>
      <w:r w:rsidRPr="003C30D9">
        <w:rPr>
          <w:rFonts w:eastAsiaTheme="minorHAnsi"/>
          <w:iCs/>
          <w:lang w:val="fr-FR" w:eastAsia="en-US"/>
        </w:rPr>
        <w:t>Ajouter la nouvelle rubrique suivante :</w:t>
      </w:r>
    </w:p>
    <w:tbl>
      <w:tblPr>
        <w:tblW w:w="8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221"/>
        <w:gridCol w:w="590"/>
        <w:gridCol w:w="411"/>
        <w:gridCol w:w="331"/>
        <w:gridCol w:w="534"/>
        <w:gridCol w:w="328"/>
        <w:gridCol w:w="287"/>
        <w:gridCol w:w="773"/>
        <w:gridCol w:w="673"/>
        <w:gridCol w:w="949"/>
        <w:gridCol w:w="1245"/>
      </w:tblGrid>
      <w:tr w:rsidR="002C43BE" w:rsidRPr="003C30D9" w14:paraId="649C5A4D" w14:textId="77777777" w:rsidTr="001F3651">
        <w:trPr>
          <w:cantSplit/>
          <w:tblHeader/>
          <w:jc w:val="center"/>
        </w:trPr>
        <w:tc>
          <w:tcPr>
            <w:tcW w:w="316" w:type="pct"/>
          </w:tcPr>
          <w:p w14:paraId="431DC80F" w14:textId="77777777" w:rsidR="002C43BE" w:rsidRPr="003C30D9" w:rsidRDefault="002C43BE" w:rsidP="001F3651">
            <w:pPr>
              <w:widowControl w:val="0"/>
              <w:spacing w:before="60" w:after="60" w:line="240" w:lineRule="auto"/>
              <w:jc w:val="center"/>
              <w:rPr>
                <w:rFonts w:eastAsiaTheme="minorHAnsi"/>
                <w:sz w:val="18"/>
                <w:szCs w:val="18"/>
                <w:lang w:val="fr-FR" w:eastAsia="en-US"/>
              </w:rPr>
            </w:pPr>
            <w:r w:rsidRPr="003C30D9">
              <w:rPr>
                <w:rFonts w:eastAsiaTheme="minorHAnsi"/>
                <w:b/>
                <w:bCs/>
                <w:sz w:val="16"/>
                <w:szCs w:val="16"/>
                <w:lang w:val="fr-FR" w:eastAsia="en-US"/>
              </w:rPr>
              <w:t>(1)</w:t>
            </w:r>
          </w:p>
        </w:tc>
        <w:tc>
          <w:tcPr>
            <w:tcW w:w="1247" w:type="pct"/>
            <w:vAlign w:val="bottom"/>
          </w:tcPr>
          <w:p w14:paraId="6890BB71" w14:textId="77777777" w:rsidR="002C43BE" w:rsidRPr="003C30D9" w:rsidRDefault="002C43BE" w:rsidP="001F3651">
            <w:pPr>
              <w:widowControl w:val="0"/>
              <w:spacing w:before="60" w:after="60" w:line="240" w:lineRule="auto"/>
              <w:ind w:left="6" w:right="6"/>
              <w:jc w:val="center"/>
              <w:rPr>
                <w:rFonts w:eastAsiaTheme="minorHAnsi"/>
                <w:sz w:val="18"/>
                <w:szCs w:val="18"/>
                <w:lang w:val="fr-FR" w:eastAsia="en-US"/>
              </w:rPr>
            </w:pPr>
            <w:r w:rsidRPr="003C30D9">
              <w:rPr>
                <w:rFonts w:eastAsiaTheme="minorHAnsi"/>
                <w:b/>
                <w:bCs/>
                <w:sz w:val="16"/>
                <w:szCs w:val="16"/>
                <w:lang w:val="fr-FR" w:eastAsia="en-US"/>
              </w:rPr>
              <w:t>(2)</w:t>
            </w:r>
          </w:p>
        </w:tc>
        <w:tc>
          <w:tcPr>
            <w:tcW w:w="331" w:type="pct"/>
            <w:vAlign w:val="bottom"/>
          </w:tcPr>
          <w:p w14:paraId="1373CFA5" w14:textId="77777777" w:rsidR="002C43BE" w:rsidRPr="003C30D9" w:rsidRDefault="002C43BE" w:rsidP="001F3651">
            <w:pPr>
              <w:widowControl w:val="0"/>
              <w:spacing w:before="60" w:after="60" w:line="240" w:lineRule="auto"/>
              <w:ind w:left="127" w:right="126"/>
              <w:jc w:val="center"/>
              <w:rPr>
                <w:rFonts w:eastAsiaTheme="minorHAnsi"/>
                <w:sz w:val="18"/>
                <w:szCs w:val="18"/>
                <w:lang w:val="fr-FR" w:eastAsia="en-US"/>
              </w:rPr>
            </w:pPr>
            <w:r w:rsidRPr="003C30D9">
              <w:rPr>
                <w:rFonts w:eastAsiaTheme="minorHAnsi"/>
                <w:b/>
                <w:bCs/>
                <w:sz w:val="16"/>
                <w:szCs w:val="16"/>
                <w:lang w:val="fr-FR" w:eastAsia="en-US"/>
              </w:rPr>
              <w:t>(3)</w:t>
            </w:r>
          </w:p>
        </w:tc>
        <w:tc>
          <w:tcPr>
            <w:tcW w:w="231" w:type="pct"/>
            <w:vAlign w:val="bottom"/>
          </w:tcPr>
          <w:p w14:paraId="5CF1AE81" w14:textId="77777777" w:rsidR="002C43BE" w:rsidRPr="003C30D9" w:rsidRDefault="002C43BE" w:rsidP="001F3651">
            <w:pPr>
              <w:widowControl w:val="0"/>
              <w:spacing w:before="60" w:after="60" w:line="240" w:lineRule="auto"/>
              <w:ind w:left="107" w:right="107"/>
              <w:jc w:val="center"/>
              <w:rPr>
                <w:rFonts w:eastAsiaTheme="minorHAnsi"/>
                <w:b/>
                <w:sz w:val="18"/>
                <w:szCs w:val="18"/>
                <w:lang w:val="fr-FR" w:eastAsia="en-US"/>
              </w:rPr>
            </w:pPr>
            <w:r w:rsidRPr="003C30D9">
              <w:rPr>
                <w:rFonts w:eastAsiaTheme="minorHAnsi"/>
                <w:b/>
                <w:bCs/>
                <w:sz w:val="16"/>
                <w:szCs w:val="16"/>
                <w:lang w:val="fr-FR" w:eastAsia="en-US"/>
              </w:rPr>
              <w:t>(4)</w:t>
            </w:r>
          </w:p>
        </w:tc>
        <w:tc>
          <w:tcPr>
            <w:tcW w:w="186" w:type="pct"/>
            <w:vAlign w:val="bottom"/>
          </w:tcPr>
          <w:p w14:paraId="3EC0623B" w14:textId="77777777" w:rsidR="002C43BE" w:rsidRPr="003C30D9" w:rsidRDefault="002C43BE" w:rsidP="001F3651">
            <w:pPr>
              <w:widowControl w:val="0"/>
              <w:spacing w:before="60" w:after="60" w:line="240" w:lineRule="auto"/>
              <w:ind w:left="67" w:right="67"/>
              <w:jc w:val="center"/>
              <w:rPr>
                <w:rFonts w:eastAsiaTheme="minorHAnsi"/>
                <w:bCs/>
                <w:sz w:val="18"/>
                <w:szCs w:val="18"/>
                <w:lang w:val="fr-FR" w:eastAsia="en-US"/>
              </w:rPr>
            </w:pPr>
            <w:r w:rsidRPr="003C30D9">
              <w:rPr>
                <w:rFonts w:eastAsiaTheme="minorHAnsi"/>
                <w:b/>
                <w:bCs/>
                <w:sz w:val="16"/>
                <w:szCs w:val="16"/>
                <w:lang w:val="fr-FR" w:eastAsia="en-US"/>
              </w:rPr>
              <w:t>(5)</w:t>
            </w:r>
          </w:p>
        </w:tc>
        <w:tc>
          <w:tcPr>
            <w:tcW w:w="300" w:type="pct"/>
            <w:vAlign w:val="bottom"/>
          </w:tcPr>
          <w:p w14:paraId="75854354" w14:textId="77777777" w:rsidR="002C43BE" w:rsidRPr="003C30D9" w:rsidRDefault="002C43BE" w:rsidP="001F3651">
            <w:pPr>
              <w:widowControl w:val="0"/>
              <w:spacing w:before="60" w:after="60" w:line="240" w:lineRule="auto"/>
              <w:ind w:left="106" w:right="102"/>
              <w:jc w:val="center"/>
              <w:rPr>
                <w:rFonts w:eastAsiaTheme="minorHAnsi"/>
                <w:b/>
                <w:sz w:val="18"/>
                <w:szCs w:val="18"/>
                <w:lang w:val="fr-FR" w:eastAsia="en-US"/>
              </w:rPr>
            </w:pPr>
            <w:r w:rsidRPr="003C30D9">
              <w:rPr>
                <w:rFonts w:eastAsiaTheme="minorHAnsi"/>
                <w:b/>
                <w:bCs/>
                <w:sz w:val="16"/>
                <w:szCs w:val="16"/>
                <w:lang w:val="fr-FR" w:eastAsia="en-US"/>
              </w:rPr>
              <w:t>(6)</w:t>
            </w:r>
          </w:p>
        </w:tc>
        <w:tc>
          <w:tcPr>
            <w:tcW w:w="184" w:type="pct"/>
            <w:vAlign w:val="bottom"/>
          </w:tcPr>
          <w:p w14:paraId="1474DBD0" w14:textId="77777777" w:rsidR="002C43BE" w:rsidRPr="003C30D9" w:rsidRDefault="002C43BE" w:rsidP="001F3651">
            <w:pPr>
              <w:widowControl w:val="0"/>
              <w:spacing w:before="60" w:after="60" w:line="240" w:lineRule="auto"/>
              <w:ind w:left="-15" w:right="16"/>
              <w:jc w:val="center"/>
              <w:rPr>
                <w:rFonts w:eastAsiaTheme="minorHAnsi"/>
                <w:sz w:val="18"/>
                <w:szCs w:val="18"/>
                <w:lang w:val="fr-FR" w:eastAsia="en-US"/>
              </w:rPr>
            </w:pPr>
            <w:r w:rsidRPr="003C30D9">
              <w:rPr>
                <w:rFonts w:eastAsiaTheme="minorHAnsi"/>
                <w:b/>
                <w:bCs/>
                <w:spacing w:val="-5"/>
                <w:sz w:val="16"/>
                <w:szCs w:val="16"/>
                <w:lang w:val="fr-FR" w:eastAsia="en-US"/>
              </w:rPr>
              <w:t>(7a)</w:t>
            </w:r>
          </w:p>
        </w:tc>
        <w:tc>
          <w:tcPr>
            <w:tcW w:w="161" w:type="pct"/>
            <w:vAlign w:val="bottom"/>
          </w:tcPr>
          <w:p w14:paraId="62217C6C" w14:textId="77777777" w:rsidR="002C43BE" w:rsidRPr="003C30D9" w:rsidRDefault="002C43BE" w:rsidP="001F3651">
            <w:pPr>
              <w:widowControl w:val="0"/>
              <w:spacing w:before="60" w:after="60" w:line="240" w:lineRule="auto"/>
              <w:jc w:val="center"/>
              <w:rPr>
                <w:rFonts w:eastAsiaTheme="minorHAnsi"/>
                <w:sz w:val="18"/>
                <w:szCs w:val="18"/>
                <w:lang w:val="fr-FR" w:eastAsia="en-US"/>
              </w:rPr>
            </w:pPr>
            <w:r w:rsidRPr="003C30D9">
              <w:rPr>
                <w:rFonts w:eastAsiaTheme="minorHAnsi"/>
                <w:b/>
                <w:bCs/>
                <w:sz w:val="16"/>
                <w:szCs w:val="16"/>
                <w:lang w:val="fr-FR" w:eastAsia="en-US"/>
              </w:rPr>
              <w:t>(7b)</w:t>
            </w:r>
          </w:p>
        </w:tc>
        <w:tc>
          <w:tcPr>
            <w:tcW w:w="434" w:type="pct"/>
            <w:vAlign w:val="bottom"/>
          </w:tcPr>
          <w:p w14:paraId="39AF2E7A"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r w:rsidRPr="003C30D9">
              <w:rPr>
                <w:rFonts w:eastAsiaTheme="minorHAnsi"/>
                <w:b/>
                <w:bCs/>
                <w:sz w:val="16"/>
                <w:szCs w:val="16"/>
                <w:lang w:val="fr-FR" w:eastAsia="en-US"/>
              </w:rPr>
              <w:t>(8)</w:t>
            </w:r>
          </w:p>
        </w:tc>
        <w:tc>
          <w:tcPr>
            <w:tcW w:w="378" w:type="pct"/>
            <w:vAlign w:val="bottom"/>
          </w:tcPr>
          <w:p w14:paraId="1096BFBC"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r w:rsidRPr="003C30D9">
              <w:rPr>
                <w:rFonts w:eastAsiaTheme="minorHAnsi"/>
                <w:b/>
                <w:bCs/>
                <w:sz w:val="16"/>
                <w:szCs w:val="16"/>
                <w:lang w:val="fr-FR" w:eastAsia="en-US"/>
              </w:rPr>
              <w:t>(9)</w:t>
            </w:r>
          </w:p>
        </w:tc>
        <w:tc>
          <w:tcPr>
            <w:tcW w:w="533" w:type="pct"/>
            <w:vAlign w:val="bottom"/>
          </w:tcPr>
          <w:p w14:paraId="024658BB"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r w:rsidRPr="003C30D9">
              <w:rPr>
                <w:rFonts w:eastAsiaTheme="minorHAnsi"/>
                <w:b/>
                <w:bCs/>
                <w:sz w:val="16"/>
                <w:szCs w:val="16"/>
                <w:lang w:val="fr-FR" w:eastAsia="en-US"/>
              </w:rPr>
              <w:t>(10)</w:t>
            </w:r>
          </w:p>
        </w:tc>
        <w:tc>
          <w:tcPr>
            <w:tcW w:w="700" w:type="pct"/>
            <w:vAlign w:val="bottom"/>
          </w:tcPr>
          <w:p w14:paraId="5FC6B1B5"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r w:rsidRPr="003C30D9">
              <w:rPr>
                <w:rFonts w:eastAsiaTheme="minorHAnsi"/>
                <w:b/>
                <w:bCs/>
                <w:sz w:val="16"/>
                <w:szCs w:val="16"/>
                <w:lang w:val="fr-FR" w:eastAsia="en-US"/>
              </w:rPr>
              <w:t>(11)</w:t>
            </w:r>
          </w:p>
        </w:tc>
      </w:tr>
      <w:tr w:rsidR="002C43BE" w:rsidRPr="003C30D9" w14:paraId="687D4000" w14:textId="77777777" w:rsidTr="001F3651">
        <w:trPr>
          <w:cantSplit/>
          <w:jc w:val="center"/>
        </w:trPr>
        <w:tc>
          <w:tcPr>
            <w:tcW w:w="316" w:type="pct"/>
          </w:tcPr>
          <w:p w14:paraId="5D411BE1" w14:textId="77777777" w:rsidR="002C43BE" w:rsidRPr="003C30D9" w:rsidRDefault="002C43BE" w:rsidP="001F3651">
            <w:pPr>
              <w:widowControl w:val="0"/>
              <w:spacing w:before="60" w:after="60" w:line="240" w:lineRule="auto"/>
              <w:jc w:val="center"/>
              <w:rPr>
                <w:rFonts w:eastAsiaTheme="minorHAnsi"/>
                <w:sz w:val="18"/>
                <w:szCs w:val="18"/>
                <w:lang w:val="fr-FR" w:eastAsia="en-US"/>
              </w:rPr>
            </w:pPr>
            <w:r w:rsidRPr="003C30D9">
              <w:rPr>
                <w:sz w:val="18"/>
                <w:szCs w:val="18"/>
                <w:lang w:val="fr-FR"/>
              </w:rPr>
              <w:t>2348</w:t>
            </w:r>
          </w:p>
        </w:tc>
        <w:tc>
          <w:tcPr>
            <w:tcW w:w="1247" w:type="pct"/>
          </w:tcPr>
          <w:p w14:paraId="25D773C3" w14:textId="77777777" w:rsidR="002C43BE" w:rsidRPr="003C30D9" w:rsidRDefault="002C43BE" w:rsidP="001F3651">
            <w:pPr>
              <w:widowControl w:val="0"/>
              <w:spacing w:before="60" w:after="60" w:line="240" w:lineRule="auto"/>
              <w:ind w:left="6" w:right="6"/>
              <w:rPr>
                <w:rFonts w:eastAsiaTheme="minorHAnsi"/>
                <w:sz w:val="18"/>
                <w:szCs w:val="18"/>
                <w:lang w:val="fr-FR" w:eastAsia="en-US"/>
              </w:rPr>
            </w:pPr>
            <w:r w:rsidRPr="003C30D9">
              <w:rPr>
                <w:sz w:val="18"/>
                <w:szCs w:val="18"/>
                <w:lang w:val="fr-FR"/>
              </w:rPr>
              <w:t>ACRYLATES DE BUTYLE STABILISÉS</w:t>
            </w:r>
          </w:p>
        </w:tc>
        <w:tc>
          <w:tcPr>
            <w:tcW w:w="331" w:type="pct"/>
          </w:tcPr>
          <w:p w14:paraId="5580BE54" w14:textId="77777777" w:rsidR="002C43BE" w:rsidRPr="003C30D9" w:rsidRDefault="002C43BE" w:rsidP="001F3651">
            <w:pPr>
              <w:widowControl w:val="0"/>
              <w:spacing w:before="60" w:after="60" w:line="240" w:lineRule="auto"/>
              <w:ind w:left="127" w:right="126"/>
              <w:jc w:val="center"/>
              <w:rPr>
                <w:rFonts w:eastAsiaTheme="minorHAnsi"/>
                <w:sz w:val="18"/>
                <w:szCs w:val="18"/>
                <w:lang w:val="fr-FR" w:eastAsia="en-US"/>
              </w:rPr>
            </w:pPr>
            <w:r w:rsidRPr="003C30D9">
              <w:rPr>
                <w:sz w:val="18"/>
                <w:szCs w:val="18"/>
                <w:lang w:val="fr-FR"/>
              </w:rPr>
              <w:t>3</w:t>
            </w:r>
          </w:p>
        </w:tc>
        <w:tc>
          <w:tcPr>
            <w:tcW w:w="231" w:type="pct"/>
          </w:tcPr>
          <w:p w14:paraId="47128916" w14:textId="77777777" w:rsidR="002C43BE" w:rsidRPr="003C30D9" w:rsidRDefault="002C43BE" w:rsidP="001F3651">
            <w:pPr>
              <w:widowControl w:val="0"/>
              <w:spacing w:before="60" w:after="60" w:line="240" w:lineRule="auto"/>
              <w:ind w:left="107" w:right="107"/>
              <w:jc w:val="center"/>
              <w:rPr>
                <w:rFonts w:eastAsiaTheme="minorHAnsi"/>
                <w:sz w:val="18"/>
                <w:szCs w:val="18"/>
                <w:lang w:val="fr-FR" w:eastAsia="en-US"/>
              </w:rPr>
            </w:pPr>
          </w:p>
        </w:tc>
        <w:tc>
          <w:tcPr>
            <w:tcW w:w="186" w:type="pct"/>
          </w:tcPr>
          <w:p w14:paraId="2D21F267" w14:textId="77777777" w:rsidR="002C43BE" w:rsidRPr="003C30D9" w:rsidRDefault="002C43BE" w:rsidP="001F3651">
            <w:pPr>
              <w:widowControl w:val="0"/>
              <w:spacing w:before="60" w:after="60" w:line="240" w:lineRule="auto"/>
              <w:ind w:left="67" w:right="67"/>
              <w:jc w:val="center"/>
              <w:rPr>
                <w:rFonts w:eastAsiaTheme="minorHAnsi"/>
                <w:sz w:val="18"/>
                <w:szCs w:val="18"/>
                <w:lang w:val="fr-FR" w:eastAsia="en-US"/>
              </w:rPr>
            </w:pPr>
            <w:r w:rsidRPr="003C30D9">
              <w:rPr>
                <w:rFonts w:eastAsiaTheme="minorHAnsi"/>
                <w:sz w:val="18"/>
                <w:szCs w:val="18"/>
                <w:lang w:val="fr-FR" w:eastAsia="en-US"/>
              </w:rPr>
              <w:t>II</w:t>
            </w:r>
          </w:p>
        </w:tc>
        <w:tc>
          <w:tcPr>
            <w:tcW w:w="300" w:type="pct"/>
          </w:tcPr>
          <w:p w14:paraId="0A5D11FE" w14:textId="77777777" w:rsidR="002C43BE" w:rsidRPr="003C30D9" w:rsidRDefault="002C43BE" w:rsidP="001F3651">
            <w:pPr>
              <w:widowControl w:val="0"/>
              <w:spacing w:before="60" w:after="60" w:line="240" w:lineRule="auto"/>
              <w:ind w:left="106" w:right="102"/>
              <w:jc w:val="center"/>
              <w:rPr>
                <w:rFonts w:eastAsiaTheme="minorHAnsi"/>
                <w:sz w:val="18"/>
                <w:szCs w:val="18"/>
                <w:lang w:val="fr-FR" w:eastAsia="en-US"/>
              </w:rPr>
            </w:pPr>
            <w:r w:rsidRPr="003C30D9">
              <w:rPr>
                <w:sz w:val="18"/>
                <w:szCs w:val="18"/>
                <w:lang w:val="fr-FR"/>
              </w:rPr>
              <w:t>386</w:t>
            </w:r>
          </w:p>
        </w:tc>
        <w:tc>
          <w:tcPr>
            <w:tcW w:w="184" w:type="pct"/>
          </w:tcPr>
          <w:p w14:paraId="2F87F612" w14:textId="77777777" w:rsidR="002C43BE" w:rsidRPr="003C30D9" w:rsidRDefault="002C43BE" w:rsidP="001F3651">
            <w:pPr>
              <w:widowControl w:val="0"/>
              <w:spacing w:before="60" w:after="60" w:line="240" w:lineRule="auto"/>
              <w:ind w:left="-15" w:right="16"/>
              <w:jc w:val="center"/>
              <w:rPr>
                <w:rFonts w:eastAsiaTheme="minorHAnsi"/>
                <w:sz w:val="18"/>
                <w:szCs w:val="18"/>
                <w:lang w:val="fr-FR" w:eastAsia="en-US"/>
              </w:rPr>
            </w:pPr>
            <w:r w:rsidRPr="003C30D9">
              <w:rPr>
                <w:sz w:val="18"/>
                <w:szCs w:val="18"/>
                <w:lang w:val="fr-FR"/>
              </w:rPr>
              <w:t>1 L</w:t>
            </w:r>
          </w:p>
        </w:tc>
        <w:tc>
          <w:tcPr>
            <w:tcW w:w="161" w:type="pct"/>
          </w:tcPr>
          <w:p w14:paraId="0DF7DE3E" w14:textId="77777777" w:rsidR="002C43BE" w:rsidRPr="003C30D9" w:rsidRDefault="002C43BE" w:rsidP="001F3651">
            <w:pPr>
              <w:widowControl w:val="0"/>
              <w:spacing w:before="60" w:after="60" w:line="240" w:lineRule="auto"/>
              <w:jc w:val="center"/>
              <w:rPr>
                <w:rFonts w:eastAsiaTheme="minorHAnsi"/>
                <w:sz w:val="18"/>
                <w:szCs w:val="18"/>
                <w:lang w:val="fr-FR" w:eastAsia="en-US"/>
              </w:rPr>
            </w:pPr>
            <w:r w:rsidRPr="003C30D9">
              <w:rPr>
                <w:sz w:val="18"/>
                <w:szCs w:val="18"/>
                <w:lang w:val="fr-FR"/>
              </w:rPr>
              <w:t>E2</w:t>
            </w:r>
          </w:p>
        </w:tc>
        <w:tc>
          <w:tcPr>
            <w:tcW w:w="434" w:type="pct"/>
          </w:tcPr>
          <w:p w14:paraId="7915B1DC"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r w:rsidRPr="003C30D9">
              <w:rPr>
                <w:sz w:val="18"/>
                <w:szCs w:val="18"/>
                <w:lang w:val="fr-FR"/>
              </w:rPr>
              <w:t>P001</w:t>
            </w:r>
            <w:r w:rsidRPr="003C30D9">
              <w:rPr>
                <w:sz w:val="18"/>
                <w:szCs w:val="18"/>
                <w:lang w:val="fr-FR"/>
              </w:rPr>
              <w:br/>
            </w:r>
            <w:r w:rsidRPr="003C30D9">
              <w:rPr>
                <w:rFonts w:eastAsiaTheme="minorHAnsi"/>
                <w:sz w:val="18"/>
                <w:szCs w:val="18"/>
                <w:lang w:val="fr-FR" w:eastAsia="en-US"/>
              </w:rPr>
              <w:t>IBC02</w:t>
            </w:r>
          </w:p>
        </w:tc>
        <w:tc>
          <w:tcPr>
            <w:tcW w:w="378" w:type="pct"/>
          </w:tcPr>
          <w:p w14:paraId="50552DBF"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p>
        </w:tc>
        <w:tc>
          <w:tcPr>
            <w:tcW w:w="533" w:type="pct"/>
          </w:tcPr>
          <w:p w14:paraId="6EC8D6B8"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r w:rsidRPr="003C30D9">
              <w:rPr>
                <w:rFonts w:eastAsiaTheme="minorHAnsi"/>
                <w:sz w:val="18"/>
                <w:szCs w:val="18"/>
                <w:lang w:val="fr-FR" w:eastAsia="en-US"/>
              </w:rPr>
              <w:t>T4</w:t>
            </w:r>
          </w:p>
        </w:tc>
        <w:tc>
          <w:tcPr>
            <w:tcW w:w="700" w:type="pct"/>
          </w:tcPr>
          <w:p w14:paraId="29E244FC" w14:textId="77777777" w:rsidR="002C43BE" w:rsidRPr="003C30D9" w:rsidRDefault="002C43BE" w:rsidP="001F3651">
            <w:pPr>
              <w:widowControl w:val="0"/>
              <w:spacing w:before="60" w:after="60" w:line="240" w:lineRule="auto"/>
              <w:ind w:left="141" w:right="141"/>
              <w:jc w:val="center"/>
              <w:rPr>
                <w:rFonts w:eastAsiaTheme="minorHAnsi"/>
                <w:sz w:val="18"/>
                <w:szCs w:val="18"/>
                <w:lang w:val="fr-FR" w:eastAsia="en-US"/>
              </w:rPr>
            </w:pPr>
            <w:r w:rsidRPr="003C30D9">
              <w:rPr>
                <w:rFonts w:eastAsiaTheme="minorHAnsi"/>
                <w:sz w:val="18"/>
                <w:szCs w:val="18"/>
                <w:lang w:val="fr-FR" w:eastAsia="en-US"/>
              </w:rPr>
              <w:t>TP1</w:t>
            </w:r>
          </w:p>
        </w:tc>
      </w:tr>
    </w:tbl>
    <w:p w14:paraId="280D32A4"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ST/SG/AC.10/C.3/2024/37, proposition 2)</w:t>
      </w:r>
    </w:p>
    <w:p w14:paraId="1D5C93F9"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3.3</w:t>
      </w:r>
    </w:p>
    <w:p w14:paraId="03A57B7F" w14:textId="77777777" w:rsidR="002C43BE" w:rsidRPr="003C30D9" w:rsidRDefault="002C43BE" w:rsidP="002C43BE">
      <w:pPr>
        <w:pStyle w:val="SingleTxtG"/>
        <w:ind w:left="2268" w:hanging="1134"/>
        <w:rPr>
          <w:lang w:val="fr-FR"/>
        </w:rPr>
      </w:pPr>
      <w:r w:rsidRPr="003C30D9">
        <w:rPr>
          <w:lang w:val="fr-FR"/>
        </w:rPr>
        <w:t>DS 119</w:t>
      </w:r>
      <w:r w:rsidRPr="003C30D9">
        <w:rPr>
          <w:lang w:val="fr-FR"/>
        </w:rPr>
        <w:tab/>
        <w:t>Ajouter la nouvelle deuxième phrase suivante : « Les dispositifs de chauffage comprennent les machines ou autres appareils conçus spécifiquement à des fins de chauffage. ».</w:t>
      </w:r>
    </w:p>
    <w:p w14:paraId="7E7F67E9" w14:textId="77777777" w:rsidR="002C43BE" w:rsidRPr="003C30D9" w:rsidRDefault="002C43BE" w:rsidP="002C43BE">
      <w:pPr>
        <w:pStyle w:val="SingleTxtG"/>
        <w:ind w:left="2268" w:hanging="1134"/>
        <w:rPr>
          <w:lang w:val="fr-FR"/>
        </w:rPr>
      </w:pPr>
      <w:r w:rsidRPr="003C30D9">
        <w:rPr>
          <w:lang w:val="fr-FR"/>
        </w:rPr>
        <w:tab/>
      </w:r>
      <w:r w:rsidRPr="003C30D9">
        <w:rPr>
          <w:lang w:val="fr-FR"/>
        </w:rPr>
        <w:tab/>
        <w:t>Dans la phrase qui suit celle-ci, remplacer « Les machines frigorifiques et les éléments de machines frigorifiques » par « Les machines frigorifiques ou les dispositifs de chauffage et leurs éléments ».</w:t>
      </w:r>
    </w:p>
    <w:p w14:paraId="78C25F5C" w14:textId="77777777" w:rsidR="002C43BE" w:rsidRPr="003C30D9" w:rsidRDefault="002C43BE" w:rsidP="002C43BE">
      <w:pPr>
        <w:pStyle w:val="SingleTxtG"/>
        <w:ind w:left="2268" w:hanging="1134"/>
        <w:rPr>
          <w:lang w:val="fr-FR"/>
        </w:rPr>
      </w:pPr>
      <w:r w:rsidRPr="003C30D9">
        <w:rPr>
          <w:lang w:val="fr-FR"/>
        </w:rPr>
        <w:tab/>
      </w:r>
      <w:r w:rsidRPr="003C30D9">
        <w:rPr>
          <w:lang w:val="fr-FR"/>
        </w:rPr>
        <w:tab/>
        <w:t xml:space="preserve">Ajouter la nouvelle phrase suivante à la fin : « Les machines ou autres appareils utilisés pour assurer des fonctions de chauffage et de refroidissement </w:t>
      </w:r>
      <w:r w:rsidRPr="003C30D9">
        <w:rPr>
          <w:lang w:val="fr-FR"/>
        </w:rPr>
        <w:lastRenderedPageBreak/>
        <w:t xml:space="preserve">peuvent être transportés sous les rubriques </w:t>
      </w:r>
      <w:r w:rsidRPr="003C30D9">
        <w:rPr>
          <w:rFonts w:eastAsiaTheme="minorHAnsi"/>
          <w:lang w:val="fr-FR" w:eastAsia="en-US"/>
        </w:rPr>
        <w:t>MACHINES FRIGORIFIQUES ou DISPOSITIFS DE CHAUFFAGE</w:t>
      </w:r>
      <w:r w:rsidRPr="003C30D9">
        <w:rPr>
          <w:lang w:val="fr-FR"/>
        </w:rPr>
        <w:t>. ».</w:t>
      </w:r>
    </w:p>
    <w:p w14:paraId="53D1473A"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INF.63)</w:t>
      </w:r>
    </w:p>
    <w:p w14:paraId="1EA67130" w14:textId="77777777" w:rsidR="002C43BE" w:rsidRPr="003C30D9" w:rsidRDefault="002C43BE" w:rsidP="002C43BE">
      <w:pPr>
        <w:pStyle w:val="SingleTxtG"/>
        <w:ind w:left="2268" w:hanging="1134"/>
        <w:rPr>
          <w:lang w:val="fr-FR"/>
        </w:rPr>
      </w:pPr>
      <w:r w:rsidRPr="003C30D9">
        <w:rPr>
          <w:lang w:val="fr-FR"/>
        </w:rPr>
        <w:t>DS 188</w:t>
      </w:r>
      <w:r w:rsidRPr="003C30D9">
        <w:rPr>
          <w:lang w:val="fr-FR"/>
        </w:rPr>
        <w:tab/>
        <w:t>À l’alinéa f), modifier la première phrase pour lire : « Chaque colis est marqué conformément aux dispositions du 5.2.1.9. ».</w:t>
      </w:r>
    </w:p>
    <w:p w14:paraId="7250EE3D"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ST/SG/AC.10/C.3/2024/28)</w:t>
      </w:r>
    </w:p>
    <w:p w14:paraId="25D09605" w14:textId="77777777" w:rsidR="002C43BE" w:rsidRPr="003C30D9" w:rsidRDefault="002C43BE" w:rsidP="002C43BE">
      <w:pPr>
        <w:pStyle w:val="SingleTxtG"/>
        <w:ind w:left="2268" w:hanging="1134"/>
        <w:rPr>
          <w:lang w:val="fr-FR"/>
        </w:rPr>
      </w:pPr>
      <w:r w:rsidRPr="003C30D9">
        <w:rPr>
          <w:lang w:val="fr-FR"/>
        </w:rPr>
        <w:tab/>
      </w:r>
      <w:r w:rsidRPr="003C30D9">
        <w:rPr>
          <w:lang w:val="fr-FR"/>
        </w:rPr>
        <w:tab/>
        <w:t>Ajouter la nouvelle phrase suivante à la fin de f) ii) : « Lorsque l’équipement contient une pile bouton en plus des piles ou des batteries, celle-ci n’est pas prise en compte dans les limites prescrites pour le colis ou l’envoi. ».</w:t>
      </w:r>
    </w:p>
    <w:p w14:paraId="4E17FB08" w14:textId="77777777" w:rsidR="002C43BE" w:rsidRPr="003C30D9" w:rsidRDefault="002C43BE" w:rsidP="002C43BE">
      <w:pPr>
        <w:pStyle w:val="SingleTxtG"/>
        <w:tabs>
          <w:tab w:val="clear" w:pos="1701"/>
        </w:tabs>
        <w:spacing w:before="120"/>
        <w:rPr>
          <w:i/>
          <w:iCs/>
          <w:lang w:val="fr-FR"/>
        </w:rPr>
      </w:pPr>
      <w:r w:rsidRPr="003C30D9">
        <w:rPr>
          <w:i/>
          <w:iCs/>
          <w:lang w:val="fr-FR"/>
        </w:rPr>
        <w:t>(Documents de référence : ST/SG/AC.10/C.3/2024/53)</w:t>
      </w:r>
    </w:p>
    <w:p w14:paraId="09064B1C" w14:textId="77777777" w:rsidR="002C43BE" w:rsidRPr="003C30D9" w:rsidRDefault="002C43BE" w:rsidP="002C43BE">
      <w:pPr>
        <w:pStyle w:val="SingleTxtG"/>
        <w:ind w:left="2268" w:hanging="1134"/>
        <w:rPr>
          <w:lang w:val="fr-FR"/>
        </w:rPr>
      </w:pPr>
      <w:r w:rsidRPr="003C30D9">
        <w:rPr>
          <w:lang w:val="fr-FR"/>
        </w:rPr>
        <w:t>DS 291</w:t>
      </w:r>
      <w:r w:rsidRPr="003C30D9">
        <w:rPr>
          <w:lang w:val="fr-FR"/>
        </w:rPr>
        <w:tab/>
        <w:t xml:space="preserve">Dans la première phrase, après « de la machine frigorifique », ajouter « ou du dispositif de chauffage ». </w:t>
      </w:r>
    </w:p>
    <w:p w14:paraId="517C258C" w14:textId="77777777" w:rsidR="002C43BE" w:rsidRPr="003C30D9" w:rsidRDefault="002C43BE" w:rsidP="002C43BE">
      <w:pPr>
        <w:pStyle w:val="SingleTxtG"/>
        <w:ind w:left="2268" w:hanging="1134"/>
        <w:rPr>
          <w:lang w:val="fr-FR"/>
        </w:rPr>
      </w:pPr>
      <w:r w:rsidRPr="003C30D9">
        <w:rPr>
          <w:lang w:val="fr-FR"/>
        </w:rPr>
        <w:tab/>
      </w:r>
      <w:r w:rsidRPr="003C30D9">
        <w:rPr>
          <w:lang w:val="fr-FR"/>
        </w:rPr>
        <w:tab/>
        <w:t>Dans la troisième phrase, remplacer « Les machines frigorifiques doivent être conçues et construites » par « Les machines frigorifiques ou les dispositifs de chauffage doivent être conçus et construits ».</w:t>
      </w:r>
    </w:p>
    <w:p w14:paraId="22B9446D" w14:textId="77777777" w:rsidR="002C43BE" w:rsidRPr="003C30D9" w:rsidRDefault="002C43BE" w:rsidP="002C43BE">
      <w:pPr>
        <w:pStyle w:val="SingleTxtG"/>
        <w:tabs>
          <w:tab w:val="clear" w:pos="1701"/>
        </w:tabs>
        <w:ind w:left="2268" w:hanging="1134"/>
        <w:rPr>
          <w:lang w:val="fr-FR"/>
        </w:rPr>
      </w:pPr>
      <w:r w:rsidRPr="003C30D9">
        <w:rPr>
          <w:lang w:val="fr-FR"/>
        </w:rPr>
        <w:tab/>
        <w:t>Dans la quatrième phrase, remplacer « les machines frigorifiques et les éléments de machines frigorifiques » par « les machines frigorifiques ou les dispositifs de chauffage et leurs éléments ».</w:t>
      </w:r>
    </w:p>
    <w:p w14:paraId="3882D7E6" w14:textId="77777777" w:rsidR="002C43BE" w:rsidRPr="003C30D9" w:rsidRDefault="002C43BE" w:rsidP="002C43BE">
      <w:pPr>
        <w:pStyle w:val="SingleTxtG"/>
        <w:tabs>
          <w:tab w:val="clear" w:pos="1701"/>
        </w:tabs>
        <w:ind w:left="2268" w:hanging="1134"/>
        <w:rPr>
          <w:lang w:val="fr-FR"/>
        </w:rPr>
      </w:pPr>
      <w:r w:rsidRPr="003C30D9">
        <w:rPr>
          <w:lang w:val="fr-FR"/>
        </w:rPr>
        <w:tab/>
        <w:t xml:space="preserve">Ajouter la nouvelle phrase suivante à la fin : « Les machines utilisées pour assurer des fonctions de chauffage et de refroidissement peuvent être transportés sous les rubriques </w:t>
      </w:r>
      <w:r w:rsidRPr="003C30D9">
        <w:rPr>
          <w:rFonts w:eastAsiaTheme="minorHAnsi"/>
          <w:lang w:val="fr-FR" w:eastAsia="en-US"/>
        </w:rPr>
        <w:t>MACHINES FRIGORIFIQUES ou DISPOSITIFS DE CHAUFFAGE</w:t>
      </w:r>
      <w:r w:rsidRPr="003C30D9">
        <w:rPr>
          <w:lang w:val="fr-FR"/>
        </w:rPr>
        <w:t>. ».</w:t>
      </w:r>
    </w:p>
    <w:p w14:paraId="0EA16547" w14:textId="77777777" w:rsidR="002C43BE" w:rsidRPr="003C30D9" w:rsidRDefault="002C43BE" w:rsidP="002C43BE">
      <w:pPr>
        <w:pStyle w:val="SingleTxtG"/>
        <w:ind w:left="2268" w:hanging="1134"/>
        <w:rPr>
          <w:i/>
          <w:iCs/>
          <w:lang w:val="fr-FR"/>
        </w:rPr>
      </w:pPr>
      <w:r w:rsidRPr="003C30D9">
        <w:rPr>
          <w:i/>
          <w:iCs/>
          <w:lang w:val="fr-FR"/>
        </w:rPr>
        <w:t>(Document de référence : document informel INF.63)</w:t>
      </w:r>
    </w:p>
    <w:p w14:paraId="60B71CA6"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DS 301</w:t>
      </w:r>
      <w:r w:rsidRPr="003C30D9">
        <w:rPr>
          <w:rFonts w:eastAsiaTheme="minorHAnsi"/>
          <w:lang w:val="fr-FR" w:eastAsia="en-US"/>
        </w:rPr>
        <w:tab/>
        <w:t>Modifier la cinquième phrase pour lire « </w:t>
      </w:r>
      <w:r w:rsidRPr="003C30D9">
        <w:rPr>
          <w:lang w:val="fr-FR"/>
        </w:rPr>
        <w:t>Si les objets contiennent plus d’une marchandise dangereuse </w:t>
      </w:r>
      <w:r w:rsidRPr="003C30D9">
        <w:rPr>
          <w:rFonts w:eastAsiaTheme="minorHAnsi"/>
          <w:lang w:val="fr-FR" w:eastAsia="en-US"/>
        </w:rPr>
        <w:t xml:space="preserve">et que celles-ci peuvent réagir dangereusement entre elles pendant le transport, chacune des marchandises dangereuses doit être enfermée séparément </w:t>
      </w:r>
      <w:r w:rsidRPr="003C30D9">
        <w:rPr>
          <w:lang w:val="fr-FR"/>
        </w:rPr>
        <w:t>(voir 4.1.1.6), ».</w:t>
      </w:r>
    </w:p>
    <w:p w14:paraId="6BD2ED8F"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INF.71)</w:t>
      </w:r>
    </w:p>
    <w:p w14:paraId="15F07E50" w14:textId="77777777" w:rsidR="002C43BE" w:rsidRPr="003C30D9" w:rsidRDefault="002C43BE" w:rsidP="002C43BE">
      <w:pPr>
        <w:pStyle w:val="SingleTxtG"/>
        <w:ind w:left="2268" w:hanging="1134"/>
        <w:rPr>
          <w:lang w:val="fr-FR"/>
        </w:rPr>
      </w:pPr>
      <w:r w:rsidRPr="003C30D9">
        <w:rPr>
          <w:lang w:val="fr-FR"/>
        </w:rPr>
        <w:t>DS 360</w:t>
      </w:r>
      <w:r w:rsidRPr="003C30D9">
        <w:rPr>
          <w:lang w:val="fr-FR"/>
        </w:rPr>
        <w:tab/>
        <w:t>Modifier la dernière phrase pour lire « Les batteries au lithium, les accumulateurs au sodium ionique ou les batteries hybrides contenant des piles au lithium ionique et des piles au sodium ionique conformément au 2.9.4 h), installés dans des engins de transport, conçus uniquement pour fournir de l’énergie hors de l’engin de transport doivent être affectés à la rubrique ONU 3536 BATTERIES AU LITHIUM INSTALLÉES DANS DES ENGINS DE TRANSPORT ou à la rubrique ONU 3536 ACCUMULATEURS AU SODIUM IONIQUE INSTALLÉS DANS DES ENGINS DE TRANSPORT, comme approprié. ».</w:t>
      </w:r>
    </w:p>
    <w:p w14:paraId="462A842D" w14:textId="77777777" w:rsidR="002C43BE" w:rsidRPr="003C30D9" w:rsidRDefault="002C43BE" w:rsidP="002C43BE">
      <w:pPr>
        <w:pStyle w:val="SingleTxtG"/>
        <w:tabs>
          <w:tab w:val="clear" w:pos="1701"/>
        </w:tabs>
        <w:rPr>
          <w:i/>
          <w:iCs/>
          <w:lang w:val="fr-FR"/>
        </w:rPr>
      </w:pPr>
      <w:r w:rsidRPr="003C30D9">
        <w:rPr>
          <w:i/>
          <w:iCs/>
          <w:lang w:val="fr-FR"/>
        </w:rPr>
        <w:t xml:space="preserve">(Documents de référence : </w:t>
      </w:r>
      <w:r w:rsidRPr="003C30D9">
        <w:rPr>
          <w:i/>
          <w:iCs/>
        </w:rPr>
        <w:t xml:space="preserve">ST/SG/AC.10/C.3/126/Add.1 et </w:t>
      </w:r>
      <w:r w:rsidRPr="003C30D9">
        <w:rPr>
          <w:i/>
          <w:iCs/>
          <w:lang w:val="fr-FR"/>
        </w:rPr>
        <w:t>document informel INF.66, tel que modifié)</w:t>
      </w:r>
    </w:p>
    <w:p w14:paraId="681D8644" w14:textId="77777777" w:rsidR="002C43BE" w:rsidRPr="003C30D9" w:rsidRDefault="002C43BE" w:rsidP="002C43BE">
      <w:pPr>
        <w:pStyle w:val="SingleTxtG"/>
        <w:tabs>
          <w:tab w:val="clear" w:pos="1701"/>
        </w:tabs>
        <w:rPr>
          <w:i/>
          <w:iCs/>
          <w:lang w:val="fr-FR"/>
        </w:rPr>
      </w:pPr>
      <w:r w:rsidRPr="003C30D9">
        <w:rPr>
          <w:i/>
          <w:iCs/>
          <w:lang w:val="fr-FR"/>
        </w:rPr>
        <w:t>(Cet amendement remplace le deuxième amendement à la DS 360 dans le document ST/SG/AC.10/C.3/126/Add.1.)</w:t>
      </w:r>
    </w:p>
    <w:p w14:paraId="4FB4C953" w14:textId="77777777" w:rsidR="002C43BE" w:rsidRPr="003C30D9" w:rsidRDefault="002C43BE" w:rsidP="002C43BE">
      <w:pPr>
        <w:pStyle w:val="SingleTxtG"/>
        <w:ind w:left="2268" w:hanging="1134"/>
        <w:rPr>
          <w:lang w:val="fr-FR"/>
        </w:rPr>
      </w:pPr>
      <w:r w:rsidRPr="003C30D9">
        <w:rPr>
          <w:lang w:val="fr-FR"/>
        </w:rPr>
        <w:t>DS 388</w:t>
      </w:r>
      <w:r w:rsidRPr="003C30D9">
        <w:rPr>
          <w:lang w:val="fr-FR"/>
        </w:rPr>
        <w:tab/>
        <w:t>Dans le huitième paragraphe, modifier la dernière phrase pour lire « Les batteries au lithium ionique, les batteries au lithium métal ou les accumulateurs au sodium ionique installés dans un engin de transport et conçus uniquement pour fournir de l’énergie hors de l’engin de transport doivent être affectés à la rubrique ONU 3536 BATTERIES AU LITHIUM INSTALLÉES DANS DES ENGINS DE TRANSPORT ou affectés à la rubrique ONU 3536 ACCUMULATEURS AU SODIUM IONIQUE INSTALLÉS DANS DES ENGINS DE TRANSPORT, comme approprié. ».</w:t>
      </w:r>
    </w:p>
    <w:p w14:paraId="659C6132"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INF.66, tel que modifié)</w:t>
      </w:r>
    </w:p>
    <w:p w14:paraId="3B49B885" w14:textId="77777777" w:rsidR="002C43BE" w:rsidRPr="003C30D9" w:rsidRDefault="002C43BE" w:rsidP="002C43BE">
      <w:pPr>
        <w:pStyle w:val="SingleTxtG"/>
        <w:ind w:left="2268" w:hanging="1134"/>
        <w:rPr>
          <w:lang w:val="fr-FR"/>
        </w:rPr>
      </w:pPr>
      <w:r w:rsidRPr="003C30D9">
        <w:rPr>
          <w:lang w:val="fr-FR"/>
        </w:rPr>
        <w:lastRenderedPageBreak/>
        <w:t>DS 389</w:t>
      </w:r>
      <w:r w:rsidRPr="003C30D9">
        <w:rPr>
          <w:lang w:val="fr-FR"/>
        </w:rPr>
        <w:tab/>
        <w:t>Modifier le premier paragraphe pour lire :</w:t>
      </w:r>
    </w:p>
    <w:p w14:paraId="16389BBD" w14:textId="77777777" w:rsidR="002C43BE" w:rsidRPr="003C30D9" w:rsidRDefault="002C43BE" w:rsidP="002C43BE">
      <w:pPr>
        <w:pStyle w:val="SingleTxtG"/>
        <w:rPr>
          <w:lang w:val="fr-FR"/>
        </w:rPr>
      </w:pPr>
      <w:r w:rsidRPr="003C30D9">
        <w:rPr>
          <w:lang w:val="fr-FR"/>
        </w:rPr>
        <w:t>« Cette rubrique s’applique uniquement aux batteries au lithium ionique, aux batteries au lithium métal, aux accumulateurs au sodium ionique ou aux batteries hybrides contenant des piles au lithium ionique et des piles au sodium ionique conformément au 2.9.4 h), installés dans un engin de transport et conçus uniquement pour fournir de l’énergie hors de l’engin de transport. Les batteries au lithium doivent répondre aux prescriptions des 2.9.4 a) à h) et les accumulateurs au sodium doivent répondre aux prescriptions des 2.9.5 a) à f) et les batteries et accumulateurs doivent contenir les systèmes nécessaires pour prévenir la surcharge et décharge excessive entre eux. »</w:t>
      </w:r>
    </w:p>
    <w:p w14:paraId="14BB57D6" w14:textId="77777777" w:rsidR="002C43BE" w:rsidRPr="003C30D9" w:rsidRDefault="002C43BE" w:rsidP="002C43BE">
      <w:pPr>
        <w:pStyle w:val="SingleTxtG"/>
        <w:tabs>
          <w:tab w:val="clear" w:pos="1701"/>
        </w:tabs>
        <w:rPr>
          <w:i/>
          <w:iCs/>
          <w:lang w:val="fr-FR"/>
        </w:rPr>
      </w:pPr>
      <w:r w:rsidRPr="003C30D9">
        <w:rPr>
          <w:i/>
          <w:iCs/>
          <w:lang w:val="fr-FR"/>
        </w:rPr>
        <w:t xml:space="preserve">(Documents de référence : </w:t>
      </w:r>
      <w:r w:rsidRPr="003C30D9">
        <w:rPr>
          <w:i/>
          <w:iCs/>
        </w:rPr>
        <w:t xml:space="preserve">ST/SG/AC.10/C.3/126/Add.1 et </w:t>
      </w:r>
      <w:r w:rsidRPr="003C30D9">
        <w:rPr>
          <w:i/>
          <w:iCs/>
          <w:lang w:val="fr-FR"/>
        </w:rPr>
        <w:t>document informel INF.66, tel que modifié)</w:t>
      </w:r>
    </w:p>
    <w:p w14:paraId="72256CBA" w14:textId="77777777" w:rsidR="002C43BE" w:rsidRPr="003C30D9" w:rsidRDefault="002C43BE" w:rsidP="002C43BE">
      <w:pPr>
        <w:pStyle w:val="SingleTxtG"/>
        <w:tabs>
          <w:tab w:val="clear" w:pos="1701"/>
        </w:tabs>
        <w:rPr>
          <w:i/>
          <w:iCs/>
          <w:lang w:val="fr-FR"/>
        </w:rPr>
      </w:pPr>
      <w:r w:rsidRPr="003C30D9">
        <w:rPr>
          <w:i/>
          <w:iCs/>
          <w:lang w:val="fr-FR"/>
        </w:rPr>
        <w:t>(Cet amendement remplace le deuxième amendement à la DS 360 dans le document ST/SG/AC.10/C.3/126/Add.1.)</w:t>
      </w:r>
    </w:p>
    <w:p w14:paraId="20C9206C" w14:textId="77777777" w:rsidR="002C43BE" w:rsidRPr="003C30D9" w:rsidRDefault="002C43BE" w:rsidP="002C43BE">
      <w:pPr>
        <w:pStyle w:val="SingleTxtG"/>
        <w:rPr>
          <w:lang w:val="fr-FR"/>
        </w:rPr>
      </w:pPr>
      <w:r w:rsidRPr="003C30D9">
        <w:rPr>
          <w:lang w:val="fr-FR"/>
        </w:rPr>
        <w:t>Ajouter les nouvelles dispositions spéciales suivantes :</w:t>
      </w:r>
    </w:p>
    <w:p w14:paraId="5EED84A8" w14:textId="77777777" w:rsidR="002C43BE" w:rsidRPr="003C30D9" w:rsidRDefault="002C43BE" w:rsidP="002C43BE">
      <w:pPr>
        <w:pStyle w:val="SingleTxtG"/>
        <w:tabs>
          <w:tab w:val="clear" w:pos="1701"/>
        </w:tabs>
        <w:ind w:left="2268" w:hanging="1134"/>
        <w:rPr>
          <w:lang w:val="fr-FR"/>
        </w:rPr>
      </w:pPr>
      <w:r w:rsidRPr="003C30D9">
        <w:rPr>
          <w:lang w:val="fr-FR"/>
        </w:rPr>
        <w:t>« 411</w:t>
      </w:r>
      <w:r w:rsidRPr="003C30D9">
        <w:rPr>
          <w:lang w:val="fr-FR"/>
        </w:rPr>
        <w:tab/>
        <w:t>Parmi les objets transportés au titre de cette rubrique figurent les appareils d’imagerie par résonance magnétique contenant du gaz ininflammable et non toxique. Le gaz ininflammable et non toxique doit être contenu dans les composants de l’appareil d’imagerie par résonance magnétique. Les appareils d’imagerie par résonance magnétique doivent être conçus et construits pour contenir le gaz et exclure le risque d’éclatement ou de fissuration des composants contenant le gaz dans les conditions normales de transport. Les appareils d’imagerie par résonance magnétique ne sont pas soumis au présent Règlement s’ils contiennent moins de 12 kg d’un gaz de la division 2.2. »</w:t>
      </w:r>
    </w:p>
    <w:p w14:paraId="59070E6D" w14:textId="77777777" w:rsidR="002C43BE" w:rsidRPr="003C30D9" w:rsidRDefault="002C43BE" w:rsidP="002C43BE">
      <w:pPr>
        <w:pStyle w:val="SingleTxtG"/>
        <w:tabs>
          <w:tab w:val="clear" w:pos="1701"/>
        </w:tabs>
        <w:rPr>
          <w:i/>
          <w:iCs/>
          <w:lang w:val="fr-FR"/>
        </w:rPr>
      </w:pPr>
      <w:r w:rsidRPr="003C30D9">
        <w:rPr>
          <w:i/>
          <w:iCs/>
          <w:lang w:val="fr-FR"/>
        </w:rPr>
        <w:t>(Document de référence : ST/SG/AC.10/C.3/2024/32, tel que modifié pour la version anglaise)</w:t>
      </w:r>
    </w:p>
    <w:p w14:paraId="7EC14CED" w14:textId="77777777" w:rsidR="002C43BE" w:rsidRPr="003C30D9" w:rsidRDefault="002C43BE" w:rsidP="002C43BE">
      <w:pPr>
        <w:pStyle w:val="SingleTxtG"/>
        <w:tabs>
          <w:tab w:val="clear" w:pos="1701"/>
        </w:tabs>
        <w:ind w:left="2268" w:hanging="1134"/>
        <w:rPr>
          <w:lang w:val="fr-FR"/>
        </w:rPr>
      </w:pPr>
      <w:r w:rsidRPr="003C30D9">
        <w:rPr>
          <w:lang w:val="fr-FR"/>
        </w:rPr>
        <w:t>« 412</w:t>
      </w:r>
      <w:r w:rsidRPr="003C30D9">
        <w:rPr>
          <w:lang w:val="fr-FR"/>
        </w:rPr>
        <w:tab/>
        <w:t>Cette rubrique peut contenir jusqu’à 12 % (masse) d’éther méthylique. ».</w:t>
      </w:r>
    </w:p>
    <w:p w14:paraId="58B11E6D"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INF.61, proposition 2 telle que modifiée)</w:t>
      </w:r>
    </w:p>
    <w:p w14:paraId="1DE91F08"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Index alphabétique</w:t>
      </w:r>
    </w:p>
    <w:p w14:paraId="13582ACF" w14:textId="77777777" w:rsidR="002C43BE" w:rsidRPr="003C30D9" w:rsidRDefault="002C43BE" w:rsidP="002C43BE">
      <w:pPr>
        <w:pStyle w:val="SingleTxtG"/>
        <w:tabs>
          <w:tab w:val="clear" w:pos="1701"/>
        </w:tabs>
        <w:spacing w:before="120"/>
        <w:rPr>
          <w:lang w:val="fr-FR"/>
        </w:rPr>
      </w:pPr>
      <w:r w:rsidRPr="003C30D9">
        <w:rPr>
          <w:lang w:val="fr-FR"/>
        </w:rPr>
        <w:t>La suppression d'une rubrique dans l'index alphabétique ne s'applique pas à la version française.</w:t>
      </w:r>
    </w:p>
    <w:p w14:paraId="386F03D1" w14:textId="77777777" w:rsidR="002C43BE" w:rsidRPr="003C30D9" w:rsidRDefault="002C43BE" w:rsidP="002C43BE">
      <w:pPr>
        <w:pStyle w:val="SingleTxtG"/>
        <w:tabs>
          <w:tab w:val="clear" w:pos="1701"/>
        </w:tabs>
        <w:spacing w:before="120"/>
        <w:rPr>
          <w:i/>
          <w:iCs/>
          <w:lang w:val="fr-FR"/>
        </w:rPr>
      </w:pPr>
      <w:r w:rsidRPr="003C30D9">
        <w:rPr>
          <w:i/>
          <w:iCs/>
          <w:lang w:val="fr-FR"/>
        </w:rPr>
        <w:t xml:space="preserve">(Document de référence : </w:t>
      </w:r>
      <w:r w:rsidRPr="003C30D9">
        <w:rPr>
          <w:rFonts w:eastAsiaTheme="minorHAnsi"/>
          <w:i/>
          <w:iCs/>
          <w:lang w:val="fr-FR" w:eastAsia="en-US"/>
        </w:rPr>
        <w:t>ST/SG/AC.10/C.3/2024/30</w:t>
      </w:r>
      <w:r w:rsidRPr="003C30D9">
        <w:rPr>
          <w:i/>
          <w:iCs/>
          <w:lang w:val="fr-FR"/>
        </w:rPr>
        <w:t>)</w:t>
      </w:r>
    </w:p>
    <w:p w14:paraId="15F240BF" w14:textId="77777777" w:rsidR="002C43BE" w:rsidRPr="003C30D9" w:rsidRDefault="002C43BE" w:rsidP="002C43BE">
      <w:pPr>
        <w:tabs>
          <w:tab w:val="left" w:pos="1701"/>
          <w:tab w:val="left" w:pos="2268"/>
          <w:tab w:val="left" w:pos="2835"/>
        </w:tabs>
        <w:spacing w:after="120"/>
        <w:ind w:left="1134" w:right="1134"/>
        <w:jc w:val="both"/>
        <w:rPr>
          <w:rFonts w:eastAsiaTheme="minorHAnsi"/>
          <w:lang w:val="fr-FR" w:eastAsia="en-US"/>
        </w:rPr>
      </w:pPr>
      <w:r w:rsidRPr="003C30D9">
        <w:rPr>
          <w:rFonts w:eastAsiaTheme="minorHAnsi"/>
          <w:iCs/>
          <w:lang w:val="fr-FR" w:eastAsia="en-US"/>
        </w:rPr>
        <w:t>Ajouter les nouvelles rubriques suivantes dans l’ordre alphabétique :</w:t>
      </w:r>
    </w:p>
    <w:tbl>
      <w:tblPr>
        <w:tblStyle w:val="TableGrid1"/>
        <w:tblW w:w="7371" w:type="dxa"/>
        <w:tblInd w:w="1134" w:type="dxa"/>
        <w:tblLayout w:type="fixed"/>
        <w:tblCellMar>
          <w:left w:w="57" w:type="dxa"/>
          <w:right w:w="57" w:type="dxa"/>
        </w:tblCellMar>
        <w:tblLook w:val="04A0" w:firstRow="1" w:lastRow="0" w:firstColumn="1" w:lastColumn="0" w:noHBand="0" w:noVBand="1"/>
      </w:tblPr>
      <w:tblGrid>
        <w:gridCol w:w="5060"/>
        <w:gridCol w:w="1157"/>
        <w:gridCol w:w="1154"/>
      </w:tblGrid>
      <w:tr w:rsidR="002C43BE" w:rsidRPr="003C30D9" w14:paraId="6B82F5D3" w14:textId="77777777" w:rsidTr="001F3651">
        <w:trPr>
          <w:trHeight w:val="340"/>
        </w:trPr>
        <w:tc>
          <w:tcPr>
            <w:tcW w:w="3432" w:type="pct"/>
            <w:vAlign w:val="center"/>
          </w:tcPr>
          <w:p w14:paraId="09AA8E5F" w14:textId="77777777" w:rsidR="002C43BE" w:rsidRPr="003C30D9" w:rsidRDefault="002C43BE" w:rsidP="001F3651">
            <w:pPr>
              <w:tabs>
                <w:tab w:val="left" w:pos="1701"/>
                <w:tab w:val="left" w:pos="2268"/>
                <w:tab w:val="left" w:pos="2835"/>
              </w:tabs>
              <w:spacing w:line="240" w:lineRule="auto"/>
              <w:rPr>
                <w:lang w:val="fr-FR"/>
              </w:rPr>
            </w:pPr>
            <w:r w:rsidRPr="003C30D9">
              <w:rPr>
                <w:lang w:val="fr-FR"/>
              </w:rPr>
              <w:t>Pompes à chaleur, voir</w:t>
            </w:r>
          </w:p>
        </w:tc>
        <w:tc>
          <w:tcPr>
            <w:tcW w:w="785" w:type="pct"/>
            <w:vAlign w:val="center"/>
          </w:tcPr>
          <w:p w14:paraId="6F2481B7"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2.2</w:t>
            </w:r>
            <w:r w:rsidRPr="003C30D9">
              <w:rPr>
                <w:lang w:val="fr-FR"/>
              </w:rPr>
              <w:br/>
              <w:t>2.1</w:t>
            </w:r>
          </w:p>
        </w:tc>
        <w:tc>
          <w:tcPr>
            <w:tcW w:w="783" w:type="pct"/>
            <w:vAlign w:val="center"/>
          </w:tcPr>
          <w:p w14:paraId="669133F4"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2857</w:t>
            </w:r>
            <w:r w:rsidRPr="003C30D9">
              <w:rPr>
                <w:lang w:val="fr-FR"/>
              </w:rPr>
              <w:br/>
              <w:t>3358</w:t>
            </w:r>
          </w:p>
        </w:tc>
      </w:tr>
      <w:tr w:rsidR="002C43BE" w:rsidRPr="003C30D9" w14:paraId="0AB4BCAC" w14:textId="77777777" w:rsidTr="001F3651">
        <w:trPr>
          <w:trHeight w:val="340"/>
        </w:trPr>
        <w:tc>
          <w:tcPr>
            <w:tcW w:w="3432" w:type="pct"/>
            <w:vAlign w:val="center"/>
          </w:tcPr>
          <w:p w14:paraId="1A1D85DB" w14:textId="77777777" w:rsidR="002C43BE" w:rsidRPr="003C30D9" w:rsidRDefault="002C43BE" w:rsidP="001F3651">
            <w:pPr>
              <w:tabs>
                <w:tab w:val="left" w:pos="1701"/>
                <w:tab w:val="left" w:pos="2268"/>
                <w:tab w:val="left" w:pos="2835"/>
              </w:tabs>
              <w:spacing w:line="240" w:lineRule="auto"/>
              <w:rPr>
                <w:lang w:val="fr-FR"/>
              </w:rPr>
            </w:pPr>
            <w:r w:rsidRPr="003C30D9">
              <w:rPr>
                <w:lang w:val="fr-FR"/>
              </w:rPr>
              <w:t>DISPOSITIFS DE CHAUFFAGE contenant des gaz liquéfiés non inflammables et non toxiques ou des solutions d’ammoniac (No ONU 2672)</w:t>
            </w:r>
          </w:p>
        </w:tc>
        <w:tc>
          <w:tcPr>
            <w:tcW w:w="785" w:type="pct"/>
            <w:vAlign w:val="center"/>
          </w:tcPr>
          <w:p w14:paraId="79A4F31A"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2.2</w:t>
            </w:r>
          </w:p>
        </w:tc>
        <w:tc>
          <w:tcPr>
            <w:tcW w:w="783" w:type="pct"/>
            <w:vAlign w:val="center"/>
          </w:tcPr>
          <w:p w14:paraId="480F36C3"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2857</w:t>
            </w:r>
          </w:p>
        </w:tc>
      </w:tr>
      <w:tr w:rsidR="002C43BE" w:rsidRPr="003C30D9" w14:paraId="723529CA" w14:textId="77777777" w:rsidTr="001F3651">
        <w:trPr>
          <w:trHeight w:val="340"/>
        </w:trPr>
        <w:tc>
          <w:tcPr>
            <w:tcW w:w="3432" w:type="pct"/>
            <w:vAlign w:val="center"/>
          </w:tcPr>
          <w:p w14:paraId="52B6C031" w14:textId="77777777" w:rsidR="002C43BE" w:rsidRPr="003C30D9" w:rsidRDefault="002C43BE" w:rsidP="001F3651">
            <w:pPr>
              <w:tabs>
                <w:tab w:val="left" w:pos="1701"/>
                <w:tab w:val="left" w:pos="2268"/>
                <w:tab w:val="left" w:pos="2835"/>
              </w:tabs>
              <w:spacing w:line="240" w:lineRule="auto"/>
              <w:rPr>
                <w:lang w:val="fr-FR"/>
              </w:rPr>
            </w:pPr>
            <w:r w:rsidRPr="003C30D9">
              <w:rPr>
                <w:lang w:val="fr-FR"/>
              </w:rPr>
              <w:t>DISPOSITIFS DE CHAUFFAGE contenant un gaz liquéfié inflammable et non toxique</w:t>
            </w:r>
          </w:p>
        </w:tc>
        <w:tc>
          <w:tcPr>
            <w:tcW w:w="785" w:type="pct"/>
            <w:vAlign w:val="center"/>
          </w:tcPr>
          <w:p w14:paraId="47F7E9FF"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2.1</w:t>
            </w:r>
          </w:p>
        </w:tc>
        <w:tc>
          <w:tcPr>
            <w:tcW w:w="783" w:type="pct"/>
            <w:vAlign w:val="center"/>
          </w:tcPr>
          <w:p w14:paraId="0CD8BF72"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3358</w:t>
            </w:r>
          </w:p>
        </w:tc>
      </w:tr>
      <w:tr w:rsidR="002C43BE" w:rsidRPr="003C30D9" w14:paraId="33DE0529" w14:textId="77777777" w:rsidTr="001F3651">
        <w:trPr>
          <w:trHeight w:val="340"/>
        </w:trPr>
        <w:tc>
          <w:tcPr>
            <w:tcW w:w="3432" w:type="pct"/>
            <w:vAlign w:val="center"/>
          </w:tcPr>
          <w:p w14:paraId="7C911F1E" w14:textId="77777777" w:rsidR="002C43BE" w:rsidRPr="003C30D9" w:rsidRDefault="002C43BE" w:rsidP="001F3651">
            <w:pPr>
              <w:tabs>
                <w:tab w:val="left" w:pos="1701"/>
                <w:tab w:val="left" w:pos="2268"/>
                <w:tab w:val="left" w:pos="2835"/>
              </w:tabs>
              <w:spacing w:line="240" w:lineRule="auto"/>
              <w:rPr>
                <w:lang w:val="fr-FR"/>
              </w:rPr>
            </w:pPr>
            <w:r w:rsidRPr="003C30D9">
              <w:rPr>
                <w:lang w:val="fr-FR"/>
              </w:rPr>
              <w:t>Appareils d’imagerie par résonance magnétique contenant du gaz ininflammable, non toxique, voir</w:t>
            </w:r>
          </w:p>
        </w:tc>
        <w:tc>
          <w:tcPr>
            <w:tcW w:w="785" w:type="pct"/>
            <w:vAlign w:val="center"/>
          </w:tcPr>
          <w:p w14:paraId="6663C219"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2.2</w:t>
            </w:r>
          </w:p>
        </w:tc>
        <w:tc>
          <w:tcPr>
            <w:tcW w:w="783" w:type="pct"/>
            <w:vAlign w:val="center"/>
          </w:tcPr>
          <w:p w14:paraId="1C1A3132"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3538</w:t>
            </w:r>
          </w:p>
        </w:tc>
      </w:tr>
      <w:tr w:rsidR="002C43BE" w:rsidRPr="003C30D9" w14:paraId="112E5FB2" w14:textId="77777777" w:rsidTr="001F3651">
        <w:trPr>
          <w:trHeight w:val="340"/>
        </w:trPr>
        <w:tc>
          <w:tcPr>
            <w:tcW w:w="3432" w:type="pct"/>
            <w:vAlign w:val="center"/>
          </w:tcPr>
          <w:p w14:paraId="6778BFFF" w14:textId="77777777" w:rsidR="002C43BE" w:rsidRPr="003C30D9" w:rsidRDefault="002C43BE" w:rsidP="001F3651">
            <w:pPr>
              <w:tabs>
                <w:tab w:val="left" w:pos="1701"/>
                <w:tab w:val="left" w:pos="2268"/>
                <w:tab w:val="left" w:pos="2835"/>
              </w:tabs>
              <w:spacing w:line="240" w:lineRule="auto"/>
              <w:rPr>
                <w:lang w:val="fr-FR"/>
              </w:rPr>
            </w:pPr>
            <w:r w:rsidRPr="003C30D9">
              <w:rPr>
                <w:lang w:val="fr-FR"/>
              </w:rPr>
              <w:t>ACCUMULATEURS AU SODIUM IONIQUE INSTALLÉS DANS DES ENGINS DE TRANSPORT</w:t>
            </w:r>
          </w:p>
        </w:tc>
        <w:tc>
          <w:tcPr>
            <w:tcW w:w="785" w:type="pct"/>
            <w:vAlign w:val="center"/>
          </w:tcPr>
          <w:p w14:paraId="1E6A8C21"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9</w:t>
            </w:r>
          </w:p>
        </w:tc>
        <w:tc>
          <w:tcPr>
            <w:tcW w:w="783" w:type="pct"/>
            <w:vAlign w:val="center"/>
          </w:tcPr>
          <w:p w14:paraId="788E9671"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3536</w:t>
            </w:r>
          </w:p>
        </w:tc>
      </w:tr>
      <w:tr w:rsidR="002C43BE" w:rsidRPr="003C30D9" w14:paraId="0CB10263" w14:textId="77777777" w:rsidTr="001F3651">
        <w:trPr>
          <w:trHeight w:val="340"/>
        </w:trPr>
        <w:tc>
          <w:tcPr>
            <w:tcW w:w="3432" w:type="pct"/>
            <w:vAlign w:val="center"/>
          </w:tcPr>
          <w:p w14:paraId="3B19DFD8" w14:textId="77777777" w:rsidR="002C43BE" w:rsidRPr="003C30D9" w:rsidRDefault="002C43BE" w:rsidP="001F3651">
            <w:pPr>
              <w:tabs>
                <w:tab w:val="left" w:pos="1701"/>
                <w:tab w:val="left" w:pos="2268"/>
                <w:tab w:val="left" w:pos="2835"/>
              </w:tabs>
              <w:spacing w:line="240" w:lineRule="auto"/>
              <w:rPr>
                <w:lang w:val="fr-FR"/>
              </w:rPr>
            </w:pPr>
            <w:r w:rsidRPr="003C30D9">
              <w:rPr>
                <w:lang w:val="fr-FR"/>
              </w:rPr>
              <w:t>Fluorure d’hydrogène en solution, voir</w:t>
            </w:r>
          </w:p>
        </w:tc>
        <w:tc>
          <w:tcPr>
            <w:tcW w:w="785" w:type="pct"/>
            <w:vAlign w:val="center"/>
          </w:tcPr>
          <w:p w14:paraId="6AAD3370"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8</w:t>
            </w:r>
          </w:p>
        </w:tc>
        <w:tc>
          <w:tcPr>
            <w:tcW w:w="783" w:type="pct"/>
            <w:vAlign w:val="center"/>
          </w:tcPr>
          <w:p w14:paraId="119B44F4" w14:textId="77777777" w:rsidR="002C43BE" w:rsidRPr="003C30D9" w:rsidRDefault="002C43BE" w:rsidP="001F3651">
            <w:pPr>
              <w:tabs>
                <w:tab w:val="left" w:pos="1701"/>
                <w:tab w:val="left" w:pos="2268"/>
                <w:tab w:val="left" w:pos="2835"/>
              </w:tabs>
              <w:spacing w:line="240" w:lineRule="auto"/>
              <w:jc w:val="center"/>
              <w:rPr>
                <w:lang w:val="fr-FR"/>
              </w:rPr>
            </w:pPr>
            <w:r w:rsidRPr="003C30D9">
              <w:rPr>
                <w:lang w:val="fr-FR"/>
              </w:rPr>
              <w:t>1790</w:t>
            </w:r>
          </w:p>
        </w:tc>
      </w:tr>
    </w:tbl>
    <w:p w14:paraId="7DB536D9" w14:textId="77777777" w:rsidR="002C43BE" w:rsidRPr="003C30D9" w:rsidRDefault="002C43BE" w:rsidP="002C43BE">
      <w:pPr>
        <w:pStyle w:val="SingleTxtG"/>
        <w:tabs>
          <w:tab w:val="clear" w:pos="1701"/>
        </w:tabs>
        <w:spacing w:before="120"/>
        <w:rPr>
          <w:i/>
          <w:iCs/>
          <w:lang w:val="fr-FR"/>
        </w:rPr>
      </w:pPr>
      <w:r w:rsidRPr="003C30D9">
        <w:rPr>
          <w:i/>
          <w:iCs/>
          <w:lang w:val="fr-FR"/>
        </w:rPr>
        <w:t xml:space="preserve">(Documents de référence : </w:t>
      </w:r>
      <w:r w:rsidRPr="003C30D9">
        <w:rPr>
          <w:rFonts w:eastAsiaTheme="minorHAnsi"/>
          <w:i/>
          <w:iCs/>
          <w:lang w:val="fr-FR" w:eastAsia="en-US"/>
        </w:rPr>
        <w:t>ST/SG/AC.10/C.3/2024/30 tel que modifié,</w:t>
      </w:r>
      <w:r w:rsidRPr="003C30D9">
        <w:rPr>
          <w:i/>
          <w:iCs/>
          <w:lang w:val="fr-FR"/>
        </w:rPr>
        <w:t xml:space="preserve"> ST/SG/AC.10/C.3/2024/32, tel que modifié pour la version anglaise, document informel INF.66 tel que modifié, document informel INF.63)</w:t>
      </w:r>
    </w:p>
    <w:p w14:paraId="2C062D73"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lastRenderedPageBreak/>
        <w:tab/>
      </w:r>
      <w:r w:rsidRPr="003C30D9">
        <w:rPr>
          <w:rFonts w:eastAsiaTheme="minorHAnsi"/>
          <w:b/>
          <w:sz w:val="24"/>
          <w:lang w:val="fr-FR" w:eastAsia="en-US"/>
        </w:rPr>
        <w:tab/>
        <w:t>Chapitre 4.1</w:t>
      </w:r>
    </w:p>
    <w:p w14:paraId="040A701E" w14:textId="77777777" w:rsidR="002C43BE" w:rsidRPr="003C30D9" w:rsidRDefault="002C43BE" w:rsidP="002C43BE">
      <w:pPr>
        <w:pStyle w:val="SingleTxtG"/>
        <w:tabs>
          <w:tab w:val="clear" w:pos="1701"/>
          <w:tab w:val="clear" w:pos="2268"/>
          <w:tab w:val="clear" w:pos="2835"/>
        </w:tabs>
        <w:ind w:left="2268" w:hanging="1134"/>
        <w:rPr>
          <w:lang w:val="fr-FR"/>
        </w:rPr>
      </w:pPr>
      <w:r w:rsidRPr="003C30D9">
        <w:rPr>
          <w:lang w:val="fr-FR"/>
        </w:rPr>
        <w:t>4.1.4.1, P130</w:t>
      </w:r>
      <w:r w:rsidRPr="003C30D9">
        <w:rPr>
          <w:lang w:val="fr-FR"/>
        </w:rPr>
        <w:tab/>
        <w:t>Ajouter la nouvelle disposition spéciale d’emballage suivante :</w:t>
      </w:r>
    </w:p>
    <w:p w14:paraId="1F7BF27C" w14:textId="77777777" w:rsidR="002C43BE" w:rsidRPr="003C30D9" w:rsidRDefault="002C43BE" w:rsidP="002C43BE">
      <w:pPr>
        <w:pStyle w:val="SingleTxtG"/>
        <w:tabs>
          <w:tab w:val="clear" w:pos="1701"/>
          <w:tab w:val="clear" w:pos="2268"/>
          <w:tab w:val="clear" w:pos="2835"/>
        </w:tabs>
        <w:ind w:left="2268" w:hanging="1134"/>
        <w:rPr>
          <w:lang w:val="fr-FR"/>
        </w:rPr>
      </w:pPr>
      <w:r w:rsidRPr="003C30D9">
        <w:rPr>
          <w:lang w:val="fr-FR"/>
        </w:rPr>
        <w:t>« PP98</w:t>
      </w:r>
      <w:r w:rsidRPr="003C30D9">
        <w:rPr>
          <w:lang w:val="fr-FR"/>
        </w:rPr>
        <w:tab/>
        <w:t>Pour les Nos ONU 0012 et 0014, malgré les prescriptions du 4.1.5.11, les objets peuvent être emballés sans rembourrage intérieur, ni accessoires, ni revêtement, ni doublure dans des emballages extérieurs métalliques. »</w:t>
      </w:r>
    </w:p>
    <w:p w14:paraId="711252BD" w14:textId="77777777" w:rsidR="002C43BE" w:rsidRPr="003C30D9" w:rsidRDefault="002C43BE" w:rsidP="002C43BE">
      <w:pPr>
        <w:pStyle w:val="SingleTxtG"/>
        <w:rPr>
          <w:i/>
          <w:iCs/>
          <w:lang w:val="fr-FR"/>
        </w:rPr>
      </w:pPr>
      <w:r w:rsidRPr="003C30D9">
        <w:rPr>
          <w:i/>
          <w:iCs/>
          <w:lang w:val="fr-FR"/>
        </w:rPr>
        <w:t>(Document de référence : document informel INF.67, amendement 4)</w:t>
      </w:r>
    </w:p>
    <w:p w14:paraId="66FD18BD" w14:textId="77777777" w:rsidR="002C43BE" w:rsidRPr="003C30D9" w:rsidRDefault="002C43BE" w:rsidP="002C43BE">
      <w:pPr>
        <w:pStyle w:val="SingleTxtG"/>
        <w:ind w:left="2268" w:hanging="1134"/>
        <w:rPr>
          <w:lang w:val="fr-FR"/>
        </w:rPr>
      </w:pPr>
      <w:r w:rsidRPr="003C30D9">
        <w:rPr>
          <w:lang w:val="fr-FR"/>
        </w:rPr>
        <w:t>4.1.4.1, P520</w:t>
      </w:r>
      <w:r w:rsidRPr="003C30D9">
        <w:rPr>
          <w:lang w:val="fr-FR"/>
        </w:rPr>
        <w:tab/>
        <w:t>Dans la disposition spéciale d’emballage PP94, à l’alinéa b), remplacer « </w:t>
      </w:r>
      <w:r w:rsidRPr="003C30D9">
        <w:rPr>
          <w:bCs/>
          <w:lang w:val="fr-FR"/>
        </w:rPr>
        <w:t>plaques à réservoirs ou des plaques multiples » par « </w:t>
      </w:r>
      <w:r w:rsidRPr="003C30D9">
        <w:rPr>
          <w:color w:val="000000"/>
          <w:lang w:val="fr-FR"/>
        </w:rPr>
        <w:t xml:space="preserve">plaques </w:t>
      </w:r>
      <w:proofErr w:type="spellStart"/>
      <w:r w:rsidRPr="003C30D9">
        <w:rPr>
          <w:color w:val="000000"/>
          <w:lang w:val="fr-FR"/>
        </w:rPr>
        <w:t>microtitres</w:t>
      </w:r>
      <w:proofErr w:type="spellEnd"/>
      <w:r w:rsidRPr="003C30D9">
        <w:rPr>
          <w:color w:val="000000"/>
          <w:lang w:val="fr-FR"/>
        </w:rPr>
        <w:t xml:space="preserve"> ou multi-puits ».</w:t>
      </w:r>
    </w:p>
    <w:p w14:paraId="16AB0313" w14:textId="77777777" w:rsidR="002C43BE" w:rsidRPr="003C30D9" w:rsidRDefault="002C43BE" w:rsidP="002C43BE">
      <w:pPr>
        <w:pStyle w:val="SingleTxtG"/>
        <w:rPr>
          <w:i/>
          <w:iCs/>
          <w:lang w:val="fr-FR"/>
        </w:rPr>
      </w:pPr>
      <w:r w:rsidRPr="003C30D9">
        <w:rPr>
          <w:i/>
          <w:iCs/>
          <w:lang w:val="fr-FR"/>
        </w:rPr>
        <w:t>(Document de référence : document informel INF.67, amendement 2, amendement de conséquence pour la version française)</w:t>
      </w:r>
    </w:p>
    <w:p w14:paraId="39A19F68"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lang w:val="fr-FR"/>
        </w:rPr>
        <w:t>[4.1.6.1.8</w:t>
      </w:r>
      <w:r w:rsidRPr="003C30D9">
        <w:rPr>
          <w:rFonts w:eastAsiaTheme="minorHAnsi"/>
          <w:lang w:val="fr-FR" w:eastAsia="en-US"/>
        </w:rPr>
        <w:tab/>
        <w:t>Dans le paragraphe après l’alinéa e), dans la troisième phrase, après « </w:t>
      </w:r>
      <w:r w:rsidRPr="003C30D9">
        <w:rPr>
          <w:lang w:val="fr-FR"/>
        </w:rPr>
        <w:t xml:space="preserve">ISO 10297: 2014 + </w:t>
      </w:r>
      <w:proofErr w:type="spellStart"/>
      <w:r w:rsidRPr="003C30D9">
        <w:rPr>
          <w:lang w:val="fr-FR"/>
        </w:rPr>
        <w:t>Amd</w:t>
      </w:r>
      <w:proofErr w:type="spellEnd"/>
      <w:r w:rsidRPr="003C30D9">
        <w:rPr>
          <w:lang w:val="fr-FR"/>
        </w:rPr>
        <w:t xml:space="preserve"> 1:2017 » ajouter « ou dans l’article 5.4.2 de la norme ISO 10297:2024 ».]</w:t>
      </w:r>
    </w:p>
    <w:p w14:paraId="086D38C5" w14:textId="77777777" w:rsidR="002C43BE" w:rsidRPr="003C30D9" w:rsidRDefault="002C43BE" w:rsidP="002C43BE">
      <w:pPr>
        <w:pStyle w:val="SingleTxtG"/>
        <w:tabs>
          <w:tab w:val="clear" w:pos="1701"/>
        </w:tabs>
        <w:rPr>
          <w:i/>
          <w:iCs/>
          <w:lang w:val="fr-FR"/>
        </w:rPr>
      </w:pPr>
      <w:r w:rsidRPr="003C30D9">
        <w:rPr>
          <w:i/>
          <w:iCs/>
          <w:lang w:val="fr-FR"/>
        </w:rPr>
        <w:t>(Document de référence : document informel INF.8)</w:t>
      </w:r>
    </w:p>
    <w:p w14:paraId="612784D4"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5.2</w:t>
      </w:r>
    </w:p>
    <w:p w14:paraId="441F99C0" w14:textId="77777777" w:rsidR="002C43BE" w:rsidRPr="003C30D9" w:rsidRDefault="002C43BE" w:rsidP="002C43BE">
      <w:pPr>
        <w:pStyle w:val="SingleTxtG"/>
        <w:tabs>
          <w:tab w:val="clear" w:pos="1701"/>
        </w:tabs>
        <w:ind w:left="2268" w:hanging="1134"/>
        <w:rPr>
          <w:rFonts w:eastAsiaTheme="minorHAnsi"/>
          <w:lang w:val="fr-FR" w:eastAsia="en-US"/>
        </w:rPr>
      </w:pPr>
      <w:r w:rsidRPr="003C30D9">
        <w:rPr>
          <w:rFonts w:eastAsiaTheme="minorHAnsi"/>
          <w:lang w:val="fr-FR" w:eastAsia="en-US"/>
        </w:rPr>
        <w:t>5.2.1.9.2</w:t>
      </w:r>
      <w:r w:rsidRPr="003C30D9">
        <w:rPr>
          <w:rFonts w:eastAsiaTheme="minorHAnsi"/>
          <w:lang w:val="fr-FR" w:eastAsia="en-US"/>
        </w:rPr>
        <w:tab/>
        <w:t>À la fin du premier paragraphe, ajouter la nouvelle phrase suivante : « Toutefois, lorsque l’équipement contient une pile bouton en plus des piles ou des batteries, il n’est pas nécessaire que le numéro ONU correspondant à la pile bouton figure sur la marque. ».</w:t>
      </w:r>
    </w:p>
    <w:p w14:paraId="0B5A2156"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ST/SG/AC.10/C.3/2024/53)</w:t>
      </w:r>
    </w:p>
    <w:p w14:paraId="1BBD97C4"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6.1</w:t>
      </w:r>
    </w:p>
    <w:p w14:paraId="53740488"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lang w:val="fr-FR"/>
        </w:rPr>
        <w:t>6.1.5.1.3</w:t>
      </w:r>
      <w:r w:rsidRPr="003C30D9">
        <w:rPr>
          <w:rFonts w:eastAsiaTheme="minorHAnsi"/>
          <w:lang w:val="fr-FR" w:eastAsia="en-US"/>
        </w:rPr>
        <w:tab/>
        <w:t>Après « Les épreuves » ajouter « appropriées ».</w:t>
      </w:r>
    </w:p>
    <w:p w14:paraId="24DEB671"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ST/SG/AC.10/C.3/2024/12)</w:t>
      </w:r>
    </w:p>
    <w:p w14:paraId="0F09C926"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6.2</w:t>
      </w:r>
    </w:p>
    <w:p w14:paraId="05765DD9"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bookmarkStart w:id="1" w:name="_Hlk161650804"/>
      <w:r w:rsidRPr="003C30D9">
        <w:rPr>
          <w:lang w:val="fr-FR"/>
        </w:rPr>
        <w:t>6.2.2.1.1</w:t>
      </w:r>
      <w:r w:rsidRPr="003C30D9">
        <w:rPr>
          <w:rFonts w:eastAsiaTheme="minorHAnsi"/>
          <w:lang w:val="fr-FR" w:eastAsia="en-US"/>
        </w:rPr>
        <w:tab/>
        <w:t>Dans le tableau, pour la ligne relative à la norme ISO 4706:2008, dans la colonne « Applicable à la fabrication »,  remplacer « Jusqu’à nouvel ordre » par « Jusqu’au 31 décembre 2030 ». Après cette ligne, ajouter la nouvelle ligne suivante :</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9"/>
        <w:gridCol w:w="4646"/>
        <w:gridCol w:w="1230"/>
      </w:tblGrid>
      <w:tr w:rsidR="002C43BE" w:rsidRPr="003C30D9" w14:paraId="1B78643A" w14:textId="77777777" w:rsidTr="001F3651">
        <w:tc>
          <w:tcPr>
            <w:tcW w:w="1489" w:type="dxa"/>
            <w:tcBorders>
              <w:top w:val="single" w:sz="4" w:space="0" w:color="auto"/>
              <w:left w:val="single" w:sz="4" w:space="0" w:color="auto"/>
              <w:bottom w:val="single" w:sz="4" w:space="0" w:color="auto"/>
              <w:right w:val="single" w:sz="4" w:space="0" w:color="auto"/>
            </w:tcBorders>
            <w:hideMark/>
          </w:tcPr>
          <w:p w14:paraId="28FAF34C" w14:textId="77777777" w:rsidR="002C43BE" w:rsidRPr="003C30D9" w:rsidRDefault="002C43BE" w:rsidP="001F3651">
            <w:pPr>
              <w:spacing w:before="60" w:after="60" w:line="236" w:lineRule="atLeast"/>
              <w:ind w:left="57" w:right="57"/>
              <w:rPr>
                <w:lang w:val="fr-FR"/>
              </w:rPr>
            </w:pPr>
            <w:bookmarkStart w:id="2" w:name="_Hlk161650988"/>
            <w:bookmarkEnd w:id="1"/>
            <w:r w:rsidRPr="003C30D9">
              <w:rPr>
                <w:lang w:val="fr-FR"/>
              </w:rPr>
              <w:t>ISO 4706:2023</w:t>
            </w:r>
          </w:p>
        </w:tc>
        <w:tc>
          <w:tcPr>
            <w:tcW w:w="4646" w:type="dxa"/>
            <w:tcBorders>
              <w:top w:val="single" w:sz="4" w:space="0" w:color="auto"/>
              <w:left w:val="single" w:sz="4" w:space="0" w:color="auto"/>
              <w:bottom w:val="single" w:sz="4" w:space="0" w:color="auto"/>
              <w:right w:val="single" w:sz="4" w:space="0" w:color="auto"/>
            </w:tcBorders>
            <w:hideMark/>
          </w:tcPr>
          <w:p w14:paraId="3E547D8E" w14:textId="77777777" w:rsidR="002C43BE" w:rsidRPr="003C30D9" w:rsidRDefault="002C43BE" w:rsidP="001F3651">
            <w:pPr>
              <w:spacing w:before="60" w:after="60" w:line="236" w:lineRule="atLeast"/>
              <w:ind w:left="57" w:right="57"/>
              <w:rPr>
                <w:lang w:val="fr-FR"/>
              </w:rPr>
            </w:pPr>
            <w:r w:rsidRPr="003C30D9">
              <w:rPr>
                <w:lang w:val="fr-FR"/>
              </w:rPr>
              <w:t>Bouteilles à gaz − Bouteilles en acier soudées rechargeables − Pression d’essai de 60 bar et moins</w:t>
            </w:r>
          </w:p>
        </w:tc>
        <w:tc>
          <w:tcPr>
            <w:tcW w:w="1230" w:type="dxa"/>
            <w:tcBorders>
              <w:top w:val="single" w:sz="4" w:space="0" w:color="auto"/>
              <w:left w:val="single" w:sz="4" w:space="0" w:color="auto"/>
              <w:bottom w:val="single" w:sz="4" w:space="0" w:color="auto"/>
              <w:right w:val="single" w:sz="4" w:space="0" w:color="auto"/>
            </w:tcBorders>
            <w:hideMark/>
          </w:tcPr>
          <w:p w14:paraId="4A618D59" w14:textId="77777777" w:rsidR="002C43BE" w:rsidRPr="003C30D9" w:rsidRDefault="002C43BE" w:rsidP="001F3651">
            <w:pPr>
              <w:spacing w:before="60" w:after="60" w:line="236" w:lineRule="atLeast"/>
              <w:ind w:left="57" w:right="57"/>
              <w:rPr>
                <w:lang w:val="fr-FR"/>
              </w:rPr>
            </w:pPr>
            <w:r w:rsidRPr="003C30D9">
              <w:rPr>
                <w:lang w:val="fr-FR"/>
              </w:rPr>
              <w:t>Jusqu’à nouvel ordre</w:t>
            </w:r>
          </w:p>
        </w:tc>
      </w:tr>
    </w:tbl>
    <w:bookmarkEnd w:id="2"/>
    <w:p w14:paraId="74A9D730"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ST/SG/AC.10/C.3/2024/11, proposition 3)</w:t>
      </w:r>
    </w:p>
    <w:p w14:paraId="32B14FA3"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lang w:val="fr-FR"/>
        </w:rPr>
        <w:t>6.2.2.1.3</w:t>
      </w:r>
      <w:r w:rsidRPr="003C30D9">
        <w:rPr>
          <w:rFonts w:eastAsiaTheme="minorHAnsi"/>
          <w:lang w:val="fr-FR" w:eastAsia="en-US"/>
        </w:rPr>
        <w:tab/>
        <w:t>Dans le tableau, pour la ligne relative à la norme ISO 4706:2008, dans la colonne « Applicable à la fabrication », remplacer « Jusqu’à nouvel ordre » par « Jusqu’au 31 décembre 2030 ». Après cette ligne, ajouter la nouvelle ligne suivante :</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9"/>
        <w:gridCol w:w="4646"/>
        <w:gridCol w:w="1230"/>
      </w:tblGrid>
      <w:tr w:rsidR="002C43BE" w:rsidRPr="003C30D9" w14:paraId="2BD7D38D" w14:textId="77777777" w:rsidTr="001F3651">
        <w:tc>
          <w:tcPr>
            <w:tcW w:w="1489" w:type="dxa"/>
            <w:tcBorders>
              <w:top w:val="single" w:sz="4" w:space="0" w:color="auto"/>
              <w:left w:val="single" w:sz="4" w:space="0" w:color="auto"/>
              <w:bottom w:val="single" w:sz="4" w:space="0" w:color="auto"/>
              <w:right w:val="single" w:sz="4" w:space="0" w:color="auto"/>
            </w:tcBorders>
            <w:hideMark/>
          </w:tcPr>
          <w:p w14:paraId="5748FC27" w14:textId="77777777" w:rsidR="002C43BE" w:rsidRPr="003C30D9" w:rsidRDefault="002C43BE" w:rsidP="001F3651">
            <w:pPr>
              <w:spacing w:before="60" w:after="60" w:line="236" w:lineRule="atLeast"/>
              <w:ind w:left="57" w:right="57"/>
              <w:rPr>
                <w:lang w:val="fr-FR"/>
              </w:rPr>
            </w:pPr>
            <w:r w:rsidRPr="003C30D9">
              <w:rPr>
                <w:lang w:val="fr-FR"/>
              </w:rPr>
              <w:t>ISO 4706:2023</w:t>
            </w:r>
          </w:p>
        </w:tc>
        <w:tc>
          <w:tcPr>
            <w:tcW w:w="4646" w:type="dxa"/>
            <w:tcBorders>
              <w:top w:val="single" w:sz="4" w:space="0" w:color="auto"/>
              <w:left w:val="single" w:sz="4" w:space="0" w:color="auto"/>
              <w:bottom w:val="single" w:sz="4" w:space="0" w:color="auto"/>
              <w:right w:val="single" w:sz="4" w:space="0" w:color="auto"/>
            </w:tcBorders>
            <w:hideMark/>
          </w:tcPr>
          <w:p w14:paraId="25FE3923" w14:textId="77777777" w:rsidR="002C43BE" w:rsidRPr="003C30D9" w:rsidRDefault="002C43BE" w:rsidP="001F3651">
            <w:pPr>
              <w:spacing w:before="60" w:after="60" w:line="236" w:lineRule="atLeast"/>
              <w:ind w:left="57" w:right="57"/>
              <w:rPr>
                <w:lang w:val="fr-FR"/>
              </w:rPr>
            </w:pPr>
            <w:r w:rsidRPr="003C30D9">
              <w:rPr>
                <w:lang w:val="fr-FR"/>
              </w:rPr>
              <w:t>Bouteilles à gaz − Bouteilles en acier soudées rechargeables − Pression d’essai de 60 bar et moins</w:t>
            </w:r>
          </w:p>
        </w:tc>
        <w:tc>
          <w:tcPr>
            <w:tcW w:w="1230" w:type="dxa"/>
            <w:tcBorders>
              <w:top w:val="single" w:sz="4" w:space="0" w:color="auto"/>
              <w:left w:val="single" w:sz="4" w:space="0" w:color="auto"/>
              <w:bottom w:val="single" w:sz="4" w:space="0" w:color="auto"/>
              <w:right w:val="single" w:sz="4" w:space="0" w:color="auto"/>
            </w:tcBorders>
            <w:hideMark/>
          </w:tcPr>
          <w:p w14:paraId="24E2CCCE" w14:textId="77777777" w:rsidR="002C43BE" w:rsidRPr="003C30D9" w:rsidRDefault="002C43BE" w:rsidP="001F3651">
            <w:pPr>
              <w:spacing w:before="60" w:after="60" w:line="236" w:lineRule="atLeast"/>
              <w:ind w:left="57" w:right="57"/>
              <w:rPr>
                <w:lang w:val="fr-FR"/>
              </w:rPr>
            </w:pPr>
            <w:r w:rsidRPr="003C30D9">
              <w:rPr>
                <w:lang w:val="fr-FR"/>
              </w:rPr>
              <w:t>Jusqu’à nouvel ordre</w:t>
            </w:r>
          </w:p>
        </w:tc>
      </w:tr>
    </w:tbl>
    <w:p w14:paraId="11DBA476"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ST/SG/AC.10/C.3/2024/11, proposition 3)</w:t>
      </w:r>
    </w:p>
    <w:p w14:paraId="32410D59"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lang w:val="fr-FR"/>
        </w:rPr>
        <w:t>6.2.2.1.8</w:t>
      </w:r>
      <w:r w:rsidRPr="003C30D9">
        <w:rPr>
          <w:rFonts w:eastAsiaTheme="minorHAnsi"/>
          <w:lang w:val="fr-FR" w:eastAsia="en-US"/>
        </w:rPr>
        <w:tab/>
        <w:t xml:space="preserve">Dans le tableau, pour la ligne relative à la norme ISO 4706:2008, dans la colonne « Applicable à la fabrication », remplacer « Jusqu’à nouvel ordre » par </w:t>
      </w:r>
      <w:r w:rsidRPr="003C30D9">
        <w:rPr>
          <w:rFonts w:eastAsiaTheme="minorHAnsi"/>
          <w:lang w:val="fr-FR" w:eastAsia="en-US"/>
        </w:rPr>
        <w:lastRenderedPageBreak/>
        <w:t>« Jusqu’au 31 décembre 2030 ». Après cette ligne, ajouter la nouvelle ligne suivante :</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9"/>
        <w:gridCol w:w="4646"/>
        <w:gridCol w:w="1230"/>
      </w:tblGrid>
      <w:tr w:rsidR="002C43BE" w:rsidRPr="003C30D9" w14:paraId="745D1AD3" w14:textId="77777777" w:rsidTr="001F3651">
        <w:tc>
          <w:tcPr>
            <w:tcW w:w="1489" w:type="dxa"/>
            <w:tcBorders>
              <w:top w:val="single" w:sz="4" w:space="0" w:color="auto"/>
              <w:left w:val="single" w:sz="4" w:space="0" w:color="auto"/>
              <w:bottom w:val="single" w:sz="4" w:space="0" w:color="auto"/>
              <w:right w:val="single" w:sz="4" w:space="0" w:color="auto"/>
            </w:tcBorders>
            <w:hideMark/>
          </w:tcPr>
          <w:p w14:paraId="04A9D7F1" w14:textId="77777777" w:rsidR="002C43BE" w:rsidRPr="003C30D9" w:rsidRDefault="002C43BE" w:rsidP="001F3651">
            <w:pPr>
              <w:spacing w:before="60" w:after="60" w:line="236" w:lineRule="atLeast"/>
              <w:ind w:left="57" w:right="57"/>
              <w:rPr>
                <w:lang w:val="fr-FR"/>
              </w:rPr>
            </w:pPr>
            <w:r w:rsidRPr="003C30D9">
              <w:rPr>
                <w:lang w:val="fr-FR"/>
              </w:rPr>
              <w:t>ISO 4706:2023</w:t>
            </w:r>
          </w:p>
        </w:tc>
        <w:tc>
          <w:tcPr>
            <w:tcW w:w="4646" w:type="dxa"/>
            <w:tcBorders>
              <w:top w:val="single" w:sz="4" w:space="0" w:color="auto"/>
              <w:left w:val="single" w:sz="4" w:space="0" w:color="auto"/>
              <w:bottom w:val="single" w:sz="4" w:space="0" w:color="auto"/>
              <w:right w:val="single" w:sz="4" w:space="0" w:color="auto"/>
            </w:tcBorders>
            <w:hideMark/>
          </w:tcPr>
          <w:p w14:paraId="02CDEC68" w14:textId="77777777" w:rsidR="002C43BE" w:rsidRPr="003C30D9" w:rsidRDefault="002C43BE" w:rsidP="001F3651">
            <w:pPr>
              <w:spacing w:before="60" w:after="60" w:line="236" w:lineRule="atLeast"/>
              <w:ind w:left="57" w:right="57"/>
              <w:rPr>
                <w:lang w:val="fr-FR"/>
              </w:rPr>
            </w:pPr>
            <w:r w:rsidRPr="003C30D9">
              <w:rPr>
                <w:lang w:val="fr-FR"/>
              </w:rPr>
              <w:t>Bouteilles à gaz − Bouteilles en acier soudées rechargeables − Pression d’essai de 60 bar et moins</w:t>
            </w:r>
          </w:p>
        </w:tc>
        <w:tc>
          <w:tcPr>
            <w:tcW w:w="1230" w:type="dxa"/>
            <w:tcBorders>
              <w:top w:val="single" w:sz="4" w:space="0" w:color="auto"/>
              <w:left w:val="single" w:sz="4" w:space="0" w:color="auto"/>
              <w:bottom w:val="single" w:sz="4" w:space="0" w:color="auto"/>
              <w:right w:val="single" w:sz="4" w:space="0" w:color="auto"/>
            </w:tcBorders>
            <w:hideMark/>
          </w:tcPr>
          <w:p w14:paraId="30F2F992" w14:textId="77777777" w:rsidR="002C43BE" w:rsidRPr="003C30D9" w:rsidRDefault="002C43BE" w:rsidP="001F3651">
            <w:pPr>
              <w:spacing w:before="60" w:after="60" w:line="236" w:lineRule="atLeast"/>
              <w:ind w:left="57" w:right="57"/>
              <w:rPr>
                <w:lang w:val="fr-FR"/>
              </w:rPr>
            </w:pPr>
            <w:r w:rsidRPr="003C30D9">
              <w:rPr>
                <w:lang w:val="fr-FR"/>
              </w:rPr>
              <w:t>Jusqu’à nouvel ordre</w:t>
            </w:r>
          </w:p>
        </w:tc>
      </w:tr>
    </w:tbl>
    <w:p w14:paraId="32DAF7C1"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ST/SG/AC.10/C.3/2024/11, proposition 3)</w:t>
      </w:r>
    </w:p>
    <w:p w14:paraId="155F7E8F"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rFonts w:eastAsiaTheme="minorHAnsi"/>
          <w:lang w:val="fr-FR" w:eastAsia="en-US"/>
        </w:rPr>
        <w:t>[6.2.2.3</w:t>
      </w:r>
      <w:r w:rsidRPr="003C30D9">
        <w:rPr>
          <w:rFonts w:eastAsiaTheme="minorHAnsi"/>
          <w:lang w:val="fr-FR" w:eastAsia="en-US"/>
        </w:rPr>
        <w:tab/>
        <w:t xml:space="preserve">Dans le premier tableau, pour la ligne relative à la norme 10297:2014 + </w:t>
      </w:r>
      <w:proofErr w:type="spellStart"/>
      <w:r w:rsidRPr="003C30D9">
        <w:rPr>
          <w:rFonts w:eastAsiaTheme="minorHAnsi"/>
          <w:lang w:val="fr-FR" w:eastAsia="en-US"/>
        </w:rPr>
        <w:t>Amd</w:t>
      </w:r>
      <w:proofErr w:type="spellEnd"/>
      <w:r w:rsidRPr="003C30D9">
        <w:rPr>
          <w:rFonts w:eastAsiaTheme="minorHAnsi"/>
          <w:lang w:val="fr-FR" w:eastAsia="en-US"/>
        </w:rPr>
        <w:t xml:space="preserve"> 1:2017, dans la colonne « Applicable à la fabrication », remplacer « Jusqu’à nouvel ordre » par « Jusqu’au 31 décembre 2028 ». Après cette ligne, ajouter la nouvelle ligne suivante :</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9"/>
        <w:gridCol w:w="4646"/>
        <w:gridCol w:w="1230"/>
      </w:tblGrid>
      <w:tr w:rsidR="002C43BE" w:rsidRPr="003C30D9" w14:paraId="2493D618" w14:textId="77777777" w:rsidTr="001F3651">
        <w:tc>
          <w:tcPr>
            <w:tcW w:w="1489" w:type="dxa"/>
            <w:tcBorders>
              <w:top w:val="single" w:sz="4" w:space="0" w:color="auto"/>
              <w:left w:val="single" w:sz="4" w:space="0" w:color="auto"/>
              <w:bottom w:val="single" w:sz="4" w:space="0" w:color="auto"/>
              <w:right w:val="single" w:sz="4" w:space="0" w:color="auto"/>
            </w:tcBorders>
            <w:hideMark/>
          </w:tcPr>
          <w:p w14:paraId="0B86E674" w14:textId="77777777" w:rsidR="002C43BE" w:rsidRPr="003C30D9" w:rsidRDefault="002C43BE" w:rsidP="001F3651">
            <w:pPr>
              <w:spacing w:before="60" w:after="60" w:line="236" w:lineRule="atLeast"/>
              <w:ind w:left="57" w:right="57"/>
              <w:rPr>
                <w:lang w:val="fr-FR"/>
              </w:rPr>
            </w:pPr>
            <w:r w:rsidRPr="003C30D9">
              <w:rPr>
                <w:lang w:val="fr-FR"/>
              </w:rPr>
              <w:t>ISO 10297:2024</w:t>
            </w:r>
          </w:p>
        </w:tc>
        <w:tc>
          <w:tcPr>
            <w:tcW w:w="4646" w:type="dxa"/>
            <w:tcBorders>
              <w:top w:val="single" w:sz="4" w:space="0" w:color="auto"/>
              <w:left w:val="single" w:sz="4" w:space="0" w:color="auto"/>
              <w:bottom w:val="single" w:sz="4" w:space="0" w:color="auto"/>
              <w:right w:val="single" w:sz="4" w:space="0" w:color="auto"/>
            </w:tcBorders>
            <w:hideMark/>
          </w:tcPr>
          <w:p w14:paraId="5143B3F3" w14:textId="77777777" w:rsidR="002C43BE" w:rsidRPr="003C30D9" w:rsidRDefault="002C43BE" w:rsidP="001F3651">
            <w:pPr>
              <w:spacing w:before="60" w:after="60" w:line="236" w:lineRule="atLeast"/>
              <w:ind w:left="57" w:right="57"/>
              <w:rPr>
                <w:lang w:val="fr-FR"/>
              </w:rPr>
            </w:pPr>
            <w:r w:rsidRPr="003C30D9">
              <w:rPr>
                <w:lang w:val="fr-FR"/>
              </w:rPr>
              <w:t>Bouteilles à gaz — Robinets de bouteilles — Spécifications et essais de type</w:t>
            </w:r>
          </w:p>
        </w:tc>
        <w:tc>
          <w:tcPr>
            <w:tcW w:w="1230" w:type="dxa"/>
            <w:tcBorders>
              <w:top w:val="single" w:sz="4" w:space="0" w:color="auto"/>
              <w:left w:val="single" w:sz="4" w:space="0" w:color="auto"/>
              <w:bottom w:val="single" w:sz="4" w:space="0" w:color="auto"/>
              <w:right w:val="single" w:sz="4" w:space="0" w:color="auto"/>
            </w:tcBorders>
            <w:hideMark/>
          </w:tcPr>
          <w:p w14:paraId="2D5B59E1" w14:textId="77777777" w:rsidR="002C43BE" w:rsidRPr="003C30D9" w:rsidRDefault="002C43BE" w:rsidP="001F3651">
            <w:pPr>
              <w:spacing w:before="60" w:after="60" w:line="236" w:lineRule="atLeast"/>
              <w:ind w:left="57" w:right="57"/>
              <w:rPr>
                <w:lang w:val="fr-FR"/>
              </w:rPr>
            </w:pPr>
            <w:r w:rsidRPr="003C30D9">
              <w:rPr>
                <w:lang w:val="fr-FR"/>
              </w:rPr>
              <w:t>Jusqu’à nouvel ordre</w:t>
            </w:r>
          </w:p>
        </w:tc>
      </w:tr>
    </w:tbl>
    <w:p w14:paraId="568929E3" w14:textId="77777777" w:rsidR="002C43BE" w:rsidRPr="003C30D9" w:rsidRDefault="002C43BE" w:rsidP="002C43BE">
      <w:pPr>
        <w:pStyle w:val="SingleTxtG"/>
        <w:tabs>
          <w:tab w:val="clear" w:pos="1701"/>
        </w:tabs>
        <w:spacing w:before="120"/>
        <w:rPr>
          <w:lang w:val="fr-FR"/>
        </w:rPr>
      </w:pPr>
      <w:r w:rsidRPr="003C30D9">
        <w:rPr>
          <w:lang w:val="fr-FR"/>
        </w:rPr>
        <w:t>]</w:t>
      </w:r>
    </w:p>
    <w:p w14:paraId="6718DB21"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document informel INF.8)</w:t>
      </w:r>
    </w:p>
    <w:p w14:paraId="3F9B6FE2"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rFonts w:eastAsiaTheme="minorHAnsi"/>
          <w:lang w:val="fr-FR" w:eastAsia="en-US"/>
        </w:rPr>
        <w:t>6.2.2.4</w:t>
      </w:r>
      <w:r w:rsidRPr="003C30D9">
        <w:rPr>
          <w:rFonts w:eastAsiaTheme="minorHAnsi"/>
          <w:lang w:val="fr-FR" w:eastAsia="en-US"/>
        </w:rPr>
        <w:tab/>
      </w:r>
      <w:r w:rsidRPr="003C30D9">
        <w:rPr>
          <w:rFonts w:eastAsiaTheme="minorHAnsi"/>
          <w:lang w:val="fr-FR" w:eastAsia="en-US"/>
        </w:rPr>
        <w:tab/>
        <w:t>Dans le premier tableau, pour la ligne relative à la norme ISO 11623:2015, dans la colonne « Applicable à la fabrication », remplacer « Jusqu’à nouvel ordre » par « Jusqu’au 31 décembre 2028 ». Après cette ligne, ajouter la nouvelle ligne suivante :</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4577"/>
        <w:gridCol w:w="1234"/>
      </w:tblGrid>
      <w:tr w:rsidR="002C43BE" w:rsidRPr="003C30D9" w14:paraId="5F3D0BD9" w14:textId="77777777" w:rsidTr="001F3651">
        <w:tc>
          <w:tcPr>
            <w:tcW w:w="1554" w:type="dxa"/>
            <w:tcBorders>
              <w:top w:val="single" w:sz="4" w:space="0" w:color="auto"/>
              <w:left w:val="single" w:sz="4" w:space="0" w:color="auto"/>
              <w:bottom w:val="single" w:sz="4" w:space="0" w:color="auto"/>
              <w:right w:val="single" w:sz="4" w:space="0" w:color="auto"/>
            </w:tcBorders>
            <w:hideMark/>
          </w:tcPr>
          <w:p w14:paraId="49200459" w14:textId="77777777" w:rsidR="002C43BE" w:rsidRPr="003C30D9" w:rsidRDefault="002C43BE" w:rsidP="001F3651">
            <w:pPr>
              <w:spacing w:before="60" w:after="60"/>
              <w:ind w:left="57" w:right="57"/>
              <w:rPr>
                <w:lang w:val="fr-FR"/>
              </w:rPr>
            </w:pPr>
            <w:r w:rsidRPr="003C30D9">
              <w:rPr>
                <w:lang w:val="fr-FR"/>
              </w:rPr>
              <w:t>ISO 11623:2023</w:t>
            </w:r>
          </w:p>
        </w:tc>
        <w:tc>
          <w:tcPr>
            <w:tcW w:w="4577" w:type="dxa"/>
            <w:tcBorders>
              <w:top w:val="single" w:sz="4" w:space="0" w:color="auto"/>
              <w:left w:val="single" w:sz="4" w:space="0" w:color="auto"/>
              <w:bottom w:val="single" w:sz="4" w:space="0" w:color="auto"/>
              <w:right w:val="single" w:sz="4" w:space="0" w:color="auto"/>
            </w:tcBorders>
            <w:hideMark/>
          </w:tcPr>
          <w:p w14:paraId="6C539C9A" w14:textId="77777777" w:rsidR="002C43BE" w:rsidRPr="003C30D9" w:rsidRDefault="002C43BE" w:rsidP="001F3651">
            <w:pPr>
              <w:spacing w:before="60" w:after="60"/>
              <w:ind w:left="57" w:right="57"/>
              <w:rPr>
                <w:lang w:val="fr-FR"/>
              </w:rPr>
            </w:pPr>
            <w:r w:rsidRPr="003C30D9">
              <w:rPr>
                <w:lang w:val="fr-FR"/>
              </w:rPr>
              <w:t>Bouteilles à gaz − Bouteilles et tubes composites − Contrôles et essais périodiques</w:t>
            </w:r>
          </w:p>
          <w:p w14:paraId="5EABAAB7" w14:textId="77777777" w:rsidR="002C43BE" w:rsidRPr="003C30D9" w:rsidRDefault="002C43BE" w:rsidP="001F3651">
            <w:pPr>
              <w:spacing w:before="60" w:after="60"/>
              <w:ind w:left="57" w:right="57"/>
              <w:rPr>
                <w:i/>
                <w:iCs/>
                <w:lang w:val="fr-FR"/>
              </w:rPr>
            </w:pPr>
            <w:r w:rsidRPr="003C30D9">
              <w:rPr>
                <w:b/>
                <w:bCs/>
                <w:i/>
                <w:iCs/>
                <w:lang w:val="fr-FR"/>
              </w:rPr>
              <w:t>NOTA </w:t>
            </w:r>
            <w:r w:rsidRPr="003C30D9">
              <w:rPr>
                <w:i/>
                <w:iCs/>
                <w:lang w:val="fr-FR"/>
              </w:rPr>
              <w:t>: L'épreuve de pression ne doit pas être remplacée par une technique d'épreuve non destructive, bien que de telles techniques puissent être utilisées à des fins de surveillance.</w:t>
            </w:r>
          </w:p>
        </w:tc>
        <w:tc>
          <w:tcPr>
            <w:tcW w:w="1234" w:type="dxa"/>
            <w:tcBorders>
              <w:top w:val="single" w:sz="4" w:space="0" w:color="auto"/>
              <w:left w:val="single" w:sz="4" w:space="0" w:color="auto"/>
              <w:bottom w:val="single" w:sz="4" w:space="0" w:color="auto"/>
              <w:right w:val="single" w:sz="4" w:space="0" w:color="auto"/>
            </w:tcBorders>
            <w:hideMark/>
          </w:tcPr>
          <w:p w14:paraId="7AC12889" w14:textId="77777777" w:rsidR="002C43BE" w:rsidRPr="003C30D9" w:rsidRDefault="002C43BE" w:rsidP="001F3651">
            <w:pPr>
              <w:spacing w:before="60" w:after="60"/>
              <w:ind w:left="57" w:right="57"/>
              <w:rPr>
                <w:lang w:val="fr-FR"/>
              </w:rPr>
            </w:pPr>
            <w:r w:rsidRPr="003C30D9">
              <w:rPr>
                <w:lang w:val="fr-FR"/>
              </w:rPr>
              <w:t>Jusqu’à nouvel ordre</w:t>
            </w:r>
          </w:p>
        </w:tc>
      </w:tr>
    </w:tbl>
    <w:p w14:paraId="43FC7C3E"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ST/SG/AC.10/C.3/2024/11, proposition 2 telle que modifiée par le document informel INF.56, paragraphe 9)</w:t>
      </w:r>
    </w:p>
    <w:p w14:paraId="48372C64"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6.3</w:t>
      </w:r>
    </w:p>
    <w:p w14:paraId="07AED851"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lang w:val="fr-FR"/>
        </w:rPr>
        <w:t>6.3.5.1.3</w:t>
      </w:r>
      <w:r w:rsidRPr="003C30D9">
        <w:rPr>
          <w:rFonts w:eastAsiaTheme="minorHAnsi"/>
          <w:lang w:val="fr-FR" w:eastAsia="en-US"/>
        </w:rPr>
        <w:tab/>
        <w:t>Après « Les épreuves » ajouter « appropriées ».</w:t>
      </w:r>
    </w:p>
    <w:p w14:paraId="59AD42B0"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ST/SG/AC.10/C.3/2024/12)</w:t>
      </w:r>
    </w:p>
    <w:p w14:paraId="66E43AAB"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6.6</w:t>
      </w:r>
    </w:p>
    <w:p w14:paraId="5CAB9F11" w14:textId="77777777" w:rsidR="002C43BE" w:rsidRPr="003C30D9" w:rsidRDefault="002C43BE" w:rsidP="002C43BE">
      <w:pPr>
        <w:tabs>
          <w:tab w:val="left" w:pos="1701"/>
          <w:tab w:val="left" w:pos="2268"/>
          <w:tab w:val="left" w:pos="2835"/>
        </w:tabs>
        <w:spacing w:before="120" w:after="120"/>
        <w:ind w:left="2268" w:right="1134" w:hanging="1134"/>
        <w:jc w:val="both"/>
        <w:rPr>
          <w:rFonts w:eastAsiaTheme="minorHAnsi"/>
          <w:lang w:val="fr-FR" w:eastAsia="en-US"/>
        </w:rPr>
      </w:pPr>
      <w:r w:rsidRPr="003C30D9">
        <w:rPr>
          <w:lang w:val="fr-FR"/>
        </w:rPr>
        <w:t>6.6.5.1.3</w:t>
      </w:r>
      <w:r w:rsidRPr="003C30D9">
        <w:rPr>
          <w:rFonts w:eastAsiaTheme="minorHAnsi"/>
          <w:lang w:val="fr-FR" w:eastAsia="en-US"/>
        </w:rPr>
        <w:tab/>
        <w:t>Dans la première phrase, après « Les épreuves » ajouter « appropriées ».</w:t>
      </w:r>
    </w:p>
    <w:p w14:paraId="3F022D10" w14:textId="77777777" w:rsidR="002C43BE" w:rsidRPr="003C30D9" w:rsidRDefault="002C43BE" w:rsidP="002C43BE">
      <w:pPr>
        <w:pStyle w:val="SingleTxtG"/>
        <w:tabs>
          <w:tab w:val="clear" w:pos="1701"/>
        </w:tabs>
        <w:spacing w:before="120"/>
        <w:rPr>
          <w:i/>
          <w:iCs/>
          <w:lang w:val="fr-FR"/>
        </w:rPr>
      </w:pPr>
      <w:r w:rsidRPr="003C30D9">
        <w:rPr>
          <w:i/>
          <w:iCs/>
          <w:lang w:val="fr-FR"/>
        </w:rPr>
        <w:t>(Document de référence : ST/SG/AC.10/C.3/2024/12)</w:t>
      </w:r>
    </w:p>
    <w:p w14:paraId="51878924"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6.7</w:t>
      </w:r>
    </w:p>
    <w:p w14:paraId="57A50B1C"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6.7.2.17.5</w:t>
      </w:r>
      <w:r w:rsidRPr="003C30D9">
        <w:rPr>
          <w:rFonts w:eastAsiaTheme="minorHAnsi"/>
          <w:lang w:val="fr-FR" w:eastAsia="en-US"/>
        </w:rPr>
        <w:tab/>
        <w:t>À l’alinéa d), remplacer « </w:t>
      </w:r>
      <w:r w:rsidRPr="003C30D9">
        <w:rPr>
          <w:lang w:val="fr-FR"/>
        </w:rPr>
        <w:t xml:space="preserve">ISO 1496-3:1995. » par « ISO 1496-3:2019. </w:t>
      </w:r>
      <w:r w:rsidRPr="003C30D9">
        <w:rPr>
          <w:rFonts w:eastAsiaTheme="minorHAnsi"/>
          <w:lang w:val="fr-FR" w:eastAsia="en-US"/>
        </w:rPr>
        <w:t>Les modèles types conformes à la norme ISO 1496-3:1995 agréés avant le 1</w:t>
      </w:r>
      <w:r w:rsidRPr="003C30D9">
        <w:rPr>
          <w:rFonts w:eastAsiaTheme="minorHAnsi"/>
          <w:vertAlign w:val="superscript"/>
          <w:lang w:val="fr-FR" w:eastAsia="en-US"/>
        </w:rPr>
        <w:t>er</w:t>
      </w:r>
      <w:r w:rsidRPr="003C30D9">
        <w:rPr>
          <w:rFonts w:eastAsiaTheme="minorHAnsi"/>
          <w:lang w:val="fr-FR" w:eastAsia="en-US"/>
        </w:rPr>
        <w:t xml:space="preserve"> janvier 2030 peuvent encore être utilisés. ».</w:t>
      </w:r>
    </w:p>
    <w:p w14:paraId="71A813A0"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1a, telle que modifiée)</w:t>
      </w:r>
    </w:p>
    <w:p w14:paraId="5805D4E3"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6.7.2.18.2</w:t>
      </w:r>
      <w:r w:rsidRPr="003C30D9">
        <w:rPr>
          <w:rFonts w:eastAsiaTheme="minorHAnsi"/>
          <w:lang w:val="fr-FR" w:eastAsia="en-US"/>
        </w:rPr>
        <w:tab/>
        <w:t>À l’alinéa a), remplacer « </w:t>
      </w:r>
      <w:r w:rsidRPr="003C30D9">
        <w:rPr>
          <w:lang w:val="fr-FR"/>
        </w:rPr>
        <w:t xml:space="preserve">ISO 1496-3:1995 ; » par « ISO 1496-3:2019. </w:t>
      </w:r>
      <w:r w:rsidRPr="003C30D9">
        <w:rPr>
          <w:rFonts w:eastAsiaTheme="minorHAnsi"/>
          <w:lang w:val="fr-FR" w:eastAsia="en-US"/>
        </w:rPr>
        <w:t>Les essais spécifiés dans la norme ISO 1496-3:1995 peuvent encore être utilisés jusqu'au 31 décembre 2029 ; ».</w:t>
      </w:r>
    </w:p>
    <w:p w14:paraId="72C4FABA"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1b, telle que modifiée)</w:t>
      </w:r>
    </w:p>
    <w:p w14:paraId="09D3B1DA"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lastRenderedPageBreak/>
        <w:t>6.7.3.13.5</w:t>
      </w:r>
      <w:r w:rsidRPr="003C30D9">
        <w:rPr>
          <w:rFonts w:eastAsiaTheme="minorHAnsi"/>
          <w:lang w:val="fr-FR" w:eastAsia="en-US"/>
        </w:rPr>
        <w:tab/>
        <w:t>À l’alinéa d), remplacer « </w:t>
      </w:r>
      <w:r w:rsidRPr="003C30D9">
        <w:rPr>
          <w:lang w:val="fr-FR"/>
        </w:rPr>
        <w:t xml:space="preserve">ISO 1496-3:1995. » par « ISO 1496-3:2019. </w:t>
      </w:r>
      <w:r w:rsidRPr="003C30D9">
        <w:rPr>
          <w:rFonts w:eastAsiaTheme="minorHAnsi"/>
          <w:lang w:val="fr-FR" w:eastAsia="en-US"/>
        </w:rPr>
        <w:t>Les modèles types conformes à la norme ISO 1496-3:1995 agréés avant le 1</w:t>
      </w:r>
      <w:r w:rsidRPr="003C30D9">
        <w:rPr>
          <w:rFonts w:eastAsiaTheme="minorHAnsi"/>
          <w:vertAlign w:val="superscript"/>
          <w:lang w:val="fr-FR" w:eastAsia="en-US"/>
        </w:rPr>
        <w:t>er</w:t>
      </w:r>
      <w:r w:rsidRPr="003C30D9">
        <w:rPr>
          <w:rFonts w:eastAsiaTheme="minorHAnsi"/>
          <w:lang w:val="fr-FR" w:eastAsia="en-US"/>
        </w:rPr>
        <w:t xml:space="preserve"> janvier 2030 peuvent encore être utilisés. ».</w:t>
      </w:r>
    </w:p>
    <w:p w14:paraId="195AAA7A"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1c, telle que modifiée)</w:t>
      </w:r>
    </w:p>
    <w:p w14:paraId="464AB93A"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6.7.3.14.2</w:t>
      </w:r>
      <w:r w:rsidRPr="003C30D9">
        <w:rPr>
          <w:rFonts w:eastAsiaTheme="minorHAnsi"/>
          <w:lang w:val="fr-FR" w:eastAsia="en-US"/>
        </w:rPr>
        <w:tab/>
        <w:t>À l’alinéa a), remplacer « </w:t>
      </w:r>
      <w:r w:rsidRPr="003C30D9">
        <w:rPr>
          <w:lang w:val="fr-FR"/>
        </w:rPr>
        <w:t xml:space="preserve">ISO 1496-3:1995 ; » par « ISO 1496-3:2019. </w:t>
      </w:r>
      <w:r w:rsidRPr="003C30D9">
        <w:rPr>
          <w:rFonts w:eastAsiaTheme="minorHAnsi"/>
          <w:lang w:val="fr-FR" w:eastAsia="en-US"/>
        </w:rPr>
        <w:t>Les essais spécifiés dans la norme ISO 1496-3:1995 peuvent encore être utilisés jusqu'au 31 décembre 2029 ; ».</w:t>
      </w:r>
    </w:p>
    <w:p w14:paraId="3BB0B4AC"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1d, telle que modifiée)</w:t>
      </w:r>
    </w:p>
    <w:p w14:paraId="050FF2B8"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6.7.4.12.5</w:t>
      </w:r>
      <w:r w:rsidRPr="003C30D9">
        <w:rPr>
          <w:rFonts w:eastAsiaTheme="minorHAnsi"/>
          <w:lang w:val="fr-FR" w:eastAsia="en-US"/>
        </w:rPr>
        <w:tab/>
        <w:t>À l’alinéa d), remplacer « </w:t>
      </w:r>
      <w:r w:rsidRPr="003C30D9">
        <w:rPr>
          <w:lang w:val="fr-FR"/>
        </w:rPr>
        <w:t xml:space="preserve">ISO 1496-3:1995. » par « ISO 1496-3:2019. </w:t>
      </w:r>
      <w:r w:rsidRPr="003C30D9">
        <w:rPr>
          <w:rFonts w:eastAsiaTheme="minorHAnsi"/>
          <w:lang w:val="fr-FR" w:eastAsia="en-US"/>
        </w:rPr>
        <w:t>Les modèles types conformes à la norme ISO 1496-3:1995 agréés avant le 1</w:t>
      </w:r>
      <w:r w:rsidRPr="003C30D9">
        <w:rPr>
          <w:rFonts w:eastAsiaTheme="minorHAnsi"/>
          <w:vertAlign w:val="superscript"/>
          <w:lang w:val="fr-FR" w:eastAsia="en-US"/>
        </w:rPr>
        <w:t>er</w:t>
      </w:r>
      <w:r w:rsidRPr="003C30D9">
        <w:rPr>
          <w:rFonts w:eastAsiaTheme="minorHAnsi"/>
          <w:lang w:val="fr-FR" w:eastAsia="en-US"/>
        </w:rPr>
        <w:t xml:space="preserve"> janvier 2030 peuvent encore être utilisés. ».</w:t>
      </w:r>
    </w:p>
    <w:p w14:paraId="4FDF3437"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1e, telle que modifiée)</w:t>
      </w:r>
    </w:p>
    <w:p w14:paraId="40E304BC"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6.7.4.13.2</w:t>
      </w:r>
      <w:r w:rsidRPr="003C30D9">
        <w:rPr>
          <w:rFonts w:eastAsiaTheme="minorHAnsi"/>
          <w:lang w:val="fr-FR" w:eastAsia="en-US"/>
        </w:rPr>
        <w:tab/>
        <w:t>À l’alinéa a), remplacer « </w:t>
      </w:r>
      <w:r w:rsidRPr="003C30D9">
        <w:rPr>
          <w:lang w:val="fr-FR"/>
        </w:rPr>
        <w:t xml:space="preserve">ISO 1496-3:1995 ; » par « ISO 1496-3:2019. </w:t>
      </w:r>
      <w:r w:rsidRPr="003C30D9">
        <w:rPr>
          <w:rFonts w:eastAsiaTheme="minorHAnsi"/>
          <w:lang w:val="fr-FR" w:eastAsia="en-US"/>
        </w:rPr>
        <w:t>Les essais spécifiés dans la norme ISO 1496-3:1995 peuvent encore être utilisés jusqu'au 31 décembre 2029 ; ».</w:t>
      </w:r>
    </w:p>
    <w:p w14:paraId="60398992"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1f, telle que modifiée)</w:t>
      </w:r>
    </w:p>
    <w:p w14:paraId="1A5F87C0"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6.7.5.10.4</w:t>
      </w:r>
      <w:r w:rsidRPr="003C30D9">
        <w:rPr>
          <w:rFonts w:eastAsiaTheme="minorHAnsi"/>
          <w:lang w:val="fr-FR" w:eastAsia="en-US"/>
        </w:rPr>
        <w:tab/>
        <w:t>À l’alinéa d), remplacer « </w:t>
      </w:r>
      <w:r w:rsidRPr="003C30D9">
        <w:rPr>
          <w:lang w:val="fr-FR"/>
        </w:rPr>
        <w:t xml:space="preserve">ISO 1496-3:1995. » par « ISO 1496-3:2019. </w:t>
      </w:r>
      <w:r w:rsidRPr="003C30D9">
        <w:rPr>
          <w:rFonts w:eastAsiaTheme="minorHAnsi"/>
          <w:lang w:val="fr-FR" w:eastAsia="en-US"/>
        </w:rPr>
        <w:t>Les modèles types conformes à la norme ISO 1496-3:1995 agréés avant le 1</w:t>
      </w:r>
      <w:r w:rsidRPr="003C30D9">
        <w:rPr>
          <w:rFonts w:eastAsiaTheme="minorHAnsi"/>
          <w:vertAlign w:val="superscript"/>
          <w:lang w:val="fr-FR" w:eastAsia="en-US"/>
        </w:rPr>
        <w:t>er</w:t>
      </w:r>
      <w:r w:rsidRPr="003C30D9">
        <w:rPr>
          <w:rFonts w:eastAsiaTheme="minorHAnsi"/>
          <w:lang w:val="fr-FR" w:eastAsia="en-US"/>
        </w:rPr>
        <w:t xml:space="preserve"> janvier 2030 peuvent encore être utilisés. ».</w:t>
      </w:r>
    </w:p>
    <w:p w14:paraId="5DE77ED4"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1g, telle que modifiée)</w:t>
      </w:r>
    </w:p>
    <w:p w14:paraId="14F9800E"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6.7.5.11.2</w:t>
      </w:r>
      <w:r w:rsidRPr="003C30D9">
        <w:rPr>
          <w:rFonts w:eastAsiaTheme="minorHAnsi"/>
          <w:lang w:val="fr-FR" w:eastAsia="en-US"/>
        </w:rPr>
        <w:tab/>
        <w:t>À l’alinéa a), remplacer « </w:t>
      </w:r>
      <w:r w:rsidRPr="003C30D9">
        <w:rPr>
          <w:lang w:val="fr-FR"/>
        </w:rPr>
        <w:t xml:space="preserve">ISO 1496-3:1995 ; » par « ISO 1496-3:2019. </w:t>
      </w:r>
      <w:r w:rsidRPr="003C30D9">
        <w:rPr>
          <w:rFonts w:eastAsiaTheme="minorHAnsi"/>
          <w:lang w:val="fr-FR" w:eastAsia="en-US"/>
        </w:rPr>
        <w:t>Les essais spécifiés dans la norme ISO 1496-3:1995 peuvent encore être utilisés jusqu'au 31 décembre 2029 ; ».</w:t>
      </w:r>
    </w:p>
    <w:p w14:paraId="42B26849"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1h, telle que modifiée)</w:t>
      </w:r>
    </w:p>
    <w:p w14:paraId="51579222"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6.8</w:t>
      </w:r>
    </w:p>
    <w:p w14:paraId="278E057C"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6.8.3.1.1</w:t>
      </w:r>
      <w:r w:rsidRPr="003C30D9">
        <w:rPr>
          <w:rFonts w:eastAsiaTheme="minorHAnsi"/>
          <w:lang w:val="fr-FR" w:eastAsia="en-US"/>
        </w:rPr>
        <w:tab/>
        <w:t>Remplacer « </w:t>
      </w:r>
      <w:r w:rsidRPr="003C30D9">
        <w:rPr>
          <w:lang w:val="fr-FR"/>
        </w:rPr>
        <w:t>ISO 1496</w:t>
      </w:r>
      <w:r w:rsidRPr="003C30D9">
        <w:rPr>
          <w:lang w:val="fr-FR"/>
        </w:rPr>
        <w:noBreakHyphen/>
        <w:t>4:1991 » par « ISO 1496</w:t>
      </w:r>
      <w:r w:rsidRPr="003C30D9">
        <w:rPr>
          <w:lang w:val="fr-FR"/>
        </w:rPr>
        <w:noBreakHyphen/>
        <w:t>4:2023</w:t>
      </w:r>
      <w:r w:rsidRPr="003C30D9">
        <w:rPr>
          <w:rFonts w:eastAsiaTheme="minorHAnsi"/>
          <w:lang w:val="fr-FR" w:eastAsia="en-US"/>
        </w:rPr>
        <w:t> ». Ajouter la nouvelle phrase suivante à la fin : « Les types de conteneurs pour vrac conformes à la norme ISO 1496-4:1991 peuvent encore être utilisés jusqu'au 31 décembre 2034. ».</w:t>
      </w:r>
    </w:p>
    <w:p w14:paraId="0E752571"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2a, telle que modifiée)</w:t>
      </w:r>
    </w:p>
    <w:p w14:paraId="3F2A06CA" w14:textId="77777777" w:rsidR="002C43BE" w:rsidRPr="003C30D9" w:rsidRDefault="002C43BE" w:rsidP="002C43BE">
      <w:pPr>
        <w:pStyle w:val="SingleTxtG"/>
        <w:ind w:left="2268" w:hanging="1134"/>
        <w:rPr>
          <w:rFonts w:eastAsiaTheme="minorHAnsi"/>
          <w:lang w:val="fr-FR" w:eastAsia="en-US"/>
        </w:rPr>
      </w:pPr>
      <w:r w:rsidRPr="003C30D9">
        <w:rPr>
          <w:rFonts w:eastAsiaTheme="minorHAnsi"/>
          <w:lang w:val="fr-FR" w:eastAsia="en-US"/>
        </w:rPr>
        <w:t>6.8.3.1.2</w:t>
      </w:r>
      <w:r w:rsidRPr="003C30D9">
        <w:rPr>
          <w:rFonts w:eastAsiaTheme="minorHAnsi"/>
          <w:lang w:val="fr-FR" w:eastAsia="en-US"/>
        </w:rPr>
        <w:tab/>
        <w:t>Remplacer « </w:t>
      </w:r>
      <w:r w:rsidRPr="003C30D9">
        <w:rPr>
          <w:lang w:val="fr-FR"/>
        </w:rPr>
        <w:t>ISO 1496</w:t>
      </w:r>
      <w:r w:rsidRPr="003C30D9">
        <w:rPr>
          <w:lang w:val="fr-FR"/>
        </w:rPr>
        <w:noBreakHyphen/>
        <w:t>4:1991 » par « ISO 1496</w:t>
      </w:r>
      <w:r w:rsidRPr="003C30D9">
        <w:rPr>
          <w:lang w:val="fr-FR"/>
        </w:rPr>
        <w:noBreakHyphen/>
        <w:t>4:2023</w:t>
      </w:r>
      <w:r w:rsidRPr="003C30D9">
        <w:rPr>
          <w:rFonts w:eastAsiaTheme="minorHAnsi"/>
          <w:lang w:val="fr-FR" w:eastAsia="en-US"/>
        </w:rPr>
        <w:t> ». Ajouter la nouvelle phrase suivante à la fin : « Les prescriptions d'essai de la norme ISO 1496-4:1991 peuvent encore être utilisées jusqu'au 31 décembre 2034. ».</w:t>
      </w:r>
    </w:p>
    <w:p w14:paraId="4A5349B3" w14:textId="77777777" w:rsidR="002C43BE" w:rsidRPr="003C30D9" w:rsidRDefault="002C43BE" w:rsidP="002C43BE">
      <w:pPr>
        <w:pStyle w:val="SingleTxtG"/>
        <w:ind w:left="2268" w:hanging="1134"/>
        <w:rPr>
          <w:rFonts w:eastAsiaTheme="minorHAnsi"/>
          <w:i/>
          <w:iCs/>
          <w:lang w:val="fr-FR" w:eastAsia="en-US"/>
        </w:rPr>
      </w:pPr>
      <w:r w:rsidRPr="003C30D9">
        <w:rPr>
          <w:rFonts w:eastAsiaTheme="minorHAnsi"/>
          <w:i/>
          <w:iCs/>
          <w:lang w:val="fr-FR" w:eastAsia="en-US"/>
        </w:rPr>
        <w:t>(Document de référence : document informel INF.72, proposition 2b, telle que modifiée)</w:t>
      </w:r>
    </w:p>
    <w:p w14:paraId="783F3B74" w14:textId="77777777" w:rsidR="002C43BE" w:rsidRPr="003C30D9" w:rsidRDefault="002C43BE" w:rsidP="002C43BE">
      <w:pPr>
        <w:keepNext/>
        <w:keepLines/>
        <w:tabs>
          <w:tab w:val="right" w:pos="851"/>
        </w:tabs>
        <w:spacing w:before="360" w:after="240" w:line="270" w:lineRule="exact"/>
        <w:ind w:left="1134" w:right="1134" w:hanging="1134"/>
        <w:outlineLvl w:val="2"/>
        <w:rPr>
          <w:rFonts w:eastAsiaTheme="minorHAnsi"/>
          <w:b/>
          <w:sz w:val="24"/>
          <w:lang w:val="fr-FR" w:eastAsia="en-US"/>
        </w:rPr>
      </w:pPr>
      <w:r w:rsidRPr="003C30D9">
        <w:rPr>
          <w:rFonts w:eastAsiaTheme="minorHAnsi"/>
          <w:b/>
          <w:sz w:val="24"/>
          <w:lang w:val="fr-FR" w:eastAsia="en-US"/>
        </w:rPr>
        <w:tab/>
      </w:r>
      <w:r w:rsidRPr="003C30D9">
        <w:rPr>
          <w:rFonts w:eastAsiaTheme="minorHAnsi"/>
          <w:b/>
          <w:sz w:val="24"/>
          <w:lang w:val="fr-FR" w:eastAsia="en-US"/>
        </w:rPr>
        <w:tab/>
        <w:t>Chapitre 7.1</w:t>
      </w:r>
    </w:p>
    <w:p w14:paraId="2CD8D2C5" w14:textId="77777777" w:rsidR="002C43BE" w:rsidRPr="003C30D9" w:rsidRDefault="002C43BE" w:rsidP="002C43BE">
      <w:pPr>
        <w:pStyle w:val="SingleTxtG"/>
        <w:tabs>
          <w:tab w:val="clear" w:pos="1701"/>
        </w:tabs>
        <w:ind w:left="2268" w:hanging="1134"/>
        <w:rPr>
          <w:rFonts w:eastAsiaTheme="minorHAnsi"/>
          <w:lang w:val="fr-FR" w:eastAsia="en-US"/>
        </w:rPr>
      </w:pPr>
      <w:r w:rsidRPr="003C30D9">
        <w:rPr>
          <w:rFonts w:eastAsiaTheme="minorHAnsi"/>
          <w:lang w:val="fr-FR" w:eastAsia="en-US"/>
        </w:rPr>
        <w:t>7.1.1.9</w:t>
      </w:r>
      <w:r w:rsidRPr="003C30D9">
        <w:rPr>
          <w:rFonts w:eastAsiaTheme="minorHAnsi"/>
          <w:lang w:val="fr-FR" w:eastAsia="en-US"/>
        </w:rPr>
        <w:tab/>
        <w:t>Ajouter la nouvelle deuxième phrase suivante : « Sauf indication contraire, les colis ayant subi une épreuve de gerbage doivent être chargés dans le même sens que celui dans lequel les échantillons ont été soumis à l’épreuve. ».</w:t>
      </w:r>
    </w:p>
    <w:p w14:paraId="151A8C56" w14:textId="77777777" w:rsidR="002C43BE" w:rsidRPr="003C30D9" w:rsidRDefault="002C43BE" w:rsidP="002C43BE">
      <w:pPr>
        <w:pStyle w:val="SingleTxtG"/>
        <w:tabs>
          <w:tab w:val="clear" w:pos="1701"/>
        </w:tabs>
        <w:ind w:left="2268" w:hanging="1134"/>
        <w:rPr>
          <w:rFonts w:eastAsiaTheme="minorHAnsi"/>
          <w:lang w:val="fr-FR" w:eastAsia="en-US"/>
        </w:rPr>
      </w:pPr>
      <w:r w:rsidRPr="003C30D9">
        <w:rPr>
          <w:rFonts w:eastAsiaTheme="minorHAnsi"/>
          <w:lang w:val="fr-FR" w:eastAsia="en-US"/>
        </w:rPr>
        <w:tab/>
        <w:t>Ajouter le nouveau nota suivant à la fin :</w:t>
      </w:r>
    </w:p>
    <w:p w14:paraId="36867EA2" w14:textId="77777777" w:rsidR="002C43BE" w:rsidRPr="003C30D9" w:rsidRDefault="002C43BE" w:rsidP="002C43BE">
      <w:pPr>
        <w:pStyle w:val="SingleTxtG"/>
        <w:ind w:left="2268" w:hanging="1134"/>
        <w:rPr>
          <w:rFonts w:eastAsiaTheme="minorHAnsi"/>
          <w:i/>
          <w:iCs/>
          <w:lang w:val="fr-FR"/>
        </w:rPr>
      </w:pPr>
      <w:r w:rsidRPr="003C30D9">
        <w:rPr>
          <w:i/>
          <w:iCs/>
          <w:lang w:val="fr-FR"/>
        </w:rPr>
        <w:t>« </w:t>
      </w:r>
      <w:r w:rsidRPr="003C30D9">
        <w:rPr>
          <w:b/>
          <w:bCs/>
          <w:i/>
          <w:iCs/>
          <w:lang w:val="fr-FR"/>
        </w:rPr>
        <w:t>NOTA :</w:t>
      </w:r>
      <w:r w:rsidRPr="003C30D9">
        <w:rPr>
          <w:i/>
          <w:iCs/>
          <w:lang w:val="fr-FR"/>
        </w:rPr>
        <w:t xml:space="preserve"> </w:t>
      </w:r>
      <w:r w:rsidRPr="003C30D9">
        <w:rPr>
          <w:i/>
          <w:iCs/>
          <w:lang w:val="fr-FR"/>
        </w:rPr>
        <w:tab/>
        <w:t>L’épreuve de gerbage est généralement effectuée sur la surface supérieure du colis. Les colis autres que les sacs doivent donc être empilés sur leur surface supérieure, sauf indication contraire. »</w:t>
      </w:r>
    </w:p>
    <w:p w14:paraId="60B4D9F3" w14:textId="77777777" w:rsidR="002C43BE" w:rsidRPr="003C30D9" w:rsidRDefault="002C43BE" w:rsidP="002C43BE">
      <w:pPr>
        <w:pStyle w:val="SingleTxtG"/>
        <w:spacing w:before="120"/>
        <w:ind w:left="2268" w:hanging="1134"/>
        <w:rPr>
          <w:rFonts w:eastAsiaTheme="minorHAnsi"/>
          <w:i/>
          <w:iCs/>
          <w:lang w:val="fr-FR" w:eastAsia="en-US"/>
        </w:rPr>
      </w:pPr>
      <w:r w:rsidRPr="003C30D9">
        <w:rPr>
          <w:rFonts w:eastAsiaTheme="minorHAnsi"/>
          <w:i/>
          <w:iCs/>
          <w:lang w:val="fr-FR" w:eastAsia="en-US"/>
        </w:rPr>
        <w:t>(Document de référence : ST/SG/AC.10/C.3/2024/44)</w:t>
      </w:r>
    </w:p>
    <w:p w14:paraId="7761A763" w14:textId="6BE2E27F" w:rsidR="00137953" w:rsidRPr="00175EA3" w:rsidRDefault="002C43BE" w:rsidP="00175EA3">
      <w:pPr>
        <w:pStyle w:val="H23G"/>
        <w:rPr>
          <w:rFonts w:eastAsiaTheme="minorHAnsi"/>
          <w:lang w:val="fr-FR"/>
        </w:rPr>
      </w:pPr>
      <w:r w:rsidRPr="003C30D9">
        <w:rPr>
          <w:rFonts w:eastAsiaTheme="minorHAnsi"/>
          <w:lang w:val="fr-FR"/>
        </w:rPr>
        <w:lastRenderedPageBreak/>
        <w:tab/>
      </w:r>
      <w:r w:rsidRPr="003C30D9">
        <w:rPr>
          <w:rFonts w:eastAsiaTheme="minorHAnsi"/>
          <w:lang w:val="fr-FR"/>
        </w:rPr>
        <w:tab/>
        <w:t xml:space="preserve">Les amendements à la version espagnole figurant dans les documents ST/SG/AC.10/C.3/2024/9, ST/SG/AC.10/C.3/2024/30 (avec une modification supplémentaire pour la liste alphabétique) et dans le document informel INF.17 ont été adoptés. </w:t>
      </w:r>
    </w:p>
    <w:p w14:paraId="2A7B096F" w14:textId="0C7BFEB2" w:rsidR="002C43BE" w:rsidRPr="003C30D9" w:rsidRDefault="002C43BE" w:rsidP="002C43BE">
      <w:pPr>
        <w:pStyle w:val="HChG"/>
        <w:rPr>
          <w:lang w:val="fr-FR"/>
        </w:rPr>
      </w:pPr>
      <w:r w:rsidRPr="003C30D9">
        <w:rPr>
          <w:lang w:val="fr-FR"/>
        </w:rPr>
        <w:tab/>
      </w:r>
      <w:r w:rsidR="00175EA3">
        <w:rPr>
          <w:lang w:val="fr-FR"/>
        </w:rPr>
        <w:t>III.</w:t>
      </w:r>
      <w:r w:rsidRPr="003C30D9">
        <w:rPr>
          <w:lang w:val="fr-FR"/>
        </w:rPr>
        <w:tab/>
        <w:t>Corrections à la vingt-troisième édition révisée des Recommandations relatives au transport des marchandises dangereuses, Règlement type (ST/SG/AC.10/1/Rev.23)</w:t>
      </w:r>
    </w:p>
    <w:p w14:paraId="4D25C296" w14:textId="77777777" w:rsidR="002C43BE" w:rsidRPr="003C30D9" w:rsidRDefault="002C43BE" w:rsidP="002C43BE">
      <w:pPr>
        <w:pStyle w:val="H23G"/>
        <w:rPr>
          <w:lang w:val="fr-FR"/>
        </w:rPr>
      </w:pPr>
      <w:r w:rsidRPr="003C30D9">
        <w:rPr>
          <w:lang w:val="fr-FR"/>
        </w:rPr>
        <w:tab/>
      </w:r>
      <w:r w:rsidRPr="003C30D9">
        <w:rPr>
          <w:lang w:val="fr-FR"/>
        </w:rPr>
        <w:tab/>
      </w:r>
      <w:r w:rsidRPr="003C30D9">
        <w:rPr>
          <w:lang w:val="fr-FR"/>
        </w:rPr>
        <w:tab/>
        <w:t>Chapitre 4.1, 4.1.4.1, instruction d’emballage P908, dans la deuxième ligne après la ligne de titre, dans la liste des emballages autorisés, pour « Caisses », après « 4B »</w:t>
      </w:r>
    </w:p>
    <w:p w14:paraId="3CA6D779" w14:textId="77777777" w:rsidR="002C43BE" w:rsidRPr="003C30D9" w:rsidRDefault="002C43BE" w:rsidP="002C43BE">
      <w:pPr>
        <w:pStyle w:val="SingleTxtG"/>
        <w:rPr>
          <w:lang w:val="fr-FR"/>
        </w:rPr>
      </w:pPr>
      <w:r w:rsidRPr="003C30D9">
        <w:rPr>
          <w:i/>
          <w:iCs/>
          <w:lang w:val="fr-FR"/>
        </w:rPr>
        <w:t>Insérer</w:t>
      </w:r>
      <w:r w:rsidRPr="003C30D9">
        <w:rPr>
          <w:lang w:val="fr-FR"/>
        </w:rPr>
        <w:t xml:space="preserve"> 4N</w:t>
      </w:r>
    </w:p>
    <w:p w14:paraId="044299D4" w14:textId="07944271" w:rsidR="00B95965" w:rsidRPr="00175EA3" w:rsidRDefault="002C43BE" w:rsidP="00175EA3">
      <w:pPr>
        <w:pStyle w:val="SingleTxtG"/>
        <w:rPr>
          <w:i/>
          <w:iCs/>
          <w:lang w:val="fr-FR"/>
        </w:rPr>
      </w:pPr>
      <w:r w:rsidRPr="003C30D9">
        <w:rPr>
          <w:i/>
          <w:iCs/>
          <w:lang w:val="fr-FR"/>
        </w:rPr>
        <w:t>(Document de référence : document informel INF.11)</w:t>
      </w:r>
    </w:p>
    <w:p w14:paraId="317E9A5A" w14:textId="47EDC7B8" w:rsidR="00EE0460" w:rsidRPr="003C30D9" w:rsidRDefault="00EE0460" w:rsidP="00EE0460">
      <w:pPr>
        <w:pStyle w:val="HChG"/>
        <w:rPr>
          <w:lang w:val="fr-FR"/>
        </w:rPr>
      </w:pPr>
      <w:r w:rsidRPr="003C30D9">
        <w:rPr>
          <w:lang w:val="fr-FR"/>
        </w:rPr>
        <w:tab/>
      </w:r>
      <w:r w:rsidR="00175EA3">
        <w:rPr>
          <w:lang w:val="fr-FR"/>
        </w:rPr>
        <w:t>IV.</w:t>
      </w:r>
      <w:r w:rsidR="00440239">
        <w:rPr>
          <w:lang w:val="fr-FR"/>
        </w:rPr>
        <w:tab/>
      </w:r>
      <w:r w:rsidR="00440239">
        <w:rPr>
          <w:lang w:val="fr-FR"/>
        </w:rPr>
        <w:tab/>
      </w:r>
      <w:r w:rsidRPr="003C30D9">
        <w:rPr>
          <w:lang w:val="fr-FR" w:eastAsia="en-US"/>
        </w:rPr>
        <w:t xml:space="preserve">Amendements à la septième édition des principes directeurs à appliquer pour le développement du </w:t>
      </w:r>
      <w:r w:rsidRPr="003C30D9">
        <w:rPr>
          <w:lang w:val="fr-FR"/>
        </w:rPr>
        <w:t>Règlement</w:t>
      </w:r>
      <w:r w:rsidRPr="003C30D9">
        <w:rPr>
          <w:lang w:val="fr-FR" w:eastAsia="en-US"/>
        </w:rPr>
        <w:t xml:space="preserve"> type </w:t>
      </w:r>
      <w:r w:rsidRPr="003C30D9">
        <w:rPr>
          <w:lang w:val="fr-FR" w:eastAsia="en-US"/>
        </w:rPr>
        <w:tab/>
        <w:t xml:space="preserve">[English </w:t>
      </w:r>
      <w:proofErr w:type="spellStart"/>
      <w:r w:rsidRPr="003C30D9">
        <w:rPr>
          <w:lang w:val="fr-FR" w:eastAsia="en-US"/>
        </w:rPr>
        <w:t>only</w:t>
      </w:r>
      <w:proofErr w:type="spellEnd"/>
      <w:r w:rsidRPr="003C30D9">
        <w:rPr>
          <w:lang w:val="fr-FR" w:eastAsia="en-US"/>
        </w:rPr>
        <w:t>]</w:t>
      </w:r>
    </w:p>
    <w:p w14:paraId="60F43966" w14:textId="77777777" w:rsidR="00EE0460" w:rsidRPr="00190A9F" w:rsidRDefault="00EE0460" w:rsidP="00EE0460">
      <w:pPr>
        <w:pStyle w:val="SingleTxtG"/>
        <w:tabs>
          <w:tab w:val="clear" w:pos="1701"/>
          <w:tab w:val="clear" w:pos="2268"/>
          <w:tab w:val="clear" w:pos="2835"/>
        </w:tabs>
        <w:ind w:left="2268" w:hanging="1134"/>
        <w:rPr>
          <w:lang w:val="en-US"/>
        </w:rPr>
      </w:pPr>
      <w:r w:rsidRPr="00190A9F">
        <w:rPr>
          <w:lang w:val="en-US"/>
        </w:rPr>
        <w:t>Part 4, 3.4</w:t>
      </w:r>
      <w:r w:rsidRPr="00190A9F">
        <w:rPr>
          <w:lang w:val="en-US"/>
        </w:rPr>
        <w:tab/>
        <w:t xml:space="preserve">In note </w:t>
      </w:r>
      <w:r w:rsidRPr="00190A9F">
        <w:rPr>
          <w:b/>
          <w:bCs/>
          <w:vertAlign w:val="superscript"/>
          <w:lang w:val="en-US"/>
        </w:rPr>
        <w:t>e</w:t>
      </w:r>
      <w:r w:rsidRPr="00190A9F">
        <w:rPr>
          <w:lang w:val="en-US"/>
        </w:rPr>
        <w:t xml:space="preserve"> under table 3.4, replace “</w:t>
      </w:r>
      <w:r w:rsidRPr="00190A9F">
        <w:rPr>
          <w:i/>
          <w:iCs/>
          <w:lang w:val="en-US"/>
        </w:rPr>
        <w:t>and 3176 (molten substances)</w:t>
      </w:r>
      <w:r w:rsidRPr="00190A9F">
        <w:rPr>
          <w:lang w:val="en-US"/>
        </w:rPr>
        <w:t>” by “</w:t>
      </w:r>
      <w:r w:rsidRPr="00190A9F">
        <w:rPr>
          <w:i/>
          <w:iCs/>
          <w:lang w:val="en-US"/>
        </w:rPr>
        <w:t>, 3176 (molten substances) and 2956</w:t>
      </w:r>
      <w:r w:rsidRPr="00190A9F">
        <w:rPr>
          <w:lang w:val="en-US"/>
        </w:rPr>
        <w:t>”.</w:t>
      </w:r>
    </w:p>
    <w:p w14:paraId="144ADB91" w14:textId="77777777" w:rsidR="00EE0460" w:rsidRPr="003C30D9" w:rsidRDefault="00EE0460" w:rsidP="00EE0460">
      <w:pPr>
        <w:pStyle w:val="SingleTxtG"/>
        <w:rPr>
          <w:i/>
          <w:iCs/>
          <w:lang w:val="fr-FR"/>
        </w:rPr>
      </w:pPr>
      <w:r w:rsidRPr="003C30D9">
        <w:rPr>
          <w:i/>
          <w:iCs/>
          <w:lang w:val="fr-FR"/>
        </w:rPr>
        <w:t xml:space="preserve">(Reference document: </w:t>
      </w:r>
      <w:proofErr w:type="spellStart"/>
      <w:r w:rsidRPr="003C30D9">
        <w:rPr>
          <w:i/>
          <w:iCs/>
          <w:lang w:val="fr-FR"/>
        </w:rPr>
        <w:t>informal</w:t>
      </w:r>
      <w:proofErr w:type="spellEnd"/>
      <w:r w:rsidRPr="003C30D9">
        <w:rPr>
          <w:i/>
          <w:iCs/>
          <w:lang w:val="fr-FR"/>
        </w:rPr>
        <w:t xml:space="preserve"> document INF.62)</w:t>
      </w:r>
    </w:p>
    <w:p w14:paraId="16D61787" w14:textId="77777777" w:rsidR="00EE0460" w:rsidRPr="00190A9F" w:rsidRDefault="00EE0460" w:rsidP="00EE0460">
      <w:pPr>
        <w:pStyle w:val="SingleTxtG"/>
        <w:tabs>
          <w:tab w:val="clear" w:pos="1701"/>
          <w:tab w:val="clear" w:pos="2268"/>
          <w:tab w:val="clear" w:pos="2835"/>
        </w:tabs>
        <w:ind w:left="2268" w:hanging="1134"/>
        <w:rPr>
          <w:lang w:val="en-US"/>
        </w:rPr>
      </w:pPr>
      <w:r w:rsidRPr="00190A9F">
        <w:rPr>
          <w:lang w:val="en-US"/>
        </w:rPr>
        <w:t>Part 4, 3.5</w:t>
      </w:r>
      <w:r w:rsidRPr="00190A9F">
        <w:rPr>
          <w:lang w:val="en-US"/>
        </w:rPr>
        <w:tab/>
        <w:t xml:space="preserve">In </w:t>
      </w:r>
      <w:proofErr w:type="spellStart"/>
      <w:r w:rsidRPr="00190A9F">
        <w:rPr>
          <w:lang w:val="en-US"/>
        </w:rPr>
        <w:t xml:space="preserve">note </w:t>
      </w:r>
      <w:r w:rsidRPr="00190A9F">
        <w:rPr>
          <w:b/>
          <w:bCs/>
          <w:vertAlign w:val="superscript"/>
          <w:lang w:val="en-US"/>
        </w:rPr>
        <w:t>d</w:t>
      </w:r>
      <w:proofErr w:type="spellEnd"/>
      <w:r w:rsidRPr="00190A9F">
        <w:rPr>
          <w:lang w:val="en-US"/>
        </w:rPr>
        <w:t xml:space="preserve"> under table 3.5.1, after “</w:t>
      </w:r>
      <w:r w:rsidRPr="00190A9F">
        <w:rPr>
          <w:i/>
          <w:iCs/>
          <w:lang w:val="en-US"/>
        </w:rPr>
        <w:t>(molten substances),</w:t>
      </w:r>
      <w:r w:rsidRPr="00190A9F">
        <w:rPr>
          <w:lang w:val="en-US"/>
        </w:rPr>
        <w:t>” add “</w:t>
      </w:r>
      <w:r w:rsidRPr="00190A9F">
        <w:rPr>
          <w:i/>
          <w:iCs/>
          <w:lang w:val="en-US"/>
        </w:rPr>
        <w:t>2956, 3242, 3251,</w:t>
      </w:r>
      <w:r w:rsidRPr="00190A9F">
        <w:rPr>
          <w:lang w:val="en-US"/>
        </w:rPr>
        <w:t>”.</w:t>
      </w:r>
    </w:p>
    <w:p w14:paraId="2E516552" w14:textId="77777777" w:rsidR="00EE0460" w:rsidRPr="00D72872" w:rsidRDefault="00EE0460" w:rsidP="00EE0460">
      <w:pPr>
        <w:pStyle w:val="SingleTxtG"/>
        <w:rPr>
          <w:b/>
          <w:bCs/>
          <w:lang w:val="fr-FR"/>
        </w:rPr>
      </w:pPr>
      <w:r w:rsidRPr="003C30D9">
        <w:rPr>
          <w:i/>
          <w:iCs/>
          <w:lang w:val="fr-FR"/>
        </w:rPr>
        <w:t xml:space="preserve">(Reference document: </w:t>
      </w:r>
      <w:proofErr w:type="spellStart"/>
      <w:r w:rsidRPr="003C30D9">
        <w:rPr>
          <w:i/>
          <w:iCs/>
          <w:lang w:val="fr-FR"/>
        </w:rPr>
        <w:t>informal</w:t>
      </w:r>
      <w:proofErr w:type="spellEnd"/>
      <w:r w:rsidRPr="003C30D9">
        <w:rPr>
          <w:i/>
          <w:iCs/>
          <w:lang w:val="fr-FR"/>
        </w:rPr>
        <w:t xml:space="preserve"> document INF.62)</w:t>
      </w:r>
    </w:p>
    <w:p w14:paraId="03A8B503" w14:textId="77777777" w:rsidR="00EE0460" w:rsidRPr="00993F05" w:rsidRDefault="00EE0460" w:rsidP="00EE0460">
      <w:pPr>
        <w:spacing w:before="240"/>
        <w:jc w:val="center"/>
        <w:rPr>
          <w:rFonts w:eastAsiaTheme="minorHAnsi"/>
          <w:u w:val="single"/>
          <w:lang w:val="fr-FR" w:eastAsia="en-US"/>
        </w:rPr>
      </w:pPr>
      <w:r>
        <w:rPr>
          <w:rFonts w:eastAsiaTheme="minorHAnsi"/>
          <w:u w:val="single"/>
          <w:lang w:val="fr-FR" w:eastAsia="en-US"/>
        </w:rPr>
        <w:tab/>
      </w:r>
      <w:r>
        <w:rPr>
          <w:rFonts w:eastAsiaTheme="minorHAnsi"/>
          <w:u w:val="single"/>
          <w:lang w:val="fr-FR" w:eastAsia="en-US"/>
        </w:rPr>
        <w:tab/>
      </w:r>
      <w:r>
        <w:rPr>
          <w:rFonts w:eastAsiaTheme="minorHAnsi"/>
          <w:u w:val="single"/>
          <w:lang w:val="fr-FR" w:eastAsia="en-US"/>
        </w:rPr>
        <w:tab/>
      </w:r>
    </w:p>
    <w:sectPr w:rsidR="00EE0460" w:rsidRPr="00993F05" w:rsidSect="003F179E">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A4E29" w14:textId="77777777" w:rsidR="00D60CEE" w:rsidRDefault="00D60CEE" w:rsidP="00F95C08">
      <w:pPr>
        <w:spacing w:line="240" w:lineRule="auto"/>
      </w:pPr>
    </w:p>
  </w:endnote>
  <w:endnote w:type="continuationSeparator" w:id="0">
    <w:p w14:paraId="67CBA447" w14:textId="77777777" w:rsidR="00D60CEE" w:rsidRPr="00AC3823" w:rsidRDefault="00D60CEE" w:rsidP="00AC3823">
      <w:pPr>
        <w:pStyle w:val="Pieddepage"/>
      </w:pPr>
    </w:p>
  </w:endnote>
  <w:endnote w:type="continuationNotice" w:id="1">
    <w:p w14:paraId="268313DD" w14:textId="77777777" w:rsidR="00D60CEE" w:rsidRDefault="00D60C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862CD" w14:textId="77777777" w:rsidR="003F179E" w:rsidRPr="003F179E" w:rsidRDefault="003F179E" w:rsidP="003F179E">
    <w:pPr>
      <w:pStyle w:val="Pieddepage"/>
      <w:tabs>
        <w:tab w:val="right" w:pos="9638"/>
      </w:tabs>
      <w:rPr>
        <w:sz w:val="18"/>
      </w:rPr>
    </w:pPr>
    <w:r w:rsidRPr="003F179E">
      <w:rPr>
        <w:b/>
        <w:sz w:val="18"/>
      </w:rPr>
      <w:fldChar w:fldCharType="begin"/>
    </w:r>
    <w:r w:rsidRPr="003F179E">
      <w:rPr>
        <w:b/>
        <w:sz w:val="18"/>
      </w:rPr>
      <w:instrText xml:space="preserve"> PAGE  \* MERGEFORMAT </w:instrText>
    </w:r>
    <w:r w:rsidRPr="003F179E">
      <w:rPr>
        <w:b/>
        <w:sz w:val="18"/>
      </w:rPr>
      <w:fldChar w:fldCharType="separate"/>
    </w:r>
    <w:r w:rsidRPr="003F179E">
      <w:rPr>
        <w:b/>
        <w:noProof/>
        <w:sz w:val="18"/>
      </w:rPr>
      <w:t>2</w:t>
    </w:r>
    <w:r w:rsidRPr="003F179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270AA" w14:textId="77777777" w:rsidR="003F179E" w:rsidRPr="003F179E" w:rsidRDefault="003F179E" w:rsidP="003F179E">
    <w:pPr>
      <w:pStyle w:val="Pieddepage"/>
      <w:tabs>
        <w:tab w:val="right" w:pos="9638"/>
      </w:tabs>
      <w:rPr>
        <w:b/>
        <w:sz w:val="18"/>
      </w:rPr>
    </w:pPr>
    <w:r>
      <w:tab/>
    </w:r>
    <w:r w:rsidRPr="003F179E">
      <w:rPr>
        <w:b/>
        <w:sz w:val="18"/>
      </w:rPr>
      <w:fldChar w:fldCharType="begin"/>
    </w:r>
    <w:r w:rsidRPr="003F179E">
      <w:rPr>
        <w:b/>
        <w:sz w:val="18"/>
      </w:rPr>
      <w:instrText xml:space="preserve"> PAGE  \* MERGEFORMAT </w:instrText>
    </w:r>
    <w:r w:rsidRPr="003F179E">
      <w:rPr>
        <w:b/>
        <w:sz w:val="18"/>
      </w:rPr>
      <w:fldChar w:fldCharType="separate"/>
    </w:r>
    <w:r w:rsidRPr="003F179E">
      <w:rPr>
        <w:b/>
        <w:noProof/>
        <w:sz w:val="18"/>
      </w:rPr>
      <w:t>3</w:t>
    </w:r>
    <w:r w:rsidRPr="003F17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44435" w14:textId="660D131F" w:rsidR="0068456F" w:rsidRPr="00D53D05" w:rsidRDefault="00D53D05" w:rsidP="00D53D05">
    <w:pPr>
      <w:pStyle w:val="Pieddepage"/>
      <w:tabs>
        <w:tab w:val="left" w:pos="6520"/>
        <w:tab w:val="right" w:pos="9638"/>
      </w:tabs>
      <w:spacing w:before="120"/>
      <w:rPr>
        <w:sz w:val="20"/>
      </w:rPr>
    </w:pPr>
    <w:r>
      <w:rPr>
        <w:sz w:val="20"/>
      </w:rPr>
      <w:t>GE.24-13403  (F)</w:t>
    </w:r>
    <w:bookmarkStart w:id="3" w:name="_GoBack"/>
    <w:bookmarkEnd w:id="3"/>
    <w:r>
      <w:rPr>
        <w:sz w:val="20"/>
      </w:rPr>
      <w:tab/>
    </w:r>
    <w:r w:rsidRPr="00D53D05">
      <w:rPr>
        <w:noProof/>
        <w:sz w:val="20"/>
        <w:lang w:eastAsia="fr-CH"/>
      </w:rPr>
      <w:drawing>
        <wp:inline distT="0" distB="0" distL="0" distR="0" wp14:anchorId="24BE2689" wp14:editId="2DD9177C">
          <wp:extent cx="1105200" cy="234000"/>
          <wp:effectExtent l="0" t="0" r="0" b="0"/>
          <wp:docPr id="784250039"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034286E" wp14:editId="095E6F35">
          <wp:extent cx="630555" cy="630555"/>
          <wp:effectExtent l="0" t="0" r="0" b="0"/>
          <wp:docPr id="8895442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7C87E" w14:textId="77777777" w:rsidR="00D60CEE" w:rsidRPr="00AC3823" w:rsidRDefault="00D60CEE" w:rsidP="00AC3823">
      <w:pPr>
        <w:pStyle w:val="Pieddepage"/>
        <w:tabs>
          <w:tab w:val="right" w:pos="2155"/>
        </w:tabs>
        <w:spacing w:after="80" w:line="240" w:lineRule="atLeast"/>
        <w:ind w:left="680"/>
        <w:rPr>
          <w:u w:val="single"/>
        </w:rPr>
      </w:pPr>
      <w:r>
        <w:rPr>
          <w:u w:val="single"/>
        </w:rPr>
        <w:tab/>
      </w:r>
    </w:p>
  </w:footnote>
  <w:footnote w:type="continuationSeparator" w:id="0">
    <w:p w14:paraId="4A5B8590" w14:textId="77777777" w:rsidR="00D60CEE" w:rsidRPr="00AC3823" w:rsidRDefault="00D60CEE" w:rsidP="00AC3823">
      <w:pPr>
        <w:pStyle w:val="Pieddepage"/>
        <w:tabs>
          <w:tab w:val="right" w:pos="2155"/>
        </w:tabs>
        <w:spacing w:after="80" w:line="240" w:lineRule="atLeast"/>
        <w:ind w:left="680"/>
        <w:rPr>
          <w:u w:val="single"/>
        </w:rPr>
      </w:pPr>
      <w:r>
        <w:rPr>
          <w:u w:val="single"/>
        </w:rPr>
        <w:tab/>
      </w:r>
    </w:p>
  </w:footnote>
  <w:footnote w:type="continuationNotice" w:id="1">
    <w:p w14:paraId="41C6E366" w14:textId="77777777" w:rsidR="00D60CEE" w:rsidRPr="00AC3823" w:rsidRDefault="00D60CEE">
      <w:pPr>
        <w:spacing w:line="240" w:lineRule="auto"/>
        <w:rPr>
          <w:sz w:val="2"/>
          <w:szCs w:val="2"/>
        </w:rPr>
      </w:pPr>
    </w:p>
  </w:footnote>
  <w:footnote w:id="2">
    <w:p w14:paraId="0C007209" w14:textId="77777777" w:rsidR="00B211A8" w:rsidRDefault="00B211A8" w:rsidP="00B211A8">
      <w:pPr>
        <w:pStyle w:val="Notedebasdepage"/>
        <w:ind w:left="1418" w:hanging="284"/>
      </w:pPr>
      <w:r>
        <w:rPr>
          <w:rStyle w:val="Appelnotedebasdep"/>
        </w:rPr>
        <w:footnoteRef/>
      </w:r>
      <w:r>
        <w:t xml:space="preserve"> </w:t>
      </w:r>
      <w:r>
        <w:tab/>
        <w:t>Pour raisons pratiques, cette annexe est publiée comme addendum avec le symbole ST/SG/AC.10/C.3/128/Add.1.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32E83" w14:textId="4DEEA3C7" w:rsidR="003F179E" w:rsidRPr="003F179E" w:rsidRDefault="00137F0A">
    <w:pPr>
      <w:pStyle w:val="En-tte"/>
    </w:pPr>
    <w:fldSimple w:instr=" TITLE  \* MERGEFORMAT ">
      <w:r w:rsidR="008E0191">
        <w:t>ST/SG/AC.10/C.3/128/Add.1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A5BFC" w14:textId="4E5BB828" w:rsidR="003F179E" w:rsidRPr="003F179E" w:rsidRDefault="00137F0A" w:rsidP="003F179E">
    <w:pPr>
      <w:pStyle w:val="En-tte"/>
      <w:jc w:val="right"/>
    </w:pPr>
    <w:fldSimple w:instr=" TITLE  \* MERGEFORMAT ">
      <w:r w:rsidR="008E0191">
        <w:t>ST/SG/AC.10/C.3/128/Add.1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09D0957"/>
    <w:multiLevelType w:val="hybridMultilevel"/>
    <w:tmpl w:val="91CA64F8"/>
    <w:lvl w:ilvl="0" w:tplc="D668EFF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26178850">
    <w:abstractNumId w:val="13"/>
  </w:num>
  <w:num w:numId="2" w16cid:durableId="69931840">
    <w:abstractNumId w:val="11"/>
  </w:num>
  <w:num w:numId="3" w16cid:durableId="272713744">
    <w:abstractNumId w:val="10"/>
  </w:num>
  <w:num w:numId="4" w16cid:durableId="2082363907">
    <w:abstractNumId w:val="8"/>
  </w:num>
  <w:num w:numId="5" w16cid:durableId="476919659">
    <w:abstractNumId w:val="3"/>
  </w:num>
  <w:num w:numId="6" w16cid:durableId="1449472509">
    <w:abstractNumId w:val="2"/>
  </w:num>
  <w:num w:numId="7" w16cid:durableId="435176575">
    <w:abstractNumId w:val="1"/>
  </w:num>
  <w:num w:numId="8" w16cid:durableId="1383865930">
    <w:abstractNumId w:val="0"/>
  </w:num>
  <w:num w:numId="9" w16cid:durableId="1729300396">
    <w:abstractNumId w:val="9"/>
  </w:num>
  <w:num w:numId="10" w16cid:durableId="932518664">
    <w:abstractNumId w:val="7"/>
  </w:num>
  <w:num w:numId="11" w16cid:durableId="1203320209">
    <w:abstractNumId w:val="6"/>
  </w:num>
  <w:num w:numId="12" w16cid:durableId="1394505563">
    <w:abstractNumId w:val="5"/>
  </w:num>
  <w:num w:numId="13" w16cid:durableId="240214213">
    <w:abstractNumId w:val="4"/>
  </w:num>
  <w:num w:numId="14" w16cid:durableId="789053805">
    <w:abstractNumId w:val="13"/>
  </w:num>
  <w:num w:numId="15" w16cid:durableId="815420130">
    <w:abstractNumId w:val="11"/>
  </w:num>
  <w:num w:numId="16" w16cid:durableId="1425881118">
    <w:abstractNumId w:val="10"/>
  </w:num>
  <w:num w:numId="17" w16cid:durableId="1672903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9E"/>
    <w:rsid w:val="00011F78"/>
    <w:rsid w:val="00017F94"/>
    <w:rsid w:val="000226FB"/>
    <w:rsid w:val="00023842"/>
    <w:rsid w:val="000305D3"/>
    <w:rsid w:val="000334F9"/>
    <w:rsid w:val="0007796D"/>
    <w:rsid w:val="00081C16"/>
    <w:rsid w:val="000A0410"/>
    <w:rsid w:val="000A3629"/>
    <w:rsid w:val="000B7790"/>
    <w:rsid w:val="000C2AB2"/>
    <w:rsid w:val="000F15FB"/>
    <w:rsid w:val="00111F2F"/>
    <w:rsid w:val="00132EA9"/>
    <w:rsid w:val="00137953"/>
    <w:rsid w:val="00137F0A"/>
    <w:rsid w:val="00142A6D"/>
    <w:rsid w:val="0014365E"/>
    <w:rsid w:val="00153A31"/>
    <w:rsid w:val="00167865"/>
    <w:rsid w:val="00175EA3"/>
    <w:rsid w:val="00176178"/>
    <w:rsid w:val="00190A9F"/>
    <w:rsid w:val="001C7FD8"/>
    <w:rsid w:val="001F525A"/>
    <w:rsid w:val="001F59A1"/>
    <w:rsid w:val="00223272"/>
    <w:rsid w:val="0024779E"/>
    <w:rsid w:val="002829E4"/>
    <w:rsid w:val="00283190"/>
    <w:rsid w:val="002832AC"/>
    <w:rsid w:val="002C43BE"/>
    <w:rsid w:val="002D7C93"/>
    <w:rsid w:val="002E2C53"/>
    <w:rsid w:val="0031387E"/>
    <w:rsid w:val="00334211"/>
    <w:rsid w:val="003B107D"/>
    <w:rsid w:val="003C6D9D"/>
    <w:rsid w:val="003F179E"/>
    <w:rsid w:val="004049E1"/>
    <w:rsid w:val="0042421D"/>
    <w:rsid w:val="00431DBB"/>
    <w:rsid w:val="00440239"/>
    <w:rsid w:val="00441C3B"/>
    <w:rsid w:val="00446FE5"/>
    <w:rsid w:val="00452396"/>
    <w:rsid w:val="0045674B"/>
    <w:rsid w:val="00456FF3"/>
    <w:rsid w:val="004651CD"/>
    <w:rsid w:val="004E468C"/>
    <w:rsid w:val="004F2024"/>
    <w:rsid w:val="00503921"/>
    <w:rsid w:val="005505B7"/>
    <w:rsid w:val="00573BE5"/>
    <w:rsid w:val="00584DC4"/>
    <w:rsid w:val="00586ED3"/>
    <w:rsid w:val="00596AA9"/>
    <w:rsid w:val="005D321C"/>
    <w:rsid w:val="005E2BCA"/>
    <w:rsid w:val="0063263C"/>
    <w:rsid w:val="0068456F"/>
    <w:rsid w:val="006C7D55"/>
    <w:rsid w:val="006E3968"/>
    <w:rsid w:val="006F74BD"/>
    <w:rsid w:val="007024EB"/>
    <w:rsid w:val="0071178E"/>
    <w:rsid w:val="0071601D"/>
    <w:rsid w:val="00736C35"/>
    <w:rsid w:val="00746C90"/>
    <w:rsid w:val="007513FE"/>
    <w:rsid w:val="00755D57"/>
    <w:rsid w:val="007565DD"/>
    <w:rsid w:val="00772371"/>
    <w:rsid w:val="007924D7"/>
    <w:rsid w:val="007A0B5D"/>
    <w:rsid w:val="007A12C9"/>
    <w:rsid w:val="007A62E6"/>
    <w:rsid w:val="007F7723"/>
    <w:rsid w:val="0080684C"/>
    <w:rsid w:val="00866131"/>
    <w:rsid w:val="00871C75"/>
    <w:rsid w:val="008776DC"/>
    <w:rsid w:val="008B40CD"/>
    <w:rsid w:val="008D1004"/>
    <w:rsid w:val="008E0191"/>
    <w:rsid w:val="008E4BB6"/>
    <w:rsid w:val="008F1085"/>
    <w:rsid w:val="00903355"/>
    <w:rsid w:val="009705C8"/>
    <w:rsid w:val="00971DE3"/>
    <w:rsid w:val="009744DF"/>
    <w:rsid w:val="009B4C98"/>
    <w:rsid w:val="009C1CF4"/>
    <w:rsid w:val="009D2995"/>
    <w:rsid w:val="00A132C8"/>
    <w:rsid w:val="00A30353"/>
    <w:rsid w:val="00AB0A49"/>
    <w:rsid w:val="00AC3823"/>
    <w:rsid w:val="00AE323C"/>
    <w:rsid w:val="00B00181"/>
    <w:rsid w:val="00B00B0D"/>
    <w:rsid w:val="00B211A8"/>
    <w:rsid w:val="00B477A5"/>
    <w:rsid w:val="00B629ED"/>
    <w:rsid w:val="00B673C8"/>
    <w:rsid w:val="00B765F7"/>
    <w:rsid w:val="00B95965"/>
    <w:rsid w:val="00BA0CA9"/>
    <w:rsid w:val="00BC5E7A"/>
    <w:rsid w:val="00C02897"/>
    <w:rsid w:val="00C22586"/>
    <w:rsid w:val="00C96CEE"/>
    <w:rsid w:val="00CB2B3E"/>
    <w:rsid w:val="00CC1899"/>
    <w:rsid w:val="00CC7292"/>
    <w:rsid w:val="00CE1265"/>
    <w:rsid w:val="00D2113A"/>
    <w:rsid w:val="00D3439C"/>
    <w:rsid w:val="00D4128F"/>
    <w:rsid w:val="00D53D05"/>
    <w:rsid w:val="00D5786C"/>
    <w:rsid w:val="00D60CEE"/>
    <w:rsid w:val="00D66530"/>
    <w:rsid w:val="00DB1831"/>
    <w:rsid w:val="00DD3BFD"/>
    <w:rsid w:val="00DF6678"/>
    <w:rsid w:val="00E33E33"/>
    <w:rsid w:val="00E44078"/>
    <w:rsid w:val="00E557D7"/>
    <w:rsid w:val="00EB0630"/>
    <w:rsid w:val="00EE0460"/>
    <w:rsid w:val="00EF2E22"/>
    <w:rsid w:val="00EF6113"/>
    <w:rsid w:val="00F01738"/>
    <w:rsid w:val="00F17693"/>
    <w:rsid w:val="00F660DF"/>
    <w:rsid w:val="00F730C8"/>
    <w:rsid w:val="00F95C08"/>
    <w:rsid w:val="00FE708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5904CF"/>
  <w15:docId w15:val="{96C15859-8249-4610-AAED-AE118380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F3"/>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uiPriority w:val="59"/>
    <w:rsid w:val="00584DC4"/>
    <w:pPr>
      <w:suppressAutoHyphens/>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31387E"/>
  </w:style>
  <w:style w:type="character" w:customStyle="1" w:styleId="HChGChar">
    <w:name w:val="_ H _Ch_G Char"/>
    <w:link w:val="HChG"/>
    <w:rsid w:val="002C43BE"/>
    <w:rPr>
      <w:b/>
      <w:sz w:val="28"/>
    </w:rPr>
  </w:style>
  <w:style w:type="character" w:customStyle="1" w:styleId="ui-provider">
    <w:name w:val="ui-provider"/>
    <w:basedOn w:val="Policepardfaut"/>
    <w:rsid w:val="002C43BE"/>
  </w:style>
  <w:style w:type="table" w:customStyle="1" w:styleId="TableGrid1">
    <w:name w:val="Table Grid1"/>
    <w:basedOn w:val="TableauNormal"/>
    <w:next w:val="Grilledutableau"/>
    <w:uiPriority w:val="39"/>
    <w:rsid w:val="002C43BE"/>
    <w:pPr>
      <w:suppressAutoHyphens/>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2C43BE"/>
    <w:rPr>
      <w:b/>
    </w:rPr>
  </w:style>
  <w:style w:type="character" w:customStyle="1" w:styleId="jlqj4b">
    <w:name w:val="jlqj4b"/>
    <w:basedOn w:val="Policepardfaut"/>
    <w:rsid w:val="002C43BE"/>
  </w:style>
  <w:style w:type="paragraph" w:customStyle="1" w:styleId="MTabTxt">
    <w:name w:val="MTabTxt"/>
    <w:basedOn w:val="Normal"/>
    <w:link w:val="MTabTxtChar"/>
    <w:qFormat/>
    <w:rsid w:val="003C6D9D"/>
    <w:pPr>
      <w:numPr>
        <w:ilvl w:val="12"/>
      </w:numPr>
      <w:suppressAutoHyphens/>
      <w:autoSpaceDE w:val="0"/>
      <w:autoSpaceDN w:val="0"/>
      <w:adjustRightInd w:val="0"/>
      <w:spacing w:before="40" w:after="40" w:line="240" w:lineRule="auto"/>
    </w:pPr>
    <w:rPr>
      <w:rFonts w:eastAsia="SimSun"/>
      <w:lang w:val="en-GB" w:eastAsia="fr-FR"/>
    </w:rPr>
  </w:style>
  <w:style w:type="character" w:customStyle="1" w:styleId="MTabTxtChar">
    <w:name w:val="MTabTxt Char"/>
    <w:basedOn w:val="Policepardfaut"/>
    <w:link w:val="MTabTxt"/>
    <w:rsid w:val="003C6D9D"/>
    <w:rPr>
      <w:rFonts w:eastAsia="SimSu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94D0C-BAE8-409B-8569-1E606FE5DF4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3.xml><?xml version="1.0" encoding="utf-8"?>
<ds:datastoreItem xmlns:ds="http://schemas.openxmlformats.org/officeDocument/2006/customXml" ds:itemID="{2115DF60-E601-460F-9474-F5093FFFCB68}"/>
</file>

<file path=customXml/itemProps4.xml><?xml version="1.0" encoding="utf-8"?>
<ds:datastoreItem xmlns:ds="http://schemas.openxmlformats.org/officeDocument/2006/customXml" ds:itemID="{F97CFC0A-AD73-4249-8BA2-6563CF96A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SGAC10_F.dotm</Template>
  <TotalTime>2</TotalTime>
  <Pages>15</Pages>
  <Words>4757</Words>
  <Characters>25745</Characters>
  <Application>Microsoft Office Word</Application>
  <DocSecurity>0</DocSecurity>
  <Lines>576</Lines>
  <Paragraphs>302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ST/SG/AC.10/C.3/128/Add.1</dc:title>
  <dc:subject/>
  <dc:creator>Alicia DORCA-GARCIA</dc:creator>
  <cp:keywords/>
  <cp:lastModifiedBy>Christine Chautagnat</cp:lastModifiedBy>
  <cp:revision>3</cp:revision>
  <cp:lastPrinted>2024-07-23T09:50:00Z</cp:lastPrinted>
  <dcterms:created xsi:type="dcterms:W3CDTF">2024-07-23T09:50:00Z</dcterms:created>
  <dcterms:modified xsi:type="dcterms:W3CDTF">2024-07-23T09:51:00Z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