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3D8D19B" w14:textId="77777777" w:rsidTr="006476E1">
        <w:trPr>
          <w:trHeight w:val="851"/>
        </w:trPr>
        <w:tc>
          <w:tcPr>
            <w:tcW w:w="1259" w:type="dxa"/>
            <w:tcBorders>
              <w:top w:val="nil"/>
              <w:left w:val="nil"/>
              <w:bottom w:val="single" w:sz="4" w:space="0" w:color="auto"/>
              <w:right w:val="nil"/>
            </w:tcBorders>
          </w:tcPr>
          <w:p w14:paraId="3A3D4AD5" w14:textId="77777777" w:rsidR="00E52109" w:rsidRPr="002A32CB" w:rsidRDefault="00E52109" w:rsidP="004858F5"/>
        </w:tc>
        <w:tc>
          <w:tcPr>
            <w:tcW w:w="2236" w:type="dxa"/>
            <w:tcBorders>
              <w:top w:val="nil"/>
              <w:left w:val="nil"/>
              <w:bottom w:val="single" w:sz="4" w:space="0" w:color="auto"/>
              <w:right w:val="nil"/>
            </w:tcBorders>
            <w:vAlign w:val="bottom"/>
          </w:tcPr>
          <w:p w14:paraId="5C6CA1E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E8BCA32" w14:textId="3ADFB1E7" w:rsidR="00E52109" w:rsidRDefault="00050EF9" w:rsidP="00050EF9">
            <w:pPr>
              <w:jc w:val="right"/>
            </w:pPr>
            <w:r w:rsidRPr="00050EF9">
              <w:rPr>
                <w:sz w:val="40"/>
              </w:rPr>
              <w:t>ST</w:t>
            </w:r>
            <w:r>
              <w:t>/SG/AC.10/C.3/128/Add.1</w:t>
            </w:r>
          </w:p>
        </w:tc>
      </w:tr>
      <w:tr w:rsidR="00E52109" w14:paraId="57A391BF" w14:textId="77777777" w:rsidTr="006476E1">
        <w:trPr>
          <w:trHeight w:val="2835"/>
        </w:trPr>
        <w:tc>
          <w:tcPr>
            <w:tcW w:w="1259" w:type="dxa"/>
            <w:tcBorders>
              <w:top w:val="single" w:sz="4" w:space="0" w:color="auto"/>
              <w:left w:val="nil"/>
              <w:bottom w:val="single" w:sz="12" w:space="0" w:color="auto"/>
              <w:right w:val="nil"/>
            </w:tcBorders>
          </w:tcPr>
          <w:p w14:paraId="0FEE014D" w14:textId="77777777" w:rsidR="00E52109" w:rsidRDefault="00E52109" w:rsidP="006476E1">
            <w:pPr>
              <w:spacing w:before="120"/>
              <w:jc w:val="center"/>
            </w:pPr>
            <w:r>
              <w:rPr>
                <w:noProof/>
                <w:lang w:val="fr-CH" w:eastAsia="fr-CH"/>
              </w:rPr>
              <w:drawing>
                <wp:inline distT="0" distB="0" distL="0" distR="0" wp14:anchorId="642B72FF" wp14:editId="71E7854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8B4A03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0192903" w14:textId="77777777" w:rsidR="00D94B05" w:rsidRDefault="00050EF9" w:rsidP="00050EF9">
            <w:pPr>
              <w:spacing w:before="240" w:line="240" w:lineRule="exact"/>
            </w:pPr>
            <w:r>
              <w:t>Distr.: General</w:t>
            </w:r>
          </w:p>
          <w:p w14:paraId="1494FEEA" w14:textId="598DE683" w:rsidR="00050EF9" w:rsidRDefault="00321512" w:rsidP="00050EF9">
            <w:pPr>
              <w:spacing w:line="240" w:lineRule="exact"/>
            </w:pPr>
            <w:r>
              <w:t>2</w:t>
            </w:r>
            <w:r w:rsidR="005B0754">
              <w:t>3</w:t>
            </w:r>
            <w:r w:rsidR="00050EF9" w:rsidRPr="00321512">
              <w:t xml:space="preserve"> July 2024</w:t>
            </w:r>
          </w:p>
          <w:p w14:paraId="3BDC96B0" w14:textId="5E8B0E3F" w:rsidR="00050EF9" w:rsidRDefault="00214E74" w:rsidP="00050EF9">
            <w:pPr>
              <w:spacing w:line="240" w:lineRule="exact"/>
            </w:pPr>
            <w:r>
              <w:t>English</w:t>
            </w:r>
          </w:p>
          <w:p w14:paraId="0473557F" w14:textId="70127BD4" w:rsidR="00050EF9" w:rsidRDefault="00050EF9" w:rsidP="00050EF9">
            <w:pPr>
              <w:spacing w:line="240" w:lineRule="exact"/>
            </w:pPr>
            <w:r>
              <w:t>Original: English</w:t>
            </w:r>
            <w:r w:rsidR="00214E74">
              <w:t xml:space="preserve"> and French</w:t>
            </w:r>
          </w:p>
        </w:tc>
      </w:tr>
    </w:tbl>
    <w:p w14:paraId="6AEB2D5F" w14:textId="77777777" w:rsidR="00214E74" w:rsidRPr="006500BA" w:rsidRDefault="00214E74"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B38817B" w14:textId="77777777" w:rsidR="00214E74" w:rsidRPr="006500BA" w:rsidRDefault="00214E74" w:rsidP="004858F5">
      <w:pPr>
        <w:spacing w:before="120"/>
        <w:rPr>
          <w:rFonts w:ascii="Helv" w:hAnsi="Helv" w:cs="Helv"/>
          <w:b/>
          <w:color w:val="000000"/>
        </w:rPr>
      </w:pPr>
      <w:r w:rsidRPr="006500BA">
        <w:rPr>
          <w:b/>
        </w:rPr>
        <w:t xml:space="preserve">Sub-Committee of Experts on the </w:t>
      </w:r>
      <w:r>
        <w:rPr>
          <w:b/>
        </w:rPr>
        <w:t>Transport of Dangerous Goods</w:t>
      </w:r>
    </w:p>
    <w:p w14:paraId="060D9A84" w14:textId="08427650" w:rsidR="00243174" w:rsidRDefault="00243174" w:rsidP="00243174">
      <w:pPr>
        <w:pStyle w:val="HChG"/>
      </w:pPr>
      <w:r>
        <w:tab/>
      </w:r>
      <w:r>
        <w:tab/>
      </w:r>
      <w:r w:rsidR="007C4837">
        <w:t xml:space="preserve">Report of the Sub-Committee of Experts on </w:t>
      </w:r>
      <w:r w:rsidR="00322C9F">
        <w:t>the Transport</w:t>
      </w:r>
      <w:r w:rsidR="00955E6E">
        <w:br/>
      </w:r>
      <w:r w:rsidR="007C4837">
        <w:t>of Dangerous Goods on its sixty-fourth session</w:t>
      </w:r>
    </w:p>
    <w:p w14:paraId="287F73DA" w14:textId="79255DD1" w:rsidR="009A0DC4" w:rsidRDefault="008022EE" w:rsidP="008022EE">
      <w:pPr>
        <w:pStyle w:val="H56G"/>
      </w:pPr>
      <w:r>
        <w:tab/>
      </w:r>
      <w:r>
        <w:tab/>
        <w:t>H</w:t>
      </w:r>
      <w:r w:rsidR="000C7D83">
        <w:t xml:space="preserve">eld </w:t>
      </w:r>
      <w:r>
        <w:t xml:space="preserve">at the Palais des Nations, </w:t>
      </w:r>
      <w:r w:rsidR="000C7D83">
        <w:t>Geneva</w:t>
      </w:r>
      <w:r>
        <w:t>,</w:t>
      </w:r>
      <w:r w:rsidR="000C7D83">
        <w:t xml:space="preserve"> 24 June</w:t>
      </w:r>
      <w:r>
        <w:t>-</w:t>
      </w:r>
      <w:r w:rsidR="000C7D83">
        <w:t xml:space="preserve">3 July </w:t>
      </w:r>
      <w:r w:rsidR="003E220E">
        <w:t>2024</w:t>
      </w:r>
    </w:p>
    <w:p w14:paraId="66E9D589" w14:textId="0D77645C" w:rsidR="003E220E" w:rsidRDefault="00302858" w:rsidP="00EB23E1">
      <w:pPr>
        <w:pStyle w:val="H23G"/>
      </w:pPr>
      <w:r>
        <w:tab/>
      </w:r>
      <w:r>
        <w:tab/>
        <w:t>Addendum</w:t>
      </w:r>
    </w:p>
    <w:p w14:paraId="38DE55AA" w14:textId="350435A9" w:rsidR="00302858" w:rsidRDefault="00302858" w:rsidP="00C8032A">
      <w:pPr>
        <w:spacing w:before="360" w:line="200" w:lineRule="atLeast"/>
        <w:rPr>
          <w:sz w:val="28"/>
          <w:lang w:val="fr-CH"/>
        </w:rPr>
      </w:pPr>
      <w:r w:rsidRPr="00C8032A">
        <w:rPr>
          <w:sz w:val="28"/>
          <w:lang w:val="fr-CH"/>
        </w:rPr>
        <w:t>Contents</w:t>
      </w:r>
    </w:p>
    <w:p w14:paraId="5EBA48A0" w14:textId="0F62F160" w:rsidR="00C8032A" w:rsidRPr="00583103" w:rsidRDefault="00610962" w:rsidP="00B62E27">
      <w:pPr>
        <w:tabs>
          <w:tab w:val="right" w:pos="850"/>
          <w:tab w:val="left" w:pos="1134"/>
          <w:tab w:val="left" w:pos="1559"/>
          <w:tab w:val="left" w:pos="1984"/>
          <w:tab w:val="left" w:leader="dot" w:pos="7654"/>
          <w:tab w:val="right" w:pos="8929"/>
          <w:tab w:val="right" w:pos="9638"/>
        </w:tabs>
        <w:spacing w:before="360" w:after="360"/>
        <w:rPr>
          <w:sz w:val="24"/>
          <w:szCs w:val="24"/>
        </w:rPr>
      </w:pPr>
      <w:r w:rsidRPr="00583103">
        <w:rPr>
          <w:sz w:val="24"/>
          <w:szCs w:val="24"/>
        </w:rPr>
        <w:t>Annexes</w:t>
      </w:r>
      <w:r w:rsidR="00702896">
        <w:rPr>
          <w:sz w:val="24"/>
          <w:szCs w:val="24"/>
        </w:rPr>
        <w:t xml:space="preserve"> – Adopted texts</w:t>
      </w:r>
      <w:r w:rsidR="00B65FEC" w:rsidRPr="00583103">
        <w:rPr>
          <w:rStyle w:val="FootnoteReference"/>
          <w:sz w:val="24"/>
          <w:szCs w:val="24"/>
        </w:rPr>
        <w:footnoteReference w:id="2"/>
      </w:r>
    </w:p>
    <w:p w14:paraId="32E89930" w14:textId="1E225C7C" w:rsidR="00F21BB8" w:rsidRDefault="00F21BB8" w:rsidP="00F21BB8">
      <w:pPr>
        <w:tabs>
          <w:tab w:val="right" w:pos="8929"/>
          <w:tab w:val="right" w:pos="9638"/>
        </w:tabs>
        <w:spacing w:after="120"/>
        <w:ind w:left="283"/>
      </w:pPr>
      <w:r>
        <w:rPr>
          <w:i/>
          <w:sz w:val="18"/>
        </w:rPr>
        <w:tab/>
      </w:r>
      <w:r>
        <w:rPr>
          <w:i/>
          <w:sz w:val="18"/>
        </w:rPr>
        <w:tab/>
        <w:t>Page</w:t>
      </w:r>
    </w:p>
    <w:p w14:paraId="3C501C3D" w14:textId="2742C635" w:rsidR="0066028C" w:rsidRDefault="00D60BE0" w:rsidP="0066028C">
      <w:pPr>
        <w:tabs>
          <w:tab w:val="right" w:pos="850"/>
          <w:tab w:val="left" w:pos="1134"/>
          <w:tab w:val="left" w:pos="1984"/>
          <w:tab w:val="left" w:leader="dot" w:pos="8931"/>
          <w:tab w:val="right" w:pos="9638"/>
        </w:tabs>
        <w:spacing w:after="120"/>
        <w:ind w:left="1134" w:hanging="1134"/>
      </w:pPr>
      <w:r w:rsidRPr="00297CBA">
        <w:tab/>
      </w:r>
      <w:r w:rsidRPr="008774CE">
        <w:t>I.</w:t>
      </w:r>
      <w:r w:rsidRPr="008774CE">
        <w:tab/>
      </w:r>
      <w:r w:rsidR="00C061A1" w:rsidRPr="008F7B6D">
        <w:t xml:space="preserve">Draft amendments to the </w:t>
      </w:r>
      <w:r w:rsidR="00C061A1">
        <w:t xml:space="preserve">eighth </w:t>
      </w:r>
      <w:r w:rsidR="00C061A1" w:rsidRPr="001C5029">
        <w:t xml:space="preserve">revised edition of the </w:t>
      </w:r>
      <w:r w:rsidR="00C061A1" w:rsidRPr="008F7B6D">
        <w:t xml:space="preserve">Manual of Tests and Criteria </w:t>
      </w:r>
      <w:r w:rsidR="0066028C" w:rsidRPr="008F7B6D">
        <w:t>(ST/SG/AC.10/11/Rev.</w:t>
      </w:r>
      <w:r w:rsidR="0066028C">
        <w:t>8)</w:t>
      </w:r>
      <w:r w:rsidR="0066028C">
        <w:tab/>
      </w:r>
      <w:r w:rsidR="0066028C">
        <w:tab/>
      </w:r>
      <w:r w:rsidR="00B32EB4">
        <w:t>2</w:t>
      </w:r>
    </w:p>
    <w:p w14:paraId="57A86DF3" w14:textId="321D0095" w:rsidR="0066028C" w:rsidRDefault="0066028C" w:rsidP="0066028C">
      <w:pPr>
        <w:tabs>
          <w:tab w:val="right" w:pos="850"/>
          <w:tab w:val="left" w:pos="1134"/>
          <w:tab w:val="left" w:pos="1984"/>
          <w:tab w:val="left" w:leader="dot" w:pos="8931"/>
          <w:tab w:val="right" w:pos="9638"/>
        </w:tabs>
        <w:spacing w:after="120"/>
        <w:ind w:left="1134" w:hanging="1134"/>
      </w:pPr>
      <w:r>
        <w:tab/>
        <w:t>II.</w:t>
      </w:r>
      <w:r>
        <w:tab/>
      </w:r>
      <w:r w:rsidRPr="009C566A">
        <w:t>Draft amendments to the twent</w:t>
      </w:r>
      <w:r>
        <w:t>y-third r</w:t>
      </w:r>
      <w:r w:rsidRPr="009C566A">
        <w:t>evised edition of Recommendations</w:t>
      </w:r>
      <w:r>
        <w:t xml:space="preserve"> </w:t>
      </w:r>
      <w:r w:rsidRPr="009C566A">
        <w:t>on the Transport of Dangerous Goods, Model Regulations (ST/SG/AC.10/1/Rev.2</w:t>
      </w:r>
      <w:r>
        <w:t>3)</w:t>
      </w:r>
      <w:r>
        <w:tab/>
      </w:r>
      <w:r>
        <w:tab/>
      </w:r>
      <w:r w:rsidR="0086173B">
        <w:t>4</w:t>
      </w:r>
    </w:p>
    <w:p w14:paraId="134A594F" w14:textId="6D47A47C" w:rsidR="002F5014" w:rsidRDefault="00C73BA1" w:rsidP="002F5014">
      <w:pPr>
        <w:tabs>
          <w:tab w:val="right" w:pos="850"/>
          <w:tab w:val="left" w:pos="1134"/>
          <w:tab w:val="left" w:pos="1984"/>
          <w:tab w:val="left" w:leader="dot" w:pos="8931"/>
          <w:tab w:val="right" w:pos="9638"/>
        </w:tabs>
        <w:spacing w:after="120"/>
        <w:ind w:left="1134" w:hanging="1134"/>
      </w:pPr>
      <w:r>
        <w:tab/>
        <w:t>III.</w:t>
      </w:r>
      <w:r>
        <w:tab/>
      </w:r>
      <w:r w:rsidR="002F5014" w:rsidRPr="001C22A9">
        <w:t>Corrections to the twenty-third revised edition of the Recommendations on the Transport of Dangerous</w:t>
      </w:r>
      <w:r w:rsidR="0041389F">
        <w:t> </w:t>
      </w:r>
      <w:r w:rsidR="002F5014" w:rsidRPr="001C22A9">
        <w:t>Goods, Model Regulations (ST/SG/AC.10/1/Rev.23)</w:t>
      </w:r>
      <w:r w:rsidR="002F5014">
        <w:tab/>
      </w:r>
      <w:r w:rsidR="002F5014">
        <w:tab/>
      </w:r>
      <w:r w:rsidR="00A10F97">
        <w:t>1</w:t>
      </w:r>
      <w:r w:rsidR="0086173B">
        <w:t>3</w:t>
      </w:r>
    </w:p>
    <w:p w14:paraId="3E083A8D" w14:textId="30DC46A0" w:rsidR="0066028C" w:rsidRDefault="0066028C" w:rsidP="0066028C">
      <w:pPr>
        <w:tabs>
          <w:tab w:val="right" w:pos="850"/>
          <w:tab w:val="left" w:pos="1134"/>
          <w:tab w:val="left" w:pos="1984"/>
          <w:tab w:val="left" w:leader="dot" w:pos="8931"/>
          <w:tab w:val="right" w:pos="9638"/>
        </w:tabs>
        <w:spacing w:after="120"/>
        <w:ind w:left="1134" w:hanging="1134"/>
      </w:pPr>
      <w:r>
        <w:tab/>
      </w:r>
      <w:r w:rsidR="00D6305E">
        <w:t>I</w:t>
      </w:r>
      <w:r w:rsidR="00C73BA1">
        <w:t>V</w:t>
      </w:r>
      <w:r w:rsidR="00D6305E">
        <w:t>.</w:t>
      </w:r>
      <w:r w:rsidR="00D6305E">
        <w:tab/>
      </w:r>
      <w:r>
        <w:t>Modifications to the seventh version of the Guiding Principles for the Development of the Model Regulations on the Transport of Dangerous Goods [English only]</w:t>
      </w:r>
      <w:r w:rsidR="00B32EB4">
        <w:tab/>
      </w:r>
      <w:r w:rsidR="00B32EB4">
        <w:tab/>
        <w:t>1</w:t>
      </w:r>
      <w:r w:rsidR="0086173B">
        <w:t>3</w:t>
      </w:r>
    </w:p>
    <w:p w14:paraId="188C1501" w14:textId="77777777" w:rsidR="0029057E" w:rsidRDefault="0029057E" w:rsidP="00521FC8">
      <w:pPr>
        <w:tabs>
          <w:tab w:val="right" w:pos="850"/>
          <w:tab w:val="left" w:pos="1134"/>
          <w:tab w:val="left" w:pos="1984"/>
          <w:tab w:val="left" w:leader="dot" w:pos="8931"/>
          <w:tab w:val="right" w:pos="9638"/>
        </w:tabs>
        <w:spacing w:after="120"/>
        <w:ind w:left="1134" w:hanging="1134"/>
      </w:pPr>
    </w:p>
    <w:p w14:paraId="31C73B64" w14:textId="21D466E9" w:rsidR="004D2CF2" w:rsidRDefault="00D60BE0" w:rsidP="00B6456B">
      <w:r>
        <w:br w:type="page"/>
      </w:r>
    </w:p>
    <w:p w14:paraId="0AEB6141" w14:textId="0A4DA01D" w:rsidR="00BA3BFA" w:rsidRPr="001C22A9" w:rsidRDefault="00BA3BFA" w:rsidP="00BA3BFA">
      <w:pPr>
        <w:pStyle w:val="HChG"/>
        <w:rPr>
          <w:i/>
          <w:iCs/>
        </w:rPr>
      </w:pPr>
      <w:r w:rsidRPr="001C22A9">
        <w:lastRenderedPageBreak/>
        <w:tab/>
      </w:r>
      <w:r w:rsidR="00B6456B">
        <w:t>I.</w:t>
      </w:r>
      <w:r w:rsidRPr="001C22A9">
        <w:tab/>
        <w:t xml:space="preserve">Draft amendments to the eighth revised </w:t>
      </w:r>
      <w:r w:rsidR="00507EB9">
        <w:t xml:space="preserve">edition </w:t>
      </w:r>
      <w:r w:rsidRPr="001C22A9">
        <w:t>of the Manual of Tests and Criteria (ST/SG/AC.10/11/Rev.8)</w:t>
      </w:r>
    </w:p>
    <w:p w14:paraId="02FEB942" w14:textId="77777777" w:rsidR="00BA3BFA" w:rsidRPr="001C22A9" w:rsidRDefault="00BA3BFA" w:rsidP="00BA3BFA">
      <w:pPr>
        <w:pStyle w:val="H1G"/>
      </w:pPr>
      <w:r w:rsidRPr="001C22A9">
        <w:tab/>
      </w:r>
      <w:r w:rsidRPr="001C22A9">
        <w:tab/>
        <w:t>Section 1</w:t>
      </w:r>
      <w:r>
        <w:t>0</w:t>
      </w:r>
    </w:p>
    <w:p w14:paraId="0115C6C3" w14:textId="77777777" w:rsidR="00BA3BFA" w:rsidRDefault="00BA3BFA" w:rsidP="00BA3BFA">
      <w:pPr>
        <w:pStyle w:val="SingleTxtG"/>
        <w:tabs>
          <w:tab w:val="clear" w:pos="1701"/>
          <w:tab w:val="clear" w:pos="2268"/>
          <w:tab w:val="clear" w:pos="2835"/>
        </w:tabs>
        <w:ind w:left="2268" w:hanging="1134"/>
      </w:pPr>
      <w:r>
        <w:t>The amendments do not apply to the English text.</w:t>
      </w:r>
    </w:p>
    <w:p w14:paraId="3B76D9A5" w14:textId="77777777" w:rsidR="00BA3BFA" w:rsidRPr="001C22A9" w:rsidRDefault="00BA3BFA" w:rsidP="00BA3BFA">
      <w:pPr>
        <w:pStyle w:val="SingleTxtG"/>
        <w:rPr>
          <w:i/>
          <w:iCs/>
        </w:rPr>
      </w:pPr>
      <w:r w:rsidRPr="001C22A9">
        <w:rPr>
          <w:i/>
          <w:iCs/>
        </w:rPr>
        <w:t>(Reference document: informal document INF.67, amendment 6, editorially amended</w:t>
      </w:r>
      <w:r>
        <w:rPr>
          <w:i/>
          <w:iCs/>
        </w:rPr>
        <w:t>, consequential amendments to the French version</w:t>
      </w:r>
      <w:r w:rsidRPr="001C22A9">
        <w:rPr>
          <w:i/>
          <w:iCs/>
        </w:rPr>
        <w:t>)</w:t>
      </w:r>
    </w:p>
    <w:p w14:paraId="59885F42" w14:textId="77777777" w:rsidR="00BA3BFA" w:rsidRPr="001C22A9" w:rsidRDefault="00BA3BFA" w:rsidP="00BA3BFA">
      <w:pPr>
        <w:pStyle w:val="H1G"/>
      </w:pPr>
      <w:r w:rsidRPr="001C22A9">
        <w:tab/>
      </w:r>
      <w:r w:rsidRPr="001C22A9">
        <w:tab/>
        <w:t>Section 11</w:t>
      </w:r>
    </w:p>
    <w:p w14:paraId="5FBB4948" w14:textId="77777777" w:rsidR="00BA3BFA" w:rsidRPr="001C22A9" w:rsidRDefault="00BA3BFA" w:rsidP="00BA3BFA">
      <w:pPr>
        <w:pStyle w:val="SingleTxtG"/>
        <w:tabs>
          <w:tab w:val="clear" w:pos="1701"/>
          <w:tab w:val="clear" w:pos="2268"/>
          <w:tab w:val="clear" w:pos="2835"/>
        </w:tabs>
        <w:ind w:left="2268" w:hanging="1134"/>
      </w:pPr>
      <w:r w:rsidRPr="001C22A9">
        <w:t>11.1.1</w:t>
      </w:r>
      <w:r w:rsidRPr="001C22A9">
        <w:tab/>
        <w:t>In the first sentence, replace “"Is it an explosive substance?"” by “"Does the substance have explosive properties?"”.</w:t>
      </w:r>
    </w:p>
    <w:p w14:paraId="2EF734FC" w14:textId="77777777" w:rsidR="00BA3BFA" w:rsidRPr="001C22A9" w:rsidRDefault="00BA3BFA" w:rsidP="00BA3BFA">
      <w:pPr>
        <w:pStyle w:val="SingleTxtG"/>
        <w:rPr>
          <w:i/>
          <w:iCs/>
        </w:rPr>
      </w:pPr>
      <w:r w:rsidRPr="001C22A9">
        <w:rPr>
          <w:i/>
          <w:iCs/>
        </w:rPr>
        <w:t>(Reference document: informal document INF.67, amendment 6, editorially amended)</w:t>
      </w:r>
    </w:p>
    <w:p w14:paraId="5CB87B9D" w14:textId="77777777" w:rsidR="00BA3BFA" w:rsidRPr="001C22A9" w:rsidRDefault="00BA3BFA" w:rsidP="00BA3BFA">
      <w:pPr>
        <w:pStyle w:val="H1G"/>
      </w:pPr>
      <w:r w:rsidRPr="001C22A9">
        <w:tab/>
      </w:r>
      <w:r w:rsidRPr="001C22A9">
        <w:tab/>
        <w:t>Section 12</w:t>
      </w:r>
    </w:p>
    <w:p w14:paraId="2C6B2E99" w14:textId="77777777" w:rsidR="00BA3BFA" w:rsidRPr="001C22A9" w:rsidRDefault="00BA3BFA" w:rsidP="00BA3BFA">
      <w:pPr>
        <w:pStyle w:val="SingleTxtG"/>
        <w:tabs>
          <w:tab w:val="clear" w:pos="1701"/>
          <w:tab w:val="clear" w:pos="2268"/>
          <w:tab w:val="clear" w:pos="2835"/>
        </w:tabs>
        <w:ind w:left="2268" w:hanging="1134"/>
      </w:pPr>
      <w:r w:rsidRPr="001C22A9">
        <w:t>12.1.1</w:t>
      </w:r>
      <w:r w:rsidRPr="001C22A9">
        <w:tab/>
        <w:t>In the first sentence, replace “inclusion” by “acceptance”.</w:t>
      </w:r>
    </w:p>
    <w:p w14:paraId="26E76106" w14:textId="77777777" w:rsidR="00BA3BFA" w:rsidRPr="001C22A9" w:rsidRDefault="00BA3BFA" w:rsidP="00BA3BFA">
      <w:pPr>
        <w:pStyle w:val="SingleTxtG"/>
        <w:rPr>
          <w:i/>
          <w:iCs/>
        </w:rPr>
      </w:pPr>
      <w:r w:rsidRPr="001C22A9">
        <w:rPr>
          <w:i/>
          <w:iCs/>
        </w:rPr>
        <w:t>(Reference document: informal document INF.67, amendment 6)</w:t>
      </w:r>
    </w:p>
    <w:p w14:paraId="1581FAEC" w14:textId="77777777" w:rsidR="00BA3BFA" w:rsidRPr="001C22A9" w:rsidRDefault="00BA3BFA" w:rsidP="00BA3BFA">
      <w:pPr>
        <w:pStyle w:val="H1G"/>
      </w:pPr>
      <w:r w:rsidRPr="001C22A9">
        <w:tab/>
      </w:r>
      <w:r w:rsidRPr="001C22A9">
        <w:tab/>
        <w:t>Section 18</w:t>
      </w:r>
    </w:p>
    <w:p w14:paraId="3683FE1C" w14:textId="77777777" w:rsidR="00BA3BFA" w:rsidRPr="001C22A9" w:rsidRDefault="00BA3BFA" w:rsidP="00BA3BFA">
      <w:pPr>
        <w:pStyle w:val="SingleTxtG"/>
        <w:tabs>
          <w:tab w:val="clear" w:pos="1701"/>
          <w:tab w:val="clear" w:pos="2268"/>
          <w:tab w:val="clear" w:pos="2835"/>
        </w:tabs>
        <w:ind w:left="2268" w:hanging="1134"/>
      </w:pPr>
      <w:r w:rsidRPr="001C22A9">
        <w:t>18.8.1.2.1</w:t>
      </w:r>
      <w:r w:rsidRPr="001C22A9">
        <w:tab/>
        <w:t>In the fourth sentence, at the end, add “e.g. by use of a syringe, piping bag, or pastry bag where the viscosity of the sample allows”.</w:t>
      </w:r>
    </w:p>
    <w:p w14:paraId="00B851DD" w14:textId="77777777" w:rsidR="00BA3BFA" w:rsidRPr="001C22A9" w:rsidRDefault="00BA3BFA" w:rsidP="00BA3BFA">
      <w:pPr>
        <w:pStyle w:val="SingleTxtG"/>
        <w:rPr>
          <w:i/>
          <w:iCs/>
        </w:rPr>
      </w:pPr>
      <w:r w:rsidRPr="001C22A9">
        <w:rPr>
          <w:i/>
          <w:iCs/>
        </w:rPr>
        <w:t>(Reference document: informal document INF.67, amendment 1)</w:t>
      </w:r>
    </w:p>
    <w:p w14:paraId="3A294F05" w14:textId="77777777" w:rsidR="00BA3BFA" w:rsidRPr="001C22A9" w:rsidRDefault="00BA3BFA" w:rsidP="00BA3BFA">
      <w:pPr>
        <w:pStyle w:val="SingleTxtG"/>
        <w:tabs>
          <w:tab w:val="clear" w:pos="1701"/>
          <w:tab w:val="clear" w:pos="2268"/>
          <w:tab w:val="clear" w:pos="2835"/>
        </w:tabs>
        <w:ind w:left="2268" w:hanging="1134"/>
      </w:pPr>
      <w:r w:rsidRPr="001C22A9">
        <w:t>18.8.1.2.2</w:t>
      </w:r>
      <w:r w:rsidRPr="001C22A9">
        <w:tab/>
        <w:t>In the first sentence, replace “0.51 mm” by “0.50 to 0.51 mm” and replace “5.5 Ω m</w:t>
      </w:r>
      <w:r w:rsidRPr="001C22A9">
        <w:rPr>
          <w:vertAlign w:val="superscript"/>
        </w:rPr>
        <w:t>-1</w:t>
      </w:r>
      <w:r w:rsidRPr="001C22A9">
        <w:t>” by “5.50 to 5.75 Ω·m</w:t>
      </w:r>
      <w:r w:rsidRPr="001C22A9">
        <w:rPr>
          <w:vertAlign w:val="superscript"/>
        </w:rPr>
        <w:t>-1</w:t>
      </w:r>
      <w:r w:rsidRPr="001C22A9">
        <w:t>”.</w:t>
      </w:r>
    </w:p>
    <w:p w14:paraId="5DC95473" w14:textId="77777777" w:rsidR="00BA3BFA" w:rsidRPr="001C22A9" w:rsidRDefault="00BA3BFA" w:rsidP="00BA3BFA">
      <w:pPr>
        <w:pStyle w:val="SingleTxtG"/>
        <w:rPr>
          <w:i/>
          <w:iCs/>
        </w:rPr>
      </w:pPr>
      <w:r w:rsidRPr="001C22A9">
        <w:rPr>
          <w:i/>
          <w:iCs/>
        </w:rPr>
        <w:t>(Reference document: informal document INF.67, amendment 1)</w:t>
      </w:r>
    </w:p>
    <w:p w14:paraId="0FB998B8" w14:textId="77777777" w:rsidR="00BA3BFA" w:rsidRPr="001C22A9" w:rsidRDefault="00BA3BFA" w:rsidP="00BA3BFA">
      <w:pPr>
        <w:pStyle w:val="SingleTxtG"/>
        <w:tabs>
          <w:tab w:val="clear" w:pos="1701"/>
          <w:tab w:val="clear" w:pos="2268"/>
          <w:tab w:val="clear" w:pos="2835"/>
        </w:tabs>
        <w:ind w:left="2268" w:hanging="1134"/>
      </w:pPr>
      <w:r w:rsidRPr="001C22A9">
        <w:t>18.8.1.2.3</w:t>
      </w:r>
      <w:r w:rsidRPr="001C22A9">
        <w:tab/>
        <w:t>At the end, add “and a Type-K thermocouple to measure the gas temperature”.</w:t>
      </w:r>
    </w:p>
    <w:p w14:paraId="5E24959F" w14:textId="77777777" w:rsidR="00BA3BFA" w:rsidRPr="001C22A9" w:rsidRDefault="00BA3BFA" w:rsidP="00BA3BFA">
      <w:pPr>
        <w:pStyle w:val="SingleTxtG"/>
        <w:rPr>
          <w:i/>
          <w:iCs/>
        </w:rPr>
      </w:pPr>
      <w:r w:rsidRPr="001C22A9">
        <w:rPr>
          <w:i/>
          <w:iCs/>
        </w:rPr>
        <w:t>(Reference document: informal document INF.67, amendment 1)</w:t>
      </w:r>
    </w:p>
    <w:p w14:paraId="3C8CD93E" w14:textId="77777777" w:rsidR="00BA3BFA" w:rsidRPr="001C22A9" w:rsidRDefault="00BA3BFA" w:rsidP="00BA3BFA">
      <w:pPr>
        <w:pStyle w:val="SingleTxtG"/>
        <w:tabs>
          <w:tab w:val="clear" w:pos="1701"/>
          <w:tab w:val="clear" w:pos="2268"/>
          <w:tab w:val="clear" w:pos="2835"/>
        </w:tabs>
        <w:ind w:left="2268" w:hanging="1134"/>
      </w:pPr>
      <w:r w:rsidRPr="001C22A9">
        <w:t>18.8.1.3.3</w:t>
      </w:r>
      <w:r w:rsidRPr="001C22A9">
        <w:tab/>
        <w:t>At the end, add the following two new sentences: “The test should be started after the gas temperature drops to room temperature or the gas pressure has stabilised. The value of the pressure transducer is then recorded as the initial pressure.”.</w:t>
      </w:r>
    </w:p>
    <w:p w14:paraId="0276E942" w14:textId="77777777" w:rsidR="00BA3BFA" w:rsidRPr="001C22A9" w:rsidRDefault="00BA3BFA" w:rsidP="00BA3BFA">
      <w:pPr>
        <w:pStyle w:val="SingleTxtG"/>
        <w:rPr>
          <w:i/>
          <w:iCs/>
        </w:rPr>
      </w:pPr>
      <w:r w:rsidRPr="001C22A9">
        <w:rPr>
          <w:i/>
          <w:iCs/>
        </w:rPr>
        <w:t>(Reference document: informal document INF.67, amendment 1)</w:t>
      </w:r>
    </w:p>
    <w:p w14:paraId="26DF3244" w14:textId="77777777" w:rsidR="00BA3BFA" w:rsidRPr="001C22A9" w:rsidRDefault="00BA3BFA" w:rsidP="00BA3BFA">
      <w:pPr>
        <w:pStyle w:val="H1G"/>
      </w:pPr>
      <w:r w:rsidRPr="001C22A9">
        <w:tab/>
      </w:r>
      <w:r w:rsidRPr="001C22A9">
        <w:tab/>
        <w:t>Section 32</w:t>
      </w:r>
    </w:p>
    <w:p w14:paraId="5B981167" w14:textId="77777777" w:rsidR="00BA3BFA" w:rsidRPr="001C22A9" w:rsidRDefault="00BA3BFA" w:rsidP="00BA3BFA">
      <w:pPr>
        <w:pStyle w:val="SingleTxtG"/>
        <w:tabs>
          <w:tab w:val="clear" w:pos="1701"/>
          <w:tab w:val="clear" w:pos="2268"/>
          <w:tab w:val="clear" w:pos="2835"/>
        </w:tabs>
        <w:ind w:left="2268" w:hanging="1134"/>
      </w:pPr>
      <w:r w:rsidRPr="001C22A9">
        <w:t>32.3.2.1</w:t>
      </w:r>
      <w:r w:rsidRPr="001C22A9">
        <w:tab/>
        <w:t xml:space="preserve">In the first sentence, replace “note 2 to paragraph 2.1.2.2 of the </w:t>
      </w:r>
      <w:r w:rsidRPr="001C22A9">
        <w:rPr>
          <w:i/>
          <w:iCs/>
        </w:rPr>
        <w:t>GHS</w:t>
      </w:r>
      <w:r w:rsidRPr="001C22A9">
        <w:t xml:space="preserve">” by “2.17.1.2 (b) of the </w:t>
      </w:r>
      <w:r w:rsidRPr="001C22A9">
        <w:rPr>
          <w:i/>
          <w:iCs/>
        </w:rPr>
        <w:t>GHS</w:t>
      </w:r>
      <w:r w:rsidRPr="001C22A9">
        <w:t>”.</w:t>
      </w:r>
    </w:p>
    <w:p w14:paraId="73E07DD2" w14:textId="77777777" w:rsidR="00BA3BFA" w:rsidRPr="001C22A9" w:rsidRDefault="00BA3BFA" w:rsidP="00BA3BFA">
      <w:pPr>
        <w:pStyle w:val="SingleTxtG"/>
        <w:rPr>
          <w:i/>
          <w:iCs/>
        </w:rPr>
      </w:pPr>
      <w:r w:rsidRPr="001C22A9">
        <w:rPr>
          <w:i/>
          <w:iCs/>
        </w:rPr>
        <w:t>(Reference document: informal document INF.67, amendment 6)</w:t>
      </w:r>
    </w:p>
    <w:p w14:paraId="0647E697" w14:textId="77777777" w:rsidR="00BA3BFA" w:rsidRPr="001C22A9" w:rsidRDefault="00BA3BFA" w:rsidP="00BA3BFA">
      <w:pPr>
        <w:pStyle w:val="H1G"/>
      </w:pPr>
      <w:r w:rsidRPr="001C22A9">
        <w:tab/>
      </w:r>
      <w:r w:rsidRPr="001C22A9">
        <w:tab/>
        <w:t>Section 33</w:t>
      </w:r>
    </w:p>
    <w:p w14:paraId="0F65E7BB" w14:textId="77777777" w:rsidR="00BA3BFA" w:rsidRPr="001C22A9" w:rsidRDefault="00BA3BFA" w:rsidP="00BA3BFA">
      <w:pPr>
        <w:pStyle w:val="SingleTxtG"/>
        <w:tabs>
          <w:tab w:val="clear" w:pos="1701"/>
          <w:tab w:val="clear" w:pos="2268"/>
          <w:tab w:val="clear" w:pos="2835"/>
        </w:tabs>
        <w:ind w:left="2268" w:hanging="1134"/>
      </w:pPr>
      <w:r w:rsidRPr="001C22A9">
        <w:t>33.3.1</w:t>
      </w:r>
      <w:r w:rsidRPr="001C22A9">
        <w:tab/>
        <w:t xml:space="preserve">In the first sentence, replace “note 2 to paragraph 2.1.2.2 of the </w:t>
      </w:r>
      <w:r w:rsidRPr="001C22A9">
        <w:rPr>
          <w:i/>
          <w:iCs/>
        </w:rPr>
        <w:t>GHS</w:t>
      </w:r>
      <w:r w:rsidRPr="001C22A9">
        <w:t xml:space="preserve">” by “2.17.1.2 (a) of the </w:t>
      </w:r>
      <w:r w:rsidRPr="001C22A9">
        <w:rPr>
          <w:i/>
          <w:iCs/>
        </w:rPr>
        <w:t>GHS</w:t>
      </w:r>
      <w:r w:rsidRPr="001C22A9">
        <w:t>”.</w:t>
      </w:r>
    </w:p>
    <w:p w14:paraId="53779F3D" w14:textId="77777777" w:rsidR="00BA3BFA" w:rsidRPr="001C22A9" w:rsidRDefault="00BA3BFA" w:rsidP="00BA3BFA">
      <w:pPr>
        <w:pStyle w:val="SingleTxtG"/>
        <w:rPr>
          <w:i/>
          <w:iCs/>
        </w:rPr>
      </w:pPr>
      <w:r w:rsidRPr="001C22A9">
        <w:rPr>
          <w:i/>
          <w:iCs/>
        </w:rPr>
        <w:t>(Reference document: informal document INF.67, amendment 6)</w:t>
      </w:r>
    </w:p>
    <w:p w14:paraId="2F24CABE" w14:textId="77777777" w:rsidR="00BA3BFA" w:rsidRPr="001C22A9" w:rsidRDefault="00BA3BFA" w:rsidP="00BA3BFA">
      <w:pPr>
        <w:pStyle w:val="H1G"/>
      </w:pPr>
      <w:r w:rsidRPr="001C22A9">
        <w:lastRenderedPageBreak/>
        <w:tab/>
      </w:r>
      <w:r w:rsidRPr="001C22A9">
        <w:tab/>
        <w:t>Section 38</w:t>
      </w:r>
    </w:p>
    <w:p w14:paraId="31829DDC" w14:textId="77777777" w:rsidR="00BA3BFA" w:rsidRPr="001C22A9" w:rsidRDefault="00BA3BFA" w:rsidP="00BA3BFA">
      <w:pPr>
        <w:pStyle w:val="SingleTxtG"/>
        <w:tabs>
          <w:tab w:val="clear" w:pos="1701"/>
          <w:tab w:val="clear" w:pos="2268"/>
          <w:tab w:val="clear" w:pos="2835"/>
        </w:tabs>
        <w:ind w:left="2268" w:hanging="1134"/>
      </w:pPr>
      <w:r w:rsidRPr="001C22A9">
        <w:t>38.3.4.5.2</w:t>
      </w:r>
      <w:r w:rsidRPr="001C22A9">
        <w:tab/>
        <w:t>In the first paragraph, first sentence, replace “on external case” by “on the external case or on an internal cell”. In the second paragraph, replace “the cell or battery external case temperature” by “the measured temperature”.</w:t>
      </w:r>
    </w:p>
    <w:p w14:paraId="7AEEDBA8" w14:textId="77777777" w:rsidR="00BA3BFA" w:rsidRPr="001C22A9" w:rsidRDefault="00BA3BFA" w:rsidP="00BA3BFA">
      <w:pPr>
        <w:pStyle w:val="SingleTxtG"/>
        <w:rPr>
          <w:i/>
          <w:iCs/>
        </w:rPr>
      </w:pPr>
      <w:r w:rsidRPr="001C22A9">
        <w:rPr>
          <w:i/>
          <w:iCs/>
        </w:rPr>
        <w:t>(Reference document: informal document INF.65, as amended)</w:t>
      </w:r>
    </w:p>
    <w:p w14:paraId="386DBAF6" w14:textId="77777777" w:rsidR="00BA3BFA" w:rsidRPr="001C22A9" w:rsidRDefault="00BA3BFA" w:rsidP="00BA3BFA">
      <w:pPr>
        <w:pStyle w:val="SingleTxtG"/>
        <w:tabs>
          <w:tab w:val="clear" w:pos="1701"/>
          <w:tab w:val="clear" w:pos="2268"/>
          <w:tab w:val="clear" w:pos="2835"/>
        </w:tabs>
        <w:ind w:left="2268" w:hanging="1134"/>
      </w:pPr>
      <w:r w:rsidRPr="001C22A9">
        <w:t>38.3.4.5.3</w:t>
      </w:r>
      <w:r w:rsidRPr="001C22A9">
        <w:tab/>
        <w:t>Replace “external” by “measured”.</w:t>
      </w:r>
    </w:p>
    <w:p w14:paraId="64AA3DD1" w14:textId="77777777" w:rsidR="00BA3BFA" w:rsidRPr="001C22A9" w:rsidRDefault="00BA3BFA" w:rsidP="00BA3BFA">
      <w:pPr>
        <w:pStyle w:val="SingleTxtG"/>
        <w:rPr>
          <w:i/>
          <w:iCs/>
        </w:rPr>
      </w:pPr>
      <w:r w:rsidRPr="001C22A9">
        <w:rPr>
          <w:i/>
          <w:iCs/>
        </w:rPr>
        <w:t>(Reference document: informal document INF.65)</w:t>
      </w:r>
    </w:p>
    <w:p w14:paraId="72125B95" w14:textId="77777777" w:rsidR="00BA3BFA" w:rsidRPr="001C22A9" w:rsidRDefault="00BA3BFA" w:rsidP="00BA3BFA">
      <w:pPr>
        <w:pStyle w:val="SingleTxtG"/>
        <w:tabs>
          <w:tab w:val="clear" w:pos="1701"/>
          <w:tab w:val="clear" w:pos="2268"/>
          <w:tab w:val="clear" w:pos="2835"/>
        </w:tabs>
        <w:ind w:left="2268" w:hanging="1134"/>
      </w:pPr>
      <w:r w:rsidRPr="001C22A9">
        <w:t>38.3.4.6.3</w:t>
      </w:r>
      <w:r w:rsidRPr="001C22A9">
        <w:tab/>
        <w:t>In the first paragraph under the note, at the end of the first sentence, add “, each having sufficient surface area to ensure the crushing force is applied evenly across the entire surface of the cell”.</w:t>
      </w:r>
    </w:p>
    <w:p w14:paraId="4550491B" w14:textId="77777777" w:rsidR="00BA3BFA" w:rsidRPr="001C22A9" w:rsidRDefault="00BA3BFA" w:rsidP="00BA3BFA">
      <w:pPr>
        <w:pStyle w:val="SingleTxtG"/>
        <w:rPr>
          <w:i/>
          <w:iCs/>
        </w:rPr>
      </w:pPr>
      <w:r w:rsidRPr="001C22A9">
        <w:rPr>
          <w:i/>
          <w:iCs/>
        </w:rPr>
        <w:t>(Reference document: informal document INF.41, option 1 (a))</w:t>
      </w:r>
    </w:p>
    <w:p w14:paraId="341172E4" w14:textId="77777777" w:rsidR="00BA3BFA" w:rsidRPr="001C22A9" w:rsidRDefault="00BA3BFA" w:rsidP="00BA3BFA">
      <w:pPr>
        <w:pStyle w:val="H1G"/>
      </w:pPr>
      <w:r w:rsidRPr="001C22A9">
        <w:tab/>
      </w:r>
      <w:r w:rsidRPr="001C22A9">
        <w:tab/>
        <w:t>Section 51</w:t>
      </w:r>
    </w:p>
    <w:p w14:paraId="1C7165C1" w14:textId="77777777" w:rsidR="00BA3BFA" w:rsidRPr="001C22A9" w:rsidRDefault="00BA3BFA" w:rsidP="00BA3BFA">
      <w:pPr>
        <w:pStyle w:val="SingleTxtG"/>
        <w:tabs>
          <w:tab w:val="clear" w:pos="1701"/>
          <w:tab w:val="clear" w:pos="2268"/>
          <w:tab w:val="clear" w:pos="2835"/>
        </w:tabs>
        <w:ind w:left="2268" w:hanging="1134"/>
      </w:pPr>
      <w:r w:rsidRPr="001C22A9">
        <w:t>51.4.4.3</w:t>
      </w:r>
      <w:r w:rsidRPr="001C22A9">
        <w:tab/>
        <w:t xml:space="preserve">Replace “is classified in the hazard class "explosives"” by “is not classified as a desensitized explosive and should be classified as an explosive in accordance with chapter 2.1 of the </w:t>
      </w:r>
      <w:r w:rsidRPr="001C22A9">
        <w:rPr>
          <w:i/>
          <w:iCs/>
        </w:rPr>
        <w:t>GHS</w:t>
      </w:r>
      <w:r w:rsidRPr="001C22A9">
        <w:t>”.</w:t>
      </w:r>
    </w:p>
    <w:p w14:paraId="4559572F" w14:textId="77777777" w:rsidR="00BA3BFA" w:rsidRPr="001C22A9" w:rsidRDefault="00BA3BFA" w:rsidP="00BA3BFA">
      <w:pPr>
        <w:pStyle w:val="SingleTxtG"/>
        <w:rPr>
          <w:i/>
          <w:iCs/>
        </w:rPr>
      </w:pPr>
      <w:r w:rsidRPr="001C22A9">
        <w:rPr>
          <w:i/>
          <w:iCs/>
        </w:rPr>
        <w:t>(Reference document: informal document INF.67, amendment 8)</w:t>
      </w:r>
    </w:p>
    <w:p w14:paraId="0F727726" w14:textId="77777777" w:rsidR="00BA3BFA" w:rsidRPr="001C22A9" w:rsidRDefault="00BA3BFA" w:rsidP="00BA3BFA">
      <w:pPr>
        <w:pStyle w:val="SingleTxtG"/>
        <w:ind w:left="2268" w:hanging="1134"/>
      </w:pPr>
      <w:r w:rsidRPr="001C22A9">
        <w:t>51.4.4.5</w:t>
      </w:r>
      <w:r w:rsidRPr="001C22A9">
        <w:tab/>
        <w:t xml:space="preserve">In the last sentence, replace “is classified as an explosive (See chapter 2.1 of the GHS).” by “is not classified as a desensitized explosive and should be classified as an explosive in accordance with chapter 2.1 of the </w:t>
      </w:r>
      <w:r w:rsidRPr="001C22A9">
        <w:rPr>
          <w:i/>
          <w:iCs/>
        </w:rPr>
        <w:t>GHS</w:t>
      </w:r>
      <w:r w:rsidRPr="001C22A9">
        <w:t>”.</w:t>
      </w:r>
    </w:p>
    <w:p w14:paraId="3551B4D0" w14:textId="77777777" w:rsidR="00BA3BFA" w:rsidRPr="001C22A9" w:rsidRDefault="00BA3BFA" w:rsidP="00BA3BFA">
      <w:pPr>
        <w:pStyle w:val="SingleTxtG"/>
        <w:rPr>
          <w:i/>
          <w:iCs/>
        </w:rPr>
      </w:pPr>
      <w:r w:rsidRPr="001C22A9">
        <w:rPr>
          <w:i/>
          <w:iCs/>
        </w:rPr>
        <w:t>(Reference document: informal document INF.67, amendment 8)</w:t>
      </w:r>
    </w:p>
    <w:p w14:paraId="1A925865" w14:textId="77777777" w:rsidR="00BA3BFA" w:rsidRPr="001C22A9" w:rsidRDefault="00BA3BFA" w:rsidP="00BA3BFA">
      <w:pPr>
        <w:pStyle w:val="H1G"/>
      </w:pPr>
      <w:r w:rsidRPr="001C22A9">
        <w:tab/>
      </w:r>
      <w:r w:rsidRPr="001C22A9">
        <w:tab/>
        <w:t>Appendix 6</w:t>
      </w:r>
    </w:p>
    <w:p w14:paraId="7B55E372" w14:textId="77777777" w:rsidR="00BA3BFA" w:rsidRPr="001C22A9" w:rsidRDefault="00BA3BFA" w:rsidP="00BA3BFA">
      <w:pPr>
        <w:pStyle w:val="SingleTxtG"/>
        <w:tabs>
          <w:tab w:val="clear" w:pos="1701"/>
          <w:tab w:val="clear" w:pos="2268"/>
          <w:tab w:val="clear" w:pos="2835"/>
        </w:tabs>
        <w:ind w:left="2268" w:hanging="1134"/>
      </w:pPr>
      <w:r w:rsidRPr="001C22A9">
        <w:t>A6.5.1</w:t>
      </w:r>
      <w:r w:rsidRPr="001C22A9">
        <w:tab/>
        <w:t>Amend (b) to read as follows:</w:t>
      </w:r>
    </w:p>
    <w:p w14:paraId="29037491" w14:textId="77777777" w:rsidR="00BA3BFA" w:rsidRPr="001C22A9" w:rsidRDefault="00BA3BFA" w:rsidP="00BA3BFA">
      <w:pPr>
        <w:pStyle w:val="SingleTxtG"/>
        <w:tabs>
          <w:tab w:val="clear" w:pos="1701"/>
          <w:tab w:val="clear" w:pos="2268"/>
          <w:tab w:val="clear" w:pos="2835"/>
        </w:tabs>
        <w:ind w:left="2268" w:hanging="1134"/>
      </w:pPr>
      <w:r w:rsidRPr="001C22A9">
        <w:t>“(b)</w:t>
      </w:r>
      <w:r w:rsidRPr="001C22A9">
        <w:tab/>
        <w:t>For a single organic substance or a homogeneous mixture of organic substances, the estimated SADT for a 50 kg package is greater than 75 °C or the exothermic decomposition energy is less than 300 J/g. A suitable method to estimate whether the SADT for a 50 kg package is greater than 75 °C is if:</w:t>
      </w:r>
    </w:p>
    <w:p w14:paraId="049BA4BD" w14:textId="77777777" w:rsidR="00BA3BFA" w:rsidRPr="001C22A9" w:rsidRDefault="00BA3BFA" w:rsidP="00BA3BFA">
      <w:pPr>
        <w:pStyle w:val="SingleTxtG"/>
        <w:tabs>
          <w:tab w:val="clear" w:pos="1701"/>
          <w:tab w:val="clear" w:pos="2268"/>
          <w:tab w:val="clear" w:pos="2835"/>
        </w:tabs>
        <w:ind w:left="2835" w:hanging="567"/>
      </w:pPr>
      <w:r w:rsidRPr="001C22A9">
        <w:t>(i)</w:t>
      </w:r>
      <w:r w:rsidRPr="001C22A9">
        <w:tab/>
        <w:t>The first detected exothermic reaction (onset, detection limit maximum: 20 W·kg</w:t>
      </w:r>
      <w:r w:rsidRPr="001C22A9">
        <w:rPr>
          <w:vertAlign w:val="superscript"/>
        </w:rPr>
        <w:t>-1</w:t>
      </w:r>
      <w:r w:rsidRPr="001C22A9">
        <w:t>) in a screening DSC is not less than 175 °C for liquids or 200 °C for solids; or</w:t>
      </w:r>
    </w:p>
    <w:p w14:paraId="620B93C4" w14:textId="77777777" w:rsidR="00BA3BFA" w:rsidRPr="001C22A9" w:rsidRDefault="00BA3BFA" w:rsidP="00BA3BFA">
      <w:pPr>
        <w:pStyle w:val="SingleTxtG"/>
        <w:tabs>
          <w:tab w:val="clear" w:pos="1701"/>
          <w:tab w:val="clear" w:pos="2268"/>
          <w:tab w:val="clear" w:pos="2835"/>
        </w:tabs>
        <w:ind w:left="2835" w:hanging="567"/>
      </w:pPr>
      <w:r w:rsidRPr="001C22A9">
        <w:t>(ii)</w:t>
      </w:r>
      <w:r w:rsidRPr="001C22A9">
        <w:tab/>
        <w:t>The measured isothermal maximum heat flow at 75 °C is not greater than 100 mW·kg</w:t>
      </w:r>
      <w:r w:rsidRPr="001C22A9">
        <w:rPr>
          <w:vertAlign w:val="superscript"/>
        </w:rPr>
        <w:t>-1</w:t>
      </w:r>
      <w:r w:rsidRPr="001C22A9">
        <w:t xml:space="preserve"> for liquids or 50 mW·kg</w:t>
      </w:r>
      <w:r w:rsidRPr="001C22A9">
        <w:rPr>
          <w:vertAlign w:val="superscript"/>
        </w:rPr>
        <w:t>-1</w:t>
      </w:r>
      <w:r w:rsidRPr="001C22A9">
        <w:t xml:space="preserve"> for solids.</w:t>
      </w:r>
    </w:p>
    <w:p w14:paraId="7130AD60" w14:textId="77777777" w:rsidR="00BA3BFA" w:rsidRPr="001C22A9" w:rsidRDefault="00BA3BFA" w:rsidP="00BA3BFA">
      <w:pPr>
        <w:pStyle w:val="SingleTxtG"/>
        <w:tabs>
          <w:tab w:val="clear" w:pos="1701"/>
          <w:tab w:val="clear" w:pos="2268"/>
          <w:tab w:val="clear" w:pos="2835"/>
        </w:tabs>
        <w:ind w:left="2268" w:hanging="1134"/>
      </w:pPr>
      <w:r w:rsidRPr="001C22A9">
        <w:tab/>
        <w:t>Calorimetric data should be obtained following the guidelines in section 20.3.3.3.</w:t>
      </w:r>
    </w:p>
    <w:p w14:paraId="737840A5" w14:textId="77777777" w:rsidR="00BA3BFA" w:rsidRPr="001C22A9" w:rsidRDefault="00BA3BFA" w:rsidP="00BA3BFA">
      <w:pPr>
        <w:pStyle w:val="SingleTxtG"/>
        <w:tabs>
          <w:tab w:val="clear" w:pos="1701"/>
          <w:tab w:val="clear" w:pos="2268"/>
          <w:tab w:val="clear" w:pos="2835"/>
        </w:tabs>
        <w:ind w:left="2268" w:hanging="1134"/>
        <w:rPr>
          <w:i/>
          <w:iCs/>
        </w:rPr>
      </w:pPr>
      <w:r w:rsidRPr="001C22A9">
        <w:rPr>
          <w:b/>
          <w:bCs/>
        </w:rPr>
        <w:tab/>
      </w:r>
      <w:r w:rsidRPr="001C22A9">
        <w:rPr>
          <w:b/>
          <w:bCs/>
          <w:i/>
          <w:iCs/>
        </w:rPr>
        <w:t>NOTE:</w:t>
      </w:r>
      <w:r w:rsidRPr="001C22A9">
        <w:rPr>
          <w:i/>
          <w:iCs/>
        </w:rPr>
        <w:t xml:space="preserve"> These screening rules can fail for substances showing strong autocatalytic behaviour in the decomposition. For such substances, further information is needed to determine if these simple screening rules apply to the particular substance (e.g., the effect of sample aging on the decomposition). Information concerning potential autocatalytic behaviour may be obtained from further calorimetric measurements (e.g., comparison of DSC measurements of tempered samples with fresh samples, or DSC scans with different scan rates). The onset temperature criteria or heat flow criteria should always be met for fresh and aged samples representing the anticipated duration of transport.</w:t>
      </w:r>
    </w:p>
    <w:p w14:paraId="6754F50C" w14:textId="77777777" w:rsidR="00BA3BFA" w:rsidRPr="001C22A9" w:rsidRDefault="00BA3BFA" w:rsidP="00BA3BFA">
      <w:pPr>
        <w:pStyle w:val="SingleTxtG"/>
        <w:rPr>
          <w:i/>
          <w:iCs/>
        </w:rPr>
      </w:pPr>
      <w:r w:rsidRPr="001C22A9">
        <w:rPr>
          <w:i/>
          <w:iCs/>
        </w:rPr>
        <w:t>(Reference document: informal document INF.67, amendment 3)</w:t>
      </w:r>
    </w:p>
    <w:p w14:paraId="4149B7FC" w14:textId="77777777" w:rsidR="00BA3BFA" w:rsidRPr="001C22A9" w:rsidRDefault="00BA3BFA" w:rsidP="00BA3BFA">
      <w:pPr>
        <w:pStyle w:val="H1G"/>
      </w:pPr>
      <w:r w:rsidRPr="001C22A9">
        <w:lastRenderedPageBreak/>
        <w:tab/>
      </w:r>
      <w:r w:rsidRPr="001C22A9">
        <w:tab/>
        <w:t>Appendix 10</w:t>
      </w:r>
    </w:p>
    <w:p w14:paraId="4424043B" w14:textId="77777777" w:rsidR="00BA3BFA" w:rsidRPr="001C22A9" w:rsidRDefault="00BA3BFA" w:rsidP="00BA3BFA">
      <w:pPr>
        <w:pStyle w:val="SingleTxtG"/>
        <w:tabs>
          <w:tab w:val="clear" w:pos="1701"/>
          <w:tab w:val="clear" w:pos="2268"/>
          <w:tab w:val="clear" w:pos="2835"/>
        </w:tabs>
        <w:ind w:left="2268" w:hanging="1134"/>
      </w:pPr>
      <w:r w:rsidRPr="001C22A9">
        <w:t>A10.3.4.4</w:t>
      </w:r>
      <w:r w:rsidRPr="001C22A9">
        <w:tab/>
        <w:t>In the first sentence, replace “less than 30 min” by “30 min or less”.</w:t>
      </w:r>
    </w:p>
    <w:p w14:paraId="34C3226D" w14:textId="77777777" w:rsidR="00BA3BFA" w:rsidRPr="001C22A9" w:rsidRDefault="00BA3BFA" w:rsidP="00BA3BFA">
      <w:pPr>
        <w:pStyle w:val="SingleTxtG"/>
        <w:rPr>
          <w:i/>
          <w:iCs/>
        </w:rPr>
      </w:pPr>
      <w:r w:rsidRPr="001C22A9">
        <w:rPr>
          <w:i/>
          <w:iCs/>
        </w:rPr>
        <w:t>(Reference document: informal document INF.67, amendment 5)</w:t>
      </w:r>
    </w:p>
    <w:p w14:paraId="3D0C8504" w14:textId="77777777" w:rsidR="00BA3BFA" w:rsidRPr="001C22A9" w:rsidRDefault="00BA3BFA" w:rsidP="00BA3BFA">
      <w:pPr>
        <w:pStyle w:val="SingleTxtG"/>
        <w:tabs>
          <w:tab w:val="clear" w:pos="1701"/>
          <w:tab w:val="clear" w:pos="2268"/>
          <w:tab w:val="clear" w:pos="2835"/>
        </w:tabs>
        <w:ind w:left="2268" w:hanging="1134"/>
      </w:pPr>
      <w:r w:rsidRPr="001C22A9">
        <w:t>A10.3.5</w:t>
      </w:r>
      <w:r w:rsidRPr="001C22A9">
        <w:tab/>
        <w:t>Amend the table to read as follows:</w:t>
      </w:r>
    </w:p>
    <w:tbl>
      <w:tblPr>
        <w:tblStyle w:val="TableGrid"/>
        <w:tblW w:w="0" w:type="auto"/>
        <w:jc w:val="center"/>
        <w:tblLook w:val="04A0" w:firstRow="1" w:lastRow="0" w:firstColumn="1" w:lastColumn="0" w:noHBand="0" w:noVBand="1"/>
      </w:tblPr>
      <w:tblGrid>
        <w:gridCol w:w="3587"/>
        <w:gridCol w:w="2792"/>
      </w:tblGrid>
      <w:tr w:rsidR="00BA3BFA" w:rsidRPr="001C22A9" w14:paraId="1784EED4" w14:textId="77777777" w:rsidTr="001F3651">
        <w:trPr>
          <w:jc w:val="center"/>
        </w:trPr>
        <w:tc>
          <w:tcPr>
            <w:tcW w:w="3587" w:type="dxa"/>
            <w:tcBorders>
              <w:top w:val="single" w:sz="4" w:space="0" w:color="auto"/>
              <w:left w:val="nil"/>
              <w:bottom w:val="single" w:sz="4" w:space="0" w:color="auto"/>
              <w:right w:val="nil"/>
            </w:tcBorders>
          </w:tcPr>
          <w:p w14:paraId="2457C6FE" w14:textId="77777777" w:rsidR="00BA3BFA" w:rsidRPr="001C22A9" w:rsidRDefault="00BA3BFA" w:rsidP="001F3651">
            <w:pPr>
              <w:pStyle w:val="MTabTxt"/>
              <w:jc w:val="center"/>
              <w:rPr>
                <w:rFonts w:asciiTheme="majorBidi" w:hAnsiTheme="majorBidi" w:cstheme="majorBidi"/>
                <w:b/>
                <w:bCs/>
                <w:lang w:val="en-GB"/>
              </w:rPr>
            </w:pPr>
            <w:r w:rsidRPr="001C22A9">
              <w:rPr>
                <w:rFonts w:asciiTheme="majorBidi" w:hAnsiTheme="majorBidi" w:cstheme="majorBidi"/>
                <w:b/>
                <w:bCs/>
                <w:lang w:val="en-GB"/>
              </w:rPr>
              <w:t>Test time (min)</w:t>
            </w:r>
          </w:p>
        </w:tc>
        <w:tc>
          <w:tcPr>
            <w:tcW w:w="2792" w:type="dxa"/>
            <w:tcBorders>
              <w:top w:val="single" w:sz="4" w:space="0" w:color="auto"/>
              <w:left w:val="nil"/>
              <w:bottom w:val="single" w:sz="4" w:space="0" w:color="auto"/>
              <w:right w:val="nil"/>
            </w:tcBorders>
          </w:tcPr>
          <w:p w14:paraId="5679BE43" w14:textId="77777777" w:rsidR="00BA3BFA" w:rsidRPr="001C22A9" w:rsidRDefault="00BA3BFA" w:rsidP="001F3651">
            <w:pPr>
              <w:pStyle w:val="MTabTxt"/>
              <w:jc w:val="center"/>
              <w:rPr>
                <w:rFonts w:asciiTheme="majorBidi" w:hAnsiTheme="majorBidi" w:cstheme="majorBidi"/>
                <w:b/>
                <w:bCs/>
                <w:lang w:val="en-GB"/>
              </w:rPr>
            </w:pPr>
            <w:r w:rsidRPr="001C22A9">
              <w:rPr>
                <w:rFonts w:asciiTheme="majorBidi" w:hAnsiTheme="majorBidi" w:cstheme="majorBidi"/>
                <w:b/>
                <w:bCs/>
                <w:lang w:val="en-GB"/>
              </w:rPr>
              <w:t>Result</w:t>
            </w:r>
          </w:p>
        </w:tc>
      </w:tr>
      <w:tr w:rsidR="00BA3BFA" w:rsidRPr="001C22A9" w14:paraId="1B1F2B13" w14:textId="77777777" w:rsidTr="001F3651">
        <w:trPr>
          <w:jc w:val="center"/>
        </w:trPr>
        <w:tc>
          <w:tcPr>
            <w:tcW w:w="3587" w:type="dxa"/>
            <w:tcBorders>
              <w:top w:val="single" w:sz="4" w:space="0" w:color="auto"/>
              <w:left w:val="nil"/>
              <w:bottom w:val="nil"/>
              <w:right w:val="nil"/>
            </w:tcBorders>
          </w:tcPr>
          <w:p w14:paraId="61CAF05D" w14:textId="77777777" w:rsidR="00BA3BFA" w:rsidRPr="001C22A9" w:rsidRDefault="00BA3BFA" w:rsidP="001F3651">
            <w:pPr>
              <w:pStyle w:val="MTabTxt"/>
              <w:jc w:val="center"/>
              <w:rPr>
                <w:rFonts w:asciiTheme="majorBidi" w:hAnsiTheme="majorBidi" w:cstheme="majorBidi"/>
                <w:lang w:val="en-GB"/>
              </w:rPr>
            </w:pPr>
            <w:r w:rsidRPr="001C22A9">
              <w:rPr>
                <w:rFonts w:asciiTheme="majorBidi" w:hAnsiTheme="majorBidi" w:cstheme="majorBidi"/>
                <w:lang w:val="en-GB"/>
              </w:rPr>
              <w:t>25</w:t>
            </w:r>
          </w:p>
        </w:tc>
        <w:tc>
          <w:tcPr>
            <w:tcW w:w="2792" w:type="dxa"/>
            <w:tcBorders>
              <w:top w:val="single" w:sz="4" w:space="0" w:color="auto"/>
              <w:left w:val="nil"/>
              <w:bottom w:val="nil"/>
              <w:right w:val="nil"/>
            </w:tcBorders>
          </w:tcPr>
          <w:p w14:paraId="41740636" w14:textId="77777777" w:rsidR="00BA3BFA" w:rsidRPr="001C22A9" w:rsidRDefault="00BA3BFA" w:rsidP="001F3651">
            <w:pPr>
              <w:pStyle w:val="MTabTxt"/>
              <w:jc w:val="center"/>
              <w:rPr>
                <w:rFonts w:asciiTheme="majorBidi" w:hAnsiTheme="majorBidi" w:cstheme="majorBidi"/>
                <w:lang w:val="en-GB"/>
              </w:rPr>
            </w:pPr>
            <w:r w:rsidRPr="001C22A9">
              <w:rPr>
                <w:rFonts w:asciiTheme="majorBidi" w:hAnsiTheme="majorBidi" w:cstheme="majorBidi"/>
                <w:lang w:val="en-GB"/>
              </w:rPr>
              <w:t>+</w:t>
            </w:r>
          </w:p>
        </w:tc>
      </w:tr>
      <w:tr w:rsidR="00BA3BFA" w:rsidRPr="001C22A9" w14:paraId="16FFD051" w14:textId="77777777" w:rsidTr="001F3651">
        <w:trPr>
          <w:jc w:val="center"/>
        </w:trPr>
        <w:tc>
          <w:tcPr>
            <w:tcW w:w="3587" w:type="dxa"/>
            <w:tcBorders>
              <w:top w:val="nil"/>
              <w:left w:val="nil"/>
              <w:bottom w:val="nil"/>
              <w:right w:val="nil"/>
            </w:tcBorders>
          </w:tcPr>
          <w:p w14:paraId="15C42922" w14:textId="77777777" w:rsidR="00BA3BFA" w:rsidRPr="001C22A9" w:rsidRDefault="00BA3BFA" w:rsidP="001F3651">
            <w:pPr>
              <w:pStyle w:val="MTabTxt"/>
              <w:jc w:val="center"/>
              <w:rPr>
                <w:rFonts w:asciiTheme="majorBidi" w:hAnsiTheme="majorBidi" w:cstheme="majorBidi"/>
                <w:lang w:val="en-GB"/>
              </w:rPr>
            </w:pPr>
            <w:r w:rsidRPr="001C22A9">
              <w:rPr>
                <w:rFonts w:asciiTheme="majorBidi" w:hAnsiTheme="majorBidi" w:cstheme="majorBidi"/>
                <w:lang w:val="en-GB"/>
              </w:rPr>
              <w:t>30</w:t>
            </w:r>
          </w:p>
        </w:tc>
        <w:tc>
          <w:tcPr>
            <w:tcW w:w="2792" w:type="dxa"/>
            <w:tcBorders>
              <w:top w:val="nil"/>
              <w:left w:val="nil"/>
              <w:bottom w:val="nil"/>
              <w:right w:val="nil"/>
            </w:tcBorders>
          </w:tcPr>
          <w:p w14:paraId="216ABDCB" w14:textId="77777777" w:rsidR="00BA3BFA" w:rsidRPr="001C22A9" w:rsidRDefault="00BA3BFA" w:rsidP="001F3651">
            <w:pPr>
              <w:pStyle w:val="MTabTxt"/>
              <w:jc w:val="center"/>
              <w:rPr>
                <w:rFonts w:asciiTheme="majorBidi" w:hAnsiTheme="majorBidi" w:cstheme="majorBidi"/>
                <w:lang w:val="en-GB"/>
              </w:rPr>
            </w:pPr>
            <w:r w:rsidRPr="001C22A9">
              <w:rPr>
                <w:rFonts w:asciiTheme="majorBidi" w:hAnsiTheme="majorBidi" w:cstheme="majorBidi"/>
                <w:lang w:val="en-GB"/>
              </w:rPr>
              <w:t>+</w:t>
            </w:r>
          </w:p>
        </w:tc>
      </w:tr>
      <w:tr w:rsidR="00BA3BFA" w:rsidRPr="001C22A9" w14:paraId="34C582B0" w14:textId="77777777" w:rsidTr="001F3651">
        <w:trPr>
          <w:jc w:val="center"/>
        </w:trPr>
        <w:tc>
          <w:tcPr>
            <w:tcW w:w="3587" w:type="dxa"/>
            <w:tcBorders>
              <w:top w:val="nil"/>
              <w:left w:val="nil"/>
              <w:bottom w:val="single" w:sz="4" w:space="0" w:color="auto"/>
              <w:right w:val="nil"/>
            </w:tcBorders>
          </w:tcPr>
          <w:p w14:paraId="6EE77669" w14:textId="77777777" w:rsidR="00BA3BFA" w:rsidRPr="001C22A9" w:rsidRDefault="00BA3BFA" w:rsidP="001F3651">
            <w:pPr>
              <w:pStyle w:val="MTabTxt"/>
              <w:jc w:val="center"/>
              <w:rPr>
                <w:rFonts w:asciiTheme="majorBidi" w:hAnsiTheme="majorBidi" w:cstheme="majorBidi"/>
                <w:lang w:val="en-GB"/>
              </w:rPr>
            </w:pPr>
            <w:r w:rsidRPr="001C22A9">
              <w:rPr>
                <w:rFonts w:asciiTheme="majorBidi" w:hAnsiTheme="majorBidi" w:cstheme="majorBidi"/>
                <w:lang w:val="en-GB"/>
              </w:rPr>
              <w:t>35</w:t>
            </w:r>
          </w:p>
        </w:tc>
        <w:tc>
          <w:tcPr>
            <w:tcW w:w="2792" w:type="dxa"/>
            <w:tcBorders>
              <w:top w:val="nil"/>
              <w:left w:val="nil"/>
              <w:bottom w:val="single" w:sz="4" w:space="0" w:color="auto"/>
              <w:right w:val="nil"/>
            </w:tcBorders>
          </w:tcPr>
          <w:p w14:paraId="40B682D2" w14:textId="77777777" w:rsidR="00BA3BFA" w:rsidRPr="001C22A9" w:rsidRDefault="00BA3BFA" w:rsidP="001F3651">
            <w:pPr>
              <w:pStyle w:val="MTabTxt"/>
              <w:jc w:val="center"/>
              <w:rPr>
                <w:rFonts w:asciiTheme="majorBidi" w:hAnsiTheme="majorBidi" w:cstheme="majorBidi"/>
                <w:lang w:val="en-GB"/>
              </w:rPr>
            </w:pPr>
            <w:r w:rsidRPr="001C22A9">
              <w:rPr>
                <w:rFonts w:asciiTheme="majorBidi" w:hAnsiTheme="majorBidi" w:cstheme="majorBidi"/>
                <w:lang w:val="en-GB"/>
              </w:rPr>
              <w:t>–</w:t>
            </w:r>
          </w:p>
        </w:tc>
      </w:tr>
    </w:tbl>
    <w:p w14:paraId="68115CC1" w14:textId="77C87E8B" w:rsidR="004D2CF2" w:rsidRPr="00B6456B" w:rsidRDefault="00BA3BFA" w:rsidP="00B6456B">
      <w:pPr>
        <w:pStyle w:val="SingleTxtG"/>
        <w:spacing w:before="120"/>
        <w:rPr>
          <w:i/>
          <w:iCs/>
        </w:rPr>
      </w:pPr>
      <w:r w:rsidRPr="001C22A9">
        <w:rPr>
          <w:i/>
          <w:iCs/>
        </w:rPr>
        <w:t>(Reference document: informal document INF.67, amendment 5, editorially amended)</w:t>
      </w:r>
    </w:p>
    <w:p w14:paraId="24A37DFF" w14:textId="2B77F003" w:rsidR="00D26F12" w:rsidRPr="001C22A9" w:rsidRDefault="00D26F12" w:rsidP="00D26F12">
      <w:pPr>
        <w:pStyle w:val="HChG"/>
        <w:rPr>
          <w:i/>
          <w:iCs/>
        </w:rPr>
      </w:pPr>
      <w:r w:rsidRPr="001C22A9">
        <w:tab/>
      </w:r>
      <w:r w:rsidR="00B6456B">
        <w:t>II.</w:t>
      </w:r>
      <w:r w:rsidRPr="001C22A9">
        <w:tab/>
        <w:t>Draft amendments to the twenty-third revised edition of the Recommendations on the Transport of Dangerous Goods, Model Regulations (ST/SG/AC.10/1/Rev.23)</w:t>
      </w:r>
    </w:p>
    <w:p w14:paraId="2F2552D0" w14:textId="77777777" w:rsidR="00D26F12" w:rsidRPr="001C22A9" w:rsidRDefault="00D26F12" w:rsidP="00D26F12">
      <w:pPr>
        <w:pStyle w:val="H1G"/>
      </w:pPr>
      <w:r w:rsidRPr="001C22A9">
        <w:tab/>
      </w:r>
      <w:r w:rsidRPr="001C22A9">
        <w:tab/>
        <w:t>Chapter 1.2</w:t>
      </w:r>
    </w:p>
    <w:p w14:paraId="45E6D1B9" w14:textId="77777777" w:rsidR="00D26F12" w:rsidRPr="001C22A9" w:rsidRDefault="00D26F12" w:rsidP="00D26F12">
      <w:pPr>
        <w:pStyle w:val="SingleTxtG"/>
        <w:tabs>
          <w:tab w:val="clear" w:pos="1701"/>
          <w:tab w:val="clear" w:pos="2268"/>
          <w:tab w:val="clear" w:pos="2835"/>
        </w:tabs>
        <w:ind w:left="2268" w:hanging="1134"/>
      </w:pPr>
      <w:r w:rsidRPr="001C22A9">
        <w:t>1.2.2.1</w:t>
      </w:r>
      <w:r w:rsidRPr="001C22A9">
        <w:tab/>
        <w:t>In the table, in the second row for “Mass”, in column “Acceptable alternative unit”, replace “(ton)” by “(tonne (metric ton))”.</w:t>
      </w:r>
    </w:p>
    <w:p w14:paraId="43089015" w14:textId="77777777" w:rsidR="00D26F12" w:rsidRPr="001C22A9" w:rsidRDefault="00D26F12" w:rsidP="00D26F12">
      <w:pPr>
        <w:pStyle w:val="SingleTxtG"/>
        <w:rPr>
          <w:i/>
          <w:iCs/>
        </w:rPr>
      </w:pPr>
      <w:r w:rsidRPr="001C22A9">
        <w:rPr>
          <w:i/>
          <w:iCs/>
        </w:rPr>
        <w:t>(Reference document:</w:t>
      </w:r>
      <w:r w:rsidRPr="001C22A9">
        <w:t xml:space="preserve"> </w:t>
      </w:r>
      <w:r w:rsidRPr="001C22A9">
        <w:rPr>
          <w:i/>
          <w:iCs/>
        </w:rPr>
        <w:t>ST/SG/AC.10/C.3/2024/3, as amended)</w:t>
      </w:r>
    </w:p>
    <w:p w14:paraId="3A8C425B" w14:textId="77777777" w:rsidR="00D26F12" w:rsidRPr="001C22A9" w:rsidRDefault="00D26F12" w:rsidP="00D26F12">
      <w:pPr>
        <w:pStyle w:val="H1G"/>
      </w:pPr>
      <w:r w:rsidRPr="001C22A9">
        <w:tab/>
      </w:r>
      <w:r w:rsidRPr="001C22A9">
        <w:tab/>
        <w:t>Chapter 2.0</w:t>
      </w:r>
    </w:p>
    <w:p w14:paraId="31DA76E6" w14:textId="77777777" w:rsidR="00D26F12" w:rsidRPr="001C22A9" w:rsidRDefault="00D26F12" w:rsidP="00D26F12">
      <w:pPr>
        <w:pStyle w:val="SingleTxtG"/>
        <w:tabs>
          <w:tab w:val="clear" w:pos="1701"/>
          <w:tab w:val="clear" w:pos="2268"/>
          <w:tab w:val="clear" w:pos="2835"/>
        </w:tabs>
        <w:ind w:left="2268" w:hanging="1134"/>
      </w:pPr>
      <w:r w:rsidRPr="001C22A9">
        <w:t>2.0.4.3</w:t>
      </w:r>
      <w:r w:rsidRPr="001C22A9">
        <w:tab/>
        <w:t>Add a new 2.0.4.3.2 and a new 2.0.4.3.3 to read as follows:</w:t>
      </w:r>
    </w:p>
    <w:p w14:paraId="2510273A" w14:textId="77777777" w:rsidR="00D26F12" w:rsidRPr="001C22A9" w:rsidRDefault="00D26F12" w:rsidP="00D26F12">
      <w:pPr>
        <w:pStyle w:val="SingleTxtG"/>
        <w:tabs>
          <w:tab w:val="clear" w:pos="1701"/>
          <w:tab w:val="clear" w:pos="2268"/>
          <w:tab w:val="clear" w:pos="2835"/>
        </w:tabs>
        <w:ind w:left="2268" w:hanging="1134"/>
      </w:pPr>
      <w:r w:rsidRPr="001C22A9">
        <w:t>“2.0.4.3.2</w:t>
      </w:r>
      <w:r w:rsidRPr="001C22A9">
        <w:tab/>
        <w:t xml:space="preserve">Samples of organic substances carrying functional groups listed in tables A6.1 or A6.3 in appendix 6 of the </w:t>
      </w:r>
      <w:r w:rsidRPr="001C22A9">
        <w:rPr>
          <w:i/>
          <w:iCs/>
        </w:rPr>
        <w:t>Manual of Tests and Criteria</w:t>
      </w:r>
      <w:r w:rsidRPr="001C22A9">
        <w:t xml:space="preserve"> may be assigned to one of the appropriate entries for self-reactive substances type C (UN Nos. 3223, 3224, 3233 or 3234, as applicable) of Division 4.1 and transported under the provisions of 2.4.2.3.2.4 (b) for the transport in amounts of not more than 200 g per outer packag</w:t>
      </w:r>
      <w:r>
        <w:t>ing</w:t>
      </w:r>
      <w:r w:rsidRPr="001C22A9">
        <w:t xml:space="preserve"> provided that:</w:t>
      </w:r>
    </w:p>
    <w:p w14:paraId="77BDB575" w14:textId="77777777" w:rsidR="00D26F12" w:rsidRDefault="00D26F12" w:rsidP="00D26F12">
      <w:pPr>
        <w:pStyle w:val="SingleTxtG"/>
        <w:tabs>
          <w:tab w:val="clear" w:pos="1701"/>
          <w:tab w:val="clear" w:pos="2268"/>
          <w:tab w:val="clear" w:pos="2835"/>
        </w:tabs>
        <w:ind w:left="2835" w:hanging="567"/>
      </w:pPr>
      <w:r w:rsidRPr="001C22A9">
        <w:t>(a)</w:t>
      </w:r>
      <w:r w:rsidRPr="001C22A9">
        <w:tab/>
        <w:t>They fulfil the criteria of 2.0.4.3.1 (a) to (c); and</w:t>
      </w:r>
    </w:p>
    <w:p w14:paraId="43E73E18" w14:textId="77777777" w:rsidR="00D26F12" w:rsidRPr="001C22A9" w:rsidRDefault="00D26F12" w:rsidP="00D26F12">
      <w:pPr>
        <w:pStyle w:val="SingleTxtG"/>
        <w:tabs>
          <w:tab w:val="clear" w:pos="1701"/>
          <w:tab w:val="clear" w:pos="2268"/>
          <w:tab w:val="clear" w:pos="2835"/>
        </w:tabs>
        <w:ind w:left="2835" w:hanging="567"/>
      </w:pPr>
      <w:r w:rsidRPr="001C22A9">
        <w:t>(b)</w:t>
      </w:r>
      <w:r w:rsidRPr="001C22A9">
        <w:tab/>
        <w:t>Their decomposition energy is:</w:t>
      </w:r>
    </w:p>
    <w:p w14:paraId="1945EA79" w14:textId="77777777" w:rsidR="00D26F12" w:rsidRPr="001C22A9" w:rsidRDefault="00D26F12" w:rsidP="00D26F12">
      <w:pPr>
        <w:pStyle w:val="SingleTxtG"/>
        <w:tabs>
          <w:tab w:val="clear" w:pos="1701"/>
          <w:tab w:val="clear" w:pos="2268"/>
          <w:tab w:val="clear" w:pos="2835"/>
        </w:tabs>
        <w:ind w:left="3402" w:hanging="567"/>
      </w:pPr>
      <w:r w:rsidRPr="001C22A9">
        <w:t>(i)</w:t>
      </w:r>
      <w:r w:rsidRPr="001C22A9">
        <w:tab/>
        <w:t>Less than 1</w:t>
      </w:r>
      <w:r>
        <w:t> </w:t>
      </w:r>
      <w:r w:rsidRPr="001C22A9">
        <w:t>500 J/g for salts or complexes of organic compounds;</w:t>
      </w:r>
    </w:p>
    <w:p w14:paraId="2A40EFF0" w14:textId="77777777" w:rsidR="00D26F12" w:rsidRPr="001C22A9" w:rsidRDefault="00D26F12" w:rsidP="00D26F12">
      <w:pPr>
        <w:pStyle w:val="SingleTxtG"/>
        <w:tabs>
          <w:tab w:val="clear" w:pos="1701"/>
          <w:tab w:val="clear" w:pos="2268"/>
          <w:tab w:val="clear" w:pos="2835"/>
        </w:tabs>
        <w:ind w:left="3402" w:hanging="567"/>
      </w:pPr>
      <w:r w:rsidRPr="001C22A9">
        <w:t>(ii)</w:t>
      </w:r>
      <w:r w:rsidRPr="001C22A9">
        <w:tab/>
        <w:t>Less than 2</w:t>
      </w:r>
      <w:r>
        <w:t> </w:t>
      </w:r>
      <w:r w:rsidRPr="001C22A9">
        <w:t>000 J/g for other organic substances;</w:t>
      </w:r>
    </w:p>
    <w:p w14:paraId="184184B6" w14:textId="77777777" w:rsidR="00D26F12" w:rsidRPr="001C22A9" w:rsidRDefault="00D26F12" w:rsidP="00D26F12">
      <w:pPr>
        <w:pStyle w:val="SingleTxtG"/>
        <w:tabs>
          <w:tab w:val="clear" w:pos="1701"/>
          <w:tab w:val="clear" w:pos="2268"/>
          <w:tab w:val="clear" w:pos="2835"/>
        </w:tabs>
        <w:ind w:left="3402" w:hanging="567"/>
      </w:pPr>
      <w:r w:rsidRPr="001C22A9">
        <w:t>(iii)</w:t>
      </w:r>
      <w:r w:rsidRPr="001C22A9">
        <w:tab/>
        <w:t>1</w:t>
      </w:r>
      <w:r>
        <w:t> </w:t>
      </w:r>
      <w:r w:rsidRPr="001C22A9">
        <w:t xml:space="preserve">500 J/g or more for salts or complexes of organic compounds, and in test C.1 the result is not “yes, rapidly” and in any one of test series F the result is not "not low"; or </w:t>
      </w:r>
    </w:p>
    <w:p w14:paraId="248CE846" w14:textId="77777777" w:rsidR="00D26F12" w:rsidRPr="001C22A9" w:rsidRDefault="00D26F12" w:rsidP="00D26F12">
      <w:pPr>
        <w:pStyle w:val="SingleTxtG"/>
        <w:tabs>
          <w:tab w:val="clear" w:pos="1701"/>
          <w:tab w:val="clear" w:pos="2268"/>
          <w:tab w:val="clear" w:pos="2835"/>
        </w:tabs>
        <w:ind w:left="3402" w:hanging="567"/>
      </w:pPr>
      <w:r w:rsidRPr="001C22A9">
        <w:t>(iv)</w:t>
      </w:r>
      <w:r w:rsidRPr="001C22A9">
        <w:tab/>
        <w:t>2</w:t>
      </w:r>
      <w:r>
        <w:t> </w:t>
      </w:r>
      <w:r w:rsidRPr="001C22A9">
        <w:t xml:space="preserve">000 J/g or more for other organic substances, and in test C.1 the result is not "yes, rapidly" and in any one of test series F the result is not "not low". </w:t>
      </w:r>
    </w:p>
    <w:p w14:paraId="4CB79B13" w14:textId="77777777" w:rsidR="00D26F12" w:rsidRPr="001C22A9" w:rsidRDefault="00D26F12" w:rsidP="00D26F12">
      <w:pPr>
        <w:pStyle w:val="SingleTxtG"/>
        <w:tabs>
          <w:tab w:val="clear" w:pos="1701"/>
          <w:tab w:val="clear" w:pos="2268"/>
          <w:tab w:val="clear" w:pos="2835"/>
        </w:tabs>
        <w:ind w:left="2268" w:hanging="1134"/>
      </w:pPr>
      <w:r w:rsidRPr="001C22A9">
        <w:tab/>
        <w:t>The assessment in (b) (iii) and (iv) may be based on a single test C.1 and one single test from test series F. If the criteria in (b) are fulfilled, it can be assumed that the sample is not more dangerous than self-reactive substances type B.</w:t>
      </w:r>
    </w:p>
    <w:p w14:paraId="3AC4F2FB" w14:textId="77777777" w:rsidR="00D26F12" w:rsidRPr="001C22A9" w:rsidRDefault="00D26F12" w:rsidP="00D26F12">
      <w:pPr>
        <w:pStyle w:val="SingleTxtG"/>
        <w:tabs>
          <w:tab w:val="clear" w:pos="1701"/>
          <w:tab w:val="clear" w:pos="2268"/>
          <w:tab w:val="clear" w:pos="2835"/>
        </w:tabs>
        <w:ind w:left="2268" w:hanging="1134"/>
      </w:pPr>
      <w:r w:rsidRPr="001C22A9">
        <w:tab/>
        <w:t xml:space="preserve">An appropriate method to determine temperature control requirements is described in section 20.3.4 of the </w:t>
      </w:r>
      <w:r w:rsidRPr="001C22A9">
        <w:rPr>
          <w:i/>
          <w:iCs/>
        </w:rPr>
        <w:t>Manual of Tests and Criteria</w:t>
      </w:r>
      <w:r w:rsidRPr="001C22A9">
        <w:t>.</w:t>
      </w:r>
    </w:p>
    <w:p w14:paraId="30AA612C" w14:textId="77777777" w:rsidR="00D26F12" w:rsidRPr="001C22A9" w:rsidRDefault="00D26F12" w:rsidP="00D26F12">
      <w:pPr>
        <w:pStyle w:val="SingleTxtG"/>
        <w:tabs>
          <w:tab w:val="clear" w:pos="1701"/>
          <w:tab w:val="clear" w:pos="2268"/>
          <w:tab w:val="clear" w:pos="2835"/>
        </w:tabs>
        <w:ind w:left="2268" w:hanging="1134"/>
      </w:pPr>
      <w:r w:rsidRPr="001C22A9">
        <w:tab/>
        <w:t xml:space="preserve">Samples not passing the criteria in (b) (iii) or (iv) may be transported by an approval issued by the competent authority of the country of origin. The statement of approval shall be based on the available information and contain </w:t>
      </w:r>
      <w:r w:rsidRPr="001C22A9">
        <w:lastRenderedPageBreak/>
        <w:t>the classification and the relevant transport conditions. Alternatively, the sample may be dissolved or diluted with an inert compound to form a homogenous mixture in agreement with the criteria in (b) (i) or (ii), as applicable.”</w:t>
      </w:r>
    </w:p>
    <w:p w14:paraId="135EB499" w14:textId="77777777" w:rsidR="00D26F12" w:rsidRDefault="00D26F12" w:rsidP="00D26F12">
      <w:pPr>
        <w:pStyle w:val="SingleTxtG"/>
        <w:tabs>
          <w:tab w:val="clear" w:pos="1701"/>
          <w:tab w:val="clear" w:pos="2268"/>
          <w:tab w:val="clear" w:pos="2835"/>
        </w:tabs>
        <w:ind w:left="2268" w:hanging="1134"/>
      </w:pPr>
      <w:r w:rsidRPr="001C22A9">
        <w:t>“2.0.4.3.3</w:t>
      </w:r>
      <w:r w:rsidRPr="001C22A9">
        <w:tab/>
        <w:t>A flow chart describing the classification of energetic samples is shown in figure 2.</w:t>
      </w:r>
      <w:r>
        <w:t>0</w:t>
      </w:r>
      <w:r w:rsidRPr="001C22A9">
        <w:t>.1.</w:t>
      </w:r>
    </w:p>
    <w:p w14:paraId="3342FC5E" w14:textId="77777777" w:rsidR="00D26F12" w:rsidRPr="00223B8A" w:rsidRDefault="00D26F12" w:rsidP="00D26F12">
      <w:pPr>
        <w:pStyle w:val="SingleTxtG"/>
        <w:rPr>
          <w:i/>
          <w:iCs/>
        </w:rPr>
      </w:pPr>
      <w:r w:rsidRPr="000A4054">
        <w:rPr>
          <w:b/>
          <w:bCs/>
          <w:i/>
          <w:iCs/>
        </w:rPr>
        <w:t>Note from the secretariat:</w:t>
      </w:r>
      <w:r w:rsidRPr="000A4054">
        <w:rPr>
          <w:i/>
          <w:iCs/>
        </w:rPr>
        <w:t xml:space="preserve"> </w:t>
      </w:r>
      <w:r>
        <w:rPr>
          <w:i/>
          <w:iCs/>
        </w:rPr>
        <w:t>Figure 2.0.1</w:t>
      </w:r>
      <w:r w:rsidRPr="000A4054">
        <w:rPr>
          <w:i/>
          <w:iCs/>
        </w:rPr>
        <w:t xml:space="preserve"> has been edited by the secretariat after the adoption of the report, in consultation with the authors of the original </w:t>
      </w:r>
      <w:r>
        <w:rPr>
          <w:i/>
          <w:iCs/>
        </w:rPr>
        <w:t>p</w:t>
      </w:r>
      <w:r w:rsidRPr="000A4054">
        <w:rPr>
          <w:i/>
          <w:iCs/>
        </w:rPr>
        <w:t>roposal.</w:t>
      </w:r>
    </w:p>
    <w:p w14:paraId="2BD87120" w14:textId="77777777" w:rsidR="00D26F12" w:rsidRPr="001C22A9" w:rsidRDefault="00D26F12" w:rsidP="00D26F12">
      <w:pPr>
        <w:pStyle w:val="SingleTxtG"/>
        <w:keepNext/>
        <w:tabs>
          <w:tab w:val="clear" w:pos="1701"/>
          <w:tab w:val="clear" w:pos="2268"/>
          <w:tab w:val="clear" w:pos="2835"/>
        </w:tabs>
        <w:jc w:val="center"/>
        <w:rPr>
          <w:b/>
          <w:bCs/>
        </w:rPr>
      </w:pPr>
      <w:r w:rsidRPr="001C22A9">
        <w:rPr>
          <w:b/>
          <w:bCs/>
        </w:rPr>
        <w:t>Figure 2.</w:t>
      </w:r>
      <w:r>
        <w:rPr>
          <w:b/>
          <w:bCs/>
        </w:rPr>
        <w:t>0</w:t>
      </w:r>
      <w:r w:rsidRPr="001C22A9">
        <w:rPr>
          <w:b/>
          <w:bCs/>
        </w:rPr>
        <w:t>.1: Classification of energetic samples</w:t>
      </w:r>
    </w:p>
    <w:p w14:paraId="29789D56" w14:textId="77777777" w:rsidR="00D26F12" w:rsidRPr="001C22A9" w:rsidRDefault="00D26F12" w:rsidP="00D26F12">
      <w:pPr>
        <w:pStyle w:val="SingleTxtG"/>
        <w:tabs>
          <w:tab w:val="clear" w:pos="1701"/>
          <w:tab w:val="clear" w:pos="2268"/>
          <w:tab w:val="clear" w:pos="2835"/>
        </w:tabs>
        <w:jc w:val="center"/>
      </w:pPr>
      <w:r w:rsidRPr="001C22A9">
        <w:object w:dxaOrig="9511" w:dyaOrig="12381" w14:anchorId="7C4E9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8pt;height:455.3pt" o:ole="">
            <v:imagedata r:id="rId12" o:title=""/>
          </v:shape>
          <o:OLEObject Type="Embed" ProgID="Visio.Drawing.15" ShapeID="_x0000_i1025" DrawAspect="Content" ObjectID="_1783237921" r:id="rId13"/>
        </w:object>
      </w:r>
    </w:p>
    <w:p w14:paraId="1338B560" w14:textId="77777777" w:rsidR="00D26F12" w:rsidRPr="001C22A9" w:rsidRDefault="00D26F12" w:rsidP="00D26F12">
      <w:pPr>
        <w:pStyle w:val="SingleTxtG"/>
        <w:keepNext/>
        <w:tabs>
          <w:tab w:val="clear" w:pos="1701"/>
          <w:tab w:val="clear" w:pos="2268"/>
          <w:tab w:val="clear" w:pos="2835"/>
        </w:tabs>
        <w:ind w:left="2268" w:hanging="1134"/>
        <w:jc w:val="center"/>
        <w:rPr>
          <w:b/>
          <w:bCs/>
        </w:rPr>
      </w:pPr>
      <w:r w:rsidRPr="001C22A9">
        <w:rPr>
          <w:b/>
          <w:bCs/>
        </w:rPr>
        <w:lastRenderedPageBreak/>
        <w:t>Figure 2.</w:t>
      </w:r>
      <w:r>
        <w:rPr>
          <w:b/>
          <w:bCs/>
        </w:rPr>
        <w:t>0</w:t>
      </w:r>
      <w:r w:rsidRPr="001C22A9">
        <w:rPr>
          <w:b/>
          <w:bCs/>
        </w:rPr>
        <w:t>.1: Classification of energetic samples</w:t>
      </w:r>
      <w:r w:rsidRPr="001C22A9">
        <w:rPr>
          <w:b/>
          <w:bCs/>
          <w:i/>
          <w:iCs/>
        </w:rPr>
        <w:t xml:space="preserve"> (cont’d)</w:t>
      </w:r>
    </w:p>
    <w:p w14:paraId="0192E225" w14:textId="77777777" w:rsidR="00D26F12" w:rsidRPr="001C22A9" w:rsidRDefault="00D26F12" w:rsidP="00D26F12">
      <w:pPr>
        <w:pStyle w:val="SingleTxtG"/>
        <w:tabs>
          <w:tab w:val="clear" w:pos="1701"/>
          <w:tab w:val="clear" w:pos="2268"/>
          <w:tab w:val="clear" w:pos="2835"/>
        </w:tabs>
        <w:ind w:left="0" w:right="0"/>
      </w:pPr>
      <w:r w:rsidRPr="001C22A9">
        <w:rPr>
          <w:rFonts w:ascii="Arial" w:hAnsi="Arial"/>
          <w:sz w:val="22"/>
          <w:szCs w:val="22"/>
          <w:lang w:eastAsia="de-DE"/>
        </w:rPr>
        <w:object w:dxaOrig="13251" w:dyaOrig="17781" w14:anchorId="6D31A568">
          <v:shape id="_x0000_i1026" type="#_x0000_t75" style="width:480pt;height:641.65pt" o:ole="">
            <v:imagedata r:id="rId14" o:title=""/>
          </v:shape>
          <o:OLEObject Type="Embed" ProgID="Visio.Drawing.15" ShapeID="_x0000_i1026" DrawAspect="Content" ObjectID="_1783237922" r:id="rId15"/>
        </w:object>
      </w:r>
    </w:p>
    <w:p w14:paraId="7AFA56BE" w14:textId="77777777" w:rsidR="00D26F12" w:rsidRPr="001C22A9" w:rsidRDefault="00D26F12" w:rsidP="00D26F12">
      <w:pPr>
        <w:pStyle w:val="SingleTxtG"/>
        <w:rPr>
          <w:i/>
          <w:iCs/>
        </w:rPr>
      </w:pPr>
      <w:r w:rsidRPr="001C22A9">
        <w:rPr>
          <w:i/>
          <w:iCs/>
        </w:rPr>
        <w:t>(Reference document: informal document INF.67, amendment 2, editorially amended)</w:t>
      </w:r>
    </w:p>
    <w:p w14:paraId="70DEA4CB" w14:textId="77777777" w:rsidR="00D26F12" w:rsidRPr="001C22A9" w:rsidRDefault="00D26F12" w:rsidP="00D26F12">
      <w:pPr>
        <w:pStyle w:val="H1G"/>
      </w:pPr>
      <w:r w:rsidRPr="001C22A9">
        <w:lastRenderedPageBreak/>
        <w:tab/>
      </w:r>
      <w:r w:rsidRPr="001C22A9">
        <w:tab/>
        <w:t>Chapter 2.1</w:t>
      </w:r>
    </w:p>
    <w:p w14:paraId="2864E92C" w14:textId="77777777" w:rsidR="00D26F12" w:rsidRPr="001C22A9" w:rsidRDefault="00D26F12" w:rsidP="00D26F12">
      <w:pPr>
        <w:pStyle w:val="SingleTxtG"/>
        <w:tabs>
          <w:tab w:val="clear" w:pos="1701"/>
          <w:tab w:val="clear" w:pos="2268"/>
          <w:tab w:val="clear" w:pos="2835"/>
        </w:tabs>
        <w:ind w:left="2268" w:hanging="1134"/>
      </w:pPr>
      <w:r w:rsidRPr="001C22A9">
        <w:t>2.1.3.2.2</w:t>
      </w:r>
      <w:r w:rsidRPr="001C22A9">
        <w:tab/>
        <w:t>In the first sentence, replace “seven” by “eight”.</w:t>
      </w:r>
    </w:p>
    <w:p w14:paraId="42520657" w14:textId="77777777" w:rsidR="00D26F12" w:rsidRPr="001C22A9" w:rsidRDefault="00D26F12" w:rsidP="00D26F12">
      <w:pPr>
        <w:pStyle w:val="SingleTxtG"/>
        <w:rPr>
          <w:i/>
          <w:iCs/>
        </w:rPr>
      </w:pPr>
      <w:r w:rsidRPr="001C22A9">
        <w:rPr>
          <w:i/>
          <w:iCs/>
        </w:rPr>
        <w:t>(Reference document: informal document INF.67, amendment 6)</w:t>
      </w:r>
    </w:p>
    <w:p w14:paraId="5FCA0AC6" w14:textId="77777777" w:rsidR="00D26F12" w:rsidRPr="001C22A9" w:rsidRDefault="00D26F12" w:rsidP="00D26F12">
      <w:pPr>
        <w:pStyle w:val="H1G"/>
      </w:pPr>
      <w:r w:rsidRPr="001C22A9">
        <w:tab/>
      </w:r>
      <w:r w:rsidRPr="001C22A9">
        <w:tab/>
        <w:t>Chapter 2.6</w:t>
      </w:r>
    </w:p>
    <w:p w14:paraId="650C3F98" w14:textId="77777777" w:rsidR="00D26F12" w:rsidRPr="001C22A9" w:rsidRDefault="00D26F12" w:rsidP="00D26F12">
      <w:pPr>
        <w:pStyle w:val="SingleTxtG"/>
        <w:tabs>
          <w:tab w:val="clear" w:pos="1701"/>
          <w:tab w:val="clear" w:pos="2268"/>
          <w:tab w:val="clear" w:pos="2835"/>
        </w:tabs>
        <w:ind w:left="2268" w:hanging="1134"/>
      </w:pPr>
      <w:r w:rsidRPr="001C22A9">
        <w:t>[2.6.3.2.2</w:t>
      </w:r>
      <w:r w:rsidRPr="001C22A9">
        <w:tab/>
        <w:t>Replace “the following categories:” by “categories A and B.”.]</w:t>
      </w:r>
    </w:p>
    <w:p w14:paraId="21F0991D" w14:textId="77777777" w:rsidR="00D26F12" w:rsidRPr="001C22A9" w:rsidRDefault="00D26F12" w:rsidP="00D26F12">
      <w:pPr>
        <w:pStyle w:val="SingleTxtG"/>
        <w:rPr>
          <w:i/>
          <w:iCs/>
        </w:rPr>
      </w:pPr>
      <w:r w:rsidRPr="001C22A9">
        <w:rPr>
          <w:i/>
          <w:iCs/>
        </w:rPr>
        <w:t>(Reference document: informal document INF.68/Rev.1)</w:t>
      </w:r>
    </w:p>
    <w:p w14:paraId="262EC0C8" w14:textId="77777777" w:rsidR="00D26F12" w:rsidRPr="001C22A9" w:rsidRDefault="00D26F12" w:rsidP="00D26F12">
      <w:pPr>
        <w:pStyle w:val="SingleTxtG"/>
        <w:tabs>
          <w:tab w:val="clear" w:pos="1701"/>
          <w:tab w:val="clear" w:pos="2268"/>
          <w:tab w:val="clear" w:pos="2835"/>
        </w:tabs>
        <w:ind w:left="2268" w:hanging="1134"/>
      </w:pPr>
      <w:r w:rsidRPr="001C22A9">
        <w:t>[2.6.3.2.2.1</w:t>
      </w:r>
      <w:r w:rsidRPr="001C22A9">
        <w:tab/>
        <w:t>Amend the text before the table to read as follows:</w:t>
      </w:r>
    </w:p>
    <w:p w14:paraId="6AA68AED" w14:textId="77777777" w:rsidR="00D26F12" w:rsidRPr="001C22A9" w:rsidRDefault="00D26F12" w:rsidP="00D26F12">
      <w:pPr>
        <w:pStyle w:val="SingleTxtG"/>
        <w:ind w:left="2268" w:hanging="1134"/>
      </w:pPr>
      <w:r w:rsidRPr="001C22A9">
        <w:t>“2.6.3.2.2.1</w:t>
      </w:r>
      <w:r w:rsidRPr="001C22A9">
        <w:tab/>
        <w:t>Category A</w:t>
      </w:r>
    </w:p>
    <w:p w14:paraId="122C90E0" w14:textId="77777777" w:rsidR="00D26F12" w:rsidRPr="001C22A9" w:rsidRDefault="00D26F12" w:rsidP="00D26F12">
      <w:pPr>
        <w:pStyle w:val="SingleTxtG"/>
        <w:tabs>
          <w:tab w:val="clear" w:pos="1701"/>
          <w:tab w:val="clear" w:pos="2268"/>
          <w:tab w:val="clear" w:pos="2835"/>
        </w:tabs>
        <w:ind w:firstLine="1134"/>
      </w:pPr>
      <w:r w:rsidRPr="001C22A9">
        <w:t>An infectious substance which is transported in a form that, when exposure to it occurs, is capable of causing permanent disability, life-threatening or fatal disease in otherwise healthy humans or animals is assigned to Category A. Indicative examples of substances that meet these criteria are given in the table in this paragraph.</w:t>
      </w:r>
    </w:p>
    <w:p w14:paraId="52BE8EA2" w14:textId="77777777" w:rsidR="00D26F12" w:rsidRPr="001C22A9" w:rsidRDefault="00D26F12" w:rsidP="00D26F12">
      <w:pPr>
        <w:pStyle w:val="SingleTxtG"/>
        <w:tabs>
          <w:tab w:val="clear" w:pos="1701"/>
          <w:tab w:val="clear" w:pos="2268"/>
          <w:tab w:val="clear" w:pos="2835"/>
        </w:tabs>
        <w:ind w:firstLine="1134"/>
      </w:pPr>
      <w:r w:rsidRPr="001C22A9">
        <w:t>Infectious substances meeting these criteria which cause disease in humans or both in humans and animals shall be assigned to UN 2814. Infectious substances which cause disease only in animals shall be assigned to UN 2900.</w:t>
      </w:r>
    </w:p>
    <w:p w14:paraId="7372AB99" w14:textId="77777777" w:rsidR="00D26F12" w:rsidRPr="001C22A9" w:rsidRDefault="00D26F12" w:rsidP="00D26F12">
      <w:pPr>
        <w:pStyle w:val="SingleTxtG"/>
        <w:tabs>
          <w:tab w:val="clear" w:pos="1701"/>
          <w:tab w:val="clear" w:pos="2268"/>
          <w:tab w:val="clear" w:pos="2835"/>
        </w:tabs>
        <w:ind w:firstLine="1134"/>
      </w:pPr>
      <w:r w:rsidRPr="001C22A9">
        <w:t xml:space="preserve">Assignment to UN Nos. 2814 or 2900 shall be based on the known medical history and symptoms of the source human or animal, endemic local conditions, or professional judgement concerning individual circumstances of the source human or animal. </w:t>
      </w:r>
    </w:p>
    <w:p w14:paraId="112E091E" w14:textId="77777777" w:rsidR="00D26F12" w:rsidRPr="001C22A9" w:rsidRDefault="00D26F12" w:rsidP="00D26F12">
      <w:pPr>
        <w:pStyle w:val="SingleTxtG"/>
        <w:tabs>
          <w:tab w:val="clear" w:pos="1701"/>
          <w:tab w:val="clear" w:pos="2268"/>
          <w:tab w:val="clear" w:pos="2835"/>
        </w:tabs>
        <w:ind w:firstLine="1134"/>
      </w:pPr>
      <w:r w:rsidRPr="001C22A9">
        <w:t>The following table is not exhaustive. Infectious substances, including new or emerging pathogens, which do not appear in the table but which meet the same criteria shall be assigned to Category A. In addition, if there is doubt as to whether or not a substance meets the criteria it shall be included in Category A. To address emerging health situations, more up-to-date information on the applicable categories can be obtained from human and animal health inter-governmental organizations and national authorities.</w:t>
      </w:r>
    </w:p>
    <w:p w14:paraId="2E20732E" w14:textId="77777777" w:rsidR="00D26F12" w:rsidRPr="001C22A9" w:rsidRDefault="00D26F12" w:rsidP="00D26F12">
      <w:pPr>
        <w:pStyle w:val="SingleTxtG"/>
        <w:ind w:left="2268" w:hanging="1134"/>
        <w:rPr>
          <w:i/>
          <w:iCs/>
        </w:rPr>
      </w:pPr>
      <w:r w:rsidRPr="001C22A9">
        <w:rPr>
          <w:b/>
          <w:bCs/>
          <w:i/>
          <w:iCs/>
        </w:rPr>
        <w:t>NOTE 1:</w:t>
      </w:r>
      <w:r w:rsidRPr="001C22A9">
        <w:rPr>
          <w:i/>
          <w:iCs/>
        </w:rPr>
        <w:tab/>
        <w:t>An exposure occurs when an infectious substance is released outside of the protective packaging, resulting in physical contact with humans or animals.</w:t>
      </w:r>
    </w:p>
    <w:p w14:paraId="2DEF76CA" w14:textId="77777777" w:rsidR="00D26F12" w:rsidRPr="001C22A9" w:rsidRDefault="00D26F12" w:rsidP="00D26F12">
      <w:pPr>
        <w:pStyle w:val="SingleTxtG"/>
        <w:ind w:left="2268" w:hanging="1134"/>
        <w:rPr>
          <w:i/>
          <w:iCs/>
        </w:rPr>
      </w:pPr>
      <w:r w:rsidRPr="001C22A9">
        <w:rPr>
          <w:b/>
          <w:bCs/>
          <w:i/>
          <w:iCs/>
        </w:rPr>
        <w:t>NOTE 2:</w:t>
      </w:r>
      <w:r w:rsidRPr="001C22A9">
        <w:rPr>
          <w:i/>
          <w:iCs/>
        </w:rPr>
        <w:tab/>
        <w:t>The proper shipping name for UN 2814 is INFECTIOUS SUBSTANCE, AFFECTING HUMANS. The proper shipping name for UN 2900 is INFECTIOUS SUBSTANCE, AFFECTING ANIMALS only.</w:t>
      </w:r>
    </w:p>
    <w:p w14:paraId="56ACFD5F" w14:textId="77777777" w:rsidR="00D26F12" w:rsidRPr="001C22A9" w:rsidRDefault="00D26F12" w:rsidP="00D26F12">
      <w:pPr>
        <w:pStyle w:val="SingleTxtG"/>
        <w:tabs>
          <w:tab w:val="clear" w:pos="1701"/>
          <w:tab w:val="clear" w:pos="2268"/>
          <w:tab w:val="clear" w:pos="2835"/>
        </w:tabs>
        <w:ind w:left="2268" w:hanging="1134"/>
        <w:rPr>
          <w:i/>
          <w:iCs/>
        </w:rPr>
      </w:pPr>
      <w:r w:rsidRPr="001C22A9">
        <w:rPr>
          <w:b/>
          <w:bCs/>
          <w:i/>
          <w:iCs/>
        </w:rPr>
        <w:t>NOTE 3:</w:t>
      </w:r>
      <w:r w:rsidRPr="001C22A9">
        <w:rPr>
          <w:i/>
          <w:iCs/>
        </w:rPr>
        <w:tab/>
        <w:t>The microorganisms written in italics in the following table are bacteria or fungi.</w:t>
      </w:r>
      <w:r w:rsidRPr="001C22A9">
        <w:t>”</w:t>
      </w:r>
    </w:p>
    <w:p w14:paraId="4581051F" w14:textId="77777777" w:rsidR="00D26F12" w:rsidRPr="001C22A9" w:rsidRDefault="00D26F12" w:rsidP="00D26F12">
      <w:pPr>
        <w:pStyle w:val="SingleTxtG"/>
        <w:tabs>
          <w:tab w:val="clear" w:pos="1701"/>
          <w:tab w:val="clear" w:pos="2268"/>
          <w:tab w:val="clear" w:pos="2835"/>
        </w:tabs>
        <w:ind w:left="2268" w:hanging="1134"/>
      </w:pPr>
      <w:r w:rsidRPr="001C22A9">
        <w:tab/>
        <w:t>In the heading of the table, delete “(2.6.3.2.2.1 (a))”.]</w:t>
      </w:r>
    </w:p>
    <w:p w14:paraId="01AE476A" w14:textId="77777777" w:rsidR="00D26F12" w:rsidRPr="001C22A9" w:rsidRDefault="00D26F12" w:rsidP="00D26F12">
      <w:pPr>
        <w:pStyle w:val="SingleTxtG"/>
        <w:rPr>
          <w:i/>
          <w:iCs/>
        </w:rPr>
      </w:pPr>
      <w:r w:rsidRPr="001C22A9">
        <w:rPr>
          <w:i/>
          <w:iCs/>
        </w:rPr>
        <w:t>(Reference documents: informal documents INF.58/Rev.1 and INF.68/Rev.1)</w:t>
      </w:r>
    </w:p>
    <w:p w14:paraId="15F6561F" w14:textId="77777777" w:rsidR="00D26F12" w:rsidRPr="001C22A9" w:rsidRDefault="00D26F12" w:rsidP="00D26F12">
      <w:pPr>
        <w:pStyle w:val="SingleTxtG"/>
        <w:rPr>
          <w:i/>
          <w:iCs/>
        </w:rPr>
      </w:pPr>
      <w:r w:rsidRPr="001C22A9">
        <w:rPr>
          <w:i/>
          <w:iCs/>
        </w:rPr>
        <w:t>(</w:t>
      </w:r>
      <w:r w:rsidRPr="001C22A9">
        <w:rPr>
          <w:b/>
          <w:bCs/>
          <w:i/>
          <w:iCs/>
        </w:rPr>
        <w:t>Note:</w:t>
      </w:r>
      <w:r w:rsidRPr="001C22A9">
        <w:rPr>
          <w:i/>
          <w:iCs/>
        </w:rPr>
        <w:t xml:space="preserve"> the square brackets apply only to the editorial amendments from informal document INF.68/Rev.1. They do not apply to the amendments from informal document INF.58/Rev.1.)</w:t>
      </w:r>
    </w:p>
    <w:p w14:paraId="2652A7FA" w14:textId="77777777" w:rsidR="00D26F12" w:rsidRPr="001C22A9" w:rsidRDefault="00D26F12" w:rsidP="00D26F12">
      <w:pPr>
        <w:pStyle w:val="SingleTxtG"/>
        <w:tabs>
          <w:tab w:val="clear" w:pos="1701"/>
          <w:tab w:val="clear" w:pos="2268"/>
          <w:tab w:val="clear" w:pos="2835"/>
        </w:tabs>
        <w:ind w:left="2268" w:hanging="1134"/>
      </w:pPr>
      <w:r w:rsidRPr="001C22A9">
        <w:t>[2.6.3.2.2.</w:t>
      </w:r>
      <w:r>
        <w:t>2</w:t>
      </w:r>
      <w:r w:rsidRPr="001C22A9">
        <w:tab/>
        <w:t>Amend the text before the note to read as follows:</w:t>
      </w:r>
    </w:p>
    <w:p w14:paraId="4C02DB97" w14:textId="77777777" w:rsidR="00D26F12" w:rsidRPr="001C22A9" w:rsidRDefault="00D26F12" w:rsidP="00D26F12">
      <w:pPr>
        <w:pStyle w:val="SingleTxtG"/>
        <w:ind w:left="2268" w:hanging="1134"/>
      </w:pPr>
      <w:r w:rsidRPr="001C22A9">
        <w:t>“2.6.3.2.2.2</w:t>
      </w:r>
      <w:r w:rsidRPr="001C22A9">
        <w:tab/>
        <w:t>Category B</w:t>
      </w:r>
    </w:p>
    <w:p w14:paraId="24AF0B6B" w14:textId="77777777" w:rsidR="00D26F12" w:rsidRPr="001C22A9" w:rsidRDefault="00D26F12" w:rsidP="00D26F12">
      <w:pPr>
        <w:pStyle w:val="SingleTxtG"/>
        <w:tabs>
          <w:tab w:val="clear" w:pos="1701"/>
          <w:tab w:val="clear" w:pos="2268"/>
          <w:tab w:val="clear" w:pos="2835"/>
        </w:tabs>
        <w:ind w:firstLine="1134"/>
      </w:pPr>
      <w:r w:rsidRPr="001C22A9">
        <w:t>An infectious substance which does not meet the criteria for inclusion in Category A is assigned to Category B. Infectious substances in Category B shall be assigned to UN 3373.”]</w:t>
      </w:r>
    </w:p>
    <w:p w14:paraId="6A55E05C" w14:textId="77777777" w:rsidR="00D26F12" w:rsidRPr="001C22A9" w:rsidRDefault="00D26F12" w:rsidP="00D26F12">
      <w:pPr>
        <w:pStyle w:val="SingleTxtG"/>
        <w:rPr>
          <w:i/>
          <w:iCs/>
        </w:rPr>
      </w:pPr>
      <w:r w:rsidRPr="001C22A9">
        <w:rPr>
          <w:i/>
          <w:iCs/>
        </w:rPr>
        <w:t>(Reference document: informal document INF.68/Rev.1)</w:t>
      </w:r>
    </w:p>
    <w:p w14:paraId="7B8D171D" w14:textId="77777777" w:rsidR="00D26F12" w:rsidRPr="001C22A9" w:rsidRDefault="00D26F12" w:rsidP="00D26F12">
      <w:pPr>
        <w:pStyle w:val="H1G"/>
      </w:pPr>
      <w:r w:rsidRPr="001C22A9">
        <w:tab/>
      </w:r>
      <w:r w:rsidRPr="001C22A9">
        <w:tab/>
        <w:t>Chapter 2.9</w:t>
      </w:r>
    </w:p>
    <w:p w14:paraId="6EBCB0BD" w14:textId="77777777" w:rsidR="00D26F12" w:rsidRPr="001C22A9" w:rsidRDefault="00D26F12" w:rsidP="00D26F12">
      <w:pPr>
        <w:pStyle w:val="SingleTxtG"/>
        <w:tabs>
          <w:tab w:val="clear" w:pos="1701"/>
          <w:tab w:val="clear" w:pos="2268"/>
          <w:tab w:val="clear" w:pos="2835"/>
        </w:tabs>
        <w:ind w:left="2268" w:hanging="1134"/>
      </w:pPr>
      <w:r w:rsidRPr="001C22A9">
        <w:t>2.9.2</w:t>
      </w:r>
      <w:r w:rsidRPr="001C22A9">
        <w:tab/>
        <w:t>Under “</w:t>
      </w:r>
      <w:r w:rsidRPr="001C22A9">
        <w:rPr>
          <w:b/>
          <w:bCs/>
          <w:i/>
          <w:iCs/>
        </w:rPr>
        <w:t>Sodium ion batteries</w:t>
      </w:r>
      <w:r w:rsidRPr="001C22A9">
        <w:t>”, after the entry for UN 3552 add a new entry to read as follows:</w:t>
      </w:r>
    </w:p>
    <w:p w14:paraId="57D53094" w14:textId="77777777" w:rsidR="00D26F12" w:rsidRPr="001C22A9" w:rsidRDefault="00D26F12" w:rsidP="00D26F12">
      <w:pPr>
        <w:pStyle w:val="SingleTxtG"/>
        <w:tabs>
          <w:tab w:val="clear" w:pos="1701"/>
          <w:tab w:val="clear" w:pos="2268"/>
          <w:tab w:val="clear" w:pos="2835"/>
        </w:tabs>
        <w:ind w:left="2268" w:hanging="1134"/>
      </w:pPr>
      <w:r w:rsidRPr="001C22A9">
        <w:lastRenderedPageBreak/>
        <w:t>“3536</w:t>
      </w:r>
      <w:r w:rsidRPr="001C22A9">
        <w:tab/>
        <w:t>SODIUM ION BATTERIES INSTALLED IN CARGO TRANSPORT UNIT”</w:t>
      </w:r>
    </w:p>
    <w:p w14:paraId="28B58997" w14:textId="77777777" w:rsidR="00D26F12" w:rsidRPr="001C22A9" w:rsidRDefault="00D26F12" w:rsidP="00D26F12">
      <w:pPr>
        <w:pStyle w:val="SingleTxtG"/>
        <w:rPr>
          <w:i/>
          <w:iCs/>
        </w:rPr>
      </w:pPr>
      <w:r w:rsidRPr="001C22A9">
        <w:rPr>
          <w:i/>
          <w:iCs/>
        </w:rPr>
        <w:t>(Reference document: informal document INF.66, as amended)</w:t>
      </w:r>
    </w:p>
    <w:p w14:paraId="576C27F1" w14:textId="77777777" w:rsidR="00D26F12" w:rsidRPr="001C22A9" w:rsidRDefault="00D26F12" w:rsidP="00D26F12">
      <w:pPr>
        <w:pStyle w:val="H1G"/>
      </w:pPr>
      <w:r w:rsidRPr="001C22A9">
        <w:tab/>
      </w:r>
      <w:r w:rsidRPr="001C22A9">
        <w:tab/>
        <w:t>Chapter 3.2, dangerous goods list</w:t>
      </w:r>
    </w:p>
    <w:p w14:paraId="6B452A54" w14:textId="77777777" w:rsidR="00D26F12" w:rsidRPr="001C22A9" w:rsidRDefault="00D26F12" w:rsidP="00D26F12">
      <w:pPr>
        <w:pStyle w:val="SingleTxtG"/>
      </w:pPr>
      <w:r w:rsidRPr="001C22A9">
        <w:t>For UN Nos. 0012 and 0014, in column (9), add “PP98” against P130.</w:t>
      </w:r>
    </w:p>
    <w:p w14:paraId="5775DA4A" w14:textId="77777777" w:rsidR="00D26F12" w:rsidRPr="001C22A9" w:rsidRDefault="00D26F12" w:rsidP="00D26F12">
      <w:pPr>
        <w:pStyle w:val="SingleTxtG"/>
        <w:rPr>
          <w:i/>
          <w:iCs/>
        </w:rPr>
      </w:pPr>
      <w:r w:rsidRPr="001C22A9">
        <w:rPr>
          <w:i/>
          <w:iCs/>
        </w:rPr>
        <w:t>(Reference document: informal document INF.67, amendment 4, consequential amendment)</w:t>
      </w:r>
    </w:p>
    <w:p w14:paraId="5F4439CC" w14:textId="77777777" w:rsidR="00D26F12" w:rsidRPr="001C22A9" w:rsidRDefault="00D26F12" w:rsidP="00D26F12">
      <w:pPr>
        <w:pStyle w:val="SingleTxtG"/>
      </w:pPr>
      <w:r w:rsidRPr="001C22A9">
        <w:t>For UN Nos. 1075 and 1965, in column (6), add “412”.</w:t>
      </w:r>
    </w:p>
    <w:p w14:paraId="576A3D0C" w14:textId="77777777" w:rsidR="00D26F12" w:rsidRPr="001C22A9" w:rsidRDefault="00D26F12" w:rsidP="00D26F12">
      <w:pPr>
        <w:pStyle w:val="SingleTxtG"/>
        <w:rPr>
          <w:i/>
          <w:iCs/>
        </w:rPr>
      </w:pPr>
      <w:r w:rsidRPr="001C22A9">
        <w:rPr>
          <w:i/>
          <w:iCs/>
        </w:rPr>
        <w:t>(Reference document: informal document INF.61, proposal 2, as amended)</w:t>
      </w:r>
    </w:p>
    <w:p w14:paraId="21B4CB74" w14:textId="77777777" w:rsidR="00D26F12" w:rsidRPr="001C22A9" w:rsidRDefault="00D26F12" w:rsidP="00D26F12">
      <w:pPr>
        <w:pStyle w:val="SingleTxtG"/>
        <w:tabs>
          <w:tab w:val="clear" w:pos="1701"/>
          <w:tab w:val="clear" w:pos="2268"/>
          <w:tab w:val="clear" w:pos="2835"/>
        </w:tabs>
        <w:ind w:left="2268" w:hanging="1134"/>
      </w:pPr>
      <w:r w:rsidRPr="001C22A9">
        <w:t>For UN 2735, packing group II, in column (11), replace “TP1” by “TP2”.</w:t>
      </w:r>
    </w:p>
    <w:p w14:paraId="2FEDEFAB" w14:textId="77777777" w:rsidR="00D26F12" w:rsidRPr="001C22A9" w:rsidRDefault="00D26F12" w:rsidP="00D26F12">
      <w:pPr>
        <w:pStyle w:val="SingleTxtG"/>
        <w:rPr>
          <w:i/>
          <w:iCs/>
        </w:rPr>
      </w:pPr>
      <w:r w:rsidRPr="001C22A9">
        <w:rPr>
          <w:i/>
          <w:iCs/>
        </w:rPr>
        <w:t>(Reference document: ST/SG/AC.10/C.3/2024/14)</w:t>
      </w:r>
    </w:p>
    <w:p w14:paraId="56103462" w14:textId="77777777" w:rsidR="00D26F12" w:rsidRPr="001C22A9" w:rsidRDefault="00D26F12" w:rsidP="00D26F12">
      <w:pPr>
        <w:pStyle w:val="SingleTxtG"/>
      </w:pPr>
      <w:r w:rsidRPr="001C22A9">
        <w:t>For UN Nos. 2857 and 3358, in column (2), after “REFRIGERATING MACHINES”, add “or HEATING MACHINES”.</w:t>
      </w:r>
    </w:p>
    <w:p w14:paraId="46B67575" w14:textId="77777777" w:rsidR="00D26F12" w:rsidRPr="001C22A9" w:rsidRDefault="00D26F12" w:rsidP="00D26F12">
      <w:pPr>
        <w:pStyle w:val="SingleTxtG"/>
        <w:rPr>
          <w:i/>
          <w:iCs/>
        </w:rPr>
      </w:pPr>
      <w:r w:rsidRPr="001C22A9">
        <w:rPr>
          <w:i/>
          <w:iCs/>
        </w:rPr>
        <w:t>(Reference document: informal document INF.63)</w:t>
      </w:r>
    </w:p>
    <w:p w14:paraId="60C4EBE2" w14:textId="77777777" w:rsidR="00D26F12" w:rsidRPr="001C22A9" w:rsidRDefault="00D26F12" w:rsidP="00D26F12">
      <w:pPr>
        <w:pStyle w:val="SingleTxtG"/>
      </w:pPr>
      <w:r w:rsidRPr="001C22A9">
        <w:t>For UN 2956, in column (7a), replace “5 kg” by “0”.</w:t>
      </w:r>
    </w:p>
    <w:p w14:paraId="7D9A29E5" w14:textId="77777777" w:rsidR="00D26F12" w:rsidRPr="001C22A9" w:rsidRDefault="00D26F12" w:rsidP="00D26F12">
      <w:pPr>
        <w:pStyle w:val="SingleTxtG"/>
        <w:rPr>
          <w:i/>
          <w:iCs/>
        </w:rPr>
      </w:pPr>
      <w:r w:rsidRPr="001C22A9">
        <w:rPr>
          <w:i/>
          <w:iCs/>
        </w:rPr>
        <w:t>(Reference document: ST/SG/AC.10/C.3/2024/22)</w:t>
      </w:r>
    </w:p>
    <w:p w14:paraId="1E462C81" w14:textId="77777777" w:rsidR="00D26F12" w:rsidRPr="001C22A9" w:rsidRDefault="00D26F12" w:rsidP="00D26F12">
      <w:pPr>
        <w:pStyle w:val="SingleTxtG"/>
      </w:pPr>
      <w:r w:rsidRPr="001C22A9">
        <w:t>For UN 3536, in column (2), replace the existing text by “LITHIUM BATTERIES INSTALLED IN CARGO TRANSPORT UNIT or SODIUM ION BATTERIES INSTALLED IN CARGO TRANSPORT UNIT, lithium ion batteries, lithium metal batteries or sodium ion batteries”.</w:t>
      </w:r>
    </w:p>
    <w:p w14:paraId="05262383" w14:textId="77777777" w:rsidR="00D26F12" w:rsidRPr="001C22A9" w:rsidRDefault="00D26F12" w:rsidP="00D26F12">
      <w:pPr>
        <w:pStyle w:val="SingleTxtG"/>
        <w:rPr>
          <w:i/>
          <w:iCs/>
        </w:rPr>
      </w:pPr>
      <w:r w:rsidRPr="001C22A9">
        <w:rPr>
          <w:i/>
          <w:iCs/>
        </w:rPr>
        <w:t>(Reference document: informal document INF.66, as amended)</w:t>
      </w:r>
    </w:p>
    <w:p w14:paraId="232D197B" w14:textId="77777777" w:rsidR="00D26F12" w:rsidRPr="001C22A9" w:rsidRDefault="00D26F12" w:rsidP="00D26F12">
      <w:pPr>
        <w:pStyle w:val="SingleTxtG"/>
      </w:pPr>
      <w:r w:rsidRPr="001C22A9">
        <w:t>For UN 3538, in column (6), add “411”.</w:t>
      </w:r>
    </w:p>
    <w:p w14:paraId="143742B4" w14:textId="77777777" w:rsidR="00D26F12" w:rsidRPr="001C22A9" w:rsidRDefault="00D26F12" w:rsidP="00D26F12">
      <w:pPr>
        <w:pStyle w:val="SingleTxtG"/>
        <w:rPr>
          <w:i/>
          <w:iCs/>
        </w:rPr>
      </w:pPr>
      <w:r w:rsidRPr="001C22A9">
        <w:rPr>
          <w:i/>
          <w:iCs/>
        </w:rPr>
        <w:t>(Reference document: ST/SG/AC.10/C.3/2024/32)</w:t>
      </w:r>
    </w:p>
    <w:p w14:paraId="27069DA7" w14:textId="77777777" w:rsidR="00D26F12" w:rsidRPr="001C22A9" w:rsidRDefault="00D26F12" w:rsidP="00D26F12">
      <w:pPr>
        <w:pStyle w:val="SingleTxtG"/>
      </w:pPr>
      <w:r w:rsidRPr="001C22A9">
        <w:t>Add the following new entry:</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1"/>
        <w:gridCol w:w="3403"/>
        <w:gridCol w:w="566"/>
        <w:gridCol w:w="566"/>
        <w:gridCol w:w="568"/>
        <w:gridCol w:w="566"/>
        <w:gridCol w:w="566"/>
        <w:gridCol w:w="568"/>
        <w:gridCol w:w="711"/>
        <w:gridCol w:w="566"/>
        <w:gridCol w:w="426"/>
        <w:gridCol w:w="412"/>
      </w:tblGrid>
      <w:tr w:rsidR="00D26F12" w:rsidRPr="001C22A9" w14:paraId="091FADB5" w14:textId="77777777" w:rsidTr="001F3651">
        <w:trPr>
          <w:trHeight w:val="360"/>
        </w:trPr>
        <w:tc>
          <w:tcPr>
            <w:tcW w:w="369" w:type="pct"/>
            <w:shd w:val="clear" w:color="auto" w:fill="auto"/>
            <w:vAlign w:val="center"/>
          </w:tcPr>
          <w:p w14:paraId="43DAD43A" w14:textId="77777777" w:rsidR="00D26F12" w:rsidRPr="001C22A9" w:rsidRDefault="00D26F12" w:rsidP="001F3651">
            <w:pPr>
              <w:pStyle w:val="SingleTxtG"/>
              <w:tabs>
                <w:tab w:val="left" w:pos="1269"/>
              </w:tabs>
              <w:ind w:left="0" w:right="0"/>
              <w:jc w:val="center"/>
              <w:rPr>
                <w:rFonts w:asciiTheme="majorBidi" w:hAnsiTheme="majorBidi" w:cstheme="majorBidi"/>
                <w:sz w:val="16"/>
                <w:szCs w:val="16"/>
                <w:lang w:eastAsia="ja-JP"/>
              </w:rPr>
            </w:pPr>
            <w:r w:rsidRPr="001C22A9">
              <w:rPr>
                <w:rFonts w:eastAsia="Times New Roman"/>
                <w:b/>
                <w:bCs/>
                <w:sz w:val="16"/>
                <w:szCs w:val="16"/>
              </w:rPr>
              <w:t>(1)</w:t>
            </w:r>
          </w:p>
        </w:tc>
        <w:tc>
          <w:tcPr>
            <w:tcW w:w="1767" w:type="pct"/>
            <w:shd w:val="clear" w:color="auto" w:fill="auto"/>
            <w:vAlign w:val="center"/>
          </w:tcPr>
          <w:p w14:paraId="3D0C96A1" w14:textId="77777777" w:rsidR="00D26F12" w:rsidRPr="001C22A9" w:rsidRDefault="00D26F12" w:rsidP="001F3651">
            <w:pPr>
              <w:pStyle w:val="SingleTxtG"/>
              <w:ind w:left="0" w:right="7"/>
              <w:jc w:val="center"/>
              <w:rPr>
                <w:rFonts w:asciiTheme="majorBidi" w:hAnsiTheme="majorBidi" w:cstheme="majorBidi"/>
                <w:sz w:val="16"/>
                <w:szCs w:val="16"/>
              </w:rPr>
            </w:pPr>
            <w:r w:rsidRPr="001C22A9">
              <w:rPr>
                <w:rFonts w:eastAsia="Times New Roman"/>
                <w:b/>
                <w:bCs/>
                <w:sz w:val="16"/>
                <w:szCs w:val="16"/>
              </w:rPr>
              <w:t>(2)</w:t>
            </w:r>
          </w:p>
        </w:tc>
        <w:tc>
          <w:tcPr>
            <w:tcW w:w="294" w:type="pct"/>
            <w:vAlign w:val="center"/>
          </w:tcPr>
          <w:p w14:paraId="26FB64FF" w14:textId="77777777" w:rsidR="00D26F12" w:rsidRPr="001C22A9" w:rsidRDefault="00D26F12" w:rsidP="001F3651">
            <w:pPr>
              <w:pStyle w:val="SingleTxtG"/>
              <w:ind w:left="0" w:right="7"/>
              <w:jc w:val="center"/>
              <w:rPr>
                <w:rFonts w:asciiTheme="majorBidi" w:hAnsiTheme="majorBidi" w:cstheme="majorBidi"/>
                <w:sz w:val="16"/>
                <w:szCs w:val="16"/>
              </w:rPr>
            </w:pPr>
            <w:r w:rsidRPr="001C22A9">
              <w:rPr>
                <w:rFonts w:eastAsia="Times New Roman"/>
                <w:b/>
                <w:bCs/>
                <w:sz w:val="16"/>
                <w:szCs w:val="16"/>
              </w:rPr>
              <w:t>(3)</w:t>
            </w:r>
          </w:p>
        </w:tc>
        <w:tc>
          <w:tcPr>
            <w:tcW w:w="294" w:type="pct"/>
            <w:shd w:val="clear" w:color="auto" w:fill="auto"/>
            <w:vAlign w:val="center"/>
          </w:tcPr>
          <w:p w14:paraId="155E618E" w14:textId="77777777" w:rsidR="00D26F12" w:rsidRPr="001C22A9" w:rsidRDefault="00D26F12" w:rsidP="001F3651">
            <w:pPr>
              <w:pStyle w:val="SingleTxtG"/>
              <w:ind w:left="0" w:right="7"/>
              <w:jc w:val="center"/>
              <w:rPr>
                <w:rFonts w:asciiTheme="majorBidi" w:hAnsiTheme="majorBidi" w:cstheme="majorBidi"/>
                <w:sz w:val="16"/>
                <w:szCs w:val="16"/>
              </w:rPr>
            </w:pPr>
            <w:r w:rsidRPr="001C22A9">
              <w:rPr>
                <w:rFonts w:eastAsia="Times New Roman"/>
                <w:b/>
                <w:bCs/>
                <w:sz w:val="16"/>
                <w:szCs w:val="16"/>
              </w:rPr>
              <w:t>(4)</w:t>
            </w:r>
          </w:p>
        </w:tc>
        <w:tc>
          <w:tcPr>
            <w:tcW w:w="295" w:type="pct"/>
            <w:shd w:val="clear" w:color="auto" w:fill="auto"/>
            <w:vAlign w:val="center"/>
          </w:tcPr>
          <w:p w14:paraId="60D15309" w14:textId="77777777" w:rsidR="00D26F12" w:rsidRPr="001C22A9" w:rsidRDefault="00D26F12" w:rsidP="001F3651">
            <w:pPr>
              <w:pStyle w:val="SingleTxtG"/>
              <w:ind w:left="0" w:right="7"/>
              <w:jc w:val="center"/>
              <w:rPr>
                <w:rFonts w:asciiTheme="majorBidi" w:hAnsiTheme="majorBidi" w:cstheme="majorBidi"/>
                <w:sz w:val="16"/>
                <w:szCs w:val="16"/>
              </w:rPr>
            </w:pPr>
            <w:r w:rsidRPr="001C22A9">
              <w:rPr>
                <w:rFonts w:eastAsia="Times New Roman"/>
                <w:b/>
                <w:bCs/>
                <w:sz w:val="16"/>
                <w:szCs w:val="16"/>
              </w:rPr>
              <w:t>(5)</w:t>
            </w:r>
          </w:p>
        </w:tc>
        <w:tc>
          <w:tcPr>
            <w:tcW w:w="294" w:type="pct"/>
            <w:shd w:val="clear" w:color="auto" w:fill="auto"/>
            <w:vAlign w:val="center"/>
          </w:tcPr>
          <w:p w14:paraId="596B60ED" w14:textId="77777777" w:rsidR="00D26F12" w:rsidRPr="001C22A9" w:rsidRDefault="00D26F12" w:rsidP="001F3651">
            <w:pPr>
              <w:pStyle w:val="SingleTxtG"/>
              <w:ind w:left="0" w:right="7"/>
              <w:jc w:val="center"/>
              <w:rPr>
                <w:rFonts w:asciiTheme="majorBidi" w:hAnsiTheme="majorBidi" w:cstheme="majorBidi"/>
                <w:sz w:val="16"/>
                <w:szCs w:val="16"/>
              </w:rPr>
            </w:pPr>
            <w:r w:rsidRPr="001C22A9">
              <w:rPr>
                <w:rFonts w:eastAsia="Times New Roman"/>
                <w:b/>
                <w:bCs/>
                <w:sz w:val="16"/>
                <w:szCs w:val="16"/>
              </w:rPr>
              <w:t>(6)</w:t>
            </w:r>
          </w:p>
        </w:tc>
        <w:tc>
          <w:tcPr>
            <w:tcW w:w="294" w:type="pct"/>
            <w:shd w:val="clear" w:color="auto" w:fill="auto"/>
            <w:vAlign w:val="center"/>
          </w:tcPr>
          <w:p w14:paraId="07724A14" w14:textId="77777777" w:rsidR="00D26F12" w:rsidRPr="001C22A9" w:rsidRDefault="00D26F12" w:rsidP="001F3651">
            <w:pPr>
              <w:pStyle w:val="SingleTxtG"/>
              <w:ind w:left="0" w:right="7"/>
              <w:jc w:val="center"/>
              <w:rPr>
                <w:rFonts w:asciiTheme="majorBidi" w:hAnsiTheme="majorBidi" w:cstheme="majorBidi"/>
                <w:sz w:val="16"/>
                <w:szCs w:val="16"/>
              </w:rPr>
            </w:pPr>
            <w:r w:rsidRPr="001C22A9">
              <w:rPr>
                <w:rFonts w:eastAsia="Times New Roman"/>
                <w:b/>
                <w:bCs/>
                <w:spacing w:val="-5"/>
                <w:sz w:val="16"/>
                <w:szCs w:val="16"/>
              </w:rPr>
              <w:t>(7a)</w:t>
            </w:r>
          </w:p>
        </w:tc>
        <w:tc>
          <w:tcPr>
            <w:tcW w:w="295" w:type="pct"/>
            <w:vAlign w:val="center"/>
          </w:tcPr>
          <w:p w14:paraId="46909CE9" w14:textId="77777777" w:rsidR="00D26F12" w:rsidRPr="001C22A9" w:rsidRDefault="00D26F12" w:rsidP="001F3651">
            <w:pPr>
              <w:pStyle w:val="SingleTxtG"/>
              <w:ind w:left="0" w:right="7"/>
              <w:jc w:val="center"/>
              <w:rPr>
                <w:rFonts w:asciiTheme="majorBidi" w:hAnsiTheme="majorBidi" w:cstheme="majorBidi"/>
                <w:sz w:val="16"/>
                <w:szCs w:val="16"/>
              </w:rPr>
            </w:pPr>
            <w:r w:rsidRPr="001C22A9">
              <w:rPr>
                <w:rFonts w:eastAsia="Times New Roman"/>
                <w:b/>
                <w:bCs/>
                <w:sz w:val="16"/>
                <w:szCs w:val="16"/>
              </w:rPr>
              <w:t>(7b)</w:t>
            </w:r>
          </w:p>
        </w:tc>
        <w:tc>
          <w:tcPr>
            <w:tcW w:w="369" w:type="pct"/>
            <w:vAlign w:val="center"/>
          </w:tcPr>
          <w:p w14:paraId="34E0609A" w14:textId="77777777" w:rsidR="00D26F12" w:rsidRPr="001C22A9" w:rsidRDefault="00D26F12" w:rsidP="001F3651">
            <w:pPr>
              <w:pStyle w:val="SingleTxtG"/>
              <w:ind w:left="0" w:right="7"/>
              <w:jc w:val="center"/>
              <w:rPr>
                <w:rFonts w:eastAsia="Times New Roman"/>
                <w:b/>
                <w:bCs/>
                <w:sz w:val="16"/>
                <w:szCs w:val="16"/>
              </w:rPr>
            </w:pPr>
            <w:r w:rsidRPr="001C22A9">
              <w:rPr>
                <w:rFonts w:eastAsia="Times New Roman"/>
                <w:b/>
                <w:bCs/>
                <w:sz w:val="16"/>
                <w:szCs w:val="16"/>
              </w:rPr>
              <w:t>(8)</w:t>
            </w:r>
          </w:p>
        </w:tc>
        <w:tc>
          <w:tcPr>
            <w:tcW w:w="294" w:type="pct"/>
            <w:vAlign w:val="center"/>
          </w:tcPr>
          <w:p w14:paraId="1EE6B223" w14:textId="77777777" w:rsidR="00D26F12" w:rsidRPr="001C22A9" w:rsidRDefault="00D26F12" w:rsidP="001F3651">
            <w:pPr>
              <w:pStyle w:val="SingleTxtG"/>
              <w:ind w:left="0" w:right="7"/>
              <w:jc w:val="center"/>
              <w:rPr>
                <w:rFonts w:asciiTheme="majorBidi" w:hAnsiTheme="majorBidi" w:cstheme="majorBidi"/>
                <w:sz w:val="16"/>
                <w:szCs w:val="16"/>
              </w:rPr>
            </w:pPr>
            <w:r w:rsidRPr="001C22A9">
              <w:rPr>
                <w:rFonts w:eastAsia="Times New Roman"/>
                <w:b/>
                <w:bCs/>
                <w:sz w:val="16"/>
                <w:szCs w:val="16"/>
              </w:rPr>
              <w:t>(9)</w:t>
            </w:r>
          </w:p>
        </w:tc>
        <w:tc>
          <w:tcPr>
            <w:tcW w:w="221" w:type="pct"/>
            <w:vAlign w:val="center"/>
          </w:tcPr>
          <w:p w14:paraId="134CB96A" w14:textId="77777777" w:rsidR="00D26F12" w:rsidRPr="001C22A9" w:rsidRDefault="00D26F12" w:rsidP="001F3651">
            <w:pPr>
              <w:pStyle w:val="SingleTxtG"/>
              <w:ind w:left="0" w:right="7"/>
              <w:jc w:val="center"/>
              <w:rPr>
                <w:rFonts w:asciiTheme="majorBidi" w:hAnsiTheme="majorBidi" w:cstheme="majorBidi"/>
                <w:sz w:val="16"/>
                <w:szCs w:val="16"/>
              </w:rPr>
            </w:pPr>
            <w:r w:rsidRPr="001C22A9">
              <w:rPr>
                <w:rFonts w:eastAsia="Times New Roman"/>
                <w:b/>
                <w:bCs/>
                <w:sz w:val="16"/>
                <w:szCs w:val="16"/>
              </w:rPr>
              <w:t>(10)</w:t>
            </w:r>
          </w:p>
        </w:tc>
        <w:tc>
          <w:tcPr>
            <w:tcW w:w="214" w:type="pct"/>
            <w:shd w:val="clear" w:color="auto" w:fill="auto"/>
            <w:vAlign w:val="center"/>
          </w:tcPr>
          <w:p w14:paraId="0171E30A" w14:textId="77777777" w:rsidR="00D26F12" w:rsidRPr="001C22A9" w:rsidRDefault="00D26F12" w:rsidP="001F3651">
            <w:pPr>
              <w:pStyle w:val="SingleTxtG"/>
              <w:ind w:left="0" w:right="7"/>
              <w:jc w:val="center"/>
              <w:rPr>
                <w:rFonts w:asciiTheme="majorBidi" w:hAnsiTheme="majorBidi" w:cstheme="majorBidi"/>
                <w:sz w:val="16"/>
                <w:szCs w:val="16"/>
              </w:rPr>
            </w:pPr>
            <w:r w:rsidRPr="001C22A9">
              <w:rPr>
                <w:rFonts w:eastAsia="Times New Roman"/>
                <w:b/>
                <w:bCs/>
                <w:sz w:val="16"/>
                <w:szCs w:val="16"/>
              </w:rPr>
              <w:t>(11)</w:t>
            </w:r>
          </w:p>
        </w:tc>
      </w:tr>
      <w:tr w:rsidR="00D26F12" w:rsidRPr="001C22A9" w14:paraId="5AA2D530" w14:textId="77777777" w:rsidTr="001F3651">
        <w:trPr>
          <w:trHeight w:val="360"/>
        </w:trPr>
        <w:tc>
          <w:tcPr>
            <w:tcW w:w="369" w:type="pct"/>
            <w:shd w:val="clear" w:color="auto" w:fill="auto"/>
          </w:tcPr>
          <w:p w14:paraId="1F57BFA4" w14:textId="77777777" w:rsidR="00D26F12" w:rsidRPr="001C22A9" w:rsidRDefault="00D26F12" w:rsidP="001F3651">
            <w:pPr>
              <w:pStyle w:val="SingleTxtG"/>
              <w:tabs>
                <w:tab w:val="left" w:pos="1269"/>
              </w:tabs>
              <w:spacing w:after="0" w:line="240" w:lineRule="auto"/>
              <w:ind w:left="0" w:right="0"/>
              <w:jc w:val="center"/>
              <w:rPr>
                <w:rFonts w:asciiTheme="majorBidi" w:hAnsiTheme="majorBidi" w:cstheme="majorBidi"/>
                <w:sz w:val="16"/>
                <w:szCs w:val="16"/>
                <w:lang w:eastAsia="ja-JP"/>
              </w:rPr>
            </w:pPr>
            <w:r w:rsidRPr="001C22A9">
              <w:rPr>
                <w:sz w:val="16"/>
                <w:szCs w:val="16"/>
              </w:rPr>
              <w:t>2348</w:t>
            </w:r>
          </w:p>
        </w:tc>
        <w:tc>
          <w:tcPr>
            <w:tcW w:w="1767" w:type="pct"/>
            <w:shd w:val="clear" w:color="auto" w:fill="auto"/>
          </w:tcPr>
          <w:p w14:paraId="045FAF1E" w14:textId="77777777" w:rsidR="00D26F12" w:rsidRPr="001C22A9" w:rsidRDefault="00D26F12" w:rsidP="001F3651">
            <w:pPr>
              <w:pStyle w:val="SingleTxtG"/>
              <w:spacing w:line="240" w:lineRule="auto"/>
              <w:ind w:left="0" w:right="6"/>
              <w:jc w:val="left"/>
              <w:rPr>
                <w:rFonts w:asciiTheme="majorBidi" w:hAnsiTheme="majorBidi" w:cstheme="majorBidi"/>
                <w:sz w:val="16"/>
                <w:szCs w:val="16"/>
              </w:rPr>
            </w:pPr>
            <w:r w:rsidRPr="001C22A9">
              <w:rPr>
                <w:sz w:val="16"/>
                <w:szCs w:val="16"/>
              </w:rPr>
              <w:t>BUTYL ACRYLATES, STABILIZED</w:t>
            </w:r>
          </w:p>
        </w:tc>
        <w:tc>
          <w:tcPr>
            <w:tcW w:w="294" w:type="pct"/>
          </w:tcPr>
          <w:p w14:paraId="65CDB407" w14:textId="77777777" w:rsidR="00D26F12" w:rsidRPr="001C22A9" w:rsidRDefault="00D26F12" w:rsidP="001F3651">
            <w:pPr>
              <w:pStyle w:val="SingleTxtG"/>
              <w:spacing w:after="0" w:line="240" w:lineRule="auto"/>
              <w:ind w:left="0" w:right="7"/>
              <w:jc w:val="center"/>
              <w:rPr>
                <w:rFonts w:asciiTheme="majorBidi" w:hAnsiTheme="majorBidi" w:cstheme="majorBidi"/>
                <w:sz w:val="16"/>
                <w:szCs w:val="16"/>
              </w:rPr>
            </w:pPr>
            <w:r w:rsidRPr="001C22A9">
              <w:rPr>
                <w:rFonts w:asciiTheme="majorBidi" w:hAnsiTheme="majorBidi" w:cstheme="majorBidi"/>
                <w:sz w:val="16"/>
                <w:szCs w:val="16"/>
              </w:rPr>
              <w:t>3</w:t>
            </w:r>
          </w:p>
        </w:tc>
        <w:tc>
          <w:tcPr>
            <w:tcW w:w="294" w:type="pct"/>
            <w:shd w:val="clear" w:color="auto" w:fill="auto"/>
          </w:tcPr>
          <w:p w14:paraId="1F80537D" w14:textId="77777777" w:rsidR="00D26F12" w:rsidRPr="001C22A9" w:rsidRDefault="00D26F12" w:rsidP="001F3651">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190FA39A" w14:textId="77777777" w:rsidR="00D26F12" w:rsidRPr="001C22A9" w:rsidRDefault="00D26F12" w:rsidP="001F3651">
            <w:pPr>
              <w:pStyle w:val="SingleTxtG"/>
              <w:spacing w:after="0" w:line="240" w:lineRule="auto"/>
              <w:ind w:left="0" w:right="7"/>
              <w:jc w:val="center"/>
              <w:rPr>
                <w:rFonts w:asciiTheme="majorBidi" w:hAnsiTheme="majorBidi" w:cstheme="majorBidi"/>
                <w:sz w:val="16"/>
                <w:szCs w:val="16"/>
              </w:rPr>
            </w:pPr>
            <w:r w:rsidRPr="001C22A9">
              <w:rPr>
                <w:rFonts w:asciiTheme="majorBidi" w:hAnsiTheme="majorBidi" w:cstheme="majorBidi"/>
                <w:sz w:val="16"/>
                <w:szCs w:val="16"/>
              </w:rPr>
              <w:t>II</w:t>
            </w:r>
          </w:p>
        </w:tc>
        <w:tc>
          <w:tcPr>
            <w:tcW w:w="294" w:type="pct"/>
            <w:shd w:val="clear" w:color="auto" w:fill="auto"/>
          </w:tcPr>
          <w:p w14:paraId="0803FF79" w14:textId="77777777" w:rsidR="00D26F12" w:rsidRPr="001C22A9" w:rsidRDefault="00D26F12" w:rsidP="001F3651">
            <w:pPr>
              <w:keepNext/>
              <w:spacing w:line="240" w:lineRule="auto"/>
              <w:jc w:val="center"/>
              <w:rPr>
                <w:rFonts w:asciiTheme="majorBidi" w:hAnsiTheme="majorBidi" w:cstheme="majorBidi"/>
                <w:sz w:val="16"/>
                <w:szCs w:val="16"/>
              </w:rPr>
            </w:pPr>
            <w:r w:rsidRPr="001C22A9">
              <w:rPr>
                <w:sz w:val="16"/>
                <w:szCs w:val="16"/>
              </w:rPr>
              <w:t>386</w:t>
            </w:r>
          </w:p>
        </w:tc>
        <w:tc>
          <w:tcPr>
            <w:tcW w:w="294" w:type="pct"/>
            <w:shd w:val="clear" w:color="auto" w:fill="auto"/>
          </w:tcPr>
          <w:p w14:paraId="1C6C8519" w14:textId="77777777" w:rsidR="00D26F12" w:rsidRPr="001C22A9" w:rsidRDefault="00D26F12" w:rsidP="001F3651">
            <w:pPr>
              <w:pStyle w:val="SingleTxtG"/>
              <w:spacing w:after="0" w:line="240" w:lineRule="auto"/>
              <w:ind w:left="0" w:right="7"/>
              <w:jc w:val="center"/>
              <w:rPr>
                <w:rFonts w:asciiTheme="majorBidi" w:hAnsiTheme="majorBidi" w:cstheme="majorBidi"/>
                <w:sz w:val="16"/>
                <w:szCs w:val="16"/>
              </w:rPr>
            </w:pPr>
            <w:r w:rsidRPr="001C22A9">
              <w:rPr>
                <w:sz w:val="16"/>
                <w:szCs w:val="16"/>
              </w:rPr>
              <w:t>1 L</w:t>
            </w:r>
          </w:p>
        </w:tc>
        <w:tc>
          <w:tcPr>
            <w:tcW w:w="295" w:type="pct"/>
          </w:tcPr>
          <w:p w14:paraId="0A3AD625" w14:textId="77777777" w:rsidR="00D26F12" w:rsidRPr="001C22A9" w:rsidRDefault="00D26F12" w:rsidP="001F3651">
            <w:pPr>
              <w:pStyle w:val="SingleTxtG"/>
              <w:spacing w:after="0" w:line="240" w:lineRule="auto"/>
              <w:ind w:left="0" w:right="7"/>
              <w:jc w:val="center"/>
              <w:rPr>
                <w:rFonts w:asciiTheme="majorBidi" w:hAnsiTheme="majorBidi" w:cstheme="majorBidi"/>
                <w:sz w:val="16"/>
                <w:szCs w:val="16"/>
              </w:rPr>
            </w:pPr>
            <w:r w:rsidRPr="001C22A9">
              <w:rPr>
                <w:sz w:val="16"/>
                <w:szCs w:val="16"/>
              </w:rPr>
              <w:t>E2</w:t>
            </w:r>
          </w:p>
        </w:tc>
        <w:tc>
          <w:tcPr>
            <w:tcW w:w="369" w:type="pct"/>
          </w:tcPr>
          <w:p w14:paraId="0E35F68D" w14:textId="77777777" w:rsidR="00D26F12" w:rsidRPr="001C22A9" w:rsidRDefault="00D26F12" w:rsidP="001F3651">
            <w:pPr>
              <w:spacing w:line="240" w:lineRule="auto"/>
              <w:jc w:val="center"/>
              <w:rPr>
                <w:rFonts w:asciiTheme="majorBidi" w:hAnsiTheme="majorBidi" w:cstheme="majorBidi"/>
                <w:sz w:val="16"/>
                <w:szCs w:val="16"/>
              </w:rPr>
            </w:pPr>
            <w:r w:rsidRPr="001C22A9">
              <w:rPr>
                <w:sz w:val="16"/>
                <w:szCs w:val="16"/>
              </w:rPr>
              <w:t>P001</w:t>
            </w:r>
            <w:r w:rsidRPr="001C22A9">
              <w:rPr>
                <w:sz w:val="16"/>
                <w:szCs w:val="16"/>
              </w:rPr>
              <w:br/>
            </w:r>
            <w:r w:rsidRPr="001C22A9">
              <w:rPr>
                <w:rFonts w:asciiTheme="majorBidi" w:hAnsiTheme="majorBidi" w:cstheme="majorBidi"/>
                <w:sz w:val="16"/>
                <w:szCs w:val="16"/>
              </w:rPr>
              <w:t>IBC02</w:t>
            </w:r>
          </w:p>
        </w:tc>
        <w:tc>
          <w:tcPr>
            <w:tcW w:w="294" w:type="pct"/>
          </w:tcPr>
          <w:p w14:paraId="47404009" w14:textId="77777777" w:rsidR="00D26F12" w:rsidRPr="001C22A9" w:rsidRDefault="00D26F12" w:rsidP="001F3651">
            <w:pPr>
              <w:pStyle w:val="SingleTxtG"/>
              <w:spacing w:after="0" w:line="240" w:lineRule="auto"/>
              <w:ind w:left="0" w:right="7"/>
              <w:jc w:val="center"/>
              <w:rPr>
                <w:rFonts w:asciiTheme="majorBidi" w:hAnsiTheme="majorBidi" w:cstheme="majorBidi"/>
                <w:sz w:val="16"/>
                <w:szCs w:val="16"/>
              </w:rPr>
            </w:pPr>
          </w:p>
        </w:tc>
        <w:tc>
          <w:tcPr>
            <w:tcW w:w="221" w:type="pct"/>
          </w:tcPr>
          <w:p w14:paraId="06E577AF" w14:textId="77777777" w:rsidR="00D26F12" w:rsidRPr="001C22A9" w:rsidRDefault="00D26F12" w:rsidP="001F3651">
            <w:pPr>
              <w:pStyle w:val="SingleTxtG"/>
              <w:spacing w:after="0" w:line="240" w:lineRule="auto"/>
              <w:ind w:left="0" w:right="7"/>
              <w:jc w:val="center"/>
              <w:rPr>
                <w:rFonts w:asciiTheme="majorBidi" w:hAnsiTheme="majorBidi" w:cstheme="majorBidi"/>
                <w:sz w:val="16"/>
                <w:szCs w:val="16"/>
              </w:rPr>
            </w:pPr>
            <w:r w:rsidRPr="001C22A9">
              <w:rPr>
                <w:rFonts w:asciiTheme="majorBidi" w:hAnsiTheme="majorBidi" w:cstheme="majorBidi"/>
                <w:sz w:val="16"/>
                <w:szCs w:val="16"/>
              </w:rPr>
              <w:t>T4</w:t>
            </w:r>
          </w:p>
        </w:tc>
        <w:tc>
          <w:tcPr>
            <w:tcW w:w="214" w:type="pct"/>
            <w:shd w:val="clear" w:color="auto" w:fill="auto"/>
          </w:tcPr>
          <w:p w14:paraId="2C2D22F5" w14:textId="77777777" w:rsidR="00D26F12" w:rsidRPr="001C22A9" w:rsidRDefault="00D26F12" w:rsidP="001F3651">
            <w:pPr>
              <w:pStyle w:val="SingleTxtG"/>
              <w:spacing w:after="0" w:line="240" w:lineRule="auto"/>
              <w:ind w:left="0" w:right="7"/>
              <w:jc w:val="center"/>
              <w:rPr>
                <w:rFonts w:asciiTheme="majorBidi" w:hAnsiTheme="majorBidi" w:cstheme="majorBidi"/>
                <w:sz w:val="16"/>
                <w:szCs w:val="16"/>
              </w:rPr>
            </w:pPr>
            <w:r w:rsidRPr="001C22A9">
              <w:rPr>
                <w:rFonts w:asciiTheme="majorBidi" w:hAnsiTheme="majorBidi" w:cstheme="majorBidi"/>
                <w:sz w:val="16"/>
                <w:szCs w:val="16"/>
              </w:rPr>
              <w:t>TP1</w:t>
            </w:r>
          </w:p>
        </w:tc>
      </w:tr>
    </w:tbl>
    <w:p w14:paraId="33D97784" w14:textId="77777777" w:rsidR="00D26F12" w:rsidRPr="001C22A9" w:rsidRDefault="00D26F12" w:rsidP="00D26F12">
      <w:pPr>
        <w:pStyle w:val="SingleTxtG"/>
        <w:spacing w:before="120"/>
        <w:rPr>
          <w:i/>
          <w:iCs/>
        </w:rPr>
      </w:pPr>
      <w:r w:rsidRPr="001C22A9">
        <w:rPr>
          <w:i/>
          <w:iCs/>
        </w:rPr>
        <w:t>(Reference document: ST/SG/AC.10/C.3/2024/37, proposal 2)</w:t>
      </w:r>
    </w:p>
    <w:p w14:paraId="38CADE11" w14:textId="77777777" w:rsidR="00D26F12" w:rsidRPr="001C22A9" w:rsidRDefault="00D26F12" w:rsidP="00D26F12">
      <w:pPr>
        <w:pStyle w:val="H1G"/>
      </w:pPr>
      <w:r w:rsidRPr="001C22A9">
        <w:tab/>
      </w:r>
      <w:r w:rsidRPr="001C22A9">
        <w:tab/>
        <w:t>Chapter 3.3</w:t>
      </w:r>
    </w:p>
    <w:p w14:paraId="59B60738" w14:textId="77777777" w:rsidR="00D26F12" w:rsidRPr="001C22A9" w:rsidRDefault="00D26F12" w:rsidP="00D26F12">
      <w:pPr>
        <w:pStyle w:val="SingleTxtG"/>
        <w:tabs>
          <w:tab w:val="clear" w:pos="1701"/>
          <w:tab w:val="clear" w:pos="2268"/>
          <w:tab w:val="clear" w:pos="2835"/>
        </w:tabs>
        <w:ind w:left="2268" w:hanging="1134"/>
      </w:pPr>
      <w:r w:rsidRPr="001C22A9">
        <w:t>SP 119</w:t>
      </w:r>
      <w:r w:rsidRPr="001C22A9">
        <w:tab/>
        <w:t>After the first sentence add a new sentence to read: “Heating machines include machines or other appliances which have been designed for the specific purpose of heating.”.</w:t>
      </w:r>
    </w:p>
    <w:p w14:paraId="373FCF67" w14:textId="77777777" w:rsidR="00D26F12" w:rsidRPr="001C22A9" w:rsidRDefault="00D26F12" w:rsidP="00D26F12">
      <w:pPr>
        <w:pStyle w:val="SingleTxtG"/>
        <w:tabs>
          <w:tab w:val="clear" w:pos="1701"/>
          <w:tab w:val="clear" w:pos="2268"/>
          <w:tab w:val="clear" w:pos="2835"/>
        </w:tabs>
        <w:ind w:left="2268" w:hanging="1134"/>
      </w:pPr>
      <w:r w:rsidRPr="001C22A9">
        <w:tab/>
        <w:t>In the now third sentence (previously second sentence), replace “Refrigerating machines and refrigerating machine components” by “Refrigerating or heating machines and their components”.</w:t>
      </w:r>
    </w:p>
    <w:p w14:paraId="26047704" w14:textId="77777777" w:rsidR="00D26F12" w:rsidRPr="001C22A9" w:rsidRDefault="00D26F12" w:rsidP="00D26F12">
      <w:pPr>
        <w:pStyle w:val="SingleTxtG"/>
        <w:tabs>
          <w:tab w:val="clear" w:pos="1701"/>
          <w:tab w:val="clear" w:pos="2268"/>
          <w:tab w:val="clear" w:pos="2835"/>
        </w:tabs>
        <w:ind w:left="2268" w:hanging="1134"/>
      </w:pPr>
      <w:r w:rsidRPr="001C22A9">
        <w:tab/>
        <w:t>At the end, add a new sentence to read: “Machines or other appliances that are used to perform heating and cooling functions may be transported either under REFRIGERATING MACHINES or HEATING MACHINES.”.</w:t>
      </w:r>
    </w:p>
    <w:p w14:paraId="14568AB4" w14:textId="77777777" w:rsidR="00D26F12" w:rsidRPr="001C22A9" w:rsidRDefault="00D26F12" w:rsidP="00D26F12">
      <w:pPr>
        <w:pStyle w:val="SingleTxtG"/>
        <w:rPr>
          <w:i/>
          <w:iCs/>
        </w:rPr>
      </w:pPr>
      <w:r w:rsidRPr="001C22A9">
        <w:rPr>
          <w:i/>
          <w:iCs/>
        </w:rPr>
        <w:t>(Reference document: informal document INF.63)</w:t>
      </w:r>
    </w:p>
    <w:p w14:paraId="5713E259" w14:textId="77777777" w:rsidR="00D26F12" w:rsidRPr="001C22A9" w:rsidRDefault="00D26F12" w:rsidP="00D26F12">
      <w:pPr>
        <w:pStyle w:val="SingleTxtG"/>
        <w:tabs>
          <w:tab w:val="clear" w:pos="1701"/>
          <w:tab w:val="clear" w:pos="2268"/>
          <w:tab w:val="clear" w:pos="2835"/>
        </w:tabs>
        <w:ind w:left="2268" w:hanging="1134"/>
      </w:pPr>
      <w:r w:rsidRPr="001C22A9">
        <w:t>SP 188</w:t>
      </w:r>
      <w:r w:rsidRPr="001C22A9">
        <w:tab/>
        <w:t>In (f), first sentence, replace “with the appropriate lithium or sodium battery mark, as illustrated at” by “according to”.</w:t>
      </w:r>
    </w:p>
    <w:p w14:paraId="30DF4AB2" w14:textId="77777777" w:rsidR="00D26F12" w:rsidRPr="001C22A9" w:rsidRDefault="00D26F12" w:rsidP="00D26F12">
      <w:pPr>
        <w:pStyle w:val="SingleTxtG"/>
        <w:rPr>
          <w:i/>
          <w:iCs/>
        </w:rPr>
      </w:pPr>
      <w:r w:rsidRPr="001C22A9">
        <w:rPr>
          <w:i/>
          <w:iCs/>
        </w:rPr>
        <w:t>(Reference document: ST/SG/AC.10/C.3/2024/28)</w:t>
      </w:r>
    </w:p>
    <w:p w14:paraId="01416AC1" w14:textId="77777777" w:rsidR="00D26F12" w:rsidRPr="001C22A9" w:rsidRDefault="00D26F12" w:rsidP="00D26F12">
      <w:pPr>
        <w:pStyle w:val="SingleTxtG"/>
        <w:tabs>
          <w:tab w:val="clear" w:pos="1701"/>
          <w:tab w:val="clear" w:pos="2268"/>
          <w:tab w:val="clear" w:pos="2835"/>
        </w:tabs>
        <w:ind w:left="2268" w:hanging="1134"/>
      </w:pPr>
      <w:r w:rsidRPr="001C22A9">
        <w:lastRenderedPageBreak/>
        <w:tab/>
        <w:t>In (f) (ii), at the end, add “Where equipment contains a button cell in addition to cells or batteries, the button cell does not count toward package or consignment limits.”</w:t>
      </w:r>
    </w:p>
    <w:p w14:paraId="45A92AA8" w14:textId="77777777" w:rsidR="00D26F12" w:rsidRPr="001C22A9" w:rsidRDefault="00D26F12" w:rsidP="00D26F12">
      <w:pPr>
        <w:pStyle w:val="SingleTxtG"/>
        <w:rPr>
          <w:i/>
          <w:iCs/>
        </w:rPr>
      </w:pPr>
      <w:r w:rsidRPr="001C22A9">
        <w:rPr>
          <w:i/>
          <w:iCs/>
        </w:rPr>
        <w:t>(Reference document: ST/SG/AC.10/C.3/2024/53)</w:t>
      </w:r>
    </w:p>
    <w:p w14:paraId="05D63FE2" w14:textId="77777777" w:rsidR="00D26F12" w:rsidRPr="001C22A9" w:rsidRDefault="00D26F12" w:rsidP="00D26F12">
      <w:pPr>
        <w:pStyle w:val="SingleTxtG"/>
        <w:tabs>
          <w:tab w:val="clear" w:pos="1701"/>
          <w:tab w:val="clear" w:pos="2268"/>
          <w:tab w:val="clear" w:pos="2835"/>
        </w:tabs>
        <w:ind w:left="2268" w:hanging="1134"/>
      </w:pPr>
      <w:r w:rsidRPr="001C22A9">
        <w:t>SP 291</w:t>
      </w:r>
      <w:r w:rsidRPr="001C22A9">
        <w:tab/>
        <w:t>In the first sentence, after “refrigerating”, add “or heating”.</w:t>
      </w:r>
    </w:p>
    <w:p w14:paraId="075D7FAC" w14:textId="77777777" w:rsidR="00D26F12" w:rsidRPr="001C22A9" w:rsidRDefault="00D26F12" w:rsidP="00D26F12">
      <w:pPr>
        <w:pStyle w:val="SingleTxtG"/>
        <w:tabs>
          <w:tab w:val="clear" w:pos="1701"/>
          <w:tab w:val="clear" w:pos="2268"/>
          <w:tab w:val="clear" w:pos="2835"/>
        </w:tabs>
        <w:ind w:left="2268" w:hanging="1134"/>
      </w:pPr>
      <w:r w:rsidRPr="001C22A9">
        <w:tab/>
        <w:t>In the third sentence, replace “The refrigerating machines” by “Refrigerating or heating machines”.</w:t>
      </w:r>
    </w:p>
    <w:p w14:paraId="28F7904D" w14:textId="77777777" w:rsidR="00D26F12" w:rsidRPr="001C22A9" w:rsidRDefault="00D26F12" w:rsidP="00D26F12">
      <w:pPr>
        <w:pStyle w:val="SingleTxtG"/>
        <w:tabs>
          <w:tab w:val="clear" w:pos="1701"/>
          <w:tab w:val="clear" w:pos="2268"/>
          <w:tab w:val="clear" w:pos="2835"/>
        </w:tabs>
        <w:ind w:left="2268" w:hanging="1134"/>
      </w:pPr>
      <w:r w:rsidRPr="001C22A9">
        <w:tab/>
        <w:t>In the fourth sentence, replace “Refrigerating machines and refrigerating-machine components” by “Refrigerating or heating machines and their components”.</w:t>
      </w:r>
    </w:p>
    <w:p w14:paraId="3C6790E5" w14:textId="77777777" w:rsidR="00D26F12" w:rsidRPr="001C22A9" w:rsidRDefault="00D26F12" w:rsidP="00D26F12">
      <w:pPr>
        <w:pStyle w:val="SingleTxtG"/>
        <w:tabs>
          <w:tab w:val="clear" w:pos="1701"/>
          <w:tab w:val="clear" w:pos="2268"/>
          <w:tab w:val="clear" w:pos="2835"/>
        </w:tabs>
        <w:ind w:left="2268" w:hanging="1134"/>
      </w:pPr>
      <w:r w:rsidRPr="001C22A9">
        <w:tab/>
        <w:t>At the end, add a new sentence to read: “Machines that are used to perform heating and cooling functions may be transported either under REFRIGERATING MACHINES or HEATING MACHINES.”.</w:t>
      </w:r>
    </w:p>
    <w:p w14:paraId="6C2E807F" w14:textId="77777777" w:rsidR="00D26F12" w:rsidRPr="001C22A9" w:rsidRDefault="00D26F12" w:rsidP="00D26F12">
      <w:pPr>
        <w:pStyle w:val="SingleTxtG"/>
        <w:rPr>
          <w:i/>
          <w:iCs/>
        </w:rPr>
      </w:pPr>
      <w:r w:rsidRPr="001C22A9">
        <w:rPr>
          <w:i/>
          <w:iCs/>
        </w:rPr>
        <w:t>(Reference document: informal document INF.63)</w:t>
      </w:r>
    </w:p>
    <w:p w14:paraId="4F048A23" w14:textId="77777777" w:rsidR="00D26F12" w:rsidRPr="001C22A9" w:rsidRDefault="00D26F12" w:rsidP="00D26F12">
      <w:pPr>
        <w:pStyle w:val="SingleTxtG"/>
        <w:tabs>
          <w:tab w:val="clear" w:pos="1701"/>
          <w:tab w:val="clear" w:pos="2268"/>
          <w:tab w:val="clear" w:pos="2835"/>
        </w:tabs>
        <w:ind w:left="2268" w:hanging="1134"/>
      </w:pPr>
      <w:r w:rsidRPr="001C22A9">
        <w:t>SP 301</w:t>
      </w:r>
      <w:r w:rsidRPr="001C22A9">
        <w:tab/>
        <w:t>Amend the fifth sentence to read “If the articles contain more than one item of dangerous goods and these could react dangerously with one another during transport, each of the dangerous goods shall be enclosed separately (see 4.1.1.6).”.</w:t>
      </w:r>
    </w:p>
    <w:p w14:paraId="7C34403F" w14:textId="77777777" w:rsidR="00D26F12" w:rsidRPr="001C22A9" w:rsidRDefault="00D26F12" w:rsidP="00D26F12">
      <w:pPr>
        <w:pStyle w:val="SingleTxtG"/>
        <w:rPr>
          <w:i/>
          <w:iCs/>
        </w:rPr>
      </w:pPr>
      <w:r w:rsidRPr="001C22A9">
        <w:rPr>
          <w:i/>
          <w:iCs/>
        </w:rPr>
        <w:t>(Reference document: informal document INF.71)</w:t>
      </w:r>
    </w:p>
    <w:p w14:paraId="7B91A16D" w14:textId="77777777" w:rsidR="00D26F12" w:rsidRPr="001C22A9" w:rsidRDefault="00D26F12" w:rsidP="00D26F12">
      <w:pPr>
        <w:pStyle w:val="SingleTxtG"/>
        <w:tabs>
          <w:tab w:val="clear" w:pos="1701"/>
          <w:tab w:val="clear" w:pos="2268"/>
          <w:tab w:val="clear" w:pos="2835"/>
        </w:tabs>
        <w:ind w:left="2268" w:hanging="1134"/>
      </w:pPr>
      <w:r w:rsidRPr="001C22A9">
        <w:t>SP 360</w:t>
      </w:r>
      <w:r w:rsidRPr="001C22A9">
        <w:tab/>
      </w:r>
      <w:r>
        <w:t>Amend</w:t>
      </w:r>
      <w:r w:rsidRPr="001C22A9">
        <w:t xml:space="preserve"> the last sentence</w:t>
      </w:r>
      <w:r>
        <w:t xml:space="preserve"> to read “</w:t>
      </w:r>
      <w:r w:rsidRPr="00D56699">
        <w:t>Lithium batteries</w:t>
      </w:r>
      <w:r w:rsidRPr="001C22A9">
        <w:t>, sodium ion batteries</w:t>
      </w:r>
      <w:r w:rsidRPr="0013347E">
        <w:t xml:space="preserve"> </w:t>
      </w:r>
      <w:r w:rsidRPr="00DA2025">
        <w:t xml:space="preserve">or hybrid batteries containing both lithium ion cells and sodium ion cells </w:t>
      </w:r>
      <w:r>
        <w:t>in accordance with 2.9.4 (h)</w:t>
      </w:r>
      <w:r w:rsidRPr="00D56699">
        <w:t xml:space="preserve"> installed in cargo transport units, designed only to provide power external to the transport unit shall be assigned to entr</w:t>
      </w:r>
      <w:r>
        <w:t>ies</w:t>
      </w:r>
      <w:r w:rsidRPr="00D56699">
        <w:t xml:space="preserve"> UN 3536 LITHIUM BATTERIES INSTALLED IN CARGO TRANSPORT UNIT</w:t>
      </w:r>
      <w:r>
        <w:t xml:space="preserve"> </w:t>
      </w:r>
      <w:r w:rsidRPr="001C22A9">
        <w:t>or UN 3536 SODIUM ION BATTERIES INSTALLED IN CARGO TRANSPORT UNIT, as applicable</w:t>
      </w:r>
      <w:r w:rsidRPr="00D56699">
        <w:t>.</w:t>
      </w:r>
      <w:r>
        <w:t>”.</w:t>
      </w:r>
    </w:p>
    <w:p w14:paraId="1CEACC35" w14:textId="77777777" w:rsidR="00D26F12" w:rsidRDefault="00D26F12" w:rsidP="00D26F12">
      <w:pPr>
        <w:pStyle w:val="SingleTxtG"/>
        <w:rPr>
          <w:i/>
          <w:iCs/>
        </w:rPr>
      </w:pPr>
      <w:r w:rsidRPr="001C22A9">
        <w:rPr>
          <w:i/>
          <w:iCs/>
        </w:rPr>
        <w:t>(Reference document</w:t>
      </w:r>
      <w:r>
        <w:rPr>
          <w:i/>
          <w:iCs/>
        </w:rPr>
        <w:t>s</w:t>
      </w:r>
      <w:r w:rsidRPr="001C22A9">
        <w:rPr>
          <w:i/>
          <w:iCs/>
        </w:rPr>
        <w:t xml:space="preserve">: </w:t>
      </w:r>
      <w:r w:rsidRPr="00300583">
        <w:rPr>
          <w:i/>
          <w:iCs/>
        </w:rPr>
        <w:t>ST/SG/AC.10/C.3/126/Add.1</w:t>
      </w:r>
      <w:r>
        <w:rPr>
          <w:i/>
          <w:iCs/>
        </w:rPr>
        <w:t xml:space="preserve"> and </w:t>
      </w:r>
      <w:r w:rsidRPr="001C22A9">
        <w:rPr>
          <w:i/>
          <w:iCs/>
        </w:rPr>
        <w:t>informal document INF.66, as amended)</w:t>
      </w:r>
    </w:p>
    <w:p w14:paraId="76A8DF99" w14:textId="77777777" w:rsidR="00D26F12" w:rsidRPr="001C22A9" w:rsidRDefault="00D26F12" w:rsidP="00D26F12">
      <w:pPr>
        <w:pStyle w:val="SingleTxtG"/>
        <w:rPr>
          <w:i/>
          <w:iCs/>
        </w:rPr>
      </w:pPr>
      <w:r>
        <w:rPr>
          <w:i/>
          <w:iCs/>
        </w:rPr>
        <w:t xml:space="preserve">(This amendment replaces the second amendment to SP 360 in </w:t>
      </w:r>
      <w:r w:rsidRPr="002F52AB">
        <w:rPr>
          <w:i/>
          <w:iCs/>
        </w:rPr>
        <w:t>ST/SG/AC.10/C.3/126/Add.1</w:t>
      </w:r>
      <w:r>
        <w:rPr>
          <w:i/>
          <w:iCs/>
        </w:rPr>
        <w:t>)</w:t>
      </w:r>
    </w:p>
    <w:p w14:paraId="4796E253" w14:textId="77777777" w:rsidR="00D26F12" w:rsidRPr="001C22A9" w:rsidRDefault="00D26F12" w:rsidP="00D26F12">
      <w:pPr>
        <w:pStyle w:val="SingleTxtG"/>
        <w:tabs>
          <w:tab w:val="clear" w:pos="1701"/>
          <w:tab w:val="clear" w:pos="2268"/>
          <w:tab w:val="clear" w:pos="2835"/>
        </w:tabs>
        <w:ind w:left="2268" w:hanging="1134"/>
      </w:pPr>
      <w:r w:rsidRPr="001C22A9">
        <w:t>SP 388</w:t>
      </w:r>
      <w:r w:rsidRPr="001C22A9">
        <w:tab/>
        <w:t>In the eighth paragraph, amend the last sentence to read: “Lithium ion batteries, lithium metal batteries or sodium ion batteries installed in a cargo transport unit and designed only to provide power external to the cargo transport unit shall be assigned to the entries UN 3536 LITHIUM BATTERIES INSTALLED IN CARGO TRANSPORT UNIT or UN 3536 SODIUM ION BATTERIES INSTALLED IN CARGO TRANSPORT UNIT, as appropriate”.</w:t>
      </w:r>
    </w:p>
    <w:p w14:paraId="027559CE" w14:textId="77777777" w:rsidR="00D26F12" w:rsidRPr="001C22A9" w:rsidRDefault="00D26F12" w:rsidP="00D26F12">
      <w:pPr>
        <w:pStyle w:val="SingleTxtG"/>
        <w:rPr>
          <w:i/>
          <w:iCs/>
        </w:rPr>
      </w:pPr>
      <w:r w:rsidRPr="001C22A9">
        <w:rPr>
          <w:i/>
          <w:iCs/>
        </w:rPr>
        <w:t>(Reference document: informal document INF.66, as amended)</w:t>
      </w:r>
    </w:p>
    <w:p w14:paraId="6B02EA88" w14:textId="77777777" w:rsidR="00D26F12" w:rsidRDefault="00D26F12" w:rsidP="00D26F12">
      <w:pPr>
        <w:pStyle w:val="SingleTxtG"/>
        <w:tabs>
          <w:tab w:val="clear" w:pos="1701"/>
          <w:tab w:val="clear" w:pos="2268"/>
          <w:tab w:val="clear" w:pos="2835"/>
        </w:tabs>
        <w:ind w:left="2268" w:hanging="1134"/>
      </w:pPr>
      <w:r w:rsidRPr="001C22A9">
        <w:t>SP 389</w:t>
      </w:r>
      <w:r w:rsidRPr="001C22A9">
        <w:tab/>
      </w:r>
      <w:r>
        <w:t>Amend the first paragraph to read “</w:t>
      </w:r>
      <w:r w:rsidRPr="00071818">
        <w:t xml:space="preserve">This entry only applies to </w:t>
      </w:r>
      <w:r>
        <w:t xml:space="preserve">lithium ion batteries, </w:t>
      </w:r>
      <w:r w:rsidRPr="001C22A9">
        <w:t>lithium metal batteries</w:t>
      </w:r>
      <w:r>
        <w:t>, sodium ion batteries</w:t>
      </w:r>
      <w:r w:rsidRPr="00DA2025">
        <w:t xml:space="preserve"> or hybrid batteries containing both lithium ion cells and sodium ion cells </w:t>
      </w:r>
      <w:r>
        <w:t>in accordance with 2.9.4 (h)</w:t>
      </w:r>
      <w:r w:rsidRPr="00071818">
        <w:t xml:space="preserve"> installed in a cargo transport unit and designed only to provide power external to the cargo transport unit. </w:t>
      </w:r>
      <w:r w:rsidRPr="001C22A9">
        <w:t>The batteries shall meet the requirements of 2.9.4 (a) to (</w:t>
      </w:r>
      <w:r>
        <w:t>h</w:t>
      </w:r>
      <w:r w:rsidRPr="001C22A9">
        <w:t>) for lithium or 2.9.5 (a) to (f) for sodium</w:t>
      </w:r>
      <w:r w:rsidRPr="00071818">
        <w:t xml:space="preserve"> and contain the necessary systems to prevent overcharge and over discharge between the batteries.</w:t>
      </w:r>
      <w:r>
        <w:t>”.</w:t>
      </w:r>
    </w:p>
    <w:p w14:paraId="69EC542C" w14:textId="77777777" w:rsidR="00D26F12" w:rsidRPr="001C22A9" w:rsidRDefault="00D26F12" w:rsidP="00D26F12">
      <w:pPr>
        <w:pStyle w:val="SingleTxtG"/>
        <w:rPr>
          <w:i/>
          <w:iCs/>
        </w:rPr>
      </w:pPr>
      <w:r w:rsidRPr="001C22A9">
        <w:rPr>
          <w:i/>
          <w:iCs/>
        </w:rPr>
        <w:t>(Reference document</w:t>
      </w:r>
      <w:r>
        <w:rPr>
          <w:i/>
          <w:iCs/>
        </w:rPr>
        <w:t>s</w:t>
      </w:r>
      <w:r w:rsidRPr="001C22A9">
        <w:rPr>
          <w:i/>
          <w:iCs/>
        </w:rPr>
        <w:t xml:space="preserve">: </w:t>
      </w:r>
      <w:r w:rsidRPr="002F52AB">
        <w:rPr>
          <w:i/>
          <w:iCs/>
        </w:rPr>
        <w:t>ST/SG/AC.10/C.3/126/Add.1</w:t>
      </w:r>
      <w:r>
        <w:rPr>
          <w:i/>
          <w:iCs/>
        </w:rPr>
        <w:t xml:space="preserve"> and </w:t>
      </w:r>
      <w:r w:rsidRPr="001C22A9">
        <w:rPr>
          <w:i/>
          <w:iCs/>
        </w:rPr>
        <w:t>informal document INF.66, as amended)</w:t>
      </w:r>
    </w:p>
    <w:p w14:paraId="2A661AFD" w14:textId="77777777" w:rsidR="00D26F12" w:rsidRPr="001C22A9" w:rsidRDefault="00D26F12" w:rsidP="00D26F12">
      <w:pPr>
        <w:pStyle w:val="SingleTxtG"/>
        <w:rPr>
          <w:i/>
          <w:iCs/>
        </w:rPr>
      </w:pPr>
      <w:r>
        <w:rPr>
          <w:i/>
          <w:iCs/>
        </w:rPr>
        <w:t xml:space="preserve">(This amendment replaces the amendments to SP 389 in </w:t>
      </w:r>
      <w:r w:rsidRPr="002F52AB">
        <w:rPr>
          <w:i/>
          <w:iCs/>
        </w:rPr>
        <w:t>ST/SG/AC.10/C.3/126/Add.1</w:t>
      </w:r>
      <w:r>
        <w:rPr>
          <w:i/>
          <w:iCs/>
        </w:rPr>
        <w:t>)</w:t>
      </w:r>
    </w:p>
    <w:p w14:paraId="2A26312E" w14:textId="77777777" w:rsidR="00D26F12" w:rsidRPr="001C22A9" w:rsidRDefault="00D26F12" w:rsidP="00D26F12">
      <w:pPr>
        <w:pStyle w:val="SingleTxtG"/>
        <w:tabs>
          <w:tab w:val="clear" w:pos="1701"/>
          <w:tab w:val="clear" w:pos="2268"/>
          <w:tab w:val="clear" w:pos="2835"/>
        </w:tabs>
        <w:ind w:left="2268" w:hanging="1134"/>
      </w:pPr>
      <w:r w:rsidRPr="001C22A9">
        <w:t>Add the following new special provisions:</w:t>
      </w:r>
    </w:p>
    <w:p w14:paraId="16398050" w14:textId="77777777" w:rsidR="00D26F12" w:rsidRPr="001C22A9" w:rsidRDefault="00D26F12" w:rsidP="00D26F12">
      <w:pPr>
        <w:pStyle w:val="SingleTxtG"/>
        <w:tabs>
          <w:tab w:val="clear" w:pos="1701"/>
          <w:tab w:val="clear" w:pos="2268"/>
          <w:tab w:val="clear" w:pos="2835"/>
        </w:tabs>
        <w:ind w:left="2268" w:hanging="1134"/>
      </w:pPr>
      <w:r w:rsidRPr="001C22A9">
        <w:t>“411</w:t>
      </w:r>
      <w:r w:rsidRPr="001C22A9">
        <w:tab/>
        <w:t xml:space="preserve">Articles transported under this entry include magnetic resonance imaging (MRI) scanners containing non-flammable, non-toxic gas. The non-flammable, </w:t>
      </w:r>
      <w:r w:rsidRPr="001C22A9">
        <w:lastRenderedPageBreak/>
        <w:t>non-toxic gas shall be contained within MRI scanner components. The MRI scanners shall be designed and constructed to contain the gas and preclude the risk of bursting or cracking of the gas retaining components during normal conditions of transport. MRI scanners are not subject to these Regulations if they contain less than 12 kg of gas in Division 2.2.”</w:t>
      </w:r>
    </w:p>
    <w:p w14:paraId="36FC454B" w14:textId="77777777" w:rsidR="00D26F12" w:rsidRPr="001C22A9" w:rsidRDefault="00D26F12" w:rsidP="00D26F12">
      <w:pPr>
        <w:pStyle w:val="SingleTxtG"/>
        <w:rPr>
          <w:i/>
          <w:iCs/>
        </w:rPr>
      </w:pPr>
      <w:r w:rsidRPr="001C22A9">
        <w:rPr>
          <w:i/>
          <w:iCs/>
        </w:rPr>
        <w:t>(Reference document: ST/SG/AC.10/C.3/2024/32, as amended)</w:t>
      </w:r>
    </w:p>
    <w:p w14:paraId="06FB2BFC" w14:textId="77777777" w:rsidR="00D26F12" w:rsidRPr="001C22A9" w:rsidRDefault="00D26F12" w:rsidP="00D26F12">
      <w:pPr>
        <w:pStyle w:val="SingleTxtG"/>
        <w:tabs>
          <w:tab w:val="clear" w:pos="1701"/>
          <w:tab w:val="clear" w:pos="2268"/>
          <w:tab w:val="clear" w:pos="2835"/>
        </w:tabs>
        <w:ind w:left="2268" w:hanging="1134"/>
      </w:pPr>
      <w:r w:rsidRPr="001C22A9">
        <w:t>“412</w:t>
      </w:r>
      <w:r w:rsidRPr="001C22A9">
        <w:tab/>
        <w:t>This entry may contain not more than 12 % by mass of dimethyl ether.”</w:t>
      </w:r>
    </w:p>
    <w:p w14:paraId="6CD31EF0" w14:textId="77777777" w:rsidR="00D26F12" w:rsidRPr="001C22A9" w:rsidRDefault="00D26F12" w:rsidP="00D26F12">
      <w:pPr>
        <w:pStyle w:val="SingleTxtG"/>
        <w:rPr>
          <w:i/>
          <w:iCs/>
        </w:rPr>
      </w:pPr>
      <w:r w:rsidRPr="001C22A9">
        <w:rPr>
          <w:i/>
          <w:iCs/>
        </w:rPr>
        <w:t>(Reference document: informal document INF.61, proposal 2, as amended)</w:t>
      </w:r>
    </w:p>
    <w:p w14:paraId="7A56C675" w14:textId="77777777" w:rsidR="00D26F12" w:rsidRPr="001C22A9" w:rsidRDefault="00D26F12" w:rsidP="00D26F12">
      <w:pPr>
        <w:pStyle w:val="H1G"/>
      </w:pPr>
      <w:r w:rsidRPr="001C22A9">
        <w:tab/>
      </w:r>
      <w:r w:rsidRPr="001C22A9">
        <w:tab/>
        <w:t>Alphabetical index</w:t>
      </w:r>
    </w:p>
    <w:p w14:paraId="6E087EA5" w14:textId="77777777" w:rsidR="00D26F12" w:rsidRPr="001C22A9" w:rsidRDefault="00D26F12" w:rsidP="00D26F12">
      <w:pPr>
        <w:pStyle w:val="SingleTxtG"/>
        <w:tabs>
          <w:tab w:val="clear" w:pos="1701"/>
          <w:tab w:val="clear" w:pos="2268"/>
          <w:tab w:val="clear" w:pos="2835"/>
        </w:tabs>
        <w:ind w:left="2268" w:hanging="1134"/>
      </w:pPr>
      <w:r w:rsidRPr="001C22A9">
        <w:t>Delete the row for “Fluoric acid”.</w:t>
      </w:r>
    </w:p>
    <w:p w14:paraId="56EF81CB" w14:textId="77777777" w:rsidR="00D26F12" w:rsidRPr="001C22A9" w:rsidRDefault="00D26F12" w:rsidP="00D26F12">
      <w:pPr>
        <w:pStyle w:val="SingleTxtG"/>
        <w:rPr>
          <w:i/>
          <w:iCs/>
        </w:rPr>
      </w:pPr>
      <w:r w:rsidRPr="001C22A9">
        <w:rPr>
          <w:i/>
          <w:iCs/>
        </w:rPr>
        <w:t>(Reference document:</w:t>
      </w:r>
      <w:r w:rsidRPr="001C22A9">
        <w:t xml:space="preserve"> </w:t>
      </w:r>
      <w:r w:rsidRPr="001C22A9">
        <w:rPr>
          <w:i/>
          <w:iCs/>
        </w:rPr>
        <w:t>ST/SG/AC.10/C.3/2024/30)</w:t>
      </w:r>
    </w:p>
    <w:p w14:paraId="3D531A58" w14:textId="77777777" w:rsidR="00D26F12" w:rsidRPr="001C22A9" w:rsidRDefault="00D26F12" w:rsidP="00D26F12">
      <w:pPr>
        <w:pStyle w:val="SingleTxtG"/>
        <w:tabs>
          <w:tab w:val="clear" w:pos="1701"/>
          <w:tab w:val="clear" w:pos="2268"/>
          <w:tab w:val="clear" w:pos="2835"/>
        </w:tabs>
        <w:ind w:left="2268" w:hanging="1134"/>
      </w:pPr>
      <w:r w:rsidRPr="001C22A9">
        <w:t>Add the following new entries in alphabetical order:</w:t>
      </w:r>
    </w:p>
    <w:tbl>
      <w:tblPr>
        <w:tblStyle w:val="TableGrid"/>
        <w:tblW w:w="3754" w:type="pct"/>
        <w:tblInd w:w="1129" w:type="dxa"/>
        <w:tblCellMar>
          <w:left w:w="57" w:type="dxa"/>
          <w:right w:w="57" w:type="dxa"/>
        </w:tblCellMar>
        <w:tblLook w:val="04A0" w:firstRow="1" w:lastRow="0" w:firstColumn="1" w:lastColumn="0" w:noHBand="0" w:noVBand="1"/>
      </w:tblPr>
      <w:tblGrid>
        <w:gridCol w:w="5529"/>
        <w:gridCol w:w="850"/>
        <w:gridCol w:w="850"/>
      </w:tblGrid>
      <w:tr w:rsidR="00D26F12" w:rsidRPr="001C22A9" w14:paraId="78C15A91" w14:textId="77777777" w:rsidTr="001F3651">
        <w:tc>
          <w:tcPr>
            <w:tcW w:w="3824" w:type="pct"/>
          </w:tcPr>
          <w:p w14:paraId="38267464" w14:textId="77777777" w:rsidR="00D26F12" w:rsidRPr="001C22A9" w:rsidRDefault="00D26F12" w:rsidP="001F3651">
            <w:pPr>
              <w:pStyle w:val="SingleTxtG"/>
              <w:keepNext/>
              <w:spacing w:before="120"/>
              <w:ind w:left="0" w:right="0"/>
              <w:jc w:val="left"/>
              <w:rPr>
                <w:lang w:val="en-GB"/>
              </w:rPr>
            </w:pPr>
            <w:r w:rsidRPr="001C22A9">
              <w:rPr>
                <w:lang w:val="en-GB"/>
              </w:rPr>
              <w:t>Heat pumps, see</w:t>
            </w:r>
          </w:p>
        </w:tc>
        <w:tc>
          <w:tcPr>
            <w:tcW w:w="588" w:type="pct"/>
            <w:vAlign w:val="center"/>
          </w:tcPr>
          <w:p w14:paraId="364BF2AD" w14:textId="77777777" w:rsidR="00D26F12" w:rsidRPr="001C22A9" w:rsidRDefault="00D26F12" w:rsidP="001F3651">
            <w:pPr>
              <w:pStyle w:val="SingleTxtG"/>
              <w:keepNext/>
              <w:spacing w:before="120"/>
              <w:ind w:left="0" w:right="0"/>
              <w:jc w:val="center"/>
              <w:rPr>
                <w:lang w:val="en-GB"/>
              </w:rPr>
            </w:pPr>
            <w:r w:rsidRPr="001C22A9">
              <w:rPr>
                <w:lang w:val="en-GB"/>
              </w:rPr>
              <w:t>2.2</w:t>
            </w:r>
            <w:r w:rsidRPr="001C22A9">
              <w:rPr>
                <w:lang w:val="en-GB"/>
              </w:rPr>
              <w:br/>
              <w:t>2.1</w:t>
            </w:r>
          </w:p>
        </w:tc>
        <w:tc>
          <w:tcPr>
            <w:tcW w:w="588" w:type="pct"/>
            <w:vAlign w:val="center"/>
          </w:tcPr>
          <w:p w14:paraId="1AA9A23A" w14:textId="77777777" w:rsidR="00D26F12" w:rsidRPr="001C22A9" w:rsidRDefault="00D26F12" w:rsidP="001F3651">
            <w:pPr>
              <w:pStyle w:val="SingleTxtG"/>
              <w:keepNext/>
              <w:spacing w:before="120"/>
              <w:ind w:left="0" w:right="0"/>
              <w:jc w:val="center"/>
              <w:rPr>
                <w:lang w:val="en-GB"/>
              </w:rPr>
            </w:pPr>
            <w:r w:rsidRPr="001C22A9">
              <w:rPr>
                <w:lang w:val="en-GB"/>
              </w:rPr>
              <w:t>2857</w:t>
            </w:r>
            <w:r w:rsidRPr="001C22A9">
              <w:rPr>
                <w:lang w:val="en-GB"/>
              </w:rPr>
              <w:br/>
              <w:t>3358</w:t>
            </w:r>
          </w:p>
        </w:tc>
      </w:tr>
      <w:tr w:rsidR="00D26F12" w:rsidRPr="001C22A9" w14:paraId="5CBD56FF" w14:textId="77777777" w:rsidTr="001F3651">
        <w:tc>
          <w:tcPr>
            <w:tcW w:w="3824" w:type="pct"/>
            <w:vAlign w:val="center"/>
          </w:tcPr>
          <w:p w14:paraId="2CBC622A" w14:textId="77777777" w:rsidR="00D26F12" w:rsidRPr="001C22A9" w:rsidRDefault="00D26F12" w:rsidP="001F3651">
            <w:pPr>
              <w:pStyle w:val="SingleTxtG"/>
              <w:keepNext/>
              <w:spacing w:before="120"/>
              <w:ind w:left="0" w:right="0"/>
              <w:jc w:val="left"/>
              <w:rPr>
                <w:lang w:val="en-GB"/>
              </w:rPr>
            </w:pPr>
            <w:r w:rsidRPr="001C22A9">
              <w:rPr>
                <w:lang w:val="en-GB"/>
              </w:rPr>
              <w:t>HEATING MACHINES containing non-flammable, non-toxic, gases or ammonia solutions (UN 2672)</w:t>
            </w:r>
          </w:p>
        </w:tc>
        <w:tc>
          <w:tcPr>
            <w:tcW w:w="588" w:type="pct"/>
            <w:vAlign w:val="center"/>
          </w:tcPr>
          <w:p w14:paraId="520EB7E7" w14:textId="77777777" w:rsidR="00D26F12" w:rsidRPr="001C22A9" w:rsidRDefault="00D26F12" w:rsidP="001F3651">
            <w:pPr>
              <w:pStyle w:val="SingleTxtG"/>
              <w:keepNext/>
              <w:spacing w:before="120"/>
              <w:ind w:left="0" w:right="0"/>
              <w:jc w:val="center"/>
              <w:rPr>
                <w:lang w:val="en-GB"/>
              </w:rPr>
            </w:pPr>
            <w:r w:rsidRPr="001C22A9">
              <w:rPr>
                <w:lang w:val="en-GB"/>
              </w:rPr>
              <w:t>2.2</w:t>
            </w:r>
          </w:p>
        </w:tc>
        <w:tc>
          <w:tcPr>
            <w:tcW w:w="588" w:type="pct"/>
            <w:vAlign w:val="center"/>
          </w:tcPr>
          <w:p w14:paraId="19B2002C" w14:textId="77777777" w:rsidR="00D26F12" w:rsidRPr="001C22A9" w:rsidRDefault="00D26F12" w:rsidP="001F3651">
            <w:pPr>
              <w:pStyle w:val="SingleTxtG"/>
              <w:keepNext/>
              <w:spacing w:before="120"/>
              <w:ind w:left="0" w:right="0"/>
              <w:jc w:val="center"/>
              <w:rPr>
                <w:lang w:val="en-GB"/>
              </w:rPr>
            </w:pPr>
            <w:r w:rsidRPr="001C22A9">
              <w:rPr>
                <w:lang w:val="en-GB"/>
              </w:rPr>
              <w:t>2857</w:t>
            </w:r>
          </w:p>
        </w:tc>
      </w:tr>
      <w:tr w:rsidR="00D26F12" w:rsidRPr="001C22A9" w14:paraId="36BCF2DC" w14:textId="77777777" w:rsidTr="001F3651">
        <w:tc>
          <w:tcPr>
            <w:tcW w:w="3824" w:type="pct"/>
            <w:vAlign w:val="center"/>
          </w:tcPr>
          <w:p w14:paraId="66BF6B9F" w14:textId="77777777" w:rsidR="00D26F12" w:rsidRPr="001C22A9" w:rsidRDefault="00D26F12" w:rsidP="001F3651">
            <w:pPr>
              <w:pStyle w:val="SingleTxtG"/>
              <w:keepNext/>
              <w:spacing w:before="120"/>
              <w:ind w:left="0" w:right="0"/>
              <w:jc w:val="left"/>
              <w:rPr>
                <w:lang w:val="en-GB"/>
              </w:rPr>
            </w:pPr>
            <w:r w:rsidRPr="001C22A9">
              <w:rPr>
                <w:lang w:val="en-GB"/>
              </w:rPr>
              <w:t>HEATING MACHINES containing flammable, non-toxic, liquefied gas</w:t>
            </w:r>
          </w:p>
        </w:tc>
        <w:tc>
          <w:tcPr>
            <w:tcW w:w="588" w:type="pct"/>
            <w:vAlign w:val="center"/>
          </w:tcPr>
          <w:p w14:paraId="58909DAF" w14:textId="77777777" w:rsidR="00D26F12" w:rsidRPr="001C22A9" w:rsidRDefault="00D26F12" w:rsidP="001F3651">
            <w:pPr>
              <w:pStyle w:val="SingleTxtG"/>
              <w:keepNext/>
              <w:spacing w:before="120"/>
              <w:ind w:left="0" w:right="0"/>
              <w:jc w:val="center"/>
              <w:rPr>
                <w:lang w:val="en-GB"/>
              </w:rPr>
            </w:pPr>
            <w:r w:rsidRPr="001C22A9">
              <w:rPr>
                <w:lang w:val="en-GB"/>
              </w:rPr>
              <w:t>2.1</w:t>
            </w:r>
          </w:p>
        </w:tc>
        <w:tc>
          <w:tcPr>
            <w:tcW w:w="588" w:type="pct"/>
            <w:vAlign w:val="center"/>
          </w:tcPr>
          <w:p w14:paraId="3EFE2422" w14:textId="77777777" w:rsidR="00D26F12" w:rsidRPr="001C22A9" w:rsidRDefault="00D26F12" w:rsidP="001F3651">
            <w:pPr>
              <w:pStyle w:val="SingleTxtG"/>
              <w:keepNext/>
              <w:spacing w:before="120"/>
              <w:ind w:left="0" w:right="0"/>
              <w:jc w:val="center"/>
              <w:rPr>
                <w:lang w:val="en-GB"/>
              </w:rPr>
            </w:pPr>
            <w:r w:rsidRPr="001C22A9">
              <w:rPr>
                <w:lang w:val="en-GB"/>
              </w:rPr>
              <w:t>3358</w:t>
            </w:r>
          </w:p>
        </w:tc>
      </w:tr>
      <w:tr w:rsidR="00D26F12" w:rsidRPr="001C22A9" w14:paraId="26AB0681" w14:textId="77777777" w:rsidTr="001F3651">
        <w:tc>
          <w:tcPr>
            <w:tcW w:w="3824" w:type="pct"/>
            <w:vAlign w:val="center"/>
          </w:tcPr>
          <w:p w14:paraId="09BDB8D8" w14:textId="77777777" w:rsidR="00D26F12" w:rsidRPr="001C22A9" w:rsidRDefault="00D26F12" w:rsidP="001F3651">
            <w:pPr>
              <w:pStyle w:val="SingleTxtG"/>
              <w:keepNext/>
              <w:spacing w:before="120"/>
              <w:ind w:left="0" w:right="0"/>
              <w:jc w:val="left"/>
              <w:rPr>
                <w:lang w:val="en-GB"/>
              </w:rPr>
            </w:pPr>
            <w:r w:rsidRPr="001C22A9">
              <w:rPr>
                <w:lang w:val="en-GB"/>
              </w:rPr>
              <w:t>Magnetic resonance imaging (MRI) scanners containing non-flammable, non-toxic gas, see</w:t>
            </w:r>
          </w:p>
        </w:tc>
        <w:tc>
          <w:tcPr>
            <w:tcW w:w="588" w:type="pct"/>
            <w:vAlign w:val="center"/>
          </w:tcPr>
          <w:p w14:paraId="4E68DE8E" w14:textId="77777777" w:rsidR="00D26F12" w:rsidRPr="001C22A9" w:rsidRDefault="00D26F12" w:rsidP="001F3651">
            <w:pPr>
              <w:pStyle w:val="SingleTxtG"/>
              <w:keepNext/>
              <w:spacing w:before="120"/>
              <w:ind w:left="0" w:right="0"/>
              <w:jc w:val="center"/>
              <w:rPr>
                <w:lang w:val="en-GB"/>
              </w:rPr>
            </w:pPr>
            <w:r w:rsidRPr="001C22A9">
              <w:rPr>
                <w:lang w:val="en-GB"/>
              </w:rPr>
              <w:t>2.2</w:t>
            </w:r>
          </w:p>
        </w:tc>
        <w:tc>
          <w:tcPr>
            <w:tcW w:w="588" w:type="pct"/>
            <w:vAlign w:val="center"/>
          </w:tcPr>
          <w:p w14:paraId="282ECE3F" w14:textId="77777777" w:rsidR="00D26F12" w:rsidRPr="001C22A9" w:rsidRDefault="00D26F12" w:rsidP="001F3651">
            <w:pPr>
              <w:pStyle w:val="SingleTxtG"/>
              <w:keepNext/>
              <w:spacing w:before="120"/>
              <w:ind w:left="0" w:right="0"/>
              <w:jc w:val="center"/>
              <w:rPr>
                <w:lang w:val="en-GB"/>
              </w:rPr>
            </w:pPr>
            <w:r w:rsidRPr="001C22A9">
              <w:rPr>
                <w:lang w:val="en-GB"/>
              </w:rPr>
              <w:t>3538</w:t>
            </w:r>
          </w:p>
        </w:tc>
      </w:tr>
      <w:tr w:rsidR="00D26F12" w:rsidRPr="001C22A9" w14:paraId="608E6966" w14:textId="77777777" w:rsidTr="001F3651">
        <w:tc>
          <w:tcPr>
            <w:tcW w:w="3824" w:type="pct"/>
            <w:vAlign w:val="center"/>
          </w:tcPr>
          <w:p w14:paraId="0A253E83" w14:textId="77777777" w:rsidR="00D26F12" w:rsidRPr="001C22A9" w:rsidRDefault="00D26F12" w:rsidP="001F3651">
            <w:pPr>
              <w:pStyle w:val="SingleTxtG"/>
              <w:keepNext/>
              <w:spacing w:before="120"/>
              <w:ind w:left="0" w:right="0"/>
              <w:jc w:val="left"/>
              <w:rPr>
                <w:lang w:val="en-GB"/>
              </w:rPr>
            </w:pPr>
            <w:r w:rsidRPr="001C22A9">
              <w:rPr>
                <w:lang w:val="en-GB"/>
              </w:rPr>
              <w:t>SODIUM ION BATTERIES INSTALLED IN CARGO TRANSPORT UNIT</w:t>
            </w:r>
          </w:p>
        </w:tc>
        <w:tc>
          <w:tcPr>
            <w:tcW w:w="588" w:type="pct"/>
            <w:vAlign w:val="center"/>
          </w:tcPr>
          <w:p w14:paraId="51DBCB2E" w14:textId="77777777" w:rsidR="00D26F12" w:rsidRPr="001C22A9" w:rsidRDefault="00D26F12" w:rsidP="001F3651">
            <w:pPr>
              <w:pStyle w:val="SingleTxtG"/>
              <w:keepNext/>
              <w:spacing w:before="120"/>
              <w:ind w:left="0" w:right="0"/>
              <w:jc w:val="center"/>
              <w:rPr>
                <w:lang w:val="en-GB"/>
              </w:rPr>
            </w:pPr>
            <w:r w:rsidRPr="001C22A9">
              <w:rPr>
                <w:lang w:val="en-GB"/>
              </w:rPr>
              <w:t>9</w:t>
            </w:r>
          </w:p>
        </w:tc>
        <w:tc>
          <w:tcPr>
            <w:tcW w:w="588" w:type="pct"/>
            <w:vAlign w:val="center"/>
          </w:tcPr>
          <w:p w14:paraId="780E8843" w14:textId="77777777" w:rsidR="00D26F12" w:rsidRPr="001C22A9" w:rsidRDefault="00D26F12" w:rsidP="001F3651">
            <w:pPr>
              <w:pStyle w:val="SingleTxtG"/>
              <w:keepNext/>
              <w:spacing w:before="120"/>
              <w:ind w:left="0" w:right="0"/>
              <w:jc w:val="center"/>
              <w:rPr>
                <w:lang w:val="en-GB"/>
              </w:rPr>
            </w:pPr>
            <w:r w:rsidRPr="001C22A9">
              <w:rPr>
                <w:lang w:val="en-GB"/>
              </w:rPr>
              <w:t>3536</w:t>
            </w:r>
          </w:p>
        </w:tc>
      </w:tr>
    </w:tbl>
    <w:p w14:paraId="526E6005" w14:textId="77777777" w:rsidR="00D26F12" w:rsidRPr="004E0167" w:rsidRDefault="00D26F12" w:rsidP="00D26F12">
      <w:pPr>
        <w:pStyle w:val="SingleTxtG"/>
        <w:tabs>
          <w:tab w:val="clear" w:pos="1701"/>
          <w:tab w:val="clear" w:pos="2268"/>
          <w:tab w:val="clear" w:pos="2835"/>
        </w:tabs>
        <w:spacing w:before="120"/>
      </w:pPr>
      <w:r>
        <w:t>The addition of a new entry to the alphabetical index associated with UN 1790 does not apply to the English version.</w:t>
      </w:r>
    </w:p>
    <w:p w14:paraId="6F668438" w14:textId="77777777" w:rsidR="00D26F12" w:rsidRPr="001C22A9" w:rsidRDefault="00D26F12" w:rsidP="00D26F12">
      <w:pPr>
        <w:pStyle w:val="SingleTxtG"/>
        <w:rPr>
          <w:i/>
          <w:iCs/>
        </w:rPr>
      </w:pPr>
      <w:r w:rsidRPr="001C22A9">
        <w:rPr>
          <w:i/>
          <w:iCs/>
        </w:rPr>
        <w:t>(Reference documents: ST/SG/AC.10/C.3/2024/30</w:t>
      </w:r>
      <w:r>
        <w:rPr>
          <w:i/>
          <w:iCs/>
        </w:rPr>
        <w:t xml:space="preserve">, </w:t>
      </w:r>
      <w:r w:rsidRPr="001C22A9">
        <w:rPr>
          <w:i/>
          <w:iCs/>
        </w:rPr>
        <w:t>ST/SG/AC.10/C.3/2024/32, as amended and informal documents INF.63 and INF.66, as amended)</w:t>
      </w:r>
    </w:p>
    <w:p w14:paraId="4AEB4178" w14:textId="77777777" w:rsidR="00D26F12" w:rsidRPr="001C22A9" w:rsidRDefault="00D26F12" w:rsidP="00D26F12">
      <w:pPr>
        <w:pStyle w:val="H1G"/>
      </w:pPr>
      <w:r w:rsidRPr="001C22A9">
        <w:tab/>
      </w:r>
      <w:r w:rsidRPr="001C22A9">
        <w:tab/>
        <w:t>Chapter 4.1</w:t>
      </w:r>
    </w:p>
    <w:p w14:paraId="3E3B6C70" w14:textId="77777777" w:rsidR="00D26F12" w:rsidRPr="001C22A9" w:rsidRDefault="00D26F12" w:rsidP="00D26F12">
      <w:pPr>
        <w:pStyle w:val="SingleTxtG"/>
        <w:tabs>
          <w:tab w:val="clear" w:pos="1701"/>
          <w:tab w:val="clear" w:pos="2268"/>
          <w:tab w:val="clear" w:pos="2835"/>
        </w:tabs>
        <w:ind w:left="2410" w:hanging="1276"/>
      </w:pPr>
      <w:r w:rsidRPr="001C22A9">
        <w:t>4.1.4.1, P130</w:t>
      </w:r>
      <w:r w:rsidRPr="001C22A9">
        <w:tab/>
        <w:t>Add the following new special packing provision:</w:t>
      </w:r>
    </w:p>
    <w:p w14:paraId="08BBE859" w14:textId="77777777" w:rsidR="00D26F12" w:rsidRPr="001C22A9" w:rsidRDefault="00D26F12" w:rsidP="00D26F12">
      <w:pPr>
        <w:pStyle w:val="SingleTxtG"/>
        <w:tabs>
          <w:tab w:val="clear" w:pos="1701"/>
          <w:tab w:val="clear" w:pos="2268"/>
          <w:tab w:val="clear" w:pos="2835"/>
        </w:tabs>
        <w:ind w:left="2410" w:hanging="1276"/>
      </w:pPr>
      <w:r w:rsidRPr="001C22A9">
        <w:t>“PP98</w:t>
      </w:r>
      <w:r w:rsidRPr="001C22A9">
        <w:tab/>
        <w:t>For UN Nos. 0012 and 0014, despite the requirements of 4.1.5.11, articles may be packed without internal cushioning, fittings, coating or liner in metal outer packagings.”</w:t>
      </w:r>
    </w:p>
    <w:p w14:paraId="2BCD41C6" w14:textId="77777777" w:rsidR="00D26F12" w:rsidRPr="001C22A9" w:rsidRDefault="00D26F12" w:rsidP="00D26F12">
      <w:pPr>
        <w:pStyle w:val="SingleTxtG"/>
        <w:rPr>
          <w:i/>
          <w:iCs/>
        </w:rPr>
      </w:pPr>
      <w:r w:rsidRPr="001C22A9">
        <w:rPr>
          <w:i/>
          <w:iCs/>
        </w:rPr>
        <w:t>(Reference document: informal document INF.67, amendment 4)</w:t>
      </w:r>
    </w:p>
    <w:p w14:paraId="7C611F8B" w14:textId="77777777" w:rsidR="00D26F12" w:rsidRDefault="00D26F12" w:rsidP="00D26F12">
      <w:pPr>
        <w:pStyle w:val="SingleTxtG"/>
        <w:tabs>
          <w:tab w:val="clear" w:pos="1701"/>
          <w:tab w:val="clear" w:pos="2268"/>
          <w:tab w:val="clear" w:pos="2835"/>
        </w:tabs>
        <w:ind w:left="2410" w:hanging="1276"/>
      </w:pPr>
      <w:r>
        <w:t>4.1.4.1, P520</w:t>
      </w:r>
      <w:r>
        <w:tab/>
        <w:t>The amendment does not apply to the English text.</w:t>
      </w:r>
    </w:p>
    <w:p w14:paraId="350416CD" w14:textId="77777777" w:rsidR="00D26F12" w:rsidRPr="00E75E55" w:rsidRDefault="00D26F12" w:rsidP="00D26F12">
      <w:pPr>
        <w:pStyle w:val="SingleTxtG"/>
        <w:rPr>
          <w:i/>
          <w:iCs/>
        </w:rPr>
      </w:pPr>
      <w:r w:rsidRPr="00E75E55">
        <w:rPr>
          <w:i/>
          <w:iCs/>
        </w:rPr>
        <w:t>(Reference document: informal document INF.67, amendment 2, consequential amendment for the French version)</w:t>
      </w:r>
    </w:p>
    <w:p w14:paraId="78EB8153" w14:textId="77777777" w:rsidR="00D26F12" w:rsidRPr="001C22A9" w:rsidRDefault="00D26F12" w:rsidP="00D26F12">
      <w:pPr>
        <w:pStyle w:val="SingleTxtG"/>
        <w:tabs>
          <w:tab w:val="clear" w:pos="1701"/>
          <w:tab w:val="clear" w:pos="2268"/>
          <w:tab w:val="clear" w:pos="2835"/>
        </w:tabs>
        <w:ind w:left="2410" w:hanging="1276"/>
      </w:pPr>
      <w:r w:rsidRPr="001C22A9">
        <w:t>[4.1.6.1.8</w:t>
      </w:r>
      <w:r w:rsidRPr="001C22A9">
        <w:tab/>
        <w:t>In the paragraph after (e), third sentence, after “ISO 10297:2014 + Amd 1:2017”, add “or clause 5.4.2 of ISO 10297:2024”.]</w:t>
      </w:r>
    </w:p>
    <w:p w14:paraId="7DCD3899" w14:textId="77777777" w:rsidR="00D26F12" w:rsidRPr="001C22A9" w:rsidRDefault="00D26F12" w:rsidP="00D26F12">
      <w:pPr>
        <w:pStyle w:val="SingleTxtG"/>
        <w:rPr>
          <w:i/>
          <w:iCs/>
        </w:rPr>
      </w:pPr>
      <w:r w:rsidRPr="001C22A9">
        <w:rPr>
          <w:i/>
          <w:iCs/>
        </w:rPr>
        <w:t>(Reference document: informal document INF.8)</w:t>
      </w:r>
    </w:p>
    <w:p w14:paraId="450131B4" w14:textId="77777777" w:rsidR="00D26F12" w:rsidRPr="001C22A9" w:rsidRDefault="00D26F12" w:rsidP="00D26F12">
      <w:pPr>
        <w:pStyle w:val="H1G"/>
      </w:pPr>
      <w:r w:rsidRPr="001C22A9">
        <w:lastRenderedPageBreak/>
        <w:tab/>
      </w:r>
      <w:r w:rsidRPr="001C22A9">
        <w:tab/>
        <w:t>Chapter 5.2</w:t>
      </w:r>
    </w:p>
    <w:p w14:paraId="59DCA46D" w14:textId="77777777" w:rsidR="00D26F12" w:rsidRPr="001C22A9" w:rsidRDefault="00D26F12" w:rsidP="00D26F12">
      <w:pPr>
        <w:pStyle w:val="SingleTxtG"/>
        <w:tabs>
          <w:tab w:val="clear" w:pos="1701"/>
          <w:tab w:val="clear" w:pos="2268"/>
          <w:tab w:val="clear" w:pos="2835"/>
        </w:tabs>
        <w:ind w:left="2268" w:hanging="1134"/>
      </w:pPr>
      <w:r w:rsidRPr="001C22A9">
        <w:t>5.2.1.9.2</w:t>
      </w:r>
      <w:r w:rsidRPr="001C22A9">
        <w:tab/>
        <w:t>At the end of the first paragraph add the following new sentence: “However, where equipment contains a button cell in addition to cells or batteries there is no requirement for the UN number indicating the button cell to be included on the mark.”.</w:t>
      </w:r>
    </w:p>
    <w:p w14:paraId="009CC1DE" w14:textId="77777777" w:rsidR="00D26F12" w:rsidRPr="001C22A9" w:rsidRDefault="00D26F12" w:rsidP="00D26F12">
      <w:pPr>
        <w:pStyle w:val="SingleTxtG"/>
        <w:rPr>
          <w:i/>
          <w:iCs/>
        </w:rPr>
      </w:pPr>
      <w:r w:rsidRPr="001C22A9">
        <w:rPr>
          <w:i/>
          <w:iCs/>
        </w:rPr>
        <w:t>(Reference document: ST/SG/AC.10/C.3/2024/53)</w:t>
      </w:r>
    </w:p>
    <w:p w14:paraId="18C61414" w14:textId="77777777" w:rsidR="00D26F12" w:rsidRPr="001C22A9" w:rsidRDefault="00D26F12" w:rsidP="00D26F12">
      <w:pPr>
        <w:pStyle w:val="H1G"/>
      </w:pPr>
      <w:r w:rsidRPr="001C22A9">
        <w:tab/>
      </w:r>
      <w:r w:rsidRPr="001C22A9">
        <w:tab/>
        <w:t>Chapter 6.1</w:t>
      </w:r>
    </w:p>
    <w:p w14:paraId="01FD001D" w14:textId="77777777" w:rsidR="00D26F12" w:rsidRPr="001C22A9" w:rsidRDefault="00D26F12" w:rsidP="00D26F12">
      <w:pPr>
        <w:pStyle w:val="SingleTxtG"/>
        <w:tabs>
          <w:tab w:val="clear" w:pos="1701"/>
          <w:tab w:val="clear" w:pos="2268"/>
          <w:tab w:val="clear" w:pos="2835"/>
        </w:tabs>
        <w:ind w:left="2268" w:hanging="1134"/>
      </w:pPr>
      <w:r w:rsidRPr="001C22A9">
        <w:t>6.1.5.1.3</w:t>
      </w:r>
      <w:r w:rsidRPr="001C22A9">
        <w:tab/>
        <w:t>Replace “Tests” by “Appropriate tests”.</w:t>
      </w:r>
    </w:p>
    <w:p w14:paraId="61FA0407" w14:textId="77777777" w:rsidR="00D26F12" w:rsidRPr="001C22A9" w:rsidRDefault="00D26F12" w:rsidP="00D26F12">
      <w:pPr>
        <w:pStyle w:val="SingleTxtG"/>
        <w:rPr>
          <w:i/>
          <w:iCs/>
        </w:rPr>
      </w:pPr>
      <w:r w:rsidRPr="001C22A9">
        <w:rPr>
          <w:i/>
          <w:iCs/>
        </w:rPr>
        <w:t>(Reference document: ST/SG/AC.10/C.3/2024/12)</w:t>
      </w:r>
    </w:p>
    <w:p w14:paraId="4F797E89" w14:textId="77777777" w:rsidR="00D26F12" w:rsidRPr="001C22A9" w:rsidRDefault="00D26F12" w:rsidP="00D26F12">
      <w:pPr>
        <w:pStyle w:val="H1G"/>
      </w:pPr>
      <w:r w:rsidRPr="001C22A9">
        <w:tab/>
      </w:r>
      <w:r w:rsidRPr="001C22A9">
        <w:tab/>
        <w:t>Chapter 6.2</w:t>
      </w:r>
    </w:p>
    <w:p w14:paraId="02F83BD8" w14:textId="77777777" w:rsidR="00D26F12" w:rsidRPr="001C22A9" w:rsidRDefault="00D26F12" w:rsidP="00D26F12">
      <w:pPr>
        <w:pStyle w:val="SingleTxtG"/>
        <w:keepNext/>
        <w:ind w:left="2268" w:hanging="1134"/>
      </w:pPr>
      <w:r w:rsidRPr="001C22A9">
        <w:t>6.2.2.1.1</w:t>
      </w:r>
      <w:r w:rsidRPr="001C22A9">
        <w:tab/>
        <w:t>In the table, in the row for ISO 4706:2008, in column “Applicable for manufacture”, replace “Until further notice” by “Until 31 December 2030”.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D26F12" w:rsidRPr="001C22A9" w14:paraId="4771AAF9" w14:textId="77777777" w:rsidTr="001F3651">
        <w:tc>
          <w:tcPr>
            <w:tcW w:w="1838" w:type="dxa"/>
            <w:shd w:val="clear" w:color="auto" w:fill="auto"/>
          </w:tcPr>
          <w:p w14:paraId="081C7A6E" w14:textId="77777777" w:rsidR="00D26F12" w:rsidRPr="001C22A9" w:rsidRDefault="00D26F12" w:rsidP="001F3651">
            <w:pPr>
              <w:spacing w:before="120" w:after="120"/>
            </w:pPr>
            <w:r w:rsidRPr="001C22A9">
              <w:t>ISO 4706:2023</w:t>
            </w:r>
          </w:p>
        </w:tc>
        <w:tc>
          <w:tcPr>
            <w:tcW w:w="5387" w:type="dxa"/>
            <w:shd w:val="clear" w:color="auto" w:fill="auto"/>
          </w:tcPr>
          <w:p w14:paraId="479180D7" w14:textId="77777777" w:rsidR="00D26F12" w:rsidRPr="001C22A9" w:rsidRDefault="00D26F12" w:rsidP="001F3651">
            <w:pPr>
              <w:spacing w:before="120" w:after="120"/>
              <w:jc w:val="both"/>
            </w:pPr>
            <w:r w:rsidRPr="001C22A9">
              <w:rPr>
                <w:iCs/>
                <w:color w:val="000000"/>
              </w:rPr>
              <w:t>Gas cylinders – Refillable welded steel cylinders – Test pressure 60 bar and below</w:t>
            </w:r>
          </w:p>
        </w:tc>
        <w:tc>
          <w:tcPr>
            <w:tcW w:w="1275" w:type="dxa"/>
            <w:shd w:val="clear" w:color="auto" w:fill="auto"/>
          </w:tcPr>
          <w:p w14:paraId="34088F63" w14:textId="77777777" w:rsidR="00D26F12" w:rsidRPr="001C22A9" w:rsidRDefault="00D26F12" w:rsidP="001F3651">
            <w:pPr>
              <w:spacing w:before="120" w:after="120"/>
            </w:pPr>
            <w:r w:rsidRPr="001C22A9">
              <w:t>Until further notice</w:t>
            </w:r>
          </w:p>
        </w:tc>
      </w:tr>
    </w:tbl>
    <w:p w14:paraId="6EB8DC69" w14:textId="77777777" w:rsidR="00D26F12" w:rsidRPr="001C22A9" w:rsidRDefault="00D26F12" w:rsidP="00D26F12">
      <w:pPr>
        <w:pStyle w:val="SingleTxtG"/>
        <w:spacing w:before="120"/>
        <w:rPr>
          <w:i/>
          <w:iCs/>
        </w:rPr>
      </w:pPr>
      <w:r w:rsidRPr="001C22A9">
        <w:rPr>
          <w:i/>
          <w:iCs/>
        </w:rPr>
        <w:t>(Reference document: ST/SG/AC.10/C.3/2024/11, proposal 3)</w:t>
      </w:r>
    </w:p>
    <w:p w14:paraId="44EC8CB3" w14:textId="77777777" w:rsidR="00D26F12" w:rsidRPr="001C22A9" w:rsidRDefault="00D26F12" w:rsidP="00D26F12">
      <w:pPr>
        <w:pStyle w:val="SingleTxtG"/>
        <w:keepNext/>
        <w:ind w:left="2268" w:hanging="1134"/>
      </w:pPr>
      <w:r w:rsidRPr="001C22A9">
        <w:t>6.2.2.1.3</w:t>
      </w:r>
      <w:r w:rsidRPr="001C22A9">
        <w:tab/>
        <w:t>In the first table, in the row for ISO 4706:2008, in column “Applicable for manufacture”, replace “Until further notice” by “Until 31 December 2030”.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D26F12" w:rsidRPr="001C22A9" w14:paraId="25A7BF9B" w14:textId="77777777" w:rsidTr="001F3651">
        <w:tc>
          <w:tcPr>
            <w:tcW w:w="1838" w:type="dxa"/>
            <w:shd w:val="clear" w:color="auto" w:fill="auto"/>
          </w:tcPr>
          <w:p w14:paraId="41DE7FE0" w14:textId="77777777" w:rsidR="00D26F12" w:rsidRPr="001C22A9" w:rsidRDefault="00D26F12" w:rsidP="001F3651">
            <w:pPr>
              <w:spacing w:before="120" w:after="120"/>
            </w:pPr>
            <w:r w:rsidRPr="001C22A9">
              <w:t>ISO 4706:2023</w:t>
            </w:r>
          </w:p>
        </w:tc>
        <w:tc>
          <w:tcPr>
            <w:tcW w:w="5387" w:type="dxa"/>
            <w:shd w:val="clear" w:color="auto" w:fill="auto"/>
          </w:tcPr>
          <w:p w14:paraId="0FDC8DD8" w14:textId="77777777" w:rsidR="00D26F12" w:rsidRPr="001C22A9" w:rsidRDefault="00D26F12" w:rsidP="001F3651">
            <w:pPr>
              <w:spacing w:before="120" w:after="120"/>
              <w:jc w:val="both"/>
            </w:pPr>
            <w:r w:rsidRPr="001C22A9">
              <w:rPr>
                <w:iCs/>
                <w:color w:val="000000"/>
              </w:rPr>
              <w:t>Gas cylinders – Refillable welded steel cylinders – Test pressure 60 bar and below</w:t>
            </w:r>
          </w:p>
        </w:tc>
        <w:tc>
          <w:tcPr>
            <w:tcW w:w="1275" w:type="dxa"/>
            <w:shd w:val="clear" w:color="auto" w:fill="auto"/>
          </w:tcPr>
          <w:p w14:paraId="1B3A464D" w14:textId="77777777" w:rsidR="00D26F12" w:rsidRPr="001C22A9" w:rsidRDefault="00D26F12" w:rsidP="001F3651">
            <w:pPr>
              <w:spacing w:before="120" w:after="120"/>
            </w:pPr>
            <w:r w:rsidRPr="001C22A9">
              <w:t>Until further notice</w:t>
            </w:r>
          </w:p>
        </w:tc>
      </w:tr>
    </w:tbl>
    <w:p w14:paraId="2F6E69A9" w14:textId="77777777" w:rsidR="00D26F12" w:rsidRPr="001C22A9" w:rsidRDefault="00D26F12" w:rsidP="00D26F12">
      <w:pPr>
        <w:pStyle w:val="SingleTxtG"/>
        <w:spacing w:before="120"/>
        <w:rPr>
          <w:i/>
          <w:iCs/>
        </w:rPr>
      </w:pPr>
      <w:r w:rsidRPr="001C22A9">
        <w:rPr>
          <w:i/>
          <w:iCs/>
        </w:rPr>
        <w:t>(Reference document: ST/SG/AC.10/C.3/2024/11, proposal 3)</w:t>
      </w:r>
    </w:p>
    <w:p w14:paraId="39D855C2" w14:textId="77777777" w:rsidR="00D26F12" w:rsidRPr="001C22A9" w:rsidRDefault="00D26F12" w:rsidP="00D26F12">
      <w:pPr>
        <w:pStyle w:val="SingleTxtG"/>
        <w:keepNext/>
        <w:ind w:left="2268" w:hanging="1134"/>
      </w:pPr>
      <w:r w:rsidRPr="001C22A9">
        <w:t>6.2.2.1.8</w:t>
      </w:r>
      <w:r w:rsidRPr="001C22A9">
        <w:tab/>
        <w:t>In the table, in the row for ISO 4706:2008, in column “Applicable for manufacture”, replace “Until further notice” by “Until 31 December 2030”.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D26F12" w:rsidRPr="001C22A9" w14:paraId="200D2007" w14:textId="77777777" w:rsidTr="001F3651">
        <w:tc>
          <w:tcPr>
            <w:tcW w:w="1838" w:type="dxa"/>
            <w:shd w:val="clear" w:color="auto" w:fill="auto"/>
          </w:tcPr>
          <w:p w14:paraId="3B5EB364" w14:textId="77777777" w:rsidR="00D26F12" w:rsidRPr="001C22A9" w:rsidRDefault="00D26F12" w:rsidP="001F3651">
            <w:pPr>
              <w:spacing w:before="120" w:after="120"/>
            </w:pPr>
            <w:r w:rsidRPr="001C22A9">
              <w:t>ISO 4706:2023</w:t>
            </w:r>
          </w:p>
        </w:tc>
        <w:tc>
          <w:tcPr>
            <w:tcW w:w="5387" w:type="dxa"/>
            <w:shd w:val="clear" w:color="auto" w:fill="auto"/>
          </w:tcPr>
          <w:p w14:paraId="3B14DAD8" w14:textId="77777777" w:rsidR="00D26F12" w:rsidRPr="001C22A9" w:rsidRDefault="00D26F12" w:rsidP="001F3651">
            <w:pPr>
              <w:spacing w:before="120" w:after="120"/>
              <w:jc w:val="both"/>
            </w:pPr>
            <w:r w:rsidRPr="001C22A9">
              <w:rPr>
                <w:iCs/>
                <w:color w:val="000000"/>
              </w:rPr>
              <w:t>Gas cylinders – Refillable welded steel cylinders – Test pressure 60 bar and below</w:t>
            </w:r>
          </w:p>
        </w:tc>
        <w:tc>
          <w:tcPr>
            <w:tcW w:w="1275" w:type="dxa"/>
            <w:shd w:val="clear" w:color="auto" w:fill="auto"/>
          </w:tcPr>
          <w:p w14:paraId="2A1C704E" w14:textId="77777777" w:rsidR="00D26F12" w:rsidRPr="001C22A9" w:rsidRDefault="00D26F12" w:rsidP="001F3651">
            <w:pPr>
              <w:spacing w:before="120" w:after="120"/>
            </w:pPr>
            <w:r w:rsidRPr="001C22A9">
              <w:t>Until further notice</w:t>
            </w:r>
          </w:p>
        </w:tc>
      </w:tr>
    </w:tbl>
    <w:p w14:paraId="32926F28" w14:textId="77777777" w:rsidR="00D26F12" w:rsidRPr="001C22A9" w:rsidRDefault="00D26F12" w:rsidP="00D26F12">
      <w:pPr>
        <w:pStyle w:val="SingleTxtG"/>
        <w:spacing w:before="120"/>
        <w:rPr>
          <w:i/>
          <w:iCs/>
        </w:rPr>
      </w:pPr>
      <w:r w:rsidRPr="001C22A9">
        <w:rPr>
          <w:i/>
          <w:iCs/>
        </w:rPr>
        <w:t>(Reference document: ST/SG/AC.10/C.3/2024/11, proposal 3)</w:t>
      </w:r>
    </w:p>
    <w:p w14:paraId="36BF175E" w14:textId="77777777" w:rsidR="00D26F12" w:rsidRPr="001C22A9" w:rsidRDefault="00D26F12" w:rsidP="00D26F12">
      <w:pPr>
        <w:pStyle w:val="SingleTxtG"/>
        <w:tabs>
          <w:tab w:val="clear" w:pos="1701"/>
          <w:tab w:val="clear" w:pos="2268"/>
          <w:tab w:val="clear" w:pos="2835"/>
        </w:tabs>
        <w:ind w:left="2268" w:hanging="1134"/>
      </w:pPr>
      <w:r w:rsidRPr="001C22A9">
        <w:t>[6.2.2.3</w:t>
      </w:r>
      <w:r w:rsidRPr="001C22A9">
        <w:tab/>
        <w:t>In the first table, in the row for ISO 10297:2014 + Amd 1:2017, in column “Applicable for manufacture”, replace “Until further notice” by “Until 31 December 2028”.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D26F12" w:rsidRPr="001C22A9" w14:paraId="567950BC" w14:textId="77777777" w:rsidTr="001F3651">
        <w:tc>
          <w:tcPr>
            <w:tcW w:w="1838" w:type="dxa"/>
            <w:shd w:val="clear" w:color="auto" w:fill="auto"/>
          </w:tcPr>
          <w:p w14:paraId="5BF02FB6" w14:textId="77777777" w:rsidR="00D26F12" w:rsidRPr="001C22A9" w:rsidRDefault="00D26F12" w:rsidP="001F3651">
            <w:pPr>
              <w:spacing w:before="120" w:after="120"/>
            </w:pPr>
            <w:r w:rsidRPr="001C22A9">
              <w:t>ISO 10297:2024</w:t>
            </w:r>
          </w:p>
        </w:tc>
        <w:tc>
          <w:tcPr>
            <w:tcW w:w="5387" w:type="dxa"/>
            <w:shd w:val="clear" w:color="auto" w:fill="auto"/>
          </w:tcPr>
          <w:p w14:paraId="28634CA9" w14:textId="77777777" w:rsidR="00D26F12" w:rsidRPr="001C22A9" w:rsidRDefault="00D26F12" w:rsidP="001F3651">
            <w:pPr>
              <w:spacing w:before="120" w:after="120"/>
            </w:pPr>
            <w:r w:rsidRPr="001C22A9">
              <w:rPr>
                <w:iCs/>
                <w:color w:val="000000"/>
              </w:rPr>
              <w:t>Gas cylinders - Cylinder valves - Specification and type testing</w:t>
            </w:r>
          </w:p>
        </w:tc>
        <w:tc>
          <w:tcPr>
            <w:tcW w:w="1275" w:type="dxa"/>
            <w:shd w:val="clear" w:color="auto" w:fill="auto"/>
          </w:tcPr>
          <w:p w14:paraId="0480A652" w14:textId="77777777" w:rsidR="00D26F12" w:rsidRPr="001C22A9" w:rsidRDefault="00D26F12" w:rsidP="001F3651">
            <w:pPr>
              <w:spacing w:before="120" w:after="120"/>
            </w:pPr>
            <w:r w:rsidRPr="001C22A9">
              <w:t>Until further notice</w:t>
            </w:r>
          </w:p>
        </w:tc>
      </w:tr>
    </w:tbl>
    <w:p w14:paraId="071B17F0" w14:textId="77777777" w:rsidR="00D26F12" w:rsidRPr="001C22A9" w:rsidRDefault="00D26F12" w:rsidP="00D26F12">
      <w:pPr>
        <w:pStyle w:val="SingleTxtG"/>
      </w:pPr>
      <w:r w:rsidRPr="001C22A9">
        <w:t>]</w:t>
      </w:r>
    </w:p>
    <w:p w14:paraId="35720B49" w14:textId="77777777" w:rsidR="00D26F12" w:rsidRPr="001C22A9" w:rsidRDefault="00D26F12" w:rsidP="00D26F12">
      <w:pPr>
        <w:pStyle w:val="SingleTxtG"/>
        <w:rPr>
          <w:i/>
          <w:iCs/>
        </w:rPr>
      </w:pPr>
      <w:r w:rsidRPr="001C22A9">
        <w:rPr>
          <w:i/>
          <w:iCs/>
        </w:rPr>
        <w:t>(Reference document: informal document INF.8)</w:t>
      </w:r>
    </w:p>
    <w:p w14:paraId="7327B2BA" w14:textId="77777777" w:rsidR="00D26F12" w:rsidRPr="001C22A9" w:rsidRDefault="00D26F12" w:rsidP="00D26F12">
      <w:pPr>
        <w:pStyle w:val="SingleTxtG"/>
        <w:tabs>
          <w:tab w:val="clear" w:pos="1701"/>
          <w:tab w:val="clear" w:pos="2268"/>
          <w:tab w:val="clear" w:pos="2835"/>
        </w:tabs>
        <w:ind w:left="2268" w:hanging="1134"/>
      </w:pPr>
      <w:r w:rsidRPr="001C22A9">
        <w:t>6.2.2.4</w:t>
      </w:r>
      <w:r w:rsidRPr="001C22A9">
        <w:tab/>
        <w:t>In the first table, in the row for ISO 11623:2015, in column “Applicable”, replace “Until further notice” by “Until 31 December 2028”.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D26F12" w:rsidRPr="001C22A9" w14:paraId="00F60170" w14:textId="77777777" w:rsidTr="001F3651">
        <w:tc>
          <w:tcPr>
            <w:tcW w:w="1838" w:type="dxa"/>
            <w:shd w:val="clear" w:color="auto" w:fill="auto"/>
          </w:tcPr>
          <w:p w14:paraId="55008726" w14:textId="77777777" w:rsidR="00D26F12" w:rsidRPr="001C22A9" w:rsidRDefault="00D26F12" w:rsidP="001F3651">
            <w:pPr>
              <w:spacing w:before="120" w:after="120"/>
            </w:pPr>
            <w:r w:rsidRPr="001C22A9">
              <w:t>ISO 11623:2023</w:t>
            </w:r>
          </w:p>
        </w:tc>
        <w:tc>
          <w:tcPr>
            <w:tcW w:w="5387" w:type="dxa"/>
            <w:shd w:val="clear" w:color="auto" w:fill="auto"/>
          </w:tcPr>
          <w:p w14:paraId="104DA722" w14:textId="77777777" w:rsidR="00D26F12" w:rsidRPr="001C22A9" w:rsidRDefault="00D26F12" w:rsidP="001F3651">
            <w:pPr>
              <w:spacing w:before="120" w:after="120"/>
              <w:rPr>
                <w:iCs/>
                <w:color w:val="000000"/>
              </w:rPr>
            </w:pPr>
            <w:r w:rsidRPr="001C22A9">
              <w:rPr>
                <w:iCs/>
                <w:color w:val="000000"/>
              </w:rPr>
              <w:t>Gas cylinders – Composite cylinders and tubes – Periodic inspection and testing</w:t>
            </w:r>
          </w:p>
          <w:p w14:paraId="0E116D2A" w14:textId="77777777" w:rsidR="00D26F12" w:rsidRPr="001C22A9" w:rsidRDefault="00D26F12" w:rsidP="001F3651">
            <w:pPr>
              <w:spacing w:before="120" w:after="120"/>
              <w:jc w:val="both"/>
              <w:rPr>
                <w:i/>
              </w:rPr>
            </w:pPr>
            <w:r w:rsidRPr="001C22A9">
              <w:rPr>
                <w:b/>
                <w:bCs/>
                <w:i/>
                <w:color w:val="000000"/>
              </w:rPr>
              <w:lastRenderedPageBreak/>
              <w:t>NOTE:</w:t>
            </w:r>
            <w:r w:rsidRPr="001C22A9">
              <w:rPr>
                <w:i/>
                <w:color w:val="000000"/>
              </w:rPr>
              <w:t xml:space="preserve"> The pressure test shall not be replaced by a non-destructive examination (NDE) technique, though such techniques can be used for monitoring purposes.</w:t>
            </w:r>
          </w:p>
        </w:tc>
        <w:tc>
          <w:tcPr>
            <w:tcW w:w="1275" w:type="dxa"/>
            <w:shd w:val="clear" w:color="auto" w:fill="auto"/>
          </w:tcPr>
          <w:p w14:paraId="4D95A55F" w14:textId="77777777" w:rsidR="00D26F12" w:rsidRPr="001C22A9" w:rsidRDefault="00D26F12" w:rsidP="001F3651">
            <w:pPr>
              <w:spacing w:before="120" w:after="120"/>
            </w:pPr>
            <w:r w:rsidRPr="001C22A9">
              <w:lastRenderedPageBreak/>
              <w:t>Until further notice</w:t>
            </w:r>
          </w:p>
        </w:tc>
      </w:tr>
    </w:tbl>
    <w:p w14:paraId="78A1C395" w14:textId="77777777" w:rsidR="00D26F12" w:rsidRPr="001C22A9" w:rsidRDefault="00D26F12" w:rsidP="00D26F12">
      <w:pPr>
        <w:pStyle w:val="SingleTxtG"/>
        <w:spacing w:before="120"/>
        <w:rPr>
          <w:i/>
          <w:iCs/>
        </w:rPr>
      </w:pPr>
      <w:r w:rsidRPr="001C22A9">
        <w:rPr>
          <w:i/>
          <w:iCs/>
        </w:rPr>
        <w:t>(Reference document: ST/SG/AC.10/C.3/2024/11, proposal 2, as amended by informal document INF.56, paragraph 9)</w:t>
      </w:r>
    </w:p>
    <w:p w14:paraId="70D9172D" w14:textId="77777777" w:rsidR="00D26F12" w:rsidRPr="001C22A9" w:rsidRDefault="00D26F12" w:rsidP="00D26F12">
      <w:pPr>
        <w:pStyle w:val="H1G"/>
      </w:pPr>
      <w:r w:rsidRPr="001C22A9">
        <w:tab/>
      </w:r>
      <w:r w:rsidRPr="001C22A9">
        <w:tab/>
        <w:t>Chapter 6.3</w:t>
      </w:r>
    </w:p>
    <w:p w14:paraId="535AFBE1" w14:textId="77777777" w:rsidR="00D26F12" w:rsidRPr="001C22A9" w:rsidRDefault="00D26F12" w:rsidP="00D26F12">
      <w:pPr>
        <w:pStyle w:val="SingleTxtG"/>
        <w:tabs>
          <w:tab w:val="clear" w:pos="1701"/>
          <w:tab w:val="clear" w:pos="2268"/>
          <w:tab w:val="clear" w:pos="2835"/>
        </w:tabs>
        <w:ind w:left="2268" w:hanging="1134"/>
      </w:pPr>
      <w:r w:rsidRPr="001C22A9">
        <w:t>6.3.5.1.3</w:t>
      </w:r>
      <w:r w:rsidRPr="001C22A9">
        <w:tab/>
        <w:t>Replace “Tests” by “Appropriate tests”.</w:t>
      </w:r>
    </w:p>
    <w:p w14:paraId="647DBB2E" w14:textId="77777777" w:rsidR="00D26F12" w:rsidRPr="001C22A9" w:rsidRDefault="00D26F12" w:rsidP="00D26F12">
      <w:pPr>
        <w:pStyle w:val="SingleTxtG"/>
        <w:rPr>
          <w:i/>
          <w:iCs/>
        </w:rPr>
      </w:pPr>
      <w:r w:rsidRPr="001C22A9">
        <w:rPr>
          <w:i/>
          <w:iCs/>
        </w:rPr>
        <w:t>(Reference document: ST/SG/AC.10/C.3/2024/12)</w:t>
      </w:r>
    </w:p>
    <w:p w14:paraId="4682C8C0" w14:textId="77777777" w:rsidR="00D26F12" w:rsidRPr="001C22A9" w:rsidRDefault="00D26F12" w:rsidP="00D26F12">
      <w:pPr>
        <w:pStyle w:val="H1G"/>
      </w:pPr>
      <w:r w:rsidRPr="001C22A9">
        <w:tab/>
      </w:r>
      <w:r w:rsidRPr="001C22A9">
        <w:tab/>
        <w:t>Chapter 6.6</w:t>
      </w:r>
    </w:p>
    <w:p w14:paraId="225C3CF4" w14:textId="77777777" w:rsidR="00D26F12" w:rsidRPr="001C22A9" w:rsidRDefault="00D26F12" w:rsidP="00D26F12">
      <w:pPr>
        <w:pStyle w:val="SingleTxtG"/>
        <w:tabs>
          <w:tab w:val="clear" w:pos="1701"/>
          <w:tab w:val="clear" w:pos="2268"/>
          <w:tab w:val="clear" w:pos="2835"/>
        </w:tabs>
        <w:ind w:left="2268" w:hanging="1134"/>
      </w:pPr>
      <w:r w:rsidRPr="001C22A9">
        <w:t>6.6.5.1.3</w:t>
      </w:r>
      <w:r w:rsidRPr="001C22A9">
        <w:tab/>
        <w:t>Replace “Tests” by “Appropriate tests”.</w:t>
      </w:r>
    </w:p>
    <w:p w14:paraId="479B0FE4" w14:textId="77777777" w:rsidR="00D26F12" w:rsidRPr="001C22A9" w:rsidRDefault="00D26F12" w:rsidP="00D26F12">
      <w:pPr>
        <w:pStyle w:val="SingleTxtG"/>
        <w:rPr>
          <w:i/>
          <w:iCs/>
        </w:rPr>
      </w:pPr>
      <w:r w:rsidRPr="001C22A9">
        <w:rPr>
          <w:i/>
          <w:iCs/>
        </w:rPr>
        <w:t>(Reference document: ST/SG/AC.10/C.3/2024/12)</w:t>
      </w:r>
    </w:p>
    <w:p w14:paraId="22BD80F6" w14:textId="77777777" w:rsidR="00D26F12" w:rsidRPr="001C22A9" w:rsidRDefault="00D26F12" w:rsidP="00D26F12">
      <w:pPr>
        <w:keepNext/>
        <w:keepLines/>
        <w:tabs>
          <w:tab w:val="right" w:pos="851"/>
        </w:tabs>
        <w:spacing w:before="360" w:after="240" w:line="270" w:lineRule="exact"/>
        <w:ind w:left="1134" w:right="1134" w:hanging="1134"/>
        <w:outlineLvl w:val="2"/>
        <w:rPr>
          <w:rFonts w:eastAsiaTheme="minorHAnsi"/>
          <w:b/>
          <w:sz w:val="24"/>
          <w:lang w:eastAsia="en-US"/>
        </w:rPr>
      </w:pPr>
      <w:r w:rsidRPr="001C22A9">
        <w:rPr>
          <w:rFonts w:eastAsiaTheme="minorHAnsi"/>
          <w:b/>
          <w:sz w:val="24"/>
          <w:lang w:eastAsia="en-US"/>
        </w:rPr>
        <w:tab/>
      </w:r>
      <w:r w:rsidRPr="001C22A9">
        <w:rPr>
          <w:rFonts w:eastAsiaTheme="minorHAnsi"/>
          <w:b/>
          <w:sz w:val="24"/>
          <w:lang w:eastAsia="en-US"/>
        </w:rPr>
        <w:tab/>
        <w:t>Chapter 6.7</w:t>
      </w:r>
    </w:p>
    <w:p w14:paraId="5B091CC1" w14:textId="77777777" w:rsidR="00D26F12" w:rsidRPr="001C22A9" w:rsidRDefault="00D26F12" w:rsidP="00D26F12">
      <w:pPr>
        <w:pStyle w:val="SingleTxtG"/>
        <w:ind w:left="2268" w:hanging="1134"/>
        <w:rPr>
          <w:rFonts w:eastAsiaTheme="minorHAnsi"/>
          <w:lang w:eastAsia="en-US"/>
        </w:rPr>
      </w:pPr>
      <w:r w:rsidRPr="001C22A9">
        <w:rPr>
          <w:rFonts w:eastAsiaTheme="minorHAnsi"/>
          <w:lang w:eastAsia="en-US"/>
        </w:rPr>
        <w:t>6.7.2.17.5</w:t>
      </w:r>
      <w:r w:rsidRPr="001C22A9">
        <w:rPr>
          <w:rFonts w:eastAsiaTheme="minorHAnsi"/>
          <w:lang w:eastAsia="en-US"/>
        </w:rPr>
        <w:tab/>
        <w:t>In (d), replace “</w:t>
      </w:r>
      <w:r w:rsidRPr="001C22A9">
        <w:t xml:space="preserve">ISO 1496-3:1995.” by “ISO 1496-3:2019. </w:t>
      </w:r>
      <w:r w:rsidRPr="001C22A9">
        <w:rPr>
          <w:rFonts w:eastAsiaTheme="minorHAnsi"/>
          <w:lang w:eastAsia="en-US"/>
        </w:rPr>
        <w:t>Design types conforming to ISO 1496-3:1995 approved before 1 January 2030 may continue to be used.”.</w:t>
      </w:r>
    </w:p>
    <w:p w14:paraId="07A10B95" w14:textId="77777777" w:rsidR="00D26F12" w:rsidRPr="001C22A9" w:rsidRDefault="00D26F12" w:rsidP="00D26F12">
      <w:pPr>
        <w:pStyle w:val="SingleTxtG"/>
        <w:ind w:left="2268" w:hanging="1134"/>
        <w:rPr>
          <w:rFonts w:eastAsiaTheme="minorHAnsi"/>
          <w:i/>
          <w:iCs/>
          <w:lang w:eastAsia="en-US"/>
        </w:rPr>
      </w:pPr>
      <w:r w:rsidRPr="001C22A9">
        <w:rPr>
          <w:rFonts w:eastAsiaTheme="minorHAnsi"/>
          <w:i/>
          <w:iCs/>
          <w:lang w:eastAsia="en-US"/>
        </w:rPr>
        <w:t>(Reference document: informal document INF.72, proposal 1a, as amended)</w:t>
      </w:r>
    </w:p>
    <w:p w14:paraId="48460315" w14:textId="77777777" w:rsidR="00D26F12" w:rsidRPr="001C22A9" w:rsidRDefault="00D26F12" w:rsidP="00D26F12">
      <w:pPr>
        <w:pStyle w:val="SingleTxtG"/>
        <w:ind w:left="2268" w:hanging="1134"/>
        <w:rPr>
          <w:rFonts w:eastAsiaTheme="minorHAnsi"/>
          <w:lang w:eastAsia="en-US"/>
        </w:rPr>
      </w:pPr>
      <w:r w:rsidRPr="001C22A9">
        <w:rPr>
          <w:rFonts w:eastAsiaTheme="minorHAnsi"/>
          <w:lang w:eastAsia="en-US"/>
        </w:rPr>
        <w:t>6.7.2.18.2</w:t>
      </w:r>
      <w:r w:rsidRPr="001C22A9">
        <w:rPr>
          <w:rFonts w:eastAsiaTheme="minorHAnsi"/>
          <w:lang w:eastAsia="en-US"/>
        </w:rPr>
        <w:tab/>
        <w:t>In (a), replace “</w:t>
      </w:r>
      <w:r w:rsidRPr="001C22A9">
        <w:t xml:space="preserve">ISO 1496-3:1995;” by “ISO 1496-3:2019. </w:t>
      </w:r>
      <w:r w:rsidRPr="001C22A9">
        <w:rPr>
          <w:rFonts w:eastAsiaTheme="minorHAnsi"/>
          <w:lang w:eastAsia="en-US"/>
        </w:rPr>
        <w:t>Tests specified in ISO 1496-3:1995 may continue to be used until 31 December 2029;”.</w:t>
      </w:r>
    </w:p>
    <w:p w14:paraId="40F1200F" w14:textId="77777777" w:rsidR="00D26F12" w:rsidRPr="001C22A9" w:rsidRDefault="00D26F12" w:rsidP="00D26F12">
      <w:pPr>
        <w:pStyle w:val="SingleTxtG"/>
        <w:ind w:left="2268" w:hanging="1134"/>
        <w:rPr>
          <w:rFonts w:eastAsiaTheme="minorHAnsi"/>
          <w:i/>
          <w:iCs/>
          <w:lang w:eastAsia="en-US"/>
        </w:rPr>
      </w:pPr>
      <w:r w:rsidRPr="001C22A9">
        <w:rPr>
          <w:rFonts w:eastAsiaTheme="minorHAnsi"/>
          <w:i/>
          <w:iCs/>
          <w:lang w:eastAsia="en-US"/>
        </w:rPr>
        <w:t>(Reference document: informal document INF.72, proposal 1b, as amended)</w:t>
      </w:r>
    </w:p>
    <w:p w14:paraId="7D67BAB5" w14:textId="77777777" w:rsidR="00D26F12" w:rsidRPr="001C22A9" w:rsidRDefault="00D26F12" w:rsidP="00D26F12">
      <w:pPr>
        <w:pStyle w:val="SingleTxtG"/>
        <w:ind w:left="2268" w:hanging="1134"/>
        <w:rPr>
          <w:rFonts w:eastAsiaTheme="minorHAnsi"/>
          <w:lang w:eastAsia="en-US"/>
        </w:rPr>
      </w:pPr>
      <w:r w:rsidRPr="001C22A9">
        <w:rPr>
          <w:rFonts w:eastAsiaTheme="minorHAnsi"/>
          <w:lang w:eastAsia="en-US"/>
        </w:rPr>
        <w:t>6.7.3.13.5</w:t>
      </w:r>
      <w:r w:rsidRPr="001C22A9">
        <w:rPr>
          <w:rFonts w:eastAsiaTheme="minorHAnsi"/>
          <w:lang w:eastAsia="en-US"/>
        </w:rPr>
        <w:tab/>
        <w:t>In (d), replace “</w:t>
      </w:r>
      <w:r w:rsidRPr="001C22A9">
        <w:t xml:space="preserve">ISO 1496-3:1995.” by </w:t>
      </w:r>
      <w:r w:rsidRPr="001C22A9">
        <w:rPr>
          <w:rFonts w:eastAsiaTheme="minorHAnsi"/>
          <w:lang w:eastAsia="en-US"/>
        </w:rPr>
        <w:t>“</w:t>
      </w:r>
      <w:r w:rsidRPr="001C22A9">
        <w:t xml:space="preserve">ISO 1496-3:2019. </w:t>
      </w:r>
      <w:r w:rsidRPr="001C22A9">
        <w:rPr>
          <w:rFonts w:eastAsiaTheme="minorHAnsi"/>
          <w:lang w:eastAsia="en-US"/>
        </w:rPr>
        <w:t>Design types conforming to ISO 1496-3:1995 approved before 1 January 2030 may continue to be used.”.</w:t>
      </w:r>
    </w:p>
    <w:p w14:paraId="0F72BB1A" w14:textId="77777777" w:rsidR="00D26F12" w:rsidRPr="001C22A9" w:rsidRDefault="00D26F12" w:rsidP="00D26F12">
      <w:pPr>
        <w:pStyle w:val="SingleTxtG"/>
        <w:ind w:left="2268" w:hanging="1134"/>
        <w:rPr>
          <w:rFonts w:eastAsiaTheme="minorHAnsi"/>
          <w:i/>
          <w:iCs/>
          <w:lang w:eastAsia="en-US"/>
        </w:rPr>
      </w:pPr>
      <w:r w:rsidRPr="001C22A9">
        <w:rPr>
          <w:rFonts w:eastAsiaTheme="minorHAnsi"/>
          <w:i/>
          <w:iCs/>
          <w:lang w:eastAsia="en-US"/>
        </w:rPr>
        <w:t>(Reference document: informal document INF.72, proposal 1c, as amended)</w:t>
      </w:r>
    </w:p>
    <w:p w14:paraId="3F8085F9" w14:textId="77777777" w:rsidR="00D26F12" w:rsidRPr="001C22A9" w:rsidRDefault="00D26F12" w:rsidP="00D26F12">
      <w:pPr>
        <w:pStyle w:val="SingleTxtG"/>
        <w:ind w:left="2268" w:hanging="1134"/>
        <w:rPr>
          <w:rFonts w:eastAsiaTheme="minorHAnsi"/>
          <w:lang w:eastAsia="en-US"/>
        </w:rPr>
      </w:pPr>
      <w:r w:rsidRPr="001C22A9">
        <w:rPr>
          <w:rFonts w:eastAsiaTheme="minorHAnsi"/>
          <w:lang w:eastAsia="en-US"/>
        </w:rPr>
        <w:t>6.7.3.14.2</w:t>
      </w:r>
      <w:r w:rsidRPr="001C22A9">
        <w:rPr>
          <w:rFonts w:eastAsiaTheme="minorHAnsi"/>
          <w:lang w:eastAsia="en-US"/>
        </w:rPr>
        <w:tab/>
        <w:t>In (a), replace “</w:t>
      </w:r>
      <w:r w:rsidRPr="001C22A9">
        <w:t xml:space="preserve">ISO 1496-3:1995;” by “ISO 1496-3:2019. </w:t>
      </w:r>
      <w:r w:rsidRPr="001C22A9">
        <w:rPr>
          <w:rFonts w:eastAsiaTheme="minorHAnsi"/>
          <w:lang w:eastAsia="en-US"/>
        </w:rPr>
        <w:t>Tests specified in ISO 1496-3:1995 may continue to be used until 31 December 2029;</w:t>
      </w:r>
      <w:r w:rsidRPr="001C22A9">
        <w:t>”</w:t>
      </w:r>
      <w:r w:rsidRPr="001C22A9">
        <w:rPr>
          <w:rFonts w:eastAsiaTheme="minorHAnsi"/>
          <w:lang w:eastAsia="en-US"/>
        </w:rPr>
        <w:t>.</w:t>
      </w:r>
    </w:p>
    <w:p w14:paraId="40A07DC5" w14:textId="77777777" w:rsidR="00D26F12" w:rsidRPr="001C22A9" w:rsidRDefault="00D26F12" w:rsidP="00D26F12">
      <w:pPr>
        <w:pStyle w:val="SingleTxtG"/>
        <w:ind w:left="2268" w:hanging="1134"/>
        <w:rPr>
          <w:rFonts w:eastAsiaTheme="minorHAnsi"/>
          <w:i/>
          <w:iCs/>
          <w:lang w:eastAsia="en-US"/>
        </w:rPr>
      </w:pPr>
      <w:r w:rsidRPr="001C22A9">
        <w:rPr>
          <w:rFonts w:eastAsiaTheme="minorHAnsi"/>
          <w:i/>
          <w:iCs/>
          <w:lang w:eastAsia="en-US"/>
        </w:rPr>
        <w:t>(Reference document: informal document INF.72, proposal 1d, as amended)</w:t>
      </w:r>
    </w:p>
    <w:p w14:paraId="6805C003" w14:textId="77777777" w:rsidR="00D26F12" w:rsidRPr="001C22A9" w:rsidRDefault="00D26F12" w:rsidP="00D26F12">
      <w:pPr>
        <w:pStyle w:val="SingleTxtG"/>
        <w:ind w:left="2268" w:hanging="1134"/>
        <w:rPr>
          <w:rFonts w:eastAsiaTheme="minorHAnsi"/>
          <w:lang w:eastAsia="en-US"/>
        </w:rPr>
      </w:pPr>
      <w:r w:rsidRPr="001C22A9">
        <w:rPr>
          <w:rFonts w:eastAsiaTheme="minorHAnsi"/>
          <w:lang w:eastAsia="en-US"/>
        </w:rPr>
        <w:t>6.7.4.12.5</w:t>
      </w:r>
      <w:r w:rsidRPr="001C22A9">
        <w:rPr>
          <w:rFonts w:eastAsiaTheme="minorHAnsi"/>
          <w:lang w:eastAsia="en-US"/>
        </w:rPr>
        <w:tab/>
        <w:t>In (d), replace “</w:t>
      </w:r>
      <w:r w:rsidRPr="001C22A9">
        <w:t xml:space="preserve">ISO 1496-3:1995.” by </w:t>
      </w:r>
      <w:r w:rsidRPr="001C22A9">
        <w:rPr>
          <w:rFonts w:eastAsiaTheme="minorHAnsi"/>
          <w:lang w:eastAsia="en-US"/>
        </w:rPr>
        <w:t>“</w:t>
      </w:r>
      <w:r w:rsidRPr="001C22A9">
        <w:t xml:space="preserve">ISO 1496-3:2019. </w:t>
      </w:r>
      <w:r w:rsidRPr="001C22A9">
        <w:rPr>
          <w:rFonts w:eastAsiaTheme="minorHAnsi"/>
          <w:lang w:eastAsia="en-US"/>
        </w:rPr>
        <w:t>Design types conforming to ISO 1496-3:1995 approved before 1 January 2030 may continue to be used.</w:t>
      </w:r>
      <w:r w:rsidRPr="001C22A9">
        <w:t>”</w:t>
      </w:r>
      <w:r w:rsidRPr="001C22A9">
        <w:rPr>
          <w:rFonts w:eastAsiaTheme="minorHAnsi"/>
          <w:lang w:eastAsia="en-US"/>
        </w:rPr>
        <w:t>.</w:t>
      </w:r>
    </w:p>
    <w:p w14:paraId="3FA41DF0" w14:textId="77777777" w:rsidR="00D26F12" w:rsidRPr="001C22A9" w:rsidRDefault="00D26F12" w:rsidP="00D26F12">
      <w:pPr>
        <w:pStyle w:val="SingleTxtG"/>
        <w:ind w:left="2268" w:hanging="1134"/>
        <w:rPr>
          <w:rFonts w:eastAsiaTheme="minorHAnsi"/>
          <w:i/>
          <w:iCs/>
          <w:lang w:eastAsia="en-US"/>
        </w:rPr>
      </w:pPr>
      <w:r w:rsidRPr="001C22A9">
        <w:rPr>
          <w:rFonts w:eastAsiaTheme="minorHAnsi"/>
          <w:i/>
          <w:iCs/>
          <w:lang w:eastAsia="en-US"/>
        </w:rPr>
        <w:t>(Reference document: informal document INF.72, proposal 1e, as amended)</w:t>
      </w:r>
    </w:p>
    <w:p w14:paraId="161D5AC7" w14:textId="77777777" w:rsidR="00D26F12" w:rsidRPr="001C22A9" w:rsidRDefault="00D26F12" w:rsidP="00D26F12">
      <w:pPr>
        <w:pStyle w:val="SingleTxtG"/>
        <w:ind w:left="2268" w:hanging="1134"/>
        <w:rPr>
          <w:rFonts w:eastAsiaTheme="minorHAnsi"/>
          <w:lang w:eastAsia="en-US"/>
        </w:rPr>
      </w:pPr>
      <w:r w:rsidRPr="001C22A9">
        <w:rPr>
          <w:rFonts w:eastAsiaTheme="minorHAnsi"/>
          <w:lang w:eastAsia="en-US"/>
        </w:rPr>
        <w:t>6.7.4.13.2</w:t>
      </w:r>
      <w:r w:rsidRPr="001C22A9">
        <w:rPr>
          <w:rFonts w:eastAsiaTheme="minorHAnsi"/>
          <w:lang w:eastAsia="en-US"/>
        </w:rPr>
        <w:tab/>
        <w:t>In (a), replace “</w:t>
      </w:r>
      <w:r w:rsidRPr="001C22A9">
        <w:t xml:space="preserve">ISO 1496-3:1995;” by </w:t>
      </w:r>
      <w:r w:rsidRPr="001C22A9">
        <w:rPr>
          <w:rFonts w:eastAsiaTheme="minorHAnsi"/>
          <w:lang w:eastAsia="en-US"/>
        </w:rPr>
        <w:t>“</w:t>
      </w:r>
      <w:r w:rsidRPr="001C22A9">
        <w:t xml:space="preserve">ISO 1496-3:2019. </w:t>
      </w:r>
      <w:r w:rsidRPr="001C22A9">
        <w:rPr>
          <w:rFonts w:eastAsiaTheme="minorHAnsi"/>
          <w:lang w:eastAsia="en-US"/>
        </w:rPr>
        <w:t>Tests specified in ISO 1496-3:1995 may continue to be used until 31 December 2029;</w:t>
      </w:r>
      <w:r w:rsidRPr="001C22A9">
        <w:t>”.</w:t>
      </w:r>
    </w:p>
    <w:p w14:paraId="7F304EEB" w14:textId="77777777" w:rsidR="00D26F12" w:rsidRPr="001C22A9" w:rsidRDefault="00D26F12" w:rsidP="00D26F12">
      <w:pPr>
        <w:pStyle w:val="SingleTxtG"/>
        <w:ind w:left="2268" w:hanging="1134"/>
        <w:rPr>
          <w:rFonts w:eastAsiaTheme="minorHAnsi"/>
          <w:i/>
          <w:iCs/>
          <w:lang w:eastAsia="en-US"/>
        </w:rPr>
      </w:pPr>
      <w:r w:rsidRPr="001C22A9">
        <w:rPr>
          <w:rFonts w:eastAsiaTheme="minorHAnsi"/>
          <w:i/>
          <w:iCs/>
          <w:lang w:eastAsia="en-US"/>
        </w:rPr>
        <w:t>(Reference document: informal document INF.72, proposal 1f, as amended)</w:t>
      </w:r>
    </w:p>
    <w:p w14:paraId="7B508A46" w14:textId="77777777" w:rsidR="00D26F12" w:rsidRPr="001C22A9" w:rsidRDefault="00D26F12" w:rsidP="00D26F12">
      <w:pPr>
        <w:pStyle w:val="SingleTxtG"/>
        <w:ind w:left="2268" w:hanging="1134"/>
        <w:rPr>
          <w:rFonts w:eastAsiaTheme="minorHAnsi"/>
          <w:lang w:eastAsia="en-US"/>
        </w:rPr>
      </w:pPr>
      <w:r w:rsidRPr="001C22A9">
        <w:rPr>
          <w:rFonts w:eastAsiaTheme="minorHAnsi"/>
          <w:lang w:eastAsia="en-US"/>
        </w:rPr>
        <w:t>6.7.5.10.4</w:t>
      </w:r>
      <w:r w:rsidRPr="001C22A9">
        <w:rPr>
          <w:rFonts w:eastAsiaTheme="minorHAnsi"/>
          <w:lang w:eastAsia="en-US"/>
        </w:rPr>
        <w:tab/>
        <w:t>In (d), replace “</w:t>
      </w:r>
      <w:r w:rsidRPr="001C22A9">
        <w:t xml:space="preserve">ISO 1496-3:1995.” by </w:t>
      </w:r>
      <w:r w:rsidRPr="001C22A9">
        <w:rPr>
          <w:rFonts w:eastAsiaTheme="minorHAnsi"/>
          <w:lang w:eastAsia="en-US"/>
        </w:rPr>
        <w:t>“</w:t>
      </w:r>
      <w:r w:rsidRPr="001C22A9">
        <w:t xml:space="preserve">ISO 1496-3:2019. </w:t>
      </w:r>
      <w:r w:rsidRPr="001C22A9">
        <w:rPr>
          <w:rFonts w:eastAsiaTheme="minorHAnsi"/>
          <w:lang w:eastAsia="en-US"/>
        </w:rPr>
        <w:t>Design types conforming to ISO 1496-3:1995 approved before 1 January 2030 may continue to be used.</w:t>
      </w:r>
      <w:r w:rsidRPr="001C22A9">
        <w:t>”</w:t>
      </w:r>
      <w:r w:rsidRPr="001C22A9">
        <w:rPr>
          <w:rFonts w:eastAsiaTheme="minorHAnsi"/>
          <w:lang w:eastAsia="en-US"/>
        </w:rPr>
        <w:t>.</w:t>
      </w:r>
    </w:p>
    <w:p w14:paraId="5BD597D7" w14:textId="77777777" w:rsidR="00D26F12" w:rsidRPr="001C22A9" w:rsidRDefault="00D26F12" w:rsidP="00D26F12">
      <w:pPr>
        <w:pStyle w:val="SingleTxtG"/>
        <w:ind w:left="2268" w:hanging="1134"/>
        <w:rPr>
          <w:rFonts w:eastAsiaTheme="minorHAnsi"/>
          <w:i/>
          <w:iCs/>
          <w:lang w:eastAsia="en-US"/>
        </w:rPr>
      </w:pPr>
      <w:r w:rsidRPr="001C22A9">
        <w:rPr>
          <w:rFonts w:eastAsiaTheme="minorHAnsi"/>
          <w:i/>
          <w:iCs/>
          <w:lang w:eastAsia="en-US"/>
        </w:rPr>
        <w:t>(Reference document: informal document INF.72, proposal 1g, as amended)</w:t>
      </w:r>
    </w:p>
    <w:p w14:paraId="2C2EE90D" w14:textId="77777777" w:rsidR="00D26F12" w:rsidRPr="001C22A9" w:rsidRDefault="00D26F12" w:rsidP="00D26F12">
      <w:pPr>
        <w:pStyle w:val="SingleTxtG"/>
        <w:ind w:left="2268" w:hanging="1134"/>
        <w:rPr>
          <w:rFonts w:eastAsiaTheme="minorHAnsi"/>
          <w:lang w:eastAsia="en-US"/>
        </w:rPr>
      </w:pPr>
      <w:r w:rsidRPr="001C22A9">
        <w:rPr>
          <w:rFonts w:eastAsiaTheme="minorHAnsi"/>
          <w:lang w:eastAsia="en-US"/>
        </w:rPr>
        <w:t>6.7.5.11.2</w:t>
      </w:r>
      <w:r w:rsidRPr="001C22A9">
        <w:rPr>
          <w:rFonts w:eastAsiaTheme="minorHAnsi"/>
          <w:lang w:eastAsia="en-US"/>
        </w:rPr>
        <w:tab/>
        <w:t>In (a), replace “</w:t>
      </w:r>
      <w:r w:rsidRPr="001C22A9">
        <w:t xml:space="preserve">ISO 1496-3:1995;” by </w:t>
      </w:r>
      <w:r w:rsidRPr="001C22A9">
        <w:rPr>
          <w:rFonts w:eastAsiaTheme="minorHAnsi"/>
          <w:lang w:eastAsia="en-US"/>
        </w:rPr>
        <w:t>“</w:t>
      </w:r>
      <w:r w:rsidRPr="001C22A9">
        <w:t xml:space="preserve">ISO 1496-3:2019. </w:t>
      </w:r>
      <w:r w:rsidRPr="001C22A9">
        <w:rPr>
          <w:rFonts w:eastAsiaTheme="minorHAnsi"/>
          <w:lang w:eastAsia="en-US"/>
        </w:rPr>
        <w:t>Tests specified in ISO 1496-3:1995 may continue to be used until 31 December 2029;</w:t>
      </w:r>
      <w:r w:rsidRPr="001C22A9">
        <w:t>”</w:t>
      </w:r>
      <w:r w:rsidRPr="001C22A9">
        <w:rPr>
          <w:rFonts w:eastAsiaTheme="minorHAnsi"/>
          <w:lang w:eastAsia="en-US"/>
        </w:rPr>
        <w:t>.</w:t>
      </w:r>
    </w:p>
    <w:p w14:paraId="1EAF5850" w14:textId="77777777" w:rsidR="00D26F12" w:rsidRPr="001C22A9" w:rsidRDefault="00D26F12" w:rsidP="00D26F12">
      <w:pPr>
        <w:pStyle w:val="SingleTxtG"/>
        <w:ind w:left="2268" w:hanging="1134"/>
        <w:rPr>
          <w:rFonts w:eastAsiaTheme="minorHAnsi"/>
          <w:i/>
          <w:iCs/>
          <w:lang w:eastAsia="en-US"/>
        </w:rPr>
      </w:pPr>
      <w:r w:rsidRPr="001C22A9">
        <w:rPr>
          <w:rFonts w:eastAsiaTheme="minorHAnsi"/>
          <w:i/>
          <w:iCs/>
          <w:lang w:eastAsia="en-US"/>
        </w:rPr>
        <w:t>(Reference document: informal document INF.72, proposal 1h, as amended)</w:t>
      </w:r>
    </w:p>
    <w:p w14:paraId="47DBBE91" w14:textId="77777777" w:rsidR="00D26F12" w:rsidRPr="001C22A9" w:rsidRDefault="00D26F12" w:rsidP="00D26F12">
      <w:pPr>
        <w:keepNext/>
        <w:keepLines/>
        <w:tabs>
          <w:tab w:val="right" w:pos="851"/>
        </w:tabs>
        <w:spacing w:before="360" w:after="240" w:line="270" w:lineRule="exact"/>
        <w:ind w:left="1134" w:right="1134" w:hanging="1134"/>
        <w:outlineLvl w:val="2"/>
        <w:rPr>
          <w:rFonts w:eastAsiaTheme="minorHAnsi"/>
          <w:b/>
          <w:sz w:val="24"/>
          <w:lang w:eastAsia="en-US"/>
        </w:rPr>
      </w:pPr>
      <w:r w:rsidRPr="001C22A9">
        <w:rPr>
          <w:rFonts w:eastAsiaTheme="minorHAnsi"/>
          <w:b/>
          <w:sz w:val="24"/>
          <w:lang w:eastAsia="en-US"/>
        </w:rPr>
        <w:lastRenderedPageBreak/>
        <w:tab/>
      </w:r>
      <w:r w:rsidRPr="001C22A9">
        <w:rPr>
          <w:rFonts w:eastAsiaTheme="minorHAnsi"/>
          <w:b/>
          <w:sz w:val="24"/>
          <w:lang w:eastAsia="en-US"/>
        </w:rPr>
        <w:tab/>
        <w:t>Chapter 6.8</w:t>
      </w:r>
    </w:p>
    <w:p w14:paraId="542AA1C8" w14:textId="77777777" w:rsidR="00D26F12" w:rsidRPr="001C22A9" w:rsidRDefault="00D26F12" w:rsidP="00D26F12">
      <w:pPr>
        <w:pStyle w:val="SingleTxtG"/>
        <w:ind w:left="2268" w:hanging="1134"/>
        <w:rPr>
          <w:rFonts w:eastAsiaTheme="minorHAnsi"/>
          <w:lang w:eastAsia="en-US"/>
        </w:rPr>
      </w:pPr>
      <w:r w:rsidRPr="001C22A9">
        <w:rPr>
          <w:rFonts w:eastAsiaTheme="minorHAnsi"/>
          <w:lang w:eastAsia="en-US"/>
        </w:rPr>
        <w:t>6.8.3.1.1</w:t>
      </w:r>
      <w:r w:rsidRPr="001C22A9">
        <w:rPr>
          <w:rFonts w:eastAsiaTheme="minorHAnsi"/>
          <w:lang w:eastAsia="en-US"/>
        </w:rPr>
        <w:tab/>
        <w:t>Replace “</w:t>
      </w:r>
      <w:r w:rsidRPr="001C22A9">
        <w:t>ISO 1496</w:t>
      </w:r>
      <w:r w:rsidRPr="001C22A9">
        <w:noBreakHyphen/>
        <w:t xml:space="preserve">4:1991” by </w:t>
      </w:r>
      <w:r w:rsidRPr="001C22A9">
        <w:rPr>
          <w:rFonts w:eastAsiaTheme="minorHAnsi"/>
          <w:lang w:eastAsia="en-US"/>
        </w:rPr>
        <w:t>“</w:t>
      </w:r>
      <w:r w:rsidRPr="001C22A9">
        <w:t>ISO 1496</w:t>
      </w:r>
      <w:r w:rsidRPr="001C22A9">
        <w:noBreakHyphen/>
        <w:t>4:2023”</w:t>
      </w:r>
      <w:r w:rsidRPr="001C22A9">
        <w:rPr>
          <w:rFonts w:eastAsiaTheme="minorHAnsi"/>
          <w:lang w:eastAsia="en-US"/>
        </w:rPr>
        <w:t>. At the end, add the following new sentence: “Bulk container types complying with ISO 1496-4:1991 may continue to be used until 31 December 2034.</w:t>
      </w:r>
      <w:r w:rsidRPr="001C22A9">
        <w:t>”</w:t>
      </w:r>
      <w:r w:rsidRPr="001C22A9">
        <w:rPr>
          <w:rFonts w:eastAsiaTheme="minorHAnsi"/>
          <w:lang w:eastAsia="en-US"/>
        </w:rPr>
        <w:t>.</w:t>
      </w:r>
    </w:p>
    <w:p w14:paraId="028D5F16" w14:textId="77777777" w:rsidR="00D26F12" w:rsidRPr="001C22A9" w:rsidRDefault="00D26F12" w:rsidP="00D26F12">
      <w:pPr>
        <w:pStyle w:val="SingleTxtG"/>
        <w:ind w:left="2268" w:hanging="1134"/>
        <w:rPr>
          <w:rFonts w:eastAsiaTheme="minorHAnsi"/>
          <w:i/>
          <w:iCs/>
          <w:lang w:eastAsia="en-US"/>
        </w:rPr>
      </w:pPr>
      <w:r w:rsidRPr="001C22A9">
        <w:rPr>
          <w:rFonts w:eastAsiaTheme="minorHAnsi"/>
          <w:i/>
          <w:iCs/>
          <w:lang w:eastAsia="en-US"/>
        </w:rPr>
        <w:t>(Reference document: informal document INF.72, proposal 2a, as amended)</w:t>
      </w:r>
    </w:p>
    <w:p w14:paraId="048571EA" w14:textId="77777777" w:rsidR="00D26F12" w:rsidRPr="001C22A9" w:rsidRDefault="00D26F12" w:rsidP="00D26F12">
      <w:pPr>
        <w:pStyle w:val="SingleTxtG"/>
        <w:ind w:left="2268" w:hanging="1134"/>
        <w:rPr>
          <w:rFonts w:eastAsiaTheme="minorHAnsi"/>
          <w:lang w:eastAsia="en-US"/>
        </w:rPr>
      </w:pPr>
      <w:r w:rsidRPr="001C22A9">
        <w:rPr>
          <w:rFonts w:eastAsiaTheme="minorHAnsi"/>
          <w:lang w:eastAsia="en-US"/>
        </w:rPr>
        <w:t>6.8.3.1.2</w:t>
      </w:r>
      <w:r w:rsidRPr="001C22A9">
        <w:rPr>
          <w:rFonts w:eastAsiaTheme="minorHAnsi"/>
          <w:lang w:eastAsia="en-US"/>
        </w:rPr>
        <w:tab/>
        <w:t>Replace “</w:t>
      </w:r>
      <w:r w:rsidRPr="001C22A9">
        <w:t>ISO 1496</w:t>
      </w:r>
      <w:r w:rsidRPr="001C22A9">
        <w:noBreakHyphen/>
        <w:t xml:space="preserve">4:1991” by </w:t>
      </w:r>
      <w:r w:rsidRPr="001C22A9">
        <w:rPr>
          <w:rFonts w:eastAsiaTheme="minorHAnsi"/>
          <w:lang w:eastAsia="en-US"/>
        </w:rPr>
        <w:t>“</w:t>
      </w:r>
      <w:r w:rsidRPr="001C22A9">
        <w:t>ISO 1496</w:t>
      </w:r>
      <w:r w:rsidRPr="001C22A9">
        <w:noBreakHyphen/>
        <w:t>4:2023”</w:t>
      </w:r>
      <w:r w:rsidRPr="001C22A9">
        <w:rPr>
          <w:rFonts w:eastAsiaTheme="minorHAnsi"/>
          <w:lang w:eastAsia="en-US"/>
        </w:rPr>
        <w:t>. At the end, add the following new sentence:  “The test requirement of ISO 1496-4:1991 may continue to be used until 31 December 2034.</w:t>
      </w:r>
      <w:r w:rsidRPr="001C22A9">
        <w:t>”</w:t>
      </w:r>
      <w:r w:rsidRPr="001C22A9">
        <w:rPr>
          <w:rFonts w:eastAsiaTheme="minorHAnsi"/>
          <w:lang w:eastAsia="en-US"/>
        </w:rPr>
        <w:t>.</w:t>
      </w:r>
    </w:p>
    <w:p w14:paraId="0E6FC3DA" w14:textId="77777777" w:rsidR="00D26F12" w:rsidRPr="001C22A9" w:rsidRDefault="00D26F12" w:rsidP="00D26F12">
      <w:pPr>
        <w:pStyle w:val="SingleTxtG"/>
        <w:ind w:left="2268" w:hanging="1134"/>
        <w:rPr>
          <w:rFonts w:eastAsiaTheme="minorHAnsi"/>
          <w:i/>
          <w:iCs/>
          <w:lang w:eastAsia="en-US"/>
        </w:rPr>
      </w:pPr>
      <w:r w:rsidRPr="001C22A9">
        <w:rPr>
          <w:rFonts w:eastAsiaTheme="minorHAnsi"/>
          <w:i/>
          <w:iCs/>
          <w:lang w:eastAsia="en-US"/>
        </w:rPr>
        <w:t>(Reference document: informal document INF.72, proposal 2b, as amended)</w:t>
      </w:r>
    </w:p>
    <w:p w14:paraId="70B9423F" w14:textId="77777777" w:rsidR="00D26F12" w:rsidRPr="001C22A9" w:rsidRDefault="00D26F12" w:rsidP="00D26F12">
      <w:pPr>
        <w:pStyle w:val="H1G"/>
      </w:pPr>
      <w:r w:rsidRPr="001C22A9">
        <w:tab/>
      </w:r>
      <w:r w:rsidRPr="001C22A9">
        <w:tab/>
        <w:t>Chapter 7.1</w:t>
      </w:r>
    </w:p>
    <w:p w14:paraId="0E2F6775" w14:textId="77777777" w:rsidR="00D26F12" w:rsidRPr="001C22A9" w:rsidRDefault="00D26F12" w:rsidP="00D26F12">
      <w:pPr>
        <w:pStyle w:val="SingleTxtG"/>
        <w:tabs>
          <w:tab w:val="clear" w:pos="1701"/>
          <w:tab w:val="clear" w:pos="2268"/>
          <w:tab w:val="clear" w:pos="2835"/>
        </w:tabs>
        <w:ind w:left="2268" w:hanging="1134"/>
      </w:pPr>
      <w:r w:rsidRPr="001C22A9">
        <w:t>7.1.1.9</w:t>
      </w:r>
      <w:r w:rsidRPr="001C22A9">
        <w:tab/>
        <w:t>Add a new second sentence to read “Unless otherwise indicated, packagings that have had a stacking test shall be loaded in the same orientation as the samples were tested.”</w:t>
      </w:r>
    </w:p>
    <w:p w14:paraId="4BA0B969" w14:textId="77777777" w:rsidR="00D26F12" w:rsidRPr="001C22A9" w:rsidRDefault="00D26F12" w:rsidP="00D26F12">
      <w:pPr>
        <w:pStyle w:val="SingleTxtG"/>
        <w:tabs>
          <w:tab w:val="clear" w:pos="1701"/>
          <w:tab w:val="clear" w:pos="2268"/>
          <w:tab w:val="clear" w:pos="2835"/>
        </w:tabs>
        <w:ind w:left="2268" w:hanging="1134"/>
      </w:pPr>
      <w:r w:rsidRPr="001C22A9">
        <w:tab/>
        <w:t>At the end, add the following new note:</w:t>
      </w:r>
    </w:p>
    <w:p w14:paraId="6FF5DD0A" w14:textId="77777777" w:rsidR="00D26F12" w:rsidRPr="001C22A9" w:rsidRDefault="00D26F12" w:rsidP="00D26F12">
      <w:pPr>
        <w:pStyle w:val="SingleTxtG"/>
        <w:tabs>
          <w:tab w:val="clear" w:pos="1701"/>
          <w:tab w:val="clear" w:pos="2268"/>
          <w:tab w:val="clear" w:pos="2835"/>
        </w:tabs>
        <w:ind w:left="2268" w:hanging="1134"/>
      </w:pPr>
      <w:r w:rsidRPr="001C22A9">
        <w:t>“</w:t>
      </w:r>
      <w:r w:rsidRPr="001C22A9">
        <w:rPr>
          <w:b/>
          <w:bCs/>
          <w:i/>
          <w:iCs/>
        </w:rPr>
        <w:t>NOTE:</w:t>
      </w:r>
      <w:r w:rsidRPr="001C22A9">
        <w:rPr>
          <w:i/>
          <w:iCs/>
        </w:rPr>
        <w:tab/>
        <w:t>The stacking test is generally carried out on the top surface of the packaging. Packages, other than bags, should therefore be stacked on the top surface of the packages unless indicated otherwise.</w:t>
      </w:r>
      <w:r w:rsidRPr="001C22A9">
        <w:t>”</w:t>
      </w:r>
    </w:p>
    <w:p w14:paraId="462DB80D" w14:textId="77777777" w:rsidR="00D26F12" w:rsidRPr="001C22A9" w:rsidRDefault="00D26F12" w:rsidP="00D26F12">
      <w:pPr>
        <w:pStyle w:val="SingleTxtG"/>
        <w:rPr>
          <w:i/>
          <w:iCs/>
        </w:rPr>
      </w:pPr>
      <w:r w:rsidRPr="001C22A9">
        <w:rPr>
          <w:i/>
          <w:iCs/>
        </w:rPr>
        <w:t>(Reference document:</w:t>
      </w:r>
      <w:r w:rsidRPr="001C22A9">
        <w:t xml:space="preserve"> </w:t>
      </w:r>
      <w:r w:rsidRPr="001C22A9">
        <w:rPr>
          <w:i/>
          <w:iCs/>
        </w:rPr>
        <w:t>ST/SG/AC.10/C.3/2024/44)</w:t>
      </w:r>
    </w:p>
    <w:p w14:paraId="4FEECC2D" w14:textId="2A27FB1F" w:rsidR="00726621" w:rsidRPr="00C77049" w:rsidRDefault="00D26F12" w:rsidP="00B6456B">
      <w:pPr>
        <w:pStyle w:val="H23G"/>
      </w:pPr>
      <w:r w:rsidRPr="001C22A9">
        <w:tab/>
      </w:r>
      <w:r w:rsidRPr="001C22A9">
        <w:tab/>
        <w:t>The amendments to the Spanish version contained in documents ST/SG/AC.10/C.3/2024/9, ST/SG/AC.10/C.3/2024/30 (with an additional amendment to the alphabetical index) and informal document INF.17 were adopted.</w:t>
      </w:r>
    </w:p>
    <w:p w14:paraId="451D7342" w14:textId="574EE934" w:rsidR="00D26F12" w:rsidRPr="001C22A9" w:rsidRDefault="00D26F12" w:rsidP="00D26F12">
      <w:pPr>
        <w:pStyle w:val="HChG"/>
      </w:pPr>
      <w:r w:rsidRPr="001C22A9">
        <w:tab/>
      </w:r>
      <w:r w:rsidR="00B6456B">
        <w:t>III.</w:t>
      </w:r>
      <w:r w:rsidRPr="001C22A9">
        <w:tab/>
        <w:t>Corrections to the twenty-third revised edition of the Recommendations on the Transport of Dangerous Goods, Model Regulations (ST/SG/AC.10/1/Rev.23)</w:t>
      </w:r>
    </w:p>
    <w:p w14:paraId="15DB9441" w14:textId="77777777" w:rsidR="00D26F12" w:rsidRPr="001C22A9" w:rsidRDefault="00D26F12" w:rsidP="00D26F12">
      <w:pPr>
        <w:pStyle w:val="H23G"/>
      </w:pPr>
      <w:r w:rsidRPr="001C22A9">
        <w:tab/>
      </w:r>
      <w:r w:rsidRPr="001C22A9">
        <w:tab/>
        <w:t>Chapter 4.1, 4.1.4.1, packing instruction P908</w:t>
      </w:r>
    </w:p>
    <w:p w14:paraId="23D33CF5" w14:textId="77777777" w:rsidR="00D26F12" w:rsidRPr="001C22A9" w:rsidRDefault="00D26F12" w:rsidP="00D26F12">
      <w:pPr>
        <w:pStyle w:val="SingleTxtG"/>
      </w:pPr>
      <w:r w:rsidRPr="001C22A9">
        <w:t>Not applicable to English</w:t>
      </w:r>
    </w:p>
    <w:p w14:paraId="5DD2A04B" w14:textId="5B34AF15" w:rsidR="00C77049" w:rsidRPr="00B6456B" w:rsidRDefault="00D26F12" w:rsidP="00B6456B">
      <w:pPr>
        <w:pStyle w:val="SingleTxtG"/>
        <w:rPr>
          <w:i/>
          <w:iCs/>
        </w:rPr>
      </w:pPr>
      <w:r w:rsidRPr="001C22A9">
        <w:rPr>
          <w:i/>
          <w:iCs/>
        </w:rPr>
        <w:t>(Reference document: informal document INF.11)</w:t>
      </w:r>
    </w:p>
    <w:p w14:paraId="02169FD9" w14:textId="2064126B" w:rsidR="00734D81" w:rsidRPr="001C22A9" w:rsidRDefault="00C77049" w:rsidP="00734D81">
      <w:pPr>
        <w:pStyle w:val="HChG"/>
        <w:rPr>
          <w:i/>
          <w:iCs/>
        </w:rPr>
      </w:pPr>
      <w:r>
        <w:tab/>
      </w:r>
      <w:r w:rsidR="00B6456B">
        <w:t>IV.</w:t>
      </w:r>
      <w:r>
        <w:tab/>
      </w:r>
      <w:r w:rsidR="00734D81" w:rsidRPr="001C22A9">
        <w:t>Modifications to the seventh version of the Guiding Principles for the Development of the Model Regulations on the Transport of Dangerous Goods [English only]</w:t>
      </w:r>
    </w:p>
    <w:p w14:paraId="38FF032D" w14:textId="77777777" w:rsidR="00734D81" w:rsidRPr="001C22A9" w:rsidRDefault="00734D81" w:rsidP="00734D81">
      <w:pPr>
        <w:pStyle w:val="SingleTxtG"/>
        <w:tabs>
          <w:tab w:val="clear" w:pos="1701"/>
          <w:tab w:val="clear" w:pos="2268"/>
          <w:tab w:val="clear" w:pos="2835"/>
        </w:tabs>
        <w:ind w:left="2268" w:hanging="1134"/>
      </w:pPr>
      <w:r w:rsidRPr="001C22A9">
        <w:t>Part 4, 3.4</w:t>
      </w:r>
      <w:r w:rsidRPr="001C22A9">
        <w:tab/>
        <w:t xml:space="preserve">In note </w:t>
      </w:r>
      <w:r w:rsidRPr="001C22A9">
        <w:rPr>
          <w:b/>
          <w:bCs/>
          <w:vertAlign w:val="superscript"/>
        </w:rPr>
        <w:t>e</w:t>
      </w:r>
      <w:r w:rsidRPr="001C22A9">
        <w:t xml:space="preserve"> under table 3.4, replace “</w:t>
      </w:r>
      <w:r w:rsidRPr="001C22A9">
        <w:rPr>
          <w:i/>
          <w:iCs/>
        </w:rPr>
        <w:t>and 3176 (molten substances)</w:t>
      </w:r>
      <w:r w:rsidRPr="001C22A9">
        <w:t>” by “</w:t>
      </w:r>
      <w:r w:rsidRPr="001C22A9">
        <w:rPr>
          <w:i/>
          <w:iCs/>
        </w:rPr>
        <w:t>, 3176 (molten substances) and 2956</w:t>
      </w:r>
      <w:r w:rsidRPr="001C22A9">
        <w:t>”.</w:t>
      </w:r>
    </w:p>
    <w:p w14:paraId="2A29A9CC" w14:textId="77777777" w:rsidR="00734D81" w:rsidRPr="001C22A9" w:rsidRDefault="00734D81" w:rsidP="00734D81">
      <w:pPr>
        <w:pStyle w:val="SingleTxtG"/>
        <w:rPr>
          <w:i/>
          <w:iCs/>
        </w:rPr>
      </w:pPr>
      <w:r w:rsidRPr="001C22A9">
        <w:rPr>
          <w:i/>
          <w:iCs/>
        </w:rPr>
        <w:t>(Reference document: informal document INF.62)</w:t>
      </w:r>
    </w:p>
    <w:p w14:paraId="1B63B66D" w14:textId="77777777" w:rsidR="00734D81" w:rsidRPr="001C22A9" w:rsidRDefault="00734D81" w:rsidP="00734D81">
      <w:pPr>
        <w:pStyle w:val="SingleTxtG"/>
        <w:tabs>
          <w:tab w:val="clear" w:pos="1701"/>
          <w:tab w:val="clear" w:pos="2268"/>
          <w:tab w:val="clear" w:pos="2835"/>
        </w:tabs>
        <w:ind w:left="2268" w:hanging="1134"/>
      </w:pPr>
      <w:r w:rsidRPr="001C22A9">
        <w:t>Part 4, 3.5</w:t>
      </w:r>
      <w:r w:rsidRPr="001C22A9">
        <w:tab/>
        <w:t xml:space="preserve">In note </w:t>
      </w:r>
      <w:r w:rsidRPr="001C22A9">
        <w:rPr>
          <w:b/>
          <w:bCs/>
          <w:vertAlign w:val="superscript"/>
        </w:rPr>
        <w:t>d</w:t>
      </w:r>
      <w:r w:rsidRPr="001C22A9">
        <w:t xml:space="preserve"> under table 3.5.1, after “</w:t>
      </w:r>
      <w:r w:rsidRPr="001C22A9">
        <w:rPr>
          <w:i/>
          <w:iCs/>
        </w:rPr>
        <w:t>(molten substances),</w:t>
      </w:r>
      <w:r w:rsidRPr="001C22A9">
        <w:t>” add “</w:t>
      </w:r>
      <w:r w:rsidRPr="001C22A9">
        <w:rPr>
          <w:i/>
          <w:iCs/>
        </w:rPr>
        <w:t>2956, 3242, 3251,</w:t>
      </w:r>
      <w:r w:rsidRPr="001C22A9">
        <w:t>”.</w:t>
      </w:r>
    </w:p>
    <w:p w14:paraId="5B5A39BB" w14:textId="77777777" w:rsidR="00734D81" w:rsidRPr="001C22A9" w:rsidRDefault="00734D81" w:rsidP="00734D81">
      <w:pPr>
        <w:pStyle w:val="SingleTxtG"/>
        <w:rPr>
          <w:i/>
          <w:iCs/>
        </w:rPr>
      </w:pPr>
      <w:r w:rsidRPr="001C22A9">
        <w:rPr>
          <w:i/>
          <w:iCs/>
        </w:rPr>
        <w:t>(Reference document: informal document INF.62)</w:t>
      </w:r>
    </w:p>
    <w:p w14:paraId="2F659560" w14:textId="77777777" w:rsidR="00734D81" w:rsidRPr="001C22A9" w:rsidRDefault="00734D81" w:rsidP="00734D81">
      <w:pPr>
        <w:spacing w:before="240"/>
        <w:jc w:val="center"/>
        <w:rPr>
          <w:u w:val="single"/>
        </w:rPr>
      </w:pPr>
      <w:r w:rsidRPr="001C22A9">
        <w:rPr>
          <w:u w:val="single"/>
        </w:rPr>
        <w:tab/>
      </w:r>
      <w:r w:rsidRPr="001C22A9">
        <w:rPr>
          <w:u w:val="single"/>
        </w:rPr>
        <w:tab/>
      </w:r>
      <w:r w:rsidRPr="001C22A9">
        <w:rPr>
          <w:u w:val="single"/>
        </w:rPr>
        <w:tab/>
      </w:r>
    </w:p>
    <w:sectPr w:rsidR="00734D81" w:rsidRPr="001C22A9" w:rsidSect="00050EF9">
      <w:headerReference w:type="even" r:id="rId16"/>
      <w:headerReference w:type="default" r:id="rId17"/>
      <w:footerReference w:type="even" r:id="rId18"/>
      <w:footerReference w:type="default" r:id="rId19"/>
      <w:footerReference w:type="first" r:id="rId2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AB8A" w14:textId="77777777" w:rsidR="00CA4E64" w:rsidRPr="00C47B2E" w:rsidRDefault="00CA4E64" w:rsidP="00C47B2E">
      <w:pPr>
        <w:pStyle w:val="Footer"/>
      </w:pPr>
    </w:p>
  </w:endnote>
  <w:endnote w:type="continuationSeparator" w:id="0">
    <w:p w14:paraId="15160652" w14:textId="77777777" w:rsidR="00CA4E64" w:rsidRPr="00C47B2E" w:rsidRDefault="00CA4E64" w:rsidP="00C47B2E">
      <w:pPr>
        <w:pStyle w:val="Footer"/>
      </w:pPr>
    </w:p>
  </w:endnote>
  <w:endnote w:type="continuationNotice" w:id="1">
    <w:p w14:paraId="736EC180" w14:textId="77777777" w:rsidR="00CA4E64" w:rsidRPr="00C47B2E" w:rsidRDefault="00CA4E6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4582" w14:textId="575715CC" w:rsidR="00D94B05" w:rsidRPr="00050EF9" w:rsidRDefault="00050EF9" w:rsidP="00D85308">
    <w:pPr>
      <w:pStyle w:val="Footer"/>
      <w:tabs>
        <w:tab w:val="right" w:pos="9639"/>
      </w:tabs>
      <w:rPr>
        <w:sz w:val="18"/>
      </w:rPr>
    </w:pPr>
    <w:r w:rsidRPr="00050EF9">
      <w:rPr>
        <w:b/>
        <w:sz w:val="18"/>
      </w:rPr>
      <w:fldChar w:fldCharType="begin"/>
    </w:r>
    <w:r w:rsidRPr="00050EF9">
      <w:rPr>
        <w:b/>
        <w:sz w:val="18"/>
      </w:rPr>
      <w:instrText xml:space="preserve"> PAGE  \* MERGEFORMAT </w:instrText>
    </w:r>
    <w:r w:rsidRPr="00050EF9">
      <w:rPr>
        <w:b/>
        <w:sz w:val="18"/>
      </w:rPr>
      <w:fldChar w:fldCharType="separate"/>
    </w:r>
    <w:r w:rsidRPr="00050EF9">
      <w:rPr>
        <w:b/>
        <w:noProof/>
        <w:sz w:val="18"/>
      </w:rPr>
      <w:t>2</w:t>
    </w:r>
    <w:r w:rsidRPr="00050EF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570B" w14:textId="79F92C20" w:rsidR="00D94B05" w:rsidRPr="00050EF9" w:rsidRDefault="00050EF9" w:rsidP="00D85308">
    <w:pPr>
      <w:pStyle w:val="Footer"/>
      <w:tabs>
        <w:tab w:val="right" w:pos="9639"/>
      </w:tabs>
      <w:rPr>
        <w:b/>
        <w:bCs/>
        <w:sz w:val="18"/>
      </w:rPr>
    </w:pPr>
    <w:r>
      <w:rPr>
        <w:bCs/>
        <w:sz w:val="18"/>
      </w:rPr>
      <w:tab/>
    </w:r>
    <w:r w:rsidRPr="00050EF9">
      <w:rPr>
        <w:b/>
        <w:bCs/>
        <w:sz w:val="18"/>
      </w:rPr>
      <w:fldChar w:fldCharType="begin"/>
    </w:r>
    <w:r w:rsidRPr="00050EF9">
      <w:rPr>
        <w:b/>
        <w:bCs/>
        <w:sz w:val="18"/>
      </w:rPr>
      <w:instrText xml:space="preserve"> PAGE  \* MERGEFORMAT </w:instrText>
    </w:r>
    <w:r w:rsidRPr="00050EF9">
      <w:rPr>
        <w:b/>
        <w:bCs/>
        <w:sz w:val="18"/>
      </w:rPr>
      <w:fldChar w:fldCharType="separate"/>
    </w:r>
    <w:r w:rsidRPr="00050EF9">
      <w:rPr>
        <w:b/>
        <w:bCs/>
        <w:noProof/>
        <w:sz w:val="18"/>
      </w:rPr>
      <w:t>3</w:t>
    </w:r>
    <w:r w:rsidRPr="00050EF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DE35" w14:textId="4B8F33D5" w:rsidR="00D94B05" w:rsidRDefault="000754BA" w:rsidP="000754BA">
    <w:pPr>
      <w:pStyle w:val="Footer"/>
      <w:rPr>
        <w:rFonts w:asciiTheme="majorBidi" w:hAnsiTheme="majorBidi" w:cstheme="majorBidi"/>
        <w:sz w:val="20"/>
      </w:rPr>
    </w:pPr>
    <w:r w:rsidRPr="000754BA">
      <w:rPr>
        <w:rFonts w:asciiTheme="majorBidi" w:hAnsiTheme="majorBidi" w:cstheme="majorBidi"/>
        <w:noProof/>
        <w:sz w:val="20"/>
        <w:lang w:val="en-US"/>
      </w:rPr>
      <w:drawing>
        <wp:anchor distT="0" distB="0" distL="114300" distR="114300" simplePos="0" relativeHeight="251660288" behindDoc="0" locked="1" layoutInCell="1" allowOverlap="1" wp14:anchorId="3BF270B6" wp14:editId="5EDAC4F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85E74E" w14:textId="4A1277D0" w:rsidR="000754BA" w:rsidRPr="000754BA" w:rsidRDefault="000754BA" w:rsidP="000754BA">
    <w:pPr>
      <w:pStyle w:val="Footer"/>
      <w:ind w:right="1134"/>
      <w:rPr>
        <w:rFonts w:asciiTheme="majorBidi" w:hAnsiTheme="majorBidi" w:cstheme="majorBidi"/>
        <w:sz w:val="20"/>
      </w:rPr>
    </w:pPr>
    <w:r>
      <w:rPr>
        <w:rFonts w:asciiTheme="majorBidi" w:hAnsiTheme="majorBidi" w:cstheme="majorBidi"/>
        <w:sz w:val="20"/>
      </w:rPr>
      <w:t>GE.24-</w:t>
    </w:r>
    <w:proofErr w:type="gramStart"/>
    <w:r>
      <w:rPr>
        <w:rFonts w:asciiTheme="majorBidi" w:hAnsiTheme="majorBidi" w:cstheme="majorBidi"/>
        <w:sz w:val="20"/>
      </w:rPr>
      <w:t>13403  (</w:t>
    </w:r>
    <w:proofErr w:type="gramEnd"/>
    <w:r>
      <w:rPr>
        <w:rFonts w:asciiTheme="majorBidi" w:hAnsiTheme="majorBidi" w:cstheme="majorBidi"/>
        <w:sz w:val="20"/>
      </w:rPr>
      <w:t>E)</w:t>
    </w:r>
    <w:r>
      <w:rPr>
        <w:rFonts w:asciiTheme="majorBidi" w:hAnsiTheme="majorBidi" w:cstheme="majorBidi"/>
        <w:noProof/>
        <w:sz w:val="20"/>
      </w:rPr>
      <w:drawing>
        <wp:anchor distT="0" distB="0" distL="114300" distR="114300" simplePos="0" relativeHeight="251661312" behindDoc="0" locked="0" layoutInCell="1" allowOverlap="1" wp14:anchorId="35942898" wp14:editId="797A289D">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D3C0" w14:textId="77777777" w:rsidR="00CA4E64" w:rsidRPr="00C47B2E" w:rsidRDefault="00CA4E64" w:rsidP="00C47B2E">
      <w:pPr>
        <w:tabs>
          <w:tab w:val="right" w:pos="2155"/>
        </w:tabs>
        <w:spacing w:after="80" w:line="240" w:lineRule="auto"/>
        <w:ind w:left="680"/>
      </w:pPr>
      <w:r>
        <w:rPr>
          <w:u w:val="single"/>
        </w:rPr>
        <w:tab/>
      </w:r>
    </w:p>
  </w:footnote>
  <w:footnote w:type="continuationSeparator" w:id="0">
    <w:p w14:paraId="533F480B" w14:textId="77777777" w:rsidR="00CA4E64" w:rsidRPr="00C47B2E" w:rsidRDefault="00CA4E64" w:rsidP="005E716E">
      <w:pPr>
        <w:tabs>
          <w:tab w:val="right" w:pos="2155"/>
        </w:tabs>
        <w:spacing w:after="80" w:line="240" w:lineRule="auto"/>
        <w:ind w:left="680"/>
      </w:pPr>
      <w:r>
        <w:rPr>
          <w:u w:val="single"/>
        </w:rPr>
        <w:tab/>
      </w:r>
    </w:p>
  </w:footnote>
  <w:footnote w:type="continuationNotice" w:id="1">
    <w:p w14:paraId="6564546B" w14:textId="77777777" w:rsidR="00CA4E64" w:rsidRPr="00C47B2E" w:rsidRDefault="00CA4E64" w:rsidP="00C47B2E">
      <w:pPr>
        <w:pStyle w:val="Footer"/>
      </w:pPr>
    </w:p>
  </w:footnote>
  <w:footnote w:id="2">
    <w:p w14:paraId="79C85751" w14:textId="77777777" w:rsidR="00B65FEC" w:rsidRPr="001C19F5" w:rsidRDefault="00B65FEC" w:rsidP="00B65FEC">
      <w:pPr>
        <w:pStyle w:val="FootnoteText"/>
      </w:pPr>
      <w:r>
        <w:tab/>
      </w:r>
      <w:r>
        <w:rPr>
          <w:rStyle w:val="FootnoteReference"/>
        </w:rPr>
        <w:footnoteRef/>
      </w:r>
      <w:r>
        <w:t xml:space="preserve"> </w:t>
      </w:r>
      <w:r w:rsidRPr="001C19F5">
        <w:tab/>
      </w:r>
      <w:r>
        <w:t>For practical reasons, these annexes have been published as an addendum with the symbol ST/SG/AC.10/C.3/128/Add.1.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3F79" w14:textId="521FEE37" w:rsidR="00050EF9" w:rsidRPr="00050EF9" w:rsidRDefault="000754BA">
    <w:pPr>
      <w:pStyle w:val="Header"/>
    </w:pPr>
    <w:r>
      <w:fldChar w:fldCharType="begin"/>
    </w:r>
    <w:r>
      <w:instrText xml:space="preserve"> TITLE  \* MERGEFORMAT </w:instrText>
    </w:r>
    <w:r>
      <w:fldChar w:fldCharType="separate"/>
    </w:r>
    <w:r w:rsidR="00050EF9">
      <w:t>ST/SG/AC.10/C.3/128/Add.1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B2E6" w14:textId="76E5C7E7" w:rsidR="00D94B05" w:rsidRPr="00050EF9" w:rsidRDefault="000754BA" w:rsidP="00050EF9">
    <w:pPr>
      <w:pStyle w:val="Header"/>
      <w:jc w:val="right"/>
    </w:pPr>
    <w:r>
      <w:fldChar w:fldCharType="begin"/>
    </w:r>
    <w:r>
      <w:instrText xml:space="preserve"> TITLE  \* MERGEFORMAT </w:instrText>
    </w:r>
    <w:r>
      <w:fldChar w:fldCharType="separate"/>
    </w:r>
    <w:r w:rsidR="00050EF9">
      <w:t>ST/SG/AC.10/C.3/128/Add.1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009BA"/>
    <w:multiLevelType w:val="hybridMultilevel"/>
    <w:tmpl w:val="44DE8E3C"/>
    <w:lvl w:ilvl="0" w:tplc="189ED09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6"/>
  </w:num>
  <w:num w:numId="2" w16cid:durableId="1073159890">
    <w:abstractNumId w:val="4"/>
  </w:num>
  <w:num w:numId="3" w16cid:durableId="551188904">
    <w:abstractNumId w:val="0"/>
  </w:num>
  <w:num w:numId="4" w16cid:durableId="44254624">
    <w:abstractNumId w:val="7"/>
  </w:num>
  <w:num w:numId="5" w16cid:durableId="1816027029">
    <w:abstractNumId w:val="8"/>
  </w:num>
  <w:num w:numId="6" w16cid:durableId="1836190579">
    <w:abstractNumId w:val="10"/>
  </w:num>
  <w:num w:numId="7" w16cid:durableId="634676252">
    <w:abstractNumId w:val="3"/>
  </w:num>
  <w:num w:numId="8" w16cid:durableId="1039166836">
    <w:abstractNumId w:val="1"/>
  </w:num>
  <w:num w:numId="9" w16cid:durableId="644969981">
    <w:abstractNumId w:val="9"/>
  </w:num>
  <w:num w:numId="10" w16cid:durableId="525103391">
    <w:abstractNumId w:val="1"/>
  </w:num>
  <w:num w:numId="11" w16cid:durableId="297342166">
    <w:abstractNumId w:val="9"/>
  </w:num>
  <w:num w:numId="12" w16cid:durableId="1280380300">
    <w:abstractNumId w:val="2"/>
  </w:num>
  <w:num w:numId="13" w16cid:durableId="1988699530">
    <w:abstractNumId w:val="2"/>
  </w:num>
  <w:num w:numId="14" w16cid:durableId="1804346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attachedTemplate r:id="rId1"/>
  <w:defaultTabStop w:val="567"/>
  <w:hyphenationZone w:val="425"/>
  <w:evenAndOddHeaders/>
  <w:characterSpacingControl w:val="doNotCompress"/>
  <w:hdrShapeDefaults>
    <o:shapedefaults v:ext="edit" spidmax="2052"/>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F9"/>
    <w:rsid w:val="00046E92"/>
    <w:rsid w:val="00050EF9"/>
    <w:rsid w:val="00063C90"/>
    <w:rsid w:val="00070000"/>
    <w:rsid w:val="000754BA"/>
    <w:rsid w:val="000C7D83"/>
    <w:rsid w:val="000E37F8"/>
    <w:rsid w:val="00101B98"/>
    <w:rsid w:val="00132DED"/>
    <w:rsid w:val="00136934"/>
    <w:rsid w:val="001514D1"/>
    <w:rsid w:val="001B0B5E"/>
    <w:rsid w:val="00214E74"/>
    <w:rsid w:val="00243174"/>
    <w:rsid w:val="00245A94"/>
    <w:rsid w:val="00247E2C"/>
    <w:rsid w:val="00276DB8"/>
    <w:rsid w:val="0029057E"/>
    <w:rsid w:val="002A32CB"/>
    <w:rsid w:val="002D5B2C"/>
    <w:rsid w:val="002D6C53"/>
    <w:rsid w:val="002F5014"/>
    <w:rsid w:val="002F5595"/>
    <w:rsid w:val="00302858"/>
    <w:rsid w:val="00321512"/>
    <w:rsid w:val="00322C9F"/>
    <w:rsid w:val="00334F6A"/>
    <w:rsid w:val="00342AC8"/>
    <w:rsid w:val="00343302"/>
    <w:rsid w:val="00381E42"/>
    <w:rsid w:val="003979DE"/>
    <w:rsid w:val="003B1248"/>
    <w:rsid w:val="003B4550"/>
    <w:rsid w:val="003D2A18"/>
    <w:rsid w:val="003E220E"/>
    <w:rsid w:val="00413386"/>
    <w:rsid w:val="0041389F"/>
    <w:rsid w:val="00461253"/>
    <w:rsid w:val="004858F5"/>
    <w:rsid w:val="004A2814"/>
    <w:rsid w:val="004C0622"/>
    <w:rsid w:val="004D2CF2"/>
    <w:rsid w:val="004F73D0"/>
    <w:rsid w:val="005042C2"/>
    <w:rsid w:val="00507EB9"/>
    <w:rsid w:val="00521FC8"/>
    <w:rsid w:val="00583103"/>
    <w:rsid w:val="00591361"/>
    <w:rsid w:val="005A1444"/>
    <w:rsid w:val="005B0754"/>
    <w:rsid w:val="005E716E"/>
    <w:rsid w:val="00610962"/>
    <w:rsid w:val="006476E1"/>
    <w:rsid w:val="0066028C"/>
    <w:rsid w:val="006604DF"/>
    <w:rsid w:val="00671529"/>
    <w:rsid w:val="006D29F1"/>
    <w:rsid w:val="006F1EF5"/>
    <w:rsid w:val="00702896"/>
    <w:rsid w:val="0070489D"/>
    <w:rsid w:val="007200A1"/>
    <w:rsid w:val="00726621"/>
    <w:rsid w:val="007268F9"/>
    <w:rsid w:val="00734D81"/>
    <w:rsid w:val="00750282"/>
    <w:rsid w:val="00764440"/>
    <w:rsid w:val="0077101B"/>
    <w:rsid w:val="007A57A1"/>
    <w:rsid w:val="007C4837"/>
    <w:rsid w:val="007C52B0"/>
    <w:rsid w:val="007C6033"/>
    <w:rsid w:val="008022EE"/>
    <w:rsid w:val="008147C8"/>
    <w:rsid w:val="0081753A"/>
    <w:rsid w:val="00857D23"/>
    <w:rsid w:val="0086173B"/>
    <w:rsid w:val="00873B6F"/>
    <w:rsid w:val="00906FF7"/>
    <w:rsid w:val="009411B4"/>
    <w:rsid w:val="00946F1D"/>
    <w:rsid w:val="00955E6E"/>
    <w:rsid w:val="009775A1"/>
    <w:rsid w:val="009852B3"/>
    <w:rsid w:val="009A0A7F"/>
    <w:rsid w:val="009A0DC4"/>
    <w:rsid w:val="009D0139"/>
    <w:rsid w:val="009D717D"/>
    <w:rsid w:val="009F0E32"/>
    <w:rsid w:val="009F5CDC"/>
    <w:rsid w:val="00A072D7"/>
    <w:rsid w:val="00A10F97"/>
    <w:rsid w:val="00A775CF"/>
    <w:rsid w:val="00A91883"/>
    <w:rsid w:val="00AD1A9C"/>
    <w:rsid w:val="00AF5DE1"/>
    <w:rsid w:val="00B06045"/>
    <w:rsid w:val="00B145F9"/>
    <w:rsid w:val="00B206DD"/>
    <w:rsid w:val="00B32EB4"/>
    <w:rsid w:val="00B47B6F"/>
    <w:rsid w:val="00B52EF4"/>
    <w:rsid w:val="00B62E27"/>
    <w:rsid w:val="00B6456B"/>
    <w:rsid w:val="00B65FEC"/>
    <w:rsid w:val="00B777AD"/>
    <w:rsid w:val="00BA3BFA"/>
    <w:rsid w:val="00BF621C"/>
    <w:rsid w:val="00C03015"/>
    <w:rsid w:val="00C0358D"/>
    <w:rsid w:val="00C061A1"/>
    <w:rsid w:val="00C35A27"/>
    <w:rsid w:val="00C47B2E"/>
    <w:rsid w:val="00C73BA1"/>
    <w:rsid w:val="00C75F47"/>
    <w:rsid w:val="00C77049"/>
    <w:rsid w:val="00C8032A"/>
    <w:rsid w:val="00CA4E64"/>
    <w:rsid w:val="00D26F12"/>
    <w:rsid w:val="00D560BF"/>
    <w:rsid w:val="00D57A3F"/>
    <w:rsid w:val="00D60BE0"/>
    <w:rsid w:val="00D6305E"/>
    <w:rsid w:val="00D63CD2"/>
    <w:rsid w:val="00D6570E"/>
    <w:rsid w:val="00D85308"/>
    <w:rsid w:val="00D87DC2"/>
    <w:rsid w:val="00D93887"/>
    <w:rsid w:val="00D94B05"/>
    <w:rsid w:val="00DC7379"/>
    <w:rsid w:val="00E02C2B"/>
    <w:rsid w:val="00E21C27"/>
    <w:rsid w:val="00E26BCF"/>
    <w:rsid w:val="00E52109"/>
    <w:rsid w:val="00E75317"/>
    <w:rsid w:val="00EB23E1"/>
    <w:rsid w:val="00EC0CE6"/>
    <w:rsid w:val="00EC7C1D"/>
    <w:rsid w:val="00ED6C48"/>
    <w:rsid w:val="00EE3045"/>
    <w:rsid w:val="00F21BB8"/>
    <w:rsid w:val="00F26186"/>
    <w:rsid w:val="00F315AF"/>
    <w:rsid w:val="00F65F5D"/>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47C538F"/>
  <w15:docId w15:val="{713CF6F5-C84B-4ED3-9FC5-5262E812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9F0E32"/>
  </w:style>
  <w:style w:type="character" w:customStyle="1" w:styleId="HChGChar">
    <w:name w:val="_ H _Ch_G Char"/>
    <w:link w:val="HChG"/>
    <w:locked/>
    <w:rsid w:val="00D26F12"/>
    <w:rPr>
      <w:b/>
      <w:sz w:val="28"/>
    </w:rPr>
  </w:style>
  <w:style w:type="character" w:customStyle="1" w:styleId="H23GChar">
    <w:name w:val="_ H_2/3_G Char"/>
    <w:link w:val="H23G"/>
    <w:rsid w:val="00D26F12"/>
    <w:rPr>
      <w:b/>
    </w:rPr>
  </w:style>
  <w:style w:type="paragraph" w:customStyle="1" w:styleId="MTabTxt">
    <w:name w:val="MTabTxt"/>
    <w:basedOn w:val="Normal"/>
    <w:link w:val="MTabTxtChar"/>
    <w:qFormat/>
    <w:rsid w:val="00BA3BFA"/>
    <w:pPr>
      <w:numPr>
        <w:ilvl w:val="12"/>
      </w:numPr>
      <w:suppressAutoHyphens/>
      <w:autoSpaceDE w:val="0"/>
      <w:autoSpaceDN w:val="0"/>
      <w:adjustRightInd w:val="0"/>
      <w:spacing w:before="40" w:after="40" w:line="240" w:lineRule="auto"/>
    </w:pPr>
    <w:rPr>
      <w:lang w:eastAsia="fr-FR"/>
    </w:rPr>
  </w:style>
  <w:style w:type="character" w:customStyle="1" w:styleId="MTabTxtChar">
    <w:name w:val="MTabTxt Char"/>
    <w:basedOn w:val="DefaultParagraphFont"/>
    <w:link w:val="MTabTxt"/>
    <w:rsid w:val="00BA3BFA"/>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package" Target="embeddings/Microsoft_Visio_Drawing1.vsdx"/><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49740337-1F6E-47AC-92A4-4E1762FD5D8E}"/>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13</Pages>
  <Words>3803</Words>
  <Characters>21674</Characters>
  <Application>Microsoft Office Word</Application>
  <DocSecurity>0</DocSecurity>
  <Lines>504</Lines>
  <Paragraphs>297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ST/SG/AC.10/C.3/128/Add.1</dc:title>
  <dc:subject>2413403</dc:subject>
  <dc:creator>Alicia DORCA-GARCIA</dc:creator>
  <cp:keywords/>
  <dc:description/>
  <cp:lastModifiedBy>Cecile Pacis</cp:lastModifiedBy>
  <cp:revision>2</cp:revision>
  <dcterms:created xsi:type="dcterms:W3CDTF">2024-07-23T09:05:00Z</dcterms:created>
  <dcterms:modified xsi:type="dcterms:W3CDTF">2024-07-23T09:05:00Z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