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BE2CA7" w14:paraId="17D368B0" w14:textId="77777777" w:rsidTr="00A27C92">
        <w:trPr>
          <w:trHeight w:hRule="exact" w:val="851"/>
        </w:trPr>
        <w:tc>
          <w:tcPr>
            <w:tcW w:w="9639" w:type="dxa"/>
            <w:gridSpan w:val="2"/>
            <w:tcBorders>
              <w:bottom w:val="single" w:sz="4" w:space="0" w:color="auto"/>
            </w:tcBorders>
            <w:shd w:val="clear" w:color="auto" w:fill="auto"/>
            <w:vAlign w:val="bottom"/>
          </w:tcPr>
          <w:p w14:paraId="672F2CB7" w14:textId="77777777" w:rsidR="00BE2CA7" w:rsidRPr="00BE2CA7" w:rsidRDefault="00BE2CA7" w:rsidP="00BE2CA7">
            <w:pPr>
              <w:jc w:val="right"/>
              <w:rPr>
                <w:lang w:val="en-US"/>
              </w:rPr>
            </w:pPr>
            <w:r w:rsidRPr="00BE2CA7">
              <w:rPr>
                <w:sz w:val="40"/>
                <w:lang w:val="en-US"/>
              </w:rPr>
              <w:t>E</w:t>
            </w:r>
            <w:r w:rsidRPr="00BE2CA7">
              <w:rPr>
                <w:lang w:val="en-US"/>
              </w:rPr>
              <w:t>/ECE/324/Rev.1/Add.82/Rev.5/Amend.17−</w:t>
            </w:r>
            <w:r w:rsidRPr="00BE2CA7">
              <w:rPr>
                <w:sz w:val="40"/>
                <w:lang w:val="en-US"/>
              </w:rPr>
              <w:t>E</w:t>
            </w:r>
            <w:r w:rsidRPr="00BE2CA7">
              <w:rPr>
                <w:lang w:val="en-US"/>
              </w:rPr>
              <w:t>/ECE/TRANS/505/Rev.1/Add.82/Rev.5/Amend.17</w:t>
            </w:r>
          </w:p>
        </w:tc>
      </w:tr>
      <w:tr w:rsidR="00421A10" w:rsidRPr="00DB58B5" w14:paraId="7353FF04" w14:textId="77777777" w:rsidTr="00A27C92">
        <w:trPr>
          <w:trHeight w:hRule="exact" w:val="2835"/>
        </w:trPr>
        <w:tc>
          <w:tcPr>
            <w:tcW w:w="6804" w:type="dxa"/>
            <w:tcBorders>
              <w:top w:val="single" w:sz="4" w:space="0" w:color="auto"/>
              <w:bottom w:val="single" w:sz="12" w:space="0" w:color="auto"/>
            </w:tcBorders>
            <w:shd w:val="clear" w:color="auto" w:fill="auto"/>
          </w:tcPr>
          <w:p w14:paraId="2463D340" w14:textId="77777777" w:rsidR="00421A10" w:rsidRPr="00BE2CA7"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24ABF147" w14:textId="77777777" w:rsidR="00421A10" w:rsidRPr="00DB58B5" w:rsidRDefault="00BE2CA7" w:rsidP="00A27C92">
            <w:pPr>
              <w:spacing w:before="480" w:line="240" w:lineRule="exact"/>
            </w:pPr>
            <w:r>
              <w:t>13 février 2024</w:t>
            </w:r>
          </w:p>
        </w:tc>
      </w:tr>
    </w:tbl>
    <w:p w14:paraId="730A758D" w14:textId="77777777" w:rsidR="00BE2CA7" w:rsidRPr="00BE2CA7" w:rsidRDefault="00BE2CA7" w:rsidP="00BE2CA7">
      <w:pPr>
        <w:pStyle w:val="HChG"/>
      </w:pPr>
      <w:r w:rsidRPr="00CB62CD">
        <w:rPr>
          <w:lang w:val="en-GB"/>
        </w:rPr>
        <w:tab/>
      </w:r>
      <w:r w:rsidRPr="00CB62CD">
        <w:rPr>
          <w:lang w:val="en-GB"/>
        </w:rPr>
        <w:tab/>
      </w:r>
      <w:bookmarkStart w:id="0" w:name="_Toc340666199"/>
      <w:bookmarkStart w:id="1" w:name="_Toc340745062"/>
      <w:r w:rsidRPr="00BE2CA7">
        <w:t>Accord</w:t>
      </w:r>
      <w:bookmarkEnd w:id="0"/>
      <w:bookmarkEnd w:id="1"/>
    </w:p>
    <w:p w14:paraId="734C8C8B" w14:textId="391703EA" w:rsidR="00BE2CA7" w:rsidRPr="00532CF0" w:rsidRDefault="00BE2CA7" w:rsidP="00BE2CA7">
      <w:pPr>
        <w:pStyle w:val="H1G"/>
      </w:pPr>
      <w:r w:rsidRPr="00532CF0">
        <w:tab/>
      </w:r>
      <w:r w:rsidRPr="00532CF0">
        <w:tab/>
        <w:t>Concernant l</w:t>
      </w:r>
      <w:r>
        <w:t>’</w:t>
      </w:r>
      <w:r w:rsidRPr="00532CF0">
        <w:t>adoption de Règlements techniques harmonisés de l</w:t>
      </w:r>
      <w:r>
        <w:t>’</w:t>
      </w:r>
      <w:r w:rsidRPr="00532CF0">
        <w:t>ONU applicables aux véhicules à roues et aux équipements et pièces susceptibles d</w:t>
      </w:r>
      <w:r>
        <w:t>’</w:t>
      </w:r>
      <w:r w:rsidRPr="00532CF0">
        <w:t xml:space="preserve">être montés ou utilisés sur les véhicules à roues </w:t>
      </w:r>
      <w:r>
        <w:br/>
      </w:r>
      <w:r w:rsidRPr="00532CF0">
        <w:t>et les conditions de reconnaissance réciproque des homologations délivrées conformément à ces Règlements</w:t>
      </w:r>
      <w:r w:rsidRPr="00BE2CA7">
        <w:rPr>
          <w:b w:val="0"/>
          <w:bCs/>
          <w:sz w:val="20"/>
        </w:rPr>
        <w:footnoteReference w:customMarkFollows="1" w:id="2"/>
        <w:t>*</w:t>
      </w:r>
    </w:p>
    <w:p w14:paraId="1B745149" w14:textId="5AB8A71B" w:rsidR="00421A10" w:rsidRPr="00BE2CA7" w:rsidRDefault="00BE2CA7" w:rsidP="00BE2CA7">
      <w:pPr>
        <w:pStyle w:val="SingleTxtG"/>
        <w:rPr>
          <w:bCs/>
          <w:sz w:val="24"/>
          <w:szCs w:val="24"/>
        </w:rPr>
      </w:pPr>
      <w:r w:rsidRPr="00532CF0">
        <w:t>(Révision 3, comprenant les amendements entrés en vigueur le 14 septembre 2017)</w:t>
      </w:r>
    </w:p>
    <w:p w14:paraId="585F0E85" w14:textId="77777777" w:rsidR="00421A10" w:rsidRPr="006549FF" w:rsidRDefault="0029791D" w:rsidP="0029791D">
      <w:pPr>
        <w:jc w:val="center"/>
      </w:pPr>
      <w:r>
        <w:t>_______________</w:t>
      </w:r>
    </w:p>
    <w:p w14:paraId="51BCFC93" w14:textId="0D27B80C" w:rsidR="00421A10" w:rsidRPr="006549FF" w:rsidRDefault="0029791D" w:rsidP="00C21146">
      <w:pPr>
        <w:pStyle w:val="H1G"/>
      </w:pPr>
      <w:r>
        <w:tab/>
      </w:r>
      <w:r>
        <w:tab/>
      </w:r>
      <w:r w:rsidR="00421A10" w:rsidRPr="006549FF">
        <w:t xml:space="preserve">Additif </w:t>
      </w:r>
      <w:r w:rsidR="00BE2CA7">
        <w:t>82 −</w:t>
      </w:r>
      <w:r w:rsidR="00421A10" w:rsidRPr="006549FF">
        <w:t xml:space="preserve"> Règlement</w:t>
      </w:r>
      <w:r w:rsidR="00421A10">
        <w:t xml:space="preserve"> </w:t>
      </w:r>
      <w:r w:rsidR="001E7643">
        <w:t xml:space="preserve">ONU </w:t>
      </w:r>
      <w:r w:rsidR="00421A10" w:rsidRPr="00B371BF">
        <w:t>n</w:t>
      </w:r>
      <w:r w:rsidR="00421A10" w:rsidRPr="00B371BF">
        <w:rPr>
          <w:vertAlign w:val="superscript"/>
        </w:rPr>
        <w:t>o</w:t>
      </w:r>
      <w:r w:rsidR="00421A10">
        <w:t> </w:t>
      </w:r>
      <w:r w:rsidR="00BE2CA7">
        <w:t>83</w:t>
      </w:r>
    </w:p>
    <w:p w14:paraId="5A3281B2" w14:textId="55533D40" w:rsidR="00421A10" w:rsidRPr="006549FF" w:rsidRDefault="0029791D" w:rsidP="0029791D">
      <w:pPr>
        <w:pStyle w:val="H1G"/>
      </w:pPr>
      <w:r>
        <w:tab/>
      </w:r>
      <w:r>
        <w:tab/>
      </w:r>
      <w:r w:rsidR="00421A10" w:rsidRPr="006549FF">
        <w:t xml:space="preserve">Révision </w:t>
      </w:r>
      <w:r w:rsidR="00BE2CA7">
        <w:t>5 − Amendement 17</w:t>
      </w:r>
    </w:p>
    <w:p w14:paraId="326C04B5" w14:textId="4BE755B4" w:rsidR="00421A10" w:rsidRPr="0029791D" w:rsidRDefault="00BE2CA7" w:rsidP="00BE2CA7">
      <w:pPr>
        <w:pStyle w:val="SingleTxtG"/>
        <w:spacing w:after="0"/>
      </w:pPr>
      <w:r w:rsidRPr="00532CF0">
        <w:rPr>
          <w:rFonts w:eastAsia="Times New Roman"/>
          <w:spacing w:val="-2"/>
        </w:rPr>
        <w:t>Série 08 d</w:t>
      </w:r>
      <w:r>
        <w:rPr>
          <w:rFonts w:eastAsia="Times New Roman"/>
          <w:spacing w:val="-2"/>
        </w:rPr>
        <w:t>’</w:t>
      </w:r>
      <w:r w:rsidRPr="00532CF0">
        <w:rPr>
          <w:rFonts w:eastAsia="Times New Roman"/>
          <w:spacing w:val="-2"/>
        </w:rPr>
        <w:t xml:space="preserve">amendements </w:t>
      </w:r>
      <w:r>
        <w:rPr>
          <w:rFonts w:eastAsia="Times New Roman"/>
          <w:spacing w:val="-2"/>
        </w:rPr>
        <w:t>−</w:t>
      </w:r>
      <w:r w:rsidRPr="00532CF0">
        <w:rPr>
          <w:rFonts w:eastAsia="Times New Roman"/>
          <w:spacing w:val="-2"/>
        </w:rPr>
        <w:t xml:space="preserve"> Date d</w:t>
      </w:r>
      <w:r>
        <w:rPr>
          <w:rFonts w:eastAsia="Times New Roman"/>
          <w:spacing w:val="-2"/>
        </w:rPr>
        <w:t>’</w:t>
      </w:r>
      <w:r w:rsidRPr="00532CF0">
        <w:rPr>
          <w:rFonts w:eastAsia="Times New Roman"/>
          <w:spacing w:val="-2"/>
        </w:rPr>
        <w:t>entrée en vigue</w:t>
      </w:r>
      <w:r>
        <w:rPr>
          <w:rFonts w:eastAsia="Times New Roman"/>
          <w:spacing w:val="-2"/>
        </w:rPr>
        <w:t>ur </w:t>
      </w:r>
      <w:r w:rsidRPr="00532CF0">
        <w:rPr>
          <w:rFonts w:eastAsia="Times New Roman"/>
          <w:spacing w:val="-2"/>
        </w:rPr>
        <w:t xml:space="preserve">: </w:t>
      </w:r>
      <w:r w:rsidRPr="00532CF0">
        <w:rPr>
          <w:rFonts w:eastAsia="Times New Roman"/>
        </w:rPr>
        <w:t xml:space="preserve">5 </w:t>
      </w:r>
      <w:r>
        <w:rPr>
          <w:rFonts w:eastAsia="Times New Roman"/>
        </w:rPr>
        <w:t>janvier</w:t>
      </w:r>
      <w:r w:rsidRPr="00532CF0">
        <w:rPr>
          <w:rFonts w:eastAsia="Times New Roman"/>
        </w:rPr>
        <w:t xml:space="preserve"> 2024</w:t>
      </w:r>
    </w:p>
    <w:p w14:paraId="74FD552A" w14:textId="314775D4" w:rsidR="00421A10" w:rsidRDefault="0029791D" w:rsidP="00BE2CA7">
      <w:pPr>
        <w:pStyle w:val="H1G"/>
      </w:pPr>
      <w:r>
        <w:tab/>
      </w:r>
      <w:r>
        <w:tab/>
      </w:r>
      <w:r w:rsidR="00BE2CA7" w:rsidRPr="00532CF0">
        <w:t>Prescriptions uniformes relatives à l</w:t>
      </w:r>
      <w:r w:rsidR="00BE2CA7">
        <w:t>’</w:t>
      </w:r>
      <w:r w:rsidR="00BE2CA7" w:rsidRPr="00532CF0">
        <w:t xml:space="preserve">homologation des véhicules </w:t>
      </w:r>
      <w:r w:rsidR="00BE2CA7">
        <w:br/>
      </w:r>
      <w:r w:rsidR="00BE2CA7" w:rsidRPr="00532CF0">
        <w:t xml:space="preserve">en ce qui concerne les émissions de polluants selon les exigences </w:t>
      </w:r>
      <w:r w:rsidR="00BE2CA7">
        <w:br/>
      </w:r>
      <w:r w:rsidR="00BE2CA7" w:rsidRPr="00532CF0">
        <w:t>du moteur en matière de carburant</w:t>
      </w:r>
    </w:p>
    <w:p w14:paraId="2F238126" w14:textId="2F5CB76B" w:rsidR="00BE2CA7" w:rsidRPr="00C21146" w:rsidRDefault="00442E31" w:rsidP="007C4489">
      <w:pPr>
        <w:pStyle w:val="SingleTxtG"/>
        <w:rPr>
          <w:rFonts w:eastAsia="Times New Roman"/>
          <w:lang w:eastAsia="en-GB"/>
        </w:rPr>
      </w:pPr>
      <w:r w:rsidRPr="00C21146">
        <w:rPr>
          <w:noProof/>
          <w:lang w:eastAsia="fr-CH"/>
        </w:rPr>
        <mc:AlternateContent>
          <mc:Choice Requires="wps">
            <w:drawing>
              <wp:anchor distT="0" distB="0" distL="114300" distR="114300" simplePos="0" relativeHeight="251658240" behindDoc="0" locked="0" layoutInCell="1" allowOverlap="1" wp14:anchorId="5DD8FD77" wp14:editId="59723973">
                <wp:simplePos x="0" y="0"/>
                <wp:positionH relativeFrom="margin">
                  <wp:posOffset>0</wp:posOffset>
                </wp:positionH>
                <wp:positionV relativeFrom="margin">
                  <wp:posOffset>6136005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14:paraId="1BE30036" w14:textId="77777777" w:rsidR="00442E31" w:rsidRPr="0029791D" w:rsidRDefault="00442E31" w:rsidP="00C9521D">
                            <w:pPr>
                              <w:ind w:left="1134" w:right="1134"/>
                              <w:jc w:val="center"/>
                            </w:pPr>
                            <w:r>
                              <w:t>_______________</w:t>
                            </w:r>
                          </w:p>
                          <w:p w14:paraId="6E8BE1B8" w14:textId="77777777" w:rsidR="00442E31" w:rsidRDefault="00442E31" w:rsidP="00C9521D">
                            <w:pPr>
                              <w:jc w:val="center"/>
                              <w:rPr>
                                <w:b/>
                                <w:bCs/>
                                <w:sz w:val="22"/>
                              </w:rPr>
                            </w:pPr>
                            <w:r>
                              <w:rPr>
                                <w:noProof/>
                                <w:lang w:eastAsia="fr-CH"/>
                              </w:rPr>
                              <w:drawing>
                                <wp:inline distT="0" distB="0" distL="0" distR="0" wp14:anchorId="1FE9D6E1" wp14:editId="68E547B5">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075F4257" w14:textId="77777777"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8FD77" id="_x0000_t202" coordsize="21600,21600" o:spt="202" path="m,l,21600r21600,l21600,xe">
                <v:stroke joinstyle="miter"/>
                <v:path gradientshapeok="t" o:connecttype="rect"/>
              </v:shapetype>
              <v:shape id="Zone de texte 4" o:spid="_x0000_s1026" type="#_x0000_t202" style="position:absolute;left:0;text-align:left;margin-left:0;margin-top:483.15pt;width:481.9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" stroked="f">
                <v:textbox inset="0,0,0,0">
                  <w:txbxContent>
                    <w:p w14:paraId="1BE30036" w14:textId="77777777" w:rsidR="00442E31" w:rsidRPr="0029791D" w:rsidRDefault="00442E31" w:rsidP="00C9521D">
                      <w:pPr>
                        <w:ind w:left="1134" w:right="1134"/>
                        <w:jc w:val="center"/>
                      </w:pPr>
                      <w:r>
                        <w:t>_______________</w:t>
                      </w:r>
                    </w:p>
                    <w:p w14:paraId="6E8BE1B8" w14:textId="77777777" w:rsidR="00442E31" w:rsidRDefault="00442E31" w:rsidP="00C9521D">
                      <w:pPr>
                        <w:jc w:val="center"/>
                        <w:rPr>
                          <w:b/>
                          <w:bCs/>
                          <w:sz w:val="22"/>
                        </w:rPr>
                      </w:pPr>
                      <w:r>
                        <w:rPr>
                          <w:noProof/>
                          <w:lang w:eastAsia="fr-CH"/>
                        </w:rPr>
                        <w:drawing>
                          <wp:inline distT="0" distB="0" distL="0" distR="0" wp14:anchorId="1FE9D6E1" wp14:editId="68E547B5">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075F4257" w14:textId="77777777" w:rsidR="00442E31" w:rsidRDefault="00442E31" w:rsidP="00C6525D">
                      <w:pPr>
                        <w:jc w:val="center"/>
                      </w:pPr>
                      <w:r w:rsidRPr="0029791D">
                        <w:rPr>
                          <w:b/>
                          <w:bCs/>
                          <w:sz w:val="24"/>
                          <w:szCs w:val="24"/>
                        </w:rPr>
                        <w:t>Nations Unies</w:t>
                      </w:r>
                    </w:p>
                  </w:txbxContent>
                </v:textbox>
                <w10:wrap anchorx="margin" anchory="margin"/>
              </v:shape>
            </w:pict>
          </mc:Fallback>
        </mc:AlternateContent>
      </w:r>
      <w:r w:rsidR="00BE2CA7" w:rsidRPr="00C21146">
        <w:rPr>
          <w:rFonts w:eastAsia="Times New Roman"/>
          <w:lang w:eastAsia="en-GB"/>
        </w:rPr>
        <w:t>Le présent document est communiqué uniquement à titre d</w:t>
      </w:r>
      <w:r w:rsidR="00BE2CA7" w:rsidRPr="00C21146">
        <w:rPr>
          <w:rFonts w:eastAsia="Times New Roman"/>
          <w:lang w:eastAsia="en-GB"/>
        </w:rPr>
        <w:t>’</w:t>
      </w:r>
      <w:r w:rsidR="00BE2CA7" w:rsidRPr="00C21146">
        <w:rPr>
          <w:rFonts w:eastAsia="Times New Roman"/>
          <w:lang w:eastAsia="en-GB"/>
        </w:rPr>
        <w:t>information. Le texte authentique, juridiquement contraignant, est celui du document ECE/TRANS/WP.29/2023/57.</w:t>
      </w:r>
      <w:r w:rsidR="00BE2CA7" w:rsidRPr="00C21146">
        <w:rPr>
          <w:rFonts w:eastAsia="Times New Roman"/>
          <w:lang w:eastAsia="en-GB"/>
        </w:rPr>
        <w:br w:type="page"/>
      </w:r>
    </w:p>
    <w:p w14:paraId="3D022EC9" w14:textId="001E4CED" w:rsidR="005F0207" w:rsidRPr="00BE2CA7" w:rsidRDefault="00BE2CA7" w:rsidP="00BE2CA7">
      <w:pPr>
        <w:spacing w:after="120"/>
        <w:rPr>
          <w:sz w:val="28"/>
        </w:rPr>
      </w:pPr>
      <w:r w:rsidRPr="00BE2CA7">
        <w:rPr>
          <w:sz w:val="28"/>
        </w:rPr>
        <w:lastRenderedPageBreak/>
        <w:t>Table des matières</w:t>
      </w:r>
    </w:p>
    <w:p w14:paraId="4B4C7BE1" w14:textId="38F448E0" w:rsidR="00BE2CA7" w:rsidRPr="00BE2CA7" w:rsidRDefault="00BE2CA7" w:rsidP="00BE2CA7">
      <w:pPr>
        <w:tabs>
          <w:tab w:val="right" w:pos="9638"/>
        </w:tabs>
        <w:spacing w:after="120"/>
        <w:ind w:left="283"/>
        <w:rPr>
          <w:i/>
          <w:sz w:val="18"/>
        </w:rPr>
      </w:pPr>
      <w:r w:rsidRPr="00BE2CA7">
        <w:rPr>
          <w:i/>
          <w:sz w:val="18"/>
        </w:rPr>
        <w:tab/>
        <w:t>Page</w:t>
      </w:r>
    </w:p>
    <w:p w14:paraId="0E9C9637" w14:textId="77777777" w:rsidR="00BE2CA7" w:rsidRPr="00440C76" w:rsidRDefault="00BE2CA7" w:rsidP="00BE2CA7">
      <w:pPr>
        <w:tabs>
          <w:tab w:val="right" w:pos="850"/>
          <w:tab w:val="right" w:leader="dot" w:pos="8787"/>
          <w:tab w:val="right" w:pos="9638"/>
        </w:tabs>
        <w:spacing w:after="120"/>
        <w:ind w:left="1134" w:hanging="1134"/>
        <w:rPr>
          <w:rFonts w:eastAsia="MS Mincho"/>
          <w:lang w:val="fr-FR"/>
        </w:rPr>
      </w:pPr>
      <w:r w:rsidRPr="00440C76">
        <w:rPr>
          <w:rFonts w:eastAsia="MS Mincho"/>
          <w:lang w:val="fr-FR"/>
        </w:rPr>
        <w:tab/>
        <w:t>1.</w:t>
      </w:r>
      <w:r w:rsidRPr="00440C76">
        <w:rPr>
          <w:rFonts w:eastAsia="MS Mincho"/>
          <w:lang w:val="fr-FR"/>
        </w:rPr>
        <w:tab/>
      </w:r>
      <w:r w:rsidRPr="00440C76">
        <w:rPr>
          <w:lang w:val="fr-FR"/>
        </w:rPr>
        <w:t>Domaine d</w:t>
      </w:r>
      <w:r>
        <w:rPr>
          <w:lang w:val="fr-FR"/>
        </w:rPr>
        <w:t>’</w:t>
      </w:r>
      <w:r w:rsidRPr="00440C76">
        <w:rPr>
          <w:lang w:val="fr-FR"/>
        </w:rPr>
        <w:t>application</w:t>
      </w:r>
      <w:r w:rsidRPr="00440C76">
        <w:rPr>
          <w:rFonts w:eastAsia="MS Mincho"/>
          <w:webHidden/>
          <w:lang w:val="fr-FR"/>
        </w:rPr>
        <w:tab/>
      </w:r>
      <w:r w:rsidRPr="00440C76">
        <w:rPr>
          <w:rFonts w:eastAsia="MS Mincho"/>
          <w:webHidden/>
          <w:lang w:val="fr-FR"/>
        </w:rPr>
        <w:tab/>
      </w:r>
      <w:r>
        <w:rPr>
          <w:rFonts w:eastAsia="MS Mincho"/>
          <w:webHidden/>
          <w:lang w:val="fr-FR"/>
        </w:rPr>
        <w:t>4</w:t>
      </w:r>
    </w:p>
    <w:p w14:paraId="283B717B" w14:textId="77777777" w:rsidR="00BE2CA7" w:rsidRPr="00440C76" w:rsidRDefault="00BE2CA7" w:rsidP="00BE2CA7">
      <w:pPr>
        <w:tabs>
          <w:tab w:val="right" w:pos="850"/>
          <w:tab w:val="right" w:leader="dot" w:pos="8787"/>
          <w:tab w:val="right" w:pos="9638"/>
        </w:tabs>
        <w:spacing w:after="120"/>
        <w:ind w:left="1134" w:hanging="1134"/>
        <w:rPr>
          <w:rFonts w:eastAsia="MS Mincho"/>
          <w:lang w:val="fr-FR"/>
        </w:rPr>
      </w:pPr>
      <w:r w:rsidRPr="00440C76">
        <w:rPr>
          <w:rFonts w:eastAsia="MS Mincho"/>
          <w:lang w:val="fr-FR"/>
        </w:rPr>
        <w:tab/>
        <w:t>2.</w:t>
      </w:r>
      <w:r w:rsidRPr="00440C76">
        <w:rPr>
          <w:rFonts w:eastAsia="MS Mincho"/>
          <w:lang w:val="fr-FR"/>
        </w:rPr>
        <w:tab/>
      </w:r>
      <w:r w:rsidRPr="00440C76">
        <w:rPr>
          <w:lang w:val="fr-FR"/>
        </w:rPr>
        <w:t>Définitions</w:t>
      </w:r>
      <w:r w:rsidRPr="00440C76">
        <w:rPr>
          <w:rFonts w:eastAsia="MS Mincho"/>
          <w:webHidden/>
          <w:lang w:val="fr-FR"/>
        </w:rPr>
        <w:tab/>
      </w:r>
      <w:r w:rsidRPr="00440C76">
        <w:rPr>
          <w:rFonts w:eastAsia="MS Mincho"/>
          <w:webHidden/>
          <w:lang w:val="fr-FR"/>
        </w:rPr>
        <w:tab/>
      </w:r>
      <w:r>
        <w:rPr>
          <w:rFonts w:eastAsia="MS Mincho"/>
          <w:webHidden/>
          <w:lang w:val="fr-FR"/>
        </w:rPr>
        <w:t>4</w:t>
      </w:r>
    </w:p>
    <w:p w14:paraId="0B7D49B0" w14:textId="77777777" w:rsidR="00BE2CA7" w:rsidRPr="00440C76" w:rsidRDefault="00BE2CA7" w:rsidP="00BE2CA7">
      <w:pPr>
        <w:tabs>
          <w:tab w:val="right" w:pos="850"/>
          <w:tab w:val="right" w:leader="dot" w:pos="8787"/>
          <w:tab w:val="right" w:pos="9638"/>
        </w:tabs>
        <w:spacing w:after="120"/>
        <w:ind w:left="1134" w:hanging="1134"/>
        <w:rPr>
          <w:rFonts w:eastAsia="MS Mincho"/>
          <w:lang w:val="fr-FR"/>
        </w:rPr>
      </w:pPr>
      <w:r w:rsidRPr="00440C76">
        <w:rPr>
          <w:rFonts w:eastAsia="MS Mincho"/>
          <w:lang w:val="fr-FR"/>
        </w:rPr>
        <w:tab/>
        <w:t>3.</w:t>
      </w:r>
      <w:r w:rsidRPr="00440C76">
        <w:rPr>
          <w:rFonts w:eastAsia="MS Mincho"/>
          <w:lang w:val="fr-FR"/>
        </w:rPr>
        <w:tab/>
      </w:r>
      <w:r w:rsidRPr="00440C76">
        <w:rPr>
          <w:lang w:val="fr-FR"/>
        </w:rPr>
        <w:t>Demande d</w:t>
      </w:r>
      <w:r>
        <w:rPr>
          <w:lang w:val="fr-FR"/>
        </w:rPr>
        <w:t>’</w:t>
      </w:r>
      <w:r w:rsidRPr="00440C76">
        <w:rPr>
          <w:lang w:val="fr-FR"/>
        </w:rPr>
        <w:t>homologation</w:t>
      </w:r>
      <w:r w:rsidRPr="00440C76">
        <w:rPr>
          <w:rFonts w:eastAsia="MS Mincho"/>
          <w:webHidden/>
          <w:lang w:val="fr-FR"/>
        </w:rPr>
        <w:tab/>
      </w:r>
      <w:r w:rsidRPr="00440C76">
        <w:rPr>
          <w:rFonts w:eastAsia="MS Mincho"/>
          <w:webHidden/>
          <w:lang w:val="fr-FR"/>
        </w:rPr>
        <w:tab/>
      </w:r>
      <w:r>
        <w:rPr>
          <w:rFonts w:eastAsia="MS Mincho"/>
          <w:webHidden/>
          <w:lang w:val="fr-FR"/>
        </w:rPr>
        <w:t>5</w:t>
      </w:r>
    </w:p>
    <w:p w14:paraId="60809BC9" w14:textId="77777777" w:rsidR="00BE2CA7" w:rsidRPr="00440C76" w:rsidRDefault="00BE2CA7" w:rsidP="00BE2CA7">
      <w:pPr>
        <w:tabs>
          <w:tab w:val="right" w:pos="850"/>
          <w:tab w:val="right" w:leader="dot" w:pos="8787"/>
          <w:tab w:val="right" w:pos="9638"/>
        </w:tabs>
        <w:spacing w:after="120"/>
        <w:ind w:left="1134" w:hanging="1134"/>
        <w:rPr>
          <w:rFonts w:eastAsia="MS Mincho"/>
          <w:lang w:val="fr-FR"/>
        </w:rPr>
      </w:pPr>
      <w:r w:rsidRPr="00440C76">
        <w:rPr>
          <w:rFonts w:eastAsia="MS Mincho"/>
          <w:lang w:val="fr-FR"/>
        </w:rPr>
        <w:tab/>
        <w:t>4.</w:t>
      </w:r>
      <w:r w:rsidRPr="00440C76">
        <w:rPr>
          <w:rFonts w:eastAsia="MS Mincho"/>
          <w:lang w:val="fr-FR"/>
        </w:rPr>
        <w:tab/>
      </w:r>
      <w:r w:rsidRPr="00440C76">
        <w:rPr>
          <w:lang w:val="fr-FR"/>
        </w:rPr>
        <w:t>Homologation</w:t>
      </w:r>
      <w:r w:rsidRPr="00440C76">
        <w:rPr>
          <w:rFonts w:eastAsia="MS Mincho"/>
          <w:webHidden/>
          <w:lang w:val="fr-FR"/>
        </w:rPr>
        <w:tab/>
      </w:r>
      <w:r w:rsidRPr="00440C76">
        <w:rPr>
          <w:rFonts w:eastAsia="MS Mincho"/>
          <w:webHidden/>
          <w:lang w:val="fr-FR"/>
        </w:rPr>
        <w:tab/>
      </w:r>
      <w:r>
        <w:rPr>
          <w:rFonts w:eastAsia="MS Mincho"/>
          <w:webHidden/>
          <w:lang w:val="fr-FR"/>
        </w:rPr>
        <w:t>7</w:t>
      </w:r>
    </w:p>
    <w:p w14:paraId="40E5465C" w14:textId="77777777" w:rsidR="00BE2CA7" w:rsidRPr="00440C76" w:rsidRDefault="00BE2CA7" w:rsidP="00BE2CA7">
      <w:pPr>
        <w:tabs>
          <w:tab w:val="right" w:pos="850"/>
          <w:tab w:val="right" w:leader="dot" w:pos="8787"/>
          <w:tab w:val="right" w:pos="9638"/>
        </w:tabs>
        <w:spacing w:after="120"/>
        <w:ind w:left="1134" w:hanging="1134"/>
        <w:rPr>
          <w:rFonts w:eastAsia="MS Mincho"/>
          <w:lang w:val="fr-FR"/>
        </w:rPr>
      </w:pPr>
      <w:r w:rsidRPr="00440C76">
        <w:rPr>
          <w:rFonts w:eastAsia="MS Mincho"/>
          <w:lang w:val="fr-FR"/>
        </w:rPr>
        <w:tab/>
        <w:t>5.</w:t>
      </w:r>
      <w:r w:rsidRPr="00440C76">
        <w:rPr>
          <w:rFonts w:eastAsia="MS Mincho"/>
          <w:lang w:val="fr-FR"/>
        </w:rPr>
        <w:tab/>
      </w:r>
      <w:r w:rsidRPr="00440C76">
        <w:rPr>
          <w:lang w:val="fr-FR"/>
        </w:rPr>
        <w:t>Spécifications techniques et essais</w:t>
      </w:r>
      <w:r w:rsidRPr="00440C76">
        <w:rPr>
          <w:rFonts w:eastAsia="MS Mincho"/>
          <w:webHidden/>
          <w:lang w:val="fr-FR"/>
        </w:rPr>
        <w:tab/>
      </w:r>
      <w:r w:rsidRPr="00440C76">
        <w:rPr>
          <w:rFonts w:eastAsia="MS Mincho"/>
          <w:webHidden/>
          <w:lang w:val="fr-FR"/>
        </w:rPr>
        <w:tab/>
      </w:r>
      <w:r>
        <w:rPr>
          <w:rFonts w:eastAsia="MS Mincho"/>
          <w:webHidden/>
          <w:lang w:val="fr-FR"/>
        </w:rPr>
        <w:t>9</w:t>
      </w:r>
    </w:p>
    <w:p w14:paraId="36C9172E" w14:textId="77777777" w:rsidR="00BE2CA7" w:rsidRPr="00440C76" w:rsidRDefault="00BE2CA7" w:rsidP="00BE2CA7">
      <w:pPr>
        <w:tabs>
          <w:tab w:val="right" w:pos="850"/>
          <w:tab w:val="right" w:leader="dot" w:pos="8787"/>
          <w:tab w:val="right" w:pos="9638"/>
        </w:tabs>
        <w:spacing w:after="120"/>
        <w:ind w:left="1134" w:hanging="1134"/>
        <w:rPr>
          <w:rFonts w:eastAsia="MS Mincho"/>
          <w:lang w:val="fr-FR"/>
        </w:rPr>
      </w:pPr>
      <w:r w:rsidRPr="00440C76">
        <w:rPr>
          <w:rFonts w:eastAsia="MS Mincho"/>
          <w:lang w:val="fr-FR"/>
        </w:rPr>
        <w:tab/>
        <w:t>6.</w:t>
      </w:r>
      <w:r w:rsidRPr="00440C76">
        <w:rPr>
          <w:rFonts w:eastAsia="MS Mincho"/>
          <w:lang w:val="fr-FR"/>
        </w:rPr>
        <w:tab/>
      </w:r>
      <w:r w:rsidRPr="00440C76">
        <w:rPr>
          <w:bCs/>
          <w:lang w:val="fr-FR"/>
        </w:rPr>
        <w:t>Réservé</w:t>
      </w:r>
      <w:r w:rsidRPr="00440C76">
        <w:rPr>
          <w:rFonts w:eastAsia="MS Mincho"/>
          <w:webHidden/>
          <w:lang w:val="fr-FR"/>
        </w:rPr>
        <w:tab/>
      </w:r>
      <w:r w:rsidRPr="00440C76">
        <w:rPr>
          <w:rFonts w:eastAsia="MS Mincho"/>
          <w:webHidden/>
          <w:lang w:val="fr-FR"/>
        </w:rPr>
        <w:tab/>
      </w:r>
      <w:r>
        <w:rPr>
          <w:rFonts w:eastAsia="MS Mincho"/>
          <w:webHidden/>
          <w:lang w:val="fr-FR"/>
        </w:rPr>
        <w:t>14</w:t>
      </w:r>
    </w:p>
    <w:p w14:paraId="5B8B1ECB" w14:textId="77777777" w:rsidR="00BE2CA7" w:rsidRPr="00440C76" w:rsidRDefault="00BE2CA7" w:rsidP="00BE2CA7">
      <w:pPr>
        <w:tabs>
          <w:tab w:val="right" w:pos="850"/>
          <w:tab w:val="right" w:leader="dot" w:pos="8787"/>
          <w:tab w:val="right" w:pos="9638"/>
        </w:tabs>
        <w:spacing w:after="120"/>
        <w:ind w:left="1134" w:hanging="1134"/>
        <w:rPr>
          <w:rFonts w:eastAsia="MS Mincho"/>
          <w:lang w:val="fr-FR"/>
        </w:rPr>
      </w:pPr>
      <w:r w:rsidRPr="00440C76">
        <w:rPr>
          <w:rFonts w:eastAsia="MS Mincho"/>
          <w:lang w:val="fr-FR"/>
        </w:rPr>
        <w:tab/>
        <w:t>7.</w:t>
      </w:r>
      <w:r w:rsidRPr="00440C76">
        <w:rPr>
          <w:rFonts w:eastAsia="MS Mincho"/>
          <w:lang w:val="fr-FR"/>
        </w:rPr>
        <w:tab/>
      </w:r>
      <w:r w:rsidRPr="00440C76">
        <w:rPr>
          <w:lang w:val="fr-FR"/>
        </w:rPr>
        <w:t>Extension d</w:t>
      </w:r>
      <w:r>
        <w:rPr>
          <w:lang w:val="fr-FR"/>
        </w:rPr>
        <w:t>’</w:t>
      </w:r>
      <w:r w:rsidRPr="00440C76">
        <w:rPr>
          <w:lang w:val="fr-FR"/>
        </w:rPr>
        <w:t>homologations de type</w:t>
      </w:r>
      <w:r w:rsidRPr="00440C76">
        <w:rPr>
          <w:rFonts w:eastAsia="MS Mincho"/>
          <w:webHidden/>
          <w:lang w:val="fr-FR"/>
        </w:rPr>
        <w:tab/>
      </w:r>
      <w:r w:rsidRPr="00440C76">
        <w:rPr>
          <w:rFonts w:eastAsia="MS Mincho"/>
          <w:webHidden/>
          <w:lang w:val="fr-FR"/>
        </w:rPr>
        <w:tab/>
      </w:r>
      <w:r>
        <w:rPr>
          <w:rFonts w:eastAsia="MS Mincho"/>
          <w:webHidden/>
          <w:lang w:val="fr-FR"/>
        </w:rPr>
        <w:t>14</w:t>
      </w:r>
    </w:p>
    <w:p w14:paraId="03293ED9" w14:textId="77777777" w:rsidR="00BE2CA7" w:rsidRPr="00440C76" w:rsidRDefault="00BE2CA7" w:rsidP="00BE2CA7">
      <w:pPr>
        <w:tabs>
          <w:tab w:val="right" w:pos="850"/>
          <w:tab w:val="right" w:leader="dot" w:pos="8787"/>
          <w:tab w:val="right" w:pos="9638"/>
        </w:tabs>
        <w:spacing w:after="120"/>
        <w:ind w:left="1134" w:hanging="1134"/>
        <w:rPr>
          <w:rFonts w:eastAsia="MS Mincho"/>
          <w:lang w:val="fr-FR"/>
        </w:rPr>
      </w:pPr>
      <w:r w:rsidRPr="00440C76">
        <w:rPr>
          <w:rFonts w:eastAsia="MS Mincho"/>
          <w:lang w:val="fr-FR"/>
        </w:rPr>
        <w:tab/>
        <w:t>8.</w:t>
      </w:r>
      <w:r w:rsidRPr="00440C76">
        <w:rPr>
          <w:rFonts w:eastAsia="MS Mincho"/>
          <w:lang w:val="fr-FR"/>
        </w:rPr>
        <w:tab/>
      </w:r>
      <w:r w:rsidRPr="00440C76">
        <w:rPr>
          <w:lang w:val="fr-FR"/>
        </w:rPr>
        <w:t>Conformité de la production (COP)</w:t>
      </w:r>
      <w:r w:rsidRPr="00440C76">
        <w:rPr>
          <w:rFonts w:eastAsia="MS Mincho"/>
          <w:webHidden/>
          <w:lang w:val="fr-FR"/>
        </w:rPr>
        <w:tab/>
      </w:r>
      <w:r w:rsidRPr="00440C76">
        <w:rPr>
          <w:rFonts w:eastAsia="MS Mincho"/>
          <w:webHidden/>
          <w:lang w:val="fr-FR"/>
        </w:rPr>
        <w:tab/>
      </w:r>
      <w:r>
        <w:rPr>
          <w:rFonts w:eastAsia="MS Mincho"/>
          <w:webHidden/>
          <w:lang w:val="fr-FR"/>
        </w:rPr>
        <w:t>15</w:t>
      </w:r>
    </w:p>
    <w:p w14:paraId="605CA9ED" w14:textId="77777777" w:rsidR="00BE2CA7" w:rsidRPr="00440C76" w:rsidRDefault="00BE2CA7" w:rsidP="00BE2CA7">
      <w:pPr>
        <w:tabs>
          <w:tab w:val="right" w:pos="850"/>
          <w:tab w:val="right" w:leader="dot" w:pos="8787"/>
          <w:tab w:val="right" w:pos="9638"/>
        </w:tabs>
        <w:spacing w:after="120"/>
        <w:ind w:left="1134" w:hanging="1134"/>
        <w:rPr>
          <w:rFonts w:eastAsia="MS Mincho"/>
          <w:lang w:val="fr-FR"/>
        </w:rPr>
      </w:pPr>
      <w:r w:rsidRPr="00440C76">
        <w:rPr>
          <w:rFonts w:eastAsia="MS Mincho"/>
          <w:lang w:val="fr-FR"/>
        </w:rPr>
        <w:tab/>
        <w:t>9.</w:t>
      </w:r>
      <w:r w:rsidRPr="00440C76">
        <w:rPr>
          <w:rFonts w:eastAsia="MS Mincho"/>
          <w:lang w:val="fr-FR"/>
        </w:rPr>
        <w:tab/>
      </w:r>
      <w:r w:rsidRPr="00440C76">
        <w:rPr>
          <w:lang w:val="fr-FR"/>
        </w:rPr>
        <w:t>Conformité en service</w:t>
      </w:r>
      <w:r w:rsidRPr="00440C76">
        <w:rPr>
          <w:rFonts w:eastAsia="MS Mincho"/>
          <w:webHidden/>
          <w:lang w:val="fr-FR"/>
        </w:rPr>
        <w:tab/>
      </w:r>
      <w:r w:rsidRPr="00440C76">
        <w:rPr>
          <w:rFonts w:eastAsia="MS Mincho"/>
          <w:webHidden/>
          <w:lang w:val="fr-FR"/>
        </w:rPr>
        <w:tab/>
      </w:r>
      <w:r>
        <w:rPr>
          <w:rFonts w:eastAsia="MS Mincho"/>
          <w:webHidden/>
          <w:lang w:val="fr-FR"/>
        </w:rPr>
        <w:t>15</w:t>
      </w:r>
    </w:p>
    <w:p w14:paraId="5DEFD18C" w14:textId="77777777" w:rsidR="00BE2CA7" w:rsidRPr="00440C76" w:rsidRDefault="00BE2CA7" w:rsidP="00BE2CA7">
      <w:pPr>
        <w:tabs>
          <w:tab w:val="right" w:pos="850"/>
          <w:tab w:val="right" w:leader="dot" w:pos="8787"/>
          <w:tab w:val="right" w:pos="9638"/>
        </w:tabs>
        <w:spacing w:after="120"/>
        <w:ind w:left="1134" w:hanging="1134"/>
        <w:rPr>
          <w:rFonts w:eastAsia="MS Mincho"/>
          <w:lang w:val="fr-FR"/>
        </w:rPr>
      </w:pPr>
      <w:r w:rsidRPr="00440C76">
        <w:rPr>
          <w:rFonts w:eastAsia="MS Mincho"/>
          <w:lang w:val="fr-FR"/>
        </w:rPr>
        <w:tab/>
        <w:t>10.</w:t>
      </w:r>
      <w:r w:rsidRPr="00440C76">
        <w:rPr>
          <w:rFonts w:eastAsia="MS Mincho"/>
          <w:lang w:val="fr-FR"/>
        </w:rPr>
        <w:tab/>
      </w:r>
      <w:r w:rsidRPr="00440C76">
        <w:rPr>
          <w:lang w:val="fr-FR"/>
        </w:rPr>
        <w:t>Sanctions pour non-conformité de la production</w:t>
      </w:r>
      <w:r w:rsidRPr="00440C76">
        <w:rPr>
          <w:rFonts w:eastAsia="MS Mincho"/>
          <w:webHidden/>
          <w:lang w:val="fr-FR"/>
        </w:rPr>
        <w:tab/>
      </w:r>
      <w:r w:rsidRPr="00440C76">
        <w:rPr>
          <w:rFonts w:eastAsia="MS Mincho"/>
          <w:webHidden/>
          <w:lang w:val="fr-FR"/>
        </w:rPr>
        <w:tab/>
      </w:r>
      <w:r>
        <w:rPr>
          <w:rFonts w:eastAsia="MS Mincho"/>
          <w:webHidden/>
          <w:lang w:val="fr-FR"/>
        </w:rPr>
        <w:t>16</w:t>
      </w:r>
    </w:p>
    <w:p w14:paraId="5446E0A5" w14:textId="77777777" w:rsidR="00BE2CA7" w:rsidRPr="00440C76" w:rsidRDefault="00BE2CA7" w:rsidP="00BE2CA7">
      <w:pPr>
        <w:tabs>
          <w:tab w:val="right" w:pos="850"/>
          <w:tab w:val="right" w:leader="dot" w:pos="8787"/>
          <w:tab w:val="right" w:pos="9638"/>
        </w:tabs>
        <w:spacing w:after="120"/>
        <w:ind w:left="1134" w:hanging="1134"/>
        <w:rPr>
          <w:rFonts w:eastAsia="MS Mincho"/>
          <w:lang w:val="fr-FR"/>
        </w:rPr>
      </w:pPr>
      <w:r w:rsidRPr="00440C76">
        <w:rPr>
          <w:rFonts w:eastAsia="MS Mincho"/>
          <w:lang w:val="fr-FR"/>
        </w:rPr>
        <w:tab/>
        <w:t>11.</w:t>
      </w:r>
      <w:r w:rsidRPr="00440C76">
        <w:rPr>
          <w:rFonts w:eastAsia="MS Mincho"/>
          <w:lang w:val="fr-FR"/>
        </w:rPr>
        <w:tab/>
      </w:r>
      <w:r w:rsidRPr="00440C76">
        <w:rPr>
          <w:rFonts w:eastAsia="Times New Roman"/>
          <w:lang w:val="fr-FR"/>
        </w:rPr>
        <w:t xml:space="preserve">Arrêt </w:t>
      </w:r>
      <w:r w:rsidRPr="00440C76">
        <w:rPr>
          <w:lang w:val="fr-FR"/>
        </w:rPr>
        <w:t>définitif</w:t>
      </w:r>
      <w:r w:rsidRPr="00440C76">
        <w:rPr>
          <w:rFonts w:eastAsia="Times New Roman"/>
          <w:lang w:val="fr-FR"/>
        </w:rPr>
        <w:t xml:space="preserve"> de la production</w:t>
      </w:r>
      <w:r w:rsidRPr="00440C76">
        <w:rPr>
          <w:rFonts w:eastAsia="MS Mincho"/>
          <w:webHidden/>
          <w:lang w:val="fr-FR"/>
        </w:rPr>
        <w:tab/>
      </w:r>
      <w:r w:rsidRPr="00440C76">
        <w:rPr>
          <w:rFonts w:eastAsia="MS Mincho"/>
          <w:webHidden/>
          <w:lang w:val="fr-FR"/>
        </w:rPr>
        <w:tab/>
      </w:r>
      <w:r>
        <w:rPr>
          <w:rFonts w:eastAsia="MS Mincho"/>
          <w:webHidden/>
          <w:lang w:val="fr-FR"/>
        </w:rPr>
        <w:t>17</w:t>
      </w:r>
    </w:p>
    <w:p w14:paraId="3E24EC4A" w14:textId="77777777" w:rsidR="00BE2CA7" w:rsidRPr="00440C76" w:rsidRDefault="00BE2CA7" w:rsidP="00BE2CA7">
      <w:pPr>
        <w:tabs>
          <w:tab w:val="right" w:pos="850"/>
          <w:tab w:val="right" w:leader="dot" w:pos="8787"/>
          <w:tab w:val="right" w:pos="9638"/>
        </w:tabs>
        <w:spacing w:after="120"/>
        <w:ind w:left="1134" w:hanging="1134"/>
        <w:rPr>
          <w:rFonts w:eastAsia="MS Mincho"/>
          <w:lang w:val="fr-FR"/>
        </w:rPr>
      </w:pPr>
      <w:r w:rsidRPr="00440C76">
        <w:rPr>
          <w:rFonts w:eastAsia="MS Mincho"/>
          <w:lang w:val="fr-FR"/>
        </w:rPr>
        <w:tab/>
        <w:t>12.</w:t>
      </w:r>
      <w:r w:rsidRPr="00440C76">
        <w:rPr>
          <w:rFonts w:eastAsia="MS Mincho"/>
          <w:lang w:val="fr-FR"/>
        </w:rPr>
        <w:tab/>
      </w:r>
      <w:r w:rsidRPr="00440C76">
        <w:rPr>
          <w:lang w:val="fr-FR"/>
        </w:rPr>
        <w:t>Dispositions</w:t>
      </w:r>
      <w:r w:rsidRPr="00440C76">
        <w:rPr>
          <w:rFonts w:eastAsia="Times New Roman"/>
          <w:lang w:val="fr-FR"/>
        </w:rPr>
        <w:t xml:space="preserve"> transitoires</w:t>
      </w:r>
      <w:r w:rsidRPr="00440C76">
        <w:rPr>
          <w:rFonts w:eastAsia="MS Mincho"/>
          <w:webHidden/>
          <w:lang w:val="fr-FR"/>
        </w:rPr>
        <w:tab/>
      </w:r>
      <w:r w:rsidRPr="00440C76">
        <w:rPr>
          <w:rFonts w:eastAsia="MS Mincho"/>
          <w:webHidden/>
          <w:lang w:val="fr-FR"/>
        </w:rPr>
        <w:tab/>
      </w:r>
      <w:r>
        <w:rPr>
          <w:rFonts w:eastAsia="MS Mincho"/>
          <w:webHidden/>
          <w:lang w:val="fr-FR"/>
        </w:rPr>
        <w:t>17</w:t>
      </w:r>
    </w:p>
    <w:p w14:paraId="29899E43" w14:textId="77777777" w:rsidR="00BE2CA7" w:rsidRPr="00440C76" w:rsidRDefault="00BE2CA7" w:rsidP="00BE2CA7">
      <w:pPr>
        <w:tabs>
          <w:tab w:val="right" w:pos="850"/>
          <w:tab w:val="right" w:leader="dot" w:pos="8787"/>
          <w:tab w:val="right" w:pos="9638"/>
        </w:tabs>
        <w:spacing w:after="120"/>
        <w:ind w:left="1134" w:hanging="1134"/>
        <w:rPr>
          <w:rFonts w:eastAsia="MS Mincho"/>
          <w:lang w:val="fr-FR"/>
        </w:rPr>
      </w:pPr>
      <w:r w:rsidRPr="00440C76">
        <w:rPr>
          <w:rFonts w:eastAsia="MS Mincho"/>
          <w:lang w:val="fr-FR"/>
        </w:rPr>
        <w:tab/>
        <w:t>13.</w:t>
      </w:r>
      <w:r w:rsidRPr="00440C76">
        <w:rPr>
          <w:rFonts w:eastAsia="MS Mincho"/>
          <w:lang w:val="fr-FR"/>
        </w:rPr>
        <w:tab/>
      </w:r>
      <w:r w:rsidRPr="00440C76">
        <w:rPr>
          <w:rFonts w:eastAsia="Times New Roman"/>
          <w:szCs w:val="28"/>
          <w:lang w:val="fr-FR"/>
        </w:rPr>
        <w:t xml:space="preserve">Noms et </w:t>
      </w:r>
      <w:r w:rsidRPr="00440C76">
        <w:rPr>
          <w:lang w:val="fr-FR"/>
        </w:rPr>
        <w:t>adresses</w:t>
      </w:r>
      <w:r w:rsidRPr="00440C76">
        <w:rPr>
          <w:rFonts w:eastAsia="Times New Roman"/>
          <w:szCs w:val="28"/>
          <w:lang w:val="fr-FR"/>
        </w:rPr>
        <w:t xml:space="preserve"> des services techniques chargés des </w:t>
      </w:r>
      <w:r w:rsidRPr="00440C76">
        <w:rPr>
          <w:rFonts w:eastAsia="Times New Roman"/>
          <w:lang w:val="fr-FR"/>
        </w:rPr>
        <w:t>essais</w:t>
      </w:r>
      <w:r w:rsidRPr="00440C76">
        <w:rPr>
          <w:rFonts w:eastAsia="Times New Roman"/>
          <w:szCs w:val="28"/>
          <w:lang w:val="fr-FR"/>
        </w:rPr>
        <w:t xml:space="preserve"> </w:t>
      </w:r>
      <w:r w:rsidRPr="00440C76">
        <w:rPr>
          <w:lang w:val="fr-FR"/>
        </w:rPr>
        <w:t>d</w:t>
      </w:r>
      <w:r>
        <w:rPr>
          <w:lang w:val="fr-FR"/>
        </w:rPr>
        <w:t>’</w:t>
      </w:r>
      <w:r w:rsidRPr="00440C76">
        <w:rPr>
          <w:lang w:val="fr-FR"/>
        </w:rPr>
        <w:t>homologation</w:t>
      </w:r>
      <w:r w:rsidRPr="00440C76">
        <w:rPr>
          <w:rFonts w:eastAsia="Times New Roman"/>
          <w:szCs w:val="28"/>
          <w:lang w:val="fr-FR"/>
        </w:rPr>
        <w:t xml:space="preserve"> </w:t>
      </w:r>
      <w:r w:rsidRPr="00440C76">
        <w:rPr>
          <w:rFonts w:eastAsia="Times New Roman"/>
          <w:szCs w:val="28"/>
          <w:lang w:val="fr-FR"/>
        </w:rPr>
        <w:br/>
        <w:t>et des autorités d</w:t>
      </w:r>
      <w:r>
        <w:rPr>
          <w:rFonts w:eastAsia="Times New Roman"/>
          <w:szCs w:val="28"/>
          <w:lang w:val="fr-FR"/>
        </w:rPr>
        <w:t>’</w:t>
      </w:r>
      <w:r w:rsidRPr="00440C76">
        <w:rPr>
          <w:rFonts w:eastAsia="Times New Roman"/>
          <w:szCs w:val="28"/>
          <w:lang w:val="fr-FR"/>
        </w:rPr>
        <w:t>homologation de type</w:t>
      </w:r>
      <w:r w:rsidRPr="00440C76">
        <w:rPr>
          <w:rFonts w:eastAsia="MS Mincho"/>
          <w:lang w:val="fr-FR"/>
        </w:rPr>
        <w:tab/>
      </w:r>
      <w:r w:rsidRPr="00440C76">
        <w:rPr>
          <w:rFonts w:eastAsia="MS Mincho"/>
          <w:webHidden/>
          <w:lang w:val="fr-FR"/>
        </w:rPr>
        <w:tab/>
      </w:r>
      <w:r>
        <w:rPr>
          <w:rFonts w:eastAsia="MS Mincho"/>
          <w:webHidden/>
          <w:lang w:val="fr-FR"/>
        </w:rPr>
        <w:t>18</w:t>
      </w:r>
    </w:p>
    <w:p w14:paraId="1F893FD7" w14:textId="77777777" w:rsidR="00BE2CA7" w:rsidRPr="00440C76" w:rsidRDefault="00BE2CA7" w:rsidP="00BE2CA7">
      <w:pPr>
        <w:tabs>
          <w:tab w:val="right" w:pos="850"/>
        </w:tabs>
        <w:spacing w:after="120"/>
        <w:rPr>
          <w:rFonts w:eastAsia="MS Mincho"/>
          <w:lang w:val="fr-FR"/>
        </w:rPr>
      </w:pPr>
      <w:r w:rsidRPr="00440C76">
        <w:rPr>
          <w:rFonts w:eastAsia="MS Mincho"/>
          <w:lang w:val="fr-FR"/>
        </w:rPr>
        <w:tab/>
      </w:r>
      <w:r w:rsidRPr="00440C76">
        <w:rPr>
          <w:lang w:val="fr-FR"/>
        </w:rPr>
        <w:t>Annexes</w:t>
      </w:r>
    </w:p>
    <w:p w14:paraId="6F62EA3A" w14:textId="77777777" w:rsidR="00BE2CA7" w:rsidRDefault="00BE2CA7" w:rsidP="00BE2CA7">
      <w:pPr>
        <w:tabs>
          <w:tab w:val="right" w:pos="850"/>
          <w:tab w:val="right" w:leader="dot" w:pos="8787"/>
          <w:tab w:val="right" w:pos="9638"/>
        </w:tabs>
        <w:spacing w:after="120"/>
        <w:ind w:left="1134" w:hanging="1134"/>
        <w:rPr>
          <w:lang w:val="fr-FR"/>
        </w:rPr>
      </w:pPr>
      <w:r w:rsidRPr="00440C76">
        <w:rPr>
          <w:rFonts w:eastAsia="MS Mincho"/>
          <w:lang w:val="fr-FR"/>
        </w:rPr>
        <w:tab/>
        <w:t>1</w:t>
      </w:r>
      <w:r w:rsidRPr="00440C76">
        <w:rPr>
          <w:rFonts w:eastAsia="MS Mincho"/>
          <w:lang w:val="fr-FR"/>
        </w:rPr>
        <w:tab/>
      </w:r>
      <w:r w:rsidRPr="00440C76">
        <w:rPr>
          <w:lang w:val="fr-FR"/>
        </w:rPr>
        <w:t>Caractéristiques du moteur et du véhicule et informations concernant la réalisation des essais</w:t>
      </w:r>
      <w:r>
        <w:rPr>
          <w:lang w:val="fr-FR"/>
        </w:rPr>
        <w:tab/>
      </w:r>
      <w:r>
        <w:rPr>
          <w:lang w:val="fr-FR"/>
        </w:rPr>
        <w:tab/>
        <w:t>19</w:t>
      </w:r>
    </w:p>
    <w:p w14:paraId="40C0AC14" w14:textId="77777777" w:rsidR="00BE2CA7" w:rsidRDefault="00BE2CA7" w:rsidP="00BE2CA7">
      <w:pPr>
        <w:tabs>
          <w:tab w:val="right" w:pos="850"/>
          <w:tab w:val="right" w:leader="dot" w:pos="8787"/>
          <w:tab w:val="right" w:pos="9638"/>
        </w:tabs>
        <w:spacing w:after="120"/>
        <w:ind w:left="1134"/>
        <w:rPr>
          <w:rFonts w:eastAsia="MS Mincho"/>
          <w:lang w:val="fr-FR"/>
        </w:rPr>
      </w:pPr>
      <w:r w:rsidRPr="00440C76">
        <w:rPr>
          <w:rFonts w:eastAsia="MS Mincho"/>
          <w:lang w:val="fr-FR"/>
        </w:rPr>
        <w:t>Appendice</w:t>
      </w:r>
      <w:r>
        <w:rPr>
          <w:rFonts w:eastAsia="MS Mincho"/>
          <w:lang w:val="fr-FR"/>
        </w:rPr>
        <w:t> </w:t>
      </w:r>
      <w:r w:rsidRPr="00440C76">
        <w:rPr>
          <w:rFonts w:eastAsia="MS Mincho"/>
          <w:lang w:val="fr-FR"/>
        </w:rPr>
        <w:t>1−</w:t>
      </w:r>
      <w:r>
        <w:rPr>
          <w:rFonts w:eastAsia="MS Mincho"/>
          <w:lang w:val="fr-FR"/>
        </w:rPr>
        <w:t xml:space="preserve"> Procès-verbal d’essai</w:t>
      </w:r>
      <w:r>
        <w:rPr>
          <w:rFonts w:eastAsia="MS Mincho"/>
          <w:lang w:val="fr-FR"/>
        </w:rPr>
        <w:tab/>
      </w:r>
      <w:r>
        <w:rPr>
          <w:rFonts w:eastAsia="MS Mincho"/>
          <w:lang w:val="fr-FR"/>
        </w:rPr>
        <w:tab/>
        <w:t>23</w:t>
      </w:r>
    </w:p>
    <w:p w14:paraId="3A966298" w14:textId="77777777" w:rsidR="00BE2CA7" w:rsidRDefault="00BE2CA7" w:rsidP="00BE2CA7">
      <w:pPr>
        <w:tabs>
          <w:tab w:val="right" w:pos="850"/>
          <w:tab w:val="right" w:leader="dot" w:pos="8787"/>
          <w:tab w:val="right" w:pos="9638"/>
        </w:tabs>
        <w:spacing w:after="120"/>
        <w:ind w:left="1134"/>
        <w:rPr>
          <w:rFonts w:eastAsia="MS Mincho"/>
          <w:lang w:val="fr-FR"/>
        </w:rPr>
      </w:pPr>
      <w:r>
        <w:rPr>
          <w:rFonts w:eastAsia="MS Mincho"/>
          <w:lang w:val="fr-FR"/>
        </w:rPr>
        <w:t>Appendice 2</w:t>
      </w:r>
      <w:r w:rsidRPr="00440C76">
        <w:rPr>
          <w:rFonts w:eastAsia="MS Mincho"/>
          <w:lang w:val="fr-FR"/>
        </w:rPr>
        <w:t xml:space="preserve"> − Réservé</w:t>
      </w:r>
      <w:r w:rsidRPr="00440C76">
        <w:rPr>
          <w:rFonts w:eastAsia="MS Mincho"/>
          <w:lang w:val="fr-FR"/>
        </w:rPr>
        <w:tab/>
      </w:r>
      <w:r>
        <w:rPr>
          <w:rFonts w:eastAsia="MS Mincho"/>
          <w:lang w:val="fr-FR"/>
        </w:rPr>
        <w:tab/>
        <w:t>29</w:t>
      </w:r>
    </w:p>
    <w:p w14:paraId="36512734" w14:textId="77777777" w:rsidR="00BE2CA7" w:rsidRDefault="00BE2CA7" w:rsidP="00BE2CA7">
      <w:pPr>
        <w:tabs>
          <w:tab w:val="right" w:pos="850"/>
          <w:tab w:val="right" w:leader="dot" w:pos="8787"/>
          <w:tab w:val="right" w:pos="9638"/>
        </w:tabs>
        <w:spacing w:after="120"/>
        <w:ind w:left="1134"/>
        <w:rPr>
          <w:rFonts w:eastAsia="MS Mincho"/>
          <w:webHidden/>
          <w:lang w:val="fr-FR"/>
        </w:rPr>
      </w:pPr>
      <w:r>
        <w:rPr>
          <w:rFonts w:eastAsia="MS Mincho"/>
          <w:lang w:val="fr-FR"/>
        </w:rPr>
        <w:t xml:space="preserve">Appendice 3A </w:t>
      </w:r>
      <w:r w:rsidRPr="00440C76">
        <w:rPr>
          <w:rFonts w:eastAsia="MS Mincho"/>
          <w:lang w:val="fr-FR"/>
        </w:rPr>
        <w:t>−</w:t>
      </w:r>
      <w:r>
        <w:rPr>
          <w:rFonts w:eastAsia="MS Mincho"/>
          <w:lang w:val="fr-FR"/>
        </w:rPr>
        <w:t xml:space="preserve"> Dossiers d’information</w:t>
      </w:r>
      <w:r w:rsidRPr="00440C76">
        <w:rPr>
          <w:rFonts w:eastAsia="MS Mincho"/>
          <w:webHidden/>
          <w:lang w:val="fr-FR"/>
        </w:rPr>
        <w:tab/>
      </w:r>
      <w:r>
        <w:rPr>
          <w:rFonts w:eastAsia="MS Mincho"/>
          <w:webHidden/>
          <w:lang w:val="fr-FR"/>
        </w:rPr>
        <w:tab/>
        <w:t>30</w:t>
      </w:r>
    </w:p>
    <w:p w14:paraId="6259C264" w14:textId="77777777" w:rsidR="00BE2CA7" w:rsidRDefault="00BE2CA7" w:rsidP="00BE2CA7">
      <w:pPr>
        <w:tabs>
          <w:tab w:val="right" w:pos="850"/>
          <w:tab w:val="right" w:leader="dot" w:pos="8787"/>
          <w:tab w:val="right" w:pos="9638"/>
        </w:tabs>
        <w:spacing w:after="120"/>
        <w:ind w:left="1134"/>
        <w:rPr>
          <w:rFonts w:eastAsia="MS Mincho"/>
          <w:webHidden/>
          <w:lang w:val="fr-FR"/>
        </w:rPr>
      </w:pPr>
      <w:r>
        <w:rPr>
          <w:rFonts w:eastAsia="MS Mincho"/>
          <w:webHidden/>
          <w:lang w:val="fr-FR"/>
        </w:rPr>
        <w:t xml:space="preserve">Appendice 3B </w:t>
      </w:r>
      <w:r w:rsidRPr="00440C76">
        <w:rPr>
          <w:rFonts w:eastAsia="MS Mincho"/>
          <w:lang w:val="fr-FR"/>
        </w:rPr>
        <w:t>−</w:t>
      </w:r>
      <w:r>
        <w:rPr>
          <w:rFonts w:eastAsia="MS Mincho"/>
          <w:lang w:val="fr-FR"/>
        </w:rPr>
        <w:t xml:space="preserve"> </w:t>
      </w:r>
      <w:r w:rsidRPr="00440C76">
        <w:rPr>
          <w:lang w:val="fr-FR"/>
        </w:rPr>
        <w:t>Méthode d</w:t>
      </w:r>
      <w:r>
        <w:rPr>
          <w:lang w:val="fr-FR"/>
        </w:rPr>
        <w:t>’</w:t>
      </w:r>
      <w:r w:rsidRPr="00440C76">
        <w:rPr>
          <w:lang w:val="fr-FR"/>
        </w:rPr>
        <w:t>évaluation de la stratégie auxiliaire de limitation des émissions</w:t>
      </w:r>
      <w:r>
        <w:rPr>
          <w:rFonts w:eastAsia="MS Mincho"/>
          <w:webHidden/>
          <w:lang w:val="fr-FR"/>
        </w:rPr>
        <w:tab/>
      </w:r>
      <w:r>
        <w:rPr>
          <w:rFonts w:eastAsia="MS Mincho"/>
          <w:webHidden/>
          <w:lang w:val="fr-FR"/>
        </w:rPr>
        <w:tab/>
        <w:t>34</w:t>
      </w:r>
    </w:p>
    <w:p w14:paraId="288361A1" w14:textId="77777777" w:rsidR="00BE2CA7" w:rsidRPr="00440C76" w:rsidRDefault="00BE2CA7" w:rsidP="00BE2CA7">
      <w:pPr>
        <w:tabs>
          <w:tab w:val="right" w:pos="850"/>
          <w:tab w:val="right" w:leader="dot" w:pos="8787"/>
          <w:tab w:val="right" w:pos="9638"/>
        </w:tabs>
        <w:spacing w:after="120"/>
        <w:ind w:left="1134" w:hanging="1134"/>
        <w:rPr>
          <w:rFonts w:eastAsia="MS Mincho"/>
          <w:lang w:val="fr-FR"/>
        </w:rPr>
      </w:pPr>
      <w:r>
        <w:rPr>
          <w:rFonts w:eastAsia="MS Mincho"/>
          <w:lang w:val="fr-FR"/>
        </w:rPr>
        <w:tab/>
      </w:r>
      <w:r w:rsidRPr="00440C76">
        <w:rPr>
          <w:rFonts w:eastAsia="MS Mincho"/>
          <w:lang w:val="fr-FR"/>
        </w:rPr>
        <w:t>2</w:t>
      </w:r>
      <w:r>
        <w:rPr>
          <w:rFonts w:eastAsia="MS Mincho"/>
          <w:lang w:val="fr-FR"/>
        </w:rPr>
        <w:tab/>
      </w:r>
      <w:r w:rsidRPr="00440C76">
        <w:rPr>
          <w:lang w:val="fr-FR"/>
        </w:rPr>
        <w:t>Communication</w:t>
      </w:r>
      <w:r w:rsidRPr="00440C76">
        <w:rPr>
          <w:rFonts w:eastAsia="MS Mincho"/>
          <w:lang w:val="fr-FR"/>
        </w:rPr>
        <w:tab/>
      </w:r>
      <w:r>
        <w:rPr>
          <w:rFonts w:eastAsia="MS Mincho"/>
          <w:lang w:val="fr-FR"/>
        </w:rPr>
        <w:tab/>
        <w:t>36</w:t>
      </w:r>
    </w:p>
    <w:p w14:paraId="53451529" w14:textId="77777777" w:rsidR="00BE2CA7" w:rsidRDefault="00BE2CA7" w:rsidP="00BE2CA7">
      <w:pPr>
        <w:tabs>
          <w:tab w:val="right" w:pos="850"/>
          <w:tab w:val="right" w:leader="dot" w:pos="8787"/>
          <w:tab w:val="right" w:pos="9638"/>
        </w:tabs>
        <w:spacing w:after="120"/>
        <w:ind w:left="1134"/>
        <w:rPr>
          <w:rFonts w:eastAsia="MS Mincho"/>
          <w:lang w:val="fr-FR"/>
        </w:rPr>
      </w:pPr>
      <w:r w:rsidRPr="00440C76">
        <w:rPr>
          <w:rFonts w:eastAsia="MS Mincho"/>
          <w:lang w:val="fr-FR"/>
        </w:rPr>
        <w:t>Appendice</w:t>
      </w:r>
      <w:r>
        <w:rPr>
          <w:rFonts w:eastAsia="MS Mincho"/>
          <w:lang w:val="fr-FR"/>
        </w:rPr>
        <w:t> 1 − Réservé</w:t>
      </w:r>
      <w:r>
        <w:rPr>
          <w:rFonts w:eastAsia="MS Mincho"/>
          <w:lang w:val="fr-FR"/>
        </w:rPr>
        <w:tab/>
      </w:r>
      <w:r>
        <w:rPr>
          <w:rFonts w:eastAsia="MS Mincho"/>
          <w:lang w:val="fr-FR"/>
        </w:rPr>
        <w:tab/>
        <w:t>40</w:t>
      </w:r>
    </w:p>
    <w:p w14:paraId="1C499E2A" w14:textId="77777777" w:rsidR="00BE2CA7" w:rsidRPr="00440C76" w:rsidRDefault="00BE2CA7" w:rsidP="00BE2CA7">
      <w:pPr>
        <w:tabs>
          <w:tab w:val="right" w:pos="850"/>
          <w:tab w:val="right" w:leader="dot" w:pos="8787"/>
          <w:tab w:val="right" w:pos="9638"/>
        </w:tabs>
        <w:spacing w:after="120"/>
        <w:ind w:left="1134"/>
        <w:rPr>
          <w:rFonts w:eastAsia="MS Mincho"/>
          <w:lang w:val="fr-FR"/>
        </w:rPr>
      </w:pPr>
      <w:r>
        <w:rPr>
          <w:rFonts w:eastAsia="MS Mincho"/>
          <w:lang w:val="fr-FR"/>
        </w:rPr>
        <w:t>Appendice </w:t>
      </w:r>
      <w:r w:rsidRPr="00440C76">
        <w:rPr>
          <w:rFonts w:eastAsia="MS Mincho"/>
          <w:lang w:val="fr-FR"/>
        </w:rPr>
        <w:t xml:space="preserve">2 − </w:t>
      </w:r>
      <w:r w:rsidRPr="00440C76">
        <w:rPr>
          <w:lang w:val="fr-FR"/>
        </w:rPr>
        <w:t xml:space="preserve">Certificat de conformité aux prescriptions en ce qui concerne </w:t>
      </w:r>
      <w:r w:rsidRPr="00440C76">
        <w:rPr>
          <w:lang w:val="fr-FR"/>
        </w:rPr>
        <w:br/>
        <w:t>les performances en service du système OBD, établi par le constructeur</w:t>
      </w:r>
      <w:r w:rsidRPr="00440C76">
        <w:rPr>
          <w:rFonts w:eastAsia="MS Mincho"/>
          <w:lang w:val="fr-FR"/>
        </w:rPr>
        <w:tab/>
      </w:r>
      <w:r w:rsidRPr="00440C76">
        <w:rPr>
          <w:rFonts w:eastAsia="MS Mincho"/>
          <w:lang w:val="fr-FR"/>
        </w:rPr>
        <w:tab/>
      </w:r>
      <w:r>
        <w:rPr>
          <w:rFonts w:eastAsia="MS Mincho"/>
          <w:lang w:val="fr-FR"/>
        </w:rPr>
        <w:t>41</w:t>
      </w:r>
    </w:p>
    <w:p w14:paraId="4F4563AF" w14:textId="77777777" w:rsidR="00BE2CA7" w:rsidRPr="00440C76" w:rsidRDefault="00BE2CA7" w:rsidP="00BE2CA7">
      <w:pPr>
        <w:tabs>
          <w:tab w:val="right" w:pos="850"/>
          <w:tab w:val="right" w:leader="dot" w:pos="8787"/>
          <w:tab w:val="right" w:pos="9638"/>
        </w:tabs>
        <w:spacing w:after="120"/>
        <w:ind w:left="1134" w:hanging="1134"/>
        <w:rPr>
          <w:rFonts w:eastAsia="MS Mincho"/>
          <w:lang w:val="fr-FR"/>
        </w:rPr>
      </w:pPr>
      <w:r w:rsidRPr="00440C76">
        <w:rPr>
          <w:rFonts w:eastAsia="MS Mincho"/>
          <w:lang w:val="fr-FR"/>
        </w:rPr>
        <w:tab/>
        <w:t>3</w:t>
      </w:r>
      <w:r w:rsidRPr="00440C76">
        <w:rPr>
          <w:rFonts w:eastAsia="MS Mincho"/>
          <w:lang w:val="fr-FR"/>
        </w:rPr>
        <w:tab/>
      </w:r>
      <w:r w:rsidRPr="00440C76">
        <w:rPr>
          <w:lang w:val="fr-FR"/>
        </w:rPr>
        <w:t>Exemples de marques d</w:t>
      </w:r>
      <w:r>
        <w:rPr>
          <w:lang w:val="fr-FR"/>
        </w:rPr>
        <w:t>’</w:t>
      </w:r>
      <w:r w:rsidRPr="00440C76">
        <w:rPr>
          <w:lang w:val="fr-FR"/>
        </w:rPr>
        <w:t>homologation</w:t>
      </w:r>
      <w:r w:rsidRPr="00440C76">
        <w:rPr>
          <w:rFonts w:eastAsia="MS Mincho"/>
          <w:webHidden/>
          <w:lang w:val="fr-FR"/>
        </w:rPr>
        <w:tab/>
      </w:r>
      <w:r w:rsidRPr="00440C76">
        <w:rPr>
          <w:rFonts w:eastAsia="MS Mincho"/>
          <w:webHidden/>
          <w:lang w:val="fr-FR"/>
        </w:rPr>
        <w:tab/>
      </w:r>
      <w:r>
        <w:rPr>
          <w:rFonts w:eastAsia="MS Mincho"/>
          <w:webHidden/>
          <w:lang w:val="fr-FR"/>
        </w:rPr>
        <w:t>42</w:t>
      </w:r>
    </w:p>
    <w:p w14:paraId="340E13C8" w14:textId="77777777" w:rsidR="00BE2CA7" w:rsidRPr="00440C76" w:rsidRDefault="00BE2CA7" w:rsidP="00BE2CA7">
      <w:pPr>
        <w:tabs>
          <w:tab w:val="right" w:pos="850"/>
          <w:tab w:val="right" w:leader="dot" w:pos="8787"/>
          <w:tab w:val="right" w:pos="9638"/>
        </w:tabs>
        <w:spacing w:after="120"/>
        <w:ind w:left="1134" w:hanging="1134"/>
        <w:rPr>
          <w:rFonts w:eastAsia="MS Mincho"/>
          <w:lang w:val="fr-FR"/>
        </w:rPr>
      </w:pPr>
      <w:r w:rsidRPr="00440C76">
        <w:rPr>
          <w:rFonts w:eastAsia="MS Mincho"/>
          <w:lang w:val="fr-FR"/>
        </w:rPr>
        <w:tab/>
        <w:t>4</w:t>
      </w:r>
      <w:r w:rsidRPr="00440C76">
        <w:rPr>
          <w:rFonts w:eastAsia="MS Mincho"/>
          <w:lang w:val="fr-FR"/>
        </w:rPr>
        <w:tab/>
      </w:r>
      <w:r w:rsidRPr="00440C76">
        <w:rPr>
          <w:lang w:val="fr-FR"/>
        </w:rPr>
        <w:t>Méthode de contrôle de la conformité en service</w:t>
      </w:r>
      <w:r w:rsidRPr="00440C76">
        <w:rPr>
          <w:rFonts w:eastAsia="MS Mincho"/>
          <w:webHidden/>
          <w:lang w:val="fr-FR"/>
        </w:rPr>
        <w:tab/>
      </w:r>
      <w:r w:rsidRPr="00440C76">
        <w:rPr>
          <w:rFonts w:eastAsia="MS Mincho"/>
          <w:webHidden/>
          <w:lang w:val="fr-FR"/>
        </w:rPr>
        <w:tab/>
      </w:r>
      <w:r>
        <w:rPr>
          <w:rFonts w:eastAsia="MS Mincho"/>
          <w:webHidden/>
          <w:lang w:val="fr-FR"/>
        </w:rPr>
        <w:t>44</w:t>
      </w:r>
    </w:p>
    <w:p w14:paraId="1B19A604" w14:textId="77777777" w:rsidR="00BE2CA7" w:rsidRPr="00440C76" w:rsidRDefault="00BE2CA7" w:rsidP="00BE2CA7">
      <w:pPr>
        <w:tabs>
          <w:tab w:val="right" w:pos="850"/>
          <w:tab w:val="right" w:leader="dot" w:pos="8787"/>
          <w:tab w:val="right" w:pos="9638"/>
        </w:tabs>
        <w:spacing w:after="120"/>
        <w:ind w:left="1134"/>
        <w:rPr>
          <w:rFonts w:eastAsia="MS Mincho"/>
          <w:lang w:val="fr-FR"/>
        </w:rPr>
      </w:pPr>
      <w:r w:rsidRPr="00440C76">
        <w:rPr>
          <w:rFonts w:eastAsia="MS Mincho"/>
          <w:lang w:val="fr-FR"/>
        </w:rPr>
        <w:t>Appendice</w:t>
      </w:r>
      <w:r>
        <w:rPr>
          <w:rFonts w:eastAsia="MS Mincho"/>
          <w:lang w:val="fr-FR"/>
        </w:rPr>
        <w:t> </w:t>
      </w:r>
      <w:r w:rsidRPr="00440C76">
        <w:rPr>
          <w:rFonts w:eastAsia="MS Mincho"/>
          <w:lang w:val="fr-FR"/>
        </w:rPr>
        <w:t xml:space="preserve">1 − </w:t>
      </w:r>
      <w:r w:rsidRPr="00440C76">
        <w:rPr>
          <w:lang w:val="fr-FR"/>
        </w:rPr>
        <w:t xml:space="preserve">Critères applicables pour la sélection des véhicules et la décision </w:t>
      </w:r>
      <w:r w:rsidRPr="00440C76">
        <w:rPr>
          <w:lang w:val="fr-FR"/>
        </w:rPr>
        <w:br/>
        <w:t>de rejet des véhicules</w:t>
      </w:r>
      <w:r w:rsidRPr="00440C76">
        <w:rPr>
          <w:rFonts w:eastAsia="MS Mincho"/>
          <w:lang w:val="fr-FR"/>
        </w:rPr>
        <w:tab/>
      </w:r>
      <w:r w:rsidRPr="00440C76">
        <w:rPr>
          <w:rFonts w:eastAsia="MS Mincho"/>
          <w:webHidden/>
          <w:lang w:val="fr-FR"/>
        </w:rPr>
        <w:tab/>
      </w:r>
      <w:r>
        <w:rPr>
          <w:rFonts w:eastAsia="MS Mincho"/>
          <w:webHidden/>
          <w:lang w:val="fr-FR"/>
        </w:rPr>
        <w:t>57</w:t>
      </w:r>
    </w:p>
    <w:p w14:paraId="4202B06F" w14:textId="77777777" w:rsidR="00BE2CA7" w:rsidRPr="00440C76" w:rsidRDefault="00BE2CA7" w:rsidP="00BE2CA7">
      <w:pPr>
        <w:tabs>
          <w:tab w:val="right" w:pos="850"/>
          <w:tab w:val="right" w:leader="dot" w:pos="8787"/>
          <w:tab w:val="right" w:pos="9638"/>
        </w:tabs>
        <w:spacing w:after="120"/>
        <w:ind w:left="1134"/>
        <w:rPr>
          <w:rFonts w:eastAsia="MS Mincho"/>
          <w:lang w:val="fr-FR"/>
        </w:rPr>
      </w:pPr>
      <w:r w:rsidRPr="00440C76">
        <w:rPr>
          <w:rFonts w:eastAsia="MS Mincho"/>
          <w:lang w:val="fr-FR"/>
        </w:rPr>
        <w:t>Appendice</w:t>
      </w:r>
      <w:r>
        <w:rPr>
          <w:rFonts w:eastAsia="MS Mincho"/>
          <w:lang w:val="fr-FR"/>
        </w:rPr>
        <w:t> </w:t>
      </w:r>
      <w:r w:rsidRPr="00440C76">
        <w:rPr>
          <w:rFonts w:eastAsia="MS Mincho"/>
          <w:lang w:val="fr-FR"/>
        </w:rPr>
        <w:t xml:space="preserve">2 − </w:t>
      </w:r>
      <w:r w:rsidRPr="00440C76">
        <w:rPr>
          <w:lang w:val="fr-FR"/>
        </w:rPr>
        <w:t>Règles relatives à l</w:t>
      </w:r>
      <w:r>
        <w:rPr>
          <w:lang w:val="fr-FR"/>
        </w:rPr>
        <w:t>’</w:t>
      </w:r>
      <w:r w:rsidRPr="00440C76">
        <w:rPr>
          <w:lang w:val="fr-FR"/>
        </w:rPr>
        <w:t>exécution des essais du type</w:t>
      </w:r>
      <w:r>
        <w:rPr>
          <w:lang w:val="fr-FR"/>
        </w:rPr>
        <w:t> </w:t>
      </w:r>
      <w:r w:rsidRPr="00440C76">
        <w:rPr>
          <w:lang w:val="fr-FR"/>
        </w:rPr>
        <w:t xml:space="preserve">4 pendant la vérification </w:t>
      </w:r>
      <w:r w:rsidRPr="00440C76">
        <w:rPr>
          <w:lang w:val="fr-FR"/>
        </w:rPr>
        <w:br/>
        <w:t>de la conformité en service</w:t>
      </w:r>
      <w:r w:rsidRPr="00440C76">
        <w:rPr>
          <w:rFonts w:eastAsia="MS Mincho"/>
          <w:lang w:val="fr-FR"/>
        </w:rPr>
        <w:tab/>
      </w:r>
      <w:r w:rsidRPr="00440C76">
        <w:rPr>
          <w:rFonts w:eastAsia="MS Mincho"/>
          <w:lang w:val="fr-FR"/>
        </w:rPr>
        <w:tab/>
      </w:r>
      <w:r>
        <w:rPr>
          <w:rFonts w:eastAsia="MS Mincho"/>
          <w:lang w:val="fr-FR"/>
        </w:rPr>
        <w:t>63</w:t>
      </w:r>
    </w:p>
    <w:p w14:paraId="7C376903" w14:textId="77777777" w:rsidR="00BE2CA7" w:rsidRPr="00440C76" w:rsidRDefault="00BE2CA7" w:rsidP="00BE2CA7">
      <w:pPr>
        <w:tabs>
          <w:tab w:val="right" w:pos="850"/>
          <w:tab w:val="right" w:leader="dot" w:pos="8787"/>
          <w:tab w:val="right" w:pos="9638"/>
        </w:tabs>
        <w:spacing w:after="120"/>
        <w:ind w:left="1134"/>
        <w:rPr>
          <w:rFonts w:eastAsia="MS Mincho"/>
          <w:lang w:val="fr-FR"/>
        </w:rPr>
      </w:pPr>
      <w:r w:rsidRPr="00440C76">
        <w:rPr>
          <w:rFonts w:eastAsia="MS Mincho"/>
          <w:lang w:val="fr-FR"/>
        </w:rPr>
        <w:t>Appendice</w:t>
      </w:r>
      <w:r>
        <w:rPr>
          <w:rFonts w:eastAsia="MS Mincho"/>
          <w:lang w:val="fr-FR"/>
        </w:rPr>
        <w:t> </w:t>
      </w:r>
      <w:r w:rsidRPr="00440C76">
        <w:rPr>
          <w:rFonts w:eastAsia="MS Mincho"/>
          <w:lang w:val="fr-FR"/>
        </w:rPr>
        <w:t xml:space="preserve">3 − </w:t>
      </w:r>
      <w:r w:rsidRPr="00440C76">
        <w:rPr>
          <w:lang w:val="fr-FR"/>
        </w:rPr>
        <w:t>Procès-verbal d</w:t>
      </w:r>
      <w:r>
        <w:rPr>
          <w:lang w:val="fr-FR"/>
        </w:rPr>
        <w:t>’</w:t>
      </w:r>
      <w:r w:rsidRPr="00440C76">
        <w:rPr>
          <w:lang w:val="fr-FR"/>
        </w:rPr>
        <w:t>essai de conformité en service</w:t>
      </w:r>
      <w:r w:rsidRPr="00440C76">
        <w:rPr>
          <w:rFonts w:eastAsia="MS Mincho"/>
          <w:lang w:val="fr-FR"/>
        </w:rPr>
        <w:tab/>
      </w:r>
      <w:r w:rsidRPr="00440C76">
        <w:rPr>
          <w:rFonts w:eastAsia="MS Mincho"/>
          <w:webHidden/>
          <w:lang w:val="fr-FR"/>
        </w:rPr>
        <w:tab/>
      </w:r>
      <w:r>
        <w:rPr>
          <w:rFonts w:eastAsia="MS Mincho"/>
          <w:webHidden/>
          <w:lang w:val="fr-FR"/>
        </w:rPr>
        <w:t>64</w:t>
      </w:r>
    </w:p>
    <w:p w14:paraId="74C49E5C" w14:textId="77777777" w:rsidR="00BE2CA7" w:rsidRPr="00440C76" w:rsidRDefault="00BE2CA7" w:rsidP="00BE2CA7">
      <w:pPr>
        <w:tabs>
          <w:tab w:val="right" w:pos="850"/>
          <w:tab w:val="right" w:leader="dot" w:pos="8787"/>
          <w:tab w:val="right" w:pos="9638"/>
        </w:tabs>
        <w:spacing w:after="120"/>
        <w:ind w:left="1134"/>
        <w:rPr>
          <w:rFonts w:eastAsia="MS Mincho"/>
          <w:lang w:val="fr-FR"/>
        </w:rPr>
      </w:pPr>
      <w:r w:rsidRPr="00440C76">
        <w:rPr>
          <w:rFonts w:eastAsia="MS Mincho"/>
          <w:lang w:val="fr-FR"/>
        </w:rPr>
        <w:t>Appendice</w:t>
      </w:r>
      <w:r>
        <w:rPr>
          <w:rFonts w:eastAsia="MS Mincho"/>
          <w:lang w:val="fr-FR"/>
        </w:rPr>
        <w:t> </w:t>
      </w:r>
      <w:r w:rsidRPr="00440C76">
        <w:rPr>
          <w:rFonts w:eastAsia="MS Mincho"/>
          <w:lang w:val="fr-FR"/>
        </w:rPr>
        <w:t xml:space="preserve">4 − </w:t>
      </w:r>
      <w:r w:rsidRPr="00440C76">
        <w:rPr>
          <w:lang w:val="fr-FR"/>
        </w:rPr>
        <w:t>Rapport annuel de l</w:t>
      </w:r>
      <w:r>
        <w:rPr>
          <w:lang w:val="fr-FR"/>
        </w:rPr>
        <w:t>’</w:t>
      </w:r>
      <w:r w:rsidRPr="00440C76">
        <w:rPr>
          <w:lang w:val="fr-FR"/>
        </w:rPr>
        <w:t>autorité d</w:t>
      </w:r>
      <w:r>
        <w:rPr>
          <w:lang w:val="fr-FR"/>
        </w:rPr>
        <w:t>’</w:t>
      </w:r>
      <w:r w:rsidRPr="00440C76">
        <w:rPr>
          <w:lang w:val="fr-FR"/>
        </w:rPr>
        <w:t xml:space="preserve">homologation de type sur les contrôles </w:t>
      </w:r>
      <w:r w:rsidRPr="00440C76">
        <w:rPr>
          <w:lang w:val="fr-FR"/>
        </w:rPr>
        <w:br/>
        <w:t>de conformité en service</w:t>
      </w:r>
      <w:r w:rsidRPr="00440C76">
        <w:rPr>
          <w:rFonts w:eastAsia="MS Mincho"/>
          <w:lang w:val="fr-FR"/>
        </w:rPr>
        <w:tab/>
      </w:r>
      <w:r w:rsidRPr="00440C76">
        <w:rPr>
          <w:rFonts w:eastAsia="MS Mincho"/>
          <w:lang w:val="fr-FR"/>
        </w:rPr>
        <w:tab/>
      </w:r>
      <w:r>
        <w:rPr>
          <w:rFonts w:eastAsia="MS Mincho"/>
          <w:lang w:val="fr-FR"/>
        </w:rPr>
        <w:t>66</w:t>
      </w:r>
    </w:p>
    <w:p w14:paraId="35FC1C72" w14:textId="77777777" w:rsidR="00BE2CA7" w:rsidRPr="00440C76" w:rsidRDefault="00BE2CA7" w:rsidP="00BE2CA7">
      <w:pPr>
        <w:tabs>
          <w:tab w:val="right" w:pos="850"/>
          <w:tab w:val="right" w:leader="dot" w:pos="8787"/>
          <w:tab w:val="right" w:pos="9638"/>
        </w:tabs>
        <w:spacing w:after="120"/>
        <w:ind w:left="1134"/>
        <w:rPr>
          <w:rFonts w:eastAsia="MS Mincho"/>
          <w:lang w:val="fr-FR"/>
        </w:rPr>
      </w:pPr>
      <w:r w:rsidRPr="00440C76">
        <w:rPr>
          <w:rFonts w:eastAsia="MS Mincho"/>
          <w:lang w:val="fr-FR"/>
        </w:rPr>
        <w:t>Appendice</w:t>
      </w:r>
      <w:r>
        <w:rPr>
          <w:rFonts w:eastAsia="MS Mincho"/>
          <w:lang w:val="fr-FR"/>
        </w:rPr>
        <w:t> </w:t>
      </w:r>
      <w:r w:rsidRPr="00440C76">
        <w:rPr>
          <w:rFonts w:eastAsia="MS Mincho"/>
          <w:lang w:val="fr-FR"/>
        </w:rPr>
        <w:t xml:space="preserve">5 − </w:t>
      </w:r>
      <w:r w:rsidRPr="00440C76">
        <w:rPr>
          <w:lang w:val="fr-FR"/>
        </w:rPr>
        <w:t>Listes de transparence</w:t>
      </w:r>
      <w:r w:rsidRPr="00440C76">
        <w:rPr>
          <w:rFonts w:eastAsia="MS Mincho"/>
          <w:lang w:val="fr-FR"/>
        </w:rPr>
        <w:tab/>
      </w:r>
      <w:r w:rsidRPr="00440C76">
        <w:rPr>
          <w:rFonts w:eastAsia="MS Mincho"/>
          <w:webHidden/>
          <w:lang w:val="fr-FR"/>
        </w:rPr>
        <w:tab/>
      </w:r>
      <w:r>
        <w:rPr>
          <w:rFonts w:eastAsia="MS Mincho"/>
          <w:webHidden/>
          <w:lang w:val="fr-FR"/>
        </w:rPr>
        <w:t>67</w:t>
      </w:r>
    </w:p>
    <w:p w14:paraId="23DBFFFB" w14:textId="77777777" w:rsidR="00BE2CA7" w:rsidRPr="00440C76" w:rsidRDefault="00BE2CA7" w:rsidP="00BE2CA7">
      <w:pPr>
        <w:tabs>
          <w:tab w:val="right" w:pos="850"/>
          <w:tab w:val="right" w:leader="dot" w:pos="8787"/>
          <w:tab w:val="right" w:pos="9638"/>
        </w:tabs>
        <w:spacing w:after="120"/>
        <w:ind w:left="1134" w:hanging="1134"/>
        <w:rPr>
          <w:rFonts w:eastAsia="MS Mincho"/>
          <w:lang w:val="fr-FR"/>
        </w:rPr>
      </w:pPr>
      <w:r w:rsidRPr="00440C76">
        <w:rPr>
          <w:rFonts w:eastAsia="MS Mincho"/>
          <w:lang w:val="fr-FR"/>
        </w:rPr>
        <w:tab/>
        <w:t>5</w:t>
      </w:r>
      <w:r w:rsidRPr="00440C76">
        <w:rPr>
          <w:rFonts w:eastAsia="MS Mincho"/>
          <w:lang w:val="fr-FR"/>
        </w:rPr>
        <w:tab/>
      </w:r>
      <w:r w:rsidRPr="00440C76">
        <w:rPr>
          <w:lang w:val="fr-FR"/>
        </w:rPr>
        <w:t>Essai du type</w:t>
      </w:r>
      <w:r>
        <w:rPr>
          <w:lang w:val="fr-FR"/>
        </w:rPr>
        <w:t> </w:t>
      </w:r>
      <w:r w:rsidRPr="00440C76">
        <w:rPr>
          <w:lang w:val="fr-FR"/>
        </w:rPr>
        <w:t>2</w:t>
      </w:r>
      <w:r w:rsidRPr="00440C76">
        <w:rPr>
          <w:rFonts w:eastAsia="MS Mincho"/>
          <w:lang w:val="fr-FR"/>
        </w:rPr>
        <w:tab/>
      </w:r>
      <w:r w:rsidRPr="00440C76">
        <w:rPr>
          <w:rFonts w:eastAsia="MS Mincho"/>
          <w:lang w:val="fr-FR"/>
        </w:rPr>
        <w:tab/>
      </w:r>
      <w:r>
        <w:rPr>
          <w:rFonts w:eastAsia="MS Mincho"/>
          <w:lang w:val="fr-FR"/>
        </w:rPr>
        <w:t>73</w:t>
      </w:r>
    </w:p>
    <w:p w14:paraId="49F80D5C" w14:textId="77777777" w:rsidR="00BE2CA7" w:rsidRPr="00440C76" w:rsidRDefault="00BE2CA7" w:rsidP="00BE2CA7">
      <w:pPr>
        <w:tabs>
          <w:tab w:val="right" w:pos="850"/>
          <w:tab w:val="right" w:leader="dot" w:pos="8787"/>
          <w:tab w:val="right" w:pos="9638"/>
        </w:tabs>
        <w:spacing w:after="120"/>
        <w:ind w:left="1134" w:hanging="1134"/>
        <w:rPr>
          <w:rFonts w:eastAsia="MS Mincho"/>
          <w:lang w:val="fr-FR"/>
        </w:rPr>
      </w:pPr>
      <w:r w:rsidRPr="00440C76">
        <w:rPr>
          <w:rFonts w:eastAsia="MS Mincho"/>
          <w:lang w:val="fr-FR"/>
        </w:rPr>
        <w:tab/>
        <w:t>6</w:t>
      </w:r>
      <w:r w:rsidRPr="00440C76">
        <w:rPr>
          <w:rFonts w:eastAsia="MS Mincho"/>
          <w:lang w:val="fr-FR"/>
        </w:rPr>
        <w:tab/>
      </w:r>
      <w:r w:rsidRPr="00440C76">
        <w:rPr>
          <w:lang w:val="fr-FR"/>
        </w:rPr>
        <w:t>Essai du type</w:t>
      </w:r>
      <w:r>
        <w:rPr>
          <w:lang w:val="fr-FR"/>
        </w:rPr>
        <w:t> </w:t>
      </w:r>
      <w:r w:rsidRPr="00440C76">
        <w:rPr>
          <w:lang w:val="fr-FR"/>
        </w:rPr>
        <w:t>3</w:t>
      </w:r>
      <w:r w:rsidRPr="00440C76">
        <w:rPr>
          <w:rFonts w:eastAsia="MS Mincho"/>
          <w:lang w:val="fr-FR"/>
        </w:rPr>
        <w:tab/>
      </w:r>
      <w:r w:rsidRPr="00440C76">
        <w:rPr>
          <w:rFonts w:eastAsia="MS Mincho"/>
          <w:webHidden/>
          <w:lang w:val="fr-FR"/>
        </w:rPr>
        <w:tab/>
      </w:r>
      <w:r>
        <w:rPr>
          <w:rFonts w:eastAsia="MS Mincho"/>
          <w:webHidden/>
          <w:lang w:val="fr-FR"/>
        </w:rPr>
        <w:t>75</w:t>
      </w:r>
    </w:p>
    <w:p w14:paraId="4C255FB5" w14:textId="77777777" w:rsidR="00BE2CA7" w:rsidRPr="00440C76" w:rsidRDefault="00BE2CA7" w:rsidP="00BE2CA7">
      <w:pPr>
        <w:tabs>
          <w:tab w:val="right" w:pos="850"/>
          <w:tab w:val="right" w:leader="dot" w:pos="8787"/>
          <w:tab w:val="right" w:pos="9638"/>
        </w:tabs>
        <w:spacing w:after="120"/>
        <w:ind w:left="1134" w:hanging="1134"/>
        <w:rPr>
          <w:rFonts w:eastAsia="MS Mincho"/>
          <w:lang w:val="fr-FR"/>
        </w:rPr>
      </w:pPr>
      <w:r w:rsidRPr="00440C76">
        <w:rPr>
          <w:rFonts w:eastAsia="MS Mincho"/>
          <w:lang w:val="fr-FR"/>
        </w:rPr>
        <w:tab/>
        <w:t>7</w:t>
      </w:r>
      <w:r w:rsidRPr="00440C76">
        <w:rPr>
          <w:rFonts w:eastAsia="MS Mincho"/>
          <w:lang w:val="fr-FR"/>
        </w:rPr>
        <w:tab/>
      </w:r>
      <w:r w:rsidRPr="00440C76">
        <w:rPr>
          <w:lang w:val="fr-FR"/>
        </w:rPr>
        <w:t>Réservée</w:t>
      </w:r>
      <w:r w:rsidRPr="00440C76">
        <w:rPr>
          <w:rFonts w:eastAsia="MS Mincho"/>
          <w:lang w:val="fr-FR"/>
        </w:rPr>
        <w:tab/>
      </w:r>
      <w:r w:rsidRPr="00440C76">
        <w:rPr>
          <w:rFonts w:eastAsia="MS Mincho"/>
          <w:webHidden/>
          <w:lang w:val="fr-FR"/>
        </w:rPr>
        <w:tab/>
      </w:r>
      <w:r>
        <w:rPr>
          <w:rFonts w:eastAsia="MS Mincho"/>
          <w:webHidden/>
          <w:lang w:val="fr-FR"/>
        </w:rPr>
        <w:t>78</w:t>
      </w:r>
    </w:p>
    <w:p w14:paraId="50D58210" w14:textId="77777777" w:rsidR="00BE2CA7" w:rsidRPr="00440C76" w:rsidRDefault="00BE2CA7" w:rsidP="00BE2CA7">
      <w:pPr>
        <w:tabs>
          <w:tab w:val="right" w:pos="850"/>
          <w:tab w:val="right" w:leader="dot" w:pos="8787"/>
          <w:tab w:val="right" w:pos="9638"/>
        </w:tabs>
        <w:spacing w:after="120"/>
        <w:ind w:left="1134" w:hanging="1134"/>
        <w:rPr>
          <w:rFonts w:eastAsia="MS Mincho"/>
          <w:lang w:val="fr-FR"/>
        </w:rPr>
      </w:pPr>
      <w:r w:rsidRPr="00440C76">
        <w:rPr>
          <w:rFonts w:eastAsia="MS Mincho"/>
          <w:lang w:val="fr-FR"/>
        </w:rPr>
        <w:tab/>
        <w:t>8</w:t>
      </w:r>
      <w:r w:rsidRPr="00440C76">
        <w:rPr>
          <w:rFonts w:eastAsia="MS Mincho"/>
          <w:lang w:val="fr-FR"/>
        </w:rPr>
        <w:tab/>
      </w:r>
      <w:r w:rsidRPr="00440C76">
        <w:rPr>
          <w:lang w:val="fr-FR"/>
        </w:rPr>
        <w:t>Essai du type</w:t>
      </w:r>
      <w:r>
        <w:rPr>
          <w:lang w:val="fr-FR"/>
        </w:rPr>
        <w:t> </w:t>
      </w:r>
      <w:r w:rsidRPr="00440C76">
        <w:rPr>
          <w:lang w:val="fr-FR"/>
        </w:rPr>
        <w:t>6</w:t>
      </w:r>
      <w:r w:rsidRPr="00440C76">
        <w:rPr>
          <w:rFonts w:eastAsia="MS Mincho"/>
          <w:webHidden/>
          <w:lang w:val="fr-FR"/>
        </w:rPr>
        <w:tab/>
      </w:r>
      <w:r w:rsidRPr="00440C76">
        <w:rPr>
          <w:rFonts w:eastAsia="MS Mincho"/>
          <w:webHidden/>
          <w:lang w:val="fr-FR"/>
        </w:rPr>
        <w:tab/>
      </w:r>
      <w:r>
        <w:rPr>
          <w:rFonts w:eastAsia="MS Mincho"/>
          <w:webHidden/>
          <w:lang w:val="fr-FR"/>
        </w:rPr>
        <w:t>79</w:t>
      </w:r>
    </w:p>
    <w:p w14:paraId="29EB7B74" w14:textId="77777777" w:rsidR="00BE2CA7" w:rsidRPr="00440C76" w:rsidRDefault="00BE2CA7" w:rsidP="00BE2CA7">
      <w:pPr>
        <w:tabs>
          <w:tab w:val="right" w:pos="850"/>
          <w:tab w:val="right" w:leader="dot" w:pos="8787"/>
          <w:tab w:val="right" w:pos="9638"/>
        </w:tabs>
        <w:spacing w:after="120"/>
        <w:ind w:left="1134" w:hanging="1134"/>
        <w:rPr>
          <w:rFonts w:eastAsia="MS Mincho"/>
          <w:lang w:val="fr-FR"/>
        </w:rPr>
      </w:pPr>
      <w:r w:rsidRPr="00440C76">
        <w:rPr>
          <w:rFonts w:eastAsia="MS Mincho"/>
          <w:lang w:val="fr-FR"/>
        </w:rPr>
        <w:tab/>
        <w:t>9</w:t>
      </w:r>
      <w:r w:rsidRPr="00440C76">
        <w:rPr>
          <w:rFonts w:eastAsia="MS Mincho"/>
          <w:lang w:val="fr-FR"/>
        </w:rPr>
        <w:tab/>
      </w:r>
      <w:r w:rsidRPr="00440C76">
        <w:rPr>
          <w:lang w:val="fr-FR"/>
        </w:rPr>
        <w:t>Réservée</w:t>
      </w:r>
      <w:r w:rsidRPr="00440C76">
        <w:rPr>
          <w:rFonts w:eastAsia="MS Mincho"/>
          <w:lang w:val="fr-FR"/>
        </w:rPr>
        <w:tab/>
      </w:r>
      <w:r w:rsidRPr="00440C76">
        <w:rPr>
          <w:rFonts w:eastAsia="MS Mincho"/>
          <w:lang w:val="fr-FR"/>
        </w:rPr>
        <w:tab/>
      </w:r>
      <w:r>
        <w:rPr>
          <w:rFonts w:eastAsia="MS Mincho"/>
          <w:lang w:val="fr-FR"/>
        </w:rPr>
        <w:t>86</w:t>
      </w:r>
    </w:p>
    <w:p w14:paraId="49EBCA3C" w14:textId="77777777" w:rsidR="00BE2CA7" w:rsidRPr="00440C76" w:rsidRDefault="00BE2CA7" w:rsidP="00BE2CA7">
      <w:pPr>
        <w:tabs>
          <w:tab w:val="right" w:pos="850"/>
          <w:tab w:val="right" w:leader="dot" w:pos="8787"/>
          <w:tab w:val="right" w:pos="9638"/>
        </w:tabs>
        <w:spacing w:after="120"/>
        <w:ind w:left="1134" w:hanging="1134"/>
        <w:rPr>
          <w:rFonts w:eastAsia="MS Mincho"/>
          <w:lang w:val="fr-FR"/>
        </w:rPr>
      </w:pPr>
      <w:r w:rsidRPr="00440C76">
        <w:rPr>
          <w:rFonts w:eastAsia="MS Mincho"/>
          <w:lang w:val="fr-FR"/>
        </w:rPr>
        <w:lastRenderedPageBreak/>
        <w:tab/>
        <w:t>10</w:t>
      </w:r>
      <w:r w:rsidRPr="00440C76">
        <w:rPr>
          <w:rFonts w:eastAsia="MS Mincho"/>
          <w:lang w:val="fr-FR"/>
        </w:rPr>
        <w:tab/>
      </w:r>
      <w:r w:rsidRPr="00440C76">
        <w:rPr>
          <w:lang w:val="fr-FR"/>
        </w:rPr>
        <w:t>Spécifications des carburants de référence</w:t>
      </w:r>
      <w:r w:rsidRPr="00440C76">
        <w:rPr>
          <w:rFonts w:eastAsia="MS Mincho"/>
          <w:webHidden/>
          <w:lang w:val="fr-FR"/>
        </w:rPr>
        <w:tab/>
      </w:r>
      <w:r w:rsidRPr="00440C76">
        <w:rPr>
          <w:rFonts w:eastAsia="MS Mincho"/>
          <w:webHidden/>
          <w:lang w:val="fr-FR"/>
        </w:rPr>
        <w:tab/>
      </w:r>
      <w:r>
        <w:rPr>
          <w:rFonts w:eastAsia="MS Mincho"/>
          <w:webHidden/>
          <w:lang w:val="fr-FR"/>
        </w:rPr>
        <w:t>87</w:t>
      </w:r>
    </w:p>
    <w:p w14:paraId="75BA495E" w14:textId="77777777" w:rsidR="00BE2CA7" w:rsidRPr="00440C76" w:rsidRDefault="00BE2CA7" w:rsidP="00BE2CA7">
      <w:pPr>
        <w:tabs>
          <w:tab w:val="right" w:pos="850"/>
          <w:tab w:val="right" w:leader="dot" w:pos="8787"/>
          <w:tab w:val="right" w:pos="9638"/>
        </w:tabs>
        <w:spacing w:after="120"/>
        <w:ind w:left="1134" w:hanging="1134"/>
        <w:rPr>
          <w:rFonts w:eastAsia="MS Mincho"/>
          <w:lang w:val="fr-FR"/>
        </w:rPr>
      </w:pPr>
      <w:r w:rsidRPr="00440C76">
        <w:rPr>
          <w:rFonts w:eastAsia="MS Mincho"/>
          <w:lang w:val="fr-FR"/>
        </w:rPr>
        <w:tab/>
        <w:t>10a</w:t>
      </w:r>
      <w:r w:rsidRPr="00440C76">
        <w:rPr>
          <w:rFonts w:eastAsia="MS Mincho"/>
          <w:lang w:val="fr-FR"/>
        </w:rPr>
        <w:tab/>
      </w:r>
      <w:r w:rsidRPr="00440C76">
        <w:rPr>
          <w:lang w:val="fr-FR"/>
        </w:rPr>
        <w:t>Spécifications des carburants gazeux de référence</w:t>
      </w:r>
      <w:r w:rsidRPr="00440C76">
        <w:rPr>
          <w:rFonts w:eastAsia="MS Mincho"/>
          <w:webHidden/>
          <w:lang w:val="fr-FR"/>
        </w:rPr>
        <w:tab/>
      </w:r>
      <w:r w:rsidRPr="00440C76">
        <w:rPr>
          <w:rFonts w:eastAsia="MS Mincho"/>
          <w:webHidden/>
          <w:lang w:val="fr-FR"/>
        </w:rPr>
        <w:tab/>
      </w:r>
      <w:r>
        <w:rPr>
          <w:rFonts w:eastAsia="MS Mincho"/>
          <w:webHidden/>
          <w:lang w:val="fr-FR"/>
        </w:rPr>
        <w:t>91</w:t>
      </w:r>
    </w:p>
    <w:p w14:paraId="0878F44E" w14:textId="5DA1BFB4" w:rsidR="00BE2CA7" w:rsidRDefault="00BE2CA7" w:rsidP="00BE2CA7">
      <w:pPr>
        <w:tabs>
          <w:tab w:val="right" w:pos="850"/>
          <w:tab w:val="right" w:leader="dot" w:pos="8787"/>
          <w:tab w:val="right" w:pos="9638"/>
        </w:tabs>
        <w:spacing w:after="120"/>
        <w:ind w:left="1134" w:hanging="1134"/>
        <w:rPr>
          <w:rFonts w:eastAsia="MS Mincho"/>
          <w:webHidden/>
          <w:lang w:val="fr-FR"/>
        </w:rPr>
      </w:pPr>
      <w:r w:rsidRPr="00440C76">
        <w:rPr>
          <w:rFonts w:eastAsia="MS Mincho"/>
          <w:lang w:val="fr-FR"/>
        </w:rPr>
        <w:tab/>
        <w:t>11</w:t>
      </w:r>
      <w:r w:rsidRPr="00440C76">
        <w:rPr>
          <w:rFonts w:eastAsia="MS Mincho"/>
          <w:lang w:val="fr-FR"/>
        </w:rPr>
        <w:tab/>
      </w:r>
      <w:r w:rsidRPr="00440C76">
        <w:rPr>
          <w:lang w:val="fr-FR"/>
        </w:rPr>
        <w:t>Système d</w:t>
      </w:r>
      <w:r>
        <w:rPr>
          <w:lang w:val="fr-FR"/>
        </w:rPr>
        <w:t>’</w:t>
      </w:r>
      <w:r w:rsidRPr="00440C76">
        <w:rPr>
          <w:lang w:val="fr-FR"/>
        </w:rPr>
        <w:t>autodiagnostic (OBD) − prescriptions relatives aux performances en service</w:t>
      </w:r>
      <w:r w:rsidRPr="00440C76">
        <w:rPr>
          <w:rFonts w:eastAsia="MS Mincho"/>
          <w:webHidden/>
          <w:lang w:val="fr-FR"/>
        </w:rPr>
        <w:tab/>
      </w:r>
      <w:r w:rsidRPr="00440C76">
        <w:rPr>
          <w:rFonts w:eastAsia="MS Mincho"/>
          <w:webHidden/>
          <w:lang w:val="fr-FR"/>
        </w:rPr>
        <w:tab/>
      </w:r>
      <w:r>
        <w:rPr>
          <w:rFonts w:eastAsia="MS Mincho"/>
          <w:webHidden/>
          <w:lang w:val="fr-FR"/>
        </w:rPr>
        <w:t>92</w:t>
      </w:r>
    </w:p>
    <w:p w14:paraId="21443961" w14:textId="77777777" w:rsidR="00BE2CA7" w:rsidRDefault="00BE2CA7">
      <w:pPr>
        <w:suppressAutoHyphens w:val="0"/>
        <w:kinsoku/>
        <w:overflowPunct/>
        <w:autoSpaceDE/>
        <w:autoSpaceDN/>
        <w:adjustRightInd/>
        <w:snapToGrid/>
        <w:spacing w:line="240" w:lineRule="auto"/>
        <w:rPr>
          <w:rFonts w:eastAsia="MS Mincho"/>
          <w:webHidden/>
          <w:lang w:val="fr-FR"/>
        </w:rPr>
      </w:pPr>
      <w:r>
        <w:rPr>
          <w:rFonts w:eastAsia="MS Mincho"/>
          <w:webHidden/>
          <w:lang w:val="fr-FR"/>
        </w:rPr>
        <w:br w:type="page"/>
      </w:r>
    </w:p>
    <w:p w14:paraId="01EB83ED" w14:textId="77777777" w:rsidR="00BE2CA7" w:rsidRPr="00440C76" w:rsidRDefault="00BE2CA7" w:rsidP="00BE2CA7">
      <w:pPr>
        <w:pStyle w:val="HChG"/>
        <w:ind w:left="2268"/>
        <w:rPr>
          <w:lang w:val="fr-FR"/>
        </w:rPr>
      </w:pPr>
      <w:r w:rsidRPr="00440C76">
        <w:rPr>
          <w:lang w:val="fr-FR"/>
        </w:rPr>
        <w:lastRenderedPageBreak/>
        <w:t>1.</w:t>
      </w:r>
      <w:r w:rsidRPr="00440C76">
        <w:rPr>
          <w:lang w:val="fr-FR"/>
        </w:rPr>
        <w:tab/>
        <w:t>Domaine d</w:t>
      </w:r>
      <w:r>
        <w:rPr>
          <w:lang w:val="fr-FR"/>
        </w:rPr>
        <w:t>’</w:t>
      </w:r>
      <w:r w:rsidRPr="00440C76">
        <w:rPr>
          <w:lang w:val="fr-FR"/>
        </w:rPr>
        <w:t>application</w:t>
      </w:r>
    </w:p>
    <w:p w14:paraId="4330D2EB" w14:textId="77777777" w:rsidR="00BE2CA7" w:rsidRPr="00440C76" w:rsidRDefault="00BE2CA7" w:rsidP="00BE2CA7">
      <w:pPr>
        <w:pStyle w:val="SingleTxtG"/>
        <w:ind w:left="2268"/>
        <w:rPr>
          <w:lang w:val="fr-FR"/>
        </w:rPr>
      </w:pPr>
      <w:r w:rsidRPr="00440C76">
        <w:rPr>
          <w:lang w:val="fr-FR"/>
        </w:rPr>
        <w:t>Le présent Règlement établit des prescriptions techniques concernant l</w:t>
      </w:r>
      <w:r>
        <w:rPr>
          <w:lang w:val="fr-FR"/>
        </w:rPr>
        <w:t>’</w:t>
      </w:r>
      <w:r w:rsidRPr="00440C76">
        <w:rPr>
          <w:lang w:val="fr-FR"/>
        </w:rPr>
        <w:t>homologation de type de véhicules à moteur en ce qui concerne les émissions au ralenti (essai du type</w:t>
      </w:r>
      <w:r>
        <w:rPr>
          <w:lang w:val="fr-FR"/>
        </w:rPr>
        <w:t> </w:t>
      </w:r>
      <w:r w:rsidRPr="00440C76">
        <w:rPr>
          <w:lang w:val="fr-FR"/>
        </w:rPr>
        <w:t>2), les émissions de gaz de carter (essai du type</w:t>
      </w:r>
      <w:r>
        <w:rPr>
          <w:lang w:val="fr-FR"/>
        </w:rPr>
        <w:t> </w:t>
      </w:r>
      <w:r w:rsidRPr="00440C76">
        <w:rPr>
          <w:lang w:val="fr-FR"/>
        </w:rPr>
        <w:t>3) et les émissions d</w:t>
      </w:r>
      <w:r>
        <w:rPr>
          <w:lang w:val="fr-FR"/>
        </w:rPr>
        <w:t>’</w:t>
      </w:r>
      <w:r w:rsidRPr="00440C76">
        <w:rPr>
          <w:lang w:val="fr-FR"/>
        </w:rPr>
        <w:t>échappement à basse température ambiante (essai du type</w:t>
      </w:r>
      <w:r>
        <w:rPr>
          <w:lang w:val="fr-FR"/>
        </w:rPr>
        <w:t> </w:t>
      </w:r>
      <w:r w:rsidRPr="00440C76">
        <w:rPr>
          <w:lang w:val="fr-FR"/>
        </w:rPr>
        <w:t>6) pour les émissions de composés gazeux.</w:t>
      </w:r>
    </w:p>
    <w:p w14:paraId="43186793" w14:textId="77777777" w:rsidR="00BE2CA7" w:rsidRPr="00440C76" w:rsidRDefault="00BE2CA7" w:rsidP="00BE2CA7">
      <w:pPr>
        <w:pStyle w:val="SingleTxtG"/>
        <w:ind w:left="2268"/>
        <w:rPr>
          <w:lang w:val="fr-FR"/>
        </w:rPr>
      </w:pPr>
      <w:r w:rsidRPr="00440C76">
        <w:rPr>
          <w:lang w:val="fr-FR"/>
        </w:rPr>
        <w:tab/>
        <w:t>En outre, le présent Règlement établit des règles pour la conformité en service.</w:t>
      </w:r>
    </w:p>
    <w:p w14:paraId="1A4A59F5" w14:textId="77777777" w:rsidR="00BE2CA7" w:rsidRPr="00440C76" w:rsidRDefault="00BE2CA7" w:rsidP="00BE2CA7">
      <w:pPr>
        <w:pStyle w:val="SingleTxtG"/>
        <w:ind w:left="2268" w:hanging="1134"/>
        <w:rPr>
          <w:lang w:val="fr-FR"/>
        </w:rPr>
      </w:pPr>
      <w:r w:rsidRPr="00440C76">
        <w:rPr>
          <w:lang w:val="fr-FR"/>
        </w:rPr>
        <w:t>1.1</w:t>
      </w:r>
      <w:r w:rsidRPr="00440C76">
        <w:rPr>
          <w:lang w:val="fr-FR"/>
        </w:rPr>
        <w:tab/>
      </w:r>
      <w:r w:rsidRPr="00440C76">
        <w:rPr>
          <w:lang w:val="fr-FR"/>
        </w:rPr>
        <w:tab/>
        <w:t>Le présent Règlement s</w:t>
      </w:r>
      <w:r>
        <w:rPr>
          <w:lang w:val="fr-FR"/>
        </w:rPr>
        <w:t>’</w:t>
      </w:r>
      <w:r w:rsidRPr="00440C76">
        <w:rPr>
          <w:lang w:val="fr-FR"/>
        </w:rPr>
        <w:t>applique aux véhicules des catégories</w:t>
      </w:r>
      <w:r>
        <w:rPr>
          <w:lang w:val="fr-FR"/>
        </w:rPr>
        <w:t> </w:t>
      </w:r>
      <w:r w:rsidRPr="00440C76">
        <w:rPr>
          <w:lang w:val="fr-FR"/>
        </w:rPr>
        <w:t>M</w:t>
      </w:r>
      <w:r w:rsidRPr="00440C76">
        <w:rPr>
          <w:vertAlign w:val="subscript"/>
          <w:lang w:val="fr-FR"/>
        </w:rPr>
        <w:t>1</w:t>
      </w:r>
      <w:r w:rsidRPr="00440C76">
        <w:rPr>
          <w:lang w:val="fr-FR"/>
        </w:rPr>
        <w:t>, M</w:t>
      </w:r>
      <w:r w:rsidRPr="00440C76">
        <w:rPr>
          <w:vertAlign w:val="subscript"/>
          <w:lang w:val="fr-FR"/>
        </w:rPr>
        <w:t>2</w:t>
      </w:r>
      <w:r w:rsidRPr="00440C76">
        <w:rPr>
          <w:lang w:val="fr-FR"/>
        </w:rPr>
        <w:t>, N</w:t>
      </w:r>
      <w:r w:rsidRPr="00440C76">
        <w:rPr>
          <w:vertAlign w:val="subscript"/>
          <w:lang w:val="fr-FR"/>
        </w:rPr>
        <w:t>1</w:t>
      </w:r>
      <w:r w:rsidRPr="00440C76">
        <w:rPr>
          <w:lang w:val="fr-FR"/>
        </w:rPr>
        <w:t xml:space="preserve"> et N</w:t>
      </w:r>
      <w:r w:rsidRPr="00440C76">
        <w:rPr>
          <w:vertAlign w:val="subscript"/>
          <w:lang w:val="fr-FR"/>
        </w:rPr>
        <w:t>2</w:t>
      </w:r>
      <w:r w:rsidRPr="00440C76">
        <w:rPr>
          <w:lang w:val="fr-FR"/>
        </w:rPr>
        <w:t xml:space="preserve"> dont la masse de référence ne dépasse pas 2 610</w:t>
      </w:r>
      <w:r>
        <w:rPr>
          <w:lang w:val="fr-FR"/>
        </w:rPr>
        <w:t> </w:t>
      </w:r>
      <w:r w:rsidRPr="00440C76">
        <w:rPr>
          <w:lang w:val="fr-FR"/>
        </w:rPr>
        <w:t>kg</w:t>
      </w:r>
      <w:r w:rsidRPr="00977679">
        <w:rPr>
          <w:rStyle w:val="Appelnotedebasdep"/>
        </w:rPr>
        <w:footnoteReference w:id="3"/>
      </w:r>
      <w:r w:rsidRPr="00440C76">
        <w:rPr>
          <w:lang w:val="fr-FR"/>
        </w:rPr>
        <w:t>.</w:t>
      </w:r>
    </w:p>
    <w:p w14:paraId="3169C088" w14:textId="63EA0CD1" w:rsidR="00BE2CA7" w:rsidRPr="00440C76" w:rsidRDefault="00BE2CA7" w:rsidP="00BE2CA7">
      <w:pPr>
        <w:pStyle w:val="SingleTxtG"/>
        <w:ind w:left="2268"/>
        <w:rPr>
          <w:lang w:val="fr-FR"/>
        </w:rPr>
      </w:pPr>
      <w:r w:rsidRPr="00440C76">
        <w:rPr>
          <w:lang w:val="fr-FR"/>
        </w:rPr>
        <w:t>À la demande du constructeur, l</w:t>
      </w:r>
      <w:r>
        <w:rPr>
          <w:lang w:val="fr-FR"/>
        </w:rPr>
        <w:t>’</w:t>
      </w:r>
      <w:r w:rsidRPr="00440C76">
        <w:rPr>
          <w:lang w:val="fr-FR"/>
        </w:rPr>
        <w:t>homologation de type accordée en vertu du présent Règlement peut être étendue des véhicules visés par le paragraphe</w:t>
      </w:r>
      <w:r>
        <w:rPr>
          <w:lang w:val="fr-FR"/>
        </w:rPr>
        <w:t> </w:t>
      </w:r>
      <w:r w:rsidRPr="00440C76">
        <w:rPr>
          <w:lang w:val="fr-FR"/>
        </w:rPr>
        <w:t>1 aux véhicules des catégories</w:t>
      </w:r>
      <w:r>
        <w:rPr>
          <w:lang w:val="fr-FR"/>
        </w:rPr>
        <w:t> </w:t>
      </w:r>
      <w:r w:rsidRPr="00440C76">
        <w:rPr>
          <w:lang w:val="fr-FR"/>
        </w:rPr>
        <w:t>M</w:t>
      </w:r>
      <w:r w:rsidRPr="00440C76">
        <w:rPr>
          <w:vertAlign w:val="subscript"/>
          <w:lang w:val="fr-FR"/>
        </w:rPr>
        <w:t>1</w:t>
      </w:r>
      <w:r w:rsidRPr="00440C76">
        <w:rPr>
          <w:lang w:val="fr-FR"/>
        </w:rPr>
        <w:t>, M</w:t>
      </w:r>
      <w:r w:rsidRPr="00440C76">
        <w:rPr>
          <w:vertAlign w:val="subscript"/>
          <w:lang w:val="fr-FR"/>
        </w:rPr>
        <w:t>2</w:t>
      </w:r>
      <w:r w:rsidRPr="00440C76">
        <w:rPr>
          <w:lang w:val="fr-FR"/>
        </w:rPr>
        <w:t>, N</w:t>
      </w:r>
      <w:r w:rsidRPr="00440C76">
        <w:rPr>
          <w:vertAlign w:val="subscript"/>
          <w:lang w:val="fr-FR"/>
        </w:rPr>
        <w:t>1</w:t>
      </w:r>
      <w:r w:rsidRPr="00440C76">
        <w:rPr>
          <w:lang w:val="fr-FR"/>
        </w:rPr>
        <w:t xml:space="preserve"> et N</w:t>
      </w:r>
      <w:r w:rsidRPr="00440C76">
        <w:rPr>
          <w:vertAlign w:val="subscript"/>
          <w:lang w:val="fr-FR"/>
        </w:rPr>
        <w:t>2</w:t>
      </w:r>
      <w:r w:rsidRPr="00440C76">
        <w:rPr>
          <w:lang w:val="fr-FR"/>
        </w:rPr>
        <w:t xml:space="preserve"> dont la masse de référence ne dépasse pas 2 840</w:t>
      </w:r>
      <w:r>
        <w:rPr>
          <w:lang w:val="fr-FR"/>
        </w:rPr>
        <w:t> </w:t>
      </w:r>
      <w:r w:rsidRPr="00440C76">
        <w:rPr>
          <w:lang w:val="fr-FR"/>
        </w:rPr>
        <w:t>kg et qui répondent aux conditions fixées dans le présent</w:t>
      </w:r>
      <w:r w:rsidR="00C21146">
        <w:rPr>
          <w:lang w:val="fr-FR"/>
        </w:rPr>
        <w:t xml:space="preserve"> </w:t>
      </w:r>
      <w:r w:rsidRPr="00440C76">
        <w:rPr>
          <w:lang w:val="fr-FR"/>
        </w:rPr>
        <w:t>Règlement.</w:t>
      </w:r>
    </w:p>
    <w:p w14:paraId="410BE18C" w14:textId="5303FD1D" w:rsidR="00BE2CA7" w:rsidRPr="00440C76" w:rsidRDefault="00BE2CA7" w:rsidP="00BE2CA7">
      <w:pPr>
        <w:pStyle w:val="SingleTxtG"/>
        <w:ind w:left="2268"/>
        <w:rPr>
          <w:rFonts w:eastAsia="Times New Roman"/>
          <w:spacing w:val="-2"/>
          <w:szCs w:val="24"/>
          <w:lang w:val="fr-FR"/>
        </w:rPr>
      </w:pPr>
      <w:r w:rsidRPr="00440C76">
        <w:rPr>
          <w:rFonts w:eastAsia="Times New Roman"/>
          <w:spacing w:val="-2"/>
          <w:szCs w:val="24"/>
          <w:lang w:val="fr-FR"/>
        </w:rPr>
        <w:t>À la demande du constructeur, l</w:t>
      </w:r>
      <w:r>
        <w:rPr>
          <w:rFonts w:eastAsia="Times New Roman"/>
          <w:spacing w:val="-2"/>
          <w:szCs w:val="24"/>
          <w:lang w:val="fr-FR"/>
        </w:rPr>
        <w:t>’</w:t>
      </w:r>
      <w:r w:rsidRPr="00440C76">
        <w:rPr>
          <w:rFonts w:eastAsia="Times New Roman"/>
          <w:spacing w:val="-2"/>
          <w:szCs w:val="24"/>
          <w:lang w:val="fr-FR"/>
        </w:rPr>
        <w:t>homologation de type accordée en vertu du présent Règlement peut être étendue des véhicules désignés ci-dessus aux véhicules spécialisés des catégories</w:t>
      </w:r>
      <w:r>
        <w:rPr>
          <w:rFonts w:eastAsia="Times New Roman"/>
          <w:spacing w:val="-2"/>
          <w:szCs w:val="24"/>
          <w:lang w:val="fr-FR"/>
        </w:rPr>
        <w:t> </w:t>
      </w:r>
      <w:r w:rsidRPr="00440C76">
        <w:rPr>
          <w:rFonts w:eastAsia="Times New Roman"/>
          <w:spacing w:val="-2"/>
          <w:szCs w:val="24"/>
          <w:lang w:val="fr-FR"/>
        </w:rPr>
        <w:t>M</w:t>
      </w:r>
      <w:r w:rsidRPr="00440C76">
        <w:rPr>
          <w:rFonts w:eastAsia="Times New Roman"/>
          <w:spacing w:val="-2"/>
          <w:szCs w:val="24"/>
          <w:vertAlign w:val="subscript"/>
          <w:lang w:val="fr-FR"/>
        </w:rPr>
        <w:t>1</w:t>
      </w:r>
      <w:r w:rsidRPr="00440C76">
        <w:rPr>
          <w:rFonts w:eastAsia="Times New Roman"/>
          <w:spacing w:val="-2"/>
          <w:szCs w:val="24"/>
          <w:lang w:val="fr-FR"/>
        </w:rPr>
        <w:t>, M</w:t>
      </w:r>
      <w:r w:rsidRPr="00440C76">
        <w:rPr>
          <w:rFonts w:eastAsia="Times New Roman"/>
          <w:spacing w:val="-2"/>
          <w:szCs w:val="24"/>
          <w:vertAlign w:val="subscript"/>
          <w:lang w:val="fr-FR"/>
        </w:rPr>
        <w:t>2</w:t>
      </w:r>
      <w:r w:rsidRPr="00440C76">
        <w:rPr>
          <w:rFonts w:eastAsia="Times New Roman"/>
          <w:spacing w:val="-2"/>
          <w:szCs w:val="24"/>
          <w:lang w:val="fr-FR"/>
        </w:rPr>
        <w:t>, N</w:t>
      </w:r>
      <w:r w:rsidRPr="00440C76">
        <w:rPr>
          <w:rFonts w:eastAsia="Times New Roman"/>
          <w:spacing w:val="-2"/>
          <w:szCs w:val="24"/>
          <w:vertAlign w:val="subscript"/>
          <w:lang w:val="fr-FR"/>
        </w:rPr>
        <w:t>1</w:t>
      </w:r>
      <w:r w:rsidRPr="00440C76">
        <w:rPr>
          <w:rFonts w:eastAsia="Times New Roman"/>
          <w:spacing w:val="-2"/>
          <w:szCs w:val="24"/>
          <w:lang w:val="fr-FR"/>
        </w:rPr>
        <w:t xml:space="preserve"> et N</w:t>
      </w:r>
      <w:r w:rsidRPr="00440C76">
        <w:rPr>
          <w:rFonts w:eastAsia="Times New Roman"/>
          <w:spacing w:val="-2"/>
          <w:szCs w:val="24"/>
          <w:vertAlign w:val="subscript"/>
          <w:lang w:val="fr-FR"/>
        </w:rPr>
        <w:t>2</w:t>
      </w:r>
      <w:r w:rsidRPr="00440C76">
        <w:rPr>
          <w:rFonts w:eastAsia="Times New Roman"/>
          <w:spacing w:val="-2"/>
          <w:szCs w:val="24"/>
          <w:lang w:val="fr-FR"/>
        </w:rPr>
        <w:t xml:space="preserve"> quelle que soit leur masse de référence.</w:t>
      </w:r>
      <w:r w:rsidRPr="00440C76">
        <w:rPr>
          <w:lang w:val="fr-FR"/>
        </w:rPr>
        <w:t xml:space="preserve"> </w:t>
      </w:r>
      <w:r w:rsidRPr="00440C76">
        <w:rPr>
          <w:rFonts w:eastAsia="Times New Roman"/>
          <w:spacing w:val="-2"/>
          <w:szCs w:val="24"/>
          <w:lang w:val="fr-FR"/>
        </w:rPr>
        <w:t>Le constructeur doit démontrer à l</w:t>
      </w:r>
      <w:r>
        <w:rPr>
          <w:rFonts w:eastAsia="Times New Roman"/>
          <w:spacing w:val="-2"/>
          <w:szCs w:val="24"/>
          <w:lang w:val="fr-FR"/>
        </w:rPr>
        <w:t>’</w:t>
      </w:r>
      <w:r w:rsidRPr="00440C76">
        <w:rPr>
          <w:rFonts w:eastAsia="Times New Roman"/>
          <w:spacing w:val="-2"/>
          <w:szCs w:val="24"/>
          <w:lang w:val="fr-FR"/>
        </w:rPr>
        <w:t>autorité qui a délivré l</w:t>
      </w:r>
      <w:r>
        <w:rPr>
          <w:rFonts w:eastAsia="Times New Roman"/>
          <w:spacing w:val="-2"/>
          <w:szCs w:val="24"/>
          <w:lang w:val="fr-FR"/>
        </w:rPr>
        <w:t>’</w:t>
      </w:r>
      <w:r w:rsidRPr="00440C76">
        <w:rPr>
          <w:rFonts w:eastAsia="Times New Roman"/>
          <w:spacing w:val="-2"/>
          <w:szCs w:val="24"/>
          <w:lang w:val="fr-FR"/>
        </w:rPr>
        <w:t>homologation de type que le véhicule en question est un véhicule</w:t>
      </w:r>
      <w:r w:rsidR="00C21146">
        <w:rPr>
          <w:rFonts w:eastAsia="Times New Roman"/>
          <w:spacing w:val="-2"/>
          <w:szCs w:val="24"/>
          <w:lang w:val="fr-FR"/>
        </w:rPr>
        <w:t xml:space="preserve"> </w:t>
      </w:r>
      <w:r w:rsidRPr="00440C76">
        <w:rPr>
          <w:rFonts w:eastAsia="Times New Roman"/>
          <w:spacing w:val="-2"/>
          <w:szCs w:val="24"/>
          <w:lang w:val="fr-FR"/>
        </w:rPr>
        <w:t>spécialisé</w:t>
      </w:r>
      <w:r w:rsidRPr="00440C76">
        <w:rPr>
          <w:bCs/>
          <w:spacing w:val="-2"/>
          <w:sz w:val="18"/>
          <w:szCs w:val="18"/>
          <w:vertAlign w:val="superscript"/>
          <w:lang w:val="fr-FR"/>
        </w:rPr>
        <w:t>1</w:t>
      </w:r>
      <w:r w:rsidRPr="00440C76">
        <w:rPr>
          <w:rFonts w:eastAsia="Times New Roman"/>
          <w:spacing w:val="-2"/>
          <w:szCs w:val="24"/>
          <w:lang w:val="fr-FR"/>
        </w:rPr>
        <w:t>.</w:t>
      </w:r>
    </w:p>
    <w:p w14:paraId="7FD87DEA" w14:textId="77777777" w:rsidR="00BE2CA7" w:rsidRPr="00440C76" w:rsidRDefault="00BE2CA7" w:rsidP="00BE2CA7">
      <w:pPr>
        <w:pStyle w:val="HChG"/>
        <w:ind w:left="2268"/>
        <w:rPr>
          <w:lang w:val="fr-FR"/>
        </w:rPr>
      </w:pPr>
      <w:r w:rsidRPr="00440C76">
        <w:rPr>
          <w:lang w:val="fr-FR"/>
        </w:rPr>
        <w:t>2.</w:t>
      </w:r>
      <w:r w:rsidRPr="00440C76">
        <w:rPr>
          <w:lang w:val="fr-FR"/>
        </w:rPr>
        <w:tab/>
        <w:t>Définitions</w:t>
      </w:r>
    </w:p>
    <w:p w14:paraId="2F6373D8" w14:textId="77777777" w:rsidR="00BE2CA7" w:rsidRPr="00440C76" w:rsidRDefault="00BE2CA7" w:rsidP="00BE2CA7">
      <w:pPr>
        <w:pStyle w:val="SingleTxtG"/>
        <w:ind w:left="2268"/>
        <w:rPr>
          <w:lang w:val="fr-FR"/>
        </w:rPr>
      </w:pPr>
      <w:r w:rsidRPr="00440C76">
        <w:rPr>
          <w:lang w:val="fr-FR"/>
        </w:rPr>
        <w:t>Aux fins du présent Règlement, les définitions du Règlement ONU n</w:t>
      </w:r>
      <w:r w:rsidRPr="00440C76">
        <w:rPr>
          <w:vertAlign w:val="superscript"/>
          <w:lang w:val="fr-FR"/>
        </w:rPr>
        <w:t>o</w:t>
      </w:r>
      <w:r w:rsidRPr="00440C76">
        <w:rPr>
          <w:lang w:val="fr-FR"/>
        </w:rPr>
        <w:t> 154 s</w:t>
      </w:r>
      <w:r>
        <w:rPr>
          <w:lang w:val="fr-FR"/>
        </w:rPr>
        <w:t>’</w:t>
      </w:r>
      <w:r w:rsidRPr="00440C76">
        <w:rPr>
          <w:lang w:val="fr-FR"/>
        </w:rPr>
        <w:t xml:space="preserve">appliquent, sauf indication contraire ci-dessous, auquel cas </w:t>
      </w:r>
      <w:r>
        <w:rPr>
          <w:lang w:val="fr-FR"/>
        </w:rPr>
        <w:t>on entend</w:t>
      </w:r>
      <w:r w:rsidRPr="00440C76">
        <w:rPr>
          <w:lang w:val="fr-FR"/>
        </w:rPr>
        <w:t> :</w:t>
      </w:r>
    </w:p>
    <w:p w14:paraId="155FE66F"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2.1</w:t>
      </w:r>
      <w:r w:rsidRPr="00440C76">
        <w:rPr>
          <w:rFonts w:eastAsia="Times New Roman"/>
          <w:lang w:val="fr-FR"/>
        </w:rPr>
        <w:tab/>
      </w:r>
      <w:r w:rsidRPr="00440C76">
        <w:rPr>
          <w:lang w:val="fr-FR"/>
        </w:rPr>
        <w:t>Par</w:t>
      </w:r>
      <w:r w:rsidRPr="00440C76">
        <w:rPr>
          <w:rFonts w:eastAsia="Times New Roman"/>
          <w:lang w:val="fr-FR"/>
        </w:rPr>
        <w:t xml:space="preserve"> </w:t>
      </w:r>
      <w:r w:rsidRPr="00440C76">
        <w:rPr>
          <w:lang w:val="fr-FR"/>
        </w:rPr>
        <w:t>« </w:t>
      </w:r>
      <w:r w:rsidRPr="00440C76">
        <w:rPr>
          <w:rFonts w:eastAsia="Times New Roman"/>
          <w:i/>
          <w:lang w:val="fr-FR"/>
        </w:rPr>
        <w:t>type de véhicule</w:t>
      </w:r>
      <w:r w:rsidRPr="00440C76">
        <w:rPr>
          <w:lang w:val="fr-FR"/>
        </w:rPr>
        <w:t> »</w:t>
      </w:r>
      <w:r w:rsidRPr="00440C76">
        <w:rPr>
          <w:rFonts w:eastAsia="Times New Roman"/>
          <w:lang w:val="fr-FR"/>
        </w:rPr>
        <w:t>, un groupe de véhicules ne présentant pas entre eux de différences en ce qui concerne :</w:t>
      </w:r>
    </w:p>
    <w:p w14:paraId="1B17F64F"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2.1.1</w:t>
      </w:r>
      <w:r w:rsidRPr="00440C76">
        <w:rPr>
          <w:rFonts w:eastAsia="Times New Roman"/>
          <w:lang w:val="fr-FR"/>
        </w:rPr>
        <w:tab/>
      </w:r>
      <w:r w:rsidRPr="00440C76">
        <w:rPr>
          <w:rFonts w:eastAsia="Times New Roman"/>
          <w:lang w:val="fr-FR"/>
        </w:rPr>
        <w:tab/>
      </w:r>
      <w:r w:rsidRPr="00440C76">
        <w:rPr>
          <w:lang w:val="fr-FR"/>
        </w:rPr>
        <w:t>L</w:t>
      </w:r>
      <w:r>
        <w:rPr>
          <w:lang w:val="fr-FR"/>
        </w:rPr>
        <w:t>’</w:t>
      </w:r>
      <w:r w:rsidRPr="00440C76">
        <w:rPr>
          <w:lang w:val="fr-FR"/>
        </w:rPr>
        <w:t>inertie</w:t>
      </w:r>
      <w:r w:rsidRPr="00440C76">
        <w:rPr>
          <w:rFonts w:eastAsia="Times New Roman"/>
          <w:lang w:val="fr-FR"/>
        </w:rPr>
        <w:t xml:space="preserve"> équivalente, déterminée en fonction de la masse de référence comme il est prescrit au tableau</w:t>
      </w:r>
      <w:r>
        <w:rPr>
          <w:rFonts w:eastAsia="Times New Roman"/>
          <w:lang w:val="fr-FR"/>
        </w:rPr>
        <w:t> </w:t>
      </w:r>
      <w:r w:rsidRPr="00440C76">
        <w:rPr>
          <w:rFonts w:eastAsia="Times New Roman"/>
          <w:lang w:val="fr-FR"/>
        </w:rPr>
        <w:t>A4a/3 de l</w:t>
      </w:r>
      <w:r>
        <w:rPr>
          <w:rFonts w:eastAsia="Times New Roman"/>
          <w:lang w:val="fr-FR"/>
        </w:rPr>
        <w:t>’</w:t>
      </w:r>
      <w:r w:rsidRPr="00440C76">
        <w:rPr>
          <w:rFonts w:eastAsia="Times New Roman"/>
          <w:lang w:val="fr-FR"/>
        </w:rPr>
        <w:t>annexe</w:t>
      </w:r>
      <w:r>
        <w:rPr>
          <w:rFonts w:eastAsia="Times New Roman"/>
          <w:lang w:val="fr-FR"/>
        </w:rPr>
        <w:t> </w:t>
      </w:r>
      <w:r w:rsidRPr="00440C76">
        <w:rPr>
          <w:rFonts w:eastAsia="Times New Roman"/>
          <w:lang w:val="fr-FR"/>
        </w:rPr>
        <w:t>4a de la série</w:t>
      </w:r>
      <w:r>
        <w:rPr>
          <w:rFonts w:eastAsia="Times New Roman"/>
          <w:lang w:val="fr-FR"/>
        </w:rPr>
        <w:t> </w:t>
      </w:r>
      <w:r w:rsidRPr="00440C76">
        <w:rPr>
          <w:rFonts w:eastAsia="Times New Roman"/>
          <w:lang w:val="fr-FR"/>
        </w:rPr>
        <w:t>07 d</w:t>
      </w:r>
      <w:r>
        <w:rPr>
          <w:rFonts w:eastAsia="Times New Roman"/>
          <w:lang w:val="fr-FR"/>
        </w:rPr>
        <w:t>’</w:t>
      </w:r>
      <w:r w:rsidRPr="00440C76">
        <w:rPr>
          <w:rFonts w:eastAsia="Times New Roman"/>
          <w:lang w:val="fr-FR"/>
        </w:rPr>
        <w:t>amendements au présent Règlement ; et</w:t>
      </w:r>
    </w:p>
    <w:p w14:paraId="01510135"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2.1.2</w:t>
      </w:r>
      <w:r w:rsidRPr="00440C76">
        <w:rPr>
          <w:rFonts w:eastAsia="Times New Roman"/>
          <w:lang w:val="fr-FR"/>
        </w:rPr>
        <w:tab/>
      </w:r>
      <w:r w:rsidRPr="00440C76">
        <w:rPr>
          <w:rFonts w:eastAsia="Times New Roman"/>
          <w:lang w:val="fr-FR"/>
        </w:rPr>
        <w:tab/>
      </w:r>
      <w:r w:rsidRPr="00440C76">
        <w:rPr>
          <w:lang w:val="fr-FR"/>
        </w:rPr>
        <w:t>Les</w:t>
      </w:r>
      <w:r w:rsidRPr="00440C76">
        <w:rPr>
          <w:rFonts w:eastAsia="Times New Roman"/>
          <w:lang w:val="fr-FR"/>
        </w:rPr>
        <w:t xml:space="preserve"> caractéristiques du moteur et du véhicule, définies dans l</w:t>
      </w:r>
      <w:r>
        <w:rPr>
          <w:rFonts w:eastAsia="Times New Roman"/>
          <w:lang w:val="fr-FR"/>
        </w:rPr>
        <w:t>’</w:t>
      </w:r>
      <w:r w:rsidRPr="00440C76">
        <w:rPr>
          <w:rFonts w:eastAsia="Times New Roman"/>
          <w:lang w:val="fr-FR"/>
        </w:rPr>
        <w:t>annexe</w:t>
      </w:r>
      <w:r>
        <w:rPr>
          <w:rFonts w:eastAsia="Times New Roman"/>
          <w:lang w:val="fr-FR"/>
        </w:rPr>
        <w:t> </w:t>
      </w:r>
      <w:r w:rsidRPr="00440C76">
        <w:rPr>
          <w:rFonts w:eastAsia="Times New Roman"/>
          <w:lang w:val="fr-FR"/>
        </w:rPr>
        <w:t>1 du présent Règlement ;</w:t>
      </w:r>
    </w:p>
    <w:p w14:paraId="1BA7ECD4"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2.2</w:t>
      </w:r>
      <w:r w:rsidRPr="00440C76">
        <w:rPr>
          <w:rFonts w:eastAsia="Times New Roman"/>
          <w:lang w:val="fr-FR"/>
        </w:rPr>
        <w:tab/>
      </w:r>
      <w:r w:rsidRPr="00440C76">
        <w:rPr>
          <w:lang w:val="fr-FR"/>
        </w:rPr>
        <w:t>Réservé</w:t>
      </w:r>
    </w:p>
    <w:p w14:paraId="143538B1" w14:textId="77777777" w:rsidR="00BE2CA7" w:rsidRPr="00440C76" w:rsidRDefault="00BE2CA7" w:rsidP="00BE2CA7">
      <w:pPr>
        <w:pStyle w:val="SingleTxtG"/>
        <w:ind w:left="2268" w:hanging="1134"/>
        <w:rPr>
          <w:rFonts w:eastAsia="Times New Roman"/>
          <w:lang w:val="fr-FR"/>
        </w:rPr>
      </w:pPr>
      <w:r w:rsidRPr="00DB03A1">
        <w:rPr>
          <w:rFonts w:eastAsia="Times New Roman"/>
          <w:lang w:val="fr-FR"/>
        </w:rPr>
        <w:t>2.3</w:t>
      </w:r>
      <w:r w:rsidRPr="00DB03A1">
        <w:rPr>
          <w:rFonts w:eastAsia="Times New Roman"/>
          <w:lang w:val="fr-FR"/>
        </w:rPr>
        <w:tab/>
      </w:r>
      <w:r w:rsidRPr="00DB03A1">
        <w:rPr>
          <w:lang w:val="fr-FR"/>
        </w:rPr>
        <w:t>Par</w:t>
      </w:r>
      <w:r w:rsidRPr="00DB03A1">
        <w:rPr>
          <w:rFonts w:eastAsia="Times New Roman"/>
          <w:lang w:val="fr-FR"/>
        </w:rPr>
        <w:t xml:space="preserve"> </w:t>
      </w:r>
      <w:r w:rsidRPr="00DB03A1">
        <w:rPr>
          <w:lang w:val="fr-FR"/>
        </w:rPr>
        <w:t>« </w:t>
      </w:r>
      <w:r w:rsidRPr="00DB03A1">
        <w:rPr>
          <w:rFonts w:eastAsia="Times New Roman"/>
          <w:i/>
          <w:lang w:val="fr-FR"/>
        </w:rPr>
        <w:t>masse maximale</w:t>
      </w:r>
      <w:r w:rsidRPr="00DB03A1">
        <w:rPr>
          <w:lang w:val="fr-FR"/>
        </w:rPr>
        <w:t> »</w:t>
      </w:r>
      <w:r w:rsidRPr="00DB03A1">
        <w:rPr>
          <w:rFonts w:eastAsia="Times New Roman"/>
          <w:lang w:val="fr-FR"/>
        </w:rPr>
        <w:t>, la masse maximale techniquement admissible déclarée par</w:t>
      </w:r>
      <w:r w:rsidRPr="00440C76">
        <w:rPr>
          <w:rFonts w:eastAsia="Times New Roman"/>
          <w:lang w:val="fr-FR"/>
        </w:rPr>
        <w:t xml:space="preserve"> le constructeur (cette masse </w:t>
      </w:r>
      <w:r w:rsidRPr="00440C76">
        <w:rPr>
          <w:lang w:val="fr-FR"/>
        </w:rPr>
        <w:t>peut</w:t>
      </w:r>
      <w:r w:rsidRPr="00440C76">
        <w:rPr>
          <w:rFonts w:eastAsia="Times New Roman"/>
          <w:lang w:val="fr-FR"/>
        </w:rPr>
        <w:t xml:space="preserve"> être supérieure à la masse maximale autorisée par l</w:t>
      </w:r>
      <w:r>
        <w:rPr>
          <w:rFonts w:eastAsia="Times New Roman"/>
          <w:lang w:val="fr-FR"/>
        </w:rPr>
        <w:t>’</w:t>
      </w:r>
      <w:r w:rsidRPr="00440C76">
        <w:rPr>
          <w:rFonts w:eastAsia="Times New Roman"/>
          <w:lang w:val="fr-FR"/>
        </w:rPr>
        <w:t>administration nationale) ;</w:t>
      </w:r>
    </w:p>
    <w:p w14:paraId="58CC9BB4"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2.4</w:t>
      </w:r>
      <w:r w:rsidRPr="00440C76">
        <w:rPr>
          <w:lang w:val="fr-FR"/>
        </w:rPr>
        <w:t xml:space="preserve"> à 2.7</w:t>
      </w:r>
      <w:r w:rsidRPr="00440C76">
        <w:rPr>
          <w:rFonts w:eastAsia="Times New Roman"/>
          <w:lang w:val="fr-FR"/>
        </w:rPr>
        <w:tab/>
      </w:r>
      <w:r w:rsidRPr="00440C76">
        <w:rPr>
          <w:lang w:val="fr-FR"/>
        </w:rPr>
        <w:t>Réservé</w:t>
      </w:r>
    </w:p>
    <w:p w14:paraId="3C7E2FD4"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2.8</w:t>
      </w:r>
      <w:r w:rsidRPr="00440C76">
        <w:rPr>
          <w:rFonts w:eastAsia="Times New Roman"/>
          <w:lang w:val="fr-FR"/>
        </w:rPr>
        <w:tab/>
      </w:r>
      <w:r w:rsidRPr="00440C76">
        <w:rPr>
          <w:rFonts w:eastAsia="Times New Roman"/>
          <w:lang w:val="fr-FR"/>
        </w:rPr>
        <w:tab/>
        <w:t xml:space="preserve">Par </w:t>
      </w:r>
      <w:r w:rsidRPr="00440C76">
        <w:rPr>
          <w:lang w:val="fr-FR"/>
        </w:rPr>
        <w:t>« </w:t>
      </w:r>
      <w:r w:rsidRPr="00440C76">
        <w:rPr>
          <w:rFonts w:eastAsia="Times New Roman"/>
          <w:i/>
          <w:lang w:val="fr-FR"/>
        </w:rPr>
        <w:t>carter</w:t>
      </w:r>
      <w:r w:rsidRPr="00440C76">
        <w:rPr>
          <w:lang w:val="fr-FR"/>
        </w:rPr>
        <w:t> »</w:t>
      </w:r>
      <w:r w:rsidRPr="00440C76">
        <w:rPr>
          <w:rFonts w:eastAsia="Times New Roman"/>
          <w:lang w:val="fr-FR"/>
        </w:rPr>
        <w:t>, les espaces existant soit à l</w:t>
      </w:r>
      <w:r>
        <w:rPr>
          <w:rFonts w:eastAsia="Times New Roman"/>
          <w:lang w:val="fr-FR"/>
        </w:rPr>
        <w:t>’</w:t>
      </w:r>
      <w:r w:rsidRPr="00440C76">
        <w:rPr>
          <w:rFonts w:eastAsia="Times New Roman"/>
          <w:lang w:val="fr-FR"/>
        </w:rPr>
        <w:t>intérieur soit à l</w:t>
      </w:r>
      <w:r>
        <w:rPr>
          <w:rFonts w:eastAsia="Times New Roman"/>
          <w:lang w:val="fr-FR"/>
        </w:rPr>
        <w:t>’</w:t>
      </w:r>
      <w:r w:rsidRPr="00440C76">
        <w:rPr>
          <w:rFonts w:eastAsia="Times New Roman"/>
          <w:lang w:val="fr-FR"/>
        </w:rPr>
        <w:t xml:space="preserve">extérieur du moteur </w:t>
      </w:r>
      <w:r w:rsidRPr="00440C76">
        <w:rPr>
          <w:lang w:val="fr-FR"/>
        </w:rPr>
        <w:t>et</w:t>
      </w:r>
      <w:r w:rsidRPr="00440C76">
        <w:rPr>
          <w:rFonts w:eastAsia="Times New Roman"/>
          <w:lang w:val="fr-FR"/>
        </w:rPr>
        <w:t xml:space="preserve"> reliés au carter d</w:t>
      </w:r>
      <w:r>
        <w:rPr>
          <w:rFonts w:eastAsia="Times New Roman"/>
          <w:lang w:val="fr-FR"/>
        </w:rPr>
        <w:t>’</w:t>
      </w:r>
      <w:r w:rsidRPr="00440C76">
        <w:rPr>
          <w:rFonts w:eastAsia="Times New Roman"/>
          <w:lang w:val="fr-FR"/>
        </w:rPr>
        <w:t>huile par des passages internes ou externes par lesquels les gaz et les vapeurs peuvent s</w:t>
      </w:r>
      <w:r>
        <w:rPr>
          <w:rFonts w:eastAsia="Times New Roman"/>
          <w:lang w:val="fr-FR"/>
        </w:rPr>
        <w:t>’</w:t>
      </w:r>
      <w:r w:rsidRPr="00440C76">
        <w:rPr>
          <w:rFonts w:eastAsia="Times New Roman"/>
          <w:lang w:val="fr-FR"/>
        </w:rPr>
        <w:t>écouler ;</w:t>
      </w:r>
    </w:p>
    <w:p w14:paraId="4FFDBBAB"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2.9 à 2.11</w:t>
      </w:r>
      <w:r w:rsidRPr="00440C76">
        <w:rPr>
          <w:rFonts w:eastAsia="Times New Roman"/>
          <w:lang w:val="fr-FR"/>
        </w:rPr>
        <w:tab/>
      </w:r>
      <w:r w:rsidRPr="00440C76">
        <w:rPr>
          <w:lang w:val="fr-FR"/>
        </w:rPr>
        <w:t>Réservé</w:t>
      </w:r>
    </w:p>
    <w:p w14:paraId="54157F4A"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2.12</w:t>
      </w:r>
      <w:r w:rsidRPr="00440C76">
        <w:rPr>
          <w:rFonts w:eastAsia="Times New Roman"/>
          <w:lang w:val="fr-FR"/>
        </w:rPr>
        <w:tab/>
      </w:r>
      <w:r w:rsidRPr="00440C76">
        <w:rPr>
          <w:rFonts w:eastAsia="Times New Roman"/>
          <w:lang w:val="fr-FR"/>
        </w:rPr>
        <w:tab/>
        <w:t xml:space="preserve">Par </w:t>
      </w:r>
      <w:r w:rsidRPr="00440C76">
        <w:rPr>
          <w:lang w:val="fr-FR"/>
        </w:rPr>
        <w:t>« </w:t>
      </w:r>
      <w:r w:rsidRPr="00440C76">
        <w:rPr>
          <w:rFonts w:eastAsia="Times New Roman"/>
          <w:i/>
          <w:lang w:val="fr-FR"/>
        </w:rPr>
        <w:t>dispositifs antipollution</w:t>
      </w:r>
      <w:r w:rsidRPr="00440C76">
        <w:rPr>
          <w:lang w:val="fr-FR"/>
        </w:rPr>
        <w:t> »</w:t>
      </w:r>
      <w:r w:rsidRPr="00440C76">
        <w:rPr>
          <w:rFonts w:eastAsia="Times New Roman"/>
          <w:lang w:val="fr-FR"/>
        </w:rPr>
        <w:t>, les dispositifs d</w:t>
      </w:r>
      <w:r>
        <w:rPr>
          <w:rFonts w:eastAsia="Times New Roman"/>
          <w:lang w:val="fr-FR"/>
        </w:rPr>
        <w:t>’</w:t>
      </w:r>
      <w:r w:rsidRPr="00440C76">
        <w:rPr>
          <w:rFonts w:eastAsia="Times New Roman"/>
          <w:lang w:val="fr-FR"/>
        </w:rPr>
        <w:t xml:space="preserve">un véhicule qui contrôlent </w:t>
      </w:r>
      <w:r w:rsidRPr="00440C76">
        <w:rPr>
          <w:lang w:val="fr-FR"/>
        </w:rPr>
        <w:t>et</w:t>
      </w:r>
      <w:r w:rsidRPr="00440C76">
        <w:rPr>
          <w:rFonts w:eastAsia="Times New Roman"/>
          <w:lang w:val="fr-FR"/>
        </w:rPr>
        <w:t>/ou limitent les émissions à l</w:t>
      </w:r>
      <w:r>
        <w:rPr>
          <w:rFonts w:eastAsia="Times New Roman"/>
          <w:lang w:val="fr-FR"/>
        </w:rPr>
        <w:t>’</w:t>
      </w:r>
      <w:r w:rsidRPr="00440C76">
        <w:rPr>
          <w:rFonts w:eastAsia="Times New Roman"/>
          <w:lang w:val="fr-FR"/>
        </w:rPr>
        <w:t>échappement et par évaporation ;</w:t>
      </w:r>
    </w:p>
    <w:p w14:paraId="57C11080" w14:textId="77777777" w:rsidR="00BE2CA7" w:rsidRPr="00440C76" w:rsidRDefault="00BE2CA7" w:rsidP="00BE2CA7">
      <w:pPr>
        <w:pStyle w:val="SingleTxtG"/>
        <w:keepNext/>
        <w:ind w:left="2268" w:hanging="1134"/>
        <w:rPr>
          <w:rFonts w:eastAsia="Times New Roman"/>
          <w:lang w:val="fr-FR"/>
        </w:rPr>
      </w:pPr>
      <w:r w:rsidRPr="00440C76">
        <w:rPr>
          <w:rFonts w:eastAsia="Times New Roman"/>
          <w:lang w:val="fr-FR"/>
        </w:rPr>
        <w:lastRenderedPageBreak/>
        <w:t>2.13</w:t>
      </w:r>
      <w:r w:rsidRPr="00440C76">
        <w:rPr>
          <w:rFonts w:eastAsia="Times New Roman"/>
          <w:lang w:val="fr-FR"/>
        </w:rPr>
        <w:tab/>
      </w:r>
      <w:r w:rsidRPr="00440C76">
        <w:rPr>
          <w:rFonts w:eastAsia="Times New Roman"/>
          <w:lang w:val="fr-FR"/>
        </w:rPr>
        <w:tab/>
      </w:r>
      <w:r w:rsidRPr="00440C76">
        <w:rPr>
          <w:lang w:val="fr-FR"/>
        </w:rPr>
        <w:t>Réservé</w:t>
      </w:r>
    </w:p>
    <w:p w14:paraId="24A2D771"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2.14</w:t>
      </w:r>
      <w:r w:rsidRPr="00440C76">
        <w:rPr>
          <w:rFonts w:eastAsia="Times New Roman"/>
          <w:lang w:val="fr-FR"/>
        </w:rPr>
        <w:tab/>
      </w:r>
      <w:r w:rsidRPr="00440C76">
        <w:rPr>
          <w:rFonts w:eastAsia="Times New Roman"/>
          <w:lang w:val="fr-FR"/>
        </w:rPr>
        <w:tab/>
        <w:t xml:space="preserve">Par </w:t>
      </w:r>
      <w:r w:rsidRPr="00440C76">
        <w:rPr>
          <w:lang w:val="fr-FR"/>
        </w:rPr>
        <w:t>« </w:t>
      </w:r>
      <w:r w:rsidRPr="00440C76">
        <w:rPr>
          <w:rFonts w:eastAsia="Times New Roman"/>
          <w:i/>
          <w:lang w:val="fr-FR"/>
        </w:rPr>
        <w:t>essais de conformité</w:t>
      </w:r>
      <w:r w:rsidRPr="00440C76" w:rsidDel="00A273B7">
        <w:rPr>
          <w:rFonts w:eastAsia="Times New Roman"/>
          <w:i/>
          <w:lang w:val="fr-FR"/>
        </w:rPr>
        <w:t xml:space="preserve"> </w:t>
      </w:r>
      <w:r w:rsidRPr="00440C76">
        <w:rPr>
          <w:rFonts w:eastAsia="Times New Roman"/>
          <w:i/>
          <w:lang w:val="fr-FR"/>
        </w:rPr>
        <w:t>en service</w:t>
      </w:r>
      <w:r w:rsidRPr="00440C76">
        <w:rPr>
          <w:lang w:val="fr-FR"/>
        </w:rPr>
        <w:t> »</w:t>
      </w:r>
      <w:r w:rsidRPr="00440C76">
        <w:rPr>
          <w:rFonts w:eastAsia="Times New Roman"/>
          <w:lang w:val="fr-FR"/>
        </w:rPr>
        <w:t>, les essais et les évaluations de conformité effectués conformément au paragraphe</w:t>
      </w:r>
      <w:r>
        <w:rPr>
          <w:rFonts w:eastAsia="Times New Roman"/>
          <w:lang w:val="fr-FR"/>
        </w:rPr>
        <w:t> </w:t>
      </w:r>
      <w:r w:rsidRPr="00440C76">
        <w:rPr>
          <w:rFonts w:eastAsia="Times New Roman"/>
          <w:lang w:val="fr-FR"/>
        </w:rPr>
        <w:t>9 et à l</w:t>
      </w:r>
      <w:r>
        <w:rPr>
          <w:rFonts w:eastAsia="Times New Roman"/>
          <w:lang w:val="fr-FR"/>
        </w:rPr>
        <w:t>’</w:t>
      </w:r>
      <w:r w:rsidRPr="00440C76">
        <w:rPr>
          <w:rFonts w:eastAsia="Times New Roman"/>
          <w:lang w:val="fr-FR"/>
        </w:rPr>
        <w:t>annexe</w:t>
      </w:r>
      <w:r>
        <w:rPr>
          <w:rFonts w:eastAsia="Times New Roman"/>
          <w:lang w:val="fr-FR"/>
        </w:rPr>
        <w:t> </w:t>
      </w:r>
      <w:r w:rsidRPr="00440C76">
        <w:rPr>
          <w:rFonts w:eastAsia="Times New Roman"/>
          <w:lang w:val="fr-FR"/>
        </w:rPr>
        <w:t xml:space="preserve">4 du présent </w:t>
      </w:r>
      <w:r w:rsidRPr="00440C76">
        <w:rPr>
          <w:lang w:val="fr-FR"/>
        </w:rPr>
        <w:t>Règlement</w:t>
      </w:r>
      <w:r w:rsidRPr="00440C76">
        <w:rPr>
          <w:rFonts w:eastAsia="Times New Roman"/>
          <w:lang w:val="fr-FR"/>
        </w:rPr>
        <w:t> ;</w:t>
      </w:r>
    </w:p>
    <w:p w14:paraId="162FD4D5"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2.15</w:t>
      </w:r>
      <w:r w:rsidRPr="00440C76">
        <w:rPr>
          <w:rFonts w:eastAsia="Times New Roman"/>
          <w:lang w:val="fr-FR"/>
        </w:rPr>
        <w:tab/>
      </w:r>
      <w:r w:rsidRPr="00440C76">
        <w:rPr>
          <w:lang w:val="fr-FR"/>
        </w:rPr>
        <w:t>Par</w:t>
      </w:r>
      <w:r w:rsidRPr="00440C76">
        <w:rPr>
          <w:rFonts w:eastAsia="Times New Roman"/>
          <w:lang w:val="fr-FR"/>
        </w:rPr>
        <w:t xml:space="preserve"> </w:t>
      </w:r>
      <w:r w:rsidRPr="00440C76">
        <w:rPr>
          <w:lang w:val="fr-FR"/>
        </w:rPr>
        <w:t>« </w:t>
      </w:r>
      <w:r w:rsidRPr="00440C76">
        <w:rPr>
          <w:rFonts w:eastAsia="Times New Roman"/>
          <w:i/>
          <w:lang w:val="fr-FR"/>
        </w:rPr>
        <w:t>correctement entretenu et utilisé</w:t>
      </w:r>
      <w:r w:rsidRPr="00440C76">
        <w:rPr>
          <w:lang w:val="fr-FR"/>
        </w:rPr>
        <w:t> »</w:t>
      </w:r>
      <w:r w:rsidRPr="00440C76">
        <w:rPr>
          <w:rFonts w:eastAsia="Times New Roman"/>
          <w:lang w:val="fr-FR"/>
        </w:rPr>
        <w:t>, dans le cas d</w:t>
      </w:r>
      <w:r>
        <w:rPr>
          <w:rFonts w:eastAsia="Times New Roman"/>
          <w:lang w:val="fr-FR"/>
        </w:rPr>
        <w:t>’</w:t>
      </w:r>
      <w:r w:rsidRPr="00440C76">
        <w:rPr>
          <w:rFonts w:eastAsia="Times New Roman"/>
          <w:lang w:val="fr-FR"/>
        </w:rPr>
        <w:t>un véhicule soumis aux essais, le fait que celui-ci satisfait aux critères d</w:t>
      </w:r>
      <w:r>
        <w:rPr>
          <w:rFonts w:eastAsia="Times New Roman"/>
          <w:lang w:val="fr-FR"/>
        </w:rPr>
        <w:t>’</w:t>
      </w:r>
      <w:r w:rsidRPr="00440C76">
        <w:rPr>
          <w:rFonts w:eastAsia="Times New Roman"/>
          <w:lang w:val="fr-FR"/>
        </w:rPr>
        <w:t>acceptation d</w:t>
      </w:r>
      <w:r>
        <w:rPr>
          <w:rFonts w:eastAsia="Times New Roman"/>
          <w:lang w:val="fr-FR"/>
        </w:rPr>
        <w:t>’</w:t>
      </w:r>
      <w:r w:rsidRPr="00440C76">
        <w:rPr>
          <w:rFonts w:eastAsia="Times New Roman"/>
          <w:lang w:val="fr-FR"/>
        </w:rPr>
        <w:t>un véhicule sélectionné selon la procédure définie à l</w:t>
      </w:r>
      <w:r>
        <w:rPr>
          <w:rFonts w:eastAsia="Times New Roman"/>
          <w:lang w:val="fr-FR"/>
        </w:rPr>
        <w:t>’</w:t>
      </w:r>
      <w:r w:rsidRPr="00440C76">
        <w:rPr>
          <w:rFonts w:eastAsia="Times New Roman"/>
          <w:lang w:val="fr-FR"/>
        </w:rPr>
        <w:t>appendice</w:t>
      </w:r>
      <w:r>
        <w:rPr>
          <w:rFonts w:eastAsia="Times New Roman"/>
          <w:lang w:val="fr-FR"/>
        </w:rPr>
        <w:t> </w:t>
      </w:r>
      <w:r w:rsidRPr="00440C76">
        <w:rPr>
          <w:rFonts w:eastAsia="Times New Roman"/>
          <w:lang w:val="fr-FR"/>
        </w:rPr>
        <w:t>1 de l</w:t>
      </w:r>
      <w:r>
        <w:rPr>
          <w:rFonts w:eastAsia="Times New Roman"/>
          <w:lang w:val="fr-FR"/>
        </w:rPr>
        <w:t>’</w:t>
      </w:r>
      <w:r w:rsidRPr="00440C76">
        <w:rPr>
          <w:rFonts w:eastAsia="Times New Roman"/>
          <w:lang w:val="fr-FR"/>
        </w:rPr>
        <w:t>annexe</w:t>
      </w:r>
      <w:r>
        <w:rPr>
          <w:rFonts w:eastAsia="Times New Roman"/>
          <w:lang w:val="fr-FR"/>
        </w:rPr>
        <w:t> </w:t>
      </w:r>
      <w:r w:rsidRPr="00440C76">
        <w:rPr>
          <w:rFonts w:eastAsia="Times New Roman"/>
          <w:lang w:val="fr-FR"/>
        </w:rPr>
        <w:t>4 ;</w:t>
      </w:r>
    </w:p>
    <w:p w14:paraId="4404AD7F"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2.16 à 2.18</w:t>
      </w:r>
      <w:r w:rsidRPr="00440C76">
        <w:rPr>
          <w:rFonts w:eastAsia="Times New Roman"/>
          <w:lang w:val="fr-FR"/>
        </w:rPr>
        <w:tab/>
      </w:r>
      <w:r w:rsidRPr="00440C76">
        <w:rPr>
          <w:lang w:val="fr-FR"/>
        </w:rPr>
        <w:t>Réservé</w:t>
      </w:r>
    </w:p>
    <w:p w14:paraId="0280AADF"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2.19</w:t>
      </w:r>
      <w:r w:rsidRPr="00440C76">
        <w:rPr>
          <w:rFonts w:eastAsia="Times New Roman"/>
          <w:lang w:val="fr-FR"/>
        </w:rPr>
        <w:tab/>
      </w:r>
      <w:r w:rsidRPr="00440C76">
        <w:rPr>
          <w:rFonts w:eastAsia="Times New Roman"/>
          <w:lang w:val="fr-FR"/>
        </w:rPr>
        <w:tab/>
      </w:r>
      <w:r w:rsidRPr="00440C76">
        <w:rPr>
          <w:lang w:val="fr-FR"/>
        </w:rPr>
        <w:t>Par</w:t>
      </w:r>
      <w:r w:rsidRPr="00440C76">
        <w:rPr>
          <w:rFonts w:eastAsia="Times New Roman"/>
          <w:lang w:val="fr-FR"/>
        </w:rPr>
        <w:t xml:space="preserve"> </w:t>
      </w:r>
      <w:r w:rsidRPr="00440C76">
        <w:rPr>
          <w:lang w:val="fr-FR"/>
        </w:rPr>
        <w:t>« </w:t>
      </w:r>
      <w:r w:rsidRPr="00440C76">
        <w:rPr>
          <w:rFonts w:eastAsia="Times New Roman"/>
          <w:i/>
          <w:lang w:val="fr-FR"/>
        </w:rPr>
        <w:t>homologation d</w:t>
      </w:r>
      <w:r>
        <w:rPr>
          <w:rFonts w:eastAsia="Times New Roman"/>
          <w:i/>
          <w:lang w:val="fr-FR"/>
        </w:rPr>
        <w:t>’</w:t>
      </w:r>
      <w:r w:rsidRPr="00440C76">
        <w:rPr>
          <w:rFonts w:eastAsia="Times New Roman"/>
          <w:i/>
          <w:lang w:val="fr-FR"/>
        </w:rPr>
        <w:t>un véhicule</w:t>
      </w:r>
      <w:r w:rsidRPr="00440C76">
        <w:rPr>
          <w:lang w:val="fr-FR"/>
        </w:rPr>
        <w:t> »</w:t>
      </w:r>
      <w:r w:rsidRPr="00440C76">
        <w:rPr>
          <w:rFonts w:eastAsia="Times New Roman"/>
          <w:lang w:val="fr-FR"/>
        </w:rPr>
        <w:t>, l</w:t>
      </w:r>
      <w:r>
        <w:rPr>
          <w:rFonts w:eastAsia="Times New Roman"/>
          <w:lang w:val="fr-FR"/>
        </w:rPr>
        <w:t>’</w:t>
      </w:r>
      <w:r w:rsidRPr="00440C76">
        <w:rPr>
          <w:rFonts w:eastAsia="Times New Roman"/>
          <w:lang w:val="fr-FR"/>
        </w:rPr>
        <w:t>homologation d</w:t>
      </w:r>
      <w:r>
        <w:rPr>
          <w:rFonts w:eastAsia="Times New Roman"/>
          <w:lang w:val="fr-FR"/>
        </w:rPr>
        <w:t>’</w:t>
      </w:r>
      <w:r w:rsidRPr="00440C76">
        <w:rPr>
          <w:rFonts w:eastAsia="Times New Roman"/>
          <w:lang w:val="fr-FR"/>
        </w:rPr>
        <w:t>un type de véhicule en ce qui concerne</w:t>
      </w:r>
      <w:r w:rsidRPr="00440C76">
        <w:rPr>
          <w:lang w:val="fr-FR"/>
        </w:rPr>
        <w:t xml:space="preserve"> </w:t>
      </w:r>
      <w:r w:rsidRPr="00440C76">
        <w:rPr>
          <w:rFonts w:eastAsia="Times New Roman"/>
          <w:lang w:val="fr-FR"/>
        </w:rPr>
        <w:t>les prescriptions du présent Règlement ;</w:t>
      </w:r>
    </w:p>
    <w:p w14:paraId="1D27D64D"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2.20 à 2.25</w:t>
      </w:r>
      <w:r w:rsidRPr="00440C76">
        <w:rPr>
          <w:rFonts w:eastAsia="Times New Roman"/>
          <w:lang w:val="fr-FR"/>
        </w:rPr>
        <w:tab/>
      </w:r>
      <w:r w:rsidRPr="00440C76">
        <w:rPr>
          <w:rFonts w:eastAsia="Times New Roman"/>
          <w:lang w:val="fr-FR"/>
        </w:rPr>
        <w:tab/>
      </w:r>
      <w:r w:rsidRPr="00440C76">
        <w:rPr>
          <w:lang w:val="fr-FR"/>
        </w:rPr>
        <w:t>Réservé</w:t>
      </w:r>
    </w:p>
    <w:p w14:paraId="1C54FEAD" w14:textId="77777777" w:rsidR="00BE2CA7" w:rsidRPr="00440C76" w:rsidRDefault="00BE2CA7" w:rsidP="00BE2CA7">
      <w:pPr>
        <w:pStyle w:val="SingleTxtG"/>
        <w:ind w:left="2268" w:hanging="1134"/>
        <w:rPr>
          <w:rFonts w:eastAsia="Times New Roman"/>
          <w:spacing w:val="-2"/>
          <w:lang w:val="fr-FR"/>
        </w:rPr>
      </w:pPr>
      <w:r w:rsidRPr="00440C76">
        <w:rPr>
          <w:rFonts w:eastAsia="Times New Roman"/>
          <w:lang w:val="fr-FR" w:eastAsia="de-DE"/>
        </w:rPr>
        <w:t>2.26</w:t>
      </w:r>
      <w:r w:rsidRPr="00440C76">
        <w:rPr>
          <w:rFonts w:eastAsia="Times New Roman"/>
          <w:lang w:val="fr-FR" w:eastAsia="de-DE"/>
        </w:rPr>
        <w:tab/>
      </w:r>
      <w:r w:rsidRPr="00440C76">
        <w:rPr>
          <w:rFonts w:eastAsia="Times New Roman"/>
          <w:spacing w:val="-2"/>
          <w:lang w:val="fr-FR"/>
        </w:rPr>
        <w:tab/>
        <w:t xml:space="preserve">Par </w:t>
      </w:r>
      <w:r w:rsidRPr="00440C76">
        <w:rPr>
          <w:lang w:val="fr-FR"/>
        </w:rPr>
        <w:t>« </w:t>
      </w:r>
      <w:r w:rsidRPr="00440C76">
        <w:rPr>
          <w:rFonts w:eastAsia="Times New Roman"/>
          <w:i/>
          <w:spacing w:val="-2"/>
          <w:lang w:val="fr-FR"/>
        </w:rPr>
        <w:t>démarrage à froid</w:t>
      </w:r>
      <w:r w:rsidRPr="00440C76">
        <w:rPr>
          <w:lang w:val="fr-FR"/>
        </w:rPr>
        <w:t> »</w:t>
      </w:r>
      <w:r w:rsidRPr="00440C76">
        <w:rPr>
          <w:rFonts w:eastAsia="Times New Roman"/>
          <w:spacing w:val="-2"/>
          <w:lang w:val="fr-FR"/>
        </w:rPr>
        <w:t>, dans le contexte du rapport d</w:t>
      </w:r>
      <w:r>
        <w:rPr>
          <w:rFonts w:eastAsia="Times New Roman"/>
          <w:spacing w:val="-2"/>
          <w:lang w:val="fr-FR"/>
        </w:rPr>
        <w:t>’</w:t>
      </w:r>
      <w:r w:rsidRPr="00440C76">
        <w:rPr>
          <w:rFonts w:eastAsia="Times New Roman"/>
          <w:spacing w:val="-2"/>
          <w:lang w:val="fr-FR"/>
        </w:rPr>
        <w:t>efficacité en service des programmes de surveillance des systèmes d</w:t>
      </w:r>
      <w:r>
        <w:rPr>
          <w:rFonts w:eastAsia="Times New Roman"/>
          <w:spacing w:val="-2"/>
          <w:lang w:val="fr-FR"/>
        </w:rPr>
        <w:t>’</w:t>
      </w:r>
      <w:r w:rsidRPr="00440C76">
        <w:rPr>
          <w:rFonts w:eastAsia="Times New Roman"/>
          <w:spacing w:val="-2"/>
          <w:lang w:val="fr-FR"/>
        </w:rPr>
        <w:t>autodiagnostic (OBD), le démarrage du moteur intervenant lorsque la température du liquide de refroidissement ou une température équivalente est inférieure ou égale à 35 °C et supérieure de 7 °C au plus à la température ambiante, si celle-ci est disponible ;</w:t>
      </w:r>
    </w:p>
    <w:p w14:paraId="03BAEDE5" w14:textId="77777777" w:rsidR="00BE2CA7" w:rsidRPr="00440C76" w:rsidRDefault="00BE2CA7" w:rsidP="00BE2CA7">
      <w:pPr>
        <w:pStyle w:val="SingleTxtG"/>
        <w:ind w:left="2268" w:hanging="1134"/>
        <w:rPr>
          <w:rFonts w:eastAsia="Times New Roman"/>
          <w:bCs/>
          <w:lang w:val="fr-FR"/>
        </w:rPr>
      </w:pPr>
      <w:r w:rsidRPr="00440C76">
        <w:rPr>
          <w:rFonts w:eastAsia="Times New Roman"/>
          <w:bCs/>
          <w:lang w:val="fr-FR"/>
        </w:rPr>
        <w:t>2.27 à 2.34</w:t>
      </w:r>
      <w:r w:rsidRPr="00440C76">
        <w:rPr>
          <w:rFonts w:eastAsia="Times New Roman"/>
          <w:bCs/>
          <w:lang w:val="fr-FR"/>
        </w:rPr>
        <w:tab/>
      </w:r>
      <w:r w:rsidRPr="00440C76">
        <w:rPr>
          <w:lang w:val="fr-FR"/>
        </w:rPr>
        <w:t>Réservé</w:t>
      </w:r>
    </w:p>
    <w:p w14:paraId="354522C3" w14:textId="77777777" w:rsidR="00BE2CA7" w:rsidRPr="00440C76" w:rsidRDefault="00BE2CA7" w:rsidP="00BE2CA7">
      <w:pPr>
        <w:pStyle w:val="SingleTxtG"/>
        <w:ind w:left="2268" w:hanging="1134"/>
        <w:rPr>
          <w:rFonts w:eastAsia="Times New Roman"/>
          <w:bCs/>
          <w:lang w:val="fr-FR"/>
        </w:rPr>
      </w:pPr>
      <w:r w:rsidRPr="00440C76">
        <w:rPr>
          <w:rFonts w:eastAsia="Times New Roman"/>
          <w:bCs/>
          <w:lang w:val="fr-FR"/>
        </w:rPr>
        <w:t>2.35</w:t>
      </w:r>
      <w:r w:rsidRPr="00440C76">
        <w:rPr>
          <w:rFonts w:eastAsia="Times New Roman"/>
          <w:bCs/>
          <w:lang w:val="fr-FR"/>
        </w:rPr>
        <w:tab/>
        <w:t xml:space="preserve">Par </w:t>
      </w:r>
      <w:r w:rsidRPr="00440C76">
        <w:rPr>
          <w:lang w:val="fr-FR"/>
        </w:rPr>
        <w:t>« </w:t>
      </w:r>
      <w:r w:rsidRPr="00440C76">
        <w:rPr>
          <w:rFonts w:eastAsia="Times New Roman"/>
          <w:bCs/>
          <w:i/>
          <w:iCs/>
          <w:lang w:val="fr-FR"/>
        </w:rPr>
        <w:t>réactif</w:t>
      </w:r>
      <w:r w:rsidRPr="00440C76">
        <w:rPr>
          <w:lang w:val="fr-FR"/>
        </w:rPr>
        <w:t> »</w:t>
      </w:r>
      <w:r w:rsidRPr="00440C76">
        <w:rPr>
          <w:rFonts w:eastAsia="Times New Roman"/>
          <w:bCs/>
          <w:lang w:val="fr-FR"/>
        </w:rPr>
        <w:t xml:space="preserve">, tout produit autre que le carburant qui est stocké dans un </w:t>
      </w:r>
      <w:r w:rsidRPr="00440C76">
        <w:rPr>
          <w:lang w:val="fr-FR"/>
        </w:rPr>
        <w:t>réservoir</w:t>
      </w:r>
      <w:r w:rsidRPr="00440C76">
        <w:rPr>
          <w:rFonts w:eastAsia="Times New Roman"/>
          <w:bCs/>
          <w:lang w:val="fr-FR"/>
        </w:rPr>
        <w:t xml:space="preserve"> à bord du véhicule et qui est fourni au système de traitement aval des gaz d</w:t>
      </w:r>
      <w:r>
        <w:rPr>
          <w:rFonts w:eastAsia="Times New Roman"/>
          <w:bCs/>
          <w:lang w:val="fr-FR"/>
        </w:rPr>
        <w:t>’</w:t>
      </w:r>
      <w:r w:rsidRPr="00440C76">
        <w:rPr>
          <w:rFonts w:eastAsia="Times New Roman"/>
          <w:bCs/>
          <w:lang w:val="fr-FR"/>
        </w:rPr>
        <w:t>échappement sur demande du système antipollution ;</w:t>
      </w:r>
    </w:p>
    <w:p w14:paraId="38537200" w14:textId="77777777" w:rsidR="00BE2CA7" w:rsidRPr="00440C76" w:rsidRDefault="00BE2CA7" w:rsidP="00BE2CA7">
      <w:pPr>
        <w:pStyle w:val="SingleTxtG"/>
        <w:ind w:left="2268" w:hanging="1134"/>
        <w:rPr>
          <w:rFonts w:eastAsia="Times New Roman"/>
          <w:bCs/>
          <w:lang w:val="fr-FR"/>
        </w:rPr>
      </w:pPr>
      <w:r w:rsidRPr="00440C76">
        <w:rPr>
          <w:rFonts w:eastAsia="Times New Roman"/>
          <w:bCs/>
          <w:lang w:val="fr-FR"/>
        </w:rPr>
        <w:t>2.36</w:t>
      </w:r>
      <w:r w:rsidRPr="00440C76">
        <w:rPr>
          <w:rFonts w:eastAsia="Times New Roman"/>
          <w:bCs/>
          <w:lang w:val="fr-FR"/>
        </w:rPr>
        <w:tab/>
        <w:t xml:space="preserve">Par </w:t>
      </w:r>
      <w:r w:rsidRPr="00440C76">
        <w:rPr>
          <w:lang w:val="fr-FR"/>
        </w:rPr>
        <w:t>« </w:t>
      </w:r>
      <w:r w:rsidRPr="00440C76">
        <w:rPr>
          <w:rFonts w:eastAsia="Times New Roman"/>
          <w:bCs/>
          <w:i/>
          <w:iCs/>
          <w:lang w:val="fr-FR"/>
        </w:rPr>
        <w:t>émissions en conditions réelles de conduite</w:t>
      </w:r>
      <w:r w:rsidRPr="00440C76">
        <w:rPr>
          <w:lang w:val="fr-FR"/>
        </w:rPr>
        <w:t> »</w:t>
      </w:r>
      <w:r w:rsidRPr="00440C76">
        <w:rPr>
          <w:rFonts w:eastAsia="Times New Roman"/>
          <w:bCs/>
          <w:lang w:val="fr-FR"/>
        </w:rPr>
        <w:t>, les émissions d</w:t>
      </w:r>
      <w:r>
        <w:rPr>
          <w:rFonts w:eastAsia="Times New Roman"/>
          <w:bCs/>
          <w:lang w:val="fr-FR"/>
        </w:rPr>
        <w:t>’</w:t>
      </w:r>
      <w:r w:rsidRPr="00440C76">
        <w:rPr>
          <w:rFonts w:eastAsia="Times New Roman"/>
          <w:bCs/>
          <w:lang w:val="fr-FR"/>
        </w:rPr>
        <w:t xml:space="preserve">un </w:t>
      </w:r>
      <w:r w:rsidRPr="00440C76">
        <w:rPr>
          <w:lang w:val="fr-FR"/>
        </w:rPr>
        <w:t>véhicule</w:t>
      </w:r>
      <w:r w:rsidRPr="00440C76">
        <w:rPr>
          <w:rFonts w:eastAsia="Times New Roman"/>
          <w:bCs/>
          <w:lang w:val="fr-FR"/>
        </w:rPr>
        <w:t xml:space="preserve"> dans ses conditions normales d</w:t>
      </w:r>
      <w:r>
        <w:rPr>
          <w:rFonts w:eastAsia="Times New Roman"/>
          <w:bCs/>
          <w:lang w:val="fr-FR"/>
        </w:rPr>
        <w:t>’</w:t>
      </w:r>
      <w:r w:rsidRPr="00440C76">
        <w:rPr>
          <w:rFonts w:eastAsia="Times New Roman"/>
          <w:bCs/>
          <w:lang w:val="fr-FR"/>
        </w:rPr>
        <w:t>utilisation ;</w:t>
      </w:r>
    </w:p>
    <w:p w14:paraId="744937B3"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2.37</w:t>
      </w:r>
      <w:r w:rsidRPr="00440C76">
        <w:rPr>
          <w:rFonts w:eastAsia="Times New Roman"/>
          <w:lang w:val="fr-FR"/>
        </w:rPr>
        <w:tab/>
        <w:t xml:space="preserve">Par </w:t>
      </w:r>
      <w:r w:rsidRPr="00440C76">
        <w:rPr>
          <w:lang w:val="fr-FR"/>
        </w:rPr>
        <w:t>« </w:t>
      </w:r>
      <w:r w:rsidRPr="00440C76">
        <w:rPr>
          <w:rFonts w:eastAsia="Times New Roman"/>
          <w:i/>
          <w:iCs/>
          <w:lang w:val="fr-FR"/>
        </w:rPr>
        <w:t>système mobile de mesure des émissions (PEMS)</w:t>
      </w:r>
      <w:r w:rsidRPr="00440C76">
        <w:rPr>
          <w:lang w:val="fr-FR"/>
        </w:rPr>
        <w:t> »</w:t>
      </w:r>
      <w:r w:rsidRPr="00440C76">
        <w:rPr>
          <w:rFonts w:eastAsia="Times New Roman"/>
          <w:lang w:val="fr-FR"/>
        </w:rPr>
        <w:t>, un système portable de mesure des émissions satisfaisant aux prescriptions de l</w:t>
      </w:r>
      <w:r>
        <w:rPr>
          <w:rFonts w:eastAsia="Times New Roman"/>
          <w:lang w:val="fr-FR"/>
        </w:rPr>
        <w:t>’</w:t>
      </w:r>
      <w:r w:rsidRPr="00440C76">
        <w:rPr>
          <w:rFonts w:eastAsia="Times New Roman"/>
          <w:lang w:val="fr-FR"/>
        </w:rPr>
        <w:t>appendice</w:t>
      </w:r>
      <w:r>
        <w:rPr>
          <w:rFonts w:eastAsia="Times New Roman"/>
          <w:lang w:val="fr-FR"/>
        </w:rPr>
        <w:t> </w:t>
      </w:r>
      <w:r w:rsidRPr="00440C76">
        <w:rPr>
          <w:rFonts w:eastAsia="Times New Roman"/>
          <w:lang w:val="fr-FR"/>
        </w:rPr>
        <w:t>1 de l</w:t>
      </w:r>
      <w:r>
        <w:rPr>
          <w:rFonts w:eastAsia="Times New Roman"/>
          <w:lang w:val="fr-FR"/>
        </w:rPr>
        <w:t>’</w:t>
      </w:r>
      <w:r w:rsidRPr="00440C76">
        <w:rPr>
          <w:rFonts w:eastAsia="Times New Roman"/>
          <w:lang w:val="fr-FR"/>
        </w:rPr>
        <w:t>annexe IIIA ;</w:t>
      </w:r>
    </w:p>
    <w:p w14:paraId="37EAB5BB"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2.38</w:t>
      </w:r>
      <w:r w:rsidRPr="00440C76">
        <w:rPr>
          <w:rFonts w:eastAsia="Times New Roman"/>
          <w:lang w:val="fr-FR"/>
        </w:rPr>
        <w:tab/>
        <w:t xml:space="preserve">Par </w:t>
      </w:r>
      <w:r w:rsidRPr="00440C76">
        <w:rPr>
          <w:lang w:val="fr-FR"/>
        </w:rPr>
        <w:t>« </w:t>
      </w:r>
      <w:r w:rsidRPr="00440C76">
        <w:rPr>
          <w:rFonts w:eastAsia="Times New Roman"/>
          <w:i/>
          <w:iCs/>
          <w:lang w:val="fr-FR"/>
        </w:rPr>
        <w:t>stratégie de base de réduction des émissions (BES)</w:t>
      </w:r>
      <w:r w:rsidRPr="00440C76">
        <w:rPr>
          <w:lang w:val="fr-FR"/>
        </w:rPr>
        <w:t> »</w:t>
      </w:r>
      <w:r w:rsidRPr="00440C76">
        <w:rPr>
          <w:rFonts w:eastAsia="Times New Roman"/>
          <w:lang w:val="fr-FR"/>
        </w:rPr>
        <w:t>, une stratégie de réduction des émissions qui est active pour l</w:t>
      </w:r>
      <w:r>
        <w:rPr>
          <w:rFonts w:eastAsia="Times New Roman"/>
          <w:lang w:val="fr-FR"/>
        </w:rPr>
        <w:t>’</w:t>
      </w:r>
      <w:r w:rsidRPr="00440C76">
        <w:rPr>
          <w:rFonts w:eastAsia="Times New Roman"/>
          <w:lang w:val="fr-FR"/>
        </w:rPr>
        <w:t xml:space="preserve">ensemble de la gamme </w:t>
      </w:r>
      <w:r w:rsidRPr="00440C76">
        <w:rPr>
          <w:lang w:val="fr-FR"/>
        </w:rPr>
        <w:t>opérationnelle</w:t>
      </w:r>
      <w:r w:rsidRPr="00440C76">
        <w:rPr>
          <w:rFonts w:eastAsia="Times New Roman"/>
          <w:lang w:val="fr-FR"/>
        </w:rPr>
        <w:t xml:space="preserve"> de régimes et de charges du moteur, sauf lorsqu</w:t>
      </w:r>
      <w:r>
        <w:rPr>
          <w:rFonts w:eastAsia="Times New Roman"/>
          <w:lang w:val="fr-FR"/>
        </w:rPr>
        <w:t>’</w:t>
      </w:r>
      <w:r w:rsidRPr="00440C76">
        <w:rPr>
          <w:rFonts w:eastAsia="Times New Roman"/>
          <w:lang w:val="fr-FR"/>
        </w:rPr>
        <w:t>une stratégie auxiliaire de réduction des émissions est activée ;</w:t>
      </w:r>
    </w:p>
    <w:p w14:paraId="424A8965"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2.39</w:t>
      </w:r>
      <w:r w:rsidRPr="00440C76">
        <w:rPr>
          <w:rFonts w:eastAsia="Times New Roman"/>
          <w:lang w:val="fr-FR"/>
        </w:rPr>
        <w:tab/>
        <w:t xml:space="preserve">Par </w:t>
      </w:r>
      <w:r w:rsidRPr="00440C76">
        <w:rPr>
          <w:lang w:val="fr-FR"/>
        </w:rPr>
        <w:t>« </w:t>
      </w:r>
      <w:r w:rsidRPr="00440C76">
        <w:rPr>
          <w:rFonts w:eastAsia="Times New Roman"/>
          <w:i/>
          <w:iCs/>
          <w:lang w:val="fr-FR"/>
        </w:rPr>
        <w:t>stratégie auxiliaire de réduction des émissions (AES)</w:t>
      </w:r>
      <w:r w:rsidRPr="00440C76">
        <w:rPr>
          <w:lang w:val="fr-FR"/>
        </w:rPr>
        <w:t> »</w:t>
      </w:r>
      <w:r w:rsidRPr="00440C76">
        <w:rPr>
          <w:rFonts w:eastAsia="Times New Roman"/>
          <w:lang w:val="fr-FR"/>
        </w:rPr>
        <w:t xml:space="preserve">, une stratégie de réduction des émissions qui est active et remplace ou modifie une BES à des </w:t>
      </w:r>
      <w:r w:rsidRPr="00440C76">
        <w:rPr>
          <w:lang w:val="fr-FR"/>
        </w:rPr>
        <w:t>fins</w:t>
      </w:r>
      <w:r w:rsidRPr="00440C76">
        <w:rPr>
          <w:rFonts w:eastAsia="Times New Roman"/>
          <w:lang w:val="fr-FR"/>
        </w:rPr>
        <w:t xml:space="preserve"> particulières et en réponse à un ensemble spécifique de conditions ambiantes ou de conditions de fonctionnement, et qui ne reste opérationnelle que dans la mesure où ces conditions existent ;</w:t>
      </w:r>
    </w:p>
    <w:p w14:paraId="4085C5F4"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2.40</w:t>
      </w:r>
      <w:r w:rsidRPr="00440C76">
        <w:rPr>
          <w:rFonts w:eastAsia="Times New Roman"/>
          <w:lang w:val="fr-FR"/>
        </w:rPr>
        <w:tab/>
      </w:r>
      <w:r w:rsidRPr="00440C76">
        <w:rPr>
          <w:rFonts w:eastAsia="Times New Roman"/>
          <w:lang w:val="fr-FR"/>
        </w:rPr>
        <w:tab/>
        <w:t xml:space="preserve">Par </w:t>
      </w:r>
      <w:r w:rsidRPr="00440C76">
        <w:rPr>
          <w:lang w:val="fr-FR"/>
        </w:rPr>
        <w:t>« </w:t>
      </w:r>
      <w:r w:rsidRPr="00440C76">
        <w:rPr>
          <w:rFonts w:eastAsia="Times New Roman"/>
          <w:i/>
          <w:iCs/>
          <w:lang w:val="fr-FR"/>
        </w:rPr>
        <w:t>tierce partie</w:t>
      </w:r>
      <w:r w:rsidRPr="00440C76">
        <w:rPr>
          <w:lang w:val="fr-FR"/>
        </w:rPr>
        <w:t> »</w:t>
      </w:r>
      <w:r w:rsidRPr="00440C76">
        <w:rPr>
          <w:rFonts w:eastAsia="Times New Roman"/>
          <w:lang w:val="fr-FR"/>
        </w:rPr>
        <w:t xml:space="preserve">, une partie ayant un intérêt légitime et disposant des </w:t>
      </w:r>
      <w:r w:rsidRPr="00440C76">
        <w:rPr>
          <w:lang w:val="fr-FR"/>
        </w:rPr>
        <w:t>ressources</w:t>
      </w:r>
      <w:r w:rsidRPr="00440C76">
        <w:rPr>
          <w:rFonts w:eastAsia="Times New Roman"/>
          <w:lang w:val="fr-FR"/>
        </w:rPr>
        <w:t xml:space="preserve"> nécessaires dans les installations d</w:t>
      </w:r>
      <w:r>
        <w:rPr>
          <w:rFonts w:eastAsia="Times New Roman"/>
          <w:lang w:val="fr-FR"/>
        </w:rPr>
        <w:t>’</w:t>
      </w:r>
      <w:r w:rsidRPr="00440C76">
        <w:rPr>
          <w:rFonts w:eastAsia="Times New Roman"/>
          <w:lang w:val="fr-FR"/>
        </w:rPr>
        <w:t>essai accréditées conformément aux normes EN ISO/IEC 17020 et EN ISO/IEC 17025.</w:t>
      </w:r>
    </w:p>
    <w:p w14:paraId="6707E872" w14:textId="77777777" w:rsidR="00BE2CA7" w:rsidRPr="00440C76" w:rsidRDefault="00BE2CA7" w:rsidP="00BE2CA7">
      <w:pPr>
        <w:pStyle w:val="HChG"/>
        <w:ind w:left="2268"/>
        <w:rPr>
          <w:rFonts w:eastAsia="Times New Roman"/>
          <w:lang w:val="fr-FR"/>
        </w:rPr>
      </w:pPr>
      <w:r w:rsidRPr="00440C76">
        <w:rPr>
          <w:lang w:val="fr-FR"/>
        </w:rPr>
        <w:t>3.</w:t>
      </w:r>
      <w:r w:rsidRPr="00440C76">
        <w:rPr>
          <w:lang w:val="fr-FR"/>
        </w:rPr>
        <w:tab/>
        <w:t>Demande d</w:t>
      </w:r>
      <w:r>
        <w:rPr>
          <w:lang w:val="fr-FR"/>
        </w:rPr>
        <w:t>’</w:t>
      </w:r>
      <w:r w:rsidRPr="00440C76">
        <w:rPr>
          <w:lang w:val="fr-FR"/>
        </w:rPr>
        <w:t>homologation</w:t>
      </w:r>
    </w:p>
    <w:p w14:paraId="356D5035"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3.1</w:t>
      </w:r>
      <w:r w:rsidRPr="00440C76">
        <w:rPr>
          <w:rFonts w:eastAsia="Times New Roman"/>
          <w:lang w:val="fr-FR"/>
        </w:rPr>
        <w:tab/>
      </w:r>
      <w:r w:rsidRPr="00440C76">
        <w:rPr>
          <w:rFonts w:eastAsia="Times New Roman"/>
          <w:lang w:val="fr-FR"/>
        </w:rPr>
        <w:tab/>
        <w:t>La demande d</w:t>
      </w:r>
      <w:r>
        <w:rPr>
          <w:rFonts w:eastAsia="Times New Roman"/>
          <w:lang w:val="fr-FR"/>
        </w:rPr>
        <w:t>’</w:t>
      </w:r>
      <w:r w:rsidRPr="00440C76">
        <w:rPr>
          <w:rFonts w:eastAsia="Times New Roman"/>
          <w:lang w:val="fr-FR"/>
        </w:rPr>
        <w:t>homologation d</w:t>
      </w:r>
      <w:r>
        <w:rPr>
          <w:rFonts w:eastAsia="Times New Roman"/>
          <w:lang w:val="fr-FR"/>
        </w:rPr>
        <w:t>’</w:t>
      </w:r>
      <w:r w:rsidRPr="00440C76">
        <w:rPr>
          <w:rFonts w:eastAsia="Times New Roman"/>
          <w:lang w:val="fr-FR"/>
        </w:rPr>
        <w:t>un type de véhicule en ce qui concerne les émissions au ralenti, les émissions de gaz de carter et les émissions d</w:t>
      </w:r>
      <w:r>
        <w:rPr>
          <w:rFonts w:eastAsia="Times New Roman"/>
          <w:lang w:val="fr-FR"/>
        </w:rPr>
        <w:t>’</w:t>
      </w:r>
      <w:r w:rsidRPr="00440C76">
        <w:rPr>
          <w:rFonts w:eastAsia="Times New Roman"/>
          <w:lang w:val="fr-FR"/>
        </w:rPr>
        <w:t>échappement à basse température ambiante est présentée à l</w:t>
      </w:r>
      <w:r>
        <w:rPr>
          <w:rFonts w:eastAsia="Times New Roman"/>
          <w:lang w:val="fr-FR"/>
        </w:rPr>
        <w:t>’</w:t>
      </w:r>
      <w:r w:rsidRPr="00440C76">
        <w:rPr>
          <w:rFonts w:eastAsia="Times New Roman"/>
          <w:lang w:val="fr-FR"/>
        </w:rPr>
        <w:t xml:space="preserve">autorité </w:t>
      </w:r>
      <w:r w:rsidRPr="00440C76">
        <w:rPr>
          <w:lang w:val="fr-FR"/>
        </w:rPr>
        <w:t>d</w:t>
      </w:r>
      <w:r>
        <w:rPr>
          <w:lang w:val="fr-FR"/>
        </w:rPr>
        <w:t>’</w:t>
      </w:r>
      <w:r w:rsidRPr="00440C76">
        <w:rPr>
          <w:lang w:val="fr-FR"/>
        </w:rPr>
        <w:t>homologation</w:t>
      </w:r>
      <w:r w:rsidRPr="00440C76">
        <w:rPr>
          <w:rFonts w:eastAsia="Times New Roman"/>
          <w:lang w:val="fr-FR"/>
        </w:rPr>
        <w:t xml:space="preserve"> de type par le constructeur du véhicule ou son mandataire.</w:t>
      </w:r>
    </w:p>
    <w:p w14:paraId="3DAABF38"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3.1.1</w:t>
      </w:r>
      <w:r w:rsidRPr="00440C76">
        <w:rPr>
          <w:rFonts w:eastAsia="Times New Roman"/>
          <w:lang w:val="fr-FR"/>
        </w:rPr>
        <w:tab/>
      </w:r>
      <w:r w:rsidRPr="00440C76">
        <w:rPr>
          <w:rFonts w:eastAsia="Times New Roman"/>
          <w:lang w:val="fr-FR"/>
        </w:rPr>
        <w:tab/>
        <w:t xml:space="preserve">En outre, le constructeur doit communiquer les informations </w:t>
      </w:r>
      <w:r w:rsidRPr="00440C76">
        <w:rPr>
          <w:rFonts w:eastAsia="Times New Roman"/>
          <w:bCs/>
          <w:lang w:val="fr-FR"/>
        </w:rPr>
        <w:t>suivantes :</w:t>
      </w:r>
    </w:p>
    <w:p w14:paraId="5A76A980" w14:textId="77777777" w:rsidR="00BE2CA7" w:rsidRPr="00440C76" w:rsidRDefault="00BE2CA7" w:rsidP="00BE2CA7">
      <w:pPr>
        <w:pStyle w:val="SingleTxtG"/>
        <w:ind w:left="2835" w:hanging="567"/>
        <w:rPr>
          <w:rFonts w:eastAsia="Times New Roman"/>
          <w:spacing w:val="-1"/>
          <w:lang w:val="fr-FR" w:eastAsia="de-DE"/>
        </w:rPr>
      </w:pPr>
      <w:r w:rsidRPr="00440C76">
        <w:rPr>
          <w:rFonts w:eastAsia="Times New Roman"/>
          <w:lang w:val="fr-FR" w:eastAsia="de-DE"/>
        </w:rPr>
        <w:t>a)</w:t>
      </w:r>
      <w:r w:rsidRPr="00440C76">
        <w:rPr>
          <w:rFonts w:eastAsia="Times New Roman"/>
          <w:lang w:val="fr-FR" w:eastAsia="de-DE"/>
        </w:rPr>
        <w:tab/>
      </w:r>
      <w:r w:rsidRPr="00440C76">
        <w:rPr>
          <w:rFonts w:eastAsia="Times New Roman"/>
          <w:spacing w:val="-1"/>
          <w:lang w:val="fr-FR" w:eastAsia="de-DE"/>
        </w:rPr>
        <w:t>Une déclaration du constructeur selon laquelle le système OBD est conforme aux dispositions du paragraphe</w:t>
      </w:r>
      <w:r>
        <w:rPr>
          <w:rFonts w:eastAsia="Times New Roman"/>
          <w:spacing w:val="-1"/>
          <w:lang w:val="fr-FR" w:eastAsia="de-DE"/>
        </w:rPr>
        <w:t> </w:t>
      </w:r>
      <w:r w:rsidRPr="00440C76">
        <w:rPr>
          <w:rFonts w:eastAsia="Times New Roman"/>
          <w:spacing w:val="-1"/>
          <w:lang w:val="fr-FR" w:eastAsia="de-DE"/>
        </w:rPr>
        <w:t>7 de l</w:t>
      </w:r>
      <w:r>
        <w:rPr>
          <w:rFonts w:eastAsia="Times New Roman"/>
          <w:spacing w:val="-1"/>
          <w:lang w:val="fr-FR" w:eastAsia="de-DE"/>
        </w:rPr>
        <w:t>’</w:t>
      </w:r>
      <w:r w:rsidRPr="00440C76">
        <w:rPr>
          <w:rFonts w:eastAsia="Times New Roman"/>
          <w:spacing w:val="-1"/>
          <w:lang w:val="fr-FR" w:eastAsia="de-DE"/>
        </w:rPr>
        <w:t>appendice</w:t>
      </w:r>
      <w:r>
        <w:rPr>
          <w:rFonts w:eastAsia="Times New Roman"/>
          <w:spacing w:val="-1"/>
          <w:lang w:val="fr-FR" w:eastAsia="de-DE"/>
        </w:rPr>
        <w:t> </w:t>
      </w:r>
      <w:r w:rsidRPr="00440C76">
        <w:rPr>
          <w:rFonts w:eastAsia="Times New Roman"/>
          <w:spacing w:val="-1"/>
          <w:lang w:val="fr-FR" w:eastAsia="de-DE"/>
        </w:rPr>
        <w:t xml:space="preserve">1 de </w:t>
      </w:r>
      <w:r w:rsidRPr="00440C76">
        <w:rPr>
          <w:spacing w:val="-1"/>
          <w:lang w:val="fr-FR"/>
        </w:rPr>
        <w:t>l</w:t>
      </w:r>
      <w:r>
        <w:rPr>
          <w:spacing w:val="-1"/>
          <w:lang w:val="fr-FR"/>
        </w:rPr>
        <w:t>’</w:t>
      </w:r>
      <w:r w:rsidRPr="00440C76">
        <w:rPr>
          <w:spacing w:val="-1"/>
          <w:lang w:val="fr-FR"/>
        </w:rPr>
        <w:t>annexe</w:t>
      </w:r>
      <w:r>
        <w:rPr>
          <w:rFonts w:eastAsia="Times New Roman"/>
          <w:spacing w:val="-1"/>
          <w:lang w:val="fr-FR" w:eastAsia="de-DE"/>
        </w:rPr>
        <w:t> </w:t>
      </w:r>
      <w:r w:rsidRPr="00440C76">
        <w:rPr>
          <w:rFonts w:eastAsia="Times New Roman"/>
          <w:spacing w:val="-1"/>
          <w:lang w:val="fr-FR" w:eastAsia="de-DE"/>
        </w:rPr>
        <w:t xml:space="preserve">C5 du Règlement ONU </w:t>
      </w:r>
      <w:r w:rsidRPr="00440C76">
        <w:rPr>
          <w:spacing w:val="-1"/>
          <w:lang w:val="fr-FR"/>
        </w:rPr>
        <w:t>n</w:t>
      </w:r>
      <w:r w:rsidRPr="00440C76">
        <w:rPr>
          <w:spacing w:val="-1"/>
          <w:vertAlign w:val="superscript"/>
          <w:lang w:val="fr-FR"/>
        </w:rPr>
        <w:t>o</w:t>
      </w:r>
      <w:r w:rsidRPr="00440C76">
        <w:rPr>
          <w:spacing w:val="-1"/>
          <w:lang w:val="fr-FR"/>
        </w:rPr>
        <w:t> </w:t>
      </w:r>
      <w:r w:rsidRPr="00440C76">
        <w:rPr>
          <w:rFonts w:eastAsia="Times New Roman"/>
          <w:spacing w:val="-1"/>
          <w:lang w:val="fr-FR" w:eastAsia="de-DE"/>
        </w:rPr>
        <w:t>154 et du paragraphe</w:t>
      </w:r>
      <w:r>
        <w:rPr>
          <w:rFonts w:eastAsia="Times New Roman"/>
          <w:spacing w:val="-1"/>
          <w:lang w:val="fr-FR" w:eastAsia="de-DE"/>
        </w:rPr>
        <w:t> </w:t>
      </w:r>
      <w:r w:rsidRPr="00440C76">
        <w:rPr>
          <w:rFonts w:eastAsia="Times New Roman"/>
          <w:spacing w:val="-1"/>
          <w:lang w:val="fr-FR" w:eastAsia="de-DE"/>
        </w:rPr>
        <w:t>1 de l</w:t>
      </w:r>
      <w:r>
        <w:rPr>
          <w:rFonts w:eastAsia="Times New Roman"/>
          <w:spacing w:val="-1"/>
          <w:lang w:val="fr-FR" w:eastAsia="de-DE"/>
        </w:rPr>
        <w:t>’</w:t>
      </w:r>
      <w:r w:rsidRPr="00440C76">
        <w:rPr>
          <w:rFonts w:eastAsia="Times New Roman"/>
          <w:spacing w:val="-1"/>
          <w:lang w:val="fr-FR" w:eastAsia="de-DE"/>
        </w:rPr>
        <w:t>annexe</w:t>
      </w:r>
      <w:r>
        <w:rPr>
          <w:rFonts w:eastAsia="Times New Roman"/>
          <w:spacing w:val="-1"/>
          <w:lang w:val="fr-FR" w:eastAsia="de-DE"/>
        </w:rPr>
        <w:t> </w:t>
      </w:r>
      <w:r w:rsidRPr="00440C76">
        <w:rPr>
          <w:rFonts w:eastAsia="Times New Roman"/>
          <w:spacing w:val="-1"/>
          <w:lang w:val="fr-FR" w:eastAsia="de-DE"/>
        </w:rPr>
        <w:t>11 du présent Règlement, concernant les performances en service dans toutes les conditions de conduite raisonnablement prévisibles ;</w:t>
      </w:r>
    </w:p>
    <w:p w14:paraId="15516B65" w14:textId="77777777" w:rsidR="00BE2CA7" w:rsidRPr="00440C76" w:rsidRDefault="00BE2CA7" w:rsidP="00BE2CA7">
      <w:pPr>
        <w:pStyle w:val="SingleTxtG"/>
        <w:ind w:left="2835" w:hanging="567"/>
        <w:rPr>
          <w:lang w:val="fr-FR"/>
        </w:rPr>
      </w:pPr>
      <w:r w:rsidRPr="00440C76">
        <w:rPr>
          <w:rFonts w:eastAsia="Times New Roman"/>
          <w:lang w:val="fr-FR" w:eastAsia="de-DE"/>
        </w:rPr>
        <w:lastRenderedPageBreak/>
        <w:t>b)</w:t>
      </w:r>
      <w:r w:rsidRPr="00440C76">
        <w:rPr>
          <w:rFonts w:eastAsia="Times New Roman"/>
          <w:lang w:val="fr-FR" w:eastAsia="de-DE"/>
        </w:rPr>
        <w:tab/>
        <w:t>Une description des mesures prises pour empêcher toute manipulation et modification des systèmes de contrôle des émissions,</w:t>
      </w:r>
      <w:r w:rsidRPr="00440C76">
        <w:rPr>
          <w:lang w:val="fr-FR"/>
        </w:rPr>
        <w:t xml:space="preserve"> notamment de l</w:t>
      </w:r>
      <w:r>
        <w:rPr>
          <w:lang w:val="fr-FR"/>
        </w:rPr>
        <w:t>’</w:t>
      </w:r>
      <w:r w:rsidRPr="00440C76">
        <w:rPr>
          <w:lang w:val="fr-FR"/>
        </w:rPr>
        <w:t>ordinateur de contrôle des émissions et du compteur kilométrique, y compris l</w:t>
      </w:r>
      <w:r>
        <w:rPr>
          <w:lang w:val="fr-FR"/>
        </w:rPr>
        <w:t>’</w:t>
      </w:r>
      <w:r w:rsidRPr="00440C76">
        <w:rPr>
          <w:lang w:val="fr-FR"/>
        </w:rPr>
        <w:t>enregistrement des valeurs de kilométrage ;</w:t>
      </w:r>
    </w:p>
    <w:p w14:paraId="6F91B7A3" w14:textId="77777777" w:rsidR="00BE2CA7" w:rsidRPr="00440C76" w:rsidRDefault="00BE2CA7" w:rsidP="00BE2CA7">
      <w:pPr>
        <w:pStyle w:val="SingleTxtG"/>
        <w:ind w:left="2835" w:hanging="567"/>
        <w:rPr>
          <w:rFonts w:eastAsia="Times New Roman"/>
          <w:lang w:val="fr-FR" w:eastAsia="de-DE"/>
        </w:rPr>
      </w:pPr>
      <w:r w:rsidRPr="00440C76">
        <w:rPr>
          <w:rFonts w:eastAsia="Times New Roman"/>
          <w:lang w:val="fr-FR" w:eastAsia="de-DE"/>
        </w:rPr>
        <w:t>c)</w:t>
      </w:r>
      <w:r w:rsidRPr="00440C76">
        <w:rPr>
          <w:rFonts w:eastAsia="Times New Roman"/>
          <w:lang w:val="fr-FR" w:eastAsia="de-DE"/>
        </w:rPr>
        <w:tab/>
        <w:t xml:space="preserve">Le cas échéant, les copies des autres homologations avec les données </w:t>
      </w:r>
      <w:r w:rsidRPr="00440C76">
        <w:rPr>
          <w:lang w:val="fr-FR"/>
        </w:rPr>
        <w:t>nécessaires</w:t>
      </w:r>
      <w:r w:rsidRPr="00440C76">
        <w:rPr>
          <w:rFonts w:eastAsia="Times New Roman"/>
          <w:lang w:val="fr-FR" w:eastAsia="de-DE"/>
        </w:rPr>
        <w:t xml:space="preserve"> pour l</w:t>
      </w:r>
      <w:r>
        <w:rPr>
          <w:rFonts w:eastAsia="Times New Roman"/>
          <w:lang w:val="fr-FR" w:eastAsia="de-DE"/>
        </w:rPr>
        <w:t>’</w:t>
      </w:r>
      <w:r w:rsidRPr="00440C76">
        <w:rPr>
          <w:rFonts w:eastAsia="Times New Roman"/>
          <w:lang w:val="fr-FR" w:eastAsia="de-DE"/>
        </w:rPr>
        <w:t>extension des homologations ;</w:t>
      </w:r>
    </w:p>
    <w:p w14:paraId="443EE006" w14:textId="17EEF13C" w:rsidR="00BE2CA7" w:rsidRPr="00440C76" w:rsidRDefault="00BE2CA7" w:rsidP="00BE2CA7">
      <w:pPr>
        <w:pStyle w:val="SingleTxtG"/>
        <w:ind w:left="2835" w:hanging="567"/>
        <w:rPr>
          <w:rFonts w:eastAsia="Times New Roman"/>
          <w:lang w:val="fr-FR" w:eastAsia="de-DE"/>
        </w:rPr>
      </w:pPr>
      <w:r w:rsidRPr="00440C76">
        <w:rPr>
          <w:rFonts w:eastAsia="Times New Roman"/>
          <w:lang w:val="fr-FR" w:eastAsia="de-DE"/>
        </w:rPr>
        <w:t>d)</w:t>
      </w:r>
      <w:r w:rsidRPr="00440C76">
        <w:rPr>
          <w:rFonts w:eastAsia="Times New Roman"/>
          <w:lang w:val="fr-FR" w:eastAsia="de-DE"/>
        </w:rPr>
        <w:tab/>
        <w:t xml:space="preserve">La démonstration de la conformité à la troisième partie du Règlement </w:t>
      </w:r>
      <w:r w:rsidRPr="00440C76">
        <w:rPr>
          <w:lang w:val="fr-FR"/>
        </w:rPr>
        <w:t>ONU</w:t>
      </w:r>
      <w:r w:rsidRPr="00440C76">
        <w:rPr>
          <w:rFonts w:eastAsia="Times New Roman"/>
          <w:lang w:val="fr-FR" w:eastAsia="de-DE"/>
        </w:rPr>
        <w:t xml:space="preserve"> </w:t>
      </w:r>
      <w:r w:rsidRPr="00440C76">
        <w:rPr>
          <w:lang w:val="fr-FR"/>
        </w:rPr>
        <w:t>n</w:t>
      </w:r>
      <w:r w:rsidRPr="00440C76">
        <w:rPr>
          <w:vertAlign w:val="superscript"/>
          <w:lang w:val="fr-FR"/>
        </w:rPr>
        <w:t>o</w:t>
      </w:r>
      <w:r w:rsidRPr="00440C76">
        <w:rPr>
          <w:lang w:val="fr-FR"/>
        </w:rPr>
        <w:t> </w:t>
      </w:r>
      <w:r w:rsidRPr="00440C76">
        <w:rPr>
          <w:rFonts w:eastAsia="Times New Roman"/>
          <w:lang w:val="fr-FR" w:eastAsia="de-DE"/>
        </w:rPr>
        <w:t xml:space="preserve">24 (le cas échéant), au Règlement ONU </w:t>
      </w:r>
      <w:r w:rsidRPr="00440C76">
        <w:rPr>
          <w:lang w:val="fr-FR"/>
        </w:rPr>
        <w:t>n</w:t>
      </w:r>
      <w:r w:rsidRPr="00440C76">
        <w:rPr>
          <w:vertAlign w:val="superscript"/>
          <w:lang w:val="fr-FR"/>
        </w:rPr>
        <w:t>o</w:t>
      </w:r>
      <w:r w:rsidRPr="00440C76">
        <w:rPr>
          <w:lang w:val="fr-FR"/>
        </w:rPr>
        <w:t> </w:t>
      </w:r>
      <w:r w:rsidRPr="00440C76">
        <w:rPr>
          <w:rFonts w:eastAsia="Times New Roman"/>
          <w:lang w:val="fr-FR" w:eastAsia="de-DE"/>
        </w:rPr>
        <w:t>85, au niveau</w:t>
      </w:r>
      <w:r w:rsidR="003B3965">
        <w:rPr>
          <w:rFonts w:eastAsia="Times New Roman"/>
          <w:lang w:val="fr-FR" w:eastAsia="de-DE"/>
        </w:rPr>
        <w:t xml:space="preserve"> </w:t>
      </w:r>
      <w:r w:rsidRPr="00440C76">
        <w:rPr>
          <w:rFonts w:eastAsia="Times New Roman"/>
          <w:lang w:val="fr-FR" w:eastAsia="de-DE"/>
        </w:rPr>
        <w:t>1a ou au niveau</w:t>
      </w:r>
      <w:r>
        <w:rPr>
          <w:rFonts w:eastAsia="Times New Roman"/>
          <w:lang w:val="fr-FR" w:eastAsia="de-DE"/>
        </w:rPr>
        <w:t> </w:t>
      </w:r>
      <w:r w:rsidRPr="00440C76">
        <w:rPr>
          <w:rFonts w:eastAsia="Times New Roman"/>
          <w:lang w:val="fr-FR" w:eastAsia="de-DE"/>
        </w:rPr>
        <w:t xml:space="preserve">2 du Règlement ONU </w:t>
      </w:r>
      <w:r w:rsidRPr="00440C76">
        <w:rPr>
          <w:lang w:val="fr-FR"/>
        </w:rPr>
        <w:t>n</w:t>
      </w:r>
      <w:r w:rsidRPr="00440C76">
        <w:rPr>
          <w:vertAlign w:val="superscript"/>
          <w:lang w:val="fr-FR"/>
        </w:rPr>
        <w:t>o</w:t>
      </w:r>
      <w:r w:rsidRPr="00440C76">
        <w:rPr>
          <w:lang w:val="fr-FR"/>
        </w:rPr>
        <w:t> </w:t>
      </w:r>
      <w:r w:rsidRPr="00440C76">
        <w:rPr>
          <w:rFonts w:eastAsia="Times New Roman"/>
          <w:lang w:val="fr-FR" w:eastAsia="de-DE"/>
        </w:rPr>
        <w:t xml:space="preserve">154 et au Règlement ONU </w:t>
      </w:r>
      <w:r w:rsidRPr="00440C76">
        <w:rPr>
          <w:lang w:val="fr-FR"/>
        </w:rPr>
        <w:t>n</w:t>
      </w:r>
      <w:r w:rsidRPr="00440C76">
        <w:rPr>
          <w:vertAlign w:val="superscript"/>
          <w:lang w:val="fr-FR"/>
        </w:rPr>
        <w:t>o</w:t>
      </w:r>
      <w:r w:rsidRPr="00440C76">
        <w:rPr>
          <w:lang w:val="fr-FR"/>
        </w:rPr>
        <w:t> </w:t>
      </w:r>
      <w:r w:rsidRPr="00440C76">
        <w:rPr>
          <w:rFonts w:eastAsia="Times New Roman"/>
          <w:lang w:val="fr-FR" w:eastAsia="de-DE"/>
        </w:rPr>
        <w:t>[xxx] sur les émissions en conditions réelles de conduite</w:t>
      </w:r>
      <w:r>
        <w:rPr>
          <w:rFonts w:eastAsia="Times New Roman"/>
          <w:lang w:val="fr-FR" w:eastAsia="de-DE"/>
        </w:rPr>
        <w:t xml:space="preserve"> (le cas échéant)</w:t>
      </w:r>
      <w:r w:rsidRPr="00440C76">
        <w:rPr>
          <w:rFonts w:eastAsia="Times New Roman"/>
          <w:lang w:val="fr-FR" w:eastAsia="de-DE"/>
        </w:rPr>
        <w:t>.</w:t>
      </w:r>
    </w:p>
    <w:p w14:paraId="3B25311A"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3.2</w:t>
      </w:r>
      <w:r w:rsidRPr="00440C76">
        <w:rPr>
          <w:rFonts w:eastAsia="Times New Roman"/>
          <w:lang w:val="fr-FR"/>
        </w:rPr>
        <w:tab/>
        <w:t>Un modèle de fiche de renseignements relative aux émissions d</w:t>
      </w:r>
      <w:r>
        <w:rPr>
          <w:rFonts w:eastAsia="Times New Roman"/>
          <w:lang w:val="fr-FR"/>
        </w:rPr>
        <w:t>’</w:t>
      </w:r>
      <w:r w:rsidRPr="00440C76">
        <w:rPr>
          <w:rFonts w:eastAsia="Times New Roman"/>
          <w:lang w:val="fr-FR"/>
        </w:rPr>
        <w:t>échappement figure à l</w:t>
      </w:r>
      <w:r>
        <w:rPr>
          <w:rFonts w:eastAsia="Times New Roman"/>
          <w:lang w:val="fr-FR"/>
        </w:rPr>
        <w:t>’</w:t>
      </w:r>
      <w:r w:rsidRPr="00440C76">
        <w:rPr>
          <w:rFonts w:eastAsia="Times New Roman"/>
          <w:lang w:val="fr-FR"/>
        </w:rPr>
        <w:t>annexe</w:t>
      </w:r>
      <w:r>
        <w:rPr>
          <w:rFonts w:eastAsia="Times New Roman"/>
          <w:lang w:val="fr-FR"/>
        </w:rPr>
        <w:t> </w:t>
      </w:r>
      <w:r w:rsidRPr="00440C76">
        <w:rPr>
          <w:rFonts w:eastAsia="Times New Roman"/>
          <w:lang w:val="fr-FR"/>
        </w:rPr>
        <w:t>1 du présent Règlement.</w:t>
      </w:r>
    </w:p>
    <w:p w14:paraId="1CD99401"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3.3</w:t>
      </w:r>
      <w:r w:rsidRPr="00440C76">
        <w:rPr>
          <w:rFonts w:eastAsia="Times New Roman"/>
          <w:lang w:val="fr-FR"/>
        </w:rPr>
        <w:tab/>
        <w:t>Pour les essais décrits au paragraphe</w:t>
      </w:r>
      <w:r>
        <w:rPr>
          <w:rFonts w:eastAsia="Times New Roman"/>
          <w:lang w:val="fr-FR"/>
        </w:rPr>
        <w:t> </w:t>
      </w:r>
      <w:r w:rsidRPr="00440C76">
        <w:rPr>
          <w:rFonts w:eastAsia="Times New Roman"/>
          <w:lang w:val="fr-FR"/>
        </w:rPr>
        <w:t xml:space="preserve">5 du présent Règlement, un véhicule </w:t>
      </w:r>
      <w:r w:rsidRPr="00440C76">
        <w:rPr>
          <w:lang w:val="fr-FR"/>
        </w:rPr>
        <w:t>représentatif</w:t>
      </w:r>
      <w:r w:rsidRPr="00440C76">
        <w:rPr>
          <w:rFonts w:eastAsia="Times New Roman"/>
          <w:lang w:val="fr-FR"/>
        </w:rPr>
        <w:t xml:space="preserve"> du type de véhicule à homologuer doit être présenté au service technique chargé des essais d</w:t>
      </w:r>
      <w:r>
        <w:rPr>
          <w:rFonts w:eastAsia="Times New Roman"/>
          <w:lang w:val="fr-FR"/>
        </w:rPr>
        <w:t>’</w:t>
      </w:r>
      <w:r w:rsidRPr="00440C76">
        <w:rPr>
          <w:rFonts w:eastAsia="Times New Roman"/>
          <w:lang w:val="fr-FR"/>
        </w:rPr>
        <w:t>homologation.</w:t>
      </w:r>
    </w:p>
    <w:p w14:paraId="620FB0DE"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3.3.1</w:t>
      </w:r>
      <w:r w:rsidRPr="00440C76">
        <w:rPr>
          <w:rFonts w:eastAsia="Times New Roman"/>
          <w:lang w:val="fr-FR"/>
        </w:rPr>
        <w:tab/>
        <w:t xml:space="preserve">La </w:t>
      </w:r>
      <w:r w:rsidRPr="00440C76">
        <w:rPr>
          <w:lang w:val="fr-FR"/>
        </w:rPr>
        <w:t>demande</w:t>
      </w:r>
      <w:r w:rsidRPr="00440C76">
        <w:rPr>
          <w:rFonts w:eastAsia="Times New Roman"/>
          <w:lang w:val="fr-FR"/>
        </w:rPr>
        <w:t xml:space="preserve"> visée au paragraphe</w:t>
      </w:r>
      <w:r>
        <w:rPr>
          <w:rFonts w:eastAsia="Times New Roman"/>
          <w:lang w:val="fr-FR"/>
        </w:rPr>
        <w:t> </w:t>
      </w:r>
      <w:r w:rsidRPr="00440C76">
        <w:rPr>
          <w:rFonts w:eastAsia="Times New Roman"/>
          <w:lang w:val="fr-FR"/>
        </w:rPr>
        <w:t>3.1 du présent Règlement doit être établie conformément au modèle de fiche de renseignements présenté à l</w:t>
      </w:r>
      <w:r>
        <w:rPr>
          <w:rFonts w:eastAsia="Times New Roman"/>
          <w:lang w:val="fr-FR"/>
        </w:rPr>
        <w:t>’</w:t>
      </w:r>
      <w:r w:rsidRPr="00440C76">
        <w:rPr>
          <w:rFonts w:eastAsia="Times New Roman"/>
          <w:lang w:val="fr-FR"/>
        </w:rPr>
        <w:t>annexe</w:t>
      </w:r>
      <w:r>
        <w:rPr>
          <w:rFonts w:eastAsia="Times New Roman"/>
          <w:lang w:val="fr-FR"/>
        </w:rPr>
        <w:t> </w:t>
      </w:r>
      <w:r w:rsidRPr="00440C76">
        <w:rPr>
          <w:rFonts w:eastAsia="Times New Roman"/>
          <w:lang w:val="fr-FR"/>
        </w:rPr>
        <w:t>1 du présent Règlement.</w:t>
      </w:r>
    </w:p>
    <w:p w14:paraId="0F0131EF"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3.3.2</w:t>
      </w:r>
      <w:r w:rsidRPr="00440C76">
        <w:rPr>
          <w:rFonts w:eastAsia="Times New Roman"/>
          <w:lang w:val="fr-FR"/>
        </w:rPr>
        <w:tab/>
      </w:r>
      <w:r w:rsidRPr="00440C76">
        <w:rPr>
          <w:rFonts w:eastAsia="Times New Roman"/>
          <w:lang w:val="fr-FR"/>
        </w:rPr>
        <w:tab/>
      </w:r>
      <w:r w:rsidRPr="00440C76">
        <w:rPr>
          <w:lang w:val="fr-FR"/>
        </w:rPr>
        <w:t>Aux</w:t>
      </w:r>
      <w:r w:rsidRPr="00440C76">
        <w:rPr>
          <w:rFonts w:eastAsia="Times New Roman"/>
          <w:lang w:val="fr-FR"/>
        </w:rPr>
        <w:t xml:space="preserve"> fins du paragraphe</w:t>
      </w:r>
      <w:r>
        <w:rPr>
          <w:rFonts w:eastAsia="Times New Roman"/>
          <w:lang w:val="fr-FR"/>
        </w:rPr>
        <w:t> </w:t>
      </w:r>
      <w:r w:rsidRPr="00440C76">
        <w:rPr>
          <w:rFonts w:eastAsia="Times New Roman"/>
          <w:lang w:val="fr-FR"/>
        </w:rPr>
        <w:t>3.1.1 a), le constructeur doit utiliser le modèle de certificat de conformité aux prescriptions de l</w:t>
      </w:r>
      <w:r>
        <w:rPr>
          <w:rFonts w:eastAsia="Times New Roman"/>
          <w:lang w:val="fr-FR"/>
        </w:rPr>
        <w:t>’</w:t>
      </w:r>
      <w:r w:rsidRPr="00440C76">
        <w:rPr>
          <w:rFonts w:eastAsia="Times New Roman"/>
          <w:lang w:val="fr-FR"/>
        </w:rPr>
        <w:t>appendice</w:t>
      </w:r>
      <w:r>
        <w:rPr>
          <w:rFonts w:eastAsia="Times New Roman"/>
          <w:lang w:val="fr-FR"/>
        </w:rPr>
        <w:t> </w:t>
      </w:r>
      <w:r w:rsidRPr="00440C76">
        <w:rPr>
          <w:rFonts w:eastAsia="Times New Roman"/>
          <w:lang w:val="fr-FR"/>
        </w:rPr>
        <w:t>2 de l</w:t>
      </w:r>
      <w:r>
        <w:rPr>
          <w:rFonts w:eastAsia="Times New Roman"/>
          <w:lang w:val="fr-FR"/>
        </w:rPr>
        <w:t>’</w:t>
      </w:r>
      <w:r w:rsidRPr="00440C76">
        <w:rPr>
          <w:rFonts w:eastAsia="Times New Roman"/>
          <w:lang w:val="fr-FR"/>
        </w:rPr>
        <w:t>annexe</w:t>
      </w:r>
      <w:r>
        <w:rPr>
          <w:rFonts w:eastAsia="Times New Roman"/>
          <w:lang w:val="fr-FR"/>
        </w:rPr>
        <w:t> </w:t>
      </w:r>
      <w:r w:rsidRPr="00440C76">
        <w:rPr>
          <w:rFonts w:eastAsia="Times New Roman"/>
          <w:lang w:val="fr-FR"/>
        </w:rPr>
        <w:t>2 du présent Règlement, en ce qui concerne les performances en service de l</w:t>
      </w:r>
      <w:r>
        <w:rPr>
          <w:rFonts w:eastAsia="Times New Roman"/>
          <w:lang w:val="fr-FR"/>
        </w:rPr>
        <w:t>’</w:t>
      </w:r>
      <w:r w:rsidRPr="00440C76">
        <w:rPr>
          <w:rFonts w:eastAsia="Times New Roman"/>
          <w:lang w:val="fr-FR"/>
        </w:rPr>
        <w:t>OBD.</w:t>
      </w:r>
    </w:p>
    <w:p w14:paraId="3BE545E9"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3.3.3 et 3.3.4</w:t>
      </w:r>
      <w:r w:rsidRPr="00440C76">
        <w:rPr>
          <w:rFonts w:eastAsia="Times New Roman"/>
          <w:lang w:val="fr-FR"/>
        </w:rPr>
        <w:tab/>
      </w:r>
      <w:r w:rsidRPr="00440C76">
        <w:rPr>
          <w:rFonts w:eastAsia="Times New Roman"/>
          <w:lang w:val="fr-FR"/>
        </w:rPr>
        <w:tab/>
      </w:r>
      <w:r w:rsidRPr="00440C76">
        <w:rPr>
          <w:lang w:val="fr-FR"/>
        </w:rPr>
        <w:t>Réservés</w:t>
      </w:r>
    </w:p>
    <w:p w14:paraId="65B7DC4D"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3.3.5</w:t>
      </w:r>
      <w:r w:rsidRPr="00440C76">
        <w:rPr>
          <w:rFonts w:eastAsia="Times New Roman"/>
          <w:lang w:val="fr-FR"/>
        </w:rPr>
        <w:tab/>
      </w:r>
      <w:r w:rsidRPr="00440C76">
        <w:rPr>
          <w:rFonts w:eastAsia="Times New Roman"/>
          <w:lang w:val="fr-FR"/>
        </w:rPr>
        <w:tab/>
      </w:r>
      <w:r w:rsidRPr="00440C76">
        <w:rPr>
          <w:lang w:val="fr-FR"/>
        </w:rPr>
        <w:t>Aux</w:t>
      </w:r>
      <w:r w:rsidRPr="00440C76">
        <w:rPr>
          <w:rFonts w:eastAsia="Times New Roman"/>
          <w:lang w:val="fr-FR"/>
        </w:rPr>
        <w:t xml:space="preserve"> fins du paragraphe</w:t>
      </w:r>
      <w:r>
        <w:rPr>
          <w:rFonts w:eastAsia="Times New Roman"/>
          <w:lang w:val="fr-FR"/>
        </w:rPr>
        <w:t> </w:t>
      </w:r>
      <w:r w:rsidRPr="00440C76">
        <w:rPr>
          <w:rFonts w:eastAsia="Times New Roman"/>
          <w:lang w:val="fr-FR"/>
        </w:rPr>
        <w:t>3.1.1 b) du présent Règlement, les mesures prises pour empêcher toute manipulation et modification de l</w:t>
      </w:r>
      <w:r>
        <w:rPr>
          <w:rFonts w:eastAsia="Times New Roman"/>
          <w:lang w:val="fr-FR"/>
        </w:rPr>
        <w:t>’</w:t>
      </w:r>
      <w:r w:rsidRPr="00440C76">
        <w:rPr>
          <w:rFonts w:eastAsia="Times New Roman"/>
          <w:lang w:val="fr-FR"/>
        </w:rPr>
        <w:t>ordinateur de contrôle des émissions incluent une fonction de mise à jour utilisant un programme ou une procédure d</w:t>
      </w:r>
      <w:r>
        <w:rPr>
          <w:rFonts w:eastAsia="Times New Roman"/>
          <w:lang w:val="fr-FR"/>
        </w:rPr>
        <w:t>’</w:t>
      </w:r>
      <w:r w:rsidRPr="00440C76">
        <w:rPr>
          <w:rFonts w:eastAsia="Times New Roman"/>
          <w:lang w:val="fr-FR"/>
        </w:rPr>
        <w:t>étalonnage approuvé par le constructeur.</w:t>
      </w:r>
    </w:p>
    <w:p w14:paraId="598B5BF3"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3.3.6</w:t>
      </w:r>
      <w:r w:rsidRPr="00440C76">
        <w:rPr>
          <w:rFonts w:eastAsia="Times New Roman"/>
          <w:lang w:val="fr-FR"/>
        </w:rPr>
        <w:tab/>
        <w:t>En ce qui concerne les essais mentionnés au tableau A, le constructeur doit présenter au service technique responsable des essais d</w:t>
      </w:r>
      <w:r>
        <w:rPr>
          <w:rFonts w:eastAsia="Times New Roman"/>
          <w:lang w:val="fr-FR"/>
        </w:rPr>
        <w:t>’</w:t>
      </w:r>
      <w:r w:rsidRPr="00440C76">
        <w:rPr>
          <w:rFonts w:eastAsia="Times New Roman"/>
          <w:lang w:val="fr-FR"/>
        </w:rPr>
        <w:t>homologation un véhicule représentatif du type à homologuer.</w:t>
      </w:r>
    </w:p>
    <w:p w14:paraId="52535B48" w14:textId="3A6819AD" w:rsidR="00BE2CA7" w:rsidRPr="00440C76" w:rsidRDefault="00BE2CA7" w:rsidP="00BE2CA7">
      <w:pPr>
        <w:pStyle w:val="SingleTxtG"/>
        <w:ind w:left="2268" w:hanging="1134"/>
        <w:rPr>
          <w:rFonts w:eastAsia="Times New Roman"/>
          <w:lang w:val="fr-FR"/>
        </w:rPr>
      </w:pPr>
      <w:r w:rsidRPr="00440C76">
        <w:rPr>
          <w:rFonts w:eastAsia="Times New Roman"/>
          <w:lang w:val="fr-FR"/>
        </w:rPr>
        <w:t>3.3.7</w:t>
      </w:r>
      <w:r w:rsidRPr="00440C76">
        <w:rPr>
          <w:rFonts w:eastAsia="Times New Roman"/>
          <w:lang w:val="fr-FR"/>
        </w:rPr>
        <w:tab/>
        <w:t>La demande d</w:t>
      </w:r>
      <w:r>
        <w:rPr>
          <w:rFonts w:eastAsia="Times New Roman"/>
          <w:lang w:val="fr-FR"/>
        </w:rPr>
        <w:t>’</w:t>
      </w:r>
      <w:r w:rsidRPr="00440C76">
        <w:rPr>
          <w:rFonts w:eastAsia="Times New Roman"/>
          <w:lang w:val="fr-FR"/>
        </w:rPr>
        <w:t xml:space="preserve">homologation de véhicules à carburant modulable doit respecter les </w:t>
      </w:r>
      <w:r w:rsidRPr="00440C76">
        <w:rPr>
          <w:lang w:val="fr-FR"/>
        </w:rPr>
        <w:t>prescriptions</w:t>
      </w:r>
      <w:r w:rsidRPr="00440C76">
        <w:rPr>
          <w:rFonts w:eastAsia="Times New Roman"/>
          <w:lang w:val="fr-FR"/>
        </w:rPr>
        <w:t xml:space="preserve"> supplémentaires fixées au paragraphe</w:t>
      </w:r>
      <w:r>
        <w:rPr>
          <w:rFonts w:eastAsia="Times New Roman"/>
          <w:lang w:val="fr-FR"/>
        </w:rPr>
        <w:t> </w:t>
      </w:r>
      <w:r w:rsidRPr="00440C76">
        <w:rPr>
          <w:rFonts w:eastAsia="Times New Roman"/>
          <w:lang w:val="fr-FR"/>
        </w:rPr>
        <w:t>5.8 du Règlement ONU</w:t>
      </w:r>
      <w:r w:rsidR="00C21146">
        <w:rPr>
          <w:rFonts w:eastAsia="Times New Roman"/>
          <w:lang w:val="fr-FR"/>
        </w:rPr>
        <w:t> </w:t>
      </w:r>
      <w:r w:rsidRPr="00440C76">
        <w:rPr>
          <w:lang w:val="fr-FR"/>
        </w:rPr>
        <w:t>n</w:t>
      </w:r>
      <w:r w:rsidRPr="00440C76">
        <w:rPr>
          <w:vertAlign w:val="superscript"/>
          <w:lang w:val="fr-FR"/>
        </w:rPr>
        <w:t>o</w:t>
      </w:r>
      <w:r w:rsidRPr="00440C76">
        <w:rPr>
          <w:lang w:val="fr-FR"/>
        </w:rPr>
        <w:t> </w:t>
      </w:r>
      <w:r w:rsidRPr="00440C76">
        <w:rPr>
          <w:rFonts w:eastAsia="Times New Roman"/>
          <w:lang w:val="fr-FR"/>
        </w:rPr>
        <w:t>154.</w:t>
      </w:r>
    </w:p>
    <w:p w14:paraId="62E1C979"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3.3.8</w:t>
      </w:r>
      <w:r w:rsidRPr="00440C76">
        <w:rPr>
          <w:rFonts w:eastAsia="Times New Roman"/>
          <w:lang w:val="fr-FR"/>
        </w:rPr>
        <w:tab/>
        <w:t>Les changements de marque d</w:t>
      </w:r>
      <w:r>
        <w:rPr>
          <w:rFonts w:eastAsia="Times New Roman"/>
          <w:lang w:val="fr-FR"/>
        </w:rPr>
        <w:t>’</w:t>
      </w:r>
      <w:r w:rsidRPr="00440C76">
        <w:rPr>
          <w:rFonts w:eastAsia="Times New Roman"/>
          <w:lang w:val="fr-FR"/>
        </w:rPr>
        <w:t>un système, d</w:t>
      </w:r>
      <w:r>
        <w:rPr>
          <w:rFonts w:eastAsia="Times New Roman"/>
          <w:lang w:val="fr-FR"/>
        </w:rPr>
        <w:t>’</w:t>
      </w:r>
      <w:r w:rsidRPr="00440C76">
        <w:rPr>
          <w:rFonts w:eastAsia="Times New Roman"/>
          <w:lang w:val="fr-FR"/>
        </w:rPr>
        <w:t>un composant ou d</w:t>
      </w:r>
      <w:r>
        <w:rPr>
          <w:rFonts w:eastAsia="Times New Roman"/>
          <w:lang w:val="fr-FR"/>
        </w:rPr>
        <w:t>’</w:t>
      </w:r>
      <w:r w:rsidRPr="00440C76">
        <w:rPr>
          <w:rFonts w:eastAsia="Times New Roman"/>
          <w:lang w:val="fr-FR"/>
        </w:rPr>
        <w:t>une entité technique qui interviennent après coup n</w:t>
      </w:r>
      <w:r>
        <w:rPr>
          <w:rFonts w:eastAsia="Times New Roman"/>
          <w:lang w:val="fr-FR"/>
        </w:rPr>
        <w:t>’</w:t>
      </w:r>
      <w:r w:rsidRPr="00440C76">
        <w:rPr>
          <w:rFonts w:eastAsia="Times New Roman"/>
          <w:lang w:val="fr-FR"/>
        </w:rPr>
        <w:t>invalident pas automatiquement une homologation de type, à moins que les caractéristiques d</w:t>
      </w:r>
      <w:r>
        <w:rPr>
          <w:rFonts w:eastAsia="Times New Roman"/>
          <w:lang w:val="fr-FR"/>
        </w:rPr>
        <w:t>’</w:t>
      </w:r>
      <w:r w:rsidRPr="00440C76">
        <w:rPr>
          <w:rFonts w:eastAsia="Times New Roman"/>
          <w:lang w:val="fr-FR"/>
        </w:rPr>
        <w:t xml:space="preserve">origine ou les </w:t>
      </w:r>
      <w:r w:rsidRPr="00440C76">
        <w:rPr>
          <w:lang w:val="fr-FR"/>
        </w:rPr>
        <w:t>paramètres</w:t>
      </w:r>
      <w:r w:rsidRPr="00440C76">
        <w:rPr>
          <w:rFonts w:eastAsia="Times New Roman"/>
          <w:lang w:val="fr-FR"/>
        </w:rPr>
        <w:t xml:space="preserve"> techniques soient modifiés de telle manière que la fonctionnalité du moteur ou du système de contrôle des émissions s</w:t>
      </w:r>
      <w:r>
        <w:rPr>
          <w:rFonts w:eastAsia="Times New Roman"/>
          <w:lang w:val="fr-FR"/>
        </w:rPr>
        <w:t>’</w:t>
      </w:r>
      <w:r w:rsidRPr="00440C76">
        <w:rPr>
          <w:rFonts w:eastAsia="Times New Roman"/>
          <w:lang w:val="fr-FR"/>
        </w:rPr>
        <w:t>en trouve affectée.</w:t>
      </w:r>
    </w:p>
    <w:p w14:paraId="0AFB0B84" w14:textId="77777777" w:rsidR="00BE2CA7" w:rsidRPr="00440C76" w:rsidRDefault="00BE2CA7" w:rsidP="00BE2CA7">
      <w:pPr>
        <w:pStyle w:val="SingleTxtG"/>
        <w:ind w:left="2268" w:hanging="1134"/>
        <w:rPr>
          <w:lang w:val="fr-FR"/>
        </w:rPr>
      </w:pPr>
      <w:r w:rsidRPr="00440C76">
        <w:rPr>
          <w:lang w:val="fr-FR"/>
        </w:rPr>
        <w:t>3.4</w:t>
      </w:r>
      <w:r w:rsidRPr="00440C76">
        <w:rPr>
          <w:lang w:val="fr-FR"/>
        </w:rPr>
        <w:tab/>
        <w:t>Dossier d</w:t>
      </w:r>
      <w:r>
        <w:rPr>
          <w:lang w:val="fr-FR"/>
        </w:rPr>
        <w:t>’</w:t>
      </w:r>
      <w:r w:rsidRPr="00440C76">
        <w:rPr>
          <w:lang w:val="fr-FR"/>
        </w:rPr>
        <w:t>information détaillé</w:t>
      </w:r>
    </w:p>
    <w:p w14:paraId="5BF57149" w14:textId="77777777" w:rsidR="00BE2CA7" w:rsidRPr="00440C76" w:rsidRDefault="00BE2CA7" w:rsidP="00BE2CA7">
      <w:pPr>
        <w:pStyle w:val="SingleTxtG"/>
        <w:ind w:left="2268" w:hanging="1134"/>
        <w:rPr>
          <w:spacing w:val="-2"/>
          <w:lang w:val="fr-FR"/>
        </w:rPr>
      </w:pPr>
      <w:r w:rsidRPr="00440C76">
        <w:rPr>
          <w:lang w:val="fr-FR"/>
        </w:rPr>
        <w:t>3.4.1</w:t>
      </w:r>
      <w:r w:rsidRPr="00440C76">
        <w:rPr>
          <w:lang w:val="fr-FR"/>
        </w:rPr>
        <w:tab/>
      </w:r>
      <w:r w:rsidRPr="00440C76">
        <w:rPr>
          <w:spacing w:val="-2"/>
          <w:lang w:val="fr-FR"/>
        </w:rPr>
        <w:t>Pour que les autorités d</w:t>
      </w:r>
      <w:r>
        <w:rPr>
          <w:spacing w:val="-2"/>
          <w:lang w:val="fr-FR"/>
        </w:rPr>
        <w:t>’</w:t>
      </w:r>
      <w:r w:rsidRPr="00440C76">
        <w:rPr>
          <w:spacing w:val="-2"/>
          <w:lang w:val="fr-FR"/>
        </w:rPr>
        <w:t>homologation puissent évaluer l</w:t>
      </w:r>
      <w:r>
        <w:rPr>
          <w:spacing w:val="-2"/>
          <w:lang w:val="fr-FR"/>
        </w:rPr>
        <w:t>’</w:t>
      </w:r>
      <w:r w:rsidRPr="00440C76">
        <w:rPr>
          <w:spacing w:val="-2"/>
          <w:lang w:val="fr-FR"/>
        </w:rPr>
        <w:t>utilisation correcte des AES, compte tenu de l</w:t>
      </w:r>
      <w:r>
        <w:rPr>
          <w:spacing w:val="-2"/>
          <w:lang w:val="fr-FR"/>
        </w:rPr>
        <w:t>’</w:t>
      </w:r>
      <w:r w:rsidRPr="00440C76">
        <w:rPr>
          <w:spacing w:val="-2"/>
          <w:lang w:val="fr-FR"/>
        </w:rPr>
        <w:t>interdiction des dispositifs d</w:t>
      </w:r>
      <w:r>
        <w:rPr>
          <w:spacing w:val="-2"/>
          <w:lang w:val="fr-FR"/>
        </w:rPr>
        <w:t>’</w:t>
      </w:r>
      <w:r w:rsidRPr="00440C76">
        <w:rPr>
          <w:spacing w:val="-2"/>
          <w:lang w:val="fr-FR"/>
        </w:rPr>
        <w:t>invalidation prévue au paragraphe</w:t>
      </w:r>
      <w:r>
        <w:rPr>
          <w:spacing w:val="-2"/>
          <w:lang w:val="fr-FR"/>
        </w:rPr>
        <w:t> </w:t>
      </w:r>
      <w:r w:rsidRPr="00440C76">
        <w:rPr>
          <w:spacing w:val="-2"/>
          <w:lang w:val="fr-FR"/>
        </w:rPr>
        <w:t>5.1.7, le constructeur doit également fournir un dossier d</w:t>
      </w:r>
      <w:r>
        <w:rPr>
          <w:spacing w:val="-2"/>
          <w:lang w:val="fr-FR"/>
        </w:rPr>
        <w:t>’</w:t>
      </w:r>
      <w:r w:rsidRPr="00440C76">
        <w:rPr>
          <w:spacing w:val="-2"/>
          <w:lang w:val="fr-FR"/>
        </w:rPr>
        <w:t>information détaillé, tel que décrit à l</w:t>
      </w:r>
      <w:r>
        <w:rPr>
          <w:spacing w:val="-2"/>
          <w:lang w:val="fr-FR"/>
        </w:rPr>
        <w:t>’</w:t>
      </w:r>
      <w:r w:rsidRPr="00440C76">
        <w:rPr>
          <w:spacing w:val="-2"/>
          <w:lang w:val="fr-FR"/>
        </w:rPr>
        <w:t>appendice</w:t>
      </w:r>
      <w:r>
        <w:rPr>
          <w:spacing w:val="-2"/>
          <w:lang w:val="fr-FR"/>
        </w:rPr>
        <w:t> </w:t>
      </w:r>
      <w:r w:rsidRPr="00440C76">
        <w:rPr>
          <w:spacing w:val="-2"/>
          <w:lang w:val="fr-FR"/>
        </w:rPr>
        <w:t>3a de l</w:t>
      </w:r>
      <w:r>
        <w:rPr>
          <w:spacing w:val="-2"/>
          <w:lang w:val="fr-FR"/>
        </w:rPr>
        <w:t>’</w:t>
      </w:r>
      <w:r w:rsidRPr="00440C76">
        <w:rPr>
          <w:spacing w:val="-2"/>
          <w:lang w:val="fr-FR"/>
        </w:rPr>
        <w:t>annexe</w:t>
      </w:r>
      <w:r>
        <w:rPr>
          <w:spacing w:val="-2"/>
          <w:lang w:val="fr-FR"/>
        </w:rPr>
        <w:t> </w:t>
      </w:r>
      <w:r w:rsidRPr="00440C76">
        <w:rPr>
          <w:spacing w:val="-2"/>
          <w:lang w:val="fr-FR"/>
        </w:rPr>
        <w:t>1 du présent Règlement.</w:t>
      </w:r>
    </w:p>
    <w:p w14:paraId="7207EF68" w14:textId="77777777" w:rsidR="00BE2CA7" w:rsidRPr="00440C76" w:rsidRDefault="00BE2CA7" w:rsidP="00BE2CA7">
      <w:pPr>
        <w:pStyle w:val="SingleTxtG"/>
        <w:ind w:left="2268" w:hanging="1134"/>
        <w:rPr>
          <w:lang w:val="fr-FR"/>
        </w:rPr>
      </w:pPr>
      <w:r w:rsidRPr="00440C76">
        <w:rPr>
          <w:lang w:val="fr-FR"/>
        </w:rPr>
        <w:t>3.4.2</w:t>
      </w:r>
      <w:r w:rsidRPr="00440C76">
        <w:rPr>
          <w:lang w:val="fr-FR"/>
        </w:rPr>
        <w:tab/>
        <w:t>Pour les véhicules homologués ayant les lettres EB et EC définies dans le tableau</w:t>
      </w:r>
      <w:r>
        <w:rPr>
          <w:lang w:val="fr-FR"/>
        </w:rPr>
        <w:t> </w:t>
      </w:r>
      <w:r w:rsidRPr="00440C76">
        <w:rPr>
          <w:lang w:val="fr-FR"/>
        </w:rPr>
        <w:t>A3/1 de l</w:t>
      </w:r>
      <w:r>
        <w:rPr>
          <w:lang w:val="fr-FR"/>
        </w:rPr>
        <w:t>’</w:t>
      </w:r>
      <w:r w:rsidRPr="00440C76">
        <w:rPr>
          <w:lang w:val="fr-FR"/>
        </w:rPr>
        <w:t>annexe</w:t>
      </w:r>
      <w:r>
        <w:rPr>
          <w:lang w:val="fr-FR"/>
        </w:rPr>
        <w:t> </w:t>
      </w:r>
      <w:r w:rsidRPr="00440C76">
        <w:rPr>
          <w:lang w:val="fr-FR"/>
        </w:rPr>
        <w:t>3, le constructeur doit prévoir un indicateur (avertisseur ou minuteur AES) permettant de savoir quand un véhicule fonctionne en mode AES et non en mode BES. Cet indicateur doit être accessible sur demande au moyen d</w:t>
      </w:r>
      <w:r>
        <w:rPr>
          <w:lang w:val="fr-FR"/>
        </w:rPr>
        <w:t>’</w:t>
      </w:r>
      <w:r w:rsidRPr="00440C76">
        <w:rPr>
          <w:lang w:val="fr-FR"/>
        </w:rPr>
        <w:t>un analyseur de diagnostic générique via l</w:t>
      </w:r>
      <w:r>
        <w:rPr>
          <w:lang w:val="fr-FR"/>
        </w:rPr>
        <w:t>’</w:t>
      </w:r>
      <w:r w:rsidRPr="00440C76">
        <w:rPr>
          <w:lang w:val="fr-FR"/>
        </w:rPr>
        <w:t>interface série du connecteur de diagnostic normalisé. L</w:t>
      </w:r>
      <w:r>
        <w:rPr>
          <w:lang w:val="fr-FR"/>
        </w:rPr>
        <w:t>’</w:t>
      </w:r>
      <w:r w:rsidRPr="00440C76">
        <w:rPr>
          <w:lang w:val="fr-FR"/>
        </w:rPr>
        <w:t>AES activée doit être repérable à l</w:t>
      </w:r>
      <w:r>
        <w:rPr>
          <w:lang w:val="fr-FR"/>
        </w:rPr>
        <w:t>’</w:t>
      </w:r>
      <w:r w:rsidRPr="00440C76">
        <w:rPr>
          <w:lang w:val="fr-FR"/>
        </w:rPr>
        <w:t>aide du dossier d</w:t>
      </w:r>
      <w:r>
        <w:rPr>
          <w:lang w:val="fr-FR"/>
        </w:rPr>
        <w:t>’</w:t>
      </w:r>
      <w:r w:rsidRPr="00440C76">
        <w:rPr>
          <w:lang w:val="fr-FR"/>
        </w:rPr>
        <w:t>information officiel</w:t>
      </w:r>
      <w:r>
        <w:rPr>
          <w:lang w:val="fr-FR"/>
        </w:rPr>
        <w:t>, tel que décrit à l’appendice 3a de l’annexe 1</w:t>
      </w:r>
      <w:r w:rsidRPr="00440C76">
        <w:rPr>
          <w:lang w:val="fr-FR"/>
        </w:rPr>
        <w:t>.</w:t>
      </w:r>
    </w:p>
    <w:p w14:paraId="35786C95" w14:textId="77777777" w:rsidR="00BE2CA7" w:rsidRPr="00440C76" w:rsidRDefault="00BE2CA7" w:rsidP="00BE2CA7">
      <w:pPr>
        <w:pStyle w:val="SingleTxtG"/>
        <w:ind w:left="2268" w:hanging="1134"/>
        <w:rPr>
          <w:lang w:val="fr-FR"/>
        </w:rPr>
      </w:pPr>
      <w:r w:rsidRPr="00440C76">
        <w:rPr>
          <w:lang w:val="fr-FR"/>
        </w:rPr>
        <w:lastRenderedPageBreak/>
        <w:t>3.4.3</w:t>
      </w:r>
      <w:r w:rsidRPr="00440C76">
        <w:rPr>
          <w:lang w:val="fr-FR"/>
        </w:rPr>
        <w:tab/>
        <w:t>Le dossier d</w:t>
      </w:r>
      <w:r>
        <w:rPr>
          <w:lang w:val="fr-FR"/>
        </w:rPr>
        <w:t>’</w:t>
      </w:r>
      <w:r w:rsidRPr="00440C76">
        <w:rPr>
          <w:lang w:val="fr-FR"/>
        </w:rPr>
        <w:t>information détaillé doit être répertorié et daté par l</w:t>
      </w:r>
      <w:r>
        <w:rPr>
          <w:lang w:val="fr-FR"/>
        </w:rPr>
        <w:t>’</w:t>
      </w:r>
      <w:r w:rsidRPr="00440C76">
        <w:rPr>
          <w:lang w:val="fr-FR"/>
        </w:rPr>
        <w:t>autorité d</w:t>
      </w:r>
      <w:r>
        <w:rPr>
          <w:lang w:val="fr-FR"/>
        </w:rPr>
        <w:t>’</w:t>
      </w:r>
      <w:r w:rsidRPr="00440C76">
        <w:rPr>
          <w:lang w:val="fr-FR"/>
        </w:rPr>
        <w:t>homologation et conservé par elle pendant au moins 10 ans après l</w:t>
      </w:r>
      <w:r>
        <w:rPr>
          <w:lang w:val="fr-FR"/>
        </w:rPr>
        <w:t>’</w:t>
      </w:r>
      <w:r w:rsidRPr="00440C76">
        <w:rPr>
          <w:lang w:val="fr-FR"/>
        </w:rPr>
        <w:t>octroi de l</w:t>
      </w:r>
      <w:r>
        <w:rPr>
          <w:lang w:val="fr-FR"/>
        </w:rPr>
        <w:t>’</w:t>
      </w:r>
      <w:r w:rsidRPr="00440C76">
        <w:rPr>
          <w:lang w:val="fr-FR"/>
        </w:rPr>
        <w:t>homologation.</w:t>
      </w:r>
    </w:p>
    <w:p w14:paraId="67EA5715" w14:textId="77777777" w:rsidR="00BE2CA7" w:rsidRPr="00440C76" w:rsidRDefault="00BE2CA7" w:rsidP="00BE2CA7">
      <w:pPr>
        <w:pStyle w:val="SingleTxtG"/>
        <w:ind w:left="2268" w:hanging="1134"/>
        <w:rPr>
          <w:lang w:val="fr-FR"/>
        </w:rPr>
      </w:pPr>
      <w:r w:rsidRPr="00440C76">
        <w:rPr>
          <w:lang w:val="fr-FR"/>
        </w:rPr>
        <w:t>3.4.4</w:t>
      </w:r>
      <w:r w:rsidRPr="00440C76">
        <w:rPr>
          <w:lang w:val="fr-FR"/>
        </w:rPr>
        <w:tab/>
        <w:t>À la demande du constructeur, l</w:t>
      </w:r>
      <w:r>
        <w:rPr>
          <w:lang w:val="fr-FR"/>
        </w:rPr>
        <w:t>’</w:t>
      </w:r>
      <w:r w:rsidRPr="00440C76">
        <w:rPr>
          <w:lang w:val="fr-FR"/>
        </w:rPr>
        <w:t>autorité d</w:t>
      </w:r>
      <w:r>
        <w:rPr>
          <w:lang w:val="fr-FR"/>
        </w:rPr>
        <w:t>’</w:t>
      </w:r>
      <w:r w:rsidRPr="00440C76">
        <w:rPr>
          <w:lang w:val="fr-FR"/>
        </w:rPr>
        <w:t>homologation de type doit procéder à une évaluation préliminaire de l</w:t>
      </w:r>
      <w:r>
        <w:rPr>
          <w:lang w:val="fr-FR"/>
        </w:rPr>
        <w:t>’</w:t>
      </w:r>
      <w:r w:rsidRPr="00440C76">
        <w:rPr>
          <w:lang w:val="fr-FR"/>
        </w:rPr>
        <w:t>AES pour les nouveaux types de véhicules. Dans ce cas, la documentation correspondante doit être communiquée à l</w:t>
      </w:r>
      <w:r>
        <w:rPr>
          <w:lang w:val="fr-FR"/>
        </w:rPr>
        <w:t>’</w:t>
      </w:r>
      <w:r w:rsidRPr="00440C76">
        <w:rPr>
          <w:lang w:val="fr-FR"/>
        </w:rPr>
        <w:t>autorité d</w:t>
      </w:r>
      <w:r>
        <w:rPr>
          <w:lang w:val="fr-FR"/>
        </w:rPr>
        <w:t>’</w:t>
      </w:r>
      <w:r w:rsidRPr="00440C76">
        <w:rPr>
          <w:lang w:val="fr-FR"/>
        </w:rPr>
        <w:t>homologation de type entre 2 et 12 mois avant le début de la procédure d</w:t>
      </w:r>
      <w:r>
        <w:rPr>
          <w:lang w:val="fr-FR"/>
        </w:rPr>
        <w:t>’</w:t>
      </w:r>
      <w:r w:rsidRPr="00440C76">
        <w:rPr>
          <w:lang w:val="fr-FR"/>
        </w:rPr>
        <w:t>homologation.</w:t>
      </w:r>
    </w:p>
    <w:p w14:paraId="241BC15C" w14:textId="77777777" w:rsidR="00BE2CA7" w:rsidRPr="00440C76" w:rsidRDefault="00BE2CA7" w:rsidP="00BE2CA7">
      <w:pPr>
        <w:pStyle w:val="SingleTxtG"/>
        <w:ind w:left="2268" w:hanging="1134"/>
        <w:rPr>
          <w:lang w:val="fr-FR"/>
        </w:rPr>
      </w:pPr>
      <w:r w:rsidRPr="00440C76">
        <w:rPr>
          <w:lang w:val="fr-FR"/>
        </w:rPr>
        <w:t>3.4.5</w:t>
      </w:r>
      <w:r w:rsidRPr="00440C76">
        <w:rPr>
          <w:lang w:val="fr-FR"/>
        </w:rPr>
        <w:tab/>
        <w:t>L</w:t>
      </w:r>
      <w:r>
        <w:rPr>
          <w:lang w:val="fr-FR"/>
        </w:rPr>
        <w:t>’</w:t>
      </w:r>
      <w:r w:rsidRPr="00440C76">
        <w:rPr>
          <w:lang w:val="fr-FR"/>
        </w:rPr>
        <w:t>autorité d</w:t>
      </w:r>
      <w:r>
        <w:rPr>
          <w:lang w:val="fr-FR"/>
        </w:rPr>
        <w:t>’</w:t>
      </w:r>
      <w:r w:rsidRPr="00440C76">
        <w:rPr>
          <w:lang w:val="fr-FR"/>
        </w:rPr>
        <w:t>homologation de type doit procéder à une évaluation préliminaire sur la base du dossier d</w:t>
      </w:r>
      <w:r>
        <w:rPr>
          <w:lang w:val="fr-FR"/>
        </w:rPr>
        <w:t>’</w:t>
      </w:r>
      <w:r w:rsidRPr="00440C76">
        <w:rPr>
          <w:lang w:val="fr-FR"/>
        </w:rPr>
        <w:t>information détaillé, tel que décrit au point b) de l</w:t>
      </w:r>
      <w:r>
        <w:rPr>
          <w:lang w:val="fr-FR"/>
        </w:rPr>
        <w:t>’</w:t>
      </w:r>
      <w:r w:rsidRPr="00440C76">
        <w:rPr>
          <w:lang w:val="fr-FR"/>
        </w:rPr>
        <w:t>appendice</w:t>
      </w:r>
      <w:r>
        <w:rPr>
          <w:lang w:val="fr-FR"/>
        </w:rPr>
        <w:t> </w:t>
      </w:r>
      <w:r w:rsidRPr="00440C76">
        <w:rPr>
          <w:lang w:val="fr-FR"/>
        </w:rPr>
        <w:t>3a de l</w:t>
      </w:r>
      <w:r>
        <w:rPr>
          <w:lang w:val="fr-FR"/>
        </w:rPr>
        <w:t>’</w:t>
      </w:r>
      <w:r w:rsidRPr="00440C76">
        <w:rPr>
          <w:lang w:val="fr-FR"/>
        </w:rPr>
        <w:t>annexe</w:t>
      </w:r>
      <w:r>
        <w:rPr>
          <w:lang w:val="fr-FR"/>
        </w:rPr>
        <w:t> </w:t>
      </w:r>
      <w:r w:rsidRPr="00440C76">
        <w:rPr>
          <w:lang w:val="fr-FR"/>
        </w:rPr>
        <w:t>1, fourni par le constructeur. Elle doit l</w:t>
      </w:r>
      <w:r>
        <w:rPr>
          <w:lang w:val="fr-FR"/>
        </w:rPr>
        <w:t>’</w:t>
      </w:r>
      <w:r w:rsidRPr="00440C76">
        <w:rPr>
          <w:lang w:val="fr-FR"/>
        </w:rPr>
        <w:t>effectuer conformément à la méthode décrite à l</w:t>
      </w:r>
      <w:r>
        <w:rPr>
          <w:lang w:val="fr-FR"/>
        </w:rPr>
        <w:t>’</w:t>
      </w:r>
      <w:r w:rsidRPr="00440C76">
        <w:rPr>
          <w:lang w:val="fr-FR"/>
        </w:rPr>
        <w:t>appendice 3</w:t>
      </w:r>
      <w:r>
        <w:rPr>
          <w:lang w:val="fr-FR"/>
        </w:rPr>
        <w:t> </w:t>
      </w:r>
      <w:r w:rsidRPr="00440C76">
        <w:rPr>
          <w:lang w:val="fr-FR"/>
        </w:rPr>
        <w:t>b de l</w:t>
      </w:r>
      <w:r>
        <w:rPr>
          <w:lang w:val="fr-FR"/>
        </w:rPr>
        <w:t>’</w:t>
      </w:r>
      <w:r w:rsidRPr="00440C76">
        <w:rPr>
          <w:lang w:val="fr-FR"/>
        </w:rPr>
        <w:t>annexe</w:t>
      </w:r>
      <w:r>
        <w:rPr>
          <w:lang w:val="fr-FR"/>
        </w:rPr>
        <w:t> </w:t>
      </w:r>
      <w:r w:rsidRPr="00440C76">
        <w:rPr>
          <w:lang w:val="fr-FR"/>
        </w:rPr>
        <w:t>1.</w:t>
      </w:r>
      <w:r w:rsidRPr="00440C76">
        <w:rPr>
          <w:rFonts w:eastAsia="Calibri"/>
          <w:color w:val="333333"/>
          <w:sz w:val="26"/>
          <w:szCs w:val="26"/>
          <w:shd w:val="clear" w:color="auto" w:fill="FFFFFF"/>
          <w:lang w:val="fr-FR"/>
        </w:rPr>
        <w:t xml:space="preserve"> </w:t>
      </w:r>
      <w:r w:rsidRPr="00440C76">
        <w:rPr>
          <w:lang w:val="fr-FR"/>
        </w:rPr>
        <w:t>Elle peut s</w:t>
      </w:r>
      <w:r>
        <w:rPr>
          <w:lang w:val="fr-FR"/>
        </w:rPr>
        <w:t>’</w:t>
      </w:r>
      <w:r w:rsidRPr="00440C76">
        <w:rPr>
          <w:lang w:val="fr-FR"/>
        </w:rPr>
        <w:t>en écarter dans des cas exceptionnels et dûment justifiés.</w:t>
      </w:r>
    </w:p>
    <w:p w14:paraId="57D59C25" w14:textId="77777777" w:rsidR="00BE2CA7" w:rsidRPr="00440C76" w:rsidRDefault="00BE2CA7" w:rsidP="00BE2CA7">
      <w:pPr>
        <w:pStyle w:val="SingleTxtG"/>
        <w:ind w:left="2268" w:hanging="1134"/>
        <w:rPr>
          <w:lang w:val="fr-FR"/>
        </w:rPr>
      </w:pPr>
      <w:r w:rsidRPr="00440C76">
        <w:rPr>
          <w:lang w:val="fr-FR"/>
        </w:rPr>
        <w:t>3.4.6</w:t>
      </w:r>
      <w:r w:rsidRPr="00440C76">
        <w:rPr>
          <w:lang w:val="fr-FR"/>
        </w:rPr>
        <w:tab/>
        <w:t>L</w:t>
      </w:r>
      <w:r>
        <w:rPr>
          <w:lang w:val="fr-FR"/>
        </w:rPr>
        <w:t>’</w:t>
      </w:r>
      <w:r w:rsidRPr="00440C76">
        <w:rPr>
          <w:lang w:val="fr-FR"/>
        </w:rPr>
        <w:t>évaluation préliminaire de l</w:t>
      </w:r>
      <w:r>
        <w:rPr>
          <w:lang w:val="fr-FR"/>
        </w:rPr>
        <w:t>’</w:t>
      </w:r>
      <w:r w:rsidRPr="00440C76">
        <w:rPr>
          <w:lang w:val="fr-FR"/>
        </w:rPr>
        <w:t>AES pour les nouveaux types de véhicules reste valable aux fins de l</w:t>
      </w:r>
      <w:r>
        <w:rPr>
          <w:lang w:val="fr-FR"/>
        </w:rPr>
        <w:t>’</w:t>
      </w:r>
      <w:r w:rsidRPr="00440C76">
        <w:rPr>
          <w:lang w:val="fr-FR"/>
        </w:rPr>
        <w:t>homologation de type pendant une période de 18 mois. Cette période peut être prolongée de 12 mois supplémentaires si le constructeur fournit à l</w:t>
      </w:r>
      <w:r>
        <w:rPr>
          <w:lang w:val="fr-FR"/>
        </w:rPr>
        <w:t>’</w:t>
      </w:r>
      <w:r w:rsidRPr="00440C76">
        <w:rPr>
          <w:lang w:val="fr-FR"/>
        </w:rPr>
        <w:t>autorité d</w:t>
      </w:r>
      <w:r>
        <w:rPr>
          <w:lang w:val="fr-FR"/>
        </w:rPr>
        <w:t>’</w:t>
      </w:r>
      <w:r w:rsidRPr="00440C76">
        <w:rPr>
          <w:lang w:val="fr-FR"/>
        </w:rPr>
        <w:t>homologation de type la preuve qu</w:t>
      </w:r>
      <w:r>
        <w:rPr>
          <w:lang w:val="fr-FR"/>
        </w:rPr>
        <w:t>’</w:t>
      </w:r>
      <w:r w:rsidRPr="00440C76">
        <w:rPr>
          <w:lang w:val="fr-FR"/>
        </w:rPr>
        <w:t>aucune nouvelle technologie susceptible de modifier l</w:t>
      </w:r>
      <w:r>
        <w:rPr>
          <w:lang w:val="fr-FR"/>
        </w:rPr>
        <w:t>’</w:t>
      </w:r>
      <w:r w:rsidRPr="00440C76">
        <w:rPr>
          <w:lang w:val="fr-FR"/>
        </w:rPr>
        <w:t>évaluation préliminaire de l</w:t>
      </w:r>
      <w:r>
        <w:rPr>
          <w:lang w:val="fr-FR"/>
        </w:rPr>
        <w:t>’</w:t>
      </w:r>
      <w:r w:rsidRPr="00440C76">
        <w:rPr>
          <w:lang w:val="fr-FR"/>
        </w:rPr>
        <w:t>AES n</w:t>
      </w:r>
      <w:r>
        <w:rPr>
          <w:lang w:val="fr-FR"/>
        </w:rPr>
        <w:t>’</w:t>
      </w:r>
      <w:r w:rsidRPr="00440C76">
        <w:rPr>
          <w:lang w:val="fr-FR"/>
        </w:rPr>
        <w:t>est disponible sur le marché.</w:t>
      </w:r>
    </w:p>
    <w:p w14:paraId="38D41A59" w14:textId="77777777" w:rsidR="00BE2CA7" w:rsidRPr="00440C76" w:rsidRDefault="00BE2CA7" w:rsidP="00BE2CA7">
      <w:pPr>
        <w:pStyle w:val="SingleTxtG"/>
        <w:ind w:left="2268" w:hanging="1134"/>
        <w:rPr>
          <w:lang w:val="fr-FR"/>
        </w:rPr>
      </w:pPr>
      <w:r w:rsidRPr="00440C76">
        <w:rPr>
          <w:lang w:val="fr-FR"/>
        </w:rPr>
        <w:t>3.4.7</w:t>
      </w:r>
      <w:r w:rsidRPr="00440C76">
        <w:rPr>
          <w:lang w:val="fr-FR"/>
        </w:rPr>
        <w:tab/>
        <w:t>L</w:t>
      </w:r>
      <w:r>
        <w:rPr>
          <w:lang w:val="fr-FR"/>
        </w:rPr>
        <w:t>’</w:t>
      </w:r>
      <w:r w:rsidRPr="00440C76">
        <w:rPr>
          <w:lang w:val="fr-FR"/>
        </w:rPr>
        <w:t>autorité d</w:t>
      </w:r>
      <w:r>
        <w:rPr>
          <w:lang w:val="fr-FR"/>
        </w:rPr>
        <w:t>’</w:t>
      </w:r>
      <w:r w:rsidRPr="00440C76">
        <w:rPr>
          <w:lang w:val="fr-FR"/>
        </w:rPr>
        <w:t>homologation de type peut vérifier le fonctionnement de l</w:t>
      </w:r>
      <w:r>
        <w:rPr>
          <w:lang w:val="fr-FR"/>
        </w:rPr>
        <w:t>’</w:t>
      </w:r>
      <w:r w:rsidRPr="00440C76">
        <w:rPr>
          <w:lang w:val="fr-FR"/>
        </w:rPr>
        <w:t>AES.</w:t>
      </w:r>
    </w:p>
    <w:p w14:paraId="3C03992E" w14:textId="77777777" w:rsidR="00BE2CA7" w:rsidRPr="00440C76" w:rsidRDefault="00BE2CA7" w:rsidP="00BE2CA7">
      <w:pPr>
        <w:pStyle w:val="SingleTxtG"/>
        <w:ind w:left="2268" w:hanging="1134"/>
        <w:rPr>
          <w:lang w:val="fr-FR"/>
        </w:rPr>
      </w:pPr>
      <w:r w:rsidRPr="00440C76">
        <w:rPr>
          <w:lang w:val="fr-FR"/>
        </w:rPr>
        <w:t>3.4.8</w:t>
      </w:r>
      <w:r w:rsidRPr="00440C76">
        <w:rPr>
          <w:lang w:val="fr-FR"/>
        </w:rPr>
        <w:tab/>
        <w:t>Une liste des AES jugées non acceptables par les autorités d</w:t>
      </w:r>
      <w:r>
        <w:rPr>
          <w:lang w:val="fr-FR"/>
        </w:rPr>
        <w:t>’</w:t>
      </w:r>
      <w:r w:rsidRPr="00440C76">
        <w:rPr>
          <w:lang w:val="fr-FR"/>
        </w:rPr>
        <w:t xml:space="preserve">homologation de type doit être établie chaque année </w:t>
      </w:r>
      <w:r>
        <w:rPr>
          <w:lang w:val="fr-FR"/>
        </w:rPr>
        <w:t>par une Partie contractante à la demande d’une autorité régionale</w:t>
      </w:r>
      <w:r w:rsidRPr="00440C76">
        <w:rPr>
          <w:lang w:val="fr-FR"/>
        </w:rPr>
        <w:t>.</w:t>
      </w:r>
    </w:p>
    <w:p w14:paraId="7118532C" w14:textId="77777777" w:rsidR="00BE2CA7" w:rsidRPr="00440C76" w:rsidRDefault="00BE2CA7" w:rsidP="00BE2CA7">
      <w:pPr>
        <w:pStyle w:val="SingleTxtG"/>
        <w:ind w:left="2268" w:hanging="1134"/>
        <w:rPr>
          <w:lang w:val="fr-FR"/>
        </w:rPr>
      </w:pPr>
      <w:r w:rsidRPr="00440C76">
        <w:rPr>
          <w:lang w:val="fr-FR"/>
        </w:rPr>
        <w:t>3.4.9</w:t>
      </w:r>
      <w:r w:rsidRPr="00440C76">
        <w:rPr>
          <w:lang w:val="fr-FR"/>
        </w:rPr>
        <w:tab/>
        <w:t>Le constructeur doit également fournir aux autorités d</w:t>
      </w:r>
      <w:r>
        <w:rPr>
          <w:lang w:val="fr-FR"/>
        </w:rPr>
        <w:t>’</w:t>
      </w:r>
      <w:r w:rsidRPr="00440C76">
        <w:rPr>
          <w:lang w:val="fr-FR"/>
        </w:rPr>
        <w:t>homologation de type un dossier d</w:t>
      </w:r>
      <w:r>
        <w:rPr>
          <w:lang w:val="fr-FR"/>
        </w:rPr>
        <w:t>’</w:t>
      </w:r>
      <w:r w:rsidRPr="00440C76">
        <w:rPr>
          <w:lang w:val="fr-FR"/>
        </w:rPr>
        <w:t>information officiel, tel que décrit à l</w:t>
      </w:r>
      <w:r>
        <w:rPr>
          <w:lang w:val="fr-FR"/>
        </w:rPr>
        <w:t>’</w:t>
      </w:r>
      <w:r w:rsidRPr="00440C76">
        <w:rPr>
          <w:lang w:val="fr-FR"/>
        </w:rPr>
        <w:t>appendice</w:t>
      </w:r>
      <w:r>
        <w:rPr>
          <w:lang w:val="fr-FR"/>
        </w:rPr>
        <w:t> </w:t>
      </w:r>
      <w:r w:rsidRPr="00440C76">
        <w:rPr>
          <w:lang w:val="fr-FR"/>
        </w:rPr>
        <w:t>3a de l</w:t>
      </w:r>
      <w:r>
        <w:rPr>
          <w:lang w:val="fr-FR"/>
        </w:rPr>
        <w:t>’</w:t>
      </w:r>
      <w:r w:rsidRPr="00440C76">
        <w:rPr>
          <w:lang w:val="fr-FR"/>
        </w:rPr>
        <w:t>annexe</w:t>
      </w:r>
      <w:r>
        <w:rPr>
          <w:lang w:val="fr-FR"/>
        </w:rPr>
        <w:t> </w:t>
      </w:r>
      <w:r w:rsidRPr="00440C76">
        <w:rPr>
          <w:lang w:val="fr-FR"/>
        </w:rPr>
        <w:t>1, contenant des informations sur les AES ou BES qui permettraient à un contrôleur indépendant de déterminer si les émissions mesurées peuvent être attribuées à une AES ou une BES ou si elles sont potentiellement dues à un dispositif d</w:t>
      </w:r>
      <w:r>
        <w:rPr>
          <w:lang w:val="fr-FR"/>
        </w:rPr>
        <w:t>’</w:t>
      </w:r>
      <w:r w:rsidRPr="00440C76">
        <w:rPr>
          <w:lang w:val="fr-FR"/>
        </w:rPr>
        <w:t>invalidation. Ce dossier doit être mis à disposition sur demande.</w:t>
      </w:r>
    </w:p>
    <w:p w14:paraId="4D3BBA8A" w14:textId="77777777" w:rsidR="00BE2CA7" w:rsidRPr="00440C76" w:rsidRDefault="00BE2CA7" w:rsidP="00BE2CA7">
      <w:pPr>
        <w:pStyle w:val="SingleTxtG"/>
        <w:ind w:left="2268" w:hanging="1134"/>
        <w:rPr>
          <w:lang w:val="fr-FR"/>
        </w:rPr>
      </w:pPr>
      <w:r w:rsidRPr="00440C76">
        <w:rPr>
          <w:lang w:val="fr-FR"/>
        </w:rPr>
        <w:t>3.4.10</w:t>
      </w:r>
      <w:r w:rsidRPr="00440C76">
        <w:rPr>
          <w:lang w:val="fr-FR"/>
        </w:rPr>
        <w:tab/>
      </w:r>
      <w:r w:rsidRPr="00440C76">
        <w:rPr>
          <w:lang w:val="fr-FR"/>
        </w:rPr>
        <w:tab/>
        <w:t>Les véhicules des catégories</w:t>
      </w:r>
      <w:r>
        <w:rPr>
          <w:lang w:val="fr-FR"/>
        </w:rPr>
        <w:t> </w:t>
      </w:r>
      <w:r w:rsidRPr="00440C76">
        <w:rPr>
          <w:lang w:val="fr-FR"/>
        </w:rPr>
        <w:t>M</w:t>
      </w:r>
      <w:r w:rsidRPr="00440C76">
        <w:rPr>
          <w:vertAlign w:val="subscript"/>
          <w:lang w:val="fr-FR"/>
        </w:rPr>
        <w:t>1</w:t>
      </w:r>
      <w:r w:rsidRPr="00440C76">
        <w:rPr>
          <w:lang w:val="fr-FR"/>
        </w:rPr>
        <w:t xml:space="preserve"> ou N</w:t>
      </w:r>
      <w:r w:rsidRPr="00440C76">
        <w:rPr>
          <w:vertAlign w:val="subscript"/>
          <w:lang w:val="fr-FR"/>
        </w:rPr>
        <w:t>1</w:t>
      </w:r>
      <w:r w:rsidRPr="00440C76">
        <w:rPr>
          <w:lang w:val="fr-FR"/>
        </w:rPr>
        <w:t xml:space="preserve"> doivent être homologués conformément aux normes EA, EB ou EC relatives aux émissions, spécifiées dans le tableau</w:t>
      </w:r>
      <w:r>
        <w:rPr>
          <w:lang w:val="fr-FR"/>
        </w:rPr>
        <w:t> </w:t>
      </w:r>
      <w:r w:rsidRPr="00440C76">
        <w:rPr>
          <w:lang w:val="fr-FR"/>
        </w:rPr>
        <w:t>A3/1 de l</w:t>
      </w:r>
      <w:r>
        <w:rPr>
          <w:lang w:val="fr-FR"/>
        </w:rPr>
        <w:t>’</w:t>
      </w:r>
      <w:r w:rsidRPr="00440C76">
        <w:rPr>
          <w:lang w:val="fr-FR"/>
        </w:rPr>
        <w:t>annexe</w:t>
      </w:r>
      <w:r>
        <w:rPr>
          <w:lang w:val="fr-FR"/>
        </w:rPr>
        <w:t> </w:t>
      </w:r>
      <w:r w:rsidRPr="00440C76">
        <w:rPr>
          <w:lang w:val="fr-FR"/>
        </w:rPr>
        <w:t>3, compte tenu des facteurs d</w:t>
      </w:r>
      <w:r>
        <w:rPr>
          <w:lang w:val="fr-FR"/>
        </w:rPr>
        <w:t>’</w:t>
      </w:r>
      <w:r w:rsidRPr="00440C76">
        <w:rPr>
          <w:lang w:val="fr-FR"/>
        </w:rPr>
        <w:t>utilisation déterminés conformément aux valeurs indiquées dans le tableau A8.App5/1 du paragraphe</w:t>
      </w:r>
      <w:r>
        <w:rPr>
          <w:lang w:val="fr-FR"/>
        </w:rPr>
        <w:t> </w:t>
      </w:r>
      <w:r w:rsidRPr="00440C76">
        <w:rPr>
          <w:lang w:val="fr-FR"/>
        </w:rPr>
        <w:t>3.2 de l</w:t>
      </w:r>
      <w:r>
        <w:rPr>
          <w:lang w:val="fr-FR"/>
        </w:rPr>
        <w:t>’</w:t>
      </w:r>
      <w:r w:rsidRPr="00440C76">
        <w:rPr>
          <w:lang w:val="fr-FR"/>
        </w:rPr>
        <w:t>annexe</w:t>
      </w:r>
      <w:r>
        <w:rPr>
          <w:lang w:val="fr-FR"/>
        </w:rPr>
        <w:t> </w:t>
      </w:r>
      <w:r w:rsidRPr="00440C76">
        <w:rPr>
          <w:lang w:val="fr-FR"/>
        </w:rPr>
        <w:t>B8 du Règlement ONU n</w:t>
      </w:r>
      <w:r w:rsidRPr="00440C76">
        <w:rPr>
          <w:vertAlign w:val="superscript"/>
          <w:lang w:val="fr-FR"/>
        </w:rPr>
        <w:t>o</w:t>
      </w:r>
      <w:r w:rsidRPr="00440C76">
        <w:rPr>
          <w:lang w:val="fr-FR"/>
        </w:rPr>
        <w:t> 154.</w:t>
      </w:r>
    </w:p>
    <w:p w14:paraId="07702E35" w14:textId="77777777" w:rsidR="00BE2CA7" w:rsidRPr="00440C76" w:rsidRDefault="00BE2CA7" w:rsidP="00BE2CA7">
      <w:pPr>
        <w:pStyle w:val="SingleTxtG"/>
        <w:ind w:left="2268" w:hanging="1134"/>
        <w:rPr>
          <w:lang w:val="fr-FR"/>
        </w:rPr>
      </w:pPr>
      <w:r w:rsidRPr="00440C76">
        <w:rPr>
          <w:lang w:val="fr-FR"/>
        </w:rPr>
        <w:t>3.5</w:t>
      </w:r>
      <w:r w:rsidRPr="00440C76">
        <w:rPr>
          <w:lang w:val="fr-FR"/>
        </w:rPr>
        <w:tab/>
        <w:t>Le constructeur doit également fournir à l</w:t>
      </w:r>
      <w:r>
        <w:rPr>
          <w:lang w:val="fr-FR"/>
        </w:rPr>
        <w:t>’</w:t>
      </w:r>
      <w:r w:rsidRPr="00440C76">
        <w:rPr>
          <w:lang w:val="fr-FR"/>
        </w:rPr>
        <w:t>autorité compétente qui a délivré l</w:t>
      </w:r>
      <w:r>
        <w:rPr>
          <w:lang w:val="fr-FR"/>
        </w:rPr>
        <w:t>’</w:t>
      </w:r>
      <w:r w:rsidRPr="00440C76">
        <w:rPr>
          <w:lang w:val="fr-FR"/>
        </w:rPr>
        <w:t>homologation de type en ce qui concerne les émissions en vertu du présent Règlement un dossier sur la transparence des essais contenant les informations nécessaires pour permettre la réalisation des essais conformément au paragraphe</w:t>
      </w:r>
      <w:r>
        <w:rPr>
          <w:lang w:val="fr-FR"/>
        </w:rPr>
        <w:t> </w:t>
      </w:r>
      <w:r w:rsidRPr="00440C76">
        <w:rPr>
          <w:lang w:val="fr-FR"/>
        </w:rPr>
        <w:t>5.9 de l</w:t>
      </w:r>
      <w:r>
        <w:rPr>
          <w:lang w:val="fr-FR"/>
        </w:rPr>
        <w:t>’</w:t>
      </w:r>
      <w:r w:rsidRPr="00440C76">
        <w:rPr>
          <w:lang w:val="fr-FR"/>
        </w:rPr>
        <w:t>annexe</w:t>
      </w:r>
      <w:r>
        <w:rPr>
          <w:lang w:val="fr-FR"/>
        </w:rPr>
        <w:t> </w:t>
      </w:r>
      <w:r w:rsidRPr="00440C76">
        <w:rPr>
          <w:lang w:val="fr-FR"/>
        </w:rPr>
        <w:t>4.</w:t>
      </w:r>
    </w:p>
    <w:p w14:paraId="75A95435" w14:textId="77777777" w:rsidR="00BE2CA7" w:rsidRPr="00440C76" w:rsidRDefault="00BE2CA7" w:rsidP="00BE2CA7">
      <w:pPr>
        <w:pStyle w:val="HChG"/>
        <w:ind w:left="2268"/>
        <w:rPr>
          <w:lang w:val="fr-FR"/>
        </w:rPr>
      </w:pPr>
      <w:r w:rsidRPr="00440C76">
        <w:rPr>
          <w:lang w:val="fr-FR"/>
        </w:rPr>
        <w:t>4.</w:t>
      </w:r>
      <w:r w:rsidRPr="00440C76">
        <w:rPr>
          <w:lang w:val="fr-FR"/>
        </w:rPr>
        <w:tab/>
        <w:t>Homologation</w:t>
      </w:r>
    </w:p>
    <w:p w14:paraId="7C1074DA"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4.1</w:t>
      </w:r>
      <w:r w:rsidRPr="00440C76">
        <w:rPr>
          <w:rFonts w:eastAsia="Times New Roman"/>
          <w:lang w:val="fr-FR"/>
        </w:rPr>
        <w:tab/>
        <w:t>Lorsque le type de véhicule présenté à l</w:t>
      </w:r>
      <w:r>
        <w:rPr>
          <w:rFonts w:eastAsia="Times New Roman"/>
          <w:lang w:val="fr-FR"/>
        </w:rPr>
        <w:t>’</w:t>
      </w:r>
      <w:r w:rsidRPr="00440C76">
        <w:rPr>
          <w:rFonts w:eastAsia="Times New Roman"/>
          <w:lang w:val="fr-FR"/>
        </w:rPr>
        <w:t xml:space="preserve">homologation en application du </w:t>
      </w:r>
      <w:r w:rsidRPr="00440C76">
        <w:rPr>
          <w:lang w:val="fr-FR"/>
        </w:rPr>
        <w:t>présent</w:t>
      </w:r>
      <w:r w:rsidRPr="00440C76">
        <w:rPr>
          <w:rFonts w:eastAsia="Times New Roman"/>
          <w:lang w:val="fr-FR"/>
        </w:rPr>
        <w:t xml:space="preserve"> amendement satisfait aux prescriptions du paragraphe</w:t>
      </w:r>
      <w:r>
        <w:rPr>
          <w:rFonts w:eastAsia="Times New Roman"/>
          <w:lang w:val="fr-FR"/>
        </w:rPr>
        <w:t> </w:t>
      </w:r>
      <w:r w:rsidRPr="00440C76">
        <w:rPr>
          <w:rFonts w:eastAsia="Times New Roman"/>
          <w:lang w:val="fr-FR"/>
        </w:rPr>
        <w:t>5 ci-après, l</w:t>
      </w:r>
      <w:r>
        <w:rPr>
          <w:rFonts w:eastAsia="Times New Roman"/>
          <w:lang w:val="fr-FR"/>
        </w:rPr>
        <w:t>’</w:t>
      </w:r>
      <w:r w:rsidRPr="00440C76">
        <w:rPr>
          <w:rFonts w:eastAsia="Times New Roman"/>
          <w:lang w:val="fr-FR"/>
        </w:rPr>
        <w:t>homologation pour ce type de véhicule doit être accordée.</w:t>
      </w:r>
    </w:p>
    <w:p w14:paraId="1E5FDC4A"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4.2</w:t>
      </w:r>
      <w:r w:rsidRPr="00440C76">
        <w:rPr>
          <w:rFonts w:eastAsia="Times New Roman"/>
          <w:lang w:val="fr-FR"/>
        </w:rPr>
        <w:tab/>
        <w:t>Un numéro d</w:t>
      </w:r>
      <w:r>
        <w:rPr>
          <w:rFonts w:eastAsia="Times New Roman"/>
          <w:lang w:val="fr-FR"/>
        </w:rPr>
        <w:t>’</w:t>
      </w:r>
      <w:r w:rsidRPr="00440C76">
        <w:rPr>
          <w:rFonts w:eastAsia="Times New Roman"/>
          <w:lang w:val="fr-FR"/>
        </w:rPr>
        <w:t>homologation doit être attribué à chaque type homologué.</w:t>
      </w:r>
    </w:p>
    <w:p w14:paraId="5E92B78E"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4.2.1</w:t>
      </w:r>
      <w:r w:rsidRPr="00440C76">
        <w:rPr>
          <w:rFonts w:eastAsia="Times New Roman"/>
          <w:lang w:val="fr-FR"/>
        </w:rPr>
        <w:tab/>
        <w:t>Le numéro d</w:t>
      </w:r>
      <w:r>
        <w:rPr>
          <w:rFonts w:eastAsia="Times New Roman"/>
          <w:lang w:val="fr-FR"/>
        </w:rPr>
        <w:t>’</w:t>
      </w:r>
      <w:r w:rsidRPr="00440C76">
        <w:rPr>
          <w:rFonts w:eastAsia="Times New Roman"/>
          <w:lang w:val="fr-FR"/>
        </w:rPr>
        <w:t xml:space="preserve">homologation de type est composé de quatre sections séparées par le caractère </w:t>
      </w:r>
      <w:r w:rsidRPr="00440C76">
        <w:rPr>
          <w:lang w:val="fr-FR"/>
        </w:rPr>
        <w:t>« </w:t>
      </w:r>
      <w:r w:rsidRPr="00440C76">
        <w:rPr>
          <w:rFonts w:eastAsia="Times New Roman"/>
          <w:lang w:val="fr-FR"/>
        </w:rPr>
        <w:t>*</w:t>
      </w:r>
      <w:r w:rsidRPr="00440C76">
        <w:rPr>
          <w:lang w:val="fr-FR"/>
        </w:rPr>
        <w:t> »</w:t>
      </w:r>
      <w:r w:rsidRPr="00440C76">
        <w:rPr>
          <w:rFonts w:eastAsia="Times New Roman"/>
          <w:lang w:val="fr-FR"/>
        </w:rPr>
        <w:t>.</w:t>
      </w:r>
    </w:p>
    <w:p w14:paraId="3D98B706" w14:textId="77777777" w:rsidR="00BE2CA7" w:rsidRPr="00440C76" w:rsidRDefault="00BE2CA7" w:rsidP="00BE2CA7">
      <w:pPr>
        <w:pStyle w:val="SingleTxtG"/>
        <w:ind w:left="3402" w:hanging="1134"/>
        <w:rPr>
          <w:rFonts w:eastAsia="Times New Roman"/>
          <w:lang w:val="fr-FR"/>
        </w:rPr>
      </w:pPr>
      <w:r w:rsidRPr="00440C76">
        <w:rPr>
          <w:lang w:val="fr-FR"/>
        </w:rPr>
        <w:lastRenderedPageBreak/>
        <w:t>Section</w:t>
      </w:r>
      <w:r>
        <w:rPr>
          <w:rFonts w:eastAsia="Times New Roman"/>
          <w:lang w:val="fr-FR"/>
        </w:rPr>
        <w:t> </w:t>
      </w:r>
      <w:r w:rsidRPr="00440C76">
        <w:rPr>
          <w:rFonts w:eastAsia="Times New Roman"/>
          <w:lang w:val="fr-FR"/>
        </w:rPr>
        <w:t>1 :</w:t>
      </w:r>
      <w:r w:rsidRPr="00440C76">
        <w:rPr>
          <w:lang w:val="fr-FR"/>
        </w:rPr>
        <w:tab/>
      </w:r>
      <w:r w:rsidRPr="00440C76">
        <w:rPr>
          <w:rFonts w:eastAsia="Times New Roman"/>
          <w:lang w:val="fr-FR"/>
        </w:rPr>
        <w:t xml:space="preserve">La lettre </w:t>
      </w:r>
      <w:r w:rsidRPr="00440C76">
        <w:rPr>
          <w:lang w:val="fr-FR"/>
        </w:rPr>
        <w:t>« </w:t>
      </w:r>
      <w:r w:rsidRPr="00440C76">
        <w:rPr>
          <w:rFonts w:eastAsia="Times New Roman"/>
          <w:lang w:val="fr-FR"/>
        </w:rPr>
        <w:t>E</w:t>
      </w:r>
      <w:r w:rsidRPr="00440C76">
        <w:rPr>
          <w:lang w:val="fr-FR"/>
        </w:rPr>
        <w:t> »</w:t>
      </w:r>
      <w:r w:rsidRPr="00440C76">
        <w:rPr>
          <w:rFonts w:eastAsia="Times New Roman"/>
          <w:lang w:val="fr-FR"/>
        </w:rPr>
        <w:t xml:space="preserve"> suivie du numéro distinctif de la Partie </w:t>
      </w:r>
      <w:r w:rsidRPr="00440C76">
        <w:rPr>
          <w:lang w:val="fr-FR"/>
        </w:rPr>
        <w:t>contractante</w:t>
      </w:r>
      <w:r w:rsidRPr="00440C76">
        <w:rPr>
          <w:rFonts w:eastAsia="Times New Roman"/>
          <w:lang w:val="fr-FR"/>
        </w:rPr>
        <w:t xml:space="preserve"> qui a délivré l</w:t>
      </w:r>
      <w:r>
        <w:rPr>
          <w:rFonts w:eastAsia="Times New Roman"/>
          <w:lang w:val="fr-FR"/>
        </w:rPr>
        <w:t>’</w:t>
      </w:r>
      <w:r w:rsidRPr="00440C76">
        <w:rPr>
          <w:rFonts w:eastAsia="Times New Roman"/>
          <w:lang w:val="fr-FR"/>
        </w:rPr>
        <w:t>homologation de type</w:t>
      </w:r>
      <w:r w:rsidRPr="00977679">
        <w:rPr>
          <w:rStyle w:val="Appelnotedebasdep"/>
        </w:rPr>
        <w:footnoteReference w:id="4"/>
      </w:r>
      <w:r w:rsidRPr="00440C76">
        <w:rPr>
          <w:rFonts w:eastAsia="Times New Roman"/>
          <w:lang w:val="fr-FR"/>
        </w:rPr>
        <w:t>.</w:t>
      </w:r>
    </w:p>
    <w:p w14:paraId="26B2455C" w14:textId="77777777" w:rsidR="00BE2CA7" w:rsidRPr="00440C76" w:rsidRDefault="00BE2CA7" w:rsidP="00BE2CA7">
      <w:pPr>
        <w:pStyle w:val="SingleTxtG"/>
        <w:ind w:left="3402" w:hanging="1134"/>
        <w:rPr>
          <w:rFonts w:eastAsia="Times New Roman"/>
          <w:lang w:val="fr-FR"/>
        </w:rPr>
      </w:pPr>
      <w:r w:rsidRPr="00440C76">
        <w:rPr>
          <w:lang w:val="fr-FR"/>
        </w:rPr>
        <w:t>Section</w:t>
      </w:r>
      <w:r>
        <w:rPr>
          <w:rFonts w:eastAsia="Times New Roman"/>
          <w:lang w:val="fr-FR"/>
        </w:rPr>
        <w:t> </w:t>
      </w:r>
      <w:r w:rsidRPr="00440C76">
        <w:rPr>
          <w:rFonts w:eastAsia="Times New Roman"/>
          <w:lang w:val="fr-FR"/>
        </w:rPr>
        <w:t>2 :</w:t>
      </w:r>
      <w:r w:rsidRPr="00440C76">
        <w:rPr>
          <w:rFonts w:eastAsia="Times New Roman"/>
          <w:lang w:val="fr-FR"/>
        </w:rPr>
        <w:tab/>
        <w:t>Le numéro</w:t>
      </w:r>
      <w:r>
        <w:rPr>
          <w:rFonts w:eastAsia="Times New Roman"/>
          <w:lang w:val="fr-FR"/>
        </w:rPr>
        <w:t> </w:t>
      </w:r>
      <w:r w:rsidRPr="00440C76">
        <w:rPr>
          <w:rFonts w:eastAsia="Times New Roman"/>
          <w:lang w:val="fr-FR"/>
        </w:rPr>
        <w:t xml:space="preserve">83 suivi de la lettre </w:t>
      </w:r>
      <w:r w:rsidRPr="00440C76">
        <w:rPr>
          <w:lang w:val="fr-FR"/>
        </w:rPr>
        <w:t>« </w:t>
      </w:r>
      <w:r w:rsidRPr="00440C76">
        <w:rPr>
          <w:rFonts w:eastAsia="Times New Roman"/>
          <w:lang w:val="fr-FR"/>
        </w:rPr>
        <w:t>R</w:t>
      </w:r>
      <w:r w:rsidRPr="00440C76">
        <w:rPr>
          <w:lang w:val="fr-FR"/>
        </w:rPr>
        <w:t> »</w:t>
      </w:r>
      <w:r w:rsidRPr="00440C76">
        <w:rPr>
          <w:rFonts w:eastAsia="Times New Roman"/>
          <w:lang w:val="fr-FR"/>
        </w:rPr>
        <w:t>, puis :</w:t>
      </w:r>
    </w:p>
    <w:p w14:paraId="201BAEA5" w14:textId="77777777" w:rsidR="00BE2CA7" w:rsidRPr="00440C76" w:rsidRDefault="00BE2CA7" w:rsidP="00BE2CA7">
      <w:pPr>
        <w:pStyle w:val="SingleTxtG"/>
        <w:ind w:left="3969" w:hanging="567"/>
        <w:rPr>
          <w:rFonts w:eastAsia="Times New Roman"/>
          <w:lang w:val="fr-FR"/>
        </w:rPr>
      </w:pPr>
      <w:r w:rsidRPr="00440C76">
        <w:rPr>
          <w:rFonts w:eastAsia="Times New Roman"/>
          <w:lang w:val="fr-FR"/>
        </w:rPr>
        <w:t>a)</w:t>
      </w:r>
      <w:r w:rsidRPr="00440C76">
        <w:rPr>
          <w:rFonts w:eastAsia="Times New Roman"/>
          <w:lang w:val="fr-FR"/>
        </w:rPr>
        <w:tab/>
        <w:t>De deux chiffres (le premier étant le zéro, le cas échéant) indiquant la série d</w:t>
      </w:r>
      <w:r>
        <w:rPr>
          <w:rFonts w:eastAsia="Times New Roman"/>
          <w:lang w:val="fr-FR"/>
        </w:rPr>
        <w:t>’</w:t>
      </w:r>
      <w:r w:rsidRPr="00440C76">
        <w:rPr>
          <w:rFonts w:eastAsia="Times New Roman"/>
          <w:lang w:val="fr-FR"/>
        </w:rPr>
        <w:t>amendements par laquelle ont été introduites les dispositions techniques du Règlement ONU applicables dans le cadre de l</w:t>
      </w:r>
      <w:r>
        <w:rPr>
          <w:rFonts w:eastAsia="Times New Roman"/>
          <w:lang w:val="fr-FR"/>
        </w:rPr>
        <w:t>’</w:t>
      </w:r>
      <w:r w:rsidRPr="00440C76">
        <w:rPr>
          <w:rFonts w:eastAsia="Times New Roman"/>
          <w:lang w:val="fr-FR"/>
        </w:rPr>
        <w:t xml:space="preserve">homologation (00 pour le </w:t>
      </w:r>
      <w:r w:rsidRPr="00440C76">
        <w:rPr>
          <w:lang w:val="fr-FR"/>
        </w:rPr>
        <w:t>Règlement</w:t>
      </w:r>
      <w:r w:rsidRPr="00440C76">
        <w:rPr>
          <w:rFonts w:eastAsia="Times New Roman"/>
          <w:lang w:val="fr-FR"/>
        </w:rPr>
        <w:t xml:space="preserve"> dans sa version initiale) ;</w:t>
      </w:r>
    </w:p>
    <w:p w14:paraId="6107A9B6" w14:textId="77777777" w:rsidR="00BE2CA7" w:rsidRPr="00440C76" w:rsidRDefault="00BE2CA7" w:rsidP="00BE2CA7">
      <w:pPr>
        <w:pStyle w:val="SingleTxtG"/>
        <w:ind w:left="3969" w:hanging="567"/>
        <w:rPr>
          <w:rFonts w:eastAsia="Times New Roman"/>
          <w:lang w:val="fr-FR"/>
        </w:rPr>
      </w:pPr>
      <w:r w:rsidRPr="00440C76">
        <w:rPr>
          <w:rFonts w:eastAsia="Times New Roman"/>
          <w:lang w:val="fr-FR"/>
        </w:rPr>
        <w:t>b)</w:t>
      </w:r>
      <w:r w:rsidRPr="00440C76">
        <w:rPr>
          <w:rFonts w:eastAsia="Times New Roman"/>
          <w:lang w:val="fr-FR"/>
        </w:rPr>
        <w:tab/>
        <w:t>D</w:t>
      </w:r>
      <w:r>
        <w:rPr>
          <w:rFonts w:eastAsia="Times New Roman"/>
          <w:lang w:val="fr-FR"/>
        </w:rPr>
        <w:t>’</w:t>
      </w:r>
      <w:r w:rsidRPr="00440C76">
        <w:rPr>
          <w:rFonts w:eastAsia="Times New Roman"/>
          <w:lang w:val="fr-FR"/>
        </w:rPr>
        <w:t xml:space="preserve">une barre oblique (/) et de deux chiffres (le premier étant le zéro, le cas échéant) indiquant le complément à la série </w:t>
      </w:r>
      <w:r w:rsidRPr="00440C76">
        <w:rPr>
          <w:lang w:val="fr-FR"/>
        </w:rPr>
        <w:t>d</w:t>
      </w:r>
      <w:r>
        <w:rPr>
          <w:lang w:val="fr-FR"/>
        </w:rPr>
        <w:t>’</w:t>
      </w:r>
      <w:r w:rsidRPr="00440C76">
        <w:rPr>
          <w:lang w:val="fr-FR"/>
        </w:rPr>
        <w:t>amendements</w:t>
      </w:r>
      <w:r w:rsidRPr="00440C76">
        <w:rPr>
          <w:rFonts w:eastAsia="Times New Roman"/>
          <w:lang w:val="fr-FR"/>
        </w:rPr>
        <w:t xml:space="preserve"> applicable dans le cadre de l</w:t>
      </w:r>
      <w:r>
        <w:rPr>
          <w:rFonts w:eastAsia="Times New Roman"/>
          <w:lang w:val="fr-FR"/>
        </w:rPr>
        <w:t>’</w:t>
      </w:r>
      <w:r w:rsidRPr="00440C76">
        <w:rPr>
          <w:rFonts w:eastAsia="Times New Roman"/>
          <w:lang w:val="fr-FR"/>
        </w:rPr>
        <w:t>homologation (00 pour le Règlement dans sa version initiale) ;</w:t>
      </w:r>
    </w:p>
    <w:p w14:paraId="7E0686AD" w14:textId="77777777" w:rsidR="00BE2CA7" w:rsidRPr="00440C76" w:rsidRDefault="00BE2CA7" w:rsidP="00BE2CA7">
      <w:pPr>
        <w:pStyle w:val="SingleTxtG"/>
        <w:ind w:left="3969" w:hanging="567"/>
        <w:rPr>
          <w:rFonts w:eastAsia="Times New Roman"/>
          <w:lang w:val="fr-FR"/>
        </w:rPr>
      </w:pPr>
      <w:r w:rsidRPr="00440C76">
        <w:rPr>
          <w:rFonts w:eastAsia="Times New Roman"/>
          <w:lang w:val="fr-FR"/>
        </w:rPr>
        <w:t>c)</w:t>
      </w:r>
      <w:r w:rsidRPr="00440C76">
        <w:rPr>
          <w:rFonts w:eastAsia="Times New Roman"/>
          <w:lang w:val="fr-FR"/>
        </w:rPr>
        <w:tab/>
        <w:t>D</w:t>
      </w:r>
      <w:r>
        <w:rPr>
          <w:rFonts w:eastAsia="Times New Roman"/>
          <w:lang w:val="fr-FR"/>
        </w:rPr>
        <w:t>’</w:t>
      </w:r>
      <w:r w:rsidRPr="00440C76">
        <w:rPr>
          <w:rFonts w:eastAsia="Times New Roman"/>
          <w:lang w:val="fr-FR"/>
        </w:rPr>
        <w:t xml:space="preserve">une barre oblique (/) et de deux caractères indiquant la </w:t>
      </w:r>
      <w:r w:rsidRPr="00440C76">
        <w:rPr>
          <w:lang w:val="fr-FR"/>
        </w:rPr>
        <w:t>norme</w:t>
      </w:r>
      <w:r w:rsidRPr="00440C76">
        <w:rPr>
          <w:rFonts w:eastAsia="Times New Roman"/>
          <w:lang w:val="fr-FR"/>
        </w:rPr>
        <w:t xml:space="preserve"> d</w:t>
      </w:r>
      <w:r>
        <w:rPr>
          <w:rFonts w:eastAsia="Times New Roman"/>
          <w:lang w:val="fr-FR"/>
        </w:rPr>
        <w:t>’</w:t>
      </w:r>
      <w:r w:rsidRPr="00440C76">
        <w:rPr>
          <w:rFonts w:eastAsia="Times New Roman"/>
          <w:lang w:val="fr-FR"/>
        </w:rPr>
        <w:t>émission (par exemple EA, EB ou EC) telle que définie dans le tableau</w:t>
      </w:r>
      <w:r>
        <w:rPr>
          <w:rFonts w:eastAsia="Times New Roman"/>
          <w:lang w:val="fr-FR"/>
        </w:rPr>
        <w:t> </w:t>
      </w:r>
      <w:r w:rsidRPr="00440C76">
        <w:rPr>
          <w:rFonts w:eastAsia="Times New Roman"/>
          <w:lang w:val="fr-FR"/>
        </w:rPr>
        <w:t>A3/1 de l</w:t>
      </w:r>
      <w:r>
        <w:rPr>
          <w:rFonts w:eastAsia="Times New Roman"/>
          <w:lang w:val="fr-FR"/>
        </w:rPr>
        <w:t>’</w:t>
      </w:r>
      <w:r w:rsidRPr="00440C76">
        <w:rPr>
          <w:rFonts w:eastAsia="Times New Roman"/>
          <w:lang w:val="fr-FR"/>
        </w:rPr>
        <w:t>annexe</w:t>
      </w:r>
      <w:r>
        <w:rPr>
          <w:rFonts w:eastAsia="Times New Roman"/>
          <w:lang w:val="fr-FR"/>
        </w:rPr>
        <w:t> </w:t>
      </w:r>
      <w:r w:rsidRPr="00440C76">
        <w:rPr>
          <w:rFonts w:eastAsia="Times New Roman"/>
          <w:lang w:val="fr-FR"/>
        </w:rPr>
        <w:t>3.</w:t>
      </w:r>
    </w:p>
    <w:p w14:paraId="5B6999B3" w14:textId="77777777" w:rsidR="00BE2CA7" w:rsidRPr="00440C76" w:rsidRDefault="00BE2CA7" w:rsidP="00BE2CA7">
      <w:pPr>
        <w:pStyle w:val="SingleTxtG"/>
        <w:ind w:left="3402" w:hanging="1134"/>
        <w:rPr>
          <w:rFonts w:eastAsia="Times New Roman"/>
          <w:lang w:val="fr-FR"/>
        </w:rPr>
      </w:pPr>
      <w:r w:rsidRPr="00440C76">
        <w:rPr>
          <w:rFonts w:eastAsia="Times New Roman"/>
          <w:lang w:val="fr-FR"/>
        </w:rPr>
        <w:t>Section</w:t>
      </w:r>
      <w:r>
        <w:rPr>
          <w:rFonts w:eastAsia="Times New Roman"/>
          <w:lang w:val="fr-FR"/>
        </w:rPr>
        <w:t> </w:t>
      </w:r>
      <w:r w:rsidRPr="00440C76">
        <w:rPr>
          <w:rFonts w:eastAsia="Times New Roman"/>
          <w:lang w:val="fr-FR"/>
        </w:rPr>
        <w:t>3 :</w:t>
      </w:r>
      <w:r w:rsidRPr="00440C76">
        <w:rPr>
          <w:rFonts w:eastAsia="Times New Roman"/>
          <w:lang w:val="fr-FR"/>
        </w:rPr>
        <w:tab/>
        <w:t>Un nombre séquentiel de quatre chiffres (commençant par des zéros, le cas échéant).</w:t>
      </w:r>
      <w:r w:rsidRPr="00440C76">
        <w:rPr>
          <w:lang w:val="fr-FR"/>
        </w:rPr>
        <w:t xml:space="preserve"> </w:t>
      </w:r>
      <w:r w:rsidRPr="00440C76">
        <w:rPr>
          <w:rFonts w:eastAsia="Times New Roman"/>
          <w:lang w:val="fr-FR"/>
        </w:rPr>
        <w:t>La séquence commence à 0001.</w:t>
      </w:r>
    </w:p>
    <w:p w14:paraId="7D3A55CB" w14:textId="77777777" w:rsidR="00BE2CA7" w:rsidRPr="00440C76" w:rsidRDefault="00BE2CA7" w:rsidP="00BE2CA7">
      <w:pPr>
        <w:pStyle w:val="SingleTxtG"/>
        <w:ind w:left="3402" w:hanging="1134"/>
        <w:rPr>
          <w:rFonts w:eastAsia="Times New Roman"/>
          <w:lang w:val="fr-FR"/>
        </w:rPr>
      </w:pPr>
      <w:r w:rsidRPr="00440C76">
        <w:rPr>
          <w:rFonts w:eastAsia="Times New Roman"/>
          <w:lang w:val="fr-FR"/>
        </w:rPr>
        <w:t>Section</w:t>
      </w:r>
      <w:r>
        <w:rPr>
          <w:rFonts w:eastAsia="Times New Roman"/>
          <w:lang w:val="fr-FR"/>
        </w:rPr>
        <w:t> </w:t>
      </w:r>
      <w:r w:rsidRPr="00440C76">
        <w:rPr>
          <w:rFonts w:eastAsia="Times New Roman"/>
          <w:lang w:val="fr-FR"/>
        </w:rPr>
        <w:t>4 :</w:t>
      </w:r>
      <w:r w:rsidRPr="00440C76">
        <w:rPr>
          <w:rFonts w:eastAsia="Times New Roman"/>
          <w:lang w:val="fr-FR"/>
        </w:rPr>
        <w:tab/>
        <w:t xml:space="preserve">Un </w:t>
      </w:r>
      <w:r w:rsidRPr="00440C76">
        <w:rPr>
          <w:lang w:val="fr-FR"/>
        </w:rPr>
        <w:t>nombre</w:t>
      </w:r>
      <w:r w:rsidRPr="00440C76">
        <w:rPr>
          <w:rFonts w:eastAsia="Times New Roman"/>
          <w:lang w:val="fr-FR"/>
        </w:rPr>
        <w:t xml:space="preserve"> séquentiel de deux chiffres (commençant par des zéros, le cas échéant) désignant l</w:t>
      </w:r>
      <w:r>
        <w:rPr>
          <w:rFonts w:eastAsia="Times New Roman"/>
          <w:lang w:val="fr-FR"/>
        </w:rPr>
        <w:t>’</w:t>
      </w:r>
      <w:r w:rsidRPr="00440C76">
        <w:rPr>
          <w:rFonts w:eastAsia="Times New Roman"/>
          <w:lang w:val="fr-FR"/>
        </w:rPr>
        <w:t>extension.</w:t>
      </w:r>
      <w:r w:rsidRPr="00440C76">
        <w:rPr>
          <w:lang w:val="fr-FR"/>
        </w:rPr>
        <w:t xml:space="preserve"> </w:t>
      </w:r>
      <w:r w:rsidRPr="00440C76">
        <w:rPr>
          <w:rFonts w:eastAsia="Times New Roman"/>
          <w:lang w:val="fr-FR"/>
        </w:rPr>
        <w:t>La séquence commence à 00.</w:t>
      </w:r>
    </w:p>
    <w:p w14:paraId="41FA50EB" w14:textId="77777777" w:rsidR="00BE2CA7" w:rsidRPr="00440C76" w:rsidRDefault="00BE2CA7" w:rsidP="00BE2CA7">
      <w:pPr>
        <w:pStyle w:val="SingleTxtG"/>
        <w:ind w:left="2268"/>
        <w:rPr>
          <w:rFonts w:eastAsia="Times New Roman"/>
          <w:lang w:val="fr-FR"/>
        </w:rPr>
      </w:pPr>
      <w:r w:rsidRPr="00440C76">
        <w:rPr>
          <w:rFonts w:eastAsia="Times New Roman"/>
          <w:lang w:val="fr-FR"/>
        </w:rPr>
        <w:t xml:space="preserve">Tous les chiffres </w:t>
      </w:r>
      <w:r w:rsidRPr="00440C76">
        <w:rPr>
          <w:lang w:val="fr-FR"/>
        </w:rPr>
        <w:t>doivent</w:t>
      </w:r>
      <w:r w:rsidRPr="00440C76">
        <w:rPr>
          <w:rFonts w:eastAsia="Times New Roman"/>
          <w:lang w:val="fr-FR"/>
        </w:rPr>
        <w:t xml:space="preserve"> être des chiffres arabes.</w:t>
      </w:r>
    </w:p>
    <w:p w14:paraId="3AFF3118"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4.2.2</w:t>
      </w:r>
      <w:r w:rsidRPr="00440C76">
        <w:rPr>
          <w:rFonts w:eastAsia="Times New Roman"/>
          <w:lang w:val="fr-FR"/>
        </w:rPr>
        <w:tab/>
      </w:r>
      <w:r w:rsidRPr="00440C76">
        <w:rPr>
          <w:rFonts w:eastAsia="Times New Roman"/>
          <w:lang w:val="fr-FR"/>
        </w:rPr>
        <w:tab/>
        <w:t xml:space="preserve">Exemple de </w:t>
      </w:r>
      <w:r w:rsidRPr="00440C76">
        <w:rPr>
          <w:lang w:val="fr-FR"/>
        </w:rPr>
        <w:t>numéro</w:t>
      </w:r>
      <w:r w:rsidRPr="00440C76">
        <w:rPr>
          <w:rFonts w:eastAsia="Times New Roman"/>
          <w:lang w:val="fr-FR"/>
        </w:rPr>
        <w:t xml:space="preserve"> d</w:t>
      </w:r>
      <w:r>
        <w:rPr>
          <w:rFonts w:eastAsia="Times New Roman"/>
          <w:lang w:val="fr-FR"/>
        </w:rPr>
        <w:t>’</w:t>
      </w:r>
      <w:r w:rsidRPr="00440C76">
        <w:rPr>
          <w:rFonts w:eastAsia="Times New Roman"/>
          <w:lang w:val="fr-FR"/>
        </w:rPr>
        <w:t>homologation attribué conformément au présent Règlement :</w:t>
      </w:r>
    </w:p>
    <w:p w14:paraId="6B0B4ADF" w14:textId="77777777" w:rsidR="00BE2CA7" w:rsidRPr="00440C76" w:rsidRDefault="00BE2CA7" w:rsidP="00BE2CA7">
      <w:pPr>
        <w:pStyle w:val="SingleTxtG"/>
        <w:ind w:left="2268"/>
        <w:rPr>
          <w:rFonts w:eastAsia="Times New Roman"/>
          <w:lang w:val="fr-FR"/>
        </w:rPr>
      </w:pPr>
      <w:r w:rsidRPr="00440C76">
        <w:rPr>
          <w:rFonts w:eastAsia="Times New Roman"/>
          <w:lang w:val="fr-FR"/>
        </w:rPr>
        <w:t>E11*83R08/01/EA*0123*01</w:t>
      </w:r>
    </w:p>
    <w:p w14:paraId="2B442F18" w14:textId="77777777" w:rsidR="00BE2CA7" w:rsidRPr="00440C76" w:rsidRDefault="00BE2CA7" w:rsidP="00BE2CA7">
      <w:pPr>
        <w:pStyle w:val="SingleTxtG"/>
        <w:ind w:left="2268"/>
        <w:rPr>
          <w:rFonts w:eastAsia="Times New Roman"/>
          <w:lang w:val="fr-FR"/>
        </w:rPr>
      </w:pPr>
      <w:r w:rsidRPr="00440C76">
        <w:rPr>
          <w:rFonts w:eastAsia="Times New Roman"/>
          <w:lang w:val="fr-FR"/>
        </w:rPr>
        <w:t>Il s</w:t>
      </w:r>
      <w:r>
        <w:rPr>
          <w:rFonts w:eastAsia="Times New Roman"/>
          <w:lang w:val="fr-FR"/>
        </w:rPr>
        <w:t>’</w:t>
      </w:r>
      <w:r w:rsidRPr="00440C76">
        <w:rPr>
          <w:rFonts w:eastAsia="Times New Roman"/>
          <w:lang w:val="fr-FR"/>
        </w:rPr>
        <w:t xml:space="preserve">agit de la </w:t>
      </w:r>
      <w:r w:rsidRPr="00440C76">
        <w:rPr>
          <w:lang w:val="fr-FR"/>
        </w:rPr>
        <w:t>première</w:t>
      </w:r>
      <w:r w:rsidRPr="00440C76">
        <w:rPr>
          <w:rFonts w:eastAsia="Times New Roman"/>
          <w:lang w:val="fr-FR"/>
        </w:rPr>
        <w:t xml:space="preserve"> extension de l</w:t>
      </w:r>
      <w:r>
        <w:rPr>
          <w:rFonts w:eastAsia="Times New Roman"/>
          <w:lang w:val="fr-FR"/>
        </w:rPr>
        <w:t>’</w:t>
      </w:r>
      <w:r w:rsidRPr="00440C76">
        <w:rPr>
          <w:rFonts w:eastAsia="Times New Roman"/>
          <w:lang w:val="fr-FR"/>
        </w:rPr>
        <w:t>homologation portant le numéro</w:t>
      </w:r>
      <w:r>
        <w:rPr>
          <w:rFonts w:eastAsia="Times New Roman"/>
          <w:lang w:val="fr-FR"/>
        </w:rPr>
        <w:t> </w:t>
      </w:r>
      <w:r w:rsidRPr="00440C76">
        <w:rPr>
          <w:rFonts w:eastAsia="Times New Roman"/>
          <w:lang w:val="fr-FR"/>
        </w:rPr>
        <w:t>0123, délivrée par le Royaume-Uni conformément au complément</w:t>
      </w:r>
      <w:r>
        <w:rPr>
          <w:rFonts w:eastAsia="Times New Roman"/>
          <w:lang w:val="fr-FR"/>
        </w:rPr>
        <w:t> </w:t>
      </w:r>
      <w:r w:rsidRPr="00440C76">
        <w:rPr>
          <w:rFonts w:eastAsia="Times New Roman"/>
          <w:lang w:val="fr-FR"/>
        </w:rPr>
        <w:t>01 à la série d</w:t>
      </w:r>
      <w:r>
        <w:rPr>
          <w:rFonts w:eastAsia="Times New Roman"/>
          <w:lang w:val="fr-FR"/>
        </w:rPr>
        <w:t>’</w:t>
      </w:r>
      <w:r w:rsidRPr="00440C76">
        <w:rPr>
          <w:rFonts w:eastAsia="Times New Roman"/>
          <w:lang w:val="fr-FR"/>
        </w:rPr>
        <w:t>amendements</w:t>
      </w:r>
      <w:r>
        <w:rPr>
          <w:rFonts w:eastAsia="Times New Roman"/>
          <w:lang w:val="fr-FR"/>
        </w:rPr>
        <w:t> </w:t>
      </w:r>
      <w:r w:rsidRPr="00440C76">
        <w:rPr>
          <w:rFonts w:eastAsia="Times New Roman"/>
          <w:lang w:val="fr-FR"/>
        </w:rPr>
        <w:t>08, laquelle homologation est conforme à la norme d</w:t>
      </w:r>
      <w:r>
        <w:rPr>
          <w:rFonts w:eastAsia="Times New Roman"/>
          <w:lang w:val="fr-FR"/>
        </w:rPr>
        <w:t>’</w:t>
      </w:r>
      <w:r w:rsidRPr="00440C76">
        <w:rPr>
          <w:rFonts w:eastAsia="Times New Roman"/>
          <w:lang w:val="fr-FR"/>
        </w:rPr>
        <w:t xml:space="preserve">émission </w:t>
      </w:r>
      <w:r w:rsidRPr="00440C76">
        <w:rPr>
          <w:lang w:val="fr-FR"/>
        </w:rPr>
        <w:t>« </w:t>
      </w:r>
      <w:r w:rsidRPr="00440C76">
        <w:rPr>
          <w:rFonts w:eastAsia="Times New Roman"/>
          <w:lang w:val="fr-FR"/>
        </w:rPr>
        <w:t>Euro 6e</w:t>
      </w:r>
      <w:r w:rsidRPr="00440C76">
        <w:rPr>
          <w:lang w:val="fr-FR"/>
        </w:rPr>
        <w:t> »</w:t>
      </w:r>
      <w:r w:rsidRPr="00440C76">
        <w:rPr>
          <w:rFonts w:eastAsia="Times New Roman"/>
          <w:lang w:val="fr-FR"/>
        </w:rPr>
        <w:t>.</w:t>
      </w:r>
    </w:p>
    <w:p w14:paraId="71CF7CB7"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4.2.3</w:t>
      </w:r>
      <w:r w:rsidRPr="00440C76">
        <w:rPr>
          <w:rFonts w:eastAsia="Times New Roman"/>
          <w:lang w:val="fr-FR"/>
        </w:rPr>
        <w:tab/>
      </w:r>
      <w:r w:rsidRPr="00440C76">
        <w:rPr>
          <w:rFonts w:eastAsia="Times New Roman"/>
          <w:lang w:val="fr-FR"/>
        </w:rPr>
        <w:tab/>
      </w:r>
      <w:r w:rsidRPr="00440C76">
        <w:rPr>
          <w:lang w:val="fr-FR"/>
        </w:rPr>
        <w:t>Une</w:t>
      </w:r>
      <w:r w:rsidRPr="00440C76">
        <w:rPr>
          <w:rFonts w:eastAsia="Times New Roman"/>
          <w:lang w:val="fr-FR"/>
        </w:rPr>
        <w:t xml:space="preserve"> même Partie contractante ne peut attribuer le même numéro à un autre type de véhicule.</w:t>
      </w:r>
    </w:p>
    <w:p w14:paraId="3FF05FE2"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4.3</w:t>
      </w:r>
      <w:r w:rsidRPr="00440C76">
        <w:rPr>
          <w:rFonts w:eastAsia="Times New Roman"/>
          <w:lang w:val="fr-FR"/>
        </w:rPr>
        <w:tab/>
        <w:t>L</w:t>
      </w:r>
      <w:r>
        <w:rPr>
          <w:rFonts w:eastAsia="Times New Roman"/>
          <w:lang w:val="fr-FR"/>
        </w:rPr>
        <w:t>’</w:t>
      </w:r>
      <w:r w:rsidRPr="00440C76">
        <w:rPr>
          <w:rFonts w:eastAsia="Times New Roman"/>
          <w:lang w:val="fr-FR"/>
        </w:rPr>
        <w:t>homologation, l</w:t>
      </w:r>
      <w:r>
        <w:rPr>
          <w:rFonts w:eastAsia="Times New Roman"/>
          <w:lang w:val="fr-FR"/>
        </w:rPr>
        <w:t>’</w:t>
      </w:r>
      <w:r w:rsidRPr="00440C76">
        <w:rPr>
          <w:rFonts w:eastAsia="Times New Roman"/>
          <w:lang w:val="fr-FR"/>
        </w:rPr>
        <w:t>extension ou le refus d</w:t>
      </w:r>
      <w:r>
        <w:rPr>
          <w:rFonts w:eastAsia="Times New Roman"/>
          <w:lang w:val="fr-FR"/>
        </w:rPr>
        <w:t>’</w:t>
      </w:r>
      <w:r w:rsidRPr="00440C76">
        <w:rPr>
          <w:rFonts w:eastAsia="Times New Roman"/>
          <w:lang w:val="fr-FR"/>
        </w:rPr>
        <w:t>homologation d</w:t>
      </w:r>
      <w:r>
        <w:rPr>
          <w:rFonts w:eastAsia="Times New Roman"/>
          <w:lang w:val="fr-FR"/>
        </w:rPr>
        <w:t>’</w:t>
      </w:r>
      <w:r w:rsidRPr="00440C76">
        <w:rPr>
          <w:rFonts w:eastAsia="Times New Roman"/>
          <w:lang w:val="fr-FR"/>
        </w:rPr>
        <w:t>un type de véhicule en application du présent Règlement doit être notifié aux Parties à l</w:t>
      </w:r>
      <w:r>
        <w:rPr>
          <w:rFonts w:eastAsia="Times New Roman"/>
          <w:lang w:val="fr-FR"/>
        </w:rPr>
        <w:t>’</w:t>
      </w:r>
      <w:r w:rsidRPr="00440C76">
        <w:rPr>
          <w:rFonts w:eastAsia="Times New Roman"/>
          <w:lang w:val="fr-FR"/>
        </w:rPr>
        <w:t>Accord qui appliquent le présent Règlement, au moyen d</w:t>
      </w:r>
      <w:r>
        <w:rPr>
          <w:rFonts w:eastAsia="Times New Roman"/>
          <w:lang w:val="fr-FR"/>
        </w:rPr>
        <w:t>’</w:t>
      </w:r>
      <w:r w:rsidRPr="00440C76">
        <w:rPr>
          <w:rFonts w:eastAsia="Times New Roman"/>
          <w:lang w:val="fr-FR"/>
        </w:rPr>
        <w:t>une fiche conforme au modèle de l</w:t>
      </w:r>
      <w:r>
        <w:rPr>
          <w:rFonts w:eastAsia="Times New Roman"/>
          <w:lang w:val="fr-FR"/>
        </w:rPr>
        <w:t>’</w:t>
      </w:r>
      <w:r w:rsidRPr="00440C76">
        <w:rPr>
          <w:rFonts w:eastAsia="Times New Roman"/>
          <w:lang w:val="fr-FR"/>
        </w:rPr>
        <w:t>annexe</w:t>
      </w:r>
      <w:r>
        <w:rPr>
          <w:rFonts w:eastAsia="Times New Roman"/>
          <w:lang w:val="fr-FR"/>
        </w:rPr>
        <w:t> </w:t>
      </w:r>
      <w:r w:rsidRPr="00440C76">
        <w:rPr>
          <w:rFonts w:eastAsia="Times New Roman"/>
          <w:lang w:val="fr-FR"/>
        </w:rPr>
        <w:t>2 du présent Règlement.</w:t>
      </w:r>
    </w:p>
    <w:p w14:paraId="039B2E0F"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4.3.1</w:t>
      </w:r>
      <w:r w:rsidRPr="00440C76">
        <w:rPr>
          <w:rFonts w:eastAsia="Times New Roman"/>
          <w:lang w:val="fr-FR"/>
        </w:rPr>
        <w:tab/>
      </w:r>
      <w:r w:rsidRPr="00440C76">
        <w:rPr>
          <w:rFonts w:eastAsia="Times New Roman"/>
          <w:spacing w:val="-2"/>
          <w:lang w:val="fr-FR"/>
        </w:rPr>
        <w:t>En cas de modification du présent Règlement, par exemple si de nouvelles valeurs limites sont fixées, il faut faire savoir aux Parties à l</w:t>
      </w:r>
      <w:r>
        <w:rPr>
          <w:rFonts w:eastAsia="Times New Roman"/>
          <w:spacing w:val="-2"/>
          <w:lang w:val="fr-FR"/>
        </w:rPr>
        <w:t>’</w:t>
      </w:r>
      <w:r w:rsidRPr="00440C76">
        <w:rPr>
          <w:rFonts w:eastAsia="Times New Roman"/>
          <w:spacing w:val="-2"/>
          <w:lang w:val="fr-FR"/>
        </w:rPr>
        <w:t xml:space="preserve">Accord quels types de véhicules déjà homologués </w:t>
      </w:r>
      <w:r w:rsidRPr="00440C76">
        <w:rPr>
          <w:rFonts w:eastAsia="Times New Roman"/>
          <w:lang w:val="fr-FR"/>
        </w:rPr>
        <w:t>satisfont</w:t>
      </w:r>
      <w:r w:rsidRPr="00440C76">
        <w:rPr>
          <w:rFonts w:eastAsia="Times New Roman"/>
          <w:spacing w:val="-2"/>
          <w:lang w:val="fr-FR"/>
        </w:rPr>
        <w:t xml:space="preserve"> aussi aux nouvelles dispositions</w:t>
      </w:r>
      <w:r w:rsidRPr="00440C76">
        <w:rPr>
          <w:rFonts w:eastAsia="Times New Roman"/>
          <w:lang w:val="fr-FR"/>
        </w:rPr>
        <w:t>.</w:t>
      </w:r>
    </w:p>
    <w:p w14:paraId="73429777"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4.4</w:t>
      </w:r>
      <w:r w:rsidRPr="00440C76">
        <w:rPr>
          <w:rFonts w:eastAsia="Times New Roman"/>
          <w:lang w:val="fr-FR"/>
        </w:rPr>
        <w:tab/>
        <w:t xml:space="preserve">Sur tout véhicule conforme à un type de véhicule homologué en application du présent Règlement doit être apposée de manière bien visible, en un endroit </w:t>
      </w:r>
      <w:r w:rsidRPr="00440C76">
        <w:rPr>
          <w:lang w:val="fr-FR"/>
        </w:rPr>
        <w:t>facilement</w:t>
      </w:r>
      <w:r w:rsidRPr="00440C76">
        <w:rPr>
          <w:rFonts w:eastAsia="Times New Roman"/>
          <w:lang w:val="fr-FR"/>
        </w:rPr>
        <w:t xml:space="preserve"> accessible et indiqué sur la fiche d</w:t>
      </w:r>
      <w:r>
        <w:rPr>
          <w:rFonts w:eastAsia="Times New Roman"/>
          <w:lang w:val="fr-FR"/>
        </w:rPr>
        <w:t>’</w:t>
      </w:r>
      <w:r w:rsidRPr="00440C76">
        <w:rPr>
          <w:rFonts w:eastAsia="Times New Roman"/>
          <w:lang w:val="fr-FR"/>
        </w:rPr>
        <w:t>homologation, une marque d</w:t>
      </w:r>
      <w:r>
        <w:rPr>
          <w:rFonts w:eastAsia="Times New Roman"/>
          <w:lang w:val="fr-FR"/>
        </w:rPr>
        <w:t>’</w:t>
      </w:r>
      <w:r w:rsidRPr="00440C76">
        <w:rPr>
          <w:rFonts w:eastAsia="Times New Roman"/>
          <w:lang w:val="fr-FR"/>
        </w:rPr>
        <w:t>homologation internationale composée :</w:t>
      </w:r>
    </w:p>
    <w:p w14:paraId="5CB99BE7"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4.4.1</w:t>
      </w:r>
      <w:r w:rsidRPr="00440C76">
        <w:rPr>
          <w:rFonts w:eastAsia="Times New Roman"/>
          <w:lang w:val="fr-FR"/>
        </w:rPr>
        <w:tab/>
      </w:r>
      <w:r w:rsidRPr="00440C76">
        <w:rPr>
          <w:lang w:val="fr-FR"/>
        </w:rPr>
        <w:t>D</w:t>
      </w:r>
      <w:r>
        <w:rPr>
          <w:lang w:val="fr-FR"/>
        </w:rPr>
        <w:t>’</w:t>
      </w:r>
      <w:r w:rsidRPr="00440C76">
        <w:rPr>
          <w:lang w:val="fr-FR"/>
        </w:rPr>
        <w:t>un</w:t>
      </w:r>
      <w:r w:rsidRPr="00440C76">
        <w:rPr>
          <w:rFonts w:eastAsia="Times New Roman"/>
          <w:lang w:val="fr-FR"/>
        </w:rPr>
        <w:t xml:space="preserve"> cercle à l</w:t>
      </w:r>
      <w:r>
        <w:rPr>
          <w:rFonts w:eastAsia="Times New Roman"/>
          <w:lang w:val="fr-FR"/>
        </w:rPr>
        <w:t>’</w:t>
      </w:r>
      <w:r w:rsidRPr="00440C76">
        <w:rPr>
          <w:rFonts w:eastAsia="Times New Roman"/>
          <w:lang w:val="fr-FR"/>
        </w:rPr>
        <w:t xml:space="preserve">intérieur duquel figure la lettre </w:t>
      </w:r>
      <w:r w:rsidRPr="00440C76">
        <w:rPr>
          <w:lang w:val="fr-FR"/>
        </w:rPr>
        <w:t>« </w:t>
      </w:r>
      <w:r w:rsidRPr="00440C76">
        <w:rPr>
          <w:rFonts w:eastAsia="Times New Roman"/>
          <w:lang w:val="fr-FR"/>
        </w:rPr>
        <w:t>E</w:t>
      </w:r>
      <w:r w:rsidRPr="00440C76">
        <w:rPr>
          <w:lang w:val="fr-FR"/>
        </w:rPr>
        <w:t> »</w:t>
      </w:r>
      <w:r w:rsidRPr="00440C76">
        <w:rPr>
          <w:rFonts w:eastAsia="Times New Roman"/>
          <w:lang w:val="fr-FR"/>
        </w:rPr>
        <w:t xml:space="preserve"> suivie du numéro distinctif du pays qui a accordé l</w:t>
      </w:r>
      <w:r>
        <w:rPr>
          <w:rFonts w:eastAsia="Times New Roman"/>
          <w:lang w:val="fr-FR"/>
        </w:rPr>
        <w:t>’</w:t>
      </w:r>
      <w:r w:rsidRPr="00440C76">
        <w:rPr>
          <w:rFonts w:eastAsia="Times New Roman"/>
          <w:lang w:val="fr-FR"/>
        </w:rPr>
        <w:t>homologation ;</w:t>
      </w:r>
    </w:p>
    <w:p w14:paraId="579EC781"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4.4.2</w:t>
      </w:r>
      <w:r w:rsidRPr="00440C76">
        <w:rPr>
          <w:rFonts w:eastAsia="Times New Roman"/>
          <w:lang w:val="fr-FR"/>
        </w:rPr>
        <w:tab/>
      </w:r>
      <w:r w:rsidRPr="00440C76">
        <w:rPr>
          <w:lang w:val="fr-FR"/>
        </w:rPr>
        <w:t>Du</w:t>
      </w:r>
      <w:r w:rsidRPr="00440C76">
        <w:rPr>
          <w:rFonts w:eastAsia="Times New Roman"/>
          <w:lang w:val="fr-FR"/>
        </w:rPr>
        <w:t xml:space="preserve"> numéro du présent Règlement, suivi de la lettre </w:t>
      </w:r>
      <w:r w:rsidRPr="00440C76">
        <w:rPr>
          <w:lang w:val="fr-FR"/>
        </w:rPr>
        <w:t>« </w:t>
      </w:r>
      <w:r w:rsidRPr="00440C76">
        <w:rPr>
          <w:rFonts w:eastAsia="Times New Roman"/>
          <w:lang w:val="fr-FR"/>
        </w:rPr>
        <w:t>R</w:t>
      </w:r>
      <w:r w:rsidRPr="00440C76">
        <w:rPr>
          <w:lang w:val="fr-FR"/>
        </w:rPr>
        <w:t> »</w:t>
      </w:r>
      <w:r w:rsidRPr="00440C76">
        <w:rPr>
          <w:rFonts w:eastAsia="Times New Roman"/>
          <w:lang w:val="fr-FR"/>
        </w:rPr>
        <w:t>, d</w:t>
      </w:r>
      <w:r>
        <w:rPr>
          <w:rFonts w:eastAsia="Times New Roman"/>
          <w:lang w:val="fr-FR"/>
        </w:rPr>
        <w:t>’</w:t>
      </w:r>
      <w:r w:rsidRPr="00440C76">
        <w:rPr>
          <w:rFonts w:eastAsia="Times New Roman"/>
          <w:lang w:val="fr-FR"/>
        </w:rPr>
        <w:t>un tiret et du numéro d</w:t>
      </w:r>
      <w:r>
        <w:rPr>
          <w:rFonts w:eastAsia="Times New Roman"/>
          <w:lang w:val="fr-FR"/>
        </w:rPr>
        <w:t>’</w:t>
      </w:r>
      <w:r w:rsidRPr="00440C76">
        <w:rPr>
          <w:rFonts w:eastAsia="Times New Roman"/>
          <w:lang w:val="fr-FR"/>
        </w:rPr>
        <w:t>homologation, placé à la droite du cercle prévu au paragraphe</w:t>
      </w:r>
      <w:r>
        <w:rPr>
          <w:rFonts w:eastAsia="Times New Roman"/>
          <w:lang w:val="fr-FR"/>
        </w:rPr>
        <w:t> </w:t>
      </w:r>
      <w:r w:rsidRPr="00440C76">
        <w:rPr>
          <w:rFonts w:eastAsia="Times New Roman"/>
          <w:lang w:val="fr-FR"/>
        </w:rPr>
        <w:t>4.4.1 ;</w:t>
      </w:r>
    </w:p>
    <w:p w14:paraId="015890DC"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lastRenderedPageBreak/>
        <w:t>4.4.3</w:t>
      </w:r>
      <w:r w:rsidRPr="00440C76">
        <w:rPr>
          <w:rFonts w:eastAsia="Times New Roman"/>
          <w:lang w:val="fr-FR"/>
        </w:rPr>
        <w:tab/>
      </w:r>
      <w:r w:rsidRPr="00440C76">
        <w:rPr>
          <w:lang w:val="fr-FR"/>
        </w:rPr>
        <w:t>La</w:t>
      </w:r>
      <w:r w:rsidRPr="00440C76">
        <w:rPr>
          <w:rFonts w:eastAsia="Times New Roman"/>
          <w:lang w:val="fr-FR"/>
        </w:rPr>
        <w:t xml:space="preserve"> marque d</w:t>
      </w:r>
      <w:r>
        <w:rPr>
          <w:rFonts w:eastAsia="Times New Roman"/>
          <w:lang w:val="fr-FR"/>
        </w:rPr>
        <w:t>’</w:t>
      </w:r>
      <w:r w:rsidRPr="00440C76">
        <w:rPr>
          <w:rFonts w:eastAsia="Times New Roman"/>
          <w:lang w:val="fr-FR"/>
        </w:rPr>
        <w:t>homologation doit contenir un caractère additionnel après le numéro d</w:t>
      </w:r>
      <w:r>
        <w:rPr>
          <w:rFonts w:eastAsia="Times New Roman"/>
          <w:lang w:val="fr-FR"/>
        </w:rPr>
        <w:t>’</w:t>
      </w:r>
      <w:r w:rsidRPr="00440C76">
        <w:rPr>
          <w:rFonts w:eastAsia="Times New Roman"/>
          <w:lang w:val="fr-FR"/>
        </w:rPr>
        <w:t>homologation de type, afin de préciser la norme d</w:t>
      </w:r>
      <w:r>
        <w:rPr>
          <w:rFonts w:eastAsia="Times New Roman"/>
          <w:lang w:val="fr-FR"/>
        </w:rPr>
        <w:t>’</w:t>
      </w:r>
      <w:r w:rsidRPr="00440C76">
        <w:rPr>
          <w:rFonts w:eastAsia="Times New Roman"/>
          <w:lang w:val="fr-FR"/>
        </w:rPr>
        <w:t>émission en vertu de laquelle l</w:t>
      </w:r>
      <w:r>
        <w:rPr>
          <w:rFonts w:eastAsia="Times New Roman"/>
          <w:lang w:val="fr-FR"/>
        </w:rPr>
        <w:t>’</w:t>
      </w:r>
      <w:r w:rsidRPr="00440C76">
        <w:rPr>
          <w:rFonts w:eastAsia="Times New Roman"/>
          <w:lang w:val="fr-FR"/>
        </w:rPr>
        <w:t>homologation a été accordée. Cette lettre doit être choisie conformément aux instructions figurant dans le tableau</w:t>
      </w:r>
      <w:r>
        <w:rPr>
          <w:rFonts w:eastAsia="Times New Roman"/>
          <w:lang w:val="fr-FR"/>
        </w:rPr>
        <w:t> </w:t>
      </w:r>
      <w:r w:rsidRPr="00440C76">
        <w:rPr>
          <w:rFonts w:eastAsia="Times New Roman"/>
          <w:lang w:val="fr-FR"/>
        </w:rPr>
        <w:t>A3/1 de l</w:t>
      </w:r>
      <w:r>
        <w:rPr>
          <w:rFonts w:eastAsia="Times New Roman"/>
          <w:lang w:val="fr-FR"/>
        </w:rPr>
        <w:t>’</w:t>
      </w:r>
      <w:r w:rsidRPr="00440C76">
        <w:rPr>
          <w:rFonts w:eastAsia="Times New Roman"/>
          <w:lang w:val="fr-FR"/>
        </w:rPr>
        <w:t>annexe</w:t>
      </w:r>
      <w:r>
        <w:rPr>
          <w:rFonts w:eastAsia="Times New Roman"/>
          <w:lang w:val="fr-FR"/>
        </w:rPr>
        <w:t> </w:t>
      </w:r>
      <w:r w:rsidRPr="00440C76">
        <w:rPr>
          <w:rFonts w:eastAsia="Times New Roman"/>
          <w:lang w:val="fr-FR"/>
        </w:rPr>
        <w:t xml:space="preserve">3 du </w:t>
      </w:r>
      <w:r w:rsidRPr="00440C76">
        <w:rPr>
          <w:lang w:val="fr-FR"/>
        </w:rPr>
        <w:t>présent</w:t>
      </w:r>
      <w:r w:rsidRPr="00440C76">
        <w:rPr>
          <w:rFonts w:eastAsia="Times New Roman"/>
          <w:lang w:val="fr-FR"/>
        </w:rPr>
        <w:t xml:space="preserve"> Règlement.</w:t>
      </w:r>
    </w:p>
    <w:p w14:paraId="3DB9F81A"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4.5</w:t>
      </w:r>
      <w:r w:rsidRPr="00440C76">
        <w:rPr>
          <w:rFonts w:eastAsia="Times New Roman"/>
          <w:lang w:val="fr-FR"/>
        </w:rPr>
        <w:tab/>
        <w:t>Si le véhicule est conforme à un type de véhicule homologué en application d</w:t>
      </w:r>
      <w:r>
        <w:rPr>
          <w:rFonts w:eastAsia="Times New Roman"/>
          <w:lang w:val="fr-FR"/>
        </w:rPr>
        <w:t>’</w:t>
      </w:r>
      <w:r w:rsidRPr="00440C76">
        <w:rPr>
          <w:rFonts w:eastAsia="Times New Roman"/>
          <w:lang w:val="fr-FR"/>
        </w:rPr>
        <w:t>un ou plusieurs autres règlements joints en annexe à l</w:t>
      </w:r>
      <w:r>
        <w:rPr>
          <w:rFonts w:eastAsia="Times New Roman"/>
          <w:lang w:val="fr-FR"/>
        </w:rPr>
        <w:t>’</w:t>
      </w:r>
      <w:r w:rsidRPr="00440C76">
        <w:rPr>
          <w:rFonts w:eastAsia="Times New Roman"/>
          <w:lang w:val="fr-FR"/>
        </w:rPr>
        <w:t>Accord dans le pays qui a accordé l</w:t>
      </w:r>
      <w:r>
        <w:rPr>
          <w:rFonts w:eastAsia="Times New Roman"/>
          <w:lang w:val="fr-FR"/>
        </w:rPr>
        <w:t>’</w:t>
      </w:r>
      <w:r w:rsidRPr="00440C76">
        <w:rPr>
          <w:rFonts w:eastAsia="Times New Roman"/>
          <w:lang w:val="fr-FR"/>
        </w:rPr>
        <w:t>homologation en application du présent Règlement, il n</w:t>
      </w:r>
      <w:r>
        <w:rPr>
          <w:rFonts w:eastAsia="Times New Roman"/>
          <w:lang w:val="fr-FR"/>
        </w:rPr>
        <w:t>’</w:t>
      </w:r>
      <w:r w:rsidRPr="00440C76">
        <w:rPr>
          <w:rFonts w:eastAsia="Times New Roman"/>
          <w:lang w:val="fr-FR"/>
        </w:rPr>
        <w:t>est pas nécessaire de répéter le symbole prescrit au paragraphe</w:t>
      </w:r>
      <w:r>
        <w:rPr>
          <w:rFonts w:eastAsia="Times New Roman"/>
          <w:lang w:val="fr-FR"/>
        </w:rPr>
        <w:t> </w:t>
      </w:r>
      <w:r w:rsidRPr="00440C76">
        <w:rPr>
          <w:rFonts w:eastAsia="Times New Roman"/>
          <w:lang w:val="fr-FR"/>
        </w:rPr>
        <w:t>4.4.1 ; en pareil cas, les numéros de règlements et d</w:t>
      </w:r>
      <w:r>
        <w:rPr>
          <w:rFonts w:eastAsia="Times New Roman"/>
          <w:lang w:val="fr-FR"/>
        </w:rPr>
        <w:t>’</w:t>
      </w:r>
      <w:r w:rsidRPr="00440C76">
        <w:rPr>
          <w:rFonts w:eastAsia="Times New Roman"/>
          <w:lang w:val="fr-FR"/>
        </w:rPr>
        <w:t>homologation ainsi que les symboles additionnels pour tous les Règlements ONU en application desquels l</w:t>
      </w:r>
      <w:r>
        <w:rPr>
          <w:rFonts w:eastAsia="Times New Roman"/>
          <w:lang w:val="fr-FR"/>
        </w:rPr>
        <w:t>’</w:t>
      </w:r>
      <w:r w:rsidRPr="00440C76">
        <w:rPr>
          <w:rFonts w:eastAsia="Times New Roman"/>
          <w:lang w:val="fr-FR"/>
        </w:rPr>
        <w:t>homologation en application du présent Règlement doivent être inscrits l</w:t>
      </w:r>
      <w:r>
        <w:rPr>
          <w:rFonts w:eastAsia="Times New Roman"/>
          <w:lang w:val="fr-FR"/>
        </w:rPr>
        <w:t>’</w:t>
      </w:r>
      <w:r w:rsidRPr="00440C76">
        <w:rPr>
          <w:rFonts w:eastAsia="Times New Roman"/>
          <w:lang w:val="fr-FR"/>
        </w:rPr>
        <w:t>un au-dessous de l</w:t>
      </w:r>
      <w:r>
        <w:rPr>
          <w:rFonts w:eastAsia="Times New Roman"/>
          <w:lang w:val="fr-FR"/>
        </w:rPr>
        <w:t>’</w:t>
      </w:r>
      <w:r w:rsidRPr="00440C76">
        <w:rPr>
          <w:rFonts w:eastAsia="Times New Roman"/>
          <w:lang w:val="fr-FR"/>
        </w:rPr>
        <w:t>autre à droite du symbole prescrit au paragraphe</w:t>
      </w:r>
      <w:r>
        <w:rPr>
          <w:rFonts w:eastAsia="Times New Roman"/>
          <w:lang w:val="fr-FR"/>
        </w:rPr>
        <w:t> </w:t>
      </w:r>
      <w:r w:rsidRPr="00440C76">
        <w:rPr>
          <w:rFonts w:eastAsia="Times New Roman"/>
          <w:lang w:val="fr-FR"/>
        </w:rPr>
        <w:t>4.4.1 du présent Règlement.</w:t>
      </w:r>
    </w:p>
    <w:p w14:paraId="226FCF6C"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4.6</w:t>
      </w:r>
      <w:r w:rsidRPr="00440C76">
        <w:rPr>
          <w:rFonts w:eastAsia="Times New Roman"/>
          <w:lang w:val="fr-FR"/>
        </w:rPr>
        <w:tab/>
        <w:t>La marque d</w:t>
      </w:r>
      <w:r>
        <w:rPr>
          <w:rFonts w:eastAsia="Times New Roman"/>
          <w:lang w:val="fr-FR"/>
        </w:rPr>
        <w:t>’</w:t>
      </w:r>
      <w:r w:rsidRPr="00440C76">
        <w:rPr>
          <w:rFonts w:eastAsia="Times New Roman"/>
          <w:lang w:val="fr-FR"/>
        </w:rPr>
        <w:t>homologation doit être nettement lisible et indélébile.</w:t>
      </w:r>
    </w:p>
    <w:p w14:paraId="3675163C"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4.7</w:t>
      </w:r>
      <w:r w:rsidRPr="00440C76">
        <w:rPr>
          <w:rFonts w:eastAsia="Times New Roman"/>
          <w:lang w:val="fr-FR"/>
        </w:rPr>
        <w:tab/>
        <w:t>La marque d</w:t>
      </w:r>
      <w:r>
        <w:rPr>
          <w:rFonts w:eastAsia="Times New Roman"/>
          <w:lang w:val="fr-FR"/>
        </w:rPr>
        <w:t>’</w:t>
      </w:r>
      <w:r w:rsidRPr="00440C76">
        <w:rPr>
          <w:rFonts w:eastAsia="Times New Roman"/>
          <w:lang w:val="fr-FR"/>
        </w:rPr>
        <w:t>homologation doit être placée sur la plaque signalétique du véhicule apposée par le constructeur ou à proximité.</w:t>
      </w:r>
    </w:p>
    <w:p w14:paraId="44E2D7E2"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4.7.1</w:t>
      </w:r>
      <w:r w:rsidRPr="00440C76">
        <w:rPr>
          <w:rFonts w:eastAsia="Times New Roman"/>
          <w:lang w:val="fr-FR"/>
        </w:rPr>
        <w:tab/>
      </w:r>
      <w:r w:rsidRPr="00440C76">
        <w:rPr>
          <w:lang w:val="fr-FR"/>
        </w:rPr>
        <w:t>L</w:t>
      </w:r>
      <w:r>
        <w:rPr>
          <w:lang w:val="fr-FR"/>
        </w:rPr>
        <w:t>’</w:t>
      </w:r>
      <w:r w:rsidRPr="00440C76">
        <w:rPr>
          <w:lang w:val="fr-FR"/>
        </w:rPr>
        <w:t>annexe</w:t>
      </w:r>
      <w:r>
        <w:rPr>
          <w:rFonts w:eastAsia="Times New Roman"/>
          <w:lang w:val="fr-FR"/>
        </w:rPr>
        <w:t> </w:t>
      </w:r>
      <w:r w:rsidRPr="00440C76">
        <w:rPr>
          <w:rFonts w:eastAsia="Times New Roman"/>
          <w:lang w:val="fr-FR"/>
        </w:rPr>
        <w:t xml:space="preserve">3 </w:t>
      </w:r>
      <w:r>
        <w:rPr>
          <w:rFonts w:eastAsia="Times New Roman"/>
          <w:lang w:val="fr-FR"/>
        </w:rPr>
        <w:t>d</w:t>
      </w:r>
      <w:r w:rsidRPr="00440C76">
        <w:rPr>
          <w:rFonts w:eastAsia="Times New Roman"/>
          <w:lang w:val="fr-FR"/>
        </w:rPr>
        <w:t>u présent Règlement donne des exemples de marques d</w:t>
      </w:r>
      <w:r>
        <w:rPr>
          <w:rFonts w:eastAsia="Times New Roman"/>
          <w:lang w:val="fr-FR"/>
        </w:rPr>
        <w:t>’</w:t>
      </w:r>
      <w:r w:rsidRPr="00440C76">
        <w:rPr>
          <w:rFonts w:eastAsia="Times New Roman"/>
          <w:lang w:val="fr-FR"/>
        </w:rPr>
        <w:t>homologation.</w:t>
      </w:r>
    </w:p>
    <w:p w14:paraId="4D80DC02" w14:textId="77777777" w:rsidR="00BE2CA7" w:rsidRPr="00440C76" w:rsidRDefault="00BE2CA7" w:rsidP="00BE2CA7">
      <w:pPr>
        <w:pStyle w:val="HChG"/>
        <w:ind w:left="2268"/>
        <w:rPr>
          <w:rFonts w:eastAsia="Times New Roman"/>
          <w:b w:val="0"/>
          <w:lang w:val="fr-FR"/>
        </w:rPr>
      </w:pPr>
      <w:r w:rsidRPr="00440C76">
        <w:rPr>
          <w:lang w:val="fr-FR"/>
        </w:rPr>
        <w:t>5.</w:t>
      </w:r>
      <w:r w:rsidRPr="00440C76">
        <w:rPr>
          <w:lang w:val="fr-FR"/>
        </w:rPr>
        <w:tab/>
        <w:t>Spécifications techniques et essais</w:t>
      </w:r>
    </w:p>
    <w:p w14:paraId="63850993"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5.1</w:t>
      </w:r>
      <w:r w:rsidRPr="00440C76">
        <w:rPr>
          <w:rFonts w:eastAsia="Times New Roman"/>
          <w:lang w:val="fr-FR"/>
        </w:rPr>
        <w:tab/>
      </w:r>
      <w:r w:rsidRPr="00440C76">
        <w:rPr>
          <w:lang w:val="fr-FR"/>
        </w:rPr>
        <w:t>Généralités</w:t>
      </w:r>
    </w:p>
    <w:p w14:paraId="01CD25DF"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5.1.1</w:t>
      </w:r>
      <w:r w:rsidRPr="00440C76">
        <w:rPr>
          <w:rFonts w:eastAsia="Times New Roman"/>
          <w:lang w:val="fr-FR"/>
        </w:rPr>
        <w:tab/>
        <w:t xml:space="preserve">Les constructeurs doivent démontrer que tous les nouveaux véhicules sont </w:t>
      </w:r>
      <w:r w:rsidRPr="00440C76">
        <w:rPr>
          <w:lang w:val="fr-FR"/>
        </w:rPr>
        <w:t>homologués</w:t>
      </w:r>
      <w:r w:rsidRPr="00440C76">
        <w:rPr>
          <w:rFonts w:eastAsia="Times New Roman"/>
          <w:lang w:val="fr-FR"/>
        </w:rPr>
        <w:t xml:space="preserve"> conformément au présent Règlement. Les limites d</w:t>
      </w:r>
      <w:r>
        <w:rPr>
          <w:rFonts w:eastAsia="Times New Roman"/>
          <w:lang w:val="fr-FR"/>
        </w:rPr>
        <w:t>’</w:t>
      </w:r>
      <w:r w:rsidRPr="00440C76">
        <w:rPr>
          <w:rFonts w:eastAsia="Times New Roman"/>
          <w:lang w:val="fr-FR"/>
        </w:rPr>
        <w:t>émission fixées dans ledit Règlement doivent notamment être respectées.</w:t>
      </w:r>
    </w:p>
    <w:p w14:paraId="36328AD8" w14:textId="77777777" w:rsidR="00BE2CA7" w:rsidRPr="00440C76" w:rsidRDefault="00BE2CA7" w:rsidP="00BE2CA7">
      <w:pPr>
        <w:pStyle w:val="SingleTxtG"/>
        <w:ind w:left="2268"/>
        <w:rPr>
          <w:rFonts w:eastAsia="Times New Roman"/>
          <w:spacing w:val="-2"/>
          <w:lang w:val="fr-FR"/>
        </w:rPr>
      </w:pPr>
      <w:r w:rsidRPr="00440C76">
        <w:rPr>
          <w:rFonts w:eastAsia="Times New Roman"/>
          <w:spacing w:val="-2"/>
          <w:lang w:val="fr-FR"/>
        </w:rPr>
        <w:t>Les constructeurs doivent veiller au respect des procédures d</w:t>
      </w:r>
      <w:r>
        <w:rPr>
          <w:rFonts w:eastAsia="Times New Roman"/>
          <w:spacing w:val="-2"/>
          <w:lang w:val="fr-FR"/>
        </w:rPr>
        <w:t>’</w:t>
      </w:r>
      <w:r w:rsidRPr="00440C76">
        <w:rPr>
          <w:rFonts w:eastAsia="Times New Roman"/>
          <w:spacing w:val="-2"/>
          <w:lang w:val="fr-FR"/>
        </w:rPr>
        <w:t>homologation permettant de vérifier la conformité de la production et la conformité en service.</w:t>
      </w:r>
    </w:p>
    <w:p w14:paraId="4C05481A" w14:textId="77777777" w:rsidR="00BE2CA7" w:rsidRPr="00440C76" w:rsidRDefault="00BE2CA7" w:rsidP="00BE2CA7">
      <w:pPr>
        <w:pStyle w:val="SingleTxtG"/>
        <w:ind w:left="2268"/>
        <w:rPr>
          <w:rFonts w:eastAsia="Times New Roman"/>
          <w:lang w:val="fr-FR"/>
        </w:rPr>
      </w:pPr>
      <w:r w:rsidRPr="00440C76">
        <w:rPr>
          <w:rFonts w:eastAsia="Times New Roman"/>
          <w:lang w:val="fr-FR"/>
        </w:rPr>
        <w:t>En outre, les moyens techniques mis en œuvre par le constructeur doivent être tels que, conformément aux dispositions du présent Règlement, les véhicules présenteront, pendant toute leur durée de service normale et dans des conditions normales d</w:t>
      </w:r>
      <w:r>
        <w:rPr>
          <w:rFonts w:eastAsia="Times New Roman"/>
          <w:lang w:val="fr-FR"/>
        </w:rPr>
        <w:t>’</w:t>
      </w:r>
      <w:r w:rsidRPr="00440C76">
        <w:rPr>
          <w:rFonts w:eastAsia="Times New Roman"/>
          <w:lang w:val="fr-FR"/>
        </w:rPr>
        <w:t>utilisation, un taux d</w:t>
      </w:r>
      <w:r>
        <w:rPr>
          <w:rFonts w:eastAsia="Times New Roman"/>
          <w:lang w:val="fr-FR"/>
        </w:rPr>
        <w:t>’</w:t>
      </w:r>
      <w:r w:rsidRPr="00440C76">
        <w:rPr>
          <w:rFonts w:eastAsia="Times New Roman"/>
          <w:lang w:val="fr-FR"/>
        </w:rPr>
        <w:t>émissions d</w:t>
      </w:r>
      <w:r>
        <w:rPr>
          <w:rFonts w:eastAsia="Times New Roman"/>
          <w:lang w:val="fr-FR"/>
        </w:rPr>
        <w:t>’</w:t>
      </w:r>
      <w:r w:rsidRPr="00440C76">
        <w:rPr>
          <w:rFonts w:eastAsia="Times New Roman"/>
          <w:lang w:val="fr-FR"/>
        </w:rPr>
        <w:t>échappement et d</w:t>
      </w:r>
      <w:r>
        <w:rPr>
          <w:rFonts w:eastAsia="Times New Roman"/>
          <w:lang w:val="fr-FR"/>
        </w:rPr>
        <w:t>’</w:t>
      </w:r>
      <w:r w:rsidRPr="00440C76">
        <w:rPr>
          <w:rFonts w:eastAsia="Times New Roman"/>
          <w:lang w:val="fr-FR"/>
        </w:rPr>
        <w:t xml:space="preserve">émissions par évaporation effectivement limité. Les mesures relatives à la </w:t>
      </w:r>
      <w:r w:rsidRPr="00440C76">
        <w:rPr>
          <w:lang w:val="fr-FR"/>
        </w:rPr>
        <w:t>conformité</w:t>
      </w:r>
      <w:r w:rsidRPr="00440C76">
        <w:rPr>
          <w:rFonts w:eastAsia="Times New Roman"/>
          <w:lang w:val="fr-FR"/>
        </w:rPr>
        <w:t xml:space="preserve"> en service doivent donc être contrôlées pendant une période pouvant aller jusqu</w:t>
      </w:r>
      <w:r>
        <w:rPr>
          <w:rFonts w:eastAsia="Times New Roman"/>
          <w:lang w:val="fr-FR"/>
        </w:rPr>
        <w:t>’</w:t>
      </w:r>
      <w:r w:rsidRPr="00440C76">
        <w:rPr>
          <w:rFonts w:eastAsia="Times New Roman"/>
          <w:lang w:val="fr-FR"/>
        </w:rPr>
        <w:t>à 5 ans ou jusqu</w:t>
      </w:r>
      <w:r>
        <w:rPr>
          <w:rFonts w:eastAsia="Times New Roman"/>
          <w:lang w:val="fr-FR"/>
        </w:rPr>
        <w:t>’</w:t>
      </w:r>
      <w:r w:rsidRPr="00440C76">
        <w:rPr>
          <w:rFonts w:eastAsia="Times New Roman"/>
          <w:lang w:val="fr-FR"/>
        </w:rPr>
        <w:t>à 100 000</w:t>
      </w:r>
      <w:r>
        <w:rPr>
          <w:rFonts w:eastAsia="Times New Roman"/>
          <w:lang w:val="fr-FR"/>
        </w:rPr>
        <w:t> </w:t>
      </w:r>
      <w:r w:rsidRPr="00440C76">
        <w:rPr>
          <w:rFonts w:eastAsia="Times New Roman"/>
          <w:lang w:val="fr-FR"/>
        </w:rPr>
        <w:t>km, suivant le premier de ces deux événements qui se produit.</w:t>
      </w:r>
    </w:p>
    <w:p w14:paraId="01ABF0CE" w14:textId="77777777" w:rsidR="00BE2CA7" w:rsidRPr="00440C76" w:rsidRDefault="00BE2CA7" w:rsidP="00BE2CA7">
      <w:pPr>
        <w:pStyle w:val="SingleTxtG"/>
        <w:ind w:left="2268"/>
        <w:rPr>
          <w:rFonts w:eastAsia="Times New Roman"/>
          <w:lang w:val="fr-FR"/>
        </w:rPr>
      </w:pPr>
      <w:r w:rsidRPr="00440C76">
        <w:rPr>
          <w:rFonts w:eastAsia="Times New Roman"/>
          <w:lang w:val="fr-FR"/>
        </w:rPr>
        <w:t>La conformité en service doit être vérifiée, notamment en ce qui concerne les émissions d</w:t>
      </w:r>
      <w:r>
        <w:rPr>
          <w:rFonts w:eastAsia="Times New Roman"/>
          <w:lang w:val="fr-FR"/>
        </w:rPr>
        <w:t>’</w:t>
      </w:r>
      <w:r w:rsidRPr="00440C76">
        <w:rPr>
          <w:rFonts w:eastAsia="Times New Roman"/>
          <w:lang w:val="fr-FR"/>
        </w:rPr>
        <w:t>échappement mesurées par rapport aux limites d</w:t>
      </w:r>
      <w:r>
        <w:rPr>
          <w:rFonts w:eastAsia="Times New Roman"/>
          <w:lang w:val="fr-FR"/>
        </w:rPr>
        <w:t>’</w:t>
      </w:r>
      <w:r w:rsidRPr="00440C76">
        <w:rPr>
          <w:rFonts w:eastAsia="Times New Roman"/>
          <w:lang w:val="fr-FR"/>
        </w:rPr>
        <w:t xml:space="preserve">émission fixées dans le Règlement ONU </w:t>
      </w:r>
      <w:r w:rsidRPr="00440C76">
        <w:rPr>
          <w:lang w:val="fr-FR"/>
        </w:rPr>
        <w:t>n</w:t>
      </w:r>
      <w:r w:rsidRPr="00440C76">
        <w:rPr>
          <w:vertAlign w:val="superscript"/>
          <w:lang w:val="fr-FR"/>
        </w:rPr>
        <w:t>o</w:t>
      </w:r>
      <w:r w:rsidRPr="00440C76">
        <w:rPr>
          <w:lang w:val="fr-FR"/>
        </w:rPr>
        <w:t> </w:t>
      </w:r>
      <w:r w:rsidRPr="00440C76">
        <w:rPr>
          <w:rFonts w:eastAsia="Times New Roman"/>
          <w:lang w:val="fr-FR"/>
        </w:rPr>
        <w:t>154.</w:t>
      </w:r>
    </w:p>
    <w:p w14:paraId="3C41BCC4"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5.1.2</w:t>
      </w:r>
      <w:r w:rsidRPr="00440C76">
        <w:rPr>
          <w:rFonts w:eastAsia="Times New Roman"/>
          <w:lang w:val="fr-FR"/>
        </w:rPr>
        <w:tab/>
      </w:r>
      <w:r w:rsidRPr="00214653">
        <w:rPr>
          <w:rFonts w:eastAsia="Times New Roman"/>
          <w:lang w:val="fr-FR"/>
        </w:rPr>
        <w:t>Le constructeur</w:t>
      </w:r>
      <w:r w:rsidRPr="00440C76">
        <w:rPr>
          <w:rFonts w:eastAsia="Times New Roman"/>
          <w:lang w:val="fr-FR"/>
        </w:rPr>
        <w:t xml:space="preserve"> doit équiper les véhicules de telle sorte que les composants </w:t>
      </w:r>
      <w:r w:rsidRPr="00440C76">
        <w:rPr>
          <w:lang w:val="fr-FR"/>
        </w:rPr>
        <w:t>susceptibles</w:t>
      </w:r>
      <w:r w:rsidRPr="00440C76">
        <w:rPr>
          <w:rFonts w:eastAsia="Times New Roman"/>
          <w:lang w:val="fr-FR"/>
        </w:rPr>
        <w:t xml:space="preserve"> d</w:t>
      </w:r>
      <w:r>
        <w:rPr>
          <w:rFonts w:eastAsia="Times New Roman"/>
          <w:lang w:val="fr-FR"/>
        </w:rPr>
        <w:t>’</w:t>
      </w:r>
      <w:r w:rsidRPr="00440C76">
        <w:rPr>
          <w:rFonts w:eastAsia="Times New Roman"/>
          <w:lang w:val="fr-FR"/>
        </w:rPr>
        <w:t>exercer un effet sur les émissions soient conçus, construits et montés de manière à permettre au véhicule, dans des conditions normales d</w:t>
      </w:r>
      <w:r>
        <w:rPr>
          <w:rFonts w:eastAsia="Times New Roman"/>
          <w:lang w:val="fr-FR"/>
        </w:rPr>
        <w:t>’</w:t>
      </w:r>
      <w:r w:rsidRPr="00440C76">
        <w:rPr>
          <w:rFonts w:eastAsia="Times New Roman"/>
          <w:lang w:val="fr-FR"/>
        </w:rPr>
        <w:t>utilisation, de rester conforme aux prescriptions du présent Règlement.</w:t>
      </w:r>
    </w:p>
    <w:p w14:paraId="40F3924F"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5.1.3</w:t>
      </w:r>
      <w:r w:rsidRPr="00440C76">
        <w:rPr>
          <w:rFonts w:eastAsia="Times New Roman"/>
          <w:lang w:val="fr-FR"/>
        </w:rPr>
        <w:tab/>
      </w:r>
      <w:r w:rsidRPr="00440C76">
        <w:rPr>
          <w:lang w:val="fr-FR"/>
        </w:rPr>
        <w:t>Réservé</w:t>
      </w:r>
    </w:p>
    <w:p w14:paraId="5B40A8C7"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5.1.4</w:t>
      </w:r>
      <w:r w:rsidRPr="00440C76">
        <w:rPr>
          <w:rFonts w:eastAsia="Times New Roman"/>
          <w:lang w:val="fr-FR"/>
        </w:rPr>
        <w:tab/>
      </w:r>
      <w:r w:rsidRPr="00440C76">
        <w:rPr>
          <w:lang w:val="fr-FR"/>
        </w:rPr>
        <w:t>Réservé</w:t>
      </w:r>
    </w:p>
    <w:p w14:paraId="5A97D074"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5.1.5</w:t>
      </w:r>
      <w:r w:rsidRPr="00440C76">
        <w:rPr>
          <w:rFonts w:eastAsia="Times New Roman"/>
          <w:lang w:val="fr-FR"/>
        </w:rPr>
        <w:tab/>
      </w:r>
      <w:r w:rsidRPr="00440C76">
        <w:rPr>
          <w:lang w:val="fr-FR"/>
        </w:rPr>
        <w:t>Dispositions</w:t>
      </w:r>
      <w:r w:rsidRPr="00440C76">
        <w:rPr>
          <w:rFonts w:eastAsia="Times New Roman"/>
          <w:lang w:val="fr-FR"/>
        </w:rPr>
        <w:t xml:space="preserve"> relatives à la sécurité du système électronique</w:t>
      </w:r>
    </w:p>
    <w:p w14:paraId="0D24DD24"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5.1.5.1</w:t>
      </w:r>
      <w:r w:rsidRPr="00440C76">
        <w:rPr>
          <w:rFonts w:eastAsia="Times New Roman"/>
          <w:lang w:val="fr-FR"/>
        </w:rPr>
        <w:tab/>
        <w:t>Il doit être satisfait aux prescriptions relatives à la sécurité des systèmes électroniques énoncées au paragraphe</w:t>
      </w:r>
      <w:r>
        <w:rPr>
          <w:rFonts w:eastAsia="Times New Roman"/>
          <w:lang w:val="fr-FR"/>
        </w:rPr>
        <w:t> </w:t>
      </w:r>
      <w:r w:rsidRPr="00440C76">
        <w:rPr>
          <w:rFonts w:eastAsia="Times New Roman"/>
          <w:lang w:val="fr-FR"/>
        </w:rPr>
        <w:t xml:space="preserve">6.1.7 du Règlement ONU </w:t>
      </w:r>
      <w:r w:rsidRPr="00440C76">
        <w:rPr>
          <w:lang w:val="fr-FR"/>
        </w:rPr>
        <w:t>n</w:t>
      </w:r>
      <w:r w:rsidRPr="00440C76">
        <w:rPr>
          <w:vertAlign w:val="superscript"/>
          <w:lang w:val="fr-FR"/>
        </w:rPr>
        <w:t>o</w:t>
      </w:r>
      <w:r w:rsidRPr="00440C76">
        <w:rPr>
          <w:lang w:val="fr-FR"/>
        </w:rPr>
        <w:t> </w:t>
      </w:r>
      <w:r w:rsidRPr="00440C76">
        <w:rPr>
          <w:rFonts w:eastAsia="Times New Roman"/>
          <w:lang w:val="fr-FR"/>
        </w:rPr>
        <w:t>154.</w:t>
      </w:r>
      <w:r w:rsidRPr="00440C76">
        <w:rPr>
          <w:lang w:val="fr-FR"/>
        </w:rPr>
        <w:t xml:space="preserve"> </w:t>
      </w:r>
      <w:r w:rsidRPr="00440C76">
        <w:rPr>
          <w:rFonts w:eastAsia="Times New Roman"/>
          <w:lang w:val="fr-FR"/>
        </w:rPr>
        <w:t>Ces stratégies peuvent être appliquées à titre expérimental dans le cadre de l</w:t>
      </w:r>
      <w:r>
        <w:rPr>
          <w:rFonts w:eastAsia="Times New Roman"/>
          <w:lang w:val="fr-FR"/>
        </w:rPr>
        <w:t>’</w:t>
      </w:r>
      <w:r w:rsidRPr="00440C76">
        <w:rPr>
          <w:rFonts w:eastAsia="Times New Roman"/>
          <w:lang w:val="fr-FR"/>
        </w:rPr>
        <w:t>homologation de type et de la surveillance des marchés au niveau régional pour déterminer si elles permettent de protéger efficacement les systèmes antipollution.</w:t>
      </w:r>
    </w:p>
    <w:p w14:paraId="5A44703D"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lastRenderedPageBreak/>
        <w:t>5.1.5.2</w:t>
      </w:r>
      <w:r w:rsidRPr="00440C76">
        <w:rPr>
          <w:rFonts w:eastAsia="Times New Roman"/>
          <w:lang w:val="fr-FR"/>
        </w:rPr>
        <w:tab/>
        <w:t>Les constructeurs doivent empêcher efficacement la reprogrammation des valeurs de lecture du compteur kilométrique, dans le réseau de bord, dans toute unité de commande du groupe motopropulseur, ainsi que dans l</w:t>
      </w:r>
      <w:r>
        <w:rPr>
          <w:rFonts w:eastAsia="Times New Roman"/>
          <w:lang w:val="fr-FR"/>
        </w:rPr>
        <w:t>’</w:t>
      </w:r>
      <w:r w:rsidRPr="00440C76">
        <w:rPr>
          <w:rFonts w:eastAsia="Times New Roman"/>
          <w:lang w:val="fr-FR"/>
        </w:rPr>
        <w:t>unité de transmission pour l</w:t>
      </w:r>
      <w:r>
        <w:rPr>
          <w:rFonts w:eastAsia="Times New Roman"/>
          <w:lang w:val="fr-FR"/>
        </w:rPr>
        <w:t>’</w:t>
      </w:r>
      <w:r w:rsidRPr="00440C76">
        <w:rPr>
          <w:rFonts w:eastAsia="Times New Roman"/>
          <w:lang w:val="fr-FR"/>
        </w:rPr>
        <w:t>échange de données à distance, le cas échéant.</w:t>
      </w:r>
      <w:r w:rsidRPr="00440C76">
        <w:rPr>
          <w:lang w:val="fr-FR"/>
        </w:rPr>
        <w:t xml:space="preserve"> </w:t>
      </w:r>
      <w:r w:rsidRPr="00440C76">
        <w:rPr>
          <w:rFonts w:eastAsia="Times New Roman"/>
          <w:lang w:val="fr-FR"/>
        </w:rPr>
        <w:t>Ils doivent appliquer des stratégies systématiques de prévention des manipulations et des fonctions de protection de l</w:t>
      </w:r>
      <w:r>
        <w:rPr>
          <w:rFonts w:eastAsia="Times New Roman"/>
          <w:lang w:val="fr-FR"/>
        </w:rPr>
        <w:t>’</w:t>
      </w:r>
      <w:r w:rsidRPr="00440C76">
        <w:rPr>
          <w:rFonts w:eastAsia="Times New Roman"/>
          <w:lang w:val="fr-FR"/>
        </w:rPr>
        <w:t>écriture afin de préserver l</w:t>
      </w:r>
      <w:r>
        <w:rPr>
          <w:rFonts w:eastAsia="Times New Roman"/>
          <w:lang w:val="fr-FR"/>
        </w:rPr>
        <w:t>’</w:t>
      </w:r>
      <w:r w:rsidRPr="00440C76">
        <w:rPr>
          <w:rFonts w:eastAsia="Times New Roman"/>
          <w:lang w:val="fr-FR"/>
        </w:rPr>
        <w:t>intégrité des valeurs de lecture du compteur kilométrique.</w:t>
      </w:r>
      <w:r w:rsidRPr="00440C76">
        <w:rPr>
          <w:lang w:val="fr-FR"/>
        </w:rPr>
        <w:t xml:space="preserve"> </w:t>
      </w:r>
      <w:r w:rsidRPr="00440C76">
        <w:rPr>
          <w:rFonts w:eastAsia="Times New Roman"/>
          <w:lang w:val="fr-FR"/>
        </w:rPr>
        <w:t>L</w:t>
      </w:r>
      <w:r>
        <w:rPr>
          <w:rFonts w:eastAsia="Times New Roman"/>
          <w:lang w:val="fr-FR"/>
        </w:rPr>
        <w:t>’</w:t>
      </w:r>
      <w:r w:rsidRPr="00440C76">
        <w:rPr>
          <w:rFonts w:eastAsia="Times New Roman"/>
          <w:lang w:val="fr-FR"/>
        </w:rPr>
        <w:t>autorité d</w:t>
      </w:r>
      <w:r>
        <w:rPr>
          <w:rFonts w:eastAsia="Times New Roman"/>
          <w:lang w:val="fr-FR"/>
        </w:rPr>
        <w:t>’</w:t>
      </w:r>
      <w:r w:rsidRPr="00440C76">
        <w:rPr>
          <w:rFonts w:eastAsia="Times New Roman"/>
          <w:lang w:val="fr-FR"/>
        </w:rPr>
        <w:t>homologation de type doit approuver les méthodes offrant un niveau de protection adéquat contre les modifications non autorisées.</w:t>
      </w:r>
      <w:r w:rsidRPr="00440C76">
        <w:rPr>
          <w:lang w:val="fr-FR"/>
        </w:rPr>
        <w:t xml:space="preserve"> </w:t>
      </w:r>
      <w:r w:rsidRPr="00440C76">
        <w:rPr>
          <w:rFonts w:eastAsia="Times New Roman"/>
          <w:lang w:val="fr-FR"/>
        </w:rPr>
        <w:t>Ces stratégies peuvent être appliquées à titre expérimental dans le cadre de l</w:t>
      </w:r>
      <w:r>
        <w:rPr>
          <w:rFonts w:eastAsia="Times New Roman"/>
          <w:lang w:val="fr-FR"/>
        </w:rPr>
        <w:t>’</w:t>
      </w:r>
      <w:r w:rsidRPr="00440C76">
        <w:rPr>
          <w:rFonts w:eastAsia="Times New Roman"/>
          <w:lang w:val="fr-FR"/>
        </w:rPr>
        <w:t xml:space="preserve">homologation de type et de la surveillance des marchés au niveau régional afin de déterminer si elles permettent de protéger </w:t>
      </w:r>
      <w:r w:rsidRPr="00440C76">
        <w:rPr>
          <w:lang w:val="fr-FR"/>
        </w:rPr>
        <w:t>efficacement</w:t>
      </w:r>
      <w:r w:rsidRPr="00440C76">
        <w:rPr>
          <w:rFonts w:eastAsia="Times New Roman"/>
          <w:lang w:val="fr-FR"/>
        </w:rPr>
        <w:t xml:space="preserve"> le compteur kilométrique.</w:t>
      </w:r>
    </w:p>
    <w:p w14:paraId="0E92BCEA"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5.1.6</w:t>
      </w:r>
      <w:r w:rsidRPr="00440C76">
        <w:rPr>
          <w:rFonts w:eastAsia="Times New Roman"/>
          <w:lang w:val="fr-FR"/>
        </w:rPr>
        <w:tab/>
        <w:t xml:space="preserve">On doit pouvoir inspecter le véhicule pour vérifier son aptitude à la circulation et </w:t>
      </w:r>
      <w:r w:rsidRPr="00440C76">
        <w:rPr>
          <w:lang w:val="fr-FR"/>
        </w:rPr>
        <w:t>s</w:t>
      </w:r>
      <w:r>
        <w:rPr>
          <w:lang w:val="fr-FR"/>
        </w:rPr>
        <w:t>’</w:t>
      </w:r>
      <w:r w:rsidRPr="00440C76">
        <w:rPr>
          <w:lang w:val="fr-FR"/>
        </w:rPr>
        <w:t>il</w:t>
      </w:r>
      <w:r w:rsidRPr="00440C76">
        <w:rPr>
          <w:rFonts w:eastAsia="Times New Roman"/>
          <w:lang w:val="fr-FR"/>
        </w:rPr>
        <w:t xml:space="preserve"> est conforme aux données collectées conformément au paragraphe 5.3.7. Si cette inspection requiert une méthode d</w:t>
      </w:r>
      <w:r>
        <w:rPr>
          <w:rFonts w:eastAsia="Times New Roman"/>
          <w:lang w:val="fr-FR"/>
        </w:rPr>
        <w:t>’</w:t>
      </w:r>
      <w:r w:rsidRPr="00440C76">
        <w:rPr>
          <w:rFonts w:eastAsia="Times New Roman"/>
          <w:lang w:val="fr-FR"/>
        </w:rPr>
        <w:t>essai particulière, elle doit être expliquée en détail dans le carnet d</w:t>
      </w:r>
      <w:r>
        <w:rPr>
          <w:rFonts w:eastAsia="Times New Roman"/>
          <w:lang w:val="fr-FR"/>
        </w:rPr>
        <w:t>’</w:t>
      </w:r>
      <w:r w:rsidRPr="00440C76">
        <w:rPr>
          <w:rFonts w:eastAsia="Times New Roman"/>
          <w:lang w:val="fr-FR"/>
        </w:rPr>
        <w:t>entretien (ou un document équivalent). Cette méthode spéciale ne doit pas nécessiter l</w:t>
      </w:r>
      <w:r>
        <w:rPr>
          <w:rFonts w:eastAsia="Times New Roman"/>
          <w:lang w:val="fr-FR"/>
        </w:rPr>
        <w:t>’</w:t>
      </w:r>
      <w:r w:rsidRPr="00440C76">
        <w:rPr>
          <w:rFonts w:eastAsia="Times New Roman"/>
          <w:lang w:val="fr-FR"/>
        </w:rPr>
        <w:t>emploi d</w:t>
      </w:r>
      <w:r>
        <w:rPr>
          <w:rFonts w:eastAsia="Times New Roman"/>
          <w:lang w:val="fr-FR"/>
        </w:rPr>
        <w:t>’</w:t>
      </w:r>
      <w:r w:rsidRPr="00440C76">
        <w:rPr>
          <w:rFonts w:eastAsia="Times New Roman"/>
          <w:lang w:val="fr-FR"/>
        </w:rPr>
        <w:t>un autre matériel que celui fourni avec le véhicule.</w:t>
      </w:r>
    </w:p>
    <w:p w14:paraId="2E660DF0"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5.1.7</w:t>
      </w:r>
      <w:r w:rsidRPr="00440C76">
        <w:rPr>
          <w:rFonts w:eastAsia="Times New Roman"/>
          <w:lang w:val="fr-FR"/>
        </w:rPr>
        <w:tab/>
      </w:r>
      <w:r w:rsidRPr="00440C76">
        <w:rPr>
          <w:lang w:val="fr-FR"/>
        </w:rPr>
        <w:t>L</w:t>
      </w:r>
      <w:r>
        <w:rPr>
          <w:lang w:val="fr-FR"/>
        </w:rPr>
        <w:t>’</w:t>
      </w:r>
      <w:r w:rsidRPr="00440C76">
        <w:rPr>
          <w:lang w:val="fr-FR"/>
        </w:rPr>
        <w:t>utilisation</w:t>
      </w:r>
      <w:r w:rsidRPr="00440C76">
        <w:rPr>
          <w:rFonts w:eastAsia="Times New Roman"/>
          <w:lang w:val="fr-FR"/>
        </w:rPr>
        <w:t xml:space="preserve"> de dispositifs d</w:t>
      </w:r>
      <w:r>
        <w:rPr>
          <w:rFonts w:eastAsia="Times New Roman"/>
          <w:lang w:val="fr-FR"/>
        </w:rPr>
        <w:t>’</w:t>
      </w:r>
      <w:r w:rsidRPr="00440C76">
        <w:rPr>
          <w:rFonts w:eastAsia="Times New Roman"/>
          <w:lang w:val="fr-FR"/>
        </w:rPr>
        <w:t>invalidation qui réduisent l</w:t>
      </w:r>
      <w:r>
        <w:rPr>
          <w:rFonts w:eastAsia="Times New Roman"/>
          <w:lang w:val="fr-FR"/>
        </w:rPr>
        <w:t>’</w:t>
      </w:r>
      <w:r w:rsidRPr="00440C76">
        <w:rPr>
          <w:rFonts w:eastAsia="Times New Roman"/>
          <w:lang w:val="fr-FR"/>
        </w:rPr>
        <w:t>efficacité des systèmes antipollution est interdite.</w:t>
      </w:r>
      <w:r w:rsidRPr="00440C76">
        <w:rPr>
          <w:lang w:val="fr-FR"/>
        </w:rPr>
        <w:t xml:space="preserve"> </w:t>
      </w:r>
      <w:r w:rsidRPr="00440C76">
        <w:rPr>
          <w:rFonts w:eastAsia="Times New Roman"/>
          <w:lang w:val="fr-FR"/>
        </w:rPr>
        <w:t>Cette interdiction ne s</w:t>
      </w:r>
      <w:r>
        <w:rPr>
          <w:rFonts w:eastAsia="Times New Roman"/>
          <w:lang w:val="fr-FR"/>
        </w:rPr>
        <w:t>’</w:t>
      </w:r>
      <w:r w:rsidRPr="00440C76">
        <w:rPr>
          <w:rFonts w:eastAsia="Times New Roman"/>
          <w:lang w:val="fr-FR"/>
        </w:rPr>
        <w:t>applique pas :</w:t>
      </w:r>
    </w:p>
    <w:p w14:paraId="1C317B1E" w14:textId="77777777" w:rsidR="00BE2CA7" w:rsidRPr="00440C76" w:rsidRDefault="00BE2CA7" w:rsidP="00BE2CA7">
      <w:pPr>
        <w:pStyle w:val="SingleTxtG"/>
        <w:ind w:left="2835" w:hanging="567"/>
        <w:rPr>
          <w:rFonts w:eastAsia="Times New Roman"/>
          <w:lang w:val="fr-FR"/>
        </w:rPr>
      </w:pPr>
      <w:r w:rsidRPr="00440C76">
        <w:rPr>
          <w:rFonts w:eastAsia="Times New Roman"/>
          <w:lang w:val="fr-FR"/>
        </w:rPr>
        <w:t>a)</w:t>
      </w:r>
      <w:r w:rsidRPr="00440C76">
        <w:rPr>
          <w:rFonts w:eastAsia="Times New Roman"/>
          <w:lang w:val="fr-FR"/>
        </w:rPr>
        <w:tab/>
        <w:t>S</w:t>
      </w:r>
      <w:r>
        <w:rPr>
          <w:rFonts w:eastAsia="Times New Roman"/>
          <w:lang w:val="fr-FR"/>
        </w:rPr>
        <w:t>’</w:t>
      </w:r>
      <w:r w:rsidRPr="00440C76">
        <w:rPr>
          <w:rFonts w:eastAsia="Times New Roman"/>
          <w:lang w:val="fr-FR"/>
        </w:rPr>
        <w:t xml:space="preserve">il est démontré que ce dispositif est nécessaire pour protéger le </w:t>
      </w:r>
      <w:r w:rsidRPr="00440C76">
        <w:rPr>
          <w:lang w:val="fr-FR"/>
        </w:rPr>
        <w:t>moteur</w:t>
      </w:r>
      <w:r w:rsidRPr="00440C76">
        <w:rPr>
          <w:rFonts w:eastAsia="Times New Roman"/>
          <w:lang w:val="fr-FR"/>
        </w:rPr>
        <w:t xml:space="preserve"> contre des avaries ou accidents et pour assurer la sécurité de fonctionnement du véhicule ;</w:t>
      </w:r>
    </w:p>
    <w:p w14:paraId="314CF9F4" w14:textId="77777777" w:rsidR="00BE2CA7" w:rsidRDefault="00BE2CA7" w:rsidP="00BE2CA7">
      <w:pPr>
        <w:pStyle w:val="SingleTxtG"/>
        <w:ind w:left="2835" w:hanging="567"/>
        <w:rPr>
          <w:rFonts w:eastAsia="Times New Roman"/>
          <w:lang w:val="fr-FR"/>
        </w:rPr>
      </w:pPr>
      <w:r w:rsidRPr="00440C76">
        <w:rPr>
          <w:rFonts w:eastAsia="Times New Roman"/>
          <w:lang w:val="fr-FR"/>
        </w:rPr>
        <w:t>b)</w:t>
      </w:r>
      <w:r w:rsidRPr="00440C76">
        <w:rPr>
          <w:rFonts w:eastAsia="Times New Roman"/>
          <w:lang w:val="fr-FR"/>
        </w:rPr>
        <w:tab/>
        <w:t xml:space="preserve">Si </w:t>
      </w:r>
      <w:r w:rsidRPr="00440C76">
        <w:rPr>
          <w:lang w:val="fr-FR"/>
        </w:rPr>
        <w:t>ce</w:t>
      </w:r>
      <w:r w:rsidRPr="00440C76">
        <w:rPr>
          <w:rFonts w:eastAsia="Times New Roman"/>
          <w:lang w:val="fr-FR"/>
        </w:rPr>
        <w:t xml:space="preserve"> dispositif ne fonctionne pas en dehors des conditions nécessaires pour le démarrage du moteur ;</w:t>
      </w:r>
    </w:p>
    <w:p w14:paraId="711DC720" w14:textId="77777777" w:rsidR="00BE2CA7" w:rsidRPr="00440C76" w:rsidRDefault="00BE2CA7" w:rsidP="00BE2CA7">
      <w:pPr>
        <w:pStyle w:val="SingleTxtG"/>
        <w:ind w:left="3402" w:hanging="567"/>
        <w:rPr>
          <w:rFonts w:eastAsia="Times New Roman"/>
          <w:lang w:val="fr-FR"/>
        </w:rPr>
      </w:pPr>
      <w:r>
        <w:rPr>
          <w:rFonts w:eastAsia="Times New Roman"/>
          <w:lang w:val="fr-FR"/>
        </w:rPr>
        <w:t>ou</w:t>
      </w:r>
    </w:p>
    <w:p w14:paraId="1E6D0D64" w14:textId="77777777" w:rsidR="00BE2CA7" w:rsidRPr="00440C76" w:rsidRDefault="00BE2CA7" w:rsidP="00BE2CA7">
      <w:pPr>
        <w:pStyle w:val="SingleTxtG"/>
        <w:ind w:left="2835" w:hanging="567"/>
        <w:rPr>
          <w:rFonts w:eastAsia="Times New Roman"/>
          <w:b/>
          <w:bCs/>
          <w:lang w:val="fr-FR"/>
        </w:rPr>
      </w:pPr>
      <w:r w:rsidRPr="00440C76">
        <w:rPr>
          <w:rFonts w:eastAsia="Times New Roman"/>
          <w:lang w:val="fr-FR"/>
        </w:rPr>
        <w:t>c)</w:t>
      </w:r>
      <w:r w:rsidRPr="00440C76">
        <w:rPr>
          <w:rFonts w:eastAsia="Times New Roman"/>
          <w:lang w:val="fr-FR"/>
        </w:rPr>
        <w:tab/>
        <w:t>Si les conditions pertinentes sont essentiellement prises en compte dans les procédures d</w:t>
      </w:r>
      <w:r>
        <w:rPr>
          <w:rFonts w:eastAsia="Times New Roman"/>
          <w:lang w:val="fr-FR"/>
        </w:rPr>
        <w:t>’</w:t>
      </w:r>
      <w:r w:rsidRPr="00440C76">
        <w:rPr>
          <w:rFonts w:eastAsia="Times New Roman"/>
          <w:lang w:val="fr-FR"/>
        </w:rPr>
        <w:t>essai visant à vérifier les émissions par évaporation et les émissions d</w:t>
      </w:r>
      <w:r>
        <w:rPr>
          <w:rFonts w:eastAsia="Times New Roman"/>
          <w:lang w:val="fr-FR"/>
        </w:rPr>
        <w:t>’</w:t>
      </w:r>
      <w:r w:rsidRPr="00440C76">
        <w:rPr>
          <w:rFonts w:eastAsia="Times New Roman"/>
          <w:lang w:val="fr-FR"/>
        </w:rPr>
        <w:t>échappement moyennes.</w:t>
      </w:r>
    </w:p>
    <w:p w14:paraId="58A7650E"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5.2</w:t>
      </w:r>
      <w:r w:rsidRPr="00440C76">
        <w:rPr>
          <w:rFonts w:eastAsia="Times New Roman"/>
          <w:lang w:val="fr-FR"/>
        </w:rPr>
        <w:tab/>
      </w:r>
      <w:r w:rsidRPr="00440C76">
        <w:rPr>
          <w:lang w:val="fr-FR"/>
        </w:rPr>
        <w:t>Réalisation</w:t>
      </w:r>
      <w:r w:rsidRPr="00440C76">
        <w:rPr>
          <w:rFonts w:eastAsia="Times New Roman"/>
          <w:lang w:val="fr-FR"/>
        </w:rPr>
        <w:t xml:space="preserve"> des essais</w:t>
      </w:r>
    </w:p>
    <w:p w14:paraId="28DCBEFA" w14:textId="77777777" w:rsidR="00BE2CA7" w:rsidRPr="00440C76" w:rsidRDefault="00BE2CA7" w:rsidP="00BE2CA7">
      <w:pPr>
        <w:pStyle w:val="SingleTxtG"/>
        <w:ind w:left="2268"/>
        <w:rPr>
          <w:lang w:val="fr-FR"/>
        </w:rPr>
      </w:pPr>
      <w:r w:rsidRPr="00440C76">
        <w:rPr>
          <w:lang w:val="fr-FR"/>
        </w:rPr>
        <w:t xml:space="preserve">Le tableau A </w:t>
      </w:r>
      <w:proofErr w:type="spellStart"/>
      <w:r w:rsidRPr="00440C76">
        <w:rPr>
          <w:lang w:val="fr-FR"/>
        </w:rPr>
        <w:t>montre</w:t>
      </w:r>
      <w:proofErr w:type="spellEnd"/>
      <w:r w:rsidRPr="00440C76">
        <w:rPr>
          <w:lang w:val="fr-FR"/>
        </w:rPr>
        <w:t xml:space="preserve"> les différentes possibilités pour l</w:t>
      </w:r>
      <w:r>
        <w:rPr>
          <w:lang w:val="fr-FR"/>
        </w:rPr>
        <w:t>’</w:t>
      </w:r>
      <w:r w:rsidRPr="00440C76">
        <w:rPr>
          <w:lang w:val="fr-FR"/>
        </w:rPr>
        <w:t>homologation de type d</w:t>
      </w:r>
      <w:r>
        <w:rPr>
          <w:lang w:val="fr-FR"/>
        </w:rPr>
        <w:t>’</w:t>
      </w:r>
      <w:r w:rsidRPr="00440C76">
        <w:rPr>
          <w:lang w:val="fr-FR"/>
        </w:rPr>
        <w:t>un véhicule.</w:t>
      </w:r>
    </w:p>
    <w:p w14:paraId="37973E15" w14:textId="77777777" w:rsidR="00BE2CA7" w:rsidRPr="00440C76" w:rsidRDefault="00BE2CA7" w:rsidP="00BE2CA7">
      <w:pPr>
        <w:pStyle w:val="Titre1"/>
        <w:ind w:left="0"/>
        <w:rPr>
          <w:lang w:val="fr-FR"/>
        </w:rPr>
      </w:pPr>
      <w:r w:rsidRPr="00440C76">
        <w:rPr>
          <w:lang w:val="fr-FR"/>
        </w:rPr>
        <w:t>Tableau A. Prescriptions</w:t>
      </w:r>
    </w:p>
    <w:p w14:paraId="40358D7C" w14:textId="77777777" w:rsidR="00BE2CA7" w:rsidRPr="00440C76" w:rsidRDefault="00BE2CA7" w:rsidP="00BE2CA7">
      <w:pPr>
        <w:pStyle w:val="SingleTxtG"/>
        <w:keepNext/>
        <w:ind w:left="0" w:right="0"/>
        <w:jc w:val="left"/>
        <w:rPr>
          <w:b/>
          <w:bCs/>
          <w:lang w:val="fr-FR"/>
        </w:rPr>
      </w:pPr>
      <w:r w:rsidRPr="00440C76">
        <w:rPr>
          <w:b/>
          <w:bCs/>
          <w:lang w:val="fr-FR"/>
        </w:rPr>
        <w:t>Application des prescriptions d</w:t>
      </w:r>
      <w:r>
        <w:rPr>
          <w:b/>
          <w:bCs/>
          <w:lang w:val="fr-FR"/>
        </w:rPr>
        <w:t>’</w:t>
      </w:r>
      <w:r w:rsidRPr="00440C76">
        <w:rPr>
          <w:b/>
          <w:bCs/>
          <w:lang w:val="fr-FR"/>
        </w:rPr>
        <w:t>essai pour l</w:t>
      </w:r>
      <w:r>
        <w:rPr>
          <w:b/>
          <w:bCs/>
          <w:lang w:val="fr-FR"/>
        </w:rPr>
        <w:t>’</w:t>
      </w:r>
      <w:r w:rsidRPr="00440C76">
        <w:rPr>
          <w:b/>
          <w:bCs/>
          <w:lang w:val="fr-FR"/>
        </w:rPr>
        <w:t>homologation de type et les extensions</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71"/>
        <w:gridCol w:w="709"/>
        <w:gridCol w:w="567"/>
        <w:gridCol w:w="921"/>
        <w:gridCol w:w="922"/>
        <w:gridCol w:w="945"/>
        <w:gridCol w:w="945"/>
        <w:gridCol w:w="945"/>
        <w:gridCol w:w="992"/>
        <w:gridCol w:w="710"/>
        <w:gridCol w:w="710"/>
      </w:tblGrid>
      <w:tr w:rsidR="00BE2CA7" w:rsidRPr="00440C76" w14:paraId="475A3265" w14:textId="77777777" w:rsidTr="002B0590">
        <w:trPr>
          <w:tblHeader/>
          <w:jc w:val="center"/>
        </w:trPr>
        <w:tc>
          <w:tcPr>
            <w:tcW w:w="9637" w:type="dxa"/>
            <w:gridSpan w:val="11"/>
            <w:shd w:val="clear" w:color="auto" w:fill="auto"/>
            <w:vAlign w:val="center"/>
          </w:tcPr>
          <w:p w14:paraId="6181B06D" w14:textId="77777777" w:rsidR="00BE2CA7" w:rsidRPr="00440C76" w:rsidRDefault="00BE2CA7" w:rsidP="002B0590">
            <w:pPr>
              <w:kinsoku/>
              <w:overflowPunct/>
              <w:autoSpaceDE/>
              <w:autoSpaceDN/>
              <w:adjustRightInd/>
              <w:snapToGrid/>
              <w:spacing w:before="40" w:after="40" w:line="180" w:lineRule="atLeast"/>
              <w:ind w:left="57" w:right="57"/>
              <w:jc w:val="center"/>
              <w:rPr>
                <w:rFonts w:eastAsia="Times New Roman"/>
                <w:i/>
                <w:sz w:val="14"/>
                <w:szCs w:val="14"/>
                <w:lang w:val="fr-FR"/>
              </w:rPr>
            </w:pPr>
            <w:r w:rsidRPr="00440C76">
              <w:rPr>
                <w:rFonts w:eastAsia="Times New Roman"/>
                <w:i/>
                <w:sz w:val="14"/>
                <w:szCs w:val="14"/>
                <w:lang w:val="fr-FR"/>
              </w:rPr>
              <w:t>Application des prescriptions d</w:t>
            </w:r>
            <w:r>
              <w:rPr>
                <w:rFonts w:eastAsia="Times New Roman"/>
                <w:i/>
                <w:sz w:val="14"/>
                <w:szCs w:val="14"/>
                <w:lang w:val="fr-FR"/>
              </w:rPr>
              <w:t>’</w:t>
            </w:r>
            <w:r w:rsidRPr="00440C76">
              <w:rPr>
                <w:rFonts w:eastAsia="Times New Roman"/>
                <w:i/>
                <w:sz w:val="14"/>
                <w:szCs w:val="14"/>
                <w:lang w:val="fr-FR"/>
              </w:rPr>
              <w:t>essai pour l</w:t>
            </w:r>
            <w:r>
              <w:rPr>
                <w:rFonts w:eastAsia="Times New Roman"/>
                <w:i/>
                <w:sz w:val="14"/>
                <w:szCs w:val="14"/>
                <w:lang w:val="fr-FR"/>
              </w:rPr>
              <w:t>’</w:t>
            </w:r>
            <w:r w:rsidRPr="00440C76">
              <w:rPr>
                <w:rFonts w:eastAsia="Times New Roman"/>
                <w:i/>
                <w:sz w:val="14"/>
                <w:szCs w:val="14"/>
                <w:lang w:val="fr-FR"/>
              </w:rPr>
              <w:t>homologation de type et les extensions</w:t>
            </w:r>
          </w:p>
        </w:tc>
      </w:tr>
      <w:tr w:rsidR="00BE2CA7" w:rsidRPr="00440C76" w14:paraId="5682E17D" w14:textId="77777777" w:rsidTr="002B0590">
        <w:trPr>
          <w:tblHeader/>
          <w:jc w:val="center"/>
        </w:trPr>
        <w:tc>
          <w:tcPr>
            <w:tcW w:w="1271" w:type="dxa"/>
            <w:vMerge w:val="restart"/>
            <w:shd w:val="clear" w:color="auto" w:fill="auto"/>
            <w:vAlign w:val="bottom"/>
          </w:tcPr>
          <w:p w14:paraId="6A4C1CA3" w14:textId="77777777" w:rsidR="00BE2CA7" w:rsidRPr="00440C76" w:rsidRDefault="00BE2CA7" w:rsidP="002B0590">
            <w:pPr>
              <w:kinsoku/>
              <w:overflowPunct/>
              <w:autoSpaceDE/>
              <w:autoSpaceDN/>
              <w:adjustRightInd/>
              <w:snapToGrid/>
              <w:spacing w:before="40" w:after="40" w:line="180" w:lineRule="atLeast"/>
              <w:ind w:left="57" w:right="57"/>
              <w:rPr>
                <w:rFonts w:eastAsia="Times New Roman"/>
                <w:sz w:val="14"/>
                <w:szCs w:val="14"/>
                <w:lang w:val="fr-FR"/>
              </w:rPr>
            </w:pPr>
            <w:r w:rsidRPr="00440C76">
              <w:rPr>
                <w:rFonts w:eastAsia="Times New Roman"/>
                <w:i/>
                <w:sz w:val="14"/>
                <w:szCs w:val="14"/>
                <w:lang w:val="fr-FR"/>
              </w:rPr>
              <w:t>Catégorie de véhicules</w:t>
            </w:r>
          </w:p>
        </w:tc>
        <w:tc>
          <w:tcPr>
            <w:tcW w:w="6946" w:type="dxa"/>
            <w:gridSpan w:val="8"/>
            <w:shd w:val="clear" w:color="auto" w:fill="auto"/>
            <w:vAlign w:val="bottom"/>
          </w:tcPr>
          <w:p w14:paraId="04F39227" w14:textId="77777777" w:rsidR="00BE2CA7" w:rsidRPr="00440C76" w:rsidRDefault="00BE2CA7" w:rsidP="002B0590">
            <w:pPr>
              <w:kinsoku/>
              <w:overflowPunct/>
              <w:autoSpaceDE/>
              <w:autoSpaceDN/>
              <w:adjustRightInd/>
              <w:snapToGrid/>
              <w:spacing w:before="40" w:after="40" w:line="180" w:lineRule="atLeast"/>
              <w:ind w:left="57" w:right="57"/>
              <w:jc w:val="center"/>
              <w:rPr>
                <w:rFonts w:eastAsia="Times New Roman"/>
                <w:sz w:val="14"/>
                <w:szCs w:val="14"/>
                <w:lang w:val="fr-FR"/>
              </w:rPr>
            </w:pPr>
            <w:r w:rsidRPr="00440C76">
              <w:rPr>
                <w:rFonts w:eastAsia="Times New Roman"/>
                <w:i/>
                <w:sz w:val="14"/>
                <w:szCs w:val="14"/>
                <w:lang w:val="fr-FR"/>
              </w:rPr>
              <w:t>Véhicules équipés d</w:t>
            </w:r>
            <w:r>
              <w:rPr>
                <w:rFonts w:eastAsia="Times New Roman"/>
                <w:i/>
                <w:sz w:val="14"/>
                <w:szCs w:val="14"/>
                <w:lang w:val="fr-FR"/>
              </w:rPr>
              <w:t>’</w:t>
            </w:r>
            <w:r w:rsidRPr="00440C76">
              <w:rPr>
                <w:rFonts w:eastAsia="Times New Roman"/>
                <w:i/>
                <w:sz w:val="14"/>
                <w:szCs w:val="14"/>
                <w:lang w:val="fr-FR"/>
              </w:rPr>
              <w:t>un moteur à allumage commandé,</w:t>
            </w:r>
            <w:r w:rsidRPr="00440C76">
              <w:rPr>
                <w:rFonts w:eastAsia="Times New Roman"/>
                <w:i/>
                <w:sz w:val="14"/>
                <w:szCs w:val="14"/>
                <w:lang w:val="fr-FR"/>
              </w:rPr>
              <w:br/>
              <w:t>y compris les véhicules</w:t>
            </w:r>
            <w:r>
              <w:rPr>
                <w:rFonts w:eastAsia="Times New Roman"/>
                <w:i/>
                <w:sz w:val="14"/>
                <w:szCs w:val="14"/>
                <w:lang w:val="fr-FR"/>
              </w:rPr>
              <w:t> </w:t>
            </w:r>
            <w:r w:rsidRPr="00440C76">
              <w:rPr>
                <w:rFonts w:eastAsia="Times New Roman"/>
                <w:i/>
                <w:sz w:val="14"/>
                <w:szCs w:val="14"/>
                <w:lang w:val="fr-FR"/>
              </w:rPr>
              <w:t>hybrides</w:t>
            </w:r>
            <w:r w:rsidRPr="00440C76">
              <w:rPr>
                <w:sz w:val="14"/>
                <w:szCs w:val="14"/>
                <w:vertAlign w:val="superscript"/>
                <w:lang w:val="fr-FR"/>
              </w:rPr>
              <w:t>1</w:t>
            </w:r>
          </w:p>
        </w:tc>
        <w:tc>
          <w:tcPr>
            <w:tcW w:w="1420" w:type="dxa"/>
            <w:gridSpan w:val="2"/>
            <w:shd w:val="clear" w:color="auto" w:fill="auto"/>
            <w:vAlign w:val="center"/>
          </w:tcPr>
          <w:p w14:paraId="0F3A9C17" w14:textId="77777777" w:rsidR="00BE2CA7" w:rsidRPr="00440C76" w:rsidRDefault="00BE2CA7" w:rsidP="002B0590">
            <w:pPr>
              <w:kinsoku/>
              <w:overflowPunct/>
              <w:autoSpaceDE/>
              <w:autoSpaceDN/>
              <w:adjustRightInd/>
              <w:snapToGrid/>
              <w:spacing w:before="40" w:after="40" w:line="180" w:lineRule="atLeast"/>
              <w:ind w:left="57" w:right="57"/>
              <w:jc w:val="center"/>
              <w:rPr>
                <w:rFonts w:eastAsia="Times New Roman"/>
                <w:sz w:val="14"/>
                <w:szCs w:val="14"/>
                <w:lang w:val="fr-FR"/>
              </w:rPr>
            </w:pPr>
            <w:r w:rsidRPr="00440C76">
              <w:rPr>
                <w:rFonts w:eastAsia="Times New Roman"/>
                <w:i/>
                <w:sz w:val="14"/>
                <w:szCs w:val="14"/>
                <w:lang w:val="fr-FR"/>
              </w:rPr>
              <w:t>Véhicules équipés d</w:t>
            </w:r>
            <w:r>
              <w:rPr>
                <w:rFonts w:eastAsia="Times New Roman"/>
                <w:i/>
                <w:sz w:val="14"/>
                <w:szCs w:val="14"/>
                <w:lang w:val="fr-FR"/>
              </w:rPr>
              <w:t>’</w:t>
            </w:r>
            <w:r w:rsidRPr="00440C76">
              <w:rPr>
                <w:rFonts w:eastAsia="Times New Roman"/>
                <w:i/>
                <w:sz w:val="14"/>
                <w:szCs w:val="14"/>
                <w:lang w:val="fr-FR"/>
              </w:rPr>
              <w:t>un moteur à allumage par compression, y compris les véhicules hybrides</w:t>
            </w:r>
          </w:p>
        </w:tc>
      </w:tr>
      <w:tr w:rsidR="00BE2CA7" w:rsidRPr="00440C76" w14:paraId="2B4916BC" w14:textId="77777777" w:rsidTr="002B0590">
        <w:trPr>
          <w:tblHeader/>
          <w:jc w:val="center"/>
        </w:trPr>
        <w:tc>
          <w:tcPr>
            <w:tcW w:w="1271" w:type="dxa"/>
            <w:vMerge/>
            <w:shd w:val="clear" w:color="auto" w:fill="auto"/>
            <w:vAlign w:val="center"/>
          </w:tcPr>
          <w:p w14:paraId="76116F05" w14:textId="77777777" w:rsidR="00BE2CA7" w:rsidRPr="00440C76" w:rsidRDefault="00BE2CA7" w:rsidP="002B0590">
            <w:pPr>
              <w:kinsoku/>
              <w:overflowPunct/>
              <w:autoSpaceDE/>
              <w:autoSpaceDN/>
              <w:adjustRightInd/>
              <w:snapToGrid/>
              <w:spacing w:before="40" w:after="40" w:line="180" w:lineRule="atLeast"/>
              <w:ind w:left="57" w:right="57"/>
              <w:jc w:val="center"/>
              <w:rPr>
                <w:rFonts w:eastAsia="Times New Roman"/>
                <w:sz w:val="14"/>
                <w:szCs w:val="14"/>
                <w:lang w:val="fr-FR"/>
              </w:rPr>
            </w:pPr>
          </w:p>
        </w:tc>
        <w:tc>
          <w:tcPr>
            <w:tcW w:w="3119" w:type="dxa"/>
            <w:gridSpan w:val="4"/>
            <w:shd w:val="clear" w:color="auto" w:fill="auto"/>
            <w:vAlign w:val="center"/>
          </w:tcPr>
          <w:p w14:paraId="15DD0143" w14:textId="77777777" w:rsidR="00BE2CA7" w:rsidRPr="00440C76" w:rsidRDefault="00BE2CA7" w:rsidP="002B0590">
            <w:pPr>
              <w:kinsoku/>
              <w:overflowPunct/>
              <w:autoSpaceDE/>
              <w:autoSpaceDN/>
              <w:adjustRightInd/>
              <w:snapToGrid/>
              <w:spacing w:before="40" w:after="40" w:line="180" w:lineRule="atLeast"/>
              <w:ind w:left="57" w:right="57"/>
              <w:jc w:val="center"/>
              <w:rPr>
                <w:rFonts w:eastAsia="Times New Roman"/>
                <w:sz w:val="14"/>
                <w:szCs w:val="14"/>
                <w:lang w:val="fr-FR"/>
              </w:rPr>
            </w:pPr>
            <w:proofErr w:type="spellStart"/>
            <w:r w:rsidRPr="00440C76">
              <w:rPr>
                <w:rFonts w:eastAsia="Times New Roman"/>
                <w:i/>
                <w:sz w:val="14"/>
                <w:szCs w:val="14"/>
                <w:lang w:val="fr-FR"/>
              </w:rPr>
              <w:t>Monocarburant</w:t>
            </w:r>
            <w:proofErr w:type="spellEnd"/>
          </w:p>
        </w:tc>
        <w:tc>
          <w:tcPr>
            <w:tcW w:w="2835" w:type="dxa"/>
            <w:gridSpan w:val="3"/>
            <w:shd w:val="clear" w:color="auto" w:fill="auto"/>
            <w:vAlign w:val="center"/>
          </w:tcPr>
          <w:p w14:paraId="5A863749" w14:textId="77777777" w:rsidR="00BE2CA7" w:rsidRPr="00440C76" w:rsidRDefault="00BE2CA7" w:rsidP="002B0590">
            <w:pPr>
              <w:kinsoku/>
              <w:overflowPunct/>
              <w:autoSpaceDE/>
              <w:autoSpaceDN/>
              <w:adjustRightInd/>
              <w:snapToGrid/>
              <w:spacing w:before="40" w:after="40" w:line="180" w:lineRule="atLeast"/>
              <w:ind w:left="57" w:right="57"/>
              <w:jc w:val="center"/>
              <w:rPr>
                <w:rFonts w:eastAsia="Times New Roman"/>
                <w:sz w:val="14"/>
                <w:szCs w:val="14"/>
                <w:lang w:val="fr-FR"/>
              </w:rPr>
            </w:pPr>
            <w:r w:rsidRPr="00440C76">
              <w:rPr>
                <w:rFonts w:eastAsia="Times New Roman"/>
                <w:i/>
                <w:sz w:val="14"/>
                <w:szCs w:val="14"/>
                <w:lang w:val="fr-FR"/>
              </w:rPr>
              <w:t>Bicarburant</w:t>
            </w:r>
            <w:r w:rsidRPr="00440C76">
              <w:rPr>
                <w:sz w:val="14"/>
                <w:szCs w:val="14"/>
                <w:vertAlign w:val="superscript"/>
                <w:lang w:val="fr-FR"/>
              </w:rPr>
              <w:t>2</w:t>
            </w:r>
          </w:p>
        </w:tc>
        <w:tc>
          <w:tcPr>
            <w:tcW w:w="992" w:type="dxa"/>
            <w:shd w:val="clear" w:color="auto" w:fill="auto"/>
            <w:vAlign w:val="center"/>
          </w:tcPr>
          <w:p w14:paraId="6A03E474" w14:textId="77777777" w:rsidR="00BE2CA7" w:rsidRPr="00440C76" w:rsidRDefault="00BE2CA7" w:rsidP="002B0590">
            <w:pPr>
              <w:kinsoku/>
              <w:overflowPunct/>
              <w:autoSpaceDE/>
              <w:autoSpaceDN/>
              <w:adjustRightInd/>
              <w:snapToGrid/>
              <w:spacing w:before="40" w:after="40" w:line="180" w:lineRule="atLeast"/>
              <w:ind w:left="57" w:right="57"/>
              <w:jc w:val="center"/>
              <w:rPr>
                <w:rFonts w:eastAsia="Times New Roman"/>
                <w:sz w:val="14"/>
                <w:szCs w:val="14"/>
                <w:lang w:val="fr-FR"/>
              </w:rPr>
            </w:pPr>
            <w:r w:rsidRPr="00440C76">
              <w:rPr>
                <w:rFonts w:eastAsia="Times New Roman"/>
                <w:i/>
                <w:sz w:val="14"/>
                <w:szCs w:val="14"/>
                <w:lang w:val="fr-FR"/>
              </w:rPr>
              <w:t>Polycarburant</w:t>
            </w:r>
          </w:p>
        </w:tc>
        <w:tc>
          <w:tcPr>
            <w:tcW w:w="1420" w:type="dxa"/>
            <w:gridSpan w:val="2"/>
            <w:shd w:val="clear" w:color="auto" w:fill="auto"/>
            <w:vAlign w:val="center"/>
          </w:tcPr>
          <w:p w14:paraId="3260166D" w14:textId="77777777" w:rsidR="00BE2CA7" w:rsidRPr="00440C76" w:rsidRDefault="00BE2CA7" w:rsidP="002B0590">
            <w:pPr>
              <w:kinsoku/>
              <w:overflowPunct/>
              <w:autoSpaceDE/>
              <w:autoSpaceDN/>
              <w:adjustRightInd/>
              <w:snapToGrid/>
              <w:spacing w:before="40" w:after="40" w:line="180" w:lineRule="atLeast"/>
              <w:ind w:left="57" w:right="57"/>
              <w:jc w:val="center"/>
              <w:rPr>
                <w:rFonts w:eastAsia="Times New Roman"/>
                <w:sz w:val="14"/>
                <w:szCs w:val="14"/>
                <w:lang w:val="fr-FR"/>
              </w:rPr>
            </w:pPr>
            <w:proofErr w:type="spellStart"/>
            <w:r w:rsidRPr="00440C76">
              <w:rPr>
                <w:rFonts w:eastAsia="Times New Roman"/>
                <w:i/>
                <w:sz w:val="14"/>
                <w:szCs w:val="14"/>
                <w:lang w:val="fr-FR"/>
              </w:rPr>
              <w:t>Monocarburant</w:t>
            </w:r>
            <w:proofErr w:type="spellEnd"/>
          </w:p>
        </w:tc>
      </w:tr>
      <w:tr w:rsidR="00BE2CA7" w:rsidRPr="00440C76" w14:paraId="714BECF3" w14:textId="77777777" w:rsidTr="002B0590">
        <w:trPr>
          <w:jc w:val="center"/>
        </w:trPr>
        <w:tc>
          <w:tcPr>
            <w:tcW w:w="1271" w:type="dxa"/>
            <w:vMerge w:val="restart"/>
            <w:shd w:val="clear" w:color="auto" w:fill="auto"/>
          </w:tcPr>
          <w:p w14:paraId="2DF9FA8C" w14:textId="77777777" w:rsidR="00BE2CA7" w:rsidRPr="00440C76" w:rsidRDefault="00BE2CA7" w:rsidP="002B0590">
            <w:pPr>
              <w:kinsoku/>
              <w:overflowPunct/>
              <w:autoSpaceDE/>
              <w:autoSpaceDN/>
              <w:adjustRightInd/>
              <w:snapToGrid/>
              <w:spacing w:before="40" w:after="40" w:line="180" w:lineRule="atLeast"/>
              <w:ind w:left="57" w:right="57"/>
              <w:rPr>
                <w:rFonts w:eastAsia="Times New Roman"/>
                <w:sz w:val="16"/>
                <w:szCs w:val="16"/>
                <w:lang w:val="fr-FR"/>
              </w:rPr>
            </w:pPr>
            <w:r w:rsidRPr="00440C76">
              <w:rPr>
                <w:rFonts w:eastAsia="Times New Roman"/>
                <w:sz w:val="16"/>
                <w:szCs w:val="16"/>
                <w:lang w:val="fr-FR"/>
              </w:rPr>
              <w:t>Carburant de référence</w:t>
            </w:r>
          </w:p>
        </w:tc>
        <w:tc>
          <w:tcPr>
            <w:tcW w:w="709" w:type="dxa"/>
            <w:vMerge w:val="restart"/>
            <w:shd w:val="clear" w:color="auto" w:fill="auto"/>
          </w:tcPr>
          <w:p w14:paraId="6A0D94F0" w14:textId="77777777" w:rsidR="00BE2CA7" w:rsidRPr="00440C76" w:rsidRDefault="00BE2CA7" w:rsidP="002B0590">
            <w:pPr>
              <w:kinsoku/>
              <w:overflowPunct/>
              <w:autoSpaceDE/>
              <w:autoSpaceDN/>
              <w:adjustRightInd/>
              <w:snapToGrid/>
              <w:spacing w:before="40" w:after="40" w:line="180" w:lineRule="atLeast"/>
              <w:ind w:left="57" w:right="57"/>
              <w:rPr>
                <w:rFonts w:eastAsia="Times New Roman"/>
                <w:sz w:val="16"/>
                <w:szCs w:val="16"/>
                <w:lang w:val="fr-FR"/>
              </w:rPr>
            </w:pPr>
            <w:r w:rsidRPr="00440C76">
              <w:rPr>
                <w:rFonts w:eastAsia="Times New Roman"/>
                <w:sz w:val="16"/>
                <w:szCs w:val="16"/>
                <w:lang w:val="fr-FR"/>
              </w:rPr>
              <w:t>Essence</w:t>
            </w:r>
          </w:p>
        </w:tc>
        <w:tc>
          <w:tcPr>
            <w:tcW w:w="567" w:type="dxa"/>
            <w:vMerge w:val="restart"/>
            <w:shd w:val="clear" w:color="auto" w:fill="auto"/>
          </w:tcPr>
          <w:p w14:paraId="2617B15A" w14:textId="77777777" w:rsidR="00BE2CA7" w:rsidRPr="00440C76" w:rsidRDefault="00BE2CA7" w:rsidP="002B0590">
            <w:pPr>
              <w:kinsoku/>
              <w:overflowPunct/>
              <w:autoSpaceDE/>
              <w:autoSpaceDN/>
              <w:adjustRightInd/>
              <w:snapToGrid/>
              <w:spacing w:before="40" w:after="40" w:line="180" w:lineRule="atLeast"/>
              <w:ind w:left="57" w:right="57"/>
              <w:rPr>
                <w:rFonts w:eastAsia="Times New Roman"/>
                <w:sz w:val="16"/>
                <w:szCs w:val="16"/>
                <w:lang w:val="fr-FR"/>
              </w:rPr>
            </w:pPr>
            <w:r w:rsidRPr="00440C76">
              <w:rPr>
                <w:rFonts w:eastAsia="Times New Roman"/>
                <w:sz w:val="16"/>
                <w:szCs w:val="16"/>
                <w:lang w:val="fr-FR"/>
              </w:rPr>
              <w:t>GPL</w:t>
            </w:r>
          </w:p>
        </w:tc>
        <w:tc>
          <w:tcPr>
            <w:tcW w:w="921" w:type="dxa"/>
            <w:vMerge w:val="restart"/>
            <w:shd w:val="clear" w:color="auto" w:fill="auto"/>
          </w:tcPr>
          <w:p w14:paraId="75FB8E54" w14:textId="77777777" w:rsidR="00BE2CA7" w:rsidRPr="00440C76" w:rsidRDefault="00BE2CA7" w:rsidP="002B0590">
            <w:pPr>
              <w:kinsoku/>
              <w:overflowPunct/>
              <w:autoSpaceDE/>
              <w:autoSpaceDN/>
              <w:adjustRightInd/>
              <w:snapToGrid/>
              <w:spacing w:before="40" w:after="40" w:line="180" w:lineRule="atLeast"/>
              <w:ind w:left="57" w:right="57"/>
              <w:rPr>
                <w:rFonts w:eastAsia="Times New Roman"/>
                <w:sz w:val="16"/>
                <w:szCs w:val="16"/>
                <w:lang w:val="fr-FR"/>
              </w:rPr>
            </w:pPr>
            <w:r w:rsidRPr="00440C76">
              <w:rPr>
                <w:rFonts w:eastAsia="Times New Roman"/>
                <w:spacing w:val="-3"/>
                <w:sz w:val="16"/>
                <w:szCs w:val="16"/>
                <w:lang w:val="fr-FR"/>
              </w:rPr>
              <w:t>GN/</w:t>
            </w:r>
            <w:r>
              <w:rPr>
                <w:rFonts w:eastAsia="Times New Roman"/>
                <w:spacing w:val="-3"/>
                <w:sz w:val="16"/>
                <w:szCs w:val="16"/>
                <w:lang w:val="fr-FR"/>
              </w:rPr>
              <w:br/>
            </w:r>
            <w:r w:rsidRPr="00440C76">
              <w:rPr>
                <w:rFonts w:eastAsia="Times New Roman"/>
                <w:spacing w:val="-3"/>
                <w:sz w:val="16"/>
                <w:szCs w:val="16"/>
                <w:lang w:val="fr-FR"/>
              </w:rPr>
              <w:t>biométhane</w:t>
            </w:r>
          </w:p>
        </w:tc>
        <w:tc>
          <w:tcPr>
            <w:tcW w:w="922" w:type="dxa"/>
            <w:vMerge w:val="restart"/>
            <w:shd w:val="clear" w:color="auto" w:fill="auto"/>
          </w:tcPr>
          <w:p w14:paraId="4E90150A" w14:textId="77777777" w:rsidR="00BE2CA7" w:rsidRPr="00440C76" w:rsidRDefault="00BE2CA7" w:rsidP="002B0590">
            <w:pPr>
              <w:kinsoku/>
              <w:overflowPunct/>
              <w:autoSpaceDE/>
              <w:autoSpaceDN/>
              <w:adjustRightInd/>
              <w:snapToGrid/>
              <w:spacing w:before="40" w:after="40" w:line="180" w:lineRule="atLeast"/>
              <w:ind w:left="57" w:right="57"/>
              <w:rPr>
                <w:rFonts w:eastAsia="Times New Roman"/>
                <w:sz w:val="16"/>
                <w:szCs w:val="16"/>
                <w:lang w:val="fr-FR"/>
              </w:rPr>
            </w:pPr>
            <w:r w:rsidRPr="00440C76">
              <w:rPr>
                <w:rFonts w:eastAsia="Times New Roman"/>
                <w:sz w:val="16"/>
                <w:szCs w:val="16"/>
                <w:lang w:val="fr-FR"/>
              </w:rPr>
              <w:t>Hydrogène (moteur à combustion interne)</w:t>
            </w:r>
          </w:p>
        </w:tc>
        <w:tc>
          <w:tcPr>
            <w:tcW w:w="945" w:type="dxa"/>
            <w:shd w:val="clear" w:color="auto" w:fill="auto"/>
          </w:tcPr>
          <w:p w14:paraId="08840976" w14:textId="77777777" w:rsidR="00BE2CA7" w:rsidRPr="00440C76" w:rsidRDefault="00BE2CA7" w:rsidP="002B0590">
            <w:pPr>
              <w:kinsoku/>
              <w:overflowPunct/>
              <w:autoSpaceDE/>
              <w:autoSpaceDN/>
              <w:adjustRightInd/>
              <w:snapToGrid/>
              <w:spacing w:before="40" w:after="40" w:line="180" w:lineRule="atLeast"/>
              <w:ind w:left="57" w:right="57"/>
              <w:rPr>
                <w:rFonts w:eastAsia="Times New Roman"/>
                <w:sz w:val="16"/>
                <w:szCs w:val="16"/>
                <w:lang w:val="fr-FR"/>
              </w:rPr>
            </w:pPr>
            <w:r w:rsidRPr="00440C76">
              <w:rPr>
                <w:rFonts w:eastAsia="Times New Roman"/>
                <w:sz w:val="16"/>
                <w:szCs w:val="16"/>
                <w:lang w:val="fr-FR"/>
              </w:rPr>
              <w:t xml:space="preserve">Essence </w:t>
            </w:r>
          </w:p>
        </w:tc>
        <w:tc>
          <w:tcPr>
            <w:tcW w:w="945" w:type="dxa"/>
            <w:shd w:val="clear" w:color="auto" w:fill="auto"/>
          </w:tcPr>
          <w:p w14:paraId="4C6BABC3" w14:textId="77777777" w:rsidR="00BE2CA7" w:rsidRPr="00440C76" w:rsidRDefault="00BE2CA7" w:rsidP="002B0590">
            <w:pPr>
              <w:kinsoku/>
              <w:overflowPunct/>
              <w:autoSpaceDE/>
              <w:autoSpaceDN/>
              <w:adjustRightInd/>
              <w:snapToGrid/>
              <w:spacing w:before="40" w:after="40" w:line="180" w:lineRule="atLeast"/>
              <w:ind w:left="57" w:right="57"/>
              <w:rPr>
                <w:rFonts w:eastAsia="Times New Roman"/>
                <w:sz w:val="16"/>
                <w:szCs w:val="16"/>
                <w:lang w:val="fr-FR"/>
              </w:rPr>
            </w:pPr>
            <w:r w:rsidRPr="00440C76">
              <w:rPr>
                <w:rFonts w:eastAsia="Times New Roman"/>
                <w:sz w:val="16"/>
                <w:szCs w:val="16"/>
                <w:lang w:val="fr-FR"/>
              </w:rPr>
              <w:t>Essence</w:t>
            </w:r>
          </w:p>
        </w:tc>
        <w:tc>
          <w:tcPr>
            <w:tcW w:w="945" w:type="dxa"/>
            <w:shd w:val="clear" w:color="auto" w:fill="auto"/>
          </w:tcPr>
          <w:p w14:paraId="59A94502" w14:textId="77777777" w:rsidR="00BE2CA7" w:rsidRPr="00440C76" w:rsidRDefault="00BE2CA7" w:rsidP="002B0590">
            <w:pPr>
              <w:kinsoku/>
              <w:overflowPunct/>
              <w:autoSpaceDE/>
              <w:autoSpaceDN/>
              <w:adjustRightInd/>
              <w:snapToGrid/>
              <w:spacing w:before="40" w:after="40" w:line="180" w:lineRule="atLeast"/>
              <w:ind w:left="57" w:right="57"/>
              <w:rPr>
                <w:rFonts w:eastAsia="Times New Roman"/>
                <w:sz w:val="16"/>
                <w:szCs w:val="16"/>
                <w:lang w:val="fr-FR"/>
              </w:rPr>
            </w:pPr>
            <w:r w:rsidRPr="00440C76">
              <w:rPr>
                <w:rFonts w:eastAsia="Times New Roman"/>
                <w:sz w:val="16"/>
                <w:szCs w:val="16"/>
                <w:lang w:val="fr-FR"/>
              </w:rPr>
              <w:t>Essence</w:t>
            </w:r>
          </w:p>
        </w:tc>
        <w:tc>
          <w:tcPr>
            <w:tcW w:w="992" w:type="dxa"/>
            <w:shd w:val="clear" w:color="auto" w:fill="auto"/>
          </w:tcPr>
          <w:p w14:paraId="4DC95084" w14:textId="77777777" w:rsidR="00BE2CA7" w:rsidRPr="00440C76" w:rsidRDefault="00BE2CA7" w:rsidP="002B0590">
            <w:pPr>
              <w:kinsoku/>
              <w:overflowPunct/>
              <w:autoSpaceDE/>
              <w:autoSpaceDN/>
              <w:adjustRightInd/>
              <w:snapToGrid/>
              <w:spacing w:before="40" w:after="40" w:line="180" w:lineRule="atLeast"/>
              <w:ind w:left="57" w:right="57"/>
              <w:rPr>
                <w:rFonts w:eastAsia="Times New Roman"/>
                <w:sz w:val="16"/>
                <w:szCs w:val="16"/>
                <w:lang w:val="fr-FR"/>
              </w:rPr>
            </w:pPr>
            <w:r w:rsidRPr="00440C76">
              <w:rPr>
                <w:rFonts w:eastAsia="Times New Roman"/>
                <w:sz w:val="16"/>
                <w:szCs w:val="16"/>
                <w:lang w:val="fr-FR"/>
              </w:rPr>
              <w:t>Essence</w:t>
            </w:r>
          </w:p>
        </w:tc>
        <w:tc>
          <w:tcPr>
            <w:tcW w:w="710" w:type="dxa"/>
            <w:vMerge w:val="restart"/>
            <w:shd w:val="clear" w:color="auto" w:fill="auto"/>
          </w:tcPr>
          <w:p w14:paraId="3F22BC48" w14:textId="77777777" w:rsidR="00BE2CA7" w:rsidRPr="00440C76" w:rsidRDefault="00BE2CA7" w:rsidP="002B0590">
            <w:pPr>
              <w:kinsoku/>
              <w:overflowPunct/>
              <w:autoSpaceDE/>
              <w:autoSpaceDN/>
              <w:adjustRightInd/>
              <w:snapToGrid/>
              <w:spacing w:before="40" w:after="40" w:line="180" w:lineRule="atLeast"/>
              <w:ind w:left="57" w:right="57"/>
              <w:rPr>
                <w:rFonts w:eastAsia="Times New Roman"/>
                <w:sz w:val="16"/>
                <w:szCs w:val="16"/>
                <w:lang w:val="fr-FR"/>
              </w:rPr>
            </w:pPr>
            <w:r w:rsidRPr="00440C76">
              <w:rPr>
                <w:rFonts w:eastAsia="Times New Roman"/>
                <w:sz w:val="16"/>
                <w:szCs w:val="16"/>
                <w:lang w:val="fr-FR"/>
              </w:rPr>
              <w:t>Gazole</w:t>
            </w:r>
          </w:p>
        </w:tc>
        <w:tc>
          <w:tcPr>
            <w:tcW w:w="710" w:type="dxa"/>
            <w:vMerge w:val="restart"/>
            <w:shd w:val="clear" w:color="auto" w:fill="auto"/>
          </w:tcPr>
          <w:p w14:paraId="329DF850" w14:textId="77777777" w:rsidR="00BE2CA7" w:rsidRPr="00440C76" w:rsidRDefault="00BE2CA7" w:rsidP="002B0590">
            <w:pPr>
              <w:kinsoku/>
              <w:overflowPunct/>
              <w:autoSpaceDE/>
              <w:autoSpaceDN/>
              <w:adjustRightInd/>
              <w:snapToGrid/>
              <w:spacing w:before="40" w:after="40" w:line="180" w:lineRule="atLeast"/>
              <w:ind w:left="57" w:right="57"/>
              <w:rPr>
                <w:rFonts w:eastAsia="Times New Roman"/>
                <w:sz w:val="16"/>
                <w:szCs w:val="16"/>
                <w:lang w:val="fr-FR"/>
              </w:rPr>
            </w:pPr>
            <w:r w:rsidRPr="00440C76">
              <w:rPr>
                <w:rFonts w:eastAsia="Times New Roman"/>
                <w:sz w:val="16"/>
                <w:szCs w:val="16"/>
                <w:lang w:val="fr-FR"/>
              </w:rPr>
              <w:t>Essence</w:t>
            </w:r>
          </w:p>
        </w:tc>
      </w:tr>
      <w:tr w:rsidR="00BE2CA7" w:rsidRPr="00440C76" w14:paraId="6BCF8F98" w14:textId="77777777" w:rsidTr="002B0590">
        <w:trPr>
          <w:jc w:val="center"/>
        </w:trPr>
        <w:tc>
          <w:tcPr>
            <w:tcW w:w="1271" w:type="dxa"/>
            <w:vMerge/>
            <w:shd w:val="clear" w:color="auto" w:fill="auto"/>
          </w:tcPr>
          <w:p w14:paraId="08CE28F5" w14:textId="77777777" w:rsidR="00BE2CA7" w:rsidRPr="00440C76" w:rsidRDefault="00BE2CA7" w:rsidP="002B0590">
            <w:pPr>
              <w:kinsoku/>
              <w:overflowPunct/>
              <w:autoSpaceDE/>
              <w:autoSpaceDN/>
              <w:adjustRightInd/>
              <w:snapToGrid/>
              <w:spacing w:before="40" w:after="40" w:line="180" w:lineRule="atLeast"/>
              <w:ind w:left="57" w:right="57"/>
              <w:rPr>
                <w:rFonts w:eastAsia="Times New Roman"/>
                <w:sz w:val="16"/>
                <w:szCs w:val="16"/>
                <w:lang w:val="fr-FR"/>
              </w:rPr>
            </w:pPr>
          </w:p>
        </w:tc>
        <w:tc>
          <w:tcPr>
            <w:tcW w:w="709" w:type="dxa"/>
            <w:vMerge/>
            <w:shd w:val="clear" w:color="auto" w:fill="auto"/>
          </w:tcPr>
          <w:p w14:paraId="6805EA16" w14:textId="77777777" w:rsidR="00BE2CA7" w:rsidRPr="00440C76" w:rsidRDefault="00BE2CA7" w:rsidP="002B0590">
            <w:pPr>
              <w:kinsoku/>
              <w:overflowPunct/>
              <w:autoSpaceDE/>
              <w:autoSpaceDN/>
              <w:adjustRightInd/>
              <w:snapToGrid/>
              <w:spacing w:before="40" w:after="40" w:line="180" w:lineRule="atLeast"/>
              <w:ind w:left="57" w:right="57"/>
              <w:rPr>
                <w:rFonts w:eastAsia="Times New Roman"/>
                <w:sz w:val="16"/>
                <w:szCs w:val="16"/>
                <w:lang w:val="fr-FR"/>
              </w:rPr>
            </w:pPr>
          </w:p>
        </w:tc>
        <w:tc>
          <w:tcPr>
            <w:tcW w:w="567" w:type="dxa"/>
            <w:vMerge/>
            <w:shd w:val="clear" w:color="auto" w:fill="auto"/>
          </w:tcPr>
          <w:p w14:paraId="45F238D7" w14:textId="77777777" w:rsidR="00BE2CA7" w:rsidRPr="00440C76" w:rsidRDefault="00BE2CA7" w:rsidP="002B0590">
            <w:pPr>
              <w:kinsoku/>
              <w:overflowPunct/>
              <w:autoSpaceDE/>
              <w:autoSpaceDN/>
              <w:adjustRightInd/>
              <w:snapToGrid/>
              <w:spacing w:before="40" w:after="40" w:line="180" w:lineRule="atLeast"/>
              <w:ind w:left="57" w:right="57"/>
              <w:rPr>
                <w:rFonts w:eastAsia="Times New Roman"/>
                <w:sz w:val="16"/>
                <w:szCs w:val="16"/>
                <w:lang w:val="fr-FR"/>
              </w:rPr>
            </w:pPr>
          </w:p>
        </w:tc>
        <w:tc>
          <w:tcPr>
            <w:tcW w:w="921" w:type="dxa"/>
            <w:vMerge/>
            <w:shd w:val="clear" w:color="auto" w:fill="auto"/>
          </w:tcPr>
          <w:p w14:paraId="787B6AB1" w14:textId="77777777" w:rsidR="00BE2CA7" w:rsidRPr="00440C76" w:rsidRDefault="00BE2CA7" w:rsidP="002B0590">
            <w:pPr>
              <w:kinsoku/>
              <w:overflowPunct/>
              <w:autoSpaceDE/>
              <w:autoSpaceDN/>
              <w:adjustRightInd/>
              <w:snapToGrid/>
              <w:spacing w:before="40" w:after="40" w:line="180" w:lineRule="atLeast"/>
              <w:ind w:left="57" w:right="57"/>
              <w:rPr>
                <w:rFonts w:eastAsia="Times New Roman"/>
                <w:sz w:val="16"/>
                <w:szCs w:val="16"/>
                <w:lang w:val="fr-FR"/>
              </w:rPr>
            </w:pPr>
          </w:p>
        </w:tc>
        <w:tc>
          <w:tcPr>
            <w:tcW w:w="922" w:type="dxa"/>
            <w:vMerge/>
            <w:shd w:val="clear" w:color="auto" w:fill="auto"/>
          </w:tcPr>
          <w:p w14:paraId="31B8F94B" w14:textId="77777777" w:rsidR="00BE2CA7" w:rsidRPr="00440C76" w:rsidRDefault="00BE2CA7" w:rsidP="002B0590">
            <w:pPr>
              <w:kinsoku/>
              <w:overflowPunct/>
              <w:autoSpaceDE/>
              <w:autoSpaceDN/>
              <w:adjustRightInd/>
              <w:snapToGrid/>
              <w:spacing w:before="40" w:after="40" w:line="180" w:lineRule="atLeast"/>
              <w:ind w:left="57" w:right="57"/>
              <w:rPr>
                <w:rFonts w:eastAsia="Times New Roman"/>
                <w:sz w:val="16"/>
                <w:szCs w:val="16"/>
                <w:lang w:val="fr-FR"/>
              </w:rPr>
            </w:pPr>
          </w:p>
        </w:tc>
        <w:tc>
          <w:tcPr>
            <w:tcW w:w="945" w:type="dxa"/>
            <w:shd w:val="clear" w:color="auto" w:fill="auto"/>
          </w:tcPr>
          <w:p w14:paraId="204088CA" w14:textId="77777777" w:rsidR="00BE2CA7" w:rsidRPr="00440C76" w:rsidRDefault="00BE2CA7" w:rsidP="002B0590">
            <w:pPr>
              <w:kinsoku/>
              <w:overflowPunct/>
              <w:autoSpaceDE/>
              <w:autoSpaceDN/>
              <w:adjustRightInd/>
              <w:snapToGrid/>
              <w:spacing w:before="40" w:after="40" w:line="180" w:lineRule="atLeast"/>
              <w:ind w:left="57" w:right="57"/>
              <w:rPr>
                <w:rFonts w:eastAsia="Times New Roman"/>
                <w:sz w:val="16"/>
                <w:szCs w:val="16"/>
                <w:lang w:val="fr-FR"/>
              </w:rPr>
            </w:pPr>
            <w:r w:rsidRPr="00440C76">
              <w:rPr>
                <w:rFonts w:eastAsia="Times New Roman"/>
                <w:sz w:val="16"/>
                <w:szCs w:val="16"/>
                <w:lang w:val="fr-FR"/>
              </w:rPr>
              <w:t>GPL</w:t>
            </w:r>
          </w:p>
        </w:tc>
        <w:tc>
          <w:tcPr>
            <w:tcW w:w="945" w:type="dxa"/>
            <w:tcBorders>
              <w:top w:val="nil"/>
            </w:tcBorders>
            <w:shd w:val="clear" w:color="auto" w:fill="auto"/>
          </w:tcPr>
          <w:p w14:paraId="66CC7F5A" w14:textId="77777777" w:rsidR="00BE2CA7" w:rsidRPr="00440C76" w:rsidRDefault="00BE2CA7" w:rsidP="002B0590">
            <w:pPr>
              <w:kinsoku/>
              <w:overflowPunct/>
              <w:autoSpaceDE/>
              <w:autoSpaceDN/>
              <w:adjustRightInd/>
              <w:snapToGrid/>
              <w:spacing w:before="40" w:after="40" w:line="180" w:lineRule="atLeast"/>
              <w:ind w:left="57" w:right="57"/>
              <w:rPr>
                <w:rFonts w:eastAsia="Times New Roman"/>
                <w:sz w:val="16"/>
                <w:szCs w:val="16"/>
                <w:lang w:val="fr-FR"/>
              </w:rPr>
            </w:pPr>
            <w:r w:rsidRPr="00440C76">
              <w:rPr>
                <w:rFonts w:eastAsia="Times New Roman"/>
                <w:sz w:val="16"/>
                <w:szCs w:val="16"/>
                <w:lang w:val="fr-FR"/>
              </w:rPr>
              <w:t>GN/</w:t>
            </w:r>
            <w:r>
              <w:rPr>
                <w:rFonts w:eastAsia="Times New Roman"/>
                <w:sz w:val="16"/>
                <w:szCs w:val="16"/>
                <w:lang w:val="fr-FR"/>
              </w:rPr>
              <w:br/>
            </w:r>
            <w:r w:rsidRPr="00440C76">
              <w:rPr>
                <w:rFonts w:eastAsia="Times New Roman"/>
                <w:sz w:val="16"/>
                <w:szCs w:val="16"/>
                <w:lang w:val="fr-FR"/>
              </w:rPr>
              <w:t>biométhane</w:t>
            </w:r>
          </w:p>
        </w:tc>
        <w:tc>
          <w:tcPr>
            <w:tcW w:w="945" w:type="dxa"/>
            <w:tcBorders>
              <w:top w:val="nil"/>
            </w:tcBorders>
            <w:shd w:val="clear" w:color="auto" w:fill="auto"/>
          </w:tcPr>
          <w:p w14:paraId="4E3E94F5" w14:textId="77777777" w:rsidR="00BE2CA7" w:rsidRPr="00440C76" w:rsidRDefault="00BE2CA7" w:rsidP="002B0590">
            <w:pPr>
              <w:kinsoku/>
              <w:overflowPunct/>
              <w:autoSpaceDE/>
              <w:autoSpaceDN/>
              <w:adjustRightInd/>
              <w:snapToGrid/>
              <w:spacing w:before="40" w:after="40" w:line="180" w:lineRule="atLeast"/>
              <w:ind w:left="57" w:right="57"/>
              <w:rPr>
                <w:rFonts w:eastAsia="Times New Roman"/>
                <w:sz w:val="16"/>
                <w:szCs w:val="16"/>
                <w:lang w:val="fr-FR"/>
              </w:rPr>
            </w:pPr>
            <w:r w:rsidRPr="00440C76">
              <w:rPr>
                <w:rFonts w:eastAsia="Times New Roman"/>
                <w:sz w:val="16"/>
                <w:szCs w:val="16"/>
                <w:lang w:val="fr-FR"/>
              </w:rPr>
              <w:t xml:space="preserve">Hydrogène </w:t>
            </w:r>
            <w:r w:rsidRPr="00440C76">
              <w:rPr>
                <w:rFonts w:eastAsia="Times New Roman"/>
                <w:sz w:val="16"/>
                <w:szCs w:val="16"/>
                <w:lang w:val="fr-FR"/>
              </w:rPr>
              <w:br/>
              <w:t>(moteur à combustion interne)</w:t>
            </w:r>
          </w:p>
        </w:tc>
        <w:tc>
          <w:tcPr>
            <w:tcW w:w="992" w:type="dxa"/>
            <w:tcBorders>
              <w:top w:val="nil"/>
            </w:tcBorders>
            <w:shd w:val="clear" w:color="auto" w:fill="auto"/>
          </w:tcPr>
          <w:p w14:paraId="51E55F1B" w14:textId="77777777" w:rsidR="00BE2CA7" w:rsidRPr="00440C76" w:rsidRDefault="00BE2CA7" w:rsidP="002B0590">
            <w:pPr>
              <w:kinsoku/>
              <w:overflowPunct/>
              <w:autoSpaceDE/>
              <w:autoSpaceDN/>
              <w:adjustRightInd/>
              <w:snapToGrid/>
              <w:spacing w:before="40" w:after="40" w:line="180" w:lineRule="atLeast"/>
              <w:ind w:left="57" w:right="57"/>
              <w:rPr>
                <w:rFonts w:eastAsia="Times New Roman"/>
                <w:sz w:val="16"/>
                <w:szCs w:val="16"/>
                <w:lang w:val="fr-FR"/>
              </w:rPr>
            </w:pPr>
            <w:r w:rsidRPr="00440C76">
              <w:rPr>
                <w:rFonts w:eastAsia="Times New Roman"/>
                <w:sz w:val="16"/>
                <w:szCs w:val="16"/>
                <w:lang w:val="fr-FR"/>
              </w:rPr>
              <w:t>Éthanol (E85)</w:t>
            </w:r>
          </w:p>
        </w:tc>
        <w:tc>
          <w:tcPr>
            <w:tcW w:w="710" w:type="dxa"/>
            <w:vMerge/>
            <w:shd w:val="clear" w:color="auto" w:fill="auto"/>
          </w:tcPr>
          <w:p w14:paraId="677E826C" w14:textId="77777777" w:rsidR="00BE2CA7" w:rsidRPr="00440C76" w:rsidRDefault="00BE2CA7" w:rsidP="002B0590">
            <w:pPr>
              <w:kinsoku/>
              <w:overflowPunct/>
              <w:autoSpaceDE/>
              <w:autoSpaceDN/>
              <w:adjustRightInd/>
              <w:snapToGrid/>
              <w:spacing w:before="40" w:after="40" w:line="180" w:lineRule="atLeast"/>
              <w:ind w:left="57" w:right="57"/>
              <w:rPr>
                <w:rFonts w:eastAsia="Times New Roman"/>
                <w:sz w:val="16"/>
                <w:szCs w:val="16"/>
                <w:lang w:val="fr-FR"/>
              </w:rPr>
            </w:pPr>
          </w:p>
        </w:tc>
        <w:tc>
          <w:tcPr>
            <w:tcW w:w="710" w:type="dxa"/>
            <w:vMerge/>
            <w:tcBorders>
              <w:top w:val="nil"/>
            </w:tcBorders>
            <w:shd w:val="clear" w:color="auto" w:fill="auto"/>
          </w:tcPr>
          <w:p w14:paraId="7B5E4D7C" w14:textId="77777777" w:rsidR="00BE2CA7" w:rsidRPr="00440C76" w:rsidRDefault="00BE2CA7" w:rsidP="002B0590">
            <w:pPr>
              <w:kinsoku/>
              <w:overflowPunct/>
              <w:autoSpaceDE/>
              <w:autoSpaceDN/>
              <w:adjustRightInd/>
              <w:snapToGrid/>
              <w:spacing w:before="40" w:after="40" w:line="180" w:lineRule="atLeast"/>
              <w:ind w:left="57" w:right="57"/>
              <w:rPr>
                <w:rFonts w:eastAsia="Times New Roman"/>
                <w:sz w:val="16"/>
                <w:szCs w:val="16"/>
                <w:lang w:val="fr-FR"/>
              </w:rPr>
            </w:pPr>
          </w:p>
        </w:tc>
      </w:tr>
      <w:tr w:rsidR="00BE2CA7" w:rsidRPr="00440C76" w14:paraId="08D70CBD" w14:textId="77777777" w:rsidTr="002B0590">
        <w:trPr>
          <w:jc w:val="center"/>
        </w:trPr>
        <w:tc>
          <w:tcPr>
            <w:tcW w:w="1271" w:type="dxa"/>
            <w:shd w:val="clear" w:color="auto" w:fill="auto"/>
          </w:tcPr>
          <w:p w14:paraId="14C4BCAC" w14:textId="77777777" w:rsidR="00BE2CA7" w:rsidRPr="00440C76" w:rsidRDefault="00BE2CA7" w:rsidP="002B0590">
            <w:pPr>
              <w:kinsoku/>
              <w:overflowPunct/>
              <w:autoSpaceDE/>
              <w:autoSpaceDN/>
              <w:adjustRightInd/>
              <w:snapToGrid/>
              <w:spacing w:before="40" w:after="40" w:line="180" w:lineRule="atLeast"/>
              <w:ind w:left="57" w:right="57"/>
              <w:rPr>
                <w:rFonts w:eastAsia="Times New Roman"/>
                <w:sz w:val="16"/>
                <w:szCs w:val="16"/>
                <w:lang w:val="fr-FR"/>
              </w:rPr>
            </w:pPr>
            <w:r w:rsidRPr="00440C76">
              <w:rPr>
                <w:rFonts w:eastAsia="Times New Roman"/>
                <w:sz w:val="16"/>
                <w:szCs w:val="16"/>
                <w:lang w:val="fr-FR"/>
              </w:rPr>
              <w:t xml:space="preserve">Émissions au ralenti </w:t>
            </w:r>
            <w:r w:rsidRPr="00440C76">
              <w:rPr>
                <w:rFonts w:eastAsia="Times New Roman"/>
                <w:sz w:val="16"/>
                <w:szCs w:val="16"/>
                <w:lang w:val="fr-FR"/>
              </w:rPr>
              <w:br/>
              <w:t>(essai du type</w:t>
            </w:r>
            <w:r>
              <w:rPr>
                <w:rFonts w:eastAsia="Times New Roman"/>
                <w:sz w:val="16"/>
                <w:szCs w:val="16"/>
                <w:lang w:val="fr-FR"/>
              </w:rPr>
              <w:t> </w:t>
            </w:r>
            <w:r w:rsidRPr="00440C76">
              <w:rPr>
                <w:rFonts w:eastAsia="Times New Roman"/>
                <w:sz w:val="16"/>
                <w:szCs w:val="16"/>
                <w:lang w:val="fr-FR"/>
              </w:rPr>
              <w:t>2)</w:t>
            </w:r>
          </w:p>
        </w:tc>
        <w:tc>
          <w:tcPr>
            <w:tcW w:w="709" w:type="dxa"/>
            <w:shd w:val="clear" w:color="auto" w:fill="auto"/>
          </w:tcPr>
          <w:p w14:paraId="5A86CF1A" w14:textId="77777777" w:rsidR="00BE2CA7" w:rsidRPr="00440C76" w:rsidRDefault="00BE2CA7" w:rsidP="002B0590">
            <w:pPr>
              <w:kinsoku/>
              <w:overflowPunct/>
              <w:autoSpaceDE/>
              <w:autoSpaceDN/>
              <w:adjustRightInd/>
              <w:snapToGrid/>
              <w:spacing w:before="40" w:after="40" w:line="180" w:lineRule="atLeast"/>
              <w:ind w:left="57" w:right="57"/>
              <w:rPr>
                <w:rFonts w:eastAsia="Times New Roman"/>
                <w:sz w:val="16"/>
                <w:szCs w:val="16"/>
                <w:lang w:val="fr-FR"/>
              </w:rPr>
            </w:pPr>
            <w:r w:rsidRPr="00440C76">
              <w:rPr>
                <w:rFonts w:eastAsia="Times New Roman"/>
                <w:sz w:val="16"/>
                <w:szCs w:val="16"/>
                <w:lang w:val="fr-FR"/>
              </w:rPr>
              <w:t>Oui</w:t>
            </w:r>
          </w:p>
        </w:tc>
        <w:tc>
          <w:tcPr>
            <w:tcW w:w="567" w:type="dxa"/>
            <w:shd w:val="clear" w:color="auto" w:fill="auto"/>
          </w:tcPr>
          <w:p w14:paraId="00C3F044" w14:textId="77777777" w:rsidR="00BE2CA7" w:rsidRPr="00440C76" w:rsidRDefault="00BE2CA7" w:rsidP="002B0590">
            <w:pPr>
              <w:kinsoku/>
              <w:overflowPunct/>
              <w:autoSpaceDE/>
              <w:autoSpaceDN/>
              <w:adjustRightInd/>
              <w:snapToGrid/>
              <w:spacing w:before="40" w:after="40" w:line="180" w:lineRule="atLeast"/>
              <w:ind w:left="57" w:right="57"/>
              <w:rPr>
                <w:rFonts w:eastAsia="Times New Roman"/>
                <w:sz w:val="16"/>
                <w:szCs w:val="16"/>
                <w:lang w:val="fr-FR"/>
              </w:rPr>
            </w:pPr>
            <w:r w:rsidRPr="00440C76">
              <w:rPr>
                <w:rFonts w:eastAsia="Times New Roman"/>
                <w:sz w:val="16"/>
                <w:szCs w:val="16"/>
                <w:lang w:val="fr-FR"/>
              </w:rPr>
              <w:t>Oui</w:t>
            </w:r>
          </w:p>
        </w:tc>
        <w:tc>
          <w:tcPr>
            <w:tcW w:w="921" w:type="dxa"/>
            <w:shd w:val="clear" w:color="auto" w:fill="auto"/>
          </w:tcPr>
          <w:p w14:paraId="77E50FAE" w14:textId="77777777" w:rsidR="00BE2CA7" w:rsidRPr="00440C76" w:rsidRDefault="00BE2CA7" w:rsidP="002B0590">
            <w:pPr>
              <w:kinsoku/>
              <w:overflowPunct/>
              <w:autoSpaceDE/>
              <w:autoSpaceDN/>
              <w:adjustRightInd/>
              <w:snapToGrid/>
              <w:spacing w:before="40" w:after="40" w:line="180" w:lineRule="atLeast"/>
              <w:ind w:left="57" w:right="57"/>
              <w:rPr>
                <w:rFonts w:eastAsia="Times New Roman"/>
                <w:sz w:val="16"/>
                <w:szCs w:val="16"/>
                <w:lang w:val="fr-FR"/>
              </w:rPr>
            </w:pPr>
            <w:r w:rsidRPr="00440C76">
              <w:rPr>
                <w:rFonts w:eastAsia="Times New Roman"/>
                <w:sz w:val="16"/>
                <w:szCs w:val="16"/>
                <w:lang w:val="fr-FR"/>
              </w:rPr>
              <w:t>Oui</w:t>
            </w:r>
          </w:p>
        </w:tc>
        <w:tc>
          <w:tcPr>
            <w:tcW w:w="922" w:type="dxa"/>
            <w:shd w:val="clear" w:color="auto" w:fill="auto"/>
          </w:tcPr>
          <w:p w14:paraId="29978225" w14:textId="77777777" w:rsidR="00BE2CA7" w:rsidRPr="00440C76" w:rsidRDefault="00BE2CA7" w:rsidP="002B0590">
            <w:pPr>
              <w:kinsoku/>
              <w:overflowPunct/>
              <w:autoSpaceDE/>
              <w:autoSpaceDN/>
              <w:adjustRightInd/>
              <w:snapToGrid/>
              <w:spacing w:before="40" w:after="40" w:line="180" w:lineRule="atLeast"/>
              <w:ind w:left="57" w:right="57"/>
              <w:rPr>
                <w:rFonts w:eastAsia="Times New Roman"/>
                <w:sz w:val="16"/>
                <w:szCs w:val="16"/>
                <w:lang w:val="fr-FR"/>
              </w:rPr>
            </w:pPr>
            <w:r w:rsidRPr="00440C76">
              <w:rPr>
                <w:sz w:val="16"/>
                <w:szCs w:val="16"/>
                <w:lang w:val="fr-FR"/>
              </w:rPr>
              <w:t>-</w:t>
            </w:r>
          </w:p>
        </w:tc>
        <w:tc>
          <w:tcPr>
            <w:tcW w:w="945" w:type="dxa"/>
            <w:shd w:val="clear" w:color="auto" w:fill="auto"/>
          </w:tcPr>
          <w:p w14:paraId="34689517" w14:textId="77777777" w:rsidR="00BE2CA7" w:rsidRPr="00440C76" w:rsidRDefault="00BE2CA7" w:rsidP="002B0590">
            <w:pPr>
              <w:kinsoku/>
              <w:overflowPunct/>
              <w:autoSpaceDE/>
              <w:autoSpaceDN/>
              <w:adjustRightInd/>
              <w:snapToGrid/>
              <w:spacing w:before="40" w:after="40" w:line="180" w:lineRule="atLeast"/>
              <w:ind w:left="57" w:right="57"/>
              <w:rPr>
                <w:rFonts w:eastAsia="Times New Roman"/>
                <w:spacing w:val="-2"/>
                <w:sz w:val="16"/>
                <w:szCs w:val="16"/>
                <w:lang w:val="fr-FR"/>
              </w:rPr>
            </w:pPr>
            <w:r w:rsidRPr="00440C76">
              <w:rPr>
                <w:rFonts w:eastAsia="Times New Roman"/>
                <w:spacing w:val="-2"/>
                <w:sz w:val="16"/>
                <w:szCs w:val="16"/>
                <w:lang w:val="fr-FR"/>
              </w:rPr>
              <w:t xml:space="preserve">Oui </w:t>
            </w:r>
            <w:r w:rsidRPr="00440C76">
              <w:rPr>
                <w:rFonts w:eastAsia="Times New Roman"/>
                <w:spacing w:val="-2"/>
                <w:sz w:val="16"/>
                <w:szCs w:val="16"/>
                <w:lang w:val="fr-FR"/>
              </w:rPr>
              <w:br/>
              <w:t>(les deux carburants)</w:t>
            </w:r>
          </w:p>
        </w:tc>
        <w:tc>
          <w:tcPr>
            <w:tcW w:w="945" w:type="dxa"/>
            <w:shd w:val="clear" w:color="auto" w:fill="auto"/>
          </w:tcPr>
          <w:p w14:paraId="2B2C706B" w14:textId="77777777" w:rsidR="00BE2CA7" w:rsidRPr="00440C76" w:rsidRDefault="00BE2CA7" w:rsidP="002B0590">
            <w:pPr>
              <w:kinsoku/>
              <w:overflowPunct/>
              <w:autoSpaceDE/>
              <w:autoSpaceDN/>
              <w:adjustRightInd/>
              <w:snapToGrid/>
              <w:spacing w:before="40" w:after="40" w:line="180" w:lineRule="atLeast"/>
              <w:ind w:left="57" w:right="57"/>
              <w:rPr>
                <w:rFonts w:eastAsia="Times New Roman"/>
                <w:spacing w:val="-3"/>
                <w:sz w:val="16"/>
                <w:szCs w:val="16"/>
                <w:lang w:val="fr-FR"/>
              </w:rPr>
            </w:pPr>
            <w:r w:rsidRPr="00440C76">
              <w:rPr>
                <w:rFonts w:eastAsia="Times New Roman"/>
                <w:spacing w:val="-2"/>
                <w:sz w:val="16"/>
                <w:szCs w:val="16"/>
                <w:lang w:val="fr-FR"/>
              </w:rPr>
              <w:t xml:space="preserve">Oui </w:t>
            </w:r>
            <w:r w:rsidRPr="00440C76">
              <w:rPr>
                <w:rFonts w:eastAsia="Times New Roman"/>
                <w:spacing w:val="-2"/>
                <w:sz w:val="16"/>
                <w:szCs w:val="16"/>
                <w:lang w:val="fr-FR"/>
              </w:rPr>
              <w:br/>
              <w:t>(les deux carburants)</w:t>
            </w:r>
          </w:p>
        </w:tc>
        <w:tc>
          <w:tcPr>
            <w:tcW w:w="945" w:type="dxa"/>
            <w:shd w:val="clear" w:color="auto" w:fill="auto"/>
          </w:tcPr>
          <w:p w14:paraId="62E18346" w14:textId="77777777" w:rsidR="00BE2CA7" w:rsidRPr="00440C76" w:rsidRDefault="00BE2CA7" w:rsidP="002B0590">
            <w:pPr>
              <w:kinsoku/>
              <w:overflowPunct/>
              <w:autoSpaceDE/>
              <w:autoSpaceDN/>
              <w:adjustRightInd/>
              <w:snapToGrid/>
              <w:spacing w:before="40" w:after="40" w:line="180" w:lineRule="atLeast"/>
              <w:ind w:left="57" w:right="57"/>
              <w:rPr>
                <w:rFonts w:eastAsia="Times New Roman"/>
                <w:spacing w:val="-2"/>
                <w:sz w:val="16"/>
                <w:szCs w:val="16"/>
                <w:lang w:val="fr-FR"/>
              </w:rPr>
            </w:pPr>
            <w:r w:rsidRPr="00440C76">
              <w:rPr>
                <w:rFonts w:eastAsia="Times New Roman"/>
                <w:spacing w:val="-2"/>
                <w:sz w:val="16"/>
                <w:szCs w:val="16"/>
                <w:lang w:val="fr-FR"/>
              </w:rPr>
              <w:t xml:space="preserve">Oui </w:t>
            </w:r>
            <w:r w:rsidRPr="00440C76">
              <w:rPr>
                <w:rFonts w:eastAsia="Times New Roman"/>
                <w:spacing w:val="-2"/>
                <w:sz w:val="16"/>
                <w:szCs w:val="16"/>
                <w:lang w:val="fr-FR"/>
              </w:rPr>
              <w:br/>
            </w:r>
            <w:r w:rsidRPr="00440C76">
              <w:rPr>
                <w:rFonts w:eastAsia="Times New Roman"/>
                <w:spacing w:val="-4"/>
                <w:sz w:val="16"/>
                <w:szCs w:val="16"/>
                <w:lang w:val="fr-FR"/>
              </w:rPr>
              <w:t>(</w:t>
            </w:r>
            <w:r w:rsidRPr="00440C76">
              <w:rPr>
                <w:rFonts w:eastAsia="Times New Roman"/>
                <w:sz w:val="16"/>
                <w:szCs w:val="16"/>
                <w:lang w:val="fr-FR"/>
              </w:rPr>
              <w:t>essence seulement)</w:t>
            </w:r>
          </w:p>
        </w:tc>
        <w:tc>
          <w:tcPr>
            <w:tcW w:w="992" w:type="dxa"/>
            <w:shd w:val="clear" w:color="auto" w:fill="auto"/>
          </w:tcPr>
          <w:p w14:paraId="0075FC6F" w14:textId="77777777" w:rsidR="00BE2CA7" w:rsidRPr="00440C76" w:rsidRDefault="00BE2CA7" w:rsidP="002B0590">
            <w:pPr>
              <w:kinsoku/>
              <w:overflowPunct/>
              <w:autoSpaceDE/>
              <w:autoSpaceDN/>
              <w:adjustRightInd/>
              <w:snapToGrid/>
              <w:spacing w:before="40" w:after="40" w:line="180" w:lineRule="atLeast"/>
              <w:ind w:left="57" w:right="57"/>
              <w:rPr>
                <w:rFonts w:eastAsia="Times New Roman"/>
                <w:sz w:val="16"/>
                <w:szCs w:val="16"/>
                <w:lang w:val="fr-FR"/>
              </w:rPr>
            </w:pPr>
            <w:r w:rsidRPr="00440C76">
              <w:rPr>
                <w:rFonts w:eastAsia="Times New Roman"/>
                <w:spacing w:val="-2"/>
                <w:sz w:val="16"/>
                <w:szCs w:val="16"/>
                <w:lang w:val="fr-FR"/>
              </w:rPr>
              <w:t xml:space="preserve">Oui </w:t>
            </w:r>
            <w:r w:rsidRPr="00440C76">
              <w:rPr>
                <w:rFonts w:eastAsia="Times New Roman"/>
                <w:spacing w:val="-2"/>
                <w:sz w:val="16"/>
                <w:szCs w:val="16"/>
                <w:lang w:val="fr-FR"/>
              </w:rPr>
              <w:br/>
              <w:t>(les deux carburants)</w:t>
            </w:r>
          </w:p>
        </w:tc>
        <w:tc>
          <w:tcPr>
            <w:tcW w:w="710" w:type="dxa"/>
            <w:shd w:val="clear" w:color="auto" w:fill="auto"/>
          </w:tcPr>
          <w:p w14:paraId="4961E64C" w14:textId="77777777" w:rsidR="00BE2CA7" w:rsidRPr="00440C76" w:rsidRDefault="00BE2CA7" w:rsidP="002B0590">
            <w:pPr>
              <w:kinsoku/>
              <w:overflowPunct/>
              <w:autoSpaceDE/>
              <w:autoSpaceDN/>
              <w:adjustRightInd/>
              <w:snapToGrid/>
              <w:spacing w:before="40" w:after="40" w:line="180" w:lineRule="atLeast"/>
              <w:ind w:left="57" w:right="57"/>
              <w:rPr>
                <w:rFonts w:eastAsia="Times New Roman"/>
                <w:i/>
                <w:sz w:val="16"/>
                <w:szCs w:val="16"/>
                <w:lang w:val="fr-FR"/>
              </w:rPr>
            </w:pPr>
            <w:r w:rsidRPr="00440C76">
              <w:rPr>
                <w:sz w:val="16"/>
                <w:szCs w:val="16"/>
                <w:lang w:val="fr-FR"/>
              </w:rPr>
              <w:t>-</w:t>
            </w:r>
          </w:p>
        </w:tc>
        <w:tc>
          <w:tcPr>
            <w:tcW w:w="710" w:type="dxa"/>
            <w:shd w:val="clear" w:color="auto" w:fill="auto"/>
          </w:tcPr>
          <w:p w14:paraId="4BCCBF63" w14:textId="77777777" w:rsidR="00BE2CA7" w:rsidRPr="00440C76" w:rsidRDefault="00BE2CA7" w:rsidP="002B0590">
            <w:pPr>
              <w:kinsoku/>
              <w:overflowPunct/>
              <w:autoSpaceDE/>
              <w:autoSpaceDN/>
              <w:adjustRightInd/>
              <w:snapToGrid/>
              <w:spacing w:before="40" w:after="40" w:line="180" w:lineRule="atLeast"/>
              <w:ind w:left="57" w:right="57"/>
              <w:rPr>
                <w:rFonts w:eastAsia="Times New Roman"/>
                <w:sz w:val="16"/>
                <w:szCs w:val="16"/>
                <w:lang w:val="fr-FR"/>
              </w:rPr>
            </w:pPr>
            <w:r w:rsidRPr="00440C76">
              <w:rPr>
                <w:sz w:val="16"/>
                <w:szCs w:val="16"/>
                <w:lang w:val="fr-FR"/>
              </w:rPr>
              <w:t>-</w:t>
            </w:r>
          </w:p>
        </w:tc>
      </w:tr>
      <w:tr w:rsidR="00BE2CA7" w:rsidRPr="00440C76" w14:paraId="7B38FD76" w14:textId="77777777" w:rsidTr="002B0590">
        <w:trPr>
          <w:jc w:val="center"/>
        </w:trPr>
        <w:tc>
          <w:tcPr>
            <w:tcW w:w="1271" w:type="dxa"/>
            <w:shd w:val="clear" w:color="auto" w:fill="auto"/>
          </w:tcPr>
          <w:p w14:paraId="3D1064FC" w14:textId="77777777" w:rsidR="00BE2CA7" w:rsidRPr="00440C76" w:rsidRDefault="00BE2CA7" w:rsidP="002B0590">
            <w:pPr>
              <w:kinsoku/>
              <w:overflowPunct/>
              <w:autoSpaceDE/>
              <w:autoSpaceDN/>
              <w:adjustRightInd/>
              <w:snapToGrid/>
              <w:spacing w:before="40" w:after="40" w:line="180" w:lineRule="atLeast"/>
              <w:ind w:left="57" w:right="57"/>
              <w:rPr>
                <w:rFonts w:eastAsia="Times New Roman"/>
                <w:sz w:val="16"/>
                <w:szCs w:val="16"/>
                <w:lang w:val="fr-FR"/>
              </w:rPr>
            </w:pPr>
            <w:r w:rsidRPr="00440C76">
              <w:rPr>
                <w:rFonts w:eastAsia="Times New Roman"/>
                <w:sz w:val="16"/>
                <w:szCs w:val="16"/>
                <w:lang w:val="fr-FR"/>
              </w:rPr>
              <w:t xml:space="preserve">Émissions de gaz de carter </w:t>
            </w:r>
            <w:r w:rsidRPr="00440C76">
              <w:rPr>
                <w:rFonts w:eastAsia="Times New Roman"/>
                <w:sz w:val="16"/>
                <w:szCs w:val="16"/>
                <w:lang w:val="fr-FR"/>
              </w:rPr>
              <w:br/>
              <w:t>(essai du type 3)</w:t>
            </w:r>
          </w:p>
        </w:tc>
        <w:tc>
          <w:tcPr>
            <w:tcW w:w="709" w:type="dxa"/>
            <w:shd w:val="clear" w:color="auto" w:fill="auto"/>
          </w:tcPr>
          <w:p w14:paraId="38FEE579" w14:textId="77777777" w:rsidR="00BE2CA7" w:rsidRPr="00440C76" w:rsidRDefault="00BE2CA7" w:rsidP="002B0590">
            <w:pPr>
              <w:kinsoku/>
              <w:overflowPunct/>
              <w:autoSpaceDE/>
              <w:autoSpaceDN/>
              <w:adjustRightInd/>
              <w:snapToGrid/>
              <w:spacing w:before="40" w:after="40" w:line="180" w:lineRule="atLeast"/>
              <w:ind w:left="57" w:right="57"/>
              <w:rPr>
                <w:rFonts w:eastAsia="Times New Roman"/>
                <w:sz w:val="16"/>
                <w:szCs w:val="16"/>
                <w:lang w:val="fr-FR"/>
              </w:rPr>
            </w:pPr>
            <w:r w:rsidRPr="00440C76">
              <w:rPr>
                <w:rFonts w:eastAsia="Times New Roman"/>
                <w:sz w:val="16"/>
                <w:szCs w:val="16"/>
                <w:lang w:val="fr-FR"/>
              </w:rPr>
              <w:t xml:space="preserve">Oui </w:t>
            </w:r>
          </w:p>
        </w:tc>
        <w:tc>
          <w:tcPr>
            <w:tcW w:w="567" w:type="dxa"/>
            <w:shd w:val="clear" w:color="auto" w:fill="auto"/>
          </w:tcPr>
          <w:p w14:paraId="25B62934" w14:textId="77777777" w:rsidR="00BE2CA7" w:rsidRPr="00440C76" w:rsidRDefault="00BE2CA7" w:rsidP="002B0590">
            <w:pPr>
              <w:kinsoku/>
              <w:overflowPunct/>
              <w:autoSpaceDE/>
              <w:autoSpaceDN/>
              <w:adjustRightInd/>
              <w:snapToGrid/>
              <w:spacing w:before="40" w:after="40" w:line="180" w:lineRule="atLeast"/>
              <w:ind w:left="57" w:right="57"/>
              <w:rPr>
                <w:rFonts w:eastAsia="Times New Roman"/>
                <w:sz w:val="16"/>
                <w:szCs w:val="16"/>
                <w:lang w:val="fr-FR"/>
              </w:rPr>
            </w:pPr>
            <w:r w:rsidRPr="00440C76">
              <w:rPr>
                <w:rFonts w:eastAsia="Times New Roman"/>
                <w:spacing w:val="-2"/>
                <w:sz w:val="16"/>
                <w:szCs w:val="16"/>
                <w:lang w:val="fr-FR"/>
              </w:rPr>
              <w:t>Oui</w:t>
            </w:r>
          </w:p>
        </w:tc>
        <w:tc>
          <w:tcPr>
            <w:tcW w:w="921" w:type="dxa"/>
            <w:shd w:val="clear" w:color="auto" w:fill="auto"/>
          </w:tcPr>
          <w:p w14:paraId="585765FD" w14:textId="77777777" w:rsidR="00BE2CA7" w:rsidRPr="00440C76" w:rsidRDefault="00BE2CA7" w:rsidP="002B0590">
            <w:pPr>
              <w:kinsoku/>
              <w:overflowPunct/>
              <w:autoSpaceDE/>
              <w:autoSpaceDN/>
              <w:adjustRightInd/>
              <w:snapToGrid/>
              <w:spacing w:before="40" w:after="40" w:line="180" w:lineRule="atLeast"/>
              <w:ind w:left="57" w:right="57"/>
              <w:rPr>
                <w:rFonts w:eastAsia="Times New Roman"/>
                <w:sz w:val="16"/>
                <w:szCs w:val="16"/>
                <w:lang w:val="fr-FR"/>
              </w:rPr>
            </w:pPr>
            <w:r w:rsidRPr="00440C76">
              <w:rPr>
                <w:rFonts w:eastAsia="Times New Roman"/>
                <w:spacing w:val="-2"/>
                <w:sz w:val="16"/>
                <w:szCs w:val="16"/>
                <w:lang w:val="fr-FR"/>
              </w:rPr>
              <w:t>Oui</w:t>
            </w:r>
          </w:p>
        </w:tc>
        <w:tc>
          <w:tcPr>
            <w:tcW w:w="922" w:type="dxa"/>
            <w:shd w:val="clear" w:color="auto" w:fill="auto"/>
          </w:tcPr>
          <w:p w14:paraId="2BF07A4C" w14:textId="77777777" w:rsidR="00BE2CA7" w:rsidRPr="00440C76" w:rsidRDefault="00BE2CA7" w:rsidP="002B0590">
            <w:pPr>
              <w:kinsoku/>
              <w:overflowPunct/>
              <w:autoSpaceDE/>
              <w:autoSpaceDN/>
              <w:adjustRightInd/>
              <w:snapToGrid/>
              <w:spacing w:before="40" w:after="40" w:line="180" w:lineRule="atLeast"/>
              <w:ind w:left="57" w:right="57"/>
              <w:rPr>
                <w:rFonts w:eastAsia="Times New Roman"/>
                <w:sz w:val="16"/>
                <w:szCs w:val="16"/>
                <w:lang w:val="fr-FR"/>
              </w:rPr>
            </w:pPr>
            <w:r w:rsidRPr="00440C76">
              <w:rPr>
                <w:sz w:val="16"/>
                <w:szCs w:val="16"/>
                <w:lang w:val="fr-FR"/>
              </w:rPr>
              <w:t>-</w:t>
            </w:r>
          </w:p>
        </w:tc>
        <w:tc>
          <w:tcPr>
            <w:tcW w:w="945" w:type="dxa"/>
            <w:shd w:val="clear" w:color="auto" w:fill="auto"/>
          </w:tcPr>
          <w:p w14:paraId="439071DA" w14:textId="77777777" w:rsidR="00BE2CA7" w:rsidRPr="00440C76" w:rsidRDefault="00BE2CA7" w:rsidP="002B0590">
            <w:pPr>
              <w:kinsoku/>
              <w:overflowPunct/>
              <w:autoSpaceDE/>
              <w:autoSpaceDN/>
              <w:adjustRightInd/>
              <w:snapToGrid/>
              <w:spacing w:before="40" w:after="40" w:line="180" w:lineRule="atLeast"/>
              <w:ind w:left="57" w:right="57"/>
              <w:rPr>
                <w:rFonts w:eastAsia="Times New Roman"/>
                <w:spacing w:val="-2"/>
                <w:sz w:val="16"/>
                <w:szCs w:val="16"/>
                <w:lang w:val="fr-FR"/>
              </w:rPr>
            </w:pPr>
            <w:r w:rsidRPr="00440C76">
              <w:rPr>
                <w:rFonts w:eastAsia="Times New Roman"/>
                <w:spacing w:val="-2"/>
                <w:sz w:val="16"/>
                <w:szCs w:val="16"/>
                <w:lang w:val="fr-FR"/>
              </w:rPr>
              <w:t xml:space="preserve">Oui </w:t>
            </w:r>
            <w:r w:rsidRPr="00440C76">
              <w:rPr>
                <w:rFonts w:eastAsia="Times New Roman"/>
                <w:spacing w:val="-2"/>
                <w:sz w:val="16"/>
                <w:szCs w:val="16"/>
                <w:lang w:val="fr-FR"/>
              </w:rPr>
              <w:br/>
              <w:t>(essence</w:t>
            </w:r>
            <w:r w:rsidRPr="00440C76">
              <w:rPr>
                <w:rFonts w:eastAsia="Times New Roman"/>
                <w:spacing w:val="-2"/>
                <w:sz w:val="16"/>
                <w:szCs w:val="16"/>
                <w:lang w:val="fr-FR"/>
              </w:rPr>
              <w:br/>
              <w:t>seulement)</w:t>
            </w:r>
          </w:p>
        </w:tc>
        <w:tc>
          <w:tcPr>
            <w:tcW w:w="945" w:type="dxa"/>
            <w:shd w:val="clear" w:color="auto" w:fill="auto"/>
          </w:tcPr>
          <w:p w14:paraId="176C9389" w14:textId="77777777" w:rsidR="00BE2CA7" w:rsidRPr="00440C76" w:rsidRDefault="00BE2CA7" w:rsidP="002B0590">
            <w:pPr>
              <w:kinsoku/>
              <w:overflowPunct/>
              <w:autoSpaceDE/>
              <w:autoSpaceDN/>
              <w:adjustRightInd/>
              <w:snapToGrid/>
              <w:spacing w:before="40" w:after="40" w:line="180" w:lineRule="atLeast"/>
              <w:ind w:left="57" w:right="57"/>
              <w:rPr>
                <w:rFonts w:eastAsia="Times New Roman"/>
                <w:spacing w:val="-2"/>
                <w:sz w:val="16"/>
                <w:szCs w:val="16"/>
                <w:lang w:val="fr-FR"/>
              </w:rPr>
            </w:pPr>
            <w:r w:rsidRPr="00440C76">
              <w:rPr>
                <w:rFonts w:eastAsia="Times New Roman"/>
                <w:spacing w:val="-2"/>
                <w:sz w:val="16"/>
                <w:szCs w:val="16"/>
                <w:lang w:val="fr-FR"/>
              </w:rPr>
              <w:t xml:space="preserve">Oui </w:t>
            </w:r>
            <w:r w:rsidRPr="00440C76">
              <w:rPr>
                <w:rFonts w:eastAsia="Times New Roman"/>
                <w:spacing w:val="-2"/>
                <w:sz w:val="16"/>
                <w:szCs w:val="16"/>
                <w:lang w:val="fr-FR"/>
              </w:rPr>
              <w:br/>
              <w:t>(essence</w:t>
            </w:r>
            <w:r w:rsidRPr="00440C76">
              <w:rPr>
                <w:rFonts w:eastAsia="Times New Roman"/>
                <w:spacing w:val="-2"/>
                <w:sz w:val="16"/>
                <w:szCs w:val="16"/>
                <w:lang w:val="fr-FR"/>
              </w:rPr>
              <w:br/>
              <w:t>seulement)</w:t>
            </w:r>
          </w:p>
        </w:tc>
        <w:tc>
          <w:tcPr>
            <w:tcW w:w="945" w:type="dxa"/>
            <w:shd w:val="clear" w:color="auto" w:fill="auto"/>
          </w:tcPr>
          <w:p w14:paraId="3B64B25B" w14:textId="77777777" w:rsidR="00BE2CA7" w:rsidRPr="00440C76" w:rsidRDefault="00BE2CA7" w:rsidP="002B0590">
            <w:pPr>
              <w:kinsoku/>
              <w:overflowPunct/>
              <w:autoSpaceDE/>
              <w:autoSpaceDN/>
              <w:adjustRightInd/>
              <w:snapToGrid/>
              <w:spacing w:before="40" w:after="40" w:line="180" w:lineRule="atLeast"/>
              <w:ind w:left="57" w:right="57"/>
              <w:rPr>
                <w:rFonts w:eastAsia="Times New Roman"/>
                <w:spacing w:val="-2"/>
                <w:sz w:val="16"/>
                <w:szCs w:val="16"/>
                <w:lang w:val="fr-FR"/>
              </w:rPr>
            </w:pPr>
            <w:r w:rsidRPr="00440C76">
              <w:rPr>
                <w:rFonts w:eastAsia="Times New Roman"/>
                <w:spacing w:val="-2"/>
                <w:sz w:val="16"/>
                <w:szCs w:val="16"/>
                <w:lang w:val="fr-FR"/>
              </w:rPr>
              <w:t xml:space="preserve">Oui </w:t>
            </w:r>
            <w:r w:rsidRPr="00440C76">
              <w:rPr>
                <w:rFonts w:eastAsia="Times New Roman"/>
                <w:spacing w:val="-2"/>
                <w:sz w:val="16"/>
                <w:szCs w:val="16"/>
                <w:lang w:val="fr-FR"/>
              </w:rPr>
              <w:br/>
              <w:t>(essence seulement)</w:t>
            </w:r>
          </w:p>
        </w:tc>
        <w:tc>
          <w:tcPr>
            <w:tcW w:w="992" w:type="dxa"/>
            <w:shd w:val="clear" w:color="auto" w:fill="auto"/>
          </w:tcPr>
          <w:p w14:paraId="211B20C1" w14:textId="77777777" w:rsidR="00BE2CA7" w:rsidRPr="00440C76" w:rsidRDefault="00BE2CA7" w:rsidP="002B0590">
            <w:pPr>
              <w:kinsoku/>
              <w:overflowPunct/>
              <w:autoSpaceDE/>
              <w:autoSpaceDN/>
              <w:adjustRightInd/>
              <w:snapToGrid/>
              <w:spacing w:before="40" w:after="40" w:line="180" w:lineRule="atLeast"/>
              <w:ind w:left="57" w:right="57"/>
              <w:rPr>
                <w:rFonts w:eastAsia="Times New Roman"/>
                <w:sz w:val="16"/>
                <w:szCs w:val="16"/>
                <w:lang w:val="fr-FR"/>
              </w:rPr>
            </w:pPr>
            <w:r w:rsidRPr="00440C76">
              <w:rPr>
                <w:rFonts w:eastAsia="Times New Roman"/>
                <w:spacing w:val="-2"/>
                <w:sz w:val="16"/>
                <w:szCs w:val="16"/>
                <w:lang w:val="fr-FR"/>
              </w:rPr>
              <w:t xml:space="preserve">Oui </w:t>
            </w:r>
            <w:r w:rsidRPr="00440C76">
              <w:rPr>
                <w:rFonts w:eastAsia="Times New Roman"/>
                <w:spacing w:val="-2"/>
                <w:sz w:val="16"/>
                <w:szCs w:val="16"/>
                <w:lang w:val="fr-FR"/>
              </w:rPr>
              <w:br/>
              <w:t>(essence seulement)</w:t>
            </w:r>
          </w:p>
        </w:tc>
        <w:tc>
          <w:tcPr>
            <w:tcW w:w="710" w:type="dxa"/>
            <w:shd w:val="clear" w:color="auto" w:fill="auto"/>
          </w:tcPr>
          <w:p w14:paraId="28C461D5" w14:textId="77777777" w:rsidR="00BE2CA7" w:rsidRPr="00440C76" w:rsidRDefault="00BE2CA7" w:rsidP="002B0590">
            <w:pPr>
              <w:kinsoku/>
              <w:overflowPunct/>
              <w:autoSpaceDE/>
              <w:autoSpaceDN/>
              <w:adjustRightInd/>
              <w:snapToGrid/>
              <w:spacing w:before="40" w:after="40" w:line="180" w:lineRule="atLeast"/>
              <w:ind w:left="57" w:right="57"/>
              <w:rPr>
                <w:rFonts w:eastAsia="Times New Roman"/>
                <w:i/>
                <w:sz w:val="16"/>
                <w:szCs w:val="16"/>
                <w:lang w:val="fr-FR"/>
              </w:rPr>
            </w:pPr>
            <w:r w:rsidRPr="00440C76">
              <w:rPr>
                <w:sz w:val="16"/>
                <w:szCs w:val="16"/>
                <w:lang w:val="fr-FR"/>
              </w:rPr>
              <w:t>-</w:t>
            </w:r>
          </w:p>
        </w:tc>
        <w:tc>
          <w:tcPr>
            <w:tcW w:w="710" w:type="dxa"/>
            <w:shd w:val="clear" w:color="auto" w:fill="auto"/>
          </w:tcPr>
          <w:p w14:paraId="10E9FA6E" w14:textId="77777777" w:rsidR="00BE2CA7" w:rsidRPr="00440C76" w:rsidRDefault="00BE2CA7" w:rsidP="002B0590">
            <w:pPr>
              <w:kinsoku/>
              <w:overflowPunct/>
              <w:autoSpaceDE/>
              <w:autoSpaceDN/>
              <w:adjustRightInd/>
              <w:snapToGrid/>
              <w:spacing w:before="40" w:after="40" w:line="180" w:lineRule="atLeast"/>
              <w:ind w:left="57" w:right="57"/>
              <w:rPr>
                <w:rFonts w:eastAsia="Times New Roman"/>
                <w:sz w:val="16"/>
                <w:szCs w:val="16"/>
                <w:lang w:val="fr-FR"/>
              </w:rPr>
            </w:pPr>
            <w:r w:rsidRPr="00440C76">
              <w:rPr>
                <w:sz w:val="16"/>
                <w:szCs w:val="16"/>
                <w:lang w:val="fr-FR"/>
              </w:rPr>
              <w:t>-</w:t>
            </w:r>
          </w:p>
        </w:tc>
      </w:tr>
      <w:tr w:rsidR="00BE2CA7" w:rsidRPr="00440C76" w14:paraId="2535392E" w14:textId="77777777" w:rsidTr="002B0590">
        <w:trPr>
          <w:jc w:val="center"/>
        </w:trPr>
        <w:tc>
          <w:tcPr>
            <w:tcW w:w="1271" w:type="dxa"/>
            <w:shd w:val="clear" w:color="auto" w:fill="auto"/>
          </w:tcPr>
          <w:p w14:paraId="54609E36" w14:textId="77777777" w:rsidR="00BE2CA7" w:rsidRPr="00440C76" w:rsidRDefault="00BE2CA7" w:rsidP="002B0590">
            <w:pPr>
              <w:kinsoku/>
              <w:overflowPunct/>
              <w:autoSpaceDE/>
              <w:autoSpaceDN/>
              <w:adjustRightInd/>
              <w:snapToGrid/>
              <w:spacing w:before="40" w:after="40" w:line="180" w:lineRule="atLeast"/>
              <w:ind w:left="57" w:right="57"/>
              <w:rPr>
                <w:rFonts w:eastAsia="Times New Roman"/>
                <w:sz w:val="16"/>
                <w:szCs w:val="16"/>
                <w:lang w:val="fr-FR"/>
              </w:rPr>
            </w:pPr>
            <w:r w:rsidRPr="00440C76">
              <w:rPr>
                <w:rFonts w:eastAsia="Times New Roman"/>
                <w:sz w:val="16"/>
                <w:szCs w:val="16"/>
                <w:lang w:val="fr-FR"/>
              </w:rPr>
              <w:t>Émissions à basse température</w:t>
            </w:r>
            <w:r w:rsidRPr="00440C76">
              <w:rPr>
                <w:rFonts w:eastAsia="Times New Roman"/>
                <w:sz w:val="16"/>
                <w:szCs w:val="16"/>
                <w:lang w:val="fr-FR"/>
              </w:rPr>
              <w:br/>
              <w:t>(essai du type</w:t>
            </w:r>
            <w:r>
              <w:rPr>
                <w:rFonts w:eastAsia="Times New Roman"/>
                <w:sz w:val="16"/>
                <w:szCs w:val="16"/>
                <w:lang w:val="fr-FR"/>
              </w:rPr>
              <w:t> </w:t>
            </w:r>
            <w:r w:rsidRPr="00440C76">
              <w:rPr>
                <w:rFonts w:eastAsia="Times New Roman"/>
                <w:sz w:val="16"/>
                <w:szCs w:val="16"/>
                <w:lang w:val="fr-FR"/>
              </w:rPr>
              <w:t>6)</w:t>
            </w:r>
          </w:p>
        </w:tc>
        <w:tc>
          <w:tcPr>
            <w:tcW w:w="709" w:type="dxa"/>
            <w:shd w:val="clear" w:color="auto" w:fill="auto"/>
          </w:tcPr>
          <w:p w14:paraId="19A271AF" w14:textId="77777777" w:rsidR="00BE2CA7" w:rsidRPr="00440C76" w:rsidRDefault="00BE2CA7" w:rsidP="002B0590">
            <w:pPr>
              <w:kinsoku/>
              <w:overflowPunct/>
              <w:autoSpaceDE/>
              <w:autoSpaceDN/>
              <w:adjustRightInd/>
              <w:snapToGrid/>
              <w:spacing w:before="40" w:after="40" w:line="180" w:lineRule="atLeast"/>
              <w:ind w:left="57" w:right="57"/>
              <w:rPr>
                <w:rFonts w:eastAsia="Times New Roman"/>
                <w:sz w:val="16"/>
                <w:szCs w:val="16"/>
                <w:lang w:val="fr-FR"/>
              </w:rPr>
            </w:pPr>
            <w:r w:rsidRPr="00440C76">
              <w:rPr>
                <w:rFonts w:eastAsia="Times New Roman"/>
                <w:sz w:val="16"/>
                <w:szCs w:val="16"/>
                <w:lang w:val="fr-FR"/>
              </w:rPr>
              <w:t>Oui</w:t>
            </w:r>
          </w:p>
        </w:tc>
        <w:tc>
          <w:tcPr>
            <w:tcW w:w="567" w:type="dxa"/>
            <w:shd w:val="clear" w:color="auto" w:fill="auto"/>
          </w:tcPr>
          <w:p w14:paraId="07F007EA" w14:textId="77777777" w:rsidR="00BE2CA7" w:rsidRPr="00440C76" w:rsidRDefault="00BE2CA7" w:rsidP="002B0590">
            <w:pPr>
              <w:kinsoku/>
              <w:overflowPunct/>
              <w:autoSpaceDE/>
              <w:autoSpaceDN/>
              <w:adjustRightInd/>
              <w:snapToGrid/>
              <w:spacing w:before="40" w:after="40" w:line="180" w:lineRule="atLeast"/>
              <w:ind w:left="57" w:right="57"/>
              <w:rPr>
                <w:rFonts w:eastAsia="Times New Roman"/>
                <w:sz w:val="16"/>
                <w:szCs w:val="16"/>
                <w:lang w:val="fr-FR"/>
              </w:rPr>
            </w:pPr>
            <w:r w:rsidRPr="00440C76">
              <w:rPr>
                <w:sz w:val="16"/>
                <w:szCs w:val="16"/>
                <w:lang w:val="fr-FR"/>
              </w:rPr>
              <w:t>-</w:t>
            </w:r>
          </w:p>
        </w:tc>
        <w:tc>
          <w:tcPr>
            <w:tcW w:w="921" w:type="dxa"/>
            <w:shd w:val="clear" w:color="auto" w:fill="auto"/>
          </w:tcPr>
          <w:p w14:paraId="1E6C5E79" w14:textId="77777777" w:rsidR="00BE2CA7" w:rsidRPr="00440C76" w:rsidRDefault="00BE2CA7" w:rsidP="002B0590">
            <w:pPr>
              <w:kinsoku/>
              <w:overflowPunct/>
              <w:autoSpaceDE/>
              <w:autoSpaceDN/>
              <w:adjustRightInd/>
              <w:snapToGrid/>
              <w:spacing w:before="40" w:after="40" w:line="180" w:lineRule="atLeast"/>
              <w:ind w:left="57" w:right="57"/>
              <w:rPr>
                <w:rFonts w:eastAsia="Times New Roman"/>
                <w:sz w:val="16"/>
                <w:szCs w:val="16"/>
                <w:lang w:val="fr-FR"/>
              </w:rPr>
            </w:pPr>
            <w:r w:rsidRPr="00440C76">
              <w:rPr>
                <w:sz w:val="16"/>
                <w:szCs w:val="16"/>
                <w:lang w:val="fr-FR"/>
              </w:rPr>
              <w:t>-</w:t>
            </w:r>
          </w:p>
        </w:tc>
        <w:tc>
          <w:tcPr>
            <w:tcW w:w="922" w:type="dxa"/>
            <w:shd w:val="clear" w:color="auto" w:fill="auto"/>
          </w:tcPr>
          <w:p w14:paraId="3E70FFDB" w14:textId="77777777" w:rsidR="00BE2CA7" w:rsidRPr="00440C76" w:rsidRDefault="00BE2CA7" w:rsidP="002B0590">
            <w:pPr>
              <w:kinsoku/>
              <w:overflowPunct/>
              <w:autoSpaceDE/>
              <w:autoSpaceDN/>
              <w:adjustRightInd/>
              <w:snapToGrid/>
              <w:spacing w:before="40" w:after="40" w:line="180" w:lineRule="atLeast"/>
              <w:ind w:left="57" w:right="57"/>
              <w:rPr>
                <w:rFonts w:eastAsia="Times New Roman"/>
                <w:sz w:val="16"/>
                <w:szCs w:val="16"/>
                <w:lang w:val="fr-FR"/>
              </w:rPr>
            </w:pPr>
            <w:r w:rsidRPr="00440C76">
              <w:rPr>
                <w:sz w:val="16"/>
                <w:szCs w:val="16"/>
                <w:lang w:val="fr-FR"/>
              </w:rPr>
              <w:t>-</w:t>
            </w:r>
          </w:p>
        </w:tc>
        <w:tc>
          <w:tcPr>
            <w:tcW w:w="945" w:type="dxa"/>
            <w:shd w:val="clear" w:color="auto" w:fill="auto"/>
          </w:tcPr>
          <w:p w14:paraId="10143B5E" w14:textId="77777777" w:rsidR="00BE2CA7" w:rsidRPr="00440C76" w:rsidRDefault="00BE2CA7" w:rsidP="002B0590">
            <w:pPr>
              <w:kinsoku/>
              <w:overflowPunct/>
              <w:autoSpaceDE/>
              <w:autoSpaceDN/>
              <w:adjustRightInd/>
              <w:snapToGrid/>
              <w:spacing w:before="40" w:after="40" w:line="180" w:lineRule="atLeast"/>
              <w:ind w:left="57" w:right="57"/>
              <w:rPr>
                <w:rFonts w:eastAsia="Times New Roman"/>
                <w:spacing w:val="-2"/>
                <w:sz w:val="16"/>
                <w:szCs w:val="16"/>
                <w:lang w:val="fr-FR"/>
              </w:rPr>
            </w:pPr>
            <w:r w:rsidRPr="00440C76">
              <w:rPr>
                <w:rFonts w:eastAsia="Times New Roman"/>
                <w:spacing w:val="-2"/>
                <w:sz w:val="16"/>
                <w:szCs w:val="16"/>
                <w:lang w:val="fr-FR"/>
              </w:rPr>
              <w:t xml:space="preserve">Oui </w:t>
            </w:r>
            <w:r w:rsidRPr="00440C76">
              <w:rPr>
                <w:rFonts w:eastAsia="Times New Roman"/>
                <w:spacing w:val="-2"/>
                <w:sz w:val="16"/>
                <w:szCs w:val="16"/>
                <w:lang w:val="fr-FR"/>
              </w:rPr>
              <w:br/>
              <w:t>(essence</w:t>
            </w:r>
            <w:r w:rsidRPr="00440C76">
              <w:rPr>
                <w:rFonts w:eastAsia="Times New Roman"/>
                <w:spacing w:val="-2"/>
                <w:sz w:val="16"/>
                <w:szCs w:val="16"/>
                <w:lang w:val="fr-FR"/>
              </w:rPr>
              <w:br/>
              <w:t>seulement)</w:t>
            </w:r>
          </w:p>
        </w:tc>
        <w:tc>
          <w:tcPr>
            <w:tcW w:w="945" w:type="dxa"/>
            <w:shd w:val="clear" w:color="auto" w:fill="auto"/>
          </w:tcPr>
          <w:p w14:paraId="73365193" w14:textId="77777777" w:rsidR="00BE2CA7" w:rsidRPr="00440C76" w:rsidRDefault="00BE2CA7" w:rsidP="002B0590">
            <w:pPr>
              <w:kinsoku/>
              <w:overflowPunct/>
              <w:autoSpaceDE/>
              <w:autoSpaceDN/>
              <w:adjustRightInd/>
              <w:snapToGrid/>
              <w:spacing w:before="40" w:after="40" w:line="180" w:lineRule="atLeast"/>
              <w:ind w:left="57" w:right="57"/>
              <w:rPr>
                <w:rFonts w:eastAsia="Times New Roman"/>
                <w:spacing w:val="-2"/>
                <w:sz w:val="16"/>
                <w:szCs w:val="16"/>
                <w:lang w:val="fr-FR"/>
              </w:rPr>
            </w:pPr>
            <w:r w:rsidRPr="00440C76">
              <w:rPr>
                <w:rFonts w:eastAsia="Times New Roman"/>
                <w:spacing w:val="-2"/>
                <w:sz w:val="16"/>
                <w:szCs w:val="16"/>
                <w:lang w:val="fr-FR"/>
              </w:rPr>
              <w:t xml:space="preserve">Oui </w:t>
            </w:r>
            <w:r w:rsidRPr="00440C76">
              <w:rPr>
                <w:rFonts w:eastAsia="Times New Roman"/>
                <w:spacing w:val="-2"/>
                <w:sz w:val="16"/>
                <w:szCs w:val="16"/>
                <w:lang w:val="fr-FR"/>
              </w:rPr>
              <w:br/>
              <w:t>(essence</w:t>
            </w:r>
            <w:r w:rsidRPr="00440C76">
              <w:rPr>
                <w:rFonts w:eastAsia="Times New Roman"/>
                <w:spacing w:val="-2"/>
                <w:sz w:val="16"/>
                <w:szCs w:val="16"/>
                <w:lang w:val="fr-FR"/>
              </w:rPr>
              <w:br/>
              <w:t>seulement)</w:t>
            </w:r>
          </w:p>
        </w:tc>
        <w:tc>
          <w:tcPr>
            <w:tcW w:w="945" w:type="dxa"/>
            <w:shd w:val="clear" w:color="auto" w:fill="auto"/>
          </w:tcPr>
          <w:p w14:paraId="05E458BC" w14:textId="77777777" w:rsidR="00BE2CA7" w:rsidRPr="00440C76" w:rsidRDefault="00BE2CA7" w:rsidP="002B0590">
            <w:pPr>
              <w:kinsoku/>
              <w:overflowPunct/>
              <w:autoSpaceDE/>
              <w:autoSpaceDN/>
              <w:adjustRightInd/>
              <w:snapToGrid/>
              <w:spacing w:before="40" w:after="40" w:line="180" w:lineRule="atLeast"/>
              <w:ind w:left="57" w:right="57"/>
              <w:rPr>
                <w:rFonts w:eastAsia="Times New Roman"/>
                <w:spacing w:val="-2"/>
                <w:sz w:val="16"/>
                <w:szCs w:val="16"/>
                <w:lang w:val="fr-FR"/>
              </w:rPr>
            </w:pPr>
            <w:r w:rsidRPr="00440C76">
              <w:rPr>
                <w:rFonts w:eastAsia="Times New Roman"/>
                <w:spacing w:val="-2"/>
                <w:sz w:val="16"/>
                <w:szCs w:val="16"/>
                <w:lang w:val="fr-FR"/>
              </w:rPr>
              <w:t xml:space="preserve">Oui </w:t>
            </w:r>
            <w:r w:rsidRPr="00440C76">
              <w:rPr>
                <w:rFonts w:eastAsia="Times New Roman"/>
                <w:spacing w:val="-2"/>
                <w:sz w:val="16"/>
                <w:szCs w:val="16"/>
                <w:lang w:val="fr-FR"/>
              </w:rPr>
              <w:br/>
              <w:t>(essence seulement)</w:t>
            </w:r>
          </w:p>
        </w:tc>
        <w:tc>
          <w:tcPr>
            <w:tcW w:w="992" w:type="dxa"/>
            <w:shd w:val="clear" w:color="auto" w:fill="auto"/>
          </w:tcPr>
          <w:p w14:paraId="242CE02B" w14:textId="77777777" w:rsidR="00BE2CA7" w:rsidRPr="00440C76" w:rsidRDefault="00BE2CA7" w:rsidP="002B0590">
            <w:pPr>
              <w:kinsoku/>
              <w:overflowPunct/>
              <w:autoSpaceDE/>
              <w:autoSpaceDN/>
              <w:adjustRightInd/>
              <w:snapToGrid/>
              <w:spacing w:before="40" w:after="40" w:line="180" w:lineRule="atLeast"/>
              <w:ind w:left="57" w:right="57"/>
              <w:rPr>
                <w:rFonts w:eastAsia="Times New Roman"/>
                <w:sz w:val="16"/>
                <w:szCs w:val="16"/>
                <w:lang w:val="fr-FR"/>
              </w:rPr>
            </w:pPr>
            <w:r w:rsidRPr="00440C76">
              <w:rPr>
                <w:rFonts w:eastAsia="Times New Roman"/>
                <w:spacing w:val="-2"/>
                <w:sz w:val="16"/>
                <w:szCs w:val="16"/>
                <w:lang w:val="fr-FR"/>
              </w:rPr>
              <w:t xml:space="preserve">Oui </w:t>
            </w:r>
            <w:r w:rsidRPr="00440C76">
              <w:rPr>
                <w:rFonts w:eastAsia="Times New Roman"/>
                <w:spacing w:val="-2"/>
                <w:sz w:val="16"/>
                <w:szCs w:val="16"/>
                <w:lang w:val="fr-FR"/>
              </w:rPr>
              <w:br/>
              <w:t>(les deux carburants)</w:t>
            </w:r>
          </w:p>
        </w:tc>
        <w:tc>
          <w:tcPr>
            <w:tcW w:w="710" w:type="dxa"/>
            <w:shd w:val="clear" w:color="auto" w:fill="auto"/>
          </w:tcPr>
          <w:p w14:paraId="68A08A1D" w14:textId="77777777" w:rsidR="00BE2CA7" w:rsidRPr="00440C76" w:rsidRDefault="00BE2CA7" w:rsidP="002B0590">
            <w:pPr>
              <w:kinsoku/>
              <w:overflowPunct/>
              <w:autoSpaceDE/>
              <w:autoSpaceDN/>
              <w:adjustRightInd/>
              <w:snapToGrid/>
              <w:spacing w:before="40" w:after="40" w:line="180" w:lineRule="atLeast"/>
              <w:ind w:left="57" w:right="57"/>
              <w:rPr>
                <w:rFonts w:eastAsia="Times New Roman"/>
                <w:sz w:val="16"/>
                <w:szCs w:val="16"/>
                <w:lang w:val="fr-FR"/>
              </w:rPr>
            </w:pPr>
            <w:r w:rsidRPr="00440C76">
              <w:rPr>
                <w:sz w:val="16"/>
                <w:szCs w:val="16"/>
                <w:lang w:val="fr-FR"/>
              </w:rPr>
              <w:t>-</w:t>
            </w:r>
          </w:p>
        </w:tc>
        <w:tc>
          <w:tcPr>
            <w:tcW w:w="710" w:type="dxa"/>
            <w:shd w:val="clear" w:color="auto" w:fill="auto"/>
          </w:tcPr>
          <w:p w14:paraId="71DF7916" w14:textId="77777777" w:rsidR="00BE2CA7" w:rsidRPr="00440C76" w:rsidRDefault="00BE2CA7" w:rsidP="002B0590">
            <w:pPr>
              <w:kinsoku/>
              <w:overflowPunct/>
              <w:autoSpaceDE/>
              <w:autoSpaceDN/>
              <w:adjustRightInd/>
              <w:snapToGrid/>
              <w:spacing w:before="40" w:after="40" w:line="180" w:lineRule="atLeast"/>
              <w:ind w:left="57" w:right="57"/>
              <w:rPr>
                <w:rFonts w:eastAsia="Times New Roman"/>
                <w:sz w:val="16"/>
                <w:szCs w:val="16"/>
                <w:lang w:val="fr-FR"/>
              </w:rPr>
            </w:pPr>
            <w:r w:rsidRPr="00440C76">
              <w:rPr>
                <w:sz w:val="16"/>
                <w:szCs w:val="16"/>
                <w:lang w:val="fr-FR"/>
              </w:rPr>
              <w:t>-</w:t>
            </w:r>
          </w:p>
        </w:tc>
      </w:tr>
      <w:tr w:rsidR="00BE2CA7" w:rsidRPr="00440C76" w14:paraId="0DD2B866" w14:textId="77777777" w:rsidTr="002B0590">
        <w:trPr>
          <w:jc w:val="center"/>
        </w:trPr>
        <w:tc>
          <w:tcPr>
            <w:tcW w:w="1271" w:type="dxa"/>
            <w:shd w:val="clear" w:color="auto" w:fill="auto"/>
          </w:tcPr>
          <w:p w14:paraId="05DF5AAD" w14:textId="77777777" w:rsidR="00BE2CA7" w:rsidRPr="00440C76" w:rsidRDefault="00BE2CA7" w:rsidP="002B0590">
            <w:pPr>
              <w:kinsoku/>
              <w:overflowPunct/>
              <w:autoSpaceDE/>
              <w:autoSpaceDN/>
              <w:adjustRightInd/>
              <w:snapToGrid/>
              <w:spacing w:before="40" w:after="40" w:line="180" w:lineRule="atLeast"/>
              <w:ind w:left="57" w:right="57"/>
              <w:rPr>
                <w:rFonts w:eastAsia="Times New Roman"/>
                <w:sz w:val="16"/>
                <w:szCs w:val="16"/>
                <w:lang w:val="fr-FR"/>
              </w:rPr>
            </w:pPr>
            <w:r w:rsidRPr="00440C76">
              <w:rPr>
                <w:rFonts w:eastAsia="Times New Roman"/>
                <w:sz w:val="16"/>
                <w:szCs w:val="16"/>
                <w:lang w:val="fr-FR"/>
              </w:rPr>
              <w:lastRenderedPageBreak/>
              <w:t>Conformité en service</w:t>
            </w:r>
          </w:p>
        </w:tc>
        <w:tc>
          <w:tcPr>
            <w:tcW w:w="709" w:type="dxa"/>
            <w:shd w:val="clear" w:color="auto" w:fill="auto"/>
          </w:tcPr>
          <w:p w14:paraId="64A664D4" w14:textId="77777777" w:rsidR="00BE2CA7" w:rsidRPr="00440C76" w:rsidRDefault="00BE2CA7" w:rsidP="002B0590">
            <w:pPr>
              <w:kinsoku/>
              <w:overflowPunct/>
              <w:autoSpaceDE/>
              <w:autoSpaceDN/>
              <w:adjustRightInd/>
              <w:snapToGrid/>
              <w:spacing w:before="40" w:after="40" w:line="180" w:lineRule="atLeast"/>
              <w:ind w:left="57" w:right="57"/>
              <w:rPr>
                <w:rFonts w:eastAsia="Times New Roman"/>
                <w:sz w:val="16"/>
                <w:szCs w:val="16"/>
                <w:lang w:val="fr-FR"/>
              </w:rPr>
            </w:pPr>
            <w:r w:rsidRPr="00440C76">
              <w:rPr>
                <w:rFonts w:eastAsia="Times New Roman"/>
                <w:sz w:val="16"/>
                <w:szCs w:val="16"/>
                <w:lang w:val="fr-FR"/>
              </w:rPr>
              <w:t>Oui</w:t>
            </w:r>
          </w:p>
        </w:tc>
        <w:tc>
          <w:tcPr>
            <w:tcW w:w="567" w:type="dxa"/>
            <w:shd w:val="clear" w:color="auto" w:fill="auto"/>
          </w:tcPr>
          <w:p w14:paraId="5E770BE1" w14:textId="77777777" w:rsidR="00BE2CA7" w:rsidRPr="00440C76" w:rsidRDefault="00BE2CA7" w:rsidP="002B0590">
            <w:pPr>
              <w:kinsoku/>
              <w:overflowPunct/>
              <w:autoSpaceDE/>
              <w:autoSpaceDN/>
              <w:adjustRightInd/>
              <w:snapToGrid/>
              <w:spacing w:before="40" w:after="40" w:line="180" w:lineRule="atLeast"/>
              <w:ind w:left="57" w:right="57"/>
              <w:rPr>
                <w:rFonts w:eastAsia="Times New Roman"/>
                <w:sz w:val="16"/>
                <w:szCs w:val="16"/>
                <w:lang w:val="fr-FR"/>
              </w:rPr>
            </w:pPr>
            <w:r w:rsidRPr="00440C76">
              <w:rPr>
                <w:rFonts w:eastAsia="Times New Roman"/>
                <w:sz w:val="16"/>
                <w:szCs w:val="16"/>
                <w:lang w:val="fr-FR"/>
              </w:rPr>
              <w:t>Oui</w:t>
            </w:r>
          </w:p>
        </w:tc>
        <w:tc>
          <w:tcPr>
            <w:tcW w:w="921" w:type="dxa"/>
            <w:shd w:val="clear" w:color="auto" w:fill="auto"/>
          </w:tcPr>
          <w:p w14:paraId="180FA20A" w14:textId="77777777" w:rsidR="00BE2CA7" w:rsidRPr="00440C76" w:rsidRDefault="00BE2CA7" w:rsidP="002B0590">
            <w:pPr>
              <w:kinsoku/>
              <w:overflowPunct/>
              <w:autoSpaceDE/>
              <w:autoSpaceDN/>
              <w:adjustRightInd/>
              <w:snapToGrid/>
              <w:spacing w:before="40" w:after="40" w:line="180" w:lineRule="atLeast"/>
              <w:ind w:left="57" w:right="57"/>
              <w:rPr>
                <w:rFonts w:eastAsia="Times New Roman"/>
                <w:sz w:val="16"/>
                <w:szCs w:val="16"/>
                <w:lang w:val="fr-FR"/>
              </w:rPr>
            </w:pPr>
            <w:r w:rsidRPr="00440C76">
              <w:rPr>
                <w:rFonts w:eastAsia="Times New Roman"/>
                <w:sz w:val="16"/>
                <w:szCs w:val="16"/>
                <w:lang w:val="fr-FR"/>
              </w:rPr>
              <w:t>Oui</w:t>
            </w:r>
          </w:p>
        </w:tc>
        <w:tc>
          <w:tcPr>
            <w:tcW w:w="922" w:type="dxa"/>
            <w:shd w:val="clear" w:color="auto" w:fill="auto"/>
          </w:tcPr>
          <w:p w14:paraId="2AC8114E" w14:textId="77777777" w:rsidR="00BE2CA7" w:rsidRPr="00440C76" w:rsidRDefault="00BE2CA7" w:rsidP="002B0590">
            <w:pPr>
              <w:kinsoku/>
              <w:overflowPunct/>
              <w:autoSpaceDE/>
              <w:autoSpaceDN/>
              <w:adjustRightInd/>
              <w:snapToGrid/>
              <w:spacing w:before="40" w:after="40" w:line="180" w:lineRule="atLeast"/>
              <w:ind w:left="57" w:right="57"/>
              <w:rPr>
                <w:rFonts w:eastAsia="Times New Roman"/>
                <w:sz w:val="16"/>
                <w:szCs w:val="16"/>
                <w:lang w:val="fr-FR"/>
              </w:rPr>
            </w:pPr>
            <w:r w:rsidRPr="00440C76">
              <w:rPr>
                <w:rFonts w:eastAsia="Times New Roman"/>
                <w:sz w:val="16"/>
                <w:szCs w:val="16"/>
                <w:lang w:val="fr-FR"/>
              </w:rPr>
              <w:t>Oui</w:t>
            </w:r>
          </w:p>
        </w:tc>
        <w:tc>
          <w:tcPr>
            <w:tcW w:w="945" w:type="dxa"/>
            <w:shd w:val="clear" w:color="auto" w:fill="auto"/>
          </w:tcPr>
          <w:p w14:paraId="584CB59A" w14:textId="77777777" w:rsidR="00BE2CA7" w:rsidRPr="00440C76" w:rsidRDefault="00BE2CA7" w:rsidP="002B0590">
            <w:pPr>
              <w:kinsoku/>
              <w:overflowPunct/>
              <w:autoSpaceDE/>
              <w:autoSpaceDN/>
              <w:adjustRightInd/>
              <w:snapToGrid/>
              <w:spacing w:before="40" w:after="40" w:line="180" w:lineRule="atLeast"/>
              <w:ind w:left="57" w:right="57"/>
              <w:rPr>
                <w:rFonts w:eastAsia="Times New Roman"/>
                <w:sz w:val="16"/>
                <w:szCs w:val="16"/>
                <w:lang w:val="fr-FR"/>
              </w:rPr>
            </w:pPr>
            <w:r w:rsidRPr="00440C76">
              <w:rPr>
                <w:rFonts w:eastAsia="Times New Roman"/>
                <w:sz w:val="16"/>
                <w:szCs w:val="16"/>
                <w:lang w:val="fr-FR"/>
              </w:rPr>
              <w:t xml:space="preserve">Oui </w:t>
            </w:r>
            <w:r w:rsidRPr="00440C76">
              <w:rPr>
                <w:rFonts w:eastAsia="Times New Roman"/>
                <w:sz w:val="16"/>
                <w:szCs w:val="16"/>
                <w:lang w:val="fr-FR"/>
              </w:rPr>
              <w:br/>
              <w:t>(les deux carburants)</w:t>
            </w:r>
          </w:p>
        </w:tc>
        <w:tc>
          <w:tcPr>
            <w:tcW w:w="945" w:type="dxa"/>
            <w:shd w:val="clear" w:color="auto" w:fill="auto"/>
          </w:tcPr>
          <w:p w14:paraId="11DFADBD" w14:textId="77777777" w:rsidR="00BE2CA7" w:rsidRPr="00440C76" w:rsidRDefault="00BE2CA7" w:rsidP="002B0590">
            <w:pPr>
              <w:kinsoku/>
              <w:overflowPunct/>
              <w:autoSpaceDE/>
              <w:autoSpaceDN/>
              <w:adjustRightInd/>
              <w:snapToGrid/>
              <w:spacing w:before="40" w:after="40" w:line="180" w:lineRule="atLeast"/>
              <w:ind w:left="57" w:right="57"/>
              <w:rPr>
                <w:rFonts w:eastAsia="Times New Roman"/>
                <w:sz w:val="16"/>
                <w:szCs w:val="16"/>
                <w:lang w:val="fr-FR"/>
              </w:rPr>
            </w:pPr>
            <w:r w:rsidRPr="00440C76">
              <w:rPr>
                <w:rFonts w:eastAsia="Times New Roman"/>
                <w:sz w:val="16"/>
                <w:szCs w:val="16"/>
                <w:lang w:val="fr-FR"/>
              </w:rPr>
              <w:t xml:space="preserve">Oui </w:t>
            </w:r>
            <w:r w:rsidRPr="00440C76">
              <w:rPr>
                <w:rFonts w:eastAsia="Times New Roman"/>
                <w:sz w:val="16"/>
                <w:szCs w:val="16"/>
                <w:lang w:val="fr-FR"/>
              </w:rPr>
              <w:br/>
              <w:t>(les deux carburants)</w:t>
            </w:r>
          </w:p>
        </w:tc>
        <w:tc>
          <w:tcPr>
            <w:tcW w:w="945" w:type="dxa"/>
            <w:shd w:val="clear" w:color="auto" w:fill="auto"/>
          </w:tcPr>
          <w:p w14:paraId="4D18E880" w14:textId="77777777" w:rsidR="00BE2CA7" w:rsidRPr="00440C76" w:rsidRDefault="00BE2CA7" w:rsidP="002B0590">
            <w:pPr>
              <w:kinsoku/>
              <w:overflowPunct/>
              <w:autoSpaceDE/>
              <w:autoSpaceDN/>
              <w:adjustRightInd/>
              <w:snapToGrid/>
              <w:spacing w:before="40" w:after="40" w:line="180" w:lineRule="atLeast"/>
              <w:ind w:left="57" w:right="57"/>
              <w:rPr>
                <w:rFonts w:eastAsia="Times New Roman"/>
                <w:sz w:val="16"/>
                <w:szCs w:val="16"/>
                <w:lang w:val="fr-FR"/>
              </w:rPr>
            </w:pPr>
            <w:r w:rsidRPr="00440C76">
              <w:rPr>
                <w:rFonts w:eastAsia="Times New Roman"/>
                <w:sz w:val="16"/>
                <w:szCs w:val="16"/>
                <w:lang w:val="fr-FR"/>
              </w:rPr>
              <w:t xml:space="preserve">Oui </w:t>
            </w:r>
            <w:r w:rsidRPr="00440C76">
              <w:rPr>
                <w:rFonts w:eastAsia="Times New Roman"/>
                <w:sz w:val="16"/>
                <w:szCs w:val="16"/>
                <w:lang w:val="fr-FR"/>
              </w:rPr>
              <w:br/>
              <w:t>(les deux carburants)</w:t>
            </w:r>
          </w:p>
        </w:tc>
        <w:tc>
          <w:tcPr>
            <w:tcW w:w="992" w:type="dxa"/>
            <w:shd w:val="clear" w:color="auto" w:fill="auto"/>
          </w:tcPr>
          <w:p w14:paraId="4F9C6338" w14:textId="77777777" w:rsidR="00BE2CA7" w:rsidRPr="00440C76" w:rsidRDefault="00BE2CA7" w:rsidP="002B0590">
            <w:pPr>
              <w:kinsoku/>
              <w:overflowPunct/>
              <w:autoSpaceDE/>
              <w:autoSpaceDN/>
              <w:adjustRightInd/>
              <w:snapToGrid/>
              <w:spacing w:before="40" w:after="40" w:line="180" w:lineRule="atLeast"/>
              <w:ind w:left="57" w:right="57"/>
              <w:rPr>
                <w:rFonts w:eastAsia="Times New Roman"/>
                <w:sz w:val="16"/>
                <w:szCs w:val="16"/>
                <w:lang w:val="fr-FR"/>
              </w:rPr>
            </w:pPr>
            <w:r w:rsidRPr="00440C76">
              <w:rPr>
                <w:rFonts w:eastAsia="Times New Roman"/>
                <w:sz w:val="16"/>
                <w:szCs w:val="16"/>
                <w:lang w:val="fr-FR"/>
              </w:rPr>
              <w:t xml:space="preserve">Oui </w:t>
            </w:r>
            <w:r w:rsidRPr="00440C76">
              <w:rPr>
                <w:rFonts w:eastAsia="Times New Roman"/>
                <w:sz w:val="16"/>
                <w:szCs w:val="16"/>
                <w:lang w:val="fr-FR"/>
              </w:rPr>
              <w:br/>
              <w:t>(les deux carburants)</w:t>
            </w:r>
          </w:p>
        </w:tc>
        <w:tc>
          <w:tcPr>
            <w:tcW w:w="710" w:type="dxa"/>
            <w:shd w:val="clear" w:color="auto" w:fill="auto"/>
          </w:tcPr>
          <w:p w14:paraId="3D974AB0" w14:textId="77777777" w:rsidR="00BE2CA7" w:rsidRPr="00440C76" w:rsidRDefault="00BE2CA7" w:rsidP="002B0590">
            <w:pPr>
              <w:kinsoku/>
              <w:overflowPunct/>
              <w:autoSpaceDE/>
              <w:autoSpaceDN/>
              <w:adjustRightInd/>
              <w:snapToGrid/>
              <w:spacing w:before="40" w:after="40" w:line="180" w:lineRule="atLeast"/>
              <w:ind w:left="57" w:right="57"/>
              <w:rPr>
                <w:rFonts w:eastAsia="Times New Roman"/>
                <w:i/>
                <w:sz w:val="16"/>
                <w:szCs w:val="16"/>
                <w:lang w:val="fr-FR"/>
              </w:rPr>
            </w:pPr>
            <w:r w:rsidRPr="00440C76">
              <w:rPr>
                <w:rFonts w:eastAsia="Times New Roman"/>
                <w:sz w:val="16"/>
                <w:szCs w:val="16"/>
                <w:lang w:val="fr-FR"/>
              </w:rPr>
              <w:t xml:space="preserve">Oui </w:t>
            </w:r>
          </w:p>
        </w:tc>
        <w:tc>
          <w:tcPr>
            <w:tcW w:w="710" w:type="dxa"/>
            <w:shd w:val="clear" w:color="auto" w:fill="auto"/>
          </w:tcPr>
          <w:p w14:paraId="701918A0" w14:textId="77777777" w:rsidR="00BE2CA7" w:rsidRPr="00440C76" w:rsidRDefault="00BE2CA7" w:rsidP="002B0590">
            <w:pPr>
              <w:kinsoku/>
              <w:overflowPunct/>
              <w:autoSpaceDE/>
              <w:autoSpaceDN/>
              <w:adjustRightInd/>
              <w:snapToGrid/>
              <w:spacing w:before="40" w:after="40" w:line="180" w:lineRule="atLeast"/>
              <w:ind w:left="57" w:right="57"/>
              <w:rPr>
                <w:rFonts w:eastAsia="Times New Roman"/>
                <w:sz w:val="16"/>
                <w:szCs w:val="16"/>
                <w:lang w:val="fr-FR"/>
              </w:rPr>
            </w:pPr>
            <w:r w:rsidRPr="00440C76">
              <w:rPr>
                <w:rFonts w:eastAsia="Times New Roman"/>
                <w:sz w:val="16"/>
                <w:szCs w:val="16"/>
                <w:lang w:val="fr-FR"/>
              </w:rPr>
              <w:t>Oui</w:t>
            </w:r>
          </w:p>
        </w:tc>
      </w:tr>
    </w:tbl>
    <w:p w14:paraId="67F8E7B6" w14:textId="77777777" w:rsidR="00BE2CA7" w:rsidRPr="00440C76" w:rsidRDefault="00BE2CA7" w:rsidP="00BE2CA7">
      <w:pPr>
        <w:pStyle w:val="SingleTxtG"/>
        <w:spacing w:before="120" w:after="0" w:line="200" w:lineRule="atLeast"/>
        <w:ind w:left="0" w:right="0" w:firstLine="170"/>
        <w:jc w:val="left"/>
        <w:rPr>
          <w:rFonts w:eastAsia="Times New Roman"/>
          <w:sz w:val="18"/>
          <w:szCs w:val="18"/>
          <w:lang w:val="fr-FR"/>
        </w:rPr>
      </w:pPr>
      <w:r w:rsidRPr="003B3965">
        <w:rPr>
          <w:rFonts w:eastAsia="Times New Roman"/>
          <w:i/>
          <w:iCs/>
          <w:sz w:val="18"/>
          <w:szCs w:val="18"/>
          <w:vertAlign w:val="superscript"/>
          <w:lang w:val="fr-FR"/>
        </w:rPr>
        <w:t>1</w:t>
      </w:r>
      <w:r w:rsidRPr="00440C76">
        <w:rPr>
          <w:rFonts w:eastAsia="Times New Roman"/>
          <w:sz w:val="18"/>
          <w:szCs w:val="18"/>
          <w:lang w:val="fr-FR"/>
        </w:rPr>
        <w:t xml:space="preserve"> </w:t>
      </w:r>
      <w:r>
        <w:rPr>
          <w:rFonts w:eastAsia="Times New Roman"/>
          <w:sz w:val="18"/>
          <w:szCs w:val="18"/>
          <w:lang w:val="fr-FR"/>
        </w:rPr>
        <w:t xml:space="preserve"> </w:t>
      </w:r>
      <w:r w:rsidRPr="00440C76">
        <w:rPr>
          <w:rFonts w:eastAsia="Times New Roman"/>
          <w:sz w:val="18"/>
          <w:szCs w:val="18"/>
          <w:lang w:val="fr-FR"/>
        </w:rPr>
        <w:t>Des procédures d</w:t>
      </w:r>
      <w:r>
        <w:rPr>
          <w:rFonts w:eastAsia="Times New Roman"/>
          <w:sz w:val="18"/>
          <w:szCs w:val="18"/>
          <w:lang w:val="fr-FR"/>
        </w:rPr>
        <w:t>’</w:t>
      </w:r>
      <w:r w:rsidRPr="00440C76">
        <w:rPr>
          <w:rFonts w:eastAsia="Times New Roman"/>
          <w:sz w:val="18"/>
          <w:szCs w:val="18"/>
          <w:lang w:val="fr-FR"/>
        </w:rPr>
        <w:t>essai particulières pour les véhicules à hydrogène et les véhicules polycarburant à biogazole seront établies ultérieurement.</w:t>
      </w:r>
    </w:p>
    <w:p w14:paraId="52DE15F8" w14:textId="77777777" w:rsidR="00BE2CA7" w:rsidRPr="00440C76" w:rsidRDefault="00BE2CA7" w:rsidP="00BE2CA7">
      <w:pPr>
        <w:pStyle w:val="SingleTxtG"/>
        <w:spacing w:after="240" w:line="200" w:lineRule="atLeast"/>
        <w:ind w:left="0" w:right="0" w:firstLine="170"/>
        <w:jc w:val="left"/>
        <w:rPr>
          <w:sz w:val="18"/>
          <w:szCs w:val="18"/>
          <w:lang w:val="fr-FR"/>
        </w:rPr>
      </w:pPr>
      <w:r w:rsidRPr="003B3965">
        <w:rPr>
          <w:rFonts w:eastAsia="Times New Roman"/>
          <w:i/>
          <w:iCs/>
          <w:sz w:val="18"/>
          <w:szCs w:val="18"/>
          <w:vertAlign w:val="superscript"/>
          <w:lang w:val="fr-FR"/>
        </w:rPr>
        <w:t>2</w:t>
      </w:r>
      <w:r w:rsidRPr="00440C76">
        <w:rPr>
          <w:rFonts w:eastAsia="Times New Roman"/>
          <w:sz w:val="18"/>
          <w:szCs w:val="18"/>
          <w:lang w:val="fr-FR"/>
        </w:rPr>
        <w:t xml:space="preserve"> </w:t>
      </w:r>
      <w:r>
        <w:rPr>
          <w:rFonts w:eastAsia="Times New Roman"/>
          <w:sz w:val="18"/>
          <w:szCs w:val="18"/>
          <w:lang w:val="fr-FR"/>
        </w:rPr>
        <w:t xml:space="preserve"> </w:t>
      </w:r>
      <w:r w:rsidRPr="00440C76">
        <w:rPr>
          <w:rFonts w:eastAsia="Times New Roman"/>
          <w:sz w:val="18"/>
          <w:szCs w:val="18"/>
          <w:lang w:val="fr-FR"/>
        </w:rPr>
        <w:t>Lorsqu</w:t>
      </w:r>
      <w:r>
        <w:rPr>
          <w:rFonts w:eastAsia="Times New Roman"/>
          <w:sz w:val="18"/>
          <w:szCs w:val="18"/>
          <w:lang w:val="fr-FR"/>
        </w:rPr>
        <w:t>’</w:t>
      </w:r>
      <w:r w:rsidRPr="00440C76">
        <w:rPr>
          <w:rFonts w:eastAsia="Times New Roman"/>
          <w:sz w:val="18"/>
          <w:szCs w:val="18"/>
          <w:lang w:val="fr-FR"/>
        </w:rPr>
        <w:t>un véhicule bicarburant est combiné à un véhicule polycarburant, les deux prescriptions d</w:t>
      </w:r>
      <w:r>
        <w:rPr>
          <w:rFonts w:eastAsia="Times New Roman"/>
          <w:sz w:val="18"/>
          <w:szCs w:val="18"/>
          <w:lang w:val="fr-FR"/>
        </w:rPr>
        <w:t>’</w:t>
      </w:r>
      <w:r w:rsidRPr="00440C76">
        <w:rPr>
          <w:rFonts w:eastAsia="Times New Roman"/>
          <w:sz w:val="18"/>
          <w:szCs w:val="18"/>
          <w:lang w:val="fr-FR"/>
        </w:rPr>
        <w:t>essai s</w:t>
      </w:r>
      <w:r>
        <w:rPr>
          <w:rFonts w:eastAsia="Times New Roman"/>
          <w:sz w:val="18"/>
          <w:szCs w:val="18"/>
          <w:lang w:val="fr-FR"/>
        </w:rPr>
        <w:t>’</w:t>
      </w:r>
      <w:r w:rsidRPr="00440C76">
        <w:rPr>
          <w:rFonts w:eastAsia="Times New Roman"/>
          <w:sz w:val="18"/>
          <w:szCs w:val="18"/>
          <w:lang w:val="fr-FR"/>
        </w:rPr>
        <w:t>appliquent.</w:t>
      </w:r>
    </w:p>
    <w:p w14:paraId="2CFDB7AB" w14:textId="77777777" w:rsidR="00BE2CA7" w:rsidRPr="00440C76" w:rsidRDefault="00BE2CA7" w:rsidP="00BE2CA7">
      <w:pPr>
        <w:pStyle w:val="SingleTxtG"/>
        <w:keepNext/>
        <w:ind w:left="2268" w:hanging="1134"/>
        <w:rPr>
          <w:lang w:val="fr-FR"/>
        </w:rPr>
      </w:pPr>
      <w:r w:rsidRPr="00440C76">
        <w:rPr>
          <w:lang w:val="fr-FR"/>
        </w:rPr>
        <w:t>5.3</w:t>
      </w:r>
      <w:r w:rsidRPr="00440C76">
        <w:rPr>
          <w:lang w:val="fr-FR"/>
        </w:rPr>
        <w:tab/>
        <w:t>Description des essais</w:t>
      </w:r>
    </w:p>
    <w:p w14:paraId="1C7BD62B" w14:textId="77777777" w:rsidR="00BE2CA7" w:rsidRPr="00440C76" w:rsidRDefault="00BE2CA7" w:rsidP="00BE2CA7">
      <w:pPr>
        <w:pStyle w:val="SingleTxtG"/>
        <w:ind w:left="2268" w:hanging="1134"/>
        <w:rPr>
          <w:lang w:val="fr-FR"/>
        </w:rPr>
      </w:pPr>
      <w:r w:rsidRPr="00440C76">
        <w:rPr>
          <w:lang w:val="fr-FR"/>
        </w:rPr>
        <w:t>5.3.1</w:t>
      </w:r>
      <w:r w:rsidRPr="00440C76">
        <w:rPr>
          <w:lang w:val="fr-FR"/>
        </w:rPr>
        <w:tab/>
        <w:t>Réservé</w:t>
      </w:r>
    </w:p>
    <w:p w14:paraId="55D3E831" w14:textId="77777777" w:rsidR="00BE2CA7" w:rsidRPr="00440C76" w:rsidRDefault="00BE2CA7" w:rsidP="00BE2CA7">
      <w:pPr>
        <w:pStyle w:val="SingleTxtG"/>
        <w:ind w:left="2268" w:hanging="1134"/>
        <w:rPr>
          <w:lang w:val="fr-FR"/>
        </w:rPr>
      </w:pPr>
      <w:bookmarkStart w:id="2" w:name="_MON_1432204693"/>
      <w:bookmarkStart w:id="3" w:name="_MON_1432204990"/>
      <w:bookmarkStart w:id="4" w:name="_MON_1432205035"/>
      <w:bookmarkStart w:id="5" w:name="_MON_1433059067"/>
      <w:bookmarkStart w:id="6" w:name="_MON_1433059264"/>
      <w:bookmarkStart w:id="7" w:name="_MON_1448091129"/>
      <w:bookmarkStart w:id="8" w:name="_MON_1448091288"/>
      <w:bookmarkStart w:id="9" w:name="_MON_1448091317"/>
      <w:bookmarkStart w:id="10" w:name="_MON_1448091444"/>
      <w:bookmarkStart w:id="11" w:name="_MON_1448091470"/>
      <w:bookmarkStart w:id="12" w:name="_MON_1448715962"/>
      <w:bookmarkStart w:id="13" w:name="_MON_1462015985"/>
      <w:bookmarkStart w:id="14" w:name="_MON_1432204629"/>
      <w:bookmarkStart w:id="15" w:name="_MON_1432204651"/>
      <w:bookmarkEnd w:id="2"/>
      <w:bookmarkEnd w:id="3"/>
      <w:bookmarkEnd w:id="4"/>
      <w:bookmarkEnd w:id="5"/>
      <w:bookmarkEnd w:id="6"/>
      <w:bookmarkEnd w:id="7"/>
      <w:bookmarkEnd w:id="8"/>
      <w:bookmarkEnd w:id="9"/>
      <w:bookmarkEnd w:id="10"/>
      <w:bookmarkEnd w:id="11"/>
      <w:bookmarkEnd w:id="12"/>
      <w:bookmarkEnd w:id="13"/>
      <w:bookmarkEnd w:id="14"/>
      <w:bookmarkEnd w:id="15"/>
      <w:r w:rsidRPr="00440C76">
        <w:rPr>
          <w:lang w:val="fr-FR"/>
        </w:rPr>
        <w:t>5.3.2</w:t>
      </w:r>
      <w:r w:rsidRPr="00440C76">
        <w:rPr>
          <w:lang w:val="fr-FR"/>
        </w:rPr>
        <w:tab/>
        <w:t>Essai du type</w:t>
      </w:r>
      <w:r>
        <w:rPr>
          <w:lang w:val="fr-FR"/>
        </w:rPr>
        <w:t> </w:t>
      </w:r>
      <w:r w:rsidRPr="00440C76">
        <w:rPr>
          <w:lang w:val="fr-FR"/>
        </w:rPr>
        <w:t>2 (contrôle de l</w:t>
      </w:r>
      <w:r>
        <w:rPr>
          <w:lang w:val="fr-FR"/>
        </w:rPr>
        <w:t>’</w:t>
      </w:r>
      <w:r w:rsidRPr="00440C76">
        <w:rPr>
          <w:lang w:val="fr-FR"/>
        </w:rPr>
        <w:t>émission de monoxyde de carbone au régime de ralenti)</w:t>
      </w:r>
    </w:p>
    <w:p w14:paraId="3D7F7EF6"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5.3.2.1</w:t>
      </w:r>
      <w:r w:rsidRPr="00440C76">
        <w:rPr>
          <w:rFonts w:eastAsia="Times New Roman"/>
          <w:lang w:val="fr-FR"/>
        </w:rPr>
        <w:tab/>
      </w:r>
      <w:r w:rsidRPr="00440C76">
        <w:rPr>
          <w:lang w:val="fr-FR"/>
        </w:rPr>
        <w:t>L</w:t>
      </w:r>
      <w:r>
        <w:rPr>
          <w:lang w:val="fr-FR"/>
        </w:rPr>
        <w:t>’</w:t>
      </w:r>
      <w:r w:rsidRPr="00440C76">
        <w:rPr>
          <w:lang w:val="fr-FR"/>
        </w:rPr>
        <w:t>essai</w:t>
      </w:r>
      <w:r w:rsidRPr="00440C76">
        <w:rPr>
          <w:rFonts w:eastAsia="Times New Roman"/>
          <w:lang w:val="fr-FR"/>
        </w:rPr>
        <w:t xml:space="preserve"> doit être exécuté comme suit sur tous les véhicules équipés d</w:t>
      </w:r>
      <w:r>
        <w:rPr>
          <w:rFonts w:eastAsia="Times New Roman"/>
          <w:lang w:val="fr-FR"/>
        </w:rPr>
        <w:t>’</w:t>
      </w:r>
      <w:r w:rsidRPr="00440C76">
        <w:rPr>
          <w:rFonts w:eastAsia="Times New Roman"/>
          <w:lang w:val="fr-FR"/>
        </w:rPr>
        <w:t xml:space="preserve">un moteur à </w:t>
      </w:r>
      <w:r w:rsidRPr="00440C76">
        <w:rPr>
          <w:lang w:val="fr-FR"/>
        </w:rPr>
        <w:t>allumage</w:t>
      </w:r>
      <w:r w:rsidRPr="00440C76">
        <w:rPr>
          <w:rFonts w:eastAsia="Times New Roman"/>
          <w:lang w:val="fr-FR"/>
        </w:rPr>
        <w:t xml:space="preserve"> commandé :</w:t>
      </w:r>
    </w:p>
    <w:p w14:paraId="5F367111"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5.3.2.1.1</w:t>
      </w:r>
      <w:r w:rsidRPr="00440C76">
        <w:rPr>
          <w:rFonts w:eastAsia="Times New Roman"/>
          <w:lang w:val="fr-FR"/>
        </w:rPr>
        <w:tab/>
      </w:r>
      <w:r w:rsidRPr="00440C76">
        <w:rPr>
          <w:lang w:val="fr-FR"/>
        </w:rPr>
        <w:t>Les</w:t>
      </w:r>
      <w:r w:rsidRPr="00440C76">
        <w:rPr>
          <w:rFonts w:eastAsia="Times New Roman"/>
          <w:lang w:val="fr-FR"/>
        </w:rPr>
        <w:t xml:space="preserve"> véhicules </w:t>
      </w:r>
      <w:r w:rsidRPr="00440C76">
        <w:rPr>
          <w:lang w:val="fr-FR"/>
        </w:rPr>
        <w:t>pouvant</w:t>
      </w:r>
      <w:r w:rsidRPr="00440C76">
        <w:rPr>
          <w:rFonts w:eastAsia="Times New Roman"/>
          <w:lang w:val="fr-FR"/>
        </w:rPr>
        <w:t xml:space="preserve"> fonctionner soit à l</w:t>
      </w:r>
      <w:r>
        <w:rPr>
          <w:rFonts w:eastAsia="Times New Roman"/>
          <w:lang w:val="fr-FR"/>
        </w:rPr>
        <w:t>’</w:t>
      </w:r>
      <w:r w:rsidRPr="00440C76">
        <w:rPr>
          <w:rFonts w:eastAsia="Times New Roman"/>
          <w:lang w:val="fr-FR"/>
        </w:rPr>
        <w:t>essence, soit au GPL ou au GN/biométhane sont soumis à l</w:t>
      </w:r>
      <w:r>
        <w:rPr>
          <w:rFonts w:eastAsia="Times New Roman"/>
          <w:lang w:val="fr-FR"/>
        </w:rPr>
        <w:t>’</w:t>
      </w:r>
      <w:r w:rsidRPr="00440C76">
        <w:rPr>
          <w:rFonts w:eastAsia="Times New Roman"/>
          <w:lang w:val="fr-FR"/>
        </w:rPr>
        <w:t>essai du type</w:t>
      </w:r>
      <w:r>
        <w:rPr>
          <w:rFonts w:eastAsia="Times New Roman"/>
          <w:lang w:val="fr-FR"/>
        </w:rPr>
        <w:t> </w:t>
      </w:r>
      <w:r w:rsidRPr="00440C76">
        <w:rPr>
          <w:rFonts w:eastAsia="Times New Roman"/>
          <w:lang w:val="fr-FR"/>
        </w:rPr>
        <w:t>2 avec les deux types de carburants.</w:t>
      </w:r>
    </w:p>
    <w:p w14:paraId="469C80E0"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5.3.2.1.2</w:t>
      </w:r>
      <w:r w:rsidRPr="00440C76">
        <w:rPr>
          <w:rFonts w:eastAsia="Times New Roman"/>
          <w:lang w:val="fr-FR"/>
        </w:rPr>
        <w:tab/>
        <w:t>Nonobstant les prescriptions du paragraphe</w:t>
      </w:r>
      <w:r>
        <w:rPr>
          <w:rFonts w:eastAsia="Times New Roman"/>
          <w:lang w:val="fr-FR"/>
        </w:rPr>
        <w:t> </w:t>
      </w:r>
      <w:r w:rsidRPr="00440C76">
        <w:rPr>
          <w:rFonts w:eastAsia="Times New Roman"/>
          <w:lang w:val="fr-FR"/>
        </w:rPr>
        <w:t xml:space="preserve">5.3.2.1.1, les véhicules </w:t>
      </w:r>
      <w:proofErr w:type="spellStart"/>
      <w:r w:rsidRPr="00440C76">
        <w:rPr>
          <w:lang w:val="fr-FR"/>
        </w:rPr>
        <w:t>monocarburant</w:t>
      </w:r>
      <w:proofErr w:type="spellEnd"/>
      <w:r w:rsidRPr="00440C76">
        <w:rPr>
          <w:rFonts w:eastAsia="Times New Roman"/>
          <w:lang w:val="fr-FR"/>
        </w:rPr>
        <w:t xml:space="preserve"> à gaz</w:t>
      </w:r>
      <w:r w:rsidRPr="00440C76" w:rsidDel="00C36301">
        <w:rPr>
          <w:rFonts w:eastAsia="Times New Roman"/>
          <w:lang w:val="fr-FR"/>
        </w:rPr>
        <w:t xml:space="preserve"> </w:t>
      </w:r>
      <w:r w:rsidRPr="00440C76">
        <w:rPr>
          <w:rFonts w:eastAsia="Times New Roman"/>
          <w:lang w:val="fr-FR"/>
        </w:rPr>
        <w:t>sont considérés aux fins de l</w:t>
      </w:r>
      <w:r>
        <w:rPr>
          <w:rFonts w:eastAsia="Times New Roman"/>
          <w:lang w:val="fr-FR"/>
        </w:rPr>
        <w:t>’</w:t>
      </w:r>
      <w:r w:rsidRPr="00440C76">
        <w:rPr>
          <w:rFonts w:eastAsia="Times New Roman"/>
          <w:lang w:val="fr-FR"/>
        </w:rPr>
        <w:t>essai du type</w:t>
      </w:r>
      <w:r>
        <w:rPr>
          <w:rFonts w:eastAsia="Times New Roman"/>
          <w:lang w:val="fr-FR"/>
        </w:rPr>
        <w:t> </w:t>
      </w:r>
      <w:r w:rsidRPr="00440C76">
        <w:rPr>
          <w:rFonts w:eastAsia="Times New Roman"/>
          <w:lang w:val="fr-FR"/>
        </w:rPr>
        <w:t>2 comme des véhicules fonctionnant uniquement avec un carburant gazeux.</w:t>
      </w:r>
    </w:p>
    <w:p w14:paraId="7D08FA32"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5.3.2.2</w:t>
      </w:r>
      <w:r w:rsidRPr="00440C76">
        <w:rPr>
          <w:rFonts w:eastAsia="Times New Roman"/>
          <w:lang w:val="fr-FR"/>
        </w:rPr>
        <w:tab/>
      </w:r>
      <w:r w:rsidRPr="00440C76">
        <w:rPr>
          <w:lang w:val="fr-FR"/>
        </w:rPr>
        <w:t>En</w:t>
      </w:r>
      <w:r w:rsidRPr="00440C76">
        <w:rPr>
          <w:rFonts w:eastAsia="Times New Roman"/>
          <w:lang w:val="fr-FR"/>
        </w:rPr>
        <w:t xml:space="preserve"> ce qui concerne l</w:t>
      </w:r>
      <w:r>
        <w:rPr>
          <w:rFonts w:eastAsia="Times New Roman"/>
          <w:lang w:val="fr-FR"/>
        </w:rPr>
        <w:t>’</w:t>
      </w:r>
      <w:r w:rsidRPr="00440C76">
        <w:rPr>
          <w:rFonts w:eastAsia="Times New Roman"/>
          <w:lang w:val="fr-FR"/>
        </w:rPr>
        <w:t>essai du type</w:t>
      </w:r>
      <w:r>
        <w:rPr>
          <w:rFonts w:eastAsia="Times New Roman"/>
          <w:lang w:val="fr-FR"/>
        </w:rPr>
        <w:t> </w:t>
      </w:r>
      <w:r w:rsidRPr="00440C76">
        <w:rPr>
          <w:rFonts w:eastAsia="Times New Roman"/>
          <w:lang w:val="fr-FR"/>
        </w:rPr>
        <w:t>2 décrit à l</w:t>
      </w:r>
      <w:r>
        <w:rPr>
          <w:rFonts w:eastAsia="Times New Roman"/>
          <w:lang w:val="fr-FR"/>
        </w:rPr>
        <w:t>’</w:t>
      </w:r>
      <w:r w:rsidRPr="00440C76">
        <w:rPr>
          <w:rFonts w:eastAsia="Times New Roman"/>
          <w:lang w:val="fr-FR"/>
        </w:rPr>
        <w:t>annexe</w:t>
      </w:r>
      <w:r>
        <w:rPr>
          <w:rFonts w:eastAsia="Times New Roman"/>
          <w:lang w:val="fr-FR"/>
        </w:rPr>
        <w:t> </w:t>
      </w:r>
      <w:r w:rsidRPr="00440C76">
        <w:rPr>
          <w:rFonts w:eastAsia="Times New Roman"/>
          <w:lang w:val="fr-FR"/>
        </w:rPr>
        <w:t>5 du présent Règlement, au régime normal de ralenti, la teneur maximale admissible des gaz d</w:t>
      </w:r>
      <w:r>
        <w:rPr>
          <w:rFonts w:eastAsia="Times New Roman"/>
          <w:lang w:val="fr-FR"/>
        </w:rPr>
        <w:t>’</w:t>
      </w:r>
      <w:r w:rsidRPr="00440C76">
        <w:rPr>
          <w:rFonts w:eastAsia="Times New Roman"/>
          <w:lang w:val="fr-FR"/>
        </w:rPr>
        <w:t xml:space="preserve">échappement en </w:t>
      </w:r>
      <w:r w:rsidRPr="00440C76">
        <w:rPr>
          <w:lang w:val="fr-FR"/>
        </w:rPr>
        <w:t>monoxyde</w:t>
      </w:r>
      <w:r w:rsidRPr="00440C76">
        <w:rPr>
          <w:rFonts w:eastAsia="Times New Roman"/>
          <w:lang w:val="fr-FR"/>
        </w:rPr>
        <w:t xml:space="preserve"> de carbone est celle qui est mentionnée par le constructeur du véhicule. Toutefois, la teneur volumique maximale en monoxyde de carbone ne doit pas dépasser 0,3 %.</w:t>
      </w:r>
    </w:p>
    <w:p w14:paraId="5C7354C9" w14:textId="77777777" w:rsidR="00BE2CA7" w:rsidRPr="00440C76" w:rsidRDefault="00BE2CA7" w:rsidP="00BE2CA7">
      <w:pPr>
        <w:pStyle w:val="SingleTxtG"/>
        <w:ind w:left="2268"/>
        <w:rPr>
          <w:rFonts w:eastAsia="Times New Roman"/>
          <w:lang w:val="fr-FR"/>
        </w:rPr>
      </w:pPr>
      <w:r w:rsidRPr="00440C76">
        <w:rPr>
          <w:rFonts w:eastAsia="Times New Roman"/>
          <w:lang w:val="fr-FR"/>
        </w:rPr>
        <w:t xml:space="preserve">Au ralenti accéléré, la teneur volumique en monoxyde de carbone des gaz </w:t>
      </w:r>
      <w:r w:rsidRPr="00440C76">
        <w:rPr>
          <w:lang w:val="fr-FR"/>
        </w:rPr>
        <w:t>d</w:t>
      </w:r>
      <w:r>
        <w:rPr>
          <w:lang w:val="fr-FR"/>
        </w:rPr>
        <w:t>’</w:t>
      </w:r>
      <w:r w:rsidRPr="00440C76">
        <w:rPr>
          <w:lang w:val="fr-FR"/>
        </w:rPr>
        <w:t>échappement</w:t>
      </w:r>
      <w:r w:rsidRPr="00440C76">
        <w:rPr>
          <w:rFonts w:eastAsia="Times New Roman"/>
          <w:lang w:val="fr-FR"/>
        </w:rPr>
        <w:t xml:space="preserve"> ne doit pas dépasser 0,2 % pour un régime du moteur au moins égal à 2 000 min</w:t>
      </w:r>
      <w:r w:rsidRPr="00440C76">
        <w:rPr>
          <w:rFonts w:eastAsia="Times New Roman"/>
          <w:vertAlign w:val="superscript"/>
          <w:lang w:val="fr-FR"/>
        </w:rPr>
        <w:t>-1</w:t>
      </w:r>
      <w:r w:rsidRPr="00440C76">
        <w:rPr>
          <w:rFonts w:eastAsia="Times New Roman"/>
          <w:lang w:val="fr-FR"/>
        </w:rPr>
        <w:t xml:space="preserve">, </w:t>
      </w:r>
      <w:r w:rsidRPr="00440C76">
        <w:rPr>
          <w:lang w:val="fr-FR"/>
        </w:rPr>
        <w:t>la</w:t>
      </w:r>
      <w:r w:rsidRPr="00440C76">
        <w:rPr>
          <w:rFonts w:eastAsia="Times New Roman"/>
          <w:lang w:val="fr-FR"/>
        </w:rPr>
        <w:t xml:space="preserve"> valeur Lambda devant être égale à 1 </w:t>
      </w:r>
      <w:r w:rsidRPr="00440C76">
        <w:rPr>
          <w:rFonts w:eastAsia="Times New Roman"/>
          <w:lang w:val="fr-FR"/>
        </w:rPr>
        <w:sym w:font="Symbol" w:char="F0B1"/>
      </w:r>
      <w:r w:rsidRPr="00440C76">
        <w:rPr>
          <w:rFonts w:eastAsia="Times New Roman"/>
          <w:lang w:val="fr-FR"/>
        </w:rPr>
        <w:t>0,03 ou conforme aux spécifications du constructeur.</w:t>
      </w:r>
    </w:p>
    <w:p w14:paraId="4F889057"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5.3.3</w:t>
      </w:r>
      <w:r w:rsidRPr="00440C76">
        <w:rPr>
          <w:rFonts w:eastAsia="Times New Roman"/>
          <w:lang w:val="fr-FR"/>
        </w:rPr>
        <w:tab/>
      </w:r>
      <w:r w:rsidRPr="00440C76">
        <w:rPr>
          <w:lang w:val="fr-FR"/>
        </w:rPr>
        <w:t>Essai</w:t>
      </w:r>
      <w:r w:rsidRPr="00440C76">
        <w:rPr>
          <w:rFonts w:eastAsia="Times New Roman"/>
          <w:lang w:val="fr-FR"/>
        </w:rPr>
        <w:t xml:space="preserve"> du type</w:t>
      </w:r>
      <w:r>
        <w:rPr>
          <w:rFonts w:eastAsia="Times New Roman"/>
          <w:lang w:val="fr-FR"/>
        </w:rPr>
        <w:t> </w:t>
      </w:r>
      <w:r w:rsidRPr="00440C76">
        <w:rPr>
          <w:rFonts w:eastAsia="Times New Roman"/>
          <w:lang w:val="fr-FR"/>
        </w:rPr>
        <w:t>3 (contrôle des émissions de gaz de carter)</w:t>
      </w:r>
    </w:p>
    <w:p w14:paraId="451633F8"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5.3.3.1</w:t>
      </w:r>
      <w:r w:rsidRPr="00440C76">
        <w:rPr>
          <w:rFonts w:eastAsia="Times New Roman"/>
          <w:lang w:val="fr-FR"/>
        </w:rPr>
        <w:tab/>
        <w:t xml:space="preserve">Cet essai doit être effectué </w:t>
      </w:r>
      <w:r w:rsidRPr="00440C76">
        <w:rPr>
          <w:lang w:val="fr-FR"/>
        </w:rPr>
        <w:t>sur</w:t>
      </w:r>
      <w:r w:rsidRPr="00440C76">
        <w:rPr>
          <w:rFonts w:eastAsia="Times New Roman"/>
          <w:lang w:val="fr-FR"/>
        </w:rPr>
        <w:t xml:space="preserve"> tous les véhicules visés au paragraphe</w:t>
      </w:r>
      <w:r>
        <w:rPr>
          <w:rFonts w:eastAsia="Times New Roman"/>
          <w:lang w:val="fr-FR"/>
        </w:rPr>
        <w:t> </w:t>
      </w:r>
      <w:r w:rsidRPr="00440C76">
        <w:rPr>
          <w:rFonts w:eastAsia="Times New Roman"/>
          <w:lang w:val="fr-FR"/>
        </w:rPr>
        <w:t xml:space="preserve">1, à </w:t>
      </w:r>
      <w:r w:rsidRPr="00440C76">
        <w:rPr>
          <w:lang w:val="fr-FR"/>
        </w:rPr>
        <w:t>l</w:t>
      </w:r>
      <w:r>
        <w:rPr>
          <w:lang w:val="fr-FR"/>
        </w:rPr>
        <w:t>’</w:t>
      </w:r>
      <w:r w:rsidRPr="00440C76">
        <w:rPr>
          <w:lang w:val="fr-FR"/>
        </w:rPr>
        <w:t>exception</w:t>
      </w:r>
      <w:r w:rsidRPr="00440C76">
        <w:rPr>
          <w:rFonts w:eastAsia="Times New Roman"/>
          <w:lang w:val="fr-FR"/>
        </w:rPr>
        <w:t xml:space="preserve"> de ceux qui ont un moteur à allumage par compression.</w:t>
      </w:r>
    </w:p>
    <w:p w14:paraId="7FD48D2D"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5.3.3.1.1</w:t>
      </w:r>
      <w:r w:rsidRPr="00440C76">
        <w:rPr>
          <w:rFonts w:eastAsia="Times New Roman"/>
          <w:lang w:val="fr-FR"/>
        </w:rPr>
        <w:tab/>
        <w:t>Les véhicules pouvant fonctionner soit à l</w:t>
      </w:r>
      <w:r>
        <w:rPr>
          <w:rFonts w:eastAsia="Times New Roman"/>
          <w:lang w:val="fr-FR"/>
        </w:rPr>
        <w:t>’</w:t>
      </w:r>
      <w:r w:rsidRPr="00440C76">
        <w:rPr>
          <w:rFonts w:eastAsia="Times New Roman"/>
          <w:lang w:val="fr-FR"/>
        </w:rPr>
        <w:t xml:space="preserve">essence soit au GPL ou au GN ne </w:t>
      </w:r>
      <w:r w:rsidRPr="00440C76">
        <w:rPr>
          <w:lang w:val="fr-FR"/>
        </w:rPr>
        <w:t>doivent</w:t>
      </w:r>
      <w:r w:rsidRPr="00440C76">
        <w:rPr>
          <w:rFonts w:eastAsia="Times New Roman"/>
          <w:lang w:val="fr-FR"/>
        </w:rPr>
        <w:t xml:space="preserve"> être soumis à l</w:t>
      </w:r>
      <w:r>
        <w:rPr>
          <w:rFonts w:eastAsia="Times New Roman"/>
          <w:lang w:val="fr-FR"/>
        </w:rPr>
        <w:t>’</w:t>
      </w:r>
      <w:r w:rsidRPr="00440C76">
        <w:rPr>
          <w:rFonts w:eastAsia="Times New Roman"/>
          <w:lang w:val="fr-FR"/>
        </w:rPr>
        <w:t>essai du type</w:t>
      </w:r>
      <w:r>
        <w:rPr>
          <w:rFonts w:eastAsia="Times New Roman"/>
          <w:lang w:val="fr-FR"/>
        </w:rPr>
        <w:t> </w:t>
      </w:r>
      <w:r w:rsidRPr="00440C76">
        <w:rPr>
          <w:rFonts w:eastAsia="Times New Roman"/>
          <w:lang w:val="fr-FR"/>
        </w:rPr>
        <w:t>3 qu</w:t>
      </w:r>
      <w:r>
        <w:rPr>
          <w:rFonts w:eastAsia="Times New Roman"/>
          <w:lang w:val="fr-FR"/>
        </w:rPr>
        <w:t>’</w:t>
      </w:r>
      <w:r w:rsidRPr="00440C76">
        <w:rPr>
          <w:rFonts w:eastAsia="Times New Roman"/>
          <w:lang w:val="fr-FR"/>
        </w:rPr>
        <w:t>avec de l</w:t>
      </w:r>
      <w:r>
        <w:rPr>
          <w:rFonts w:eastAsia="Times New Roman"/>
          <w:lang w:val="fr-FR"/>
        </w:rPr>
        <w:t>’</w:t>
      </w:r>
      <w:r w:rsidRPr="00440C76">
        <w:rPr>
          <w:rFonts w:eastAsia="Times New Roman"/>
          <w:lang w:val="fr-FR"/>
        </w:rPr>
        <w:t>essence.</w:t>
      </w:r>
    </w:p>
    <w:p w14:paraId="1839009E"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5.3.3.1.2</w:t>
      </w:r>
      <w:r w:rsidRPr="00440C76">
        <w:rPr>
          <w:rFonts w:eastAsia="Times New Roman"/>
          <w:lang w:val="fr-FR"/>
        </w:rPr>
        <w:tab/>
        <w:t>Nonobstant les prescriptions du paragraphe</w:t>
      </w:r>
      <w:r>
        <w:rPr>
          <w:rFonts w:eastAsia="Times New Roman"/>
          <w:lang w:val="fr-FR"/>
        </w:rPr>
        <w:t> </w:t>
      </w:r>
      <w:r w:rsidRPr="00440C76">
        <w:rPr>
          <w:rFonts w:eastAsia="Times New Roman"/>
          <w:lang w:val="fr-FR"/>
        </w:rPr>
        <w:t xml:space="preserve">5.3.3.1.1, les véhicules </w:t>
      </w:r>
      <w:proofErr w:type="spellStart"/>
      <w:r w:rsidRPr="00440C76">
        <w:rPr>
          <w:lang w:val="fr-FR"/>
        </w:rPr>
        <w:t>monocarburant</w:t>
      </w:r>
      <w:proofErr w:type="spellEnd"/>
      <w:r w:rsidRPr="00440C76">
        <w:rPr>
          <w:rFonts w:eastAsia="Times New Roman"/>
          <w:lang w:val="fr-FR"/>
        </w:rPr>
        <w:t xml:space="preserve"> à gaz</w:t>
      </w:r>
      <w:r w:rsidRPr="00440C76" w:rsidDel="00F65F19">
        <w:rPr>
          <w:rFonts w:eastAsia="Times New Roman"/>
          <w:lang w:val="fr-FR"/>
        </w:rPr>
        <w:t xml:space="preserve"> </w:t>
      </w:r>
      <w:r w:rsidRPr="00440C76">
        <w:rPr>
          <w:rFonts w:eastAsia="Times New Roman"/>
          <w:lang w:val="fr-FR"/>
        </w:rPr>
        <w:t>sont considérés aux fins de l</w:t>
      </w:r>
      <w:r>
        <w:rPr>
          <w:rFonts w:eastAsia="Times New Roman"/>
          <w:lang w:val="fr-FR"/>
        </w:rPr>
        <w:t>’</w:t>
      </w:r>
      <w:r w:rsidRPr="00440C76">
        <w:rPr>
          <w:rFonts w:eastAsia="Times New Roman"/>
          <w:lang w:val="fr-FR"/>
        </w:rPr>
        <w:t>essai du type</w:t>
      </w:r>
      <w:r>
        <w:rPr>
          <w:rFonts w:eastAsia="Times New Roman"/>
          <w:lang w:val="fr-FR"/>
        </w:rPr>
        <w:t> </w:t>
      </w:r>
      <w:r w:rsidRPr="00440C76">
        <w:rPr>
          <w:rFonts w:eastAsia="Times New Roman"/>
          <w:lang w:val="fr-FR"/>
        </w:rPr>
        <w:t>3 comme des véhicules fonctionnant uniquement avec un carburant gazeux.</w:t>
      </w:r>
    </w:p>
    <w:p w14:paraId="5DD97E3F" w14:textId="77777777" w:rsidR="00BE2CA7" w:rsidRPr="00440C76" w:rsidRDefault="00BE2CA7" w:rsidP="00BE2CA7">
      <w:pPr>
        <w:pStyle w:val="SingleTxtG"/>
        <w:ind w:left="2268" w:hanging="1134"/>
        <w:rPr>
          <w:rFonts w:eastAsia="Times New Roman"/>
          <w:u w:val="single"/>
          <w:lang w:val="fr-FR"/>
        </w:rPr>
      </w:pPr>
      <w:r w:rsidRPr="00440C76">
        <w:rPr>
          <w:rFonts w:eastAsia="Times New Roman"/>
          <w:lang w:val="fr-FR"/>
        </w:rPr>
        <w:t>5.3.3.2</w:t>
      </w:r>
      <w:r w:rsidRPr="00440C76">
        <w:rPr>
          <w:rFonts w:eastAsia="Times New Roman"/>
          <w:lang w:val="fr-FR"/>
        </w:rPr>
        <w:tab/>
        <w:t>Lors du contrôle dans les conditions prévues à l</w:t>
      </w:r>
      <w:r>
        <w:rPr>
          <w:rFonts w:eastAsia="Times New Roman"/>
          <w:lang w:val="fr-FR"/>
        </w:rPr>
        <w:t>’</w:t>
      </w:r>
      <w:r w:rsidRPr="00440C76">
        <w:rPr>
          <w:rFonts w:eastAsia="Times New Roman"/>
          <w:lang w:val="fr-FR"/>
        </w:rPr>
        <w:t>annexe</w:t>
      </w:r>
      <w:r>
        <w:rPr>
          <w:rFonts w:eastAsia="Times New Roman"/>
          <w:lang w:val="fr-FR"/>
        </w:rPr>
        <w:t> </w:t>
      </w:r>
      <w:r w:rsidRPr="00440C76">
        <w:rPr>
          <w:rFonts w:eastAsia="Times New Roman"/>
          <w:lang w:val="fr-FR"/>
        </w:rPr>
        <w:t xml:space="preserve">6 du présent </w:t>
      </w:r>
      <w:r w:rsidRPr="00440C76">
        <w:rPr>
          <w:lang w:val="fr-FR"/>
        </w:rPr>
        <w:t>Règlement</w:t>
      </w:r>
      <w:r w:rsidRPr="00440C76">
        <w:rPr>
          <w:rFonts w:eastAsia="Times New Roman"/>
          <w:lang w:val="fr-FR"/>
        </w:rPr>
        <w:t>, le système de ventilation du carter ne doit permettre aucune émission de gaz de carter dans l</w:t>
      </w:r>
      <w:r>
        <w:rPr>
          <w:rFonts w:eastAsia="Times New Roman"/>
          <w:lang w:val="fr-FR"/>
        </w:rPr>
        <w:t>’</w:t>
      </w:r>
      <w:r w:rsidRPr="00440C76">
        <w:rPr>
          <w:rFonts w:eastAsia="Times New Roman"/>
          <w:lang w:val="fr-FR"/>
        </w:rPr>
        <w:t>atmosphère.</w:t>
      </w:r>
    </w:p>
    <w:p w14:paraId="7BCD1059"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5.3.4</w:t>
      </w:r>
      <w:r w:rsidRPr="00440C76">
        <w:rPr>
          <w:rFonts w:eastAsia="Times New Roman"/>
          <w:lang w:val="fr-FR"/>
        </w:rPr>
        <w:tab/>
      </w:r>
      <w:r w:rsidRPr="00440C76">
        <w:rPr>
          <w:lang w:val="fr-FR"/>
        </w:rPr>
        <w:t>Réservé</w:t>
      </w:r>
    </w:p>
    <w:p w14:paraId="04F921E5"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5.3.5</w:t>
      </w:r>
      <w:r w:rsidRPr="00440C76">
        <w:rPr>
          <w:rFonts w:eastAsia="Times New Roman"/>
          <w:lang w:val="fr-FR"/>
        </w:rPr>
        <w:tab/>
        <w:t>Essai du type</w:t>
      </w:r>
      <w:r>
        <w:rPr>
          <w:rFonts w:eastAsia="Times New Roman"/>
          <w:lang w:val="fr-FR"/>
        </w:rPr>
        <w:t> </w:t>
      </w:r>
      <w:r w:rsidRPr="00440C76">
        <w:rPr>
          <w:rFonts w:eastAsia="Times New Roman"/>
          <w:lang w:val="fr-FR"/>
        </w:rPr>
        <w:t>6 (vérification des émissions moyennes à l</w:t>
      </w:r>
      <w:r>
        <w:rPr>
          <w:rFonts w:eastAsia="Times New Roman"/>
          <w:lang w:val="fr-FR"/>
        </w:rPr>
        <w:t>’</w:t>
      </w:r>
      <w:r w:rsidRPr="00440C76">
        <w:rPr>
          <w:rFonts w:eastAsia="Times New Roman"/>
          <w:lang w:val="fr-FR"/>
        </w:rPr>
        <w:t xml:space="preserve">échappement, à basse </w:t>
      </w:r>
      <w:r w:rsidRPr="00440C76">
        <w:rPr>
          <w:lang w:val="fr-FR"/>
        </w:rPr>
        <w:t>température</w:t>
      </w:r>
      <w:r w:rsidRPr="00440C76">
        <w:rPr>
          <w:rFonts w:eastAsia="Times New Roman"/>
          <w:lang w:val="fr-FR"/>
        </w:rPr>
        <w:t xml:space="preserve"> ambiante, de monoxyde de carbone et d</w:t>
      </w:r>
      <w:r>
        <w:rPr>
          <w:rFonts w:eastAsia="Times New Roman"/>
          <w:lang w:val="fr-FR"/>
        </w:rPr>
        <w:t>’</w:t>
      </w:r>
      <w:r w:rsidRPr="00440C76">
        <w:rPr>
          <w:rFonts w:eastAsia="Times New Roman"/>
          <w:lang w:val="fr-FR"/>
        </w:rPr>
        <w:t>hydrocarbures après démarrage à froid)</w:t>
      </w:r>
    </w:p>
    <w:p w14:paraId="6495EF88"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5.3.5.1</w:t>
      </w:r>
      <w:r w:rsidRPr="00440C76">
        <w:rPr>
          <w:rFonts w:eastAsia="Times New Roman"/>
          <w:lang w:val="fr-FR"/>
        </w:rPr>
        <w:tab/>
        <w:t>Cet essai ne doit pas être conduit sur les véhicules visés au paragraphe</w:t>
      </w:r>
      <w:r>
        <w:rPr>
          <w:rFonts w:eastAsia="Times New Roman"/>
          <w:lang w:val="fr-FR"/>
        </w:rPr>
        <w:t> </w:t>
      </w:r>
      <w:r w:rsidRPr="00440C76">
        <w:rPr>
          <w:rFonts w:eastAsia="Times New Roman"/>
          <w:lang w:val="fr-FR"/>
        </w:rPr>
        <w:t>1 à l</w:t>
      </w:r>
      <w:r>
        <w:rPr>
          <w:rFonts w:eastAsia="Times New Roman"/>
          <w:lang w:val="fr-FR"/>
        </w:rPr>
        <w:t>’</w:t>
      </w:r>
      <w:r w:rsidRPr="00440C76">
        <w:rPr>
          <w:rFonts w:eastAsia="Times New Roman"/>
          <w:lang w:val="fr-FR"/>
        </w:rPr>
        <w:t>exception de ceux qui sont équipés d</w:t>
      </w:r>
      <w:r>
        <w:rPr>
          <w:rFonts w:eastAsia="Times New Roman"/>
          <w:lang w:val="fr-FR"/>
        </w:rPr>
        <w:t>’</w:t>
      </w:r>
      <w:r w:rsidRPr="00440C76">
        <w:rPr>
          <w:rFonts w:eastAsia="Times New Roman"/>
          <w:lang w:val="fr-FR"/>
        </w:rPr>
        <w:t>un moteur à allumage par compression.</w:t>
      </w:r>
    </w:p>
    <w:p w14:paraId="67132E16"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lastRenderedPageBreak/>
        <w:t>5.3.5.1.1</w:t>
      </w:r>
      <w:r w:rsidRPr="00440C76">
        <w:rPr>
          <w:rFonts w:eastAsia="Times New Roman"/>
          <w:lang w:val="fr-FR"/>
        </w:rPr>
        <w:tab/>
        <w:t>Le véhicule est placé sur un banc à rouleaux muni d</w:t>
      </w:r>
      <w:r>
        <w:rPr>
          <w:rFonts w:eastAsia="Times New Roman"/>
          <w:lang w:val="fr-FR"/>
        </w:rPr>
        <w:t>’</w:t>
      </w:r>
      <w:r w:rsidRPr="00440C76">
        <w:rPr>
          <w:rFonts w:eastAsia="Times New Roman"/>
          <w:lang w:val="fr-FR"/>
        </w:rPr>
        <w:t>un dispositif de simulation de charge et d</w:t>
      </w:r>
      <w:r>
        <w:rPr>
          <w:rFonts w:eastAsia="Times New Roman"/>
          <w:lang w:val="fr-FR"/>
        </w:rPr>
        <w:t>’</w:t>
      </w:r>
      <w:r w:rsidRPr="00440C76">
        <w:rPr>
          <w:rFonts w:eastAsia="Times New Roman"/>
          <w:lang w:val="fr-FR"/>
        </w:rPr>
        <w:t>inertie.</w:t>
      </w:r>
    </w:p>
    <w:p w14:paraId="65DC0198"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5.3.5.1.2</w:t>
      </w:r>
      <w:r w:rsidRPr="00440C76">
        <w:rPr>
          <w:rFonts w:eastAsia="Times New Roman"/>
          <w:lang w:val="fr-FR"/>
        </w:rPr>
        <w:tab/>
        <w:t>L</w:t>
      </w:r>
      <w:r>
        <w:rPr>
          <w:rFonts w:eastAsia="Times New Roman"/>
          <w:lang w:val="fr-FR"/>
        </w:rPr>
        <w:t>’</w:t>
      </w:r>
      <w:r w:rsidRPr="00440C76">
        <w:rPr>
          <w:rFonts w:eastAsia="Times New Roman"/>
          <w:lang w:val="fr-FR"/>
        </w:rPr>
        <w:t xml:space="preserve">essai se compose des quatre cycles élémentaires de conduite urbaine de la </w:t>
      </w:r>
      <w:r w:rsidRPr="00440C76">
        <w:rPr>
          <w:lang w:val="fr-FR"/>
        </w:rPr>
        <w:t>première</w:t>
      </w:r>
      <w:r w:rsidRPr="00440C76">
        <w:rPr>
          <w:rFonts w:eastAsia="Times New Roman"/>
          <w:lang w:val="fr-FR"/>
        </w:rPr>
        <w:t xml:space="preserve"> partie de l</w:t>
      </w:r>
      <w:r>
        <w:rPr>
          <w:rFonts w:eastAsia="Times New Roman"/>
          <w:lang w:val="fr-FR"/>
        </w:rPr>
        <w:t>’</w:t>
      </w:r>
      <w:r w:rsidRPr="00440C76">
        <w:rPr>
          <w:rFonts w:eastAsia="Times New Roman"/>
          <w:lang w:val="fr-FR"/>
        </w:rPr>
        <w:t>essai du type</w:t>
      </w:r>
      <w:r>
        <w:rPr>
          <w:rFonts w:eastAsia="Times New Roman"/>
          <w:lang w:val="fr-FR"/>
        </w:rPr>
        <w:t> </w:t>
      </w:r>
      <w:r w:rsidRPr="00440C76">
        <w:rPr>
          <w:rFonts w:eastAsia="Times New Roman"/>
          <w:lang w:val="fr-FR"/>
        </w:rPr>
        <w:t>1 (fondé sur le cycle d</w:t>
      </w:r>
      <w:r>
        <w:rPr>
          <w:rFonts w:eastAsia="Times New Roman"/>
          <w:lang w:val="fr-FR"/>
        </w:rPr>
        <w:t>’</w:t>
      </w:r>
      <w:r w:rsidRPr="00440C76">
        <w:rPr>
          <w:rFonts w:eastAsia="Times New Roman"/>
          <w:lang w:val="fr-FR"/>
        </w:rPr>
        <w:t>essai NEDC), qui est décrite au paragraphe</w:t>
      </w:r>
      <w:r>
        <w:rPr>
          <w:rFonts w:eastAsia="Times New Roman"/>
          <w:lang w:val="fr-FR"/>
        </w:rPr>
        <w:t> </w:t>
      </w:r>
      <w:r w:rsidRPr="00440C76">
        <w:rPr>
          <w:rFonts w:eastAsia="Times New Roman"/>
          <w:lang w:val="fr-FR"/>
        </w:rPr>
        <w:t>6.1.1 de l</w:t>
      </w:r>
      <w:r>
        <w:rPr>
          <w:rFonts w:eastAsia="Times New Roman"/>
          <w:lang w:val="fr-FR"/>
        </w:rPr>
        <w:t>’</w:t>
      </w:r>
      <w:r w:rsidRPr="00440C76">
        <w:rPr>
          <w:rFonts w:eastAsia="Times New Roman"/>
          <w:lang w:val="fr-FR"/>
        </w:rPr>
        <w:t>annexe</w:t>
      </w:r>
      <w:r>
        <w:rPr>
          <w:rFonts w:eastAsia="Times New Roman"/>
          <w:lang w:val="fr-FR"/>
        </w:rPr>
        <w:t> </w:t>
      </w:r>
      <w:r w:rsidRPr="00440C76">
        <w:rPr>
          <w:rFonts w:eastAsia="Times New Roman"/>
          <w:lang w:val="fr-FR"/>
        </w:rPr>
        <w:t>4a de la série</w:t>
      </w:r>
      <w:r>
        <w:rPr>
          <w:rFonts w:eastAsia="Times New Roman"/>
          <w:lang w:val="fr-FR"/>
        </w:rPr>
        <w:t> </w:t>
      </w:r>
      <w:r w:rsidRPr="00440C76">
        <w:rPr>
          <w:rFonts w:eastAsia="Times New Roman"/>
          <w:lang w:val="fr-FR"/>
        </w:rPr>
        <w:t>07 d</w:t>
      </w:r>
      <w:r>
        <w:rPr>
          <w:rFonts w:eastAsia="Times New Roman"/>
          <w:lang w:val="fr-FR"/>
        </w:rPr>
        <w:t>’</w:t>
      </w:r>
      <w:r w:rsidRPr="00440C76">
        <w:rPr>
          <w:rFonts w:eastAsia="Times New Roman"/>
          <w:lang w:val="fr-FR"/>
        </w:rPr>
        <w:t>amendements au présent Règlement et illustrée à la figure</w:t>
      </w:r>
      <w:r>
        <w:rPr>
          <w:rFonts w:eastAsia="Times New Roman"/>
          <w:lang w:val="fr-FR"/>
        </w:rPr>
        <w:t> </w:t>
      </w:r>
      <w:r w:rsidRPr="00440C76">
        <w:rPr>
          <w:rFonts w:eastAsia="Times New Roman"/>
          <w:lang w:val="fr-FR"/>
        </w:rPr>
        <w:t>A4a/1 de la même annexe. L</w:t>
      </w:r>
      <w:r>
        <w:rPr>
          <w:rFonts w:eastAsia="Times New Roman"/>
          <w:lang w:val="fr-FR"/>
        </w:rPr>
        <w:t>’</w:t>
      </w:r>
      <w:r w:rsidRPr="00440C76">
        <w:rPr>
          <w:rFonts w:eastAsia="Times New Roman"/>
          <w:lang w:val="fr-FR"/>
        </w:rPr>
        <w:t>essai à basse température ambiante, d</w:t>
      </w:r>
      <w:r>
        <w:rPr>
          <w:rFonts w:eastAsia="Times New Roman"/>
          <w:lang w:val="fr-FR"/>
        </w:rPr>
        <w:t>’</w:t>
      </w:r>
      <w:r w:rsidRPr="00440C76">
        <w:rPr>
          <w:rFonts w:eastAsia="Times New Roman"/>
          <w:lang w:val="fr-FR"/>
        </w:rPr>
        <w:t>une durée totale de 780 s, est effectué sans interruption à partir du démarrage du moteur.</w:t>
      </w:r>
    </w:p>
    <w:p w14:paraId="44360ADF"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5.3.5.1.3</w:t>
      </w:r>
      <w:r w:rsidRPr="00440C76">
        <w:rPr>
          <w:rFonts w:eastAsia="Times New Roman"/>
          <w:lang w:val="fr-FR"/>
        </w:rPr>
        <w:tab/>
      </w:r>
      <w:r w:rsidRPr="00440C76">
        <w:rPr>
          <w:lang w:val="fr-FR"/>
        </w:rPr>
        <w:t>L</w:t>
      </w:r>
      <w:r>
        <w:rPr>
          <w:lang w:val="fr-FR"/>
        </w:rPr>
        <w:t>’</w:t>
      </w:r>
      <w:r w:rsidRPr="00440C76">
        <w:rPr>
          <w:lang w:val="fr-FR"/>
        </w:rPr>
        <w:t>essai</w:t>
      </w:r>
      <w:r w:rsidRPr="00440C76">
        <w:rPr>
          <w:rFonts w:eastAsia="Times New Roman"/>
          <w:lang w:val="fr-FR"/>
        </w:rPr>
        <w:t xml:space="preserve"> à basse température est effectué à une température ambiante de 266 K (-7 °C). Avant l</w:t>
      </w:r>
      <w:r>
        <w:rPr>
          <w:rFonts w:eastAsia="Times New Roman"/>
          <w:lang w:val="fr-FR"/>
        </w:rPr>
        <w:t>’</w:t>
      </w:r>
      <w:r w:rsidRPr="00440C76">
        <w:rPr>
          <w:rFonts w:eastAsia="Times New Roman"/>
          <w:lang w:val="fr-FR"/>
        </w:rPr>
        <w:t>essai, les véhicules doivent être conditionnés de manière uniforme de sorte que les résultats de l</w:t>
      </w:r>
      <w:r>
        <w:rPr>
          <w:rFonts w:eastAsia="Times New Roman"/>
          <w:lang w:val="fr-FR"/>
        </w:rPr>
        <w:t>’</w:t>
      </w:r>
      <w:r w:rsidRPr="00440C76">
        <w:rPr>
          <w:rFonts w:eastAsia="Times New Roman"/>
          <w:lang w:val="fr-FR"/>
        </w:rPr>
        <w:t>essai soient reproductibles. Le conditionnement et les autres procédures de l</w:t>
      </w:r>
      <w:r>
        <w:rPr>
          <w:rFonts w:eastAsia="Times New Roman"/>
          <w:lang w:val="fr-FR"/>
        </w:rPr>
        <w:t>’</w:t>
      </w:r>
      <w:r w:rsidRPr="00440C76">
        <w:rPr>
          <w:rFonts w:eastAsia="Times New Roman"/>
          <w:lang w:val="fr-FR"/>
        </w:rPr>
        <w:t>essai sont effectués comme décrit à l</w:t>
      </w:r>
      <w:r>
        <w:rPr>
          <w:rFonts w:eastAsia="Times New Roman"/>
          <w:lang w:val="fr-FR"/>
        </w:rPr>
        <w:t>’</w:t>
      </w:r>
      <w:r w:rsidRPr="00440C76">
        <w:rPr>
          <w:rFonts w:eastAsia="Times New Roman"/>
          <w:lang w:val="fr-FR"/>
        </w:rPr>
        <w:t>annexe</w:t>
      </w:r>
      <w:r>
        <w:rPr>
          <w:rFonts w:eastAsia="Times New Roman"/>
          <w:lang w:val="fr-FR"/>
        </w:rPr>
        <w:t> </w:t>
      </w:r>
      <w:r w:rsidRPr="00440C76">
        <w:rPr>
          <w:rFonts w:eastAsia="Times New Roman"/>
          <w:lang w:val="fr-FR"/>
        </w:rPr>
        <w:t>8 du présent Règlement.</w:t>
      </w:r>
    </w:p>
    <w:p w14:paraId="684BE101"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5.3.5.1.4</w:t>
      </w:r>
      <w:r w:rsidRPr="00440C76">
        <w:rPr>
          <w:rFonts w:eastAsia="Times New Roman"/>
          <w:lang w:val="fr-FR"/>
        </w:rPr>
        <w:tab/>
        <w:t>Au cours de l</w:t>
      </w:r>
      <w:r>
        <w:rPr>
          <w:rFonts w:eastAsia="Times New Roman"/>
          <w:lang w:val="fr-FR"/>
        </w:rPr>
        <w:t>’</w:t>
      </w:r>
      <w:r w:rsidRPr="00440C76">
        <w:rPr>
          <w:rFonts w:eastAsia="Times New Roman"/>
          <w:lang w:val="fr-FR"/>
        </w:rPr>
        <w:t>essai, les gaz d</w:t>
      </w:r>
      <w:r>
        <w:rPr>
          <w:rFonts w:eastAsia="Times New Roman"/>
          <w:lang w:val="fr-FR"/>
        </w:rPr>
        <w:t>’</w:t>
      </w:r>
      <w:r w:rsidRPr="00440C76">
        <w:rPr>
          <w:rFonts w:eastAsia="Times New Roman"/>
          <w:lang w:val="fr-FR"/>
        </w:rPr>
        <w:t>échappement sont dilués et un échantillon proportionnel est prélevé. Les gaz d</w:t>
      </w:r>
      <w:r>
        <w:rPr>
          <w:rFonts w:eastAsia="Times New Roman"/>
          <w:lang w:val="fr-FR"/>
        </w:rPr>
        <w:t>’</w:t>
      </w:r>
      <w:r w:rsidRPr="00440C76">
        <w:rPr>
          <w:rFonts w:eastAsia="Times New Roman"/>
          <w:lang w:val="fr-FR"/>
        </w:rPr>
        <w:t>échappement du véhicule d</w:t>
      </w:r>
      <w:r>
        <w:rPr>
          <w:rFonts w:eastAsia="Times New Roman"/>
          <w:lang w:val="fr-FR"/>
        </w:rPr>
        <w:t>’</w:t>
      </w:r>
      <w:r w:rsidRPr="00440C76">
        <w:rPr>
          <w:rFonts w:eastAsia="Times New Roman"/>
          <w:lang w:val="fr-FR"/>
        </w:rPr>
        <w:t>essai sont dilués, échantillonnés et analysés selon la procédure décrite à l</w:t>
      </w:r>
      <w:r>
        <w:rPr>
          <w:rFonts w:eastAsia="Times New Roman"/>
          <w:lang w:val="fr-FR"/>
        </w:rPr>
        <w:t>’</w:t>
      </w:r>
      <w:r w:rsidRPr="00440C76">
        <w:rPr>
          <w:rFonts w:eastAsia="Times New Roman"/>
          <w:lang w:val="fr-FR"/>
        </w:rPr>
        <w:t>annexe</w:t>
      </w:r>
      <w:r>
        <w:rPr>
          <w:rFonts w:eastAsia="Times New Roman"/>
          <w:lang w:val="fr-FR"/>
        </w:rPr>
        <w:t> </w:t>
      </w:r>
      <w:r w:rsidRPr="00440C76">
        <w:rPr>
          <w:rFonts w:eastAsia="Times New Roman"/>
          <w:lang w:val="fr-FR"/>
        </w:rPr>
        <w:t>8 du présent Règlement, puis on mesure le volume total des gaz d</w:t>
      </w:r>
      <w:r>
        <w:rPr>
          <w:rFonts w:eastAsia="Times New Roman"/>
          <w:lang w:val="fr-FR"/>
        </w:rPr>
        <w:t>’</w:t>
      </w:r>
      <w:r w:rsidRPr="00440C76">
        <w:rPr>
          <w:rFonts w:eastAsia="Times New Roman"/>
          <w:lang w:val="fr-FR"/>
        </w:rPr>
        <w:t xml:space="preserve">échappement dilués. On analyse ces gaz pour mesurer le monoxyde de carbone et les </w:t>
      </w:r>
      <w:r w:rsidRPr="00440C76">
        <w:rPr>
          <w:lang w:val="fr-FR"/>
        </w:rPr>
        <w:t>hydrocarbures</w:t>
      </w:r>
      <w:r w:rsidRPr="00440C76">
        <w:rPr>
          <w:rFonts w:eastAsia="Times New Roman"/>
          <w:lang w:val="fr-FR"/>
        </w:rPr>
        <w:t xml:space="preserve"> totaux.</w:t>
      </w:r>
    </w:p>
    <w:p w14:paraId="4203D4F4"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5.3.5.2</w:t>
      </w:r>
      <w:r w:rsidRPr="00440C76">
        <w:rPr>
          <w:rFonts w:eastAsia="Times New Roman"/>
          <w:lang w:val="fr-FR"/>
        </w:rPr>
        <w:tab/>
        <w:t>Sous réserve des prescriptions énoncées aux paragraphes</w:t>
      </w:r>
      <w:r>
        <w:rPr>
          <w:rFonts w:eastAsia="Times New Roman"/>
          <w:lang w:val="fr-FR"/>
        </w:rPr>
        <w:t> </w:t>
      </w:r>
      <w:r w:rsidRPr="00440C76">
        <w:rPr>
          <w:rFonts w:eastAsia="Times New Roman"/>
          <w:lang w:val="fr-FR"/>
        </w:rPr>
        <w:t>5.3.5.2.2 et 5.3.5.3, l</w:t>
      </w:r>
      <w:r>
        <w:rPr>
          <w:rFonts w:eastAsia="Times New Roman"/>
          <w:lang w:val="fr-FR"/>
        </w:rPr>
        <w:t>’</w:t>
      </w:r>
      <w:r w:rsidRPr="00440C76">
        <w:rPr>
          <w:rFonts w:eastAsia="Times New Roman"/>
          <w:lang w:val="fr-FR"/>
        </w:rPr>
        <w:t>essai doit être réalisé trois fois. La masse obtenue de l</w:t>
      </w:r>
      <w:r>
        <w:rPr>
          <w:rFonts w:eastAsia="Times New Roman"/>
          <w:lang w:val="fr-FR"/>
        </w:rPr>
        <w:t>’</w:t>
      </w:r>
      <w:r w:rsidRPr="00440C76">
        <w:rPr>
          <w:rFonts w:eastAsia="Times New Roman"/>
          <w:lang w:val="fr-FR"/>
        </w:rPr>
        <w:t xml:space="preserve">émission de monoxyde de </w:t>
      </w:r>
      <w:r w:rsidRPr="00440C76">
        <w:rPr>
          <w:lang w:val="fr-FR"/>
        </w:rPr>
        <w:t>carbone</w:t>
      </w:r>
      <w:r w:rsidRPr="00440C76">
        <w:rPr>
          <w:rFonts w:eastAsia="Times New Roman"/>
          <w:lang w:val="fr-FR"/>
        </w:rPr>
        <w:t xml:space="preserve"> et d</w:t>
      </w:r>
      <w:r>
        <w:rPr>
          <w:rFonts w:eastAsia="Times New Roman"/>
          <w:lang w:val="fr-FR"/>
        </w:rPr>
        <w:t>’</w:t>
      </w:r>
      <w:r w:rsidRPr="00440C76">
        <w:rPr>
          <w:rFonts w:eastAsia="Times New Roman"/>
          <w:lang w:val="fr-FR"/>
        </w:rPr>
        <w:t>hydrocarbures doit être inférieure aux limites figurant dans le tableau</w:t>
      </w:r>
      <w:r>
        <w:rPr>
          <w:rFonts w:eastAsia="Times New Roman"/>
          <w:lang w:val="fr-FR"/>
        </w:rPr>
        <w:t> </w:t>
      </w:r>
      <w:r w:rsidRPr="00440C76">
        <w:rPr>
          <w:rFonts w:eastAsia="Times New Roman"/>
          <w:lang w:val="fr-FR"/>
        </w:rPr>
        <w:t>2.</w:t>
      </w:r>
    </w:p>
    <w:p w14:paraId="280D7C91" w14:textId="77777777" w:rsidR="00BE2CA7" w:rsidRPr="00440C76" w:rsidRDefault="00BE2CA7" w:rsidP="00BE2CA7">
      <w:pPr>
        <w:pStyle w:val="Titre1"/>
        <w:rPr>
          <w:lang w:val="fr-FR"/>
        </w:rPr>
      </w:pPr>
      <w:r w:rsidRPr="00440C76">
        <w:rPr>
          <w:lang w:val="fr-FR"/>
        </w:rPr>
        <w:t>Tableau</w:t>
      </w:r>
      <w:r>
        <w:rPr>
          <w:lang w:val="fr-FR"/>
        </w:rPr>
        <w:t> </w:t>
      </w:r>
      <w:r w:rsidRPr="00440C76">
        <w:rPr>
          <w:lang w:val="fr-FR"/>
        </w:rPr>
        <w:t>2</w:t>
      </w:r>
    </w:p>
    <w:p w14:paraId="28709E0B" w14:textId="77777777" w:rsidR="00BE2CA7" w:rsidRPr="00440C76" w:rsidRDefault="00BE2CA7" w:rsidP="00BE2CA7">
      <w:pPr>
        <w:pStyle w:val="SingleTxtG"/>
        <w:keepNext/>
        <w:jc w:val="left"/>
        <w:rPr>
          <w:b/>
          <w:bCs/>
          <w:lang w:val="fr-FR"/>
        </w:rPr>
      </w:pPr>
      <w:r w:rsidRPr="00440C76">
        <w:rPr>
          <w:b/>
          <w:bCs/>
          <w:lang w:val="fr-FR"/>
        </w:rPr>
        <w:t>Limite d</w:t>
      </w:r>
      <w:r>
        <w:rPr>
          <w:b/>
          <w:bCs/>
          <w:lang w:val="fr-FR"/>
        </w:rPr>
        <w:t>’</w:t>
      </w:r>
      <w:r w:rsidRPr="00440C76">
        <w:rPr>
          <w:b/>
          <w:bCs/>
          <w:lang w:val="fr-FR"/>
        </w:rPr>
        <w:t>émission pour les émissions d</w:t>
      </w:r>
      <w:r>
        <w:rPr>
          <w:b/>
          <w:bCs/>
          <w:lang w:val="fr-FR"/>
        </w:rPr>
        <w:t>’</w:t>
      </w:r>
      <w:r w:rsidRPr="00440C76">
        <w:rPr>
          <w:b/>
          <w:bCs/>
          <w:lang w:val="fr-FR"/>
        </w:rPr>
        <w:t>échappement de monoxyde de carbone</w:t>
      </w:r>
      <w:r w:rsidRPr="00440C76">
        <w:rPr>
          <w:b/>
          <w:bCs/>
          <w:lang w:val="fr-FR"/>
        </w:rPr>
        <w:br/>
        <w:t>et d</w:t>
      </w:r>
      <w:r>
        <w:rPr>
          <w:b/>
          <w:bCs/>
          <w:lang w:val="fr-FR"/>
        </w:rPr>
        <w:t>’</w:t>
      </w:r>
      <w:r w:rsidRPr="00440C76">
        <w:rPr>
          <w:b/>
          <w:bCs/>
          <w:lang w:val="fr-FR"/>
        </w:rPr>
        <w:t>hydrocarbures après un essai de démarrage à froid</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7"/>
        <w:gridCol w:w="1418"/>
        <w:gridCol w:w="2268"/>
        <w:gridCol w:w="2268"/>
      </w:tblGrid>
      <w:tr w:rsidR="00BE2CA7" w:rsidRPr="00440C76" w14:paraId="5C2C621F" w14:textId="77777777" w:rsidTr="002B0590">
        <w:tc>
          <w:tcPr>
            <w:tcW w:w="7371" w:type="dxa"/>
            <w:gridSpan w:val="4"/>
          </w:tcPr>
          <w:p w14:paraId="036BDDE6" w14:textId="77777777" w:rsidR="00BE2CA7" w:rsidRPr="00440C76" w:rsidRDefault="00BE2CA7" w:rsidP="002B0590">
            <w:pPr>
              <w:keepNext/>
              <w:kinsoku/>
              <w:overflowPunct/>
              <w:autoSpaceDE/>
              <w:autoSpaceDN/>
              <w:adjustRightInd/>
              <w:snapToGrid/>
              <w:spacing w:before="40" w:after="40" w:line="220" w:lineRule="atLeast"/>
              <w:ind w:left="57" w:right="57"/>
              <w:jc w:val="center"/>
              <w:rPr>
                <w:rFonts w:eastAsia="Times New Roman"/>
                <w:i/>
                <w:sz w:val="16"/>
                <w:szCs w:val="16"/>
                <w:lang w:val="fr-FR"/>
              </w:rPr>
            </w:pPr>
            <w:r w:rsidRPr="00440C76">
              <w:rPr>
                <w:rFonts w:eastAsia="Times New Roman"/>
                <w:i/>
                <w:sz w:val="16"/>
                <w:szCs w:val="16"/>
                <w:lang w:val="fr-FR"/>
              </w:rPr>
              <w:t>Température d</w:t>
            </w:r>
            <w:r>
              <w:rPr>
                <w:rFonts w:eastAsia="Times New Roman"/>
                <w:i/>
                <w:sz w:val="16"/>
                <w:szCs w:val="16"/>
                <w:lang w:val="fr-FR"/>
              </w:rPr>
              <w:t>’</w:t>
            </w:r>
            <w:r w:rsidRPr="00440C76">
              <w:rPr>
                <w:rFonts w:eastAsia="Times New Roman"/>
                <w:i/>
                <w:sz w:val="16"/>
                <w:szCs w:val="16"/>
                <w:lang w:val="fr-FR"/>
              </w:rPr>
              <w:t>essai 266</w:t>
            </w:r>
            <w:r>
              <w:rPr>
                <w:rFonts w:eastAsia="Times New Roman"/>
                <w:i/>
                <w:sz w:val="16"/>
                <w:szCs w:val="16"/>
                <w:lang w:val="fr-FR"/>
              </w:rPr>
              <w:t> </w:t>
            </w:r>
            <w:r w:rsidRPr="00440C76">
              <w:rPr>
                <w:rFonts w:eastAsia="Times New Roman"/>
                <w:i/>
                <w:sz w:val="16"/>
                <w:szCs w:val="16"/>
                <w:lang w:val="fr-FR"/>
              </w:rPr>
              <w:t>K (-7 °C)</w:t>
            </w:r>
          </w:p>
        </w:tc>
      </w:tr>
      <w:tr w:rsidR="00BE2CA7" w:rsidRPr="00440C76" w14:paraId="25B0C9C6" w14:textId="77777777" w:rsidTr="002B0590">
        <w:trPr>
          <w:trHeight w:val="857"/>
        </w:trPr>
        <w:tc>
          <w:tcPr>
            <w:tcW w:w="1417" w:type="dxa"/>
            <w:vAlign w:val="bottom"/>
          </w:tcPr>
          <w:p w14:paraId="2DBD277D" w14:textId="77777777" w:rsidR="00BE2CA7" w:rsidRPr="00440C76" w:rsidRDefault="00BE2CA7" w:rsidP="002B0590">
            <w:pPr>
              <w:keepNext/>
              <w:kinsoku/>
              <w:overflowPunct/>
              <w:autoSpaceDE/>
              <w:autoSpaceDN/>
              <w:adjustRightInd/>
              <w:snapToGrid/>
              <w:spacing w:before="40" w:after="40" w:line="220" w:lineRule="atLeast"/>
              <w:ind w:left="57" w:right="57"/>
              <w:jc w:val="center"/>
              <w:rPr>
                <w:rFonts w:eastAsia="Times New Roman"/>
                <w:i/>
                <w:sz w:val="16"/>
                <w:szCs w:val="16"/>
                <w:lang w:val="fr-FR"/>
              </w:rPr>
            </w:pPr>
            <w:r w:rsidRPr="00440C76">
              <w:rPr>
                <w:rFonts w:eastAsia="Times New Roman"/>
                <w:i/>
                <w:sz w:val="16"/>
                <w:szCs w:val="16"/>
                <w:lang w:val="fr-FR"/>
              </w:rPr>
              <w:t xml:space="preserve">Catégorie </w:t>
            </w:r>
            <w:r w:rsidRPr="00440C76">
              <w:rPr>
                <w:rFonts w:eastAsia="Times New Roman"/>
                <w:i/>
                <w:sz w:val="16"/>
                <w:szCs w:val="16"/>
                <w:lang w:val="fr-FR"/>
              </w:rPr>
              <w:br/>
              <w:t>de véhicules</w:t>
            </w:r>
          </w:p>
        </w:tc>
        <w:tc>
          <w:tcPr>
            <w:tcW w:w="1418" w:type="dxa"/>
            <w:vAlign w:val="bottom"/>
          </w:tcPr>
          <w:p w14:paraId="4CA0B349" w14:textId="77777777" w:rsidR="00BE2CA7" w:rsidRPr="00440C76" w:rsidRDefault="00BE2CA7" w:rsidP="002B0590">
            <w:pPr>
              <w:keepNext/>
              <w:kinsoku/>
              <w:overflowPunct/>
              <w:autoSpaceDE/>
              <w:autoSpaceDN/>
              <w:adjustRightInd/>
              <w:snapToGrid/>
              <w:spacing w:before="40" w:after="40" w:line="220" w:lineRule="atLeast"/>
              <w:ind w:left="57" w:right="57"/>
              <w:jc w:val="center"/>
              <w:rPr>
                <w:rFonts w:eastAsia="Times New Roman"/>
                <w:i/>
                <w:sz w:val="16"/>
                <w:szCs w:val="16"/>
                <w:lang w:val="fr-FR"/>
              </w:rPr>
            </w:pPr>
            <w:r w:rsidRPr="00440C76">
              <w:rPr>
                <w:rFonts w:eastAsia="Times New Roman"/>
                <w:i/>
                <w:sz w:val="16"/>
                <w:szCs w:val="16"/>
                <w:lang w:val="fr-FR"/>
              </w:rPr>
              <w:t>Classe</w:t>
            </w:r>
          </w:p>
        </w:tc>
        <w:tc>
          <w:tcPr>
            <w:tcW w:w="2268" w:type="dxa"/>
            <w:vAlign w:val="bottom"/>
          </w:tcPr>
          <w:p w14:paraId="4C0ADF4B" w14:textId="77777777" w:rsidR="00BE2CA7" w:rsidRPr="00440C76" w:rsidRDefault="00BE2CA7" w:rsidP="002B0590">
            <w:pPr>
              <w:keepNext/>
              <w:kinsoku/>
              <w:overflowPunct/>
              <w:autoSpaceDE/>
              <w:autoSpaceDN/>
              <w:adjustRightInd/>
              <w:snapToGrid/>
              <w:spacing w:before="40" w:after="40" w:line="220" w:lineRule="atLeast"/>
              <w:ind w:left="57" w:right="57"/>
              <w:jc w:val="center"/>
              <w:rPr>
                <w:rFonts w:eastAsia="Times New Roman"/>
                <w:i/>
                <w:sz w:val="16"/>
                <w:szCs w:val="16"/>
                <w:lang w:val="fr-FR"/>
              </w:rPr>
            </w:pPr>
            <w:r w:rsidRPr="00440C76">
              <w:rPr>
                <w:rFonts w:eastAsia="Times New Roman"/>
                <w:i/>
                <w:sz w:val="16"/>
                <w:szCs w:val="16"/>
                <w:lang w:val="fr-FR"/>
              </w:rPr>
              <w:t xml:space="preserve">Masse de monoxyde </w:t>
            </w:r>
            <w:r w:rsidRPr="00440C76">
              <w:rPr>
                <w:rFonts w:eastAsia="Times New Roman"/>
                <w:i/>
                <w:sz w:val="16"/>
                <w:szCs w:val="16"/>
                <w:lang w:val="fr-FR"/>
              </w:rPr>
              <w:br/>
              <w:t>de carbone (CO)</w:t>
            </w:r>
            <w:r w:rsidRPr="00440C76">
              <w:rPr>
                <w:rFonts w:eastAsia="Times New Roman"/>
                <w:i/>
                <w:sz w:val="16"/>
                <w:szCs w:val="16"/>
                <w:lang w:val="fr-FR"/>
              </w:rPr>
              <w:br/>
              <w:t>L</w:t>
            </w:r>
            <w:r w:rsidRPr="00440C76">
              <w:rPr>
                <w:rFonts w:eastAsia="Times New Roman"/>
                <w:i/>
                <w:sz w:val="16"/>
                <w:szCs w:val="16"/>
                <w:vertAlign w:val="subscript"/>
                <w:lang w:val="fr-FR"/>
              </w:rPr>
              <w:t>1</w:t>
            </w:r>
            <w:r w:rsidRPr="00440C76">
              <w:rPr>
                <w:rFonts w:eastAsia="Times New Roman"/>
                <w:i/>
                <w:sz w:val="16"/>
                <w:szCs w:val="16"/>
                <w:lang w:val="fr-FR"/>
              </w:rPr>
              <w:t xml:space="preserve"> (g/km)</w:t>
            </w:r>
          </w:p>
        </w:tc>
        <w:tc>
          <w:tcPr>
            <w:tcW w:w="2268" w:type="dxa"/>
            <w:vAlign w:val="bottom"/>
          </w:tcPr>
          <w:p w14:paraId="5825300A" w14:textId="77777777" w:rsidR="00BE2CA7" w:rsidRPr="00440C76" w:rsidRDefault="00BE2CA7" w:rsidP="002B0590">
            <w:pPr>
              <w:keepNext/>
              <w:kinsoku/>
              <w:overflowPunct/>
              <w:autoSpaceDE/>
              <w:autoSpaceDN/>
              <w:adjustRightInd/>
              <w:snapToGrid/>
              <w:spacing w:before="40" w:after="40" w:line="220" w:lineRule="atLeast"/>
              <w:ind w:left="57" w:right="57"/>
              <w:jc w:val="center"/>
              <w:rPr>
                <w:rFonts w:eastAsia="Times New Roman"/>
                <w:i/>
                <w:sz w:val="16"/>
                <w:szCs w:val="16"/>
                <w:lang w:val="fr-FR"/>
              </w:rPr>
            </w:pPr>
            <w:r w:rsidRPr="00440C76">
              <w:rPr>
                <w:rFonts w:eastAsia="Times New Roman"/>
                <w:i/>
                <w:sz w:val="16"/>
                <w:szCs w:val="16"/>
                <w:lang w:val="fr-FR"/>
              </w:rPr>
              <w:t>Masse d</w:t>
            </w:r>
            <w:r>
              <w:rPr>
                <w:rFonts w:eastAsia="Times New Roman"/>
                <w:i/>
                <w:sz w:val="16"/>
                <w:szCs w:val="16"/>
                <w:lang w:val="fr-FR"/>
              </w:rPr>
              <w:t>’</w:t>
            </w:r>
            <w:r w:rsidRPr="00440C76">
              <w:rPr>
                <w:rFonts w:eastAsia="Times New Roman"/>
                <w:i/>
                <w:sz w:val="16"/>
                <w:szCs w:val="16"/>
                <w:lang w:val="fr-FR"/>
              </w:rPr>
              <w:t>hydrocarbures (HC)</w:t>
            </w:r>
            <w:r w:rsidRPr="00440C76">
              <w:rPr>
                <w:rFonts w:eastAsia="Times New Roman"/>
                <w:i/>
                <w:sz w:val="16"/>
                <w:szCs w:val="16"/>
                <w:lang w:val="fr-FR"/>
              </w:rPr>
              <w:br/>
              <w:t>L</w:t>
            </w:r>
            <w:r w:rsidRPr="00440C76">
              <w:rPr>
                <w:rFonts w:eastAsia="Times New Roman"/>
                <w:i/>
                <w:sz w:val="16"/>
                <w:szCs w:val="16"/>
                <w:vertAlign w:val="subscript"/>
                <w:lang w:val="fr-FR"/>
              </w:rPr>
              <w:t>2</w:t>
            </w:r>
            <w:r w:rsidRPr="00440C76">
              <w:rPr>
                <w:rFonts w:eastAsia="Times New Roman"/>
                <w:i/>
                <w:sz w:val="16"/>
                <w:szCs w:val="16"/>
                <w:lang w:val="fr-FR"/>
              </w:rPr>
              <w:t xml:space="preserve"> (g/km)</w:t>
            </w:r>
          </w:p>
        </w:tc>
      </w:tr>
      <w:tr w:rsidR="00BE2CA7" w:rsidRPr="00440C76" w14:paraId="60D261B9" w14:textId="77777777" w:rsidTr="002B0590">
        <w:tc>
          <w:tcPr>
            <w:tcW w:w="1417" w:type="dxa"/>
          </w:tcPr>
          <w:p w14:paraId="0A39781D" w14:textId="77777777" w:rsidR="00BE2CA7" w:rsidRPr="00440C76" w:rsidRDefault="00BE2CA7" w:rsidP="002B0590">
            <w:pPr>
              <w:keepNext/>
              <w:kinsoku/>
              <w:overflowPunct/>
              <w:autoSpaceDE/>
              <w:autoSpaceDN/>
              <w:adjustRightInd/>
              <w:snapToGrid/>
              <w:spacing w:before="40" w:after="40" w:line="220" w:lineRule="atLeast"/>
              <w:ind w:left="57" w:right="57"/>
              <w:jc w:val="center"/>
              <w:rPr>
                <w:rFonts w:eastAsia="Times New Roman"/>
                <w:sz w:val="18"/>
                <w:szCs w:val="18"/>
                <w:lang w:val="fr-FR"/>
              </w:rPr>
            </w:pPr>
            <w:r w:rsidRPr="00440C76">
              <w:rPr>
                <w:rFonts w:eastAsia="Times New Roman"/>
                <w:sz w:val="18"/>
                <w:szCs w:val="18"/>
                <w:lang w:val="fr-FR"/>
              </w:rPr>
              <w:t>M</w:t>
            </w:r>
          </w:p>
        </w:tc>
        <w:tc>
          <w:tcPr>
            <w:tcW w:w="1418" w:type="dxa"/>
          </w:tcPr>
          <w:p w14:paraId="59C1B970" w14:textId="77777777" w:rsidR="00BE2CA7" w:rsidRPr="00440C76" w:rsidRDefault="00BE2CA7" w:rsidP="002B0590">
            <w:pPr>
              <w:keepNext/>
              <w:kinsoku/>
              <w:overflowPunct/>
              <w:autoSpaceDE/>
              <w:autoSpaceDN/>
              <w:adjustRightInd/>
              <w:snapToGrid/>
              <w:spacing w:before="40" w:after="40" w:line="220" w:lineRule="atLeast"/>
              <w:ind w:left="57" w:right="57"/>
              <w:jc w:val="center"/>
              <w:rPr>
                <w:rFonts w:eastAsia="Times New Roman"/>
                <w:sz w:val="18"/>
                <w:szCs w:val="18"/>
                <w:lang w:val="fr-FR"/>
              </w:rPr>
            </w:pPr>
            <w:r w:rsidRPr="00440C76">
              <w:rPr>
                <w:rFonts w:eastAsia="Times New Roman"/>
                <w:sz w:val="18"/>
                <w:szCs w:val="18"/>
                <w:lang w:val="fr-FR"/>
              </w:rPr>
              <w:t>-</w:t>
            </w:r>
          </w:p>
        </w:tc>
        <w:tc>
          <w:tcPr>
            <w:tcW w:w="2268" w:type="dxa"/>
          </w:tcPr>
          <w:p w14:paraId="77F3F3C5" w14:textId="77777777" w:rsidR="00BE2CA7" w:rsidRPr="00440C76" w:rsidRDefault="00BE2CA7" w:rsidP="002B0590">
            <w:pPr>
              <w:keepNext/>
              <w:kinsoku/>
              <w:overflowPunct/>
              <w:autoSpaceDE/>
              <w:autoSpaceDN/>
              <w:adjustRightInd/>
              <w:snapToGrid/>
              <w:spacing w:before="40" w:after="40" w:line="220" w:lineRule="atLeast"/>
              <w:ind w:left="57" w:right="57"/>
              <w:jc w:val="center"/>
              <w:rPr>
                <w:rFonts w:eastAsia="Times New Roman"/>
                <w:sz w:val="18"/>
                <w:szCs w:val="18"/>
                <w:lang w:val="fr-FR"/>
              </w:rPr>
            </w:pPr>
            <w:r w:rsidRPr="00440C76">
              <w:rPr>
                <w:rFonts w:eastAsia="Times New Roman"/>
                <w:sz w:val="18"/>
                <w:szCs w:val="18"/>
                <w:lang w:val="fr-FR"/>
              </w:rPr>
              <w:t>15</w:t>
            </w:r>
          </w:p>
        </w:tc>
        <w:tc>
          <w:tcPr>
            <w:tcW w:w="2268" w:type="dxa"/>
          </w:tcPr>
          <w:p w14:paraId="64DBD6F5" w14:textId="77777777" w:rsidR="00BE2CA7" w:rsidRPr="00440C76" w:rsidRDefault="00BE2CA7" w:rsidP="002B0590">
            <w:pPr>
              <w:keepNext/>
              <w:kinsoku/>
              <w:overflowPunct/>
              <w:autoSpaceDE/>
              <w:autoSpaceDN/>
              <w:adjustRightInd/>
              <w:snapToGrid/>
              <w:spacing w:before="40" w:after="40" w:line="220" w:lineRule="atLeast"/>
              <w:ind w:left="57" w:right="57"/>
              <w:jc w:val="center"/>
              <w:rPr>
                <w:rFonts w:eastAsia="Times New Roman"/>
                <w:sz w:val="18"/>
                <w:szCs w:val="18"/>
                <w:lang w:val="fr-FR"/>
              </w:rPr>
            </w:pPr>
            <w:r w:rsidRPr="00440C76">
              <w:rPr>
                <w:rFonts w:eastAsia="Times New Roman"/>
                <w:sz w:val="18"/>
                <w:szCs w:val="18"/>
                <w:lang w:val="fr-FR"/>
              </w:rPr>
              <w:t>1,8</w:t>
            </w:r>
          </w:p>
        </w:tc>
      </w:tr>
      <w:tr w:rsidR="00BE2CA7" w:rsidRPr="00440C76" w14:paraId="28E1E7B2" w14:textId="77777777" w:rsidTr="002B0590">
        <w:tc>
          <w:tcPr>
            <w:tcW w:w="1417" w:type="dxa"/>
            <w:vMerge w:val="restart"/>
          </w:tcPr>
          <w:p w14:paraId="01FBE58E" w14:textId="77777777" w:rsidR="00BE2CA7" w:rsidRPr="00440C76" w:rsidRDefault="00BE2CA7" w:rsidP="002B0590">
            <w:pPr>
              <w:keepNext/>
              <w:kinsoku/>
              <w:overflowPunct/>
              <w:autoSpaceDE/>
              <w:autoSpaceDN/>
              <w:adjustRightInd/>
              <w:snapToGrid/>
              <w:spacing w:before="40" w:after="40" w:line="220" w:lineRule="atLeast"/>
              <w:ind w:left="57" w:right="57"/>
              <w:jc w:val="center"/>
              <w:rPr>
                <w:rFonts w:eastAsia="Times New Roman"/>
                <w:sz w:val="18"/>
                <w:szCs w:val="18"/>
                <w:lang w:val="fr-FR"/>
              </w:rPr>
            </w:pPr>
            <w:r w:rsidRPr="00440C76">
              <w:rPr>
                <w:rFonts w:eastAsia="Times New Roman"/>
                <w:sz w:val="18"/>
                <w:szCs w:val="18"/>
                <w:lang w:val="fr-FR"/>
              </w:rPr>
              <w:t>N</w:t>
            </w:r>
            <w:r w:rsidRPr="00440C76">
              <w:rPr>
                <w:rFonts w:eastAsia="Times New Roman"/>
                <w:sz w:val="18"/>
                <w:szCs w:val="18"/>
                <w:vertAlign w:val="subscript"/>
                <w:lang w:val="fr-FR"/>
              </w:rPr>
              <w:t>1</w:t>
            </w:r>
          </w:p>
        </w:tc>
        <w:tc>
          <w:tcPr>
            <w:tcW w:w="1418" w:type="dxa"/>
          </w:tcPr>
          <w:p w14:paraId="37A228EA" w14:textId="77777777" w:rsidR="00BE2CA7" w:rsidRPr="00440C76" w:rsidRDefault="00BE2CA7" w:rsidP="002B0590">
            <w:pPr>
              <w:keepNext/>
              <w:kinsoku/>
              <w:overflowPunct/>
              <w:autoSpaceDE/>
              <w:autoSpaceDN/>
              <w:adjustRightInd/>
              <w:snapToGrid/>
              <w:spacing w:before="40" w:after="40" w:line="220" w:lineRule="atLeast"/>
              <w:ind w:left="57" w:right="57"/>
              <w:jc w:val="center"/>
              <w:rPr>
                <w:rFonts w:eastAsia="Times New Roman"/>
                <w:sz w:val="18"/>
                <w:szCs w:val="18"/>
                <w:lang w:val="fr-FR"/>
              </w:rPr>
            </w:pPr>
            <w:r w:rsidRPr="00440C76">
              <w:rPr>
                <w:rFonts w:eastAsia="Times New Roman"/>
                <w:sz w:val="18"/>
                <w:szCs w:val="18"/>
                <w:lang w:val="fr-FR"/>
              </w:rPr>
              <w:t>I</w:t>
            </w:r>
          </w:p>
        </w:tc>
        <w:tc>
          <w:tcPr>
            <w:tcW w:w="2268" w:type="dxa"/>
          </w:tcPr>
          <w:p w14:paraId="630878EB" w14:textId="77777777" w:rsidR="00BE2CA7" w:rsidRPr="00440C76" w:rsidRDefault="00BE2CA7" w:rsidP="002B0590">
            <w:pPr>
              <w:keepNext/>
              <w:kinsoku/>
              <w:overflowPunct/>
              <w:autoSpaceDE/>
              <w:autoSpaceDN/>
              <w:adjustRightInd/>
              <w:snapToGrid/>
              <w:spacing w:before="40" w:after="40" w:line="220" w:lineRule="atLeast"/>
              <w:ind w:left="57" w:right="57"/>
              <w:jc w:val="center"/>
              <w:rPr>
                <w:rFonts w:eastAsia="Times New Roman"/>
                <w:sz w:val="18"/>
                <w:szCs w:val="18"/>
                <w:lang w:val="fr-FR"/>
              </w:rPr>
            </w:pPr>
            <w:r w:rsidRPr="00440C76">
              <w:rPr>
                <w:rFonts w:eastAsia="Times New Roman"/>
                <w:sz w:val="18"/>
                <w:szCs w:val="18"/>
                <w:lang w:val="fr-FR"/>
              </w:rPr>
              <w:t>15</w:t>
            </w:r>
          </w:p>
        </w:tc>
        <w:tc>
          <w:tcPr>
            <w:tcW w:w="2268" w:type="dxa"/>
          </w:tcPr>
          <w:p w14:paraId="5713AD08" w14:textId="77777777" w:rsidR="00BE2CA7" w:rsidRPr="00440C76" w:rsidRDefault="00BE2CA7" w:rsidP="002B0590">
            <w:pPr>
              <w:keepNext/>
              <w:kinsoku/>
              <w:overflowPunct/>
              <w:autoSpaceDE/>
              <w:autoSpaceDN/>
              <w:adjustRightInd/>
              <w:snapToGrid/>
              <w:spacing w:before="40" w:after="40" w:line="220" w:lineRule="atLeast"/>
              <w:ind w:left="57" w:right="57"/>
              <w:jc w:val="center"/>
              <w:rPr>
                <w:rFonts w:eastAsia="Times New Roman"/>
                <w:sz w:val="18"/>
                <w:szCs w:val="18"/>
                <w:lang w:val="fr-FR"/>
              </w:rPr>
            </w:pPr>
            <w:r w:rsidRPr="00440C76">
              <w:rPr>
                <w:rFonts w:eastAsia="Times New Roman"/>
                <w:sz w:val="18"/>
                <w:szCs w:val="18"/>
                <w:lang w:val="fr-FR"/>
              </w:rPr>
              <w:t>1,8</w:t>
            </w:r>
          </w:p>
        </w:tc>
      </w:tr>
      <w:tr w:rsidR="00BE2CA7" w:rsidRPr="00440C76" w14:paraId="0AB1204A" w14:textId="77777777" w:rsidTr="002B0590">
        <w:tc>
          <w:tcPr>
            <w:tcW w:w="1417" w:type="dxa"/>
            <w:vMerge/>
          </w:tcPr>
          <w:p w14:paraId="7D825EB1" w14:textId="77777777" w:rsidR="00BE2CA7" w:rsidRPr="00440C76" w:rsidRDefault="00BE2CA7" w:rsidP="002B0590">
            <w:pPr>
              <w:keepNext/>
              <w:kinsoku/>
              <w:overflowPunct/>
              <w:autoSpaceDE/>
              <w:autoSpaceDN/>
              <w:adjustRightInd/>
              <w:snapToGrid/>
              <w:spacing w:before="40" w:after="40" w:line="220" w:lineRule="atLeast"/>
              <w:ind w:left="57" w:right="57"/>
              <w:jc w:val="center"/>
              <w:rPr>
                <w:rFonts w:eastAsia="Times New Roman"/>
                <w:sz w:val="18"/>
                <w:szCs w:val="18"/>
                <w:lang w:val="fr-FR"/>
              </w:rPr>
            </w:pPr>
          </w:p>
        </w:tc>
        <w:tc>
          <w:tcPr>
            <w:tcW w:w="1418" w:type="dxa"/>
          </w:tcPr>
          <w:p w14:paraId="0D77B400" w14:textId="77777777" w:rsidR="00BE2CA7" w:rsidRPr="00440C76" w:rsidRDefault="00BE2CA7" w:rsidP="002B0590">
            <w:pPr>
              <w:keepNext/>
              <w:kinsoku/>
              <w:overflowPunct/>
              <w:autoSpaceDE/>
              <w:autoSpaceDN/>
              <w:adjustRightInd/>
              <w:snapToGrid/>
              <w:spacing w:before="40" w:after="40" w:line="220" w:lineRule="atLeast"/>
              <w:ind w:left="57" w:right="57"/>
              <w:jc w:val="center"/>
              <w:rPr>
                <w:rFonts w:eastAsia="Times New Roman"/>
                <w:sz w:val="18"/>
                <w:szCs w:val="18"/>
                <w:lang w:val="fr-FR"/>
              </w:rPr>
            </w:pPr>
            <w:r w:rsidRPr="00440C76">
              <w:rPr>
                <w:rFonts w:eastAsia="Times New Roman"/>
                <w:sz w:val="18"/>
                <w:szCs w:val="18"/>
                <w:lang w:val="fr-FR"/>
              </w:rPr>
              <w:t>II</w:t>
            </w:r>
          </w:p>
        </w:tc>
        <w:tc>
          <w:tcPr>
            <w:tcW w:w="2268" w:type="dxa"/>
          </w:tcPr>
          <w:p w14:paraId="444115AD" w14:textId="77777777" w:rsidR="00BE2CA7" w:rsidRPr="00440C76" w:rsidRDefault="00BE2CA7" w:rsidP="002B0590">
            <w:pPr>
              <w:keepNext/>
              <w:kinsoku/>
              <w:overflowPunct/>
              <w:autoSpaceDE/>
              <w:autoSpaceDN/>
              <w:adjustRightInd/>
              <w:snapToGrid/>
              <w:spacing w:before="40" w:after="40" w:line="220" w:lineRule="atLeast"/>
              <w:ind w:left="57" w:right="57"/>
              <w:jc w:val="center"/>
              <w:rPr>
                <w:rFonts w:eastAsia="Times New Roman"/>
                <w:sz w:val="18"/>
                <w:szCs w:val="18"/>
                <w:lang w:val="fr-FR"/>
              </w:rPr>
            </w:pPr>
            <w:r w:rsidRPr="00440C76">
              <w:rPr>
                <w:rFonts w:eastAsia="Times New Roman"/>
                <w:sz w:val="18"/>
                <w:szCs w:val="18"/>
                <w:lang w:val="fr-FR"/>
              </w:rPr>
              <w:t>24</w:t>
            </w:r>
          </w:p>
        </w:tc>
        <w:tc>
          <w:tcPr>
            <w:tcW w:w="2268" w:type="dxa"/>
          </w:tcPr>
          <w:p w14:paraId="0FE97819" w14:textId="77777777" w:rsidR="00BE2CA7" w:rsidRPr="00440C76" w:rsidRDefault="00BE2CA7" w:rsidP="002B0590">
            <w:pPr>
              <w:keepNext/>
              <w:kinsoku/>
              <w:overflowPunct/>
              <w:autoSpaceDE/>
              <w:autoSpaceDN/>
              <w:adjustRightInd/>
              <w:snapToGrid/>
              <w:spacing w:before="40" w:after="40" w:line="220" w:lineRule="atLeast"/>
              <w:ind w:left="57" w:right="57"/>
              <w:jc w:val="center"/>
              <w:rPr>
                <w:rFonts w:eastAsia="Times New Roman"/>
                <w:sz w:val="18"/>
                <w:szCs w:val="18"/>
                <w:lang w:val="fr-FR"/>
              </w:rPr>
            </w:pPr>
            <w:r w:rsidRPr="00440C76">
              <w:rPr>
                <w:rFonts w:eastAsia="Times New Roman"/>
                <w:sz w:val="18"/>
                <w:szCs w:val="18"/>
                <w:lang w:val="fr-FR"/>
              </w:rPr>
              <w:t>2,7</w:t>
            </w:r>
          </w:p>
        </w:tc>
      </w:tr>
      <w:tr w:rsidR="00BE2CA7" w:rsidRPr="00440C76" w14:paraId="470D8A43" w14:textId="77777777" w:rsidTr="002B0590">
        <w:tc>
          <w:tcPr>
            <w:tcW w:w="1417" w:type="dxa"/>
            <w:vMerge/>
          </w:tcPr>
          <w:p w14:paraId="48307C1E" w14:textId="77777777" w:rsidR="00BE2CA7" w:rsidRPr="00440C76" w:rsidRDefault="00BE2CA7" w:rsidP="002B0590">
            <w:pPr>
              <w:keepNext/>
              <w:kinsoku/>
              <w:overflowPunct/>
              <w:autoSpaceDE/>
              <w:autoSpaceDN/>
              <w:adjustRightInd/>
              <w:snapToGrid/>
              <w:spacing w:before="40" w:after="40" w:line="220" w:lineRule="atLeast"/>
              <w:ind w:left="57" w:right="57"/>
              <w:jc w:val="center"/>
              <w:rPr>
                <w:rFonts w:eastAsia="Times New Roman"/>
                <w:sz w:val="18"/>
                <w:szCs w:val="18"/>
                <w:lang w:val="fr-FR"/>
              </w:rPr>
            </w:pPr>
          </w:p>
        </w:tc>
        <w:tc>
          <w:tcPr>
            <w:tcW w:w="1418" w:type="dxa"/>
          </w:tcPr>
          <w:p w14:paraId="07165E73" w14:textId="77777777" w:rsidR="00BE2CA7" w:rsidRPr="00440C76" w:rsidRDefault="00BE2CA7" w:rsidP="002B0590">
            <w:pPr>
              <w:keepNext/>
              <w:kinsoku/>
              <w:overflowPunct/>
              <w:autoSpaceDE/>
              <w:autoSpaceDN/>
              <w:adjustRightInd/>
              <w:snapToGrid/>
              <w:spacing w:before="40" w:after="40" w:line="220" w:lineRule="atLeast"/>
              <w:ind w:left="57" w:right="57"/>
              <w:jc w:val="center"/>
              <w:rPr>
                <w:rFonts w:eastAsia="Times New Roman"/>
                <w:sz w:val="18"/>
                <w:szCs w:val="18"/>
                <w:lang w:val="fr-FR"/>
              </w:rPr>
            </w:pPr>
            <w:r w:rsidRPr="00440C76">
              <w:rPr>
                <w:rFonts w:eastAsia="Times New Roman"/>
                <w:sz w:val="18"/>
                <w:szCs w:val="18"/>
                <w:lang w:val="fr-FR"/>
              </w:rPr>
              <w:t>III</w:t>
            </w:r>
          </w:p>
        </w:tc>
        <w:tc>
          <w:tcPr>
            <w:tcW w:w="2268" w:type="dxa"/>
          </w:tcPr>
          <w:p w14:paraId="00320333" w14:textId="77777777" w:rsidR="00BE2CA7" w:rsidRPr="00440C76" w:rsidRDefault="00BE2CA7" w:rsidP="002B0590">
            <w:pPr>
              <w:keepNext/>
              <w:kinsoku/>
              <w:overflowPunct/>
              <w:autoSpaceDE/>
              <w:autoSpaceDN/>
              <w:adjustRightInd/>
              <w:snapToGrid/>
              <w:spacing w:before="40" w:after="40" w:line="220" w:lineRule="atLeast"/>
              <w:ind w:left="57" w:right="57"/>
              <w:jc w:val="center"/>
              <w:rPr>
                <w:rFonts w:eastAsia="Times New Roman"/>
                <w:sz w:val="18"/>
                <w:szCs w:val="18"/>
                <w:lang w:val="fr-FR"/>
              </w:rPr>
            </w:pPr>
            <w:r w:rsidRPr="00440C76">
              <w:rPr>
                <w:rFonts w:eastAsia="Times New Roman"/>
                <w:sz w:val="18"/>
                <w:szCs w:val="18"/>
                <w:lang w:val="fr-FR"/>
              </w:rPr>
              <w:t>30</w:t>
            </w:r>
          </w:p>
        </w:tc>
        <w:tc>
          <w:tcPr>
            <w:tcW w:w="2268" w:type="dxa"/>
          </w:tcPr>
          <w:p w14:paraId="19B16F75" w14:textId="77777777" w:rsidR="00BE2CA7" w:rsidRPr="00440C76" w:rsidRDefault="00BE2CA7" w:rsidP="002B0590">
            <w:pPr>
              <w:keepNext/>
              <w:kinsoku/>
              <w:overflowPunct/>
              <w:autoSpaceDE/>
              <w:autoSpaceDN/>
              <w:adjustRightInd/>
              <w:snapToGrid/>
              <w:spacing w:before="40" w:after="40" w:line="220" w:lineRule="atLeast"/>
              <w:ind w:left="57" w:right="57"/>
              <w:jc w:val="center"/>
              <w:rPr>
                <w:rFonts w:eastAsia="Times New Roman"/>
                <w:sz w:val="18"/>
                <w:szCs w:val="18"/>
                <w:lang w:val="fr-FR"/>
              </w:rPr>
            </w:pPr>
            <w:r w:rsidRPr="00440C76">
              <w:rPr>
                <w:rFonts w:eastAsia="Times New Roman"/>
                <w:sz w:val="18"/>
                <w:szCs w:val="18"/>
                <w:lang w:val="fr-FR"/>
              </w:rPr>
              <w:t>3,2</w:t>
            </w:r>
          </w:p>
        </w:tc>
      </w:tr>
      <w:tr w:rsidR="00BE2CA7" w:rsidRPr="00440C76" w14:paraId="786BFF37" w14:textId="77777777" w:rsidTr="002B0590">
        <w:tc>
          <w:tcPr>
            <w:tcW w:w="1417" w:type="dxa"/>
          </w:tcPr>
          <w:p w14:paraId="6D7DFB5E" w14:textId="77777777" w:rsidR="00BE2CA7" w:rsidRPr="00440C76" w:rsidRDefault="00BE2CA7" w:rsidP="002B0590">
            <w:pPr>
              <w:keepNext/>
              <w:kinsoku/>
              <w:overflowPunct/>
              <w:autoSpaceDE/>
              <w:autoSpaceDN/>
              <w:adjustRightInd/>
              <w:snapToGrid/>
              <w:spacing w:before="40" w:after="40" w:line="220" w:lineRule="atLeast"/>
              <w:ind w:left="57" w:right="57"/>
              <w:jc w:val="center"/>
              <w:rPr>
                <w:rFonts w:eastAsia="Times New Roman"/>
                <w:sz w:val="18"/>
                <w:szCs w:val="18"/>
                <w:lang w:val="fr-FR"/>
              </w:rPr>
            </w:pPr>
            <w:r w:rsidRPr="00440C76">
              <w:rPr>
                <w:rFonts w:eastAsia="Times New Roman"/>
                <w:sz w:val="18"/>
                <w:szCs w:val="18"/>
                <w:lang w:val="fr-FR"/>
              </w:rPr>
              <w:t>N</w:t>
            </w:r>
            <w:r w:rsidRPr="00440C76">
              <w:rPr>
                <w:rFonts w:eastAsia="Times New Roman"/>
                <w:sz w:val="18"/>
                <w:szCs w:val="18"/>
                <w:vertAlign w:val="subscript"/>
                <w:lang w:val="fr-FR"/>
              </w:rPr>
              <w:t>2</w:t>
            </w:r>
          </w:p>
        </w:tc>
        <w:tc>
          <w:tcPr>
            <w:tcW w:w="1418" w:type="dxa"/>
          </w:tcPr>
          <w:p w14:paraId="15213F0F" w14:textId="77777777" w:rsidR="00BE2CA7" w:rsidRPr="00440C76" w:rsidRDefault="00BE2CA7" w:rsidP="002B0590">
            <w:pPr>
              <w:keepNext/>
              <w:kinsoku/>
              <w:overflowPunct/>
              <w:autoSpaceDE/>
              <w:autoSpaceDN/>
              <w:adjustRightInd/>
              <w:snapToGrid/>
              <w:spacing w:before="40" w:after="40" w:line="220" w:lineRule="atLeast"/>
              <w:ind w:left="57" w:right="57"/>
              <w:jc w:val="center"/>
              <w:rPr>
                <w:rFonts w:eastAsia="Times New Roman"/>
                <w:sz w:val="18"/>
                <w:szCs w:val="18"/>
                <w:lang w:val="fr-FR"/>
              </w:rPr>
            </w:pPr>
            <w:r w:rsidRPr="00440C76">
              <w:rPr>
                <w:rFonts w:eastAsia="Times New Roman"/>
                <w:sz w:val="18"/>
                <w:szCs w:val="18"/>
                <w:lang w:val="fr-FR"/>
              </w:rPr>
              <w:t>-</w:t>
            </w:r>
          </w:p>
        </w:tc>
        <w:tc>
          <w:tcPr>
            <w:tcW w:w="2268" w:type="dxa"/>
          </w:tcPr>
          <w:p w14:paraId="377CEA4E" w14:textId="77777777" w:rsidR="00BE2CA7" w:rsidRPr="00440C76" w:rsidRDefault="00BE2CA7" w:rsidP="002B0590">
            <w:pPr>
              <w:keepNext/>
              <w:kinsoku/>
              <w:overflowPunct/>
              <w:autoSpaceDE/>
              <w:autoSpaceDN/>
              <w:adjustRightInd/>
              <w:snapToGrid/>
              <w:spacing w:before="40" w:after="40" w:line="220" w:lineRule="atLeast"/>
              <w:ind w:left="57" w:right="57"/>
              <w:jc w:val="center"/>
              <w:rPr>
                <w:rFonts w:eastAsia="Times New Roman"/>
                <w:sz w:val="18"/>
                <w:szCs w:val="18"/>
                <w:lang w:val="fr-FR"/>
              </w:rPr>
            </w:pPr>
            <w:r w:rsidRPr="00440C76">
              <w:rPr>
                <w:rFonts w:eastAsia="Times New Roman"/>
                <w:sz w:val="18"/>
                <w:szCs w:val="18"/>
                <w:lang w:val="fr-FR"/>
              </w:rPr>
              <w:t>30</w:t>
            </w:r>
          </w:p>
        </w:tc>
        <w:tc>
          <w:tcPr>
            <w:tcW w:w="2268" w:type="dxa"/>
          </w:tcPr>
          <w:p w14:paraId="4E359398" w14:textId="77777777" w:rsidR="00BE2CA7" w:rsidRPr="00440C76" w:rsidRDefault="00BE2CA7" w:rsidP="002B0590">
            <w:pPr>
              <w:keepNext/>
              <w:kinsoku/>
              <w:overflowPunct/>
              <w:autoSpaceDE/>
              <w:autoSpaceDN/>
              <w:adjustRightInd/>
              <w:snapToGrid/>
              <w:spacing w:before="40" w:after="40" w:line="220" w:lineRule="atLeast"/>
              <w:ind w:left="57" w:right="57"/>
              <w:jc w:val="center"/>
              <w:rPr>
                <w:rFonts w:eastAsia="Times New Roman"/>
                <w:sz w:val="18"/>
                <w:szCs w:val="18"/>
                <w:lang w:val="fr-FR"/>
              </w:rPr>
            </w:pPr>
            <w:r w:rsidRPr="00440C76">
              <w:rPr>
                <w:rFonts w:eastAsia="Times New Roman"/>
                <w:sz w:val="18"/>
                <w:szCs w:val="18"/>
                <w:lang w:val="fr-FR"/>
              </w:rPr>
              <w:t>3,2</w:t>
            </w:r>
          </w:p>
        </w:tc>
      </w:tr>
    </w:tbl>
    <w:p w14:paraId="622AC861" w14:textId="77777777" w:rsidR="00BE2CA7" w:rsidRPr="00440C76" w:rsidRDefault="00BE2CA7" w:rsidP="00C21146">
      <w:pPr>
        <w:pStyle w:val="SingleTxtG"/>
        <w:spacing w:before="120"/>
        <w:ind w:left="2268" w:hanging="1134"/>
        <w:rPr>
          <w:rFonts w:eastAsia="Times New Roman"/>
          <w:lang w:val="fr-FR"/>
        </w:rPr>
      </w:pPr>
      <w:r w:rsidRPr="00440C76">
        <w:rPr>
          <w:rFonts w:eastAsia="Times New Roman"/>
          <w:lang w:val="fr-FR"/>
        </w:rPr>
        <w:t>5.3.5.2.1</w:t>
      </w:r>
      <w:r w:rsidRPr="00440C76">
        <w:rPr>
          <w:rFonts w:eastAsia="Times New Roman"/>
          <w:lang w:val="fr-FR"/>
        </w:rPr>
        <w:tab/>
      </w:r>
      <w:r w:rsidRPr="00440C76">
        <w:rPr>
          <w:rFonts w:eastAsia="Times New Roman"/>
          <w:lang w:val="fr-FR"/>
        </w:rPr>
        <w:tab/>
        <w:t>Nonobstant les prescriptions du paragraphe</w:t>
      </w:r>
      <w:r>
        <w:rPr>
          <w:rFonts w:eastAsia="Times New Roman"/>
          <w:lang w:val="fr-FR"/>
        </w:rPr>
        <w:t> </w:t>
      </w:r>
      <w:r w:rsidRPr="00440C76">
        <w:rPr>
          <w:rFonts w:eastAsia="Times New Roman"/>
          <w:lang w:val="fr-FR"/>
        </w:rPr>
        <w:t>5.3.5.2, au moins deux des trois résultats de l</w:t>
      </w:r>
      <w:r>
        <w:rPr>
          <w:rFonts w:eastAsia="Times New Roman"/>
          <w:lang w:val="fr-FR"/>
        </w:rPr>
        <w:t>’</w:t>
      </w:r>
      <w:r w:rsidRPr="00440C76">
        <w:rPr>
          <w:rFonts w:eastAsia="Times New Roman"/>
          <w:lang w:val="fr-FR"/>
        </w:rPr>
        <w:t>essai doivent, pour chaque polluant, être inférieurs à la valeur limite. L</w:t>
      </w:r>
      <w:r>
        <w:rPr>
          <w:rFonts w:eastAsia="Times New Roman"/>
          <w:lang w:val="fr-FR"/>
        </w:rPr>
        <w:t>’</w:t>
      </w:r>
      <w:r w:rsidRPr="00440C76">
        <w:rPr>
          <w:rFonts w:eastAsia="Times New Roman"/>
          <w:lang w:val="fr-FR"/>
        </w:rPr>
        <w:t>un des résultats de l</w:t>
      </w:r>
      <w:r>
        <w:rPr>
          <w:rFonts w:eastAsia="Times New Roman"/>
          <w:lang w:val="fr-FR"/>
        </w:rPr>
        <w:t>’</w:t>
      </w:r>
      <w:r w:rsidRPr="00440C76">
        <w:rPr>
          <w:rFonts w:eastAsia="Times New Roman"/>
          <w:lang w:val="fr-FR"/>
        </w:rPr>
        <w:t xml:space="preserve">essai peut dépasser de 10 % au plus la limite. La moyenne arithmétique des trois résultats </w:t>
      </w:r>
      <w:r>
        <w:rPr>
          <w:rFonts w:eastAsia="Times New Roman"/>
          <w:lang w:val="fr-FR"/>
        </w:rPr>
        <w:t xml:space="preserve">d’un polluant </w:t>
      </w:r>
      <w:r w:rsidRPr="00440C76">
        <w:rPr>
          <w:rFonts w:eastAsia="Times New Roman"/>
          <w:lang w:val="fr-FR"/>
        </w:rPr>
        <w:t>doit être inférieure à la limite prescrite. Lorsque les limites prescrites sont dépassées pour plus d</w:t>
      </w:r>
      <w:r>
        <w:rPr>
          <w:rFonts w:eastAsia="Times New Roman"/>
          <w:lang w:val="fr-FR"/>
        </w:rPr>
        <w:t>’</w:t>
      </w:r>
      <w:r w:rsidRPr="00440C76">
        <w:rPr>
          <w:rFonts w:eastAsia="Times New Roman"/>
          <w:lang w:val="fr-FR"/>
        </w:rPr>
        <w:t xml:space="preserve">un polluant, peu </w:t>
      </w:r>
      <w:r w:rsidRPr="00440C76">
        <w:rPr>
          <w:lang w:val="fr-FR"/>
        </w:rPr>
        <w:t>importe</w:t>
      </w:r>
      <w:r w:rsidRPr="00440C76">
        <w:rPr>
          <w:rFonts w:eastAsia="Times New Roman"/>
          <w:lang w:val="fr-FR"/>
        </w:rPr>
        <w:t xml:space="preserve"> que ce soit au cours du même essai ou au cours d</w:t>
      </w:r>
      <w:r>
        <w:rPr>
          <w:rFonts w:eastAsia="Times New Roman"/>
          <w:lang w:val="fr-FR"/>
        </w:rPr>
        <w:t>’</w:t>
      </w:r>
      <w:r w:rsidRPr="00440C76">
        <w:rPr>
          <w:rFonts w:eastAsia="Times New Roman"/>
          <w:lang w:val="fr-FR"/>
        </w:rPr>
        <w:t>essais différents.</w:t>
      </w:r>
    </w:p>
    <w:p w14:paraId="1E56248E"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5.3.5.2.2</w:t>
      </w:r>
      <w:r w:rsidRPr="00440C76">
        <w:rPr>
          <w:rFonts w:eastAsia="Times New Roman"/>
          <w:lang w:val="fr-FR"/>
        </w:rPr>
        <w:tab/>
        <w:t>Le nombre d</w:t>
      </w:r>
      <w:r>
        <w:rPr>
          <w:rFonts w:eastAsia="Times New Roman"/>
          <w:lang w:val="fr-FR"/>
        </w:rPr>
        <w:t>’</w:t>
      </w:r>
      <w:r w:rsidRPr="00440C76">
        <w:rPr>
          <w:rFonts w:eastAsia="Times New Roman"/>
          <w:lang w:val="fr-FR"/>
        </w:rPr>
        <w:t>essais prescrit au paragraphe</w:t>
      </w:r>
      <w:r>
        <w:rPr>
          <w:rFonts w:eastAsia="Times New Roman"/>
          <w:lang w:val="fr-FR"/>
        </w:rPr>
        <w:t> </w:t>
      </w:r>
      <w:r w:rsidRPr="00440C76">
        <w:rPr>
          <w:rFonts w:eastAsia="Times New Roman"/>
          <w:lang w:val="fr-FR"/>
        </w:rPr>
        <w:t xml:space="preserve">5.3.5.2 peut, à la demande du constructeur, être porté à 10 si la moyenne arithmétique des trois premiers </w:t>
      </w:r>
      <w:r w:rsidRPr="00440C76">
        <w:rPr>
          <w:lang w:val="fr-FR"/>
        </w:rPr>
        <w:t>résultats</w:t>
      </w:r>
      <w:r w:rsidRPr="00440C76">
        <w:rPr>
          <w:rFonts w:eastAsia="Times New Roman"/>
          <w:lang w:val="fr-FR"/>
        </w:rPr>
        <w:t xml:space="preserve"> est inférieure à 110 % de la limite. Dans ce cas, la seule exigence est que la moyenne arithmétique des 10 résultats des essais soit inférieure à la valeur limite.</w:t>
      </w:r>
    </w:p>
    <w:p w14:paraId="69C523F7"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5.3.5.3</w:t>
      </w:r>
      <w:r w:rsidRPr="00440C76">
        <w:rPr>
          <w:rFonts w:eastAsia="Times New Roman"/>
          <w:lang w:val="fr-FR"/>
        </w:rPr>
        <w:tab/>
        <w:t>Le nombre d</w:t>
      </w:r>
      <w:r>
        <w:rPr>
          <w:rFonts w:eastAsia="Times New Roman"/>
          <w:lang w:val="fr-FR"/>
        </w:rPr>
        <w:t>’</w:t>
      </w:r>
      <w:r w:rsidRPr="00440C76">
        <w:rPr>
          <w:rFonts w:eastAsia="Times New Roman"/>
          <w:lang w:val="fr-FR"/>
        </w:rPr>
        <w:t>essais prescrit au paragraphe</w:t>
      </w:r>
      <w:r>
        <w:rPr>
          <w:rFonts w:eastAsia="Times New Roman"/>
          <w:lang w:val="fr-FR"/>
        </w:rPr>
        <w:t> </w:t>
      </w:r>
      <w:r w:rsidRPr="00440C76">
        <w:rPr>
          <w:rFonts w:eastAsia="Times New Roman"/>
          <w:lang w:val="fr-FR"/>
        </w:rPr>
        <w:t>5.3.5.2 peut être réduit en fonction des paragraphes</w:t>
      </w:r>
      <w:r>
        <w:rPr>
          <w:rFonts w:eastAsia="Times New Roman"/>
          <w:lang w:val="fr-FR"/>
        </w:rPr>
        <w:t> </w:t>
      </w:r>
      <w:r w:rsidRPr="00440C76">
        <w:rPr>
          <w:rFonts w:eastAsia="Times New Roman"/>
          <w:lang w:val="fr-FR"/>
        </w:rPr>
        <w:t>5.3.5.3.1 et 5.3.5.3.2.</w:t>
      </w:r>
    </w:p>
    <w:p w14:paraId="4B01A667"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5.3.5.3.1</w:t>
      </w:r>
      <w:r w:rsidRPr="00440C76">
        <w:rPr>
          <w:rFonts w:eastAsia="Times New Roman"/>
          <w:lang w:val="fr-FR"/>
        </w:rPr>
        <w:tab/>
        <w:t xml:space="preserve">Un seul essai est réalisé si le résultat obtenu pour chaque polluant lors du </w:t>
      </w:r>
      <w:r w:rsidRPr="00440C76">
        <w:rPr>
          <w:lang w:val="fr-FR"/>
        </w:rPr>
        <w:t>premier</w:t>
      </w:r>
      <w:r w:rsidRPr="00440C76">
        <w:rPr>
          <w:rFonts w:eastAsia="Times New Roman"/>
          <w:lang w:val="fr-FR"/>
        </w:rPr>
        <w:t xml:space="preserve"> essai est inférieur ou égal à 0,70 L.</w:t>
      </w:r>
    </w:p>
    <w:p w14:paraId="195997EF"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lastRenderedPageBreak/>
        <w:t>5.3.5.3.2</w:t>
      </w:r>
      <w:r w:rsidRPr="00440C76">
        <w:rPr>
          <w:rFonts w:eastAsia="Times New Roman"/>
          <w:lang w:val="fr-FR"/>
        </w:rPr>
        <w:tab/>
        <w:t>Si la condition énoncée au paragraphe</w:t>
      </w:r>
      <w:r>
        <w:rPr>
          <w:rFonts w:eastAsia="Times New Roman"/>
          <w:lang w:val="fr-FR"/>
        </w:rPr>
        <w:t> </w:t>
      </w:r>
      <w:r w:rsidRPr="00440C76">
        <w:rPr>
          <w:rFonts w:eastAsia="Times New Roman"/>
          <w:lang w:val="fr-FR"/>
        </w:rPr>
        <w:t>5.3.5.3.1 n</w:t>
      </w:r>
      <w:r>
        <w:rPr>
          <w:rFonts w:eastAsia="Times New Roman"/>
          <w:lang w:val="fr-FR"/>
        </w:rPr>
        <w:t>’</w:t>
      </w:r>
      <w:r w:rsidRPr="00440C76">
        <w:rPr>
          <w:rFonts w:eastAsia="Times New Roman"/>
          <w:lang w:val="fr-FR"/>
        </w:rPr>
        <w:t xml:space="preserve">est pas remplie, seuls deux </w:t>
      </w:r>
      <w:r w:rsidRPr="00440C76">
        <w:rPr>
          <w:lang w:val="fr-FR"/>
        </w:rPr>
        <w:t>essais</w:t>
      </w:r>
      <w:r w:rsidRPr="00440C76">
        <w:rPr>
          <w:rFonts w:eastAsia="Times New Roman"/>
          <w:lang w:val="fr-FR"/>
        </w:rPr>
        <w:t xml:space="preserve"> sont effectués si, pour chaque polluant, le résultat du premier essai est inférieur ou égal à 0,85 L, la somme des deux premiers résultats est inférieure ou égale à 1,70 L et le résultat du deuxième essai est inférieur ou égal à L.</w:t>
      </w:r>
    </w:p>
    <w:p w14:paraId="1D266F7D" w14:textId="77777777" w:rsidR="00BE2CA7" w:rsidRPr="00440C76" w:rsidRDefault="00BE2CA7" w:rsidP="00BE2CA7">
      <w:pPr>
        <w:pStyle w:val="SingleTxtG"/>
        <w:ind w:left="2268"/>
        <w:rPr>
          <w:lang w:val="fr-FR"/>
        </w:rPr>
      </w:pPr>
      <w:r w:rsidRPr="00440C76">
        <w:rPr>
          <w:lang w:val="fr-FR"/>
        </w:rPr>
        <w:t>(V</w:t>
      </w:r>
      <w:r w:rsidRPr="00440C76">
        <w:rPr>
          <w:vertAlign w:val="subscript"/>
          <w:lang w:val="fr-FR"/>
        </w:rPr>
        <w:t>1</w:t>
      </w:r>
      <w:r w:rsidRPr="00440C76">
        <w:rPr>
          <w:lang w:val="fr-FR"/>
        </w:rPr>
        <w:t xml:space="preserve"> </w:t>
      </w:r>
      <w:r w:rsidRPr="00440C76">
        <w:rPr>
          <w:lang w:val="fr-FR"/>
        </w:rPr>
        <w:sym w:font="Symbol" w:char="F0A3"/>
      </w:r>
      <w:r w:rsidRPr="00440C76">
        <w:rPr>
          <w:lang w:val="fr-FR"/>
        </w:rPr>
        <w:t xml:space="preserve"> 0,85 L et V</w:t>
      </w:r>
      <w:r w:rsidRPr="00440C76">
        <w:rPr>
          <w:vertAlign w:val="subscript"/>
          <w:lang w:val="fr-FR"/>
        </w:rPr>
        <w:t>1</w:t>
      </w:r>
      <w:r w:rsidRPr="00440C76">
        <w:rPr>
          <w:lang w:val="fr-FR"/>
        </w:rPr>
        <w:t xml:space="preserve"> + V</w:t>
      </w:r>
      <w:r w:rsidRPr="00440C76">
        <w:rPr>
          <w:vertAlign w:val="subscript"/>
          <w:lang w:val="fr-FR"/>
        </w:rPr>
        <w:t>2</w:t>
      </w:r>
      <w:r w:rsidRPr="00440C76">
        <w:rPr>
          <w:lang w:val="fr-FR"/>
        </w:rPr>
        <w:t xml:space="preserve"> </w:t>
      </w:r>
      <w:r w:rsidRPr="00440C76">
        <w:rPr>
          <w:lang w:val="fr-FR"/>
        </w:rPr>
        <w:sym w:font="Symbol" w:char="F0A3"/>
      </w:r>
      <w:r w:rsidRPr="00440C76">
        <w:rPr>
          <w:lang w:val="fr-FR"/>
        </w:rPr>
        <w:t xml:space="preserve"> 1,70 L et V</w:t>
      </w:r>
      <w:r w:rsidRPr="00440C76">
        <w:rPr>
          <w:vertAlign w:val="subscript"/>
          <w:lang w:val="fr-FR"/>
        </w:rPr>
        <w:t>2</w:t>
      </w:r>
      <w:r w:rsidRPr="00440C76">
        <w:rPr>
          <w:lang w:val="fr-FR"/>
        </w:rPr>
        <w:t xml:space="preserve"> </w:t>
      </w:r>
      <w:r w:rsidRPr="00440C76">
        <w:rPr>
          <w:lang w:val="fr-FR"/>
        </w:rPr>
        <w:sym w:font="Symbol" w:char="F0A3"/>
      </w:r>
      <w:r w:rsidRPr="00440C76">
        <w:rPr>
          <w:lang w:val="fr-FR"/>
        </w:rPr>
        <w:t xml:space="preserve"> L)</w:t>
      </w:r>
    </w:p>
    <w:p w14:paraId="668FC2B5"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5.3.6</w:t>
      </w:r>
      <w:r w:rsidRPr="00440C76">
        <w:rPr>
          <w:rFonts w:eastAsia="Times New Roman"/>
          <w:lang w:val="fr-FR"/>
        </w:rPr>
        <w:tab/>
      </w:r>
      <w:r w:rsidRPr="00440C76">
        <w:rPr>
          <w:lang w:val="fr-FR"/>
        </w:rPr>
        <w:t>Réservé</w:t>
      </w:r>
    </w:p>
    <w:p w14:paraId="342D91B7"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5.3.7</w:t>
      </w:r>
      <w:r w:rsidRPr="00440C76">
        <w:rPr>
          <w:rFonts w:eastAsia="Times New Roman"/>
          <w:lang w:val="fr-FR"/>
        </w:rPr>
        <w:tab/>
        <w:t xml:space="preserve">Données sur les émissions requises pour les besoins du contrôle technique </w:t>
      </w:r>
      <w:r w:rsidRPr="00440C76">
        <w:rPr>
          <w:lang w:val="fr-FR"/>
        </w:rPr>
        <w:t>des</w:t>
      </w:r>
      <w:r w:rsidRPr="00440C76">
        <w:rPr>
          <w:rFonts w:eastAsia="Times New Roman"/>
          <w:lang w:val="fr-FR"/>
        </w:rPr>
        <w:t> véhicules</w:t>
      </w:r>
    </w:p>
    <w:p w14:paraId="533BEBE7"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5.3.7.1</w:t>
      </w:r>
      <w:r w:rsidRPr="00440C76">
        <w:rPr>
          <w:rFonts w:eastAsia="Times New Roman"/>
          <w:lang w:val="fr-FR"/>
        </w:rPr>
        <w:tab/>
      </w:r>
      <w:r w:rsidRPr="00440C76">
        <w:rPr>
          <w:lang w:val="fr-FR"/>
        </w:rPr>
        <w:t>Cette</w:t>
      </w:r>
      <w:r w:rsidRPr="00440C76">
        <w:rPr>
          <w:rFonts w:eastAsia="Times New Roman"/>
          <w:lang w:val="fr-FR"/>
        </w:rPr>
        <w:t xml:space="preserve"> prescription s</w:t>
      </w:r>
      <w:r>
        <w:rPr>
          <w:rFonts w:eastAsia="Times New Roman"/>
          <w:lang w:val="fr-FR"/>
        </w:rPr>
        <w:t>’</w:t>
      </w:r>
      <w:r w:rsidRPr="00440C76">
        <w:rPr>
          <w:rFonts w:eastAsia="Times New Roman"/>
          <w:lang w:val="fr-FR"/>
        </w:rPr>
        <w:t>applique à tous les véhicules équipés d</w:t>
      </w:r>
      <w:r>
        <w:rPr>
          <w:rFonts w:eastAsia="Times New Roman"/>
          <w:lang w:val="fr-FR"/>
        </w:rPr>
        <w:t>’</w:t>
      </w:r>
      <w:r w:rsidRPr="00440C76">
        <w:rPr>
          <w:rFonts w:eastAsia="Times New Roman"/>
          <w:lang w:val="fr-FR"/>
        </w:rPr>
        <w:t>un moteur à allumage commandé pour lesquels une homologation de type est demandée conformément au présent Règlement.</w:t>
      </w:r>
    </w:p>
    <w:p w14:paraId="3CD5CF44"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5.3.7.2</w:t>
      </w:r>
      <w:r w:rsidRPr="00440C76">
        <w:rPr>
          <w:rFonts w:eastAsia="Times New Roman"/>
          <w:lang w:val="fr-FR"/>
        </w:rPr>
        <w:tab/>
        <w:t>Lors d</w:t>
      </w:r>
      <w:r>
        <w:rPr>
          <w:rFonts w:eastAsia="Times New Roman"/>
          <w:lang w:val="fr-FR"/>
        </w:rPr>
        <w:t>’</w:t>
      </w:r>
      <w:r w:rsidRPr="00440C76">
        <w:rPr>
          <w:rFonts w:eastAsia="Times New Roman"/>
          <w:lang w:val="fr-FR"/>
        </w:rPr>
        <w:t>un essai effectué conformément à l</w:t>
      </w:r>
      <w:r>
        <w:rPr>
          <w:rFonts w:eastAsia="Times New Roman"/>
          <w:lang w:val="fr-FR"/>
        </w:rPr>
        <w:t>’</w:t>
      </w:r>
      <w:r w:rsidRPr="00440C76">
        <w:rPr>
          <w:rFonts w:eastAsia="Times New Roman"/>
          <w:lang w:val="fr-FR"/>
        </w:rPr>
        <w:t>annexe</w:t>
      </w:r>
      <w:r>
        <w:rPr>
          <w:rFonts w:eastAsia="Times New Roman"/>
          <w:lang w:val="fr-FR"/>
        </w:rPr>
        <w:t> </w:t>
      </w:r>
      <w:r w:rsidRPr="00440C76">
        <w:rPr>
          <w:rFonts w:eastAsia="Times New Roman"/>
          <w:lang w:val="fr-FR"/>
        </w:rPr>
        <w:t>5 du présent Règlement (</w:t>
      </w:r>
      <w:r w:rsidRPr="00440C76">
        <w:rPr>
          <w:lang w:val="fr-FR"/>
        </w:rPr>
        <w:t>essai</w:t>
      </w:r>
      <w:r w:rsidRPr="00440C76">
        <w:rPr>
          <w:rFonts w:eastAsia="Times New Roman"/>
          <w:lang w:val="fr-FR"/>
        </w:rPr>
        <w:t xml:space="preserve"> du type</w:t>
      </w:r>
      <w:r>
        <w:rPr>
          <w:rFonts w:eastAsia="Times New Roman"/>
          <w:lang w:val="fr-FR"/>
        </w:rPr>
        <w:t> </w:t>
      </w:r>
      <w:r w:rsidRPr="00440C76">
        <w:rPr>
          <w:rFonts w:eastAsia="Times New Roman"/>
          <w:lang w:val="fr-FR"/>
        </w:rPr>
        <w:t>2) au régime normal de ralenti, on enregistre :</w:t>
      </w:r>
    </w:p>
    <w:p w14:paraId="717D2F14" w14:textId="77777777" w:rsidR="00BE2CA7" w:rsidRPr="00440C76" w:rsidRDefault="00BE2CA7" w:rsidP="00BE2CA7">
      <w:pPr>
        <w:pStyle w:val="SingleTxtG"/>
        <w:ind w:left="2835" w:hanging="567"/>
        <w:rPr>
          <w:lang w:val="fr-FR"/>
        </w:rPr>
      </w:pPr>
      <w:r w:rsidRPr="00440C76">
        <w:rPr>
          <w:lang w:val="fr-FR"/>
        </w:rPr>
        <w:t>a)</w:t>
      </w:r>
      <w:r w:rsidRPr="00440C76">
        <w:rPr>
          <w:lang w:val="fr-FR"/>
        </w:rPr>
        <w:tab/>
        <w:t xml:space="preserve">La </w:t>
      </w:r>
      <w:r w:rsidRPr="00440C76">
        <w:rPr>
          <w:rFonts w:eastAsia="Times New Roman"/>
          <w:lang w:val="fr-FR"/>
        </w:rPr>
        <w:t>teneur</w:t>
      </w:r>
      <w:r w:rsidRPr="00440C76">
        <w:rPr>
          <w:lang w:val="fr-FR"/>
        </w:rPr>
        <w:t xml:space="preserve"> en monoxyde de carbone rapportée au volume des gaz d</w:t>
      </w:r>
      <w:r>
        <w:rPr>
          <w:lang w:val="fr-FR"/>
        </w:rPr>
        <w:t>’</w:t>
      </w:r>
      <w:r w:rsidRPr="00440C76">
        <w:rPr>
          <w:lang w:val="fr-FR"/>
        </w:rPr>
        <w:t>échappement émis ; et</w:t>
      </w:r>
    </w:p>
    <w:p w14:paraId="6A840820" w14:textId="77777777" w:rsidR="00BE2CA7" w:rsidRPr="00440C76" w:rsidRDefault="00BE2CA7" w:rsidP="00BE2CA7">
      <w:pPr>
        <w:pStyle w:val="SingleTxtG"/>
        <w:ind w:left="2835" w:hanging="567"/>
        <w:rPr>
          <w:rFonts w:eastAsia="Times New Roman"/>
          <w:lang w:val="fr-FR"/>
        </w:rPr>
      </w:pPr>
      <w:r w:rsidRPr="00440C76">
        <w:rPr>
          <w:rFonts w:eastAsia="Times New Roman"/>
          <w:lang w:val="fr-FR"/>
        </w:rPr>
        <w:t>b)</w:t>
      </w:r>
      <w:r w:rsidRPr="00440C76">
        <w:rPr>
          <w:rFonts w:eastAsia="Times New Roman"/>
          <w:lang w:val="fr-FR"/>
        </w:rPr>
        <w:tab/>
        <w:t>Le régime du moteur au cours de l</w:t>
      </w:r>
      <w:r>
        <w:rPr>
          <w:rFonts w:eastAsia="Times New Roman"/>
          <w:lang w:val="fr-FR"/>
        </w:rPr>
        <w:t>’</w:t>
      </w:r>
      <w:r w:rsidRPr="00440C76">
        <w:rPr>
          <w:rFonts w:eastAsia="Times New Roman"/>
          <w:lang w:val="fr-FR"/>
        </w:rPr>
        <w:t>essai, avec les tolérances éventuelles.</w:t>
      </w:r>
    </w:p>
    <w:p w14:paraId="6638A92F"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5.3.7.3</w:t>
      </w:r>
      <w:r w:rsidRPr="00440C76">
        <w:rPr>
          <w:rFonts w:eastAsia="Times New Roman"/>
          <w:lang w:val="fr-FR"/>
        </w:rPr>
        <w:tab/>
        <w:t>Lors d</w:t>
      </w:r>
      <w:r>
        <w:rPr>
          <w:rFonts w:eastAsia="Times New Roman"/>
          <w:lang w:val="fr-FR"/>
        </w:rPr>
        <w:t>’</w:t>
      </w:r>
      <w:r w:rsidRPr="00440C76">
        <w:rPr>
          <w:rFonts w:eastAsia="Times New Roman"/>
          <w:lang w:val="fr-FR"/>
        </w:rPr>
        <w:t xml:space="preserve">un </w:t>
      </w:r>
      <w:r w:rsidRPr="00440C76">
        <w:rPr>
          <w:lang w:val="fr-FR"/>
        </w:rPr>
        <w:t>essai</w:t>
      </w:r>
      <w:r w:rsidRPr="00440C76">
        <w:rPr>
          <w:rFonts w:eastAsia="Times New Roman"/>
          <w:lang w:val="fr-FR"/>
        </w:rPr>
        <w:t xml:space="preserve"> au ralenti accéléré (c</w:t>
      </w:r>
      <w:r>
        <w:rPr>
          <w:rFonts w:eastAsia="Times New Roman"/>
          <w:lang w:val="fr-FR"/>
        </w:rPr>
        <w:t>’</w:t>
      </w:r>
      <w:r w:rsidRPr="00440C76">
        <w:rPr>
          <w:rFonts w:eastAsia="Times New Roman"/>
          <w:lang w:val="fr-FR"/>
        </w:rPr>
        <w:t>est-à-dire &gt;2 000</w:t>
      </w:r>
      <w:r>
        <w:rPr>
          <w:rFonts w:eastAsia="Times New Roman"/>
          <w:lang w:val="fr-FR"/>
        </w:rPr>
        <w:t> </w:t>
      </w:r>
      <w:r w:rsidRPr="00440C76">
        <w:rPr>
          <w:rFonts w:eastAsia="Times New Roman"/>
          <w:lang w:val="fr-FR"/>
        </w:rPr>
        <w:t>min</w:t>
      </w:r>
      <w:r w:rsidRPr="00440C76">
        <w:rPr>
          <w:rFonts w:eastAsia="Times New Roman"/>
          <w:vertAlign w:val="superscript"/>
          <w:lang w:val="fr-FR"/>
        </w:rPr>
        <w:t>-l</w:t>
      </w:r>
      <w:r w:rsidRPr="00440C76">
        <w:rPr>
          <w:rFonts w:eastAsia="Times New Roman"/>
          <w:lang w:val="fr-FR"/>
        </w:rPr>
        <w:t>), on enregistre :</w:t>
      </w:r>
    </w:p>
    <w:p w14:paraId="26BF700E" w14:textId="77777777" w:rsidR="00BE2CA7" w:rsidRPr="00440C76" w:rsidRDefault="00BE2CA7" w:rsidP="00BE2CA7">
      <w:pPr>
        <w:pStyle w:val="SingleTxtG"/>
        <w:ind w:left="2835" w:hanging="567"/>
        <w:rPr>
          <w:rFonts w:eastAsia="Times New Roman"/>
          <w:lang w:val="fr-FR"/>
        </w:rPr>
      </w:pPr>
      <w:r w:rsidRPr="00440C76">
        <w:rPr>
          <w:rFonts w:eastAsia="Times New Roman"/>
          <w:lang w:val="fr-FR"/>
        </w:rPr>
        <w:t>a)</w:t>
      </w:r>
      <w:r w:rsidRPr="00440C76">
        <w:rPr>
          <w:rFonts w:eastAsia="Times New Roman"/>
          <w:lang w:val="fr-FR"/>
        </w:rPr>
        <w:tab/>
        <w:t xml:space="preserve">La teneur en monoxyde de carbone rapportée au volume des gaz </w:t>
      </w:r>
      <w:r w:rsidRPr="00440C76">
        <w:rPr>
          <w:lang w:val="fr-FR"/>
        </w:rPr>
        <w:t>d</w:t>
      </w:r>
      <w:r>
        <w:rPr>
          <w:lang w:val="fr-FR"/>
        </w:rPr>
        <w:t>’</w:t>
      </w:r>
      <w:r w:rsidRPr="00440C76">
        <w:rPr>
          <w:lang w:val="fr-FR"/>
        </w:rPr>
        <w:t>échappement</w:t>
      </w:r>
      <w:r w:rsidRPr="00440C76">
        <w:rPr>
          <w:rFonts w:eastAsia="Times New Roman"/>
          <w:lang w:val="fr-FR"/>
        </w:rPr>
        <w:t xml:space="preserve"> émis ;</w:t>
      </w:r>
    </w:p>
    <w:p w14:paraId="193A85DB" w14:textId="77777777" w:rsidR="00BE2CA7" w:rsidRPr="00440C76" w:rsidRDefault="00BE2CA7" w:rsidP="00BE2CA7">
      <w:pPr>
        <w:pStyle w:val="SingleTxtG"/>
        <w:ind w:left="2835" w:hanging="567"/>
        <w:rPr>
          <w:rFonts w:eastAsia="Times New Roman"/>
          <w:lang w:val="fr-FR"/>
        </w:rPr>
      </w:pPr>
      <w:r w:rsidRPr="00440C76">
        <w:rPr>
          <w:rFonts w:eastAsia="Times New Roman"/>
          <w:lang w:val="fr-FR"/>
        </w:rPr>
        <w:t>b)</w:t>
      </w:r>
      <w:r w:rsidRPr="00440C76">
        <w:rPr>
          <w:rFonts w:eastAsia="Times New Roman"/>
          <w:lang w:val="fr-FR"/>
        </w:rPr>
        <w:tab/>
        <w:t xml:space="preserve">La </w:t>
      </w:r>
      <w:r w:rsidRPr="00440C76">
        <w:rPr>
          <w:lang w:val="fr-FR"/>
        </w:rPr>
        <w:t>valeur</w:t>
      </w:r>
      <w:r w:rsidRPr="00440C76">
        <w:rPr>
          <w:rFonts w:eastAsia="Times New Roman"/>
          <w:lang w:val="fr-FR"/>
        </w:rPr>
        <w:t xml:space="preserve"> Lambda ; et</w:t>
      </w:r>
    </w:p>
    <w:p w14:paraId="752DE1F2" w14:textId="77777777" w:rsidR="00BE2CA7" w:rsidRPr="00440C76" w:rsidRDefault="00BE2CA7" w:rsidP="00BE2CA7">
      <w:pPr>
        <w:pStyle w:val="SingleTxtG"/>
        <w:ind w:left="2835" w:hanging="567"/>
        <w:rPr>
          <w:rFonts w:eastAsia="Times New Roman"/>
          <w:lang w:val="fr-FR"/>
        </w:rPr>
      </w:pPr>
      <w:r w:rsidRPr="00440C76">
        <w:rPr>
          <w:rFonts w:eastAsia="Times New Roman"/>
          <w:lang w:val="fr-FR"/>
        </w:rPr>
        <w:t>c)</w:t>
      </w:r>
      <w:r w:rsidRPr="00440C76">
        <w:rPr>
          <w:rFonts w:eastAsia="Times New Roman"/>
          <w:lang w:val="fr-FR"/>
        </w:rPr>
        <w:tab/>
        <w:t xml:space="preserve">Le </w:t>
      </w:r>
      <w:r w:rsidRPr="00440C76">
        <w:rPr>
          <w:lang w:val="fr-FR"/>
        </w:rPr>
        <w:t>régime</w:t>
      </w:r>
      <w:r w:rsidRPr="00440C76">
        <w:rPr>
          <w:rFonts w:eastAsia="Times New Roman"/>
          <w:lang w:val="fr-FR"/>
        </w:rPr>
        <w:t xml:space="preserve"> du moteur au cours de l</w:t>
      </w:r>
      <w:r>
        <w:rPr>
          <w:rFonts w:eastAsia="Times New Roman"/>
          <w:lang w:val="fr-FR"/>
        </w:rPr>
        <w:t>’</w:t>
      </w:r>
      <w:r w:rsidRPr="00440C76">
        <w:rPr>
          <w:rFonts w:eastAsia="Times New Roman"/>
          <w:lang w:val="fr-FR"/>
        </w:rPr>
        <w:t>essai, avec les tolérances éventuelles.</w:t>
      </w:r>
    </w:p>
    <w:p w14:paraId="7C41F460" w14:textId="77777777" w:rsidR="00BE2CA7" w:rsidRPr="00440C76" w:rsidRDefault="00BE2CA7" w:rsidP="00BE2CA7">
      <w:pPr>
        <w:pStyle w:val="SingleTxtG"/>
        <w:ind w:left="2268"/>
        <w:rPr>
          <w:lang w:val="fr-FR"/>
        </w:rPr>
      </w:pPr>
      <w:r w:rsidRPr="00440C76">
        <w:rPr>
          <w:lang w:val="fr-FR"/>
        </w:rPr>
        <w:t xml:space="preserve">La valeur Lambda </w:t>
      </w:r>
      <w:r w:rsidRPr="00440C76">
        <w:rPr>
          <w:rFonts w:eastAsia="Times New Roman"/>
          <w:lang w:val="fr-FR"/>
        </w:rPr>
        <w:t>doit</w:t>
      </w:r>
      <w:r w:rsidRPr="00440C76">
        <w:rPr>
          <w:lang w:val="fr-FR"/>
        </w:rPr>
        <w:t xml:space="preserve"> être calculée au moyen de l</w:t>
      </w:r>
      <w:r>
        <w:rPr>
          <w:lang w:val="fr-FR"/>
        </w:rPr>
        <w:t>’</w:t>
      </w:r>
      <w:r w:rsidRPr="00440C76">
        <w:rPr>
          <w:lang w:val="fr-FR"/>
        </w:rPr>
        <w:t xml:space="preserve">équation de </w:t>
      </w:r>
      <w:proofErr w:type="spellStart"/>
      <w:r w:rsidRPr="00440C76">
        <w:rPr>
          <w:lang w:val="fr-FR"/>
        </w:rPr>
        <w:t>Brettschneider</w:t>
      </w:r>
      <w:proofErr w:type="spellEnd"/>
      <w:r w:rsidRPr="00440C76">
        <w:rPr>
          <w:lang w:val="fr-FR"/>
        </w:rPr>
        <w:t xml:space="preserve"> simplifiée, comme suit :</w:t>
      </w:r>
    </w:p>
    <w:p w14:paraId="094903A2" w14:textId="77777777" w:rsidR="00BE2CA7" w:rsidRPr="003F2AEA" w:rsidRDefault="00BE2CA7" w:rsidP="00BE2CA7">
      <w:pPr>
        <w:pStyle w:val="SingleTxtG"/>
        <w:ind w:left="2268"/>
        <w:rPr>
          <w:iCs/>
          <w:lang w:val="fr-FR"/>
        </w:rPr>
      </w:pPr>
      <m:oMathPara>
        <m:oMath>
          <m:f>
            <m:fPr>
              <m:ctrlPr>
                <w:rPr>
                  <w:rFonts w:ascii="Cambria Math" w:hAnsi="Cambria Math"/>
                  <w:iCs/>
                  <w:lang w:val="fr-FR"/>
                </w:rPr>
              </m:ctrlPr>
            </m:fPr>
            <m:num>
              <m:d>
                <m:dPr>
                  <m:begChr m:val="["/>
                  <m:endChr m:val="]"/>
                  <m:ctrlPr>
                    <w:rPr>
                      <w:rFonts w:ascii="Cambria Math" w:hAnsi="Cambria Math"/>
                      <w:iCs/>
                      <w:lang w:val="fr-FR"/>
                    </w:rPr>
                  </m:ctrlPr>
                </m:dPr>
                <m:e>
                  <m:r>
                    <m:rPr>
                      <m:sty m:val="p"/>
                    </m:rPr>
                    <w:rPr>
                      <w:rFonts w:ascii="Cambria Math"/>
                      <w:lang w:val="fr-FR"/>
                    </w:rPr>
                    <m:t>C</m:t>
                  </m:r>
                  <m:sSub>
                    <m:sSubPr>
                      <m:ctrlPr>
                        <w:rPr>
                          <w:rFonts w:ascii="Cambria Math" w:hAnsi="Cambria Math"/>
                          <w:iCs/>
                          <w:lang w:val="fr-FR"/>
                        </w:rPr>
                      </m:ctrlPr>
                    </m:sSubPr>
                    <m:e>
                      <m:r>
                        <m:rPr>
                          <m:sty m:val="p"/>
                        </m:rPr>
                        <w:rPr>
                          <w:rFonts w:ascii="Cambria Math"/>
                          <w:lang w:val="fr-FR"/>
                        </w:rPr>
                        <m:t>O</m:t>
                      </m:r>
                    </m:e>
                    <m:sub>
                      <m:r>
                        <m:rPr>
                          <m:sty m:val="p"/>
                        </m:rPr>
                        <w:rPr>
                          <w:rFonts w:ascii="Cambria Math"/>
                          <w:lang w:val="fr-FR"/>
                        </w:rPr>
                        <m:t>2</m:t>
                      </m:r>
                    </m:sub>
                  </m:sSub>
                </m:e>
              </m:d>
              <m:r>
                <m:rPr>
                  <m:sty m:val="p"/>
                </m:rPr>
                <w:rPr>
                  <w:rFonts w:ascii="Cambria Math"/>
                  <w:lang w:val="fr-FR"/>
                </w:rPr>
                <m:t>+</m:t>
              </m:r>
              <m:f>
                <m:fPr>
                  <m:ctrlPr>
                    <w:rPr>
                      <w:rFonts w:ascii="Cambria Math" w:hAnsi="Cambria Math"/>
                      <w:iCs/>
                      <w:lang w:val="fr-FR"/>
                    </w:rPr>
                  </m:ctrlPr>
                </m:fPr>
                <m:num>
                  <m:d>
                    <m:dPr>
                      <m:begChr m:val="["/>
                      <m:endChr m:val="]"/>
                      <m:ctrlPr>
                        <w:rPr>
                          <w:rFonts w:ascii="Cambria Math" w:hAnsi="Cambria Math"/>
                          <w:iCs/>
                          <w:lang w:val="fr-FR"/>
                        </w:rPr>
                      </m:ctrlPr>
                    </m:dPr>
                    <m:e>
                      <m:r>
                        <m:rPr>
                          <m:sty m:val="p"/>
                        </m:rPr>
                        <w:rPr>
                          <w:rFonts w:ascii="Cambria Math"/>
                          <w:lang w:val="fr-FR"/>
                        </w:rPr>
                        <m:t>CO</m:t>
                      </m:r>
                    </m:e>
                  </m:d>
                </m:num>
                <m:den>
                  <m:r>
                    <m:rPr>
                      <m:sty m:val="p"/>
                    </m:rPr>
                    <w:rPr>
                      <w:rFonts w:ascii="Cambria Math"/>
                      <w:lang w:val="fr-FR"/>
                    </w:rPr>
                    <m:t>2</m:t>
                  </m:r>
                </m:den>
              </m:f>
              <m:r>
                <m:rPr>
                  <m:sty m:val="p"/>
                </m:rPr>
                <w:rPr>
                  <w:rFonts w:ascii="Cambria Math"/>
                  <w:lang w:val="fr-FR"/>
                </w:rPr>
                <m:t>+</m:t>
              </m:r>
              <m:d>
                <m:dPr>
                  <m:begChr m:val="["/>
                  <m:endChr m:val="]"/>
                  <m:ctrlPr>
                    <w:rPr>
                      <w:rFonts w:ascii="Cambria Math" w:hAnsi="Cambria Math"/>
                      <w:iCs/>
                      <w:lang w:val="fr-FR"/>
                    </w:rPr>
                  </m:ctrlPr>
                </m:dPr>
                <m:e>
                  <m:sSub>
                    <m:sSubPr>
                      <m:ctrlPr>
                        <w:rPr>
                          <w:rFonts w:ascii="Cambria Math" w:hAnsi="Cambria Math"/>
                          <w:iCs/>
                          <w:lang w:val="fr-FR"/>
                        </w:rPr>
                      </m:ctrlPr>
                    </m:sSubPr>
                    <m:e>
                      <m:r>
                        <m:rPr>
                          <m:sty m:val="p"/>
                        </m:rPr>
                        <w:rPr>
                          <w:rFonts w:ascii="Cambria Math"/>
                          <w:lang w:val="fr-FR"/>
                        </w:rPr>
                        <m:t>O</m:t>
                      </m:r>
                    </m:e>
                    <m:sub>
                      <m:r>
                        <m:rPr>
                          <m:sty m:val="p"/>
                        </m:rPr>
                        <w:rPr>
                          <w:rFonts w:ascii="Cambria Math"/>
                          <w:lang w:val="fr-FR"/>
                        </w:rPr>
                        <m:t>2</m:t>
                      </m:r>
                    </m:sub>
                  </m:sSub>
                </m:e>
              </m:d>
              <m:r>
                <m:rPr>
                  <m:sty m:val="p"/>
                </m:rPr>
                <w:rPr>
                  <w:rFonts w:ascii="Cambria Math"/>
                  <w:lang w:val="fr-FR"/>
                </w:rPr>
                <m:t>+</m:t>
              </m:r>
              <m:d>
                <m:dPr>
                  <m:ctrlPr>
                    <w:rPr>
                      <w:rFonts w:ascii="Cambria Math" w:hAnsi="Cambria Math"/>
                      <w:iCs/>
                      <w:lang w:val="fr-FR"/>
                    </w:rPr>
                  </m:ctrlPr>
                </m:dPr>
                <m:e>
                  <m:f>
                    <m:fPr>
                      <m:ctrlPr>
                        <w:rPr>
                          <w:rFonts w:ascii="Cambria Math" w:hAnsi="Cambria Math"/>
                          <w:iCs/>
                          <w:lang w:val="fr-FR"/>
                        </w:rPr>
                      </m:ctrlPr>
                    </m:fPr>
                    <m:num>
                      <m:sSub>
                        <m:sSubPr>
                          <m:ctrlPr>
                            <w:rPr>
                              <w:rFonts w:ascii="Cambria Math" w:hAnsi="Cambria Math"/>
                              <w:iCs/>
                              <w:lang w:val="fr-FR"/>
                            </w:rPr>
                          </m:ctrlPr>
                        </m:sSubPr>
                        <m:e>
                          <m:r>
                            <m:rPr>
                              <m:sty m:val="p"/>
                            </m:rPr>
                            <w:rPr>
                              <w:rFonts w:ascii="Cambria Math"/>
                              <w:lang w:val="fr-FR"/>
                            </w:rPr>
                            <m:t>H</m:t>
                          </m:r>
                        </m:e>
                        <m:sub>
                          <m:r>
                            <m:rPr>
                              <m:sty m:val="p"/>
                            </m:rPr>
                            <w:rPr>
                              <w:rFonts w:ascii="Cambria Math"/>
                              <w:lang w:val="fr-FR"/>
                            </w:rPr>
                            <m:t>CV</m:t>
                          </m:r>
                        </m:sub>
                      </m:sSub>
                    </m:num>
                    <m:den>
                      <m:r>
                        <m:rPr>
                          <m:sty m:val="p"/>
                        </m:rPr>
                        <w:rPr>
                          <w:rFonts w:ascii="Cambria Math"/>
                          <w:lang w:val="fr-FR"/>
                        </w:rPr>
                        <m:t>4</m:t>
                      </m:r>
                    </m:den>
                  </m:f>
                  <m:r>
                    <m:rPr>
                      <m:sty m:val="p"/>
                    </m:rPr>
                    <w:rPr>
                      <w:rFonts w:ascii="Cambria Math"/>
                      <w:lang w:val="fr-FR"/>
                    </w:rPr>
                    <m:t>.</m:t>
                  </m:r>
                  <m:f>
                    <m:fPr>
                      <m:ctrlPr>
                        <w:rPr>
                          <w:rFonts w:ascii="Cambria Math" w:hAnsi="Cambria Math"/>
                          <w:iCs/>
                          <w:lang w:val="fr-FR"/>
                        </w:rPr>
                      </m:ctrlPr>
                    </m:fPr>
                    <m:num>
                      <m:r>
                        <m:rPr>
                          <m:sty m:val="p"/>
                        </m:rPr>
                        <w:rPr>
                          <w:rFonts w:ascii="Cambria Math"/>
                          <w:lang w:val="fr-FR"/>
                        </w:rPr>
                        <m:t>3,5</m:t>
                      </m:r>
                    </m:num>
                    <m:den>
                      <m:r>
                        <m:rPr>
                          <m:sty m:val="p"/>
                        </m:rPr>
                        <w:rPr>
                          <w:rFonts w:ascii="Cambria Math"/>
                          <w:lang w:val="fr-FR"/>
                        </w:rPr>
                        <m:t>3,5+</m:t>
                      </m:r>
                      <m:f>
                        <m:fPr>
                          <m:ctrlPr>
                            <w:rPr>
                              <w:rFonts w:ascii="Cambria Math" w:hAnsi="Cambria Math"/>
                              <w:iCs/>
                              <w:lang w:val="fr-FR"/>
                            </w:rPr>
                          </m:ctrlPr>
                        </m:fPr>
                        <m:num>
                          <m:d>
                            <m:dPr>
                              <m:begChr m:val="["/>
                              <m:endChr m:val="]"/>
                              <m:ctrlPr>
                                <w:rPr>
                                  <w:rFonts w:ascii="Cambria Math" w:hAnsi="Cambria Math"/>
                                  <w:iCs/>
                                  <w:lang w:val="fr-FR"/>
                                </w:rPr>
                              </m:ctrlPr>
                            </m:dPr>
                            <m:e>
                              <m:r>
                                <m:rPr>
                                  <m:sty m:val="p"/>
                                </m:rPr>
                                <w:rPr>
                                  <w:rFonts w:ascii="Cambria Math"/>
                                  <w:lang w:val="fr-FR"/>
                                </w:rPr>
                                <m:t>CO</m:t>
                              </m:r>
                            </m:e>
                          </m:d>
                        </m:num>
                        <m:den>
                          <m:d>
                            <m:dPr>
                              <m:begChr m:val="["/>
                              <m:endChr m:val="]"/>
                              <m:ctrlPr>
                                <w:rPr>
                                  <w:rFonts w:ascii="Cambria Math" w:hAnsi="Cambria Math"/>
                                  <w:iCs/>
                                  <w:lang w:val="fr-FR"/>
                                </w:rPr>
                              </m:ctrlPr>
                            </m:dPr>
                            <m:e>
                              <m:r>
                                <m:rPr>
                                  <m:sty m:val="p"/>
                                </m:rPr>
                                <w:rPr>
                                  <w:rFonts w:ascii="Cambria Math"/>
                                  <w:lang w:val="fr-FR"/>
                                </w:rPr>
                                <m:t>C</m:t>
                              </m:r>
                              <m:sSub>
                                <m:sSubPr>
                                  <m:ctrlPr>
                                    <w:rPr>
                                      <w:rFonts w:ascii="Cambria Math" w:hAnsi="Cambria Math"/>
                                      <w:iCs/>
                                      <w:lang w:val="fr-FR"/>
                                    </w:rPr>
                                  </m:ctrlPr>
                                </m:sSubPr>
                                <m:e>
                                  <m:r>
                                    <m:rPr>
                                      <m:sty m:val="p"/>
                                    </m:rPr>
                                    <w:rPr>
                                      <w:rFonts w:ascii="Cambria Math"/>
                                      <w:lang w:val="fr-FR"/>
                                    </w:rPr>
                                    <m:t>O</m:t>
                                  </m:r>
                                </m:e>
                                <m:sub>
                                  <m:r>
                                    <m:rPr>
                                      <m:sty m:val="p"/>
                                    </m:rPr>
                                    <w:rPr>
                                      <w:rFonts w:ascii="Cambria Math"/>
                                      <w:lang w:val="fr-FR"/>
                                    </w:rPr>
                                    <m:t>2</m:t>
                                  </m:r>
                                </m:sub>
                              </m:sSub>
                            </m:e>
                          </m:d>
                        </m:den>
                      </m:f>
                    </m:den>
                  </m:f>
                  <m:r>
                    <m:rPr>
                      <m:sty m:val="p"/>
                    </m:rPr>
                    <w:rPr>
                      <w:rFonts w:ascii="Cambria Math"/>
                      <w:lang w:val="fr-FR"/>
                    </w:rPr>
                    <m:t>-</m:t>
                  </m:r>
                  <m:f>
                    <m:fPr>
                      <m:ctrlPr>
                        <w:rPr>
                          <w:rFonts w:ascii="Cambria Math" w:hAnsi="Cambria Math"/>
                          <w:iCs/>
                          <w:lang w:val="fr-FR"/>
                        </w:rPr>
                      </m:ctrlPr>
                    </m:fPr>
                    <m:num>
                      <m:sSub>
                        <m:sSubPr>
                          <m:ctrlPr>
                            <w:rPr>
                              <w:rFonts w:ascii="Cambria Math" w:hAnsi="Cambria Math"/>
                              <w:iCs/>
                              <w:lang w:val="fr-FR"/>
                            </w:rPr>
                          </m:ctrlPr>
                        </m:sSubPr>
                        <m:e>
                          <m:r>
                            <m:rPr>
                              <m:sty m:val="p"/>
                            </m:rPr>
                            <w:rPr>
                              <w:rFonts w:ascii="Cambria Math"/>
                              <w:lang w:val="fr-FR"/>
                            </w:rPr>
                            <m:t>O</m:t>
                          </m:r>
                        </m:e>
                        <m:sub>
                          <m:r>
                            <m:rPr>
                              <m:sty m:val="p"/>
                            </m:rPr>
                            <w:rPr>
                              <w:rFonts w:ascii="Cambria Math"/>
                              <w:lang w:val="fr-FR"/>
                            </w:rPr>
                            <m:t>CV</m:t>
                          </m:r>
                        </m:sub>
                      </m:sSub>
                    </m:num>
                    <m:den>
                      <m:r>
                        <m:rPr>
                          <m:sty m:val="p"/>
                        </m:rPr>
                        <w:rPr>
                          <w:rFonts w:ascii="Cambria Math"/>
                          <w:lang w:val="fr-FR"/>
                        </w:rPr>
                        <m:t>2</m:t>
                      </m:r>
                    </m:den>
                  </m:f>
                </m:e>
              </m:d>
              <m:r>
                <m:rPr>
                  <m:sty m:val="p"/>
                </m:rPr>
                <w:rPr>
                  <w:rFonts w:ascii="Cambria Math"/>
                  <w:lang w:val="fr-FR"/>
                </w:rPr>
                <m:t> </m:t>
              </m:r>
              <m:r>
                <m:rPr>
                  <m:sty m:val="p"/>
                </m:rPr>
                <w:rPr>
                  <w:rFonts w:ascii="Cambria Math"/>
                  <w:lang w:val="fr-FR"/>
                </w:rPr>
                <m:t>.</m:t>
              </m:r>
              <m:r>
                <m:rPr>
                  <m:sty m:val="p"/>
                </m:rPr>
                <w:rPr>
                  <w:rFonts w:ascii="Cambria Math"/>
                  <w:lang w:val="fr-FR"/>
                </w:rPr>
                <m:t> </m:t>
              </m:r>
              <m:d>
                <m:dPr>
                  <m:ctrlPr>
                    <w:rPr>
                      <w:rFonts w:ascii="Cambria Math" w:hAnsi="Cambria Math"/>
                      <w:iCs/>
                      <w:lang w:val="fr-FR"/>
                    </w:rPr>
                  </m:ctrlPr>
                </m:dPr>
                <m:e>
                  <m:d>
                    <m:dPr>
                      <m:begChr m:val="["/>
                      <m:endChr m:val="]"/>
                      <m:ctrlPr>
                        <w:rPr>
                          <w:rFonts w:ascii="Cambria Math" w:hAnsi="Cambria Math"/>
                          <w:iCs/>
                          <w:lang w:val="fr-FR"/>
                        </w:rPr>
                      </m:ctrlPr>
                    </m:dPr>
                    <m:e>
                      <m:r>
                        <m:rPr>
                          <m:sty m:val="p"/>
                        </m:rPr>
                        <w:rPr>
                          <w:rFonts w:ascii="Cambria Math"/>
                          <w:lang w:val="fr-FR"/>
                        </w:rPr>
                        <m:t>C</m:t>
                      </m:r>
                      <m:sSub>
                        <m:sSubPr>
                          <m:ctrlPr>
                            <w:rPr>
                              <w:rFonts w:ascii="Cambria Math" w:hAnsi="Cambria Math"/>
                              <w:iCs/>
                              <w:lang w:val="fr-FR"/>
                            </w:rPr>
                          </m:ctrlPr>
                        </m:sSubPr>
                        <m:e>
                          <m:r>
                            <m:rPr>
                              <m:sty m:val="p"/>
                            </m:rPr>
                            <w:rPr>
                              <w:rFonts w:ascii="Cambria Math"/>
                              <w:lang w:val="fr-FR"/>
                            </w:rPr>
                            <m:t>O</m:t>
                          </m:r>
                        </m:e>
                        <m:sub>
                          <m:r>
                            <m:rPr>
                              <m:sty m:val="p"/>
                            </m:rPr>
                            <w:rPr>
                              <w:rFonts w:ascii="Cambria Math"/>
                              <w:lang w:val="fr-FR"/>
                            </w:rPr>
                            <m:t>2</m:t>
                          </m:r>
                        </m:sub>
                      </m:sSub>
                    </m:e>
                  </m:d>
                  <m:r>
                    <m:rPr>
                      <m:sty m:val="p"/>
                    </m:rPr>
                    <w:rPr>
                      <w:rFonts w:ascii="Cambria Math"/>
                      <w:lang w:val="fr-FR"/>
                    </w:rPr>
                    <m:t>+</m:t>
                  </m:r>
                  <m:d>
                    <m:dPr>
                      <m:begChr m:val="["/>
                      <m:endChr m:val="]"/>
                      <m:ctrlPr>
                        <w:rPr>
                          <w:rFonts w:ascii="Cambria Math" w:hAnsi="Cambria Math"/>
                          <w:iCs/>
                          <w:lang w:val="fr-FR"/>
                        </w:rPr>
                      </m:ctrlPr>
                    </m:dPr>
                    <m:e>
                      <m:r>
                        <m:rPr>
                          <m:sty m:val="p"/>
                        </m:rPr>
                        <w:rPr>
                          <w:rFonts w:ascii="Cambria Math"/>
                          <w:lang w:val="fr-FR"/>
                        </w:rPr>
                        <m:t>CO</m:t>
                      </m:r>
                    </m:e>
                  </m:d>
                </m:e>
              </m:d>
            </m:num>
            <m:den>
              <m:d>
                <m:dPr>
                  <m:ctrlPr>
                    <w:rPr>
                      <w:rFonts w:ascii="Cambria Math" w:hAnsi="Cambria Math"/>
                      <w:iCs/>
                      <w:lang w:val="fr-FR"/>
                    </w:rPr>
                  </m:ctrlPr>
                </m:dPr>
                <m:e>
                  <m:r>
                    <m:rPr>
                      <m:sty m:val="p"/>
                    </m:rPr>
                    <w:rPr>
                      <w:rFonts w:ascii="Cambria Math"/>
                      <w:lang w:val="fr-FR"/>
                    </w:rPr>
                    <m:t>1+</m:t>
                  </m:r>
                  <m:f>
                    <m:fPr>
                      <m:ctrlPr>
                        <w:rPr>
                          <w:rFonts w:ascii="Cambria Math" w:hAnsi="Cambria Math"/>
                          <w:iCs/>
                          <w:lang w:val="fr-FR"/>
                        </w:rPr>
                      </m:ctrlPr>
                    </m:fPr>
                    <m:num>
                      <m:sSub>
                        <m:sSubPr>
                          <m:ctrlPr>
                            <w:rPr>
                              <w:rFonts w:ascii="Cambria Math" w:hAnsi="Cambria Math"/>
                              <w:iCs/>
                              <w:lang w:val="fr-FR"/>
                            </w:rPr>
                          </m:ctrlPr>
                        </m:sSubPr>
                        <m:e>
                          <m:r>
                            <m:rPr>
                              <m:sty m:val="p"/>
                            </m:rPr>
                            <w:rPr>
                              <w:rFonts w:ascii="Cambria Math"/>
                              <w:lang w:val="fr-FR"/>
                            </w:rPr>
                            <m:t>H</m:t>
                          </m:r>
                        </m:e>
                        <m:sub>
                          <m:r>
                            <m:rPr>
                              <m:sty m:val="p"/>
                            </m:rPr>
                            <w:rPr>
                              <w:rFonts w:ascii="Cambria Math"/>
                              <w:lang w:val="fr-FR"/>
                            </w:rPr>
                            <m:t>CV</m:t>
                          </m:r>
                        </m:sub>
                      </m:sSub>
                    </m:num>
                    <m:den>
                      <m:r>
                        <m:rPr>
                          <m:sty m:val="p"/>
                        </m:rPr>
                        <w:rPr>
                          <w:rFonts w:ascii="Cambria Math"/>
                          <w:lang w:val="fr-FR"/>
                        </w:rPr>
                        <m:t>4</m:t>
                      </m:r>
                    </m:den>
                  </m:f>
                  <m:r>
                    <m:rPr>
                      <m:sty m:val="p"/>
                    </m:rPr>
                    <w:rPr>
                      <w:rFonts w:ascii="Cambria Math"/>
                      <w:lang w:val="fr-FR"/>
                    </w:rPr>
                    <m:t>-</m:t>
                  </m:r>
                  <m:f>
                    <m:fPr>
                      <m:ctrlPr>
                        <w:rPr>
                          <w:rFonts w:ascii="Cambria Math" w:hAnsi="Cambria Math"/>
                          <w:iCs/>
                          <w:lang w:val="fr-FR"/>
                        </w:rPr>
                      </m:ctrlPr>
                    </m:fPr>
                    <m:num>
                      <m:sSub>
                        <m:sSubPr>
                          <m:ctrlPr>
                            <w:rPr>
                              <w:rFonts w:ascii="Cambria Math" w:hAnsi="Cambria Math"/>
                              <w:iCs/>
                              <w:lang w:val="fr-FR"/>
                            </w:rPr>
                          </m:ctrlPr>
                        </m:sSubPr>
                        <m:e>
                          <m:r>
                            <m:rPr>
                              <m:sty m:val="p"/>
                            </m:rPr>
                            <w:rPr>
                              <w:rFonts w:ascii="Cambria Math"/>
                              <w:lang w:val="fr-FR"/>
                            </w:rPr>
                            <m:t>O</m:t>
                          </m:r>
                        </m:e>
                        <m:sub>
                          <m:r>
                            <m:rPr>
                              <m:sty m:val="p"/>
                            </m:rPr>
                            <w:rPr>
                              <w:rFonts w:ascii="Cambria Math"/>
                              <w:lang w:val="fr-FR"/>
                            </w:rPr>
                            <m:t>CV</m:t>
                          </m:r>
                        </m:sub>
                      </m:sSub>
                    </m:num>
                    <m:den>
                      <m:r>
                        <m:rPr>
                          <m:sty m:val="p"/>
                        </m:rPr>
                        <w:rPr>
                          <w:rFonts w:ascii="Cambria Math"/>
                          <w:lang w:val="fr-FR"/>
                        </w:rPr>
                        <m:t>2</m:t>
                      </m:r>
                    </m:den>
                  </m:f>
                </m:e>
              </m:d>
              <m:r>
                <m:rPr>
                  <m:sty m:val="p"/>
                </m:rPr>
                <w:rPr>
                  <w:rFonts w:ascii="Cambria Math"/>
                  <w:lang w:val="fr-FR"/>
                </w:rPr>
                <m:t> </m:t>
              </m:r>
              <m:r>
                <m:rPr>
                  <m:sty m:val="p"/>
                </m:rPr>
                <w:rPr>
                  <w:rFonts w:ascii="Cambria Math"/>
                  <w:lang w:val="fr-FR"/>
                </w:rPr>
                <m:t>.</m:t>
              </m:r>
              <m:r>
                <m:rPr>
                  <m:sty m:val="p"/>
                </m:rPr>
                <w:rPr>
                  <w:rFonts w:ascii="Cambria Math"/>
                  <w:lang w:val="fr-FR"/>
                </w:rPr>
                <m:t> </m:t>
              </m:r>
              <m:d>
                <m:dPr>
                  <m:ctrlPr>
                    <w:rPr>
                      <w:rFonts w:ascii="Cambria Math" w:hAnsi="Cambria Math"/>
                      <w:iCs/>
                      <w:lang w:val="fr-FR"/>
                    </w:rPr>
                  </m:ctrlPr>
                </m:dPr>
                <m:e>
                  <m:d>
                    <m:dPr>
                      <m:begChr m:val="["/>
                      <m:endChr m:val="]"/>
                      <m:ctrlPr>
                        <w:rPr>
                          <w:rFonts w:ascii="Cambria Math" w:hAnsi="Cambria Math"/>
                          <w:iCs/>
                          <w:lang w:val="fr-FR"/>
                        </w:rPr>
                      </m:ctrlPr>
                    </m:dPr>
                    <m:e>
                      <m:r>
                        <m:rPr>
                          <m:sty m:val="p"/>
                        </m:rPr>
                        <w:rPr>
                          <w:rFonts w:ascii="Cambria Math"/>
                          <w:lang w:val="fr-FR"/>
                        </w:rPr>
                        <m:t>C</m:t>
                      </m:r>
                      <m:sSub>
                        <m:sSubPr>
                          <m:ctrlPr>
                            <w:rPr>
                              <w:rFonts w:ascii="Cambria Math" w:hAnsi="Cambria Math"/>
                              <w:iCs/>
                              <w:lang w:val="fr-FR"/>
                            </w:rPr>
                          </m:ctrlPr>
                        </m:sSubPr>
                        <m:e>
                          <m:r>
                            <m:rPr>
                              <m:sty m:val="p"/>
                            </m:rPr>
                            <w:rPr>
                              <w:rFonts w:ascii="Cambria Math"/>
                              <w:lang w:val="fr-FR"/>
                            </w:rPr>
                            <m:t>O</m:t>
                          </m:r>
                        </m:e>
                        <m:sub>
                          <m:r>
                            <m:rPr>
                              <m:sty m:val="p"/>
                            </m:rPr>
                            <w:rPr>
                              <w:rFonts w:ascii="Cambria Math"/>
                              <w:lang w:val="fr-FR"/>
                            </w:rPr>
                            <m:t>2</m:t>
                          </m:r>
                        </m:sub>
                      </m:sSub>
                    </m:e>
                  </m:d>
                  <m:r>
                    <m:rPr>
                      <m:sty m:val="p"/>
                    </m:rPr>
                    <w:rPr>
                      <w:rFonts w:ascii="Cambria Math"/>
                      <w:lang w:val="fr-FR"/>
                    </w:rPr>
                    <m:t>+</m:t>
                  </m:r>
                  <m:d>
                    <m:dPr>
                      <m:begChr m:val="["/>
                      <m:endChr m:val="]"/>
                      <m:ctrlPr>
                        <w:rPr>
                          <w:rFonts w:ascii="Cambria Math" w:hAnsi="Cambria Math"/>
                          <w:iCs/>
                          <w:lang w:val="fr-FR"/>
                        </w:rPr>
                      </m:ctrlPr>
                    </m:dPr>
                    <m:e>
                      <m:r>
                        <m:rPr>
                          <m:sty m:val="p"/>
                        </m:rPr>
                        <w:rPr>
                          <w:rFonts w:ascii="Cambria Math"/>
                          <w:lang w:val="fr-FR"/>
                        </w:rPr>
                        <m:t>CO</m:t>
                      </m:r>
                    </m:e>
                  </m:d>
                  <m:r>
                    <m:rPr>
                      <m:sty m:val="p"/>
                    </m:rPr>
                    <w:rPr>
                      <w:rFonts w:ascii="Cambria Math"/>
                      <w:lang w:val="fr-FR"/>
                    </w:rPr>
                    <m:t>+K1</m:t>
                  </m:r>
                  <m:d>
                    <m:dPr>
                      <m:begChr m:val="["/>
                      <m:endChr m:val="]"/>
                      <m:ctrlPr>
                        <w:rPr>
                          <w:rFonts w:ascii="Cambria Math" w:hAnsi="Cambria Math"/>
                          <w:iCs/>
                          <w:lang w:val="fr-FR"/>
                        </w:rPr>
                      </m:ctrlPr>
                    </m:dPr>
                    <m:e>
                      <m:r>
                        <m:rPr>
                          <m:sty m:val="p"/>
                        </m:rPr>
                        <w:rPr>
                          <w:rFonts w:ascii="Cambria Math"/>
                          <w:lang w:val="fr-FR"/>
                        </w:rPr>
                        <m:t>HC</m:t>
                      </m:r>
                    </m:e>
                  </m:d>
                </m:e>
              </m:d>
            </m:den>
          </m:f>
        </m:oMath>
      </m:oMathPara>
    </w:p>
    <w:p w14:paraId="511D21F6" w14:textId="77777777" w:rsidR="00BE2CA7" w:rsidRPr="00440C76" w:rsidRDefault="00BE2CA7" w:rsidP="00BE2CA7">
      <w:pPr>
        <w:pStyle w:val="SingleTxtG"/>
        <w:ind w:left="2835" w:hanging="567"/>
        <w:rPr>
          <w:lang w:val="fr-FR"/>
        </w:rPr>
      </w:pPr>
      <w:r w:rsidRPr="00440C76">
        <w:rPr>
          <w:lang w:val="fr-FR"/>
        </w:rPr>
        <w:t>Où :</w:t>
      </w:r>
    </w:p>
    <w:p w14:paraId="65ACB87A" w14:textId="77777777" w:rsidR="00BE2CA7" w:rsidRPr="00440C76" w:rsidRDefault="00BE2CA7" w:rsidP="00BE2CA7">
      <w:pPr>
        <w:pStyle w:val="SingleTxtG"/>
        <w:tabs>
          <w:tab w:val="left" w:pos="2694"/>
        </w:tabs>
        <w:ind w:left="3119" w:hanging="851"/>
        <w:rPr>
          <w:rFonts w:eastAsia="Times New Roman"/>
          <w:lang w:val="fr-FR"/>
        </w:rPr>
      </w:pPr>
      <w:r w:rsidRPr="00440C76">
        <w:rPr>
          <w:rFonts w:eastAsia="Times New Roman"/>
          <w:lang w:val="fr-FR"/>
        </w:rPr>
        <w:t>[ ]</w:t>
      </w:r>
      <w:r w:rsidRPr="00440C76">
        <w:rPr>
          <w:rFonts w:eastAsia="Times New Roman"/>
          <w:lang w:val="fr-FR"/>
        </w:rPr>
        <w:tab/>
        <w:t>=</w:t>
      </w:r>
      <w:r w:rsidRPr="00440C76">
        <w:rPr>
          <w:rFonts w:eastAsia="Times New Roman"/>
          <w:lang w:val="fr-FR"/>
        </w:rPr>
        <w:tab/>
        <w:t>concentration en % vol</w:t>
      </w:r>
      <w:r>
        <w:rPr>
          <w:rFonts w:eastAsia="Times New Roman"/>
          <w:lang w:val="fr-FR"/>
        </w:rPr>
        <w:t> ;</w:t>
      </w:r>
    </w:p>
    <w:p w14:paraId="2E2DFF8E" w14:textId="77777777" w:rsidR="00BE2CA7" w:rsidRPr="00440C76" w:rsidRDefault="00BE2CA7" w:rsidP="00BE2CA7">
      <w:pPr>
        <w:pStyle w:val="SingleTxtG"/>
        <w:tabs>
          <w:tab w:val="left" w:pos="2694"/>
        </w:tabs>
        <w:ind w:left="3119" w:hanging="851"/>
        <w:rPr>
          <w:rFonts w:eastAsia="Times New Roman"/>
          <w:lang w:val="fr-FR"/>
        </w:rPr>
      </w:pPr>
      <w:r w:rsidRPr="00440C76">
        <w:rPr>
          <w:rFonts w:eastAsia="Times New Roman"/>
          <w:lang w:val="fr-FR"/>
        </w:rPr>
        <w:t>K1</w:t>
      </w:r>
      <w:r w:rsidRPr="00440C76">
        <w:rPr>
          <w:rFonts w:eastAsia="Times New Roman"/>
          <w:lang w:val="fr-FR"/>
        </w:rPr>
        <w:tab/>
        <w:t>=</w:t>
      </w:r>
      <w:r w:rsidRPr="00440C76">
        <w:rPr>
          <w:rFonts w:eastAsia="Times New Roman"/>
          <w:lang w:val="fr-FR"/>
        </w:rPr>
        <w:tab/>
        <w:t>facteur de conversion de la mesure au moyen d</w:t>
      </w:r>
      <w:r>
        <w:rPr>
          <w:rFonts w:eastAsia="Times New Roman"/>
          <w:lang w:val="fr-FR"/>
        </w:rPr>
        <w:t>’</w:t>
      </w:r>
      <w:r w:rsidRPr="00440C76">
        <w:rPr>
          <w:rFonts w:eastAsia="Times New Roman"/>
          <w:lang w:val="fr-FR"/>
        </w:rPr>
        <w:t xml:space="preserve">un analyseur de gaz </w:t>
      </w:r>
      <w:proofErr w:type="spellStart"/>
      <w:r w:rsidRPr="00440C76">
        <w:rPr>
          <w:rFonts w:eastAsia="Times New Roman"/>
          <w:lang w:val="fr-FR"/>
        </w:rPr>
        <w:t>infrarouge</w:t>
      </w:r>
      <w:proofErr w:type="spellEnd"/>
      <w:r w:rsidRPr="00440C76">
        <w:rPr>
          <w:rFonts w:eastAsia="Times New Roman"/>
          <w:lang w:val="fr-FR"/>
        </w:rPr>
        <w:t xml:space="preserve"> non dispersif (NDIR) dans la mesure au moyen d</w:t>
      </w:r>
      <w:r>
        <w:rPr>
          <w:rFonts w:eastAsia="Times New Roman"/>
          <w:lang w:val="fr-FR"/>
        </w:rPr>
        <w:t>’</w:t>
      </w:r>
      <w:r w:rsidRPr="00440C76">
        <w:rPr>
          <w:rFonts w:eastAsia="Times New Roman"/>
          <w:lang w:val="fr-FR"/>
        </w:rPr>
        <w:t>un détecteur à ionisation de flamme (FID) (communiqué par le fabricant de l</w:t>
      </w:r>
      <w:r>
        <w:rPr>
          <w:rFonts w:eastAsia="Times New Roman"/>
          <w:lang w:val="fr-FR"/>
        </w:rPr>
        <w:t>’</w:t>
      </w:r>
      <w:r w:rsidRPr="00440C76">
        <w:rPr>
          <w:rFonts w:eastAsia="Times New Roman"/>
          <w:lang w:val="fr-FR"/>
        </w:rPr>
        <w:t>appareillage de mesure)</w:t>
      </w:r>
      <w:r>
        <w:rPr>
          <w:rFonts w:eastAsia="Times New Roman"/>
          <w:lang w:val="fr-FR"/>
        </w:rPr>
        <w:t> ;</w:t>
      </w:r>
    </w:p>
    <w:p w14:paraId="35B1BF42" w14:textId="77777777" w:rsidR="00BE2CA7" w:rsidRPr="00440C76" w:rsidRDefault="00BE2CA7" w:rsidP="00BE2CA7">
      <w:pPr>
        <w:pStyle w:val="SingleTxtG"/>
        <w:tabs>
          <w:tab w:val="left" w:pos="2694"/>
        </w:tabs>
        <w:ind w:left="3119" w:hanging="851"/>
        <w:rPr>
          <w:lang w:val="fr-FR"/>
        </w:rPr>
      </w:pPr>
      <w:proofErr w:type="spellStart"/>
      <w:r w:rsidRPr="00440C76">
        <w:rPr>
          <w:rFonts w:eastAsia="Times New Roman"/>
          <w:lang w:val="fr-FR"/>
        </w:rPr>
        <w:t>H</w:t>
      </w:r>
      <w:r w:rsidRPr="00440C76">
        <w:rPr>
          <w:rFonts w:eastAsia="Times New Roman"/>
          <w:vertAlign w:val="subscript"/>
          <w:lang w:val="fr-FR"/>
        </w:rPr>
        <w:t>cv</w:t>
      </w:r>
      <w:proofErr w:type="spellEnd"/>
      <w:r w:rsidRPr="00440C76">
        <w:rPr>
          <w:rFonts w:eastAsia="Times New Roman"/>
          <w:vertAlign w:val="subscript"/>
          <w:lang w:val="fr-FR"/>
        </w:rPr>
        <w:tab/>
      </w:r>
      <w:r w:rsidRPr="00440C76">
        <w:rPr>
          <w:rFonts w:eastAsia="Times New Roman"/>
          <w:lang w:val="fr-FR"/>
        </w:rPr>
        <w:t>=</w:t>
      </w:r>
      <w:r w:rsidRPr="00440C76">
        <w:rPr>
          <w:rFonts w:eastAsia="Times New Roman"/>
          <w:lang w:val="fr-FR"/>
        </w:rPr>
        <w:tab/>
        <w:t>rapport atomique hydrogène/carbone :</w:t>
      </w:r>
    </w:p>
    <w:p w14:paraId="7F030431" w14:textId="77777777" w:rsidR="00BE2CA7" w:rsidRPr="00440C76" w:rsidRDefault="00BE2CA7" w:rsidP="00BE2CA7">
      <w:pPr>
        <w:pStyle w:val="SingleTxtG"/>
        <w:tabs>
          <w:tab w:val="right" w:pos="6237"/>
        </w:tabs>
        <w:ind w:left="3686" w:hanging="567"/>
        <w:rPr>
          <w:rFonts w:eastAsia="Times New Roman"/>
          <w:lang w:val="fr-FR"/>
        </w:rPr>
      </w:pPr>
      <w:r w:rsidRPr="00440C76">
        <w:rPr>
          <w:lang w:val="fr-FR"/>
        </w:rPr>
        <w:t>a)</w:t>
      </w:r>
      <w:r w:rsidRPr="00440C76">
        <w:rPr>
          <w:lang w:val="fr-FR"/>
        </w:rPr>
        <w:tab/>
        <w:t>pour l</w:t>
      </w:r>
      <w:r>
        <w:rPr>
          <w:lang w:val="fr-FR"/>
        </w:rPr>
        <w:t>’</w:t>
      </w:r>
      <w:r w:rsidRPr="00440C76">
        <w:rPr>
          <w:lang w:val="fr-FR"/>
        </w:rPr>
        <w:t>essence (</w:t>
      </w:r>
      <w:r w:rsidRPr="00440C76">
        <w:rPr>
          <w:rFonts w:eastAsia="Times New Roman"/>
          <w:lang w:val="fr-FR"/>
        </w:rPr>
        <w:t>E10)</w:t>
      </w:r>
      <w:r w:rsidRPr="00440C76">
        <w:rPr>
          <w:rFonts w:eastAsia="Times New Roman"/>
          <w:lang w:val="fr-FR"/>
        </w:rPr>
        <w:tab/>
        <w:t>1,93 ;</w:t>
      </w:r>
    </w:p>
    <w:p w14:paraId="31C4B500" w14:textId="77777777" w:rsidR="00BE2CA7" w:rsidRPr="00440C76" w:rsidRDefault="00BE2CA7" w:rsidP="00BE2CA7">
      <w:pPr>
        <w:pStyle w:val="SingleTxtG"/>
        <w:tabs>
          <w:tab w:val="right" w:pos="6237"/>
        </w:tabs>
        <w:ind w:left="3686" w:hanging="567"/>
        <w:rPr>
          <w:rFonts w:eastAsia="Times New Roman"/>
          <w:lang w:val="fr-FR"/>
        </w:rPr>
      </w:pPr>
      <w:r w:rsidRPr="00440C76">
        <w:rPr>
          <w:rFonts w:eastAsia="Times New Roman"/>
          <w:lang w:val="fr-FR"/>
        </w:rPr>
        <w:t>b)</w:t>
      </w:r>
      <w:r w:rsidRPr="00440C76">
        <w:rPr>
          <w:rFonts w:eastAsia="Times New Roman"/>
          <w:lang w:val="fr-FR"/>
        </w:rPr>
        <w:tab/>
      </w:r>
      <w:r w:rsidRPr="00440C76">
        <w:rPr>
          <w:lang w:val="fr-FR"/>
        </w:rPr>
        <w:t>pour</w:t>
      </w:r>
      <w:r w:rsidRPr="00440C76">
        <w:rPr>
          <w:rFonts w:eastAsia="Times New Roman"/>
          <w:lang w:val="fr-FR"/>
        </w:rPr>
        <w:t xml:space="preserve"> le GPL</w:t>
      </w:r>
      <w:r w:rsidRPr="00440C76">
        <w:rPr>
          <w:rFonts w:eastAsia="Times New Roman"/>
          <w:lang w:val="fr-FR"/>
        </w:rPr>
        <w:tab/>
        <w:t>2,53 ;</w:t>
      </w:r>
    </w:p>
    <w:p w14:paraId="62609BBD" w14:textId="77777777" w:rsidR="00BE2CA7" w:rsidRPr="00440C76" w:rsidRDefault="00BE2CA7" w:rsidP="00BE2CA7">
      <w:pPr>
        <w:pStyle w:val="SingleTxtG"/>
        <w:tabs>
          <w:tab w:val="right" w:pos="6237"/>
        </w:tabs>
        <w:ind w:left="3686" w:hanging="567"/>
        <w:rPr>
          <w:rFonts w:eastAsia="Times New Roman"/>
          <w:lang w:val="fr-FR"/>
        </w:rPr>
      </w:pPr>
      <w:r w:rsidRPr="00440C76">
        <w:rPr>
          <w:rFonts w:eastAsia="Times New Roman"/>
          <w:lang w:val="fr-FR"/>
        </w:rPr>
        <w:t>c)</w:t>
      </w:r>
      <w:r w:rsidRPr="00440C76">
        <w:rPr>
          <w:rFonts w:eastAsia="Times New Roman"/>
          <w:lang w:val="fr-FR"/>
        </w:rPr>
        <w:tab/>
      </w:r>
      <w:r w:rsidRPr="00440C76">
        <w:rPr>
          <w:lang w:val="fr-FR"/>
        </w:rPr>
        <w:t>pour</w:t>
      </w:r>
      <w:r w:rsidRPr="00440C76">
        <w:rPr>
          <w:rFonts w:eastAsia="Times New Roman"/>
          <w:lang w:val="fr-FR"/>
        </w:rPr>
        <w:t xml:space="preserve"> le GN/biométhane</w:t>
      </w:r>
      <w:r w:rsidRPr="00440C76">
        <w:rPr>
          <w:rFonts w:eastAsia="Times New Roman"/>
          <w:lang w:val="fr-FR"/>
        </w:rPr>
        <w:tab/>
        <w:t>4,00 ;</w:t>
      </w:r>
    </w:p>
    <w:p w14:paraId="2F437A3A" w14:textId="77777777" w:rsidR="00BE2CA7" w:rsidRPr="00A318C3" w:rsidRDefault="00BE2CA7" w:rsidP="00BE2CA7">
      <w:pPr>
        <w:pStyle w:val="SingleTxtG"/>
        <w:tabs>
          <w:tab w:val="right" w:pos="6237"/>
        </w:tabs>
        <w:ind w:left="3686" w:hanging="567"/>
        <w:rPr>
          <w:rFonts w:eastAsia="Times New Roman"/>
          <w:lang w:val="es-ES"/>
        </w:rPr>
      </w:pPr>
      <w:r w:rsidRPr="00A318C3">
        <w:rPr>
          <w:rFonts w:eastAsia="Times New Roman"/>
          <w:lang w:val="es-ES"/>
        </w:rPr>
        <w:t>d)</w:t>
      </w:r>
      <w:r w:rsidRPr="00A318C3">
        <w:rPr>
          <w:rFonts w:eastAsia="Times New Roman"/>
          <w:lang w:val="es-ES"/>
        </w:rPr>
        <w:tab/>
      </w:r>
      <w:proofErr w:type="spellStart"/>
      <w:r w:rsidRPr="00A318C3">
        <w:rPr>
          <w:lang w:val="es-ES"/>
        </w:rPr>
        <w:t>pour</w:t>
      </w:r>
      <w:proofErr w:type="spellEnd"/>
      <w:r w:rsidRPr="00A318C3">
        <w:rPr>
          <w:rFonts w:eastAsia="Times New Roman"/>
          <w:lang w:val="es-ES"/>
        </w:rPr>
        <w:t xml:space="preserve"> </w:t>
      </w:r>
      <w:proofErr w:type="spellStart"/>
      <w:r w:rsidRPr="00A318C3">
        <w:rPr>
          <w:lang w:val="es-ES"/>
        </w:rPr>
        <w:t>l</w:t>
      </w:r>
      <w:r>
        <w:rPr>
          <w:lang w:val="es-ES"/>
        </w:rPr>
        <w:t>’</w:t>
      </w:r>
      <w:r w:rsidRPr="00A318C3">
        <w:rPr>
          <w:lang w:val="es-ES"/>
        </w:rPr>
        <w:t>éthanol</w:t>
      </w:r>
      <w:proofErr w:type="spellEnd"/>
      <w:r w:rsidRPr="00A318C3">
        <w:rPr>
          <w:rFonts w:eastAsia="Times New Roman"/>
          <w:lang w:val="es-ES"/>
        </w:rPr>
        <w:t xml:space="preserve"> (E85)</w:t>
      </w:r>
      <w:r w:rsidRPr="00A318C3">
        <w:rPr>
          <w:rFonts w:eastAsia="Times New Roman"/>
          <w:lang w:val="es-ES"/>
        </w:rPr>
        <w:tab/>
        <w:t>2,74 ;</w:t>
      </w:r>
    </w:p>
    <w:p w14:paraId="4AB4D15F" w14:textId="77777777" w:rsidR="00BE2CA7" w:rsidRPr="00A318C3" w:rsidRDefault="00BE2CA7" w:rsidP="00BE2CA7">
      <w:pPr>
        <w:pStyle w:val="SingleTxtG"/>
        <w:tabs>
          <w:tab w:val="right" w:pos="6237"/>
        </w:tabs>
        <w:ind w:left="3686" w:hanging="567"/>
        <w:rPr>
          <w:rFonts w:eastAsia="Times New Roman"/>
          <w:lang w:val="es-ES"/>
        </w:rPr>
      </w:pPr>
      <w:r w:rsidRPr="00A318C3">
        <w:rPr>
          <w:rFonts w:eastAsia="Times New Roman"/>
          <w:lang w:val="es-ES"/>
        </w:rPr>
        <w:t>e)</w:t>
      </w:r>
      <w:r w:rsidRPr="00A318C3">
        <w:rPr>
          <w:rFonts w:eastAsia="Times New Roman"/>
          <w:lang w:val="es-ES"/>
        </w:rPr>
        <w:tab/>
      </w:r>
      <w:proofErr w:type="spellStart"/>
      <w:r w:rsidRPr="00A318C3">
        <w:rPr>
          <w:lang w:val="es-ES"/>
        </w:rPr>
        <w:t>pour</w:t>
      </w:r>
      <w:proofErr w:type="spellEnd"/>
      <w:r w:rsidRPr="00A318C3">
        <w:rPr>
          <w:rFonts w:eastAsia="Times New Roman"/>
          <w:lang w:val="es-ES"/>
        </w:rPr>
        <w:t xml:space="preserve"> </w:t>
      </w:r>
      <w:proofErr w:type="spellStart"/>
      <w:r w:rsidRPr="00A318C3">
        <w:rPr>
          <w:lang w:val="es-ES"/>
        </w:rPr>
        <w:t>l</w:t>
      </w:r>
      <w:r>
        <w:rPr>
          <w:lang w:val="es-ES"/>
        </w:rPr>
        <w:t>’</w:t>
      </w:r>
      <w:r w:rsidRPr="00A318C3">
        <w:rPr>
          <w:lang w:val="es-ES"/>
        </w:rPr>
        <w:t>éthanol</w:t>
      </w:r>
      <w:proofErr w:type="spellEnd"/>
      <w:r w:rsidRPr="00A318C3">
        <w:rPr>
          <w:rFonts w:eastAsia="Times New Roman"/>
          <w:lang w:val="es-ES"/>
        </w:rPr>
        <w:t xml:space="preserve"> (E75)</w:t>
      </w:r>
      <w:r w:rsidRPr="00A318C3">
        <w:rPr>
          <w:rFonts w:eastAsia="Times New Roman"/>
          <w:lang w:val="es-ES"/>
        </w:rPr>
        <w:tab/>
        <w:t>2,61</w:t>
      </w:r>
      <w:r>
        <w:rPr>
          <w:rFonts w:eastAsia="Times New Roman"/>
          <w:lang w:val="es-ES"/>
        </w:rPr>
        <w:t> ;</w:t>
      </w:r>
    </w:p>
    <w:p w14:paraId="15D0FC3C" w14:textId="77777777" w:rsidR="00BE2CA7" w:rsidRPr="00440C76" w:rsidRDefault="00BE2CA7" w:rsidP="00BE2CA7">
      <w:pPr>
        <w:pStyle w:val="SingleTxtG"/>
        <w:tabs>
          <w:tab w:val="left" w:pos="2694"/>
        </w:tabs>
        <w:ind w:left="3119" w:hanging="851"/>
        <w:rPr>
          <w:rFonts w:eastAsia="Times New Roman"/>
          <w:lang w:val="fr-FR"/>
        </w:rPr>
      </w:pPr>
      <w:proofErr w:type="spellStart"/>
      <w:r w:rsidRPr="00440C76">
        <w:rPr>
          <w:rFonts w:eastAsia="Times New Roman"/>
          <w:lang w:val="fr-FR"/>
        </w:rPr>
        <w:t>O</w:t>
      </w:r>
      <w:r w:rsidRPr="00440C76">
        <w:rPr>
          <w:rFonts w:eastAsia="Times New Roman"/>
          <w:vertAlign w:val="subscript"/>
          <w:lang w:val="fr-FR"/>
        </w:rPr>
        <w:t>cv</w:t>
      </w:r>
      <w:proofErr w:type="spellEnd"/>
      <w:r w:rsidRPr="00440C76">
        <w:rPr>
          <w:rFonts w:eastAsia="Times New Roman"/>
          <w:vertAlign w:val="subscript"/>
          <w:lang w:val="fr-FR"/>
        </w:rPr>
        <w:tab/>
        <w:t>=</w:t>
      </w:r>
      <w:r w:rsidRPr="00440C76">
        <w:rPr>
          <w:rFonts w:eastAsia="Times New Roman"/>
          <w:vertAlign w:val="subscript"/>
          <w:lang w:val="fr-FR"/>
        </w:rPr>
        <w:tab/>
      </w:r>
      <w:r w:rsidRPr="00440C76">
        <w:rPr>
          <w:rFonts w:eastAsia="Times New Roman"/>
          <w:lang w:val="fr-FR"/>
        </w:rPr>
        <w:t>rapport atomique oxygène/carbone :</w:t>
      </w:r>
    </w:p>
    <w:p w14:paraId="0D6951A8" w14:textId="77777777" w:rsidR="00BE2CA7" w:rsidRPr="00440C76" w:rsidRDefault="00BE2CA7" w:rsidP="00BE2CA7">
      <w:pPr>
        <w:pStyle w:val="SingleTxtG"/>
        <w:tabs>
          <w:tab w:val="right" w:pos="6237"/>
        </w:tabs>
        <w:ind w:left="3686" w:hanging="567"/>
        <w:rPr>
          <w:lang w:val="fr-FR"/>
        </w:rPr>
      </w:pPr>
      <w:r w:rsidRPr="00440C76">
        <w:rPr>
          <w:rFonts w:eastAsia="Times New Roman"/>
          <w:lang w:val="fr-FR"/>
        </w:rPr>
        <w:t>a)</w:t>
      </w:r>
      <w:r w:rsidRPr="00440C76">
        <w:rPr>
          <w:rFonts w:eastAsia="Times New Roman"/>
          <w:lang w:val="fr-FR"/>
        </w:rPr>
        <w:tab/>
        <w:t>pour</w:t>
      </w:r>
      <w:r w:rsidRPr="00440C76">
        <w:rPr>
          <w:lang w:val="fr-FR"/>
        </w:rPr>
        <w:t xml:space="preserve"> l</w:t>
      </w:r>
      <w:r>
        <w:rPr>
          <w:lang w:val="fr-FR"/>
        </w:rPr>
        <w:t>’</w:t>
      </w:r>
      <w:r w:rsidRPr="00440C76">
        <w:rPr>
          <w:lang w:val="fr-FR"/>
        </w:rPr>
        <w:t>essence (E10)</w:t>
      </w:r>
      <w:r w:rsidRPr="00440C76">
        <w:rPr>
          <w:lang w:val="fr-FR"/>
        </w:rPr>
        <w:tab/>
        <w:t>0,033 ;</w:t>
      </w:r>
    </w:p>
    <w:p w14:paraId="1C6E54ED" w14:textId="77777777" w:rsidR="00BE2CA7" w:rsidRPr="00440C76" w:rsidRDefault="00BE2CA7" w:rsidP="00BE2CA7">
      <w:pPr>
        <w:pStyle w:val="SingleTxtG"/>
        <w:tabs>
          <w:tab w:val="right" w:pos="6237"/>
        </w:tabs>
        <w:ind w:left="3686" w:hanging="567"/>
        <w:rPr>
          <w:lang w:val="fr-FR"/>
        </w:rPr>
      </w:pPr>
      <w:r w:rsidRPr="00440C76">
        <w:rPr>
          <w:lang w:val="fr-FR"/>
        </w:rPr>
        <w:t>b)</w:t>
      </w:r>
      <w:r w:rsidRPr="00440C76">
        <w:rPr>
          <w:lang w:val="fr-FR"/>
        </w:rPr>
        <w:tab/>
      </w:r>
      <w:r w:rsidRPr="00440C76">
        <w:rPr>
          <w:rFonts w:eastAsia="Times New Roman"/>
          <w:lang w:val="fr-FR"/>
        </w:rPr>
        <w:t>pour</w:t>
      </w:r>
      <w:r w:rsidRPr="00440C76">
        <w:rPr>
          <w:lang w:val="fr-FR"/>
        </w:rPr>
        <w:t xml:space="preserve"> le GPL</w:t>
      </w:r>
      <w:r w:rsidRPr="00440C76">
        <w:rPr>
          <w:lang w:val="fr-FR"/>
        </w:rPr>
        <w:tab/>
        <w:t>0,00 ;</w:t>
      </w:r>
    </w:p>
    <w:p w14:paraId="4FBCD918" w14:textId="77777777" w:rsidR="00BE2CA7" w:rsidRPr="00440C76" w:rsidRDefault="00BE2CA7" w:rsidP="00BE2CA7">
      <w:pPr>
        <w:pStyle w:val="SingleTxtG"/>
        <w:tabs>
          <w:tab w:val="right" w:pos="6237"/>
        </w:tabs>
        <w:ind w:left="3686" w:hanging="567"/>
        <w:rPr>
          <w:lang w:val="fr-FR"/>
        </w:rPr>
      </w:pPr>
      <w:r w:rsidRPr="00440C76">
        <w:rPr>
          <w:lang w:val="fr-FR"/>
        </w:rPr>
        <w:t>c)</w:t>
      </w:r>
      <w:r w:rsidRPr="00440C76">
        <w:rPr>
          <w:lang w:val="fr-FR"/>
        </w:rPr>
        <w:tab/>
      </w:r>
      <w:r w:rsidRPr="00440C76">
        <w:rPr>
          <w:rFonts w:eastAsia="Times New Roman"/>
          <w:lang w:val="fr-FR"/>
        </w:rPr>
        <w:t>pour</w:t>
      </w:r>
      <w:r w:rsidRPr="00440C76">
        <w:rPr>
          <w:lang w:val="fr-FR"/>
        </w:rPr>
        <w:t xml:space="preserve"> le GN/biométhane</w:t>
      </w:r>
      <w:r w:rsidRPr="00440C76">
        <w:rPr>
          <w:lang w:val="fr-FR"/>
        </w:rPr>
        <w:tab/>
        <w:t>0,00 ;</w:t>
      </w:r>
    </w:p>
    <w:p w14:paraId="1AE1551F" w14:textId="77777777" w:rsidR="00BE2CA7" w:rsidRPr="00A318C3" w:rsidRDefault="00BE2CA7" w:rsidP="00BE2CA7">
      <w:pPr>
        <w:pStyle w:val="SingleTxtG"/>
        <w:tabs>
          <w:tab w:val="right" w:pos="6237"/>
        </w:tabs>
        <w:ind w:left="3686" w:hanging="567"/>
        <w:rPr>
          <w:lang w:val="es-ES"/>
        </w:rPr>
      </w:pPr>
      <w:r w:rsidRPr="00A318C3">
        <w:rPr>
          <w:lang w:val="es-ES"/>
        </w:rPr>
        <w:t>d)</w:t>
      </w:r>
      <w:r w:rsidRPr="00A318C3">
        <w:rPr>
          <w:lang w:val="es-ES"/>
        </w:rPr>
        <w:tab/>
      </w:r>
      <w:proofErr w:type="spellStart"/>
      <w:r w:rsidRPr="00A318C3">
        <w:rPr>
          <w:rFonts w:eastAsia="Times New Roman"/>
          <w:lang w:val="es-ES"/>
        </w:rPr>
        <w:t>pour</w:t>
      </w:r>
      <w:proofErr w:type="spellEnd"/>
      <w:r w:rsidRPr="00A318C3">
        <w:rPr>
          <w:lang w:val="es-ES"/>
        </w:rPr>
        <w:t xml:space="preserve"> </w:t>
      </w:r>
      <w:proofErr w:type="spellStart"/>
      <w:r w:rsidRPr="00A318C3">
        <w:rPr>
          <w:lang w:val="es-ES"/>
        </w:rPr>
        <w:t>l</w:t>
      </w:r>
      <w:r>
        <w:rPr>
          <w:lang w:val="es-ES"/>
        </w:rPr>
        <w:t>’</w:t>
      </w:r>
      <w:r w:rsidRPr="00A318C3">
        <w:rPr>
          <w:lang w:val="es-ES"/>
        </w:rPr>
        <w:t>éthanol</w:t>
      </w:r>
      <w:proofErr w:type="spellEnd"/>
      <w:r w:rsidRPr="00A318C3">
        <w:rPr>
          <w:lang w:val="es-ES"/>
        </w:rPr>
        <w:t xml:space="preserve"> (E85)</w:t>
      </w:r>
      <w:r w:rsidRPr="00A318C3">
        <w:rPr>
          <w:lang w:val="es-ES"/>
        </w:rPr>
        <w:tab/>
        <w:t>0,39 ;</w:t>
      </w:r>
    </w:p>
    <w:p w14:paraId="518B5336" w14:textId="77777777" w:rsidR="00BE2CA7" w:rsidRPr="00A318C3" w:rsidRDefault="00BE2CA7" w:rsidP="00BE2CA7">
      <w:pPr>
        <w:pStyle w:val="SingleTxtG"/>
        <w:tabs>
          <w:tab w:val="right" w:pos="6237"/>
        </w:tabs>
        <w:ind w:left="3686" w:hanging="567"/>
        <w:rPr>
          <w:rFonts w:eastAsia="Times New Roman"/>
          <w:lang w:val="es-ES"/>
        </w:rPr>
      </w:pPr>
      <w:r w:rsidRPr="00A318C3">
        <w:rPr>
          <w:lang w:val="es-ES"/>
        </w:rPr>
        <w:lastRenderedPageBreak/>
        <w:t>e)</w:t>
      </w:r>
      <w:r w:rsidRPr="00A318C3">
        <w:rPr>
          <w:lang w:val="es-ES"/>
        </w:rPr>
        <w:tab/>
      </w:r>
      <w:proofErr w:type="spellStart"/>
      <w:r w:rsidRPr="00A318C3">
        <w:rPr>
          <w:rFonts w:eastAsia="Times New Roman"/>
          <w:lang w:val="es-ES"/>
        </w:rPr>
        <w:t>pour</w:t>
      </w:r>
      <w:proofErr w:type="spellEnd"/>
      <w:r w:rsidRPr="00A318C3">
        <w:rPr>
          <w:rFonts w:eastAsia="Times New Roman"/>
          <w:lang w:val="es-ES"/>
        </w:rPr>
        <w:t xml:space="preserve"> </w:t>
      </w:r>
      <w:proofErr w:type="spellStart"/>
      <w:r w:rsidRPr="00A318C3">
        <w:rPr>
          <w:rFonts w:eastAsia="Times New Roman"/>
          <w:lang w:val="es-ES"/>
        </w:rPr>
        <w:t>l</w:t>
      </w:r>
      <w:r>
        <w:rPr>
          <w:rFonts w:eastAsia="Times New Roman"/>
          <w:lang w:val="es-ES"/>
        </w:rPr>
        <w:t>’</w:t>
      </w:r>
      <w:r w:rsidRPr="00A318C3">
        <w:rPr>
          <w:rFonts w:eastAsia="Times New Roman"/>
          <w:lang w:val="es-ES"/>
        </w:rPr>
        <w:t>éthanol</w:t>
      </w:r>
      <w:proofErr w:type="spellEnd"/>
      <w:r w:rsidRPr="00A318C3">
        <w:rPr>
          <w:rFonts w:eastAsia="Times New Roman"/>
          <w:lang w:val="es-ES"/>
        </w:rPr>
        <w:t xml:space="preserve"> (E75)</w:t>
      </w:r>
      <w:r w:rsidRPr="00A318C3">
        <w:rPr>
          <w:rFonts w:eastAsia="Times New Roman"/>
          <w:lang w:val="es-ES"/>
        </w:rPr>
        <w:tab/>
        <w:t>0,329.</w:t>
      </w:r>
    </w:p>
    <w:p w14:paraId="69042D5C" w14:textId="77777777" w:rsidR="00BE2CA7" w:rsidRPr="00440C76" w:rsidRDefault="00BE2CA7" w:rsidP="00BE2CA7">
      <w:pPr>
        <w:pStyle w:val="SingleTxtG"/>
        <w:ind w:left="2268" w:hanging="1134"/>
        <w:rPr>
          <w:lang w:val="fr-FR"/>
        </w:rPr>
      </w:pPr>
      <w:r w:rsidRPr="00440C76">
        <w:rPr>
          <w:lang w:val="fr-FR"/>
        </w:rPr>
        <w:t>5.3.7.4</w:t>
      </w:r>
      <w:r w:rsidRPr="00440C76">
        <w:rPr>
          <w:lang w:val="fr-FR"/>
        </w:rPr>
        <w:tab/>
        <w:t xml:space="preserve">La </w:t>
      </w:r>
      <w:r w:rsidRPr="00440C76">
        <w:rPr>
          <w:rFonts w:eastAsia="Times New Roman"/>
          <w:lang w:val="fr-FR"/>
        </w:rPr>
        <w:t>température</w:t>
      </w:r>
      <w:r w:rsidRPr="00440C76">
        <w:rPr>
          <w:lang w:val="fr-FR"/>
        </w:rPr>
        <w:t xml:space="preserve"> de l</w:t>
      </w:r>
      <w:r>
        <w:rPr>
          <w:lang w:val="fr-FR"/>
        </w:rPr>
        <w:t>’</w:t>
      </w:r>
      <w:r w:rsidRPr="00440C76">
        <w:rPr>
          <w:lang w:val="fr-FR"/>
        </w:rPr>
        <w:t>huile du moteur au moment de l</w:t>
      </w:r>
      <w:r>
        <w:rPr>
          <w:lang w:val="fr-FR"/>
        </w:rPr>
        <w:t>’</w:t>
      </w:r>
      <w:r w:rsidRPr="00440C76">
        <w:rPr>
          <w:lang w:val="fr-FR"/>
        </w:rPr>
        <w:t>essai doit être mesurée et enregistrée.</w:t>
      </w:r>
    </w:p>
    <w:p w14:paraId="604D0E18"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5.3.7.5</w:t>
      </w:r>
      <w:r w:rsidRPr="00440C76">
        <w:rPr>
          <w:rFonts w:eastAsia="Times New Roman"/>
          <w:lang w:val="fr-FR"/>
        </w:rPr>
        <w:tab/>
        <w:t xml:space="preserve">Le </w:t>
      </w:r>
      <w:r w:rsidRPr="00440C76">
        <w:rPr>
          <w:lang w:val="fr-FR"/>
        </w:rPr>
        <w:t xml:space="preserve">tableau </w:t>
      </w:r>
      <w:r w:rsidRPr="00440C76">
        <w:rPr>
          <w:rFonts w:eastAsia="Times New Roman"/>
          <w:lang w:val="fr-FR"/>
        </w:rPr>
        <w:t>sous le point</w:t>
      </w:r>
      <w:r>
        <w:rPr>
          <w:rFonts w:eastAsia="Times New Roman"/>
          <w:lang w:val="fr-FR"/>
        </w:rPr>
        <w:t> </w:t>
      </w:r>
      <w:r w:rsidRPr="00440C76">
        <w:rPr>
          <w:rFonts w:eastAsia="Times New Roman"/>
          <w:lang w:val="fr-FR"/>
        </w:rPr>
        <w:t>2.2 de l</w:t>
      </w:r>
      <w:r>
        <w:rPr>
          <w:rFonts w:eastAsia="Times New Roman"/>
          <w:lang w:val="fr-FR"/>
        </w:rPr>
        <w:t>’</w:t>
      </w:r>
      <w:r w:rsidRPr="00440C76">
        <w:rPr>
          <w:rFonts w:eastAsia="Times New Roman"/>
          <w:lang w:val="fr-FR"/>
        </w:rPr>
        <w:t>additif à l</w:t>
      </w:r>
      <w:r>
        <w:rPr>
          <w:rFonts w:eastAsia="Times New Roman"/>
          <w:lang w:val="fr-FR"/>
        </w:rPr>
        <w:t>’</w:t>
      </w:r>
      <w:r w:rsidRPr="00440C76">
        <w:rPr>
          <w:rFonts w:eastAsia="Times New Roman"/>
          <w:lang w:val="fr-FR"/>
        </w:rPr>
        <w:t>annexe</w:t>
      </w:r>
      <w:r>
        <w:rPr>
          <w:rFonts w:eastAsia="Times New Roman"/>
          <w:lang w:val="fr-FR"/>
        </w:rPr>
        <w:t> </w:t>
      </w:r>
      <w:r w:rsidRPr="00440C76">
        <w:rPr>
          <w:rFonts w:eastAsia="Times New Roman"/>
          <w:lang w:val="fr-FR"/>
        </w:rPr>
        <w:t>2 du présent Règlement doit être complété.</w:t>
      </w:r>
    </w:p>
    <w:p w14:paraId="0722893C"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5.3.7.6</w:t>
      </w:r>
      <w:r w:rsidRPr="00440C76">
        <w:rPr>
          <w:rFonts w:eastAsia="Times New Roman"/>
          <w:lang w:val="fr-FR"/>
        </w:rPr>
        <w:tab/>
      </w:r>
      <w:r w:rsidRPr="00440C76">
        <w:rPr>
          <w:rFonts w:eastAsia="Times New Roman"/>
          <w:lang w:val="fr-FR"/>
        </w:rPr>
        <w:tab/>
        <w:t xml:space="preserve">Le </w:t>
      </w:r>
      <w:r w:rsidRPr="00440C76">
        <w:rPr>
          <w:lang w:val="fr-FR"/>
        </w:rPr>
        <w:t>constructeur</w:t>
      </w:r>
      <w:r w:rsidRPr="00440C76">
        <w:rPr>
          <w:rFonts w:eastAsia="Times New Roman"/>
          <w:lang w:val="fr-FR"/>
        </w:rPr>
        <w:t xml:space="preserve"> doit confirmer que la valeur Lambda enregistrée au moment de l</w:t>
      </w:r>
      <w:r>
        <w:rPr>
          <w:rFonts w:eastAsia="Times New Roman"/>
          <w:lang w:val="fr-FR"/>
        </w:rPr>
        <w:t>’</w:t>
      </w:r>
      <w:r w:rsidRPr="00440C76">
        <w:rPr>
          <w:rFonts w:eastAsia="Times New Roman"/>
          <w:lang w:val="fr-FR"/>
        </w:rPr>
        <w:t>homologation de type visée au paragraphe</w:t>
      </w:r>
      <w:r>
        <w:rPr>
          <w:rFonts w:eastAsia="Times New Roman"/>
          <w:lang w:val="fr-FR"/>
        </w:rPr>
        <w:t> </w:t>
      </w:r>
      <w:r w:rsidRPr="00440C76">
        <w:rPr>
          <w:rFonts w:eastAsia="Times New Roman"/>
          <w:lang w:val="fr-FR"/>
        </w:rPr>
        <w:t>5.3.7.3 est exacte et représentative des véhicules types de série dans un délai de 24 mois à compter de l</w:t>
      </w:r>
      <w:r>
        <w:rPr>
          <w:rFonts w:eastAsia="Times New Roman"/>
          <w:lang w:val="fr-FR"/>
        </w:rPr>
        <w:t>’</w:t>
      </w:r>
      <w:r w:rsidRPr="00440C76">
        <w:rPr>
          <w:rFonts w:eastAsia="Times New Roman"/>
          <w:lang w:val="fr-FR"/>
        </w:rPr>
        <w:t>octroi de l</w:t>
      </w:r>
      <w:r>
        <w:rPr>
          <w:rFonts w:eastAsia="Times New Roman"/>
          <w:lang w:val="fr-FR"/>
        </w:rPr>
        <w:t>’</w:t>
      </w:r>
      <w:r w:rsidRPr="00440C76">
        <w:rPr>
          <w:rFonts w:eastAsia="Times New Roman"/>
          <w:lang w:val="fr-FR"/>
        </w:rPr>
        <w:t>homologation par l</w:t>
      </w:r>
      <w:r>
        <w:rPr>
          <w:rFonts w:eastAsia="Times New Roman"/>
          <w:lang w:val="fr-FR"/>
        </w:rPr>
        <w:t>’</w:t>
      </w:r>
      <w:r w:rsidRPr="00440C76">
        <w:rPr>
          <w:rFonts w:eastAsia="Times New Roman"/>
          <w:lang w:val="fr-FR"/>
        </w:rPr>
        <w:t>autorité d</w:t>
      </w:r>
      <w:r>
        <w:rPr>
          <w:rFonts w:eastAsia="Times New Roman"/>
          <w:lang w:val="fr-FR"/>
        </w:rPr>
        <w:t>’</w:t>
      </w:r>
      <w:r w:rsidRPr="00440C76">
        <w:rPr>
          <w:rFonts w:eastAsia="Times New Roman"/>
          <w:lang w:val="fr-FR"/>
        </w:rPr>
        <w:t>homologation de type. Une évaluation doit être faite sur la base des enquêtes et études portant sur les véhicules de série.</w:t>
      </w:r>
    </w:p>
    <w:p w14:paraId="52F78675" w14:textId="77777777" w:rsidR="00BE2CA7" w:rsidRPr="00440C76" w:rsidRDefault="00BE2CA7" w:rsidP="00BE2CA7">
      <w:pPr>
        <w:pStyle w:val="HChG"/>
        <w:ind w:left="2268"/>
        <w:rPr>
          <w:lang w:val="fr-FR"/>
        </w:rPr>
      </w:pPr>
      <w:r w:rsidRPr="00440C76">
        <w:rPr>
          <w:lang w:val="fr-FR"/>
        </w:rPr>
        <w:t>6.</w:t>
      </w:r>
      <w:r w:rsidRPr="00440C76">
        <w:rPr>
          <w:lang w:val="fr-FR"/>
        </w:rPr>
        <w:tab/>
      </w:r>
      <w:r w:rsidRPr="00A318C3">
        <w:rPr>
          <w:lang w:val="fr-FR"/>
        </w:rPr>
        <w:t>Réservé</w:t>
      </w:r>
    </w:p>
    <w:p w14:paraId="7CEE112A" w14:textId="77777777" w:rsidR="00BE2CA7" w:rsidRPr="00440C76" w:rsidRDefault="00BE2CA7" w:rsidP="00BE2CA7">
      <w:pPr>
        <w:pStyle w:val="HChG"/>
        <w:ind w:left="2268"/>
        <w:rPr>
          <w:lang w:val="fr-FR"/>
        </w:rPr>
      </w:pPr>
      <w:r w:rsidRPr="00440C76">
        <w:rPr>
          <w:lang w:val="fr-FR"/>
        </w:rPr>
        <w:t>7.</w:t>
      </w:r>
      <w:r w:rsidRPr="00440C76">
        <w:rPr>
          <w:lang w:val="fr-FR"/>
        </w:rPr>
        <w:tab/>
        <w:t>Extension d</w:t>
      </w:r>
      <w:r>
        <w:rPr>
          <w:lang w:val="fr-FR"/>
        </w:rPr>
        <w:t>’</w:t>
      </w:r>
      <w:r w:rsidRPr="00440C76">
        <w:rPr>
          <w:lang w:val="fr-FR"/>
        </w:rPr>
        <w:t>homologations de type</w:t>
      </w:r>
    </w:p>
    <w:p w14:paraId="54157038"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7.1</w:t>
      </w:r>
      <w:r w:rsidRPr="00440C76">
        <w:rPr>
          <w:rFonts w:eastAsia="Times New Roman"/>
          <w:lang w:val="fr-FR"/>
        </w:rPr>
        <w:tab/>
      </w:r>
      <w:r w:rsidRPr="00440C76">
        <w:rPr>
          <w:lang w:val="fr-FR"/>
        </w:rPr>
        <w:t>Extensions</w:t>
      </w:r>
      <w:r w:rsidRPr="00440C76">
        <w:rPr>
          <w:rFonts w:eastAsia="Times New Roman"/>
          <w:lang w:val="fr-FR"/>
        </w:rPr>
        <w:t xml:space="preserve"> pour les émissions à l</w:t>
      </w:r>
      <w:r>
        <w:rPr>
          <w:rFonts w:eastAsia="Times New Roman"/>
          <w:lang w:val="fr-FR"/>
        </w:rPr>
        <w:t>’</w:t>
      </w:r>
      <w:r w:rsidRPr="00440C76">
        <w:rPr>
          <w:rFonts w:eastAsia="Times New Roman"/>
          <w:lang w:val="fr-FR"/>
        </w:rPr>
        <w:t>échappement (essai du type</w:t>
      </w:r>
      <w:r>
        <w:rPr>
          <w:rFonts w:eastAsia="Times New Roman"/>
          <w:lang w:val="fr-FR"/>
        </w:rPr>
        <w:t> </w:t>
      </w:r>
      <w:r w:rsidRPr="00440C76">
        <w:rPr>
          <w:rFonts w:eastAsia="Times New Roman"/>
          <w:lang w:val="fr-FR"/>
        </w:rPr>
        <w:t>2)</w:t>
      </w:r>
    </w:p>
    <w:p w14:paraId="557EE6D7"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7.1.1</w:t>
      </w:r>
      <w:r w:rsidRPr="00440C76">
        <w:rPr>
          <w:rFonts w:eastAsia="Times New Roman"/>
          <w:lang w:val="fr-FR"/>
        </w:rPr>
        <w:tab/>
        <w:t>L</w:t>
      </w:r>
      <w:r>
        <w:rPr>
          <w:rFonts w:eastAsia="Times New Roman"/>
          <w:lang w:val="fr-FR"/>
        </w:rPr>
        <w:t>’</w:t>
      </w:r>
      <w:r w:rsidRPr="00440C76">
        <w:rPr>
          <w:rFonts w:eastAsia="Times New Roman"/>
          <w:lang w:val="fr-FR"/>
        </w:rPr>
        <w:t>extension de l</w:t>
      </w:r>
      <w:r>
        <w:rPr>
          <w:rFonts w:eastAsia="Times New Roman"/>
          <w:lang w:val="fr-FR"/>
        </w:rPr>
        <w:t>’</w:t>
      </w:r>
      <w:r w:rsidRPr="00440C76">
        <w:rPr>
          <w:rFonts w:eastAsia="Times New Roman"/>
          <w:lang w:val="fr-FR"/>
        </w:rPr>
        <w:t>homologation doit être accordée sans essais supplémentaires si les véhicules sont conformes aux critères de l</w:t>
      </w:r>
      <w:r>
        <w:rPr>
          <w:rFonts w:eastAsia="Times New Roman"/>
          <w:lang w:val="fr-FR"/>
        </w:rPr>
        <w:t>’</w:t>
      </w:r>
      <w:r w:rsidRPr="00440C76">
        <w:rPr>
          <w:rFonts w:eastAsia="Times New Roman"/>
          <w:lang w:val="fr-FR"/>
        </w:rPr>
        <w:t>alinéa c) du paragraphe</w:t>
      </w:r>
      <w:r>
        <w:rPr>
          <w:rFonts w:eastAsia="Times New Roman"/>
          <w:lang w:val="fr-FR"/>
        </w:rPr>
        <w:t> </w:t>
      </w:r>
      <w:r w:rsidRPr="00440C76">
        <w:rPr>
          <w:rFonts w:eastAsia="Times New Roman"/>
          <w:lang w:val="fr-FR"/>
        </w:rPr>
        <w:t xml:space="preserve">3.0.1 du Règlement ONU </w:t>
      </w:r>
      <w:r w:rsidRPr="00440C76">
        <w:rPr>
          <w:lang w:val="fr-FR"/>
        </w:rPr>
        <w:t>n</w:t>
      </w:r>
      <w:r w:rsidRPr="00440C76">
        <w:rPr>
          <w:vertAlign w:val="superscript"/>
          <w:lang w:val="fr-FR"/>
        </w:rPr>
        <w:t>o</w:t>
      </w:r>
      <w:r w:rsidRPr="00440C76">
        <w:rPr>
          <w:lang w:val="fr-FR"/>
        </w:rPr>
        <w:t> </w:t>
      </w:r>
      <w:r w:rsidRPr="00440C76">
        <w:rPr>
          <w:rFonts w:eastAsia="Times New Roman"/>
          <w:lang w:val="fr-FR"/>
        </w:rPr>
        <w:t>154.</w:t>
      </w:r>
    </w:p>
    <w:p w14:paraId="006A9F6D"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7.2</w:t>
      </w:r>
      <w:r w:rsidRPr="00440C76">
        <w:rPr>
          <w:rFonts w:eastAsia="Times New Roman"/>
          <w:lang w:val="fr-FR"/>
        </w:rPr>
        <w:tab/>
      </w:r>
      <w:r w:rsidRPr="00440C76">
        <w:rPr>
          <w:lang w:val="fr-FR"/>
        </w:rPr>
        <w:t>Extensions</w:t>
      </w:r>
      <w:r w:rsidRPr="00440C76">
        <w:rPr>
          <w:rFonts w:eastAsia="Times New Roman"/>
          <w:lang w:val="fr-FR"/>
        </w:rPr>
        <w:t xml:space="preserve"> pour l</w:t>
      </w:r>
      <w:r>
        <w:rPr>
          <w:rFonts w:eastAsia="Times New Roman"/>
          <w:lang w:val="fr-FR"/>
        </w:rPr>
        <w:t>’</w:t>
      </w:r>
      <w:r w:rsidRPr="00440C76">
        <w:rPr>
          <w:rFonts w:eastAsia="Times New Roman"/>
          <w:lang w:val="fr-FR"/>
        </w:rPr>
        <w:t>essai à basse température (essai du type</w:t>
      </w:r>
      <w:r>
        <w:rPr>
          <w:rFonts w:eastAsia="Times New Roman"/>
          <w:lang w:val="fr-FR"/>
        </w:rPr>
        <w:t> </w:t>
      </w:r>
      <w:r w:rsidRPr="00440C76">
        <w:rPr>
          <w:rFonts w:eastAsia="Times New Roman"/>
          <w:lang w:val="fr-FR"/>
        </w:rPr>
        <w:t>6)</w:t>
      </w:r>
    </w:p>
    <w:p w14:paraId="1572B97E"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7.2.1</w:t>
      </w:r>
      <w:r w:rsidRPr="00440C76">
        <w:rPr>
          <w:rFonts w:eastAsia="Times New Roman"/>
          <w:lang w:val="fr-FR"/>
        </w:rPr>
        <w:tab/>
      </w:r>
      <w:r w:rsidRPr="00440C76">
        <w:rPr>
          <w:lang w:val="fr-FR"/>
        </w:rPr>
        <w:t>Véhicules</w:t>
      </w:r>
      <w:r w:rsidRPr="00440C76">
        <w:rPr>
          <w:rFonts w:eastAsia="Times New Roman"/>
          <w:lang w:val="fr-FR"/>
        </w:rPr>
        <w:t xml:space="preserve"> ayant des masses de référence différentes</w:t>
      </w:r>
    </w:p>
    <w:p w14:paraId="6D42E6A5"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7.2.1.1</w:t>
      </w:r>
      <w:r w:rsidRPr="00440C76">
        <w:rPr>
          <w:rFonts w:eastAsia="Times New Roman"/>
          <w:lang w:val="fr-FR"/>
        </w:rPr>
        <w:tab/>
        <w:t>L</w:t>
      </w:r>
      <w:r>
        <w:rPr>
          <w:rFonts w:eastAsia="Times New Roman"/>
          <w:lang w:val="fr-FR"/>
        </w:rPr>
        <w:t>’</w:t>
      </w:r>
      <w:r w:rsidRPr="00440C76">
        <w:rPr>
          <w:rFonts w:eastAsia="Times New Roman"/>
          <w:lang w:val="fr-FR"/>
        </w:rPr>
        <w:t>extension de l</w:t>
      </w:r>
      <w:r>
        <w:rPr>
          <w:rFonts w:eastAsia="Times New Roman"/>
          <w:lang w:val="fr-FR"/>
        </w:rPr>
        <w:t>’</w:t>
      </w:r>
      <w:r w:rsidRPr="00440C76">
        <w:rPr>
          <w:rFonts w:eastAsia="Times New Roman"/>
          <w:lang w:val="fr-FR"/>
        </w:rPr>
        <w:t>homologation de type ne doit être accordée qu</w:t>
      </w:r>
      <w:r>
        <w:rPr>
          <w:rFonts w:eastAsia="Times New Roman"/>
          <w:lang w:val="fr-FR"/>
        </w:rPr>
        <w:t>’</w:t>
      </w:r>
      <w:r w:rsidRPr="00440C76">
        <w:rPr>
          <w:rFonts w:eastAsia="Times New Roman"/>
          <w:lang w:val="fr-FR"/>
        </w:rPr>
        <w:t>aux véhicules dont la masse de référence nécessite l</w:t>
      </w:r>
      <w:r>
        <w:rPr>
          <w:rFonts w:eastAsia="Times New Roman"/>
          <w:lang w:val="fr-FR"/>
        </w:rPr>
        <w:t>’</w:t>
      </w:r>
      <w:r w:rsidRPr="00440C76">
        <w:rPr>
          <w:rFonts w:eastAsia="Times New Roman"/>
          <w:lang w:val="fr-FR"/>
        </w:rPr>
        <w:t>utilisation des deux classes d</w:t>
      </w:r>
      <w:r>
        <w:rPr>
          <w:rFonts w:eastAsia="Times New Roman"/>
          <w:lang w:val="fr-FR"/>
        </w:rPr>
        <w:t>’</w:t>
      </w:r>
      <w:r w:rsidRPr="00440C76">
        <w:rPr>
          <w:rFonts w:eastAsia="Times New Roman"/>
          <w:lang w:val="fr-FR"/>
        </w:rPr>
        <w:t xml:space="preserve">inertie </w:t>
      </w:r>
      <w:r w:rsidRPr="00440C76">
        <w:rPr>
          <w:lang w:val="fr-FR"/>
        </w:rPr>
        <w:t>équivalente</w:t>
      </w:r>
      <w:r w:rsidRPr="00440C76">
        <w:rPr>
          <w:rFonts w:eastAsia="Times New Roman"/>
          <w:lang w:val="fr-FR"/>
        </w:rPr>
        <w:t xml:space="preserve"> immédiatement supérieures ou de toute classe d</w:t>
      </w:r>
      <w:r>
        <w:rPr>
          <w:rFonts w:eastAsia="Times New Roman"/>
          <w:lang w:val="fr-FR"/>
        </w:rPr>
        <w:t>’</w:t>
      </w:r>
      <w:r w:rsidRPr="00440C76">
        <w:rPr>
          <w:rFonts w:eastAsia="Times New Roman"/>
          <w:lang w:val="fr-FR"/>
        </w:rPr>
        <w:t>inertie équivalente inférieure.</w:t>
      </w:r>
    </w:p>
    <w:p w14:paraId="3A974569"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7.2.1.2</w:t>
      </w:r>
      <w:r w:rsidRPr="00440C76">
        <w:rPr>
          <w:rFonts w:eastAsia="Times New Roman"/>
          <w:lang w:val="fr-FR"/>
        </w:rPr>
        <w:tab/>
        <w:t>Dans le cas des véhicules de la catégorie N, l</w:t>
      </w:r>
      <w:r>
        <w:rPr>
          <w:rFonts w:eastAsia="Times New Roman"/>
          <w:lang w:val="fr-FR"/>
        </w:rPr>
        <w:t>’</w:t>
      </w:r>
      <w:r w:rsidRPr="00440C76">
        <w:rPr>
          <w:rFonts w:eastAsia="Times New Roman"/>
          <w:lang w:val="fr-FR"/>
        </w:rPr>
        <w:t>extension de l</w:t>
      </w:r>
      <w:r>
        <w:rPr>
          <w:rFonts w:eastAsia="Times New Roman"/>
          <w:lang w:val="fr-FR"/>
        </w:rPr>
        <w:t>’</w:t>
      </w:r>
      <w:r w:rsidRPr="00440C76">
        <w:rPr>
          <w:rFonts w:eastAsia="Times New Roman"/>
          <w:lang w:val="fr-FR"/>
        </w:rPr>
        <w:t>homologation ne doit être accordée qu</w:t>
      </w:r>
      <w:r>
        <w:rPr>
          <w:rFonts w:eastAsia="Times New Roman"/>
          <w:lang w:val="fr-FR"/>
        </w:rPr>
        <w:t>’</w:t>
      </w:r>
      <w:r w:rsidRPr="00440C76">
        <w:rPr>
          <w:rFonts w:eastAsia="Times New Roman"/>
          <w:lang w:val="fr-FR"/>
        </w:rPr>
        <w:t>aux véhicules ayant une masse de référence plus faible, si les émissions du véhicule déjà homologué satisfont aux limites prescrites pour le véhicule pour lequel l</w:t>
      </w:r>
      <w:r>
        <w:rPr>
          <w:rFonts w:eastAsia="Times New Roman"/>
          <w:lang w:val="fr-FR"/>
        </w:rPr>
        <w:t>’</w:t>
      </w:r>
      <w:r w:rsidRPr="00440C76">
        <w:rPr>
          <w:rFonts w:eastAsia="Times New Roman"/>
          <w:lang w:val="fr-FR"/>
        </w:rPr>
        <w:t>extension de l</w:t>
      </w:r>
      <w:r>
        <w:rPr>
          <w:rFonts w:eastAsia="Times New Roman"/>
          <w:lang w:val="fr-FR"/>
        </w:rPr>
        <w:t>’</w:t>
      </w:r>
      <w:r w:rsidRPr="00440C76">
        <w:rPr>
          <w:rFonts w:eastAsia="Times New Roman"/>
          <w:lang w:val="fr-FR"/>
        </w:rPr>
        <w:t>homologation est demandée.</w:t>
      </w:r>
    </w:p>
    <w:p w14:paraId="584E99F2"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7.2.2</w:t>
      </w:r>
      <w:r w:rsidRPr="00440C76">
        <w:rPr>
          <w:rFonts w:eastAsia="Times New Roman"/>
          <w:lang w:val="fr-FR"/>
        </w:rPr>
        <w:tab/>
      </w:r>
      <w:r w:rsidRPr="00440C76">
        <w:rPr>
          <w:lang w:val="fr-FR"/>
        </w:rPr>
        <w:t>Véhicules</w:t>
      </w:r>
      <w:r w:rsidRPr="00440C76">
        <w:rPr>
          <w:rFonts w:eastAsia="Times New Roman"/>
          <w:lang w:val="fr-FR"/>
        </w:rPr>
        <w:t xml:space="preserve"> ayant des rapports globaux de démultiplication différents</w:t>
      </w:r>
    </w:p>
    <w:p w14:paraId="5A74B9B8"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7.2.2.1</w:t>
      </w:r>
      <w:r w:rsidRPr="00440C76">
        <w:rPr>
          <w:rFonts w:eastAsia="Times New Roman"/>
          <w:lang w:val="fr-FR"/>
        </w:rPr>
        <w:tab/>
        <w:t>L</w:t>
      </w:r>
      <w:r>
        <w:rPr>
          <w:rFonts w:eastAsia="Times New Roman"/>
          <w:lang w:val="fr-FR"/>
        </w:rPr>
        <w:t>’</w:t>
      </w:r>
      <w:r w:rsidRPr="00440C76">
        <w:rPr>
          <w:rFonts w:eastAsia="Times New Roman"/>
          <w:lang w:val="fr-FR"/>
        </w:rPr>
        <w:t>extension de l</w:t>
      </w:r>
      <w:r>
        <w:rPr>
          <w:rFonts w:eastAsia="Times New Roman"/>
          <w:lang w:val="fr-FR"/>
        </w:rPr>
        <w:t>’</w:t>
      </w:r>
      <w:r w:rsidRPr="00440C76">
        <w:rPr>
          <w:rFonts w:eastAsia="Times New Roman"/>
          <w:lang w:val="fr-FR"/>
        </w:rPr>
        <w:t>homologation n</w:t>
      </w:r>
      <w:r>
        <w:rPr>
          <w:rFonts w:eastAsia="Times New Roman"/>
          <w:lang w:val="fr-FR"/>
        </w:rPr>
        <w:t>’</w:t>
      </w:r>
      <w:r w:rsidRPr="00440C76">
        <w:rPr>
          <w:rFonts w:eastAsia="Times New Roman"/>
          <w:lang w:val="fr-FR"/>
        </w:rPr>
        <w:t xml:space="preserve">est accordée aux véhicules ayant des rapports de </w:t>
      </w:r>
      <w:r w:rsidRPr="00440C76">
        <w:rPr>
          <w:lang w:val="fr-FR"/>
        </w:rPr>
        <w:t>transmission</w:t>
      </w:r>
      <w:r w:rsidRPr="00440C76">
        <w:rPr>
          <w:rFonts w:eastAsia="Times New Roman"/>
          <w:lang w:val="fr-FR"/>
        </w:rPr>
        <w:t xml:space="preserve"> différents que dans certaines conditions.</w:t>
      </w:r>
    </w:p>
    <w:p w14:paraId="4B05BBC2"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7.2.2.2</w:t>
      </w:r>
      <w:r w:rsidRPr="00440C76">
        <w:rPr>
          <w:rFonts w:eastAsia="Times New Roman"/>
          <w:lang w:val="fr-FR"/>
        </w:rPr>
        <w:tab/>
        <w:t>Pour déterminer si l</w:t>
      </w:r>
      <w:r>
        <w:rPr>
          <w:rFonts w:eastAsia="Times New Roman"/>
          <w:lang w:val="fr-FR"/>
        </w:rPr>
        <w:t>’</w:t>
      </w:r>
      <w:r w:rsidRPr="00440C76">
        <w:rPr>
          <w:rFonts w:eastAsia="Times New Roman"/>
          <w:lang w:val="fr-FR"/>
        </w:rPr>
        <w:t xml:space="preserve">homologation de type peut être étendue, il faut calculer </w:t>
      </w:r>
      <w:r w:rsidRPr="00440C76">
        <w:rPr>
          <w:lang w:val="fr-FR"/>
        </w:rPr>
        <w:t>pour</w:t>
      </w:r>
      <w:r w:rsidRPr="00440C76">
        <w:rPr>
          <w:rFonts w:eastAsia="Times New Roman"/>
          <w:lang w:val="fr-FR"/>
        </w:rPr>
        <w:t xml:space="preserve"> chacun des rapports de démultiplication utilisés lors de l</w:t>
      </w:r>
      <w:r>
        <w:rPr>
          <w:rFonts w:eastAsia="Times New Roman"/>
          <w:lang w:val="fr-FR"/>
        </w:rPr>
        <w:t>’</w:t>
      </w:r>
      <w:r w:rsidRPr="00440C76">
        <w:rPr>
          <w:rFonts w:eastAsia="Times New Roman"/>
          <w:lang w:val="fr-FR"/>
        </w:rPr>
        <w:t>essai du type</w:t>
      </w:r>
      <w:r>
        <w:rPr>
          <w:rFonts w:eastAsia="Times New Roman"/>
          <w:lang w:val="fr-FR"/>
        </w:rPr>
        <w:t> </w:t>
      </w:r>
      <w:r w:rsidRPr="00440C76">
        <w:rPr>
          <w:rFonts w:eastAsia="Times New Roman"/>
          <w:lang w:val="fr-FR"/>
        </w:rPr>
        <w:t>6, le rapport</w:t>
      </w:r>
    </w:p>
    <w:p w14:paraId="3600DB3E" w14:textId="77777777" w:rsidR="00BE2CA7" w:rsidRPr="00440C76" w:rsidRDefault="00BE2CA7" w:rsidP="00BE2CA7">
      <w:pPr>
        <w:pStyle w:val="SingleTxtG"/>
        <w:ind w:left="2268"/>
        <w:rPr>
          <w:lang w:val="fr-FR"/>
        </w:rPr>
      </w:pPr>
      <w:r w:rsidRPr="00440C76">
        <w:rPr>
          <w:lang w:val="fr-FR"/>
        </w:rPr>
        <w:t>(E) = (V</w:t>
      </w:r>
      <w:r w:rsidRPr="00440C76">
        <w:rPr>
          <w:vertAlign w:val="subscript"/>
          <w:lang w:val="fr-FR"/>
        </w:rPr>
        <w:t>2</w:t>
      </w:r>
      <w:r w:rsidRPr="00440C76">
        <w:rPr>
          <w:lang w:val="fr-FR"/>
        </w:rPr>
        <w:t xml:space="preserve"> −</w:t>
      </w:r>
      <w:r>
        <w:rPr>
          <w:lang w:val="fr-FR"/>
        </w:rPr>
        <w:t> </w:t>
      </w:r>
      <w:r w:rsidRPr="00440C76">
        <w:rPr>
          <w:lang w:val="fr-FR"/>
        </w:rPr>
        <w:t>V</w:t>
      </w:r>
      <w:r w:rsidRPr="00440C76">
        <w:rPr>
          <w:vertAlign w:val="subscript"/>
          <w:lang w:val="fr-FR"/>
        </w:rPr>
        <w:t>1</w:t>
      </w:r>
      <w:r w:rsidRPr="00440C76">
        <w:rPr>
          <w:lang w:val="fr-FR"/>
        </w:rPr>
        <w:t>)/V</w:t>
      </w:r>
      <w:r w:rsidRPr="00440C76">
        <w:rPr>
          <w:vertAlign w:val="subscript"/>
          <w:lang w:val="fr-FR"/>
        </w:rPr>
        <w:t>1</w:t>
      </w:r>
    </w:p>
    <w:p w14:paraId="59E7A43A" w14:textId="77777777" w:rsidR="00BE2CA7" w:rsidRPr="00440C76" w:rsidRDefault="00BE2CA7" w:rsidP="00BE2CA7">
      <w:pPr>
        <w:pStyle w:val="SingleTxtG"/>
        <w:ind w:left="2268"/>
        <w:rPr>
          <w:rFonts w:eastAsia="Times New Roman"/>
          <w:lang w:val="fr-FR"/>
        </w:rPr>
      </w:pPr>
      <w:r w:rsidRPr="00440C76">
        <w:rPr>
          <w:rFonts w:eastAsia="Times New Roman"/>
          <w:lang w:val="fr-FR"/>
        </w:rPr>
        <w:t>dans lequel, pour un régime de 1 000 min</w:t>
      </w:r>
      <w:r w:rsidRPr="00440C76">
        <w:rPr>
          <w:rFonts w:eastAsia="Times New Roman"/>
          <w:vertAlign w:val="superscript"/>
          <w:lang w:val="fr-FR"/>
        </w:rPr>
        <w:t>-1</w:t>
      </w:r>
      <w:r w:rsidRPr="00440C76">
        <w:rPr>
          <w:rFonts w:eastAsia="Times New Roman"/>
          <w:lang w:val="fr-FR"/>
        </w:rPr>
        <w:t xml:space="preserve"> du moteur, V</w:t>
      </w:r>
      <w:r w:rsidRPr="00440C76">
        <w:rPr>
          <w:rFonts w:eastAsia="Times New Roman"/>
          <w:vertAlign w:val="subscript"/>
          <w:lang w:val="fr-FR"/>
        </w:rPr>
        <w:t>1</w:t>
      </w:r>
      <w:r w:rsidRPr="00440C76">
        <w:rPr>
          <w:rFonts w:eastAsia="Times New Roman"/>
          <w:lang w:val="fr-FR"/>
        </w:rPr>
        <w:t xml:space="preserve"> est la vitesse du type de </w:t>
      </w:r>
      <w:r w:rsidRPr="00440C76">
        <w:rPr>
          <w:lang w:val="fr-FR"/>
        </w:rPr>
        <w:t>véhicule</w:t>
      </w:r>
      <w:r w:rsidRPr="00440C76">
        <w:rPr>
          <w:rFonts w:eastAsia="Times New Roman"/>
          <w:lang w:val="fr-FR"/>
        </w:rPr>
        <w:t xml:space="preserve"> </w:t>
      </w:r>
      <w:r w:rsidRPr="00440C76">
        <w:rPr>
          <w:lang w:val="fr-FR"/>
        </w:rPr>
        <w:t>homologué</w:t>
      </w:r>
      <w:r w:rsidRPr="00440C76">
        <w:rPr>
          <w:rFonts w:eastAsia="Times New Roman"/>
          <w:lang w:val="fr-FR"/>
        </w:rPr>
        <w:t xml:space="preserve"> et V</w:t>
      </w:r>
      <w:r w:rsidRPr="00440C76">
        <w:rPr>
          <w:rFonts w:eastAsia="Times New Roman"/>
          <w:vertAlign w:val="subscript"/>
          <w:lang w:val="fr-FR"/>
        </w:rPr>
        <w:t xml:space="preserve">2 </w:t>
      </w:r>
      <w:r w:rsidRPr="00440C76">
        <w:rPr>
          <w:rFonts w:eastAsia="Times New Roman"/>
          <w:lang w:val="fr-FR"/>
        </w:rPr>
        <w:t>celle du type de véhicule pour lequel l</w:t>
      </w:r>
      <w:r>
        <w:rPr>
          <w:rFonts w:eastAsia="Times New Roman"/>
          <w:lang w:val="fr-FR"/>
        </w:rPr>
        <w:t>’</w:t>
      </w:r>
      <w:r w:rsidRPr="00440C76">
        <w:rPr>
          <w:rFonts w:eastAsia="Times New Roman"/>
          <w:lang w:val="fr-FR"/>
        </w:rPr>
        <w:t>extension est demandée.</w:t>
      </w:r>
    </w:p>
    <w:p w14:paraId="26942295"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7.2.2.3</w:t>
      </w:r>
      <w:r w:rsidRPr="00440C76">
        <w:rPr>
          <w:rFonts w:eastAsia="Times New Roman"/>
          <w:lang w:val="fr-FR"/>
        </w:rPr>
        <w:tab/>
        <w:t>Si, pour chaque rapport de démultiplication E ≤ 8 %, l</w:t>
      </w:r>
      <w:r>
        <w:rPr>
          <w:rFonts w:eastAsia="Times New Roman"/>
          <w:lang w:val="fr-FR"/>
        </w:rPr>
        <w:t>’</w:t>
      </w:r>
      <w:r w:rsidRPr="00440C76">
        <w:rPr>
          <w:rFonts w:eastAsia="Times New Roman"/>
          <w:lang w:val="fr-FR"/>
        </w:rPr>
        <w:t xml:space="preserve">extension </w:t>
      </w:r>
      <w:r w:rsidRPr="00440C76">
        <w:rPr>
          <w:lang w:val="fr-FR"/>
        </w:rPr>
        <w:t>d</w:t>
      </w:r>
      <w:r>
        <w:rPr>
          <w:lang w:val="fr-FR"/>
        </w:rPr>
        <w:t>’</w:t>
      </w:r>
      <w:r w:rsidRPr="00440C76">
        <w:rPr>
          <w:lang w:val="fr-FR"/>
        </w:rPr>
        <w:t>homologation</w:t>
      </w:r>
      <w:r w:rsidRPr="00440C76">
        <w:rPr>
          <w:rFonts w:eastAsia="Times New Roman"/>
          <w:lang w:val="fr-FR"/>
        </w:rPr>
        <w:t xml:space="preserve"> est accordée sans répétition de l</w:t>
      </w:r>
      <w:r>
        <w:rPr>
          <w:rFonts w:eastAsia="Times New Roman"/>
          <w:lang w:val="fr-FR"/>
        </w:rPr>
        <w:t>’</w:t>
      </w:r>
      <w:r w:rsidRPr="00440C76">
        <w:rPr>
          <w:rFonts w:eastAsia="Times New Roman"/>
          <w:lang w:val="fr-FR"/>
        </w:rPr>
        <w:t>essai du type</w:t>
      </w:r>
      <w:r>
        <w:rPr>
          <w:rFonts w:eastAsia="Times New Roman"/>
          <w:lang w:val="fr-FR"/>
        </w:rPr>
        <w:t> </w:t>
      </w:r>
      <w:r w:rsidRPr="00440C76">
        <w:rPr>
          <w:rFonts w:eastAsia="Times New Roman"/>
          <w:lang w:val="fr-FR"/>
        </w:rPr>
        <w:t>6.</w:t>
      </w:r>
    </w:p>
    <w:p w14:paraId="1BFF7BFB"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7.2.2.4</w:t>
      </w:r>
      <w:r w:rsidRPr="00440C76">
        <w:rPr>
          <w:rFonts w:eastAsia="Times New Roman"/>
          <w:lang w:val="fr-FR"/>
        </w:rPr>
        <w:tab/>
        <w:t>Si, pour un rapport de démultiplication au moins E &gt; 8 %, et si pour chaque rapport de boîte de vitesses E ≤ 13 %, l</w:t>
      </w:r>
      <w:r>
        <w:rPr>
          <w:rFonts w:eastAsia="Times New Roman"/>
          <w:lang w:val="fr-FR"/>
        </w:rPr>
        <w:t>’</w:t>
      </w:r>
      <w:r w:rsidRPr="00440C76">
        <w:rPr>
          <w:rFonts w:eastAsia="Times New Roman"/>
          <w:lang w:val="fr-FR"/>
        </w:rPr>
        <w:t>essai du type</w:t>
      </w:r>
      <w:r>
        <w:rPr>
          <w:rFonts w:eastAsia="Times New Roman"/>
          <w:lang w:val="fr-FR"/>
        </w:rPr>
        <w:t> </w:t>
      </w:r>
      <w:r w:rsidRPr="00440C76">
        <w:rPr>
          <w:rFonts w:eastAsia="Times New Roman"/>
          <w:lang w:val="fr-FR"/>
        </w:rPr>
        <w:t>6 doit être répété mais il peut être effectué dans un laboratoire choisi par le constructeur sous réserve de l</w:t>
      </w:r>
      <w:r>
        <w:rPr>
          <w:rFonts w:eastAsia="Times New Roman"/>
          <w:lang w:val="fr-FR"/>
        </w:rPr>
        <w:t>’</w:t>
      </w:r>
      <w:r w:rsidRPr="00440C76">
        <w:rPr>
          <w:rFonts w:eastAsia="Times New Roman"/>
          <w:lang w:val="fr-FR"/>
        </w:rPr>
        <w:t>approbation du service technique. Le procès-verbal d</w:t>
      </w:r>
      <w:r>
        <w:rPr>
          <w:rFonts w:eastAsia="Times New Roman"/>
          <w:lang w:val="fr-FR"/>
        </w:rPr>
        <w:t>’</w:t>
      </w:r>
      <w:r w:rsidRPr="00440C76">
        <w:rPr>
          <w:rFonts w:eastAsia="Times New Roman"/>
          <w:lang w:val="fr-FR"/>
        </w:rPr>
        <w:t xml:space="preserve">essais doit être envoyé au </w:t>
      </w:r>
      <w:r w:rsidRPr="00440C76">
        <w:rPr>
          <w:lang w:val="fr-FR"/>
        </w:rPr>
        <w:t>service</w:t>
      </w:r>
      <w:r w:rsidRPr="00440C76">
        <w:rPr>
          <w:rFonts w:eastAsia="Times New Roman"/>
          <w:lang w:val="fr-FR"/>
        </w:rPr>
        <w:t xml:space="preserve"> technique chargé des essais d</w:t>
      </w:r>
      <w:r>
        <w:rPr>
          <w:rFonts w:eastAsia="Times New Roman"/>
          <w:lang w:val="fr-FR"/>
        </w:rPr>
        <w:t>’</w:t>
      </w:r>
      <w:r w:rsidRPr="00440C76">
        <w:rPr>
          <w:rFonts w:eastAsia="Times New Roman"/>
          <w:lang w:val="fr-FR"/>
        </w:rPr>
        <w:t>homologation de type.</w:t>
      </w:r>
    </w:p>
    <w:p w14:paraId="33441B75" w14:textId="77777777" w:rsidR="00BE2CA7" w:rsidRPr="00440C76" w:rsidRDefault="00BE2CA7" w:rsidP="00BE2CA7">
      <w:pPr>
        <w:pStyle w:val="SingleTxtG"/>
        <w:keepNext/>
        <w:ind w:left="2268" w:hanging="1134"/>
        <w:rPr>
          <w:rFonts w:eastAsia="Times New Roman"/>
          <w:lang w:val="fr-FR"/>
        </w:rPr>
      </w:pPr>
      <w:r w:rsidRPr="00440C76">
        <w:rPr>
          <w:rFonts w:eastAsia="Times New Roman"/>
          <w:lang w:val="fr-FR"/>
        </w:rPr>
        <w:lastRenderedPageBreak/>
        <w:t>7.2.3</w:t>
      </w:r>
      <w:r w:rsidRPr="00440C76">
        <w:rPr>
          <w:rFonts w:eastAsia="Times New Roman"/>
          <w:lang w:val="fr-FR"/>
        </w:rPr>
        <w:tab/>
        <w:t xml:space="preserve">Véhicules ayant des masses de référence et des rapports de démultiplication </w:t>
      </w:r>
      <w:r w:rsidRPr="00440C76">
        <w:rPr>
          <w:lang w:val="fr-FR"/>
        </w:rPr>
        <w:t>différents</w:t>
      </w:r>
    </w:p>
    <w:p w14:paraId="56DE3816" w14:textId="77777777" w:rsidR="00BE2CA7" w:rsidRPr="00440C76" w:rsidRDefault="00BE2CA7" w:rsidP="00BE2CA7">
      <w:pPr>
        <w:pStyle w:val="SingleTxtG"/>
        <w:ind w:left="2268"/>
        <w:rPr>
          <w:rFonts w:eastAsia="Times New Roman"/>
          <w:spacing w:val="-2"/>
          <w:lang w:val="fr-FR"/>
        </w:rPr>
      </w:pPr>
      <w:r w:rsidRPr="00440C76">
        <w:rPr>
          <w:spacing w:val="-2"/>
          <w:lang w:val="fr-FR"/>
        </w:rPr>
        <w:t>L</w:t>
      </w:r>
      <w:r>
        <w:rPr>
          <w:spacing w:val="-2"/>
          <w:lang w:val="fr-FR"/>
        </w:rPr>
        <w:t>’</w:t>
      </w:r>
      <w:r w:rsidRPr="00440C76">
        <w:rPr>
          <w:spacing w:val="-2"/>
          <w:lang w:val="fr-FR"/>
        </w:rPr>
        <w:t>homologation de type doit être étendue aux véhicules présentant des masses de référence et des rapports de démultiplication différents sous réserve qu</w:t>
      </w:r>
      <w:r>
        <w:rPr>
          <w:spacing w:val="-2"/>
          <w:lang w:val="fr-FR"/>
        </w:rPr>
        <w:t>’</w:t>
      </w:r>
      <w:r w:rsidRPr="00440C76">
        <w:rPr>
          <w:spacing w:val="-2"/>
          <w:lang w:val="fr-FR"/>
        </w:rPr>
        <w:t>il soit satisfait à l</w:t>
      </w:r>
      <w:r>
        <w:rPr>
          <w:spacing w:val="-2"/>
          <w:lang w:val="fr-FR"/>
        </w:rPr>
        <w:t>’</w:t>
      </w:r>
      <w:r w:rsidRPr="00440C76">
        <w:rPr>
          <w:spacing w:val="-2"/>
          <w:lang w:val="fr-FR"/>
        </w:rPr>
        <w:t>ensemble des conditions énoncées aux paragraphes</w:t>
      </w:r>
      <w:r>
        <w:rPr>
          <w:spacing w:val="-2"/>
          <w:lang w:val="fr-FR"/>
        </w:rPr>
        <w:t> </w:t>
      </w:r>
      <w:r w:rsidRPr="00440C76">
        <w:rPr>
          <w:spacing w:val="-2"/>
          <w:lang w:val="fr-FR"/>
        </w:rPr>
        <w:t>7.2.1 et 7.2.2.</w:t>
      </w:r>
    </w:p>
    <w:p w14:paraId="261A8301" w14:textId="77777777" w:rsidR="00BE2CA7" w:rsidRPr="00440C76" w:rsidRDefault="00BE2CA7" w:rsidP="00BE2CA7">
      <w:pPr>
        <w:pStyle w:val="HChG"/>
        <w:ind w:left="2268"/>
        <w:rPr>
          <w:lang w:val="fr-FR"/>
        </w:rPr>
      </w:pPr>
      <w:r w:rsidRPr="00440C76">
        <w:rPr>
          <w:lang w:val="fr-FR"/>
        </w:rPr>
        <w:t>8.</w:t>
      </w:r>
      <w:r w:rsidRPr="00440C76">
        <w:rPr>
          <w:lang w:val="fr-FR"/>
        </w:rPr>
        <w:tab/>
        <w:t>Conformité de la production (COP)</w:t>
      </w:r>
    </w:p>
    <w:p w14:paraId="62207D20"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8.1</w:t>
      </w:r>
      <w:r w:rsidRPr="00440C76">
        <w:rPr>
          <w:rFonts w:eastAsia="Times New Roman"/>
          <w:lang w:val="fr-FR"/>
        </w:rPr>
        <w:tab/>
        <w:t>Tout véhicule portant une marque d</w:t>
      </w:r>
      <w:r>
        <w:rPr>
          <w:rFonts w:eastAsia="Times New Roman"/>
          <w:lang w:val="fr-FR"/>
        </w:rPr>
        <w:t>’</w:t>
      </w:r>
      <w:r w:rsidRPr="00440C76">
        <w:rPr>
          <w:rFonts w:eastAsia="Times New Roman"/>
          <w:lang w:val="fr-FR"/>
        </w:rPr>
        <w:t xml:space="preserve">homologation en application du présent </w:t>
      </w:r>
      <w:r w:rsidRPr="00440C76">
        <w:rPr>
          <w:lang w:val="fr-FR"/>
        </w:rPr>
        <w:t>Règlement</w:t>
      </w:r>
      <w:r w:rsidRPr="00440C76">
        <w:rPr>
          <w:rFonts w:eastAsia="Times New Roman"/>
          <w:lang w:val="fr-FR"/>
        </w:rPr>
        <w:t xml:space="preserve"> doit être conforme au type de véhicule homologué quant aux éléments influant sur les émissions de polluants par le moteur et les émissions de gaz de carter. Les procédures de contrôle de la conformité de la production doivent être conformes à celles de l</w:t>
      </w:r>
      <w:r>
        <w:rPr>
          <w:rFonts w:eastAsia="Times New Roman"/>
          <w:lang w:val="fr-FR"/>
        </w:rPr>
        <w:t>’</w:t>
      </w:r>
      <w:r w:rsidRPr="00440C76">
        <w:rPr>
          <w:rFonts w:eastAsia="Times New Roman"/>
          <w:lang w:val="fr-FR"/>
        </w:rPr>
        <w:t>annexe</w:t>
      </w:r>
      <w:r>
        <w:rPr>
          <w:rFonts w:eastAsia="Times New Roman"/>
          <w:lang w:val="fr-FR"/>
        </w:rPr>
        <w:t> </w:t>
      </w:r>
      <w:r w:rsidRPr="00440C76">
        <w:rPr>
          <w:rFonts w:eastAsia="Times New Roman"/>
          <w:lang w:val="fr-FR"/>
        </w:rPr>
        <w:t>1 de l</w:t>
      </w:r>
      <w:r>
        <w:rPr>
          <w:rFonts w:eastAsia="Times New Roman"/>
          <w:lang w:val="fr-FR"/>
        </w:rPr>
        <w:t>’</w:t>
      </w:r>
      <w:r w:rsidRPr="00440C76">
        <w:rPr>
          <w:rFonts w:eastAsia="Times New Roman"/>
          <w:lang w:val="fr-FR"/>
        </w:rPr>
        <w:t>Accord de 1958 (E/ECE/TRANS/505/Rev.3), les prescriptions à appliquer étant énoncées dans les paragraphes ci</w:t>
      </w:r>
      <w:r w:rsidRPr="00440C76">
        <w:rPr>
          <w:rFonts w:eastAsia="Times New Roman"/>
          <w:lang w:val="fr-FR"/>
        </w:rPr>
        <w:noBreakHyphen/>
        <w:t>après.</w:t>
      </w:r>
    </w:p>
    <w:p w14:paraId="136D2492"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8.1.1</w:t>
      </w:r>
      <w:r w:rsidRPr="00440C76">
        <w:rPr>
          <w:rFonts w:eastAsia="Times New Roman"/>
          <w:lang w:val="fr-FR"/>
        </w:rPr>
        <w:tab/>
        <w:t>Le cas échéant, les essais des types</w:t>
      </w:r>
      <w:r>
        <w:rPr>
          <w:rFonts w:eastAsia="Times New Roman"/>
          <w:lang w:val="fr-FR"/>
        </w:rPr>
        <w:t> </w:t>
      </w:r>
      <w:r w:rsidRPr="00440C76">
        <w:rPr>
          <w:rFonts w:eastAsia="Times New Roman"/>
          <w:lang w:val="fr-FR"/>
        </w:rPr>
        <w:t>2 et 3, tels que décrits au tableau</w:t>
      </w:r>
      <w:r>
        <w:rPr>
          <w:rFonts w:eastAsia="Times New Roman"/>
          <w:lang w:val="fr-FR"/>
        </w:rPr>
        <w:t> </w:t>
      </w:r>
      <w:r w:rsidRPr="00440C76">
        <w:rPr>
          <w:rFonts w:eastAsia="Times New Roman"/>
          <w:lang w:val="fr-FR"/>
        </w:rPr>
        <w:t>A du présent Règlement, doivent être exécutés. Les procédures spécifiques de contrôle de la conformité de la production sont définies au paragraphe</w:t>
      </w:r>
      <w:r>
        <w:rPr>
          <w:rFonts w:eastAsia="Times New Roman"/>
          <w:lang w:val="fr-FR"/>
        </w:rPr>
        <w:t> </w:t>
      </w:r>
      <w:r w:rsidRPr="00440C76">
        <w:rPr>
          <w:rFonts w:eastAsia="Times New Roman"/>
          <w:lang w:val="fr-FR"/>
        </w:rPr>
        <w:t>8.2.</w:t>
      </w:r>
    </w:p>
    <w:p w14:paraId="5D20B6C0"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8.2</w:t>
      </w:r>
      <w:r w:rsidRPr="00440C76">
        <w:rPr>
          <w:rFonts w:eastAsia="Times New Roman"/>
          <w:lang w:val="fr-FR"/>
        </w:rPr>
        <w:tab/>
      </w:r>
      <w:r w:rsidRPr="00440C76">
        <w:rPr>
          <w:lang w:val="fr-FR"/>
        </w:rPr>
        <w:t>Contrôle</w:t>
      </w:r>
      <w:r w:rsidRPr="00440C76">
        <w:rPr>
          <w:rFonts w:eastAsia="Times New Roman"/>
          <w:lang w:val="fr-FR"/>
        </w:rPr>
        <w:t xml:space="preserve"> de la conformité du véhicule pour un essai du type</w:t>
      </w:r>
      <w:r>
        <w:rPr>
          <w:rFonts w:eastAsia="Times New Roman"/>
          <w:lang w:val="fr-FR"/>
        </w:rPr>
        <w:t> </w:t>
      </w:r>
      <w:r w:rsidRPr="00440C76">
        <w:rPr>
          <w:rFonts w:eastAsia="Times New Roman"/>
          <w:lang w:val="fr-FR"/>
        </w:rPr>
        <w:t>3</w:t>
      </w:r>
    </w:p>
    <w:p w14:paraId="4B0FC90D" w14:textId="77777777" w:rsidR="00BE2CA7" w:rsidRPr="00440C76" w:rsidRDefault="00BE2CA7" w:rsidP="00BE2CA7">
      <w:pPr>
        <w:pStyle w:val="SingleTxtG"/>
        <w:ind w:left="2268" w:hanging="1134"/>
        <w:rPr>
          <w:rFonts w:eastAsia="Times New Roman"/>
          <w:bCs/>
          <w:lang w:val="fr-FR"/>
        </w:rPr>
      </w:pPr>
      <w:bookmarkStart w:id="16" w:name="_MON_1448094241"/>
      <w:bookmarkStart w:id="17" w:name="_MON_1448094339"/>
      <w:bookmarkStart w:id="18" w:name="_MON_1315988326"/>
      <w:bookmarkStart w:id="19" w:name="_MON_1316869890"/>
      <w:bookmarkStart w:id="20" w:name="_MON_1433078569"/>
      <w:bookmarkStart w:id="21" w:name="_MON_1448093525"/>
      <w:bookmarkEnd w:id="16"/>
      <w:bookmarkEnd w:id="17"/>
      <w:bookmarkEnd w:id="18"/>
      <w:bookmarkEnd w:id="19"/>
      <w:bookmarkEnd w:id="20"/>
      <w:bookmarkEnd w:id="21"/>
      <w:r w:rsidRPr="00440C76">
        <w:rPr>
          <w:rFonts w:eastAsia="Times New Roman"/>
          <w:bCs/>
          <w:lang w:val="fr-FR"/>
        </w:rPr>
        <w:t>8.2.1</w:t>
      </w:r>
      <w:r w:rsidRPr="00440C76">
        <w:rPr>
          <w:rFonts w:eastAsia="Times New Roman"/>
          <w:bCs/>
          <w:lang w:val="fr-FR"/>
        </w:rPr>
        <w:tab/>
        <w:t>Si une vérification de l</w:t>
      </w:r>
      <w:r>
        <w:rPr>
          <w:rFonts w:eastAsia="Times New Roman"/>
          <w:bCs/>
          <w:lang w:val="fr-FR"/>
        </w:rPr>
        <w:t>’</w:t>
      </w:r>
      <w:r w:rsidRPr="00440C76">
        <w:rPr>
          <w:rFonts w:eastAsia="Times New Roman"/>
          <w:bCs/>
          <w:lang w:val="fr-FR"/>
        </w:rPr>
        <w:t>essai du type</w:t>
      </w:r>
      <w:r>
        <w:rPr>
          <w:rFonts w:eastAsia="Times New Roman"/>
          <w:bCs/>
          <w:lang w:val="fr-FR"/>
        </w:rPr>
        <w:t> </w:t>
      </w:r>
      <w:r w:rsidRPr="00440C76">
        <w:rPr>
          <w:rFonts w:eastAsia="Times New Roman"/>
          <w:bCs/>
          <w:lang w:val="fr-FR"/>
        </w:rPr>
        <w:t>3 doit être effectuée, elle doit l</w:t>
      </w:r>
      <w:r>
        <w:rPr>
          <w:rFonts w:eastAsia="Times New Roman"/>
          <w:bCs/>
          <w:lang w:val="fr-FR"/>
        </w:rPr>
        <w:t>’</w:t>
      </w:r>
      <w:r w:rsidRPr="00440C76">
        <w:rPr>
          <w:rFonts w:eastAsia="Times New Roman"/>
          <w:bCs/>
          <w:lang w:val="fr-FR"/>
        </w:rPr>
        <w:t xml:space="preserve">être </w:t>
      </w:r>
      <w:r w:rsidRPr="00440C76">
        <w:rPr>
          <w:lang w:val="fr-FR"/>
        </w:rPr>
        <w:t>conformément</w:t>
      </w:r>
      <w:r w:rsidRPr="00440C76">
        <w:rPr>
          <w:rFonts w:eastAsia="Times New Roman"/>
          <w:bCs/>
          <w:lang w:val="fr-FR"/>
        </w:rPr>
        <w:t xml:space="preserve"> aux prescriptions suivantes :</w:t>
      </w:r>
    </w:p>
    <w:p w14:paraId="37A0E7BE"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8.2.1.1</w:t>
      </w:r>
      <w:r w:rsidRPr="00440C76">
        <w:rPr>
          <w:rFonts w:eastAsia="Times New Roman"/>
          <w:lang w:val="fr-FR"/>
        </w:rPr>
        <w:tab/>
        <w:t>Lorsque l</w:t>
      </w:r>
      <w:r>
        <w:rPr>
          <w:rFonts w:eastAsia="Times New Roman"/>
          <w:lang w:val="fr-FR"/>
        </w:rPr>
        <w:t>’</w:t>
      </w:r>
      <w:r w:rsidRPr="00440C76">
        <w:rPr>
          <w:rFonts w:eastAsia="Times New Roman"/>
          <w:lang w:val="fr-FR"/>
        </w:rPr>
        <w:t>autorité d</w:t>
      </w:r>
      <w:r>
        <w:rPr>
          <w:rFonts w:eastAsia="Times New Roman"/>
          <w:lang w:val="fr-FR"/>
        </w:rPr>
        <w:t>’</w:t>
      </w:r>
      <w:r w:rsidRPr="00440C76">
        <w:rPr>
          <w:rFonts w:eastAsia="Times New Roman"/>
          <w:lang w:val="fr-FR"/>
        </w:rPr>
        <w:t xml:space="preserve">homologation de type détermine que la qualité de la </w:t>
      </w:r>
      <w:r w:rsidRPr="00440C76">
        <w:rPr>
          <w:lang w:val="fr-FR"/>
        </w:rPr>
        <w:t>production</w:t>
      </w:r>
      <w:r w:rsidRPr="00440C76">
        <w:rPr>
          <w:rFonts w:eastAsia="Times New Roman"/>
          <w:lang w:val="fr-FR"/>
        </w:rPr>
        <w:t xml:space="preserve"> ne semble pas satisfaisante, un véhicule doit être prélevé au hasard dans la famille et est soumis aux essais décrits à l</w:t>
      </w:r>
      <w:r>
        <w:rPr>
          <w:rFonts w:eastAsia="Times New Roman"/>
          <w:lang w:val="fr-FR"/>
        </w:rPr>
        <w:t>’</w:t>
      </w:r>
      <w:r w:rsidRPr="00440C76">
        <w:rPr>
          <w:rFonts w:eastAsia="Times New Roman"/>
          <w:lang w:val="fr-FR"/>
        </w:rPr>
        <w:t>annexe</w:t>
      </w:r>
      <w:r>
        <w:rPr>
          <w:rFonts w:eastAsia="Times New Roman"/>
          <w:lang w:val="fr-FR"/>
        </w:rPr>
        <w:t> </w:t>
      </w:r>
      <w:r w:rsidRPr="00440C76">
        <w:rPr>
          <w:rFonts w:eastAsia="Times New Roman"/>
          <w:lang w:val="fr-FR"/>
        </w:rPr>
        <w:t>6.</w:t>
      </w:r>
    </w:p>
    <w:p w14:paraId="32E72CB4"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8.2.1.2</w:t>
      </w:r>
      <w:r w:rsidRPr="00440C76">
        <w:rPr>
          <w:rFonts w:eastAsia="Times New Roman"/>
          <w:lang w:val="fr-FR"/>
        </w:rPr>
        <w:tab/>
        <w:t>La production doit être jugée conforme si ce véhicule répond aux exigences des essais décrits à l</w:t>
      </w:r>
      <w:r>
        <w:rPr>
          <w:rFonts w:eastAsia="Times New Roman"/>
          <w:lang w:val="fr-FR"/>
        </w:rPr>
        <w:t>’</w:t>
      </w:r>
      <w:r w:rsidRPr="00440C76">
        <w:rPr>
          <w:rFonts w:eastAsia="Times New Roman"/>
          <w:lang w:val="fr-FR"/>
        </w:rPr>
        <w:t>annexe</w:t>
      </w:r>
      <w:r>
        <w:rPr>
          <w:rFonts w:eastAsia="Times New Roman"/>
          <w:lang w:val="fr-FR"/>
        </w:rPr>
        <w:t> </w:t>
      </w:r>
      <w:r w:rsidRPr="00440C76">
        <w:rPr>
          <w:rFonts w:eastAsia="Times New Roman"/>
          <w:lang w:val="fr-FR"/>
        </w:rPr>
        <w:t>6.</w:t>
      </w:r>
    </w:p>
    <w:p w14:paraId="69AAD692"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8.2.1.3</w:t>
      </w:r>
      <w:r w:rsidRPr="00440C76">
        <w:rPr>
          <w:rFonts w:eastAsia="Times New Roman"/>
          <w:lang w:val="fr-FR"/>
        </w:rPr>
        <w:tab/>
        <w:t>Si le véhicule soumis à l</w:t>
      </w:r>
      <w:r>
        <w:rPr>
          <w:rFonts w:eastAsia="Times New Roman"/>
          <w:lang w:val="fr-FR"/>
        </w:rPr>
        <w:t>’</w:t>
      </w:r>
      <w:r w:rsidRPr="00440C76">
        <w:rPr>
          <w:rFonts w:eastAsia="Times New Roman"/>
          <w:lang w:val="fr-FR"/>
        </w:rPr>
        <w:t>essai ne satisfait pas aux prescriptions du paragraphe</w:t>
      </w:r>
      <w:r>
        <w:rPr>
          <w:rFonts w:eastAsia="Times New Roman"/>
          <w:lang w:val="fr-FR"/>
        </w:rPr>
        <w:t> </w:t>
      </w:r>
      <w:r w:rsidRPr="00440C76">
        <w:rPr>
          <w:rFonts w:eastAsia="Times New Roman"/>
          <w:lang w:val="fr-FR"/>
        </w:rPr>
        <w:t>8.2.1.1, un nouvel échantillon de quatre véhicules doit être prélevé de manière aléatoire dans la même famille et soumis aux essais décrits à l</w:t>
      </w:r>
      <w:r>
        <w:rPr>
          <w:rFonts w:eastAsia="Times New Roman"/>
          <w:lang w:val="fr-FR"/>
        </w:rPr>
        <w:t>’</w:t>
      </w:r>
      <w:r w:rsidRPr="00440C76">
        <w:rPr>
          <w:rFonts w:eastAsia="Times New Roman"/>
          <w:lang w:val="fr-FR"/>
        </w:rPr>
        <w:t>annexe</w:t>
      </w:r>
      <w:r>
        <w:rPr>
          <w:rFonts w:eastAsia="Times New Roman"/>
          <w:lang w:val="fr-FR"/>
        </w:rPr>
        <w:t> </w:t>
      </w:r>
      <w:r w:rsidRPr="00440C76">
        <w:rPr>
          <w:rFonts w:eastAsia="Times New Roman"/>
          <w:lang w:val="fr-FR"/>
        </w:rPr>
        <w:t>6 du présent Règlement. Les essais peuvent être effectués sur des véhicules qui ont parcouru 15 000</w:t>
      </w:r>
      <w:r>
        <w:rPr>
          <w:rFonts w:eastAsia="Times New Roman"/>
          <w:lang w:val="fr-FR"/>
        </w:rPr>
        <w:t> </w:t>
      </w:r>
      <w:r w:rsidRPr="00440C76">
        <w:rPr>
          <w:rFonts w:eastAsia="Times New Roman"/>
          <w:lang w:val="fr-FR"/>
        </w:rPr>
        <w:t>km au maximum et n</w:t>
      </w:r>
      <w:r>
        <w:rPr>
          <w:rFonts w:eastAsia="Times New Roman"/>
          <w:lang w:val="fr-FR"/>
        </w:rPr>
        <w:t>’</w:t>
      </w:r>
      <w:r w:rsidRPr="00440C76">
        <w:rPr>
          <w:rFonts w:eastAsia="Times New Roman"/>
          <w:lang w:val="fr-FR"/>
        </w:rPr>
        <w:t>ont fait l</w:t>
      </w:r>
      <w:r>
        <w:rPr>
          <w:rFonts w:eastAsia="Times New Roman"/>
          <w:lang w:val="fr-FR"/>
        </w:rPr>
        <w:t>’</w:t>
      </w:r>
      <w:r w:rsidRPr="00440C76">
        <w:rPr>
          <w:rFonts w:eastAsia="Times New Roman"/>
          <w:lang w:val="fr-FR"/>
        </w:rPr>
        <w:t>objet d</w:t>
      </w:r>
      <w:r>
        <w:rPr>
          <w:rFonts w:eastAsia="Times New Roman"/>
          <w:lang w:val="fr-FR"/>
        </w:rPr>
        <w:t>’</w:t>
      </w:r>
      <w:r w:rsidRPr="00440C76">
        <w:rPr>
          <w:rFonts w:eastAsia="Times New Roman"/>
          <w:lang w:val="fr-FR"/>
        </w:rPr>
        <w:t>aucune modification.</w:t>
      </w:r>
    </w:p>
    <w:p w14:paraId="59F68F6E"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8.2.1.4</w:t>
      </w:r>
      <w:r w:rsidRPr="00440C76">
        <w:rPr>
          <w:rFonts w:eastAsia="Times New Roman"/>
          <w:lang w:val="fr-FR"/>
        </w:rPr>
        <w:tab/>
        <w:t>La production doit être jugée conforme si au moins trois véhicules répondent aux exigences des essais décrits à l</w:t>
      </w:r>
      <w:r>
        <w:rPr>
          <w:rFonts w:eastAsia="Times New Roman"/>
          <w:lang w:val="fr-FR"/>
        </w:rPr>
        <w:t>’</w:t>
      </w:r>
      <w:r w:rsidRPr="00440C76">
        <w:rPr>
          <w:rFonts w:eastAsia="Times New Roman"/>
          <w:lang w:val="fr-FR"/>
        </w:rPr>
        <w:t>annexe</w:t>
      </w:r>
      <w:r>
        <w:rPr>
          <w:rFonts w:eastAsia="Times New Roman"/>
          <w:lang w:val="fr-FR"/>
        </w:rPr>
        <w:t> </w:t>
      </w:r>
      <w:r w:rsidRPr="00440C76">
        <w:rPr>
          <w:rFonts w:eastAsia="Times New Roman"/>
          <w:lang w:val="fr-FR"/>
        </w:rPr>
        <w:t>6 du présent Règlement.</w:t>
      </w:r>
    </w:p>
    <w:p w14:paraId="62E95A7B" w14:textId="77777777" w:rsidR="00BE2CA7" w:rsidRPr="00440C76" w:rsidRDefault="00BE2CA7" w:rsidP="00BE2CA7">
      <w:pPr>
        <w:pStyle w:val="HChG"/>
        <w:ind w:left="2268"/>
        <w:rPr>
          <w:lang w:val="fr-FR"/>
        </w:rPr>
      </w:pPr>
      <w:r w:rsidRPr="00440C76">
        <w:rPr>
          <w:lang w:val="fr-FR"/>
        </w:rPr>
        <w:t>9.</w:t>
      </w:r>
      <w:r w:rsidRPr="00440C76">
        <w:rPr>
          <w:lang w:val="fr-FR"/>
        </w:rPr>
        <w:tab/>
        <w:t>Conformité en service</w:t>
      </w:r>
    </w:p>
    <w:p w14:paraId="2D4113A0"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9.1</w:t>
      </w:r>
      <w:r w:rsidRPr="00440C76">
        <w:rPr>
          <w:rFonts w:eastAsia="Times New Roman"/>
          <w:lang w:val="fr-FR"/>
        </w:rPr>
        <w:tab/>
        <w:t xml:space="preserve">Les mesures visant à garantir la conformité en service des véhicules homologués en vertu du présent Règlement doivent être prises conformément à </w:t>
      </w:r>
      <w:r w:rsidRPr="00440C76">
        <w:rPr>
          <w:lang w:val="fr-FR"/>
        </w:rPr>
        <w:t>l</w:t>
      </w:r>
      <w:r>
        <w:rPr>
          <w:lang w:val="fr-FR"/>
        </w:rPr>
        <w:t>’</w:t>
      </w:r>
      <w:r w:rsidRPr="00440C76">
        <w:rPr>
          <w:lang w:val="fr-FR"/>
        </w:rPr>
        <w:t>annexe</w:t>
      </w:r>
      <w:r>
        <w:rPr>
          <w:rFonts w:eastAsia="Times New Roman"/>
          <w:lang w:val="fr-FR"/>
        </w:rPr>
        <w:t> </w:t>
      </w:r>
      <w:r w:rsidRPr="00440C76">
        <w:rPr>
          <w:rFonts w:eastAsia="Times New Roman"/>
          <w:lang w:val="fr-FR"/>
        </w:rPr>
        <w:t>4 dudit Règlement.</w:t>
      </w:r>
    </w:p>
    <w:p w14:paraId="349AAD07"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9.2</w:t>
      </w:r>
      <w:r w:rsidRPr="00440C76">
        <w:rPr>
          <w:rFonts w:eastAsia="Times New Roman"/>
          <w:lang w:val="fr-FR"/>
        </w:rPr>
        <w:tab/>
        <w:t>Les contrôles de conformité en service doivent permettre de confirmer que les émissions d</w:t>
      </w:r>
      <w:r>
        <w:rPr>
          <w:rFonts w:eastAsia="Times New Roman"/>
          <w:lang w:val="fr-FR"/>
        </w:rPr>
        <w:t>’</w:t>
      </w:r>
      <w:r w:rsidRPr="00440C76">
        <w:rPr>
          <w:rFonts w:eastAsia="Times New Roman"/>
          <w:lang w:val="fr-FR"/>
        </w:rPr>
        <w:t xml:space="preserve">échappement et les émissions par évaporation sont effectivement </w:t>
      </w:r>
      <w:r w:rsidRPr="00440C76">
        <w:rPr>
          <w:lang w:val="fr-FR"/>
        </w:rPr>
        <w:t>limitées</w:t>
      </w:r>
      <w:r w:rsidRPr="00440C76">
        <w:rPr>
          <w:rFonts w:eastAsia="Times New Roman"/>
          <w:lang w:val="fr-FR"/>
        </w:rPr>
        <w:t xml:space="preserve"> pendant la durée de service normale des véhicules en conditions normales d</w:t>
      </w:r>
      <w:r>
        <w:rPr>
          <w:rFonts w:eastAsia="Times New Roman"/>
          <w:lang w:val="fr-FR"/>
        </w:rPr>
        <w:t>’</w:t>
      </w:r>
      <w:r w:rsidRPr="00440C76">
        <w:rPr>
          <w:rFonts w:eastAsia="Times New Roman"/>
          <w:lang w:val="fr-FR"/>
        </w:rPr>
        <w:t>utilisation.</w:t>
      </w:r>
    </w:p>
    <w:p w14:paraId="2CECBF75"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9.3</w:t>
      </w:r>
      <w:r w:rsidRPr="00440C76">
        <w:rPr>
          <w:rFonts w:eastAsia="Times New Roman"/>
          <w:lang w:val="fr-FR"/>
        </w:rPr>
        <w:tab/>
        <w:t>La conformité en service doit être vérifiée sur les véhicules correctement entretenus et utilisés, conformément à l</w:t>
      </w:r>
      <w:r>
        <w:rPr>
          <w:rFonts w:eastAsia="Times New Roman"/>
          <w:lang w:val="fr-FR"/>
        </w:rPr>
        <w:t>’</w:t>
      </w:r>
      <w:r w:rsidRPr="00440C76">
        <w:rPr>
          <w:rFonts w:eastAsia="Times New Roman"/>
          <w:lang w:val="fr-FR"/>
        </w:rPr>
        <w:t>appendice</w:t>
      </w:r>
      <w:r>
        <w:rPr>
          <w:rFonts w:eastAsia="Times New Roman"/>
          <w:lang w:val="fr-FR"/>
        </w:rPr>
        <w:t> </w:t>
      </w:r>
      <w:r w:rsidRPr="00440C76">
        <w:rPr>
          <w:rFonts w:eastAsia="Times New Roman"/>
          <w:lang w:val="fr-FR"/>
        </w:rPr>
        <w:t>1 de l</w:t>
      </w:r>
      <w:r>
        <w:rPr>
          <w:rFonts w:eastAsia="Times New Roman"/>
          <w:lang w:val="fr-FR"/>
        </w:rPr>
        <w:t>’</w:t>
      </w:r>
      <w:r w:rsidRPr="00440C76">
        <w:rPr>
          <w:rFonts w:eastAsia="Times New Roman"/>
          <w:lang w:val="fr-FR"/>
        </w:rPr>
        <w:t>annexe</w:t>
      </w:r>
      <w:r>
        <w:rPr>
          <w:rFonts w:eastAsia="Times New Roman"/>
          <w:lang w:val="fr-FR"/>
        </w:rPr>
        <w:t> </w:t>
      </w:r>
      <w:r w:rsidRPr="00440C76">
        <w:rPr>
          <w:rFonts w:eastAsia="Times New Roman"/>
          <w:lang w:val="fr-FR"/>
        </w:rPr>
        <w:t>4, entre 15 000</w:t>
      </w:r>
      <w:r>
        <w:rPr>
          <w:rFonts w:eastAsia="Times New Roman"/>
          <w:lang w:val="fr-FR"/>
        </w:rPr>
        <w:t> </w:t>
      </w:r>
      <w:r w:rsidRPr="00440C76">
        <w:rPr>
          <w:rFonts w:eastAsia="Times New Roman"/>
          <w:lang w:val="fr-FR"/>
        </w:rPr>
        <w:t>km ou 6 mois, selon la dernière de ces deux occurrences, et 100 000</w:t>
      </w:r>
      <w:r>
        <w:rPr>
          <w:rFonts w:eastAsia="Times New Roman"/>
          <w:lang w:val="fr-FR"/>
        </w:rPr>
        <w:t> </w:t>
      </w:r>
      <w:r w:rsidRPr="00440C76">
        <w:rPr>
          <w:rFonts w:eastAsia="Times New Roman"/>
          <w:lang w:val="fr-FR"/>
        </w:rPr>
        <w:t>km ou 5 ans, selon la première occurrence.</w:t>
      </w:r>
      <w:r w:rsidRPr="00440C76">
        <w:rPr>
          <w:lang w:val="fr-FR"/>
        </w:rPr>
        <w:t xml:space="preserve"> </w:t>
      </w:r>
      <w:r w:rsidRPr="00440C76">
        <w:rPr>
          <w:rFonts w:eastAsia="Times New Roman"/>
          <w:lang w:val="fr-FR"/>
        </w:rPr>
        <w:t xml:space="preserve">En ce qui concerne les émissions par </w:t>
      </w:r>
      <w:r w:rsidRPr="00440C76">
        <w:rPr>
          <w:lang w:val="fr-FR"/>
        </w:rPr>
        <w:t>évaporation</w:t>
      </w:r>
      <w:r w:rsidRPr="00440C76">
        <w:rPr>
          <w:rFonts w:eastAsia="Times New Roman"/>
          <w:lang w:val="fr-FR"/>
        </w:rPr>
        <w:t>, elle doit être vérifiée sur les véhicules correctement entretenus et utilisés, conformément à l</w:t>
      </w:r>
      <w:r>
        <w:rPr>
          <w:rFonts w:eastAsia="Times New Roman"/>
          <w:lang w:val="fr-FR"/>
        </w:rPr>
        <w:t>’</w:t>
      </w:r>
      <w:r w:rsidRPr="00440C76">
        <w:rPr>
          <w:rFonts w:eastAsia="Times New Roman"/>
          <w:lang w:val="fr-FR"/>
        </w:rPr>
        <w:t>appendice</w:t>
      </w:r>
      <w:r>
        <w:rPr>
          <w:rFonts w:eastAsia="Times New Roman"/>
          <w:lang w:val="fr-FR"/>
        </w:rPr>
        <w:t> </w:t>
      </w:r>
      <w:r w:rsidRPr="00440C76">
        <w:rPr>
          <w:rFonts w:eastAsia="Times New Roman"/>
          <w:lang w:val="fr-FR"/>
        </w:rPr>
        <w:t>1 de l</w:t>
      </w:r>
      <w:r>
        <w:rPr>
          <w:rFonts w:eastAsia="Times New Roman"/>
          <w:lang w:val="fr-FR"/>
        </w:rPr>
        <w:t>’</w:t>
      </w:r>
      <w:r w:rsidRPr="00440C76">
        <w:rPr>
          <w:rFonts w:eastAsia="Times New Roman"/>
          <w:lang w:val="fr-FR"/>
        </w:rPr>
        <w:t>annexe</w:t>
      </w:r>
      <w:r>
        <w:rPr>
          <w:rFonts w:eastAsia="Times New Roman"/>
          <w:lang w:val="fr-FR"/>
        </w:rPr>
        <w:t> </w:t>
      </w:r>
      <w:r w:rsidRPr="00440C76">
        <w:rPr>
          <w:rFonts w:eastAsia="Times New Roman"/>
          <w:lang w:val="fr-FR"/>
        </w:rPr>
        <w:t>4, entre 30 000</w:t>
      </w:r>
      <w:r>
        <w:rPr>
          <w:rFonts w:eastAsia="Times New Roman"/>
          <w:lang w:val="fr-FR"/>
        </w:rPr>
        <w:t> </w:t>
      </w:r>
      <w:r w:rsidRPr="00440C76">
        <w:rPr>
          <w:rFonts w:eastAsia="Times New Roman"/>
          <w:lang w:val="fr-FR"/>
        </w:rPr>
        <w:t>km ou 12 mois, selon la dernière de ces deux occurrences, et 100 000</w:t>
      </w:r>
      <w:r>
        <w:rPr>
          <w:rFonts w:eastAsia="Times New Roman"/>
          <w:lang w:val="fr-FR"/>
        </w:rPr>
        <w:t> </w:t>
      </w:r>
      <w:r w:rsidRPr="00440C76">
        <w:rPr>
          <w:rFonts w:eastAsia="Times New Roman"/>
          <w:lang w:val="fr-FR"/>
        </w:rPr>
        <w:t>km ou 5 ans, selon la première occurrence.</w:t>
      </w:r>
    </w:p>
    <w:p w14:paraId="1179C426" w14:textId="77777777" w:rsidR="00BE2CA7" w:rsidRPr="00440C76" w:rsidRDefault="00BE2CA7" w:rsidP="00BE2CA7">
      <w:pPr>
        <w:pStyle w:val="SingleTxtG"/>
        <w:ind w:left="2268"/>
        <w:rPr>
          <w:rFonts w:eastAsia="Times New Roman"/>
          <w:lang w:val="fr-FR"/>
        </w:rPr>
      </w:pPr>
      <w:r w:rsidRPr="00440C76">
        <w:rPr>
          <w:rFonts w:eastAsia="Times New Roman"/>
          <w:lang w:val="fr-FR"/>
        </w:rPr>
        <w:lastRenderedPageBreak/>
        <w:t xml:space="preserve">Les </w:t>
      </w:r>
      <w:r w:rsidRPr="00440C76">
        <w:rPr>
          <w:lang w:val="fr-FR"/>
        </w:rPr>
        <w:t>prescriptions</w:t>
      </w:r>
      <w:r w:rsidRPr="00440C76">
        <w:rPr>
          <w:rFonts w:eastAsia="Times New Roman"/>
          <w:lang w:val="fr-FR"/>
        </w:rPr>
        <w:t xml:space="preserve"> relatives aux contrôles de conformité en service sont applicables jusqu</w:t>
      </w:r>
      <w:r>
        <w:rPr>
          <w:rFonts w:eastAsia="Times New Roman"/>
          <w:lang w:val="fr-FR"/>
        </w:rPr>
        <w:t>’</w:t>
      </w:r>
      <w:r w:rsidRPr="00440C76">
        <w:rPr>
          <w:rFonts w:eastAsia="Times New Roman"/>
          <w:lang w:val="fr-FR"/>
        </w:rPr>
        <w:t>à 5 ans après l</w:t>
      </w:r>
      <w:r>
        <w:rPr>
          <w:rFonts w:eastAsia="Times New Roman"/>
          <w:lang w:val="fr-FR"/>
        </w:rPr>
        <w:t>’</w:t>
      </w:r>
      <w:r w:rsidRPr="00440C76">
        <w:rPr>
          <w:rFonts w:eastAsia="Times New Roman"/>
          <w:lang w:val="fr-FR"/>
        </w:rPr>
        <w:t>immatriculation des derniers véhicules de cette famille de conformité en service.</w:t>
      </w:r>
    </w:p>
    <w:p w14:paraId="076694B7" w14:textId="77777777" w:rsidR="00BE2CA7" w:rsidRDefault="00BE2CA7" w:rsidP="00BE2CA7">
      <w:pPr>
        <w:pStyle w:val="SingleTxtG"/>
        <w:ind w:left="2268" w:hanging="1134"/>
        <w:rPr>
          <w:rFonts w:eastAsia="Times New Roman"/>
          <w:lang w:val="fr-FR"/>
        </w:rPr>
      </w:pPr>
      <w:r w:rsidRPr="00440C76">
        <w:rPr>
          <w:rFonts w:eastAsia="Times New Roman"/>
          <w:lang w:val="fr-FR"/>
        </w:rPr>
        <w:t>9.4</w:t>
      </w:r>
      <w:r w:rsidRPr="00440C76">
        <w:rPr>
          <w:rFonts w:eastAsia="Times New Roman"/>
          <w:lang w:val="fr-FR"/>
        </w:rPr>
        <w:tab/>
        <w:t xml:space="preserve">Les contrôles de conformité en service ne sont pas obligatoires si </w:t>
      </w:r>
      <w:r>
        <w:rPr>
          <w:rFonts w:eastAsia="Times New Roman"/>
          <w:lang w:val="fr-FR"/>
        </w:rPr>
        <w:t>le volume de production annuel</w:t>
      </w:r>
      <w:r w:rsidRPr="00440C76">
        <w:rPr>
          <w:rFonts w:eastAsia="Times New Roman"/>
          <w:lang w:val="fr-FR"/>
        </w:rPr>
        <w:t xml:space="preserve"> </w:t>
      </w:r>
      <w:r>
        <w:rPr>
          <w:rFonts w:eastAsia="Times New Roman"/>
          <w:lang w:val="fr-FR"/>
        </w:rPr>
        <w:t>d’une</w:t>
      </w:r>
      <w:r w:rsidRPr="00440C76">
        <w:rPr>
          <w:rFonts w:eastAsia="Times New Roman"/>
          <w:lang w:val="fr-FR"/>
        </w:rPr>
        <w:t xml:space="preserve"> famille de conformité en service </w:t>
      </w:r>
      <w:r w:rsidRPr="0009083F">
        <w:rPr>
          <w:rFonts w:eastAsia="Times New Roman"/>
          <w:lang w:val="fr-FR"/>
        </w:rPr>
        <w:t xml:space="preserve">destiné à la vente </w:t>
      </w:r>
      <w:r>
        <w:rPr>
          <w:rFonts w:eastAsia="Times New Roman"/>
          <w:lang w:val="fr-FR"/>
        </w:rPr>
        <w:t xml:space="preserve">dans les </w:t>
      </w:r>
      <w:r w:rsidRPr="0009083F">
        <w:rPr>
          <w:rFonts w:eastAsia="Times New Roman"/>
          <w:lang w:val="fr-FR"/>
        </w:rPr>
        <w:t>Parties contractantes appliquant le présent Règlement</w:t>
      </w:r>
      <w:r>
        <w:rPr>
          <w:rFonts w:eastAsia="Times New Roman"/>
          <w:lang w:val="fr-FR"/>
        </w:rPr>
        <w:t xml:space="preserve"> est inférieur</w:t>
      </w:r>
      <w:r w:rsidRPr="00440C76">
        <w:rPr>
          <w:rFonts w:eastAsia="Times New Roman"/>
          <w:lang w:val="fr-FR"/>
        </w:rPr>
        <w:t xml:space="preserve"> à 5 000</w:t>
      </w:r>
      <w:r>
        <w:rPr>
          <w:rFonts w:eastAsia="Times New Roman"/>
          <w:lang w:val="fr-FR"/>
        </w:rPr>
        <w:t> </w:t>
      </w:r>
      <w:r w:rsidRPr="00440C76">
        <w:rPr>
          <w:rFonts w:eastAsia="Times New Roman"/>
          <w:lang w:val="fr-FR"/>
        </w:rPr>
        <w:t>véhicules pendant l</w:t>
      </w:r>
      <w:r>
        <w:rPr>
          <w:rFonts w:eastAsia="Times New Roman"/>
          <w:lang w:val="fr-FR"/>
        </w:rPr>
        <w:t>’</w:t>
      </w:r>
      <w:r w:rsidRPr="00440C76">
        <w:rPr>
          <w:rFonts w:eastAsia="Times New Roman"/>
          <w:lang w:val="fr-FR"/>
        </w:rPr>
        <w:t>année écoulée.</w:t>
      </w:r>
      <w:r w:rsidRPr="00440C76">
        <w:rPr>
          <w:lang w:val="fr-FR"/>
        </w:rPr>
        <w:t xml:space="preserve"> </w:t>
      </w:r>
      <w:r w:rsidRPr="00440C76">
        <w:rPr>
          <w:rFonts w:eastAsia="Times New Roman"/>
          <w:lang w:val="fr-FR"/>
        </w:rPr>
        <w:t>Dans le cadre de l</w:t>
      </w:r>
      <w:r>
        <w:rPr>
          <w:rFonts w:eastAsia="Times New Roman"/>
          <w:lang w:val="fr-FR"/>
        </w:rPr>
        <w:t>’</w:t>
      </w:r>
      <w:r w:rsidRPr="00440C76">
        <w:rPr>
          <w:rFonts w:eastAsia="Times New Roman"/>
          <w:lang w:val="fr-FR"/>
        </w:rPr>
        <w:t>Union européenne, cette disposition s</w:t>
      </w:r>
      <w:r>
        <w:rPr>
          <w:rFonts w:eastAsia="Times New Roman"/>
          <w:lang w:val="fr-FR"/>
        </w:rPr>
        <w:t>’</w:t>
      </w:r>
      <w:r w:rsidRPr="00440C76">
        <w:rPr>
          <w:rFonts w:eastAsia="Times New Roman"/>
          <w:lang w:val="fr-FR"/>
        </w:rPr>
        <w:t>applique à l</w:t>
      </w:r>
      <w:r>
        <w:rPr>
          <w:rFonts w:eastAsia="Times New Roman"/>
          <w:lang w:val="fr-FR"/>
        </w:rPr>
        <w:t>’</w:t>
      </w:r>
      <w:r w:rsidRPr="00440C76">
        <w:rPr>
          <w:rFonts w:eastAsia="Times New Roman"/>
          <w:lang w:val="fr-FR"/>
        </w:rPr>
        <w:t>ensemble de l</w:t>
      </w:r>
      <w:r>
        <w:rPr>
          <w:rFonts w:eastAsia="Times New Roman"/>
          <w:lang w:val="fr-FR"/>
        </w:rPr>
        <w:t>’</w:t>
      </w:r>
      <w:r w:rsidRPr="00440C76">
        <w:rPr>
          <w:rFonts w:eastAsia="Times New Roman"/>
          <w:lang w:val="fr-FR"/>
        </w:rPr>
        <w:t>Union.</w:t>
      </w:r>
      <w:r w:rsidRPr="00440C76">
        <w:rPr>
          <w:lang w:val="fr-FR"/>
        </w:rPr>
        <w:t xml:space="preserve"> </w:t>
      </w:r>
      <w:r w:rsidRPr="00440C76">
        <w:rPr>
          <w:rFonts w:eastAsia="Times New Roman"/>
          <w:lang w:val="fr-FR"/>
        </w:rPr>
        <w:t>Pour ces familles, le constructeur doit communiquer à l</w:t>
      </w:r>
      <w:r>
        <w:rPr>
          <w:rFonts w:eastAsia="Times New Roman"/>
          <w:lang w:val="fr-FR"/>
        </w:rPr>
        <w:t>’</w:t>
      </w:r>
      <w:r w:rsidRPr="00440C76">
        <w:rPr>
          <w:rFonts w:eastAsia="Times New Roman"/>
          <w:lang w:val="fr-FR"/>
        </w:rPr>
        <w:t>autorité d</w:t>
      </w:r>
      <w:r>
        <w:rPr>
          <w:rFonts w:eastAsia="Times New Roman"/>
          <w:lang w:val="fr-FR"/>
        </w:rPr>
        <w:t>’</w:t>
      </w:r>
      <w:r w:rsidRPr="00440C76">
        <w:rPr>
          <w:rFonts w:eastAsia="Times New Roman"/>
          <w:lang w:val="fr-FR"/>
        </w:rPr>
        <w:t>homologation de type un rapport sur toute garantie liée aux émissions et sur les réparations correspondantes, comme indiqué au paragraphe</w:t>
      </w:r>
      <w:r>
        <w:rPr>
          <w:rFonts w:eastAsia="Times New Roman"/>
          <w:lang w:val="fr-FR"/>
        </w:rPr>
        <w:t> </w:t>
      </w:r>
      <w:r w:rsidRPr="00440C76">
        <w:rPr>
          <w:rFonts w:eastAsia="Times New Roman"/>
          <w:lang w:val="fr-FR"/>
        </w:rPr>
        <w:t>4 de l</w:t>
      </w:r>
      <w:r>
        <w:rPr>
          <w:rFonts w:eastAsia="Times New Roman"/>
          <w:lang w:val="fr-FR"/>
        </w:rPr>
        <w:t>’</w:t>
      </w:r>
      <w:r w:rsidRPr="00440C76">
        <w:rPr>
          <w:rFonts w:eastAsia="Times New Roman"/>
          <w:lang w:val="fr-FR"/>
        </w:rPr>
        <w:t>annexe 4.</w:t>
      </w:r>
      <w:r w:rsidRPr="00440C76">
        <w:rPr>
          <w:lang w:val="fr-FR"/>
        </w:rPr>
        <w:t xml:space="preserve"> </w:t>
      </w:r>
      <w:r w:rsidRPr="00440C76">
        <w:rPr>
          <w:rFonts w:eastAsia="Times New Roman"/>
          <w:lang w:val="fr-FR"/>
        </w:rPr>
        <w:t>Ces familles de conformité en service peuvent toutefois être sélectionnées pour être soumises aux essais conformément à l</w:t>
      </w:r>
      <w:r>
        <w:rPr>
          <w:rFonts w:eastAsia="Times New Roman"/>
          <w:lang w:val="fr-FR"/>
        </w:rPr>
        <w:t>’</w:t>
      </w:r>
      <w:r w:rsidRPr="00440C76">
        <w:rPr>
          <w:rFonts w:eastAsia="Times New Roman"/>
          <w:lang w:val="fr-FR"/>
        </w:rPr>
        <w:t>annexe</w:t>
      </w:r>
      <w:r>
        <w:rPr>
          <w:rFonts w:eastAsia="Times New Roman"/>
          <w:lang w:val="fr-FR"/>
        </w:rPr>
        <w:t> </w:t>
      </w:r>
      <w:r w:rsidRPr="00440C76">
        <w:rPr>
          <w:rFonts w:eastAsia="Times New Roman"/>
          <w:lang w:val="fr-FR"/>
        </w:rPr>
        <w:t>4.</w:t>
      </w:r>
      <w:r w:rsidRPr="006351F8">
        <w:t xml:space="preserve"> </w:t>
      </w:r>
    </w:p>
    <w:p w14:paraId="0563D8B9"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9.5</w:t>
      </w:r>
      <w:r w:rsidRPr="00440C76">
        <w:rPr>
          <w:rFonts w:eastAsia="Times New Roman"/>
          <w:lang w:val="fr-FR"/>
        </w:rPr>
        <w:tab/>
        <w:t>Le constructeur et l</w:t>
      </w:r>
      <w:r>
        <w:rPr>
          <w:rFonts w:eastAsia="Times New Roman"/>
          <w:lang w:val="fr-FR"/>
        </w:rPr>
        <w:t>’</w:t>
      </w:r>
      <w:r w:rsidRPr="00440C76">
        <w:rPr>
          <w:rFonts w:eastAsia="Times New Roman"/>
          <w:lang w:val="fr-FR"/>
        </w:rPr>
        <w:t>autorité d</w:t>
      </w:r>
      <w:r>
        <w:rPr>
          <w:rFonts w:eastAsia="Times New Roman"/>
          <w:lang w:val="fr-FR"/>
        </w:rPr>
        <w:t>’</w:t>
      </w:r>
      <w:r w:rsidRPr="00440C76">
        <w:rPr>
          <w:rFonts w:eastAsia="Times New Roman"/>
          <w:lang w:val="fr-FR"/>
        </w:rPr>
        <w:t xml:space="preserve">homologation de type doivent procéder à des </w:t>
      </w:r>
      <w:r w:rsidRPr="00440C76">
        <w:rPr>
          <w:lang w:val="fr-FR"/>
        </w:rPr>
        <w:t>contrôles</w:t>
      </w:r>
      <w:r w:rsidRPr="00440C76">
        <w:rPr>
          <w:rFonts w:eastAsia="Times New Roman"/>
          <w:lang w:val="fr-FR"/>
        </w:rPr>
        <w:t xml:space="preserve"> de conformité en service conformément à l</w:t>
      </w:r>
      <w:r>
        <w:rPr>
          <w:rFonts w:eastAsia="Times New Roman"/>
          <w:lang w:val="fr-FR"/>
        </w:rPr>
        <w:t>’</w:t>
      </w:r>
      <w:r w:rsidRPr="00440C76">
        <w:rPr>
          <w:rFonts w:eastAsia="Times New Roman"/>
          <w:lang w:val="fr-FR"/>
        </w:rPr>
        <w:t>annexe</w:t>
      </w:r>
      <w:r>
        <w:rPr>
          <w:rFonts w:eastAsia="Times New Roman"/>
          <w:lang w:val="fr-FR"/>
        </w:rPr>
        <w:t> </w:t>
      </w:r>
      <w:r w:rsidRPr="00440C76">
        <w:rPr>
          <w:rFonts w:eastAsia="Times New Roman"/>
          <w:lang w:val="fr-FR"/>
        </w:rPr>
        <w:t>4.</w:t>
      </w:r>
      <w:r w:rsidRPr="00440C76">
        <w:rPr>
          <w:lang w:val="fr-FR"/>
        </w:rPr>
        <w:t xml:space="preserve"> </w:t>
      </w:r>
      <w:r w:rsidRPr="00440C76">
        <w:rPr>
          <w:rFonts w:eastAsia="Times New Roman"/>
          <w:lang w:val="fr-FR"/>
        </w:rPr>
        <w:t>D</w:t>
      </w:r>
      <w:r>
        <w:rPr>
          <w:rFonts w:eastAsia="Times New Roman"/>
          <w:lang w:val="fr-FR"/>
        </w:rPr>
        <w:t>’</w:t>
      </w:r>
      <w:r w:rsidRPr="00440C76">
        <w:rPr>
          <w:rFonts w:eastAsia="Times New Roman"/>
          <w:lang w:val="fr-FR"/>
        </w:rPr>
        <w:t>autres autorités d</w:t>
      </w:r>
      <w:r>
        <w:rPr>
          <w:rFonts w:eastAsia="Times New Roman"/>
          <w:lang w:val="fr-FR"/>
        </w:rPr>
        <w:t>’</w:t>
      </w:r>
      <w:r w:rsidRPr="00440C76">
        <w:rPr>
          <w:rFonts w:eastAsia="Times New Roman"/>
          <w:lang w:val="fr-FR"/>
        </w:rPr>
        <w:t>homologation de type et services techniques et d</w:t>
      </w:r>
      <w:r>
        <w:rPr>
          <w:rFonts w:eastAsia="Times New Roman"/>
          <w:lang w:val="fr-FR"/>
        </w:rPr>
        <w:t>’</w:t>
      </w:r>
      <w:r w:rsidRPr="00440C76">
        <w:rPr>
          <w:rFonts w:eastAsia="Times New Roman"/>
          <w:lang w:val="fr-FR"/>
        </w:rPr>
        <w:t>autres acteurs peuvent effectuer une partie des contrôles de conformité en service conformément à l</w:t>
      </w:r>
      <w:r>
        <w:rPr>
          <w:rFonts w:eastAsia="Times New Roman"/>
          <w:lang w:val="fr-FR"/>
        </w:rPr>
        <w:t>’</w:t>
      </w:r>
      <w:r w:rsidRPr="00440C76">
        <w:rPr>
          <w:rFonts w:eastAsia="Times New Roman"/>
          <w:lang w:val="fr-FR"/>
        </w:rPr>
        <w:t>annexe</w:t>
      </w:r>
      <w:r>
        <w:rPr>
          <w:rFonts w:eastAsia="Times New Roman"/>
          <w:lang w:val="fr-FR"/>
        </w:rPr>
        <w:t> </w:t>
      </w:r>
      <w:r w:rsidRPr="00440C76">
        <w:rPr>
          <w:rFonts w:eastAsia="Times New Roman"/>
          <w:lang w:val="fr-FR"/>
        </w:rPr>
        <w:t>4.</w:t>
      </w:r>
    </w:p>
    <w:p w14:paraId="627DD313"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9.6</w:t>
      </w:r>
      <w:r w:rsidRPr="00440C76">
        <w:rPr>
          <w:rFonts w:eastAsia="Times New Roman"/>
          <w:lang w:val="fr-FR"/>
        </w:rPr>
        <w:tab/>
        <w:t>L</w:t>
      </w:r>
      <w:r>
        <w:rPr>
          <w:rFonts w:eastAsia="Times New Roman"/>
          <w:lang w:val="fr-FR"/>
        </w:rPr>
        <w:t>’</w:t>
      </w:r>
      <w:r w:rsidRPr="00440C76">
        <w:rPr>
          <w:rFonts w:eastAsia="Times New Roman"/>
          <w:lang w:val="fr-FR"/>
        </w:rPr>
        <w:t>autorité d</w:t>
      </w:r>
      <w:r>
        <w:rPr>
          <w:rFonts w:eastAsia="Times New Roman"/>
          <w:lang w:val="fr-FR"/>
        </w:rPr>
        <w:t>’</w:t>
      </w:r>
      <w:r w:rsidRPr="00440C76">
        <w:rPr>
          <w:rFonts w:eastAsia="Times New Roman"/>
          <w:lang w:val="fr-FR"/>
        </w:rPr>
        <w:t>homologation de type doit décider si une famille n</w:t>
      </w:r>
      <w:r>
        <w:rPr>
          <w:rFonts w:eastAsia="Times New Roman"/>
          <w:lang w:val="fr-FR"/>
        </w:rPr>
        <w:t>’</w:t>
      </w:r>
      <w:r w:rsidRPr="00440C76">
        <w:rPr>
          <w:rFonts w:eastAsia="Times New Roman"/>
          <w:lang w:val="fr-FR"/>
        </w:rPr>
        <w:t>a pas satisfait aux dispositions relatives à la conformité en service, à la suite d</w:t>
      </w:r>
      <w:r>
        <w:rPr>
          <w:rFonts w:eastAsia="Times New Roman"/>
          <w:lang w:val="fr-FR"/>
        </w:rPr>
        <w:t>’</w:t>
      </w:r>
      <w:r w:rsidRPr="00440C76">
        <w:rPr>
          <w:rFonts w:eastAsia="Times New Roman"/>
          <w:lang w:val="fr-FR"/>
        </w:rPr>
        <w:t>une évaluation de la conformité, et approuver le plan de mesures correctives présenté par le constructeur conformément à l</w:t>
      </w:r>
      <w:r>
        <w:rPr>
          <w:rFonts w:eastAsia="Times New Roman"/>
          <w:lang w:val="fr-FR"/>
        </w:rPr>
        <w:t>’</w:t>
      </w:r>
      <w:r w:rsidRPr="00440C76">
        <w:rPr>
          <w:rFonts w:eastAsia="Times New Roman"/>
          <w:lang w:val="fr-FR"/>
        </w:rPr>
        <w:t>annexe</w:t>
      </w:r>
      <w:r>
        <w:rPr>
          <w:rFonts w:eastAsia="Times New Roman"/>
          <w:lang w:val="fr-FR"/>
        </w:rPr>
        <w:t> </w:t>
      </w:r>
      <w:r w:rsidRPr="00440C76">
        <w:rPr>
          <w:rFonts w:eastAsia="Times New Roman"/>
          <w:lang w:val="fr-FR"/>
        </w:rPr>
        <w:t>4.</w:t>
      </w:r>
    </w:p>
    <w:p w14:paraId="10175DA4"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9.7</w:t>
      </w:r>
      <w:r w:rsidRPr="00440C76">
        <w:rPr>
          <w:rFonts w:eastAsia="Times New Roman"/>
          <w:lang w:val="fr-FR"/>
        </w:rPr>
        <w:tab/>
        <w:t xml:space="preserve">Si </w:t>
      </w:r>
      <w:r w:rsidRPr="00440C76">
        <w:rPr>
          <w:lang w:val="fr-FR"/>
        </w:rPr>
        <w:t>une</w:t>
      </w:r>
      <w:r w:rsidRPr="00440C76">
        <w:rPr>
          <w:rFonts w:eastAsia="Times New Roman"/>
          <w:lang w:val="fr-FR"/>
        </w:rPr>
        <w:t xml:space="preserve"> autorité d</w:t>
      </w:r>
      <w:r>
        <w:rPr>
          <w:rFonts w:eastAsia="Times New Roman"/>
          <w:lang w:val="fr-FR"/>
        </w:rPr>
        <w:t>’</w:t>
      </w:r>
      <w:r w:rsidRPr="00440C76">
        <w:rPr>
          <w:rFonts w:eastAsia="Times New Roman"/>
          <w:lang w:val="fr-FR"/>
        </w:rPr>
        <w:t>homologation de type, un service technique ou tout autre acteur a établi qu</w:t>
      </w:r>
      <w:r>
        <w:rPr>
          <w:rFonts w:eastAsia="Times New Roman"/>
          <w:lang w:val="fr-FR"/>
        </w:rPr>
        <w:t>’</w:t>
      </w:r>
      <w:r w:rsidRPr="00440C76">
        <w:rPr>
          <w:rFonts w:eastAsia="Times New Roman"/>
          <w:lang w:val="fr-FR"/>
        </w:rPr>
        <w:t>une famille de conformité en service ne satisfait pas au contrôle de conformité en service, il ou elle le notifie sans délai à l</w:t>
      </w:r>
      <w:r>
        <w:rPr>
          <w:rFonts w:eastAsia="Times New Roman"/>
          <w:lang w:val="fr-FR"/>
        </w:rPr>
        <w:t>’</w:t>
      </w:r>
      <w:r w:rsidRPr="00440C76">
        <w:rPr>
          <w:rFonts w:eastAsia="Times New Roman"/>
          <w:lang w:val="fr-FR"/>
        </w:rPr>
        <w:t>autorité d</w:t>
      </w:r>
      <w:r>
        <w:rPr>
          <w:rFonts w:eastAsia="Times New Roman"/>
          <w:lang w:val="fr-FR"/>
        </w:rPr>
        <w:t>’</w:t>
      </w:r>
      <w:r w:rsidRPr="00440C76">
        <w:rPr>
          <w:rFonts w:eastAsia="Times New Roman"/>
          <w:lang w:val="fr-FR"/>
        </w:rPr>
        <w:t>homologation de type qui a délivré l</w:t>
      </w:r>
      <w:r>
        <w:rPr>
          <w:rFonts w:eastAsia="Times New Roman"/>
          <w:lang w:val="fr-FR"/>
        </w:rPr>
        <w:t>’</w:t>
      </w:r>
      <w:r w:rsidRPr="00440C76">
        <w:rPr>
          <w:rFonts w:eastAsia="Times New Roman"/>
          <w:lang w:val="fr-FR"/>
        </w:rPr>
        <w:t>homologation.</w:t>
      </w:r>
    </w:p>
    <w:p w14:paraId="6B7018F8" w14:textId="77777777" w:rsidR="00BE2CA7" w:rsidRPr="00440C76" w:rsidRDefault="00BE2CA7" w:rsidP="00BE2CA7">
      <w:pPr>
        <w:pStyle w:val="SingleTxtG"/>
        <w:ind w:left="2268"/>
        <w:rPr>
          <w:rFonts w:eastAsia="Times New Roman"/>
          <w:lang w:val="fr-FR"/>
        </w:rPr>
      </w:pPr>
      <w:r w:rsidRPr="00440C76">
        <w:rPr>
          <w:rFonts w:eastAsia="Times New Roman"/>
          <w:lang w:val="fr-FR"/>
        </w:rPr>
        <w:t>À la suite de cette notification, l</w:t>
      </w:r>
      <w:r>
        <w:rPr>
          <w:rFonts w:eastAsia="Times New Roman"/>
          <w:lang w:val="fr-FR"/>
        </w:rPr>
        <w:t>’</w:t>
      </w:r>
      <w:r w:rsidRPr="00440C76">
        <w:rPr>
          <w:rFonts w:eastAsia="Times New Roman"/>
          <w:lang w:val="fr-FR"/>
        </w:rPr>
        <w:t>autorité d</w:t>
      </w:r>
      <w:r>
        <w:rPr>
          <w:rFonts w:eastAsia="Times New Roman"/>
          <w:lang w:val="fr-FR"/>
        </w:rPr>
        <w:t>’</w:t>
      </w:r>
      <w:r w:rsidRPr="00440C76">
        <w:rPr>
          <w:rFonts w:eastAsia="Times New Roman"/>
          <w:lang w:val="fr-FR"/>
        </w:rPr>
        <w:t>homologation de type doit informer le constructeur qu</w:t>
      </w:r>
      <w:r>
        <w:rPr>
          <w:rFonts w:eastAsia="Times New Roman"/>
          <w:lang w:val="fr-FR"/>
        </w:rPr>
        <w:t>’</w:t>
      </w:r>
      <w:r w:rsidRPr="00440C76">
        <w:rPr>
          <w:rFonts w:eastAsia="Times New Roman"/>
          <w:lang w:val="fr-FR"/>
        </w:rPr>
        <w:t>une famille de conformité en service n</w:t>
      </w:r>
      <w:r>
        <w:rPr>
          <w:rFonts w:eastAsia="Times New Roman"/>
          <w:lang w:val="fr-FR"/>
        </w:rPr>
        <w:t>’</w:t>
      </w:r>
      <w:r w:rsidRPr="00440C76">
        <w:rPr>
          <w:rFonts w:eastAsia="Times New Roman"/>
          <w:lang w:val="fr-FR"/>
        </w:rPr>
        <w:t>a pas satisfait aux contrôles de conformité en service et que les procédures prévues aux paragraphes</w:t>
      </w:r>
      <w:r>
        <w:rPr>
          <w:rFonts w:eastAsia="Times New Roman"/>
          <w:lang w:val="fr-FR"/>
        </w:rPr>
        <w:t> </w:t>
      </w:r>
      <w:r w:rsidRPr="00440C76">
        <w:rPr>
          <w:rFonts w:eastAsia="Times New Roman"/>
          <w:lang w:val="fr-FR"/>
        </w:rPr>
        <w:t>6 et 7 de l</w:t>
      </w:r>
      <w:r>
        <w:rPr>
          <w:rFonts w:eastAsia="Times New Roman"/>
          <w:lang w:val="fr-FR"/>
        </w:rPr>
        <w:t>’</w:t>
      </w:r>
      <w:r w:rsidRPr="00440C76">
        <w:rPr>
          <w:rFonts w:eastAsia="Times New Roman"/>
          <w:lang w:val="fr-FR"/>
        </w:rPr>
        <w:t>annexe</w:t>
      </w:r>
      <w:r>
        <w:rPr>
          <w:rFonts w:eastAsia="Times New Roman"/>
          <w:lang w:val="fr-FR"/>
        </w:rPr>
        <w:t> </w:t>
      </w:r>
      <w:r w:rsidRPr="00440C76">
        <w:rPr>
          <w:rFonts w:eastAsia="Times New Roman"/>
          <w:lang w:val="fr-FR"/>
        </w:rPr>
        <w:t>4 doivent être suivies.</w:t>
      </w:r>
    </w:p>
    <w:p w14:paraId="467ACB5E"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9.8</w:t>
      </w:r>
      <w:r w:rsidRPr="00440C76">
        <w:rPr>
          <w:rFonts w:eastAsia="Times New Roman"/>
          <w:lang w:val="fr-FR"/>
        </w:rPr>
        <w:tab/>
      </w:r>
      <w:r w:rsidRPr="00440C76">
        <w:rPr>
          <w:rFonts w:eastAsia="Times New Roman"/>
          <w:lang w:val="fr-FR"/>
        </w:rPr>
        <w:tab/>
        <w:t>Le constructeur doit faire en sorte que, tout au long de la durée de service normale d</w:t>
      </w:r>
      <w:r>
        <w:rPr>
          <w:rFonts w:eastAsia="Times New Roman"/>
          <w:lang w:val="fr-FR"/>
        </w:rPr>
        <w:t>’</w:t>
      </w:r>
      <w:r w:rsidRPr="00440C76">
        <w:rPr>
          <w:rFonts w:eastAsia="Times New Roman"/>
          <w:lang w:val="fr-FR"/>
        </w:rPr>
        <w:t xml:space="preserve">un véhicule homologué conformément au Règlement ONU </w:t>
      </w:r>
      <w:r w:rsidRPr="00440C76">
        <w:rPr>
          <w:lang w:val="fr-FR"/>
        </w:rPr>
        <w:t>n</w:t>
      </w:r>
      <w:r w:rsidRPr="00440C76">
        <w:rPr>
          <w:vertAlign w:val="superscript"/>
          <w:lang w:val="fr-FR"/>
        </w:rPr>
        <w:t>o</w:t>
      </w:r>
      <w:r w:rsidRPr="00440C76">
        <w:rPr>
          <w:lang w:val="fr-FR"/>
        </w:rPr>
        <w:t> </w:t>
      </w:r>
      <w:r w:rsidRPr="00440C76">
        <w:rPr>
          <w:rFonts w:eastAsia="Times New Roman"/>
          <w:lang w:val="fr-FR"/>
        </w:rPr>
        <w:t xml:space="preserve">154, les </w:t>
      </w:r>
      <w:r w:rsidRPr="00440C76">
        <w:rPr>
          <w:lang w:val="fr-FR"/>
        </w:rPr>
        <w:t>résultats</w:t>
      </w:r>
      <w:r w:rsidRPr="00440C76">
        <w:rPr>
          <w:rFonts w:eastAsia="Times New Roman"/>
          <w:lang w:val="fr-FR"/>
        </w:rPr>
        <w:t xml:space="preserve"> finals des émissions en conditions réelles de conduite de ce véhicule, déterminées selon les prescriptions du Règlement ONU </w:t>
      </w:r>
      <w:r w:rsidRPr="00440C76">
        <w:rPr>
          <w:lang w:val="fr-FR"/>
        </w:rPr>
        <w:t>n</w:t>
      </w:r>
      <w:r w:rsidRPr="00440C76">
        <w:rPr>
          <w:vertAlign w:val="superscript"/>
          <w:lang w:val="fr-FR"/>
        </w:rPr>
        <w:t>o</w:t>
      </w:r>
      <w:r w:rsidRPr="00440C76">
        <w:rPr>
          <w:lang w:val="fr-FR"/>
        </w:rPr>
        <w:t> </w:t>
      </w:r>
      <w:r w:rsidRPr="00440C76">
        <w:rPr>
          <w:rFonts w:eastAsia="Times New Roman"/>
          <w:lang w:val="fr-FR"/>
        </w:rPr>
        <w:t>[xxx] sur les émissions en conditions réelles de conduite dans le cadre de tout essai de mesure des émissions en conditions réelles de conduite (RDE) effectué conformément audit Règlement, ne dépassent pas les limites d</w:t>
      </w:r>
      <w:r>
        <w:rPr>
          <w:rFonts w:eastAsia="Times New Roman"/>
          <w:lang w:val="fr-FR"/>
        </w:rPr>
        <w:t>’</w:t>
      </w:r>
      <w:r w:rsidRPr="00440C76">
        <w:rPr>
          <w:rFonts w:eastAsia="Times New Roman"/>
          <w:lang w:val="fr-FR"/>
        </w:rPr>
        <w:t>émission d</w:t>
      </w:r>
      <w:r>
        <w:rPr>
          <w:rFonts w:eastAsia="Times New Roman"/>
          <w:lang w:val="fr-FR"/>
        </w:rPr>
        <w:t>’</w:t>
      </w:r>
      <w:r w:rsidRPr="00440C76">
        <w:rPr>
          <w:rFonts w:eastAsia="Times New Roman"/>
          <w:lang w:val="fr-FR"/>
        </w:rPr>
        <w:t>oxydes d</w:t>
      </w:r>
      <w:r>
        <w:rPr>
          <w:rFonts w:eastAsia="Times New Roman"/>
          <w:lang w:val="fr-FR"/>
        </w:rPr>
        <w:t>’</w:t>
      </w:r>
      <w:r w:rsidRPr="00440C76">
        <w:rPr>
          <w:rFonts w:eastAsia="Times New Roman"/>
          <w:lang w:val="fr-FR"/>
        </w:rPr>
        <w:t>azote</w:t>
      </w:r>
      <w:r>
        <w:rPr>
          <w:rFonts w:eastAsia="Times New Roman"/>
          <w:lang w:val="fr-FR"/>
        </w:rPr>
        <w:t xml:space="preserve"> (NO</w:t>
      </w:r>
      <w:r w:rsidRPr="00A318C3">
        <w:rPr>
          <w:rFonts w:eastAsia="Times New Roman"/>
          <w:vertAlign w:val="subscript"/>
          <w:lang w:val="fr-FR"/>
        </w:rPr>
        <w:t>x</w:t>
      </w:r>
      <w:r>
        <w:rPr>
          <w:rFonts w:eastAsia="Times New Roman"/>
          <w:lang w:val="fr-FR"/>
        </w:rPr>
        <w:t>)</w:t>
      </w:r>
      <w:r w:rsidRPr="00440C76">
        <w:rPr>
          <w:rFonts w:eastAsia="Times New Roman"/>
          <w:lang w:val="fr-FR"/>
        </w:rPr>
        <w:t xml:space="preserve"> et de particules.</w:t>
      </w:r>
    </w:p>
    <w:p w14:paraId="6FD8B6ED" w14:textId="77777777" w:rsidR="00BE2CA7" w:rsidRPr="00440C76" w:rsidRDefault="00BE2CA7" w:rsidP="00BE2CA7">
      <w:pPr>
        <w:pStyle w:val="HChG"/>
        <w:ind w:left="2268"/>
        <w:rPr>
          <w:lang w:val="fr-FR"/>
        </w:rPr>
      </w:pPr>
      <w:r w:rsidRPr="00440C76">
        <w:rPr>
          <w:lang w:val="fr-FR"/>
        </w:rPr>
        <w:t>10.</w:t>
      </w:r>
      <w:r w:rsidRPr="00440C76">
        <w:rPr>
          <w:lang w:val="fr-FR"/>
        </w:rPr>
        <w:tab/>
        <w:t>Sanctions pour non-conformité de la production</w:t>
      </w:r>
    </w:p>
    <w:p w14:paraId="67EEA3DF"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10.1</w:t>
      </w:r>
      <w:r w:rsidRPr="00440C76">
        <w:rPr>
          <w:rFonts w:eastAsia="Times New Roman"/>
          <w:lang w:val="fr-FR"/>
        </w:rPr>
        <w:tab/>
        <w:t>L</w:t>
      </w:r>
      <w:r>
        <w:rPr>
          <w:rFonts w:eastAsia="Times New Roman"/>
          <w:lang w:val="fr-FR"/>
        </w:rPr>
        <w:t>’</w:t>
      </w:r>
      <w:r w:rsidRPr="00440C76">
        <w:rPr>
          <w:rFonts w:eastAsia="Times New Roman"/>
          <w:lang w:val="fr-FR"/>
        </w:rPr>
        <w:t xml:space="preserve">homologation délivrée pour un type de véhicule en application du présent </w:t>
      </w:r>
      <w:r w:rsidRPr="00440C76">
        <w:rPr>
          <w:lang w:val="fr-FR"/>
        </w:rPr>
        <w:t>Règlement</w:t>
      </w:r>
      <w:r w:rsidRPr="00440C76">
        <w:rPr>
          <w:rFonts w:eastAsia="Times New Roman"/>
          <w:lang w:val="fr-FR"/>
        </w:rPr>
        <w:t xml:space="preserve"> peut être retirée si les conditions énoncées au paragraphe</w:t>
      </w:r>
      <w:r>
        <w:rPr>
          <w:rFonts w:eastAsia="Times New Roman"/>
          <w:lang w:val="fr-FR"/>
        </w:rPr>
        <w:t> </w:t>
      </w:r>
      <w:r w:rsidRPr="00440C76">
        <w:rPr>
          <w:rFonts w:eastAsia="Times New Roman"/>
          <w:lang w:val="fr-FR"/>
        </w:rPr>
        <w:t>8.1 ne sont pas respectées ou si le ou les véhicules prélevés n</w:t>
      </w:r>
      <w:r>
        <w:rPr>
          <w:rFonts w:eastAsia="Times New Roman"/>
          <w:lang w:val="fr-FR"/>
        </w:rPr>
        <w:t>’</w:t>
      </w:r>
      <w:r w:rsidRPr="00440C76">
        <w:rPr>
          <w:rFonts w:eastAsia="Times New Roman"/>
          <w:lang w:val="fr-FR"/>
        </w:rPr>
        <w:t>ont pas subi avec succès les essais prévus au paragraphe</w:t>
      </w:r>
      <w:r>
        <w:rPr>
          <w:rFonts w:eastAsia="Times New Roman"/>
          <w:lang w:val="fr-FR"/>
        </w:rPr>
        <w:t> </w:t>
      </w:r>
      <w:r w:rsidRPr="00440C76">
        <w:rPr>
          <w:rFonts w:eastAsia="Times New Roman"/>
          <w:lang w:val="fr-FR"/>
        </w:rPr>
        <w:t>8.1.1.</w:t>
      </w:r>
    </w:p>
    <w:p w14:paraId="491192EE"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10.2</w:t>
      </w:r>
      <w:r w:rsidRPr="00440C76">
        <w:rPr>
          <w:rFonts w:eastAsia="Times New Roman"/>
          <w:lang w:val="fr-FR"/>
        </w:rPr>
        <w:tab/>
        <w:t>Lorsqu</w:t>
      </w:r>
      <w:r>
        <w:rPr>
          <w:rFonts w:eastAsia="Times New Roman"/>
          <w:lang w:val="fr-FR"/>
        </w:rPr>
        <w:t>’</w:t>
      </w:r>
      <w:r w:rsidRPr="00440C76">
        <w:rPr>
          <w:rFonts w:eastAsia="Times New Roman"/>
          <w:lang w:val="fr-FR"/>
        </w:rPr>
        <w:t xml:space="preserve">une Partie contractante appliquant le présent Règlement retire une </w:t>
      </w:r>
      <w:r w:rsidRPr="00440C76">
        <w:rPr>
          <w:lang w:val="fr-FR"/>
        </w:rPr>
        <w:t>homologation</w:t>
      </w:r>
      <w:r w:rsidRPr="00440C76">
        <w:rPr>
          <w:rFonts w:eastAsia="Times New Roman"/>
          <w:lang w:val="fr-FR"/>
        </w:rPr>
        <w:t xml:space="preserve"> qu</w:t>
      </w:r>
      <w:r>
        <w:rPr>
          <w:rFonts w:eastAsia="Times New Roman"/>
          <w:lang w:val="fr-FR"/>
        </w:rPr>
        <w:t>’</w:t>
      </w:r>
      <w:r w:rsidRPr="00440C76">
        <w:rPr>
          <w:rFonts w:eastAsia="Times New Roman"/>
          <w:lang w:val="fr-FR"/>
        </w:rPr>
        <w:t>elle avait accordée, elle doit en aviser immédiatement les autres Parties contractantes appliquant le présent Règlement, au moyen d</w:t>
      </w:r>
      <w:r>
        <w:rPr>
          <w:rFonts w:eastAsia="Times New Roman"/>
          <w:lang w:val="fr-FR"/>
        </w:rPr>
        <w:t>’</w:t>
      </w:r>
      <w:r w:rsidRPr="00440C76">
        <w:rPr>
          <w:rFonts w:eastAsia="Times New Roman"/>
          <w:lang w:val="fr-FR"/>
        </w:rPr>
        <w:t>une fiche de communication conforme au modèle de l</w:t>
      </w:r>
      <w:r>
        <w:rPr>
          <w:rFonts w:eastAsia="Times New Roman"/>
          <w:lang w:val="fr-FR"/>
        </w:rPr>
        <w:t>’</w:t>
      </w:r>
      <w:r w:rsidRPr="00440C76">
        <w:rPr>
          <w:rFonts w:eastAsia="Times New Roman"/>
          <w:lang w:val="fr-FR"/>
        </w:rPr>
        <w:t>annexe</w:t>
      </w:r>
      <w:r>
        <w:rPr>
          <w:rFonts w:eastAsia="Times New Roman"/>
          <w:lang w:val="fr-FR"/>
        </w:rPr>
        <w:t> </w:t>
      </w:r>
      <w:r w:rsidRPr="00440C76">
        <w:rPr>
          <w:rFonts w:eastAsia="Times New Roman"/>
          <w:lang w:val="fr-FR"/>
        </w:rPr>
        <w:t>2 du présent Règlement.</w:t>
      </w:r>
    </w:p>
    <w:p w14:paraId="423E8409" w14:textId="77777777" w:rsidR="00BE2CA7" w:rsidRPr="00440C76" w:rsidRDefault="00BE2CA7" w:rsidP="00BE2CA7">
      <w:pPr>
        <w:pStyle w:val="HChG"/>
        <w:ind w:left="2268"/>
        <w:rPr>
          <w:rFonts w:eastAsia="Times New Roman"/>
          <w:lang w:val="fr-FR"/>
        </w:rPr>
      </w:pPr>
      <w:r w:rsidRPr="00440C76">
        <w:rPr>
          <w:rFonts w:eastAsia="Times New Roman"/>
          <w:lang w:val="fr-FR"/>
        </w:rPr>
        <w:lastRenderedPageBreak/>
        <w:t>11.</w:t>
      </w:r>
      <w:r w:rsidRPr="00440C76">
        <w:rPr>
          <w:rFonts w:eastAsia="Times New Roman"/>
          <w:lang w:val="fr-FR"/>
        </w:rPr>
        <w:tab/>
        <w:t xml:space="preserve">Arrêt </w:t>
      </w:r>
      <w:r w:rsidRPr="00440C76">
        <w:rPr>
          <w:lang w:val="fr-FR"/>
        </w:rPr>
        <w:t>définitif</w:t>
      </w:r>
      <w:r w:rsidRPr="00440C76">
        <w:rPr>
          <w:rFonts w:eastAsia="Times New Roman"/>
          <w:lang w:val="fr-FR"/>
        </w:rPr>
        <w:t xml:space="preserve"> de la production</w:t>
      </w:r>
    </w:p>
    <w:p w14:paraId="735C235C" w14:textId="77777777" w:rsidR="00BE2CA7" w:rsidRPr="00440C76" w:rsidRDefault="00BE2CA7" w:rsidP="00BE2CA7">
      <w:pPr>
        <w:pStyle w:val="SingleTxtG"/>
        <w:ind w:left="2268"/>
        <w:rPr>
          <w:lang w:val="fr-FR"/>
        </w:rPr>
      </w:pPr>
      <w:r w:rsidRPr="00440C76">
        <w:rPr>
          <w:lang w:val="fr-FR"/>
        </w:rPr>
        <w:t>Si le titulaire d</w:t>
      </w:r>
      <w:r>
        <w:rPr>
          <w:lang w:val="fr-FR"/>
        </w:rPr>
        <w:t>’</w:t>
      </w:r>
      <w:r w:rsidRPr="00440C76">
        <w:rPr>
          <w:lang w:val="fr-FR"/>
        </w:rPr>
        <w:t>une homologation arrête définitivement la production d</w:t>
      </w:r>
      <w:r>
        <w:rPr>
          <w:lang w:val="fr-FR"/>
        </w:rPr>
        <w:t>’</w:t>
      </w:r>
      <w:r w:rsidRPr="00440C76">
        <w:rPr>
          <w:lang w:val="fr-FR"/>
        </w:rPr>
        <w:t>un type de véhicule homologué conformément au présent Règlement, il doit en informer l</w:t>
      </w:r>
      <w:r>
        <w:rPr>
          <w:lang w:val="fr-FR"/>
        </w:rPr>
        <w:t>’</w:t>
      </w:r>
      <w:r w:rsidRPr="00440C76">
        <w:rPr>
          <w:lang w:val="fr-FR"/>
        </w:rPr>
        <w:t>autorité qui a délivré l</w:t>
      </w:r>
      <w:r>
        <w:rPr>
          <w:lang w:val="fr-FR"/>
        </w:rPr>
        <w:t>’</w:t>
      </w:r>
      <w:r w:rsidRPr="00440C76">
        <w:rPr>
          <w:lang w:val="fr-FR"/>
        </w:rPr>
        <w:t>homologation, laquelle, à son tour, le notifiera aux autres Parties contractantes à l</w:t>
      </w:r>
      <w:r>
        <w:rPr>
          <w:lang w:val="fr-FR"/>
        </w:rPr>
        <w:t>’</w:t>
      </w:r>
      <w:r w:rsidRPr="00440C76">
        <w:rPr>
          <w:lang w:val="fr-FR"/>
        </w:rPr>
        <w:t>Accord de 1958 qui appliquent le présent Règlement, au moyen d</w:t>
      </w:r>
      <w:r>
        <w:rPr>
          <w:lang w:val="fr-FR"/>
        </w:rPr>
        <w:t>’</w:t>
      </w:r>
      <w:r w:rsidRPr="00440C76">
        <w:rPr>
          <w:lang w:val="fr-FR"/>
        </w:rPr>
        <w:t>une copie de la fiche de communication conforme au modèle de l</w:t>
      </w:r>
      <w:r>
        <w:rPr>
          <w:lang w:val="fr-FR"/>
        </w:rPr>
        <w:t>’</w:t>
      </w:r>
      <w:r w:rsidRPr="00440C76">
        <w:rPr>
          <w:lang w:val="fr-FR"/>
        </w:rPr>
        <w:t>annexe</w:t>
      </w:r>
      <w:r>
        <w:rPr>
          <w:lang w:val="fr-FR"/>
        </w:rPr>
        <w:t> </w:t>
      </w:r>
      <w:r w:rsidRPr="00440C76">
        <w:rPr>
          <w:lang w:val="fr-FR"/>
        </w:rPr>
        <w:t>2 du présent Règlement.</w:t>
      </w:r>
    </w:p>
    <w:p w14:paraId="30C57550" w14:textId="77777777" w:rsidR="00BE2CA7" w:rsidRPr="00440C76" w:rsidRDefault="00BE2CA7" w:rsidP="00BE2CA7">
      <w:pPr>
        <w:pStyle w:val="HChG"/>
        <w:ind w:left="2268"/>
        <w:rPr>
          <w:rFonts w:eastAsia="Times New Roman"/>
          <w:lang w:val="fr-FR"/>
        </w:rPr>
      </w:pPr>
      <w:r w:rsidRPr="00440C76">
        <w:rPr>
          <w:rFonts w:eastAsia="Times New Roman"/>
          <w:lang w:val="fr-FR"/>
        </w:rPr>
        <w:t>12.</w:t>
      </w:r>
      <w:r w:rsidRPr="00440C76">
        <w:rPr>
          <w:rFonts w:eastAsia="Times New Roman"/>
          <w:lang w:val="fr-FR"/>
        </w:rPr>
        <w:tab/>
      </w:r>
      <w:r w:rsidRPr="00440C76">
        <w:rPr>
          <w:lang w:val="fr-FR"/>
        </w:rPr>
        <w:t>Dispositions</w:t>
      </w:r>
      <w:r w:rsidRPr="00440C76">
        <w:rPr>
          <w:rFonts w:eastAsia="Times New Roman"/>
          <w:lang w:val="fr-FR"/>
        </w:rPr>
        <w:t xml:space="preserve"> transitoires</w:t>
      </w:r>
    </w:p>
    <w:p w14:paraId="22323F54"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12.1</w:t>
      </w:r>
      <w:r w:rsidRPr="00440C76">
        <w:rPr>
          <w:rFonts w:eastAsia="Times New Roman"/>
          <w:lang w:val="fr-FR"/>
        </w:rPr>
        <w:tab/>
      </w:r>
      <w:r w:rsidRPr="00440C76">
        <w:rPr>
          <w:lang w:val="fr-FR"/>
        </w:rPr>
        <w:t>Généralités</w:t>
      </w:r>
    </w:p>
    <w:p w14:paraId="7CB43501"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12.1.1</w:t>
      </w:r>
      <w:r w:rsidRPr="00440C76">
        <w:rPr>
          <w:rFonts w:eastAsia="Times New Roman"/>
          <w:lang w:val="fr-FR"/>
        </w:rPr>
        <w:tab/>
        <w:t>À compter de la date officielle d</w:t>
      </w:r>
      <w:r>
        <w:rPr>
          <w:rFonts w:eastAsia="Times New Roman"/>
          <w:lang w:val="fr-FR"/>
        </w:rPr>
        <w:t>’</w:t>
      </w:r>
      <w:r w:rsidRPr="00440C76">
        <w:rPr>
          <w:rFonts w:eastAsia="Times New Roman"/>
          <w:lang w:val="fr-FR"/>
        </w:rPr>
        <w:t>entrée en vigueur de la série</w:t>
      </w:r>
      <w:r>
        <w:rPr>
          <w:rFonts w:eastAsia="Times New Roman"/>
          <w:lang w:val="fr-FR"/>
        </w:rPr>
        <w:t> </w:t>
      </w:r>
      <w:r w:rsidRPr="00440C76">
        <w:rPr>
          <w:rFonts w:eastAsia="Times New Roman"/>
          <w:lang w:val="fr-FR"/>
        </w:rPr>
        <w:t xml:space="preserve">08 </w:t>
      </w:r>
      <w:r w:rsidRPr="00440C76">
        <w:rPr>
          <w:lang w:val="fr-FR"/>
        </w:rPr>
        <w:t>d</w:t>
      </w:r>
      <w:r>
        <w:rPr>
          <w:lang w:val="fr-FR"/>
        </w:rPr>
        <w:t>’</w:t>
      </w:r>
      <w:r w:rsidRPr="00440C76">
        <w:rPr>
          <w:lang w:val="fr-FR"/>
        </w:rPr>
        <w:t>amendements</w:t>
      </w:r>
      <w:r w:rsidRPr="00440C76">
        <w:rPr>
          <w:rFonts w:eastAsia="Times New Roman"/>
          <w:lang w:val="fr-FR"/>
        </w:rPr>
        <w:t>, aucune Partie contractante appliquant le présent Règlement ne peut refuser de délivrer une homologation en application du présent Règlement tel qu</w:t>
      </w:r>
      <w:r>
        <w:rPr>
          <w:rFonts w:eastAsia="Times New Roman"/>
          <w:lang w:val="fr-FR"/>
        </w:rPr>
        <w:t>’</w:t>
      </w:r>
      <w:r w:rsidRPr="00440C76">
        <w:rPr>
          <w:rFonts w:eastAsia="Times New Roman"/>
          <w:lang w:val="fr-FR"/>
        </w:rPr>
        <w:t>il est modifié par la série</w:t>
      </w:r>
      <w:r>
        <w:rPr>
          <w:rFonts w:eastAsia="Times New Roman"/>
          <w:lang w:val="fr-FR"/>
        </w:rPr>
        <w:t> </w:t>
      </w:r>
      <w:r w:rsidRPr="00440C76">
        <w:rPr>
          <w:rFonts w:eastAsia="Times New Roman"/>
          <w:lang w:val="fr-FR"/>
        </w:rPr>
        <w:t>08 d</w:t>
      </w:r>
      <w:r>
        <w:rPr>
          <w:rFonts w:eastAsia="Times New Roman"/>
          <w:lang w:val="fr-FR"/>
        </w:rPr>
        <w:t>’</w:t>
      </w:r>
      <w:r w:rsidRPr="00440C76">
        <w:rPr>
          <w:rFonts w:eastAsia="Times New Roman"/>
          <w:lang w:val="fr-FR"/>
        </w:rPr>
        <w:t>amendements.</w:t>
      </w:r>
    </w:p>
    <w:p w14:paraId="2862701C"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12.2</w:t>
      </w:r>
      <w:r w:rsidRPr="00440C76">
        <w:rPr>
          <w:rFonts w:eastAsia="Times New Roman"/>
          <w:lang w:val="fr-FR"/>
        </w:rPr>
        <w:tab/>
      </w:r>
      <w:r w:rsidRPr="00440C76">
        <w:rPr>
          <w:lang w:val="fr-FR"/>
        </w:rPr>
        <w:t>Homologations</w:t>
      </w:r>
      <w:r w:rsidRPr="00440C76">
        <w:rPr>
          <w:rFonts w:eastAsia="Times New Roman"/>
          <w:lang w:val="fr-FR"/>
        </w:rPr>
        <w:t xml:space="preserve"> de type</w:t>
      </w:r>
    </w:p>
    <w:p w14:paraId="6373A8AD"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12.2.1</w:t>
      </w:r>
      <w:r w:rsidRPr="00440C76">
        <w:rPr>
          <w:rFonts w:eastAsia="Times New Roman"/>
          <w:lang w:val="fr-FR"/>
        </w:rPr>
        <w:tab/>
        <w:t>À compter du 1</w:t>
      </w:r>
      <w:r w:rsidRPr="00440C76">
        <w:rPr>
          <w:rFonts w:eastAsia="Times New Roman"/>
          <w:vertAlign w:val="superscript"/>
          <w:lang w:val="fr-FR"/>
        </w:rPr>
        <w:t>er</w:t>
      </w:r>
      <w:r w:rsidRPr="00440C76">
        <w:rPr>
          <w:rFonts w:eastAsia="Times New Roman"/>
          <w:lang w:val="fr-FR"/>
        </w:rPr>
        <w:t> septembre 2023, les Parties contractantes appliquant le présent Règlement n</w:t>
      </w:r>
      <w:r>
        <w:rPr>
          <w:rFonts w:eastAsia="Times New Roman"/>
          <w:lang w:val="fr-FR"/>
        </w:rPr>
        <w:t>’</w:t>
      </w:r>
      <w:r w:rsidRPr="00440C76">
        <w:rPr>
          <w:rFonts w:eastAsia="Times New Roman"/>
          <w:lang w:val="fr-FR"/>
        </w:rPr>
        <w:t>accorderont d</w:t>
      </w:r>
      <w:r>
        <w:rPr>
          <w:rFonts w:eastAsia="Times New Roman"/>
          <w:lang w:val="fr-FR"/>
        </w:rPr>
        <w:t>’</w:t>
      </w:r>
      <w:r w:rsidRPr="00440C76">
        <w:rPr>
          <w:rFonts w:eastAsia="Times New Roman"/>
          <w:lang w:val="fr-FR"/>
        </w:rPr>
        <w:t xml:space="preserve">homologation aux nouveaux types de </w:t>
      </w:r>
      <w:r w:rsidRPr="00440C76">
        <w:rPr>
          <w:lang w:val="fr-FR"/>
        </w:rPr>
        <w:t>véhicules</w:t>
      </w:r>
      <w:r w:rsidRPr="00440C76">
        <w:rPr>
          <w:rFonts w:eastAsia="Times New Roman"/>
          <w:lang w:val="fr-FR"/>
        </w:rPr>
        <w:t xml:space="preserve"> que s</w:t>
      </w:r>
      <w:r>
        <w:rPr>
          <w:rFonts w:eastAsia="Times New Roman"/>
          <w:lang w:val="fr-FR"/>
        </w:rPr>
        <w:t>’</w:t>
      </w:r>
      <w:r w:rsidRPr="00440C76">
        <w:rPr>
          <w:rFonts w:eastAsia="Times New Roman"/>
          <w:lang w:val="fr-FR"/>
        </w:rPr>
        <w:t>ils satisfont :</w:t>
      </w:r>
    </w:p>
    <w:p w14:paraId="671AF220" w14:textId="77777777" w:rsidR="00BE2CA7" w:rsidRPr="00440C76" w:rsidRDefault="00BE2CA7" w:rsidP="00BE2CA7">
      <w:pPr>
        <w:pStyle w:val="SingleTxtG"/>
        <w:ind w:left="2835" w:hanging="567"/>
        <w:rPr>
          <w:rFonts w:eastAsia="Times New Roman"/>
          <w:spacing w:val="-2"/>
          <w:lang w:val="fr-FR"/>
        </w:rPr>
      </w:pPr>
      <w:r w:rsidRPr="00440C76">
        <w:rPr>
          <w:rFonts w:eastAsia="Times New Roman"/>
          <w:lang w:val="fr-FR"/>
        </w:rPr>
        <w:t>a)</w:t>
      </w:r>
      <w:r w:rsidRPr="00440C76">
        <w:rPr>
          <w:rFonts w:eastAsia="Times New Roman"/>
          <w:lang w:val="fr-FR"/>
        </w:rPr>
        <w:tab/>
      </w:r>
      <w:r w:rsidRPr="00440C76">
        <w:rPr>
          <w:rFonts w:eastAsia="Times New Roman"/>
          <w:spacing w:val="-2"/>
          <w:lang w:val="fr-FR"/>
        </w:rPr>
        <w:t>Aux prescriptions applicables aux véhicules homologués au vertu des lettres EA, telles que définies dans le tableau</w:t>
      </w:r>
      <w:r>
        <w:rPr>
          <w:rFonts w:eastAsia="Times New Roman"/>
          <w:spacing w:val="-2"/>
          <w:lang w:val="fr-FR"/>
        </w:rPr>
        <w:t> </w:t>
      </w:r>
      <w:r w:rsidRPr="00440C76">
        <w:rPr>
          <w:rFonts w:eastAsia="Times New Roman"/>
          <w:spacing w:val="-2"/>
          <w:lang w:val="fr-FR"/>
        </w:rPr>
        <w:t>A3/1 de l</w:t>
      </w:r>
      <w:r>
        <w:rPr>
          <w:rFonts w:eastAsia="Times New Roman"/>
          <w:spacing w:val="-2"/>
          <w:lang w:val="fr-FR"/>
        </w:rPr>
        <w:t>’</w:t>
      </w:r>
      <w:r w:rsidRPr="00440C76">
        <w:rPr>
          <w:rFonts w:eastAsia="Times New Roman"/>
          <w:spacing w:val="-2"/>
          <w:lang w:val="fr-FR"/>
        </w:rPr>
        <w:t>annexe</w:t>
      </w:r>
      <w:r>
        <w:rPr>
          <w:rFonts w:eastAsia="Times New Roman"/>
          <w:spacing w:val="-2"/>
          <w:lang w:val="fr-FR"/>
        </w:rPr>
        <w:t> </w:t>
      </w:r>
      <w:r w:rsidRPr="00440C76">
        <w:rPr>
          <w:rFonts w:eastAsia="Times New Roman"/>
          <w:spacing w:val="-2"/>
          <w:lang w:val="fr-FR"/>
        </w:rPr>
        <w:t xml:space="preserve">3 </w:t>
      </w:r>
      <w:r w:rsidRPr="00440C76">
        <w:rPr>
          <w:spacing w:val="-2"/>
          <w:lang w:val="fr-FR"/>
        </w:rPr>
        <w:t>du</w:t>
      </w:r>
      <w:r w:rsidRPr="00440C76">
        <w:rPr>
          <w:rFonts w:eastAsia="Times New Roman"/>
          <w:spacing w:val="-2"/>
          <w:lang w:val="fr-FR"/>
        </w:rPr>
        <w:t xml:space="preserve"> présent Règlement, tel que modifié par la série</w:t>
      </w:r>
      <w:r>
        <w:rPr>
          <w:rFonts w:eastAsia="Times New Roman"/>
          <w:spacing w:val="-2"/>
          <w:lang w:val="fr-FR"/>
        </w:rPr>
        <w:t> </w:t>
      </w:r>
      <w:r w:rsidRPr="00440C76">
        <w:rPr>
          <w:rFonts w:eastAsia="Times New Roman"/>
          <w:spacing w:val="-2"/>
          <w:lang w:val="fr-FR"/>
        </w:rPr>
        <w:t>08 d</w:t>
      </w:r>
      <w:r>
        <w:rPr>
          <w:rFonts w:eastAsia="Times New Roman"/>
          <w:spacing w:val="-2"/>
          <w:lang w:val="fr-FR"/>
        </w:rPr>
        <w:t>’</w:t>
      </w:r>
      <w:r w:rsidRPr="00440C76">
        <w:rPr>
          <w:rFonts w:eastAsia="Times New Roman"/>
          <w:spacing w:val="-2"/>
          <w:lang w:val="fr-FR"/>
        </w:rPr>
        <w:t>amendements ;</w:t>
      </w:r>
    </w:p>
    <w:p w14:paraId="0FC7AA71" w14:textId="77777777" w:rsidR="00BE2CA7" w:rsidRPr="00440C76" w:rsidRDefault="00BE2CA7" w:rsidP="00BE2CA7">
      <w:pPr>
        <w:pStyle w:val="SingleTxtG"/>
        <w:ind w:left="2835" w:hanging="567"/>
        <w:rPr>
          <w:rFonts w:eastAsia="Times New Roman"/>
          <w:lang w:val="fr-FR"/>
        </w:rPr>
      </w:pPr>
      <w:r w:rsidRPr="00440C76">
        <w:rPr>
          <w:rFonts w:eastAsia="Times New Roman"/>
          <w:lang w:val="fr-FR"/>
        </w:rPr>
        <w:t>b)</w:t>
      </w:r>
      <w:r w:rsidRPr="00440C76">
        <w:rPr>
          <w:rFonts w:eastAsia="Times New Roman"/>
          <w:lang w:val="fr-FR"/>
        </w:rPr>
        <w:tab/>
        <w:t xml:space="preserve">Aux prescriptions énoncées dans la troisième partie du Règlement ONU </w:t>
      </w:r>
      <w:r w:rsidRPr="00440C76">
        <w:rPr>
          <w:lang w:val="fr-FR"/>
        </w:rPr>
        <w:t>n</w:t>
      </w:r>
      <w:r w:rsidRPr="00440C76">
        <w:rPr>
          <w:vertAlign w:val="superscript"/>
          <w:lang w:val="fr-FR"/>
        </w:rPr>
        <w:t>o</w:t>
      </w:r>
      <w:r w:rsidRPr="00440C76">
        <w:rPr>
          <w:lang w:val="fr-FR"/>
        </w:rPr>
        <w:t> 24</w:t>
      </w:r>
      <w:r w:rsidRPr="00440C76">
        <w:rPr>
          <w:rFonts w:eastAsia="Times New Roman"/>
          <w:lang w:val="fr-FR"/>
        </w:rPr>
        <w:t xml:space="preserve"> (le cas échéant) ;</w:t>
      </w:r>
    </w:p>
    <w:p w14:paraId="79E26B57" w14:textId="77777777" w:rsidR="00BE2CA7" w:rsidRPr="00440C76" w:rsidRDefault="00BE2CA7" w:rsidP="00BE2CA7">
      <w:pPr>
        <w:pStyle w:val="SingleTxtG"/>
        <w:ind w:left="2835" w:hanging="567"/>
        <w:rPr>
          <w:rFonts w:eastAsia="Times New Roman"/>
          <w:lang w:val="fr-FR"/>
        </w:rPr>
      </w:pPr>
      <w:r w:rsidRPr="00440C76">
        <w:rPr>
          <w:rFonts w:eastAsia="Times New Roman"/>
          <w:lang w:val="fr-FR"/>
        </w:rPr>
        <w:t>c)</w:t>
      </w:r>
      <w:r w:rsidRPr="00440C76">
        <w:rPr>
          <w:rFonts w:eastAsia="Times New Roman"/>
          <w:lang w:val="fr-FR"/>
        </w:rPr>
        <w:tab/>
        <w:t xml:space="preserve">Aux prescriptions du Règlement ONU </w:t>
      </w:r>
      <w:r w:rsidRPr="00440C76">
        <w:rPr>
          <w:lang w:val="fr-FR"/>
        </w:rPr>
        <w:t>n</w:t>
      </w:r>
      <w:r w:rsidRPr="00440C76">
        <w:rPr>
          <w:vertAlign w:val="superscript"/>
          <w:lang w:val="fr-FR"/>
        </w:rPr>
        <w:t>o</w:t>
      </w:r>
      <w:r w:rsidRPr="00440C76">
        <w:rPr>
          <w:lang w:val="fr-FR"/>
        </w:rPr>
        <w:t> </w:t>
      </w:r>
      <w:r w:rsidRPr="00440C76">
        <w:rPr>
          <w:rFonts w:eastAsia="Times New Roman"/>
          <w:lang w:val="fr-FR"/>
        </w:rPr>
        <w:t>85 ;</w:t>
      </w:r>
    </w:p>
    <w:p w14:paraId="7E3CF4F1" w14:textId="77777777" w:rsidR="00BE2CA7" w:rsidRPr="00440C76" w:rsidRDefault="00BE2CA7" w:rsidP="00BE2CA7">
      <w:pPr>
        <w:pStyle w:val="SingleTxtG"/>
        <w:ind w:left="2835" w:hanging="567"/>
        <w:rPr>
          <w:rFonts w:eastAsia="Times New Roman"/>
          <w:lang w:val="fr-FR"/>
        </w:rPr>
      </w:pPr>
      <w:r w:rsidRPr="00440C76">
        <w:rPr>
          <w:rFonts w:eastAsia="Times New Roman"/>
          <w:lang w:val="fr-FR"/>
        </w:rPr>
        <w:t>d)</w:t>
      </w:r>
      <w:r w:rsidRPr="00440C76">
        <w:rPr>
          <w:rFonts w:eastAsia="Times New Roman"/>
          <w:lang w:val="fr-FR"/>
        </w:rPr>
        <w:tab/>
      </w:r>
      <w:r w:rsidRPr="00440C76">
        <w:rPr>
          <w:lang w:val="fr-FR"/>
        </w:rPr>
        <w:t>Aux</w:t>
      </w:r>
      <w:r w:rsidRPr="00440C76">
        <w:rPr>
          <w:rFonts w:eastAsia="Times New Roman"/>
          <w:lang w:val="fr-FR"/>
        </w:rPr>
        <w:t xml:space="preserve"> prescriptions du niveau</w:t>
      </w:r>
      <w:r>
        <w:rPr>
          <w:rFonts w:eastAsia="Times New Roman"/>
          <w:lang w:val="fr-FR"/>
        </w:rPr>
        <w:t> </w:t>
      </w:r>
      <w:r w:rsidRPr="00440C76">
        <w:rPr>
          <w:rFonts w:eastAsia="Times New Roman"/>
          <w:lang w:val="fr-FR"/>
        </w:rPr>
        <w:t>1A de la série</w:t>
      </w:r>
      <w:r>
        <w:rPr>
          <w:rFonts w:eastAsia="Times New Roman"/>
          <w:lang w:val="fr-FR"/>
        </w:rPr>
        <w:t> </w:t>
      </w:r>
      <w:r w:rsidRPr="00440C76">
        <w:rPr>
          <w:rFonts w:eastAsia="Times New Roman"/>
          <w:lang w:val="fr-FR"/>
        </w:rPr>
        <w:t>02 d</w:t>
      </w:r>
      <w:r>
        <w:rPr>
          <w:rFonts w:eastAsia="Times New Roman"/>
          <w:lang w:val="fr-FR"/>
        </w:rPr>
        <w:t>’</w:t>
      </w:r>
      <w:r w:rsidRPr="00440C76">
        <w:rPr>
          <w:rFonts w:eastAsia="Times New Roman"/>
          <w:lang w:val="fr-FR"/>
        </w:rPr>
        <w:t xml:space="preserve">amendements au Règlement ONU </w:t>
      </w:r>
      <w:r w:rsidRPr="00440C76">
        <w:rPr>
          <w:lang w:val="fr-FR"/>
        </w:rPr>
        <w:t>n</w:t>
      </w:r>
      <w:r w:rsidRPr="00440C76">
        <w:rPr>
          <w:vertAlign w:val="superscript"/>
          <w:lang w:val="fr-FR"/>
        </w:rPr>
        <w:t>o</w:t>
      </w:r>
      <w:r w:rsidRPr="00440C76">
        <w:rPr>
          <w:lang w:val="fr-FR"/>
        </w:rPr>
        <w:t> </w:t>
      </w:r>
      <w:r w:rsidRPr="00440C76">
        <w:rPr>
          <w:rFonts w:eastAsia="Times New Roman"/>
          <w:lang w:val="fr-FR"/>
        </w:rPr>
        <w:t>154 ou aux prescriptions de la série</w:t>
      </w:r>
      <w:r>
        <w:rPr>
          <w:rFonts w:eastAsia="Times New Roman"/>
          <w:lang w:val="fr-FR"/>
        </w:rPr>
        <w:t> </w:t>
      </w:r>
      <w:r w:rsidRPr="00440C76">
        <w:rPr>
          <w:rFonts w:eastAsia="Times New Roman"/>
          <w:lang w:val="fr-FR"/>
        </w:rPr>
        <w:t>03 d</w:t>
      </w:r>
      <w:r>
        <w:rPr>
          <w:rFonts w:eastAsia="Times New Roman"/>
          <w:lang w:val="fr-FR"/>
        </w:rPr>
        <w:t>’</w:t>
      </w:r>
      <w:r w:rsidRPr="00440C76">
        <w:rPr>
          <w:rFonts w:eastAsia="Times New Roman"/>
          <w:lang w:val="fr-FR"/>
        </w:rPr>
        <w:t xml:space="preserve">amendements au Règlement ONU </w:t>
      </w:r>
      <w:r w:rsidRPr="00440C76">
        <w:rPr>
          <w:lang w:val="fr-FR"/>
        </w:rPr>
        <w:t>n</w:t>
      </w:r>
      <w:r w:rsidRPr="00440C76">
        <w:rPr>
          <w:vertAlign w:val="superscript"/>
          <w:lang w:val="fr-FR"/>
        </w:rPr>
        <w:t>o</w:t>
      </w:r>
      <w:r w:rsidRPr="00440C76">
        <w:rPr>
          <w:lang w:val="fr-FR"/>
        </w:rPr>
        <w:t> </w:t>
      </w:r>
      <w:r w:rsidRPr="00440C76">
        <w:rPr>
          <w:rFonts w:eastAsia="Times New Roman"/>
          <w:lang w:val="fr-FR"/>
        </w:rPr>
        <w:t>154 ;</w:t>
      </w:r>
    </w:p>
    <w:p w14:paraId="038DCA00" w14:textId="77777777" w:rsidR="00BE2CA7" w:rsidRPr="00440C76" w:rsidRDefault="00BE2CA7" w:rsidP="00BE2CA7">
      <w:pPr>
        <w:pStyle w:val="SingleTxtG"/>
        <w:ind w:left="2835" w:hanging="567"/>
        <w:rPr>
          <w:rFonts w:eastAsia="Times New Roman"/>
          <w:lang w:val="fr-FR"/>
        </w:rPr>
      </w:pPr>
      <w:r w:rsidRPr="00440C76">
        <w:rPr>
          <w:rFonts w:eastAsia="Times New Roman"/>
          <w:lang w:val="fr-FR"/>
        </w:rPr>
        <w:t>e)</w:t>
      </w:r>
      <w:r w:rsidRPr="00440C76">
        <w:rPr>
          <w:rFonts w:eastAsia="Times New Roman"/>
          <w:lang w:val="fr-FR"/>
        </w:rPr>
        <w:tab/>
      </w:r>
      <w:r w:rsidRPr="00440C76">
        <w:rPr>
          <w:rFonts w:eastAsia="Times New Roman"/>
          <w:lang w:val="fr-FR"/>
        </w:rPr>
        <w:tab/>
        <w:t xml:space="preserve">Aux </w:t>
      </w:r>
      <w:r w:rsidRPr="00440C76">
        <w:rPr>
          <w:lang w:val="fr-FR"/>
        </w:rPr>
        <w:t>prescriptions</w:t>
      </w:r>
      <w:r w:rsidRPr="00440C76">
        <w:rPr>
          <w:rFonts w:eastAsia="Times New Roman"/>
          <w:lang w:val="fr-FR"/>
        </w:rPr>
        <w:t xml:space="preserve"> du Règlement ONU </w:t>
      </w:r>
      <w:r w:rsidRPr="00440C76">
        <w:rPr>
          <w:lang w:val="fr-FR"/>
        </w:rPr>
        <w:t>n</w:t>
      </w:r>
      <w:r w:rsidRPr="00440C76">
        <w:rPr>
          <w:vertAlign w:val="superscript"/>
          <w:lang w:val="fr-FR"/>
        </w:rPr>
        <w:t>o</w:t>
      </w:r>
      <w:r w:rsidRPr="00440C76">
        <w:rPr>
          <w:lang w:val="fr-FR"/>
        </w:rPr>
        <w:t> </w:t>
      </w:r>
      <w:r w:rsidRPr="00440C76">
        <w:rPr>
          <w:rFonts w:eastAsia="Times New Roman"/>
          <w:lang w:val="fr-FR"/>
        </w:rPr>
        <w:t>[xxx] sur les émissions en conditions réelles de conduite.</w:t>
      </w:r>
    </w:p>
    <w:p w14:paraId="718B0CA2" w14:textId="77777777" w:rsidR="00BE2CA7" w:rsidRPr="00440C76" w:rsidRDefault="00BE2CA7" w:rsidP="00BE2CA7">
      <w:pPr>
        <w:pStyle w:val="SingleTxtG"/>
        <w:ind w:left="2268" w:hanging="1134"/>
        <w:rPr>
          <w:rFonts w:eastAsia="Times New Roman"/>
          <w:lang w:val="fr-FR"/>
        </w:rPr>
      </w:pPr>
      <w:r w:rsidRPr="00440C76">
        <w:rPr>
          <w:rFonts w:eastAsia="Times New Roman"/>
          <w:lang w:val="fr-FR"/>
        </w:rPr>
        <w:t>12.2.2</w:t>
      </w:r>
      <w:r w:rsidRPr="00440C76">
        <w:rPr>
          <w:rFonts w:eastAsia="Times New Roman"/>
          <w:lang w:val="fr-FR"/>
        </w:rPr>
        <w:tab/>
        <w:t>À compter du 1</w:t>
      </w:r>
      <w:r w:rsidRPr="00440C76">
        <w:rPr>
          <w:rFonts w:eastAsia="Times New Roman"/>
          <w:vertAlign w:val="superscript"/>
          <w:lang w:val="fr-FR"/>
        </w:rPr>
        <w:t>er</w:t>
      </w:r>
      <w:r w:rsidRPr="00440C76">
        <w:rPr>
          <w:rFonts w:eastAsia="Times New Roman"/>
          <w:lang w:val="fr-FR"/>
        </w:rPr>
        <w:t> janvier 2025, les Parties contractantes appliquant le présent Règlement n</w:t>
      </w:r>
      <w:r>
        <w:rPr>
          <w:rFonts w:eastAsia="Times New Roman"/>
          <w:lang w:val="fr-FR"/>
        </w:rPr>
        <w:t>’</w:t>
      </w:r>
      <w:r w:rsidRPr="00440C76">
        <w:rPr>
          <w:rFonts w:eastAsia="Times New Roman"/>
          <w:lang w:val="fr-FR"/>
        </w:rPr>
        <w:t>accorderont une homologation aux nouveaux types de véhicules que s</w:t>
      </w:r>
      <w:r>
        <w:rPr>
          <w:rFonts w:eastAsia="Times New Roman"/>
          <w:lang w:val="fr-FR"/>
        </w:rPr>
        <w:t>’</w:t>
      </w:r>
      <w:r w:rsidRPr="00440C76">
        <w:rPr>
          <w:rFonts w:eastAsia="Times New Roman"/>
          <w:lang w:val="fr-FR"/>
        </w:rPr>
        <w:t>ils satisfont :</w:t>
      </w:r>
    </w:p>
    <w:p w14:paraId="7E708A40" w14:textId="77777777" w:rsidR="00BE2CA7" w:rsidRPr="00440C76" w:rsidRDefault="00BE2CA7" w:rsidP="00BE2CA7">
      <w:pPr>
        <w:pStyle w:val="SingleTxtG"/>
        <w:ind w:left="2835" w:hanging="567"/>
        <w:rPr>
          <w:rFonts w:eastAsia="Times New Roman"/>
          <w:lang w:val="fr-FR"/>
        </w:rPr>
      </w:pPr>
      <w:r w:rsidRPr="00440C76">
        <w:rPr>
          <w:rFonts w:eastAsia="Times New Roman"/>
          <w:lang w:val="fr-FR"/>
        </w:rPr>
        <w:t>a)</w:t>
      </w:r>
      <w:r w:rsidRPr="00440C76">
        <w:rPr>
          <w:rFonts w:eastAsia="Times New Roman"/>
          <w:lang w:val="fr-FR"/>
        </w:rPr>
        <w:tab/>
        <w:t>Aux prescriptions applicables aux véhicules homologués en vertu des lettres EB, telles que définies dans le tableau</w:t>
      </w:r>
      <w:r>
        <w:rPr>
          <w:rFonts w:eastAsia="Times New Roman"/>
          <w:lang w:val="fr-FR"/>
        </w:rPr>
        <w:t> </w:t>
      </w:r>
      <w:r w:rsidRPr="00440C76">
        <w:rPr>
          <w:rFonts w:eastAsia="Times New Roman"/>
          <w:lang w:val="fr-FR"/>
        </w:rPr>
        <w:t>A3/1 de l</w:t>
      </w:r>
      <w:r>
        <w:rPr>
          <w:rFonts w:eastAsia="Times New Roman"/>
          <w:lang w:val="fr-FR"/>
        </w:rPr>
        <w:t>’</w:t>
      </w:r>
      <w:r w:rsidRPr="00440C76">
        <w:rPr>
          <w:rFonts w:eastAsia="Times New Roman"/>
          <w:lang w:val="fr-FR"/>
        </w:rPr>
        <w:t>annexe</w:t>
      </w:r>
      <w:r>
        <w:rPr>
          <w:rFonts w:eastAsia="Times New Roman"/>
          <w:lang w:val="fr-FR"/>
        </w:rPr>
        <w:t> </w:t>
      </w:r>
      <w:r w:rsidRPr="00440C76">
        <w:rPr>
          <w:rFonts w:eastAsia="Times New Roman"/>
          <w:lang w:val="fr-FR"/>
        </w:rPr>
        <w:t>3 du présent Règlement, tel que modifié par la série</w:t>
      </w:r>
      <w:r>
        <w:rPr>
          <w:rFonts w:eastAsia="Times New Roman"/>
          <w:lang w:val="fr-FR"/>
        </w:rPr>
        <w:t> </w:t>
      </w:r>
      <w:r w:rsidRPr="00440C76">
        <w:rPr>
          <w:rFonts w:eastAsia="Times New Roman"/>
          <w:lang w:val="fr-FR"/>
        </w:rPr>
        <w:t>08 d</w:t>
      </w:r>
      <w:r>
        <w:rPr>
          <w:rFonts w:eastAsia="Times New Roman"/>
          <w:lang w:val="fr-FR"/>
        </w:rPr>
        <w:t>’</w:t>
      </w:r>
      <w:r w:rsidRPr="00440C76">
        <w:rPr>
          <w:rFonts w:eastAsia="Times New Roman"/>
          <w:lang w:val="fr-FR"/>
        </w:rPr>
        <w:t>amendements ;</w:t>
      </w:r>
    </w:p>
    <w:p w14:paraId="3E74AC91" w14:textId="77777777" w:rsidR="00BE2CA7" w:rsidRPr="00440C76" w:rsidRDefault="00BE2CA7" w:rsidP="00BE2CA7">
      <w:pPr>
        <w:pStyle w:val="SingleTxtG"/>
        <w:ind w:left="2835" w:hanging="567"/>
        <w:rPr>
          <w:rFonts w:eastAsia="Times New Roman"/>
          <w:lang w:val="fr-FR"/>
        </w:rPr>
      </w:pPr>
      <w:r w:rsidRPr="00440C76">
        <w:rPr>
          <w:rFonts w:eastAsia="Times New Roman"/>
          <w:lang w:val="fr-FR"/>
        </w:rPr>
        <w:t>b)</w:t>
      </w:r>
      <w:r w:rsidRPr="00440C76">
        <w:rPr>
          <w:rFonts w:eastAsia="Times New Roman"/>
          <w:lang w:val="fr-FR"/>
        </w:rPr>
        <w:tab/>
        <w:t xml:space="preserve">Aux prescriptions énoncées dans la troisième partie du Règlement ONU </w:t>
      </w:r>
      <w:r w:rsidRPr="00440C76">
        <w:rPr>
          <w:lang w:val="fr-FR"/>
        </w:rPr>
        <w:t>n</w:t>
      </w:r>
      <w:r w:rsidRPr="00440C76">
        <w:rPr>
          <w:vertAlign w:val="superscript"/>
          <w:lang w:val="fr-FR"/>
        </w:rPr>
        <w:t>o</w:t>
      </w:r>
      <w:r w:rsidRPr="00440C76">
        <w:rPr>
          <w:lang w:val="fr-FR"/>
        </w:rPr>
        <w:t> </w:t>
      </w:r>
      <w:r w:rsidRPr="00440C76">
        <w:rPr>
          <w:rFonts w:eastAsia="Times New Roman"/>
          <w:lang w:val="fr-FR"/>
        </w:rPr>
        <w:t xml:space="preserve">24 (le </w:t>
      </w:r>
      <w:r w:rsidRPr="00440C76">
        <w:rPr>
          <w:lang w:val="fr-FR"/>
        </w:rPr>
        <w:t>cas</w:t>
      </w:r>
      <w:r w:rsidRPr="00440C76">
        <w:rPr>
          <w:rFonts w:eastAsia="Times New Roman"/>
          <w:lang w:val="fr-FR"/>
        </w:rPr>
        <w:t xml:space="preserve"> échéant) ;</w:t>
      </w:r>
    </w:p>
    <w:p w14:paraId="1D0CFF22" w14:textId="77777777" w:rsidR="00BE2CA7" w:rsidRPr="00440C76" w:rsidRDefault="00BE2CA7" w:rsidP="00BE2CA7">
      <w:pPr>
        <w:pStyle w:val="SingleTxtG"/>
        <w:ind w:left="2835" w:hanging="567"/>
        <w:rPr>
          <w:rFonts w:eastAsia="Times New Roman"/>
          <w:lang w:val="fr-FR"/>
        </w:rPr>
      </w:pPr>
      <w:r w:rsidRPr="00440C76">
        <w:rPr>
          <w:rFonts w:eastAsia="Times New Roman"/>
          <w:lang w:val="fr-FR"/>
        </w:rPr>
        <w:t>c)</w:t>
      </w:r>
      <w:r w:rsidRPr="00440C76">
        <w:rPr>
          <w:rFonts w:eastAsia="Times New Roman"/>
          <w:lang w:val="fr-FR"/>
        </w:rPr>
        <w:tab/>
        <w:t xml:space="preserve">Aux prescriptions du Règlement ONU </w:t>
      </w:r>
      <w:r w:rsidRPr="00440C76">
        <w:rPr>
          <w:lang w:val="fr-FR"/>
        </w:rPr>
        <w:t>n</w:t>
      </w:r>
      <w:r w:rsidRPr="00440C76">
        <w:rPr>
          <w:vertAlign w:val="superscript"/>
          <w:lang w:val="fr-FR"/>
        </w:rPr>
        <w:t>o</w:t>
      </w:r>
      <w:r w:rsidRPr="00440C76">
        <w:rPr>
          <w:lang w:val="fr-FR"/>
        </w:rPr>
        <w:t> 8</w:t>
      </w:r>
      <w:r w:rsidRPr="00440C76">
        <w:rPr>
          <w:rFonts w:eastAsia="Times New Roman"/>
          <w:lang w:val="fr-FR"/>
        </w:rPr>
        <w:t>5 ;</w:t>
      </w:r>
    </w:p>
    <w:p w14:paraId="16A487A2" w14:textId="77777777" w:rsidR="00BE2CA7" w:rsidRPr="00440C76" w:rsidRDefault="00BE2CA7" w:rsidP="00BE2CA7">
      <w:pPr>
        <w:pStyle w:val="SingleTxtG"/>
        <w:ind w:left="2835" w:hanging="567"/>
        <w:rPr>
          <w:rFonts w:eastAsia="Times New Roman"/>
          <w:lang w:val="fr-FR"/>
        </w:rPr>
      </w:pPr>
      <w:r w:rsidRPr="00440C76">
        <w:rPr>
          <w:rFonts w:eastAsia="Times New Roman"/>
          <w:lang w:val="fr-FR"/>
        </w:rPr>
        <w:t>d)</w:t>
      </w:r>
      <w:r w:rsidRPr="00440C76">
        <w:rPr>
          <w:rFonts w:eastAsia="Times New Roman"/>
          <w:lang w:val="fr-FR"/>
        </w:rPr>
        <w:tab/>
      </w:r>
      <w:r w:rsidRPr="00440C76">
        <w:rPr>
          <w:lang w:val="fr-FR"/>
        </w:rPr>
        <w:t>Aux</w:t>
      </w:r>
      <w:r w:rsidRPr="00440C76">
        <w:rPr>
          <w:rFonts w:eastAsia="Times New Roman"/>
          <w:lang w:val="fr-FR"/>
        </w:rPr>
        <w:t xml:space="preserve"> prescriptions du niveau</w:t>
      </w:r>
      <w:r>
        <w:rPr>
          <w:rFonts w:eastAsia="Times New Roman"/>
          <w:lang w:val="fr-FR"/>
        </w:rPr>
        <w:t> </w:t>
      </w:r>
      <w:r w:rsidRPr="00440C76">
        <w:rPr>
          <w:rFonts w:eastAsia="Times New Roman"/>
          <w:lang w:val="fr-FR"/>
        </w:rPr>
        <w:t>1A du complément</w:t>
      </w:r>
      <w:r>
        <w:rPr>
          <w:rFonts w:eastAsia="Times New Roman"/>
          <w:lang w:val="fr-FR"/>
        </w:rPr>
        <w:t> </w:t>
      </w:r>
      <w:r w:rsidRPr="00440C76">
        <w:rPr>
          <w:rFonts w:eastAsia="Times New Roman"/>
          <w:lang w:val="fr-FR"/>
        </w:rPr>
        <w:t>1</w:t>
      </w:r>
      <w:r>
        <w:rPr>
          <w:rFonts w:eastAsia="Times New Roman"/>
          <w:lang w:val="fr-FR"/>
        </w:rPr>
        <w:t xml:space="preserve"> </w:t>
      </w:r>
      <w:r w:rsidRPr="00440C76">
        <w:rPr>
          <w:rFonts w:eastAsia="Times New Roman"/>
          <w:lang w:val="fr-FR"/>
        </w:rPr>
        <w:t>à la série</w:t>
      </w:r>
      <w:r>
        <w:rPr>
          <w:rFonts w:eastAsia="Times New Roman"/>
          <w:lang w:val="fr-FR"/>
        </w:rPr>
        <w:t> </w:t>
      </w:r>
      <w:r w:rsidRPr="00440C76">
        <w:rPr>
          <w:rFonts w:eastAsia="Times New Roman"/>
          <w:lang w:val="fr-FR"/>
        </w:rPr>
        <w:t>02 d</w:t>
      </w:r>
      <w:r>
        <w:rPr>
          <w:rFonts w:eastAsia="Times New Roman"/>
          <w:lang w:val="fr-FR"/>
        </w:rPr>
        <w:t>’</w:t>
      </w:r>
      <w:r w:rsidRPr="00440C76">
        <w:rPr>
          <w:rFonts w:eastAsia="Times New Roman"/>
          <w:lang w:val="fr-FR"/>
        </w:rPr>
        <w:t xml:space="preserve">amendements au Règlement ONU </w:t>
      </w:r>
      <w:r w:rsidRPr="00440C76">
        <w:rPr>
          <w:lang w:val="fr-FR"/>
        </w:rPr>
        <w:t>n</w:t>
      </w:r>
      <w:r w:rsidRPr="00440C76">
        <w:rPr>
          <w:vertAlign w:val="superscript"/>
          <w:lang w:val="fr-FR"/>
        </w:rPr>
        <w:t>o</w:t>
      </w:r>
      <w:r w:rsidRPr="00440C76">
        <w:rPr>
          <w:lang w:val="fr-FR"/>
        </w:rPr>
        <w:t> </w:t>
      </w:r>
      <w:r w:rsidRPr="00440C76">
        <w:rPr>
          <w:rFonts w:eastAsia="Times New Roman"/>
          <w:lang w:val="fr-FR"/>
        </w:rPr>
        <w:t>154</w:t>
      </w:r>
      <w:r>
        <w:rPr>
          <w:rFonts w:eastAsia="Times New Roman"/>
          <w:lang w:val="fr-FR"/>
        </w:rPr>
        <w:t xml:space="preserve"> </w:t>
      </w:r>
      <w:r>
        <w:rPr>
          <w:rStyle w:val="ui-provider"/>
        </w:rPr>
        <w:t>(ou à une version ultérieure desdites prescriptions)</w:t>
      </w:r>
      <w:r w:rsidRPr="00440C76">
        <w:rPr>
          <w:rFonts w:eastAsia="Times New Roman"/>
          <w:lang w:val="fr-FR"/>
        </w:rPr>
        <w:t xml:space="preserve"> ou aux prescriptions du </w:t>
      </w:r>
      <w:r w:rsidRPr="00440C76">
        <w:rPr>
          <w:lang w:val="fr-FR"/>
        </w:rPr>
        <w:t>complément</w:t>
      </w:r>
      <w:r>
        <w:rPr>
          <w:rFonts w:eastAsia="Times New Roman"/>
          <w:lang w:val="fr-FR"/>
        </w:rPr>
        <w:t> </w:t>
      </w:r>
      <w:r w:rsidRPr="00440C76">
        <w:rPr>
          <w:rFonts w:eastAsia="Times New Roman"/>
          <w:lang w:val="fr-FR"/>
        </w:rPr>
        <w:t>1</w:t>
      </w:r>
      <w:r>
        <w:rPr>
          <w:rFonts w:eastAsia="Times New Roman"/>
          <w:lang w:val="fr-FR"/>
        </w:rPr>
        <w:t xml:space="preserve"> </w:t>
      </w:r>
      <w:r w:rsidRPr="00440C76">
        <w:rPr>
          <w:rFonts w:eastAsia="Times New Roman"/>
          <w:lang w:val="fr-FR"/>
        </w:rPr>
        <w:t>à la série</w:t>
      </w:r>
      <w:r>
        <w:rPr>
          <w:rFonts w:eastAsia="Times New Roman"/>
          <w:lang w:val="fr-FR"/>
        </w:rPr>
        <w:t> </w:t>
      </w:r>
      <w:r w:rsidRPr="00440C76">
        <w:rPr>
          <w:rFonts w:eastAsia="Times New Roman"/>
          <w:lang w:val="fr-FR"/>
        </w:rPr>
        <w:t>03 d</w:t>
      </w:r>
      <w:r>
        <w:rPr>
          <w:rFonts w:eastAsia="Times New Roman"/>
          <w:lang w:val="fr-FR"/>
        </w:rPr>
        <w:t>’</w:t>
      </w:r>
      <w:r w:rsidRPr="00440C76">
        <w:rPr>
          <w:rFonts w:eastAsia="Times New Roman"/>
          <w:lang w:val="fr-FR"/>
        </w:rPr>
        <w:t>amendements audit Règlement ONU</w:t>
      </w:r>
      <w:r w:rsidRPr="00FB4DDC">
        <w:t xml:space="preserve"> </w:t>
      </w:r>
      <w:r>
        <w:rPr>
          <w:rStyle w:val="ui-provider"/>
        </w:rPr>
        <w:t>(ou à une version ultérieure desdites prescriptions)</w:t>
      </w:r>
      <w:r w:rsidRPr="00440C76">
        <w:rPr>
          <w:rFonts w:eastAsia="Times New Roman"/>
          <w:lang w:val="fr-FR"/>
        </w:rPr>
        <w:t> ;</w:t>
      </w:r>
    </w:p>
    <w:p w14:paraId="40F401E2" w14:textId="77777777" w:rsidR="00BE2CA7" w:rsidRPr="00440C76" w:rsidRDefault="00BE2CA7" w:rsidP="00BE2CA7">
      <w:pPr>
        <w:pStyle w:val="SingleTxtG"/>
        <w:ind w:left="2835" w:hanging="567"/>
        <w:rPr>
          <w:rFonts w:eastAsia="Times New Roman"/>
          <w:lang w:val="fr-FR"/>
        </w:rPr>
      </w:pPr>
      <w:r w:rsidRPr="00440C76">
        <w:rPr>
          <w:rFonts w:eastAsia="Times New Roman"/>
          <w:lang w:val="fr-FR"/>
        </w:rPr>
        <w:t>e)</w:t>
      </w:r>
      <w:r w:rsidRPr="00440C76">
        <w:rPr>
          <w:rFonts w:eastAsia="Times New Roman"/>
          <w:lang w:val="fr-FR"/>
        </w:rPr>
        <w:tab/>
        <w:t xml:space="preserve">Aux prescriptions du Règlement ONU </w:t>
      </w:r>
      <w:r w:rsidRPr="00440C76">
        <w:rPr>
          <w:lang w:val="fr-FR"/>
        </w:rPr>
        <w:t>n</w:t>
      </w:r>
      <w:r w:rsidRPr="00440C76">
        <w:rPr>
          <w:vertAlign w:val="superscript"/>
          <w:lang w:val="fr-FR"/>
        </w:rPr>
        <w:t>o</w:t>
      </w:r>
      <w:r w:rsidRPr="00440C76">
        <w:rPr>
          <w:lang w:val="fr-FR"/>
        </w:rPr>
        <w:t> </w:t>
      </w:r>
      <w:r w:rsidRPr="00440C76">
        <w:rPr>
          <w:rFonts w:eastAsia="Times New Roman"/>
          <w:lang w:val="fr-FR"/>
        </w:rPr>
        <w:t xml:space="preserve">[xxx] sur les émissions en </w:t>
      </w:r>
      <w:r w:rsidRPr="00440C76">
        <w:rPr>
          <w:lang w:val="fr-FR"/>
        </w:rPr>
        <w:t>conditions</w:t>
      </w:r>
      <w:r w:rsidRPr="00440C76">
        <w:rPr>
          <w:rFonts w:eastAsia="Times New Roman"/>
          <w:lang w:val="fr-FR"/>
        </w:rPr>
        <w:t xml:space="preserve"> réelles de conduite.</w:t>
      </w:r>
    </w:p>
    <w:p w14:paraId="6BF8FF22" w14:textId="77777777" w:rsidR="00BE2CA7" w:rsidRPr="00440C76" w:rsidRDefault="00BE2CA7" w:rsidP="00BE2CA7">
      <w:pPr>
        <w:pStyle w:val="SingleTxtG"/>
        <w:keepNext/>
        <w:ind w:left="2268" w:hanging="1134"/>
        <w:rPr>
          <w:rFonts w:eastAsia="Times New Roman"/>
          <w:lang w:val="fr-FR"/>
        </w:rPr>
      </w:pPr>
      <w:r w:rsidRPr="00440C76">
        <w:rPr>
          <w:rFonts w:eastAsia="Times New Roman"/>
          <w:lang w:val="fr-FR"/>
        </w:rPr>
        <w:lastRenderedPageBreak/>
        <w:t>12.2.3</w:t>
      </w:r>
      <w:r w:rsidRPr="00440C76">
        <w:rPr>
          <w:rFonts w:eastAsia="Times New Roman"/>
          <w:lang w:val="fr-FR"/>
        </w:rPr>
        <w:tab/>
        <w:t xml:space="preserve">À </w:t>
      </w:r>
      <w:r w:rsidRPr="00440C76">
        <w:rPr>
          <w:lang w:val="fr-FR"/>
        </w:rPr>
        <w:t>compter</w:t>
      </w:r>
      <w:r w:rsidRPr="00440C76">
        <w:rPr>
          <w:rFonts w:eastAsia="Times New Roman"/>
          <w:lang w:val="fr-FR"/>
        </w:rPr>
        <w:t xml:space="preserve"> du 1</w:t>
      </w:r>
      <w:r w:rsidRPr="00440C76">
        <w:rPr>
          <w:rFonts w:eastAsia="Times New Roman"/>
          <w:vertAlign w:val="superscript"/>
          <w:lang w:val="fr-FR"/>
        </w:rPr>
        <w:t>er</w:t>
      </w:r>
      <w:r w:rsidRPr="00440C76">
        <w:rPr>
          <w:rFonts w:eastAsia="Times New Roman"/>
          <w:lang w:val="fr-FR"/>
        </w:rPr>
        <w:t> janvier 2027, les Parties contractantes appliquant le présent Règlement ne devront accorder une homologation aux nouveaux types de véhicules que s</w:t>
      </w:r>
      <w:r>
        <w:rPr>
          <w:rFonts w:eastAsia="Times New Roman"/>
          <w:lang w:val="fr-FR"/>
        </w:rPr>
        <w:t>’</w:t>
      </w:r>
      <w:r w:rsidRPr="00440C76">
        <w:rPr>
          <w:rFonts w:eastAsia="Times New Roman"/>
          <w:lang w:val="fr-FR"/>
        </w:rPr>
        <w:t>ils satisfont :</w:t>
      </w:r>
    </w:p>
    <w:p w14:paraId="4A60B8DB" w14:textId="77777777" w:rsidR="00BE2CA7" w:rsidRPr="00440C76" w:rsidRDefault="00BE2CA7" w:rsidP="00BE2CA7">
      <w:pPr>
        <w:pStyle w:val="SingleTxtG"/>
        <w:ind w:left="2835" w:hanging="567"/>
        <w:rPr>
          <w:rFonts w:eastAsia="Times New Roman"/>
          <w:lang w:val="fr-FR"/>
        </w:rPr>
      </w:pPr>
      <w:r w:rsidRPr="00440C76">
        <w:rPr>
          <w:rFonts w:eastAsia="Times New Roman"/>
          <w:lang w:val="fr-FR"/>
        </w:rPr>
        <w:t>a)</w:t>
      </w:r>
      <w:r w:rsidRPr="00440C76">
        <w:rPr>
          <w:rFonts w:eastAsia="Times New Roman"/>
          <w:lang w:val="fr-FR"/>
        </w:rPr>
        <w:tab/>
      </w:r>
      <w:r w:rsidRPr="00440C76">
        <w:rPr>
          <w:lang w:val="fr-FR"/>
        </w:rPr>
        <w:t>Aux</w:t>
      </w:r>
      <w:r w:rsidRPr="00440C76">
        <w:rPr>
          <w:rFonts w:eastAsia="Times New Roman"/>
          <w:lang w:val="fr-FR"/>
        </w:rPr>
        <w:t xml:space="preserve"> prescriptions applicables aux véhicules homologués en vertu des lettres CE, telles que définies dans le tableau</w:t>
      </w:r>
      <w:r>
        <w:rPr>
          <w:rFonts w:eastAsia="Times New Roman"/>
          <w:lang w:val="fr-FR"/>
        </w:rPr>
        <w:t> </w:t>
      </w:r>
      <w:r w:rsidRPr="00440C76">
        <w:rPr>
          <w:rFonts w:eastAsia="Times New Roman"/>
          <w:lang w:val="fr-FR"/>
        </w:rPr>
        <w:t>A3/1 de l</w:t>
      </w:r>
      <w:r>
        <w:rPr>
          <w:rFonts w:eastAsia="Times New Roman"/>
          <w:lang w:val="fr-FR"/>
        </w:rPr>
        <w:t>’</w:t>
      </w:r>
      <w:r w:rsidRPr="00440C76">
        <w:rPr>
          <w:rFonts w:eastAsia="Times New Roman"/>
          <w:lang w:val="fr-FR"/>
        </w:rPr>
        <w:t>annexe</w:t>
      </w:r>
      <w:r>
        <w:rPr>
          <w:rFonts w:eastAsia="Times New Roman"/>
          <w:lang w:val="fr-FR"/>
        </w:rPr>
        <w:t> </w:t>
      </w:r>
      <w:r w:rsidRPr="00440C76">
        <w:rPr>
          <w:rFonts w:eastAsia="Times New Roman"/>
          <w:lang w:val="fr-FR"/>
        </w:rPr>
        <w:t>3 du présent Règlement, tel que modifié par la série</w:t>
      </w:r>
      <w:r>
        <w:rPr>
          <w:rFonts w:eastAsia="Times New Roman"/>
          <w:lang w:val="fr-FR"/>
        </w:rPr>
        <w:t> </w:t>
      </w:r>
      <w:r w:rsidRPr="00440C76">
        <w:rPr>
          <w:rFonts w:eastAsia="Times New Roman"/>
          <w:lang w:val="fr-FR"/>
        </w:rPr>
        <w:t>08 d</w:t>
      </w:r>
      <w:r>
        <w:rPr>
          <w:rFonts w:eastAsia="Times New Roman"/>
          <w:lang w:val="fr-FR"/>
        </w:rPr>
        <w:t>’</w:t>
      </w:r>
      <w:r w:rsidRPr="00440C76">
        <w:rPr>
          <w:rFonts w:eastAsia="Times New Roman"/>
          <w:lang w:val="fr-FR"/>
        </w:rPr>
        <w:t>amendements ;</w:t>
      </w:r>
    </w:p>
    <w:p w14:paraId="7BA08CFC" w14:textId="77777777" w:rsidR="00BE2CA7" w:rsidRPr="00440C76" w:rsidRDefault="00BE2CA7" w:rsidP="00BE2CA7">
      <w:pPr>
        <w:pStyle w:val="SingleTxtG"/>
        <w:ind w:left="2835" w:hanging="567"/>
        <w:rPr>
          <w:rFonts w:eastAsia="Times New Roman"/>
          <w:lang w:val="fr-FR"/>
        </w:rPr>
      </w:pPr>
      <w:r w:rsidRPr="00440C76">
        <w:rPr>
          <w:rFonts w:eastAsia="Times New Roman"/>
          <w:lang w:val="fr-FR"/>
        </w:rPr>
        <w:t>b)</w:t>
      </w:r>
      <w:r w:rsidRPr="00440C76">
        <w:rPr>
          <w:rFonts w:eastAsia="Times New Roman"/>
          <w:lang w:val="fr-FR"/>
        </w:rPr>
        <w:tab/>
      </w:r>
      <w:r w:rsidRPr="00440C76">
        <w:rPr>
          <w:lang w:val="fr-FR"/>
        </w:rPr>
        <w:t>Aux</w:t>
      </w:r>
      <w:r w:rsidRPr="00440C76">
        <w:rPr>
          <w:rFonts w:eastAsia="Times New Roman"/>
          <w:lang w:val="fr-FR"/>
        </w:rPr>
        <w:t xml:space="preserve"> prescriptions énoncées dans la troisième partie du Règlement ONU </w:t>
      </w:r>
      <w:r w:rsidRPr="00440C76">
        <w:rPr>
          <w:lang w:val="fr-FR"/>
        </w:rPr>
        <w:t>n</w:t>
      </w:r>
      <w:r w:rsidRPr="00440C76">
        <w:rPr>
          <w:vertAlign w:val="superscript"/>
          <w:lang w:val="fr-FR"/>
        </w:rPr>
        <w:t>o</w:t>
      </w:r>
      <w:r w:rsidRPr="00440C76">
        <w:rPr>
          <w:lang w:val="fr-FR"/>
        </w:rPr>
        <w:t> </w:t>
      </w:r>
      <w:r w:rsidRPr="00440C76">
        <w:rPr>
          <w:rFonts w:eastAsia="Times New Roman"/>
          <w:lang w:val="fr-FR"/>
        </w:rPr>
        <w:t>24 (le cas échéant) ;</w:t>
      </w:r>
    </w:p>
    <w:p w14:paraId="594DA12C" w14:textId="77777777" w:rsidR="00BE2CA7" w:rsidRPr="00440C76" w:rsidRDefault="00BE2CA7" w:rsidP="00BE2CA7">
      <w:pPr>
        <w:pStyle w:val="SingleTxtG"/>
        <w:ind w:left="2835" w:hanging="567"/>
        <w:rPr>
          <w:rFonts w:eastAsia="Times New Roman"/>
          <w:lang w:val="fr-FR"/>
        </w:rPr>
      </w:pPr>
      <w:r w:rsidRPr="00440C76">
        <w:rPr>
          <w:rFonts w:eastAsia="Times New Roman"/>
          <w:lang w:val="fr-FR"/>
        </w:rPr>
        <w:t>c)</w:t>
      </w:r>
      <w:r w:rsidRPr="00440C76">
        <w:rPr>
          <w:rFonts w:eastAsia="Times New Roman"/>
          <w:lang w:val="fr-FR"/>
        </w:rPr>
        <w:tab/>
      </w:r>
      <w:r w:rsidRPr="00440C76">
        <w:rPr>
          <w:lang w:val="fr-FR"/>
        </w:rPr>
        <w:t>Aux</w:t>
      </w:r>
      <w:r w:rsidRPr="00440C76">
        <w:rPr>
          <w:rFonts w:eastAsia="Times New Roman"/>
          <w:lang w:val="fr-FR"/>
        </w:rPr>
        <w:t xml:space="preserve"> prescriptions du Règlement ONU </w:t>
      </w:r>
      <w:r w:rsidRPr="00440C76">
        <w:rPr>
          <w:lang w:val="fr-FR"/>
        </w:rPr>
        <w:t>n</w:t>
      </w:r>
      <w:r w:rsidRPr="00440C76">
        <w:rPr>
          <w:vertAlign w:val="superscript"/>
          <w:lang w:val="fr-FR"/>
        </w:rPr>
        <w:t>o</w:t>
      </w:r>
      <w:r w:rsidRPr="00440C76">
        <w:rPr>
          <w:lang w:val="fr-FR"/>
        </w:rPr>
        <w:t> </w:t>
      </w:r>
      <w:r w:rsidRPr="00440C76">
        <w:rPr>
          <w:rFonts w:eastAsia="Times New Roman"/>
          <w:lang w:val="fr-FR"/>
        </w:rPr>
        <w:t>85 ;</w:t>
      </w:r>
    </w:p>
    <w:p w14:paraId="122CF81E" w14:textId="77777777" w:rsidR="00BE2CA7" w:rsidRPr="00440C76" w:rsidRDefault="00BE2CA7" w:rsidP="00BE2CA7">
      <w:pPr>
        <w:pStyle w:val="SingleTxtG"/>
        <w:ind w:left="2835" w:hanging="567"/>
        <w:rPr>
          <w:rFonts w:eastAsia="Times New Roman"/>
          <w:lang w:val="fr-FR"/>
        </w:rPr>
      </w:pPr>
      <w:r w:rsidRPr="00440C76">
        <w:rPr>
          <w:rFonts w:eastAsia="Times New Roman"/>
          <w:lang w:val="fr-FR"/>
        </w:rPr>
        <w:t>d)</w:t>
      </w:r>
      <w:r w:rsidRPr="00440C76">
        <w:rPr>
          <w:rFonts w:eastAsia="Times New Roman"/>
          <w:lang w:val="fr-FR"/>
        </w:rPr>
        <w:tab/>
        <w:t>Aux prescriptions du niveau</w:t>
      </w:r>
      <w:r>
        <w:rPr>
          <w:rFonts w:eastAsia="Times New Roman"/>
          <w:lang w:val="fr-FR"/>
        </w:rPr>
        <w:t> </w:t>
      </w:r>
      <w:r w:rsidRPr="00440C76">
        <w:rPr>
          <w:rFonts w:eastAsia="Times New Roman"/>
          <w:lang w:val="fr-FR"/>
        </w:rPr>
        <w:t>1A du complément</w:t>
      </w:r>
      <w:r>
        <w:rPr>
          <w:rFonts w:eastAsia="Times New Roman"/>
          <w:lang w:val="fr-FR"/>
        </w:rPr>
        <w:t> </w:t>
      </w:r>
      <w:r w:rsidRPr="00440C76">
        <w:rPr>
          <w:rFonts w:eastAsia="Times New Roman"/>
          <w:lang w:val="fr-FR"/>
        </w:rPr>
        <w:t>1 à la série</w:t>
      </w:r>
      <w:r>
        <w:rPr>
          <w:rFonts w:eastAsia="Times New Roman"/>
          <w:lang w:val="fr-FR"/>
        </w:rPr>
        <w:t> </w:t>
      </w:r>
      <w:r w:rsidRPr="00440C76">
        <w:rPr>
          <w:rFonts w:eastAsia="Times New Roman"/>
          <w:lang w:val="fr-FR"/>
        </w:rPr>
        <w:t>02 d</w:t>
      </w:r>
      <w:r>
        <w:rPr>
          <w:rFonts w:eastAsia="Times New Roman"/>
          <w:lang w:val="fr-FR"/>
        </w:rPr>
        <w:t>’</w:t>
      </w:r>
      <w:r w:rsidRPr="00440C76">
        <w:rPr>
          <w:rFonts w:eastAsia="Times New Roman"/>
          <w:lang w:val="fr-FR"/>
        </w:rPr>
        <w:t xml:space="preserve">amendements au Règlement ONU </w:t>
      </w:r>
      <w:r w:rsidRPr="00440C76">
        <w:rPr>
          <w:lang w:val="fr-FR"/>
        </w:rPr>
        <w:t>n</w:t>
      </w:r>
      <w:r w:rsidRPr="00440C76">
        <w:rPr>
          <w:vertAlign w:val="superscript"/>
          <w:lang w:val="fr-FR"/>
        </w:rPr>
        <w:t>o</w:t>
      </w:r>
      <w:r w:rsidRPr="00440C76">
        <w:rPr>
          <w:lang w:val="fr-FR"/>
        </w:rPr>
        <w:t> </w:t>
      </w:r>
      <w:r w:rsidRPr="00440C76">
        <w:rPr>
          <w:rFonts w:eastAsia="Times New Roman"/>
          <w:lang w:val="fr-FR"/>
        </w:rPr>
        <w:t>154</w:t>
      </w:r>
      <w:r w:rsidRPr="00FB4DDC">
        <w:t xml:space="preserve"> </w:t>
      </w:r>
      <w:r>
        <w:rPr>
          <w:rStyle w:val="ui-provider"/>
        </w:rPr>
        <w:t>(ou à une version ultérieure desdites prescriptions)</w:t>
      </w:r>
      <w:r w:rsidRPr="00440C76">
        <w:rPr>
          <w:rFonts w:eastAsia="Times New Roman"/>
          <w:lang w:val="fr-FR"/>
        </w:rPr>
        <w:t xml:space="preserve"> ou aux prescriptions du complément</w:t>
      </w:r>
      <w:r>
        <w:rPr>
          <w:rFonts w:eastAsia="Times New Roman"/>
          <w:lang w:val="fr-FR"/>
        </w:rPr>
        <w:t> </w:t>
      </w:r>
      <w:r w:rsidRPr="00440C76">
        <w:rPr>
          <w:rFonts w:eastAsia="Times New Roman"/>
          <w:lang w:val="fr-FR"/>
        </w:rPr>
        <w:t>1</w:t>
      </w:r>
      <w:r>
        <w:rPr>
          <w:rFonts w:eastAsia="Times New Roman"/>
          <w:lang w:val="fr-FR"/>
        </w:rPr>
        <w:t xml:space="preserve"> </w:t>
      </w:r>
      <w:r w:rsidRPr="00440C76">
        <w:rPr>
          <w:rFonts w:eastAsia="Times New Roman"/>
          <w:lang w:val="fr-FR"/>
        </w:rPr>
        <w:t>à la série</w:t>
      </w:r>
      <w:r>
        <w:rPr>
          <w:rFonts w:eastAsia="Times New Roman"/>
          <w:lang w:val="fr-FR"/>
        </w:rPr>
        <w:t> </w:t>
      </w:r>
      <w:r w:rsidRPr="00440C76">
        <w:rPr>
          <w:rFonts w:eastAsia="Times New Roman"/>
          <w:lang w:val="fr-FR"/>
        </w:rPr>
        <w:t>03 d</w:t>
      </w:r>
      <w:r>
        <w:rPr>
          <w:rFonts w:eastAsia="Times New Roman"/>
          <w:lang w:val="fr-FR"/>
        </w:rPr>
        <w:t>’</w:t>
      </w:r>
      <w:r w:rsidRPr="00440C76">
        <w:rPr>
          <w:rFonts w:eastAsia="Times New Roman"/>
          <w:lang w:val="fr-FR"/>
        </w:rPr>
        <w:t>amendements audit Règlement ONU</w:t>
      </w:r>
      <w:r w:rsidRPr="003A4E2E">
        <w:rPr>
          <w:rFonts w:eastAsia="Times New Roman"/>
          <w:lang w:val="fr-FR"/>
        </w:rPr>
        <w:t xml:space="preserve"> </w:t>
      </w:r>
      <w:r>
        <w:rPr>
          <w:rStyle w:val="ui-provider"/>
        </w:rPr>
        <w:t>(ou à une version ultérieure desdites prescriptions)</w:t>
      </w:r>
      <w:r w:rsidRPr="00440C76">
        <w:rPr>
          <w:rFonts w:eastAsia="Times New Roman"/>
          <w:lang w:val="fr-FR"/>
        </w:rPr>
        <w:t> ;</w:t>
      </w:r>
    </w:p>
    <w:p w14:paraId="62375649" w14:textId="77777777" w:rsidR="00BE2CA7" w:rsidRPr="00440C76" w:rsidRDefault="00BE2CA7" w:rsidP="00BE2CA7">
      <w:pPr>
        <w:pStyle w:val="SingleTxtG"/>
        <w:ind w:left="2835" w:hanging="567"/>
        <w:rPr>
          <w:rFonts w:eastAsia="Times New Roman"/>
          <w:lang w:val="fr-FR"/>
        </w:rPr>
      </w:pPr>
      <w:r w:rsidRPr="00440C76">
        <w:rPr>
          <w:rFonts w:eastAsia="Times New Roman"/>
          <w:lang w:val="fr-FR"/>
        </w:rPr>
        <w:t>e)</w:t>
      </w:r>
      <w:r w:rsidRPr="00440C76">
        <w:rPr>
          <w:rFonts w:eastAsia="Times New Roman"/>
          <w:lang w:val="fr-FR"/>
        </w:rPr>
        <w:tab/>
      </w:r>
      <w:r w:rsidRPr="00440C76">
        <w:rPr>
          <w:lang w:val="fr-FR"/>
        </w:rPr>
        <w:t>Aux</w:t>
      </w:r>
      <w:r w:rsidRPr="00440C76">
        <w:rPr>
          <w:rFonts w:eastAsia="Times New Roman"/>
          <w:lang w:val="fr-FR"/>
        </w:rPr>
        <w:t xml:space="preserve"> prescriptions du Règlement ONU </w:t>
      </w:r>
      <w:r w:rsidRPr="00440C76">
        <w:rPr>
          <w:lang w:val="fr-FR"/>
        </w:rPr>
        <w:t>n</w:t>
      </w:r>
      <w:r w:rsidRPr="00440C76">
        <w:rPr>
          <w:vertAlign w:val="superscript"/>
          <w:lang w:val="fr-FR"/>
        </w:rPr>
        <w:t>o</w:t>
      </w:r>
      <w:r w:rsidRPr="00440C76">
        <w:rPr>
          <w:lang w:val="fr-FR"/>
        </w:rPr>
        <w:t> </w:t>
      </w:r>
      <w:r w:rsidRPr="00440C76">
        <w:rPr>
          <w:rFonts w:eastAsia="Times New Roman"/>
          <w:lang w:val="fr-FR"/>
        </w:rPr>
        <w:t>[xxx] sur les émissions en conditions réelles de conduite.</w:t>
      </w:r>
    </w:p>
    <w:p w14:paraId="7FF621FB" w14:textId="77777777" w:rsidR="00BE2CA7" w:rsidRPr="00440C76" w:rsidRDefault="00BE2CA7" w:rsidP="00BE2CA7">
      <w:pPr>
        <w:pStyle w:val="HChG"/>
        <w:ind w:left="2268"/>
        <w:rPr>
          <w:rFonts w:eastAsia="Times New Roman"/>
          <w:szCs w:val="28"/>
          <w:lang w:val="fr-FR"/>
        </w:rPr>
      </w:pPr>
      <w:r w:rsidRPr="00440C76">
        <w:rPr>
          <w:rFonts w:eastAsia="Times New Roman"/>
          <w:szCs w:val="28"/>
          <w:lang w:val="fr-FR"/>
        </w:rPr>
        <w:t>13.</w:t>
      </w:r>
      <w:r w:rsidRPr="00440C76">
        <w:rPr>
          <w:rFonts w:eastAsia="Times New Roman"/>
          <w:szCs w:val="28"/>
          <w:lang w:val="fr-FR"/>
        </w:rPr>
        <w:tab/>
        <w:t xml:space="preserve">Noms et </w:t>
      </w:r>
      <w:r w:rsidRPr="00440C76">
        <w:rPr>
          <w:lang w:val="fr-FR"/>
        </w:rPr>
        <w:t>adresses</w:t>
      </w:r>
      <w:r w:rsidRPr="00440C76">
        <w:rPr>
          <w:rFonts w:eastAsia="Times New Roman"/>
          <w:szCs w:val="28"/>
          <w:lang w:val="fr-FR"/>
        </w:rPr>
        <w:t xml:space="preserve"> des services techniques chargés des </w:t>
      </w:r>
      <w:r w:rsidRPr="00440C76">
        <w:rPr>
          <w:rFonts w:eastAsia="Times New Roman"/>
          <w:lang w:val="fr-FR"/>
        </w:rPr>
        <w:t>essais</w:t>
      </w:r>
      <w:r w:rsidRPr="00440C76">
        <w:rPr>
          <w:rFonts w:eastAsia="Times New Roman"/>
          <w:szCs w:val="28"/>
          <w:lang w:val="fr-FR"/>
        </w:rPr>
        <w:t xml:space="preserve"> </w:t>
      </w:r>
      <w:r w:rsidRPr="00440C76">
        <w:rPr>
          <w:lang w:val="fr-FR"/>
        </w:rPr>
        <w:t>d</w:t>
      </w:r>
      <w:r>
        <w:rPr>
          <w:lang w:val="fr-FR"/>
        </w:rPr>
        <w:t>’</w:t>
      </w:r>
      <w:r w:rsidRPr="00440C76">
        <w:rPr>
          <w:lang w:val="fr-FR"/>
        </w:rPr>
        <w:t>homologation</w:t>
      </w:r>
      <w:r w:rsidRPr="00440C76">
        <w:rPr>
          <w:rFonts w:eastAsia="Times New Roman"/>
          <w:szCs w:val="28"/>
          <w:lang w:val="fr-FR"/>
        </w:rPr>
        <w:t xml:space="preserve"> et des autorités d</w:t>
      </w:r>
      <w:r>
        <w:rPr>
          <w:rFonts w:eastAsia="Times New Roman"/>
          <w:szCs w:val="28"/>
          <w:lang w:val="fr-FR"/>
        </w:rPr>
        <w:t>’</w:t>
      </w:r>
      <w:r w:rsidRPr="00440C76">
        <w:rPr>
          <w:rFonts w:eastAsia="Times New Roman"/>
          <w:szCs w:val="28"/>
          <w:lang w:val="fr-FR"/>
        </w:rPr>
        <w:t>homologation de type</w:t>
      </w:r>
    </w:p>
    <w:p w14:paraId="06C8D34F" w14:textId="77777777" w:rsidR="00BE2CA7" w:rsidRDefault="00BE2CA7" w:rsidP="00BE2CA7">
      <w:pPr>
        <w:pStyle w:val="SingleTxtG"/>
        <w:ind w:left="2268"/>
        <w:rPr>
          <w:lang w:val="fr-FR"/>
        </w:rPr>
        <w:sectPr w:rsidR="00BE2CA7" w:rsidSect="00BE2CA7">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pPr>
      <w:r w:rsidRPr="00440C76">
        <w:rPr>
          <w:lang w:val="fr-FR"/>
        </w:rPr>
        <w:t xml:space="preserve">Les Parties à </w:t>
      </w:r>
      <w:r w:rsidRPr="00440C76">
        <w:rPr>
          <w:rFonts w:eastAsia="Times New Roman"/>
          <w:lang w:val="fr-FR"/>
        </w:rPr>
        <w:t>l</w:t>
      </w:r>
      <w:r>
        <w:rPr>
          <w:rFonts w:eastAsia="Times New Roman"/>
          <w:lang w:val="fr-FR"/>
        </w:rPr>
        <w:t>’</w:t>
      </w:r>
      <w:r w:rsidRPr="00440C76">
        <w:rPr>
          <w:rFonts w:eastAsia="Times New Roman"/>
          <w:lang w:val="fr-FR"/>
        </w:rPr>
        <w:t>Accord</w:t>
      </w:r>
      <w:r w:rsidRPr="00440C76">
        <w:rPr>
          <w:lang w:val="fr-FR"/>
        </w:rPr>
        <w:t xml:space="preserve"> de 1958 appliquant le présent Règlement doivent communiquer au Secrétariat de l</w:t>
      </w:r>
      <w:r>
        <w:rPr>
          <w:lang w:val="fr-FR"/>
        </w:rPr>
        <w:t>’</w:t>
      </w:r>
      <w:r w:rsidRPr="00440C76">
        <w:rPr>
          <w:lang w:val="fr-FR"/>
        </w:rPr>
        <w:t>Organisation des Nations Unies les noms et adresses des services techniques chargés des essais d</w:t>
      </w:r>
      <w:r>
        <w:rPr>
          <w:lang w:val="fr-FR"/>
        </w:rPr>
        <w:t>’</w:t>
      </w:r>
      <w:r w:rsidRPr="00440C76">
        <w:rPr>
          <w:lang w:val="fr-FR"/>
        </w:rPr>
        <w:t>homologation et ceux des autorités d</w:t>
      </w:r>
      <w:r>
        <w:rPr>
          <w:lang w:val="fr-FR"/>
        </w:rPr>
        <w:t>’</w:t>
      </w:r>
      <w:r w:rsidRPr="00440C76">
        <w:rPr>
          <w:lang w:val="fr-FR"/>
        </w:rPr>
        <w:t>homologation de type qui délivrent l</w:t>
      </w:r>
      <w:r>
        <w:rPr>
          <w:lang w:val="fr-FR"/>
        </w:rPr>
        <w:t>’</w:t>
      </w:r>
      <w:r w:rsidRPr="00440C76">
        <w:rPr>
          <w:lang w:val="fr-FR"/>
        </w:rPr>
        <w:t>homologation et auxquelles doivent être envoyées les fiches d</w:t>
      </w:r>
      <w:r>
        <w:rPr>
          <w:lang w:val="fr-FR"/>
        </w:rPr>
        <w:t>’</w:t>
      </w:r>
      <w:r w:rsidRPr="00440C76">
        <w:rPr>
          <w:lang w:val="fr-FR"/>
        </w:rPr>
        <w:t>homologation ou d</w:t>
      </w:r>
      <w:r>
        <w:rPr>
          <w:lang w:val="fr-FR"/>
        </w:rPr>
        <w:t>’</w:t>
      </w:r>
      <w:r w:rsidRPr="00440C76">
        <w:rPr>
          <w:lang w:val="fr-FR"/>
        </w:rPr>
        <w:t>extension, de refus ou de retrait d</w:t>
      </w:r>
      <w:r>
        <w:rPr>
          <w:lang w:val="fr-FR"/>
        </w:rPr>
        <w:t>’</w:t>
      </w:r>
      <w:r w:rsidRPr="00440C76">
        <w:rPr>
          <w:lang w:val="fr-FR"/>
        </w:rPr>
        <w:t>homologation émises dans les autres pays</w:t>
      </w:r>
      <w:r w:rsidRPr="00977679">
        <w:rPr>
          <w:rStyle w:val="Appelnotedebasdep"/>
        </w:rPr>
        <w:footnoteReference w:id="5"/>
      </w:r>
      <w:r w:rsidRPr="00440C76">
        <w:rPr>
          <w:lang w:val="fr-FR"/>
        </w:rPr>
        <w:t>.</w:t>
      </w:r>
    </w:p>
    <w:p w14:paraId="004337C0" w14:textId="77777777" w:rsidR="00BE2CA7" w:rsidRPr="00440C76" w:rsidRDefault="00BE2CA7" w:rsidP="00BE2CA7">
      <w:pPr>
        <w:pStyle w:val="HChG"/>
        <w:rPr>
          <w:lang w:val="fr-FR"/>
        </w:rPr>
      </w:pPr>
      <w:r w:rsidRPr="00440C76">
        <w:rPr>
          <w:lang w:val="fr-FR"/>
        </w:rPr>
        <w:lastRenderedPageBreak/>
        <w:t>Annexe</w:t>
      </w:r>
      <w:r>
        <w:rPr>
          <w:lang w:val="fr-FR"/>
        </w:rPr>
        <w:t> </w:t>
      </w:r>
      <w:r w:rsidRPr="00440C76">
        <w:rPr>
          <w:lang w:val="fr-FR"/>
        </w:rPr>
        <w:t>1</w:t>
      </w:r>
    </w:p>
    <w:p w14:paraId="2DBE658B" w14:textId="77777777" w:rsidR="00BE2CA7" w:rsidRPr="00440C76" w:rsidRDefault="00BE2CA7" w:rsidP="00BE2CA7">
      <w:pPr>
        <w:pStyle w:val="HChG"/>
        <w:rPr>
          <w:lang w:val="fr-FR"/>
        </w:rPr>
      </w:pPr>
      <w:r w:rsidRPr="00440C76">
        <w:rPr>
          <w:lang w:val="fr-FR"/>
        </w:rPr>
        <w:tab/>
      </w:r>
      <w:r w:rsidRPr="00440C76">
        <w:rPr>
          <w:lang w:val="fr-FR"/>
        </w:rPr>
        <w:tab/>
        <w:t>Caractéristiques du moteur et du véhicule et informations concernant la réalisation</w:t>
      </w:r>
      <w:r>
        <w:rPr>
          <w:lang w:val="fr-FR"/>
        </w:rPr>
        <w:t xml:space="preserve"> </w:t>
      </w:r>
      <w:r w:rsidRPr="00440C76">
        <w:rPr>
          <w:lang w:val="fr-FR"/>
        </w:rPr>
        <w:t>des essais</w:t>
      </w:r>
    </w:p>
    <w:p w14:paraId="7C4A4017" w14:textId="77777777" w:rsidR="00BE2CA7" w:rsidRDefault="00BE2CA7" w:rsidP="00BE2CA7">
      <w:pPr>
        <w:pStyle w:val="SingleTxtG"/>
        <w:rPr>
          <w:lang w:val="fr-FR"/>
        </w:rPr>
      </w:pPr>
      <w:r w:rsidRPr="00B07ACF">
        <w:rPr>
          <w:lang w:val="fr-FR"/>
        </w:rPr>
        <w:t>Les renseignements ci-dessous doivent, s</w:t>
      </w:r>
      <w:r>
        <w:rPr>
          <w:lang w:val="fr-FR"/>
        </w:rPr>
        <w:t>’</w:t>
      </w:r>
      <w:r w:rsidRPr="00B07ACF">
        <w:rPr>
          <w:lang w:val="fr-FR"/>
        </w:rPr>
        <w:t>il y a lieu, être fournis en triple exemplaire et être accompagnés d</w:t>
      </w:r>
      <w:r>
        <w:rPr>
          <w:lang w:val="fr-FR"/>
        </w:rPr>
        <w:t>’</w:t>
      </w:r>
      <w:r w:rsidRPr="00B07ACF">
        <w:rPr>
          <w:lang w:val="fr-FR"/>
        </w:rPr>
        <w:t>une liste des pièces jointes.</w:t>
      </w:r>
    </w:p>
    <w:p w14:paraId="47899C3B" w14:textId="77777777" w:rsidR="00BE2CA7" w:rsidRDefault="00BE2CA7" w:rsidP="00BE2CA7">
      <w:pPr>
        <w:pStyle w:val="SingleTxtG"/>
        <w:rPr>
          <w:lang w:val="fr-FR"/>
        </w:rPr>
      </w:pPr>
      <w:r w:rsidRPr="0074760C">
        <w:rPr>
          <w:lang w:val="fr-FR"/>
        </w:rPr>
        <w:t>Les dessins éventuellement fournis doivent être à une échelle appropriée et suffisamment détaillés</w:t>
      </w:r>
      <w:r>
        <w:rPr>
          <w:lang w:val="fr-FR"/>
        </w:rPr>
        <w:t> </w:t>
      </w:r>
      <w:r w:rsidRPr="0074760C">
        <w:rPr>
          <w:lang w:val="fr-FR"/>
        </w:rPr>
        <w:t>;</w:t>
      </w:r>
      <w:r>
        <w:rPr>
          <w:lang w:val="fr-FR"/>
        </w:rPr>
        <w:t xml:space="preserve"> </w:t>
      </w:r>
      <w:r w:rsidRPr="0008123F">
        <w:rPr>
          <w:lang w:val="fr-FR"/>
        </w:rPr>
        <w:t>ils doivent être au format</w:t>
      </w:r>
      <w:r>
        <w:rPr>
          <w:lang w:val="fr-FR"/>
        </w:rPr>
        <w:t> </w:t>
      </w:r>
      <w:r w:rsidRPr="0008123F">
        <w:rPr>
          <w:lang w:val="fr-FR"/>
        </w:rPr>
        <w:t>A4 ou pliés à ce format.</w:t>
      </w:r>
      <w:r>
        <w:rPr>
          <w:lang w:val="fr-FR"/>
        </w:rPr>
        <w:t xml:space="preserve"> </w:t>
      </w:r>
      <w:r w:rsidRPr="0008123F">
        <w:rPr>
          <w:lang w:val="fr-FR"/>
        </w:rPr>
        <w:t>Les photographies éventuellement fournies doivent être suffisamment détaillées.</w:t>
      </w:r>
    </w:p>
    <w:p w14:paraId="053B503D" w14:textId="77777777" w:rsidR="00BE2CA7" w:rsidRDefault="00BE2CA7" w:rsidP="00BE2CA7">
      <w:pPr>
        <w:pStyle w:val="SingleTxtG"/>
        <w:rPr>
          <w:lang w:val="fr-FR"/>
        </w:rPr>
      </w:pPr>
      <w:r w:rsidRPr="00D020C8">
        <w:rPr>
          <w:lang w:val="fr-FR"/>
        </w:rPr>
        <w:t>Si les systèmes, les composants ou les entités techniques distinctes ont des fonctions à commande électronique, des renseignements concernant leurs performances doivent être fournis.</w:t>
      </w:r>
    </w:p>
    <w:p w14:paraId="4F81EE9B" w14:textId="77777777" w:rsidR="00BE2CA7" w:rsidRPr="00A318C3" w:rsidRDefault="00BE2CA7" w:rsidP="00BE2CA7">
      <w:pPr>
        <w:tabs>
          <w:tab w:val="left" w:pos="9639"/>
        </w:tabs>
        <w:spacing w:after="120"/>
        <w:ind w:left="2552" w:right="1134" w:hanging="1418"/>
        <w:jc w:val="both"/>
        <w:rPr>
          <w:lang w:val="fr-FR"/>
        </w:rPr>
      </w:pPr>
      <w:r w:rsidRPr="00A318C3">
        <w:rPr>
          <w:lang w:val="fr-FR"/>
        </w:rPr>
        <w:t>0</w:t>
      </w:r>
      <w:r>
        <w:rPr>
          <w:lang w:val="fr-FR"/>
        </w:rPr>
        <w:t>.</w:t>
      </w:r>
      <w:r w:rsidRPr="00A318C3">
        <w:rPr>
          <w:lang w:val="fr-FR"/>
        </w:rPr>
        <w:tab/>
        <w:t>Généralités</w:t>
      </w:r>
    </w:p>
    <w:p w14:paraId="46AB7DDC" w14:textId="77777777" w:rsidR="00BE2CA7" w:rsidRPr="00A318C3" w:rsidRDefault="00BE2CA7" w:rsidP="00BE2CA7">
      <w:pPr>
        <w:tabs>
          <w:tab w:val="left" w:pos="1134"/>
          <w:tab w:val="right" w:leader="dot" w:pos="8505"/>
        </w:tabs>
        <w:spacing w:after="120"/>
        <w:ind w:left="2552" w:right="1134" w:hanging="1418"/>
        <w:jc w:val="both"/>
        <w:rPr>
          <w:lang w:val="fr-FR"/>
        </w:rPr>
      </w:pPr>
      <w:r w:rsidRPr="00A318C3">
        <w:rPr>
          <w:lang w:val="fr-FR"/>
        </w:rPr>
        <w:t>0.1</w:t>
      </w:r>
      <w:r w:rsidRPr="00A318C3">
        <w:rPr>
          <w:lang w:val="fr-FR"/>
        </w:rPr>
        <w:tab/>
        <w:t>Marque (</w:t>
      </w:r>
      <w:r>
        <w:rPr>
          <w:lang w:val="fr-FR"/>
        </w:rPr>
        <w:t>raison sociale</w:t>
      </w:r>
      <w:r w:rsidRPr="00A318C3">
        <w:rPr>
          <w:lang w:val="fr-FR"/>
        </w:rPr>
        <w:t xml:space="preserve"> du constructeur)</w:t>
      </w:r>
      <w:r>
        <w:rPr>
          <w:lang w:val="fr-FR"/>
        </w:rPr>
        <w:t> </w:t>
      </w:r>
      <w:r w:rsidRPr="00A318C3">
        <w:rPr>
          <w:lang w:val="fr-FR"/>
        </w:rPr>
        <w:t>:</w:t>
      </w:r>
      <w:r w:rsidRPr="00A318C3">
        <w:rPr>
          <w:lang w:val="fr-FR"/>
        </w:rPr>
        <w:tab/>
      </w:r>
    </w:p>
    <w:p w14:paraId="3C083AB0" w14:textId="77777777" w:rsidR="00BE2CA7" w:rsidRPr="00A318C3" w:rsidRDefault="00BE2CA7" w:rsidP="00BE2CA7">
      <w:pPr>
        <w:tabs>
          <w:tab w:val="left" w:pos="1134"/>
          <w:tab w:val="right" w:leader="dot" w:pos="8505"/>
        </w:tabs>
        <w:spacing w:after="120"/>
        <w:ind w:left="2552" w:right="1134" w:hanging="1418"/>
        <w:jc w:val="both"/>
        <w:rPr>
          <w:lang w:val="fr-FR"/>
        </w:rPr>
      </w:pPr>
      <w:r w:rsidRPr="00A318C3">
        <w:rPr>
          <w:lang w:val="fr-FR"/>
        </w:rPr>
        <w:t>0.2</w:t>
      </w:r>
      <w:r w:rsidRPr="00A318C3">
        <w:rPr>
          <w:lang w:val="fr-FR"/>
        </w:rPr>
        <w:tab/>
        <w:t>Type</w:t>
      </w:r>
      <w:r>
        <w:rPr>
          <w:lang w:val="fr-FR"/>
        </w:rPr>
        <w:t> </w:t>
      </w:r>
      <w:r w:rsidRPr="00A318C3">
        <w:rPr>
          <w:lang w:val="fr-FR"/>
        </w:rPr>
        <w:t>:</w:t>
      </w:r>
      <w:r w:rsidRPr="00A318C3">
        <w:rPr>
          <w:lang w:val="fr-FR"/>
        </w:rPr>
        <w:tab/>
      </w:r>
    </w:p>
    <w:p w14:paraId="22C03CA5" w14:textId="77777777" w:rsidR="00BE2CA7" w:rsidRPr="00A318C3" w:rsidRDefault="00BE2CA7" w:rsidP="00BE2CA7">
      <w:pPr>
        <w:tabs>
          <w:tab w:val="left" w:pos="1134"/>
          <w:tab w:val="right" w:leader="dot" w:pos="8505"/>
        </w:tabs>
        <w:spacing w:after="120"/>
        <w:ind w:left="2552" w:right="1134" w:hanging="1418"/>
        <w:jc w:val="both"/>
        <w:rPr>
          <w:lang w:val="fr-FR"/>
        </w:rPr>
      </w:pPr>
      <w:r w:rsidRPr="00A318C3">
        <w:rPr>
          <w:lang w:val="fr-FR"/>
        </w:rPr>
        <w:t>0.2.1</w:t>
      </w:r>
      <w:r w:rsidRPr="00A318C3">
        <w:rPr>
          <w:lang w:val="fr-FR"/>
        </w:rPr>
        <w:tab/>
      </w:r>
      <w:r w:rsidRPr="00A62F32">
        <w:rPr>
          <w:lang w:val="fr-FR"/>
        </w:rPr>
        <w:t>Dénomination(s) commerciale(s) (le cas échéant)</w:t>
      </w:r>
      <w:r>
        <w:rPr>
          <w:lang w:val="fr-FR"/>
        </w:rPr>
        <w:t> </w:t>
      </w:r>
      <w:r w:rsidRPr="00A318C3">
        <w:rPr>
          <w:lang w:val="fr-FR"/>
        </w:rPr>
        <w:t>:</w:t>
      </w:r>
      <w:r w:rsidRPr="00A318C3">
        <w:rPr>
          <w:lang w:val="fr-FR"/>
        </w:rPr>
        <w:tab/>
      </w:r>
    </w:p>
    <w:p w14:paraId="43E33D17" w14:textId="77777777" w:rsidR="00BE2CA7" w:rsidRPr="00A318C3" w:rsidRDefault="00BE2CA7" w:rsidP="00BE2CA7">
      <w:pPr>
        <w:tabs>
          <w:tab w:val="left" w:pos="1134"/>
          <w:tab w:val="right" w:leader="dot" w:pos="8505"/>
        </w:tabs>
        <w:spacing w:after="120"/>
        <w:ind w:left="2552" w:right="1134" w:hanging="1418"/>
        <w:jc w:val="both"/>
        <w:rPr>
          <w:b/>
          <w:bCs/>
          <w:lang w:val="fr-FR"/>
        </w:rPr>
      </w:pPr>
      <w:r w:rsidRPr="00A318C3">
        <w:rPr>
          <w:lang w:val="fr-FR"/>
        </w:rPr>
        <w:t>0.2.3.1</w:t>
      </w:r>
      <w:r w:rsidRPr="00A318C3">
        <w:rPr>
          <w:lang w:val="fr-FR"/>
        </w:rPr>
        <w:tab/>
        <w:t>Famille d</w:t>
      </w:r>
      <w:r>
        <w:rPr>
          <w:lang w:val="fr-FR"/>
        </w:rPr>
        <w:t>’</w:t>
      </w:r>
      <w:r w:rsidRPr="00A318C3">
        <w:rPr>
          <w:lang w:val="fr-FR"/>
        </w:rPr>
        <w:t>interpolation</w:t>
      </w:r>
      <w:r w:rsidRPr="00A318C3">
        <w:rPr>
          <w:b/>
          <w:bCs/>
          <w:lang w:val="fr-FR"/>
        </w:rPr>
        <w:t xml:space="preserve"> </w:t>
      </w:r>
      <w:r w:rsidRPr="00A318C3">
        <w:rPr>
          <w:lang w:val="fr-FR"/>
        </w:rPr>
        <w:t xml:space="preserve">(conformément au </w:t>
      </w:r>
      <w:r>
        <w:rPr>
          <w:lang w:val="fr-FR"/>
        </w:rPr>
        <w:t>R</w:t>
      </w:r>
      <w:r w:rsidRPr="00A318C3">
        <w:rPr>
          <w:lang w:val="fr-FR"/>
        </w:rPr>
        <w:t xml:space="preserve">èglement ONU </w:t>
      </w:r>
      <w:r w:rsidRPr="00B20B1B">
        <w:rPr>
          <w:rFonts w:eastAsia="MS Mincho"/>
          <w:lang w:val="fr-FR"/>
        </w:rPr>
        <w:t>n</w:t>
      </w:r>
      <w:r w:rsidRPr="00B20B1B">
        <w:rPr>
          <w:rFonts w:eastAsia="MS Mincho"/>
          <w:vertAlign w:val="superscript"/>
          <w:lang w:val="fr-FR"/>
        </w:rPr>
        <w:t>o</w:t>
      </w:r>
      <w:r>
        <w:rPr>
          <w:lang w:val="fr-FR"/>
        </w:rPr>
        <w:t xml:space="preserve"> </w:t>
      </w:r>
      <w:r w:rsidRPr="00A318C3">
        <w:rPr>
          <w:lang w:val="fr-FR"/>
        </w:rPr>
        <w:t>154)</w:t>
      </w:r>
      <w:r>
        <w:rPr>
          <w:lang w:val="fr-FR"/>
        </w:rPr>
        <w:t> </w:t>
      </w:r>
      <w:r w:rsidRPr="00A318C3">
        <w:rPr>
          <w:lang w:val="fr-FR"/>
        </w:rPr>
        <w:t>:</w:t>
      </w:r>
      <w:r>
        <w:rPr>
          <w:lang w:val="fr-FR"/>
        </w:rPr>
        <w:tab/>
      </w:r>
    </w:p>
    <w:p w14:paraId="7FAB6934" w14:textId="77777777" w:rsidR="00BE2CA7" w:rsidRPr="00A318C3" w:rsidRDefault="00BE2CA7" w:rsidP="00BE2CA7">
      <w:pPr>
        <w:tabs>
          <w:tab w:val="left" w:pos="1134"/>
          <w:tab w:val="right" w:leader="dot" w:pos="8505"/>
        </w:tabs>
        <w:spacing w:after="120"/>
        <w:ind w:left="2552" w:right="1134" w:hanging="1418"/>
        <w:jc w:val="both"/>
        <w:rPr>
          <w:b/>
          <w:bCs/>
          <w:lang w:val="fr-FR"/>
        </w:rPr>
      </w:pPr>
      <w:r w:rsidRPr="00A318C3">
        <w:rPr>
          <w:lang w:val="fr-FR"/>
        </w:rPr>
        <w:t>0.2.3.3</w:t>
      </w:r>
      <w:r w:rsidRPr="00A318C3">
        <w:rPr>
          <w:lang w:val="fr-FR"/>
        </w:rPr>
        <w:tab/>
        <w:t>Identifiants de la famille PEMS</w:t>
      </w:r>
      <w:r w:rsidRPr="00A318C3">
        <w:rPr>
          <w:b/>
          <w:bCs/>
          <w:lang w:val="fr-FR"/>
        </w:rPr>
        <w:t xml:space="preserve"> </w:t>
      </w:r>
      <w:r w:rsidRPr="00A318C3">
        <w:rPr>
          <w:lang w:val="fr-FR"/>
        </w:rPr>
        <w:t xml:space="preserve">(conformément </w:t>
      </w:r>
      <w:r w:rsidRPr="00440C76">
        <w:rPr>
          <w:rFonts w:eastAsia="Times New Roman"/>
          <w:lang w:val="fr-FR" w:eastAsia="de-DE"/>
        </w:rPr>
        <w:t xml:space="preserve">au Règlement ONU </w:t>
      </w:r>
      <w:r w:rsidRPr="00440C76">
        <w:rPr>
          <w:lang w:val="fr-FR"/>
        </w:rPr>
        <w:t>n</w:t>
      </w:r>
      <w:r w:rsidRPr="00440C76">
        <w:rPr>
          <w:vertAlign w:val="superscript"/>
          <w:lang w:val="fr-FR"/>
        </w:rPr>
        <w:t>o</w:t>
      </w:r>
      <w:r w:rsidRPr="00440C76">
        <w:rPr>
          <w:lang w:val="fr-FR"/>
        </w:rPr>
        <w:t> </w:t>
      </w:r>
      <w:r w:rsidRPr="00440C76">
        <w:rPr>
          <w:rFonts w:eastAsia="Times New Roman"/>
          <w:lang w:val="fr-FR" w:eastAsia="de-DE"/>
        </w:rPr>
        <w:t>[xxx] sur les émissions en conditions réelles de conduite</w:t>
      </w:r>
      <w:r>
        <w:rPr>
          <w:rFonts w:eastAsia="Times New Roman"/>
          <w:lang w:val="fr-FR" w:eastAsia="de-DE"/>
        </w:rPr>
        <w:t xml:space="preserve"> (le cas échéant) </w:t>
      </w:r>
      <w:r w:rsidRPr="00A318C3">
        <w:rPr>
          <w:lang w:val="fr-FR"/>
        </w:rPr>
        <w:t>:</w:t>
      </w:r>
      <w:r>
        <w:rPr>
          <w:lang w:val="fr-FR"/>
        </w:rPr>
        <w:tab/>
      </w:r>
    </w:p>
    <w:p w14:paraId="6DEFE587" w14:textId="77777777" w:rsidR="00BE2CA7" w:rsidRPr="00A318C3" w:rsidRDefault="00BE2CA7" w:rsidP="00BE2CA7">
      <w:pPr>
        <w:tabs>
          <w:tab w:val="left" w:pos="1134"/>
          <w:tab w:val="right" w:leader="dot" w:pos="8505"/>
        </w:tabs>
        <w:spacing w:after="120"/>
        <w:ind w:left="2552" w:right="1134" w:hanging="1418"/>
        <w:jc w:val="both"/>
        <w:rPr>
          <w:lang w:val="fr-FR"/>
        </w:rPr>
      </w:pPr>
      <w:r w:rsidRPr="00A318C3">
        <w:rPr>
          <w:lang w:val="fr-FR"/>
        </w:rPr>
        <w:t>0.2.3.4</w:t>
      </w:r>
      <w:r w:rsidRPr="00A318C3">
        <w:rPr>
          <w:lang w:val="fr-FR"/>
        </w:rPr>
        <w:tab/>
        <w:t>Famille de résistance à l</w:t>
      </w:r>
      <w:r>
        <w:rPr>
          <w:lang w:val="fr-FR"/>
        </w:rPr>
        <w:t>’</w:t>
      </w:r>
      <w:r w:rsidRPr="00A318C3">
        <w:rPr>
          <w:lang w:val="fr-FR"/>
        </w:rPr>
        <w:t>avancement sur route</w:t>
      </w:r>
      <w:r>
        <w:rPr>
          <w:lang w:val="fr-FR"/>
        </w:rPr>
        <w:t> </w:t>
      </w:r>
      <w:r w:rsidRPr="00A318C3">
        <w:rPr>
          <w:lang w:val="fr-FR"/>
        </w:rPr>
        <w:t>:</w:t>
      </w:r>
      <w:r>
        <w:rPr>
          <w:lang w:val="fr-FR"/>
        </w:rPr>
        <w:tab/>
      </w:r>
    </w:p>
    <w:p w14:paraId="27454CC7" w14:textId="77777777" w:rsidR="00BE2CA7" w:rsidRPr="00A318C3" w:rsidRDefault="00BE2CA7" w:rsidP="00BE2CA7">
      <w:pPr>
        <w:tabs>
          <w:tab w:val="left" w:pos="1134"/>
          <w:tab w:val="right" w:leader="dot" w:pos="8505"/>
        </w:tabs>
        <w:spacing w:after="120"/>
        <w:ind w:left="2552" w:right="1134" w:hanging="1418"/>
        <w:jc w:val="both"/>
        <w:rPr>
          <w:lang w:val="fr-FR"/>
        </w:rPr>
      </w:pPr>
      <w:r w:rsidRPr="00A318C3">
        <w:rPr>
          <w:lang w:val="fr-FR"/>
        </w:rPr>
        <w:t>0.3</w:t>
      </w:r>
      <w:r w:rsidRPr="00A318C3">
        <w:rPr>
          <w:lang w:val="fr-FR"/>
        </w:rPr>
        <w:tab/>
        <w:t>Moyen d</w:t>
      </w:r>
      <w:r>
        <w:rPr>
          <w:lang w:val="fr-FR"/>
        </w:rPr>
        <w:t>’</w:t>
      </w:r>
      <w:r w:rsidRPr="00A318C3">
        <w:rPr>
          <w:lang w:val="fr-FR"/>
        </w:rPr>
        <w:t xml:space="preserve">identification du type, </w:t>
      </w:r>
      <w:r>
        <w:rPr>
          <w:lang w:val="fr-FR"/>
        </w:rPr>
        <w:t xml:space="preserve">s’il est indiqué </w:t>
      </w:r>
      <w:r w:rsidRPr="00A318C3">
        <w:rPr>
          <w:lang w:val="fr-FR"/>
        </w:rPr>
        <w:t>sur le véhicule</w:t>
      </w:r>
      <w:r w:rsidRPr="00977679">
        <w:rPr>
          <w:rStyle w:val="Appelnotedebasdep"/>
        </w:rPr>
        <w:footnoteReference w:id="6"/>
      </w:r>
      <w:r>
        <w:t> :</w:t>
      </w:r>
      <w:r w:rsidRPr="00A318C3">
        <w:rPr>
          <w:lang w:val="fr-FR"/>
        </w:rPr>
        <w:tab/>
      </w:r>
    </w:p>
    <w:p w14:paraId="289F34F4" w14:textId="77777777" w:rsidR="00BE2CA7" w:rsidRPr="00A318C3" w:rsidRDefault="00BE2CA7" w:rsidP="00BE2CA7">
      <w:pPr>
        <w:tabs>
          <w:tab w:val="left" w:pos="1134"/>
          <w:tab w:val="right" w:leader="dot" w:pos="8505"/>
        </w:tabs>
        <w:spacing w:after="120"/>
        <w:ind w:left="2552" w:right="1134" w:hanging="1418"/>
        <w:jc w:val="both"/>
        <w:rPr>
          <w:lang w:val="fr-FR"/>
        </w:rPr>
      </w:pPr>
      <w:r w:rsidRPr="00A318C3">
        <w:rPr>
          <w:lang w:val="fr-FR"/>
        </w:rPr>
        <w:t>0.3.1</w:t>
      </w:r>
      <w:r w:rsidRPr="00A318C3">
        <w:rPr>
          <w:lang w:val="fr-FR"/>
        </w:rPr>
        <w:tab/>
        <w:t xml:space="preserve">Emplacement </w:t>
      </w:r>
      <w:r>
        <w:rPr>
          <w:lang w:val="fr-FR"/>
        </w:rPr>
        <w:t>de ce</w:t>
      </w:r>
      <w:r w:rsidRPr="00A318C3">
        <w:rPr>
          <w:lang w:val="fr-FR"/>
        </w:rPr>
        <w:t xml:space="preserve"> marquage</w:t>
      </w:r>
      <w:r>
        <w:rPr>
          <w:lang w:val="fr-FR"/>
        </w:rPr>
        <w:t> </w:t>
      </w:r>
      <w:r w:rsidRPr="00A318C3">
        <w:rPr>
          <w:lang w:val="fr-FR"/>
        </w:rPr>
        <w:t>:</w:t>
      </w:r>
      <w:r w:rsidRPr="00A318C3">
        <w:rPr>
          <w:lang w:val="fr-FR"/>
        </w:rPr>
        <w:tab/>
      </w:r>
    </w:p>
    <w:p w14:paraId="7EBF3321" w14:textId="77777777" w:rsidR="00BE2CA7" w:rsidRPr="00A318C3" w:rsidRDefault="00BE2CA7" w:rsidP="00BE2CA7">
      <w:pPr>
        <w:tabs>
          <w:tab w:val="left" w:pos="1134"/>
          <w:tab w:val="right" w:leader="dot" w:pos="8505"/>
        </w:tabs>
        <w:spacing w:after="120"/>
        <w:ind w:left="2552" w:right="1134" w:hanging="1418"/>
        <w:jc w:val="both"/>
        <w:rPr>
          <w:lang w:val="fr-FR"/>
        </w:rPr>
      </w:pPr>
      <w:r w:rsidRPr="00A318C3">
        <w:rPr>
          <w:lang w:val="fr-FR"/>
        </w:rPr>
        <w:t>0.4</w:t>
      </w:r>
      <w:r w:rsidRPr="00A318C3">
        <w:rPr>
          <w:lang w:val="fr-FR"/>
        </w:rPr>
        <w:tab/>
        <w:t xml:space="preserve">Catégorie </w:t>
      </w:r>
      <w:r>
        <w:rPr>
          <w:lang w:val="fr-FR"/>
        </w:rPr>
        <w:t>de</w:t>
      </w:r>
      <w:r w:rsidRPr="00A318C3">
        <w:rPr>
          <w:lang w:val="fr-FR"/>
        </w:rPr>
        <w:t xml:space="preserve"> véhicule</w:t>
      </w:r>
      <w:r w:rsidRPr="00977679">
        <w:rPr>
          <w:rStyle w:val="Appelnotedebasdep"/>
        </w:rPr>
        <w:footnoteReference w:id="7"/>
      </w:r>
      <w:r>
        <w:rPr>
          <w:lang w:val="fr-FR"/>
        </w:rPr>
        <w:t> :</w:t>
      </w:r>
      <w:r w:rsidRPr="00A318C3">
        <w:rPr>
          <w:lang w:val="fr-FR"/>
        </w:rPr>
        <w:tab/>
      </w:r>
    </w:p>
    <w:p w14:paraId="08196590" w14:textId="77777777" w:rsidR="00BE2CA7" w:rsidRPr="00A318C3" w:rsidRDefault="00BE2CA7" w:rsidP="00BE2CA7">
      <w:pPr>
        <w:tabs>
          <w:tab w:val="left" w:pos="1134"/>
          <w:tab w:val="right" w:leader="dot" w:pos="8505"/>
        </w:tabs>
        <w:spacing w:after="120"/>
        <w:ind w:left="2552" w:right="1134" w:hanging="1418"/>
        <w:jc w:val="both"/>
        <w:rPr>
          <w:lang w:val="fr-FR"/>
        </w:rPr>
      </w:pPr>
      <w:r w:rsidRPr="00A318C3">
        <w:rPr>
          <w:lang w:val="fr-FR"/>
        </w:rPr>
        <w:t>0.5</w:t>
      </w:r>
      <w:r w:rsidRPr="00A318C3">
        <w:rPr>
          <w:lang w:val="fr-FR"/>
        </w:rPr>
        <w:tab/>
        <w:t>Nom et adresse du constructeur</w:t>
      </w:r>
      <w:r>
        <w:rPr>
          <w:lang w:val="fr-FR"/>
        </w:rPr>
        <w:t> </w:t>
      </w:r>
      <w:r w:rsidRPr="00A318C3">
        <w:rPr>
          <w:lang w:val="fr-FR"/>
        </w:rPr>
        <w:t>:</w:t>
      </w:r>
      <w:r w:rsidRPr="00A318C3">
        <w:rPr>
          <w:lang w:val="fr-FR"/>
        </w:rPr>
        <w:tab/>
      </w:r>
    </w:p>
    <w:p w14:paraId="515A006E" w14:textId="77777777" w:rsidR="00BE2CA7" w:rsidRPr="00A318C3" w:rsidRDefault="00BE2CA7" w:rsidP="00BE2CA7">
      <w:pPr>
        <w:tabs>
          <w:tab w:val="left" w:pos="1134"/>
          <w:tab w:val="right" w:leader="dot" w:pos="8505"/>
        </w:tabs>
        <w:spacing w:after="120"/>
        <w:ind w:left="2552" w:right="1134" w:hanging="1418"/>
        <w:jc w:val="both"/>
        <w:rPr>
          <w:lang w:val="fr-FR"/>
        </w:rPr>
      </w:pPr>
      <w:r w:rsidRPr="00A318C3">
        <w:rPr>
          <w:lang w:val="fr-FR"/>
        </w:rPr>
        <w:t>0.8</w:t>
      </w:r>
      <w:r w:rsidRPr="00A318C3">
        <w:rPr>
          <w:lang w:val="fr-FR"/>
        </w:rPr>
        <w:tab/>
        <w:t>Nom(s) et adresse(s) du ou des ateliers de montage</w:t>
      </w:r>
      <w:r>
        <w:rPr>
          <w:lang w:val="fr-FR"/>
        </w:rPr>
        <w:t> </w:t>
      </w:r>
      <w:r w:rsidRPr="00A318C3">
        <w:rPr>
          <w:lang w:val="fr-FR"/>
        </w:rPr>
        <w:t>:</w:t>
      </w:r>
      <w:r w:rsidRPr="00A318C3">
        <w:rPr>
          <w:lang w:val="fr-FR"/>
        </w:rPr>
        <w:tab/>
      </w:r>
    </w:p>
    <w:p w14:paraId="04CF61DE" w14:textId="77777777" w:rsidR="00BE2CA7" w:rsidRPr="00A318C3" w:rsidRDefault="00BE2CA7" w:rsidP="00BE2CA7">
      <w:pPr>
        <w:tabs>
          <w:tab w:val="left" w:pos="1134"/>
          <w:tab w:val="right" w:leader="dot" w:pos="8505"/>
        </w:tabs>
        <w:spacing w:after="120"/>
        <w:ind w:left="2552" w:right="1134" w:hanging="1418"/>
        <w:jc w:val="both"/>
        <w:rPr>
          <w:lang w:val="fr-FR"/>
        </w:rPr>
      </w:pPr>
      <w:r w:rsidRPr="00A318C3">
        <w:rPr>
          <w:lang w:val="fr-FR"/>
        </w:rPr>
        <w:t>0.9</w:t>
      </w:r>
      <w:r>
        <w:rPr>
          <w:lang w:val="fr-FR"/>
        </w:rPr>
        <w:tab/>
        <w:t>N</w:t>
      </w:r>
      <w:r w:rsidRPr="00FB0915">
        <w:rPr>
          <w:lang w:val="fr-FR"/>
        </w:rPr>
        <w:t>om et adresse du mandataire du constructeur (le cas échéant)</w:t>
      </w:r>
      <w:r>
        <w:rPr>
          <w:lang w:val="fr-FR"/>
        </w:rPr>
        <w:t> </w:t>
      </w:r>
      <w:r w:rsidRPr="00FB0915">
        <w:rPr>
          <w:lang w:val="fr-FR"/>
        </w:rPr>
        <w:t>:</w:t>
      </w:r>
      <w:r w:rsidRPr="00A318C3">
        <w:rPr>
          <w:lang w:val="fr-FR"/>
        </w:rPr>
        <w:tab/>
      </w:r>
    </w:p>
    <w:p w14:paraId="22EA3653" w14:textId="77777777" w:rsidR="00BE2CA7" w:rsidRPr="00A318C3" w:rsidRDefault="00BE2CA7" w:rsidP="00BE2CA7">
      <w:pPr>
        <w:tabs>
          <w:tab w:val="left" w:leader="dot" w:pos="1134"/>
          <w:tab w:val="right" w:leader="dot" w:pos="8505"/>
        </w:tabs>
        <w:spacing w:after="120"/>
        <w:ind w:left="2552" w:right="1134" w:hanging="1418"/>
        <w:jc w:val="both"/>
        <w:rPr>
          <w:lang w:val="fr-FR"/>
        </w:rPr>
      </w:pPr>
      <w:r w:rsidRPr="00A318C3">
        <w:rPr>
          <w:lang w:val="fr-FR"/>
        </w:rPr>
        <w:t>2</w:t>
      </w:r>
      <w:r>
        <w:rPr>
          <w:lang w:val="fr-FR"/>
        </w:rPr>
        <w:t>.</w:t>
      </w:r>
      <w:r w:rsidRPr="00A318C3">
        <w:rPr>
          <w:lang w:val="fr-FR"/>
        </w:rPr>
        <w:tab/>
        <w:t>Masses et dimensions</w:t>
      </w:r>
      <w:r w:rsidRPr="00977679">
        <w:rPr>
          <w:rStyle w:val="Appelnotedebasdep"/>
        </w:rPr>
        <w:footnoteReference w:id="8"/>
      </w:r>
      <w:r w:rsidRPr="00A318C3">
        <w:rPr>
          <w:b/>
          <w:lang w:val="fr-FR"/>
        </w:rPr>
        <w:t xml:space="preserve"> </w:t>
      </w:r>
      <w:r w:rsidRPr="00A318C3">
        <w:rPr>
          <w:lang w:val="fr-FR"/>
        </w:rPr>
        <w:t xml:space="preserve">(en kg </w:t>
      </w:r>
      <w:r>
        <w:rPr>
          <w:lang w:val="fr-FR"/>
        </w:rPr>
        <w:t>et</w:t>
      </w:r>
      <w:r w:rsidRPr="00A318C3">
        <w:rPr>
          <w:lang w:val="fr-FR"/>
        </w:rPr>
        <w:t xml:space="preserve"> mm) (</w:t>
      </w:r>
      <w:r>
        <w:rPr>
          <w:lang w:val="fr-FR"/>
        </w:rPr>
        <w:t>se reporter aux dessins</w:t>
      </w:r>
      <w:r w:rsidRPr="00A318C3">
        <w:rPr>
          <w:lang w:val="fr-FR"/>
        </w:rPr>
        <w:t xml:space="preserve"> le cas échéant)</w:t>
      </w:r>
      <w:r>
        <w:rPr>
          <w:lang w:val="fr-FR"/>
        </w:rPr>
        <w:t> :</w:t>
      </w:r>
      <w:r w:rsidRPr="00A318C3">
        <w:rPr>
          <w:lang w:val="fr-FR"/>
        </w:rPr>
        <w:tab/>
      </w:r>
    </w:p>
    <w:p w14:paraId="0E32DC3B" w14:textId="77777777" w:rsidR="00BE2CA7" w:rsidRPr="00A318C3" w:rsidRDefault="00BE2CA7" w:rsidP="00BE2CA7">
      <w:pPr>
        <w:tabs>
          <w:tab w:val="left" w:pos="1134"/>
          <w:tab w:val="right" w:leader="dot" w:pos="8505"/>
        </w:tabs>
        <w:spacing w:after="120"/>
        <w:ind w:left="2552" w:right="1134" w:hanging="1418"/>
        <w:jc w:val="both"/>
        <w:rPr>
          <w:lang w:val="fr-FR"/>
        </w:rPr>
      </w:pPr>
      <w:r w:rsidRPr="00A318C3">
        <w:rPr>
          <w:lang w:val="fr-FR"/>
        </w:rPr>
        <w:t>2.6</w:t>
      </w:r>
      <w:r w:rsidRPr="00A318C3">
        <w:rPr>
          <w:lang w:val="fr-FR"/>
        </w:rPr>
        <w:tab/>
        <w:t>Masse du véhicule avec carrosserie et, s</w:t>
      </w:r>
      <w:r>
        <w:rPr>
          <w:lang w:val="fr-FR"/>
        </w:rPr>
        <w:t>’</w:t>
      </w:r>
      <w:r w:rsidRPr="00A318C3">
        <w:rPr>
          <w:lang w:val="fr-FR"/>
        </w:rPr>
        <w:t>il s</w:t>
      </w:r>
      <w:r>
        <w:rPr>
          <w:lang w:val="fr-FR"/>
        </w:rPr>
        <w:t>’</w:t>
      </w:r>
      <w:r w:rsidRPr="00A318C3">
        <w:rPr>
          <w:lang w:val="fr-FR"/>
        </w:rPr>
        <w:t>agit d</w:t>
      </w:r>
      <w:r>
        <w:rPr>
          <w:lang w:val="fr-FR"/>
        </w:rPr>
        <w:t>’</w:t>
      </w:r>
      <w:r w:rsidRPr="00A318C3">
        <w:rPr>
          <w:lang w:val="fr-FR"/>
        </w:rPr>
        <w:t>un véhicule tracteur d</w:t>
      </w:r>
      <w:r>
        <w:rPr>
          <w:lang w:val="fr-FR"/>
        </w:rPr>
        <w:t>’</w:t>
      </w:r>
      <w:r w:rsidRPr="00A318C3">
        <w:rPr>
          <w:lang w:val="fr-FR"/>
        </w:rPr>
        <w:t>une catégorie autre que M</w:t>
      </w:r>
      <w:r w:rsidRPr="00A318C3">
        <w:rPr>
          <w:vertAlign w:val="subscript"/>
          <w:lang w:val="fr-FR"/>
        </w:rPr>
        <w:t>1</w:t>
      </w:r>
      <w:r w:rsidRPr="00A318C3">
        <w:rPr>
          <w:lang w:val="fr-FR"/>
        </w:rPr>
        <w:t>, avec dispositif d</w:t>
      </w:r>
      <w:r>
        <w:rPr>
          <w:lang w:val="fr-FR"/>
        </w:rPr>
        <w:t>’</w:t>
      </w:r>
      <w:r w:rsidRPr="00A318C3">
        <w:rPr>
          <w:lang w:val="fr-FR"/>
        </w:rPr>
        <w:t>attelage, s</w:t>
      </w:r>
      <w:r>
        <w:rPr>
          <w:lang w:val="fr-FR"/>
        </w:rPr>
        <w:t>’</w:t>
      </w:r>
      <w:r w:rsidRPr="00A318C3">
        <w:rPr>
          <w:lang w:val="fr-FR"/>
        </w:rPr>
        <w:t>il est monté par le constructeur, en ordre de marche</w:t>
      </w:r>
      <w:r>
        <w:rPr>
          <w:lang w:val="fr-FR"/>
        </w:rPr>
        <w:t> </w:t>
      </w:r>
      <w:r w:rsidRPr="00A318C3">
        <w:rPr>
          <w:lang w:val="fr-FR"/>
        </w:rPr>
        <w:t>; ou masse du châssis ou du châssis avec cabine, sans la carrosserie ni/ou le dispositif d</w:t>
      </w:r>
      <w:r>
        <w:rPr>
          <w:lang w:val="fr-FR"/>
        </w:rPr>
        <w:t>’</w:t>
      </w:r>
      <w:r w:rsidRPr="00A318C3">
        <w:rPr>
          <w:lang w:val="fr-FR"/>
        </w:rPr>
        <w:t>attelage si le constructeur ne monte pas la carrosserie ni/ou le dispositif d</w:t>
      </w:r>
      <w:r>
        <w:rPr>
          <w:lang w:val="fr-FR"/>
        </w:rPr>
        <w:t>’</w:t>
      </w:r>
      <w:r w:rsidRPr="00A318C3">
        <w:rPr>
          <w:lang w:val="fr-FR"/>
        </w:rPr>
        <w:t xml:space="preserve">attelage (avec liquides, outillage, roue de secours, le cas échéant et conducteur et, pour </w:t>
      </w:r>
      <w:r w:rsidRPr="00A318C3">
        <w:rPr>
          <w:lang w:val="fr-FR"/>
        </w:rPr>
        <w:lastRenderedPageBreak/>
        <w:t>les autobus et autocars, un convoyeur si un siège est prévu pour lui dans le véhicule)</w:t>
      </w:r>
      <w:r w:rsidRPr="00977679">
        <w:rPr>
          <w:rStyle w:val="Appelnotedebasdep"/>
        </w:rPr>
        <w:footnoteReference w:id="9"/>
      </w:r>
      <w:r w:rsidRPr="00A318C3">
        <w:rPr>
          <w:lang w:val="fr-FR"/>
        </w:rPr>
        <w:t xml:space="preserve"> </w:t>
      </w:r>
      <w:r w:rsidRPr="00573066">
        <w:rPr>
          <w:lang w:val="fr-FR"/>
        </w:rPr>
        <w:t>(maximum et minimum pour chaque variante)</w:t>
      </w:r>
      <w:r>
        <w:rPr>
          <w:lang w:val="fr-FR"/>
        </w:rPr>
        <w:t> </w:t>
      </w:r>
      <w:r w:rsidRPr="00A318C3">
        <w:rPr>
          <w:lang w:val="fr-FR"/>
        </w:rPr>
        <w:t>:</w:t>
      </w:r>
      <w:r w:rsidRPr="00A318C3">
        <w:rPr>
          <w:lang w:val="fr-FR"/>
        </w:rPr>
        <w:tab/>
      </w:r>
    </w:p>
    <w:p w14:paraId="50378140" w14:textId="77777777" w:rsidR="00BE2CA7" w:rsidRPr="00A318C3" w:rsidRDefault="00BE2CA7" w:rsidP="00BE2CA7">
      <w:pPr>
        <w:tabs>
          <w:tab w:val="left" w:pos="1134"/>
          <w:tab w:val="right" w:leader="dot" w:pos="8505"/>
        </w:tabs>
        <w:spacing w:after="120"/>
        <w:ind w:left="2552" w:right="1134" w:hanging="1418"/>
        <w:jc w:val="both"/>
      </w:pPr>
      <w:r w:rsidRPr="00A318C3">
        <w:rPr>
          <w:lang w:val="fr-FR"/>
        </w:rPr>
        <w:t>2.8</w:t>
      </w:r>
      <w:r w:rsidRPr="00A318C3">
        <w:rPr>
          <w:b/>
          <w:lang w:val="fr-FR"/>
        </w:rPr>
        <w:tab/>
      </w:r>
      <w:r w:rsidRPr="00975542">
        <w:rPr>
          <w:lang w:val="fr-FR"/>
        </w:rPr>
        <w:t>Masse en charge maximale techniquement admissible déclarée par le constructeur</w:t>
      </w:r>
      <w:r w:rsidRPr="00977679">
        <w:rPr>
          <w:rStyle w:val="Appelnotedebasdep"/>
        </w:rPr>
        <w:footnoteReference w:id="10"/>
      </w:r>
      <w:r w:rsidRPr="00B20B1B">
        <w:rPr>
          <w:vertAlign w:val="superscript"/>
          <w:lang w:val="fr-FR"/>
        </w:rPr>
        <w:t>.</w:t>
      </w:r>
      <w:r>
        <w:rPr>
          <w:lang w:val="fr-FR"/>
        </w:rPr>
        <w:t xml:space="preserve"> </w:t>
      </w:r>
      <w:r w:rsidRPr="00977679">
        <w:rPr>
          <w:rStyle w:val="Appelnotedebasdep"/>
        </w:rPr>
        <w:footnoteReference w:id="11"/>
      </w:r>
      <w:r>
        <w:t> :</w:t>
      </w:r>
    </w:p>
    <w:p w14:paraId="7C664877" w14:textId="77777777" w:rsidR="00BE2CA7" w:rsidRPr="00A318C3" w:rsidRDefault="00BE2CA7" w:rsidP="00BE2CA7">
      <w:pPr>
        <w:tabs>
          <w:tab w:val="left" w:pos="1134"/>
          <w:tab w:val="right" w:leader="dot" w:pos="8505"/>
        </w:tabs>
        <w:spacing w:after="120"/>
        <w:ind w:left="2552" w:right="1134" w:hanging="1418"/>
        <w:jc w:val="both"/>
        <w:rPr>
          <w:lang w:val="fr-FR"/>
        </w:rPr>
      </w:pPr>
      <w:r w:rsidRPr="00A318C3">
        <w:rPr>
          <w:lang w:val="fr-FR"/>
        </w:rPr>
        <w:t>3</w:t>
      </w:r>
      <w:r>
        <w:rPr>
          <w:lang w:val="fr-FR"/>
        </w:rPr>
        <w:t>.</w:t>
      </w:r>
      <w:r w:rsidRPr="00A318C3">
        <w:rPr>
          <w:b/>
          <w:lang w:val="fr-FR"/>
        </w:rPr>
        <w:tab/>
      </w:r>
      <w:r w:rsidRPr="00A318C3">
        <w:rPr>
          <w:lang w:val="fr-FR"/>
        </w:rPr>
        <w:t>Description des convertisseurs d</w:t>
      </w:r>
      <w:r>
        <w:rPr>
          <w:lang w:val="fr-FR"/>
        </w:rPr>
        <w:t>’</w:t>
      </w:r>
      <w:r w:rsidRPr="00A318C3">
        <w:rPr>
          <w:lang w:val="fr-FR"/>
        </w:rPr>
        <w:t>énergie et du moteur</w:t>
      </w:r>
      <w:r w:rsidRPr="00977679">
        <w:rPr>
          <w:rStyle w:val="Appelnotedebasdep"/>
        </w:rPr>
        <w:footnoteReference w:id="12"/>
      </w:r>
      <w:r w:rsidRPr="00A318C3">
        <w:rPr>
          <w:lang w:val="fr-FR"/>
        </w:rPr>
        <w:t xml:space="preserve"> (Dans le cas d</w:t>
      </w:r>
      <w:r>
        <w:rPr>
          <w:lang w:val="fr-FR"/>
        </w:rPr>
        <w:t>’</w:t>
      </w:r>
      <w:r w:rsidRPr="00A318C3">
        <w:rPr>
          <w:lang w:val="fr-FR"/>
        </w:rPr>
        <w:t>un véhicule qui peut rouler soit à l</w:t>
      </w:r>
      <w:r>
        <w:rPr>
          <w:lang w:val="fr-FR"/>
        </w:rPr>
        <w:t>’</w:t>
      </w:r>
      <w:r w:rsidRPr="00A318C3">
        <w:rPr>
          <w:lang w:val="fr-FR"/>
        </w:rPr>
        <w:t>essence, soit au gazole, etc., ou aussi en combinaison avec un autre carburant, il y a lieu de remplir ces rubriques autant de fois que nécessaire)</w:t>
      </w:r>
      <w:r w:rsidRPr="00977679">
        <w:rPr>
          <w:rStyle w:val="Appelnotedebasdep"/>
        </w:rPr>
        <w:footnoteReference w:id="13"/>
      </w:r>
      <w:r>
        <w:rPr>
          <w:lang w:val="fr-FR"/>
        </w:rPr>
        <w:t> </w:t>
      </w:r>
      <w:r w:rsidRPr="00A318C3">
        <w:rPr>
          <w:lang w:val="fr-FR"/>
        </w:rPr>
        <w:t>:</w:t>
      </w:r>
      <w:r w:rsidRPr="00A318C3">
        <w:rPr>
          <w:lang w:val="fr-FR"/>
        </w:rPr>
        <w:tab/>
      </w:r>
    </w:p>
    <w:p w14:paraId="7AF703B9" w14:textId="77777777" w:rsidR="00BE2CA7" w:rsidRPr="00A318C3" w:rsidRDefault="00BE2CA7" w:rsidP="00BE2CA7">
      <w:pPr>
        <w:tabs>
          <w:tab w:val="left" w:pos="1134"/>
          <w:tab w:val="right" w:leader="dot" w:pos="8505"/>
        </w:tabs>
        <w:spacing w:after="120"/>
        <w:ind w:left="2552" w:right="1134" w:hanging="1418"/>
        <w:jc w:val="both"/>
        <w:rPr>
          <w:lang w:val="fr-FR"/>
        </w:rPr>
      </w:pPr>
      <w:r w:rsidRPr="00A318C3">
        <w:rPr>
          <w:lang w:val="fr-FR"/>
        </w:rPr>
        <w:t>3.1</w:t>
      </w:r>
      <w:r w:rsidRPr="00A318C3">
        <w:rPr>
          <w:lang w:val="fr-FR"/>
        </w:rPr>
        <w:tab/>
        <w:t>Fabricant du moteur</w:t>
      </w:r>
      <w:r>
        <w:rPr>
          <w:lang w:val="fr-FR"/>
        </w:rPr>
        <w:t> </w:t>
      </w:r>
      <w:r w:rsidRPr="00A318C3">
        <w:rPr>
          <w:lang w:val="fr-FR"/>
        </w:rPr>
        <w:t>:</w:t>
      </w:r>
      <w:r w:rsidRPr="00A318C3">
        <w:rPr>
          <w:lang w:val="fr-FR"/>
        </w:rPr>
        <w:tab/>
      </w:r>
    </w:p>
    <w:p w14:paraId="7156D234" w14:textId="77777777" w:rsidR="00BE2CA7" w:rsidRPr="00A318C3" w:rsidRDefault="00BE2CA7" w:rsidP="00BE2CA7">
      <w:pPr>
        <w:tabs>
          <w:tab w:val="left" w:pos="1134"/>
          <w:tab w:val="right" w:leader="dot" w:pos="8505"/>
        </w:tabs>
        <w:spacing w:after="120"/>
        <w:ind w:left="2552" w:right="1134" w:hanging="1418"/>
        <w:jc w:val="both"/>
        <w:rPr>
          <w:lang w:val="fr-FR"/>
        </w:rPr>
      </w:pPr>
      <w:r w:rsidRPr="00A318C3">
        <w:rPr>
          <w:lang w:val="fr-FR"/>
        </w:rPr>
        <w:t>3.1.1</w:t>
      </w:r>
      <w:r w:rsidRPr="00A318C3">
        <w:rPr>
          <w:lang w:val="fr-FR"/>
        </w:rPr>
        <w:tab/>
        <w:t>Numéro du code moteur du constructeur (inscrit sur le moteur ou autres moyens d</w:t>
      </w:r>
      <w:r>
        <w:rPr>
          <w:lang w:val="fr-FR"/>
        </w:rPr>
        <w:t>’</w:t>
      </w:r>
      <w:r w:rsidRPr="00A318C3">
        <w:rPr>
          <w:lang w:val="fr-FR"/>
        </w:rPr>
        <w:t>identification)</w:t>
      </w:r>
      <w:r>
        <w:rPr>
          <w:lang w:val="fr-FR"/>
        </w:rPr>
        <w:t> </w:t>
      </w:r>
      <w:r w:rsidRPr="00A318C3">
        <w:rPr>
          <w:lang w:val="fr-FR"/>
        </w:rPr>
        <w:t>:</w:t>
      </w:r>
      <w:r w:rsidRPr="00A318C3">
        <w:rPr>
          <w:lang w:val="fr-FR"/>
        </w:rPr>
        <w:tab/>
      </w:r>
    </w:p>
    <w:p w14:paraId="2ACB1ACA" w14:textId="77777777" w:rsidR="00BE2CA7" w:rsidRPr="00A318C3" w:rsidRDefault="00BE2CA7" w:rsidP="00BE2CA7">
      <w:pPr>
        <w:tabs>
          <w:tab w:val="left" w:pos="1134"/>
          <w:tab w:val="right" w:leader="dot" w:pos="8505"/>
        </w:tabs>
        <w:spacing w:after="120"/>
        <w:ind w:left="2552" w:right="1134" w:hanging="1418"/>
        <w:jc w:val="both"/>
        <w:rPr>
          <w:lang w:val="fr-FR"/>
        </w:rPr>
      </w:pPr>
      <w:r w:rsidRPr="00A318C3">
        <w:rPr>
          <w:lang w:val="fr-FR"/>
        </w:rPr>
        <w:t>3.2</w:t>
      </w:r>
      <w:r w:rsidRPr="00A318C3">
        <w:rPr>
          <w:lang w:val="fr-FR"/>
        </w:rPr>
        <w:tab/>
        <w:t>Moteur à combustion interne</w:t>
      </w:r>
      <w:r>
        <w:rPr>
          <w:lang w:val="fr-FR"/>
        </w:rPr>
        <w:t> </w:t>
      </w:r>
      <w:r w:rsidRPr="00A318C3">
        <w:rPr>
          <w:lang w:val="fr-FR"/>
        </w:rPr>
        <w:t>:</w:t>
      </w:r>
      <w:r w:rsidRPr="00A318C3">
        <w:rPr>
          <w:lang w:val="fr-FR"/>
        </w:rPr>
        <w:tab/>
      </w:r>
    </w:p>
    <w:p w14:paraId="4CCF81A3" w14:textId="77777777" w:rsidR="00BE2CA7" w:rsidRPr="00A318C3" w:rsidRDefault="00BE2CA7" w:rsidP="00BE2CA7">
      <w:pPr>
        <w:tabs>
          <w:tab w:val="left" w:pos="1134"/>
          <w:tab w:val="right" w:leader="dot" w:pos="8505"/>
        </w:tabs>
        <w:spacing w:after="120"/>
        <w:ind w:left="2552" w:right="1134" w:hanging="1418"/>
        <w:jc w:val="both"/>
        <w:rPr>
          <w:lang w:val="fr-FR"/>
        </w:rPr>
      </w:pPr>
      <w:r w:rsidRPr="00A318C3">
        <w:rPr>
          <w:lang w:val="fr-FR"/>
        </w:rPr>
        <w:t>3.2.1</w:t>
      </w:r>
      <w:r w:rsidRPr="00A318C3">
        <w:rPr>
          <w:lang w:val="fr-FR"/>
        </w:rPr>
        <w:tab/>
        <w:t>Caractéristiques du moteur</w:t>
      </w:r>
      <w:r>
        <w:rPr>
          <w:lang w:val="fr-FR"/>
        </w:rPr>
        <w:t> </w:t>
      </w:r>
      <w:r w:rsidRPr="00A318C3">
        <w:rPr>
          <w:lang w:val="fr-FR"/>
        </w:rPr>
        <w:t>:</w:t>
      </w:r>
      <w:r w:rsidRPr="00A318C3">
        <w:rPr>
          <w:lang w:val="fr-FR"/>
        </w:rPr>
        <w:tab/>
      </w:r>
    </w:p>
    <w:p w14:paraId="4FAD2447" w14:textId="77777777" w:rsidR="00BE2CA7" w:rsidRPr="00A318C3" w:rsidRDefault="00BE2CA7" w:rsidP="00BE2CA7">
      <w:pPr>
        <w:tabs>
          <w:tab w:val="left" w:pos="1134"/>
          <w:tab w:val="right" w:leader="dot" w:pos="8505"/>
        </w:tabs>
        <w:spacing w:after="120"/>
        <w:ind w:left="2552" w:right="1134" w:hanging="1418"/>
        <w:rPr>
          <w:lang w:val="fr-FR"/>
        </w:rPr>
      </w:pPr>
      <w:r w:rsidRPr="00A318C3">
        <w:rPr>
          <w:lang w:val="fr-FR"/>
        </w:rPr>
        <w:t>3.2.1.1</w:t>
      </w:r>
      <w:r w:rsidRPr="00A318C3">
        <w:rPr>
          <w:lang w:val="fr-FR"/>
        </w:rPr>
        <w:tab/>
      </w:r>
      <w:r w:rsidRPr="005B4CEB">
        <w:rPr>
          <w:spacing w:val="-4"/>
          <w:lang w:val="fr-FR"/>
        </w:rPr>
        <w:t>Principe de fonctionnement : allumage commandé/allumage par compression/</w:t>
      </w:r>
      <w:r w:rsidRPr="005B4CEB">
        <w:rPr>
          <w:spacing w:val="-4"/>
          <w:lang w:val="fr-FR"/>
        </w:rPr>
        <w:br/>
      </w:r>
      <w:r w:rsidRPr="00A318C3">
        <w:rPr>
          <w:lang w:val="fr-FR"/>
        </w:rPr>
        <w:t>Cycle</w:t>
      </w:r>
      <w:r>
        <w:rPr>
          <w:lang w:val="fr-FR"/>
        </w:rPr>
        <w:t> </w:t>
      </w:r>
      <w:r w:rsidRPr="00A318C3">
        <w:rPr>
          <w:lang w:val="fr-FR"/>
        </w:rPr>
        <w:t>: quatre temps/deux temps/rotatif</w:t>
      </w:r>
      <w:r w:rsidRPr="00977679">
        <w:rPr>
          <w:rStyle w:val="Appelnotedebasdep"/>
        </w:rPr>
        <w:footnoteReference w:id="14"/>
      </w:r>
      <w:r>
        <w:rPr>
          <w:lang w:val="fr-FR"/>
        </w:rPr>
        <w:t> :</w:t>
      </w:r>
      <w:r>
        <w:rPr>
          <w:lang w:val="fr-FR"/>
        </w:rPr>
        <w:tab/>
      </w:r>
    </w:p>
    <w:p w14:paraId="40559E5F" w14:textId="77777777" w:rsidR="00BE2CA7" w:rsidRPr="00A318C3" w:rsidRDefault="00BE2CA7" w:rsidP="00BE2CA7">
      <w:pPr>
        <w:tabs>
          <w:tab w:val="left" w:pos="1134"/>
          <w:tab w:val="right" w:leader="dot" w:pos="8505"/>
        </w:tabs>
        <w:spacing w:after="120"/>
        <w:ind w:left="2552" w:right="1134" w:hanging="1418"/>
        <w:rPr>
          <w:lang w:val="fr-FR"/>
        </w:rPr>
      </w:pPr>
      <w:r w:rsidRPr="00A318C3">
        <w:rPr>
          <w:lang w:val="fr-FR"/>
        </w:rPr>
        <w:t>3.2.1.6</w:t>
      </w:r>
      <w:r w:rsidRPr="00A318C3">
        <w:rPr>
          <w:lang w:val="fr-FR"/>
        </w:rPr>
        <w:tab/>
        <w:t>Régime normal de ralenti</w:t>
      </w:r>
      <w:r w:rsidRPr="00A318C3">
        <w:rPr>
          <w:sz w:val="18"/>
          <w:szCs w:val="18"/>
          <w:vertAlign w:val="superscript"/>
          <w:lang w:val="fr-FR"/>
        </w:rPr>
        <w:t>12</w:t>
      </w:r>
      <w:r>
        <w:rPr>
          <w:sz w:val="18"/>
          <w:szCs w:val="18"/>
          <w:lang w:val="fr-FR"/>
        </w:rPr>
        <w:t> </w:t>
      </w:r>
      <w:r w:rsidRPr="00A318C3">
        <w:rPr>
          <w:sz w:val="18"/>
          <w:szCs w:val="18"/>
          <w:lang w:val="fr-FR"/>
        </w:rPr>
        <w:t>:</w:t>
      </w:r>
      <w:r w:rsidRPr="00A318C3">
        <w:rPr>
          <w:lang w:val="fr-FR"/>
        </w:rPr>
        <w:tab/>
      </w:r>
    </w:p>
    <w:p w14:paraId="2FA96F8A" w14:textId="77777777" w:rsidR="00BE2CA7" w:rsidRPr="00A318C3" w:rsidRDefault="00BE2CA7" w:rsidP="00BE2CA7">
      <w:pPr>
        <w:tabs>
          <w:tab w:val="left" w:pos="1134"/>
          <w:tab w:val="right" w:leader="dot" w:pos="8505"/>
        </w:tabs>
        <w:spacing w:after="120"/>
        <w:ind w:left="2552" w:right="1134" w:hanging="1418"/>
        <w:rPr>
          <w:lang w:val="fr-FR"/>
        </w:rPr>
      </w:pPr>
      <w:r w:rsidRPr="00A318C3">
        <w:rPr>
          <w:lang w:val="fr-FR"/>
        </w:rPr>
        <w:t>3.2.1.6.1</w:t>
      </w:r>
      <w:r w:rsidRPr="00A318C3">
        <w:rPr>
          <w:lang w:val="fr-FR"/>
        </w:rPr>
        <w:tab/>
        <w:t>Régime de ralenti</w:t>
      </w:r>
      <w:r>
        <w:rPr>
          <w:lang w:val="fr-FR"/>
        </w:rPr>
        <w:t> </w:t>
      </w:r>
      <w:r w:rsidRPr="00A318C3">
        <w:rPr>
          <w:lang w:val="fr-FR"/>
        </w:rPr>
        <w:t>accéléré</w:t>
      </w:r>
      <w:r w:rsidRPr="00A318C3">
        <w:rPr>
          <w:sz w:val="18"/>
          <w:szCs w:val="18"/>
          <w:vertAlign w:val="superscript"/>
          <w:lang w:val="fr-FR"/>
        </w:rPr>
        <w:t>12</w:t>
      </w:r>
      <w:r>
        <w:rPr>
          <w:sz w:val="18"/>
          <w:szCs w:val="18"/>
          <w:lang w:val="fr-FR"/>
        </w:rPr>
        <w:t> </w:t>
      </w:r>
      <w:r w:rsidRPr="00A318C3">
        <w:rPr>
          <w:sz w:val="18"/>
          <w:szCs w:val="18"/>
          <w:lang w:val="fr-FR"/>
        </w:rPr>
        <w:t>:</w:t>
      </w:r>
      <w:r w:rsidRPr="00A318C3">
        <w:rPr>
          <w:lang w:val="fr-FR"/>
        </w:rPr>
        <w:tab/>
      </w:r>
    </w:p>
    <w:p w14:paraId="1228D07C" w14:textId="77777777" w:rsidR="00BE2CA7" w:rsidRPr="00A318C3" w:rsidRDefault="00BE2CA7" w:rsidP="00BE2CA7">
      <w:pPr>
        <w:tabs>
          <w:tab w:val="left" w:pos="1134"/>
          <w:tab w:val="right" w:leader="dot" w:pos="8505"/>
        </w:tabs>
        <w:spacing w:after="120"/>
        <w:ind w:left="2552" w:right="1134" w:hanging="1418"/>
        <w:jc w:val="both"/>
        <w:rPr>
          <w:lang w:val="fr-FR"/>
        </w:rPr>
      </w:pPr>
      <w:r w:rsidRPr="00A318C3">
        <w:rPr>
          <w:lang w:val="fr-FR"/>
        </w:rPr>
        <w:t>3.2.1.7</w:t>
      </w:r>
      <w:r w:rsidRPr="00A318C3">
        <w:rPr>
          <w:lang w:val="fr-FR"/>
        </w:rPr>
        <w:tab/>
        <w:t>Teneur volumique en monoxyde de carbone des gaz d</w:t>
      </w:r>
      <w:r>
        <w:rPr>
          <w:lang w:val="fr-FR"/>
        </w:rPr>
        <w:t>’</w:t>
      </w:r>
      <w:r w:rsidRPr="00A318C3">
        <w:rPr>
          <w:lang w:val="fr-FR"/>
        </w:rPr>
        <w:t>échappement, le moteur tournant au ralenti (selon les spécifications du constructeur, moteurs à allumage commandé</w:t>
      </w:r>
      <w:r>
        <w:rPr>
          <w:lang w:val="fr-FR"/>
        </w:rPr>
        <w:t> </w:t>
      </w:r>
      <w:r w:rsidRPr="00A318C3">
        <w:rPr>
          <w:lang w:val="fr-FR"/>
        </w:rPr>
        <w:t>uniquement</w:t>
      </w:r>
      <w:r w:rsidRPr="00A318C3">
        <w:rPr>
          <w:sz w:val="18"/>
          <w:szCs w:val="18"/>
          <w:vertAlign w:val="superscript"/>
          <w:lang w:val="fr-FR"/>
        </w:rPr>
        <w:t>12</w:t>
      </w:r>
      <w:r>
        <w:rPr>
          <w:sz w:val="18"/>
          <w:szCs w:val="18"/>
          <w:lang w:val="fr-FR"/>
        </w:rPr>
        <w:t> :</w:t>
      </w:r>
      <w:r w:rsidRPr="00A318C3">
        <w:rPr>
          <w:lang w:val="fr-FR"/>
        </w:rPr>
        <w:tab/>
      </w:r>
      <w:r>
        <w:rPr>
          <w:lang w:val="fr-FR"/>
        </w:rPr>
        <w:t>%</w:t>
      </w:r>
    </w:p>
    <w:p w14:paraId="42D2E63C" w14:textId="77777777" w:rsidR="00BE2CA7" w:rsidRPr="00A318C3" w:rsidRDefault="00BE2CA7" w:rsidP="00BE2CA7">
      <w:pPr>
        <w:tabs>
          <w:tab w:val="left" w:leader="dot" w:pos="8505"/>
        </w:tabs>
        <w:spacing w:after="120"/>
        <w:ind w:left="2552" w:right="1134" w:hanging="1418"/>
        <w:jc w:val="both"/>
        <w:rPr>
          <w:lang w:val="fr-FR"/>
        </w:rPr>
      </w:pPr>
      <w:r w:rsidRPr="00A318C3">
        <w:rPr>
          <w:lang w:val="fr-FR"/>
        </w:rPr>
        <w:t>3.2.13</w:t>
      </w:r>
      <w:r w:rsidRPr="00A318C3">
        <w:rPr>
          <w:lang w:val="fr-FR"/>
        </w:rPr>
        <w:tab/>
        <w:t>Emplacement du symbole du coefficient d</w:t>
      </w:r>
      <w:r>
        <w:rPr>
          <w:lang w:val="fr-FR"/>
        </w:rPr>
        <w:t>’</w:t>
      </w:r>
      <w:r w:rsidRPr="00A318C3">
        <w:rPr>
          <w:lang w:val="fr-FR"/>
        </w:rPr>
        <w:t>absorption (moteurs à allumage par compression uniquement)</w:t>
      </w:r>
      <w:r>
        <w:rPr>
          <w:lang w:val="fr-FR"/>
        </w:rPr>
        <w:t> </w:t>
      </w:r>
      <w:r w:rsidRPr="00A318C3">
        <w:rPr>
          <w:lang w:val="fr-FR"/>
        </w:rPr>
        <w:t>:</w:t>
      </w:r>
      <w:r w:rsidRPr="00A318C3">
        <w:rPr>
          <w:lang w:val="fr-FR"/>
        </w:rPr>
        <w:tab/>
      </w:r>
    </w:p>
    <w:p w14:paraId="2FD766B0" w14:textId="77777777" w:rsidR="00BE2CA7" w:rsidRPr="00A318C3" w:rsidRDefault="00BE2CA7" w:rsidP="00BE2CA7">
      <w:pPr>
        <w:tabs>
          <w:tab w:val="left" w:leader="dot" w:pos="8505"/>
        </w:tabs>
        <w:spacing w:after="120"/>
        <w:ind w:left="2552" w:right="1134" w:hanging="1418"/>
        <w:jc w:val="both"/>
        <w:rPr>
          <w:lang w:val="fr-FR"/>
        </w:rPr>
      </w:pPr>
      <w:r w:rsidRPr="00A318C3">
        <w:rPr>
          <w:lang w:val="fr-FR"/>
        </w:rPr>
        <w:t>3.2.15</w:t>
      </w:r>
      <w:r w:rsidRPr="00A318C3">
        <w:rPr>
          <w:lang w:val="fr-FR"/>
        </w:rPr>
        <w:tab/>
        <w:t>Système d</w:t>
      </w:r>
      <w:r>
        <w:rPr>
          <w:lang w:val="fr-FR"/>
        </w:rPr>
        <w:t>’</w:t>
      </w:r>
      <w:r w:rsidRPr="00A318C3">
        <w:rPr>
          <w:lang w:val="fr-FR"/>
        </w:rPr>
        <w:t>alimentation en GPL</w:t>
      </w:r>
      <w:r>
        <w:rPr>
          <w:lang w:val="fr-FR"/>
        </w:rPr>
        <w:t> </w:t>
      </w:r>
      <w:r w:rsidRPr="00A318C3">
        <w:rPr>
          <w:lang w:val="fr-FR"/>
        </w:rPr>
        <w:t>: oui/non</w:t>
      </w:r>
      <w:r w:rsidRPr="00A318C3">
        <w:rPr>
          <w:sz w:val="18"/>
          <w:szCs w:val="18"/>
          <w:vertAlign w:val="superscript"/>
          <w:lang w:val="fr-FR"/>
        </w:rPr>
        <w:t>9</w:t>
      </w:r>
      <w:r w:rsidRPr="00A318C3">
        <w:rPr>
          <w:lang w:val="fr-FR"/>
        </w:rPr>
        <w:tab/>
      </w:r>
    </w:p>
    <w:p w14:paraId="758B2E13" w14:textId="77777777" w:rsidR="00BE2CA7" w:rsidRPr="00A318C3" w:rsidRDefault="00BE2CA7" w:rsidP="00BE2CA7">
      <w:pPr>
        <w:tabs>
          <w:tab w:val="left" w:leader="dot" w:pos="8505"/>
        </w:tabs>
        <w:spacing w:after="120"/>
        <w:ind w:left="2552" w:right="1134" w:hanging="1418"/>
        <w:jc w:val="both"/>
        <w:rPr>
          <w:lang w:val="fr-FR"/>
        </w:rPr>
      </w:pPr>
      <w:r w:rsidRPr="00A318C3">
        <w:rPr>
          <w:lang w:val="fr-FR"/>
        </w:rPr>
        <w:t>3.2.16</w:t>
      </w:r>
      <w:r w:rsidRPr="00A318C3">
        <w:rPr>
          <w:lang w:val="fr-FR"/>
        </w:rPr>
        <w:tab/>
        <w:t>Système d</w:t>
      </w:r>
      <w:r>
        <w:rPr>
          <w:lang w:val="fr-FR"/>
        </w:rPr>
        <w:t>’</w:t>
      </w:r>
      <w:r w:rsidRPr="00A318C3">
        <w:rPr>
          <w:lang w:val="fr-FR"/>
        </w:rPr>
        <w:t>alimentation en GN</w:t>
      </w:r>
      <w:r>
        <w:rPr>
          <w:lang w:val="fr-FR"/>
        </w:rPr>
        <w:t> </w:t>
      </w:r>
      <w:r w:rsidRPr="00A318C3">
        <w:rPr>
          <w:lang w:val="fr-FR"/>
        </w:rPr>
        <w:t>: oui/non</w:t>
      </w:r>
      <w:r w:rsidRPr="00A318C3">
        <w:rPr>
          <w:sz w:val="18"/>
          <w:szCs w:val="18"/>
          <w:vertAlign w:val="superscript"/>
          <w:lang w:val="fr-FR"/>
        </w:rPr>
        <w:t>9</w:t>
      </w:r>
    </w:p>
    <w:p w14:paraId="77737B52" w14:textId="77777777" w:rsidR="00BE2CA7" w:rsidRPr="00A318C3" w:rsidRDefault="00BE2CA7" w:rsidP="00BE2CA7">
      <w:pPr>
        <w:tabs>
          <w:tab w:val="left" w:leader="dot" w:pos="8505"/>
        </w:tabs>
        <w:spacing w:after="120"/>
        <w:ind w:left="2552" w:right="1134" w:hanging="1418"/>
        <w:jc w:val="both"/>
        <w:rPr>
          <w:lang w:val="fr-FR"/>
        </w:rPr>
      </w:pPr>
      <w:r w:rsidRPr="00A318C3">
        <w:rPr>
          <w:lang w:val="fr-FR"/>
        </w:rPr>
        <w:t>3.2.18</w:t>
      </w:r>
      <w:r w:rsidRPr="00A318C3">
        <w:rPr>
          <w:lang w:val="fr-FR"/>
        </w:rPr>
        <w:tab/>
        <w:t>Système d</w:t>
      </w:r>
      <w:r>
        <w:rPr>
          <w:lang w:val="fr-FR"/>
        </w:rPr>
        <w:t>’</w:t>
      </w:r>
      <w:r w:rsidRPr="00A318C3">
        <w:rPr>
          <w:lang w:val="fr-FR"/>
        </w:rPr>
        <w:t>alimentation en hydrogène</w:t>
      </w:r>
      <w:r>
        <w:rPr>
          <w:lang w:val="fr-FR"/>
        </w:rPr>
        <w:t> </w:t>
      </w:r>
      <w:r w:rsidRPr="00A318C3">
        <w:rPr>
          <w:lang w:val="fr-FR"/>
        </w:rPr>
        <w:t>: oui/non</w:t>
      </w:r>
      <w:r w:rsidRPr="00A318C3">
        <w:rPr>
          <w:sz w:val="18"/>
          <w:szCs w:val="18"/>
          <w:vertAlign w:val="superscript"/>
          <w:lang w:val="fr-FR"/>
        </w:rPr>
        <w:t>9</w:t>
      </w:r>
    </w:p>
    <w:p w14:paraId="244EF2B3" w14:textId="77777777" w:rsidR="00BE2CA7" w:rsidRPr="00A318C3" w:rsidRDefault="00BE2CA7" w:rsidP="00BE2CA7">
      <w:pPr>
        <w:tabs>
          <w:tab w:val="right" w:leader="dot" w:pos="8505"/>
        </w:tabs>
        <w:spacing w:after="120"/>
        <w:ind w:left="2552" w:right="1134" w:hanging="1418"/>
        <w:jc w:val="both"/>
        <w:rPr>
          <w:lang w:val="fr-FR"/>
        </w:rPr>
      </w:pPr>
      <w:r w:rsidRPr="00A318C3">
        <w:rPr>
          <w:lang w:val="fr-FR"/>
        </w:rPr>
        <w:t>3.4</w:t>
      </w:r>
      <w:r w:rsidRPr="00A318C3">
        <w:rPr>
          <w:lang w:val="fr-FR"/>
        </w:rPr>
        <w:tab/>
        <w:t>Moteurs ou combinaisons de moteurs</w:t>
      </w:r>
    </w:p>
    <w:p w14:paraId="03C184E3" w14:textId="77777777" w:rsidR="00BE2CA7" w:rsidRPr="00A318C3" w:rsidRDefault="00BE2CA7" w:rsidP="00BE2CA7">
      <w:pPr>
        <w:tabs>
          <w:tab w:val="right" w:leader="dot" w:pos="8505"/>
        </w:tabs>
        <w:spacing w:after="120"/>
        <w:ind w:left="2552" w:right="1134" w:hanging="1418"/>
        <w:jc w:val="both"/>
        <w:rPr>
          <w:lang w:val="fr-FR"/>
        </w:rPr>
      </w:pPr>
      <w:r w:rsidRPr="00A318C3">
        <w:rPr>
          <w:lang w:val="fr-FR"/>
        </w:rPr>
        <w:t>3.4.1</w:t>
      </w:r>
      <w:r w:rsidRPr="00A318C3">
        <w:rPr>
          <w:lang w:val="fr-FR"/>
        </w:rPr>
        <w:tab/>
        <w:t>Véhicule électrique hybride</w:t>
      </w:r>
      <w:r>
        <w:rPr>
          <w:lang w:val="fr-FR"/>
        </w:rPr>
        <w:t> </w:t>
      </w:r>
      <w:r w:rsidRPr="00A318C3">
        <w:rPr>
          <w:lang w:val="fr-FR"/>
        </w:rPr>
        <w:t>: oui/non</w:t>
      </w:r>
      <w:r w:rsidRPr="00A318C3">
        <w:rPr>
          <w:sz w:val="18"/>
          <w:szCs w:val="18"/>
          <w:vertAlign w:val="superscript"/>
          <w:lang w:val="fr-FR"/>
        </w:rPr>
        <w:t>9</w:t>
      </w:r>
    </w:p>
    <w:p w14:paraId="3213B35C" w14:textId="77777777" w:rsidR="00BE2CA7" w:rsidRPr="00A318C3" w:rsidRDefault="00BE2CA7" w:rsidP="00BE2CA7">
      <w:pPr>
        <w:tabs>
          <w:tab w:val="right" w:leader="dot" w:pos="8505"/>
        </w:tabs>
        <w:spacing w:after="120"/>
        <w:ind w:left="2552" w:right="1134" w:hanging="1418"/>
        <w:jc w:val="both"/>
        <w:rPr>
          <w:lang w:val="fr-FR"/>
        </w:rPr>
      </w:pPr>
      <w:r w:rsidRPr="00A318C3">
        <w:rPr>
          <w:lang w:val="fr-FR"/>
        </w:rPr>
        <w:t>3.4.2</w:t>
      </w:r>
      <w:r w:rsidRPr="00A318C3">
        <w:rPr>
          <w:lang w:val="fr-FR"/>
        </w:rPr>
        <w:tab/>
        <w:t>Catégorie de véhicule électrique hybride</w:t>
      </w:r>
      <w:r>
        <w:rPr>
          <w:lang w:val="fr-FR"/>
        </w:rPr>
        <w:t> </w:t>
      </w:r>
      <w:r w:rsidRPr="00A318C3">
        <w:rPr>
          <w:lang w:val="fr-FR"/>
        </w:rPr>
        <w:t>: rechargeable de l</w:t>
      </w:r>
      <w:r>
        <w:rPr>
          <w:lang w:val="fr-FR"/>
        </w:rPr>
        <w:t>’</w:t>
      </w:r>
      <w:r w:rsidRPr="00A318C3">
        <w:rPr>
          <w:lang w:val="fr-FR"/>
        </w:rPr>
        <w:t>extérieur/non rechargeable de l</w:t>
      </w:r>
      <w:r>
        <w:rPr>
          <w:lang w:val="fr-FR"/>
        </w:rPr>
        <w:t>’</w:t>
      </w:r>
      <w:r w:rsidRPr="00A318C3">
        <w:rPr>
          <w:lang w:val="fr-FR"/>
        </w:rPr>
        <w:t>extérieur</w:t>
      </w:r>
      <w:r w:rsidRPr="00A318C3">
        <w:rPr>
          <w:sz w:val="18"/>
          <w:szCs w:val="18"/>
          <w:vertAlign w:val="superscript"/>
          <w:lang w:val="fr-FR"/>
        </w:rPr>
        <w:t>9</w:t>
      </w:r>
      <w:r>
        <w:rPr>
          <w:sz w:val="18"/>
          <w:szCs w:val="18"/>
          <w:vertAlign w:val="superscript"/>
          <w:lang w:val="fr-FR"/>
        </w:rPr>
        <w:t> </w:t>
      </w:r>
      <w:r w:rsidRPr="00A318C3">
        <w:rPr>
          <w:sz w:val="18"/>
          <w:szCs w:val="18"/>
          <w:lang w:val="fr-FR"/>
        </w:rPr>
        <w:t>:</w:t>
      </w:r>
    </w:p>
    <w:p w14:paraId="38D4A16C" w14:textId="77777777" w:rsidR="00BE2CA7" w:rsidRPr="00A318C3" w:rsidRDefault="00BE2CA7" w:rsidP="00BE2CA7">
      <w:pPr>
        <w:tabs>
          <w:tab w:val="right" w:leader="dot" w:pos="8505"/>
        </w:tabs>
        <w:spacing w:after="120"/>
        <w:ind w:left="2552" w:right="1134" w:hanging="1418"/>
        <w:jc w:val="both"/>
        <w:rPr>
          <w:lang w:val="fr-FR"/>
        </w:rPr>
      </w:pPr>
      <w:r w:rsidRPr="00A318C3">
        <w:rPr>
          <w:lang w:val="fr-FR"/>
        </w:rPr>
        <w:t>3.4.3</w:t>
      </w:r>
      <w:r w:rsidRPr="00A318C3">
        <w:rPr>
          <w:lang w:val="fr-FR"/>
        </w:rPr>
        <w:tab/>
        <w:t>Commutateur de mode de fonctionnement</w:t>
      </w:r>
      <w:r>
        <w:rPr>
          <w:lang w:val="fr-FR"/>
        </w:rPr>
        <w:t> </w:t>
      </w:r>
      <w:r w:rsidRPr="00A318C3">
        <w:rPr>
          <w:lang w:val="fr-FR"/>
        </w:rPr>
        <w:t>: avec/sans</w:t>
      </w:r>
      <w:r w:rsidRPr="00A318C3">
        <w:rPr>
          <w:sz w:val="18"/>
          <w:szCs w:val="18"/>
          <w:vertAlign w:val="superscript"/>
          <w:lang w:val="fr-FR"/>
        </w:rPr>
        <w:t>9</w:t>
      </w:r>
    </w:p>
    <w:p w14:paraId="50416D45" w14:textId="77777777" w:rsidR="00BE2CA7" w:rsidRPr="00A318C3" w:rsidRDefault="00BE2CA7" w:rsidP="00BE2CA7">
      <w:pPr>
        <w:tabs>
          <w:tab w:val="right" w:leader="dot" w:pos="8505"/>
        </w:tabs>
        <w:spacing w:after="120"/>
        <w:ind w:left="2552" w:right="1134" w:hanging="1418"/>
        <w:jc w:val="both"/>
        <w:rPr>
          <w:lang w:val="fr-FR"/>
        </w:rPr>
      </w:pPr>
      <w:r w:rsidRPr="00A318C3">
        <w:rPr>
          <w:lang w:val="fr-FR"/>
        </w:rPr>
        <w:t>3.4.3.1</w:t>
      </w:r>
      <w:r w:rsidRPr="00A318C3">
        <w:rPr>
          <w:lang w:val="fr-FR"/>
        </w:rPr>
        <w:tab/>
        <w:t>Modes de fonctionnement sélectionnables</w:t>
      </w:r>
      <w:r w:rsidRPr="00A318C3">
        <w:rPr>
          <w:lang w:val="fr-FR"/>
        </w:rPr>
        <w:tab/>
      </w:r>
      <w:r w:rsidRPr="00A318C3">
        <w:rPr>
          <w:lang w:val="fr-FR"/>
        </w:rPr>
        <w:tab/>
      </w:r>
    </w:p>
    <w:p w14:paraId="7909E361" w14:textId="77777777" w:rsidR="00BE2CA7" w:rsidRPr="00A318C3" w:rsidRDefault="00BE2CA7" w:rsidP="00BE2CA7">
      <w:pPr>
        <w:tabs>
          <w:tab w:val="right" w:leader="dot" w:pos="8505"/>
        </w:tabs>
        <w:spacing w:after="120"/>
        <w:ind w:left="2552" w:right="1134" w:hanging="1418"/>
        <w:jc w:val="both"/>
        <w:rPr>
          <w:lang w:val="fr-FR"/>
        </w:rPr>
      </w:pPr>
      <w:r w:rsidRPr="00A318C3">
        <w:rPr>
          <w:lang w:val="fr-FR"/>
        </w:rPr>
        <w:t>3.4.3.1.1</w:t>
      </w:r>
      <w:r w:rsidRPr="00A318C3">
        <w:rPr>
          <w:lang w:val="fr-FR"/>
        </w:rPr>
        <w:tab/>
        <w:t>Mode uniquement électrique</w:t>
      </w:r>
      <w:r>
        <w:rPr>
          <w:lang w:val="fr-FR"/>
        </w:rPr>
        <w:t> </w:t>
      </w:r>
      <w:r w:rsidRPr="00A318C3">
        <w:rPr>
          <w:lang w:val="fr-FR"/>
        </w:rPr>
        <w:t>: oui/non</w:t>
      </w:r>
      <w:r w:rsidRPr="00A318C3">
        <w:rPr>
          <w:sz w:val="18"/>
          <w:szCs w:val="18"/>
          <w:vertAlign w:val="superscript"/>
          <w:lang w:val="fr-FR"/>
        </w:rPr>
        <w:t>9</w:t>
      </w:r>
    </w:p>
    <w:p w14:paraId="0B64EEFC" w14:textId="77777777" w:rsidR="00BE2CA7" w:rsidRPr="00A318C3" w:rsidRDefault="00BE2CA7" w:rsidP="00BE2CA7">
      <w:pPr>
        <w:tabs>
          <w:tab w:val="right" w:leader="dot" w:pos="8505"/>
        </w:tabs>
        <w:spacing w:after="120"/>
        <w:ind w:left="2552" w:right="1134" w:hanging="1418"/>
        <w:jc w:val="both"/>
        <w:rPr>
          <w:lang w:val="fr-FR"/>
        </w:rPr>
      </w:pPr>
      <w:r w:rsidRPr="00A318C3">
        <w:rPr>
          <w:lang w:val="fr-FR"/>
        </w:rPr>
        <w:t>3.4.3.1.2</w:t>
      </w:r>
      <w:r w:rsidRPr="00A318C3">
        <w:rPr>
          <w:lang w:val="fr-FR"/>
        </w:rPr>
        <w:tab/>
        <w:t>Mode uniquement thermique</w:t>
      </w:r>
      <w:r>
        <w:rPr>
          <w:lang w:val="fr-FR"/>
        </w:rPr>
        <w:t> </w:t>
      </w:r>
      <w:r w:rsidRPr="00A318C3">
        <w:rPr>
          <w:lang w:val="fr-FR"/>
        </w:rPr>
        <w:t>: oui/non</w:t>
      </w:r>
      <w:r w:rsidRPr="00A318C3">
        <w:rPr>
          <w:sz w:val="18"/>
          <w:szCs w:val="18"/>
          <w:vertAlign w:val="superscript"/>
          <w:lang w:val="fr-FR"/>
        </w:rPr>
        <w:t>9</w:t>
      </w:r>
    </w:p>
    <w:p w14:paraId="3A30FF02" w14:textId="77777777" w:rsidR="00BE2CA7" w:rsidRPr="00A318C3" w:rsidRDefault="00BE2CA7" w:rsidP="00BE2CA7">
      <w:pPr>
        <w:tabs>
          <w:tab w:val="right" w:leader="dot" w:pos="8505"/>
        </w:tabs>
        <w:spacing w:after="120"/>
        <w:ind w:left="2552" w:right="1134" w:hanging="1418"/>
        <w:jc w:val="both"/>
        <w:rPr>
          <w:lang w:val="fr-FR"/>
        </w:rPr>
      </w:pPr>
      <w:r w:rsidRPr="00A318C3">
        <w:rPr>
          <w:lang w:val="fr-FR"/>
        </w:rPr>
        <w:lastRenderedPageBreak/>
        <w:t>3.4.3.1.3</w:t>
      </w:r>
      <w:r w:rsidRPr="00A318C3">
        <w:rPr>
          <w:lang w:val="fr-FR"/>
        </w:rPr>
        <w:tab/>
        <w:t>Modes hybrides</w:t>
      </w:r>
      <w:r>
        <w:rPr>
          <w:lang w:val="fr-FR"/>
        </w:rPr>
        <w:t> </w:t>
      </w:r>
      <w:r w:rsidRPr="00A318C3">
        <w:rPr>
          <w:lang w:val="fr-FR"/>
        </w:rPr>
        <w:t xml:space="preserve">: oui/non </w:t>
      </w:r>
      <w:r w:rsidRPr="007615CF">
        <w:rPr>
          <w:lang w:val="fr-FR"/>
        </w:rPr>
        <w:t>(si oui, brève description)</w:t>
      </w:r>
      <w:r>
        <w:rPr>
          <w:lang w:val="fr-FR"/>
        </w:rPr>
        <w:t> :</w:t>
      </w:r>
    </w:p>
    <w:p w14:paraId="04B3B1D1" w14:textId="77777777" w:rsidR="00BE2CA7" w:rsidRPr="00A318C3" w:rsidRDefault="00BE2CA7" w:rsidP="00BE2CA7">
      <w:pPr>
        <w:tabs>
          <w:tab w:val="right" w:leader="dot" w:pos="8505"/>
        </w:tabs>
        <w:spacing w:after="120"/>
        <w:ind w:left="2552" w:right="1134" w:hanging="1418"/>
        <w:jc w:val="both"/>
        <w:rPr>
          <w:lang w:val="fr-FR"/>
        </w:rPr>
      </w:pPr>
      <w:r w:rsidRPr="00A318C3">
        <w:rPr>
          <w:lang w:val="fr-FR"/>
        </w:rPr>
        <w:t>3.4.5</w:t>
      </w:r>
      <w:r w:rsidRPr="00A318C3">
        <w:rPr>
          <w:lang w:val="fr-FR"/>
        </w:rPr>
        <w:tab/>
        <w:t>Machine électrique (décrire séparément chaque type de machine électrique)</w:t>
      </w:r>
    </w:p>
    <w:p w14:paraId="7CB95A57" w14:textId="77777777" w:rsidR="00BE2CA7" w:rsidRPr="00A318C3" w:rsidRDefault="00BE2CA7" w:rsidP="00BE2CA7">
      <w:pPr>
        <w:tabs>
          <w:tab w:val="right" w:leader="dot" w:pos="8505"/>
        </w:tabs>
        <w:spacing w:after="120"/>
        <w:ind w:left="2552" w:right="1134" w:hanging="1418"/>
        <w:jc w:val="both"/>
        <w:rPr>
          <w:lang w:val="fr-FR"/>
        </w:rPr>
      </w:pPr>
      <w:r w:rsidRPr="00A318C3">
        <w:rPr>
          <w:lang w:val="fr-FR"/>
        </w:rPr>
        <w:t>3.4.5.1</w:t>
      </w:r>
      <w:r w:rsidRPr="00A318C3">
        <w:rPr>
          <w:lang w:val="fr-FR"/>
        </w:rPr>
        <w:tab/>
        <w:t>Marque</w:t>
      </w:r>
      <w:r>
        <w:rPr>
          <w:lang w:val="fr-FR"/>
        </w:rPr>
        <w:t> </w:t>
      </w:r>
      <w:r w:rsidRPr="00A318C3">
        <w:rPr>
          <w:lang w:val="fr-FR"/>
        </w:rPr>
        <w:t>:</w:t>
      </w:r>
      <w:r w:rsidRPr="00A318C3">
        <w:rPr>
          <w:lang w:val="fr-FR"/>
        </w:rPr>
        <w:tab/>
      </w:r>
    </w:p>
    <w:p w14:paraId="6DCBBD61" w14:textId="77777777" w:rsidR="00BE2CA7" w:rsidRPr="00A318C3" w:rsidRDefault="00BE2CA7" w:rsidP="00BE2CA7">
      <w:pPr>
        <w:tabs>
          <w:tab w:val="right" w:leader="dot" w:pos="8505"/>
        </w:tabs>
        <w:spacing w:after="120"/>
        <w:ind w:left="2552" w:right="1134" w:hanging="1418"/>
        <w:jc w:val="both"/>
        <w:rPr>
          <w:lang w:val="fr-FR"/>
        </w:rPr>
      </w:pPr>
      <w:r w:rsidRPr="00A318C3">
        <w:rPr>
          <w:lang w:val="fr-FR"/>
        </w:rPr>
        <w:t>3.4.5.2</w:t>
      </w:r>
      <w:r w:rsidRPr="00A318C3">
        <w:rPr>
          <w:lang w:val="fr-FR"/>
        </w:rPr>
        <w:tab/>
        <w:t>Type</w:t>
      </w:r>
      <w:r>
        <w:rPr>
          <w:lang w:val="fr-FR"/>
        </w:rPr>
        <w:t> </w:t>
      </w:r>
      <w:r w:rsidRPr="00A318C3">
        <w:rPr>
          <w:lang w:val="fr-FR"/>
        </w:rPr>
        <w:t>:</w:t>
      </w:r>
      <w:r w:rsidRPr="00A318C3">
        <w:rPr>
          <w:lang w:val="fr-FR"/>
        </w:rPr>
        <w:tab/>
      </w:r>
    </w:p>
    <w:p w14:paraId="3C2D2328" w14:textId="77777777" w:rsidR="00BE2CA7" w:rsidRPr="00A318C3" w:rsidRDefault="00BE2CA7" w:rsidP="00BE2CA7">
      <w:pPr>
        <w:tabs>
          <w:tab w:val="right" w:leader="dot" w:pos="8505"/>
        </w:tabs>
        <w:spacing w:after="120"/>
        <w:ind w:left="2552" w:right="1134" w:hanging="1418"/>
        <w:jc w:val="both"/>
        <w:rPr>
          <w:lang w:val="fr-FR"/>
        </w:rPr>
      </w:pPr>
      <w:r w:rsidRPr="00A318C3">
        <w:rPr>
          <w:lang w:val="fr-FR"/>
        </w:rPr>
        <w:t>3.4.5.3</w:t>
      </w:r>
      <w:r w:rsidRPr="00A318C3">
        <w:rPr>
          <w:lang w:val="fr-FR"/>
        </w:rPr>
        <w:tab/>
        <w:t>Utilisation principale</w:t>
      </w:r>
      <w:r>
        <w:rPr>
          <w:lang w:val="fr-FR"/>
        </w:rPr>
        <w:t> </w:t>
      </w:r>
      <w:r w:rsidRPr="00A318C3">
        <w:rPr>
          <w:lang w:val="fr-FR"/>
        </w:rPr>
        <w:t>: moteur de traction/générateur</w:t>
      </w:r>
    </w:p>
    <w:p w14:paraId="2AAA852F" w14:textId="4ACAB679" w:rsidR="00BE2CA7" w:rsidRPr="00A318C3" w:rsidRDefault="00BE2CA7" w:rsidP="00BE2CA7">
      <w:pPr>
        <w:tabs>
          <w:tab w:val="right" w:leader="dot" w:pos="8505"/>
        </w:tabs>
        <w:spacing w:after="120"/>
        <w:ind w:left="2552" w:right="1134" w:hanging="1418"/>
        <w:jc w:val="both"/>
        <w:rPr>
          <w:lang w:val="fr-FR"/>
        </w:rPr>
      </w:pPr>
      <w:r w:rsidRPr="00A318C3">
        <w:rPr>
          <w:lang w:val="fr-FR"/>
        </w:rPr>
        <w:t>4</w:t>
      </w:r>
      <w:r w:rsidR="00F466A6">
        <w:rPr>
          <w:lang w:val="fr-FR"/>
        </w:rPr>
        <w:t>.</w:t>
      </w:r>
      <w:r w:rsidRPr="00A318C3">
        <w:rPr>
          <w:lang w:val="fr-FR"/>
        </w:rPr>
        <w:tab/>
        <w:t>Transmission</w:t>
      </w:r>
      <w:r w:rsidRPr="00977679">
        <w:rPr>
          <w:rStyle w:val="Appelnotedebasdep"/>
        </w:rPr>
        <w:footnoteReference w:id="15"/>
      </w:r>
    </w:p>
    <w:p w14:paraId="6AC412C5" w14:textId="77777777" w:rsidR="00BE2CA7" w:rsidRPr="00A318C3" w:rsidRDefault="00BE2CA7" w:rsidP="00BE2CA7">
      <w:pPr>
        <w:tabs>
          <w:tab w:val="right" w:leader="dot" w:pos="8505"/>
        </w:tabs>
        <w:spacing w:after="120"/>
        <w:ind w:left="2552" w:right="1134" w:hanging="1418"/>
        <w:jc w:val="both"/>
        <w:rPr>
          <w:lang w:val="fr-FR"/>
        </w:rPr>
      </w:pPr>
      <w:r w:rsidRPr="00A318C3">
        <w:rPr>
          <w:lang w:val="fr-FR"/>
        </w:rPr>
        <w:t>4.5</w:t>
      </w:r>
      <w:r w:rsidRPr="00A318C3">
        <w:rPr>
          <w:lang w:val="fr-FR"/>
        </w:rPr>
        <w:tab/>
        <w:t>Boîte de vitesses</w:t>
      </w:r>
      <w:r w:rsidRPr="00A318C3">
        <w:rPr>
          <w:lang w:val="fr-FR"/>
        </w:rPr>
        <w:tab/>
      </w:r>
    </w:p>
    <w:p w14:paraId="7F110054" w14:textId="77777777" w:rsidR="00BE2CA7" w:rsidRPr="00A318C3" w:rsidRDefault="00BE2CA7" w:rsidP="00BE2CA7">
      <w:pPr>
        <w:tabs>
          <w:tab w:val="right" w:leader="dot" w:pos="8505"/>
        </w:tabs>
        <w:spacing w:after="120"/>
        <w:ind w:left="2552" w:right="1134" w:hanging="1418"/>
        <w:rPr>
          <w:lang w:val="fr-FR"/>
        </w:rPr>
      </w:pPr>
      <w:r w:rsidRPr="00A318C3">
        <w:rPr>
          <w:lang w:val="fr-FR"/>
        </w:rPr>
        <w:t>4.5.1</w:t>
      </w:r>
      <w:r w:rsidRPr="00A318C3">
        <w:rPr>
          <w:lang w:val="fr-FR"/>
        </w:rPr>
        <w:tab/>
        <w:t>Type (manuelle/automatique/transmission à variation continue (TVC)</w:t>
      </w:r>
      <w:r w:rsidRPr="00A318C3">
        <w:rPr>
          <w:sz w:val="18"/>
          <w:szCs w:val="18"/>
          <w:vertAlign w:val="superscript"/>
          <w:lang w:val="fr-FR"/>
        </w:rPr>
        <w:t>9</w:t>
      </w:r>
      <w:r w:rsidRPr="00A318C3">
        <w:rPr>
          <w:lang w:val="fr-FR"/>
        </w:rPr>
        <w:tab/>
      </w:r>
    </w:p>
    <w:p w14:paraId="4A46A4E1" w14:textId="77777777" w:rsidR="00BE2CA7" w:rsidRDefault="00BE2CA7" w:rsidP="00BE2CA7">
      <w:pPr>
        <w:tabs>
          <w:tab w:val="right" w:leader="dot" w:pos="8505"/>
        </w:tabs>
        <w:spacing w:after="120"/>
        <w:ind w:left="2552" w:right="1134" w:hanging="1418"/>
        <w:jc w:val="both"/>
      </w:pPr>
      <w:r>
        <w:t>4.6</w:t>
      </w:r>
      <w:r>
        <w:tab/>
        <w:t>Rapports de démultiplication</w:t>
      </w:r>
      <w:r>
        <w:tab/>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123"/>
        <w:gridCol w:w="1954"/>
        <w:gridCol w:w="2019"/>
        <w:gridCol w:w="1275"/>
      </w:tblGrid>
      <w:tr w:rsidR="00BE2CA7" w:rsidRPr="00451E3F" w14:paraId="13F402AB" w14:textId="77777777" w:rsidTr="002B0590">
        <w:tc>
          <w:tcPr>
            <w:tcW w:w="2123" w:type="dxa"/>
            <w:shd w:val="clear" w:color="auto" w:fill="auto"/>
            <w:vAlign w:val="bottom"/>
          </w:tcPr>
          <w:p w14:paraId="13302A13" w14:textId="77777777" w:rsidR="00BE2CA7" w:rsidRPr="00455C52" w:rsidRDefault="00BE2CA7" w:rsidP="002B0590">
            <w:pPr>
              <w:keepNext/>
              <w:keepLines/>
              <w:spacing w:before="80" w:after="80" w:line="200" w:lineRule="exact"/>
              <w:ind w:left="57" w:right="57"/>
              <w:jc w:val="both"/>
              <w:rPr>
                <w:i/>
                <w:iCs/>
                <w:sz w:val="16"/>
                <w:szCs w:val="16"/>
              </w:rPr>
            </w:pPr>
            <w:r w:rsidRPr="00451E3F">
              <w:rPr>
                <w:sz w:val="16"/>
                <w:szCs w:val="16"/>
              </w:rPr>
              <w:br w:type="page"/>
            </w:r>
            <w:r w:rsidRPr="00A318C3">
              <w:rPr>
                <w:i/>
                <w:iCs/>
                <w:sz w:val="16"/>
                <w:szCs w:val="16"/>
              </w:rPr>
              <w:t>Combinaisons de vitesse</w:t>
            </w:r>
          </w:p>
        </w:tc>
        <w:tc>
          <w:tcPr>
            <w:tcW w:w="1954" w:type="dxa"/>
            <w:shd w:val="clear" w:color="auto" w:fill="auto"/>
          </w:tcPr>
          <w:p w14:paraId="39CAE8AE" w14:textId="77777777" w:rsidR="00BE2CA7" w:rsidRPr="00A318C3" w:rsidRDefault="00BE2CA7" w:rsidP="002B0590">
            <w:pPr>
              <w:keepNext/>
              <w:keepLines/>
              <w:spacing w:before="80" w:after="80" w:line="200" w:lineRule="exact"/>
              <w:ind w:left="57" w:right="57"/>
              <w:rPr>
                <w:i/>
                <w:sz w:val="16"/>
                <w:szCs w:val="16"/>
                <w:lang w:val="fr-FR"/>
              </w:rPr>
            </w:pPr>
            <w:r w:rsidRPr="00A318C3">
              <w:rPr>
                <w:i/>
                <w:sz w:val="16"/>
                <w:szCs w:val="16"/>
                <w:lang w:val="fr-FR"/>
              </w:rPr>
              <w:t>Rapport interne de boîte de vitesses (rapport entre le régime du moteur et la vitesse de rotation de l</w:t>
            </w:r>
            <w:r>
              <w:rPr>
                <w:i/>
                <w:sz w:val="16"/>
                <w:szCs w:val="16"/>
                <w:lang w:val="fr-FR"/>
              </w:rPr>
              <w:t>’</w:t>
            </w:r>
            <w:r w:rsidRPr="00A318C3">
              <w:rPr>
                <w:i/>
                <w:sz w:val="16"/>
                <w:szCs w:val="16"/>
                <w:lang w:val="fr-FR"/>
              </w:rPr>
              <w:t>arbre de sortie)</w:t>
            </w:r>
          </w:p>
        </w:tc>
        <w:tc>
          <w:tcPr>
            <w:tcW w:w="2019" w:type="dxa"/>
            <w:shd w:val="clear" w:color="auto" w:fill="auto"/>
          </w:tcPr>
          <w:p w14:paraId="384D2384" w14:textId="77777777" w:rsidR="00BE2CA7" w:rsidRPr="00A318C3" w:rsidRDefault="00BE2CA7" w:rsidP="002B0590">
            <w:pPr>
              <w:keepNext/>
              <w:keepLines/>
              <w:spacing w:before="80" w:after="80" w:line="200" w:lineRule="exact"/>
              <w:ind w:left="57" w:right="57"/>
              <w:rPr>
                <w:i/>
                <w:sz w:val="16"/>
                <w:szCs w:val="16"/>
                <w:lang w:val="fr-FR"/>
              </w:rPr>
            </w:pPr>
            <w:r w:rsidRPr="00A318C3">
              <w:rPr>
                <w:i/>
                <w:sz w:val="16"/>
                <w:szCs w:val="16"/>
                <w:lang w:val="fr-FR"/>
              </w:rPr>
              <w:t>Rapport(s) de pont (rapport entre la vitesse de rotation de l</w:t>
            </w:r>
            <w:r>
              <w:rPr>
                <w:i/>
                <w:sz w:val="16"/>
                <w:szCs w:val="16"/>
                <w:lang w:val="fr-FR"/>
              </w:rPr>
              <w:t>’</w:t>
            </w:r>
            <w:r w:rsidRPr="00A318C3">
              <w:rPr>
                <w:i/>
                <w:sz w:val="16"/>
                <w:szCs w:val="16"/>
                <w:lang w:val="fr-FR"/>
              </w:rPr>
              <w:t>arbre de sortie et celle des roues motrices)</w:t>
            </w:r>
          </w:p>
        </w:tc>
        <w:tc>
          <w:tcPr>
            <w:tcW w:w="1275" w:type="dxa"/>
            <w:shd w:val="clear" w:color="auto" w:fill="auto"/>
            <w:vAlign w:val="bottom"/>
          </w:tcPr>
          <w:p w14:paraId="025863A9" w14:textId="77777777" w:rsidR="00BE2CA7" w:rsidRPr="00451E3F" w:rsidRDefault="00BE2CA7" w:rsidP="002B0590">
            <w:pPr>
              <w:keepNext/>
              <w:keepLines/>
              <w:spacing w:before="80" w:after="80" w:line="200" w:lineRule="exact"/>
              <w:ind w:left="57" w:right="57"/>
              <w:jc w:val="both"/>
              <w:rPr>
                <w:i/>
                <w:sz w:val="16"/>
                <w:szCs w:val="16"/>
              </w:rPr>
            </w:pPr>
            <w:r w:rsidRPr="008E6A98">
              <w:rPr>
                <w:i/>
                <w:sz w:val="16"/>
                <w:szCs w:val="16"/>
              </w:rPr>
              <w:t>Rapport global de démultiplication</w:t>
            </w:r>
          </w:p>
        </w:tc>
      </w:tr>
      <w:tr w:rsidR="00BE2CA7" w:rsidRPr="007C3EFA" w14:paraId="3F578896" w14:textId="77777777" w:rsidTr="002B0590">
        <w:tc>
          <w:tcPr>
            <w:tcW w:w="2123" w:type="dxa"/>
            <w:shd w:val="clear" w:color="auto" w:fill="auto"/>
          </w:tcPr>
          <w:p w14:paraId="13171D6A" w14:textId="77777777" w:rsidR="00BE2CA7" w:rsidRPr="00A318C3" w:rsidRDefault="00BE2CA7" w:rsidP="002B0590">
            <w:pPr>
              <w:keepNext/>
              <w:keepLines/>
              <w:spacing w:before="40" w:after="120"/>
              <w:ind w:left="57" w:right="57"/>
              <w:rPr>
                <w:lang w:val="fr-FR"/>
              </w:rPr>
            </w:pPr>
            <w:r w:rsidRPr="00A318C3">
              <w:rPr>
                <w:lang w:val="fr-FR"/>
              </w:rPr>
              <w:t xml:space="preserve">Maximum pour les </w:t>
            </w:r>
            <w:r>
              <w:rPr>
                <w:lang w:val="fr-FR"/>
              </w:rPr>
              <w:t>TVC</w:t>
            </w:r>
          </w:p>
        </w:tc>
        <w:tc>
          <w:tcPr>
            <w:tcW w:w="1954" w:type="dxa"/>
            <w:shd w:val="clear" w:color="auto" w:fill="auto"/>
          </w:tcPr>
          <w:p w14:paraId="78D013F7" w14:textId="77777777" w:rsidR="00BE2CA7" w:rsidRPr="00A318C3" w:rsidRDefault="00BE2CA7" w:rsidP="002B0590">
            <w:pPr>
              <w:keepNext/>
              <w:keepLines/>
              <w:spacing w:before="40" w:after="120"/>
              <w:ind w:left="57" w:right="57"/>
              <w:rPr>
                <w:lang w:val="fr-FR"/>
              </w:rPr>
            </w:pPr>
          </w:p>
        </w:tc>
        <w:tc>
          <w:tcPr>
            <w:tcW w:w="2019" w:type="dxa"/>
            <w:shd w:val="clear" w:color="auto" w:fill="auto"/>
          </w:tcPr>
          <w:p w14:paraId="619AEE3A" w14:textId="77777777" w:rsidR="00BE2CA7" w:rsidRPr="00A318C3" w:rsidRDefault="00BE2CA7" w:rsidP="002B0590">
            <w:pPr>
              <w:keepNext/>
              <w:keepLines/>
              <w:spacing w:before="40" w:after="120"/>
              <w:ind w:left="57" w:right="57"/>
              <w:rPr>
                <w:lang w:val="fr-FR"/>
              </w:rPr>
            </w:pPr>
          </w:p>
        </w:tc>
        <w:tc>
          <w:tcPr>
            <w:tcW w:w="1275" w:type="dxa"/>
            <w:shd w:val="clear" w:color="auto" w:fill="auto"/>
          </w:tcPr>
          <w:p w14:paraId="0FB21EE2" w14:textId="77777777" w:rsidR="00BE2CA7" w:rsidRPr="00A318C3" w:rsidRDefault="00BE2CA7" w:rsidP="002B0590">
            <w:pPr>
              <w:keepNext/>
              <w:keepLines/>
              <w:spacing w:before="40" w:after="120"/>
              <w:ind w:left="57" w:right="57"/>
              <w:rPr>
                <w:lang w:val="fr-FR"/>
              </w:rPr>
            </w:pPr>
          </w:p>
        </w:tc>
      </w:tr>
      <w:tr w:rsidR="00BE2CA7" w:rsidRPr="00451E3F" w14:paraId="4A6BACC8" w14:textId="77777777" w:rsidTr="002B0590">
        <w:tc>
          <w:tcPr>
            <w:tcW w:w="2123" w:type="dxa"/>
            <w:shd w:val="clear" w:color="auto" w:fill="auto"/>
          </w:tcPr>
          <w:p w14:paraId="1C1FBD15" w14:textId="77777777" w:rsidR="00BE2CA7" w:rsidRPr="00451E3F" w:rsidRDefault="00BE2CA7" w:rsidP="002B0590">
            <w:pPr>
              <w:keepNext/>
              <w:keepLines/>
              <w:spacing w:before="40" w:after="120"/>
              <w:ind w:left="57" w:right="57"/>
              <w:jc w:val="both"/>
            </w:pPr>
            <w:r w:rsidRPr="00451E3F">
              <w:t>1</w:t>
            </w:r>
          </w:p>
        </w:tc>
        <w:tc>
          <w:tcPr>
            <w:tcW w:w="1954" w:type="dxa"/>
            <w:shd w:val="clear" w:color="auto" w:fill="auto"/>
          </w:tcPr>
          <w:p w14:paraId="08A59943" w14:textId="77777777" w:rsidR="00BE2CA7" w:rsidRPr="00451E3F" w:rsidRDefault="00BE2CA7" w:rsidP="002B0590">
            <w:pPr>
              <w:keepNext/>
              <w:keepLines/>
              <w:spacing w:before="40" w:after="120"/>
              <w:ind w:left="57" w:right="57"/>
            </w:pPr>
          </w:p>
        </w:tc>
        <w:tc>
          <w:tcPr>
            <w:tcW w:w="2019" w:type="dxa"/>
            <w:shd w:val="clear" w:color="auto" w:fill="auto"/>
          </w:tcPr>
          <w:p w14:paraId="53F54F85" w14:textId="77777777" w:rsidR="00BE2CA7" w:rsidRPr="00451E3F" w:rsidRDefault="00BE2CA7" w:rsidP="002B0590">
            <w:pPr>
              <w:keepNext/>
              <w:keepLines/>
              <w:spacing w:before="40" w:after="120"/>
              <w:ind w:left="57" w:right="57"/>
            </w:pPr>
          </w:p>
        </w:tc>
        <w:tc>
          <w:tcPr>
            <w:tcW w:w="1275" w:type="dxa"/>
            <w:shd w:val="clear" w:color="auto" w:fill="auto"/>
          </w:tcPr>
          <w:p w14:paraId="04F8734B" w14:textId="77777777" w:rsidR="00BE2CA7" w:rsidRPr="00451E3F" w:rsidRDefault="00BE2CA7" w:rsidP="002B0590">
            <w:pPr>
              <w:keepNext/>
              <w:keepLines/>
              <w:spacing w:before="40" w:after="120"/>
              <w:ind w:left="57" w:right="57"/>
            </w:pPr>
          </w:p>
        </w:tc>
      </w:tr>
      <w:tr w:rsidR="00BE2CA7" w:rsidRPr="00451E3F" w14:paraId="6C6CBEEE" w14:textId="77777777" w:rsidTr="002B0590">
        <w:tc>
          <w:tcPr>
            <w:tcW w:w="2123" w:type="dxa"/>
            <w:shd w:val="clear" w:color="auto" w:fill="auto"/>
          </w:tcPr>
          <w:p w14:paraId="1FD058C3" w14:textId="77777777" w:rsidR="00BE2CA7" w:rsidRPr="00451E3F" w:rsidRDefault="00BE2CA7" w:rsidP="002B0590">
            <w:pPr>
              <w:keepNext/>
              <w:keepLines/>
              <w:spacing w:before="40" w:after="120"/>
              <w:ind w:left="57" w:right="57"/>
              <w:jc w:val="both"/>
            </w:pPr>
            <w:r w:rsidRPr="00451E3F">
              <w:t>2</w:t>
            </w:r>
          </w:p>
        </w:tc>
        <w:tc>
          <w:tcPr>
            <w:tcW w:w="1954" w:type="dxa"/>
            <w:shd w:val="clear" w:color="auto" w:fill="auto"/>
          </w:tcPr>
          <w:p w14:paraId="16E9FE18" w14:textId="77777777" w:rsidR="00BE2CA7" w:rsidRPr="00451E3F" w:rsidRDefault="00BE2CA7" w:rsidP="002B0590">
            <w:pPr>
              <w:keepNext/>
              <w:keepLines/>
              <w:spacing w:before="40" w:after="120"/>
              <w:ind w:left="57" w:right="57"/>
            </w:pPr>
          </w:p>
        </w:tc>
        <w:tc>
          <w:tcPr>
            <w:tcW w:w="2019" w:type="dxa"/>
            <w:shd w:val="clear" w:color="auto" w:fill="auto"/>
          </w:tcPr>
          <w:p w14:paraId="29C59C9C" w14:textId="77777777" w:rsidR="00BE2CA7" w:rsidRPr="00451E3F" w:rsidRDefault="00BE2CA7" w:rsidP="002B0590">
            <w:pPr>
              <w:keepNext/>
              <w:keepLines/>
              <w:spacing w:before="40" w:after="120"/>
              <w:ind w:left="57" w:right="57"/>
            </w:pPr>
          </w:p>
        </w:tc>
        <w:tc>
          <w:tcPr>
            <w:tcW w:w="1275" w:type="dxa"/>
            <w:shd w:val="clear" w:color="auto" w:fill="auto"/>
          </w:tcPr>
          <w:p w14:paraId="1D15E7DD" w14:textId="77777777" w:rsidR="00BE2CA7" w:rsidRPr="00451E3F" w:rsidRDefault="00BE2CA7" w:rsidP="002B0590">
            <w:pPr>
              <w:keepNext/>
              <w:keepLines/>
              <w:spacing w:before="40" w:after="120"/>
              <w:ind w:left="57" w:right="57"/>
            </w:pPr>
          </w:p>
        </w:tc>
      </w:tr>
      <w:tr w:rsidR="00BE2CA7" w:rsidRPr="00451E3F" w14:paraId="1F11CE06" w14:textId="77777777" w:rsidTr="002B0590">
        <w:tc>
          <w:tcPr>
            <w:tcW w:w="2123" w:type="dxa"/>
            <w:shd w:val="clear" w:color="auto" w:fill="auto"/>
          </w:tcPr>
          <w:p w14:paraId="22E5B2C3" w14:textId="77777777" w:rsidR="00BE2CA7" w:rsidRPr="00451E3F" w:rsidRDefault="00BE2CA7" w:rsidP="002B0590">
            <w:pPr>
              <w:keepNext/>
              <w:keepLines/>
              <w:spacing w:before="40" w:after="120"/>
              <w:ind w:left="57" w:right="57"/>
              <w:jc w:val="both"/>
            </w:pPr>
            <w:r w:rsidRPr="00451E3F">
              <w:t>3</w:t>
            </w:r>
          </w:p>
        </w:tc>
        <w:tc>
          <w:tcPr>
            <w:tcW w:w="1954" w:type="dxa"/>
            <w:shd w:val="clear" w:color="auto" w:fill="auto"/>
          </w:tcPr>
          <w:p w14:paraId="6107B7E2" w14:textId="77777777" w:rsidR="00BE2CA7" w:rsidRPr="00451E3F" w:rsidRDefault="00BE2CA7" w:rsidP="002B0590">
            <w:pPr>
              <w:keepNext/>
              <w:keepLines/>
              <w:spacing w:before="40" w:after="120"/>
              <w:ind w:left="57" w:right="57"/>
            </w:pPr>
          </w:p>
        </w:tc>
        <w:tc>
          <w:tcPr>
            <w:tcW w:w="2019" w:type="dxa"/>
            <w:shd w:val="clear" w:color="auto" w:fill="auto"/>
          </w:tcPr>
          <w:p w14:paraId="0026392A" w14:textId="77777777" w:rsidR="00BE2CA7" w:rsidRPr="00451E3F" w:rsidRDefault="00BE2CA7" w:rsidP="002B0590">
            <w:pPr>
              <w:keepNext/>
              <w:keepLines/>
              <w:spacing w:before="40" w:after="120"/>
              <w:ind w:left="57" w:right="57"/>
            </w:pPr>
          </w:p>
        </w:tc>
        <w:tc>
          <w:tcPr>
            <w:tcW w:w="1275" w:type="dxa"/>
            <w:shd w:val="clear" w:color="auto" w:fill="auto"/>
          </w:tcPr>
          <w:p w14:paraId="556BAE7D" w14:textId="77777777" w:rsidR="00BE2CA7" w:rsidRPr="00451E3F" w:rsidRDefault="00BE2CA7" w:rsidP="002B0590">
            <w:pPr>
              <w:keepNext/>
              <w:keepLines/>
              <w:spacing w:before="40" w:after="120"/>
              <w:ind w:left="57" w:right="57"/>
            </w:pPr>
          </w:p>
        </w:tc>
      </w:tr>
      <w:tr w:rsidR="00BE2CA7" w:rsidRPr="00451E3F" w14:paraId="070151A5" w14:textId="77777777" w:rsidTr="002B0590">
        <w:tc>
          <w:tcPr>
            <w:tcW w:w="2123" w:type="dxa"/>
            <w:shd w:val="clear" w:color="auto" w:fill="auto"/>
          </w:tcPr>
          <w:p w14:paraId="09199187" w14:textId="77777777" w:rsidR="00BE2CA7" w:rsidRPr="00451E3F" w:rsidRDefault="00BE2CA7" w:rsidP="002B0590">
            <w:pPr>
              <w:keepNext/>
              <w:keepLines/>
              <w:spacing w:before="40" w:after="120"/>
              <w:ind w:left="57" w:right="57"/>
              <w:jc w:val="both"/>
            </w:pPr>
            <w:r w:rsidRPr="00451E3F">
              <w:t xml:space="preserve">4, 5, </w:t>
            </w:r>
            <w:r>
              <w:t>autres</w:t>
            </w:r>
          </w:p>
        </w:tc>
        <w:tc>
          <w:tcPr>
            <w:tcW w:w="1954" w:type="dxa"/>
            <w:shd w:val="clear" w:color="auto" w:fill="auto"/>
          </w:tcPr>
          <w:p w14:paraId="34F09740" w14:textId="77777777" w:rsidR="00BE2CA7" w:rsidRPr="00451E3F" w:rsidRDefault="00BE2CA7" w:rsidP="002B0590">
            <w:pPr>
              <w:keepNext/>
              <w:keepLines/>
              <w:spacing w:before="40" w:after="120"/>
              <w:ind w:left="57" w:right="57"/>
            </w:pPr>
          </w:p>
        </w:tc>
        <w:tc>
          <w:tcPr>
            <w:tcW w:w="2019" w:type="dxa"/>
            <w:shd w:val="clear" w:color="auto" w:fill="auto"/>
          </w:tcPr>
          <w:p w14:paraId="0CE7365D" w14:textId="77777777" w:rsidR="00BE2CA7" w:rsidRPr="00451E3F" w:rsidRDefault="00BE2CA7" w:rsidP="002B0590">
            <w:pPr>
              <w:keepNext/>
              <w:keepLines/>
              <w:spacing w:before="40" w:after="120"/>
              <w:ind w:left="57" w:right="57"/>
            </w:pPr>
          </w:p>
        </w:tc>
        <w:tc>
          <w:tcPr>
            <w:tcW w:w="1275" w:type="dxa"/>
            <w:shd w:val="clear" w:color="auto" w:fill="auto"/>
          </w:tcPr>
          <w:p w14:paraId="1D1D4589" w14:textId="77777777" w:rsidR="00BE2CA7" w:rsidRPr="00451E3F" w:rsidRDefault="00BE2CA7" w:rsidP="002B0590">
            <w:pPr>
              <w:keepNext/>
              <w:keepLines/>
              <w:spacing w:before="40" w:after="120"/>
              <w:ind w:left="57" w:right="57"/>
            </w:pPr>
          </w:p>
        </w:tc>
      </w:tr>
      <w:tr w:rsidR="00BE2CA7" w:rsidRPr="00451E3F" w14:paraId="7C22A097" w14:textId="77777777" w:rsidTr="002B0590">
        <w:tc>
          <w:tcPr>
            <w:tcW w:w="2123" w:type="dxa"/>
            <w:shd w:val="clear" w:color="auto" w:fill="auto"/>
          </w:tcPr>
          <w:p w14:paraId="58A5D53F" w14:textId="77777777" w:rsidR="00BE2CA7" w:rsidRPr="00451E3F" w:rsidRDefault="00BE2CA7" w:rsidP="002B0590">
            <w:pPr>
              <w:keepNext/>
              <w:keepLines/>
              <w:spacing w:before="40" w:after="120"/>
              <w:ind w:left="57" w:right="57"/>
            </w:pPr>
            <w:r w:rsidRPr="00777361">
              <w:rPr>
                <w:lang w:val="fr-FR"/>
              </w:rPr>
              <w:t>M</w:t>
            </w:r>
            <w:r>
              <w:rPr>
                <w:lang w:val="fr-FR"/>
              </w:rPr>
              <w:t>inimum</w:t>
            </w:r>
            <w:r w:rsidRPr="00777361">
              <w:rPr>
                <w:lang w:val="fr-FR"/>
              </w:rPr>
              <w:t xml:space="preserve"> pour les </w:t>
            </w:r>
            <w:r>
              <w:rPr>
                <w:lang w:val="fr-FR"/>
              </w:rPr>
              <w:t>TVC</w:t>
            </w:r>
          </w:p>
        </w:tc>
        <w:tc>
          <w:tcPr>
            <w:tcW w:w="1954" w:type="dxa"/>
            <w:shd w:val="clear" w:color="auto" w:fill="auto"/>
          </w:tcPr>
          <w:p w14:paraId="6CF2B577" w14:textId="77777777" w:rsidR="00BE2CA7" w:rsidRPr="00451E3F" w:rsidRDefault="00BE2CA7" w:rsidP="002B0590">
            <w:pPr>
              <w:keepNext/>
              <w:keepLines/>
              <w:spacing w:before="40" w:after="120"/>
              <w:ind w:left="57" w:right="57"/>
            </w:pPr>
          </w:p>
        </w:tc>
        <w:tc>
          <w:tcPr>
            <w:tcW w:w="2019" w:type="dxa"/>
            <w:shd w:val="clear" w:color="auto" w:fill="auto"/>
          </w:tcPr>
          <w:p w14:paraId="36287F6E" w14:textId="77777777" w:rsidR="00BE2CA7" w:rsidRPr="00451E3F" w:rsidRDefault="00BE2CA7" w:rsidP="002B0590">
            <w:pPr>
              <w:keepNext/>
              <w:keepLines/>
              <w:spacing w:before="40" w:after="120"/>
              <w:ind w:left="57" w:right="57"/>
            </w:pPr>
          </w:p>
        </w:tc>
        <w:tc>
          <w:tcPr>
            <w:tcW w:w="1275" w:type="dxa"/>
            <w:shd w:val="clear" w:color="auto" w:fill="auto"/>
          </w:tcPr>
          <w:p w14:paraId="4AAD79B3" w14:textId="77777777" w:rsidR="00BE2CA7" w:rsidRPr="00451E3F" w:rsidRDefault="00BE2CA7" w:rsidP="002B0590">
            <w:pPr>
              <w:keepNext/>
              <w:keepLines/>
              <w:spacing w:before="40" w:after="120"/>
              <w:ind w:left="57" w:right="57"/>
            </w:pPr>
          </w:p>
        </w:tc>
      </w:tr>
      <w:tr w:rsidR="00BE2CA7" w:rsidRPr="00451E3F" w14:paraId="4FB0B665" w14:textId="77777777" w:rsidTr="002B0590">
        <w:tc>
          <w:tcPr>
            <w:tcW w:w="2123" w:type="dxa"/>
            <w:shd w:val="clear" w:color="auto" w:fill="auto"/>
          </w:tcPr>
          <w:p w14:paraId="5777B585" w14:textId="77777777" w:rsidR="00BE2CA7" w:rsidRPr="00451E3F" w:rsidRDefault="00BE2CA7" w:rsidP="002B0590">
            <w:pPr>
              <w:keepNext/>
              <w:keepLines/>
              <w:spacing w:before="40" w:after="120"/>
              <w:ind w:left="57" w:right="57"/>
              <w:jc w:val="both"/>
            </w:pPr>
            <w:r>
              <w:t>Marche arrière</w:t>
            </w:r>
          </w:p>
        </w:tc>
        <w:tc>
          <w:tcPr>
            <w:tcW w:w="1954" w:type="dxa"/>
            <w:shd w:val="clear" w:color="auto" w:fill="auto"/>
          </w:tcPr>
          <w:p w14:paraId="267B821D" w14:textId="77777777" w:rsidR="00BE2CA7" w:rsidRPr="00451E3F" w:rsidRDefault="00BE2CA7" w:rsidP="002B0590">
            <w:pPr>
              <w:keepNext/>
              <w:keepLines/>
              <w:spacing w:before="40" w:after="120"/>
              <w:ind w:left="57" w:right="57"/>
            </w:pPr>
          </w:p>
        </w:tc>
        <w:tc>
          <w:tcPr>
            <w:tcW w:w="2019" w:type="dxa"/>
            <w:shd w:val="clear" w:color="auto" w:fill="auto"/>
          </w:tcPr>
          <w:p w14:paraId="6B3B615B" w14:textId="77777777" w:rsidR="00BE2CA7" w:rsidRPr="00451E3F" w:rsidRDefault="00BE2CA7" w:rsidP="002B0590">
            <w:pPr>
              <w:keepNext/>
              <w:keepLines/>
              <w:spacing w:before="40" w:after="120"/>
              <w:ind w:left="57" w:right="57"/>
            </w:pPr>
          </w:p>
        </w:tc>
        <w:tc>
          <w:tcPr>
            <w:tcW w:w="1275" w:type="dxa"/>
            <w:shd w:val="clear" w:color="auto" w:fill="auto"/>
          </w:tcPr>
          <w:p w14:paraId="6012E38E" w14:textId="77777777" w:rsidR="00BE2CA7" w:rsidRPr="00451E3F" w:rsidRDefault="00BE2CA7" w:rsidP="002B0590">
            <w:pPr>
              <w:keepNext/>
              <w:keepLines/>
              <w:spacing w:before="40" w:after="120"/>
              <w:ind w:left="57" w:right="57"/>
            </w:pPr>
          </w:p>
        </w:tc>
      </w:tr>
    </w:tbl>
    <w:p w14:paraId="49522B8A" w14:textId="77777777" w:rsidR="00BE2CA7" w:rsidRPr="00A318C3" w:rsidRDefault="00BE2CA7" w:rsidP="00BE2CA7">
      <w:pPr>
        <w:tabs>
          <w:tab w:val="right" w:leader="dot" w:pos="8505"/>
        </w:tabs>
        <w:spacing w:before="120" w:after="120"/>
        <w:ind w:left="2552" w:right="1134" w:hanging="1418"/>
        <w:jc w:val="both"/>
        <w:rPr>
          <w:lang w:val="fr-FR"/>
        </w:rPr>
      </w:pPr>
      <w:r w:rsidRPr="00451E3F">
        <w:t>6</w:t>
      </w:r>
      <w:r>
        <w:t>.</w:t>
      </w:r>
      <w:r w:rsidRPr="00451E3F">
        <w:tab/>
      </w:r>
      <w:r w:rsidRPr="00A318C3">
        <w:rPr>
          <w:lang w:val="fr-FR"/>
        </w:rPr>
        <w:t>Suspension</w:t>
      </w:r>
      <w:r w:rsidRPr="00A318C3">
        <w:rPr>
          <w:lang w:val="fr-FR"/>
        </w:rPr>
        <w:tab/>
      </w:r>
    </w:p>
    <w:p w14:paraId="705D27B8" w14:textId="77777777" w:rsidR="00BE2CA7" w:rsidRPr="00A318C3" w:rsidRDefault="00BE2CA7" w:rsidP="00BE2CA7">
      <w:pPr>
        <w:tabs>
          <w:tab w:val="right" w:leader="dot" w:pos="8505"/>
        </w:tabs>
        <w:spacing w:after="120"/>
        <w:ind w:left="2552" w:right="1134" w:hanging="1418"/>
        <w:jc w:val="both"/>
        <w:rPr>
          <w:lang w:val="fr-FR"/>
        </w:rPr>
      </w:pPr>
      <w:r w:rsidRPr="00A318C3">
        <w:rPr>
          <w:lang w:val="fr-FR"/>
        </w:rPr>
        <w:t>6.6</w:t>
      </w:r>
      <w:r w:rsidRPr="00A318C3">
        <w:rPr>
          <w:lang w:val="fr-FR"/>
        </w:rPr>
        <w:tab/>
        <w:t>Pneumatiques et roues</w:t>
      </w:r>
      <w:r w:rsidRPr="00A318C3">
        <w:rPr>
          <w:lang w:val="fr-FR"/>
        </w:rPr>
        <w:tab/>
      </w:r>
      <w:r w:rsidRPr="00A318C3">
        <w:rPr>
          <w:lang w:val="fr-FR"/>
        </w:rPr>
        <w:tab/>
      </w:r>
    </w:p>
    <w:p w14:paraId="40C9AED6" w14:textId="77777777" w:rsidR="00BE2CA7" w:rsidRPr="00A318C3" w:rsidRDefault="00BE2CA7" w:rsidP="00BE2CA7">
      <w:pPr>
        <w:tabs>
          <w:tab w:val="right" w:leader="dot" w:pos="8505"/>
        </w:tabs>
        <w:spacing w:after="120"/>
        <w:ind w:left="2552" w:right="1134" w:hanging="1418"/>
        <w:rPr>
          <w:lang w:val="fr-FR"/>
        </w:rPr>
      </w:pPr>
      <w:r w:rsidRPr="00A318C3">
        <w:rPr>
          <w:lang w:val="fr-FR"/>
        </w:rPr>
        <w:t>6.6.1</w:t>
      </w:r>
      <w:r w:rsidRPr="00A318C3">
        <w:rPr>
          <w:lang w:val="fr-FR"/>
        </w:rPr>
        <w:tab/>
        <w:t>Combinaison(s) pneumatique/roue</w:t>
      </w:r>
    </w:p>
    <w:p w14:paraId="14451E4A" w14:textId="77777777" w:rsidR="00BE2CA7" w:rsidRPr="00A318C3" w:rsidRDefault="00BE2CA7" w:rsidP="00BE2CA7">
      <w:pPr>
        <w:tabs>
          <w:tab w:val="right" w:leader="dot" w:pos="8505"/>
        </w:tabs>
        <w:spacing w:after="120"/>
        <w:ind w:left="2552" w:right="1134" w:hanging="1418"/>
        <w:jc w:val="both"/>
        <w:rPr>
          <w:lang w:val="fr-FR"/>
        </w:rPr>
      </w:pPr>
      <w:r w:rsidRPr="00A318C3">
        <w:rPr>
          <w:lang w:val="fr-FR"/>
        </w:rPr>
        <w:tab/>
        <w:t>a)</w:t>
      </w:r>
      <w:r w:rsidRPr="00A318C3">
        <w:rPr>
          <w:lang w:val="fr-FR"/>
        </w:rPr>
        <w:tab/>
      </w:r>
    </w:p>
    <w:p w14:paraId="3AA7A87E" w14:textId="77777777" w:rsidR="00BE2CA7" w:rsidRPr="00A318C3" w:rsidRDefault="00BE2CA7" w:rsidP="00BE2CA7">
      <w:pPr>
        <w:tabs>
          <w:tab w:val="right" w:leader="dot" w:pos="8505"/>
        </w:tabs>
        <w:spacing w:after="120"/>
        <w:ind w:left="2552" w:right="1134" w:hanging="1418"/>
        <w:jc w:val="both"/>
        <w:rPr>
          <w:lang w:val="fr-FR"/>
        </w:rPr>
      </w:pPr>
      <w:r w:rsidRPr="00A318C3">
        <w:rPr>
          <w:lang w:val="fr-FR"/>
        </w:rPr>
        <w:tab/>
        <w:t>Pour tous les pneumatiques, indiquer la désignation des dimensions, l</w:t>
      </w:r>
      <w:r>
        <w:rPr>
          <w:lang w:val="fr-FR"/>
        </w:rPr>
        <w:t>’</w:t>
      </w:r>
      <w:r w:rsidRPr="00A318C3">
        <w:rPr>
          <w:lang w:val="fr-FR"/>
        </w:rPr>
        <w:t xml:space="preserve">indice de capacité de charge, le symbole de catégorie de </w:t>
      </w:r>
      <w:r>
        <w:rPr>
          <w:lang w:val="fr-FR"/>
        </w:rPr>
        <w:t>v</w:t>
      </w:r>
      <w:r w:rsidRPr="00A318C3">
        <w:rPr>
          <w:lang w:val="fr-FR"/>
        </w:rPr>
        <w:t>itesse</w:t>
      </w:r>
      <w:r>
        <w:rPr>
          <w:lang w:val="fr-FR"/>
        </w:rPr>
        <w:t> </w:t>
      </w:r>
      <w:r w:rsidRPr="00A318C3">
        <w:rPr>
          <w:lang w:val="fr-FR"/>
        </w:rPr>
        <w:t>;</w:t>
      </w:r>
    </w:p>
    <w:p w14:paraId="4CF7B8AC" w14:textId="77777777" w:rsidR="00BE2CA7" w:rsidRPr="00A318C3" w:rsidRDefault="00BE2CA7" w:rsidP="00BE2CA7">
      <w:pPr>
        <w:tabs>
          <w:tab w:val="right" w:leader="dot" w:pos="8505"/>
        </w:tabs>
        <w:spacing w:after="120"/>
        <w:ind w:left="2552" w:right="1134" w:hanging="1418"/>
        <w:jc w:val="both"/>
        <w:rPr>
          <w:lang w:val="fr-FR"/>
        </w:rPr>
      </w:pPr>
      <w:r w:rsidRPr="00A318C3">
        <w:rPr>
          <w:lang w:val="fr-FR"/>
        </w:rPr>
        <w:tab/>
        <w:t>b)</w:t>
      </w:r>
      <w:r w:rsidRPr="00A318C3">
        <w:rPr>
          <w:lang w:val="fr-FR"/>
        </w:rPr>
        <w:tab/>
      </w:r>
    </w:p>
    <w:p w14:paraId="56748296" w14:textId="77777777" w:rsidR="00BE2CA7" w:rsidRPr="00A318C3" w:rsidRDefault="00BE2CA7" w:rsidP="00BE2CA7">
      <w:pPr>
        <w:tabs>
          <w:tab w:val="right" w:leader="dot" w:pos="8364"/>
        </w:tabs>
        <w:spacing w:after="120"/>
        <w:ind w:left="2552" w:right="1134" w:hanging="1418"/>
        <w:jc w:val="both"/>
        <w:rPr>
          <w:lang w:val="fr-FR"/>
        </w:rPr>
      </w:pPr>
      <w:r w:rsidRPr="00A318C3">
        <w:rPr>
          <w:lang w:val="fr-FR"/>
        </w:rPr>
        <w:tab/>
        <w:t>Pour les pneumatiques de catégorie Z destinés à être montés sur des véhicules dont la vitesse maximale dépasse 300</w:t>
      </w:r>
      <w:r>
        <w:rPr>
          <w:lang w:val="fr-FR"/>
        </w:rPr>
        <w:t> </w:t>
      </w:r>
      <w:r w:rsidRPr="00A318C3">
        <w:rPr>
          <w:lang w:val="fr-FR"/>
        </w:rPr>
        <w:t>km/h, fournir les renseignements équivalents</w:t>
      </w:r>
      <w:r>
        <w:rPr>
          <w:lang w:val="fr-FR"/>
        </w:rPr>
        <w:t> </w:t>
      </w:r>
      <w:r w:rsidRPr="00A318C3">
        <w:rPr>
          <w:lang w:val="fr-FR"/>
        </w:rPr>
        <w:t xml:space="preserve">; </w:t>
      </w:r>
      <w:r w:rsidRPr="00517108">
        <w:rPr>
          <w:lang w:val="fr-FR"/>
        </w:rPr>
        <w:t>indiquer la ou les dimensions de la jante et le déport éventuel.</w:t>
      </w:r>
    </w:p>
    <w:p w14:paraId="4EC2A81B" w14:textId="77777777" w:rsidR="00BE2CA7" w:rsidRPr="00451E3F" w:rsidRDefault="00BE2CA7" w:rsidP="00BE2CA7">
      <w:pPr>
        <w:tabs>
          <w:tab w:val="right" w:leader="dot" w:pos="8505"/>
        </w:tabs>
        <w:spacing w:after="120"/>
        <w:ind w:left="2552" w:right="1134" w:hanging="1418"/>
      </w:pPr>
      <w:r w:rsidRPr="00451E3F">
        <w:t>6.6.1.1</w:t>
      </w:r>
      <w:r w:rsidRPr="00451E3F">
        <w:tab/>
      </w:r>
      <w:r>
        <w:t>Essieux</w:t>
      </w:r>
    </w:p>
    <w:p w14:paraId="1CB7F811" w14:textId="77777777" w:rsidR="00BE2CA7" w:rsidRPr="00451E3F" w:rsidRDefault="00BE2CA7" w:rsidP="00BE2CA7">
      <w:pPr>
        <w:tabs>
          <w:tab w:val="right" w:leader="dot" w:pos="8505"/>
        </w:tabs>
        <w:spacing w:after="120"/>
        <w:ind w:left="2552" w:right="1134" w:hanging="1418"/>
      </w:pPr>
      <w:r w:rsidRPr="00451E3F">
        <w:t>6.6.1.1.1</w:t>
      </w:r>
      <w:r w:rsidRPr="00451E3F">
        <w:tab/>
      </w:r>
      <w:r>
        <w:t>Essieu </w:t>
      </w:r>
      <w:r w:rsidRPr="00451E3F">
        <w:t>1</w:t>
      </w:r>
      <w:r>
        <w:t> </w:t>
      </w:r>
      <w:r w:rsidRPr="00451E3F">
        <w:t>:</w:t>
      </w:r>
      <w:r w:rsidRPr="00451E3F">
        <w:tab/>
      </w:r>
    </w:p>
    <w:p w14:paraId="58B45900" w14:textId="77777777" w:rsidR="00BE2CA7" w:rsidRPr="00451E3F" w:rsidRDefault="00BE2CA7" w:rsidP="00BE2CA7">
      <w:pPr>
        <w:tabs>
          <w:tab w:val="right" w:leader="dot" w:pos="8505"/>
        </w:tabs>
        <w:spacing w:after="120"/>
        <w:ind w:left="2552" w:right="1134" w:hanging="1418"/>
      </w:pPr>
      <w:r w:rsidRPr="00451E3F">
        <w:t>6.6.1.1.2</w:t>
      </w:r>
      <w:r w:rsidRPr="00451E3F">
        <w:tab/>
      </w:r>
      <w:r>
        <w:t>Essieu </w:t>
      </w:r>
      <w:r w:rsidRPr="00451E3F">
        <w:t>2</w:t>
      </w:r>
      <w:r>
        <w:t> </w:t>
      </w:r>
      <w:r w:rsidRPr="00451E3F">
        <w:t>:</w:t>
      </w:r>
      <w:r w:rsidRPr="00451E3F">
        <w:tab/>
      </w:r>
    </w:p>
    <w:p w14:paraId="19C73104" w14:textId="77777777" w:rsidR="00BE2CA7" w:rsidRPr="00451E3F" w:rsidRDefault="00BE2CA7" w:rsidP="00BE2CA7">
      <w:pPr>
        <w:tabs>
          <w:tab w:val="right" w:leader="dot" w:pos="8505"/>
        </w:tabs>
        <w:spacing w:after="120"/>
        <w:ind w:left="2552" w:right="1134" w:hanging="1418"/>
      </w:pPr>
      <w:r w:rsidRPr="00451E3F">
        <w:t>6.6.1.1.3</w:t>
      </w:r>
      <w:r w:rsidRPr="00451E3F">
        <w:tab/>
      </w:r>
      <w:r>
        <w:t>Essieu </w:t>
      </w:r>
      <w:r w:rsidRPr="00451E3F">
        <w:t>3</w:t>
      </w:r>
      <w:r>
        <w:t> </w:t>
      </w:r>
      <w:r w:rsidRPr="00451E3F">
        <w:t>:</w:t>
      </w:r>
      <w:r w:rsidRPr="00451E3F">
        <w:tab/>
      </w:r>
    </w:p>
    <w:p w14:paraId="09B01C08" w14:textId="77777777" w:rsidR="00BE2CA7" w:rsidRPr="00451E3F" w:rsidRDefault="00BE2CA7" w:rsidP="00BE2CA7">
      <w:pPr>
        <w:tabs>
          <w:tab w:val="right" w:leader="dot" w:pos="8505"/>
        </w:tabs>
        <w:spacing w:after="120"/>
        <w:ind w:left="2552" w:right="1134" w:hanging="1418"/>
      </w:pPr>
      <w:r w:rsidRPr="00451E3F">
        <w:t>6.6.1.1.4</w:t>
      </w:r>
      <w:r w:rsidRPr="00451E3F">
        <w:tab/>
      </w:r>
      <w:r>
        <w:t>Essieu </w:t>
      </w:r>
      <w:r w:rsidRPr="00451E3F">
        <w:t>4</w:t>
      </w:r>
      <w:r>
        <w:t> </w:t>
      </w:r>
      <w:r w:rsidRPr="00451E3F">
        <w:t>:</w:t>
      </w:r>
      <w:r w:rsidRPr="00451E3F">
        <w:tab/>
        <w:t>etc.</w:t>
      </w:r>
    </w:p>
    <w:p w14:paraId="44300D83" w14:textId="77777777" w:rsidR="00BE2CA7" w:rsidRPr="00A318C3" w:rsidRDefault="00BE2CA7" w:rsidP="00BE2CA7">
      <w:pPr>
        <w:tabs>
          <w:tab w:val="right" w:leader="dot" w:pos="8505"/>
        </w:tabs>
        <w:spacing w:after="120"/>
        <w:ind w:left="2552" w:right="1134" w:hanging="1418"/>
        <w:rPr>
          <w:lang w:val="fr-FR"/>
        </w:rPr>
      </w:pPr>
      <w:r w:rsidRPr="00A318C3">
        <w:rPr>
          <w:lang w:val="fr-FR"/>
        </w:rPr>
        <w:t>6.6.2</w:t>
      </w:r>
      <w:r w:rsidRPr="00A318C3">
        <w:rPr>
          <w:lang w:val="fr-FR"/>
        </w:rPr>
        <w:tab/>
        <w:t>Limite supérieure et inférieure des rayons de roulement</w:t>
      </w:r>
      <w:r w:rsidRPr="00977679">
        <w:rPr>
          <w:rStyle w:val="Appelnotedebasdep"/>
        </w:rPr>
        <w:footnoteReference w:id="16"/>
      </w:r>
      <w:r>
        <w:rPr>
          <w:lang w:val="fr-FR"/>
        </w:rPr>
        <w:t> :</w:t>
      </w:r>
      <w:r w:rsidRPr="00A318C3">
        <w:rPr>
          <w:lang w:val="fr-FR"/>
        </w:rPr>
        <w:tab/>
      </w:r>
    </w:p>
    <w:p w14:paraId="028333AF" w14:textId="77777777" w:rsidR="00BE2CA7" w:rsidRPr="00451E3F" w:rsidRDefault="00BE2CA7" w:rsidP="00BE2CA7">
      <w:pPr>
        <w:tabs>
          <w:tab w:val="right" w:leader="dot" w:pos="8505"/>
        </w:tabs>
        <w:spacing w:after="120"/>
        <w:ind w:left="2552" w:right="1134" w:hanging="1418"/>
      </w:pPr>
      <w:r w:rsidRPr="00451E3F">
        <w:t>6.6.2.1</w:t>
      </w:r>
      <w:r w:rsidRPr="00451E3F">
        <w:tab/>
      </w:r>
      <w:r>
        <w:t>Essieux</w:t>
      </w:r>
    </w:p>
    <w:p w14:paraId="7E6272EC" w14:textId="77777777" w:rsidR="00BE2CA7" w:rsidRPr="00451E3F" w:rsidRDefault="00BE2CA7" w:rsidP="00BE2CA7">
      <w:pPr>
        <w:tabs>
          <w:tab w:val="right" w:leader="dot" w:pos="8505"/>
        </w:tabs>
        <w:spacing w:after="120"/>
        <w:ind w:left="2552" w:right="1134" w:hanging="1418"/>
      </w:pPr>
      <w:r w:rsidRPr="00451E3F">
        <w:lastRenderedPageBreak/>
        <w:t>6.6.2.1.1</w:t>
      </w:r>
      <w:r w:rsidRPr="00451E3F">
        <w:tab/>
      </w:r>
      <w:r>
        <w:t>Essieu </w:t>
      </w:r>
      <w:r w:rsidRPr="00451E3F">
        <w:t>1</w:t>
      </w:r>
      <w:r>
        <w:t> </w:t>
      </w:r>
      <w:r w:rsidRPr="00451E3F">
        <w:t>:</w:t>
      </w:r>
      <w:r w:rsidRPr="00451E3F">
        <w:tab/>
      </w:r>
    </w:p>
    <w:p w14:paraId="21DFCA57" w14:textId="77777777" w:rsidR="00BE2CA7" w:rsidRPr="00451E3F" w:rsidRDefault="00BE2CA7" w:rsidP="00BE2CA7">
      <w:pPr>
        <w:tabs>
          <w:tab w:val="right" w:leader="dot" w:pos="8505"/>
        </w:tabs>
        <w:spacing w:after="120"/>
        <w:ind w:left="2552" w:right="1134" w:hanging="1418"/>
      </w:pPr>
      <w:r w:rsidRPr="00451E3F">
        <w:t>6.6.2.1.2</w:t>
      </w:r>
      <w:r w:rsidRPr="00451E3F">
        <w:tab/>
      </w:r>
      <w:r>
        <w:t>Essieu </w:t>
      </w:r>
      <w:r w:rsidRPr="00451E3F">
        <w:t>2</w:t>
      </w:r>
      <w:r>
        <w:t> </w:t>
      </w:r>
      <w:r w:rsidRPr="00451E3F">
        <w:t>:</w:t>
      </w:r>
      <w:r w:rsidRPr="00451E3F">
        <w:tab/>
      </w:r>
    </w:p>
    <w:p w14:paraId="216226BA" w14:textId="77777777" w:rsidR="00BE2CA7" w:rsidRPr="00451E3F" w:rsidRDefault="00BE2CA7" w:rsidP="00BE2CA7">
      <w:pPr>
        <w:tabs>
          <w:tab w:val="right" w:leader="dot" w:pos="8505"/>
        </w:tabs>
        <w:spacing w:after="120"/>
        <w:ind w:left="2552" w:right="1134" w:hanging="1418"/>
      </w:pPr>
      <w:r w:rsidRPr="00451E3F">
        <w:t>6.6.2.1.3</w:t>
      </w:r>
      <w:r w:rsidRPr="00451E3F">
        <w:tab/>
      </w:r>
      <w:r>
        <w:t>Essieu </w:t>
      </w:r>
      <w:r w:rsidRPr="00451E3F">
        <w:t>3</w:t>
      </w:r>
      <w:r>
        <w:t> </w:t>
      </w:r>
      <w:r w:rsidRPr="00451E3F">
        <w:t>:</w:t>
      </w:r>
      <w:r w:rsidRPr="00451E3F">
        <w:tab/>
      </w:r>
    </w:p>
    <w:p w14:paraId="4D746D1C" w14:textId="77777777" w:rsidR="00BE2CA7" w:rsidRPr="00451E3F" w:rsidRDefault="00BE2CA7" w:rsidP="00BE2CA7">
      <w:pPr>
        <w:tabs>
          <w:tab w:val="right" w:leader="dot" w:pos="8505"/>
        </w:tabs>
        <w:spacing w:after="120"/>
        <w:ind w:left="2552" w:right="1134" w:hanging="1418"/>
      </w:pPr>
      <w:r w:rsidRPr="00451E3F">
        <w:t>6.6.2.1.4</w:t>
      </w:r>
      <w:r w:rsidRPr="00451E3F">
        <w:tab/>
      </w:r>
      <w:r>
        <w:t>Essieu </w:t>
      </w:r>
      <w:r w:rsidRPr="00451E3F">
        <w:t>4</w:t>
      </w:r>
      <w:r>
        <w:t> </w:t>
      </w:r>
      <w:r w:rsidRPr="00451E3F">
        <w:t>:</w:t>
      </w:r>
      <w:r w:rsidRPr="00451E3F">
        <w:tab/>
        <w:t>etc.</w:t>
      </w:r>
    </w:p>
    <w:p w14:paraId="068AA637" w14:textId="77777777" w:rsidR="00BE2CA7" w:rsidRPr="00A318C3" w:rsidRDefault="00BE2CA7" w:rsidP="00BE2CA7">
      <w:pPr>
        <w:tabs>
          <w:tab w:val="right" w:leader="dot" w:pos="8505"/>
        </w:tabs>
        <w:spacing w:after="120"/>
        <w:ind w:left="2552" w:right="1134" w:hanging="1418"/>
        <w:jc w:val="both"/>
        <w:rPr>
          <w:lang w:val="fr-FR"/>
        </w:rPr>
      </w:pPr>
      <w:r w:rsidRPr="00A318C3">
        <w:rPr>
          <w:lang w:val="fr-FR"/>
        </w:rPr>
        <w:t>6.6.3</w:t>
      </w:r>
      <w:r w:rsidRPr="00A318C3">
        <w:rPr>
          <w:lang w:val="fr-FR"/>
        </w:rPr>
        <w:tab/>
        <w:t>Pression(s) des pneumatiques recommandée(s) par le constructeur</w:t>
      </w:r>
      <w:r>
        <w:rPr>
          <w:lang w:val="fr-FR"/>
        </w:rPr>
        <w:t> </w:t>
      </w:r>
      <w:r w:rsidRPr="00A318C3">
        <w:rPr>
          <w:lang w:val="fr-FR"/>
        </w:rPr>
        <w:t>:</w:t>
      </w:r>
      <w:r w:rsidRPr="00A318C3">
        <w:rPr>
          <w:lang w:val="fr-FR"/>
        </w:rPr>
        <w:tab/>
        <w:t>kPa</w:t>
      </w:r>
    </w:p>
    <w:p w14:paraId="101733B2" w14:textId="77777777" w:rsidR="00BE2CA7" w:rsidRPr="00AD6587" w:rsidRDefault="00BE2CA7" w:rsidP="00BE2CA7">
      <w:pPr>
        <w:pStyle w:val="SingleTxtG"/>
        <w:rPr>
          <w:lang w:val="fr-FR"/>
        </w:rPr>
      </w:pPr>
      <w:r w:rsidRPr="00AD6587">
        <w:rPr>
          <w:lang w:val="fr-FR"/>
        </w:rPr>
        <w:br w:type="page"/>
      </w:r>
    </w:p>
    <w:p w14:paraId="6526F17A" w14:textId="77777777" w:rsidR="00BE2CA7" w:rsidRDefault="00BE2CA7" w:rsidP="00BE2CA7">
      <w:pPr>
        <w:pStyle w:val="HChG"/>
        <w:rPr>
          <w:lang w:val="fr-FR"/>
        </w:rPr>
      </w:pPr>
      <w:r w:rsidRPr="00440C76">
        <w:rPr>
          <w:lang w:val="fr-FR"/>
        </w:rPr>
        <w:lastRenderedPageBreak/>
        <w:t>Annexe</w:t>
      </w:r>
      <w:r>
        <w:rPr>
          <w:lang w:val="fr-FR"/>
        </w:rPr>
        <w:t> </w:t>
      </w:r>
      <w:r w:rsidRPr="00440C76">
        <w:rPr>
          <w:lang w:val="fr-FR"/>
        </w:rPr>
        <w:t xml:space="preserve">1 </w:t>
      </w:r>
      <w:r>
        <w:rPr>
          <w:lang w:val="fr-FR"/>
        </w:rPr>
        <w:t>−</w:t>
      </w:r>
      <w:r w:rsidRPr="00440C76">
        <w:rPr>
          <w:lang w:val="fr-FR"/>
        </w:rPr>
        <w:t xml:space="preserve"> </w:t>
      </w:r>
      <w:r>
        <w:rPr>
          <w:lang w:val="fr-FR"/>
        </w:rPr>
        <w:t>Appendice 1</w:t>
      </w:r>
    </w:p>
    <w:p w14:paraId="220ACFE8" w14:textId="77777777" w:rsidR="00BE2CA7" w:rsidRPr="00C83AE1" w:rsidRDefault="00BE2CA7" w:rsidP="00BE2CA7">
      <w:pPr>
        <w:pStyle w:val="HChG"/>
        <w:rPr>
          <w:lang w:val="fr-FR"/>
        </w:rPr>
      </w:pPr>
      <w:r>
        <w:rPr>
          <w:lang w:val="fr-FR"/>
        </w:rPr>
        <w:tab/>
      </w:r>
      <w:r>
        <w:rPr>
          <w:lang w:val="fr-FR"/>
        </w:rPr>
        <w:tab/>
      </w:r>
      <w:r>
        <w:rPr>
          <w:lang w:val="fr-FR"/>
        </w:rPr>
        <w:tab/>
        <w:t>Procès-</w:t>
      </w:r>
      <w:r w:rsidRPr="00C83AE1">
        <w:rPr>
          <w:lang w:val="fr-FR"/>
        </w:rPr>
        <w:t>verbal d</w:t>
      </w:r>
      <w:r>
        <w:rPr>
          <w:lang w:val="fr-FR"/>
        </w:rPr>
        <w:t>’</w:t>
      </w:r>
      <w:r w:rsidRPr="00C83AE1">
        <w:rPr>
          <w:lang w:val="fr-FR"/>
        </w:rPr>
        <w:t>essai</w:t>
      </w:r>
    </w:p>
    <w:p w14:paraId="13D6B10E" w14:textId="2C403D23" w:rsidR="00BE2CA7" w:rsidRDefault="00BE2CA7" w:rsidP="00BE2CA7">
      <w:pPr>
        <w:pStyle w:val="H1G"/>
        <w:rPr>
          <w:lang w:val="fr-FR"/>
        </w:rPr>
      </w:pPr>
      <w:r>
        <w:rPr>
          <w:lang w:val="fr-FR"/>
        </w:rPr>
        <w:tab/>
      </w:r>
      <w:r>
        <w:rPr>
          <w:lang w:val="fr-FR"/>
        </w:rPr>
        <w:tab/>
      </w:r>
      <w:r>
        <w:rPr>
          <w:lang w:val="fr-FR"/>
        </w:rPr>
        <w:tab/>
      </w:r>
      <w:r w:rsidRPr="00A318C3">
        <w:rPr>
          <w:lang w:val="fr-FR"/>
        </w:rPr>
        <w:t>Procès-verbaux d</w:t>
      </w:r>
      <w:r>
        <w:rPr>
          <w:lang w:val="fr-FR"/>
        </w:rPr>
        <w:t>’</w:t>
      </w:r>
      <w:r w:rsidRPr="00A318C3">
        <w:rPr>
          <w:lang w:val="fr-FR"/>
        </w:rPr>
        <w:t>essai</w:t>
      </w:r>
    </w:p>
    <w:p w14:paraId="2E531B49" w14:textId="37763065" w:rsidR="00BE2CA7" w:rsidRDefault="00BE2CA7" w:rsidP="00BE2CA7">
      <w:pPr>
        <w:pStyle w:val="SingleTxtG"/>
        <w:ind w:firstLine="567"/>
      </w:pPr>
      <w:r w:rsidRPr="005B4CEB">
        <w:t>Un procès-verbal d’essai est le rapport établi par le service technique chargé de réaliser les essais conformément au</w:t>
      </w:r>
      <w:r w:rsidRPr="00435E80">
        <w:rPr>
          <w:lang w:val="fr-FR"/>
        </w:rPr>
        <w:t xml:space="preserve"> présent Règlement.</w:t>
      </w:r>
    </w:p>
    <w:p w14:paraId="454A9803" w14:textId="77777777" w:rsidR="00BE2CA7" w:rsidRDefault="00BE2CA7" w:rsidP="00BE2CA7">
      <w:pPr>
        <w:pStyle w:val="SingleTxtG"/>
        <w:ind w:firstLine="567"/>
        <w:rPr>
          <w:lang w:val="fr-FR"/>
        </w:rPr>
      </w:pPr>
      <w:r w:rsidRPr="000329E3">
        <w:rPr>
          <w:lang w:val="fr-FR"/>
        </w:rPr>
        <w:t>Les renseignements ci-après, lorsqu</w:t>
      </w:r>
      <w:r>
        <w:rPr>
          <w:lang w:val="fr-FR"/>
        </w:rPr>
        <w:t>’</w:t>
      </w:r>
      <w:r w:rsidRPr="000329E3">
        <w:rPr>
          <w:lang w:val="fr-FR"/>
        </w:rPr>
        <w:t>ils sont pertinents, constituent les données minimales requises</w:t>
      </w:r>
      <w:r>
        <w:rPr>
          <w:lang w:val="fr-FR"/>
        </w:rPr>
        <w:t>.</w:t>
      </w:r>
    </w:p>
    <w:p w14:paraId="59B6726C" w14:textId="77777777" w:rsidR="00BE2CA7" w:rsidRPr="00CC5187" w:rsidRDefault="00BE2CA7" w:rsidP="00BE2CA7">
      <w:pPr>
        <w:pBdr>
          <w:top w:val="single" w:sz="6" w:space="11" w:color="FFFFFF"/>
          <w:left w:val="single" w:sz="6" w:space="30" w:color="FFFFFF"/>
          <w:bottom w:val="single" w:sz="6" w:space="6" w:color="FFFFFF"/>
        </w:pBdr>
        <w:ind w:left="1134" w:right="2552"/>
        <w:jc w:val="both"/>
        <w:rPr>
          <w:lang w:eastAsia="fr-FR"/>
        </w:rPr>
      </w:pPr>
      <w:bookmarkStart w:id="22" w:name="DQCErrorScope6E4891A1B93C40EDBC40BA29B12"/>
      <w:r>
        <w:rPr>
          <w:b/>
          <w:bCs/>
          <w:lang w:eastAsia="fr-FR"/>
        </w:rPr>
        <w:t>Numéro du procès-verbal</w:t>
      </w:r>
      <w:r w:rsidRPr="00CC5187">
        <w:rPr>
          <w:b/>
          <w:bCs/>
          <w:lang w:eastAsia="fr-FR"/>
        </w:rPr>
        <w:t xml:space="preserve"> </w:t>
      </w:r>
      <w:bookmarkStart w:id="23" w:name="etape"/>
      <w:bookmarkEnd w:id="23"/>
    </w:p>
    <w:tbl>
      <w:tblPr>
        <w:tblW w:w="8506" w:type="dxa"/>
        <w:tblInd w:w="1134" w:type="dxa"/>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1985"/>
        <w:gridCol w:w="1134"/>
        <w:gridCol w:w="284"/>
        <w:gridCol w:w="5103"/>
      </w:tblGrid>
      <w:tr w:rsidR="00BE2CA7" w:rsidRPr="00CC5187" w14:paraId="3820622B" w14:textId="77777777" w:rsidTr="002B0590">
        <w:trPr>
          <w:trHeight w:val="20"/>
        </w:trPr>
        <w:tc>
          <w:tcPr>
            <w:tcW w:w="1985" w:type="dxa"/>
            <w:tcBorders>
              <w:bottom w:val="single" w:sz="6" w:space="0" w:color="808080"/>
              <w:right w:val="single" w:sz="6" w:space="0" w:color="808080"/>
            </w:tcBorders>
            <w:tcMar>
              <w:top w:w="8" w:type="dxa"/>
              <w:left w:w="108" w:type="dxa"/>
              <w:bottom w:w="8" w:type="dxa"/>
              <w:right w:w="108" w:type="dxa"/>
            </w:tcMar>
            <w:hideMark/>
          </w:tcPr>
          <w:bookmarkEnd w:id="22"/>
          <w:p w14:paraId="47507013" w14:textId="77777777" w:rsidR="00BE2CA7" w:rsidRPr="005B4CEB" w:rsidRDefault="00BE2CA7" w:rsidP="002B0590">
            <w:pPr>
              <w:keepNext/>
              <w:jc w:val="both"/>
              <w:rPr>
                <w:b/>
                <w:bCs/>
                <w:sz w:val="18"/>
                <w:szCs w:val="18"/>
                <w:lang w:eastAsia="fr-FR"/>
              </w:rPr>
            </w:pPr>
            <w:r w:rsidRPr="005B4CEB">
              <w:rPr>
                <w:b/>
                <w:bCs/>
                <w:sz w:val="18"/>
                <w:szCs w:val="18"/>
                <w:lang w:eastAsia="fr-FR"/>
              </w:rPr>
              <w:t>DEMANDEUR</w:t>
            </w:r>
          </w:p>
        </w:tc>
        <w:tc>
          <w:tcPr>
            <w:tcW w:w="6521" w:type="dxa"/>
            <w:gridSpan w:val="3"/>
            <w:tcBorders>
              <w:left w:val="single" w:sz="6" w:space="0" w:color="808080"/>
              <w:bottom w:val="single" w:sz="6" w:space="0" w:color="808080"/>
            </w:tcBorders>
            <w:tcMar>
              <w:top w:w="8" w:type="dxa"/>
              <w:left w:w="108" w:type="dxa"/>
              <w:bottom w:w="8" w:type="dxa"/>
              <w:right w:w="108" w:type="dxa"/>
            </w:tcMar>
          </w:tcPr>
          <w:p w14:paraId="73E876BF" w14:textId="77777777" w:rsidR="00BE2CA7" w:rsidRPr="005B4CEB" w:rsidRDefault="00BE2CA7" w:rsidP="002B0590">
            <w:pPr>
              <w:keepNext/>
              <w:ind w:right="142"/>
              <w:jc w:val="both"/>
              <w:rPr>
                <w:sz w:val="18"/>
                <w:szCs w:val="18"/>
                <w:lang w:eastAsia="fr-FR"/>
              </w:rPr>
            </w:pPr>
          </w:p>
        </w:tc>
      </w:tr>
      <w:tr w:rsidR="00BE2CA7" w:rsidRPr="00CC5187" w14:paraId="1F8E673B" w14:textId="77777777" w:rsidTr="002B0590">
        <w:trPr>
          <w:trHeight w:val="20"/>
        </w:trPr>
        <w:tc>
          <w:tcPr>
            <w:tcW w:w="1985" w:type="dxa"/>
            <w:tcBorders>
              <w:top w:val="single" w:sz="6" w:space="0" w:color="808080"/>
              <w:bottom w:val="single" w:sz="6" w:space="0" w:color="808080"/>
              <w:right w:val="single" w:sz="6" w:space="0" w:color="808080"/>
            </w:tcBorders>
            <w:tcMar>
              <w:top w:w="8" w:type="dxa"/>
              <w:left w:w="108" w:type="dxa"/>
              <w:bottom w:w="8" w:type="dxa"/>
              <w:right w:w="108" w:type="dxa"/>
            </w:tcMar>
            <w:hideMark/>
          </w:tcPr>
          <w:p w14:paraId="4D62CAEF" w14:textId="77777777" w:rsidR="00BE2CA7" w:rsidRPr="005B4CEB" w:rsidRDefault="00BE2CA7" w:rsidP="002B0590">
            <w:pPr>
              <w:keepNext/>
              <w:jc w:val="both"/>
              <w:rPr>
                <w:b/>
                <w:bCs/>
                <w:sz w:val="18"/>
                <w:szCs w:val="18"/>
                <w:lang w:eastAsia="fr-FR"/>
              </w:rPr>
            </w:pPr>
            <w:r w:rsidRPr="005B4CEB">
              <w:rPr>
                <w:b/>
                <w:bCs/>
                <w:sz w:val="18"/>
                <w:szCs w:val="18"/>
                <w:lang w:eastAsia="fr-FR"/>
              </w:rPr>
              <w:t>Constructeur</w:t>
            </w:r>
          </w:p>
        </w:tc>
        <w:tc>
          <w:tcPr>
            <w:tcW w:w="6521" w:type="dxa"/>
            <w:gridSpan w:val="3"/>
            <w:tcBorders>
              <w:top w:val="single" w:sz="6" w:space="0" w:color="808080"/>
              <w:left w:val="single" w:sz="6" w:space="0" w:color="808080"/>
              <w:bottom w:val="single" w:sz="6" w:space="0" w:color="808080"/>
            </w:tcBorders>
            <w:tcMar>
              <w:top w:w="8" w:type="dxa"/>
              <w:left w:w="108" w:type="dxa"/>
              <w:bottom w:w="8" w:type="dxa"/>
              <w:right w:w="108" w:type="dxa"/>
            </w:tcMar>
          </w:tcPr>
          <w:p w14:paraId="62101F52" w14:textId="77777777" w:rsidR="00BE2CA7" w:rsidRPr="005B4CEB" w:rsidRDefault="00BE2CA7" w:rsidP="002B0590">
            <w:pPr>
              <w:keepNext/>
              <w:ind w:right="142"/>
              <w:jc w:val="both"/>
              <w:rPr>
                <w:sz w:val="18"/>
                <w:szCs w:val="18"/>
                <w:lang w:eastAsia="fr-FR"/>
              </w:rPr>
            </w:pPr>
          </w:p>
        </w:tc>
      </w:tr>
      <w:tr w:rsidR="00BE2CA7" w:rsidRPr="00CC5187" w14:paraId="7138865D" w14:textId="77777777" w:rsidTr="002B0590">
        <w:trPr>
          <w:trHeight w:val="20"/>
        </w:trPr>
        <w:tc>
          <w:tcPr>
            <w:tcW w:w="1985" w:type="dxa"/>
            <w:tcBorders>
              <w:top w:val="single" w:sz="6" w:space="0" w:color="808080"/>
              <w:bottom w:val="single" w:sz="6" w:space="0" w:color="808080"/>
              <w:right w:val="single" w:sz="6" w:space="0" w:color="808080"/>
            </w:tcBorders>
            <w:tcMar>
              <w:top w:w="8" w:type="dxa"/>
              <w:left w:w="108" w:type="dxa"/>
              <w:bottom w:w="8" w:type="dxa"/>
              <w:right w:w="108" w:type="dxa"/>
            </w:tcMar>
            <w:hideMark/>
          </w:tcPr>
          <w:p w14:paraId="351AFF20" w14:textId="77777777" w:rsidR="00BE2CA7" w:rsidRPr="005B4CEB" w:rsidRDefault="00BE2CA7" w:rsidP="002B0590">
            <w:pPr>
              <w:jc w:val="both"/>
              <w:rPr>
                <w:b/>
                <w:bCs/>
                <w:sz w:val="18"/>
                <w:szCs w:val="18"/>
                <w:lang w:eastAsia="fr-FR"/>
              </w:rPr>
            </w:pPr>
            <w:r w:rsidRPr="005B4CEB">
              <w:rPr>
                <w:b/>
                <w:bCs/>
                <w:sz w:val="18"/>
                <w:szCs w:val="18"/>
                <w:lang w:eastAsia="fr-FR"/>
              </w:rPr>
              <w:t>OBJET</w:t>
            </w:r>
          </w:p>
        </w:tc>
        <w:tc>
          <w:tcPr>
            <w:tcW w:w="6521" w:type="dxa"/>
            <w:gridSpan w:val="3"/>
            <w:tcBorders>
              <w:top w:val="single" w:sz="6" w:space="0" w:color="808080"/>
              <w:left w:val="single" w:sz="6" w:space="0" w:color="808080"/>
              <w:bottom w:val="single" w:sz="6" w:space="0" w:color="808080"/>
            </w:tcBorders>
            <w:tcMar>
              <w:top w:w="8" w:type="dxa"/>
              <w:left w:w="108" w:type="dxa"/>
              <w:bottom w:w="8" w:type="dxa"/>
              <w:right w:w="108" w:type="dxa"/>
            </w:tcMar>
            <w:hideMark/>
          </w:tcPr>
          <w:p w14:paraId="67BA4D68" w14:textId="77777777" w:rsidR="00BE2CA7" w:rsidRPr="005B4CEB" w:rsidRDefault="00BE2CA7" w:rsidP="002B0590">
            <w:pPr>
              <w:ind w:right="141"/>
              <w:jc w:val="both"/>
              <w:rPr>
                <w:sz w:val="18"/>
                <w:szCs w:val="18"/>
                <w:lang w:eastAsia="fr-FR"/>
              </w:rPr>
            </w:pPr>
            <w:r w:rsidRPr="005B4CEB">
              <w:rPr>
                <w:sz w:val="18"/>
                <w:szCs w:val="18"/>
                <w:lang w:eastAsia="fr-FR"/>
              </w:rPr>
              <w:t>…</w:t>
            </w:r>
          </w:p>
        </w:tc>
      </w:tr>
      <w:tr w:rsidR="00BE2CA7" w:rsidRPr="00CC5187" w14:paraId="0D2F4B63" w14:textId="77777777" w:rsidTr="002B0590">
        <w:trPr>
          <w:trHeight w:val="20"/>
        </w:trPr>
        <w:tc>
          <w:tcPr>
            <w:tcW w:w="8506" w:type="dxa"/>
            <w:gridSpan w:val="4"/>
            <w:tcBorders>
              <w:top w:val="single" w:sz="6" w:space="0" w:color="808080"/>
              <w:bottom w:val="single" w:sz="6" w:space="0" w:color="808080"/>
            </w:tcBorders>
            <w:tcMar>
              <w:top w:w="8" w:type="dxa"/>
              <w:left w:w="108" w:type="dxa"/>
              <w:bottom w:w="8" w:type="dxa"/>
              <w:right w:w="108" w:type="dxa"/>
            </w:tcMar>
            <w:hideMark/>
          </w:tcPr>
          <w:p w14:paraId="20879A18" w14:textId="77777777" w:rsidR="00BE2CA7" w:rsidRPr="005B4CEB" w:rsidRDefault="00BE2CA7" w:rsidP="002B0590">
            <w:pPr>
              <w:keepNext/>
              <w:jc w:val="both"/>
              <w:rPr>
                <w:sz w:val="18"/>
                <w:szCs w:val="18"/>
                <w:lang w:eastAsia="fr-FR"/>
              </w:rPr>
            </w:pPr>
            <w:r w:rsidRPr="005B4CEB">
              <w:rPr>
                <w:b/>
                <w:bCs/>
                <w:sz w:val="18"/>
                <w:szCs w:val="18"/>
                <w:lang w:eastAsia="fr-FR"/>
              </w:rPr>
              <w:t>Objet soumis aux essais</w:t>
            </w:r>
          </w:p>
        </w:tc>
      </w:tr>
      <w:tr w:rsidR="00BE2CA7" w:rsidRPr="00CC5187" w14:paraId="020F40D5" w14:textId="77777777" w:rsidTr="002B0590">
        <w:trPr>
          <w:trHeight w:val="20"/>
        </w:trPr>
        <w:tc>
          <w:tcPr>
            <w:tcW w:w="1985" w:type="dxa"/>
            <w:tcBorders>
              <w:top w:val="single" w:sz="6" w:space="0" w:color="808080"/>
              <w:bottom w:val="single" w:sz="6" w:space="0" w:color="808080"/>
              <w:right w:val="single" w:sz="6" w:space="0" w:color="808080"/>
            </w:tcBorders>
            <w:tcMar>
              <w:top w:w="8" w:type="dxa"/>
              <w:left w:w="108" w:type="dxa"/>
              <w:bottom w:w="8" w:type="dxa"/>
              <w:right w:w="108" w:type="dxa"/>
            </w:tcMar>
          </w:tcPr>
          <w:p w14:paraId="6A6BBF13" w14:textId="77777777" w:rsidR="00BE2CA7" w:rsidRPr="005B4CEB" w:rsidRDefault="00BE2CA7" w:rsidP="002B0590">
            <w:pPr>
              <w:ind w:firstLine="250"/>
              <w:jc w:val="both"/>
              <w:rPr>
                <w:b/>
                <w:bCs/>
                <w:sz w:val="18"/>
                <w:szCs w:val="18"/>
                <w:lang w:eastAsia="fr-FR"/>
              </w:rPr>
            </w:pPr>
          </w:p>
        </w:tc>
        <w:tc>
          <w:tcPr>
            <w:tcW w:w="1134" w:type="dxa"/>
            <w:tcBorders>
              <w:top w:val="single" w:sz="6" w:space="0" w:color="808080"/>
              <w:left w:val="single" w:sz="6" w:space="0" w:color="808080"/>
              <w:bottom w:val="single" w:sz="6" w:space="0" w:color="808080"/>
              <w:right w:val="single" w:sz="6" w:space="0" w:color="808080"/>
            </w:tcBorders>
            <w:tcMar>
              <w:top w:w="8" w:type="dxa"/>
              <w:left w:w="108" w:type="dxa"/>
              <w:bottom w:w="8" w:type="dxa"/>
              <w:right w:w="108" w:type="dxa"/>
            </w:tcMar>
            <w:hideMark/>
          </w:tcPr>
          <w:p w14:paraId="428E18E3" w14:textId="77777777" w:rsidR="00BE2CA7" w:rsidRPr="005B4CEB" w:rsidRDefault="00BE2CA7" w:rsidP="002B0590">
            <w:pPr>
              <w:ind w:right="141"/>
              <w:jc w:val="both"/>
              <w:rPr>
                <w:sz w:val="18"/>
                <w:szCs w:val="18"/>
                <w:lang w:eastAsia="fr-FR"/>
              </w:rPr>
            </w:pPr>
            <w:r w:rsidRPr="005B4CEB">
              <w:rPr>
                <w:sz w:val="18"/>
                <w:szCs w:val="18"/>
                <w:lang w:eastAsia="fr-FR"/>
              </w:rPr>
              <w:t>Marque</w:t>
            </w:r>
          </w:p>
        </w:tc>
        <w:tc>
          <w:tcPr>
            <w:tcW w:w="284" w:type="dxa"/>
            <w:tcBorders>
              <w:top w:val="single" w:sz="6" w:space="0" w:color="808080"/>
              <w:left w:val="single" w:sz="6" w:space="0" w:color="808080"/>
              <w:bottom w:val="single" w:sz="6" w:space="0" w:color="808080"/>
              <w:right w:val="single" w:sz="6" w:space="0" w:color="808080"/>
            </w:tcBorders>
            <w:tcMar>
              <w:top w:w="8" w:type="dxa"/>
              <w:left w:w="108" w:type="dxa"/>
              <w:bottom w:w="8" w:type="dxa"/>
              <w:right w:w="108" w:type="dxa"/>
            </w:tcMar>
            <w:hideMark/>
          </w:tcPr>
          <w:p w14:paraId="605DA643" w14:textId="77777777" w:rsidR="00BE2CA7" w:rsidRPr="005B4CEB" w:rsidRDefault="00BE2CA7" w:rsidP="002B0590">
            <w:pPr>
              <w:jc w:val="center"/>
              <w:rPr>
                <w:sz w:val="18"/>
                <w:szCs w:val="18"/>
                <w:lang w:eastAsia="fr-FR"/>
              </w:rPr>
            </w:pPr>
            <w:r w:rsidRPr="005B4CEB">
              <w:rPr>
                <w:b/>
                <w:bCs/>
                <w:sz w:val="18"/>
                <w:szCs w:val="18"/>
                <w:lang w:eastAsia="fr-FR"/>
              </w:rPr>
              <w:t>:</w:t>
            </w:r>
          </w:p>
        </w:tc>
        <w:tc>
          <w:tcPr>
            <w:tcW w:w="5103" w:type="dxa"/>
            <w:tcBorders>
              <w:top w:val="single" w:sz="6" w:space="0" w:color="808080"/>
              <w:left w:val="single" w:sz="6" w:space="0" w:color="808080"/>
              <w:bottom w:val="single" w:sz="6" w:space="0" w:color="808080"/>
            </w:tcBorders>
            <w:tcMar>
              <w:top w:w="8" w:type="dxa"/>
              <w:left w:w="108" w:type="dxa"/>
              <w:bottom w:w="8" w:type="dxa"/>
              <w:right w:w="108" w:type="dxa"/>
            </w:tcMar>
          </w:tcPr>
          <w:p w14:paraId="03C04477" w14:textId="77777777" w:rsidR="00BE2CA7" w:rsidRPr="005B4CEB" w:rsidRDefault="00BE2CA7" w:rsidP="002B0590">
            <w:pPr>
              <w:ind w:right="283"/>
              <w:jc w:val="both"/>
              <w:rPr>
                <w:sz w:val="18"/>
                <w:szCs w:val="18"/>
                <w:lang w:eastAsia="fr-FR"/>
              </w:rPr>
            </w:pPr>
            <w:bookmarkStart w:id="24" w:name="marque1"/>
            <w:bookmarkEnd w:id="24"/>
          </w:p>
        </w:tc>
      </w:tr>
      <w:tr w:rsidR="00BE2CA7" w:rsidRPr="00CC5187" w14:paraId="7A7B70DC" w14:textId="77777777" w:rsidTr="002B0590">
        <w:trPr>
          <w:trHeight w:val="20"/>
        </w:trPr>
        <w:tc>
          <w:tcPr>
            <w:tcW w:w="1985" w:type="dxa"/>
            <w:tcBorders>
              <w:top w:val="single" w:sz="6" w:space="0" w:color="808080"/>
              <w:bottom w:val="single" w:sz="6" w:space="0" w:color="808080"/>
              <w:right w:val="single" w:sz="6" w:space="0" w:color="808080"/>
            </w:tcBorders>
            <w:tcMar>
              <w:top w:w="8" w:type="dxa"/>
              <w:left w:w="108" w:type="dxa"/>
              <w:bottom w:w="8" w:type="dxa"/>
              <w:right w:w="108" w:type="dxa"/>
            </w:tcMar>
          </w:tcPr>
          <w:p w14:paraId="1E36D651" w14:textId="77777777" w:rsidR="00BE2CA7" w:rsidRPr="005B4CEB" w:rsidRDefault="00BE2CA7" w:rsidP="002B0590">
            <w:pPr>
              <w:jc w:val="both"/>
              <w:rPr>
                <w:b/>
                <w:bCs/>
                <w:sz w:val="18"/>
                <w:szCs w:val="18"/>
                <w:lang w:eastAsia="fr-FR"/>
              </w:rPr>
            </w:pPr>
          </w:p>
        </w:tc>
        <w:tc>
          <w:tcPr>
            <w:tcW w:w="1134" w:type="dxa"/>
            <w:tcBorders>
              <w:top w:val="single" w:sz="6" w:space="0" w:color="808080"/>
              <w:left w:val="single" w:sz="6" w:space="0" w:color="808080"/>
              <w:bottom w:val="single" w:sz="6" w:space="0" w:color="808080"/>
              <w:right w:val="single" w:sz="6" w:space="0" w:color="808080"/>
            </w:tcBorders>
            <w:tcMar>
              <w:top w:w="8" w:type="dxa"/>
              <w:left w:w="108" w:type="dxa"/>
              <w:bottom w:w="8" w:type="dxa"/>
              <w:right w:w="108" w:type="dxa"/>
            </w:tcMar>
            <w:hideMark/>
          </w:tcPr>
          <w:p w14:paraId="38C897FA" w14:textId="77777777" w:rsidR="00BE2CA7" w:rsidRPr="005B4CEB" w:rsidRDefault="00BE2CA7" w:rsidP="002B0590">
            <w:pPr>
              <w:ind w:right="141"/>
              <w:jc w:val="both"/>
              <w:rPr>
                <w:sz w:val="18"/>
                <w:szCs w:val="18"/>
                <w:lang w:eastAsia="fr-FR"/>
              </w:rPr>
            </w:pPr>
            <w:r w:rsidRPr="005B4CEB">
              <w:rPr>
                <w:sz w:val="18"/>
                <w:szCs w:val="18"/>
                <w:lang w:eastAsia="fr-FR"/>
              </w:rPr>
              <w:t>Type</w:t>
            </w:r>
          </w:p>
        </w:tc>
        <w:tc>
          <w:tcPr>
            <w:tcW w:w="284" w:type="dxa"/>
            <w:tcBorders>
              <w:top w:val="single" w:sz="6" w:space="0" w:color="808080"/>
              <w:left w:val="single" w:sz="6" w:space="0" w:color="808080"/>
              <w:bottom w:val="single" w:sz="6" w:space="0" w:color="808080"/>
              <w:right w:val="single" w:sz="6" w:space="0" w:color="808080"/>
            </w:tcBorders>
            <w:tcMar>
              <w:top w:w="8" w:type="dxa"/>
              <w:left w:w="108" w:type="dxa"/>
              <w:bottom w:w="8" w:type="dxa"/>
              <w:right w:w="108" w:type="dxa"/>
            </w:tcMar>
            <w:hideMark/>
          </w:tcPr>
          <w:p w14:paraId="027B254B" w14:textId="77777777" w:rsidR="00BE2CA7" w:rsidRPr="005B4CEB" w:rsidRDefault="00BE2CA7" w:rsidP="002B0590">
            <w:pPr>
              <w:jc w:val="center"/>
              <w:rPr>
                <w:sz w:val="18"/>
                <w:szCs w:val="18"/>
                <w:lang w:eastAsia="fr-FR"/>
              </w:rPr>
            </w:pPr>
            <w:r w:rsidRPr="005B4CEB">
              <w:rPr>
                <w:b/>
                <w:bCs/>
                <w:sz w:val="18"/>
                <w:szCs w:val="18"/>
                <w:lang w:eastAsia="fr-FR"/>
              </w:rPr>
              <w:t>:</w:t>
            </w:r>
          </w:p>
        </w:tc>
        <w:tc>
          <w:tcPr>
            <w:tcW w:w="5103" w:type="dxa"/>
            <w:tcBorders>
              <w:top w:val="single" w:sz="6" w:space="0" w:color="808080"/>
              <w:left w:val="single" w:sz="6" w:space="0" w:color="808080"/>
              <w:bottom w:val="single" w:sz="6" w:space="0" w:color="808080"/>
            </w:tcBorders>
            <w:tcMar>
              <w:top w:w="8" w:type="dxa"/>
              <w:left w:w="108" w:type="dxa"/>
              <w:bottom w:w="8" w:type="dxa"/>
              <w:right w:w="108" w:type="dxa"/>
            </w:tcMar>
          </w:tcPr>
          <w:p w14:paraId="49526F0F" w14:textId="77777777" w:rsidR="00BE2CA7" w:rsidRPr="005B4CEB" w:rsidRDefault="00BE2CA7" w:rsidP="002B0590">
            <w:pPr>
              <w:ind w:right="283"/>
              <w:jc w:val="both"/>
              <w:rPr>
                <w:sz w:val="18"/>
                <w:szCs w:val="18"/>
                <w:lang w:eastAsia="fr-FR"/>
              </w:rPr>
            </w:pPr>
            <w:bookmarkStart w:id="25" w:name="denomination1"/>
            <w:bookmarkStart w:id="26" w:name="dim1"/>
            <w:bookmarkStart w:id="27" w:name="ser"/>
            <w:bookmarkEnd w:id="25"/>
            <w:bookmarkEnd w:id="26"/>
            <w:bookmarkEnd w:id="27"/>
          </w:p>
        </w:tc>
      </w:tr>
      <w:tr w:rsidR="00BE2CA7" w:rsidRPr="009024EA" w14:paraId="67D401A9" w14:textId="77777777" w:rsidTr="002B0590">
        <w:trPr>
          <w:trHeight w:val="20"/>
        </w:trPr>
        <w:tc>
          <w:tcPr>
            <w:tcW w:w="1985" w:type="dxa"/>
            <w:tcBorders>
              <w:top w:val="single" w:sz="6" w:space="0" w:color="808080"/>
              <w:right w:val="single" w:sz="6" w:space="0" w:color="808080"/>
            </w:tcBorders>
            <w:tcMar>
              <w:top w:w="8" w:type="dxa"/>
              <w:left w:w="108" w:type="dxa"/>
              <w:bottom w:w="8" w:type="dxa"/>
              <w:right w:w="108" w:type="dxa"/>
            </w:tcMar>
            <w:hideMark/>
          </w:tcPr>
          <w:p w14:paraId="6CA593AB" w14:textId="77777777" w:rsidR="00BE2CA7" w:rsidRPr="005B4CEB" w:rsidRDefault="00BE2CA7" w:rsidP="002B0590">
            <w:pPr>
              <w:jc w:val="both"/>
              <w:rPr>
                <w:sz w:val="18"/>
                <w:szCs w:val="18"/>
                <w:lang w:eastAsia="fr-FR"/>
              </w:rPr>
            </w:pPr>
            <w:r w:rsidRPr="005B4CEB">
              <w:rPr>
                <w:b/>
                <w:bCs/>
                <w:sz w:val="18"/>
                <w:szCs w:val="18"/>
                <w:lang w:eastAsia="fr-FR"/>
              </w:rPr>
              <w:t>CONCLUSION</w:t>
            </w:r>
          </w:p>
        </w:tc>
        <w:tc>
          <w:tcPr>
            <w:tcW w:w="6521" w:type="dxa"/>
            <w:gridSpan w:val="3"/>
            <w:tcBorders>
              <w:top w:val="single" w:sz="6" w:space="0" w:color="808080"/>
              <w:left w:val="single" w:sz="6" w:space="0" w:color="808080"/>
            </w:tcBorders>
            <w:tcMar>
              <w:top w:w="8" w:type="dxa"/>
              <w:left w:w="108" w:type="dxa"/>
              <w:bottom w:w="8" w:type="dxa"/>
              <w:right w:w="108" w:type="dxa"/>
            </w:tcMar>
            <w:hideMark/>
          </w:tcPr>
          <w:p w14:paraId="271EE8C1" w14:textId="77777777" w:rsidR="00BE2CA7" w:rsidRPr="005B4CEB" w:rsidRDefault="00BE2CA7" w:rsidP="002B0590">
            <w:pPr>
              <w:ind w:right="141"/>
              <w:jc w:val="both"/>
              <w:rPr>
                <w:sz w:val="18"/>
                <w:szCs w:val="18"/>
                <w:lang w:val="fr-FR" w:eastAsia="fr-FR"/>
              </w:rPr>
            </w:pPr>
            <w:r w:rsidRPr="005B4CEB">
              <w:rPr>
                <w:sz w:val="18"/>
                <w:szCs w:val="18"/>
                <w:lang w:val="fr-FR" w:eastAsia="fr-FR"/>
              </w:rPr>
              <w:t>L’objet soumis aux essais est conforme aux prescriptions des textes mentionnés en objet.</w:t>
            </w:r>
          </w:p>
        </w:tc>
      </w:tr>
    </w:tbl>
    <w:p w14:paraId="4B50B086" w14:textId="77777777" w:rsidR="00BE2CA7" w:rsidRPr="00A318C3" w:rsidRDefault="00BE2CA7" w:rsidP="00BE2CA7">
      <w:pPr>
        <w:jc w:val="both"/>
        <w:rPr>
          <w:sz w:val="18"/>
          <w:szCs w:val="18"/>
          <w:lang w:val="fr-FR" w:eastAsia="fr-FR"/>
        </w:rPr>
      </w:pPr>
    </w:p>
    <w:tbl>
      <w:tblPr>
        <w:tblW w:w="2589" w:type="dxa"/>
        <w:tblInd w:w="5893" w:type="dxa"/>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1276"/>
        <w:gridCol w:w="1313"/>
      </w:tblGrid>
      <w:tr w:rsidR="00BE2CA7" w:rsidRPr="00CC5187" w14:paraId="0F86E664" w14:textId="77777777" w:rsidTr="002B0590">
        <w:trPr>
          <w:trHeight w:val="138"/>
        </w:trPr>
        <w:tc>
          <w:tcPr>
            <w:tcW w:w="1276" w:type="dxa"/>
            <w:tcBorders>
              <w:right w:val="single" w:sz="6" w:space="0" w:color="808080"/>
            </w:tcBorders>
            <w:tcMar>
              <w:top w:w="8" w:type="dxa"/>
              <w:left w:w="108" w:type="dxa"/>
              <w:bottom w:w="8" w:type="dxa"/>
              <w:right w:w="108" w:type="dxa"/>
            </w:tcMar>
            <w:hideMark/>
          </w:tcPr>
          <w:p w14:paraId="7190CF61" w14:textId="77777777" w:rsidR="00BE2CA7" w:rsidRPr="00CC5187" w:rsidRDefault="00BE2CA7" w:rsidP="002B0590">
            <w:pPr>
              <w:jc w:val="both"/>
              <w:rPr>
                <w:lang w:eastAsia="fr-FR"/>
              </w:rPr>
            </w:pPr>
            <w:r>
              <w:rPr>
                <w:caps/>
                <w:sz w:val="18"/>
                <w:szCs w:val="18"/>
                <w:lang w:eastAsia="fr-FR"/>
              </w:rPr>
              <w:t>LIEU,</w:t>
            </w:r>
          </w:p>
        </w:tc>
        <w:tc>
          <w:tcPr>
            <w:tcW w:w="1313" w:type="dxa"/>
            <w:tcBorders>
              <w:left w:val="single" w:sz="6" w:space="0" w:color="808080"/>
            </w:tcBorders>
            <w:tcMar>
              <w:top w:w="8" w:type="dxa"/>
              <w:left w:w="108" w:type="dxa"/>
              <w:bottom w:w="8" w:type="dxa"/>
              <w:right w:w="108" w:type="dxa"/>
            </w:tcMar>
            <w:hideMark/>
          </w:tcPr>
          <w:p w14:paraId="5B70C01C" w14:textId="77777777" w:rsidR="00BE2CA7" w:rsidRPr="00CC5187" w:rsidRDefault="00BE2CA7" w:rsidP="002B0590">
            <w:pPr>
              <w:jc w:val="both"/>
              <w:rPr>
                <w:lang w:eastAsia="fr-FR"/>
              </w:rPr>
            </w:pPr>
            <w:r>
              <w:rPr>
                <w:sz w:val="18"/>
                <w:szCs w:val="18"/>
                <w:lang w:eastAsia="fr-FR"/>
              </w:rPr>
              <w:t>JJ</w:t>
            </w:r>
            <w:r w:rsidRPr="00CC5187">
              <w:rPr>
                <w:sz w:val="18"/>
                <w:szCs w:val="18"/>
                <w:lang w:eastAsia="fr-FR"/>
              </w:rPr>
              <w:t>/MM/</w:t>
            </w:r>
            <w:r>
              <w:rPr>
                <w:sz w:val="18"/>
                <w:szCs w:val="18"/>
                <w:lang w:eastAsia="fr-FR"/>
              </w:rPr>
              <w:t>AAAA</w:t>
            </w:r>
          </w:p>
        </w:tc>
      </w:tr>
    </w:tbl>
    <w:p w14:paraId="4541333D" w14:textId="77777777" w:rsidR="00BE2CA7" w:rsidRDefault="00BE2CA7" w:rsidP="00BE2CA7">
      <w:pPr>
        <w:pStyle w:val="SingleTxtG"/>
        <w:spacing w:before="240"/>
        <w:rPr>
          <w:lang w:eastAsia="fr-FR"/>
        </w:rPr>
      </w:pPr>
      <w:r>
        <w:rPr>
          <w:lang w:eastAsia="fr-FR"/>
        </w:rPr>
        <w:t>Notes générales </w:t>
      </w:r>
      <w:r w:rsidRPr="00CC5187">
        <w:rPr>
          <w:lang w:eastAsia="fr-FR"/>
        </w:rPr>
        <w:t>:</w:t>
      </w:r>
    </w:p>
    <w:p w14:paraId="71578BBD" w14:textId="77777777" w:rsidR="00BE2CA7" w:rsidRPr="00A318C3" w:rsidRDefault="00BE2CA7" w:rsidP="00BE2CA7">
      <w:pPr>
        <w:pStyle w:val="SingleTxtG"/>
        <w:rPr>
          <w:lang w:val="fr-FR" w:eastAsia="fr-FR"/>
        </w:rPr>
      </w:pPr>
      <w:r w:rsidRPr="00A318C3">
        <w:rPr>
          <w:lang w:val="fr-FR" w:eastAsia="fr-FR"/>
        </w:rPr>
        <w:t>S</w:t>
      </w:r>
      <w:r>
        <w:rPr>
          <w:lang w:val="fr-FR" w:eastAsia="fr-FR"/>
        </w:rPr>
        <w:t>’</w:t>
      </w:r>
      <w:r w:rsidRPr="00A318C3">
        <w:rPr>
          <w:lang w:val="fr-FR" w:eastAsia="fr-FR"/>
        </w:rPr>
        <w:t>il existe plusieurs options (références), celle qui a été mise à l</w:t>
      </w:r>
      <w:r>
        <w:rPr>
          <w:lang w:val="fr-FR" w:eastAsia="fr-FR"/>
        </w:rPr>
        <w:t>’</w:t>
      </w:r>
      <w:r w:rsidRPr="00A318C3">
        <w:rPr>
          <w:lang w:val="fr-FR" w:eastAsia="fr-FR"/>
        </w:rPr>
        <w:t>essai doit être décrite dans le procès-verbal d</w:t>
      </w:r>
      <w:r>
        <w:rPr>
          <w:lang w:val="fr-FR" w:eastAsia="fr-FR"/>
        </w:rPr>
        <w:t>’</w:t>
      </w:r>
      <w:r w:rsidRPr="00A318C3">
        <w:rPr>
          <w:lang w:val="fr-FR" w:eastAsia="fr-FR"/>
        </w:rPr>
        <w:t>essai.</w:t>
      </w:r>
    </w:p>
    <w:p w14:paraId="4698D708" w14:textId="77777777" w:rsidR="00BE2CA7" w:rsidRDefault="00BE2CA7" w:rsidP="00BE2CA7">
      <w:pPr>
        <w:pStyle w:val="SingleTxtG"/>
        <w:rPr>
          <w:lang w:val="fr-FR" w:eastAsia="fr-FR"/>
        </w:rPr>
      </w:pPr>
      <w:r w:rsidRPr="00A318C3">
        <w:rPr>
          <w:lang w:val="fr-FR" w:eastAsia="fr-FR"/>
        </w:rPr>
        <w:t>Dans le cas contraire, un simple renvoi à la fiche de renseignements au début du procès</w:t>
      </w:r>
      <w:r>
        <w:rPr>
          <w:lang w:val="fr-FR" w:eastAsia="fr-FR"/>
        </w:rPr>
        <w:noBreakHyphen/>
      </w:r>
      <w:r w:rsidRPr="00A318C3">
        <w:rPr>
          <w:lang w:val="fr-FR" w:eastAsia="fr-FR"/>
        </w:rPr>
        <w:t>verbal d</w:t>
      </w:r>
      <w:r>
        <w:rPr>
          <w:lang w:val="fr-FR" w:eastAsia="fr-FR"/>
        </w:rPr>
        <w:t>’</w:t>
      </w:r>
      <w:r w:rsidRPr="00A318C3">
        <w:rPr>
          <w:lang w:val="fr-FR" w:eastAsia="fr-FR"/>
        </w:rPr>
        <w:t>essai peut suffire.</w:t>
      </w:r>
    </w:p>
    <w:p w14:paraId="707E3408" w14:textId="77777777" w:rsidR="00BE2CA7" w:rsidRPr="00A318C3" w:rsidRDefault="00BE2CA7" w:rsidP="00BE2CA7">
      <w:pPr>
        <w:pStyle w:val="SingleTxtG"/>
        <w:rPr>
          <w:lang w:val="fr-FR" w:eastAsia="fr-FR"/>
        </w:rPr>
      </w:pPr>
      <w:r w:rsidRPr="00A318C3">
        <w:rPr>
          <w:lang w:val="fr-FR" w:eastAsia="fr-FR"/>
        </w:rPr>
        <w:t>Chaque service technique est libre d</w:t>
      </w:r>
      <w:r>
        <w:rPr>
          <w:lang w:val="fr-FR" w:eastAsia="fr-FR"/>
        </w:rPr>
        <w:t>’</w:t>
      </w:r>
      <w:r w:rsidRPr="00A318C3">
        <w:rPr>
          <w:lang w:val="fr-FR" w:eastAsia="fr-FR"/>
        </w:rPr>
        <w:t>inclure des informations supplémentaires.</w:t>
      </w:r>
    </w:p>
    <w:p w14:paraId="349F06DA" w14:textId="77777777" w:rsidR="00BE2CA7" w:rsidRDefault="00BE2CA7" w:rsidP="00BE2CA7">
      <w:pPr>
        <w:pStyle w:val="SingleTxtG"/>
        <w:rPr>
          <w:lang w:val="fr-FR" w:eastAsia="fr-FR"/>
        </w:rPr>
      </w:pPr>
      <w:r w:rsidRPr="00A318C3">
        <w:rPr>
          <w:lang w:val="fr-FR" w:eastAsia="fr-FR"/>
        </w:rPr>
        <w:tab/>
        <w:t>Des lettres figurent dans les sections du procès-verbal d</w:t>
      </w:r>
      <w:r>
        <w:rPr>
          <w:lang w:val="fr-FR" w:eastAsia="fr-FR"/>
        </w:rPr>
        <w:t>’</w:t>
      </w:r>
      <w:r w:rsidRPr="00A318C3">
        <w:rPr>
          <w:lang w:val="fr-FR" w:eastAsia="fr-FR"/>
        </w:rPr>
        <w:t>essai se rapportant à des types de véhicules spécifiques, comme suit</w:t>
      </w:r>
      <w:r>
        <w:rPr>
          <w:lang w:val="fr-FR" w:eastAsia="fr-FR"/>
        </w:rPr>
        <w:t> </w:t>
      </w:r>
      <w:r w:rsidRPr="00A318C3">
        <w:rPr>
          <w:lang w:val="fr-FR" w:eastAsia="fr-FR"/>
        </w:rPr>
        <w:t>:</w:t>
      </w:r>
    </w:p>
    <w:p w14:paraId="53D69B0E" w14:textId="77777777" w:rsidR="00BE2CA7" w:rsidRPr="00A318C3" w:rsidRDefault="00BE2CA7" w:rsidP="00BE2CA7">
      <w:pPr>
        <w:pStyle w:val="SingleTxtG"/>
        <w:rPr>
          <w:lang w:val="fr-FR" w:eastAsia="fr-FR"/>
        </w:rPr>
      </w:pPr>
      <w:r w:rsidRPr="00A318C3">
        <w:rPr>
          <w:lang w:val="fr-FR" w:eastAsia="fr-FR"/>
        </w:rPr>
        <w:t>«</w:t>
      </w:r>
      <w:r>
        <w:rPr>
          <w:lang w:val="fr-FR" w:eastAsia="fr-FR"/>
        </w:rPr>
        <w:t> </w:t>
      </w:r>
      <w:r w:rsidRPr="00A318C3">
        <w:rPr>
          <w:lang w:val="fr-FR" w:eastAsia="fr-FR"/>
        </w:rPr>
        <w:t>a)</w:t>
      </w:r>
      <w:r>
        <w:rPr>
          <w:lang w:val="fr-FR" w:eastAsia="fr-FR"/>
        </w:rPr>
        <w:t> </w:t>
      </w:r>
      <w:r w:rsidRPr="00A318C3">
        <w:rPr>
          <w:lang w:val="fr-FR" w:eastAsia="fr-FR"/>
        </w:rPr>
        <w:t>» Informations propres aux véhicules à moteur à allumage commandé</w:t>
      </w:r>
      <w:r>
        <w:rPr>
          <w:lang w:val="fr-FR" w:eastAsia="fr-FR"/>
        </w:rPr>
        <w:t> ;</w:t>
      </w:r>
    </w:p>
    <w:p w14:paraId="6B075B53" w14:textId="77777777" w:rsidR="00BE2CA7" w:rsidRPr="00A318C3" w:rsidRDefault="00BE2CA7" w:rsidP="00BE2CA7">
      <w:pPr>
        <w:pStyle w:val="SingleTxtG"/>
        <w:rPr>
          <w:lang w:val="fr-FR" w:eastAsia="fr-FR"/>
        </w:rPr>
      </w:pPr>
      <w:r w:rsidRPr="00A318C3">
        <w:rPr>
          <w:lang w:val="fr-FR" w:eastAsia="fr-FR"/>
        </w:rPr>
        <w:tab/>
        <w:t>«</w:t>
      </w:r>
      <w:r>
        <w:rPr>
          <w:lang w:val="fr-FR" w:eastAsia="fr-FR"/>
        </w:rPr>
        <w:t> </w:t>
      </w:r>
      <w:r w:rsidRPr="00A318C3">
        <w:rPr>
          <w:lang w:val="fr-FR" w:eastAsia="fr-FR"/>
        </w:rPr>
        <w:t>b)</w:t>
      </w:r>
      <w:r>
        <w:rPr>
          <w:lang w:val="fr-FR" w:eastAsia="fr-FR"/>
        </w:rPr>
        <w:t> </w:t>
      </w:r>
      <w:r w:rsidRPr="00A318C3">
        <w:rPr>
          <w:lang w:val="fr-FR" w:eastAsia="fr-FR"/>
        </w:rPr>
        <w:t>» Informations propres aux véhicules à moteur à allumage par compression</w:t>
      </w:r>
      <w:r>
        <w:rPr>
          <w:lang w:val="fr-FR" w:eastAsia="fr-FR"/>
        </w:rPr>
        <w:t>.</w:t>
      </w:r>
      <w:r w:rsidRPr="00A318C3">
        <w:rPr>
          <w:lang w:val="fr-FR" w:eastAsia="fr-FR"/>
        </w:rPr>
        <w:br w:type="page"/>
      </w:r>
    </w:p>
    <w:p w14:paraId="144766EE" w14:textId="77777777" w:rsidR="00BE2CA7" w:rsidRPr="007E28C2" w:rsidRDefault="00BE2CA7" w:rsidP="00BE2CA7">
      <w:pPr>
        <w:pStyle w:val="SingleTxtG"/>
        <w:rPr>
          <w:b/>
          <w:bCs/>
          <w:lang w:val="fr-FR" w:eastAsia="fr-FR"/>
        </w:rPr>
      </w:pPr>
      <w:r w:rsidRPr="007E28C2">
        <w:rPr>
          <w:b/>
          <w:bCs/>
          <w:lang w:val="fr-FR" w:eastAsia="fr-FR"/>
        </w:rPr>
        <w:lastRenderedPageBreak/>
        <w:t>1.</w:t>
      </w:r>
      <w:r w:rsidRPr="007E28C2">
        <w:rPr>
          <w:b/>
          <w:bCs/>
          <w:caps/>
          <w:lang w:val="fr-FR" w:eastAsia="fr-FR"/>
        </w:rPr>
        <w:tab/>
      </w:r>
      <w:r w:rsidRPr="007E28C2">
        <w:rPr>
          <w:b/>
          <w:bCs/>
          <w:lang w:val="fr-FR" w:eastAsia="fr-FR"/>
        </w:rPr>
        <w:t>Description du (des) véhicule(s) soumis à l’essai</w:t>
      </w:r>
    </w:p>
    <w:p w14:paraId="124481F8" w14:textId="77777777" w:rsidR="00BE2CA7" w:rsidRPr="007E28C2" w:rsidRDefault="00BE2CA7" w:rsidP="00BE2CA7">
      <w:pPr>
        <w:pStyle w:val="SingleTxtG"/>
        <w:rPr>
          <w:b/>
          <w:bCs/>
          <w:lang w:eastAsia="fr-FR"/>
        </w:rPr>
      </w:pPr>
      <w:r w:rsidRPr="007E28C2">
        <w:rPr>
          <w:b/>
          <w:bCs/>
          <w:lang w:eastAsia="fr-FR"/>
        </w:rPr>
        <w:t>1.1</w:t>
      </w:r>
      <w:r w:rsidRPr="007E28C2">
        <w:rPr>
          <w:b/>
          <w:bCs/>
          <w:lang w:eastAsia="fr-FR"/>
        </w:rPr>
        <w:tab/>
        <w:t>Généralités</w:t>
      </w:r>
    </w:p>
    <w:tbl>
      <w:tblPr>
        <w:tblW w:w="8330" w:type="dxa"/>
        <w:tblInd w:w="1134" w:type="dxa"/>
        <w:tblBorders>
          <w:top w:val="single" w:sz="6" w:space="0" w:color="BFBFBF"/>
          <w:left w:val="single" w:sz="6" w:space="0" w:color="BFBFBF"/>
          <w:bottom w:val="single" w:sz="6" w:space="0" w:color="BFBFBF"/>
          <w:right w:val="single" w:sz="6" w:space="0" w:color="BFBFBF"/>
        </w:tblBorders>
        <w:tblCellMar>
          <w:left w:w="0" w:type="dxa"/>
          <w:right w:w="0" w:type="dxa"/>
        </w:tblCellMar>
        <w:tblLook w:val="04A0" w:firstRow="1" w:lastRow="0" w:firstColumn="1" w:lastColumn="0" w:noHBand="0" w:noVBand="1"/>
      </w:tblPr>
      <w:tblGrid>
        <w:gridCol w:w="3865"/>
        <w:gridCol w:w="354"/>
        <w:gridCol w:w="4111"/>
      </w:tblGrid>
      <w:tr w:rsidR="00BE2CA7" w:rsidRPr="00CC5187" w14:paraId="2455541F" w14:textId="77777777" w:rsidTr="002B0590">
        <w:trPr>
          <w:trHeight w:val="283"/>
        </w:trPr>
        <w:tc>
          <w:tcPr>
            <w:tcW w:w="3865" w:type="dxa"/>
            <w:tcBorders>
              <w:bottom w:val="single" w:sz="6" w:space="0" w:color="BFBFBF"/>
              <w:right w:val="single" w:sz="6" w:space="0" w:color="BFBFBF"/>
            </w:tcBorders>
            <w:tcMar>
              <w:top w:w="8" w:type="dxa"/>
              <w:left w:w="108" w:type="dxa"/>
              <w:bottom w:w="8" w:type="dxa"/>
              <w:right w:w="108" w:type="dxa"/>
            </w:tcMar>
            <w:hideMark/>
          </w:tcPr>
          <w:p w14:paraId="693AC1D6" w14:textId="77777777" w:rsidR="00BE2CA7" w:rsidRPr="00CC5187" w:rsidRDefault="00BE2CA7" w:rsidP="002B0590">
            <w:pPr>
              <w:jc w:val="both"/>
              <w:rPr>
                <w:sz w:val="18"/>
                <w:szCs w:val="18"/>
                <w:lang w:eastAsia="fr-FR"/>
              </w:rPr>
            </w:pPr>
            <w:r w:rsidRPr="00707C08">
              <w:rPr>
                <w:sz w:val="18"/>
                <w:szCs w:val="18"/>
                <w:lang w:eastAsia="fr-FR"/>
              </w:rPr>
              <w:t>Numéros d</w:t>
            </w:r>
            <w:r>
              <w:rPr>
                <w:sz w:val="18"/>
                <w:szCs w:val="18"/>
                <w:lang w:eastAsia="fr-FR"/>
              </w:rPr>
              <w:t>’</w:t>
            </w:r>
            <w:r w:rsidRPr="00707C08">
              <w:rPr>
                <w:sz w:val="18"/>
                <w:szCs w:val="18"/>
                <w:lang w:eastAsia="fr-FR"/>
              </w:rPr>
              <w:t>identification du véhicule</w:t>
            </w:r>
          </w:p>
        </w:tc>
        <w:tc>
          <w:tcPr>
            <w:tcW w:w="354" w:type="dxa"/>
            <w:tcBorders>
              <w:left w:val="single" w:sz="6" w:space="0" w:color="BFBFBF"/>
              <w:bottom w:val="single" w:sz="6" w:space="0" w:color="BFBFBF"/>
              <w:right w:val="single" w:sz="6" w:space="0" w:color="BFBFBF"/>
            </w:tcBorders>
            <w:tcMar>
              <w:top w:w="8" w:type="dxa"/>
              <w:left w:w="108" w:type="dxa"/>
              <w:bottom w:w="8" w:type="dxa"/>
              <w:right w:w="108" w:type="dxa"/>
            </w:tcMar>
            <w:hideMark/>
          </w:tcPr>
          <w:p w14:paraId="0E2B182B" w14:textId="77777777" w:rsidR="00BE2CA7" w:rsidRPr="00CC5187" w:rsidRDefault="00BE2CA7" w:rsidP="002B0590">
            <w:pPr>
              <w:jc w:val="both"/>
              <w:rPr>
                <w:sz w:val="18"/>
                <w:szCs w:val="18"/>
                <w:lang w:eastAsia="fr-FR"/>
              </w:rPr>
            </w:pPr>
            <w:r w:rsidRPr="00CC5187">
              <w:rPr>
                <w:b/>
                <w:bCs/>
                <w:caps/>
                <w:sz w:val="18"/>
                <w:szCs w:val="18"/>
                <w:lang w:eastAsia="fr-FR"/>
              </w:rPr>
              <w:t>:</w:t>
            </w:r>
          </w:p>
        </w:tc>
        <w:tc>
          <w:tcPr>
            <w:tcW w:w="4111" w:type="dxa"/>
            <w:tcBorders>
              <w:left w:val="single" w:sz="6" w:space="0" w:color="BFBFBF"/>
              <w:bottom w:val="single" w:sz="6" w:space="0" w:color="BFBFBF"/>
            </w:tcBorders>
            <w:tcMar>
              <w:top w:w="8" w:type="dxa"/>
              <w:left w:w="108" w:type="dxa"/>
              <w:bottom w:w="8" w:type="dxa"/>
              <w:right w:w="108" w:type="dxa"/>
            </w:tcMar>
            <w:hideMark/>
          </w:tcPr>
          <w:p w14:paraId="264AF2E7" w14:textId="77777777" w:rsidR="00BE2CA7" w:rsidRPr="00CC5187" w:rsidRDefault="00BE2CA7" w:rsidP="002B0590">
            <w:pPr>
              <w:jc w:val="both"/>
              <w:rPr>
                <w:sz w:val="18"/>
                <w:szCs w:val="18"/>
                <w:lang w:eastAsia="fr-FR"/>
              </w:rPr>
            </w:pPr>
            <w:r w:rsidRPr="000D003A">
              <w:rPr>
                <w:sz w:val="18"/>
                <w:szCs w:val="18"/>
                <w:lang w:eastAsia="fr-FR"/>
              </w:rPr>
              <w:t>Numéro du prototype et VIN</w:t>
            </w:r>
          </w:p>
        </w:tc>
      </w:tr>
      <w:tr w:rsidR="00BE2CA7" w:rsidRPr="00CC5187" w14:paraId="3747EECC" w14:textId="77777777" w:rsidTr="002B0590">
        <w:trPr>
          <w:trHeight w:val="283"/>
        </w:trPr>
        <w:tc>
          <w:tcPr>
            <w:tcW w:w="3865"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7888F8AF" w14:textId="77777777" w:rsidR="00BE2CA7" w:rsidRPr="00CC5187" w:rsidRDefault="00BE2CA7" w:rsidP="002B0590">
            <w:pPr>
              <w:jc w:val="both"/>
              <w:rPr>
                <w:sz w:val="18"/>
                <w:szCs w:val="18"/>
                <w:lang w:eastAsia="fr-FR"/>
              </w:rPr>
            </w:pPr>
            <w:r w:rsidRPr="00CC5187">
              <w:rPr>
                <w:sz w:val="18"/>
                <w:szCs w:val="18"/>
                <w:lang w:eastAsia="fr-FR"/>
              </w:rPr>
              <w:t>Cat</w:t>
            </w:r>
            <w:r>
              <w:rPr>
                <w:sz w:val="18"/>
                <w:szCs w:val="18"/>
                <w:lang w:eastAsia="fr-FR"/>
              </w:rPr>
              <w:t>égorie</w:t>
            </w:r>
          </w:p>
        </w:tc>
        <w:tc>
          <w:tcPr>
            <w:tcW w:w="354"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39B94018" w14:textId="77777777" w:rsidR="00BE2CA7" w:rsidRPr="00CC5187" w:rsidRDefault="00BE2CA7" w:rsidP="002B0590">
            <w:pPr>
              <w:jc w:val="both"/>
              <w:rPr>
                <w:sz w:val="18"/>
                <w:szCs w:val="18"/>
                <w:lang w:eastAsia="fr-FR"/>
              </w:rPr>
            </w:pPr>
            <w:r w:rsidRPr="00CC5187">
              <w:rPr>
                <w:b/>
                <w:bCs/>
                <w:caps/>
                <w:sz w:val="18"/>
                <w:szCs w:val="18"/>
                <w:lang w:eastAsia="fr-FR"/>
              </w:rPr>
              <w:t>:</w:t>
            </w:r>
          </w:p>
        </w:tc>
        <w:tc>
          <w:tcPr>
            <w:tcW w:w="4111" w:type="dxa"/>
            <w:tcBorders>
              <w:top w:val="single" w:sz="6" w:space="0" w:color="BFBFBF"/>
              <w:left w:val="single" w:sz="6" w:space="0" w:color="BFBFBF"/>
              <w:bottom w:val="single" w:sz="6" w:space="0" w:color="BFBFBF"/>
            </w:tcBorders>
            <w:tcMar>
              <w:top w:w="8" w:type="dxa"/>
              <w:left w:w="108" w:type="dxa"/>
              <w:bottom w:w="8" w:type="dxa"/>
              <w:right w:w="108" w:type="dxa"/>
            </w:tcMar>
          </w:tcPr>
          <w:p w14:paraId="12DCAF90" w14:textId="77777777" w:rsidR="00BE2CA7" w:rsidRPr="00CC5187" w:rsidRDefault="00BE2CA7" w:rsidP="002B0590">
            <w:pPr>
              <w:jc w:val="both"/>
              <w:rPr>
                <w:sz w:val="18"/>
                <w:szCs w:val="18"/>
                <w:lang w:eastAsia="fr-FR"/>
              </w:rPr>
            </w:pPr>
          </w:p>
        </w:tc>
      </w:tr>
      <w:tr w:rsidR="00BE2CA7" w:rsidRPr="00CC5187" w14:paraId="4305D335" w14:textId="77777777" w:rsidTr="002B0590">
        <w:trPr>
          <w:trHeight w:val="283"/>
        </w:trPr>
        <w:tc>
          <w:tcPr>
            <w:tcW w:w="3865" w:type="dxa"/>
            <w:tcBorders>
              <w:top w:val="single" w:sz="6" w:space="0" w:color="BFBFBF"/>
              <w:right w:val="single" w:sz="6" w:space="0" w:color="BFBFBF"/>
            </w:tcBorders>
            <w:tcMar>
              <w:top w:w="8" w:type="dxa"/>
              <w:left w:w="108" w:type="dxa"/>
              <w:bottom w:w="8" w:type="dxa"/>
              <w:right w:w="108" w:type="dxa"/>
            </w:tcMar>
            <w:hideMark/>
          </w:tcPr>
          <w:p w14:paraId="5DA0C686" w14:textId="77777777" w:rsidR="00BE2CA7" w:rsidRPr="00CC5187" w:rsidRDefault="00BE2CA7" w:rsidP="002B0590">
            <w:pPr>
              <w:jc w:val="both"/>
              <w:rPr>
                <w:sz w:val="18"/>
                <w:szCs w:val="18"/>
                <w:lang w:eastAsia="fr-FR"/>
              </w:rPr>
            </w:pPr>
            <w:r>
              <w:rPr>
                <w:sz w:val="18"/>
                <w:szCs w:val="18"/>
                <w:lang w:eastAsia="fr-FR"/>
              </w:rPr>
              <w:t>Roues motrices</w:t>
            </w:r>
          </w:p>
        </w:tc>
        <w:tc>
          <w:tcPr>
            <w:tcW w:w="354" w:type="dxa"/>
            <w:tcBorders>
              <w:top w:val="single" w:sz="6" w:space="0" w:color="BFBFBF"/>
              <w:left w:val="single" w:sz="6" w:space="0" w:color="BFBFBF"/>
              <w:right w:val="single" w:sz="6" w:space="0" w:color="BFBFBF"/>
            </w:tcBorders>
            <w:tcMar>
              <w:top w:w="8" w:type="dxa"/>
              <w:left w:w="108" w:type="dxa"/>
              <w:bottom w:w="8" w:type="dxa"/>
              <w:right w:w="108" w:type="dxa"/>
            </w:tcMar>
            <w:hideMark/>
          </w:tcPr>
          <w:p w14:paraId="7BECE847" w14:textId="77777777" w:rsidR="00BE2CA7" w:rsidRPr="00CC5187" w:rsidRDefault="00BE2CA7" w:rsidP="002B0590">
            <w:pPr>
              <w:jc w:val="both"/>
              <w:rPr>
                <w:sz w:val="18"/>
                <w:szCs w:val="18"/>
                <w:lang w:eastAsia="fr-FR"/>
              </w:rPr>
            </w:pPr>
            <w:r w:rsidRPr="00CC5187">
              <w:rPr>
                <w:b/>
                <w:bCs/>
                <w:caps/>
                <w:sz w:val="18"/>
                <w:szCs w:val="18"/>
                <w:lang w:eastAsia="fr-FR"/>
              </w:rPr>
              <w:t>:</w:t>
            </w:r>
          </w:p>
        </w:tc>
        <w:tc>
          <w:tcPr>
            <w:tcW w:w="4111" w:type="dxa"/>
            <w:tcBorders>
              <w:top w:val="single" w:sz="6" w:space="0" w:color="BFBFBF"/>
              <w:left w:val="single" w:sz="6" w:space="0" w:color="BFBFBF"/>
            </w:tcBorders>
            <w:tcMar>
              <w:top w:w="8" w:type="dxa"/>
              <w:left w:w="108" w:type="dxa"/>
              <w:bottom w:w="8" w:type="dxa"/>
              <w:right w:w="108" w:type="dxa"/>
            </w:tcMar>
            <w:hideMark/>
          </w:tcPr>
          <w:p w14:paraId="4A97F7AF" w14:textId="77777777" w:rsidR="00BE2CA7" w:rsidRPr="00CC5187" w:rsidRDefault="00BE2CA7" w:rsidP="002B0590">
            <w:pPr>
              <w:jc w:val="both"/>
              <w:rPr>
                <w:sz w:val="18"/>
                <w:szCs w:val="18"/>
                <w:lang w:eastAsia="fr-FR"/>
              </w:rPr>
            </w:pPr>
          </w:p>
        </w:tc>
      </w:tr>
    </w:tbl>
    <w:p w14:paraId="518481E7" w14:textId="77777777" w:rsidR="00BE2CA7" w:rsidRPr="00CC5187" w:rsidRDefault="00BE2CA7" w:rsidP="00BE2CA7">
      <w:pPr>
        <w:pStyle w:val="SingleTxtG"/>
        <w:spacing w:before="240"/>
        <w:rPr>
          <w:b/>
          <w:bCs/>
          <w:lang w:eastAsia="fr-FR"/>
        </w:rPr>
      </w:pPr>
      <w:r w:rsidRPr="00CC5187">
        <w:rPr>
          <w:b/>
          <w:bCs/>
          <w:lang w:eastAsia="fr-FR"/>
        </w:rPr>
        <w:t>1.1.1</w:t>
      </w:r>
      <w:r w:rsidRPr="00CC5187">
        <w:rPr>
          <w:b/>
          <w:bCs/>
          <w:lang w:eastAsia="fr-FR"/>
        </w:rPr>
        <w:tab/>
      </w:r>
      <w:r w:rsidRPr="000D003A">
        <w:rPr>
          <w:b/>
          <w:bCs/>
          <w:lang w:eastAsia="fr-FR"/>
        </w:rPr>
        <w:t>Architecture du groupe motopropulseur</w:t>
      </w:r>
    </w:p>
    <w:tbl>
      <w:tblPr>
        <w:tblW w:w="0" w:type="auto"/>
        <w:tblInd w:w="1134" w:type="dxa"/>
        <w:tblBorders>
          <w:top w:val="single" w:sz="6" w:space="0" w:color="BFBFBF"/>
          <w:left w:val="single" w:sz="6" w:space="0" w:color="BFBFBF"/>
          <w:bottom w:val="single" w:sz="6" w:space="0" w:color="BFBFBF"/>
          <w:right w:val="single" w:sz="6" w:space="0" w:color="BFBFBF"/>
        </w:tblBorders>
        <w:tblCellMar>
          <w:left w:w="0" w:type="dxa"/>
          <w:right w:w="0" w:type="dxa"/>
        </w:tblCellMar>
        <w:tblLook w:val="04A0" w:firstRow="1" w:lastRow="0" w:firstColumn="1" w:lastColumn="0" w:noHBand="0" w:noVBand="1"/>
      </w:tblPr>
      <w:tblGrid>
        <w:gridCol w:w="3865"/>
        <w:gridCol w:w="369"/>
        <w:gridCol w:w="4096"/>
      </w:tblGrid>
      <w:tr w:rsidR="00BE2CA7" w:rsidRPr="00CC5187" w14:paraId="7CEE9F25" w14:textId="77777777" w:rsidTr="002B0590">
        <w:trPr>
          <w:trHeight w:val="283"/>
        </w:trPr>
        <w:tc>
          <w:tcPr>
            <w:tcW w:w="3865" w:type="dxa"/>
            <w:tcBorders>
              <w:right w:val="single" w:sz="6" w:space="0" w:color="BFBFBF"/>
            </w:tcBorders>
            <w:tcMar>
              <w:top w:w="8" w:type="dxa"/>
              <w:left w:w="108" w:type="dxa"/>
              <w:bottom w:w="8" w:type="dxa"/>
              <w:right w:w="108" w:type="dxa"/>
            </w:tcMar>
            <w:hideMark/>
          </w:tcPr>
          <w:p w14:paraId="6378591A" w14:textId="77777777" w:rsidR="00BE2CA7" w:rsidRPr="00CC5187" w:rsidRDefault="00BE2CA7" w:rsidP="002B0590">
            <w:pPr>
              <w:keepNext/>
              <w:keepLines/>
              <w:jc w:val="both"/>
              <w:rPr>
                <w:sz w:val="18"/>
                <w:szCs w:val="18"/>
                <w:lang w:eastAsia="fr-FR"/>
              </w:rPr>
            </w:pPr>
            <w:r w:rsidRPr="000D003A">
              <w:rPr>
                <w:sz w:val="18"/>
                <w:szCs w:val="18"/>
                <w:lang w:eastAsia="fr-FR"/>
              </w:rPr>
              <w:t>Architecture du groupe motopropulseur</w:t>
            </w:r>
          </w:p>
        </w:tc>
        <w:tc>
          <w:tcPr>
            <w:tcW w:w="369" w:type="dxa"/>
            <w:tcBorders>
              <w:left w:val="single" w:sz="6" w:space="0" w:color="BFBFBF"/>
              <w:right w:val="single" w:sz="6" w:space="0" w:color="BFBFBF"/>
            </w:tcBorders>
            <w:tcMar>
              <w:top w:w="8" w:type="dxa"/>
              <w:left w:w="108" w:type="dxa"/>
              <w:bottom w:w="8" w:type="dxa"/>
              <w:right w:w="108" w:type="dxa"/>
            </w:tcMar>
            <w:hideMark/>
          </w:tcPr>
          <w:p w14:paraId="1AFF20A6" w14:textId="77777777" w:rsidR="00BE2CA7" w:rsidRPr="00CC5187" w:rsidRDefault="00BE2CA7" w:rsidP="002B0590">
            <w:pPr>
              <w:keepNext/>
              <w:keepLines/>
              <w:jc w:val="both"/>
              <w:rPr>
                <w:sz w:val="18"/>
                <w:szCs w:val="18"/>
                <w:lang w:eastAsia="fr-FR"/>
              </w:rPr>
            </w:pPr>
            <w:r w:rsidRPr="00CC5187">
              <w:rPr>
                <w:b/>
                <w:bCs/>
                <w:caps/>
                <w:sz w:val="18"/>
                <w:szCs w:val="18"/>
                <w:lang w:eastAsia="fr-FR"/>
              </w:rPr>
              <w:t>:</w:t>
            </w:r>
          </w:p>
        </w:tc>
        <w:tc>
          <w:tcPr>
            <w:tcW w:w="4096" w:type="dxa"/>
            <w:tcBorders>
              <w:left w:val="single" w:sz="6" w:space="0" w:color="BFBFBF"/>
            </w:tcBorders>
            <w:tcMar>
              <w:top w:w="8" w:type="dxa"/>
              <w:left w:w="108" w:type="dxa"/>
              <w:bottom w:w="8" w:type="dxa"/>
              <w:right w:w="108" w:type="dxa"/>
            </w:tcMar>
            <w:hideMark/>
          </w:tcPr>
          <w:p w14:paraId="489450DA" w14:textId="77777777" w:rsidR="00BE2CA7" w:rsidRPr="00CC5187" w:rsidRDefault="00BE2CA7" w:rsidP="002B0590">
            <w:pPr>
              <w:keepNext/>
              <w:keepLines/>
              <w:jc w:val="both"/>
              <w:rPr>
                <w:sz w:val="18"/>
                <w:szCs w:val="18"/>
                <w:lang w:eastAsia="fr-FR"/>
              </w:rPr>
            </w:pPr>
            <w:r w:rsidRPr="00552CDE">
              <w:rPr>
                <w:sz w:val="18"/>
                <w:szCs w:val="18"/>
                <w:lang w:eastAsia="fr-FR"/>
              </w:rPr>
              <w:t>moteur à combustion interne uniquement</w:t>
            </w:r>
            <w:r>
              <w:rPr>
                <w:sz w:val="18"/>
                <w:szCs w:val="18"/>
                <w:lang w:eastAsia="fr-FR"/>
              </w:rPr>
              <w:t xml:space="preserve"> ou</w:t>
            </w:r>
            <w:r w:rsidRPr="00552CDE">
              <w:rPr>
                <w:sz w:val="18"/>
                <w:szCs w:val="18"/>
                <w:lang w:eastAsia="fr-FR"/>
              </w:rPr>
              <w:t xml:space="preserve"> hybride</w:t>
            </w:r>
          </w:p>
        </w:tc>
      </w:tr>
    </w:tbl>
    <w:p w14:paraId="695C5A7B" w14:textId="77777777" w:rsidR="00BE2CA7" w:rsidRPr="00CC5187" w:rsidRDefault="00BE2CA7" w:rsidP="00BE2CA7">
      <w:pPr>
        <w:pStyle w:val="SingleTxtG"/>
        <w:spacing w:before="240"/>
        <w:rPr>
          <w:lang w:eastAsia="fr-FR"/>
        </w:rPr>
      </w:pPr>
      <w:r w:rsidRPr="00CC5187">
        <w:rPr>
          <w:b/>
          <w:bCs/>
          <w:lang w:eastAsia="fr-FR"/>
        </w:rPr>
        <w:t xml:space="preserve">1.1.2 </w:t>
      </w:r>
      <w:r w:rsidRPr="00CC5187">
        <w:rPr>
          <w:b/>
          <w:bCs/>
          <w:lang w:eastAsia="fr-FR"/>
        </w:rPr>
        <w:tab/>
      </w:r>
      <w:r w:rsidRPr="00552CDE">
        <w:rPr>
          <w:b/>
          <w:bCs/>
          <w:lang w:eastAsia="fr-FR"/>
        </w:rPr>
        <w:t>Moteur à combustion interne</w:t>
      </w:r>
    </w:p>
    <w:p w14:paraId="17080D42" w14:textId="77777777" w:rsidR="00BE2CA7" w:rsidRPr="00A318C3" w:rsidRDefault="00BE2CA7" w:rsidP="00BE2CA7">
      <w:pPr>
        <w:pStyle w:val="SingleTxtG"/>
        <w:ind w:firstLine="567"/>
        <w:rPr>
          <w:lang w:val="fr-FR" w:eastAsia="fr-FR"/>
        </w:rPr>
      </w:pPr>
      <w:r w:rsidRPr="00A318C3">
        <w:rPr>
          <w:lang w:val="fr-FR" w:eastAsia="fr-FR"/>
        </w:rPr>
        <w:t>Si le véhicule est équipé de plusieurs moteurs à combustion interne, veuillez fournir les informations ci-après pour chacun d</w:t>
      </w:r>
      <w:r>
        <w:rPr>
          <w:lang w:val="fr-FR" w:eastAsia="fr-FR"/>
        </w:rPr>
        <w:t>’</w:t>
      </w:r>
      <w:r w:rsidRPr="00A318C3">
        <w:rPr>
          <w:lang w:val="fr-FR" w:eastAsia="fr-FR"/>
        </w:rPr>
        <w:t>entre eux.</w:t>
      </w:r>
    </w:p>
    <w:tbl>
      <w:tblPr>
        <w:tblW w:w="0" w:type="auto"/>
        <w:tblInd w:w="1134" w:type="dxa"/>
        <w:tblLayout w:type="fixed"/>
        <w:tblCellMar>
          <w:left w:w="0" w:type="dxa"/>
          <w:right w:w="0" w:type="dxa"/>
        </w:tblCellMar>
        <w:tblLook w:val="04A0" w:firstRow="1" w:lastRow="0" w:firstColumn="1" w:lastColumn="0" w:noHBand="0" w:noVBand="1"/>
      </w:tblPr>
      <w:tblGrid>
        <w:gridCol w:w="3440"/>
        <w:gridCol w:w="327"/>
        <w:gridCol w:w="570"/>
        <w:gridCol w:w="712"/>
        <w:gridCol w:w="996"/>
        <w:gridCol w:w="996"/>
        <w:gridCol w:w="1338"/>
      </w:tblGrid>
      <w:tr w:rsidR="00BE2CA7" w:rsidRPr="00CC5187" w14:paraId="40761258" w14:textId="77777777" w:rsidTr="002B0590">
        <w:trPr>
          <w:trHeight w:val="283"/>
        </w:trPr>
        <w:tc>
          <w:tcPr>
            <w:tcW w:w="344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2AF15806" w14:textId="77777777" w:rsidR="00BE2CA7" w:rsidRPr="00CC5187" w:rsidRDefault="00BE2CA7" w:rsidP="002B0590">
            <w:pPr>
              <w:jc w:val="both"/>
              <w:rPr>
                <w:sz w:val="18"/>
                <w:szCs w:val="18"/>
                <w:lang w:eastAsia="fr-FR"/>
              </w:rPr>
            </w:pPr>
            <w:r w:rsidRPr="00CC5187">
              <w:rPr>
                <w:sz w:val="18"/>
                <w:szCs w:val="18"/>
                <w:lang w:eastAsia="fr-FR"/>
              </w:rPr>
              <w:t>Ma</w:t>
            </w:r>
            <w:r>
              <w:rPr>
                <w:sz w:val="18"/>
                <w:szCs w:val="18"/>
                <w:lang w:eastAsia="fr-FR"/>
              </w:rPr>
              <w:t>rque</w:t>
            </w:r>
          </w:p>
        </w:tc>
        <w:tc>
          <w:tcPr>
            <w:tcW w:w="322"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07CA96C1" w14:textId="77777777" w:rsidR="00BE2CA7" w:rsidRPr="00CC5187" w:rsidRDefault="00BE2CA7" w:rsidP="002B0590">
            <w:pPr>
              <w:jc w:val="both"/>
              <w:rPr>
                <w:sz w:val="18"/>
                <w:szCs w:val="18"/>
                <w:lang w:eastAsia="fr-FR"/>
              </w:rPr>
            </w:pPr>
            <w:r w:rsidRPr="00CC5187">
              <w:rPr>
                <w:b/>
                <w:bCs/>
                <w:caps/>
                <w:sz w:val="18"/>
                <w:szCs w:val="18"/>
                <w:lang w:eastAsia="fr-FR"/>
              </w:rPr>
              <w:t>:</w:t>
            </w:r>
          </w:p>
        </w:tc>
        <w:tc>
          <w:tcPr>
            <w:tcW w:w="4611" w:type="dxa"/>
            <w:gridSpan w:val="5"/>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020622EA" w14:textId="77777777" w:rsidR="00BE2CA7" w:rsidRPr="00CC5187" w:rsidRDefault="00BE2CA7" w:rsidP="002B0590">
            <w:pPr>
              <w:jc w:val="both"/>
              <w:rPr>
                <w:sz w:val="18"/>
                <w:szCs w:val="18"/>
                <w:lang w:eastAsia="fr-FR"/>
              </w:rPr>
            </w:pPr>
          </w:p>
        </w:tc>
      </w:tr>
      <w:tr w:rsidR="00BE2CA7" w:rsidRPr="00CC5187" w14:paraId="012FC898" w14:textId="77777777" w:rsidTr="002B0590">
        <w:trPr>
          <w:trHeight w:val="283"/>
        </w:trPr>
        <w:tc>
          <w:tcPr>
            <w:tcW w:w="344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0CAAA1AD" w14:textId="77777777" w:rsidR="00BE2CA7" w:rsidRPr="00CC5187" w:rsidRDefault="00BE2CA7" w:rsidP="002B0590">
            <w:pPr>
              <w:jc w:val="both"/>
              <w:rPr>
                <w:sz w:val="18"/>
                <w:szCs w:val="18"/>
                <w:lang w:eastAsia="fr-FR"/>
              </w:rPr>
            </w:pPr>
            <w:r w:rsidRPr="00CC5187">
              <w:rPr>
                <w:sz w:val="18"/>
                <w:szCs w:val="18"/>
                <w:lang w:eastAsia="fr-FR"/>
              </w:rPr>
              <w:t>Type</w:t>
            </w:r>
          </w:p>
        </w:tc>
        <w:tc>
          <w:tcPr>
            <w:tcW w:w="322"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09091CF4" w14:textId="77777777" w:rsidR="00BE2CA7" w:rsidRPr="00CC5187" w:rsidRDefault="00BE2CA7" w:rsidP="002B0590">
            <w:pPr>
              <w:jc w:val="both"/>
              <w:rPr>
                <w:sz w:val="18"/>
                <w:szCs w:val="18"/>
                <w:lang w:eastAsia="fr-FR"/>
              </w:rPr>
            </w:pPr>
            <w:r w:rsidRPr="00CC5187">
              <w:rPr>
                <w:b/>
                <w:bCs/>
                <w:caps/>
                <w:sz w:val="18"/>
                <w:szCs w:val="18"/>
                <w:lang w:eastAsia="fr-FR"/>
              </w:rPr>
              <w:t>:</w:t>
            </w:r>
          </w:p>
        </w:tc>
        <w:tc>
          <w:tcPr>
            <w:tcW w:w="4611" w:type="dxa"/>
            <w:gridSpan w:val="5"/>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3DA86B79" w14:textId="77777777" w:rsidR="00BE2CA7" w:rsidRPr="00CC5187" w:rsidRDefault="00BE2CA7" w:rsidP="002B0590">
            <w:pPr>
              <w:jc w:val="both"/>
              <w:rPr>
                <w:sz w:val="18"/>
                <w:szCs w:val="18"/>
                <w:lang w:eastAsia="fr-FR"/>
              </w:rPr>
            </w:pPr>
          </w:p>
        </w:tc>
      </w:tr>
      <w:tr w:rsidR="00BE2CA7" w:rsidRPr="00CC5187" w14:paraId="6FFAD0BA" w14:textId="77777777" w:rsidTr="002B0590">
        <w:trPr>
          <w:trHeight w:val="283"/>
        </w:trPr>
        <w:tc>
          <w:tcPr>
            <w:tcW w:w="344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212F1536" w14:textId="77777777" w:rsidR="00BE2CA7" w:rsidRPr="00CC5187" w:rsidRDefault="00BE2CA7" w:rsidP="002B0590">
            <w:pPr>
              <w:jc w:val="both"/>
              <w:rPr>
                <w:sz w:val="18"/>
                <w:szCs w:val="18"/>
                <w:lang w:eastAsia="fr-FR"/>
              </w:rPr>
            </w:pPr>
            <w:r>
              <w:rPr>
                <w:sz w:val="18"/>
                <w:szCs w:val="18"/>
                <w:lang w:eastAsia="fr-FR"/>
              </w:rPr>
              <w:t>Principe de fonctionnement</w:t>
            </w:r>
          </w:p>
        </w:tc>
        <w:tc>
          <w:tcPr>
            <w:tcW w:w="322"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264D6F9E" w14:textId="77777777" w:rsidR="00BE2CA7" w:rsidRPr="00CC5187" w:rsidRDefault="00BE2CA7" w:rsidP="002B0590">
            <w:pPr>
              <w:jc w:val="both"/>
              <w:rPr>
                <w:sz w:val="18"/>
                <w:szCs w:val="18"/>
                <w:lang w:eastAsia="fr-FR"/>
              </w:rPr>
            </w:pPr>
            <w:r w:rsidRPr="00CC5187">
              <w:rPr>
                <w:b/>
                <w:bCs/>
                <w:caps/>
                <w:sz w:val="18"/>
                <w:szCs w:val="18"/>
                <w:lang w:eastAsia="fr-FR"/>
              </w:rPr>
              <w:t>:</w:t>
            </w:r>
          </w:p>
        </w:tc>
        <w:tc>
          <w:tcPr>
            <w:tcW w:w="4611" w:type="dxa"/>
            <w:gridSpan w:val="5"/>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03BFCBD1" w14:textId="77777777" w:rsidR="00BE2CA7" w:rsidRPr="00CC5187" w:rsidRDefault="00BE2CA7" w:rsidP="002B0590">
            <w:pPr>
              <w:jc w:val="both"/>
              <w:rPr>
                <w:sz w:val="18"/>
                <w:szCs w:val="18"/>
                <w:lang w:eastAsia="fr-FR"/>
              </w:rPr>
            </w:pPr>
            <w:r w:rsidRPr="00181586">
              <w:rPr>
                <w:sz w:val="18"/>
                <w:szCs w:val="18"/>
                <w:lang w:eastAsia="fr-FR"/>
              </w:rPr>
              <w:t>deux/quatre temps</w:t>
            </w:r>
          </w:p>
        </w:tc>
      </w:tr>
      <w:tr w:rsidR="00BE2CA7" w:rsidRPr="00CC5187" w14:paraId="41381AD3" w14:textId="77777777" w:rsidTr="002B0590">
        <w:trPr>
          <w:trHeight w:val="283"/>
        </w:trPr>
        <w:tc>
          <w:tcPr>
            <w:tcW w:w="344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04264FD2" w14:textId="77777777" w:rsidR="00BE2CA7" w:rsidRPr="00CC5187" w:rsidRDefault="00BE2CA7" w:rsidP="002B0590">
            <w:pPr>
              <w:jc w:val="both"/>
              <w:rPr>
                <w:sz w:val="18"/>
                <w:szCs w:val="18"/>
                <w:lang w:eastAsia="fr-FR"/>
              </w:rPr>
            </w:pPr>
            <w:r w:rsidRPr="009D02B7">
              <w:rPr>
                <w:sz w:val="18"/>
                <w:szCs w:val="18"/>
                <w:lang w:eastAsia="fr-FR"/>
              </w:rPr>
              <w:t>Nombre et disposition des cylindres</w:t>
            </w:r>
          </w:p>
        </w:tc>
        <w:tc>
          <w:tcPr>
            <w:tcW w:w="322"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4CD0D7DF" w14:textId="77777777" w:rsidR="00BE2CA7" w:rsidRPr="00CC5187" w:rsidRDefault="00BE2CA7" w:rsidP="002B0590">
            <w:pPr>
              <w:jc w:val="both"/>
              <w:rPr>
                <w:sz w:val="18"/>
                <w:szCs w:val="18"/>
                <w:lang w:eastAsia="fr-FR"/>
              </w:rPr>
            </w:pPr>
            <w:r w:rsidRPr="00CC5187">
              <w:rPr>
                <w:b/>
                <w:bCs/>
                <w:caps/>
                <w:sz w:val="18"/>
                <w:szCs w:val="18"/>
                <w:lang w:eastAsia="fr-FR"/>
              </w:rPr>
              <w:t>:</w:t>
            </w:r>
          </w:p>
        </w:tc>
        <w:tc>
          <w:tcPr>
            <w:tcW w:w="4611" w:type="dxa"/>
            <w:gridSpan w:val="5"/>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02F662C7" w14:textId="77777777" w:rsidR="00BE2CA7" w:rsidRPr="00CC5187" w:rsidRDefault="00BE2CA7" w:rsidP="002B0590">
            <w:pPr>
              <w:jc w:val="both"/>
              <w:rPr>
                <w:sz w:val="18"/>
                <w:szCs w:val="18"/>
                <w:lang w:eastAsia="fr-FR"/>
              </w:rPr>
            </w:pPr>
          </w:p>
        </w:tc>
      </w:tr>
      <w:tr w:rsidR="00BE2CA7" w:rsidRPr="00CC5187" w14:paraId="5007F79C" w14:textId="77777777" w:rsidTr="002B0590">
        <w:trPr>
          <w:trHeight w:val="283"/>
        </w:trPr>
        <w:tc>
          <w:tcPr>
            <w:tcW w:w="344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2069E2C7" w14:textId="77777777" w:rsidR="00BE2CA7" w:rsidRPr="00CC5187" w:rsidRDefault="00BE2CA7" w:rsidP="002B0590">
            <w:pPr>
              <w:jc w:val="both"/>
              <w:rPr>
                <w:sz w:val="18"/>
                <w:szCs w:val="18"/>
                <w:lang w:eastAsia="fr-FR"/>
              </w:rPr>
            </w:pPr>
            <w:r>
              <w:rPr>
                <w:sz w:val="18"/>
                <w:szCs w:val="18"/>
                <w:lang w:eastAsia="fr-FR"/>
              </w:rPr>
              <w:t>Cylindrée théorique</w:t>
            </w:r>
            <w:r w:rsidRPr="00CC5187">
              <w:rPr>
                <w:sz w:val="18"/>
                <w:szCs w:val="18"/>
                <w:lang w:eastAsia="fr-FR"/>
              </w:rPr>
              <w:t xml:space="preserve"> (cm</w:t>
            </w:r>
            <w:r w:rsidRPr="00CC5187">
              <w:rPr>
                <w:sz w:val="18"/>
                <w:szCs w:val="18"/>
                <w:vertAlign w:val="superscript"/>
                <w:lang w:eastAsia="fr-FR"/>
              </w:rPr>
              <w:t>3</w:t>
            </w:r>
            <w:r w:rsidRPr="00CC5187">
              <w:rPr>
                <w:sz w:val="18"/>
                <w:szCs w:val="18"/>
                <w:lang w:eastAsia="fr-FR"/>
              </w:rPr>
              <w:t>)</w:t>
            </w:r>
          </w:p>
        </w:tc>
        <w:tc>
          <w:tcPr>
            <w:tcW w:w="322"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192DB9C6" w14:textId="77777777" w:rsidR="00BE2CA7" w:rsidRPr="00CC5187" w:rsidRDefault="00BE2CA7" w:rsidP="002B0590">
            <w:pPr>
              <w:jc w:val="both"/>
              <w:rPr>
                <w:sz w:val="18"/>
                <w:szCs w:val="18"/>
                <w:lang w:eastAsia="fr-FR"/>
              </w:rPr>
            </w:pPr>
            <w:r w:rsidRPr="00CC5187">
              <w:rPr>
                <w:b/>
                <w:bCs/>
                <w:caps/>
                <w:sz w:val="18"/>
                <w:szCs w:val="18"/>
                <w:lang w:eastAsia="fr-FR"/>
              </w:rPr>
              <w:t>:</w:t>
            </w:r>
          </w:p>
        </w:tc>
        <w:tc>
          <w:tcPr>
            <w:tcW w:w="4611" w:type="dxa"/>
            <w:gridSpan w:val="5"/>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0A3C8D5E" w14:textId="77777777" w:rsidR="00BE2CA7" w:rsidRPr="00CC5187" w:rsidRDefault="00BE2CA7" w:rsidP="002B0590">
            <w:pPr>
              <w:jc w:val="both"/>
              <w:rPr>
                <w:sz w:val="18"/>
                <w:szCs w:val="18"/>
                <w:lang w:eastAsia="fr-FR"/>
              </w:rPr>
            </w:pPr>
          </w:p>
        </w:tc>
      </w:tr>
      <w:tr w:rsidR="00BE2CA7" w:rsidRPr="00CC5187" w14:paraId="2EF2F32B" w14:textId="77777777" w:rsidTr="002B0590">
        <w:trPr>
          <w:trHeight w:val="283"/>
        </w:trPr>
        <w:tc>
          <w:tcPr>
            <w:tcW w:w="344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5CB2F8CE" w14:textId="77777777" w:rsidR="00BE2CA7" w:rsidRPr="00CC5187" w:rsidRDefault="00BE2CA7" w:rsidP="002B0590">
            <w:pPr>
              <w:jc w:val="both"/>
              <w:rPr>
                <w:sz w:val="18"/>
                <w:szCs w:val="18"/>
                <w:lang w:eastAsia="fr-FR"/>
              </w:rPr>
            </w:pPr>
            <w:r w:rsidRPr="00A7122D">
              <w:rPr>
                <w:sz w:val="18"/>
                <w:szCs w:val="18"/>
                <w:lang w:eastAsia="fr-FR"/>
              </w:rPr>
              <w:t>Régime d</w:t>
            </w:r>
            <w:r>
              <w:rPr>
                <w:sz w:val="18"/>
                <w:szCs w:val="18"/>
                <w:lang w:eastAsia="fr-FR"/>
              </w:rPr>
              <w:t>e</w:t>
            </w:r>
            <w:r w:rsidRPr="00A7122D">
              <w:rPr>
                <w:sz w:val="18"/>
                <w:szCs w:val="18"/>
                <w:lang w:eastAsia="fr-FR"/>
              </w:rPr>
              <w:t xml:space="preserve"> ralenti </w:t>
            </w:r>
            <w:r w:rsidRPr="00CC5187">
              <w:rPr>
                <w:sz w:val="18"/>
                <w:szCs w:val="18"/>
                <w:lang w:eastAsia="fr-FR"/>
              </w:rPr>
              <w:t>(min</w:t>
            </w:r>
            <w:r w:rsidRPr="00CC5187">
              <w:rPr>
                <w:sz w:val="18"/>
                <w:szCs w:val="18"/>
                <w:vertAlign w:val="superscript"/>
                <w:lang w:eastAsia="fr-FR"/>
              </w:rPr>
              <w:t>-1</w:t>
            </w:r>
            <w:r w:rsidRPr="00CC5187">
              <w:rPr>
                <w:sz w:val="18"/>
                <w:szCs w:val="18"/>
                <w:lang w:eastAsia="fr-FR"/>
              </w:rPr>
              <w:t>)</w:t>
            </w:r>
          </w:p>
        </w:tc>
        <w:tc>
          <w:tcPr>
            <w:tcW w:w="322"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58FFEE92" w14:textId="77777777" w:rsidR="00BE2CA7" w:rsidRPr="00CC5187" w:rsidRDefault="00BE2CA7" w:rsidP="002B0590">
            <w:pPr>
              <w:jc w:val="both"/>
              <w:rPr>
                <w:sz w:val="18"/>
                <w:szCs w:val="18"/>
                <w:lang w:eastAsia="fr-FR"/>
              </w:rPr>
            </w:pPr>
            <w:r w:rsidRPr="00CC5187">
              <w:rPr>
                <w:b/>
                <w:bCs/>
                <w:caps/>
                <w:sz w:val="18"/>
                <w:szCs w:val="18"/>
                <w:lang w:eastAsia="fr-FR"/>
              </w:rPr>
              <w:t>:</w:t>
            </w:r>
          </w:p>
        </w:tc>
        <w:tc>
          <w:tcPr>
            <w:tcW w:w="57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6D703AEB" w14:textId="77777777" w:rsidR="00BE2CA7" w:rsidRPr="00CC5187" w:rsidRDefault="00BE2CA7" w:rsidP="002B0590">
            <w:pPr>
              <w:jc w:val="both"/>
              <w:rPr>
                <w:sz w:val="18"/>
                <w:szCs w:val="18"/>
                <w:lang w:eastAsia="fr-FR"/>
              </w:rPr>
            </w:pPr>
          </w:p>
        </w:tc>
        <w:tc>
          <w:tcPr>
            <w:tcW w:w="4041" w:type="dxa"/>
            <w:gridSpan w:val="4"/>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05912816" w14:textId="77777777" w:rsidR="00BE2CA7" w:rsidRPr="00CC5187" w:rsidRDefault="00BE2CA7" w:rsidP="002B0590">
            <w:pPr>
              <w:jc w:val="both"/>
              <w:rPr>
                <w:sz w:val="18"/>
                <w:szCs w:val="18"/>
                <w:lang w:eastAsia="fr-FR"/>
              </w:rPr>
            </w:pPr>
            <w:r w:rsidRPr="00CC5187">
              <w:rPr>
                <w:sz w:val="18"/>
                <w:szCs w:val="18"/>
                <w:lang w:eastAsia="fr-FR"/>
              </w:rPr>
              <w:t xml:space="preserve">+ </w:t>
            </w:r>
          </w:p>
          <w:p w14:paraId="2CBB77E2" w14:textId="77777777" w:rsidR="00BE2CA7" w:rsidRPr="00CC5187" w:rsidRDefault="00BE2CA7" w:rsidP="002B0590">
            <w:pPr>
              <w:jc w:val="both"/>
              <w:rPr>
                <w:sz w:val="18"/>
                <w:szCs w:val="18"/>
                <w:lang w:eastAsia="fr-FR"/>
              </w:rPr>
            </w:pPr>
            <w:r w:rsidRPr="00CC5187">
              <w:rPr>
                <w:sz w:val="18"/>
                <w:szCs w:val="18"/>
                <w:lang w:eastAsia="fr-FR"/>
              </w:rPr>
              <w:t xml:space="preserve">- </w:t>
            </w:r>
          </w:p>
        </w:tc>
      </w:tr>
      <w:tr w:rsidR="00BE2CA7" w:rsidRPr="00CC5187" w14:paraId="5B63D23E" w14:textId="77777777" w:rsidTr="002B0590">
        <w:trPr>
          <w:trHeight w:val="283"/>
        </w:trPr>
        <w:tc>
          <w:tcPr>
            <w:tcW w:w="344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396778D6" w14:textId="77777777" w:rsidR="00BE2CA7" w:rsidRPr="00A318C3" w:rsidRDefault="00BE2CA7" w:rsidP="002B0590">
            <w:pPr>
              <w:jc w:val="both"/>
              <w:rPr>
                <w:sz w:val="18"/>
                <w:szCs w:val="18"/>
                <w:lang w:val="fr-FR" w:eastAsia="fr-FR"/>
              </w:rPr>
            </w:pPr>
            <w:r w:rsidRPr="00A318C3">
              <w:rPr>
                <w:sz w:val="18"/>
                <w:szCs w:val="18"/>
                <w:lang w:val="fr-FR" w:eastAsia="fr-FR"/>
              </w:rPr>
              <w:t>Régime de ralenti accéléré (min</w:t>
            </w:r>
            <w:r w:rsidRPr="00A318C3">
              <w:rPr>
                <w:sz w:val="18"/>
                <w:szCs w:val="18"/>
                <w:vertAlign w:val="superscript"/>
                <w:lang w:val="fr-FR" w:eastAsia="fr-FR"/>
              </w:rPr>
              <w:t>-1</w:t>
            </w:r>
            <w:r w:rsidRPr="00A318C3">
              <w:rPr>
                <w:sz w:val="18"/>
                <w:szCs w:val="18"/>
                <w:lang w:val="fr-FR" w:eastAsia="fr-FR"/>
              </w:rPr>
              <w:t>) (a)</w:t>
            </w:r>
          </w:p>
        </w:tc>
        <w:tc>
          <w:tcPr>
            <w:tcW w:w="322"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519376C5" w14:textId="77777777" w:rsidR="00BE2CA7" w:rsidRPr="00CC5187" w:rsidRDefault="00BE2CA7" w:rsidP="002B0590">
            <w:pPr>
              <w:jc w:val="both"/>
              <w:rPr>
                <w:sz w:val="18"/>
                <w:szCs w:val="18"/>
                <w:lang w:eastAsia="fr-FR"/>
              </w:rPr>
            </w:pPr>
            <w:r w:rsidRPr="00CC5187">
              <w:rPr>
                <w:b/>
                <w:bCs/>
                <w:caps/>
                <w:sz w:val="18"/>
                <w:szCs w:val="18"/>
                <w:lang w:eastAsia="fr-FR"/>
              </w:rPr>
              <w:t>:</w:t>
            </w:r>
          </w:p>
        </w:tc>
        <w:tc>
          <w:tcPr>
            <w:tcW w:w="57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214032EB" w14:textId="77777777" w:rsidR="00BE2CA7" w:rsidRPr="00CC5187" w:rsidRDefault="00BE2CA7" w:rsidP="002B0590">
            <w:pPr>
              <w:jc w:val="both"/>
              <w:rPr>
                <w:sz w:val="18"/>
                <w:szCs w:val="18"/>
                <w:lang w:eastAsia="fr-FR"/>
              </w:rPr>
            </w:pPr>
          </w:p>
        </w:tc>
        <w:tc>
          <w:tcPr>
            <w:tcW w:w="4041" w:type="dxa"/>
            <w:gridSpan w:val="4"/>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36EE228F" w14:textId="77777777" w:rsidR="00BE2CA7" w:rsidRPr="00CC5187" w:rsidRDefault="00BE2CA7" w:rsidP="002B0590">
            <w:pPr>
              <w:jc w:val="both"/>
              <w:rPr>
                <w:sz w:val="18"/>
                <w:szCs w:val="18"/>
                <w:lang w:eastAsia="fr-FR"/>
              </w:rPr>
            </w:pPr>
            <w:r w:rsidRPr="00CC5187">
              <w:rPr>
                <w:sz w:val="18"/>
                <w:szCs w:val="18"/>
                <w:lang w:eastAsia="fr-FR"/>
              </w:rPr>
              <w:t xml:space="preserve">+ </w:t>
            </w:r>
          </w:p>
          <w:p w14:paraId="68B0A2D6" w14:textId="77777777" w:rsidR="00BE2CA7" w:rsidRPr="00CC5187" w:rsidRDefault="00BE2CA7" w:rsidP="002B0590">
            <w:pPr>
              <w:jc w:val="both"/>
              <w:rPr>
                <w:sz w:val="18"/>
                <w:szCs w:val="18"/>
                <w:lang w:eastAsia="fr-FR"/>
              </w:rPr>
            </w:pPr>
            <w:r w:rsidRPr="00CC5187">
              <w:rPr>
                <w:sz w:val="18"/>
                <w:szCs w:val="18"/>
                <w:lang w:eastAsia="fr-FR"/>
              </w:rPr>
              <w:t xml:space="preserve">- </w:t>
            </w:r>
          </w:p>
        </w:tc>
      </w:tr>
      <w:tr w:rsidR="00BE2CA7" w:rsidRPr="00CC5187" w14:paraId="67A072F6" w14:textId="77777777" w:rsidTr="002B0590">
        <w:trPr>
          <w:trHeight w:val="283"/>
        </w:trPr>
        <w:tc>
          <w:tcPr>
            <w:tcW w:w="344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1F8580F2" w14:textId="77777777" w:rsidR="00BE2CA7" w:rsidRPr="00CC5187" w:rsidRDefault="00BE2CA7" w:rsidP="002B0590">
            <w:pPr>
              <w:jc w:val="both"/>
              <w:rPr>
                <w:sz w:val="18"/>
                <w:szCs w:val="18"/>
                <w:lang w:eastAsia="fr-FR"/>
              </w:rPr>
            </w:pPr>
            <w:r w:rsidRPr="00197EC3">
              <w:rPr>
                <w:sz w:val="18"/>
                <w:szCs w:val="18"/>
                <w:lang w:eastAsia="fr-FR"/>
              </w:rPr>
              <w:t>Puissance nominale du moteur</w:t>
            </w:r>
          </w:p>
        </w:tc>
        <w:tc>
          <w:tcPr>
            <w:tcW w:w="327"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5FB09762" w14:textId="77777777" w:rsidR="00BE2CA7" w:rsidRPr="00CC5187" w:rsidRDefault="00BE2CA7" w:rsidP="002B0590">
            <w:pPr>
              <w:jc w:val="both"/>
              <w:rPr>
                <w:sz w:val="18"/>
                <w:szCs w:val="18"/>
                <w:lang w:eastAsia="fr-FR"/>
              </w:rPr>
            </w:pPr>
            <w:r w:rsidRPr="00CC5187">
              <w:rPr>
                <w:b/>
                <w:bCs/>
                <w:caps/>
                <w:sz w:val="18"/>
                <w:szCs w:val="18"/>
                <w:lang w:eastAsia="fr-FR"/>
              </w:rPr>
              <w:t>:</w:t>
            </w:r>
          </w:p>
        </w:tc>
        <w:tc>
          <w:tcPr>
            <w:tcW w:w="565"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14AC71C8" w14:textId="77777777" w:rsidR="00BE2CA7" w:rsidRPr="00CC5187" w:rsidRDefault="00BE2CA7" w:rsidP="002B0590">
            <w:pPr>
              <w:jc w:val="center"/>
              <w:rPr>
                <w:sz w:val="18"/>
                <w:szCs w:val="18"/>
                <w:lang w:eastAsia="fr-FR"/>
              </w:rPr>
            </w:pPr>
          </w:p>
        </w:tc>
        <w:tc>
          <w:tcPr>
            <w:tcW w:w="712"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3695BDB4" w14:textId="77777777" w:rsidR="00BE2CA7" w:rsidRPr="00CC5187" w:rsidRDefault="00BE2CA7" w:rsidP="002B0590">
            <w:pPr>
              <w:jc w:val="both"/>
              <w:rPr>
                <w:sz w:val="18"/>
                <w:szCs w:val="18"/>
                <w:lang w:eastAsia="fr-FR"/>
              </w:rPr>
            </w:pPr>
            <w:r w:rsidRPr="00CC5187">
              <w:rPr>
                <w:sz w:val="18"/>
                <w:szCs w:val="18"/>
                <w:lang w:eastAsia="fr-FR"/>
              </w:rPr>
              <w:t>kW</w:t>
            </w:r>
          </w:p>
        </w:tc>
        <w:tc>
          <w:tcPr>
            <w:tcW w:w="996"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299B7723" w14:textId="77777777" w:rsidR="00BE2CA7" w:rsidRPr="00CC5187" w:rsidRDefault="00BE2CA7" w:rsidP="002B0590">
            <w:pPr>
              <w:jc w:val="center"/>
              <w:rPr>
                <w:sz w:val="18"/>
                <w:szCs w:val="18"/>
                <w:lang w:eastAsia="fr-FR"/>
              </w:rPr>
            </w:pPr>
            <w:r>
              <w:rPr>
                <w:sz w:val="18"/>
                <w:szCs w:val="18"/>
                <w:lang w:eastAsia="fr-FR"/>
              </w:rPr>
              <w:t>à</w:t>
            </w:r>
          </w:p>
        </w:tc>
        <w:tc>
          <w:tcPr>
            <w:tcW w:w="996"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4C363DE6" w14:textId="77777777" w:rsidR="00BE2CA7" w:rsidRPr="00CC5187" w:rsidRDefault="00BE2CA7" w:rsidP="002B0590">
            <w:pPr>
              <w:ind w:right="34"/>
              <w:jc w:val="right"/>
              <w:rPr>
                <w:sz w:val="18"/>
                <w:szCs w:val="18"/>
                <w:lang w:eastAsia="fr-FR"/>
              </w:rPr>
            </w:pPr>
          </w:p>
        </w:tc>
        <w:tc>
          <w:tcPr>
            <w:tcW w:w="1338"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57F185A2" w14:textId="77777777" w:rsidR="00BE2CA7" w:rsidRPr="00CC5187" w:rsidRDefault="00BE2CA7" w:rsidP="002B0590">
            <w:pPr>
              <w:jc w:val="both"/>
              <w:rPr>
                <w:sz w:val="18"/>
                <w:szCs w:val="18"/>
                <w:lang w:eastAsia="fr-FR"/>
              </w:rPr>
            </w:pPr>
            <w:r>
              <w:rPr>
                <w:sz w:val="18"/>
                <w:szCs w:val="18"/>
                <w:lang w:eastAsia="fr-FR"/>
              </w:rPr>
              <w:t>tr/min</w:t>
            </w:r>
          </w:p>
        </w:tc>
      </w:tr>
      <w:tr w:rsidR="00BE2CA7" w:rsidRPr="00CC5187" w14:paraId="0D93DF62" w14:textId="77777777" w:rsidTr="002B0590">
        <w:trPr>
          <w:trHeight w:val="283"/>
        </w:trPr>
        <w:tc>
          <w:tcPr>
            <w:tcW w:w="344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116742C7" w14:textId="77777777" w:rsidR="00BE2CA7" w:rsidRPr="00CC5187" w:rsidRDefault="00BE2CA7" w:rsidP="002B0590">
            <w:pPr>
              <w:jc w:val="both"/>
              <w:rPr>
                <w:sz w:val="18"/>
                <w:szCs w:val="18"/>
                <w:lang w:eastAsia="fr-FR"/>
              </w:rPr>
            </w:pPr>
            <w:r w:rsidRPr="00197EC3">
              <w:rPr>
                <w:sz w:val="18"/>
                <w:szCs w:val="18"/>
                <w:lang w:eastAsia="fr-FR"/>
              </w:rPr>
              <w:t>Couple net maximal</w:t>
            </w:r>
          </w:p>
        </w:tc>
        <w:tc>
          <w:tcPr>
            <w:tcW w:w="327"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417985FD" w14:textId="77777777" w:rsidR="00BE2CA7" w:rsidRPr="00CC5187" w:rsidRDefault="00BE2CA7" w:rsidP="002B0590">
            <w:pPr>
              <w:jc w:val="both"/>
              <w:rPr>
                <w:sz w:val="18"/>
                <w:szCs w:val="18"/>
                <w:lang w:eastAsia="fr-FR"/>
              </w:rPr>
            </w:pPr>
            <w:r w:rsidRPr="00CC5187">
              <w:rPr>
                <w:b/>
                <w:bCs/>
                <w:caps/>
                <w:sz w:val="18"/>
                <w:szCs w:val="18"/>
                <w:lang w:eastAsia="fr-FR"/>
              </w:rPr>
              <w:t>:</w:t>
            </w:r>
          </w:p>
        </w:tc>
        <w:tc>
          <w:tcPr>
            <w:tcW w:w="565"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6E160F80" w14:textId="77777777" w:rsidR="00BE2CA7" w:rsidRPr="00CC5187" w:rsidRDefault="00BE2CA7" w:rsidP="002B0590">
            <w:pPr>
              <w:jc w:val="center"/>
              <w:rPr>
                <w:sz w:val="18"/>
                <w:szCs w:val="18"/>
                <w:lang w:eastAsia="fr-FR"/>
              </w:rPr>
            </w:pPr>
          </w:p>
        </w:tc>
        <w:tc>
          <w:tcPr>
            <w:tcW w:w="712"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5F5DA479" w14:textId="77777777" w:rsidR="00BE2CA7" w:rsidRPr="00CC5187" w:rsidRDefault="00BE2CA7" w:rsidP="002B0590">
            <w:pPr>
              <w:jc w:val="both"/>
              <w:rPr>
                <w:sz w:val="18"/>
                <w:szCs w:val="18"/>
                <w:lang w:eastAsia="fr-FR"/>
              </w:rPr>
            </w:pPr>
            <w:r w:rsidRPr="00CC5187">
              <w:rPr>
                <w:sz w:val="18"/>
                <w:szCs w:val="18"/>
                <w:lang w:eastAsia="fr-FR"/>
              </w:rPr>
              <w:t>Nm</w:t>
            </w:r>
          </w:p>
        </w:tc>
        <w:tc>
          <w:tcPr>
            <w:tcW w:w="996"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267BA347" w14:textId="77777777" w:rsidR="00BE2CA7" w:rsidRPr="00CC5187" w:rsidRDefault="00BE2CA7" w:rsidP="002B0590">
            <w:pPr>
              <w:jc w:val="center"/>
              <w:rPr>
                <w:sz w:val="18"/>
                <w:szCs w:val="18"/>
                <w:lang w:eastAsia="fr-FR"/>
              </w:rPr>
            </w:pPr>
            <w:r>
              <w:rPr>
                <w:sz w:val="18"/>
                <w:szCs w:val="18"/>
                <w:lang w:eastAsia="fr-FR"/>
              </w:rPr>
              <w:t>à</w:t>
            </w:r>
          </w:p>
        </w:tc>
        <w:tc>
          <w:tcPr>
            <w:tcW w:w="996"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7033B527" w14:textId="77777777" w:rsidR="00BE2CA7" w:rsidRPr="00CC5187" w:rsidRDefault="00BE2CA7" w:rsidP="002B0590">
            <w:pPr>
              <w:ind w:right="34"/>
              <w:jc w:val="right"/>
              <w:rPr>
                <w:sz w:val="18"/>
                <w:szCs w:val="18"/>
                <w:lang w:eastAsia="fr-FR"/>
              </w:rPr>
            </w:pPr>
          </w:p>
        </w:tc>
        <w:tc>
          <w:tcPr>
            <w:tcW w:w="1338"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0AB99B9F" w14:textId="77777777" w:rsidR="00BE2CA7" w:rsidRPr="00CC5187" w:rsidRDefault="00BE2CA7" w:rsidP="002B0590">
            <w:pPr>
              <w:jc w:val="both"/>
              <w:rPr>
                <w:sz w:val="18"/>
                <w:szCs w:val="18"/>
                <w:lang w:eastAsia="fr-FR"/>
              </w:rPr>
            </w:pPr>
            <w:r>
              <w:rPr>
                <w:sz w:val="18"/>
                <w:szCs w:val="18"/>
                <w:lang w:eastAsia="fr-FR"/>
              </w:rPr>
              <w:t>tr/min</w:t>
            </w:r>
          </w:p>
        </w:tc>
      </w:tr>
      <w:tr w:rsidR="00BE2CA7" w:rsidRPr="00CC5187" w14:paraId="78024462" w14:textId="77777777" w:rsidTr="002B0590">
        <w:trPr>
          <w:trHeight w:val="283"/>
        </w:trPr>
        <w:tc>
          <w:tcPr>
            <w:tcW w:w="344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7CED640D" w14:textId="77777777" w:rsidR="00BE2CA7" w:rsidRPr="00CC5187" w:rsidRDefault="00BE2CA7" w:rsidP="002B0590">
            <w:pPr>
              <w:jc w:val="both"/>
              <w:rPr>
                <w:sz w:val="18"/>
                <w:szCs w:val="18"/>
                <w:lang w:eastAsia="fr-FR"/>
              </w:rPr>
            </w:pPr>
            <w:r>
              <w:rPr>
                <w:sz w:val="18"/>
                <w:szCs w:val="18"/>
                <w:lang w:eastAsia="fr-FR"/>
              </w:rPr>
              <w:t>Bougie d’allumage (le cas échéant)</w:t>
            </w:r>
          </w:p>
        </w:tc>
        <w:tc>
          <w:tcPr>
            <w:tcW w:w="327"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3A24426E" w14:textId="77777777" w:rsidR="00BE2CA7" w:rsidRPr="00CC5187" w:rsidRDefault="00BE2CA7" w:rsidP="002B0590">
            <w:pPr>
              <w:jc w:val="both"/>
              <w:rPr>
                <w:b/>
                <w:bCs/>
                <w:caps/>
                <w:sz w:val="18"/>
                <w:szCs w:val="18"/>
                <w:lang w:eastAsia="fr-FR"/>
              </w:rPr>
            </w:pPr>
            <w:r w:rsidRPr="00CC5187">
              <w:rPr>
                <w:b/>
                <w:bCs/>
                <w:caps/>
                <w:sz w:val="18"/>
                <w:szCs w:val="18"/>
                <w:lang w:eastAsia="fr-FR"/>
              </w:rPr>
              <w:t>:</w:t>
            </w:r>
          </w:p>
        </w:tc>
        <w:tc>
          <w:tcPr>
            <w:tcW w:w="4606" w:type="dxa"/>
            <w:gridSpan w:val="5"/>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1C154B9B" w14:textId="77777777" w:rsidR="00BE2CA7" w:rsidRPr="00CC5187" w:rsidRDefault="00BE2CA7" w:rsidP="002B0590">
            <w:pPr>
              <w:jc w:val="both"/>
              <w:rPr>
                <w:sz w:val="18"/>
                <w:szCs w:val="18"/>
                <w:lang w:eastAsia="fr-FR"/>
              </w:rPr>
            </w:pPr>
            <w:r>
              <w:rPr>
                <w:sz w:val="18"/>
                <w:szCs w:val="18"/>
                <w:lang w:eastAsia="fr-FR"/>
              </w:rPr>
              <w:t>marque et type</w:t>
            </w:r>
          </w:p>
        </w:tc>
      </w:tr>
      <w:tr w:rsidR="00BE2CA7" w:rsidRPr="00CC5187" w14:paraId="65EF28EB" w14:textId="77777777" w:rsidTr="002B0590">
        <w:trPr>
          <w:trHeight w:val="283"/>
        </w:trPr>
        <w:tc>
          <w:tcPr>
            <w:tcW w:w="344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0A0663F5" w14:textId="77777777" w:rsidR="00BE2CA7" w:rsidRPr="00CC5187" w:rsidRDefault="00BE2CA7" w:rsidP="002B0590">
            <w:pPr>
              <w:jc w:val="both"/>
              <w:rPr>
                <w:sz w:val="18"/>
                <w:szCs w:val="18"/>
                <w:lang w:eastAsia="fr-FR"/>
              </w:rPr>
            </w:pPr>
            <w:r>
              <w:rPr>
                <w:sz w:val="18"/>
                <w:szCs w:val="18"/>
                <w:lang w:eastAsia="fr-FR"/>
              </w:rPr>
              <w:t>Bobine d’allumage (le cas échéant)</w:t>
            </w:r>
          </w:p>
        </w:tc>
        <w:tc>
          <w:tcPr>
            <w:tcW w:w="327"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32356753" w14:textId="77777777" w:rsidR="00BE2CA7" w:rsidRPr="00CC5187" w:rsidRDefault="00BE2CA7" w:rsidP="002B0590">
            <w:pPr>
              <w:jc w:val="both"/>
              <w:rPr>
                <w:b/>
                <w:bCs/>
                <w:caps/>
                <w:sz w:val="18"/>
                <w:szCs w:val="18"/>
                <w:lang w:eastAsia="fr-FR"/>
              </w:rPr>
            </w:pPr>
            <w:r w:rsidRPr="00CC5187">
              <w:rPr>
                <w:b/>
                <w:bCs/>
                <w:caps/>
                <w:sz w:val="18"/>
                <w:szCs w:val="18"/>
                <w:lang w:eastAsia="fr-FR"/>
              </w:rPr>
              <w:t>:</w:t>
            </w:r>
          </w:p>
        </w:tc>
        <w:tc>
          <w:tcPr>
            <w:tcW w:w="4606" w:type="dxa"/>
            <w:gridSpan w:val="5"/>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45C9B345" w14:textId="77777777" w:rsidR="00BE2CA7" w:rsidRPr="00CC5187" w:rsidRDefault="00BE2CA7" w:rsidP="002B0590">
            <w:pPr>
              <w:jc w:val="both"/>
              <w:rPr>
                <w:sz w:val="18"/>
                <w:szCs w:val="18"/>
                <w:lang w:eastAsia="fr-FR"/>
              </w:rPr>
            </w:pPr>
            <w:r>
              <w:rPr>
                <w:sz w:val="18"/>
                <w:szCs w:val="18"/>
                <w:lang w:eastAsia="fr-FR"/>
              </w:rPr>
              <w:t>marque et type</w:t>
            </w:r>
          </w:p>
        </w:tc>
      </w:tr>
      <w:tr w:rsidR="00BE2CA7" w:rsidRPr="00CC5187" w14:paraId="1B77094F" w14:textId="77777777" w:rsidTr="002B0590">
        <w:trPr>
          <w:trHeight w:val="283"/>
        </w:trPr>
        <w:tc>
          <w:tcPr>
            <w:tcW w:w="344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2301AAD2" w14:textId="77777777" w:rsidR="00BE2CA7" w:rsidRPr="00CC5187" w:rsidRDefault="00BE2CA7" w:rsidP="002B0590">
            <w:pPr>
              <w:jc w:val="both"/>
              <w:rPr>
                <w:sz w:val="18"/>
                <w:szCs w:val="18"/>
                <w:lang w:eastAsia="fr-FR"/>
              </w:rPr>
            </w:pPr>
            <w:r w:rsidRPr="00014D60">
              <w:rPr>
                <w:sz w:val="18"/>
                <w:szCs w:val="18"/>
                <w:lang w:eastAsia="fr-FR"/>
              </w:rPr>
              <w:t>Lubrifiant moteur</w:t>
            </w:r>
          </w:p>
        </w:tc>
        <w:tc>
          <w:tcPr>
            <w:tcW w:w="327"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1202FFE7" w14:textId="77777777" w:rsidR="00BE2CA7" w:rsidRPr="00CC5187" w:rsidRDefault="00BE2CA7" w:rsidP="002B0590">
            <w:pPr>
              <w:jc w:val="both"/>
              <w:rPr>
                <w:sz w:val="18"/>
                <w:szCs w:val="18"/>
                <w:lang w:eastAsia="fr-FR"/>
              </w:rPr>
            </w:pPr>
            <w:r w:rsidRPr="00CC5187">
              <w:rPr>
                <w:b/>
                <w:bCs/>
                <w:caps/>
                <w:sz w:val="18"/>
                <w:szCs w:val="18"/>
                <w:lang w:eastAsia="fr-FR"/>
              </w:rPr>
              <w:t>:</w:t>
            </w:r>
          </w:p>
        </w:tc>
        <w:tc>
          <w:tcPr>
            <w:tcW w:w="4606" w:type="dxa"/>
            <w:gridSpan w:val="5"/>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181FEA95" w14:textId="77777777" w:rsidR="00BE2CA7" w:rsidRPr="00CC5187" w:rsidRDefault="00BE2CA7" w:rsidP="002B0590">
            <w:pPr>
              <w:jc w:val="both"/>
              <w:rPr>
                <w:sz w:val="18"/>
                <w:szCs w:val="18"/>
                <w:lang w:eastAsia="fr-FR"/>
              </w:rPr>
            </w:pPr>
            <w:r>
              <w:rPr>
                <w:sz w:val="18"/>
                <w:szCs w:val="18"/>
                <w:lang w:eastAsia="fr-FR"/>
              </w:rPr>
              <w:t>marque et type</w:t>
            </w:r>
          </w:p>
        </w:tc>
      </w:tr>
      <w:tr w:rsidR="00BE2CA7" w:rsidRPr="00CC5187" w14:paraId="5FBD25C3" w14:textId="77777777" w:rsidTr="002B0590">
        <w:trPr>
          <w:trHeight w:val="283"/>
        </w:trPr>
        <w:tc>
          <w:tcPr>
            <w:tcW w:w="344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40ACD17F" w14:textId="77777777" w:rsidR="00BE2CA7" w:rsidRPr="00CC5187" w:rsidRDefault="00BE2CA7" w:rsidP="002B0590">
            <w:pPr>
              <w:jc w:val="both"/>
              <w:rPr>
                <w:sz w:val="18"/>
                <w:szCs w:val="18"/>
                <w:lang w:eastAsia="fr-FR"/>
              </w:rPr>
            </w:pPr>
            <w:r w:rsidRPr="00E4644F">
              <w:rPr>
                <w:sz w:val="18"/>
                <w:szCs w:val="18"/>
                <w:lang w:eastAsia="fr-FR"/>
              </w:rPr>
              <w:t xml:space="preserve">Système de refroidissement </w:t>
            </w:r>
          </w:p>
        </w:tc>
        <w:tc>
          <w:tcPr>
            <w:tcW w:w="327"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40EDDF03" w14:textId="77777777" w:rsidR="00BE2CA7" w:rsidRPr="00CC5187" w:rsidRDefault="00BE2CA7" w:rsidP="002B0590">
            <w:pPr>
              <w:jc w:val="both"/>
              <w:rPr>
                <w:sz w:val="18"/>
                <w:szCs w:val="18"/>
                <w:lang w:eastAsia="fr-FR"/>
              </w:rPr>
            </w:pPr>
            <w:r w:rsidRPr="00CC5187">
              <w:rPr>
                <w:b/>
                <w:bCs/>
                <w:caps/>
                <w:sz w:val="18"/>
                <w:szCs w:val="18"/>
                <w:lang w:eastAsia="fr-FR"/>
              </w:rPr>
              <w:t>:</w:t>
            </w:r>
          </w:p>
        </w:tc>
        <w:tc>
          <w:tcPr>
            <w:tcW w:w="4606" w:type="dxa"/>
            <w:gridSpan w:val="5"/>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009142D2" w14:textId="77777777" w:rsidR="00BE2CA7" w:rsidRPr="00CC5187" w:rsidRDefault="00BE2CA7" w:rsidP="002B0590">
            <w:pPr>
              <w:jc w:val="both"/>
              <w:rPr>
                <w:sz w:val="18"/>
                <w:szCs w:val="18"/>
                <w:lang w:eastAsia="fr-FR"/>
              </w:rPr>
            </w:pPr>
            <w:r w:rsidRPr="00014D60">
              <w:rPr>
                <w:sz w:val="18"/>
                <w:szCs w:val="18"/>
                <w:lang w:eastAsia="fr-FR"/>
              </w:rPr>
              <w:t>Type</w:t>
            </w:r>
            <w:r>
              <w:rPr>
                <w:sz w:val="18"/>
                <w:szCs w:val="18"/>
                <w:lang w:eastAsia="fr-FR"/>
              </w:rPr>
              <w:t> </w:t>
            </w:r>
            <w:r w:rsidRPr="00014D60">
              <w:rPr>
                <w:sz w:val="18"/>
                <w:szCs w:val="18"/>
                <w:lang w:eastAsia="fr-FR"/>
              </w:rPr>
              <w:t>: air/eau/huile</w:t>
            </w:r>
          </w:p>
        </w:tc>
      </w:tr>
    </w:tbl>
    <w:p w14:paraId="765EA1E0" w14:textId="77777777" w:rsidR="00BE2CA7" w:rsidRPr="00CC5187" w:rsidRDefault="00BE2CA7" w:rsidP="00BE2CA7">
      <w:pPr>
        <w:pStyle w:val="SingleTxtG"/>
        <w:spacing w:before="240"/>
        <w:rPr>
          <w:b/>
          <w:bCs/>
          <w:lang w:eastAsia="fr-FR"/>
        </w:rPr>
      </w:pPr>
      <w:r w:rsidRPr="00CC5187">
        <w:rPr>
          <w:b/>
          <w:bCs/>
          <w:lang w:eastAsia="fr-FR"/>
        </w:rPr>
        <w:t>1.1.3</w:t>
      </w:r>
      <w:r w:rsidRPr="00CC5187">
        <w:rPr>
          <w:b/>
          <w:bCs/>
          <w:lang w:eastAsia="fr-FR"/>
        </w:rPr>
        <w:tab/>
      </w:r>
      <w:r>
        <w:rPr>
          <w:b/>
          <w:bCs/>
          <w:lang w:eastAsia="fr-FR"/>
        </w:rPr>
        <w:t>Carburant d’essai</w:t>
      </w:r>
    </w:p>
    <w:p w14:paraId="2774F33B" w14:textId="77777777" w:rsidR="00BE2CA7" w:rsidRPr="00A318C3" w:rsidRDefault="00BE2CA7" w:rsidP="00BE2CA7">
      <w:pPr>
        <w:pStyle w:val="SingleTxtG"/>
        <w:ind w:firstLine="567"/>
        <w:rPr>
          <w:lang w:val="fr-FR" w:eastAsia="fr-FR"/>
        </w:rPr>
      </w:pPr>
      <w:r w:rsidRPr="00A318C3">
        <w:rPr>
          <w:lang w:val="fr-FR" w:eastAsia="fr-FR"/>
        </w:rPr>
        <w:t>Si plusieurs carburants d</w:t>
      </w:r>
      <w:r>
        <w:rPr>
          <w:lang w:val="fr-FR" w:eastAsia="fr-FR"/>
        </w:rPr>
        <w:t>’</w:t>
      </w:r>
      <w:r w:rsidRPr="00A318C3">
        <w:rPr>
          <w:lang w:val="fr-FR" w:eastAsia="fr-FR"/>
        </w:rPr>
        <w:t>essai sont utilisés, veuillez fournir les informations ci-après pour chacun d</w:t>
      </w:r>
      <w:r>
        <w:rPr>
          <w:lang w:val="fr-FR" w:eastAsia="fr-FR"/>
        </w:rPr>
        <w:t>’</w:t>
      </w:r>
      <w:r w:rsidRPr="00A318C3">
        <w:rPr>
          <w:lang w:val="fr-FR" w:eastAsia="fr-FR"/>
        </w:rPr>
        <w:t>entre eux.</w:t>
      </w:r>
    </w:p>
    <w:tbl>
      <w:tblPr>
        <w:tblW w:w="0" w:type="auto"/>
        <w:tblInd w:w="1134" w:type="dxa"/>
        <w:tblBorders>
          <w:top w:val="single" w:sz="6" w:space="0" w:color="BFBFBF"/>
          <w:left w:val="single" w:sz="6" w:space="0" w:color="BFBFBF"/>
          <w:bottom w:val="single" w:sz="6" w:space="0" w:color="BFBFBF"/>
          <w:right w:val="single" w:sz="6" w:space="0" w:color="BFBFBF"/>
        </w:tblBorders>
        <w:tblCellMar>
          <w:left w:w="0" w:type="dxa"/>
          <w:right w:w="0" w:type="dxa"/>
        </w:tblCellMar>
        <w:tblLook w:val="04A0" w:firstRow="1" w:lastRow="0" w:firstColumn="1" w:lastColumn="0" w:noHBand="0" w:noVBand="1"/>
      </w:tblPr>
      <w:tblGrid>
        <w:gridCol w:w="3578"/>
        <w:gridCol w:w="283"/>
        <w:gridCol w:w="4469"/>
      </w:tblGrid>
      <w:tr w:rsidR="00BE2CA7" w:rsidRPr="00CC5187" w14:paraId="7F88503F" w14:textId="77777777" w:rsidTr="002B0590">
        <w:trPr>
          <w:trHeight w:val="283"/>
        </w:trPr>
        <w:tc>
          <w:tcPr>
            <w:tcW w:w="3578" w:type="dxa"/>
            <w:tcBorders>
              <w:bottom w:val="single" w:sz="6" w:space="0" w:color="BFBFBF"/>
              <w:right w:val="single" w:sz="6" w:space="0" w:color="BFBFBF"/>
            </w:tcBorders>
            <w:tcMar>
              <w:top w:w="8" w:type="dxa"/>
              <w:left w:w="108" w:type="dxa"/>
              <w:bottom w:w="8" w:type="dxa"/>
              <w:right w:w="108" w:type="dxa"/>
            </w:tcMar>
            <w:hideMark/>
          </w:tcPr>
          <w:p w14:paraId="4CA3E4CA" w14:textId="77777777" w:rsidR="00BE2CA7" w:rsidRPr="00CC5187" w:rsidRDefault="00BE2CA7" w:rsidP="002B0590">
            <w:pPr>
              <w:keepNext/>
              <w:jc w:val="both"/>
              <w:rPr>
                <w:sz w:val="18"/>
                <w:szCs w:val="18"/>
                <w:lang w:eastAsia="fr-FR"/>
              </w:rPr>
            </w:pPr>
            <w:r w:rsidRPr="00CC5187">
              <w:rPr>
                <w:sz w:val="18"/>
                <w:szCs w:val="18"/>
                <w:lang w:eastAsia="fr-FR"/>
              </w:rPr>
              <w:t>Ma</w:t>
            </w:r>
            <w:r>
              <w:rPr>
                <w:sz w:val="18"/>
                <w:szCs w:val="18"/>
                <w:lang w:eastAsia="fr-FR"/>
              </w:rPr>
              <w:t>rque</w:t>
            </w:r>
          </w:p>
        </w:tc>
        <w:tc>
          <w:tcPr>
            <w:tcW w:w="283" w:type="dxa"/>
            <w:tcBorders>
              <w:left w:val="single" w:sz="6" w:space="0" w:color="BFBFBF"/>
              <w:bottom w:val="single" w:sz="6" w:space="0" w:color="BFBFBF"/>
              <w:right w:val="single" w:sz="6" w:space="0" w:color="BFBFBF"/>
            </w:tcBorders>
            <w:tcMar>
              <w:top w:w="8" w:type="dxa"/>
              <w:left w:w="108" w:type="dxa"/>
              <w:bottom w:w="8" w:type="dxa"/>
              <w:right w:w="108" w:type="dxa"/>
            </w:tcMar>
            <w:hideMark/>
          </w:tcPr>
          <w:p w14:paraId="468D08BA" w14:textId="77777777" w:rsidR="00BE2CA7" w:rsidRPr="00CC5187" w:rsidRDefault="00BE2CA7" w:rsidP="002B0590">
            <w:pPr>
              <w:keepNext/>
              <w:jc w:val="both"/>
              <w:rPr>
                <w:sz w:val="18"/>
                <w:szCs w:val="18"/>
                <w:lang w:eastAsia="fr-FR"/>
              </w:rPr>
            </w:pPr>
            <w:r w:rsidRPr="00CC5187">
              <w:rPr>
                <w:caps/>
                <w:sz w:val="18"/>
                <w:szCs w:val="18"/>
                <w:lang w:eastAsia="fr-FR"/>
              </w:rPr>
              <w:t>:</w:t>
            </w:r>
          </w:p>
        </w:tc>
        <w:tc>
          <w:tcPr>
            <w:tcW w:w="4469" w:type="dxa"/>
            <w:tcBorders>
              <w:left w:val="single" w:sz="6" w:space="0" w:color="BFBFBF"/>
              <w:bottom w:val="single" w:sz="6" w:space="0" w:color="BFBFBF"/>
            </w:tcBorders>
            <w:tcMar>
              <w:top w:w="8" w:type="dxa"/>
              <w:left w:w="108" w:type="dxa"/>
              <w:bottom w:w="8" w:type="dxa"/>
              <w:right w:w="108" w:type="dxa"/>
            </w:tcMar>
          </w:tcPr>
          <w:p w14:paraId="2B949E44" w14:textId="77777777" w:rsidR="00BE2CA7" w:rsidRPr="00CC5187" w:rsidRDefault="00BE2CA7" w:rsidP="002B0590">
            <w:pPr>
              <w:keepNext/>
              <w:jc w:val="both"/>
              <w:rPr>
                <w:sz w:val="18"/>
                <w:szCs w:val="18"/>
                <w:lang w:eastAsia="fr-FR"/>
              </w:rPr>
            </w:pPr>
          </w:p>
        </w:tc>
      </w:tr>
      <w:tr w:rsidR="00BE2CA7" w:rsidRPr="00CC5187" w14:paraId="485BEF08" w14:textId="77777777" w:rsidTr="002B0590">
        <w:trPr>
          <w:trHeight w:val="283"/>
        </w:trPr>
        <w:tc>
          <w:tcPr>
            <w:tcW w:w="3578"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2B7B6DE9" w14:textId="77777777" w:rsidR="00BE2CA7" w:rsidRPr="00CC5187" w:rsidRDefault="00BE2CA7" w:rsidP="002B0590">
            <w:pPr>
              <w:keepNext/>
              <w:jc w:val="both"/>
              <w:rPr>
                <w:sz w:val="18"/>
                <w:szCs w:val="18"/>
                <w:lang w:eastAsia="fr-FR"/>
              </w:rPr>
            </w:pPr>
            <w:r w:rsidRPr="00CC5187">
              <w:rPr>
                <w:sz w:val="18"/>
                <w:szCs w:val="18"/>
                <w:lang w:eastAsia="fr-FR"/>
              </w:rPr>
              <w:t>Type</w:t>
            </w:r>
          </w:p>
        </w:tc>
        <w:tc>
          <w:tcPr>
            <w:tcW w:w="283"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39344236" w14:textId="77777777" w:rsidR="00BE2CA7" w:rsidRPr="00CC5187" w:rsidRDefault="00BE2CA7" w:rsidP="002B0590">
            <w:pPr>
              <w:keepNext/>
              <w:jc w:val="both"/>
              <w:rPr>
                <w:sz w:val="18"/>
                <w:szCs w:val="18"/>
                <w:lang w:eastAsia="fr-FR"/>
              </w:rPr>
            </w:pPr>
            <w:r w:rsidRPr="00CC5187">
              <w:rPr>
                <w:caps/>
                <w:sz w:val="18"/>
                <w:szCs w:val="18"/>
                <w:lang w:eastAsia="fr-FR"/>
              </w:rPr>
              <w:t>:</w:t>
            </w:r>
          </w:p>
        </w:tc>
        <w:tc>
          <w:tcPr>
            <w:tcW w:w="4469" w:type="dxa"/>
            <w:tcBorders>
              <w:top w:val="single" w:sz="6" w:space="0" w:color="BFBFBF"/>
              <w:left w:val="single" w:sz="6" w:space="0" w:color="BFBFBF"/>
              <w:bottom w:val="single" w:sz="6" w:space="0" w:color="BFBFBF"/>
            </w:tcBorders>
            <w:tcMar>
              <w:top w:w="8" w:type="dxa"/>
              <w:left w:w="108" w:type="dxa"/>
              <w:bottom w:w="8" w:type="dxa"/>
              <w:right w:w="108" w:type="dxa"/>
            </w:tcMar>
            <w:hideMark/>
          </w:tcPr>
          <w:p w14:paraId="24DCDECC" w14:textId="77777777" w:rsidR="00BE2CA7" w:rsidRPr="00CC5187" w:rsidRDefault="00BE2CA7" w:rsidP="002B0590">
            <w:pPr>
              <w:keepNext/>
              <w:jc w:val="both"/>
              <w:rPr>
                <w:sz w:val="18"/>
                <w:szCs w:val="18"/>
                <w:lang w:eastAsia="fr-FR"/>
              </w:rPr>
            </w:pPr>
            <w:r w:rsidRPr="006F227E">
              <w:rPr>
                <w:sz w:val="18"/>
                <w:szCs w:val="18"/>
                <w:lang w:eastAsia="fr-FR"/>
              </w:rPr>
              <w:t xml:space="preserve">Essence </w:t>
            </w:r>
            <w:r>
              <w:rPr>
                <w:sz w:val="18"/>
                <w:szCs w:val="18"/>
                <w:lang w:eastAsia="fr-FR"/>
              </w:rPr>
              <w:t>–</w:t>
            </w:r>
            <w:r w:rsidRPr="006F227E">
              <w:rPr>
                <w:sz w:val="18"/>
                <w:szCs w:val="18"/>
                <w:lang w:eastAsia="fr-FR"/>
              </w:rPr>
              <w:t xml:space="preserve"> Gazole </w:t>
            </w:r>
            <w:r>
              <w:rPr>
                <w:sz w:val="18"/>
                <w:szCs w:val="18"/>
                <w:lang w:eastAsia="fr-FR"/>
              </w:rPr>
              <w:t>–</w:t>
            </w:r>
            <w:r w:rsidRPr="006F227E">
              <w:rPr>
                <w:sz w:val="18"/>
                <w:szCs w:val="18"/>
                <w:lang w:eastAsia="fr-FR"/>
              </w:rPr>
              <w:t xml:space="preserve"> GPL </w:t>
            </w:r>
            <w:r>
              <w:rPr>
                <w:sz w:val="18"/>
                <w:szCs w:val="18"/>
                <w:lang w:eastAsia="fr-FR"/>
              </w:rPr>
              <w:t>–</w:t>
            </w:r>
            <w:r w:rsidRPr="006F227E">
              <w:rPr>
                <w:sz w:val="18"/>
                <w:szCs w:val="18"/>
                <w:lang w:eastAsia="fr-FR"/>
              </w:rPr>
              <w:t xml:space="preserve"> GN −… </w:t>
            </w:r>
          </w:p>
        </w:tc>
      </w:tr>
      <w:tr w:rsidR="00BE2CA7" w:rsidRPr="00CC5187" w14:paraId="2DCFB122" w14:textId="77777777" w:rsidTr="002B0590">
        <w:trPr>
          <w:trHeight w:val="283"/>
        </w:trPr>
        <w:tc>
          <w:tcPr>
            <w:tcW w:w="3578"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09EDE538" w14:textId="77777777" w:rsidR="00BE2CA7" w:rsidRPr="00CC5187" w:rsidRDefault="00BE2CA7" w:rsidP="002B0590">
            <w:pPr>
              <w:keepNext/>
              <w:jc w:val="both"/>
              <w:rPr>
                <w:sz w:val="18"/>
                <w:szCs w:val="18"/>
                <w:lang w:eastAsia="fr-FR"/>
              </w:rPr>
            </w:pPr>
            <w:r w:rsidRPr="00CC5187">
              <w:rPr>
                <w:sz w:val="18"/>
                <w:szCs w:val="18"/>
                <w:lang w:eastAsia="fr-FR"/>
              </w:rPr>
              <w:t>Den</w:t>
            </w:r>
            <w:r>
              <w:rPr>
                <w:sz w:val="18"/>
                <w:szCs w:val="18"/>
                <w:lang w:eastAsia="fr-FR"/>
              </w:rPr>
              <w:t xml:space="preserve">sité à </w:t>
            </w:r>
            <w:r w:rsidRPr="00CC5187">
              <w:rPr>
                <w:sz w:val="18"/>
                <w:szCs w:val="18"/>
                <w:lang w:eastAsia="fr-FR"/>
              </w:rPr>
              <w:t>15</w:t>
            </w:r>
            <w:r>
              <w:rPr>
                <w:sz w:val="18"/>
                <w:szCs w:val="18"/>
                <w:lang w:eastAsia="fr-FR"/>
              </w:rPr>
              <w:t> </w:t>
            </w:r>
            <w:r w:rsidRPr="00CC5187">
              <w:rPr>
                <w:sz w:val="18"/>
                <w:szCs w:val="18"/>
                <w:lang w:eastAsia="fr-FR"/>
              </w:rPr>
              <w:t>°C</w:t>
            </w:r>
          </w:p>
        </w:tc>
        <w:tc>
          <w:tcPr>
            <w:tcW w:w="283"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067F4A9F" w14:textId="77777777" w:rsidR="00BE2CA7" w:rsidRPr="00CC5187" w:rsidRDefault="00BE2CA7" w:rsidP="002B0590">
            <w:pPr>
              <w:keepNext/>
              <w:jc w:val="both"/>
              <w:rPr>
                <w:sz w:val="18"/>
                <w:szCs w:val="18"/>
                <w:lang w:eastAsia="fr-FR"/>
              </w:rPr>
            </w:pPr>
            <w:r w:rsidRPr="00CC5187">
              <w:rPr>
                <w:caps/>
                <w:sz w:val="18"/>
                <w:szCs w:val="18"/>
                <w:lang w:eastAsia="fr-FR"/>
              </w:rPr>
              <w:t>:</w:t>
            </w:r>
          </w:p>
        </w:tc>
        <w:tc>
          <w:tcPr>
            <w:tcW w:w="4469" w:type="dxa"/>
            <w:tcBorders>
              <w:top w:val="single" w:sz="6" w:space="0" w:color="BFBFBF"/>
              <w:left w:val="single" w:sz="6" w:space="0" w:color="BFBFBF"/>
              <w:bottom w:val="single" w:sz="6" w:space="0" w:color="BFBFBF"/>
            </w:tcBorders>
            <w:tcMar>
              <w:top w:w="8" w:type="dxa"/>
              <w:left w:w="108" w:type="dxa"/>
              <w:bottom w:w="8" w:type="dxa"/>
              <w:right w:w="108" w:type="dxa"/>
            </w:tcMar>
          </w:tcPr>
          <w:p w14:paraId="5C5E6EDB" w14:textId="77777777" w:rsidR="00BE2CA7" w:rsidRPr="00CC5187" w:rsidRDefault="00BE2CA7" w:rsidP="002B0590">
            <w:pPr>
              <w:keepNext/>
              <w:jc w:val="both"/>
              <w:rPr>
                <w:sz w:val="18"/>
                <w:szCs w:val="18"/>
                <w:lang w:eastAsia="fr-FR"/>
              </w:rPr>
            </w:pPr>
          </w:p>
        </w:tc>
      </w:tr>
      <w:tr w:rsidR="00BE2CA7" w:rsidRPr="00B4247A" w14:paraId="7077C89C" w14:textId="77777777" w:rsidTr="002B0590">
        <w:trPr>
          <w:trHeight w:val="283"/>
        </w:trPr>
        <w:tc>
          <w:tcPr>
            <w:tcW w:w="3578"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13CB3C92" w14:textId="77777777" w:rsidR="00BE2CA7" w:rsidRPr="00CC5187" w:rsidRDefault="00BE2CA7" w:rsidP="002B0590">
            <w:pPr>
              <w:keepNext/>
              <w:jc w:val="both"/>
              <w:rPr>
                <w:sz w:val="18"/>
                <w:szCs w:val="18"/>
                <w:lang w:eastAsia="fr-FR"/>
              </w:rPr>
            </w:pPr>
            <w:r>
              <w:rPr>
                <w:sz w:val="18"/>
                <w:szCs w:val="18"/>
                <w:lang w:eastAsia="fr-FR"/>
              </w:rPr>
              <w:t>Teneur en soufre</w:t>
            </w:r>
          </w:p>
        </w:tc>
        <w:tc>
          <w:tcPr>
            <w:tcW w:w="283"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76DF70FF" w14:textId="77777777" w:rsidR="00BE2CA7" w:rsidRPr="00CC5187" w:rsidRDefault="00BE2CA7" w:rsidP="002B0590">
            <w:pPr>
              <w:keepNext/>
              <w:jc w:val="both"/>
              <w:rPr>
                <w:sz w:val="18"/>
                <w:szCs w:val="18"/>
                <w:lang w:eastAsia="fr-FR"/>
              </w:rPr>
            </w:pPr>
            <w:r w:rsidRPr="00CC5187">
              <w:rPr>
                <w:caps/>
                <w:sz w:val="18"/>
                <w:szCs w:val="18"/>
                <w:lang w:eastAsia="fr-FR"/>
              </w:rPr>
              <w:t>:</w:t>
            </w:r>
          </w:p>
        </w:tc>
        <w:tc>
          <w:tcPr>
            <w:tcW w:w="4469" w:type="dxa"/>
            <w:tcBorders>
              <w:top w:val="single" w:sz="6" w:space="0" w:color="BFBFBF"/>
              <w:left w:val="single" w:sz="6" w:space="0" w:color="BFBFBF"/>
              <w:bottom w:val="single" w:sz="6" w:space="0" w:color="BFBFBF"/>
            </w:tcBorders>
            <w:tcMar>
              <w:top w:w="8" w:type="dxa"/>
              <w:left w:w="108" w:type="dxa"/>
              <w:bottom w:w="8" w:type="dxa"/>
              <w:right w:w="108" w:type="dxa"/>
            </w:tcMar>
            <w:hideMark/>
          </w:tcPr>
          <w:p w14:paraId="74FEDD2C" w14:textId="77777777" w:rsidR="00BE2CA7" w:rsidRPr="00A318C3" w:rsidRDefault="00BE2CA7" w:rsidP="002B0590">
            <w:pPr>
              <w:keepNext/>
              <w:jc w:val="both"/>
              <w:rPr>
                <w:sz w:val="18"/>
                <w:szCs w:val="18"/>
                <w:lang w:val="fr-FR" w:eastAsia="fr-FR"/>
              </w:rPr>
            </w:pPr>
            <w:r w:rsidRPr="00A318C3">
              <w:rPr>
                <w:sz w:val="18"/>
                <w:szCs w:val="18"/>
                <w:lang w:val="fr-FR" w:eastAsia="fr-FR"/>
              </w:rPr>
              <w:t xml:space="preserve">Uniquement pour le </w:t>
            </w:r>
            <w:r>
              <w:rPr>
                <w:sz w:val="18"/>
                <w:szCs w:val="18"/>
                <w:lang w:val="fr-FR" w:eastAsia="fr-FR"/>
              </w:rPr>
              <w:t>gazole</w:t>
            </w:r>
            <w:r w:rsidRPr="00A318C3">
              <w:rPr>
                <w:sz w:val="18"/>
                <w:szCs w:val="18"/>
                <w:lang w:val="fr-FR" w:eastAsia="fr-FR"/>
              </w:rPr>
              <w:t xml:space="preserve"> et l</w:t>
            </w:r>
            <w:r>
              <w:rPr>
                <w:sz w:val="18"/>
                <w:szCs w:val="18"/>
                <w:lang w:val="fr-FR" w:eastAsia="fr-FR"/>
              </w:rPr>
              <w:t>’</w:t>
            </w:r>
            <w:r w:rsidRPr="00A318C3">
              <w:rPr>
                <w:sz w:val="18"/>
                <w:szCs w:val="18"/>
                <w:lang w:val="fr-FR" w:eastAsia="fr-FR"/>
              </w:rPr>
              <w:t>essence</w:t>
            </w:r>
          </w:p>
        </w:tc>
      </w:tr>
      <w:tr w:rsidR="00BE2CA7" w:rsidRPr="00CC5187" w14:paraId="5F4C3FF2" w14:textId="77777777" w:rsidTr="002B0590">
        <w:trPr>
          <w:trHeight w:val="283"/>
        </w:trPr>
        <w:tc>
          <w:tcPr>
            <w:tcW w:w="3578"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3E57EA9B" w14:textId="77777777" w:rsidR="00BE2CA7" w:rsidRPr="00CC5187" w:rsidRDefault="00BE2CA7" w:rsidP="002B0590">
            <w:pPr>
              <w:keepNext/>
              <w:jc w:val="both"/>
              <w:rPr>
                <w:sz w:val="18"/>
                <w:szCs w:val="18"/>
                <w:lang w:eastAsia="fr-FR"/>
              </w:rPr>
            </w:pPr>
            <w:r>
              <w:rPr>
                <w:sz w:val="18"/>
                <w:szCs w:val="18"/>
                <w:lang w:eastAsia="fr-FR"/>
              </w:rPr>
              <w:t>Numéro de lot</w:t>
            </w:r>
          </w:p>
        </w:tc>
        <w:tc>
          <w:tcPr>
            <w:tcW w:w="283"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4DCFFF5E" w14:textId="77777777" w:rsidR="00BE2CA7" w:rsidRPr="00CC5187" w:rsidRDefault="00BE2CA7" w:rsidP="002B0590">
            <w:pPr>
              <w:keepNext/>
              <w:jc w:val="both"/>
              <w:rPr>
                <w:sz w:val="18"/>
                <w:szCs w:val="18"/>
                <w:lang w:eastAsia="fr-FR"/>
              </w:rPr>
            </w:pPr>
            <w:r w:rsidRPr="00CC5187">
              <w:rPr>
                <w:caps/>
                <w:sz w:val="18"/>
                <w:szCs w:val="18"/>
                <w:lang w:eastAsia="fr-FR"/>
              </w:rPr>
              <w:t>:</w:t>
            </w:r>
          </w:p>
        </w:tc>
        <w:tc>
          <w:tcPr>
            <w:tcW w:w="4469" w:type="dxa"/>
            <w:tcBorders>
              <w:top w:val="single" w:sz="6" w:space="0" w:color="BFBFBF"/>
              <w:left w:val="single" w:sz="6" w:space="0" w:color="BFBFBF"/>
              <w:bottom w:val="single" w:sz="6" w:space="0" w:color="BFBFBF"/>
            </w:tcBorders>
            <w:tcMar>
              <w:top w:w="8" w:type="dxa"/>
              <w:left w:w="108" w:type="dxa"/>
              <w:bottom w:w="8" w:type="dxa"/>
              <w:right w:w="108" w:type="dxa"/>
            </w:tcMar>
          </w:tcPr>
          <w:p w14:paraId="3F84A8CB" w14:textId="77777777" w:rsidR="00BE2CA7" w:rsidRPr="00CC5187" w:rsidRDefault="00BE2CA7" w:rsidP="002B0590">
            <w:pPr>
              <w:keepNext/>
              <w:jc w:val="both"/>
              <w:rPr>
                <w:sz w:val="18"/>
                <w:szCs w:val="18"/>
                <w:lang w:eastAsia="fr-FR"/>
              </w:rPr>
            </w:pPr>
          </w:p>
        </w:tc>
      </w:tr>
    </w:tbl>
    <w:p w14:paraId="0B3E1CB4" w14:textId="77777777" w:rsidR="00BE2CA7" w:rsidRPr="00CC5187" w:rsidRDefault="00BE2CA7" w:rsidP="00BE2CA7">
      <w:pPr>
        <w:rPr>
          <w:b/>
          <w:bCs/>
          <w:lang w:eastAsia="fr-FR"/>
        </w:rPr>
      </w:pPr>
      <w:r w:rsidRPr="00CC5187">
        <w:rPr>
          <w:b/>
          <w:bCs/>
          <w:lang w:eastAsia="fr-FR"/>
        </w:rPr>
        <w:br w:type="page"/>
      </w:r>
    </w:p>
    <w:p w14:paraId="68DFED8B" w14:textId="77777777" w:rsidR="00BE2CA7" w:rsidRPr="00A318C3" w:rsidRDefault="00BE2CA7" w:rsidP="00BE2CA7">
      <w:pPr>
        <w:pStyle w:val="SingleTxtG"/>
        <w:spacing w:before="240"/>
        <w:rPr>
          <w:b/>
          <w:bCs/>
          <w:lang w:val="fr-FR" w:eastAsia="fr-FR"/>
        </w:rPr>
      </w:pPr>
      <w:r w:rsidRPr="004912EA">
        <w:rPr>
          <w:b/>
          <w:bCs/>
          <w:lang w:val="fr-FR" w:eastAsia="fr-FR"/>
        </w:rPr>
        <w:lastRenderedPageBreak/>
        <w:t>1.1.4</w:t>
      </w:r>
      <w:r w:rsidRPr="004912EA">
        <w:rPr>
          <w:b/>
          <w:bCs/>
          <w:lang w:val="fr-FR" w:eastAsia="fr-FR"/>
        </w:rPr>
        <w:tab/>
        <w:t>Système d’alimentation en carburant (le cas échéant)</w:t>
      </w:r>
    </w:p>
    <w:p w14:paraId="71A8EAA0" w14:textId="77777777" w:rsidR="00BE2CA7" w:rsidRPr="00A318C3" w:rsidRDefault="00BE2CA7" w:rsidP="00BE2CA7">
      <w:pPr>
        <w:pStyle w:val="SingleTxtG"/>
        <w:rPr>
          <w:lang w:val="fr-FR" w:eastAsia="fr-FR"/>
        </w:rPr>
      </w:pPr>
      <w:r>
        <w:rPr>
          <w:lang w:val="fr-FR" w:eastAsia="fr-FR"/>
        </w:rPr>
        <w:tab/>
      </w:r>
      <w:r w:rsidRPr="00A318C3">
        <w:rPr>
          <w:lang w:val="fr-FR" w:eastAsia="fr-FR"/>
        </w:rPr>
        <w:tab/>
        <w:t>Si le véhicule est équipé de plusieurs systèmes d</w:t>
      </w:r>
      <w:r>
        <w:rPr>
          <w:lang w:val="fr-FR" w:eastAsia="fr-FR"/>
        </w:rPr>
        <w:t>’</w:t>
      </w:r>
      <w:r w:rsidRPr="00A318C3">
        <w:rPr>
          <w:lang w:val="fr-FR" w:eastAsia="fr-FR"/>
        </w:rPr>
        <w:t>alimentation en carburant, veuillez fournir les informations ci-après pour chacun d</w:t>
      </w:r>
      <w:r>
        <w:rPr>
          <w:lang w:val="fr-FR" w:eastAsia="fr-FR"/>
        </w:rPr>
        <w:t>’</w:t>
      </w:r>
      <w:r w:rsidRPr="00A318C3">
        <w:rPr>
          <w:lang w:val="fr-FR" w:eastAsia="fr-FR"/>
        </w:rPr>
        <w:t>entre eux.</w:t>
      </w:r>
    </w:p>
    <w:tbl>
      <w:tblPr>
        <w:tblW w:w="0" w:type="auto"/>
        <w:tblInd w:w="1134" w:type="dxa"/>
        <w:tblBorders>
          <w:top w:val="single" w:sz="6" w:space="0" w:color="BFBFBF"/>
          <w:left w:val="single" w:sz="6" w:space="0" w:color="BFBFBF"/>
          <w:bottom w:val="single" w:sz="6" w:space="0" w:color="BFBFBF"/>
          <w:right w:val="single" w:sz="6" w:space="0" w:color="BFBFBF"/>
        </w:tblBorders>
        <w:tblCellMar>
          <w:left w:w="0" w:type="dxa"/>
          <w:right w:w="0" w:type="dxa"/>
        </w:tblCellMar>
        <w:tblLook w:val="04A0" w:firstRow="1" w:lastRow="0" w:firstColumn="1" w:lastColumn="0" w:noHBand="0" w:noVBand="1"/>
      </w:tblPr>
      <w:tblGrid>
        <w:gridCol w:w="2977"/>
        <w:gridCol w:w="283"/>
        <w:gridCol w:w="5070"/>
      </w:tblGrid>
      <w:tr w:rsidR="00BE2CA7" w:rsidRPr="00CC5187" w14:paraId="19482E8B" w14:textId="77777777" w:rsidTr="002B0590">
        <w:trPr>
          <w:trHeight w:val="283"/>
        </w:trPr>
        <w:tc>
          <w:tcPr>
            <w:tcW w:w="2977" w:type="dxa"/>
            <w:tcBorders>
              <w:bottom w:val="single" w:sz="6" w:space="0" w:color="BFBFBF"/>
              <w:right w:val="single" w:sz="6" w:space="0" w:color="BFBFBF"/>
            </w:tcBorders>
            <w:tcMar>
              <w:top w:w="8" w:type="dxa"/>
              <w:left w:w="108" w:type="dxa"/>
              <w:bottom w:w="8" w:type="dxa"/>
              <w:right w:w="108" w:type="dxa"/>
            </w:tcMar>
            <w:hideMark/>
          </w:tcPr>
          <w:p w14:paraId="783DE300" w14:textId="77777777" w:rsidR="00BE2CA7" w:rsidRPr="00CC5187" w:rsidRDefault="00BE2CA7" w:rsidP="002B0590">
            <w:pPr>
              <w:jc w:val="both"/>
              <w:rPr>
                <w:sz w:val="18"/>
                <w:szCs w:val="18"/>
                <w:lang w:eastAsia="fr-FR"/>
              </w:rPr>
            </w:pPr>
            <w:r>
              <w:rPr>
                <w:sz w:val="18"/>
                <w:szCs w:val="18"/>
                <w:lang w:eastAsia="fr-FR"/>
              </w:rPr>
              <w:t>I</w:t>
            </w:r>
            <w:r w:rsidRPr="00CC5187">
              <w:rPr>
                <w:sz w:val="18"/>
                <w:szCs w:val="18"/>
                <w:lang w:eastAsia="fr-FR"/>
              </w:rPr>
              <w:t>njection</w:t>
            </w:r>
            <w:r>
              <w:rPr>
                <w:sz w:val="18"/>
                <w:szCs w:val="18"/>
                <w:lang w:eastAsia="fr-FR"/>
              </w:rPr>
              <w:t xml:space="preserve"> directe</w:t>
            </w:r>
          </w:p>
        </w:tc>
        <w:tc>
          <w:tcPr>
            <w:tcW w:w="283" w:type="dxa"/>
            <w:tcBorders>
              <w:left w:val="single" w:sz="6" w:space="0" w:color="BFBFBF"/>
              <w:bottom w:val="single" w:sz="6" w:space="0" w:color="BFBFBF"/>
              <w:right w:val="single" w:sz="6" w:space="0" w:color="BFBFBF"/>
            </w:tcBorders>
            <w:tcMar>
              <w:top w:w="8" w:type="dxa"/>
              <w:left w:w="108" w:type="dxa"/>
              <w:bottom w:w="8" w:type="dxa"/>
              <w:right w:w="108" w:type="dxa"/>
            </w:tcMar>
            <w:hideMark/>
          </w:tcPr>
          <w:p w14:paraId="793A5FF9" w14:textId="77777777" w:rsidR="00BE2CA7" w:rsidRPr="00CC5187" w:rsidRDefault="00BE2CA7" w:rsidP="002B0590">
            <w:pPr>
              <w:jc w:val="both"/>
              <w:rPr>
                <w:sz w:val="18"/>
                <w:szCs w:val="18"/>
                <w:lang w:eastAsia="fr-FR"/>
              </w:rPr>
            </w:pPr>
            <w:r w:rsidRPr="00CC5187">
              <w:rPr>
                <w:b/>
                <w:bCs/>
                <w:caps/>
                <w:sz w:val="18"/>
                <w:szCs w:val="18"/>
                <w:lang w:eastAsia="fr-FR"/>
              </w:rPr>
              <w:t>:</w:t>
            </w:r>
          </w:p>
        </w:tc>
        <w:tc>
          <w:tcPr>
            <w:tcW w:w="5070" w:type="dxa"/>
            <w:tcBorders>
              <w:left w:val="single" w:sz="6" w:space="0" w:color="BFBFBF"/>
              <w:bottom w:val="single" w:sz="6" w:space="0" w:color="BFBFBF"/>
            </w:tcBorders>
            <w:tcMar>
              <w:top w:w="8" w:type="dxa"/>
              <w:left w:w="108" w:type="dxa"/>
              <w:bottom w:w="8" w:type="dxa"/>
              <w:right w:w="108" w:type="dxa"/>
            </w:tcMar>
            <w:hideMark/>
          </w:tcPr>
          <w:p w14:paraId="4F80BFBA" w14:textId="77777777" w:rsidR="00BE2CA7" w:rsidRPr="00CC5187" w:rsidRDefault="00BE2CA7" w:rsidP="002B0590">
            <w:pPr>
              <w:jc w:val="both"/>
              <w:rPr>
                <w:sz w:val="18"/>
                <w:szCs w:val="18"/>
                <w:lang w:eastAsia="fr-FR"/>
              </w:rPr>
            </w:pPr>
            <w:r w:rsidRPr="00B3343D">
              <w:rPr>
                <w:sz w:val="18"/>
                <w:szCs w:val="18"/>
                <w:lang w:eastAsia="fr-FR"/>
              </w:rPr>
              <w:t>oui/non ou description</w:t>
            </w:r>
          </w:p>
        </w:tc>
      </w:tr>
      <w:tr w:rsidR="00BE2CA7" w:rsidRPr="00CC5187" w14:paraId="254D622F" w14:textId="77777777" w:rsidTr="002B0590">
        <w:trPr>
          <w:trHeight w:val="283"/>
        </w:trPr>
        <w:tc>
          <w:tcPr>
            <w:tcW w:w="2977"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012E5A86" w14:textId="77777777" w:rsidR="00BE2CA7" w:rsidRPr="00CC5187" w:rsidRDefault="00BE2CA7" w:rsidP="002B0590">
            <w:pPr>
              <w:jc w:val="both"/>
              <w:rPr>
                <w:sz w:val="18"/>
                <w:szCs w:val="18"/>
                <w:lang w:eastAsia="fr-FR"/>
              </w:rPr>
            </w:pPr>
            <w:r>
              <w:rPr>
                <w:sz w:val="18"/>
                <w:szCs w:val="18"/>
                <w:lang w:eastAsia="fr-FR"/>
              </w:rPr>
              <w:t>Type de carburant</w:t>
            </w:r>
          </w:p>
        </w:tc>
        <w:tc>
          <w:tcPr>
            <w:tcW w:w="283"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6A5379DA" w14:textId="77777777" w:rsidR="00BE2CA7" w:rsidRPr="00CC5187" w:rsidRDefault="00BE2CA7" w:rsidP="002B0590">
            <w:pPr>
              <w:jc w:val="both"/>
              <w:rPr>
                <w:sz w:val="18"/>
                <w:szCs w:val="18"/>
                <w:lang w:eastAsia="fr-FR"/>
              </w:rPr>
            </w:pPr>
            <w:r w:rsidRPr="00CC5187">
              <w:rPr>
                <w:b/>
                <w:bCs/>
                <w:caps/>
                <w:sz w:val="18"/>
                <w:szCs w:val="18"/>
                <w:lang w:eastAsia="fr-FR"/>
              </w:rPr>
              <w:t>:</w:t>
            </w:r>
          </w:p>
        </w:tc>
        <w:tc>
          <w:tcPr>
            <w:tcW w:w="5070" w:type="dxa"/>
            <w:tcBorders>
              <w:top w:val="single" w:sz="6" w:space="0" w:color="BFBFBF"/>
              <w:left w:val="single" w:sz="6" w:space="0" w:color="BFBFBF"/>
              <w:bottom w:val="single" w:sz="6" w:space="0" w:color="BFBFBF"/>
            </w:tcBorders>
            <w:tcMar>
              <w:top w:w="8" w:type="dxa"/>
              <w:left w:w="108" w:type="dxa"/>
              <w:bottom w:w="8" w:type="dxa"/>
              <w:right w:w="108" w:type="dxa"/>
            </w:tcMar>
            <w:hideMark/>
          </w:tcPr>
          <w:p w14:paraId="1F76A2B9" w14:textId="77777777" w:rsidR="00BE2CA7" w:rsidRPr="00CC5187" w:rsidRDefault="00BE2CA7" w:rsidP="002B0590">
            <w:pPr>
              <w:jc w:val="both"/>
              <w:rPr>
                <w:sz w:val="18"/>
                <w:szCs w:val="18"/>
                <w:lang w:eastAsia="fr-FR"/>
              </w:rPr>
            </w:pPr>
            <w:proofErr w:type="spellStart"/>
            <w:r w:rsidRPr="00E26AC4">
              <w:rPr>
                <w:sz w:val="18"/>
                <w:szCs w:val="18"/>
                <w:lang w:eastAsia="fr-FR"/>
              </w:rPr>
              <w:t>Monocarburant</w:t>
            </w:r>
            <w:proofErr w:type="spellEnd"/>
            <w:r w:rsidRPr="00E26AC4">
              <w:rPr>
                <w:sz w:val="18"/>
                <w:szCs w:val="18"/>
                <w:lang w:eastAsia="fr-FR"/>
              </w:rPr>
              <w:t xml:space="preserve">/bicarburant/polycarburant </w:t>
            </w:r>
          </w:p>
        </w:tc>
      </w:tr>
      <w:tr w:rsidR="00BE2CA7" w:rsidRPr="00CC5187" w14:paraId="6B330D26" w14:textId="77777777" w:rsidTr="002B0590">
        <w:trPr>
          <w:trHeight w:val="283"/>
        </w:trPr>
        <w:tc>
          <w:tcPr>
            <w:tcW w:w="8330" w:type="dxa"/>
            <w:gridSpan w:val="3"/>
            <w:tcBorders>
              <w:top w:val="single" w:sz="6" w:space="0" w:color="BFBFBF"/>
              <w:bottom w:val="single" w:sz="6" w:space="0" w:color="BFBFBF"/>
            </w:tcBorders>
            <w:tcMar>
              <w:top w:w="8" w:type="dxa"/>
              <w:left w:w="108" w:type="dxa"/>
              <w:bottom w:w="8" w:type="dxa"/>
              <w:right w:w="108" w:type="dxa"/>
            </w:tcMar>
            <w:hideMark/>
          </w:tcPr>
          <w:p w14:paraId="24BC69C9" w14:textId="77777777" w:rsidR="00BE2CA7" w:rsidRPr="00CC5187" w:rsidRDefault="00BE2CA7" w:rsidP="002B0590">
            <w:pPr>
              <w:jc w:val="both"/>
              <w:rPr>
                <w:sz w:val="18"/>
                <w:szCs w:val="18"/>
                <w:lang w:eastAsia="fr-FR"/>
              </w:rPr>
            </w:pPr>
            <w:r>
              <w:rPr>
                <w:sz w:val="18"/>
                <w:szCs w:val="18"/>
                <w:lang w:eastAsia="fr-FR"/>
              </w:rPr>
              <w:t>Module de commande</w:t>
            </w:r>
          </w:p>
        </w:tc>
      </w:tr>
      <w:tr w:rsidR="00BE2CA7" w:rsidRPr="00CC5187" w14:paraId="27BE01EA" w14:textId="77777777" w:rsidTr="002B0590">
        <w:trPr>
          <w:trHeight w:val="283"/>
        </w:trPr>
        <w:tc>
          <w:tcPr>
            <w:tcW w:w="2977"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208C4F70" w14:textId="77777777" w:rsidR="00BE2CA7" w:rsidRPr="00CC5187" w:rsidRDefault="00BE2CA7" w:rsidP="002B0590">
            <w:pPr>
              <w:ind w:left="355"/>
              <w:jc w:val="both"/>
              <w:rPr>
                <w:sz w:val="18"/>
                <w:szCs w:val="18"/>
                <w:lang w:eastAsia="fr-FR"/>
              </w:rPr>
            </w:pPr>
            <w:r>
              <w:rPr>
                <w:sz w:val="18"/>
                <w:szCs w:val="18"/>
                <w:lang w:eastAsia="fr-FR"/>
              </w:rPr>
              <w:t>Référence de la pièce</w:t>
            </w:r>
          </w:p>
        </w:tc>
        <w:tc>
          <w:tcPr>
            <w:tcW w:w="283"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41D02D11" w14:textId="77777777" w:rsidR="00BE2CA7" w:rsidRPr="00CC5187" w:rsidRDefault="00BE2CA7" w:rsidP="002B0590">
            <w:pPr>
              <w:jc w:val="both"/>
              <w:rPr>
                <w:sz w:val="18"/>
                <w:szCs w:val="18"/>
                <w:lang w:eastAsia="fr-FR"/>
              </w:rPr>
            </w:pPr>
            <w:r w:rsidRPr="00CC5187">
              <w:rPr>
                <w:b/>
                <w:bCs/>
                <w:caps/>
                <w:sz w:val="18"/>
                <w:szCs w:val="18"/>
                <w:lang w:eastAsia="fr-FR"/>
              </w:rPr>
              <w:t>:</w:t>
            </w:r>
          </w:p>
        </w:tc>
        <w:tc>
          <w:tcPr>
            <w:tcW w:w="5070" w:type="dxa"/>
            <w:tcBorders>
              <w:top w:val="single" w:sz="6" w:space="0" w:color="BFBFBF"/>
              <w:left w:val="single" w:sz="6" w:space="0" w:color="BFBFBF"/>
              <w:bottom w:val="single" w:sz="6" w:space="0" w:color="BFBFBF"/>
            </w:tcBorders>
            <w:tcMar>
              <w:top w:w="8" w:type="dxa"/>
              <w:left w:w="108" w:type="dxa"/>
              <w:bottom w:w="8" w:type="dxa"/>
              <w:right w:w="108" w:type="dxa"/>
            </w:tcMar>
            <w:hideMark/>
          </w:tcPr>
          <w:p w14:paraId="6A5DB38C" w14:textId="77777777" w:rsidR="00BE2CA7" w:rsidRPr="00CC5187" w:rsidRDefault="00BE2CA7" w:rsidP="002B0590">
            <w:pPr>
              <w:jc w:val="both"/>
              <w:rPr>
                <w:sz w:val="18"/>
                <w:szCs w:val="18"/>
                <w:lang w:eastAsia="fr-FR"/>
              </w:rPr>
            </w:pPr>
            <w:r w:rsidRPr="003641B1">
              <w:rPr>
                <w:sz w:val="18"/>
                <w:szCs w:val="18"/>
                <w:lang w:eastAsia="fr-FR"/>
              </w:rPr>
              <w:t>comme dans la fiche de renseignements</w:t>
            </w:r>
          </w:p>
        </w:tc>
      </w:tr>
      <w:tr w:rsidR="00BE2CA7" w:rsidRPr="003641B1" w14:paraId="4206BF06" w14:textId="77777777" w:rsidTr="002B0590">
        <w:trPr>
          <w:trHeight w:val="283"/>
        </w:trPr>
        <w:tc>
          <w:tcPr>
            <w:tcW w:w="2977"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3F5C31BE" w14:textId="77777777" w:rsidR="00BE2CA7" w:rsidRPr="00CC5187" w:rsidRDefault="00BE2CA7" w:rsidP="002B0590">
            <w:pPr>
              <w:ind w:left="355"/>
              <w:jc w:val="both"/>
              <w:rPr>
                <w:sz w:val="18"/>
                <w:szCs w:val="18"/>
                <w:lang w:eastAsia="fr-FR"/>
              </w:rPr>
            </w:pPr>
            <w:r w:rsidRPr="003641B1">
              <w:rPr>
                <w:sz w:val="18"/>
                <w:szCs w:val="18"/>
                <w:lang w:eastAsia="fr-FR"/>
              </w:rPr>
              <w:t xml:space="preserve">Logiciels soumis à </w:t>
            </w:r>
            <w:r>
              <w:rPr>
                <w:sz w:val="18"/>
                <w:szCs w:val="18"/>
                <w:lang w:eastAsia="fr-FR"/>
              </w:rPr>
              <w:t>l’</w:t>
            </w:r>
            <w:r w:rsidRPr="003641B1">
              <w:rPr>
                <w:sz w:val="18"/>
                <w:szCs w:val="18"/>
                <w:lang w:eastAsia="fr-FR"/>
              </w:rPr>
              <w:t xml:space="preserve">essai </w:t>
            </w:r>
          </w:p>
        </w:tc>
        <w:tc>
          <w:tcPr>
            <w:tcW w:w="283"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4EED27A8" w14:textId="77777777" w:rsidR="00BE2CA7" w:rsidRPr="00CC5187" w:rsidRDefault="00BE2CA7" w:rsidP="002B0590">
            <w:pPr>
              <w:jc w:val="both"/>
              <w:rPr>
                <w:sz w:val="18"/>
                <w:szCs w:val="18"/>
                <w:lang w:eastAsia="fr-FR"/>
              </w:rPr>
            </w:pPr>
            <w:r w:rsidRPr="00CC5187">
              <w:rPr>
                <w:b/>
                <w:bCs/>
                <w:caps/>
                <w:sz w:val="18"/>
                <w:szCs w:val="18"/>
                <w:lang w:eastAsia="fr-FR"/>
              </w:rPr>
              <w:t>:</w:t>
            </w:r>
          </w:p>
        </w:tc>
        <w:tc>
          <w:tcPr>
            <w:tcW w:w="5070" w:type="dxa"/>
            <w:tcBorders>
              <w:top w:val="single" w:sz="6" w:space="0" w:color="BFBFBF"/>
              <w:left w:val="single" w:sz="6" w:space="0" w:color="BFBFBF"/>
              <w:bottom w:val="single" w:sz="6" w:space="0" w:color="BFBFBF"/>
            </w:tcBorders>
            <w:tcMar>
              <w:top w:w="8" w:type="dxa"/>
              <w:left w:w="108" w:type="dxa"/>
              <w:bottom w:w="8" w:type="dxa"/>
              <w:right w:w="108" w:type="dxa"/>
            </w:tcMar>
            <w:hideMark/>
          </w:tcPr>
          <w:p w14:paraId="7B172581" w14:textId="77777777" w:rsidR="00BE2CA7" w:rsidRPr="00A318C3" w:rsidRDefault="00BE2CA7" w:rsidP="002B0590">
            <w:pPr>
              <w:jc w:val="both"/>
              <w:rPr>
                <w:sz w:val="18"/>
                <w:szCs w:val="18"/>
                <w:lang w:val="fr-FR" w:eastAsia="fr-FR"/>
              </w:rPr>
            </w:pPr>
            <w:r w:rsidRPr="00A318C3">
              <w:rPr>
                <w:sz w:val="18"/>
                <w:szCs w:val="18"/>
                <w:lang w:val="fr-FR" w:eastAsia="fr-FR"/>
              </w:rPr>
              <w:t>lecture au moyen d</w:t>
            </w:r>
            <w:r>
              <w:rPr>
                <w:sz w:val="18"/>
                <w:szCs w:val="18"/>
                <w:lang w:val="fr-FR" w:eastAsia="fr-FR"/>
              </w:rPr>
              <w:t>’</w:t>
            </w:r>
            <w:r w:rsidRPr="00A318C3">
              <w:rPr>
                <w:sz w:val="18"/>
                <w:szCs w:val="18"/>
                <w:lang w:val="fr-FR" w:eastAsia="fr-FR"/>
              </w:rPr>
              <w:t>un analyseur de diagnostic, par exemple</w:t>
            </w:r>
          </w:p>
        </w:tc>
      </w:tr>
      <w:tr w:rsidR="00BE2CA7" w:rsidRPr="00CC5187" w14:paraId="386A1518" w14:textId="77777777" w:rsidTr="002B0590">
        <w:trPr>
          <w:trHeight w:val="283"/>
        </w:trPr>
        <w:tc>
          <w:tcPr>
            <w:tcW w:w="2977"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17DB1815" w14:textId="77777777" w:rsidR="00BE2CA7" w:rsidRPr="00CC5187" w:rsidRDefault="00BE2CA7" w:rsidP="002B0590">
            <w:pPr>
              <w:jc w:val="both"/>
              <w:rPr>
                <w:sz w:val="18"/>
                <w:szCs w:val="18"/>
                <w:lang w:eastAsia="fr-FR"/>
              </w:rPr>
            </w:pPr>
            <w:r w:rsidRPr="00F5072E">
              <w:rPr>
                <w:sz w:val="18"/>
                <w:szCs w:val="18"/>
                <w:lang w:eastAsia="fr-FR"/>
              </w:rPr>
              <w:t>Débitmètre d</w:t>
            </w:r>
            <w:r>
              <w:rPr>
                <w:sz w:val="18"/>
                <w:szCs w:val="18"/>
                <w:lang w:eastAsia="fr-FR"/>
              </w:rPr>
              <w:t>’</w:t>
            </w:r>
            <w:r w:rsidRPr="00F5072E">
              <w:rPr>
                <w:sz w:val="18"/>
                <w:szCs w:val="18"/>
                <w:lang w:eastAsia="fr-FR"/>
              </w:rPr>
              <w:t xml:space="preserve">air </w:t>
            </w:r>
          </w:p>
        </w:tc>
        <w:tc>
          <w:tcPr>
            <w:tcW w:w="283"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4B379B5F" w14:textId="77777777" w:rsidR="00BE2CA7" w:rsidRPr="00CC5187" w:rsidRDefault="00BE2CA7" w:rsidP="002B0590">
            <w:pPr>
              <w:jc w:val="both"/>
              <w:rPr>
                <w:sz w:val="18"/>
                <w:szCs w:val="18"/>
                <w:lang w:eastAsia="fr-FR"/>
              </w:rPr>
            </w:pPr>
            <w:r w:rsidRPr="00CC5187">
              <w:rPr>
                <w:b/>
                <w:bCs/>
                <w:caps/>
                <w:sz w:val="18"/>
                <w:szCs w:val="18"/>
                <w:lang w:eastAsia="fr-FR"/>
              </w:rPr>
              <w:t>:</w:t>
            </w:r>
          </w:p>
        </w:tc>
        <w:tc>
          <w:tcPr>
            <w:tcW w:w="5070" w:type="dxa"/>
            <w:tcBorders>
              <w:top w:val="single" w:sz="6" w:space="0" w:color="BFBFBF"/>
              <w:left w:val="single" w:sz="6" w:space="0" w:color="BFBFBF"/>
              <w:bottom w:val="single" w:sz="6" w:space="0" w:color="BFBFBF"/>
            </w:tcBorders>
            <w:tcMar>
              <w:top w:w="8" w:type="dxa"/>
              <w:left w:w="108" w:type="dxa"/>
              <w:bottom w:w="8" w:type="dxa"/>
              <w:right w:w="108" w:type="dxa"/>
            </w:tcMar>
          </w:tcPr>
          <w:p w14:paraId="2F5058C4" w14:textId="77777777" w:rsidR="00BE2CA7" w:rsidRPr="00CC5187" w:rsidRDefault="00BE2CA7" w:rsidP="002B0590">
            <w:pPr>
              <w:jc w:val="both"/>
              <w:rPr>
                <w:sz w:val="18"/>
                <w:szCs w:val="18"/>
                <w:lang w:eastAsia="fr-FR"/>
              </w:rPr>
            </w:pPr>
          </w:p>
        </w:tc>
      </w:tr>
      <w:tr w:rsidR="00BE2CA7" w:rsidRPr="00CC5187" w14:paraId="6F47F90A" w14:textId="77777777" w:rsidTr="002B0590">
        <w:trPr>
          <w:trHeight w:val="283"/>
        </w:trPr>
        <w:tc>
          <w:tcPr>
            <w:tcW w:w="2977"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58B814E8" w14:textId="77777777" w:rsidR="00BE2CA7" w:rsidRPr="00CC5187" w:rsidRDefault="00BE2CA7" w:rsidP="002B0590">
            <w:pPr>
              <w:jc w:val="both"/>
              <w:rPr>
                <w:sz w:val="18"/>
                <w:szCs w:val="18"/>
                <w:lang w:eastAsia="fr-FR"/>
              </w:rPr>
            </w:pPr>
            <w:r w:rsidRPr="001C1E83">
              <w:rPr>
                <w:sz w:val="18"/>
                <w:szCs w:val="18"/>
                <w:lang w:eastAsia="fr-FR"/>
              </w:rPr>
              <w:t xml:space="preserve">Boîtier papillon </w:t>
            </w:r>
          </w:p>
        </w:tc>
        <w:tc>
          <w:tcPr>
            <w:tcW w:w="283"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2906E44B" w14:textId="77777777" w:rsidR="00BE2CA7" w:rsidRPr="00CC5187" w:rsidRDefault="00BE2CA7" w:rsidP="002B0590">
            <w:pPr>
              <w:jc w:val="both"/>
              <w:rPr>
                <w:sz w:val="18"/>
                <w:szCs w:val="18"/>
                <w:lang w:eastAsia="fr-FR"/>
              </w:rPr>
            </w:pPr>
            <w:r w:rsidRPr="00CC5187">
              <w:rPr>
                <w:b/>
                <w:bCs/>
                <w:caps/>
                <w:sz w:val="18"/>
                <w:szCs w:val="18"/>
                <w:lang w:eastAsia="fr-FR"/>
              </w:rPr>
              <w:t>:</w:t>
            </w:r>
          </w:p>
        </w:tc>
        <w:tc>
          <w:tcPr>
            <w:tcW w:w="5070" w:type="dxa"/>
            <w:tcBorders>
              <w:top w:val="single" w:sz="6" w:space="0" w:color="BFBFBF"/>
              <w:left w:val="single" w:sz="6" w:space="0" w:color="BFBFBF"/>
              <w:bottom w:val="single" w:sz="6" w:space="0" w:color="BFBFBF"/>
            </w:tcBorders>
            <w:tcMar>
              <w:top w:w="8" w:type="dxa"/>
              <w:left w:w="108" w:type="dxa"/>
              <w:bottom w:w="8" w:type="dxa"/>
              <w:right w:w="108" w:type="dxa"/>
            </w:tcMar>
          </w:tcPr>
          <w:p w14:paraId="0870ED30" w14:textId="77777777" w:rsidR="00BE2CA7" w:rsidRPr="00CC5187" w:rsidRDefault="00BE2CA7" w:rsidP="002B0590">
            <w:pPr>
              <w:jc w:val="both"/>
              <w:rPr>
                <w:sz w:val="18"/>
                <w:szCs w:val="18"/>
                <w:lang w:eastAsia="fr-FR"/>
              </w:rPr>
            </w:pPr>
          </w:p>
        </w:tc>
      </w:tr>
      <w:tr w:rsidR="00BE2CA7" w:rsidRPr="00CC5187" w14:paraId="52F37BA4" w14:textId="77777777" w:rsidTr="002B0590">
        <w:trPr>
          <w:trHeight w:val="283"/>
        </w:trPr>
        <w:tc>
          <w:tcPr>
            <w:tcW w:w="2977"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3729F416" w14:textId="77777777" w:rsidR="00BE2CA7" w:rsidRPr="00CC5187" w:rsidRDefault="00BE2CA7" w:rsidP="002B0590">
            <w:pPr>
              <w:jc w:val="both"/>
              <w:rPr>
                <w:sz w:val="18"/>
                <w:szCs w:val="18"/>
                <w:lang w:eastAsia="fr-FR"/>
              </w:rPr>
            </w:pPr>
            <w:r w:rsidRPr="001C1E83">
              <w:rPr>
                <w:sz w:val="18"/>
                <w:szCs w:val="18"/>
                <w:lang w:eastAsia="fr-FR"/>
              </w:rPr>
              <w:t xml:space="preserve">Capteur de pression </w:t>
            </w:r>
          </w:p>
        </w:tc>
        <w:tc>
          <w:tcPr>
            <w:tcW w:w="283"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5F85C8C8" w14:textId="77777777" w:rsidR="00BE2CA7" w:rsidRPr="00CC5187" w:rsidRDefault="00BE2CA7" w:rsidP="002B0590">
            <w:pPr>
              <w:jc w:val="both"/>
              <w:rPr>
                <w:sz w:val="18"/>
                <w:szCs w:val="18"/>
                <w:lang w:eastAsia="fr-FR"/>
              </w:rPr>
            </w:pPr>
            <w:r w:rsidRPr="00CC5187">
              <w:rPr>
                <w:b/>
                <w:bCs/>
                <w:caps/>
                <w:sz w:val="18"/>
                <w:szCs w:val="18"/>
                <w:lang w:eastAsia="fr-FR"/>
              </w:rPr>
              <w:t>:</w:t>
            </w:r>
          </w:p>
        </w:tc>
        <w:tc>
          <w:tcPr>
            <w:tcW w:w="5070" w:type="dxa"/>
            <w:tcBorders>
              <w:top w:val="single" w:sz="6" w:space="0" w:color="BFBFBF"/>
              <w:left w:val="single" w:sz="6" w:space="0" w:color="BFBFBF"/>
              <w:bottom w:val="single" w:sz="6" w:space="0" w:color="BFBFBF"/>
            </w:tcBorders>
            <w:tcMar>
              <w:top w:w="8" w:type="dxa"/>
              <w:left w:w="108" w:type="dxa"/>
              <w:bottom w:w="8" w:type="dxa"/>
              <w:right w:w="108" w:type="dxa"/>
            </w:tcMar>
          </w:tcPr>
          <w:p w14:paraId="2A7483DD" w14:textId="77777777" w:rsidR="00BE2CA7" w:rsidRPr="00CC5187" w:rsidRDefault="00BE2CA7" w:rsidP="002B0590">
            <w:pPr>
              <w:jc w:val="both"/>
              <w:rPr>
                <w:sz w:val="18"/>
                <w:szCs w:val="18"/>
                <w:lang w:eastAsia="fr-FR"/>
              </w:rPr>
            </w:pPr>
          </w:p>
        </w:tc>
      </w:tr>
      <w:tr w:rsidR="00BE2CA7" w:rsidRPr="00CC5187" w14:paraId="10674BE3" w14:textId="77777777" w:rsidTr="002B0590">
        <w:trPr>
          <w:trHeight w:val="283"/>
        </w:trPr>
        <w:tc>
          <w:tcPr>
            <w:tcW w:w="2977"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61DB31EB" w14:textId="77777777" w:rsidR="00BE2CA7" w:rsidRPr="00CC5187" w:rsidRDefault="00BE2CA7" w:rsidP="002B0590">
            <w:pPr>
              <w:jc w:val="both"/>
              <w:rPr>
                <w:sz w:val="18"/>
                <w:szCs w:val="18"/>
                <w:lang w:eastAsia="fr-FR"/>
              </w:rPr>
            </w:pPr>
            <w:r w:rsidRPr="001C1E83">
              <w:rPr>
                <w:sz w:val="18"/>
                <w:szCs w:val="18"/>
                <w:lang w:eastAsia="fr-FR"/>
              </w:rPr>
              <w:t>Pompe d</w:t>
            </w:r>
            <w:r>
              <w:rPr>
                <w:sz w:val="18"/>
                <w:szCs w:val="18"/>
                <w:lang w:eastAsia="fr-FR"/>
              </w:rPr>
              <w:t>’</w:t>
            </w:r>
            <w:r w:rsidRPr="001C1E83">
              <w:rPr>
                <w:sz w:val="18"/>
                <w:szCs w:val="18"/>
                <w:lang w:eastAsia="fr-FR"/>
              </w:rPr>
              <w:t xml:space="preserve">injection </w:t>
            </w:r>
          </w:p>
        </w:tc>
        <w:tc>
          <w:tcPr>
            <w:tcW w:w="283"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3117016D" w14:textId="77777777" w:rsidR="00BE2CA7" w:rsidRPr="00CC5187" w:rsidRDefault="00BE2CA7" w:rsidP="002B0590">
            <w:pPr>
              <w:jc w:val="both"/>
              <w:rPr>
                <w:sz w:val="18"/>
                <w:szCs w:val="18"/>
                <w:lang w:eastAsia="fr-FR"/>
              </w:rPr>
            </w:pPr>
            <w:r w:rsidRPr="00CC5187">
              <w:rPr>
                <w:b/>
                <w:bCs/>
                <w:caps/>
                <w:sz w:val="18"/>
                <w:szCs w:val="18"/>
                <w:lang w:eastAsia="fr-FR"/>
              </w:rPr>
              <w:t>:</w:t>
            </w:r>
          </w:p>
        </w:tc>
        <w:tc>
          <w:tcPr>
            <w:tcW w:w="5070" w:type="dxa"/>
            <w:tcBorders>
              <w:top w:val="single" w:sz="6" w:space="0" w:color="BFBFBF"/>
              <w:left w:val="single" w:sz="6" w:space="0" w:color="BFBFBF"/>
              <w:bottom w:val="single" w:sz="6" w:space="0" w:color="BFBFBF"/>
            </w:tcBorders>
            <w:tcMar>
              <w:top w:w="8" w:type="dxa"/>
              <w:left w:w="108" w:type="dxa"/>
              <w:bottom w:w="8" w:type="dxa"/>
              <w:right w:w="108" w:type="dxa"/>
            </w:tcMar>
          </w:tcPr>
          <w:p w14:paraId="5A9E9281" w14:textId="77777777" w:rsidR="00BE2CA7" w:rsidRPr="00CC5187" w:rsidRDefault="00BE2CA7" w:rsidP="002B0590">
            <w:pPr>
              <w:jc w:val="both"/>
              <w:rPr>
                <w:sz w:val="18"/>
                <w:szCs w:val="18"/>
                <w:lang w:eastAsia="fr-FR"/>
              </w:rPr>
            </w:pPr>
          </w:p>
        </w:tc>
      </w:tr>
      <w:tr w:rsidR="00BE2CA7" w:rsidRPr="00CC5187" w14:paraId="7DC1641C" w14:textId="77777777" w:rsidTr="002B0590">
        <w:trPr>
          <w:trHeight w:val="283"/>
        </w:trPr>
        <w:tc>
          <w:tcPr>
            <w:tcW w:w="2977" w:type="dxa"/>
            <w:tcBorders>
              <w:top w:val="single" w:sz="6" w:space="0" w:color="BFBFBF"/>
              <w:right w:val="single" w:sz="6" w:space="0" w:color="BFBFBF"/>
            </w:tcBorders>
            <w:tcMar>
              <w:top w:w="8" w:type="dxa"/>
              <w:left w:w="108" w:type="dxa"/>
              <w:bottom w:w="8" w:type="dxa"/>
              <w:right w:w="108" w:type="dxa"/>
            </w:tcMar>
            <w:hideMark/>
          </w:tcPr>
          <w:p w14:paraId="65D701F4" w14:textId="77777777" w:rsidR="00BE2CA7" w:rsidRPr="00CC5187" w:rsidRDefault="00BE2CA7" w:rsidP="002B0590">
            <w:pPr>
              <w:jc w:val="both"/>
              <w:rPr>
                <w:sz w:val="18"/>
                <w:szCs w:val="18"/>
                <w:lang w:eastAsia="fr-FR"/>
              </w:rPr>
            </w:pPr>
            <w:r w:rsidRPr="001C1E83">
              <w:rPr>
                <w:sz w:val="18"/>
                <w:szCs w:val="18"/>
                <w:lang w:eastAsia="fr-FR"/>
              </w:rPr>
              <w:t xml:space="preserve">Injecteur(s) </w:t>
            </w:r>
          </w:p>
        </w:tc>
        <w:tc>
          <w:tcPr>
            <w:tcW w:w="283" w:type="dxa"/>
            <w:tcBorders>
              <w:top w:val="single" w:sz="6" w:space="0" w:color="BFBFBF"/>
              <w:left w:val="single" w:sz="6" w:space="0" w:color="BFBFBF"/>
              <w:right w:val="single" w:sz="6" w:space="0" w:color="BFBFBF"/>
            </w:tcBorders>
            <w:tcMar>
              <w:top w:w="8" w:type="dxa"/>
              <w:left w:w="108" w:type="dxa"/>
              <w:bottom w:w="8" w:type="dxa"/>
              <w:right w:w="108" w:type="dxa"/>
            </w:tcMar>
            <w:hideMark/>
          </w:tcPr>
          <w:p w14:paraId="0472DA37" w14:textId="77777777" w:rsidR="00BE2CA7" w:rsidRPr="00CC5187" w:rsidRDefault="00BE2CA7" w:rsidP="002B0590">
            <w:pPr>
              <w:jc w:val="both"/>
              <w:rPr>
                <w:sz w:val="18"/>
                <w:szCs w:val="18"/>
                <w:lang w:eastAsia="fr-FR"/>
              </w:rPr>
            </w:pPr>
            <w:r w:rsidRPr="00CC5187">
              <w:rPr>
                <w:b/>
                <w:bCs/>
                <w:caps/>
                <w:sz w:val="18"/>
                <w:szCs w:val="18"/>
                <w:lang w:eastAsia="fr-FR"/>
              </w:rPr>
              <w:t>:</w:t>
            </w:r>
          </w:p>
        </w:tc>
        <w:tc>
          <w:tcPr>
            <w:tcW w:w="5070" w:type="dxa"/>
            <w:tcBorders>
              <w:top w:val="single" w:sz="6" w:space="0" w:color="BFBFBF"/>
              <w:left w:val="single" w:sz="6" w:space="0" w:color="BFBFBF"/>
            </w:tcBorders>
            <w:tcMar>
              <w:top w:w="8" w:type="dxa"/>
              <w:left w:w="108" w:type="dxa"/>
              <w:bottom w:w="8" w:type="dxa"/>
              <w:right w:w="108" w:type="dxa"/>
            </w:tcMar>
          </w:tcPr>
          <w:p w14:paraId="452A2B06" w14:textId="77777777" w:rsidR="00BE2CA7" w:rsidRPr="00CC5187" w:rsidRDefault="00BE2CA7" w:rsidP="002B0590">
            <w:pPr>
              <w:jc w:val="both"/>
              <w:rPr>
                <w:sz w:val="18"/>
                <w:szCs w:val="18"/>
                <w:lang w:eastAsia="fr-FR"/>
              </w:rPr>
            </w:pPr>
          </w:p>
        </w:tc>
      </w:tr>
    </w:tbl>
    <w:p w14:paraId="7F2A8BB1" w14:textId="77777777" w:rsidR="00BE2CA7" w:rsidRPr="00CC5187" w:rsidRDefault="00BE2CA7" w:rsidP="00BE2CA7">
      <w:pPr>
        <w:pStyle w:val="SingleTxtG"/>
        <w:spacing w:before="240"/>
        <w:rPr>
          <w:b/>
          <w:bCs/>
          <w:lang w:eastAsia="fr-FR"/>
        </w:rPr>
      </w:pPr>
      <w:r w:rsidRPr="00CC5187">
        <w:rPr>
          <w:b/>
          <w:bCs/>
          <w:lang w:eastAsia="fr-FR"/>
        </w:rPr>
        <w:t>1.1.5</w:t>
      </w:r>
      <w:r w:rsidRPr="00CC5187">
        <w:rPr>
          <w:b/>
          <w:bCs/>
          <w:lang w:eastAsia="fr-FR"/>
        </w:rPr>
        <w:tab/>
      </w:r>
      <w:r w:rsidRPr="00560195">
        <w:rPr>
          <w:b/>
          <w:bCs/>
          <w:lang w:eastAsia="fr-FR"/>
        </w:rPr>
        <w:t>Système d</w:t>
      </w:r>
      <w:r>
        <w:rPr>
          <w:b/>
          <w:bCs/>
          <w:lang w:eastAsia="fr-FR"/>
        </w:rPr>
        <w:t>’</w:t>
      </w:r>
      <w:r w:rsidRPr="00560195">
        <w:rPr>
          <w:b/>
          <w:bCs/>
          <w:lang w:eastAsia="fr-FR"/>
        </w:rPr>
        <w:t>admission (le cas échéant)</w:t>
      </w:r>
    </w:p>
    <w:p w14:paraId="1E3DF984" w14:textId="77777777" w:rsidR="00BE2CA7" w:rsidRPr="00A318C3" w:rsidRDefault="00BE2CA7" w:rsidP="00BE2CA7">
      <w:pPr>
        <w:pStyle w:val="SingleTxtG"/>
        <w:ind w:firstLine="567"/>
        <w:rPr>
          <w:lang w:val="fr-FR" w:eastAsia="fr-FR"/>
        </w:rPr>
      </w:pPr>
      <w:r w:rsidRPr="00A318C3">
        <w:rPr>
          <w:lang w:val="fr-FR" w:eastAsia="fr-FR"/>
        </w:rPr>
        <w:t>Si le véhicule est équipé de plusieurs systèmes d</w:t>
      </w:r>
      <w:r>
        <w:rPr>
          <w:lang w:val="fr-FR" w:eastAsia="fr-FR"/>
        </w:rPr>
        <w:t>’</w:t>
      </w:r>
      <w:r w:rsidRPr="00A318C3">
        <w:rPr>
          <w:lang w:val="fr-FR" w:eastAsia="fr-FR"/>
        </w:rPr>
        <w:t>admission, veuillez fournir les informations ci-après pour chacun d</w:t>
      </w:r>
      <w:r>
        <w:rPr>
          <w:lang w:val="fr-FR" w:eastAsia="fr-FR"/>
        </w:rPr>
        <w:t>’</w:t>
      </w:r>
      <w:r w:rsidRPr="00A318C3">
        <w:rPr>
          <w:lang w:val="fr-FR" w:eastAsia="fr-FR"/>
        </w:rPr>
        <w:t>entre eux.</w:t>
      </w:r>
    </w:p>
    <w:tbl>
      <w:tblPr>
        <w:tblW w:w="0" w:type="auto"/>
        <w:tblInd w:w="1134" w:type="dxa"/>
        <w:tblBorders>
          <w:top w:val="single" w:sz="6" w:space="0" w:color="BFBFBF"/>
          <w:left w:val="single" w:sz="6" w:space="0" w:color="BFBFBF"/>
          <w:bottom w:val="single" w:sz="6" w:space="0" w:color="BFBFBF"/>
          <w:right w:val="single" w:sz="6" w:space="0" w:color="BFBFBF"/>
        </w:tblBorders>
        <w:tblCellMar>
          <w:left w:w="0" w:type="dxa"/>
          <w:right w:w="0" w:type="dxa"/>
        </w:tblCellMar>
        <w:tblLook w:val="04A0" w:firstRow="1" w:lastRow="0" w:firstColumn="1" w:lastColumn="0" w:noHBand="0" w:noVBand="1"/>
      </w:tblPr>
      <w:tblGrid>
        <w:gridCol w:w="3118"/>
        <w:gridCol w:w="284"/>
        <w:gridCol w:w="4928"/>
      </w:tblGrid>
      <w:tr w:rsidR="00BE2CA7" w:rsidRPr="00CC5187" w14:paraId="2E36CFC5" w14:textId="77777777" w:rsidTr="002B0590">
        <w:trPr>
          <w:trHeight w:val="283"/>
        </w:trPr>
        <w:tc>
          <w:tcPr>
            <w:tcW w:w="3118" w:type="dxa"/>
            <w:tcBorders>
              <w:bottom w:val="single" w:sz="6" w:space="0" w:color="BFBFBF"/>
              <w:right w:val="single" w:sz="6" w:space="0" w:color="BFBFBF"/>
            </w:tcBorders>
            <w:tcMar>
              <w:top w:w="8" w:type="dxa"/>
              <w:left w:w="108" w:type="dxa"/>
              <w:bottom w:w="8" w:type="dxa"/>
              <w:right w:w="108" w:type="dxa"/>
            </w:tcMar>
            <w:hideMark/>
          </w:tcPr>
          <w:p w14:paraId="4A9A0C4D" w14:textId="77777777" w:rsidR="00BE2CA7" w:rsidRPr="00CC5187" w:rsidRDefault="00BE2CA7" w:rsidP="002B0590">
            <w:pPr>
              <w:keepNext/>
              <w:jc w:val="both"/>
              <w:rPr>
                <w:sz w:val="18"/>
                <w:szCs w:val="18"/>
                <w:lang w:eastAsia="fr-FR"/>
              </w:rPr>
            </w:pPr>
            <w:r w:rsidRPr="00560195">
              <w:rPr>
                <w:sz w:val="18"/>
                <w:szCs w:val="18"/>
                <w:lang w:eastAsia="fr-FR"/>
              </w:rPr>
              <w:t xml:space="preserve">Dispositif de suralimentation </w:t>
            </w:r>
          </w:p>
        </w:tc>
        <w:tc>
          <w:tcPr>
            <w:tcW w:w="284" w:type="dxa"/>
            <w:tcBorders>
              <w:left w:val="single" w:sz="6" w:space="0" w:color="BFBFBF"/>
              <w:bottom w:val="single" w:sz="6" w:space="0" w:color="BFBFBF"/>
              <w:right w:val="single" w:sz="6" w:space="0" w:color="BFBFBF"/>
            </w:tcBorders>
            <w:tcMar>
              <w:top w:w="8" w:type="dxa"/>
              <w:left w:w="108" w:type="dxa"/>
              <w:bottom w:w="8" w:type="dxa"/>
              <w:right w:w="108" w:type="dxa"/>
            </w:tcMar>
            <w:hideMark/>
          </w:tcPr>
          <w:p w14:paraId="12D6CD87" w14:textId="77777777" w:rsidR="00BE2CA7" w:rsidRPr="00CC5187" w:rsidRDefault="00BE2CA7" w:rsidP="002B0590">
            <w:pPr>
              <w:keepNext/>
              <w:jc w:val="both"/>
              <w:rPr>
                <w:sz w:val="18"/>
                <w:szCs w:val="18"/>
                <w:lang w:eastAsia="fr-FR"/>
              </w:rPr>
            </w:pPr>
            <w:r w:rsidRPr="00CC5187">
              <w:rPr>
                <w:b/>
                <w:bCs/>
                <w:caps/>
                <w:sz w:val="18"/>
                <w:szCs w:val="18"/>
                <w:lang w:eastAsia="fr-FR"/>
              </w:rPr>
              <w:t>:</w:t>
            </w:r>
          </w:p>
        </w:tc>
        <w:tc>
          <w:tcPr>
            <w:tcW w:w="4928" w:type="dxa"/>
            <w:tcBorders>
              <w:left w:val="single" w:sz="6" w:space="0" w:color="BFBFBF"/>
              <w:bottom w:val="single" w:sz="6" w:space="0" w:color="BFBFBF"/>
            </w:tcBorders>
            <w:tcMar>
              <w:top w:w="8" w:type="dxa"/>
              <w:left w:w="108" w:type="dxa"/>
              <w:bottom w:w="8" w:type="dxa"/>
              <w:right w:w="108" w:type="dxa"/>
            </w:tcMar>
            <w:hideMark/>
          </w:tcPr>
          <w:p w14:paraId="55976891" w14:textId="77777777" w:rsidR="00BE2CA7" w:rsidRPr="00CC5187" w:rsidRDefault="00BE2CA7" w:rsidP="002B0590">
            <w:pPr>
              <w:keepNext/>
              <w:jc w:val="both"/>
              <w:rPr>
                <w:sz w:val="18"/>
                <w:szCs w:val="18"/>
                <w:lang w:eastAsia="fr-FR"/>
              </w:rPr>
            </w:pPr>
            <w:r>
              <w:rPr>
                <w:sz w:val="18"/>
                <w:szCs w:val="18"/>
                <w:lang w:eastAsia="fr-FR"/>
              </w:rPr>
              <w:t>Oui</w:t>
            </w:r>
            <w:r w:rsidRPr="00CC5187">
              <w:rPr>
                <w:sz w:val="18"/>
                <w:szCs w:val="18"/>
                <w:lang w:eastAsia="fr-FR"/>
              </w:rPr>
              <w:t>/no</w:t>
            </w:r>
            <w:r>
              <w:rPr>
                <w:sz w:val="18"/>
                <w:szCs w:val="18"/>
                <w:lang w:eastAsia="fr-FR"/>
              </w:rPr>
              <w:t>n</w:t>
            </w:r>
          </w:p>
          <w:p w14:paraId="2C93692E" w14:textId="77777777" w:rsidR="00BE2CA7" w:rsidRPr="00CC5187" w:rsidRDefault="00BE2CA7" w:rsidP="002B0590">
            <w:pPr>
              <w:keepNext/>
              <w:spacing w:after="40"/>
              <w:jc w:val="both"/>
              <w:rPr>
                <w:sz w:val="18"/>
                <w:szCs w:val="18"/>
                <w:lang w:eastAsia="fr-FR"/>
              </w:rPr>
            </w:pPr>
            <w:r w:rsidRPr="00CC5187">
              <w:rPr>
                <w:sz w:val="18"/>
                <w:szCs w:val="18"/>
                <w:lang w:eastAsia="fr-FR"/>
              </w:rPr>
              <w:t>Ma</w:t>
            </w:r>
            <w:r>
              <w:rPr>
                <w:sz w:val="18"/>
                <w:szCs w:val="18"/>
                <w:lang w:eastAsia="fr-FR"/>
              </w:rPr>
              <w:t>rque et</w:t>
            </w:r>
            <w:r w:rsidRPr="00CC5187">
              <w:rPr>
                <w:sz w:val="18"/>
                <w:szCs w:val="18"/>
                <w:lang w:eastAsia="fr-FR"/>
              </w:rPr>
              <w:t xml:space="preserve"> type</w:t>
            </w:r>
            <w:r>
              <w:rPr>
                <w:sz w:val="18"/>
                <w:szCs w:val="18"/>
                <w:lang w:eastAsia="fr-FR"/>
              </w:rPr>
              <w:t> </w:t>
            </w:r>
            <w:r w:rsidRPr="00CC5187">
              <w:rPr>
                <w:sz w:val="18"/>
                <w:szCs w:val="18"/>
                <w:lang w:eastAsia="fr-FR"/>
              </w:rPr>
              <w:t>1)</w:t>
            </w:r>
          </w:p>
        </w:tc>
      </w:tr>
      <w:tr w:rsidR="00BE2CA7" w:rsidRPr="004912EA" w14:paraId="42A92B3D" w14:textId="77777777" w:rsidTr="002B0590">
        <w:trPr>
          <w:trHeight w:val="283"/>
        </w:trPr>
        <w:tc>
          <w:tcPr>
            <w:tcW w:w="3118"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07CD8C0A" w14:textId="77777777" w:rsidR="00BE2CA7" w:rsidRPr="00CC5187" w:rsidRDefault="00BE2CA7" w:rsidP="002B0590">
            <w:pPr>
              <w:keepNext/>
              <w:jc w:val="both"/>
              <w:rPr>
                <w:sz w:val="18"/>
                <w:szCs w:val="18"/>
                <w:lang w:eastAsia="fr-FR"/>
              </w:rPr>
            </w:pPr>
            <w:r w:rsidRPr="005D0807">
              <w:rPr>
                <w:sz w:val="18"/>
                <w:szCs w:val="18"/>
                <w:lang w:eastAsia="fr-FR"/>
              </w:rPr>
              <w:t xml:space="preserve">Échangeur thermique intermédiaire </w:t>
            </w:r>
          </w:p>
        </w:tc>
        <w:tc>
          <w:tcPr>
            <w:tcW w:w="284"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73821C71" w14:textId="77777777" w:rsidR="00BE2CA7" w:rsidRPr="00CC5187" w:rsidRDefault="00BE2CA7" w:rsidP="002B0590">
            <w:pPr>
              <w:keepNext/>
              <w:jc w:val="both"/>
              <w:rPr>
                <w:sz w:val="18"/>
                <w:szCs w:val="18"/>
                <w:lang w:eastAsia="fr-FR"/>
              </w:rPr>
            </w:pPr>
            <w:r w:rsidRPr="00CC5187">
              <w:rPr>
                <w:b/>
                <w:bCs/>
                <w:caps/>
                <w:sz w:val="18"/>
                <w:szCs w:val="18"/>
                <w:lang w:eastAsia="fr-FR"/>
              </w:rPr>
              <w:t>:</w:t>
            </w:r>
          </w:p>
        </w:tc>
        <w:tc>
          <w:tcPr>
            <w:tcW w:w="4928" w:type="dxa"/>
            <w:tcBorders>
              <w:top w:val="single" w:sz="6" w:space="0" w:color="BFBFBF"/>
              <w:left w:val="single" w:sz="6" w:space="0" w:color="BFBFBF"/>
              <w:bottom w:val="single" w:sz="6" w:space="0" w:color="BFBFBF"/>
            </w:tcBorders>
            <w:tcMar>
              <w:top w:w="8" w:type="dxa"/>
              <w:left w:w="108" w:type="dxa"/>
              <w:bottom w:w="8" w:type="dxa"/>
              <w:right w:w="108" w:type="dxa"/>
            </w:tcMar>
            <w:hideMark/>
          </w:tcPr>
          <w:p w14:paraId="618A1FD2" w14:textId="77777777" w:rsidR="00BE2CA7" w:rsidRPr="00A318C3" w:rsidRDefault="00BE2CA7" w:rsidP="002B0590">
            <w:pPr>
              <w:keepNext/>
              <w:jc w:val="both"/>
              <w:rPr>
                <w:sz w:val="18"/>
                <w:szCs w:val="18"/>
                <w:lang w:val="fr-FR" w:eastAsia="fr-FR"/>
              </w:rPr>
            </w:pPr>
            <w:r w:rsidRPr="00A318C3">
              <w:rPr>
                <w:sz w:val="18"/>
                <w:szCs w:val="18"/>
                <w:lang w:val="fr-FR" w:eastAsia="fr-FR"/>
              </w:rPr>
              <w:t>oui/non</w:t>
            </w:r>
          </w:p>
          <w:p w14:paraId="0AF3B666" w14:textId="77777777" w:rsidR="00BE2CA7" w:rsidRPr="00A318C3" w:rsidRDefault="00BE2CA7" w:rsidP="002B0590">
            <w:pPr>
              <w:keepNext/>
              <w:spacing w:after="40"/>
              <w:jc w:val="both"/>
              <w:rPr>
                <w:sz w:val="18"/>
                <w:szCs w:val="18"/>
                <w:lang w:val="fr-FR" w:eastAsia="fr-FR"/>
              </w:rPr>
            </w:pPr>
            <w:r w:rsidRPr="00A318C3">
              <w:rPr>
                <w:sz w:val="18"/>
                <w:szCs w:val="18"/>
                <w:lang w:val="fr-FR" w:eastAsia="fr-FR"/>
              </w:rPr>
              <w:t xml:space="preserve">type (air/air </w:t>
            </w:r>
            <w:r>
              <w:rPr>
                <w:sz w:val="18"/>
                <w:szCs w:val="18"/>
                <w:lang w:val="fr-FR" w:eastAsia="fr-FR"/>
              </w:rPr>
              <w:t>−</w:t>
            </w:r>
            <w:r w:rsidRPr="00A318C3">
              <w:rPr>
                <w:sz w:val="18"/>
                <w:szCs w:val="18"/>
                <w:lang w:val="fr-FR" w:eastAsia="fr-FR"/>
              </w:rPr>
              <w:t xml:space="preserve"> air/eau) 1)</w:t>
            </w:r>
          </w:p>
        </w:tc>
      </w:tr>
      <w:tr w:rsidR="00BE2CA7" w:rsidRPr="00CC5187" w14:paraId="312B4B04" w14:textId="77777777" w:rsidTr="002B0590">
        <w:trPr>
          <w:trHeight w:val="283"/>
        </w:trPr>
        <w:tc>
          <w:tcPr>
            <w:tcW w:w="3118"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6EECA83C" w14:textId="77777777" w:rsidR="00BE2CA7" w:rsidRPr="00CC5187" w:rsidRDefault="00BE2CA7" w:rsidP="002B0590">
            <w:pPr>
              <w:keepNext/>
              <w:jc w:val="both"/>
              <w:rPr>
                <w:sz w:val="18"/>
                <w:szCs w:val="18"/>
                <w:lang w:eastAsia="fr-FR"/>
              </w:rPr>
            </w:pPr>
            <w:r>
              <w:rPr>
                <w:sz w:val="18"/>
                <w:szCs w:val="18"/>
                <w:lang w:eastAsia="fr-FR"/>
              </w:rPr>
              <w:t>Filtre à air </w:t>
            </w:r>
            <w:r w:rsidRPr="00CC5187">
              <w:rPr>
                <w:sz w:val="18"/>
                <w:szCs w:val="18"/>
                <w:lang w:eastAsia="fr-FR"/>
              </w:rPr>
              <w:t>1)</w:t>
            </w:r>
          </w:p>
        </w:tc>
        <w:tc>
          <w:tcPr>
            <w:tcW w:w="284"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07FF0747" w14:textId="77777777" w:rsidR="00BE2CA7" w:rsidRPr="00CC5187" w:rsidRDefault="00BE2CA7" w:rsidP="002B0590">
            <w:pPr>
              <w:keepNext/>
              <w:jc w:val="both"/>
              <w:rPr>
                <w:sz w:val="18"/>
                <w:szCs w:val="18"/>
                <w:lang w:eastAsia="fr-FR"/>
              </w:rPr>
            </w:pPr>
            <w:r w:rsidRPr="00CC5187">
              <w:rPr>
                <w:b/>
                <w:bCs/>
                <w:caps/>
                <w:sz w:val="18"/>
                <w:szCs w:val="18"/>
                <w:lang w:eastAsia="fr-FR"/>
              </w:rPr>
              <w:t>:</w:t>
            </w:r>
          </w:p>
        </w:tc>
        <w:tc>
          <w:tcPr>
            <w:tcW w:w="4928" w:type="dxa"/>
            <w:tcBorders>
              <w:top w:val="single" w:sz="6" w:space="0" w:color="BFBFBF"/>
              <w:left w:val="single" w:sz="6" w:space="0" w:color="BFBFBF"/>
              <w:bottom w:val="single" w:sz="6" w:space="0" w:color="BFBFBF"/>
            </w:tcBorders>
            <w:tcMar>
              <w:top w:w="8" w:type="dxa"/>
              <w:left w:w="108" w:type="dxa"/>
              <w:bottom w:w="8" w:type="dxa"/>
              <w:right w:w="108" w:type="dxa"/>
            </w:tcMar>
            <w:hideMark/>
          </w:tcPr>
          <w:p w14:paraId="5DC6DD79" w14:textId="77777777" w:rsidR="00BE2CA7" w:rsidRPr="00CC5187" w:rsidRDefault="00BE2CA7" w:rsidP="002B0590">
            <w:pPr>
              <w:keepNext/>
              <w:jc w:val="both"/>
              <w:rPr>
                <w:sz w:val="18"/>
                <w:szCs w:val="18"/>
                <w:lang w:eastAsia="fr-FR"/>
              </w:rPr>
            </w:pPr>
            <w:r>
              <w:rPr>
                <w:sz w:val="18"/>
                <w:szCs w:val="18"/>
                <w:lang w:eastAsia="fr-FR"/>
              </w:rPr>
              <w:t>m</w:t>
            </w:r>
            <w:r w:rsidRPr="00CC5187">
              <w:rPr>
                <w:sz w:val="18"/>
                <w:szCs w:val="18"/>
                <w:lang w:eastAsia="fr-FR"/>
              </w:rPr>
              <w:t>a</w:t>
            </w:r>
            <w:r>
              <w:rPr>
                <w:sz w:val="18"/>
                <w:szCs w:val="18"/>
                <w:lang w:eastAsia="fr-FR"/>
              </w:rPr>
              <w:t xml:space="preserve">rque et </w:t>
            </w:r>
            <w:r w:rsidRPr="00CC5187">
              <w:rPr>
                <w:sz w:val="18"/>
                <w:szCs w:val="18"/>
                <w:lang w:eastAsia="fr-FR"/>
              </w:rPr>
              <w:t>type</w:t>
            </w:r>
          </w:p>
        </w:tc>
      </w:tr>
      <w:tr w:rsidR="00BE2CA7" w:rsidRPr="00CC5187" w14:paraId="72FB60F2" w14:textId="77777777" w:rsidTr="002B0590">
        <w:trPr>
          <w:trHeight w:val="283"/>
        </w:trPr>
        <w:tc>
          <w:tcPr>
            <w:tcW w:w="3118" w:type="dxa"/>
            <w:tcBorders>
              <w:top w:val="single" w:sz="6" w:space="0" w:color="BFBFBF"/>
              <w:right w:val="single" w:sz="6" w:space="0" w:color="BFBFBF"/>
            </w:tcBorders>
            <w:tcMar>
              <w:top w:w="8" w:type="dxa"/>
              <w:left w:w="108" w:type="dxa"/>
              <w:bottom w:w="8" w:type="dxa"/>
              <w:right w:w="108" w:type="dxa"/>
            </w:tcMar>
            <w:hideMark/>
          </w:tcPr>
          <w:p w14:paraId="64E9AD0C" w14:textId="77777777" w:rsidR="00BE2CA7" w:rsidRPr="00CC5187" w:rsidRDefault="00BE2CA7" w:rsidP="002B0590">
            <w:pPr>
              <w:keepNext/>
              <w:jc w:val="both"/>
              <w:rPr>
                <w:sz w:val="18"/>
                <w:szCs w:val="18"/>
                <w:lang w:eastAsia="fr-FR"/>
              </w:rPr>
            </w:pPr>
            <w:r>
              <w:rPr>
                <w:sz w:val="18"/>
                <w:szCs w:val="18"/>
                <w:lang w:eastAsia="fr-FR"/>
              </w:rPr>
              <w:t>Silencieux d’admission </w:t>
            </w:r>
            <w:r w:rsidRPr="00CC5187">
              <w:rPr>
                <w:sz w:val="18"/>
                <w:szCs w:val="18"/>
                <w:lang w:eastAsia="fr-FR"/>
              </w:rPr>
              <w:t>1)</w:t>
            </w:r>
          </w:p>
        </w:tc>
        <w:tc>
          <w:tcPr>
            <w:tcW w:w="284" w:type="dxa"/>
            <w:tcBorders>
              <w:top w:val="single" w:sz="6" w:space="0" w:color="BFBFBF"/>
              <w:left w:val="single" w:sz="6" w:space="0" w:color="BFBFBF"/>
              <w:right w:val="single" w:sz="6" w:space="0" w:color="BFBFBF"/>
            </w:tcBorders>
            <w:tcMar>
              <w:top w:w="8" w:type="dxa"/>
              <w:left w:w="108" w:type="dxa"/>
              <w:bottom w:w="8" w:type="dxa"/>
              <w:right w:w="108" w:type="dxa"/>
            </w:tcMar>
            <w:hideMark/>
          </w:tcPr>
          <w:p w14:paraId="73A081F8" w14:textId="77777777" w:rsidR="00BE2CA7" w:rsidRPr="00CC5187" w:rsidRDefault="00BE2CA7" w:rsidP="002B0590">
            <w:pPr>
              <w:keepNext/>
              <w:jc w:val="both"/>
              <w:rPr>
                <w:sz w:val="18"/>
                <w:szCs w:val="18"/>
                <w:lang w:eastAsia="fr-FR"/>
              </w:rPr>
            </w:pPr>
            <w:r w:rsidRPr="00CC5187">
              <w:rPr>
                <w:b/>
                <w:bCs/>
                <w:caps/>
                <w:sz w:val="18"/>
                <w:szCs w:val="18"/>
                <w:lang w:eastAsia="fr-FR"/>
              </w:rPr>
              <w:t>:</w:t>
            </w:r>
          </w:p>
        </w:tc>
        <w:tc>
          <w:tcPr>
            <w:tcW w:w="4928" w:type="dxa"/>
            <w:tcBorders>
              <w:top w:val="single" w:sz="6" w:space="0" w:color="BFBFBF"/>
              <w:left w:val="single" w:sz="6" w:space="0" w:color="BFBFBF"/>
            </w:tcBorders>
            <w:tcMar>
              <w:top w:w="8" w:type="dxa"/>
              <w:left w:w="108" w:type="dxa"/>
              <w:bottom w:w="8" w:type="dxa"/>
              <w:right w:w="108" w:type="dxa"/>
            </w:tcMar>
            <w:hideMark/>
          </w:tcPr>
          <w:p w14:paraId="6FA6F469" w14:textId="77777777" w:rsidR="00BE2CA7" w:rsidRPr="00CC5187" w:rsidRDefault="00BE2CA7" w:rsidP="002B0590">
            <w:pPr>
              <w:keepNext/>
              <w:jc w:val="both"/>
              <w:rPr>
                <w:sz w:val="18"/>
                <w:szCs w:val="18"/>
                <w:lang w:eastAsia="fr-FR"/>
              </w:rPr>
            </w:pPr>
            <w:r>
              <w:rPr>
                <w:sz w:val="18"/>
                <w:szCs w:val="18"/>
                <w:lang w:eastAsia="fr-FR"/>
              </w:rPr>
              <w:t>m</w:t>
            </w:r>
            <w:r w:rsidRPr="00CC5187">
              <w:rPr>
                <w:sz w:val="18"/>
                <w:szCs w:val="18"/>
                <w:lang w:eastAsia="fr-FR"/>
              </w:rPr>
              <w:t>a</w:t>
            </w:r>
            <w:r>
              <w:rPr>
                <w:sz w:val="18"/>
                <w:szCs w:val="18"/>
                <w:lang w:eastAsia="fr-FR"/>
              </w:rPr>
              <w:t>rque et type</w:t>
            </w:r>
          </w:p>
        </w:tc>
      </w:tr>
    </w:tbl>
    <w:p w14:paraId="30C3070C" w14:textId="77777777" w:rsidR="00BE2CA7" w:rsidRDefault="00BE2CA7" w:rsidP="00BE2CA7">
      <w:pPr>
        <w:pStyle w:val="SingleTxtG"/>
        <w:spacing w:before="240"/>
        <w:rPr>
          <w:b/>
          <w:bCs/>
          <w:lang w:val="fr-FR" w:eastAsia="fr-FR"/>
        </w:rPr>
      </w:pPr>
      <w:r w:rsidRPr="00A318C3">
        <w:rPr>
          <w:b/>
          <w:bCs/>
          <w:lang w:val="fr-FR" w:eastAsia="fr-FR"/>
        </w:rPr>
        <w:t>1.1.6</w:t>
      </w:r>
      <w:r w:rsidRPr="00A318C3">
        <w:rPr>
          <w:b/>
          <w:bCs/>
          <w:lang w:val="fr-FR" w:eastAsia="fr-FR"/>
        </w:rPr>
        <w:tab/>
        <w:t>Système d</w:t>
      </w:r>
      <w:r>
        <w:rPr>
          <w:b/>
          <w:bCs/>
          <w:lang w:val="fr-FR" w:eastAsia="fr-FR"/>
        </w:rPr>
        <w:t>’</w:t>
      </w:r>
      <w:r w:rsidRPr="00A318C3">
        <w:rPr>
          <w:b/>
          <w:bCs/>
          <w:lang w:val="fr-FR" w:eastAsia="fr-FR"/>
        </w:rPr>
        <w:t xml:space="preserve">échappement et système </w:t>
      </w:r>
      <w:proofErr w:type="spellStart"/>
      <w:r w:rsidRPr="00A318C3">
        <w:rPr>
          <w:b/>
          <w:bCs/>
          <w:lang w:val="fr-FR" w:eastAsia="fr-FR"/>
        </w:rPr>
        <w:t>antiévaporation</w:t>
      </w:r>
      <w:proofErr w:type="spellEnd"/>
      <w:r w:rsidRPr="00A318C3">
        <w:rPr>
          <w:b/>
          <w:bCs/>
          <w:lang w:val="fr-FR" w:eastAsia="fr-FR"/>
        </w:rPr>
        <w:t xml:space="preserve"> (le cas échéant)</w:t>
      </w:r>
    </w:p>
    <w:p w14:paraId="44F216D3" w14:textId="77777777" w:rsidR="00BE2CA7" w:rsidRPr="00A318C3" w:rsidRDefault="00BE2CA7" w:rsidP="00BE2CA7">
      <w:pPr>
        <w:pStyle w:val="SingleTxtG"/>
        <w:ind w:firstLine="567"/>
        <w:rPr>
          <w:lang w:val="fr-FR" w:eastAsia="fr-FR"/>
        </w:rPr>
      </w:pPr>
      <w:r w:rsidRPr="00A318C3">
        <w:rPr>
          <w:lang w:val="fr-FR" w:eastAsia="fr-FR"/>
        </w:rPr>
        <w:t>Si le véhicule est équipé de plusieurs systèmes, veuillez fournir les informations ci</w:t>
      </w:r>
      <w:r>
        <w:rPr>
          <w:lang w:val="fr-FR" w:eastAsia="fr-FR"/>
        </w:rPr>
        <w:noBreakHyphen/>
      </w:r>
      <w:r w:rsidRPr="00A318C3">
        <w:rPr>
          <w:lang w:val="fr-FR" w:eastAsia="fr-FR"/>
        </w:rPr>
        <w:t>après pour chacun d</w:t>
      </w:r>
      <w:r>
        <w:rPr>
          <w:lang w:val="fr-FR" w:eastAsia="fr-FR"/>
        </w:rPr>
        <w:t>’</w:t>
      </w:r>
      <w:r w:rsidRPr="00A318C3">
        <w:rPr>
          <w:lang w:val="fr-FR" w:eastAsia="fr-FR"/>
        </w:rPr>
        <w:t>entre eux.</w:t>
      </w:r>
    </w:p>
    <w:tbl>
      <w:tblPr>
        <w:tblW w:w="8330" w:type="dxa"/>
        <w:tblInd w:w="1134" w:type="dxa"/>
        <w:tblBorders>
          <w:top w:val="single" w:sz="6" w:space="0" w:color="BFBFBF"/>
          <w:left w:val="single" w:sz="6" w:space="0" w:color="BFBFBF"/>
          <w:bottom w:val="single" w:sz="6" w:space="0" w:color="BFBFBF"/>
          <w:right w:val="single" w:sz="6" w:space="0" w:color="BFBFBF"/>
        </w:tblBorders>
        <w:tblCellMar>
          <w:left w:w="0" w:type="dxa"/>
          <w:right w:w="0" w:type="dxa"/>
        </w:tblCellMar>
        <w:tblLook w:val="04A0" w:firstRow="1" w:lastRow="0" w:firstColumn="1" w:lastColumn="0" w:noHBand="0" w:noVBand="1"/>
      </w:tblPr>
      <w:tblGrid>
        <w:gridCol w:w="4007"/>
        <w:gridCol w:w="284"/>
        <w:gridCol w:w="4039"/>
      </w:tblGrid>
      <w:tr w:rsidR="00BE2CA7" w:rsidRPr="00557AFF" w14:paraId="64C2F627" w14:textId="77777777" w:rsidTr="002B0590">
        <w:trPr>
          <w:trHeight w:val="283"/>
        </w:trPr>
        <w:tc>
          <w:tcPr>
            <w:tcW w:w="4007" w:type="dxa"/>
            <w:tcBorders>
              <w:bottom w:val="single" w:sz="6" w:space="0" w:color="BFBFBF"/>
              <w:right w:val="single" w:sz="6" w:space="0" w:color="BFBFBF"/>
            </w:tcBorders>
            <w:tcMar>
              <w:top w:w="8" w:type="dxa"/>
              <w:left w:w="108" w:type="dxa"/>
              <w:bottom w:w="8" w:type="dxa"/>
              <w:right w:w="108" w:type="dxa"/>
            </w:tcMar>
            <w:hideMark/>
          </w:tcPr>
          <w:p w14:paraId="166270BA" w14:textId="77777777" w:rsidR="00BE2CA7" w:rsidRPr="00CC5187" w:rsidRDefault="00BE2CA7" w:rsidP="002B0590">
            <w:pPr>
              <w:keepNext/>
              <w:jc w:val="both"/>
              <w:rPr>
                <w:sz w:val="18"/>
                <w:szCs w:val="18"/>
                <w:lang w:eastAsia="fr-FR"/>
              </w:rPr>
            </w:pPr>
            <w:r w:rsidRPr="00947730">
              <w:rPr>
                <w:sz w:val="18"/>
                <w:szCs w:val="18"/>
                <w:lang w:eastAsia="fr-FR"/>
              </w:rPr>
              <w:t>Premier convertisseur catalytique</w:t>
            </w:r>
          </w:p>
        </w:tc>
        <w:tc>
          <w:tcPr>
            <w:tcW w:w="284" w:type="dxa"/>
            <w:tcBorders>
              <w:left w:val="single" w:sz="6" w:space="0" w:color="BFBFBF"/>
              <w:bottom w:val="single" w:sz="6" w:space="0" w:color="BFBFBF"/>
              <w:right w:val="single" w:sz="6" w:space="0" w:color="BFBFBF"/>
            </w:tcBorders>
            <w:tcMar>
              <w:top w:w="8" w:type="dxa"/>
              <w:left w:w="108" w:type="dxa"/>
              <w:bottom w:w="8" w:type="dxa"/>
              <w:right w:w="108" w:type="dxa"/>
            </w:tcMar>
            <w:hideMark/>
          </w:tcPr>
          <w:p w14:paraId="598B3B67" w14:textId="77777777" w:rsidR="00BE2CA7" w:rsidRPr="00CC5187" w:rsidRDefault="00BE2CA7" w:rsidP="002B0590">
            <w:pPr>
              <w:keepNext/>
              <w:jc w:val="both"/>
              <w:rPr>
                <w:sz w:val="18"/>
                <w:szCs w:val="18"/>
                <w:lang w:eastAsia="fr-FR"/>
              </w:rPr>
            </w:pPr>
            <w:r w:rsidRPr="00CC5187">
              <w:rPr>
                <w:b/>
                <w:bCs/>
                <w:caps/>
                <w:sz w:val="18"/>
                <w:szCs w:val="18"/>
                <w:lang w:eastAsia="fr-FR"/>
              </w:rPr>
              <w:t>:</w:t>
            </w:r>
          </w:p>
        </w:tc>
        <w:tc>
          <w:tcPr>
            <w:tcW w:w="4039" w:type="dxa"/>
            <w:tcBorders>
              <w:left w:val="single" w:sz="6" w:space="0" w:color="BFBFBF"/>
              <w:bottom w:val="single" w:sz="6" w:space="0" w:color="BFBFBF"/>
            </w:tcBorders>
            <w:tcMar>
              <w:top w:w="8" w:type="dxa"/>
              <w:left w:w="108" w:type="dxa"/>
              <w:bottom w:w="8" w:type="dxa"/>
              <w:right w:w="108" w:type="dxa"/>
            </w:tcMar>
            <w:hideMark/>
          </w:tcPr>
          <w:p w14:paraId="4D72C239" w14:textId="77777777" w:rsidR="00BE2CA7" w:rsidRPr="00A318C3" w:rsidRDefault="00BE2CA7" w:rsidP="002B0590">
            <w:pPr>
              <w:keepNext/>
              <w:jc w:val="both"/>
              <w:rPr>
                <w:sz w:val="18"/>
                <w:szCs w:val="18"/>
                <w:lang w:val="fr-FR" w:eastAsia="fr-FR"/>
              </w:rPr>
            </w:pPr>
            <w:r w:rsidRPr="00A318C3">
              <w:rPr>
                <w:sz w:val="18"/>
                <w:szCs w:val="18"/>
                <w:lang w:val="fr-FR" w:eastAsia="fr-FR"/>
              </w:rPr>
              <w:t>marque et r</w:t>
            </w:r>
            <w:r>
              <w:rPr>
                <w:sz w:val="18"/>
                <w:szCs w:val="18"/>
                <w:lang w:val="fr-FR" w:eastAsia="fr-FR"/>
              </w:rPr>
              <w:t>é</w:t>
            </w:r>
            <w:r w:rsidRPr="00A318C3">
              <w:rPr>
                <w:sz w:val="18"/>
                <w:szCs w:val="18"/>
                <w:lang w:val="fr-FR" w:eastAsia="fr-FR"/>
              </w:rPr>
              <w:t>f</w:t>
            </w:r>
            <w:r>
              <w:rPr>
                <w:sz w:val="18"/>
                <w:szCs w:val="18"/>
                <w:lang w:val="fr-FR" w:eastAsia="fr-FR"/>
              </w:rPr>
              <w:t>ér</w:t>
            </w:r>
            <w:r w:rsidRPr="00A318C3">
              <w:rPr>
                <w:sz w:val="18"/>
                <w:szCs w:val="18"/>
                <w:lang w:val="fr-FR" w:eastAsia="fr-FR"/>
              </w:rPr>
              <w:t xml:space="preserve">ence 1) </w:t>
            </w:r>
          </w:p>
          <w:p w14:paraId="4691DC73" w14:textId="77777777" w:rsidR="00BE2CA7" w:rsidRPr="00A318C3" w:rsidRDefault="00BE2CA7" w:rsidP="002B0590">
            <w:pPr>
              <w:keepNext/>
              <w:spacing w:after="40"/>
              <w:jc w:val="both"/>
              <w:rPr>
                <w:sz w:val="18"/>
                <w:szCs w:val="18"/>
                <w:lang w:val="fr-FR" w:eastAsia="fr-FR"/>
              </w:rPr>
            </w:pPr>
            <w:r w:rsidRPr="00A318C3">
              <w:rPr>
                <w:sz w:val="18"/>
                <w:szCs w:val="18"/>
                <w:lang w:val="fr-FR" w:eastAsia="fr-FR"/>
              </w:rPr>
              <w:t>principe</w:t>
            </w:r>
            <w:r>
              <w:rPr>
                <w:sz w:val="18"/>
                <w:szCs w:val="18"/>
                <w:lang w:val="fr-FR" w:eastAsia="fr-FR"/>
              </w:rPr>
              <w:t> </w:t>
            </w:r>
            <w:r w:rsidRPr="00A318C3">
              <w:rPr>
                <w:sz w:val="18"/>
                <w:szCs w:val="18"/>
                <w:lang w:val="fr-FR" w:eastAsia="fr-FR"/>
              </w:rPr>
              <w:t>: trois voies/oxydant/piège à N</w:t>
            </w:r>
            <w:r>
              <w:rPr>
                <w:sz w:val="18"/>
                <w:szCs w:val="18"/>
                <w:lang w:val="fr-FR" w:eastAsia="fr-FR"/>
              </w:rPr>
              <w:t>O</w:t>
            </w:r>
            <w:r w:rsidRPr="00A318C3">
              <w:rPr>
                <w:sz w:val="18"/>
                <w:szCs w:val="18"/>
                <w:vertAlign w:val="subscript"/>
                <w:lang w:val="fr-FR" w:eastAsia="fr-FR"/>
              </w:rPr>
              <w:t>x</w:t>
            </w:r>
            <w:r w:rsidRPr="00A318C3">
              <w:rPr>
                <w:sz w:val="18"/>
                <w:szCs w:val="18"/>
                <w:lang w:val="fr-FR" w:eastAsia="fr-FR"/>
              </w:rPr>
              <w:t>/système de stockage des N</w:t>
            </w:r>
            <w:r>
              <w:rPr>
                <w:sz w:val="18"/>
                <w:szCs w:val="18"/>
                <w:lang w:val="fr-FR" w:eastAsia="fr-FR"/>
              </w:rPr>
              <w:t>O</w:t>
            </w:r>
            <w:r w:rsidRPr="00A318C3">
              <w:rPr>
                <w:sz w:val="18"/>
                <w:szCs w:val="18"/>
                <w:vertAlign w:val="subscript"/>
                <w:lang w:val="fr-FR" w:eastAsia="fr-FR"/>
              </w:rPr>
              <w:t>x</w:t>
            </w:r>
            <w:r w:rsidRPr="00A318C3">
              <w:rPr>
                <w:sz w:val="18"/>
                <w:szCs w:val="18"/>
                <w:lang w:val="fr-FR" w:eastAsia="fr-FR"/>
              </w:rPr>
              <w:t>/réduction catalytique sélective…</w:t>
            </w:r>
          </w:p>
        </w:tc>
      </w:tr>
      <w:tr w:rsidR="00BE2CA7" w:rsidRPr="00066072" w14:paraId="4D5A7FBE" w14:textId="77777777" w:rsidTr="002B0590">
        <w:trPr>
          <w:trHeight w:val="283"/>
        </w:trPr>
        <w:tc>
          <w:tcPr>
            <w:tcW w:w="4007"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266A0FDC" w14:textId="77777777" w:rsidR="00BE2CA7" w:rsidRPr="00CC5187" w:rsidRDefault="00BE2CA7" w:rsidP="002B0590">
            <w:pPr>
              <w:keepNext/>
              <w:jc w:val="both"/>
              <w:rPr>
                <w:sz w:val="18"/>
                <w:szCs w:val="18"/>
                <w:lang w:eastAsia="fr-FR"/>
              </w:rPr>
            </w:pPr>
            <w:r w:rsidRPr="00947730">
              <w:rPr>
                <w:sz w:val="18"/>
                <w:szCs w:val="18"/>
                <w:lang w:eastAsia="fr-FR"/>
              </w:rPr>
              <w:t>Deuxième convertisseur catalytique</w:t>
            </w:r>
          </w:p>
        </w:tc>
        <w:tc>
          <w:tcPr>
            <w:tcW w:w="284"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4DEF2EA8" w14:textId="77777777" w:rsidR="00BE2CA7" w:rsidRPr="00CC5187" w:rsidRDefault="00BE2CA7" w:rsidP="002B0590">
            <w:pPr>
              <w:keepNext/>
              <w:jc w:val="both"/>
              <w:rPr>
                <w:sz w:val="18"/>
                <w:szCs w:val="18"/>
                <w:lang w:eastAsia="fr-FR"/>
              </w:rPr>
            </w:pPr>
            <w:r w:rsidRPr="00CC5187">
              <w:rPr>
                <w:b/>
                <w:bCs/>
                <w:caps/>
                <w:sz w:val="18"/>
                <w:szCs w:val="18"/>
                <w:lang w:eastAsia="fr-FR"/>
              </w:rPr>
              <w:t>:</w:t>
            </w:r>
          </w:p>
        </w:tc>
        <w:tc>
          <w:tcPr>
            <w:tcW w:w="4039" w:type="dxa"/>
            <w:tcBorders>
              <w:top w:val="single" w:sz="6" w:space="0" w:color="BFBFBF"/>
              <w:left w:val="single" w:sz="6" w:space="0" w:color="BFBFBF"/>
              <w:bottom w:val="single" w:sz="6" w:space="0" w:color="BFBFBF"/>
            </w:tcBorders>
            <w:tcMar>
              <w:top w:w="8" w:type="dxa"/>
              <w:left w:w="108" w:type="dxa"/>
              <w:bottom w:w="8" w:type="dxa"/>
              <w:right w:w="108" w:type="dxa"/>
            </w:tcMar>
            <w:hideMark/>
          </w:tcPr>
          <w:p w14:paraId="6BDDC4A9" w14:textId="77777777" w:rsidR="00BE2CA7" w:rsidRPr="00A318C3" w:rsidRDefault="00BE2CA7" w:rsidP="002B0590">
            <w:pPr>
              <w:keepNext/>
              <w:jc w:val="both"/>
              <w:rPr>
                <w:sz w:val="18"/>
                <w:szCs w:val="18"/>
                <w:lang w:val="fr-FR" w:eastAsia="fr-FR"/>
              </w:rPr>
            </w:pPr>
            <w:r w:rsidRPr="00A318C3">
              <w:rPr>
                <w:sz w:val="18"/>
                <w:szCs w:val="18"/>
                <w:lang w:val="fr-FR" w:eastAsia="fr-FR"/>
              </w:rPr>
              <w:t>marque et référence 1)</w:t>
            </w:r>
          </w:p>
          <w:p w14:paraId="35CE7B3C" w14:textId="77777777" w:rsidR="00BE2CA7" w:rsidRPr="00A318C3" w:rsidRDefault="00BE2CA7" w:rsidP="002B0590">
            <w:pPr>
              <w:keepNext/>
              <w:spacing w:after="40"/>
              <w:jc w:val="both"/>
              <w:rPr>
                <w:sz w:val="18"/>
                <w:szCs w:val="18"/>
                <w:lang w:val="fr-FR" w:eastAsia="fr-FR"/>
              </w:rPr>
            </w:pPr>
            <w:r w:rsidRPr="00066072">
              <w:rPr>
                <w:sz w:val="18"/>
                <w:szCs w:val="18"/>
                <w:lang w:val="fr-FR" w:eastAsia="fr-FR"/>
              </w:rPr>
              <w:t>principe</w:t>
            </w:r>
            <w:r>
              <w:rPr>
                <w:sz w:val="18"/>
                <w:szCs w:val="18"/>
                <w:lang w:val="fr-FR" w:eastAsia="fr-FR"/>
              </w:rPr>
              <w:t> </w:t>
            </w:r>
            <w:r w:rsidRPr="00066072">
              <w:rPr>
                <w:sz w:val="18"/>
                <w:szCs w:val="18"/>
                <w:lang w:val="fr-FR" w:eastAsia="fr-FR"/>
              </w:rPr>
              <w:t>: trois voies/oxydant/piège à N</w:t>
            </w:r>
            <w:r>
              <w:rPr>
                <w:sz w:val="18"/>
                <w:szCs w:val="18"/>
                <w:lang w:val="fr-FR" w:eastAsia="fr-FR"/>
              </w:rPr>
              <w:t>O</w:t>
            </w:r>
            <w:r w:rsidRPr="00A318C3">
              <w:rPr>
                <w:sz w:val="18"/>
                <w:szCs w:val="18"/>
                <w:vertAlign w:val="subscript"/>
                <w:lang w:val="fr-FR" w:eastAsia="fr-FR"/>
              </w:rPr>
              <w:t>x</w:t>
            </w:r>
            <w:r w:rsidRPr="00066072">
              <w:rPr>
                <w:sz w:val="18"/>
                <w:szCs w:val="18"/>
                <w:lang w:val="fr-FR" w:eastAsia="fr-FR"/>
              </w:rPr>
              <w:t>/système de stockage des N</w:t>
            </w:r>
            <w:r>
              <w:rPr>
                <w:sz w:val="18"/>
                <w:szCs w:val="18"/>
                <w:lang w:val="fr-FR" w:eastAsia="fr-FR"/>
              </w:rPr>
              <w:t>O</w:t>
            </w:r>
            <w:r w:rsidRPr="00A318C3">
              <w:rPr>
                <w:sz w:val="18"/>
                <w:szCs w:val="18"/>
                <w:vertAlign w:val="subscript"/>
                <w:lang w:val="fr-FR" w:eastAsia="fr-FR"/>
              </w:rPr>
              <w:t>x</w:t>
            </w:r>
            <w:r w:rsidRPr="00066072">
              <w:rPr>
                <w:sz w:val="18"/>
                <w:szCs w:val="18"/>
                <w:lang w:val="fr-FR" w:eastAsia="fr-FR"/>
              </w:rPr>
              <w:t>/réduction catalytique sélective…</w:t>
            </w:r>
          </w:p>
        </w:tc>
      </w:tr>
      <w:tr w:rsidR="00BE2CA7" w:rsidRPr="00CC5187" w14:paraId="624B6FD3" w14:textId="77777777" w:rsidTr="002B0590">
        <w:trPr>
          <w:trHeight w:val="283"/>
        </w:trPr>
        <w:tc>
          <w:tcPr>
            <w:tcW w:w="4007"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23E378C9" w14:textId="77777777" w:rsidR="00BE2CA7" w:rsidRPr="00CC5187" w:rsidRDefault="00BE2CA7" w:rsidP="002B0590">
            <w:pPr>
              <w:keepNext/>
              <w:jc w:val="both"/>
              <w:rPr>
                <w:sz w:val="18"/>
                <w:szCs w:val="18"/>
                <w:lang w:eastAsia="fr-FR"/>
              </w:rPr>
            </w:pPr>
            <w:r w:rsidRPr="00785FC6">
              <w:rPr>
                <w:sz w:val="18"/>
                <w:szCs w:val="18"/>
                <w:lang w:eastAsia="fr-FR"/>
              </w:rPr>
              <w:t>Filtre à particules</w:t>
            </w:r>
          </w:p>
        </w:tc>
        <w:tc>
          <w:tcPr>
            <w:tcW w:w="284"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689D8BE9" w14:textId="77777777" w:rsidR="00BE2CA7" w:rsidRPr="00CC5187" w:rsidRDefault="00BE2CA7" w:rsidP="002B0590">
            <w:pPr>
              <w:keepNext/>
              <w:jc w:val="both"/>
              <w:rPr>
                <w:sz w:val="18"/>
                <w:szCs w:val="18"/>
                <w:lang w:eastAsia="fr-FR"/>
              </w:rPr>
            </w:pPr>
            <w:r w:rsidRPr="00CC5187">
              <w:rPr>
                <w:b/>
                <w:bCs/>
                <w:caps/>
                <w:sz w:val="18"/>
                <w:szCs w:val="18"/>
                <w:lang w:eastAsia="fr-FR"/>
              </w:rPr>
              <w:t>:</w:t>
            </w:r>
          </w:p>
        </w:tc>
        <w:tc>
          <w:tcPr>
            <w:tcW w:w="4039" w:type="dxa"/>
            <w:tcBorders>
              <w:top w:val="single" w:sz="6" w:space="0" w:color="BFBFBF"/>
              <w:left w:val="single" w:sz="6" w:space="0" w:color="BFBFBF"/>
              <w:bottom w:val="single" w:sz="6" w:space="0" w:color="BFBFBF"/>
            </w:tcBorders>
            <w:tcMar>
              <w:top w:w="8" w:type="dxa"/>
              <w:left w:w="108" w:type="dxa"/>
              <w:bottom w:w="8" w:type="dxa"/>
              <w:right w:w="108" w:type="dxa"/>
            </w:tcMar>
            <w:hideMark/>
          </w:tcPr>
          <w:p w14:paraId="7F0D6220" w14:textId="77777777" w:rsidR="00BE2CA7" w:rsidRDefault="00BE2CA7" w:rsidP="002B0590">
            <w:pPr>
              <w:keepNext/>
              <w:jc w:val="both"/>
              <w:rPr>
                <w:sz w:val="18"/>
                <w:szCs w:val="18"/>
                <w:lang w:val="fr-FR" w:eastAsia="fr-FR"/>
              </w:rPr>
            </w:pPr>
            <w:r w:rsidRPr="00A318C3">
              <w:rPr>
                <w:sz w:val="18"/>
                <w:szCs w:val="18"/>
                <w:lang w:val="fr-FR" w:eastAsia="fr-FR"/>
              </w:rPr>
              <w:t xml:space="preserve">avec/sans/sans objet </w:t>
            </w:r>
          </w:p>
          <w:p w14:paraId="3F7A68D3" w14:textId="77777777" w:rsidR="00BE2CA7" w:rsidRDefault="00BE2CA7" w:rsidP="002B0590">
            <w:pPr>
              <w:keepNext/>
              <w:jc w:val="both"/>
              <w:rPr>
                <w:sz w:val="18"/>
                <w:szCs w:val="18"/>
                <w:lang w:val="fr-FR" w:eastAsia="fr-FR"/>
              </w:rPr>
            </w:pPr>
            <w:r w:rsidRPr="00A318C3">
              <w:rPr>
                <w:sz w:val="18"/>
                <w:szCs w:val="18"/>
                <w:lang w:val="fr-FR" w:eastAsia="fr-FR"/>
              </w:rPr>
              <w:t>catalysé</w:t>
            </w:r>
            <w:r>
              <w:rPr>
                <w:sz w:val="18"/>
                <w:szCs w:val="18"/>
                <w:lang w:val="fr-FR" w:eastAsia="fr-FR"/>
              </w:rPr>
              <w:t> </w:t>
            </w:r>
            <w:r w:rsidRPr="00A318C3">
              <w:rPr>
                <w:sz w:val="18"/>
                <w:szCs w:val="18"/>
                <w:lang w:val="fr-FR" w:eastAsia="fr-FR"/>
              </w:rPr>
              <w:t xml:space="preserve">: oui/non </w:t>
            </w:r>
          </w:p>
          <w:p w14:paraId="56144297" w14:textId="77777777" w:rsidR="00BE2CA7" w:rsidRPr="00A318C3" w:rsidRDefault="00BE2CA7" w:rsidP="002B0590">
            <w:pPr>
              <w:keepNext/>
              <w:spacing w:after="40"/>
              <w:jc w:val="both"/>
              <w:rPr>
                <w:sz w:val="18"/>
                <w:szCs w:val="18"/>
                <w:lang w:val="fr-FR" w:eastAsia="fr-FR"/>
              </w:rPr>
            </w:pPr>
            <w:r w:rsidRPr="00A318C3">
              <w:rPr>
                <w:sz w:val="18"/>
                <w:szCs w:val="18"/>
                <w:lang w:val="fr-FR" w:eastAsia="fr-FR"/>
              </w:rPr>
              <w:t>marque et référence</w:t>
            </w:r>
            <w:r>
              <w:rPr>
                <w:sz w:val="18"/>
                <w:szCs w:val="18"/>
                <w:lang w:val="fr-FR" w:eastAsia="fr-FR"/>
              </w:rPr>
              <w:t> 1)</w:t>
            </w:r>
          </w:p>
        </w:tc>
      </w:tr>
      <w:tr w:rsidR="00BE2CA7" w:rsidRPr="00CC5187" w14:paraId="2C4B9A0A" w14:textId="77777777" w:rsidTr="002B0590">
        <w:trPr>
          <w:trHeight w:val="521"/>
        </w:trPr>
        <w:tc>
          <w:tcPr>
            <w:tcW w:w="4007"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030DCABF" w14:textId="77777777" w:rsidR="00BE2CA7" w:rsidRPr="00A318C3" w:rsidRDefault="00BE2CA7" w:rsidP="002B0590">
            <w:pPr>
              <w:jc w:val="both"/>
              <w:rPr>
                <w:sz w:val="18"/>
                <w:szCs w:val="18"/>
                <w:lang w:val="fr-FR" w:eastAsia="fr-FR"/>
              </w:rPr>
            </w:pPr>
            <w:r w:rsidRPr="00A318C3">
              <w:rPr>
                <w:sz w:val="18"/>
                <w:szCs w:val="18"/>
                <w:lang w:val="fr-FR" w:eastAsia="fr-FR"/>
              </w:rPr>
              <w:t>Référence et position de la (des) sonde(s) à oxygène et/ou lambda</w:t>
            </w:r>
          </w:p>
        </w:tc>
        <w:tc>
          <w:tcPr>
            <w:tcW w:w="284"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4327B3BD" w14:textId="77777777" w:rsidR="00BE2CA7" w:rsidRPr="00CC5187" w:rsidRDefault="00BE2CA7" w:rsidP="002B0590">
            <w:pPr>
              <w:jc w:val="both"/>
              <w:rPr>
                <w:sz w:val="18"/>
                <w:szCs w:val="18"/>
                <w:lang w:eastAsia="fr-FR"/>
              </w:rPr>
            </w:pPr>
            <w:r w:rsidRPr="00CC5187">
              <w:rPr>
                <w:b/>
                <w:bCs/>
                <w:caps/>
                <w:sz w:val="18"/>
                <w:szCs w:val="18"/>
                <w:lang w:eastAsia="fr-FR"/>
              </w:rPr>
              <w:t>:</w:t>
            </w:r>
          </w:p>
        </w:tc>
        <w:tc>
          <w:tcPr>
            <w:tcW w:w="4039" w:type="dxa"/>
            <w:tcBorders>
              <w:top w:val="single" w:sz="6" w:space="0" w:color="BFBFBF"/>
              <w:left w:val="single" w:sz="6" w:space="0" w:color="BFBFBF"/>
              <w:bottom w:val="single" w:sz="6" w:space="0" w:color="BFBFBF"/>
            </w:tcBorders>
            <w:tcMar>
              <w:top w:w="8" w:type="dxa"/>
              <w:left w:w="108" w:type="dxa"/>
              <w:bottom w:w="8" w:type="dxa"/>
              <w:right w:w="108" w:type="dxa"/>
            </w:tcMar>
            <w:hideMark/>
          </w:tcPr>
          <w:p w14:paraId="652735E6" w14:textId="77777777" w:rsidR="00BE2CA7" w:rsidRPr="00CC5187" w:rsidRDefault="00BE2CA7" w:rsidP="002B0590">
            <w:pPr>
              <w:jc w:val="both"/>
              <w:rPr>
                <w:sz w:val="18"/>
                <w:szCs w:val="18"/>
                <w:lang w:eastAsia="fr-FR"/>
              </w:rPr>
            </w:pPr>
            <w:r w:rsidRPr="00663A3D">
              <w:rPr>
                <w:sz w:val="18"/>
                <w:szCs w:val="18"/>
                <w:lang w:eastAsia="fr-FR"/>
              </w:rPr>
              <w:t>avant le catalyseur/après le catalyseur</w:t>
            </w:r>
          </w:p>
        </w:tc>
      </w:tr>
      <w:tr w:rsidR="00BE2CA7" w:rsidRPr="00CC5187" w14:paraId="4D2625AA" w14:textId="77777777" w:rsidTr="002B0590">
        <w:trPr>
          <w:trHeight w:val="283"/>
        </w:trPr>
        <w:tc>
          <w:tcPr>
            <w:tcW w:w="4007"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6B61312B" w14:textId="77777777" w:rsidR="00BE2CA7" w:rsidRPr="00CC5187" w:rsidRDefault="00BE2CA7" w:rsidP="002B0590">
            <w:pPr>
              <w:jc w:val="both"/>
              <w:rPr>
                <w:sz w:val="18"/>
                <w:szCs w:val="18"/>
                <w:lang w:eastAsia="fr-FR"/>
              </w:rPr>
            </w:pPr>
            <w:r w:rsidRPr="00785FC6">
              <w:rPr>
                <w:sz w:val="18"/>
                <w:szCs w:val="18"/>
                <w:lang w:eastAsia="fr-FR"/>
              </w:rPr>
              <w:t>Injection d</w:t>
            </w:r>
            <w:r>
              <w:rPr>
                <w:sz w:val="18"/>
                <w:szCs w:val="18"/>
                <w:lang w:eastAsia="fr-FR"/>
              </w:rPr>
              <w:t>’</w:t>
            </w:r>
            <w:r w:rsidRPr="00785FC6">
              <w:rPr>
                <w:sz w:val="18"/>
                <w:szCs w:val="18"/>
                <w:lang w:eastAsia="fr-FR"/>
              </w:rPr>
              <w:t>air</w:t>
            </w:r>
          </w:p>
        </w:tc>
        <w:tc>
          <w:tcPr>
            <w:tcW w:w="284"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0AA84007" w14:textId="77777777" w:rsidR="00BE2CA7" w:rsidRPr="00CC5187" w:rsidRDefault="00BE2CA7" w:rsidP="002B0590">
            <w:pPr>
              <w:jc w:val="both"/>
              <w:rPr>
                <w:sz w:val="18"/>
                <w:szCs w:val="18"/>
                <w:lang w:eastAsia="fr-FR"/>
              </w:rPr>
            </w:pPr>
            <w:r w:rsidRPr="00CC5187">
              <w:rPr>
                <w:b/>
                <w:bCs/>
                <w:caps/>
                <w:sz w:val="18"/>
                <w:szCs w:val="18"/>
                <w:lang w:eastAsia="fr-FR"/>
              </w:rPr>
              <w:t>:</w:t>
            </w:r>
          </w:p>
        </w:tc>
        <w:tc>
          <w:tcPr>
            <w:tcW w:w="4039" w:type="dxa"/>
            <w:tcBorders>
              <w:top w:val="single" w:sz="6" w:space="0" w:color="BFBFBF"/>
              <w:left w:val="single" w:sz="6" w:space="0" w:color="BFBFBF"/>
              <w:bottom w:val="single" w:sz="6" w:space="0" w:color="BFBFBF"/>
            </w:tcBorders>
            <w:tcMar>
              <w:top w:w="8" w:type="dxa"/>
              <w:left w:w="108" w:type="dxa"/>
              <w:bottom w:w="8" w:type="dxa"/>
              <w:right w:w="108" w:type="dxa"/>
            </w:tcMar>
            <w:hideMark/>
          </w:tcPr>
          <w:p w14:paraId="73ACF454" w14:textId="77777777" w:rsidR="00BE2CA7" w:rsidRPr="00CC5187" w:rsidRDefault="00BE2CA7" w:rsidP="002B0590">
            <w:pPr>
              <w:jc w:val="both"/>
              <w:rPr>
                <w:sz w:val="18"/>
                <w:szCs w:val="18"/>
                <w:lang w:eastAsia="fr-FR"/>
              </w:rPr>
            </w:pPr>
            <w:r w:rsidRPr="00663A3D">
              <w:rPr>
                <w:sz w:val="18"/>
                <w:szCs w:val="18"/>
                <w:lang w:eastAsia="fr-FR"/>
              </w:rPr>
              <w:t>avec/sans/sans objet</w:t>
            </w:r>
          </w:p>
        </w:tc>
      </w:tr>
      <w:tr w:rsidR="00BE2CA7" w:rsidRPr="00CC5187" w14:paraId="313680B6" w14:textId="77777777" w:rsidTr="002B0590">
        <w:trPr>
          <w:trHeight w:val="283"/>
        </w:trPr>
        <w:tc>
          <w:tcPr>
            <w:tcW w:w="4007"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4B7FBB01" w14:textId="77777777" w:rsidR="00BE2CA7" w:rsidRPr="00CC5187" w:rsidRDefault="00BE2CA7" w:rsidP="002B0590">
            <w:pPr>
              <w:jc w:val="both"/>
              <w:rPr>
                <w:sz w:val="18"/>
                <w:szCs w:val="18"/>
                <w:lang w:eastAsia="fr-FR"/>
              </w:rPr>
            </w:pPr>
            <w:r w:rsidRPr="00785FC6">
              <w:rPr>
                <w:sz w:val="18"/>
                <w:szCs w:val="18"/>
                <w:lang w:eastAsia="fr-FR"/>
              </w:rPr>
              <w:t>Injection d</w:t>
            </w:r>
            <w:r>
              <w:rPr>
                <w:sz w:val="18"/>
                <w:szCs w:val="18"/>
                <w:lang w:eastAsia="fr-FR"/>
              </w:rPr>
              <w:t>’eau</w:t>
            </w:r>
          </w:p>
        </w:tc>
        <w:tc>
          <w:tcPr>
            <w:tcW w:w="284"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7E3603CE" w14:textId="77777777" w:rsidR="00BE2CA7" w:rsidRPr="00CC5187" w:rsidRDefault="00BE2CA7" w:rsidP="002B0590">
            <w:pPr>
              <w:jc w:val="both"/>
              <w:rPr>
                <w:sz w:val="18"/>
                <w:szCs w:val="18"/>
                <w:lang w:eastAsia="fr-FR"/>
              </w:rPr>
            </w:pPr>
            <w:r w:rsidRPr="00CC5187">
              <w:rPr>
                <w:b/>
                <w:bCs/>
                <w:caps/>
                <w:sz w:val="18"/>
                <w:szCs w:val="18"/>
                <w:lang w:eastAsia="fr-FR"/>
              </w:rPr>
              <w:t>:</w:t>
            </w:r>
          </w:p>
        </w:tc>
        <w:tc>
          <w:tcPr>
            <w:tcW w:w="4039" w:type="dxa"/>
            <w:tcBorders>
              <w:top w:val="single" w:sz="6" w:space="0" w:color="BFBFBF"/>
              <w:left w:val="single" w:sz="6" w:space="0" w:color="BFBFBF"/>
              <w:bottom w:val="single" w:sz="6" w:space="0" w:color="BFBFBF"/>
            </w:tcBorders>
            <w:tcMar>
              <w:top w:w="8" w:type="dxa"/>
              <w:left w:w="108" w:type="dxa"/>
              <w:bottom w:w="8" w:type="dxa"/>
              <w:right w:w="108" w:type="dxa"/>
            </w:tcMar>
            <w:hideMark/>
          </w:tcPr>
          <w:p w14:paraId="793CEBFF" w14:textId="77777777" w:rsidR="00BE2CA7" w:rsidRPr="00CC5187" w:rsidRDefault="00BE2CA7" w:rsidP="002B0590">
            <w:pPr>
              <w:jc w:val="both"/>
              <w:rPr>
                <w:sz w:val="18"/>
                <w:szCs w:val="18"/>
                <w:lang w:eastAsia="fr-FR"/>
              </w:rPr>
            </w:pPr>
            <w:r w:rsidRPr="00663A3D">
              <w:rPr>
                <w:sz w:val="18"/>
                <w:szCs w:val="18"/>
                <w:lang w:eastAsia="fr-FR"/>
              </w:rPr>
              <w:t>avec/sans/sans objet</w:t>
            </w:r>
          </w:p>
        </w:tc>
      </w:tr>
      <w:tr w:rsidR="00BE2CA7" w:rsidRPr="00CC5187" w14:paraId="3423F198" w14:textId="77777777" w:rsidTr="002B0590">
        <w:trPr>
          <w:trHeight w:val="283"/>
        </w:trPr>
        <w:tc>
          <w:tcPr>
            <w:tcW w:w="4007"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12F48F53" w14:textId="77777777" w:rsidR="00BE2CA7" w:rsidRPr="00CC5187" w:rsidRDefault="00BE2CA7" w:rsidP="002B0590">
            <w:pPr>
              <w:jc w:val="both"/>
              <w:rPr>
                <w:sz w:val="18"/>
                <w:szCs w:val="18"/>
                <w:lang w:eastAsia="fr-FR"/>
              </w:rPr>
            </w:pPr>
            <w:r>
              <w:rPr>
                <w:sz w:val="18"/>
                <w:szCs w:val="18"/>
                <w:lang w:eastAsia="fr-FR"/>
              </w:rPr>
              <w:t>RGE</w:t>
            </w:r>
          </w:p>
        </w:tc>
        <w:tc>
          <w:tcPr>
            <w:tcW w:w="284"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4B2B2863" w14:textId="77777777" w:rsidR="00BE2CA7" w:rsidRPr="00CC5187" w:rsidRDefault="00BE2CA7" w:rsidP="002B0590">
            <w:pPr>
              <w:jc w:val="both"/>
              <w:rPr>
                <w:sz w:val="18"/>
                <w:szCs w:val="18"/>
                <w:lang w:eastAsia="fr-FR"/>
              </w:rPr>
            </w:pPr>
            <w:r w:rsidRPr="00CC5187">
              <w:rPr>
                <w:b/>
                <w:bCs/>
                <w:caps/>
                <w:sz w:val="18"/>
                <w:szCs w:val="18"/>
                <w:lang w:eastAsia="fr-FR"/>
              </w:rPr>
              <w:t>:</w:t>
            </w:r>
          </w:p>
        </w:tc>
        <w:tc>
          <w:tcPr>
            <w:tcW w:w="4039" w:type="dxa"/>
            <w:tcBorders>
              <w:top w:val="single" w:sz="6" w:space="0" w:color="BFBFBF"/>
              <w:left w:val="single" w:sz="6" w:space="0" w:color="BFBFBF"/>
              <w:bottom w:val="single" w:sz="6" w:space="0" w:color="BFBFBF"/>
            </w:tcBorders>
            <w:tcMar>
              <w:top w:w="8" w:type="dxa"/>
              <w:left w:w="108" w:type="dxa"/>
              <w:bottom w:w="8" w:type="dxa"/>
              <w:right w:w="108" w:type="dxa"/>
            </w:tcMar>
            <w:hideMark/>
          </w:tcPr>
          <w:p w14:paraId="51B93182" w14:textId="77777777" w:rsidR="00BE2CA7" w:rsidRPr="00A318C3" w:rsidRDefault="00BE2CA7" w:rsidP="002B0590">
            <w:pPr>
              <w:jc w:val="both"/>
              <w:rPr>
                <w:sz w:val="18"/>
                <w:szCs w:val="18"/>
                <w:lang w:val="fr-FR" w:eastAsia="fr-FR"/>
              </w:rPr>
            </w:pPr>
            <w:r w:rsidRPr="00A318C3">
              <w:rPr>
                <w:sz w:val="18"/>
                <w:szCs w:val="18"/>
                <w:lang w:val="fr-FR" w:eastAsia="fr-FR"/>
              </w:rPr>
              <w:t>avec/sans/sans objet</w:t>
            </w:r>
          </w:p>
          <w:p w14:paraId="48AD365F" w14:textId="77777777" w:rsidR="00BE2CA7" w:rsidRPr="00A318C3" w:rsidRDefault="00BE2CA7" w:rsidP="002B0590">
            <w:pPr>
              <w:jc w:val="both"/>
              <w:rPr>
                <w:sz w:val="18"/>
                <w:szCs w:val="18"/>
                <w:lang w:val="fr-FR" w:eastAsia="fr-FR"/>
              </w:rPr>
            </w:pPr>
            <w:r w:rsidRPr="00A318C3">
              <w:rPr>
                <w:sz w:val="18"/>
                <w:szCs w:val="18"/>
                <w:lang w:val="fr-FR" w:eastAsia="fr-FR"/>
              </w:rPr>
              <w:t>refroidi/non refroidi</w:t>
            </w:r>
          </w:p>
          <w:p w14:paraId="380BB4CD" w14:textId="77777777" w:rsidR="00BE2CA7" w:rsidRPr="00CC5187" w:rsidRDefault="00BE2CA7" w:rsidP="002B0590">
            <w:pPr>
              <w:keepNext/>
              <w:spacing w:after="40"/>
              <w:jc w:val="both"/>
              <w:rPr>
                <w:sz w:val="18"/>
                <w:szCs w:val="18"/>
                <w:lang w:eastAsia="fr-FR"/>
              </w:rPr>
            </w:pPr>
            <w:r w:rsidRPr="00CC5187">
              <w:rPr>
                <w:sz w:val="18"/>
                <w:szCs w:val="18"/>
                <w:lang w:eastAsia="fr-FR"/>
              </w:rPr>
              <w:t>HP/</w:t>
            </w:r>
            <w:r>
              <w:rPr>
                <w:sz w:val="18"/>
                <w:szCs w:val="18"/>
                <w:lang w:eastAsia="fr-FR"/>
              </w:rPr>
              <w:t>B</w:t>
            </w:r>
            <w:r w:rsidRPr="00CC5187">
              <w:rPr>
                <w:sz w:val="18"/>
                <w:szCs w:val="18"/>
                <w:lang w:eastAsia="fr-FR"/>
              </w:rPr>
              <w:t>P</w:t>
            </w:r>
          </w:p>
        </w:tc>
      </w:tr>
      <w:tr w:rsidR="00BE2CA7" w:rsidRPr="00CC5187" w14:paraId="7A3595C3" w14:textId="77777777" w:rsidTr="002B0590">
        <w:trPr>
          <w:trHeight w:val="283"/>
        </w:trPr>
        <w:tc>
          <w:tcPr>
            <w:tcW w:w="4007"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61F814E1" w14:textId="77777777" w:rsidR="00BE2CA7" w:rsidRPr="00A318C3" w:rsidRDefault="00BE2CA7" w:rsidP="002B0590">
            <w:pPr>
              <w:jc w:val="both"/>
              <w:rPr>
                <w:sz w:val="18"/>
                <w:szCs w:val="18"/>
                <w:lang w:val="fr-FR" w:eastAsia="fr-FR"/>
              </w:rPr>
            </w:pPr>
            <w:r w:rsidRPr="00A318C3">
              <w:rPr>
                <w:sz w:val="18"/>
                <w:szCs w:val="18"/>
                <w:lang w:val="fr-FR" w:eastAsia="fr-FR"/>
              </w:rPr>
              <w:t>Référence et position du (des) capteur(s) de N</w:t>
            </w:r>
            <w:r>
              <w:rPr>
                <w:sz w:val="18"/>
                <w:szCs w:val="18"/>
                <w:lang w:val="fr-FR" w:eastAsia="fr-FR"/>
              </w:rPr>
              <w:t>O</w:t>
            </w:r>
            <w:r w:rsidRPr="00A318C3">
              <w:rPr>
                <w:sz w:val="18"/>
                <w:szCs w:val="18"/>
                <w:vertAlign w:val="subscript"/>
                <w:lang w:val="fr-FR" w:eastAsia="fr-FR"/>
              </w:rPr>
              <w:t>x</w:t>
            </w:r>
          </w:p>
        </w:tc>
        <w:tc>
          <w:tcPr>
            <w:tcW w:w="284"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0545F294" w14:textId="77777777" w:rsidR="00BE2CA7" w:rsidRPr="00CC5187" w:rsidRDefault="00BE2CA7" w:rsidP="002B0590">
            <w:pPr>
              <w:jc w:val="both"/>
              <w:rPr>
                <w:sz w:val="18"/>
                <w:szCs w:val="18"/>
                <w:lang w:eastAsia="fr-FR"/>
              </w:rPr>
            </w:pPr>
            <w:r w:rsidRPr="00CC5187">
              <w:rPr>
                <w:b/>
                <w:bCs/>
                <w:caps/>
                <w:sz w:val="18"/>
                <w:szCs w:val="18"/>
                <w:lang w:eastAsia="fr-FR"/>
              </w:rPr>
              <w:t>:</w:t>
            </w:r>
          </w:p>
        </w:tc>
        <w:tc>
          <w:tcPr>
            <w:tcW w:w="4039" w:type="dxa"/>
            <w:tcBorders>
              <w:top w:val="single" w:sz="6" w:space="0" w:color="BFBFBF"/>
              <w:left w:val="single" w:sz="6" w:space="0" w:color="BFBFBF"/>
              <w:bottom w:val="single" w:sz="6" w:space="0" w:color="BFBFBF"/>
            </w:tcBorders>
            <w:tcMar>
              <w:top w:w="8" w:type="dxa"/>
              <w:left w:w="108" w:type="dxa"/>
              <w:bottom w:w="8" w:type="dxa"/>
              <w:right w:w="108" w:type="dxa"/>
            </w:tcMar>
            <w:hideMark/>
          </w:tcPr>
          <w:p w14:paraId="6777CE63" w14:textId="77777777" w:rsidR="00BE2CA7" w:rsidRPr="00CC5187" w:rsidRDefault="00BE2CA7" w:rsidP="002B0590">
            <w:pPr>
              <w:jc w:val="both"/>
              <w:rPr>
                <w:sz w:val="18"/>
                <w:szCs w:val="18"/>
                <w:lang w:eastAsia="fr-FR"/>
              </w:rPr>
            </w:pPr>
            <w:r>
              <w:rPr>
                <w:sz w:val="18"/>
                <w:szCs w:val="18"/>
                <w:lang w:eastAsia="fr-FR"/>
              </w:rPr>
              <w:t>Avant/après</w:t>
            </w:r>
            <w:r w:rsidRPr="00CC5187">
              <w:rPr>
                <w:strike/>
                <w:sz w:val="18"/>
                <w:szCs w:val="18"/>
                <w:lang w:eastAsia="fr-FR"/>
              </w:rPr>
              <w:t xml:space="preserve"> </w:t>
            </w:r>
          </w:p>
        </w:tc>
      </w:tr>
      <w:tr w:rsidR="00BE2CA7" w:rsidRPr="00CC5187" w14:paraId="51B8E93C" w14:textId="77777777" w:rsidTr="002B0590">
        <w:trPr>
          <w:trHeight w:val="283"/>
        </w:trPr>
        <w:tc>
          <w:tcPr>
            <w:tcW w:w="4007" w:type="dxa"/>
            <w:tcBorders>
              <w:top w:val="single" w:sz="6" w:space="0" w:color="BFBFBF"/>
              <w:right w:val="single" w:sz="6" w:space="0" w:color="BFBFBF"/>
            </w:tcBorders>
            <w:tcMar>
              <w:top w:w="8" w:type="dxa"/>
              <w:left w:w="108" w:type="dxa"/>
              <w:bottom w:w="8" w:type="dxa"/>
              <w:right w:w="108" w:type="dxa"/>
            </w:tcMar>
            <w:hideMark/>
          </w:tcPr>
          <w:p w14:paraId="74BF45F5" w14:textId="77777777" w:rsidR="00BE2CA7" w:rsidRPr="00CC5187" w:rsidRDefault="00BE2CA7" w:rsidP="002B0590">
            <w:pPr>
              <w:jc w:val="both"/>
              <w:rPr>
                <w:sz w:val="18"/>
                <w:szCs w:val="18"/>
                <w:lang w:eastAsia="fr-FR"/>
              </w:rPr>
            </w:pPr>
            <w:r w:rsidRPr="00785FC6">
              <w:rPr>
                <w:sz w:val="18"/>
                <w:szCs w:val="18"/>
                <w:lang w:eastAsia="fr-FR"/>
              </w:rPr>
              <w:t>Description générale</w:t>
            </w:r>
            <w:r>
              <w:rPr>
                <w:sz w:val="18"/>
                <w:szCs w:val="18"/>
                <w:lang w:eastAsia="fr-FR"/>
              </w:rPr>
              <w:t> </w:t>
            </w:r>
            <w:r w:rsidRPr="00785FC6">
              <w:rPr>
                <w:sz w:val="18"/>
                <w:szCs w:val="18"/>
                <w:lang w:eastAsia="fr-FR"/>
              </w:rPr>
              <w:t>1)</w:t>
            </w:r>
          </w:p>
        </w:tc>
        <w:tc>
          <w:tcPr>
            <w:tcW w:w="284" w:type="dxa"/>
            <w:tcBorders>
              <w:top w:val="single" w:sz="6" w:space="0" w:color="BFBFBF"/>
              <w:left w:val="single" w:sz="6" w:space="0" w:color="BFBFBF"/>
              <w:right w:val="single" w:sz="6" w:space="0" w:color="BFBFBF"/>
            </w:tcBorders>
            <w:tcMar>
              <w:top w:w="8" w:type="dxa"/>
              <w:left w:w="108" w:type="dxa"/>
              <w:bottom w:w="8" w:type="dxa"/>
              <w:right w:w="108" w:type="dxa"/>
            </w:tcMar>
            <w:hideMark/>
          </w:tcPr>
          <w:p w14:paraId="68EBCC66" w14:textId="77777777" w:rsidR="00BE2CA7" w:rsidRPr="00CC5187" w:rsidRDefault="00BE2CA7" w:rsidP="002B0590">
            <w:pPr>
              <w:jc w:val="both"/>
              <w:rPr>
                <w:sz w:val="18"/>
                <w:szCs w:val="18"/>
                <w:lang w:eastAsia="fr-FR"/>
              </w:rPr>
            </w:pPr>
            <w:r w:rsidRPr="00CC5187">
              <w:rPr>
                <w:b/>
                <w:bCs/>
                <w:caps/>
                <w:sz w:val="18"/>
                <w:szCs w:val="18"/>
                <w:lang w:eastAsia="fr-FR"/>
              </w:rPr>
              <w:t>:</w:t>
            </w:r>
          </w:p>
        </w:tc>
        <w:tc>
          <w:tcPr>
            <w:tcW w:w="4039" w:type="dxa"/>
            <w:tcBorders>
              <w:top w:val="single" w:sz="6" w:space="0" w:color="BFBFBF"/>
              <w:left w:val="single" w:sz="6" w:space="0" w:color="BFBFBF"/>
            </w:tcBorders>
            <w:tcMar>
              <w:top w:w="8" w:type="dxa"/>
              <w:left w:w="108" w:type="dxa"/>
              <w:bottom w:w="8" w:type="dxa"/>
              <w:right w:w="108" w:type="dxa"/>
            </w:tcMar>
          </w:tcPr>
          <w:p w14:paraId="390D63C2" w14:textId="77777777" w:rsidR="00BE2CA7" w:rsidRPr="00CC5187" w:rsidRDefault="00BE2CA7" w:rsidP="002B0590">
            <w:pPr>
              <w:jc w:val="both"/>
              <w:rPr>
                <w:sz w:val="18"/>
                <w:szCs w:val="18"/>
                <w:lang w:eastAsia="fr-FR"/>
              </w:rPr>
            </w:pPr>
          </w:p>
        </w:tc>
      </w:tr>
    </w:tbl>
    <w:p w14:paraId="3DD881E2" w14:textId="77777777" w:rsidR="00BE2CA7" w:rsidRPr="00CC5187" w:rsidRDefault="00BE2CA7" w:rsidP="00BE2CA7">
      <w:pPr>
        <w:pStyle w:val="SingleTxtG"/>
        <w:keepNext/>
        <w:spacing w:before="240"/>
        <w:rPr>
          <w:b/>
          <w:bCs/>
          <w:lang w:eastAsia="fr-FR"/>
        </w:rPr>
      </w:pPr>
      <w:r w:rsidRPr="00CC5187">
        <w:rPr>
          <w:b/>
          <w:bCs/>
          <w:lang w:eastAsia="fr-FR"/>
        </w:rPr>
        <w:lastRenderedPageBreak/>
        <w:t>1.1.8</w:t>
      </w:r>
      <w:r w:rsidRPr="00CC5187">
        <w:rPr>
          <w:b/>
          <w:bCs/>
          <w:lang w:eastAsia="fr-FR"/>
        </w:rPr>
        <w:tab/>
      </w:r>
      <w:r w:rsidRPr="00EA51EF">
        <w:rPr>
          <w:b/>
          <w:bCs/>
          <w:lang w:eastAsia="fr-FR"/>
        </w:rPr>
        <w:t>Transmission (le cas échéant)</w:t>
      </w:r>
    </w:p>
    <w:p w14:paraId="35FB81D6" w14:textId="77777777" w:rsidR="00BE2CA7" w:rsidRPr="00A318C3" w:rsidRDefault="00BE2CA7" w:rsidP="00BE2CA7">
      <w:pPr>
        <w:pStyle w:val="SingleTxtG"/>
        <w:ind w:firstLine="567"/>
        <w:rPr>
          <w:lang w:val="fr-FR" w:eastAsia="fr-FR"/>
        </w:rPr>
      </w:pPr>
      <w:r w:rsidRPr="00A318C3">
        <w:rPr>
          <w:lang w:val="fr-FR" w:eastAsia="fr-FR"/>
        </w:rPr>
        <w:t>Si le véhicule est équipé de plusieurs transmissions, veuillez fournir les informations ci-après pour chacune d</w:t>
      </w:r>
      <w:r>
        <w:rPr>
          <w:lang w:val="fr-FR" w:eastAsia="fr-FR"/>
        </w:rPr>
        <w:t>’</w:t>
      </w:r>
      <w:r w:rsidRPr="00A318C3">
        <w:rPr>
          <w:lang w:val="fr-FR" w:eastAsia="fr-FR"/>
        </w:rPr>
        <w:t>entre elles.</w:t>
      </w:r>
    </w:p>
    <w:tbl>
      <w:tblPr>
        <w:tblW w:w="8505" w:type="dxa"/>
        <w:tblInd w:w="1134" w:type="dxa"/>
        <w:tblBorders>
          <w:top w:val="single" w:sz="6" w:space="0" w:color="BFBFBF"/>
          <w:left w:val="single" w:sz="6" w:space="0" w:color="BFBFBF"/>
          <w:bottom w:val="single" w:sz="6" w:space="0" w:color="BFBFBF"/>
          <w:right w:val="single" w:sz="6" w:space="0" w:color="BFBFBF"/>
        </w:tblBorders>
        <w:tblCellMar>
          <w:left w:w="0" w:type="dxa"/>
          <w:right w:w="0" w:type="dxa"/>
        </w:tblCellMar>
        <w:tblLook w:val="04A0" w:firstRow="1" w:lastRow="0" w:firstColumn="1" w:lastColumn="0" w:noHBand="0" w:noVBand="1"/>
      </w:tblPr>
      <w:tblGrid>
        <w:gridCol w:w="4470"/>
        <w:gridCol w:w="280"/>
        <w:gridCol w:w="3755"/>
      </w:tblGrid>
      <w:tr w:rsidR="00BE2CA7" w:rsidRPr="00CC5187" w14:paraId="000F5770" w14:textId="77777777" w:rsidTr="002B0590">
        <w:trPr>
          <w:trHeight w:val="283"/>
        </w:trPr>
        <w:tc>
          <w:tcPr>
            <w:tcW w:w="4470" w:type="dxa"/>
            <w:tcBorders>
              <w:bottom w:val="single" w:sz="6" w:space="0" w:color="BFBFBF"/>
              <w:right w:val="single" w:sz="6" w:space="0" w:color="BFBFBF"/>
            </w:tcBorders>
            <w:tcMar>
              <w:top w:w="8" w:type="dxa"/>
              <w:left w:w="108" w:type="dxa"/>
              <w:bottom w:w="8" w:type="dxa"/>
              <w:right w:w="108" w:type="dxa"/>
            </w:tcMar>
            <w:hideMark/>
          </w:tcPr>
          <w:p w14:paraId="0CB0B434" w14:textId="77777777" w:rsidR="00BE2CA7" w:rsidRPr="00CC5187" w:rsidRDefault="00BE2CA7" w:rsidP="002B0590">
            <w:pPr>
              <w:jc w:val="both"/>
              <w:rPr>
                <w:sz w:val="18"/>
                <w:szCs w:val="18"/>
                <w:lang w:eastAsia="fr-FR"/>
              </w:rPr>
            </w:pPr>
            <w:r w:rsidRPr="005C262D">
              <w:rPr>
                <w:sz w:val="18"/>
                <w:szCs w:val="18"/>
                <w:lang w:eastAsia="fr-FR"/>
              </w:rPr>
              <w:t>Boîte de vitesses</w:t>
            </w:r>
          </w:p>
        </w:tc>
        <w:tc>
          <w:tcPr>
            <w:tcW w:w="280" w:type="dxa"/>
            <w:tcBorders>
              <w:left w:val="single" w:sz="6" w:space="0" w:color="BFBFBF"/>
              <w:bottom w:val="single" w:sz="6" w:space="0" w:color="BFBFBF"/>
              <w:right w:val="single" w:sz="6" w:space="0" w:color="BFBFBF"/>
            </w:tcBorders>
            <w:tcMar>
              <w:top w:w="8" w:type="dxa"/>
              <w:left w:w="108" w:type="dxa"/>
              <w:bottom w:w="8" w:type="dxa"/>
              <w:right w:w="108" w:type="dxa"/>
            </w:tcMar>
            <w:hideMark/>
          </w:tcPr>
          <w:p w14:paraId="71FDF0FA" w14:textId="77777777" w:rsidR="00BE2CA7" w:rsidRPr="00CC5187" w:rsidRDefault="00BE2CA7" w:rsidP="002B0590">
            <w:pPr>
              <w:jc w:val="both"/>
              <w:rPr>
                <w:sz w:val="18"/>
                <w:szCs w:val="18"/>
                <w:lang w:eastAsia="fr-FR"/>
              </w:rPr>
            </w:pPr>
            <w:r w:rsidRPr="00CC5187">
              <w:rPr>
                <w:b/>
                <w:bCs/>
                <w:caps/>
                <w:sz w:val="18"/>
                <w:szCs w:val="18"/>
                <w:lang w:eastAsia="fr-FR"/>
              </w:rPr>
              <w:t>:</w:t>
            </w:r>
          </w:p>
        </w:tc>
        <w:tc>
          <w:tcPr>
            <w:tcW w:w="3755" w:type="dxa"/>
            <w:tcBorders>
              <w:left w:val="single" w:sz="6" w:space="0" w:color="BFBFBF"/>
              <w:bottom w:val="single" w:sz="6" w:space="0" w:color="BFBFBF"/>
            </w:tcBorders>
            <w:tcMar>
              <w:top w:w="8" w:type="dxa"/>
              <w:left w:w="108" w:type="dxa"/>
              <w:bottom w:w="8" w:type="dxa"/>
              <w:right w:w="108" w:type="dxa"/>
            </w:tcMar>
            <w:hideMark/>
          </w:tcPr>
          <w:p w14:paraId="3612889A" w14:textId="77777777" w:rsidR="00BE2CA7" w:rsidRPr="00CC5187" w:rsidRDefault="00BE2CA7" w:rsidP="002B0590">
            <w:pPr>
              <w:jc w:val="both"/>
              <w:rPr>
                <w:sz w:val="18"/>
                <w:szCs w:val="18"/>
                <w:lang w:eastAsia="fr-FR"/>
              </w:rPr>
            </w:pPr>
            <w:r w:rsidRPr="005C262D">
              <w:rPr>
                <w:sz w:val="18"/>
                <w:szCs w:val="18"/>
                <w:lang w:eastAsia="fr-FR"/>
              </w:rPr>
              <w:t>manuelle/automatique/à variation continue</w:t>
            </w:r>
          </w:p>
        </w:tc>
      </w:tr>
      <w:tr w:rsidR="00BE2CA7" w:rsidRPr="00CC5187" w14:paraId="61DAE160" w14:textId="77777777" w:rsidTr="002B0590">
        <w:trPr>
          <w:trHeight w:val="283"/>
        </w:trPr>
        <w:tc>
          <w:tcPr>
            <w:tcW w:w="4470"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679A0ED8" w14:textId="77777777" w:rsidR="00BE2CA7" w:rsidRPr="00CC5187" w:rsidRDefault="00BE2CA7" w:rsidP="002B0590">
            <w:pPr>
              <w:jc w:val="both"/>
              <w:rPr>
                <w:sz w:val="18"/>
                <w:szCs w:val="18"/>
                <w:lang w:eastAsia="fr-FR"/>
              </w:rPr>
            </w:pPr>
            <w:r w:rsidRPr="005C262D">
              <w:rPr>
                <w:sz w:val="18"/>
                <w:szCs w:val="18"/>
                <w:lang w:eastAsia="fr-FR"/>
              </w:rPr>
              <w:t>Module de commande</w:t>
            </w:r>
          </w:p>
        </w:tc>
        <w:tc>
          <w:tcPr>
            <w:tcW w:w="28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1C38664A" w14:textId="77777777" w:rsidR="00BE2CA7" w:rsidRPr="00CC5187" w:rsidRDefault="00BE2CA7" w:rsidP="002B0590">
            <w:pPr>
              <w:jc w:val="both"/>
              <w:rPr>
                <w:sz w:val="18"/>
                <w:szCs w:val="18"/>
                <w:lang w:eastAsia="fr-FR"/>
              </w:rPr>
            </w:pPr>
            <w:r w:rsidRPr="00CC5187">
              <w:rPr>
                <w:b/>
                <w:bCs/>
                <w:caps/>
                <w:sz w:val="18"/>
                <w:szCs w:val="18"/>
                <w:lang w:eastAsia="fr-FR"/>
              </w:rPr>
              <w:t>:</w:t>
            </w:r>
          </w:p>
        </w:tc>
        <w:tc>
          <w:tcPr>
            <w:tcW w:w="3755" w:type="dxa"/>
            <w:tcBorders>
              <w:top w:val="single" w:sz="6" w:space="0" w:color="BFBFBF"/>
              <w:left w:val="single" w:sz="6" w:space="0" w:color="BFBFBF"/>
              <w:bottom w:val="single" w:sz="6" w:space="0" w:color="BFBFBF"/>
            </w:tcBorders>
            <w:tcMar>
              <w:top w:w="8" w:type="dxa"/>
              <w:left w:w="108" w:type="dxa"/>
              <w:bottom w:w="8" w:type="dxa"/>
              <w:right w:w="108" w:type="dxa"/>
            </w:tcMar>
          </w:tcPr>
          <w:p w14:paraId="3AB8E2A0" w14:textId="77777777" w:rsidR="00BE2CA7" w:rsidRPr="00CC5187" w:rsidRDefault="00BE2CA7" w:rsidP="002B0590">
            <w:pPr>
              <w:jc w:val="both"/>
              <w:rPr>
                <w:sz w:val="18"/>
                <w:szCs w:val="18"/>
                <w:lang w:eastAsia="fr-FR"/>
              </w:rPr>
            </w:pPr>
          </w:p>
        </w:tc>
      </w:tr>
      <w:tr w:rsidR="00BE2CA7" w:rsidRPr="00CC5187" w14:paraId="22A1A05C" w14:textId="77777777" w:rsidTr="002B0590">
        <w:trPr>
          <w:trHeight w:val="283"/>
        </w:trPr>
        <w:tc>
          <w:tcPr>
            <w:tcW w:w="4470"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25050422" w14:textId="77777777" w:rsidR="00BE2CA7" w:rsidRPr="00CC5187" w:rsidRDefault="00BE2CA7" w:rsidP="002B0590">
            <w:pPr>
              <w:jc w:val="both"/>
              <w:rPr>
                <w:sz w:val="18"/>
                <w:szCs w:val="18"/>
                <w:lang w:eastAsia="fr-FR"/>
              </w:rPr>
            </w:pPr>
            <w:r w:rsidRPr="005C262D">
              <w:rPr>
                <w:sz w:val="18"/>
                <w:szCs w:val="18"/>
                <w:lang w:eastAsia="fr-FR"/>
              </w:rPr>
              <w:t>Lubrifiant de la boîte de vitesses</w:t>
            </w:r>
          </w:p>
        </w:tc>
        <w:tc>
          <w:tcPr>
            <w:tcW w:w="28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4C7C412D" w14:textId="77777777" w:rsidR="00BE2CA7" w:rsidRPr="00CC5187" w:rsidRDefault="00BE2CA7" w:rsidP="002B0590">
            <w:pPr>
              <w:jc w:val="both"/>
              <w:rPr>
                <w:sz w:val="18"/>
                <w:szCs w:val="18"/>
                <w:lang w:eastAsia="fr-FR"/>
              </w:rPr>
            </w:pPr>
            <w:r w:rsidRPr="00CC5187">
              <w:rPr>
                <w:b/>
                <w:bCs/>
                <w:caps/>
                <w:sz w:val="18"/>
                <w:szCs w:val="18"/>
                <w:lang w:eastAsia="fr-FR"/>
              </w:rPr>
              <w:t>:</w:t>
            </w:r>
          </w:p>
        </w:tc>
        <w:tc>
          <w:tcPr>
            <w:tcW w:w="3755" w:type="dxa"/>
            <w:tcBorders>
              <w:top w:val="single" w:sz="6" w:space="0" w:color="BFBFBF"/>
              <w:left w:val="single" w:sz="6" w:space="0" w:color="BFBFBF"/>
              <w:bottom w:val="single" w:sz="6" w:space="0" w:color="BFBFBF"/>
            </w:tcBorders>
            <w:tcMar>
              <w:top w:w="8" w:type="dxa"/>
              <w:left w:w="108" w:type="dxa"/>
              <w:bottom w:w="8" w:type="dxa"/>
              <w:right w:w="108" w:type="dxa"/>
            </w:tcMar>
            <w:hideMark/>
          </w:tcPr>
          <w:p w14:paraId="55DD375C" w14:textId="77777777" w:rsidR="00BE2CA7" w:rsidRPr="00CC5187" w:rsidRDefault="00BE2CA7" w:rsidP="002B0590">
            <w:pPr>
              <w:jc w:val="both"/>
              <w:rPr>
                <w:sz w:val="18"/>
                <w:szCs w:val="18"/>
                <w:lang w:eastAsia="fr-FR"/>
              </w:rPr>
            </w:pPr>
            <w:r w:rsidRPr="00CC5187">
              <w:rPr>
                <w:sz w:val="18"/>
                <w:szCs w:val="18"/>
                <w:lang w:eastAsia="fr-FR"/>
              </w:rPr>
              <w:t>M</w:t>
            </w:r>
            <w:r>
              <w:rPr>
                <w:sz w:val="18"/>
                <w:szCs w:val="18"/>
                <w:lang w:eastAsia="fr-FR"/>
              </w:rPr>
              <w:t>arque et type</w:t>
            </w:r>
          </w:p>
        </w:tc>
      </w:tr>
      <w:tr w:rsidR="00BE2CA7" w:rsidRPr="00CC5187" w14:paraId="4B41DB6B" w14:textId="77777777" w:rsidTr="002B0590">
        <w:trPr>
          <w:trHeight w:val="283"/>
        </w:trPr>
        <w:tc>
          <w:tcPr>
            <w:tcW w:w="8505" w:type="dxa"/>
            <w:gridSpan w:val="3"/>
            <w:tcBorders>
              <w:top w:val="single" w:sz="6" w:space="0" w:color="BFBFBF"/>
              <w:bottom w:val="single" w:sz="6" w:space="0" w:color="BFBFBF"/>
            </w:tcBorders>
            <w:tcMar>
              <w:top w:w="8" w:type="dxa"/>
              <w:left w:w="108" w:type="dxa"/>
              <w:bottom w:w="8" w:type="dxa"/>
              <w:right w:w="108" w:type="dxa"/>
            </w:tcMar>
            <w:hideMark/>
          </w:tcPr>
          <w:p w14:paraId="2D91BE64" w14:textId="77777777" w:rsidR="00BE2CA7" w:rsidRPr="00CC5187" w:rsidRDefault="00BE2CA7" w:rsidP="002B0590">
            <w:pPr>
              <w:jc w:val="both"/>
              <w:rPr>
                <w:sz w:val="18"/>
                <w:szCs w:val="18"/>
                <w:lang w:eastAsia="fr-FR"/>
              </w:rPr>
            </w:pPr>
            <w:r>
              <w:rPr>
                <w:sz w:val="18"/>
                <w:szCs w:val="18"/>
                <w:lang w:eastAsia="fr-FR"/>
              </w:rPr>
              <w:t>Pneumatiques</w:t>
            </w:r>
          </w:p>
        </w:tc>
      </w:tr>
      <w:tr w:rsidR="00BE2CA7" w:rsidRPr="00CC5187" w14:paraId="7145F11C" w14:textId="77777777" w:rsidTr="002B0590">
        <w:trPr>
          <w:trHeight w:val="283"/>
        </w:trPr>
        <w:tc>
          <w:tcPr>
            <w:tcW w:w="4470"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388B7096" w14:textId="77777777" w:rsidR="00BE2CA7" w:rsidRPr="00CC5187" w:rsidRDefault="00BE2CA7" w:rsidP="002B0590">
            <w:pPr>
              <w:jc w:val="both"/>
              <w:rPr>
                <w:sz w:val="18"/>
                <w:szCs w:val="18"/>
                <w:lang w:eastAsia="fr-FR"/>
              </w:rPr>
            </w:pPr>
            <w:r w:rsidRPr="00CC5187">
              <w:rPr>
                <w:sz w:val="18"/>
                <w:szCs w:val="18"/>
                <w:lang w:eastAsia="fr-FR"/>
              </w:rPr>
              <w:t>Ma</w:t>
            </w:r>
            <w:r>
              <w:rPr>
                <w:sz w:val="18"/>
                <w:szCs w:val="18"/>
                <w:lang w:eastAsia="fr-FR"/>
              </w:rPr>
              <w:t>rque</w:t>
            </w:r>
          </w:p>
        </w:tc>
        <w:tc>
          <w:tcPr>
            <w:tcW w:w="28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586B06BA" w14:textId="77777777" w:rsidR="00BE2CA7" w:rsidRPr="00CC5187" w:rsidRDefault="00BE2CA7" w:rsidP="002B0590">
            <w:pPr>
              <w:jc w:val="both"/>
              <w:rPr>
                <w:sz w:val="18"/>
                <w:szCs w:val="18"/>
                <w:lang w:eastAsia="fr-FR"/>
              </w:rPr>
            </w:pPr>
            <w:r w:rsidRPr="00CC5187">
              <w:rPr>
                <w:b/>
                <w:bCs/>
                <w:caps/>
                <w:sz w:val="18"/>
                <w:szCs w:val="18"/>
                <w:lang w:eastAsia="fr-FR"/>
              </w:rPr>
              <w:t>:</w:t>
            </w:r>
          </w:p>
        </w:tc>
        <w:tc>
          <w:tcPr>
            <w:tcW w:w="3755" w:type="dxa"/>
            <w:tcBorders>
              <w:top w:val="single" w:sz="6" w:space="0" w:color="BFBFBF"/>
              <w:left w:val="single" w:sz="6" w:space="0" w:color="BFBFBF"/>
              <w:bottom w:val="single" w:sz="6" w:space="0" w:color="BFBFBF"/>
            </w:tcBorders>
            <w:tcMar>
              <w:top w:w="8" w:type="dxa"/>
              <w:left w:w="108" w:type="dxa"/>
              <w:bottom w:w="8" w:type="dxa"/>
              <w:right w:w="108" w:type="dxa"/>
            </w:tcMar>
          </w:tcPr>
          <w:p w14:paraId="1CEDFE6A" w14:textId="77777777" w:rsidR="00BE2CA7" w:rsidRPr="00CC5187" w:rsidRDefault="00BE2CA7" w:rsidP="002B0590">
            <w:pPr>
              <w:jc w:val="both"/>
              <w:rPr>
                <w:sz w:val="18"/>
                <w:szCs w:val="18"/>
                <w:lang w:eastAsia="fr-FR"/>
              </w:rPr>
            </w:pPr>
          </w:p>
        </w:tc>
      </w:tr>
      <w:tr w:rsidR="00BE2CA7" w:rsidRPr="00CC5187" w14:paraId="208C897E" w14:textId="77777777" w:rsidTr="002B0590">
        <w:trPr>
          <w:trHeight w:val="283"/>
        </w:trPr>
        <w:tc>
          <w:tcPr>
            <w:tcW w:w="4470"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233FBFC0" w14:textId="77777777" w:rsidR="00BE2CA7" w:rsidRPr="00CC5187" w:rsidRDefault="00BE2CA7" w:rsidP="002B0590">
            <w:pPr>
              <w:jc w:val="both"/>
              <w:rPr>
                <w:sz w:val="18"/>
                <w:szCs w:val="18"/>
                <w:lang w:eastAsia="fr-FR"/>
              </w:rPr>
            </w:pPr>
            <w:r w:rsidRPr="00CC5187">
              <w:rPr>
                <w:sz w:val="18"/>
                <w:szCs w:val="18"/>
                <w:lang w:eastAsia="fr-FR"/>
              </w:rPr>
              <w:t>Type</w:t>
            </w:r>
          </w:p>
        </w:tc>
        <w:tc>
          <w:tcPr>
            <w:tcW w:w="28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5FABF6E6" w14:textId="77777777" w:rsidR="00BE2CA7" w:rsidRPr="00CC5187" w:rsidRDefault="00BE2CA7" w:rsidP="002B0590">
            <w:pPr>
              <w:jc w:val="both"/>
              <w:rPr>
                <w:sz w:val="18"/>
                <w:szCs w:val="18"/>
                <w:lang w:eastAsia="fr-FR"/>
              </w:rPr>
            </w:pPr>
            <w:r w:rsidRPr="00CC5187">
              <w:rPr>
                <w:b/>
                <w:bCs/>
                <w:caps/>
                <w:sz w:val="18"/>
                <w:szCs w:val="18"/>
                <w:lang w:eastAsia="fr-FR"/>
              </w:rPr>
              <w:t>:</w:t>
            </w:r>
          </w:p>
        </w:tc>
        <w:tc>
          <w:tcPr>
            <w:tcW w:w="3755" w:type="dxa"/>
            <w:tcBorders>
              <w:top w:val="single" w:sz="6" w:space="0" w:color="BFBFBF"/>
              <w:left w:val="single" w:sz="6" w:space="0" w:color="BFBFBF"/>
              <w:bottom w:val="single" w:sz="6" w:space="0" w:color="BFBFBF"/>
            </w:tcBorders>
            <w:tcMar>
              <w:top w:w="8" w:type="dxa"/>
              <w:left w:w="108" w:type="dxa"/>
              <w:bottom w:w="8" w:type="dxa"/>
              <w:right w:w="108" w:type="dxa"/>
            </w:tcMar>
          </w:tcPr>
          <w:p w14:paraId="632BC0B3" w14:textId="77777777" w:rsidR="00BE2CA7" w:rsidRPr="00CC5187" w:rsidRDefault="00BE2CA7" w:rsidP="002B0590">
            <w:pPr>
              <w:jc w:val="both"/>
              <w:rPr>
                <w:sz w:val="18"/>
                <w:szCs w:val="18"/>
                <w:lang w:eastAsia="fr-FR"/>
              </w:rPr>
            </w:pPr>
          </w:p>
        </w:tc>
      </w:tr>
      <w:tr w:rsidR="00BE2CA7" w:rsidRPr="00CC5187" w14:paraId="7187E0E5" w14:textId="77777777" w:rsidTr="002B0590">
        <w:trPr>
          <w:trHeight w:val="283"/>
        </w:trPr>
        <w:tc>
          <w:tcPr>
            <w:tcW w:w="4470"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4A8360EB" w14:textId="77777777" w:rsidR="00BE2CA7" w:rsidRPr="00CC5187" w:rsidRDefault="00BE2CA7" w:rsidP="002B0590">
            <w:pPr>
              <w:jc w:val="both"/>
              <w:rPr>
                <w:sz w:val="18"/>
                <w:szCs w:val="18"/>
                <w:lang w:eastAsia="fr-FR"/>
              </w:rPr>
            </w:pPr>
            <w:r w:rsidRPr="00CC5187">
              <w:rPr>
                <w:sz w:val="18"/>
                <w:szCs w:val="18"/>
                <w:lang w:eastAsia="fr-FR"/>
              </w:rPr>
              <w:t xml:space="preserve">Dimensions </w:t>
            </w:r>
            <w:r>
              <w:rPr>
                <w:sz w:val="18"/>
                <w:szCs w:val="18"/>
                <w:lang w:eastAsia="fr-FR"/>
              </w:rPr>
              <w:t>avant/arrière</w:t>
            </w:r>
          </w:p>
        </w:tc>
        <w:tc>
          <w:tcPr>
            <w:tcW w:w="28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2D29EF6A" w14:textId="77777777" w:rsidR="00BE2CA7" w:rsidRPr="00CC5187" w:rsidRDefault="00BE2CA7" w:rsidP="002B0590">
            <w:pPr>
              <w:jc w:val="both"/>
              <w:rPr>
                <w:sz w:val="18"/>
                <w:szCs w:val="18"/>
                <w:lang w:eastAsia="fr-FR"/>
              </w:rPr>
            </w:pPr>
            <w:r w:rsidRPr="00CC5187">
              <w:rPr>
                <w:b/>
                <w:bCs/>
                <w:caps/>
                <w:sz w:val="18"/>
                <w:szCs w:val="18"/>
                <w:lang w:eastAsia="fr-FR"/>
              </w:rPr>
              <w:t>:</w:t>
            </w:r>
          </w:p>
        </w:tc>
        <w:tc>
          <w:tcPr>
            <w:tcW w:w="3755" w:type="dxa"/>
            <w:tcBorders>
              <w:top w:val="single" w:sz="6" w:space="0" w:color="BFBFBF"/>
              <w:left w:val="single" w:sz="6" w:space="0" w:color="BFBFBF"/>
              <w:bottom w:val="single" w:sz="6" w:space="0" w:color="BFBFBF"/>
            </w:tcBorders>
            <w:tcMar>
              <w:top w:w="8" w:type="dxa"/>
              <w:left w:w="108" w:type="dxa"/>
              <w:bottom w:w="8" w:type="dxa"/>
              <w:right w:w="108" w:type="dxa"/>
            </w:tcMar>
          </w:tcPr>
          <w:p w14:paraId="3CD27965" w14:textId="77777777" w:rsidR="00BE2CA7" w:rsidRPr="00CC5187" w:rsidRDefault="00BE2CA7" w:rsidP="002B0590">
            <w:pPr>
              <w:jc w:val="both"/>
              <w:rPr>
                <w:sz w:val="18"/>
                <w:szCs w:val="18"/>
                <w:lang w:eastAsia="fr-FR"/>
              </w:rPr>
            </w:pPr>
          </w:p>
        </w:tc>
      </w:tr>
      <w:tr w:rsidR="00BE2CA7" w:rsidRPr="00CC5187" w14:paraId="780372CF" w14:textId="77777777" w:rsidTr="002B0590">
        <w:trPr>
          <w:trHeight w:val="283"/>
        </w:trPr>
        <w:tc>
          <w:tcPr>
            <w:tcW w:w="4470"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04CB9CCB" w14:textId="77777777" w:rsidR="00BE2CA7" w:rsidRPr="00CC5187" w:rsidRDefault="00BE2CA7" w:rsidP="002B0590">
            <w:pPr>
              <w:jc w:val="both"/>
              <w:rPr>
                <w:sz w:val="18"/>
                <w:szCs w:val="18"/>
                <w:lang w:eastAsia="fr-FR"/>
              </w:rPr>
            </w:pPr>
            <w:r w:rsidRPr="006633C0">
              <w:rPr>
                <w:sz w:val="18"/>
                <w:szCs w:val="18"/>
                <w:lang w:eastAsia="fr-FR"/>
              </w:rPr>
              <w:t xml:space="preserve">Circonférence dynamique </w:t>
            </w:r>
            <w:r w:rsidRPr="00CC5187">
              <w:rPr>
                <w:sz w:val="18"/>
                <w:szCs w:val="18"/>
                <w:lang w:eastAsia="fr-FR"/>
              </w:rPr>
              <w:t>(m)</w:t>
            </w:r>
          </w:p>
        </w:tc>
        <w:tc>
          <w:tcPr>
            <w:tcW w:w="28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124AC4EE" w14:textId="77777777" w:rsidR="00BE2CA7" w:rsidRPr="00CC5187" w:rsidRDefault="00BE2CA7" w:rsidP="002B0590">
            <w:pPr>
              <w:jc w:val="both"/>
              <w:rPr>
                <w:sz w:val="18"/>
                <w:szCs w:val="18"/>
                <w:lang w:eastAsia="fr-FR"/>
              </w:rPr>
            </w:pPr>
            <w:r w:rsidRPr="00CC5187">
              <w:rPr>
                <w:b/>
                <w:bCs/>
                <w:caps/>
                <w:sz w:val="18"/>
                <w:szCs w:val="18"/>
                <w:lang w:eastAsia="fr-FR"/>
              </w:rPr>
              <w:t>:</w:t>
            </w:r>
          </w:p>
        </w:tc>
        <w:tc>
          <w:tcPr>
            <w:tcW w:w="3755" w:type="dxa"/>
            <w:tcBorders>
              <w:top w:val="single" w:sz="6" w:space="0" w:color="BFBFBF"/>
              <w:left w:val="single" w:sz="6" w:space="0" w:color="BFBFBF"/>
              <w:bottom w:val="single" w:sz="6" w:space="0" w:color="BFBFBF"/>
            </w:tcBorders>
            <w:tcMar>
              <w:top w:w="8" w:type="dxa"/>
              <w:left w:w="108" w:type="dxa"/>
              <w:bottom w:w="8" w:type="dxa"/>
              <w:right w:w="108" w:type="dxa"/>
            </w:tcMar>
          </w:tcPr>
          <w:p w14:paraId="5971A63E" w14:textId="77777777" w:rsidR="00BE2CA7" w:rsidRPr="00CC5187" w:rsidRDefault="00BE2CA7" w:rsidP="002B0590">
            <w:pPr>
              <w:jc w:val="both"/>
              <w:rPr>
                <w:sz w:val="18"/>
                <w:szCs w:val="18"/>
                <w:lang w:eastAsia="fr-FR"/>
              </w:rPr>
            </w:pPr>
          </w:p>
        </w:tc>
      </w:tr>
      <w:tr w:rsidR="00BE2CA7" w:rsidRPr="00CC5187" w14:paraId="580D23D6" w14:textId="77777777" w:rsidTr="002B0590">
        <w:trPr>
          <w:trHeight w:val="283"/>
        </w:trPr>
        <w:tc>
          <w:tcPr>
            <w:tcW w:w="4470" w:type="dxa"/>
            <w:tcBorders>
              <w:top w:val="single" w:sz="6" w:space="0" w:color="BFBFBF"/>
              <w:right w:val="single" w:sz="6" w:space="0" w:color="BFBFBF"/>
            </w:tcBorders>
            <w:tcMar>
              <w:top w:w="8" w:type="dxa"/>
              <w:left w:w="108" w:type="dxa"/>
              <w:bottom w:w="8" w:type="dxa"/>
              <w:right w:w="108" w:type="dxa"/>
            </w:tcMar>
            <w:hideMark/>
          </w:tcPr>
          <w:p w14:paraId="37586AAF" w14:textId="77777777" w:rsidR="00BE2CA7" w:rsidRPr="00CC5187" w:rsidRDefault="00BE2CA7" w:rsidP="002B0590">
            <w:pPr>
              <w:jc w:val="both"/>
              <w:rPr>
                <w:sz w:val="18"/>
                <w:szCs w:val="18"/>
                <w:lang w:eastAsia="fr-FR"/>
              </w:rPr>
            </w:pPr>
            <w:r w:rsidRPr="006633C0">
              <w:rPr>
                <w:sz w:val="18"/>
                <w:szCs w:val="18"/>
                <w:lang w:eastAsia="fr-FR"/>
              </w:rPr>
              <w:t xml:space="preserve">Pression des pneumatiques </w:t>
            </w:r>
            <w:r w:rsidRPr="00CC5187">
              <w:rPr>
                <w:sz w:val="18"/>
                <w:szCs w:val="18"/>
                <w:lang w:eastAsia="fr-FR"/>
              </w:rPr>
              <w:t>(kPa)</w:t>
            </w:r>
          </w:p>
        </w:tc>
        <w:tc>
          <w:tcPr>
            <w:tcW w:w="280" w:type="dxa"/>
            <w:tcBorders>
              <w:top w:val="single" w:sz="6" w:space="0" w:color="BFBFBF"/>
              <w:left w:val="single" w:sz="6" w:space="0" w:color="BFBFBF"/>
              <w:right w:val="single" w:sz="6" w:space="0" w:color="BFBFBF"/>
            </w:tcBorders>
            <w:tcMar>
              <w:top w:w="8" w:type="dxa"/>
              <w:left w:w="108" w:type="dxa"/>
              <w:bottom w:w="8" w:type="dxa"/>
              <w:right w:w="108" w:type="dxa"/>
            </w:tcMar>
            <w:hideMark/>
          </w:tcPr>
          <w:p w14:paraId="56017C3C" w14:textId="77777777" w:rsidR="00BE2CA7" w:rsidRPr="00CC5187" w:rsidRDefault="00BE2CA7" w:rsidP="002B0590">
            <w:pPr>
              <w:jc w:val="both"/>
              <w:rPr>
                <w:sz w:val="18"/>
                <w:szCs w:val="18"/>
                <w:lang w:eastAsia="fr-FR"/>
              </w:rPr>
            </w:pPr>
            <w:r w:rsidRPr="00CC5187">
              <w:rPr>
                <w:b/>
                <w:bCs/>
                <w:caps/>
                <w:sz w:val="18"/>
                <w:szCs w:val="18"/>
                <w:lang w:eastAsia="fr-FR"/>
              </w:rPr>
              <w:t>:</w:t>
            </w:r>
          </w:p>
        </w:tc>
        <w:tc>
          <w:tcPr>
            <w:tcW w:w="3755" w:type="dxa"/>
            <w:tcBorders>
              <w:top w:val="single" w:sz="6" w:space="0" w:color="BFBFBF"/>
              <w:left w:val="single" w:sz="6" w:space="0" w:color="BFBFBF"/>
            </w:tcBorders>
            <w:tcMar>
              <w:top w:w="8" w:type="dxa"/>
              <w:left w:w="108" w:type="dxa"/>
              <w:bottom w:w="8" w:type="dxa"/>
              <w:right w:w="108" w:type="dxa"/>
            </w:tcMar>
          </w:tcPr>
          <w:p w14:paraId="120800A3" w14:textId="77777777" w:rsidR="00BE2CA7" w:rsidRPr="00CC5187" w:rsidRDefault="00BE2CA7" w:rsidP="002B0590">
            <w:pPr>
              <w:jc w:val="both"/>
              <w:rPr>
                <w:sz w:val="18"/>
                <w:szCs w:val="18"/>
                <w:lang w:eastAsia="fr-FR"/>
              </w:rPr>
            </w:pPr>
          </w:p>
        </w:tc>
      </w:tr>
    </w:tbl>
    <w:p w14:paraId="0B24B28B" w14:textId="77777777" w:rsidR="00BE2CA7" w:rsidRDefault="00BE2CA7" w:rsidP="00BE2CA7">
      <w:pPr>
        <w:spacing w:before="120" w:after="120" w:line="276" w:lineRule="auto"/>
        <w:ind w:left="1134"/>
        <w:jc w:val="both"/>
        <w:rPr>
          <w:sz w:val="18"/>
          <w:szCs w:val="18"/>
          <w:lang w:val="fr-FR" w:eastAsia="fr-FR"/>
        </w:rPr>
      </w:pPr>
      <w:r w:rsidRPr="00A318C3">
        <w:rPr>
          <w:sz w:val="18"/>
          <w:szCs w:val="18"/>
          <w:lang w:val="fr-FR" w:eastAsia="fr-FR"/>
        </w:rPr>
        <w:t>* pour les VEH-RE, préciser pour le mode maintien de la charge et pour le mode épuisement de la charge.</w:t>
      </w:r>
    </w:p>
    <w:p w14:paraId="19E24442" w14:textId="77777777" w:rsidR="00BE2CA7" w:rsidRPr="00A318C3" w:rsidRDefault="00BE2CA7" w:rsidP="00BE2CA7">
      <w:pPr>
        <w:pStyle w:val="SingleTxtG"/>
        <w:rPr>
          <w:lang w:val="fr-FR" w:eastAsia="fr-FR"/>
        </w:rPr>
      </w:pPr>
      <w:r w:rsidRPr="00A318C3">
        <w:rPr>
          <w:lang w:val="fr-FR" w:eastAsia="fr-FR"/>
        </w:rPr>
        <w:t>Rapports de transmission (R.T.), rapports primaires (R.P.) et (vitesse du véhicule (km/h))/(régime moteur (1 000 (min</w:t>
      </w:r>
      <w:r w:rsidRPr="00A318C3">
        <w:rPr>
          <w:vertAlign w:val="superscript"/>
          <w:lang w:val="fr-FR" w:eastAsia="fr-FR"/>
        </w:rPr>
        <w:t>-1</w:t>
      </w:r>
      <w:r w:rsidRPr="00A318C3">
        <w:rPr>
          <w:lang w:val="fr-FR" w:eastAsia="fr-FR"/>
        </w:rPr>
        <w:t>)) (V</w:t>
      </w:r>
      <w:r w:rsidRPr="00A318C3">
        <w:rPr>
          <w:vertAlign w:val="subscript"/>
          <w:lang w:val="fr-FR" w:eastAsia="fr-FR"/>
        </w:rPr>
        <w:t>1</w:t>
      </w:r>
      <w:r>
        <w:rPr>
          <w:vertAlign w:val="subscript"/>
          <w:lang w:val="fr-FR" w:eastAsia="fr-FR"/>
        </w:rPr>
        <w:t> </w:t>
      </w:r>
      <w:r w:rsidRPr="00A318C3">
        <w:rPr>
          <w:vertAlign w:val="subscript"/>
          <w:lang w:val="fr-FR" w:eastAsia="fr-FR"/>
        </w:rPr>
        <w:t>000</w:t>
      </w:r>
      <w:r w:rsidRPr="00A318C3">
        <w:rPr>
          <w:lang w:val="fr-FR" w:eastAsia="fr-FR"/>
        </w:rPr>
        <w:t>) pour chacun des rapports de boîte de vitesses (R.B.).</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46"/>
        <w:gridCol w:w="1878"/>
        <w:gridCol w:w="1874"/>
        <w:gridCol w:w="1873"/>
      </w:tblGrid>
      <w:tr w:rsidR="00BE2CA7" w:rsidRPr="00CC5187" w14:paraId="222CD9B3" w14:textId="77777777" w:rsidTr="002B0590">
        <w:tc>
          <w:tcPr>
            <w:tcW w:w="1420" w:type="dxa"/>
            <w:tcMar>
              <w:top w:w="0" w:type="dxa"/>
              <w:left w:w="70" w:type="dxa"/>
              <w:bottom w:w="0" w:type="dxa"/>
              <w:right w:w="70" w:type="dxa"/>
            </w:tcMar>
            <w:hideMark/>
          </w:tcPr>
          <w:p w14:paraId="18614F93" w14:textId="77777777" w:rsidR="00BE2CA7" w:rsidRPr="00CC5187" w:rsidRDefault="00BE2CA7" w:rsidP="002B0590">
            <w:pPr>
              <w:keepNext/>
              <w:spacing w:before="80" w:after="80" w:line="220" w:lineRule="exact"/>
              <w:jc w:val="center"/>
              <w:rPr>
                <w:sz w:val="16"/>
                <w:szCs w:val="16"/>
                <w:lang w:eastAsia="fr-FR"/>
              </w:rPr>
            </w:pPr>
            <w:r w:rsidRPr="00CC5187">
              <w:rPr>
                <w:sz w:val="16"/>
                <w:szCs w:val="16"/>
                <w:lang w:eastAsia="fr-FR"/>
              </w:rPr>
              <w:t>R.B.</w:t>
            </w:r>
          </w:p>
        </w:tc>
        <w:tc>
          <w:tcPr>
            <w:tcW w:w="1528" w:type="dxa"/>
            <w:tcMar>
              <w:top w:w="0" w:type="dxa"/>
              <w:left w:w="70" w:type="dxa"/>
              <w:bottom w:w="0" w:type="dxa"/>
              <w:right w:w="70" w:type="dxa"/>
            </w:tcMar>
            <w:hideMark/>
          </w:tcPr>
          <w:p w14:paraId="68368BB3" w14:textId="77777777" w:rsidR="00BE2CA7" w:rsidRPr="00CC5187" w:rsidRDefault="00BE2CA7" w:rsidP="002B0590">
            <w:pPr>
              <w:spacing w:before="80" w:after="80" w:line="220" w:lineRule="exact"/>
              <w:jc w:val="center"/>
              <w:rPr>
                <w:sz w:val="16"/>
                <w:szCs w:val="16"/>
                <w:lang w:eastAsia="fr-FR"/>
              </w:rPr>
            </w:pPr>
            <w:r w:rsidRPr="00CC5187">
              <w:rPr>
                <w:sz w:val="16"/>
                <w:szCs w:val="16"/>
                <w:lang w:eastAsia="fr-FR"/>
              </w:rPr>
              <w:t>R.P.</w:t>
            </w:r>
          </w:p>
        </w:tc>
        <w:tc>
          <w:tcPr>
            <w:tcW w:w="1525" w:type="dxa"/>
            <w:tcMar>
              <w:top w:w="0" w:type="dxa"/>
              <w:left w:w="70" w:type="dxa"/>
              <w:bottom w:w="0" w:type="dxa"/>
              <w:right w:w="70" w:type="dxa"/>
            </w:tcMar>
            <w:hideMark/>
          </w:tcPr>
          <w:p w14:paraId="0F9A2EF1" w14:textId="77777777" w:rsidR="00BE2CA7" w:rsidRPr="00CC5187" w:rsidRDefault="00BE2CA7" w:rsidP="002B0590">
            <w:pPr>
              <w:spacing w:before="80" w:after="80" w:line="220" w:lineRule="exact"/>
              <w:jc w:val="center"/>
              <w:rPr>
                <w:sz w:val="16"/>
                <w:szCs w:val="16"/>
                <w:lang w:eastAsia="fr-FR"/>
              </w:rPr>
            </w:pPr>
            <w:r w:rsidRPr="00CC5187">
              <w:rPr>
                <w:sz w:val="16"/>
                <w:szCs w:val="16"/>
                <w:lang w:eastAsia="fr-FR"/>
              </w:rPr>
              <w:t>R.T.</w:t>
            </w:r>
          </w:p>
        </w:tc>
        <w:tc>
          <w:tcPr>
            <w:tcW w:w="1524" w:type="dxa"/>
            <w:tcMar>
              <w:top w:w="0" w:type="dxa"/>
              <w:left w:w="70" w:type="dxa"/>
              <w:bottom w:w="0" w:type="dxa"/>
              <w:right w:w="70" w:type="dxa"/>
            </w:tcMar>
            <w:hideMark/>
          </w:tcPr>
          <w:p w14:paraId="29079005" w14:textId="77777777" w:rsidR="00BE2CA7" w:rsidRPr="00CC5187" w:rsidRDefault="00BE2CA7" w:rsidP="002B0590">
            <w:pPr>
              <w:spacing w:before="80" w:after="80" w:line="220" w:lineRule="exact"/>
              <w:jc w:val="center"/>
              <w:rPr>
                <w:sz w:val="16"/>
                <w:szCs w:val="16"/>
                <w:lang w:eastAsia="fr-FR"/>
              </w:rPr>
            </w:pPr>
            <w:r w:rsidRPr="00CC5187">
              <w:rPr>
                <w:sz w:val="16"/>
                <w:szCs w:val="16"/>
                <w:lang w:eastAsia="fr-FR"/>
              </w:rPr>
              <w:t>V</w:t>
            </w:r>
            <w:r w:rsidRPr="00CC5187">
              <w:rPr>
                <w:sz w:val="16"/>
                <w:szCs w:val="16"/>
                <w:vertAlign w:val="subscript"/>
                <w:lang w:eastAsia="fr-FR"/>
              </w:rPr>
              <w:t>1</w:t>
            </w:r>
            <w:r>
              <w:rPr>
                <w:sz w:val="16"/>
                <w:szCs w:val="16"/>
                <w:vertAlign w:val="subscript"/>
                <w:lang w:eastAsia="fr-FR"/>
              </w:rPr>
              <w:t xml:space="preserve"> </w:t>
            </w:r>
            <w:r w:rsidRPr="00CC5187">
              <w:rPr>
                <w:sz w:val="16"/>
                <w:szCs w:val="16"/>
                <w:vertAlign w:val="subscript"/>
                <w:lang w:eastAsia="fr-FR"/>
              </w:rPr>
              <w:t>000</w:t>
            </w:r>
          </w:p>
        </w:tc>
      </w:tr>
      <w:tr w:rsidR="00BE2CA7" w:rsidRPr="00CC5187" w14:paraId="37A1FA77" w14:textId="77777777" w:rsidTr="002B0590">
        <w:tc>
          <w:tcPr>
            <w:tcW w:w="1420" w:type="dxa"/>
            <w:tcMar>
              <w:top w:w="15" w:type="dxa"/>
              <w:left w:w="70" w:type="dxa"/>
              <w:bottom w:w="15" w:type="dxa"/>
              <w:right w:w="70" w:type="dxa"/>
            </w:tcMar>
            <w:vAlign w:val="center"/>
            <w:hideMark/>
          </w:tcPr>
          <w:p w14:paraId="2DA85F40" w14:textId="77777777" w:rsidR="00BE2CA7" w:rsidRPr="00CC5187" w:rsidRDefault="00BE2CA7" w:rsidP="002B0590">
            <w:pPr>
              <w:jc w:val="center"/>
              <w:rPr>
                <w:sz w:val="18"/>
                <w:szCs w:val="18"/>
                <w:lang w:eastAsia="fr-FR"/>
              </w:rPr>
            </w:pPr>
            <w:r>
              <w:rPr>
                <w:sz w:val="18"/>
                <w:szCs w:val="18"/>
                <w:lang w:eastAsia="fr-FR"/>
              </w:rPr>
              <w:t>1</w:t>
            </w:r>
            <w:r w:rsidRPr="00A318C3">
              <w:rPr>
                <w:sz w:val="18"/>
                <w:szCs w:val="18"/>
                <w:vertAlign w:val="superscript"/>
                <w:lang w:eastAsia="fr-FR"/>
              </w:rPr>
              <w:t>er</w:t>
            </w:r>
          </w:p>
        </w:tc>
        <w:tc>
          <w:tcPr>
            <w:tcW w:w="1528" w:type="dxa"/>
            <w:tcMar>
              <w:top w:w="15" w:type="dxa"/>
              <w:left w:w="70" w:type="dxa"/>
              <w:bottom w:w="15" w:type="dxa"/>
              <w:right w:w="70" w:type="dxa"/>
            </w:tcMar>
            <w:vAlign w:val="center"/>
            <w:hideMark/>
          </w:tcPr>
          <w:p w14:paraId="2F5AEF12" w14:textId="77777777" w:rsidR="00BE2CA7" w:rsidRPr="00CC5187" w:rsidRDefault="00BE2CA7" w:rsidP="002B0590">
            <w:pPr>
              <w:jc w:val="center"/>
              <w:rPr>
                <w:sz w:val="18"/>
                <w:szCs w:val="18"/>
                <w:lang w:eastAsia="fr-FR"/>
              </w:rPr>
            </w:pPr>
            <w:r w:rsidRPr="00CC5187">
              <w:rPr>
                <w:sz w:val="18"/>
                <w:szCs w:val="18"/>
                <w:lang w:eastAsia="fr-FR"/>
              </w:rPr>
              <w:t>1/1</w:t>
            </w:r>
          </w:p>
        </w:tc>
        <w:tc>
          <w:tcPr>
            <w:tcW w:w="1525" w:type="dxa"/>
            <w:tcMar>
              <w:top w:w="15" w:type="dxa"/>
              <w:left w:w="70" w:type="dxa"/>
              <w:bottom w:w="15" w:type="dxa"/>
              <w:right w:w="70" w:type="dxa"/>
            </w:tcMar>
            <w:vAlign w:val="center"/>
          </w:tcPr>
          <w:p w14:paraId="4E9250B1" w14:textId="77777777" w:rsidR="00BE2CA7" w:rsidRPr="00CC5187" w:rsidRDefault="00BE2CA7" w:rsidP="002B0590">
            <w:pPr>
              <w:jc w:val="center"/>
              <w:rPr>
                <w:sz w:val="18"/>
                <w:szCs w:val="18"/>
                <w:lang w:eastAsia="fr-FR"/>
              </w:rPr>
            </w:pPr>
          </w:p>
        </w:tc>
        <w:tc>
          <w:tcPr>
            <w:tcW w:w="1524" w:type="dxa"/>
            <w:tcMar>
              <w:top w:w="15" w:type="dxa"/>
              <w:left w:w="70" w:type="dxa"/>
              <w:bottom w:w="15" w:type="dxa"/>
              <w:right w:w="70" w:type="dxa"/>
            </w:tcMar>
            <w:vAlign w:val="center"/>
          </w:tcPr>
          <w:p w14:paraId="5E2E7742" w14:textId="77777777" w:rsidR="00BE2CA7" w:rsidRPr="00CC5187" w:rsidRDefault="00BE2CA7" w:rsidP="002B0590">
            <w:pPr>
              <w:jc w:val="center"/>
              <w:rPr>
                <w:sz w:val="18"/>
                <w:szCs w:val="18"/>
                <w:lang w:eastAsia="fr-FR"/>
              </w:rPr>
            </w:pPr>
          </w:p>
        </w:tc>
      </w:tr>
      <w:tr w:rsidR="00BE2CA7" w:rsidRPr="00CC5187" w14:paraId="38E08A6F" w14:textId="77777777" w:rsidTr="002B0590">
        <w:tc>
          <w:tcPr>
            <w:tcW w:w="1420" w:type="dxa"/>
            <w:tcMar>
              <w:top w:w="15" w:type="dxa"/>
              <w:left w:w="70" w:type="dxa"/>
              <w:bottom w:w="15" w:type="dxa"/>
              <w:right w:w="70" w:type="dxa"/>
            </w:tcMar>
            <w:vAlign w:val="center"/>
            <w:hideMark/>
          </w:tcPr>
          <w:p w14:paraId="5C1278C0" w14:textId="77777777" w:rsidR="00BE2CA7" w:rsidRPr="00CC5187" w:rsidRDefault="00BE2CA7" w:rsidP="002B0590">
            <w:pPr>
              <w:jc w:val="center"/>
              <w:rPr>
                <w:sz w:val="18"/>
                <w:szCs w:val="18"/>
                <w:lang w:eastAsia="fr-FR"/>
              </w:rPr>
            </w:pPr>
            <w:r>
              <w:rPr>
                <w:sz w:val="18"/>
                <w:szCs w:val="18"/>
                <w:lang w:eastAsia="fr-FR"/>
              </w:rPr>
              <w:t>2</w:t>
            </w:r>
            <w:r w:rsidRPr="00A318C3">
              <w:rPr>
                <w:sz w:val="18"/>
                <w:szCs w:val="18"/>
                <w:vertAlign w:val="superscript"/>
                <w:lang w:eastAsia="fr-FR"/>
              </w:rPr>
              <w:t>e</w:t>
            </w:r>
          </w:p>
        </w:tc>
        <w:tc>
          <w:tcPr>
            <w:tcW w:w="1528" w:type="dxa"/>
            <w:tcMar>
              <w:top w:w="15" w:type="dxa"/>
              <w:left w:w="70" w:type="dxa"/>
              <w:bottom w:w="15" w:type="dxa"/>
              <w:right w:w="70" w:type="dxa"/>
            </w:tcMar>
            <w:vAlign w:val="center"/>
            <w:hideMark/>
          </w:tcPr>
          <w:p w14:paraId="4BAF4F91" w14:textId="77777777" w:rsidR="00BE2CA7" w:rsidRPr="00CC5187" w:rsidRDefault="00BE2CA7" w:rsidP="002B0590">
            <w:pPr>
              <w:jc w:val="center"/>
              <w:rPr>
                <w:sz w:val="18"/>
                <w:szCs w:val="18"/>
                <w:lang w:eastAsia="fr-FR"/>
              </w:rPr>
            </w:pPr>
            <w:r w:rsidRPr="00CC5187">
              <w:rPr>
                <w:sz w:val="18"/>
                <w:szCs w:val="18"/>
                <w:lang w:eastAsia="fr-FR"/>
              </w:rPr>
              <w:t>1/1</w:t>
            </w:r>
          </w:p>
        </w:tc>
        <w:tc>
          <w:tcPr>
            <w:tcW w:w="1525" w:type="dxa"/>
            <w:tcMar>
              <w:top w:w="15" w:type="dxa"/>
              <w:left w:w="70" w:type="dxa"/>
              <w:bottom w:w="15" w:type="dxa"/>
              <w:right w:w="70" w:type="dxa"/>
            </w:tcMar>
            <w:vAlign w:val="center"/>
          </w:tcPr>
          <w:p w14:paraId="1F8C4425" w14:textId="77777777" w:rsidR="00BE2CA7" w:rsidRPr="00CC5187" w:rsidRDefault="00BE2CA7" w:rsidP="002B0590">
            <w:pPr>
              <w:jc w:val="center"/>
              <w:rPr>
                <w:sz w:val="18"/>
                <w:szCs w:val="18"/>
                <w:lang w:eastAsia="fr-FR"/>
              </w:rPr>
            </w:pPr>
          </w:p>
        </w:tc>
        <w:tc>
          <w:tcPr>
            <w:tcW w:w="1524" w:type="dxa"/>
            <w:tcMar>
              <w:top w:w="15" w:type="dxa"/>
              <w:left w:w="70" w:type="dxa"/>
              <w:bottom w:w="15" w:type="dxa"/>
              <w:right w:w="70" w:type="dxa"/>
            </w:tcMar>
            <w:vAlign w:val="center"/>
          </w:tcPr>
          <w:p w14:paraId="631F0A71" w14:textId="77777777" w:rsidR="00BE2CA7" w:rsidRPr="00CC5187" w:rsidRDefault="00BE2CA7" w:rsidP="002B0590">
            <w:pPr>
              <w:jc w:val="center"/>
              <w:rPr>
                <w:sz w:val="18"/>
                <w:szCs w:val="18"/>
                <w:lang w:eastAsia="fr-FR"/>
              </w:rPr>
            </w:pPr>
          </w:p>
        </w:tc>
      </w:tr>
      <w:tr w:rsidR="00BE2CA7" w:rsidRPr="00CC5187" w14:paraId="6EC261B1" w14:textId="77777777" w:rsidTr="002B0590">
        <w:tc>
          <w:tcPr>
            <w:tcW w:w="1420" w:type="dxa"/>
            <w:tcMar>
              <w:top w:w="15" w:type="dxa"/>
              <w:left w:w="70" w:type="dxa"/>
              <w:bottom w:w="15" w:type="dxa"/>
              <w:right w:w="70" w:type="dxa"/>
            </w:tcMar>
            <w:vAlign w:val="center"/>
            <w:hideMark/>
          </w:tcPr>
          <w:p w14:paraId="192BA80E" w14:textId="77777777" w:rsidR="00BE2CA7" w:rsidRPr="00CC5187" w:rsidRDefault="00BE2CA7" w:rsidP="002B0590">
            <w:pPr>
              <w:jc w:val="center"/>
              <w:rPr>
                <w:sz w:val="18"/>
                <w:szCs w:val="18"/>
                <w:lang w:eastAsia="fr-FR"/>
              </w:rPr>
            </w:pPr>
            <w:r>
              <w:rPr>
                <w:sz w:val="18"/>
                <w:szCs w:val="18"/>
                <w:lang w:eastAsia="fr-FR"/>
              </w:rPr>
              <w:t>3</w:t>
            </w:r>
            <w:r w:rsidRPr="00A318C3">
              <w:rPr>
                <w:sz w:val="18"/>
                <w:szCs w:val="18"/>
                <w:vertAlign w:val="superscript"/>
                <w:lang w:eastAsia="fr-FR"/>
              </w:rPr>
              <w:t>e</w:t>
            </w:r>
          </w:p>
        </w:tc>
        <w:tc>
          <w:tcPr>
            <w:tcW w:w="1528" w:type="dxa"/>
            <w:tcMar>
              <w:top w:w="15" w:type="dxa"/>
              <w:left w:w="70" w:type="dxa"/>
              <w:bottom w:w="15" w:type="dxa"/>
              <w:right w:w="70" w:type="dxa"/>
            </w:tcMar>
            <w:vAlign w:val="center"/>
            <w:hideMark/>
          </w:tcPr>
          <w:p w14:paraId="3ADAF1DC" w14:textId="77777777" w:rsidR="00BE2CA7" w:rsidRPr="00CC5187" w:rsidRDefault="00BE2CA7" w:rsidP="002B0590">
            <w:pPr>
              <w:jc w:val="center"/>
              <w:rPr>
                <w:sz w:val="18"/>
                <w:szCs w:val="18"/>
                <w:lang w:eastAsia="fr-FR"/>
              </w:rPr>
            </w:pPr>
            <w:r w:rsidRPr="00CC5187">
              <w:rPr>
                <w:sz w:val="18"/>
                <w:szCs w:val="18"/>
                <w:lang w:eastAsia="fr-FR"/>
              </w:rPr>
              <w:t>1/1</w:t>
            </w:r>
          </w:p>
        </w:tc>
        <w:tc>
          <w:tcPr>
            <w:tcW w:w="1525" w:type="dxa"/>
            <w:tcMar>
              <w:top w:w="15" w:type="dxa"/>
              <w:left w:w="70" w:type="dxa"/>
              <w:bottom w:w="15" w:type="dxa"/>
              <w:right w:w="70" w:type="dxa"/>
            </w:tcMar>
            <w:vAlign w:val="center"/>
          </w:tcPr>
          <w:p w14:paraId="7C7D576A" w14:textId="77777777" w:rsidR="00BE2CA7" w:rsidRPr="00CC5187" w:rsidRDefault="00BE2CA7" w:rsidP="002B0590">
            <w:pPr>
              <w:jc w:val="center"/>
              <w:rPr>
                <w:sz w:val="18"/>
                <w:szCs w:val="18"/>
                <w:lang w:eastAsia="fr-FR"/>
              </w:rPr>
            </w:pPr>
          </w:p>
        </w:tc>
        <w:tc>
          <w:tcPr>
            <w:tcW w:w="1524" w:type="dxa"/>
            <w:tcMar>
              <w:top w:w="15" w:type="dxa"/>
              <w:left w:w="70" w:type="dxa"/>
              <w:bottom w:w="15" w:type="dxa"/>
              <w:right w:w="70" w:type="dxa"/>
            </w:tcMar>
            <w:vAlign w:val="center"/>
          </w:tcPr>
          <w:p w14:paraId="6F8F7D2F" w14:textId="77777777" w:rsidR="00BE2CA7" w:rsidRPr="00CC5187" w:rsidRDefault="00BE2CA7" w:rsidP="002B0590">
            <w:pPr>
              <w:jc w:val="center"/>
              <w:rPr>
                <w:sz w:val="18"/>
                <w:szCs w:val="18"/>
                <w:lang w:eastAsia="fr-FR"/>
              </w:rPr>
            </w:pPr>
          </w:p>
        </w:tc>
      </w:tr>
      <w:tr w:rsidR="00BE2CA7" w:rsidRPr="00CC5187" w14:paraId="2AE41583" w14:textId="77777777" w:rsidTr="002B0590">
        <w:tc>
          <w:tcPr>
            <w:tcW w:w="1420" w:type="dxa"/>
            <w:tcMar>
              <w:top w:w="15" w:type="dxa"/>
              <w:left w:w="70" w:type="dxa"/>
              <w:bottom w:w="15" w:type="dxa"/>
              <w:right w:w="70" w:type="dxa"/>
            </w:tcMar>
            <w:vAlign w:val="center"/>
            <w:hideMark/>
          </w:tcPr>
          <w:p w14:paraId="322AB99D" w14:textId="77777777" w:rsidR="00BE2CA7" w:rsidRPr="00CC5187" w:rsidRDefault="00BE2CA7" w:rsidP="002B0590">
            <w:pPr>
              <w:jc w:val="center"/>
              <w:rPr>
                <w:sz w:val="18"/>
                <w:szCs w:val="18"/>
                <w:lang w:eastAsia="fr-FR"/>
              </w:rPr>
            </w:pPr>
            <w:r w:rsidRPr="00CC5187">
              <w:rPr>
                <w:sz w:val="18"/>
                <w:szCs w:val="18"/>
                <w:lang w:eastAsia="fr-FR"/>
              </w:rPr>
              <w:t>4</w:t>
            </w:r>
            <w:r w:rsidRPr="00A318C3">
              <w:rPr>
                <w:sz w:val="18"/>
                <w:szCs w:val="18"/>
                <w:vertAlign w:val="superscript"/>
                <w:lang w:eastAsia="fr-FR"/>
              </w:rPr>
              <w:t>e</w:t>
            </w:r>
          </w:p>
        </w:tc>
        <w:tc>
          <w:tcPr>
            <w:tcW w:w="1528" w:type="dxa"/>
            <w:tcMar>
              <w:top w:w="15" w:type="dxa"/>
              <w:left w:w="70" w:type="dxa"/>
              <w:bottom w:w="15" w:type="dxa"/>
              <w:right w:w="70" w:type="dxa"/>
            </w:tcMar>
            <w:vAlign w:val="center"/>
            <w:hideMark/>
          </w:tcPr>
          <w:p w14:paraId="2C1F8EAF" w14:textId="77777777" w:rsidR="00BE2CA7" w:rsidRPr="00CC5187" w:rsidRDefault="00BE2CA7" w:rsidP="002B0590">
            <w:pPr>
              <w:jc w:val="center"/>
              <w:rPr>
                <w:sz w:val="18"/>
                <w:szCs w:val="18"/>
                <w:lang w:eastAsia="fr-FR"/>
              </w:rPr>
            </w:pPr>
            <w:r w:rsidRPr="00CC5187">
              <w:rPr>
                <w:sz w:val="18"/>
                <w:szCs w:val="18"/>
                <w:lang w:eastAsia="fr-FR"/>
              </w:rPr>
              <w:t>1/1</w:t>
            </w:r>
          </w:p>
        </w:tc>
        <w:tc>
          <w:tcPr>
            <w:tcW w:w="1525" w:type="dxa"/>
            <w:tcMar>
              <w:top w:w="15" w:type="dxa"/>
              <w:left w:w="70" w:type="dxa"/>
              <w:bottom w:w="15" w:type="dxa"/>
              <w:right w:w="70" w:type="dxa"/>
            </w:tcMar>
            <w:vAlign w:val="center"/>
          </w:tcPr>
          <w:p w14:paraId="51B19076" w14:textId="77777777" w:rsidR="00BE2CA7" w:rsidRPr="00CC5187" w:rsidRDefault="00BE2CA7" w:rsidP="002B0590">
            <w:pPr>
              <w:jc w:val="center"/>
              <w:rPr>
                <w:sz w:val="18"/>
                <w:szCs w:val="18"/>
                <w:lang w:eastAsia="fr-FR"/>
              </w:rPr>
            </w:pPr>
          </w:p>
        </w:tc>
        <w:tc>
          <w:tcPr>
            <w:tcW w:w="1524" w:type="dxa"/>
            <w:tcMar>
              <w:top w:w="15" w:type="dxa"/>
              <w:left w:w="70" w:type="dxa"/>
              <w:bottom w:w="15" w:type="dxa"/>
              <w:right w:w="70" w:type="dxa"/>
            </w:tcMar>
            <w:vAlign w:val="center"/>
          </w:tcPr>
          <w:p w14:paraId="23FFE43F" w14:textId="77777777" w:rsidR="00BE2CA7" w:rsidRPr="00CC5187" w:rsidRDefault="00BE2CA7" w:rsidP="002B0590">
            <w:pPr>
              <w:jc w:val="center"/>
              <w:rPr>
                <w:sz w:val="18"/>
                <w:szCs w:val="18"/>
                <w:lang w:eastAsia="fr-FR"/>
              </w:rPr>
            </w:pPr>
          </w:p>
        </w:tc>
      </w:tr>
      <w:tr w:rsidR="00BE2CA7" w:rsidRPr="00CC5187" w14:paraId="6C66E52B" w14:textId="77777777" w:rsidTr="002B0590">
        <w:tc>
          <w:tcPr>
            <w:tcW w:w="1420" w:type="dxa"/>
            <w:tcMar>
              <w:top w:w="15" w:type="dxa"/>
              <w:left w:w="70" w:type="dxa"/>
              <w:bottom w:w="15" w:type="dxa"/>
              <w:right w:w="70" w:type="dxa"/>
            </w:tcMar>
            <w:vAlign w:val="center"/>
            <w:hideMark/>
          </w:tcPr>
          <w:p w14:paraId="0B1A0727" w14:textId="77777777" w:rsidR="00BE2CA7" w:rsidRPr="00CC5187" w:rsidRDefault="00BE2CA7" w:rsidP="002B0590">
            <w:pPr>
              <w:jc w:val="center"/>
              <w:rPr>
                <w:sz w:val="18"/>
                <w:szCs w:val="18"/>
                <w:lang w:eastAsia="fr-FR"/>
              </w:rPr>
            </w:pPr>
            <w:r w:rsidRPr="00CC5187">
              <w:rPr>
                <w:sz w:val="18"/>
                <w:szCs w:val="18"/>
                <w:lang w:eastAsia="fr-FR"/>
              </w:rPr>
              <w:t>5</w:t>
            </w:r>
            <w:r w:rsidRPr="00A318C3">
              <w:rPr>
                <w:sz w:val="18"/>
                <w:szCs w:val="18"/>
                <w:vertAlign w:val="superscript"/>
                <w:lang w:eastAsia="fr-FR"/>
              </w:rPr>
              <w:t>e</w:t>
            </w:r>
          </w:p>
        </w:tc>
        <w:tc>
          <w:tcPr>
            <w:tcW w:w="1528" w:type="dxa"/>
            <w:tcMar>
              <w:top w:w="15" w:type="dxa"/>
              <w:left w:w="70" w:type="dxa"/>
              <w:bottom w:w="15" w:type="dxa"/>
              <w:right w:w="70" w:type="dxa"/>
            </w:tcMar>
            <w:vAlign w:val="center"/>
            <w:hideMark/>
          </w:tcPr>
          <w:p w14:paraId="00911E5E" w14:textId="77777777" w:rsidR="00BE2CA7" w:rsidRPr="00CC5187" w:rsidRDefault="00BE2CA7" w:rsidP="002B0590">
            <w:pPr>
              <w:jc w:val="center"/>
              <w:rPr>
                <w:sz w:val="18"/>
                <w:szCs w:val="18"/>
                <w:lang w:eastAsia="fr-FR"/>
              </w:rPr>
            </w:pPr>
            <w:r w:rsidRPr="00CC5187">
              <w:rPr>
                <w:sz w:val="18"/>
                <w:szCs w:val="18"/>
                <w:lang w:eastAsia="fr-FR"/>
              </w:rPr>
              <w:t>1/1</w:t>
            </w:r>
          </w:p>
        </w:tc>
        <w:tc>
          <w:tcPr>
            <w:tcW w:w="1525" w:type="dxa"/>
            <w:tcMar>
              <w:top w:w="15" w:type="dxa"/>
              <w:left w:w="70" w:type="dxa"/>
              <w:bottom w:w="15" w:type="dxa"/>
              <w:right w:w="70" w:type="dxa"/>
            </w:tcMar>
            <w:vAlign w:val="center"/>
          </w:tcPr>
          <w:p w14:paraId="5A469C4B" w14:textId="77777777" w:rsidR="00BE2CA7" w:rsidRPr="00CC5187" w:rsidRDefault="00BE2CA7" w:rsidP="002B0590">
            <w:pPr>
              <w:jc w:val="center"/>
              <w:rPr>
                <w:sz w:val="18"/>
                <w:szCs w:val="18"/>
                <w:lang w:eastAsia="fr-FR"/>
              </w:rPr>
            </w:pPr>
          </w:p>
        </w:tc>
        <w:tc>
          <w:tcPr>
            <w:tcW w:w="1524" w:type="dxa"/>
            <w:tcMar>
              <w:top w:w="15" w:type="dxa"/>
              <w:left w:w="70" w:type="dxa"/>
              <w:bottom w:w="15" w:type="dxa"/>
              <w:right w:w="70" w:type="dxa"/>
            </w:tcMar>
            <w:vAlign w:val="center"/>
          </w:tcPr>
          <w:p w14:paraId="61E6C02A" w14:textId="77777777" w:rsidR="00BE2CA7" w:rsidRPr="00CC5187" w:rsidRDefault="00BE2CA7" w:rsidP="002B0590">
            <w:pPr>
              <w:jc w:val="center"/>
              <w:rPr>
                <w:sz w:val="18"/>
                <w:szCs w:val="18"/>
                <w:lang w:eastAsia="fr-FR"/>
              </w:rPr>
            </w:pPr>
          </w:p>
        </w:tc>
      </w:tr>
      <w:tr w:rsidR="00BE2CA7" w:rsidRPr="00CC5187" w14:paraId="248CFC43" w14:textId="77777777" w:rsidTr="002B0590">
        <w:tc>
          <w:tcPr>
            <w:tcW w:w="1420" w:type="dxa"/>
            <w:tcMar>
              <w:top w:w="15" w:type="dxa"/>
              <w:left w:w="70" w:type="dxa"/>
              <w:bottom w:w="15" w:type="dxa"/>
              <w:right w:w="70" w:type="dxa"/>
            </w:tcMar>
            <w:vAlign w:val="center"/>
            <w:hideMark/>
          </w:tcPr>
          <w:p w14:paraId="4272A1A0" w14:textId="77777777" w:rsidR="00BE2CA7" w:rsidRPr="00CC5187" w:rsidRDefault="00BE2CA7" w:rsidP="002B0590">
            <w:pPr>
              <w:jc w:val="center"/>
              <w:rPr>
                <w:sz w:val="18"/>
                <w:szCs w:val="18"/>
                <w:lang w:eastAsia="fr-FR"/>
              </w:rPr>
            </w:pPr>
            <w:r w:rsidRPr="00CC5187">
              <w:rPr>
                <w:sz w:val="18"/>
                <w:szCs w:val="18"/>
                <w:lang w:eastAsia="fr-FR"/>
              </w:rPr>
              <w:t>…</w:t>
            </w:r>
          </w:p>
        </w:tc>
        <w:tc>
          <w:tcPr>
            <w:tcW w:w="1528" w:type="dxa"/>
            <w:tcMar>
              <w:top w:w="15" w:type="dxa"/>
              <w:left w:w="70" w:type="dxa"/>
              <w:bottom w:w="15" w:type="dxa"/>
              <w:right w:w="70" w:type="dxa"/>
            </w:tcMar>
            <w:vAlign w:val="center"/>
          </w:tcPr>
          <w:p w14:paraId="42AF4C78" w14:textId="77777777" w:rsidR="00BE2CA7" w:rsidRPr="00CC5187" w:rsidRDefault="00BE2CA7" w:rsidP="002B0590">
            <w:pPr>
              <w:jc w:val="center"/>
              <w:rPr>
                <w:sz w:val="18"/>
                <w:szCs w:val="18"/>
                <w:lang w:eastAsia="fr-FR"/>
              </w:rPr>
            </w:pPr>
          </w:p>
        </w:tc>
        <w:tc>
          <w:tcPr>
            <w:tcW w:w="1525" w:type="dxa"/>
            <w:tcMar>
              <w:top w:w="15" w:type="dxa"/>
              <w:left w:w="70" w:type="dxa"/>
              <w:bottom w:w="15" w:type="dxa"/>
              <w:right w:w="70" w:type="dxa"/>
            </w:tcMar>
            <w:vAlign w:val="center"/>
          </w:tcPr>
          <w:p w14:paraId="5A156D29" w14:textId="77777777" w:rsidR="00BE2CA7" w:rsidRPr="00CC5187" w:rsidRDefault="00BE2CA7" w:rsidP="002B0590">
            <w:pPr>
              <w:jc w:val="center"/>
              <w:rPr>
                <w:sz w:val="18"/>
                <w:szCs w:val="18"/>
                <w:lang w:eastAsia="fr-FR"/>
              </w:rPr>
            </w:pPr>
          </w:p>
        </w:tc>
        <w:tc>
          <w:tcPr>
            <w:tcW w:w="1524" w:type="dxa"/>
            <w:tcMar>
              <w:top w:w="15" w:type="dxa"/>
              <w:left w:w="70" w:type="dxa"/>
              <w:bottom w:w="15" w:type="dxa"/>
              <w:right w:w="70" w:type="dxa"/>
            </w:tcMar>
            <w:vAlign w:val="center"/>
          </w:tcPr>
          <w:p w14:paraId="0309A85F" w14:textId="77777777" w:rsidR="00BE2CA7" w:rsidRPr="00CC5187" w:rsidRDefault="00BE2CA7" w:rsidP="002B0590">
            <w:pPr>
              <w:jc w:val="center"/>
              <w:rPr>
                <w:sz w:val="18"/>
                <w:szCs w:val="18"/>
                <w:lang w:eastAsia="fr-FR"/>
              </w:rPr>
            </w:pPr>
          </w:p>
        </w:tc>
      </w:tr>
      <w:tr w:rsidR="00BE2CA7" w:rsidRPr="00CC5187" w14:paraId="183A6A25" w14:textId="77777777" w:rsidTr="002B0590">
        <w:tc>
          <w:tcPr>
            <w:tcW w:w="1420" w:type="dxa"/>
            <w:tcMar>
              <w:top w:w="15" w:type="dxa"/>
              <w:left w:w="70" w:type="dxa"/>
              <w:bottom w:w="15" w:type="dxa"/>
              <w:right w:w="70" w:type="dxa"/>
            </w:tcMar>
            <w:vAlign w:val="center"/>
          </w:tcPr>
          <w:p w14:paraId="4FB64F36" w14:textId="77777777" w:rsidR="00BE2CA7" w:rsidRPr="00CC5187" w:rsidRDefault="00BE2CA7" w:rsidP="002B0590">
            <w:pPr>
              <w:jc w:val="center"/>
              <w:rPr>
                <w:sz w:val="18"/>
                <w:szCs w:val="18"/>
                <w:lang w:eastAsia="fr-FR"/>
              </w:rPr>
            </w:pPr>
          </w:p>
        </w:tc>
        <w:tc>
          <w:tcPr>
            <w:tcW w:w="1528" w:type="dxa"/>
            <w:tcMar>
              <w:top w:w="15" w:type="dxa"/>
              <w:left w:w="70" w:type="dxa"/>
              <w:bottom w:w="15" w:type="dxa"/>
              <w:right w:w="70" w:type="dxa"/>
            </w:tcMar>
            <w:vAlign w:val="center"/>
          </w:tcPr>
          <w:p w14:paraId="2009B64B" w14:textId="77777777" w:rsidR="00BE2CA7" w:rsidRPr="00CC5187" w:rsidRDefault="00BE2CA7" w:rsidP="002B0590">
            <w:pPr>
              <w:jc w:val="center"/>
              <w:rPr>
                <w:sz w:val="18"/>
                <w:szCs w:val="18"/>
                <w:lang w:eastAsia="fr-FR"/>
              </w:rPr>
            </w:pPr>
          </w:p>
        </w:tc>
        <w:tc>
          <w:tcPr>
            <w:tcW w:w="1525" w:type="dxa"/>
            <w:tcMar>
              <w:top w:w="15" w:type="dxa"/>
              <w:left w:w="70" w:type="dxa"/>
              <w:bottom w:w="15" w:type="dxa"/>
              <w:right w:w="70" w:type="dxa"/>
            </w:tcMar>
            <w:vAlign w:val="center"/>
          </w:tcPr>
          <w:p w14:paraId="2FA30F66" w14:textId="77777777" w:rsidR="00BE2CA7" w:rsidRPr="00CC5187" w:rsidRDefault="00BE2CA7" w:rsidP="002B0590">
            <w:pPr>
              <w:jc w:val="center"/>
              <w:rPr>
                <w:sz w:val="18"/>
                <w:szCs w:val="18"/>
                <w:lang w:eastAsia="fr-FR"/>
              </w:rPr>
            </w:pPr>
          </w:p>
        </w:tc>
        <w:tc>
          <w:tcPr>
            <w:tcW w:w="1524" w:type="dxa"/>
            <w:tcMar>
              <w:top w:w="15" w:type="dxa"/>
              <w:left w:w="70" w:type="dxa"/>
              <w:bottom w:w="15" w:type="dxa"/>
              <w:right w:w="70" w:type="dxa"/>
            </w:tcMar>
            <w:vAlign w:val="center"/>
          </w:tcPr>
          <w:p w14:paraId="1D927FB8" w14:textId="77777777" w:rsidR="00BE2CA7" w:rsidRPr="00CC5187" w:rsidRDefault="00BE2CA7" w:rsidP="002B0590">
            <w:pPr>
              <w:jc w:val="center"/>
              <w:rPr>
                <w:sz w:val="18"/>
                <w:szCs w:val="18"/>
                <w:lang w:eastAsia="fr-FR"/>
              </w:rPr>
            </w:pPr>
          </w:p>
        </w:tc>
      </w:tr>
    </w:tbl>
    <w:p w14:paraId="1406DF0B" w14:textId="77777777" w:rsidR="00BE2CA7" w:rsidRPr="00CC5187" w:rsidRDefault="00BE2CA7" w:rsidP="00BE2CA7">
      <w:pPr>
        <w:pStyle w:val="SingleTxtG"/>
        <w:spacing w:before="240"/>
        <w:rPr>
          <w:b/>
          <w:bCs/>
          <w:lang w:eastAsia="fr-FR"/>
        </w:rPr>
      </w:pPr>
      <w:r w:rsidRPr="00CC5187">
        <w:rPr>
          <w:b/>
          <w:bCs/>
          <w:lang w:eastAsia="fr-FR"/>
        </w:rPr>
        <w:t>1.1.9</w:t>
      </w:r>
      <w:r w:rsidRPr="00CC5187">
        <w:rPr>
          <w:b/>
          <w:bCs/>
          <w:lang w:eastAsia="fr-FR"/>
        </w:rPr>
        <w:tab/>
      </w:r>
      <w:r>
        <w:rPr>
          <w:b/>
          <w:bCs/>
          <w:lang w:eastAsia="fr-FR"/>
        </w:rPr>
        <w:t>Machine électrique (le cas échéant)</w:t>
      </w:r>
    </w:p>
    <w:p w14:paraId="66A7550D" w14:textId="77777777" w:rsidR="00BE2CA7" w:rsidRPr="00A318C3" w:rsidRDefault="00BE2CA7" w:rsidP="00BE2CA7">
      <w:pPr>
        <w:pStyle w:val="SingleTxtG"/>
        <w:ind w:firstLine="567"/>
        <w:rPr>
          <w:lang w:val="fr-FR" w:eastAsia="fr-FR"/>
        </w:rPr>
      </w:pPr>
      <w:r w:rsidRPr="00A318C3">
        <w:rPr>
          <w:lang w:val="fr-FR" w:eastAsia="fr-FR"/>
        </w:rPr>
        <w:t>Si le véhicule e</w:t>
      </w:r>
      <w:r>
        <w:rPr>
          <w:lang w:val="fr-FR" w:eastAsia="fr-FR"/>
        </w:rPr>
        <w:t>s</w:t>
      </w:r>
      <w:r w:rsidRPr="00A318C3">
        <w:rPr>
          <w:lang w:val="fr-FR" w:eastAsia="fr-FR"/>
        </w:rPr>
        <w:t>t équipé de plusieurs machines électriques, veuillez fournir les informations ci-après pour chacune d</w:t>
      </w:r>
      <w:r>
        <w:rPr>
          <w:lang w:val="fr-FR" w:eastAsia="fr-FR"/>
        </w:rPr>
        <w:t>’</w:t>
      </w:r>
      <w:r w:rsidRPr="00A318C3">
        <w:rPr>
          <w:lang w:val="fr-FR" w:eastAsia="fr-FR"/>
        </w:rPr>
        <w:t>entre elles.</w:t>
      </w:r>
    </w:p>
    <w:tbl>
      <w:tblPr>
        <w:tblW w:w="0" w:type="auto"/>
        <w:tblInd w:w="1134" w:type="dxa"/>
        <w:tblBorders>
          <w:top w:val="single" w:sz="6" w:space="0" w:color="BFBFBF"/>
          <w:left w:val="single" w:sz="6" w:space="0" w:color="BFBFBF"/>
          <w:bottom w:val="single" w:sz="6" w:space="0" w:color="BFBFBF"/>
          <w:right w:val="single" w:sz="6" w:space="0" w:color="BFBFBF"/>
        </w:tblBorders>
        <w:tblCellMar>
          <w:left w:w="0" w:type="dxa"/>
          <w:right w:w="0" w:type="dxa"/>
        </w:tblCellMar>
        <w:tblLook w:val="04A0" w:firstRow="1" w:lastRow="0" w:firstColumn="1" w:lastColumn="0" w:noHBand="0" w:noVBand="1"/>
      </w:tblPr>
      <w:tblGrid>
        <w:gridCol w:w="4330"/>
        <w:gridCol w:w="282"/>
        <w:gridCol w:w="3718"/>
      </w:tblGrid>
      <w:tr w:rsidR="00BE2CA7" w:rsidRPr="00CC5187" w14:paraId="589832F4" w14:textId="77777777" w:rsidTr="002B0590">
        <w:trPr>
          <w:trHeight w:val="283"/>
        </w:trPr>
        <w:tc>
          <w:tcPr>
            <w:tcW w:w="4330" w:type="dxa"/>
            <w:tcBorders>
              <w:bottom w:val="single" w:sz="6" w:space="0" w:color="BFBFBF"/>
              <w:right w:val="single" w:sz="6" w:space="0" w:color="BFBFBF"/>
            </w:tcBorders>
            <w:tcMar>
              <w:top w:w="8" w:type="dxa"/>
              <w:left w:w="108" w:type="dxa"/>
              <w:bottom w:w="8" w:type="dxa"/>
              <w:right w:w="108" w:type="dxa"/>
            </w:tcMar>
            <w:hideMark/>
          </w:tcPr>
          <w:p w14:paraId="3C76CC6F" w14:textId="77777777" w:rsidR="00BE2CA7" w:rsidRPr="00CC5187" w:rsidRDefault="00BE2CA7" w:rsidP="002B0590">
            <w:pPr>
              <w:jc w:val="both"/>
              <w:rPr>
                <w:sz w:val="18"/>
                <w:szCs w:val="18"/>
                <w:lang w:eastAsia="fr-FR"/>
              </w:rPr>
            </w:pPr>
            <w:r w:rsidRPr="00CC5187">
              <w:rPr>
                <w:sz w:val="18"/>
                <w:szCs w:val="18"/>
                <w:lang w:eastAsia="fr-FR"/>
              </w:rPr>
              <w:t>Ma</w:t>
            </w:r>
            <w:r>
              <w:rPr>
                <w:sz w:val="18"/>
                <w:szCs w:val="18"/>
                <w:lang w:eastAsia="fr-FR"/>
              </w:rPr>
              <w:t>rque</w:t>
            </w:r>
          </w:p>
        </w:tc>
        <w:tc>
          <w:tcPr>
            <w:tcW w:w="282" w:type="dxa"/>
            <w:tcBorders>
              <w:left w:val="single" w:sz="6" w:space="0" w:color="BFBFBF"/>
              <w:bottom w:val="single" w:sz="6" w:space="0" w:color="BFBFBF"/>
              <w:right w:val="single" w:sz="6" w:space="0" w:color="BFBFBF"/>
            </w:tcBorders>
            <w:tcMar>
              <w:top w:w="8" w:type="dxa"/>
              <w:left w:w="108" w:type="dxa"/>
              <w:bottom w:w="8" w:type="dxa"/>
              <w:right w:w="108" w:type="dxa"/>
            </w:tcMar>
            <w:hideMark/>
          </w:tcPr>
          <w:p w14:paraId="348D89B4" w14:textId="77777777" w:rsidR="00BE2CA7" w:rsidRPr="00CC5187" w:rsidRDefault="00BE2CA7" w:rsidP="002B0590">
            <w:pPr>
              <w:jc w:val="both"/>
              <w:rPr>
                <w:sz w:val="18"/>
                <w:szCs w:val="18"/>
                <w:lang w:eastAsia="fr-FR"/>
              </w:rPr>
            </w:pPr>
            <w:r w:rsidRPr="00CC5187">
              <w:rPr>
                <w:sz w:val="18"/>
                <w:szCs w:val="18"/>
                <w:lang w:eastAsia="fr-FR"/>
              </w:rPr>
              <w:t>:</w:t>
            </w:r>
          </w:p>
        </w:tc>
        <w:tc>
          <w:tcPr>
            <w:tcW w:w="3718" w:type="dxa"/>
            <w:tcBorders>
              <w:left w:val="single" w:sz="6" w:space="0" w:color="BFBFBF"/>
              <w:bottom w:val="single" w:sz="6" w:space="0" w:color="BFBFBF"/>
            </w:tcBorders>
            <w:tcMar>
              <w:top w:w="8" w:type="dxa"/>
              <w:left w:w="108" w:type="dxa"/>
              <w:bottom w:w="8" w:type="dxa"/>
              <w:right w:w="108" w:type="dxa"/>
            </w:tcMar>
          </w:tcPr>
          <w:p w14:paraId="34E88DE4" w14:textId="77777777" w:rsidR="00BE2CA7" w:rsidRPr="00CC5187" w:rsidRDefault="00BE2CA7" w:rsidP="002B0590">
            <w:pPr>
              <w:jc w:val="both"/>
              <w:rPr>
                <w:sz w:val="18"/>
                <w:szCs w:val="18"/>
                <w:lang w:eastAsia="fr-FR"/>
              </w:rPr>
            </w:pPr>
          </w:p>
        </w:tc>
      </w:tr>
      <w:tr w:rsidR="00BE2CA7" w:rsidRPr="00CC5187" w14:paraId="1476268A" w14:textId="77777777" w:rsidTr="002B0590">
        <w:trPr>
          <w:trHeight w:val="283"/>
        </w:trPr>
        <w:tc>
          <w:tcPr>
            <w:tcW w:w="4330"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61E78D49" w14:textId="77777777" w:rsidR="00BE2CA7" w:rsidRPr="00CC5187" w:rsidRDefault="00BE2CA7" w:rsidP="002B0590">
            <w:pPr>
              <w:jc w:val="both"/>
              <w:rPr>
                <w:sz w:val="18"/>
                <w:szCs w:val="18"/>
                <w:lang w:eastAsia="fr-FR"/>
              </w:rPr>
            </w:pPr>
            <w:r w:rsidRPr="00CC5187">
              <w:rPr>
                <w:sz w:val="18"/>
                <w:szCs w:val="18"/>
                <w:lang w:eastAsia="fr-FR"/>
              </w:rPr>
              <w:t>Type</w:t>
            </w:r>
          </w:p>
        </w:tc>
        <w:tc>
          <w:tcPr>
            <w:tcW w:w="282"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0B2410C6" w14:textId="77777777" w:rsidR="00BE2CA7" w:rsidRPr="00CC5187" w:rsidRDefault="00BE2CA7" w:rsidP="002B0590">
            <w:pPr>
              <w:jc w:val="both"/>
              <w:rPr>
                <w:sz w:val="18"/>
                <w:szCs w:val="18"/>
                <w:lang w:eastAsia="fr-FR"/>
              </w:rPr>
            </w:pPr>
            <w:r w:rsidRPr="00CC5187">
              <w:rPr>
                <w:sz w:val="18"/>
                <w:szCs w:val="18"/>
                <w:lang w:eastAsia="fr-FR"/>
              </w:rPr>
              <w:t>:</w:t>
            </w:r>
          </w:p>
        </w:tc>
        <w:tc>
          <w:tcPr>
            <w:tcW w:w="3718" w:type="dxa"/>
            <w:tcBorders>
              <w:top w:val="single" w:sz="6" w:space="0" w:color="BFBFBF"/>
              <w:left w:val="single" w:sz="6" w:space="0" w:color="BFBFBF"/>
              <w:bottom w:val="single" w:sz="6" w:space="0" w:color="BFBFBF"/>
            </w:tcBorders>
            <w:tcMar>
              <w:top w:w="8" w:type="dxa"/>
              <w:left w:w="108" w:type="dxa"/>
              <w:bottom w:w="8" w:type="dxa"/>
              <w:right w:w="108" w:type="dxa"/>
            </w:tcMar>
          </w:tcPr>
          <w:p w14:paraId="01A43AF3" w14:textId="77777777" w:rsidR="00BE2CA7" w:rsidRPr="00CC5187" w:rsidRDefault="00BE2CA7" w:rsidP="002B0590">
            <w:pPr>
              <w:jc w:val="both"/>
              <w:rPr>
                <w:sz w:val="18"/>
                <w:szCs w:val="18"/>
                <w:lang w:eastAsia="fr-FR"/>
              </w:rPr>
            </w:pPr>
          </w:p>
        </w:tc>
      </w:tr>
      <w:tr w:rsidR="00BE2CA7" w:rsidRPr="00CC5187" w14:paraId="4298F618" w14:textId="77777777" w:rsidTr="002B0590">
        <w:trPr>
          <w:trHeight w:val="283"/>
        </w:trPr>
        <w:tc>
          <w:tcPr>
            <w:tcW w:w="4330" w:type="dxa"/>
            <w:tcBorders>
              <w:top w:val="single" w:sz="6" w:space="0" w:color="BFBFBF"/>
              <w:right w:val="single" w:sz="6" w:space="0" w:color="BFBFBF"/>
            </w:tcBorders>
            <w:tcMar>
              <w:top w:w="8" w:type="dxa"/>
              <w:left w:w="108" w:type="dxa"/>
              <w:bottom w:w="8" w:type="dxa"/>
              <w:right w:w="108" w:type="dxa"/>
            </w:tcMar>
            <w:hideMark/>
          </w:tcPr>
          <w:p w14:paraId="13B140B2" w14:textId="77777777" w:rsidR="00BE2CA7" w:rsidRPr="00CC5187" w:rsidRDefault="00BE2CA7" w:rsidP="002B0590">
            <w:pPr>
              <w:jc w:val="both"/>
              <w:rPr>
                <w:sz w:val="18"/>
                <w:szCs w:val="18"/>
                <w:lang w:eastAsia="fr-FR"/>
              </w:rPr>
            </w:pPr>
            <w:r w:rsidRPr="002430FD">
              <w:rPr>
                <w:sz w:val="18"/>
                <w:szCs w:val="18"/>
                <w:lang w:eastAsia="fr-FR"/>
              </w:rPr>
              <w:t>Puissance de crête (kW)</w:t>
            </w:r>
          </w:p>
        </w:tc>
        <w:tc>
          <w:tcPr>
            <w:tcW w:w="282" w:type="dxa"/>
            <w:tcBorders>
              <w:top w:val="single" w:sz="6" w:space="0" w:color="BFBFBF"/>
              <w:left w:val="single" w:sz="6" w:space="0" w:color="BFBFBF"/>
              <w:right w:val="single" w:sz="6" w:space="0" w:color="BFBFBF"/>
            </w:tcBorders>
            <w:tcMar>
              <w:top w:w="8" w:type="dxa"/>
              <w:left w:w="108" w:type="dxa"/>
              <w:bottom w:w="8" w:type="dxa"/>
              <w:right w:w="108" w:type="dxa"/>
            </w:tcMar>
            <w:hideMark/>
          </w:tcPr>
          <w:p w14:paraId="120BB35D" w14:textId="77777777" w:rsidR="00BE2CA7" w:rsidRPr="00CC5187" w:rsidRDefault="00BE2CA7" w:rsidP="002B0590">
            <w:pPr>
              <w:jc w:val="both"/>
              <w:rPr>
                <w:sz w:val="18"/>
                <w:szCs w:val="18"/>
                <w:lang w:eastAsia="fr-FR"/>
              </w:rPr>
            </w:pPr>
            <w:r w:rsidRPr="00CC5187">
              <w:rPr>
                <w:sz w:val="18"/>
                <w:szCs w:val="18"/>
                <w:lang w:eastAsia="fr-FR"/>
              </w:rPr>
              <w:t>:</w:t>
            </w:r>
          </w:p>
        </w:tc>
        <w:tc>
          <w:tcPr>
            <w:tcW w:w="3718" w:type="dxa"/>
            <w:tcBorders>
              <w:top w:val="single" w:sz="6" w:space="0" w:color="BFBFBF"/>
              <w:left w:val="single" w:sz="6" w:space="0" w:color="BFBFBF"/>
            </w:tcBorders>
            <w:tcMar>
              <w:top w:w="8" w:type="dxa"/>
              <w:left w:w="108" w:type="dxa"/>
              <w:bottom w:w="8" w:type="dxa"/>
              <w:right w:w="108" w:type="dxa"/>
            </w:tcMar>
          </w:tcPr>
          <w:p w14:paraId="65ECA593" w14:textId="77777777" w:rsidR="00BE2CA7" w:rsidRPr="00CC5187" w:rsidRDefault="00BE2CA7" w:rsidP="002B0590">
            <w:pPr>
              <w:jc w:val="both"/>
              <w:rPr>
                <w:sz w:val="18"/>
                <w:szCs w:val="18"/>
                <w:lang w:eastAsia="fr-FR"/>
              </w:rPr>
            </w:pPr>
          </w:p>
        </w:tc>
      </w:tr>
    </w:tbl>
    <w:p w14:paraId="0125D848" w14:textId="77777777" w:rsidR="00BE2CA7" w:rsidRPr="00CC5187" w:rsidRDefault="00BE2CA7" w:rsidP="00BE2CA7">
      <w:pPr>
        <w:pStyle w:val="SingleTxtG"/>
        <w:spacing w:before="240"/>
        <w:rPr>
          <w:b/>
          <w:bCs/>
          <w:lang w:eastAsia="fr-FR"/>
        </w:rPr>
      </w:pPr>
      <w:r w:rsidRPr="00CC5187">
        <w:rPr>
          <w:b/>
          <w:bCs/>
          <w:lang w:eastAsia="fr-FR"/>
        </w:rPr>
        <w:t>1.1.10</w:t>
      </w:r>
      <w:r>
        <w:rPr>
          <w:b/>
          <w:bCs/>
          <w:lang w:eastAsia="fr-FR"/>
        </w:rPr>
        <w:tab/>
      </w:r>
      <w:r w:rsidRPr="002430FD">
        <w:rPr>
          <w:b/>
          <w:bCs/>
          <w:lang w:eastAsia="fr-FR"/>
        </w:rPr>
        <w:t>SRSEE de traction (le cas échéant)</w:t>
      </w:r>
    </w:p>
    <w:p w14:paraId="23E6E24D" w14:textId="77777777" w:rsidR="00BE2CA7" w:rsidRPr="00A318C3" w:rsidRDefault="00BE2CA7" w:rsidP="00BE2CA7">
      <w:pPr>
        <w:pStyle w:val="SingleTxtG"/>
        <w:ind w:firstLine="567"/>
        <w:rPr>
          <w:lang w:val="fr-FR" w:eastAsia="fr-FR"/>
        </w:rPr>
      </w:pPr>
      <w:r w:rsidRPr="00A318C3">
        <w:rPr>
          <w:lang w:val="fr-FR" w:eastAsia="fr-FR"/>
        </w:rPr>
        <w:t>Si le véhicule est équipé de plusieurs SRSEE de traction, veuillez fournir les informations ci</w:t>
      </w:r>
      <w:r>
        <w:rPr>
          <w:lang w:val="fr-FR" w:eastAsia="fr-FR"/>
        </w:rPr>
        <w:noBreakHyphen/>
      </w:r>
      <w:r w:rsidRPr="00A318C3">
        <w:rPr>
          <w:lang w:val="fr-FR" w:eastAsia="fr-FR"/>
        </w:rPr>
        <w:t>après pour chacun d</w:t>
      </w:r>
      <w:r>
        <w:rPr>
          <w:lang w:val="fr-FR" w:eastAsia="fr-FR"/>
        </w:rPr>
        <w:t>’</w:t>
      </w:r>
      <w:r w:rsidRPr="00A318C3">
        <w:rPr>
          <w:lang w:val="fr-FR" w:eastAsia="fr-FR"/>
        </w:rPr>
        <w:t>entre eux.</w:t>
      </w:r>
    </w:p>
    <w:tbl>
      <w:tblPr>
        <w:tblW w:w="0" w:type="auto"/>
        <w:tblInd w:w="1134" w:type="dxa"/>
        <w:tblBorders>
          <w:top w:val="single" w:sz="6" w:space="0" w:color="BFBFBF"/>
          <w:left w:val="single" w:sz="6" w:space="0" w:color="BFBFBF"/>
          <w:bottom w:val="single" w:sz="6" w:space="0" w:color="BFBFBF"/>
          <w:right w:val="single" w:sz="6" w:space="0" w:color="BFBFBF"/>
        </w:tblBorders>
        <w:tblCellMar>
          <w:left w:w="0" w:type="dxa"/>
          <w:right w:w="0" w:type="dxa"/>
        </w:tblCellMar>
        <w:tblLook w:val="04A0" w:firstRow="1" w:lastRow="0" w:firstColumn="1" w:lastColumn="0" w:noHBand="0" w:noVBand="1"/>
      </w:tblPr>
      <w:tblGrid>
        <w:gridCol w:w="4339"/>
        <w:gridCol w:w="282"/>
        <w:gridCol w:w="3709"/>
      </w:tblGrid>
      <w:tr w:rsidR="00BE2CA7" w:rsidRPr="00CC5187" w14:paraId="031AC6C8" w14:textId="77777777" w:rsidTr="002B0590">
        <w:trPr>
          <w:trHeight w:val="283"/>
        </w:trPr>
        <w:tc>
          <w:tcPr>
            <w:tcW w:w="4339" w:type="dxa"/>
            <w:tcBorders>
              <w:bottom w:val="single" w:sz="6" w:space="0" w:color="BFBFBF"/>
              <w:right w:val="single" w:sz="6" w:space="0" w:color="BFBFBF"/>
            </w:tcBorders>
            <w:tcMar>
              <w:top w:w="8" w:type="dxa"/>
              <w:left w:w="108" w:type="dxa"/>
              <w:bottom w:w="8" w:type="dxa"/>
              <w:right w:w="108" w:type="dxa"/>
            </w:tcMar>
            <w:hideMark/>
          </w:tcPr>
          <w:p w14:paraId="6B847AE3" w14:textId="77777777" w:rsidR="00BE2CA7" w:rsidRPr="00CC5187" w:rsidRDefault="00BE2CA7" w:rsidP="002B0590">
            <w:pPr>
              <w:jc w:val="both"/>
              <w:rPr>
                <w:sz w:val="18"/>
                <w:szCs w:val="18"/>
                <w:lang w:eastAsia="fr-FR"/>
              </w:rPr>
            </w:pPr>
            <w:r w:rsidRPr="00CC5187">
              <w:rPr>
                <w:sz w:val="18"/>
                <w:szCs w:val="18"/>
                <w:lang w:eastAsia="fr-FR"/>
              </w:rPr>
              <w:t>Ma</w:t>
            </w:r>
            <w:r>
              <w:rPr>
                <w:sz w:val="18"/>
                <w:szCs w:val="18"/>
                <w:lang w:eastAsia="fr-FR"/>
              </w:rPr>
              <w:t>rque</w:t>
            </w:r>
          </w:p>
        </w:tc>
        <w:tc>
          <w:tcPr>
            <w:tcW w:w="282" w:type="dxa"/>
            <w:tcBorders>
              <w:left w:val="single" w:sz="6" w:space="0" w:color="BFBFBF"/>
              <w:bottom w:val="single" w:sz="6" w:space="0" w:color="BFBFBF"/>
              <w:right w:val="single" w:sz="6" w:space="0" w:color="BFBFBF"/>
            </w:tcBorders>
            <w:tcMar>
              <w:top w:w="8" w:type="dxa"/>
              <w:left w:w="108" w:type="dxa"/>
              <w:bottom w:w="8" w:type="dxa"/>
              <w:right w:w="108" w:type="dxa"/>
            </w:tcMar>
            <w:hideMark/>
          </w:tcPr>
          <w:p w14:paraId="546B56C7" w14:textId="77777777" w:rsidR="00BE2CA7" w:rsidRPr="00CC5187" w:rsidRDefault="00BE2CA7" w:rsidP="002B0590">
            <w:pPr>
              <w:jc w:val="both"/>
              <w:rPr>
                <w:sz w:val="18"/>
                <w:szCs w:val="18"/>
                <w:lang w:eastAsia="fr-FR"/>
              </w:rPr>
            </w:pPr>
            <w:r w:rsidRPr="00CC5187">
              <w:rPr>
                <w:sz w:val="18"/>
                <w:szCs w:val="18"/>
                <w:lang w:eastAsia="fr-FR"/>
              </w:rPr>
              <w:t>:</w:t>
            </w:r>
          </w:p>
        </w:tc>
        <w:tc>
          <w:tcPr>
            <w:tcW w:w="3709" w:type="dxa"/>
            <w:tcBorders>
              <w:left w:val="single" w:sz="6" w:space="0" w:color="BFBFBF"/>
              <w:bottom w:val="single" w:sz="6" w:space="0" w:color="BFBFBF"/>
            </w:tcBorders>
            <w:tcMar>
              <w:top w:w="8" w:type="dxa"/>
              <w:left w:w="108" w:type="dxa"/>
              <w:bottom w:w="8" w:type="dxa"/>
              <w:right w:w="108" w:type="dxa"/>
            </w:tcMar>
          </w:tcPr>
          <w:p w14:paraId="34ECFFB6" w14:textId="77777777" w:rsidR="00BE2CA7" w:rsidRPr="00CC5187" w:rsidRDefault="00BE2CA7" w:rsidP="002B0590">
            <w:pPr>
              <w:jc w:val="both"/>
              <w:rPr>
                <w:sz w:val="18"/>
                <w:szCs w:val="18"/>
                <w:lang w:eastAsia="fr-FR"/>
              </w:rPr>
            </w:pPr>
          </w:p>
        </w:tc>
      </w:tr>
      <w:tr w:rsidR="00BE2CA7" w:rsidRPr="00CC5187" w14:paraId="143B6BD6" w14:textId="77777777" w:rsidTr="002B0590">
        <w:trPr>
          <w:trHeight w:val="283"/>
        </w:trPr>
        <w:tc>
          <w:tcPr>
            <w:tcW w:w="4339"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35489C15" w14:textId="77777777" w:rsidR="00BE2CA7" w:rsidRPr="00CC5187" w:rsidRDefault="00BE2CA7" w:rsidP="002B0590">
            <w:pPr>
              <w:jc w:val="both"/>
              <w:rPr>
                <w:sz w:val="18"/>
                <w:szCs w:val="18"/>
                <w:lang w:eastAsia="fr-FR"/>
              </w:rPr>
            </w:pPr>
            <w:r w:rsidRPr="00CC5187">
              <w:rPr>
                <w:sz w:val="18"/>
                <w:szCs w:val="18"/>
                <w:lang w:eastAsia="fr-FR"/>
              </w:rPr>
              <w:t>Type</w:t>
            </w:r>
          </w:p>
        </w:tc>
        <w:tc>
          <w:tcPr>
            <w:tcW w:w="282"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3D9898AA" w14:textId="77777777" w:rsidR="00BE2CA7" w:rsidRPr="00CC5187" w:rsidRDefault="00BE2CA7" w:rsidP="002B0590">
            <w:pPr>
              <w:jc w:val="both"/>
              <w:rPr>
                <w:sz w:val="18"/>
                <w:szCs w:val="18"/>
                <w:lang w:eastAsia="fr-FR"/>
              </w:rPr>
            </w:pPr>
            <w:r w:rsidRPr="00CC5187">
              <w:rPr>
                <w:sz w:val="18"/>
                <w:szCs w:val="18"/>
                <w:lang w:eastAsia="fr-FR"/>
              </w:rPr>
              <w:t>:</w:t>
            </w:r>
          </w:p>
        </w:tc>
        <w:tc>
          <w:tcPr>
            <w:tcW w:w="3709" w:type="dxa"/>
            <w:tcBorders>
              <w:top w:val="single" w:sz="6" w:space="0" w:color="BFBFBF"/>
              <w:left w:val="single" w:sz="6" w:space="0" w:color="BFBFBF"/>
              <w:bottom w:val="single" w:sz="6" w:space="0" w:color="BFBFBF"/>
            </w:tcBorders>
            <w:tcMar>
              <w:top w:w="8" w:type="dxa"/>
              <w:left w:w="108" w:type="dxa"/>
              <w:bottom w:w="8" w:type="dxa"/>
              <w:right w:w="108" w:type="dxa"/>
            </w:tcMar>
          </w:tcPr>
          <w:p w14:paraId="222583BB" w14:textId="77777777" w:rsidR="00BE2CA7" w:rsidRPr="00CC5187" w:rsidRDefault="00BE2CA7" w:rsidP="002B0590">
            <w:pPr>
              <w:jc w:val="both"/>
              <w:rPr>
                <w:sz w:val="18"/>
                <w:szCs w:val="18"/>
                <w:lang w:eastAsia="fr-FR"/>
              </w:rPr>
            </w:pPr>
          </w:p>
        </w:tc>
      </w:tr>
      <w:tr w:rsidR="00BE2CA7" w:rsidRPr="00CC5187" w14:paraId="15AF1C7A" w14:textId="77777777" w:rsidTr="002B0590">
        <w:trPr>
          <w:trHeight w:val="283"/>
        </w:trPr>
        <w:tc>
          <w:tcPr>
            <w:tcW w:w="4339"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46A4AE7C" w14:textId="77777777" w:rsidR="00BE2CA7" w:rsidRPr="00CC5187" w:rsidRDefault="00BE2CA7" w:rsidP="002B0590">
            <w:pPr>
              <w:jc w:val="both"/>
              <w:rPr>
                <w:sz w:val="18"/>
                <w:szCs w:val="18"/>
                <w:lang w:eastAsia="fr-FR"/>
              </w:rPr>
            </w:pPr>
            <w:r w:rsidRPr="00CC5187">
              <w:rPr>
                <w:sz w:val="18"/>
                <w:szCs w:val="18"/>
                <w:lang w:eastAsia="fr-FR"/>
              </w:rPr>
              <w:t>Capacit</w:t>
            </w:r>
            <w:r>
              <w:rPr>
                <w:sz w:val="18"/>
                <w:szCs w:val="18"/>
                <w:lang w:eastAsia="fr-FR"/>
              </w:rPr>
              <w:t>é</w:t>
            </w:r>
            <w:r w:rsidRPr="00CC5187">
              <w:rPr>
                <w:sz w:val="18"/>
                <w:szCs w:val="18"/>
                <w:lang w:eastAsia="fr-FR"/>
              </w:rPr>
              <w:t xml:space="preserve"> (Ah)</w:t>
            </w:r>
          </w:p>
        </w:tc>
        <w:tc>
          <w:tcPr>
            <w:tcW w:w="282"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36C6984D" w14:textId="77777777" w:rsidR="00BE2CA7" w:rsidRPr="00CC5187" w:rsidRDefault="00BE2CA7" w:rsidP="002B0590">
            <w:pPr>
              <w:jc w:val="both"/>
              <w:rPr>
                <w:sz w:val="18"/>
                <w:szCs w:val="18"/>
                <w:lang w:eastAsia="fr-FR"/>
              </w:rPr>
            </w:pPr>
            <w:r w:rsidRPr="00CC5187">
              <w:rPr>
                <w:sz w:val="18"/>
                <w:szCs w:val="18"/>
                <w:lang w:eastAsia="fr-FR"/>
              </w:rPr>
              <w:t>:</w:t>
            </w:r>
          </w:p>
        </w:tc>
        <w:tc>
          <w:tcPr>
            <w:tcW w:w="3709" w:type="dxa"/>
            <w:tcBorders>
              <w:top w:val="single" w:sz="6" w:space="0" w:color="BFBFBF"/>
              <w:left w:val="single" w:sz="6" w:space="0" w:color="BFBFBF"/>
              <w:bottom w:val="single" w:sz="6" w:space="0" w:color="BFBFBF"/>
            </w:tcBorders>
            <w:tcMar>
              <w:top w:w="8" w:type="dxa"/>
              <w:left w:w="108" w:type="dxa"/>
              <w:bottom w:w="8" w:type="dxa"/>
              <w:right w:w="108" w:type="dxa"/>
            </w:tcMar>
          </w:tcPr>
          <w:p w14:paraId="7BCD7FDC" w14:textId="77777777" w:rsidR="00BE2CA7" w:rsidRPr="00CC5187" w:rsidRDefault="00BE2CA7" w:rsidP="002B0590">
            <w:pPr>
              <w:jc w:val="both"/>
              <w:rPr>
                <w:sz w:val="18"/>
                <w:szCs w:val="18"/>
                <w:lang w:eastAsia="fr-FR"/>
              </w:rPr>
            </w:pPr>
          </w:p>
        </w:tc>
      </w:tr>
      <w:tr w:rsidR="00BE2CA7" w:rsidRPr="00CC5187" w14:paraId="36CEC8AB" w14:textId="77777777" w:rsidTr="002B0590">
        <w:trPr>
          <w:trHeight w:val="283"/>
        </w:trPr>
        <w:tc>
          <w:tcPr>
            <w:tcW w:w="4339" w:type="dxa"/>
            <w:tcBorders>
              <w:top w:val="single" w:sz="6" w:space="0" w:color="BFBFBF"/>
              <w:right w:val="single" w:sz="6" w:space="0" w:color="BFBFBF"/>
            </w:tcBorders>
            <w:tcMar>
              <w:top w:w="8" w:type="dxa"/>
              <w:left w:w="108" w:type="dxa"/>
              <w:bottom w:w="8" w:type="dxa"/>
              <w:right w:w="108" w:type="dxa"/>
            </w:tcMar>
            <w:hideMark/>
          </w:tcPr>
          <w:p w14:paraId="79E42A0A" w14:textId="77777777" w:rsidR="00BE2CA7" w:rsidRPr="00CC5187" w:rsidRDefault="00BE2CA7" w:rsidP="002B0590">
            <w:pPr>
              <w:jc w:val="both"/>
              <w:rPr>
                <w:sz w:val="18"/>
                <w:szCs w:val="18"/>
                <w:lang w:eastAsia="fr-FR"/>
              </w:rPr>
            </w:pPr>
            <w:r>
              <w:rPr>
                <w:sz w:val="18"/>
                <w:szCs w:val="18"/>
                <w:lang w:eastAsia="fr-FR"/>
              </w:rPr>
              <w:t>Tension nominale</w:t>
            </w:r>
            <w:r w:rsidRPr="00CC5187">
              <w:rPr>
                <w:sz w:val="18"/>
                <w:szCs w:val="18"/>
                <w:lang w:eastAsia="fr-FR"/>
              </w:rPr>
              <w:t xml:space="preserve"> (V)</w:t>
            </w:r>
          </w:p>
        </w:tc>
        <w:tc>
          <w:tcPr>
            <w:tcW w:w="282" w:type="dxa"/>
            <w:tcBorders>
              <w:top w:val="single" w:sz="6" w:space="0" w:color="BFBFBF"/>
              <w:left w:val="single" w:sz="6" w:space="0" w:color="BFBFBF"/>
              <w:right w:val="single" w:sz="6" w:space="0" w:color="BFBFBF"/>
            </w:tcBorders>
            <w:tcMar>
              <w:top w:w="8" w:type="dxa"/>
              <w:left w:w="108" w:type="dxa"/>
              <w:bottom w:w="8" w:type="dxa"/>
              <w:right w:w="108" w:type="dxa"/>
            </w:tcMar>
            <w:hideMark/>
          </w:tcPr>
          <w:p w14:paraId="412DCAE7" w14:textId="77777777" w:rsidR="00BE2CA7" w:rsidRPr="00CC5187" w:rsidRDefault="00BE2CA7" w:rsidP="002B0590">
            <w:pPr>
              <w:jc w:val="both"/>
              <w:rPr>
                <w:sz w:val="18"/>
                <w:szCs w:val="18"/>
                <w:lang w:eastAsia="fr-FR"/>
              </w:rPr>
            </w:pPr>
            <w:r w:rsidRPr="00CC5187">
              <w:rPr>
                <w:sz w:val="18"/>
                <w:szCs w:val="18"/>
                <w:lang w:eastAsia="fr-FR"/>
              </w:rPr>
              <w:t>:</w:t>
            </w:r>
          </w:p>
        </w:tc>
        <w:tc>
          <w:tcPr>
            <w:tcW w:w="3709" w:type="dxa"/>
            <w:tcBorders>
              <w:top w:val="single" w:sz="6" w:space="0" w:color="BFBFBF"/>
              <w:left w:val="single" w:sz="6" w:space="0" w:color="BFBFBF"/>
            </w:tcBorders>
            <w:tcMar>
              <w:top w:w="8" w:type="dxa"/>
              <w:left w:w="108" w:type="dxa"/>
              <w:bottom w:w="8" w:type="dxa"/>
              <w:right w:w="108" w:type="dxa"/>
            </w:tcMar>
          </w:tcPr>
          <w:p w14:paraId="14CDD0C5" w14:textId="77777777" w:rsidR="00BE2CA7" w:rsidRPr="00CC5187" w:rsidRDefault="00BE2CA7" w:rsidP="002B0590">
            <w:pPr>
              <w:jc w:val="both"/>
              <w:rPr>
                <w:sz w:val="18"/>
                <w:szCs w:val="18"/>
                <w:lang w:eastAsia="fr-FR"/>
              </w:rPr>
            </w:pPr>
          </w:p>
        </w:tc>
      </w:tr>
    </w:tbl>
    <w:p w14:paraId="35F51D51" w14:textId="77777777" w:rsidR="00BE2CA7" w:rsidRPr="00A318C3" w:rsidRDefault="00BE2CA7" w:rsidP="00BE2CA7">
      <w:pPr>
        <w:pStyle w:val="SingleTxtG"/>
        <w:spacing w:before="240"/>
        <w:rPr>
          <w:b/>
          <w:bCs/>
          <w:lang w:val="fr-FR" w:eastAsia="fr-FR"/>
        </w:rPr>
      </w:pPr>
      <w:r w:rsidRPr="00CC5187">
        <w:rPr>
          <w:b/>
          <w:bCs/>
          <w:lang w:eastAsia="fr-FR"/>
        </w:rPr>
        <w:t>1.1.12</w:t>
      </w:r>
      <w:r>
        <w:rPr>
          <w:b/>
          <w:bCs/>
          <w:lang w:eastAsia="fr-FR"/>
        </w:rPr>
        <w:tab/>
      </w:r>
      <w:r w:rsidRPr="006B03D8">
        <w:rPr>
          <w:b/>
          <w:bCs/>
          <w:lang w:eastAsia="fr-FR"/>
        </w:rPr>
        <w:t>Électronique de puissance (le cas échéant)</w:t>
      </w:r>
    </w:p>
    <w:p w14:paraId="1772740F" w14:textId="77777777" w:rsidR="00BE2CA7" w:rsidRPr="00A318C3" w:rsidRDefault="00BE2CA7" w:rsidP="00BE2CA7">
      <w:pPr>
        <w:pStyle w:val="SingleTxtG"/>
        <w:ind w:firstLine="567"/>
        <w:rPr>
          <w:lang w:val="fr-FR" w:eastAsia="fr-FR"/>
        </w:rPr>
      </w:pPr>
      <w:r w:rsidRPr="00A318C3">
        <w:rPr>
          <w:lang w:val="fr-FR" w:eastAsia="fr-FR"/>
        </w:rPr>
        <w:t>Il peut s</w:t>
      </w:r>
      <w:r>
        <w:rPr>
          <w:lang w:val="fr-FR" w:eastAsia="fr-FR"/>
        </w:rPr>
        <w:t>’</w:t>
      </w:r>
      <w:r w:rsidRPr="00A318C3">
        <w:rPr>
          <w:lang w:val="fr-FR" w:eastAsia="fr-FR"/>
        </w:rPr>
        <w:t>agir de plusieurs composants (convertisseur de propulsion, système basse tension ou chargeur)</w:t>
      </w:r>
    </w:p>
    <w:tbl>
      <w:tblPr>
        <w:tblW w:w="0" w:type="auto"/>
        <w:tblInd w:w="1134" w:type="dxa"/>
        <w:tblBorders>
          <w:top w:val="single" w:sz="6" w:space="0" w:color="BFBFBF"/>
          <w:left w:val="single" w:sz="6" w:space="0" w:color="BFBFBF"/>
          <w:bottom w:val="single" w:sz="6" w:space="0" w:color="BFBFBF"/>
          <w:right w:val="single" w:sz="6" w:space="0" w:color="BFBFBF"/>
        </w:tblBorders>
        <w:tblCellMar>
          <w:left w:w="0" w:type="dxa"/>
          <w:right w:w="0" w:type="dxa"/>
        </w:tblCellMar>
        <w:tblLook w:val="04A0" w:firstRow="1" w:lastRow="0" w:firstColumn="1" w:lastColumn="0" w:noHBand="0" w:noVBand="1"/>
      </w:tblPr>
      <w:tblGrid>
        <w:gridCol w:w="4330"/>
        <w:gridCol w:w="282"/>
        <w:gridCol w:w="3718"/>
      </w:tblGrid>
      <w:tr w:rsidR="00BE2CA7" w:rsidRPr="00CC5187" w14:paraId="58ACD98C" w14:textId="77777777" w:rsidTr="002B0590">
        <w:trPr>
          <w:trHeight w:val="283"/>
        </w:trPr>
        <w:tc>
          <w:tcPr>
            <w:tcW w:w="4330" w:type="dxa"/>
            <w:tcBorders>
              <w:bottom w:val="single" w:sz="6" w:space="0" w:color="BFBFBF"/>
              <w:right w:val="single" w:sz="6" w:space="0" w:color="BFBFBF"/>
            </w:tcBorders>
            <w:tcMar>
              <w:top w:w="8" w:type="dxa"/>
              <w:left w:w="108" w:type="dxa"/>
              <w:bottom w:w="8" w:type="dxa"/>
              <w:right w:w="108" w:type="dxa"/>
            </w:tcMar>
            <w:hideMark/>
          </w:tcPr>
          <w:p w14:paraId="1CDB2FCE" w14:textId="77777777" w:rsidR="00BE2CA7" w:rsidRPr="00CC5187" w:rsidRDefault="00BE2CA7" w:rsidP="002B0590">
            <w:pPr>
              <w:jc w:val="both"/>
              <w:rPr>
                <w:sz w:val="18"/>
                <w:szCs w:val="18"/>
                <w:lang w:eastAsia="fr-FR"/>
              </w:rPr>
            </w:pPr>
            <w:r w:rsidRPr="00CC5187">
              <w:rPr>
                <w:sz w:val="18"/>
                <w:szCs w:val="18"/>
                <w:lang w:eastAsia="fr-FR"/>
              </w:rPr>
              <w:t>Ma</w:t>
            </w:r>
            <w:r>
              <w:rPr>
                <w:sz w:val="18"/>
                <w:szCs w:val="18"/>
                <w:lang w:eastAsia="fr-FR"/>
              </w:rPr>
              <w:t>rque</w:t>
            </w:r>
          </w:p>
        </w:tc>
        <w:tc>
          <w:tcPr>
            <w:tcW w:w="282" w:type="dxa"/>
            <w:tcBorders>
              <w:left w:val="single" w:sz="6" w:space="0" w:color="BFBFBF"/>
              <w:bottom w:val="single" w:sz="6" w:space="0" w:color="BFBFBF"/>
              <w:right w:val="single" w:sz="6" w:space="0" w:color="BFBFBF"/>
            </w:tcBorders>
            <w:tcMar>
              <w:top w:w="8" w:type="dxa"/>
              <w:left w:w="108" w:type="dxa"/>
              <w:bottom w:w="8" w:type="dxa"/>
              <w:right w:w="108" w:type="dxa"/>
            </w:tcMar>
            <w:hideMark/>
          </w:tcPr>
          <w:p w14:paraId="1FC5A8D6" w14:textId="77777777" w:rsidR="00BE2CA7" w:rsidRPr="00CC5187" w:rsidRDefault="00BE2CA7" w:rsidP="002B0590">
            <w:pPr>
              <w:jc w:val="both"/>
              <w:rPr>
                <w:sz w:val="18"/>
                <w:szCs w:val="18"/>
                <w:lang w:eastAsia="fr-FR"/>
              </w:rPr>
            </w:pPr>
            <w:r w:rsidRPr="00CC5187">
              <w:rPr>
                <w:sz w:val="18"/>
                <w:szCs w:val="18"/>
                <w:lang w:eastAsia="fr-FR"/>
              </w:rPr>
              <w:t>:</w:t>
            </w:r>
          </w:p>
        </w:tc>
        <w:tc>
          <w:tcPr>
            <w:tcW w:w="3718" w:type="dxa"/>
            <w:tcBorders>
              <w:left w:val="single" w:sz="6" w:space="0" w:color="BFBFBF"/>
              <w:bottom w:val="single" w:sz="6" w:space="0" w:color="BFBFBF"/>
            </w:tcBorders>
            <w:tcMar>
              <w:top w:w="8" w:type="dxa"/>
              <w:left w:w="108" w:type="dxa"/>
              <w:bottom w:w="8" w:type="dxa"/>
              <w:right w:w="108" w:type="dxa"/>
            </w:tcMar>
          </w:tcPr>
          <w:p w14:paraId="7CEAD9A7" w14:textId="77777777" w:rsidR="00BE2CA7" w:rsidRPr="00CC5187" w:rsidRDefault="00BE2CA7" w:rsidP="002B0590">
            <w:pPr>
              <w:jc w:val="both"/>
              <w:rPr>
                <w:sz w:val="18"/>
                <w:szCs w:val="18"/>
                <w:lang w:eastAsia="fr-FR"/>
              </w:rPr>
            </w:pPr>
          </w:p>
        </w:tc>
      </w:tr>
      <w:tr w:rsidR="00BE2CA7" w:rsidRPr="00CC5187" w14:paraId="17D63410" w14:textId="77777777" w:rsidTr="002B0590">
        <w:trPr>
          <w:trHeight w:val="283"/>
        </w:trPr>
        <w:tc>
          <w:tcPr>
            <w:tcW w:w="4330"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7A22AFB0" w14:textId="77777777" w:rsidR="00BE2CA7" w:rsidRPr="00CC5187" w:rsidRDefault="00BE2CA7" w:rsidP="002B0590">
            <w:pPr>
              <w:jc w:val="both"/>
              <w:rPr>
                <w:sz w:val="18"/>
                <w:szCs w:val="18"/>
                <w:lang w:eastAsia="fr-FR"/>
              </w:rPr>
            </w:pPr>
            <w:r w:rsidRPr="00CC5187">
              <w:rPr>
                <w:sz w:val="18"/>
                <w:szCs w:val="18"/>
                <w:lang w:eastAsia="fr-FR"/>
              </w:rPr>
              <w:t>Type</w:t>
            </w:r>
          </w:p>
        </w:tc>
        <w:tc>
          <w:tcPr>
            <w:tcW w:w="282"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1FBAFF5B" w14:textId="77777777" w:rsidR="00BE2CA7" w:rsidRPr="00CC5187" w:rsidRDefault="00BE2CA7" w:rsidP="002B0590">
            <w:pPr>
              <w:jc w:val="both"/>
              <w:rPr>
                <w:sz w:val="18"/>
                <w:szCs w:val="18"/>
                <w:lang w:eastAsia="fr-FR"/>
              </w:rPr>
            </w:pPr>
            <w:r w:rsidRPr="00CC5187">
              <w:rPr>
                <w:sz w:val="18"/>
                <w:szCs w:val="18"/>
                <w:lang w:eastAsia="fr-FR"/>
              </w:rPr>
              <w:t>:</w:t>
            </w:r>
          </w:p>
        </w:tc>
        <w:tc>
          <w:tcPr>
            <w:tcW w:w="3718" w:type="dxa"/>
            <w:tcBorders>
              <w:top w:val="single" w:sz="6" w:space="0" w:color="BFBFBF"/>
              <w:left w:val="single" w:sz="6" w:space="0" w:color="BFBFBF"/>
              <w:bottom w:val="single" w:sz="6" w:space="0" w:color="BFBFBF"/>
            </w:tcBorders>
            <w:tcMar>
              <w:top w:w="8" w:type="dxa"/>
              <w:left w:w="108" w:type="dxa"/>
              <w:bottom w:w="8" w:type="dxa"/>
              <w:right w:w="108" w:type="dxa"/>
            </w:tcMar>
          </w:tcPr>
          <w:p w14:paraId="63E308D1" w14:textId="77777777" w:rsidR="00BE2CA7" w:rsidRPr="00CC5187" w:rsidRDefault="00BE2CA7" w:rsidP="002B0590">
            <w:pPr>
              <w:jc w:val="both"/>
              <w:rPr>
                <w:sz w:val="18"/>
                <w:szCs w:val="18"/>
                <w:lang w:eastAsia="fr-FR"/>
              </w:rPr>
            </w:pPr>
          </w:p>
        </w:tc>
      </w:tr>
      <w:tr w:rsidR="00BE2CA7" w:rsidRPr="00CC5187" w14:paraId="1B58E5C1" w14:textId="77777777" w:rsidTr="002B0590">
        <w:trPr>
          <w:trHeight w:val="283"/>
        </w:trPr>
        <w:tc>
          <w:tcPr>
            <w:tcW w:w="4330" w:type="dxa"/>
            <w:tcBorders>
              <w:top w:val="single" w:sz="6" w:space="0" w:color="BFBFBF"/>
              <w:right w:val="single" w:sz="6" w:space="0" w:color="BFBFBF"/>
            </w:tcBorders>
            <w:tcMar>
              <w:top w:w="8" w:type="dxa"/>
              <w:left w:w="108" w:type="dxa"/>
              <w:bottom w:w="8" w:type="dxa"/>
              <w:right w:w="108" w:type="dxa"/>
            </w:tcMar>
            <w:hideMark/>
          </w:tcPr>
          <w:p w14:paraId="0F980024" w14:textId="77777777" w:rsidR="00BE2CA7" w:rsidRPr="00CC5187" w:rsidRDefault="00BE2CA7" w:rsidP="002B0590">
            <w:pPr>
              <w:jc w:val="both"/>
              <w:rPr>
                <w:sz w:val="18"/>
                <w:szCs w:val="18"/>
                <w:lang w:eastAsia="fr-FR"/>
              </w:rPr>
            </w:pPr>
            <w:r w:rsidRPr="00CC5187">
              <w:rPr>
                <w:sz w:val="18"/>
                <w:szCs w:val="18"/>
                <w:lang w:eastAsia="fr-FR"/>
              </w:rPr>
              <w:t>P</w:t>
            </w:r>
            <w:r>
              <w:rPr>
                <w:sz w:val="18"/>
                <w:szCs w:val="18"/>
                <w:lang w:eastAsia="fr-FR"/>
              </w:rPr>
              <w:t>uissance</w:t>
            </w:r>
            <w:r w:rsidRPr="00CC5187">
              <w:rPr>
                <w:sz w:val="18"/>
                <w:szCs w:val="18"/>
                <w:lang w:eastAsia="fr-FR"/>
              </w:rPr>
              <w:t xml:space="preserve"> (kW)</w:t>
            </w:r>
          </w:p>
        </w:tc>
        <w:tc>
          <w:tcPr>
            <w:tcW w:w="282" w:type="dxa"/>
            <w:tcBorders>
              <w:top w:val="single" w:sz="6" w:space="0" w:color="BFBFBF"/>
              <w:left w:val="single" w:sz="6" w:space="0" w:color="BFBFBF"/>
              <w:right w:val="single" w:sz="6" w:space="0" w:color="BFBFBF"/>
            </w:tcBorders>
            <w:tcMar>
              <w:top w:w="8" w:type="dxa"/>
              <w:left w:w="108" w:type="dxa"/>
              <w:bottom w:w="8" w:type="dxa"/>
              <w:right w:w="108" w:type="dxa"/>
            </w:tcMar>
            <w:hideMark/>
          </w:tcPr>
          <w:p w14:paraId="554A0CA4" w14:textId="77777777" w:rsidR="00BE2CA7" w:rsidRPr="00CC5187" w:rsidRDefault="00BE2CA7" w:rsidP="002B0590">
            <w:pPr>
              <w:jc w:val="both"/>
              <w:rPr>
                <w:sz w:val="18"/>
                <w:szCs w:val="18"/>
                <w:lang w:eastAsia="fr-FR"/>
              </w:rPr>
            </w:pPr>
            <w:r w:rsidRPr="00CC5187">
              <w:rPr>
                <w:sz w:val="18"/>
                <w:szCs w:val="18"/>
                <w:lang w:eastAsia="fr-FR"/>
              </w:rPr>
              <w:t>:</w:t>
            </w:r>
          </w:p>
        </w:tc>
        <w:tc>
          <w:tcPr>
            <w:tcW w:w="3718" w:type="dxa"/>
            <w:tcBorders>
              <w:top w:val="single" w:sz="6" w:space="0" w:color="BFBFBF"/>
              <w:left w:val="single" w:sz="6" w:space="0" w:color="BFBFBF"/>
            </w:tcBorders>
            <w:tcMar>
              <w:top w:w="8" w:type="dxa"/>
              <w:left w:w="108" w:type="dxa"/>
              <w:bottom w:w="8" w:type="dxa"/>
              <w:right w:w="108" w:type="dxa"/>
            </w:tcMar>
          </w:tcPr>
          <w:p w14:paraId="14D3C5D3" w14:textId="77777777" w:rsidR="00BE2CA7" w:rsidRPr="00CC5187" w:rsidRDefault="00BE2CA7" w:rsidP="002B0590">
            <w:pPr>
              <w:jc w:val="both"/>
              <w:rPr>
                <w:sz w:val="18"/>
                <w:szCs w:val="18"/>
                <w:lang w:eastAsia="fr-FR"/>
              </w:rPr>
            </w:pPr>
          </w:p>
        </w:tc>
      </w:tr>
    </w:tbl>
    <w:p w14:paraId="3C72D622" w14:textId="77777777" w:rsidR="00BE2CA7" w:rsidRPr="00CC5187" w:rsidRDefault="00BE2CA7" w:rsidP="00BE2CA7">
      <w:pPr>
        <w:pStyle w:val="SingleTxtG"/>
        <w:spacing w:before="240"/>
        <w:rPr>
          <w:b/>
          <w:bCs/>
          <w:lang w:eastAsia="fr-FR"/>
        </w:rPr>
      </w:pPr>
      <w:r w:rsidRPr="00CC5187">
        <w:rPr>
          <w:b/>
          <w:bCs/>
          <w:lang w:eastAsia="fr-FR"/>
        </w:rPr>
        <w:lastRenderedPageBreak/>
        <w:t>1.2</w:t>
      </w:r>
      <w:r w:rsidRPr="00CC5187">
        <w:rPr>
          <w:b/>
          <w:bCs/>
          <w:lang w:eastAsia="fr-FR"/>
        </w:rPr>
        <w:tab/>
      </w:r>
      <w:r>
        <w:rPr>
          <w:b/>
          <w:bCs/>
          <w:lang w:eastAsia="fr-FR"/>
        </w:rPr>
        <w:t>Description du véhicule</w:t>
      </w:r>
    </w:p>
    <w:p w14:paraId="1C8DB8F6" w14:textId="77777777" w:rsidR="00BE2CA7" w:rsidRPr="007E28C2" w:rsidRDefault="00BE2CA7" w:rsidP="00BE2CA7">
      <w:pPr>
        <w:pStyle w:val="SingleTxtG"/>
        <w:rPr>
          <w:b/>
          <w:bCs/>
          <w:lang w:eastAsia="fr-FR"/>
        </w:rPr>
      </w:pPr>
      <w:r w:rsidRPr="007E28C2">
        <w:rPr>
          <w:b/>
          <w:bCs/>
          <w:lang w:eastAsia="fr-FR"/>
        </w:rPr>
        <w:t>1.2.1</w:t>
      </w:r>
      <w:r w:rsidRPr="007E28C2">
        <w:rPr>
          <w:b/>
          <w:bCs/>
          <w:lang w:eastAsia="fr-FR"/>
        </w:rPr>
        <w:tab/>
        <w:t>Masse</w:t>
      </w:r>
    </w:p>
    <w:tbl>
      <w:tblPr>
        <w:tblW w:w="0" w:type="auto"/>
        <w:tblInd w:w="1134" w:type="dxa"/>
        <w:tblBorders>
          <w:top w:val="single" w:sz="6" w:space="0" w:color="BFBFBF"/>
          <w:left w:val="single" w:sz="6" w:space="0" w:color="BFBFBF"/>
          <w:bottom w:val="single" w:sz="6" w:space="0" w:color="BFBFBF"/>
          <w:right w:val="single" w:sz="6" w:space="0" w:color="BFBFBF"/>
        </w:tblBorders>
        <w:tblCellMar>
          <w:left w:w="0" w:type="dxa"/>
          <w:right w:w="0" w:type="dxa"/>
        </w:tblCellMar>
        <w:tblLook w:val="04A0" w:firstRow="1" w:lastRow="0" w:firstColumn="1" w:lastColumn="0" w:noHBand="0" w:noVBand="1"/>
      </w:tblPr>
      <w:tblGrid>
        <w:gridCol w:w="4253"/>
        <w:gridCol w:w="276"/>
        <w:gridCol w:w="3841"/>
      </w:tblGrid>
      <w:tr w:rsidR="00BE2CA7" w:rsidRPr="00CC5187" w14:paraId="30074BE0" w14:textId="77777777" w:rsidTr="002B0590">
        <w:trPr>
          <w:trHeight w:val="113"/>
        </w:trPr>
        <w:tc>
          <w:tcPr>
            <w:tcW w:w="4253" w:type="dxa"/>
            <w:tcBorders>
              <w:right w:val="single" w:sz="6" w:space="0" w:color="BFBFBF"/>
            </w:tcBorders>
            <w:tcMar>
              <w:top w:w="8" w:type="dxa"/>
              <w:left w:w="108" w:type="dxa"/>
              <w:bottom w:w="8" w:type="dxa"/>
              <w:right w:w="108" w:type="dxa"/>
            </w:tcMar>
            <w:hideMark/>
          </w:tcPr>
          <w:p w14:paraId="03FD6A58" w14:textId="77777777" w:rsidR="00BE2CA7" w:rsidRPr="00CC5187" w:rsidRDefault="00BE2CA7" w:rsidP="002B0590">
            <w:pPr>
              <w:keepNext/>
              <w:keepLines/>
              <w:widowControl w:val="0"/>
              <w:jc w:val="both"/>
              <w:rPr>
                <w:sz w:val="18"/>
                <w:szCs w:val="18"/>
                <w:lang w:eastAsia="fr-FR"/>
              </w:rPr>
            </w:pPr>
            <w:r>
              <w:rPr>
                <w:sz w:val="18"/>
                <w:szCs w:val="18"/>
                <w:lang w:eastAsia="fr-FR"/>
              </w:rPr>
              <w:t xml:space="preserve">Masse inertielle </w:t>
            </w:r>
            <w:r w:rsidRPr="00CC5187">
              <w:rPr>
                <w:sz w:val="18"/>
                <w:szCs w:val="18"/>
                <w:lang w:eastAsia="fr-FR"/>
              </w:rPr>
              <w:t>(kg)</w:t>
            </w:r>
          </w:p>
        </w:tc>
        <w:tc>
          <w:tcPr>
            <w:tcW w:w="276" w:type="dxa"/>
            <w:tcBorders>
              <w:left w:val="single" w:sz="6" w:space="0" w:color="BFBFBF"/>
              <w:right w:val="single" w:sz="6" w:space="0" w:color="BFBFBF"/>
            </w:tcBorders>
            <w:tcMar>
              <w:top w:w="8" w:type="dxa"/>
              <w:left w:w="108" w:type="dxa"/>
              <w:bottom w:w="8" w:type="dxa"/>
              <w:right w:w="108" w:type="dxa"/>
            </w:tcMar>
            <w:hideMark/>
          </w:tcPr>
          <w:p w14:paraId="2BE5758E" w14:textId="77777777" w:rsidR="00BE2CA7" w:rsidRPr="00CC5187" w:rsidRDefault="00BE2CA7" w:rsidP="002B0590">
            <w:pPr>
              <w:keepNext/>
              <w:keepLines/>
              <w:widowControl w:val="0"/>
              <w:jc w:val="both"/>
              <w:rPr>
                <w:sz w:val="18"/>
                <w:szCs w:val="18"/>
                <w:lang w:eastAsia="fr-FR"/>
              </w:rPr>
            </w:pPr>
            <w:r w:rsidRPr="00CC5187">
              <w:rPr>
                <w:b/>
                <w:bCs/>
                <w:caps/>
                <w:sz w:val="18"/>
                <w:szCs w:val="18"/>
                <w:lang w:eastAsia="fr-FR"/>
              </w:rPr>
              <w:t>:</w:t>
            </w:r>
          </w:p>
        </w:tc>
        <w:tc>
          <w:tcPr>
            <w:tcW w:w="3841" w:type="dxa"/>
            <w:tcBorders>
              <w:left w:val="single" w:sz="6" w:space="0" w:color="BFBFBF"/>
            </w:tcBorders>
            <w:tcMar>
              <w:top w:w="8" w:type="dxa"/>
              <w:left w:w="108" w:type="dxa"/>
              <w:bottom w:w="8" w:type="dxa"/>
              <w:right w:w="108" w:type="dxa"/>
            </w:tcMar>
          </w:tcPr>
          <w:p w14:paraId="1CDB9C49" w14:textId="77777777" w:rsidR="00BE2CA7" w:rsidRPr="00CC5187" w:rsidRDefault="00BE2CA7" w:rsidP="002B0590">
            <w:pPr>
              <w:keepNext/>
              <w:keepLines/>
              <w:widowControl w:val="0"/>
              <w:jc w:val="both"/>
              <w:rPr>
                <w:sz w:val="18"/>
                <w:szCs w:val="18"/>
                <w:lang w:eastAsia="fr-FR"/>
              </w:rPr>
            </w:pPr>
          </w:p>
        </w:tc>
      </w:tr>
    </w:tbl>
    <w:p w14:paraId="22F6A26C" w14:textId="77777777" w:rsidR="00BE2CA7" w:rsidRPr="00CC5187" w:rsidRDefault="00BE2CA7" w:rsidP="00BE2CA7">
      <w:pPr>
        <w:pStyle w:val="SingleTxtG"/>
        <w:spacing w:before="240"/>
        <w:rPr>
          <w:b/>
          <w:bCs/>
          <w:lang w:eastAsia="fr-FR"/>
        </w:rPr>
      </w:pPr>
      <w:r w:rsidRPr="00CC5187">
        <w:rPr>
          <w:b/>
          <w:bCs/>
          <w:lang w:eastAsia="fr-FR"/>
        </w:rPr>
        <w:t>1.2.2</w:t>
      </w:r>
      <w:r w:rsidRPr="00CC5187">
        <w:rPr>
          <w:b/>
          <w:bCs/>
          <w:lang w:eastAsia="fr-FR"/>
        </w:rPr>
        <w:tab/>
      </w:r>
      <w:r w:rsidRPr="0030575B">
        <w:rPr>
          <w:b/>
          <w:bCs/>
          <w:lang w:eastAsia="fr-FR"/>
        </w:rPr>
        <w:t>Paramètres de résistance à l</w:t>
      </w:r>
      <w:r>
        <w:rPr>
          <w:b/>
          <w:bCs/>
          <w:lang w:eastAsia="fr-FR"/>
        </w:rPr>
        <w:t>’</w:t>
      </w:r>
      <w:r w:rsidRPr="0030575B">
        <w:rPr>
          <w:b/>
          <w:bCs/>
          <w:lang w:eastAsia="fr-FR"/>
        </w:rPr>
        <w:t>avancement sur route</w:t>
      </w:r>
    </w:p>
    <w:tbl>
      <w:tblPr>
        <w:tblW w:w="0" w:type="auto"/>
        <w:tblInd w:w="1134" w:type="dxa"/>
        <w:tblBorders>
          <w:top w:val="single" w:sz="6" w:space="0" w:color="BFBFBF"/>
          <w:left w:val="single" w:sz="6" w:space="0" w:color="BFBFBF"/>
          <w:bottom w:val="single" w:sz="6" w:space="0" w:color="BFBFBF"/>
          <w:right w:val="single" w:sz="6" w:space="0" w:color="BFBFBF"/>
        </w:tblBorders>
        <w:tblCellMar>
          <w:left w:w="0" w:type="dxa"/>
          <w:right w:w="0" w:type="dxa"/>
        </w:tblCellMar>
        <w:tblLook w:val="04A0" w:firstRow="1" w:lastRow="0" w:firstColumn="1" w:lastColumn="0" w:noHBand="0" w:noVBand="1"/>
      </w:tblPr>
      <w:tblGrid>
        <w:gridCol w:w="3402"/>
        <w:gridCol w:w="276"/>
        <w:gridCol w:w="4692"/>
      </w:tblGrid>
      <w:tr w:rsidR="00BE2CA7" w:rsidRPr="00CC5187" w14:paraId="4339E83A" w14:textId="77777777" w:rsidTr="002B0590">
        <w:trPr>
          <w:trHeight w:val="283"/>
        </w:trPr>
        <w:tc>
          <w:tcPr>
            <w:tcW w:w="3402" w:type="dxa"/>
            <w:tcBorders>
              <w:bottom w:val="single" w:sz="6" w:space="0" w:color="BFBFBF"/>
              <w:right w:val="single" w:sz="6" w:space="0" w:color="BFBFBF"/>
            </w:tcBorders>
            <w:tcMar>
              <w:top w:w="8" w:type="dxa"/>
              <w:left w:w="108" w:type="dxa"/>
              <w:bottom w:w="8" w:type="dxa"/>
              <w:right w:w="108" w:type="dxa"/>
            </w:tcMar>
            <w:hideMark/>
          </w:tcPr>
          <w:p w14:paraId="6AC1DF1A" w14:textId="77777777" w:rsidR="00BE2CA7" w:rsidRPr="00CC5187" w:rsidRDefault="00BE2CA7" w:rsidP="002B0590">
            <w:pPr>
              <w:keepNext/>
              <w:keepLines/>
              <w:widowControl w:val="0"/>
              <w:jc w:val="both"/>
              <w:rPr>
                <w:sz w:val="18"/>
                <w:szCs w:val="18"/>
                <w:lang w:eastAsia="fr-FR"/>
              </w:rPr>
            </w:pPr>
            <w:r w:rsidRPr="00CC5187">
              <w:rPr>
                <w:sz w:val="18"/>
                <w:szCs w:val="18"/>
                <w:lang w:eastAsia="fr-FR"/>
              </w:rPr>
              <w:t>f</w:t>
            </w:r>
            <w:r w:rsidRPr="00CC5187">
              <w:rPr>
                <w:sz w:val="18"/>
                <w:szCs w:val="18"/>
                <w:vertAlign w:val="subscript"/>
                <w:lang w:eastAsia="fr-FR"/>
              </w:rPr>
              <w:t>0</w:t>
            </w:r>
            <w:r w:rsidRPr="00CC5187">
              <w:rPr>
                <w:sz w:val="18"/>
                <w:szCs w:val="18"/>
                <w:lang w:eastAsia="fr-FR"/>
              </w:rPr>
              <w:t xml:space="preserve"> (N)</w:t>
            </w:r>
          </w:p>
        </w:tc>
        <w:tc>
          <w:tcPr>
            <w:tcW w:w="276" w:type="dxa"/>
            <w:tcBorders>
              <w:left w:val="single" w:sz="6" w:space="0" w:color="BFBFBF"/>
              <w:bottom w:val="single" w:sz="6" w:space="0" w:color="BFBFBF"/>
              <w:right w:val="single" w:sz="6" w:space="0" w:color="BFBFBF"/>
            </w:tcBorders>
            <w:tcMar>
              <w:top w:w="8" w:type="dxa"/>
              <w:left w:w="108" w:type="dxa"/>
              <w:bottom w:w="8" w:type="dxa"/>
              <w:right w:w="108" w:type="dxa"/>
            </w:tcMar>
            <w:hideMark/>
          </w:tcPr>
          <w:p w14:paraId="2A98C86E" w14:textId="77777777" w:rsidR="00BE2CA7" w:rsidRPr="00CC5187" w:rsidRDefault="00BE2CA7" w:rsidP="002B0590">
            <w:pPr>
              <w:keepNext/>
              <w:keepLines/>
              <w:widowControl w:val="0"/>
              <w:jc w:val="both"/>
              <w:rPr>
                <w:sz w:val="18"/>
                <w:szCs w:val="18"/>
                <w:lang w:eastAsia="fr-FR"/>
              </w:rPr>
            </w:pPr>
            <w:r w:rsidRPr="00CC5187">
              <w:rPr>
                <w:b/>
                <w:bCs/>
                <w:caps/>
                <w:sz w:val="18"/>
                <w:szCs w:val="18"/>
                <w:lang w:eastAsia="fr-FR"/>
              </w:rPr>
              <w:t>:</w:t>
            </w:r>
          </w:p>
        </w:tc>
        <w:tc>
          <w:tcPr>
            <w:tcW w:w="4692" w:type="dxa"/>
            <w:tcBorders>
              <w:left w:val="single" w:sz="6" w:space="0" w:color="BFBFBF"/>
              <w:bottom w:val="single" w:sz="6" w:space="0" w:color="BFBFBF"/>
            </w:tcBorders>
            <w:tcMar>
              <w:top w:w="8" w:type="dxa"/>
              <w:left w:w="108" w:type="dxa"/>
              <w:bottom w:w="8" w:type="dxa"/>
              <w:right w:w="108" w:type="dxa"/>
            </w:tcMar>
          </w:tcPr>
          <w:p w14:paraId="424DF196" w14:textId="77777777" w:rsidR="00BE2CA7" w:rsidRPr="00CC5187" w:rsidRDefault="00BE2CA7" w:rsidP="002B0590">
            <w:pPr>
              <w:keepNext/>
              <w:keepLines/>
              <w:widowControl w:val="0"/>
              <w:jc w:val="both"/>
              <w:rPr>
                <w:sz w:val="18"/>
                <w:szCs w:val="18"/>
                <w:lang w:eastAsia="fr-FR"/>
              </w:rPr>
            </w:pPr>
          </w:p>
        </w:tc>
      </w:tr>
      <w:tr w:rsidR="00BE2CA7" w:rsidRPr="00CC5187" w14:paraId="7B2BDE09" w14:textId="77777777" w:rsidTr="002B0590">
        <w:trPr>
          <w:trHeight w:val="283"/>
        </w:trPr>
        <w:tc>
          <w:tcPr>
            <w:tcW w:w="3402"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1F8EBFA8" w14:textId="77777777" w:rsidR="00BE2CA7" w:rsidRPr="00CC5187" w:rsidRDefault="00BE2CA7" w:rsidP="002B0590">
            <w:pPr>
              <w:keepNext/>
              <w:keepLines/>
              <w:widowControl w:val="0"/>
              <w:jc w:val="both"/>
              <w:rPr>
                <w:sz w:val="18"/>
                <w:szCs w:val="18"/>
                <w:lang w:eastAsia="fr-FR"/>
              </w:rPr>
            </w:pPr>
            <w:r w:rsidRPr="00CC5187">
              <w:rPr>
                <w:sz w:val="18"/>
                <w:szCs w:val="18"/>
                <w:lang w:eastAsia="fr-FR"/>
              </w:rPr>
              <w:t>f</w:t>
            </w:r>
            <w:r w:rsidRPr="00CC5187">
              <w:rPr>
                <w:sz w:val="18"/>
                <w:szCs w:val="18"/>
                <w:vertAlign w:val="subscript"/>
                <w:lang w:eastAsia="fr-FR"/>
              </w:rPr>
              <w:t>1</w:t>
            </w:r>
            <w:r w:rsidRPr="00CC5187">
              <w:rPr>
                <w:sz w:val="18"/>
                <w:szCs w:val="18"/>
                <w:lang w:eastAsia="fr-FR"/>
              </w:rPr>
              <w:t xml:space="preserve"> (N/(km/h))</w:t>
            </w:r>
          </w:p>
        </w:tc>
        <w:tc>
          <w:tcPr>
            <w:tcW w:w="276"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425B478E" w14:textId="77777777" w:rsidR="00BE2CA7" w:rsidRPr="00CC5187" w:rsidRDefault="00BE2CA7" w:rsidP="002B0590">
            <w:pPr>
              <w:keepNext/>
              <w:keepLines/>
              <w:widowControl w:val="0"/>
              <w:jc w:val="both"/>
              <w:rPr>
                <w:sz w:val="18"/>
                <w:szCs w:val="18"/>
                <w:lang w:eastAsia="fr-FR"/>
              </w:rPr>
            </w:pPr>
            <w:r w:rsidRPr="00CC5187">
              <w:rPr>
                <w:b/>
                <w:bCs/>
                <w:caps/>
                <w:sz w:val="18"/>
                <w:szCs w:val="18"/>
                <w:lang w:eastAsia="fr-FR"/>
              </w:rPr>
              <w:t>:</w:t>
            </w:r>
          </w:p>
        </w:tc>
        <w:tc>
          <w:tcPr>
            <w:tcW w:w="4692" w:type="dxa"/>
            <w:tcBorders>
              <w:top w:val="single" w:sz="6" w:space="0" w:color="BFBFBF"/>
              <w:left w:val="single" w:sz="6" w:space="0" w:color="BFBFBF"/>
              <w:bottom w:val="single" w:sz="6" w:space="0" w:color="BFBFBF"/>
            </w:tcBorders>
            <w:tcMar>
              <w:top w:w="8" w:type="dxa"/>
              <w:left w:w="108" w:type="dxa"/>
              <w:bottom w:w="8" w:type="dxa"/>
              <w:right w:w="108" w:type="dxa"/>
            </w:tcMar>
          </w:tcPr>
          <w:p w14:paraId="42D4DCEA" w14:textId="77777777" w:rsidR="00BE2CA7" w:rsidRPr="00CC5187" w:rsidRDefault="00BE2CA7" w:rsidP="002B0590">
            <w:pPr>
              <w:keepNext/>
              <w:keepLines/>
              <w:widowControl w:val="0"/>
              <w:jc w:val="both"/>
              <w:rPr>
                <w:sz w:val="18"/>
                <w:szCs w:val="18"/>
                <w:lang w:eastAsia="fr-FR"/>
              </w:rPr>
            </w:pPr>
          </w:p>
        </w:tc>
      </w:tr>
      <w:tr w:rsidR="00BE2CA7" w:rsidRPr="00CC5187" w14:paraId="4B0D9C10" w14:textId="77777777" w:rsidTr="002B0590">
        <w:trPr>
          <w:trHeight w:val="283"/>
        </w:trPr>
        <w:tc>
          <w:tcPr>
            <w:tcW w:w="3402"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5CF20816" w14:textId="77777777" w:rsidR="00BE2CA7" w:rsidRPr="00CC5187" w:rsidRDefault="00BE2CA7" w:rsidP="002B0590">
            <w:pPr>
              <w:keepNext/>
              <w:keepLines/>
              <w:widowControl w:val="0"/>
              <w:jc w:val="both"/>
              <w:rPr>
                <w:sz w:val="18"/>
                <w:szCs w:val="18"/>
                <w:lang w:eastAsia="fr-FR"/>
              </w:rPr>
            </w:pPr>
            <w:r w:rsidRPr="00CC5187">
              <w:rPr>
                <w:sz w:val="18"/>
                <w:szCs w:val="18"/>
                <w:lang w:eastAsia="fr-FR"/>
              </w:rPr>
              <w:t>f</w:t>
            </w:r>
            <w:r w:rsidRPr="00CC5187">
              <w:rPr>
                <w:sz w:val="18"/>
                <w:szCs w:val="18"/>
                <w:vertAlign w:val="subscript"/>
                <w:lang w:eastAsia="fr-FR"/>
              </w:rPr>
              <w:t>2</w:t>
            </w:r>
            <w:r w:rsidRPr="00CC5187">
              <w:rPr>
                <w:sz w:val="18"/>
                <w:szCs w:val="18"/>
                <w:lang w:eastAsia="fr-FR"/>
              </w:rPr>
              <w:t xml:space="preserve"> (N/(km/h)²)</w:t>
            </w:r>
          </w:p>
        </w:tc>
        <w:tc>
          <w:tcPr>
            <w:tcW w:w="276"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4C2D27E8" w14:textId="77777777" w:rsidR="00BE2CA7" w:rsidRPr="00CC5187" w:rsidRDefault="00BE2CA7" w:rsidP="002B0590">
            <w:pPr>
              <w:keepNext/>
              <w:keepLines/>
              <w:widowControl w:val="0"/>
              <w:jc w:val="both"/>
              <w:rPr>
                <w:sz w:val="18"/>
                <w:szCs w:val="18"/>
                <w:lang w:eastAsia="fr-FR"/>
              </w:rPr>
            </w:pPr>
            <w:r w:rsidRPr="00CC5187">
              <w:rPr>
                <w:b/>
                <w:bCs/>
                <w:caps/>
                <w:sz w:val="18"/>
                <w:szCs w:val="18"/>
                <w:lang w:eastAsia="fr-FR"/>
              </w:rPr>
              <w:t>:</w:t>
            </w:r>
          </w:p>
        </w:tc>
        <w:tc>
          <w:tcPr>
            <w:tcW w:w="4692" w:type="dxa"/>
            <w:tcBorders>
              <w:top w:val="single" w:sz="6" w:space="0" w:color="BFBFBF"/>
              <w:left w:val="single" w:sz="6" w:space="0" w:color="BFBFBF"/>
              <w:bottom w:val="single" w:sz="6" w:space="0" w:color="BFBFBF"/>
            </w:tcBorders>
            <w:tcMar>
              <w:top w:w="8" w:type="dxa"/>
              <w:left w:w="108" w:type="dxa"/>
              <w:bottom w:w="8" w:type="dxa"/>
              <w:right w:w="108" w:type="dxa"/>
            </w:tcMar>
          </w:tcPr>
          <w:p w14:paraId="7B60C90B" w14:textId="77777777" w:rsidR="00BE2CA7" w:rsidRPr="00CC5187" w:rsidRDefault="00BE2CA7" w:rsidP="002B0590">
            <w:pPr>
              <w:keepNext/>
              <w:keepLines/>
              <w:widowControl w:val="0"/>
              <w:jc w:val="both"/>
              <w:rPr>
                <w:sz w:val="18"/>
                <w:szCs w:val="18"/>
                <w:lang w:eastAsia="fr-FR"/>
              </w:rPr>
            </w:pPr>
          </w:p>
        </w:tc>
      </w:tr>
      <w:tr w:rsidR="00BE2CA7" w:rsidRPr="00CC5187" w14:paraId="76A0F7FF" w14:textId="77777777" w:rsidTr="002B0590">
        <w:trPr>
          <w:trHeight w:val="283"/>
        </w:trPr>
        <w:tc>
          <w:tcPr>
            <w:tcW w:w="3402" w:type="dxa"/>
            <w:tcBorders>
              <w:top w:val="single" w:sz="6" w:space="0" w:color="BFBFBF"/>
              <w:right w:val="single" w:sz="6" w:space="0" w:color="BFBFBF"/>
            </w:tcBorders>
            <w:tcMar>
              <w:top w:w="8" w:type="dxa"/>
              <w:left w:w="108" w:type="dxa"/>
              <w:bottom w:w="8" w:type="dxa"/>
              <w:right w:w="108" w:type="dxa"/>
            </w:tcMar>
            <w:hideMark/>
          </w:tcPr>
          <w:p w14:paraId="6428EF65" w14:textId="77777777" w:rsidR="00BE2CA7" w:rsidRPr="00CC5187" w:rsidRDefault="00BE2CA7" w:rsidP="002B0590">
            <w:pPr>
              <w:keepNext/>
              <w:keepLines/>
              <w:widowControl w:val="0"/>
              <w:rPr>
                <w:sz w:val="18"/>
                <w:szCs w:val="18"/>
                <w:lang w:eastAsia="fr-FR"/>
              </w:rPr>
            </w:pPr>
            <w:r w:rsidRPr="006A6AC8">
              <w:rPr>
                <w:sz w:val="18"/>
                <w:szCs w:val="18"/>
                <w:lang w:eastAsia="fr-FR"/>
              </w:rPr>
              <w:t>Identifiant de la famille de résistance à l</w:t>
            </w:r>
            <w:r>
              <w:rPr>
                <w:sz w:val="18"/>
                <w:szCs w:val="18"/>
                <w:lang w:eastAsia="fr-FR"/>
              </w:rPr>
              <w:t>’</w:t>
            </w:r>
            <w:r w:rsidRPr="006A6AC8">
              <w:rPr>
                <w:sz w:val="18"/>
                <w:szCs w:val="18"/>
                <w:lang w:eastAsia="fr-FR"/>
              </w:rPr>
              <w:t>avancement sur route</w:t>
            </w:r>
          </w:p>
        </w:tc>
        <w:tc>
          <w:tcPr>
            <w:tcW w:w="276" w:type="dxa"/>
            <w:tcBorders>
              <w:top w:val="single" w:sz="6" w:space="0" w:color="BFBFBF"/>
              <w:left w:val="single" w:sz="6" w:space="0" w:color="BFBFBF"/>
              <w:right w:val="single" w:sz="6" w:space="0" w:color="BFBFBF"/>
            </w:tcBorders>
            <w:tcMar>
              <w:top w:w="8" w:type="dxa"/>
              <w:left w:w="108" w:type="dxa"/>
              <w:bottom w:w="8" w:type="dxa"/>
              <w:right w:w="108" w:type="dxa"/>
            </w:tcMar>
            <w:hideMark/>
          </w:tcPr>
          <w:p w14:paraId="1174F0E0" w14:textId="77777777" w:rsidR="00BE2CA7" w:rsidRPr="00CC5187" w:rsidRDefault="00BE2CA7" w:rsidP="002B0590">
            <w:pPr>
              <w:keepNext/>
              <w:keepLines/>
              <w:widowControl w:val="0"/>
              <w:jc w:val="both"/>
              <w:rPr>
                <w:sz w:val="18"/>
                <w:szCs w:val="18"/>
                <w:lang w:eastAsia="fr-FR"/>
              </w:rPr>
            </w:pPr>
            <w:r w:rsidRPr="00CC5187">
              <w:rPr>
                <w:b/>
                <w:bCs/>
                <w:caps/>
                <w:sz w:val="18"/>
                <w:szCs w:val="18"/>
                <w:lang w:eastAsia="fr-FR"/>
              </w:rPr>
              <w:t>:</w:t>
            </w:r>
          </w:p>
        </w:tc>
        <w:tc>
          <w:tcPr>
            <w:tcW w:w="4692" w:type="dxa"/>
            <w:tcBorders>
              <w:top w:val="single" w:sz="6" w:space="0" w:color="BFBFBF"/>
              <w:left w:val="single" w:sz="6" w:space="0" w:color="BFBFBF"/>
            </w:tcBorders>
            <w:tcMar>
              <w:top w:w="8" w:type="dxa"/>
              <w:left w:w="108" w:type="dxa"/>
              <w:bottom w:w="8" w:type="dxa"/>
              <w:right w:w="108" w:type="dxa"/>
            </w:tcMar>
          </w:tcPr>
          <w:p w14:paraId="4E498C87" w14:textId="77777777" w:rsidR="00BE2CA7" w:rsidRPr="00CC5187" w:rsidRDefault="00BE2CA7" w:rsidP="002B0590">
            <w:pPr>
              <w:keepNext/>
              <w:keepLines/>
              <w:widowControl w:val="0"/>
              <w:jc w:val="both"/>
              <w:rPr>
                <w:sz w:val="18"/>
                <w:szCs w:val="18"/>
                <w:lang w:eastAsia="fr-FR"/>
              </w:rPr>
            </w:pPr>
          </w:p>
        </w:tc>
      </w:tr>
    </w:tbl>
    <w:p w14:paraId="1856F37D" w14:textId="77777777" w:rsidR="00BE2CA7" w:rsidRPr="00CC5187" w:rsidRDefault="00BE2CA7" w:rsidP="00BE2CA7">
      <w:pPr>
        <w:pStyle w:val="SingleTxtG"/>
        <w:spacing w:before="240"/>
        <w:rPr>
          <w:b/>
          <w:bCs/>
          <w:lang w:eastAsia="fr-FR"/>
        </w:rPr>
      </w:pPr>
      <w:r w:rsidRPr="00CC5187">
        <w:rPr>
          <w:b/>
          <w:bCs/>
          <w:lang w:eastAsia="fr-FR"/>
        </w:rPr>
        <w:t>2</w:t>
      </w:r>
      <w:r>
        <w:rPr>
          <w:b/>
          <w:bCs/>
          <w:lang w:eastAsia="fr-FR"/>
        </w:rPr>
        <w:t>.</w:t>
      </w:r>
      <w:r w:rsidRPr="00CC5187">
        <w:rPr>
          <w:b/>
          <w:bCs/>
          <w:lang w:eastAsia="fr-FR"/>
        </w:rPr>
        <w:tab/>
      </w:r>
      <w:r>
        <w:rPr>
          <w:b/>
          <w:bCs/>
          <w:lang w:eastAsia="fr-FR"/>
        </w:rPr>
        <w:t>Résultats d’essai</w:t>
      </w:r>
    </w:p>
    <w:p w14:paraId="5AC7D401" w14:textId="77777777" w:rsidR="00BE2CA7" w:rsidRPr="00CC5187" w:rsidRDefault="00BE2CA7" w:rsidP="00BE2CA7">
      <w:pPr>
        <w:pStyle w:val="SingleTxtG"/>
        <w:rPr>
          <w:b/>
          <w:bCs/>
          <w:lang w:eastAsia="fr-FR"/>
        </w:rPr>
      </w:pPr>
      <w:r w:rsidRPr="00CC5187">
        <w:rPr>
          <w:b/>
          <w:bCs/>
          <w:lang w:eastAsia="fr-FR"/>
        </w:rPr>
        <w:t>2.2</w:t>
      </w:r>
      <w:r w:rsidRPr="00CC5187">
        <w:rPr>
          <w:b/>
          <w:bCs/>
          <w:lang w:eastAsia="fr-FR"/>
        </w:rPr>
        <w:tab/>
      </w:r>
      <w:r>
        <w:rPr>
          <w:b/>
          <w:bCs/>
          <w:lang w:eastAsia="fr-FR"/>
        </w:rPr>
        <w:t>Essai du t</w:t>
      </w:r>
      <w:r w:rsidRPr="00CC5187">
        <w:rPr>
          <w:b/>
          <w:bCs/>
          <w:lang w:eastAsia="fr-FR"/>
        </w:rPr>
        <w:t>ype</w:t>
      </w:r>
      <w:r>
        <w:rPr>
          <w:b/>
          <w:bCs/>
          <w:lang w:eastAsia="fr-FR"/>
        </w:rPr>
        <w:t> </w:t>
      </w:r>
      <w:r w:rsidRPr="00CC5187">
        <w:rPr>
          <w:b/>
          <w:bCs/>
          <w:lang w:eastAsia="fr-FR"/>
        </w:rPr>
        <w:t xml:space="preserve">2 </w:t>
      </w:r>
      <w:r>
        <w:rPr>
          <w:b/>
          <w:bCs/>
          <w:lang w:eastAsia="fr-FR"/>
        </w:rPr>
        <w:t>a)</w:t>
      </w:r>
    </w:p>
    <w:p w14:paraId="3F1D2326" w14:textId="77777777" w:rsidR="00BE2CA7" w:rsidRPr="00A318C3" w:rsidRDefault="00BE2CA7" w:rsidP="00BE2CA7">
      <w:pPr>
        <w:pStyle w:val="SingleTxtG"/>
        <w:ind w:firstLine="567"/>
        <w:rPr>
          <w:lang w:val="fr-FR" w:eastAsia="en-GB"/>
        </w:rPr>
      </w:pPr>
      <w:r w:rsidRPr="00A318C3">
        <w:rPr>
          <w:lang w:val="fr-FR" w:eastAsia="en-GB"/>
        </w:rPr>
        <w:t xml:space="preserve">Y compris les données </w:t>
      </w:r>
      <w:r>
        <w:rPr>
          <w:lang w:val="fr-FR" w:eastAsia="en-GB"/>
        </w:rPr>
        <w:t xml:space="preserve">sur les </w:t>
      </w:r>
      <w:r w:rsidRPr="00A318C3">
        <w:rPr>
          <w:lang w:val="fr-FR" w:eastAsia="en-GB"/>
        </w:rPr>
        <w:t>émissions requises pour le</w:t>
      </w:r>
      <w:r>
        <w:rPr>
          <w:lang w:val="fr-FR" w:eastAsia="en-GB"/>
        </w:rPr>
        <w:t>s besoins du</w:t>
      </w:r>
      <w:r w:rsidRPr="00A318C3">
        <w:rPr>
          <w:lang w:val="fr-FR" w:eastAsia="en-GB"/>
        </w:rPr>
        <w:t xml:space="preserve"> contrôle technique</w:t>
      </w:r>
      <w:r>
        <w:rPr>
          <w:lang w:val="fr-FR" w:eastAsia="en-GB"/>
        </w:rPr>
        <w:t xml:space="preserve"> des véhicules</w:t>
      </w:r>
      <w:r w:rsidRPr="00A318C3">
        <w:rPr>
          <w:lang w:val="fr-FR" w:eastAsia="en-GB"/>
        </w:rPr>
        <w:t xml:space="preserve"> </w:t>
      </w:r>
    </w:p>
    <w:tbl>
      <w:tblPr>
        <w:tblW w:w="0" w:type="auto"/>
        <w:tblInd w:w="279" w:type="dxa"/>
        <w:tblLayout w:type="fixed"/>
        <w:tblLook w:val="0000" w:firstRow="0" w:lastRow="0" w:firstColumn="0" w:lastColumn="0" w:noHBand="0" w:noVBand="0"/>
      </w:tblPr>
      <w:tblGrid>
        <w:gridCol w:w="1419"/>
        <w:gridCol w:w="1374"/>
        <w:gridCol w:w="1222"/>
        <w:gridCol w:w="2444"/>
        <w:gridCol w:w="2270"/>
      </w:tblGrid>
      <w:tr w:rsidR="00BE2CA7" w:rsidRPr="00CC5187" w14:paraId="1890B11E" w14:textId="77777777" w:rsidTr="002B0590">
        <w:tc>
          <w:tcPr>
            <w:tcW w:w="1419" w:type="dxa"/>
            <w:tcBorders>
              <w:top w:val="single" w:sz="2" w:space="0" w:color="auto"/>
              <w:left w:val="single" w:sz="2" w:space="0" w:color="auto"/>
              <w:bottom w:val="single" w:sz="2" w:space="0" w:color="auto"/>
              <w:right w:val="single" w:sz="2" w:space="0" w:color="auto"/>
            </w:tcBorders>
          </w:tcPr>
          <w:p w14:paraId="5BDA3B26" w14:textId="77777777" w:rsidR="00BE2CA7" w:rsidRPr="00CC5187" w:rsidRDefault="00BE2CA7" w:rsidP="002B0590">
            <w:pPr>
              <w:spacing w:before="60" w:after="60"/>
              <w:jc w:val="center"/>
              <w:rPr>
                <w:rFonts w:eastAsia="SimSun"/>
                <w:sz w:val="18"/>
                <w:szCs w:val="18"/>
                <w:lang w:val="fr-FR" w:eastAsia="en-GB"/>
              </w:rPr>
            </w:pPr>
            <w:r>
              <w:rPr>
                <w:rFonts w:eastAsia="SimSun"/>
                <w:sz w:val="18"/>
                <w:szCs w:val="18"/>
                <w:lang w:val="fr-FR" w:eastAsia="en-GB"/>
              </w:rPr>
              <w:t>Essai</w:t>
            </w:r>
          </w:p>
        </w:tc>
        <w:tc>
          <w:tcPr>
            <w:tcW w:w="1374" w:type="dxa"/>
            <w:tcBorders>
              <w:top w:val="single" w:sz="2" w:space="0" w:color="auto"/>
              <w:left w:val="single" w:sz="2" w:space="0" w:color="auto"/>
              <w:bottom w:val="single" w:sz="2" w:space="0" w:color="auto"/>
              <w:right w:val="single" w:sz="2" w:space="0" w:color="auto"/>
            </w:tcBorders>
          </w:tcPr>
          <w:p w14:paraId="5E1C128B" w14:textId="77777777" w:rsidR="00BE2CA7" w:rsidRPr="00CC5187" w:rsidRDefault="00BE2CA7" w:rsidP="002B0590">
            <w:pPr>
              <w:spacing w:before="60" w:after="60"/>
              <w:jc w:val="center"/>
              <w:rPr>
                <w:rFonts w:eastAsia="SimSun"/>
                <w:sz w:val="18"/>
                <w:szCs w:val="18"/>
                <w:lang w:val="fr-FR" w:eastAsia="en-GB"/>
              </w:rPr>
            </w:pPr>
            <w:r w:rsidRPr="00CC5187">
              <w:rPr>
                <w:rFonts w:eastAsia="SimSun"/>
                <w:sz w:val="18"/>
                <w:szCs w:val="18"/>
                <w:lang w:val="fr-FR" w:eastAsia="en-GB"/>
              </w:rPr>
              <w:t>CO (% vol)</w:t>
            </w:r>
          </w:p>
        </w:tc>
        <w:tc>
          <w:tcPr>
            <w:tcW w:w="1222" w:type="dxa"/>
            <w:tcBorders>
              <w:top w:val="single" w:sz="2" w:space="0" w:color="auto"/>
              <w:left w:val="single" w:sz="2" w:space="0" w:color="auto"/>
              <w:bottom w:val="single" w:sz="2" w:space="0" w:color="auto"/>
              <w:right w:val="single" w:sz="2" w:space="0" w:color="auto"/>
            </w:tcBorders>
          </w:tcPr>
          <w:p w14:paraId="7600545B" w14:textId="77777777" w:rsidR="00BE2CA7" w:rsidRPr="00CC5187" w:rsidRDefault="00BE2CA7" w:rsidP="002B0590">
            <w:pPr>
              <w:spacing w:before="60" w:after="60"/>
              <w:jc w:val="center"/>
              <w:rPr>
                <w:rFonts w:eastAsia="SimSun"/>
                <w:sz w:val="18"/>
                <w:szCs w:val="18"/>
                <w:lang w:val="fr-FR" w:eastAsia="en-GB"/>
              </w:rPr>
            </w:pPr>
            <w:r w:rsidRPr="00CC5187">
              <w:rPr>
                <w:rFonts w:eastAsia="SimSun"/>
                <w:sz w:val="18"/>
                <w:szCs w:val="18"/>
                <w:lang w:val="fr-FR" w:eastAsia="en-GB"/>
              </w:rPr>
              <w:t>Lambda</w:t>
            </w:r>
            <w:r w:rsidRPr="00977679">
              <w:rPr>
                <w:rStyle w:val="Appelnotedebasdep"/>
              </w:rPr>
              <w:footnoteReference w:id="17"/>
            </w:r>
          </w:p>
        </w:tc>
        <w:tc>
          <w:tcPr>
            <w:tcW w:w="2444" w:type="dxa"/>
            <w:tcBorders>
              <w:top w:val="single" w:sz="2" w:space="0" w:color="auto"/>
              <w:left w:val="single" w:sz="2" w:space="0" w:color="auto"/>
              <w:bottom w:val="single" w:sz="2" w:space="0" w:color="auto"/>
              <w:right w:val="single" w:sz="2" w:space="0" w:color="auto"/>
            </w:tcBorders>
          </w:tcPr>
          <w:p w14:paraId="05B11C8D" w14:textId="77777777" w:rsidR="00BE2CA7" w:rsidRPr="00CC5187" w:rsidRDefault="00BE2CA7" w:rsidP="002B0590">
            <w:pPr>
              <w:spacing w:before="60" w:after="60"/>
              <w:jc w:val="center"/>
              <w:rPr>
                <w:rFonts w:eastAsia="SimSun"/>
                <w:sz w:val="18"/>
                <w:szCs w:val="18"/>
                <w:lang w:val="fr-FR" w:eastAsia="en-GB"/>
              </w:rPr>
            </w:pPr>
            <w:r>
              <w:rPr>
                <w:rFonts w:eastAsia="SimSun"/>
                <w:sz w:val="18"/>
                <w:szCs w:val="18"/>
                <w:lang w:val="fr-FR" w:eastAsia="en-GB"/>
              </w:rPr>
              <w:t>Régime moteur</w:t>
            </w:r>
            <w:r w:rsidRPr="00CC5187">
              <w:rPr>
                <w:rFonts w:eastAsia="SimSun"/>
                <w:sz w:val="18"/>
                <w:szCs w:val="18"/>
                <w:lang w:val="fr-FR" w:eastAsia="en-GB"/>
              </w:rPr>
              <w:t xml:space="preserve"> (min</w:t>
            </w:r>
            <w:r w:rsidRPr="00CC5187">
              <w:rPr>
                <w:rFonts w:eastAsia="SimSun"/>
                <w:sz w:val="18"/>
                <w:szCs w:val="18"/>
                <w:vertAlign w:val="superscript"/>
                <w:lang w:val="fr-FR" w:eastAsia="en-GB"/>
              </w:rPr>
              <w:t>–1</w:t>
            </w:r>
            <w:r w:rsidRPr="00CC5187">
              <w:rPr>
                <w:rFonts w:eastAsia="SimSun"/>
                <w:sz w:val="18"/>
                <w:szCs w:val="18"/>
                <w:lang w:val="fr-FR" w:eastAsia="en-GB"/>
              </w:rPr>
              <w:t>)</w:t>
            </w:r>
          </w:p>
        </w:tc>
        <w:tc>
          <w:tcPr>
            <w:tcW w:w="2270" w:type="dxa"/>
            <w:tcBorders>
              <w:top w:val="single" w:sz="2" w:space="0" w:color="auto"/>
              <w:left w:val="single" w:sz="2" w:space="0" w:color="auto"/>
              <w:bottom w:val="single" w:sz="2" w:space="0" w:color="auto"/>
              <w:right w:val="single" w:sz="2" w:space="0" w:color="auto"/>
            </w:tcBorders>
          </w:tcPr>
          <w:p w14:paraId="76A0F981" w14:textId="77777777" w:rsidR="00BE2CA7" w:rsidRPr="00CC5187" w:rsidRDefault="00BE2CA7" w:rsidP="002B0590">
            <w:pPr>
              <w:spacing w:before="60" w:after="60"/>
              <w:jc w:val="center"/>
              <w:rPr>
                <w:rFonts w:eastAsia="SimSun"/>
                <w:sz w:val="18"/>
                <w:szCs w:val="18"/>
                <w:lang w:val="fr-FR" w:eastAsia="en-GB"/>
              </w:rPr>
            </w:pPr>
            <w:r>
              <w:rPr>
                <w:rFonts w:eastAsia="SimSun"/>
                <w:sz w:val="18"/>
                <w:szCs w:val="18"/>
                <w:lang w:val="fr-FR" w:eastAsia="en-GB"/>
              </w:rPr>
              <w:t>Température d’huile</w:t>
            </w:r>
            <w:r w:rsidRPr="00CC5187">
              <w:rPr>
                <w:rFonts w:eastAsia="SimSun"/>
                <w:sz w:val="18"/>
                <w:szCs w:val="18"/>
                <w:lang w:val="fr-FR" w:eastAsia="en-GB"/>
              </w:rPr>
              <w:t> (°C)</w:t>
            </w:r>
          </w:p>
        </w:tc>
      </w:tr>
      <w:tr w:rsidR="00BE2CA7" w:rsidRPr="00CC5187" w14:paraId="723922B7" w14:textId="77777777" w:rsidTr="002B0590">
        <w:tc>
          <w:tcPr>
            <w:tcW w:w="1419" w:type="dxa"/>
            <w:tcBorders>
              <w:top w:val="single" w:sz="2" w:space="0" w:color="auto"/>
              <w:left w:val="single" w:sz="2" w:space="0" w:color="auto"/>
              <w:bottom w:val="single" w:sz="2" w:space="0" w:color="auto"/>
              <w:right w:val="single" w:sz="2" w:space="0" w:color="auto"/>
            </w:tcBorders>
          </w:tcPr>
          <w:p w14:paraId="01E78B11" w14:textId="77777777" w:rsidR="00BE2CA7" w:rsidRPr="00CC5187" w:rsidRDefault="00BE2CA7" w:rsidP="002B0590">
            <w:pPr>
              <w:spacing w:before="60" w:after="60"/>
              <w:jc w:val="both"/>
              <w:rPr>
                <w:rFonts w:eastAsia="MS Mincho"/>
                <w:sz w:val="18"/>
                <w:szCs w:val="18"/>
                <w:lang w:eastAsia="ko-KR"/>
              </w:rPr>
            </w:pPr>
            <w:r>
              <w:rPr>
                <w:rFonts w:eastAsia="MS Mincho"/>
                <w:sz w:val="18"/>
                <w:szCs w:val="18"/>
                <w:lang w:eastAsia="ko-KR"/>
              </w:rPr>
              <w:t>Ralenti</w:t>
            </w:r>
          </w:p>
        </w:tc>
        <w:tc>
          <w:tcPr>
            <w:tcW w:w="1374" w:type="dxa"/>
            <w:tcBorders>
              <w:top w:val="single" w:sz="2" w:space="0" w:color="auto"/>
              <w:left w:val="single" w:sz="2" w:space="0" w:color="auto"/>
              <w:bottom w:val="single" w:sz="2" w:space="0" w:color="auto"/>
              <w:right w:val="single" w:sz="2" w:space="0" w:color="auto"/>
            </w:tcBorders>
          </w:tcPr>
          <w:p w14:paraId="2ACEC360" w14:textId="77777777" w:rsidR="00BE2CA7" w:rsidRPr="00CC5187" w:rsidRDefault="00BE2CA7" w:rsidP="002B0590">
            <w:pPr>
              <w:spacing w:before="60" w:after="60"/>
              <w:jc w:val="both"/>
              <w:rPr>
                <w:rFonts w:eastAsia="MS Mincho"/>
                <w:sz w:val="18"/>
                <w:szCs w:val="18"/>
                <w:lang w:eastAsia="ko-KR"/>
              </w:rPr>
            </w:pPr>
          </w:p>
        </w:tc>
        <w:tc>
          <w:tcPr>
            <w:tcW w:w="1222" w:type="dxa"/>
            <w:tcBorders>
              <w:top w:val="single" w:sz="2" w:space="0" w:color="auto"/>
              <w:left w:val="single" w:sz="2" w:space="0" w:color="auto"/>
              <w:bottom w:val="single" w:sz="2" w:space="0" w:color="auto"/>
              <w:right w:val="single" w:sz="2" w:space="0" w:color="auto"/>
            </w:tcBorders>
          </w:tcPr>
          <w:p w14:paraId="5929F632" w14:textId="77777777" w:rsidR="00BE2CA7" w:rsidRPr="00CC5187" w:rsidRDefault="00BE2CA7" w:rsidP="002B0590">
            <w:pPr>
              <w:spacing w:before="60" w:after="60"/>
              <w:jc w:val="both"/>
              <w:rPr>
                <w:rFonts w:eastAsia="MS Mincho"/>
                <w:sz w:val="18"/>
                <w:szCs w:val="18"/>
                <w:lang w:eastAsia="ko-KR"/>
              </w:rPr>
            </w:pPr>
            <w:r w:rsidRPr="00CC5187">
              <w:rPr>
                <w:rFonts w:eastAsia="MS Mincho"/>
                <w:sz w:val="18"/>
                <w:szCs w:val="18"/>
                <w:lang w:eastAsia="ko-KR"/>
              </w:rPr>
              <w:t>—</w:t>
            </w:r>
          </w:p>
        </w:tc>
        <w:tc>
          <w:tcPr>
            <w:tcW w:w="2444" w:type="dxa"/>
            <w:tcBorders>
              <w:top w:val="single" w:sz="2" w:space="0" w:color="auto"/>
              <w:left w:val="single" w:sz="2" w:space="0" w:color="auto"/>
              <w:bottom w:val="single" w:sz="2" w:space="0" w:color="auto"/>
              <w:right w:val="single" w:sz="2" w:space="0" w:color="auto"/>
            </w:tcBorders>
          </w:tcPr>
          <w:p w14:paraId="39D6AF1C" w14:textId="77777777" w:rsidR="00BE2CA7" w:rsidRPr="00CC5187" w:rsidRDefault="00BE2CA7" w:rsidP="002B0590">
            <w:pPr>
              <w:spacing w:before="60" w:after="60"/>
              <w:jc w:val="both"/>
              <w:rPr>
                <w:rFonts w:eastAsia="MS Mincho"/>
                <w:sz w:val="18"/>
                <w:szCs w:val="18"/>
                <w:lang w:eastAsia="ko-KR"/>
              </w:rPr>
            </w:pPr>
          </w:p>
        </w:tc>
        <w:tc>
          <w:tcPr>
            <w:tcW w:w="2270" w:type="dxa"/>
            <w:tcBorders>
              <w:top w:val="single" w:sz="2" w:space="0" w:color="auto"/>
              <w:left w:val="single" w:sz="2" w:space="0" w:color="auto"/>
              <w:bottom w:val="single" w:sz="2" w:space="0" w:color="auto"/>
              <w:right w:val="single" w:sz="2" w:space="0" w:color="auto"/>
            </w:tcBorders>
          </w:tcPr>
          <w:p w14:paraId="7C08A1EE" w14:textId="77777777" w:rsidR="00BE2CA7" w:rsidRPr="00CC5187" w:rsidRDefault="00BE2CA7" w:rsidP="002B0590">
            <w:pPr>
              <w:spacing w:before="60" w:after="60"/>
              <w:jc w:val="both"/>
              <w:rPr>
                <w:rFonts w:eastAsia="MS Mincho"/>
                <w:sz w:val="18"/>
                <w:szCs w:val="18"/>
                <w:lang w:eastAsia="ko-KR"/>
              </w:rPr>
            </w:pPr>
          </w:p>
        </w:tc>
      </w:tr>
      <w:tr w:rsidR="00BE2CA7" w:rsidRPr="00CC5187" w14:paraId="6AA477CC" w14:textId="77777777" w:rsidTr="002B0590">
        <w:tc>
          <w:tcPr>
            <w:tcW w:w="1419" w:type="dxa"/>
            <w:tcBorders>
              <w:top w:val="single" w:sz="2" w:space="0" w:color="auto"/>
              <w:left w:val="single" w:sz="2" w:space="0" w:color="auto"/>
              <w:bottom w:val="single" w:sz="2" w:space="0" w:color="auto"/>
              <w:right w:val="single" w:sz="2" w:space="0" w:color="auto"/>
            </w:tcBorders>
          </w:tcPr>
          <w:p w14:paraId="14F5BF0B" w14:textId="77777777" w:rsidR="00BE2CA7" w:rsidRPr="00CC5187" w:rsidRDefault="00BE2CA7" w:rsidP="002B0590">
            <w:pPr>
              <w:spacing w:before="60" w:after="60"/>
              <w:jc w:val="both"/>
              <w:rPr>
                <w:rFonts w:eastAsia="MS Mincho"/>
                <w:sz w:val="18"/>
                <w:szCs w:val="18"/>
                <w:lang w:eastAsia="ko-KR"/>
              </w:rPr>
            </w:pPr>
            <w:r>
              <w:rPr>
                <w:rFonts w:eastAsia="MS Mincho"/>
                <w:sz w:val="18"/>
                <w:szCs w:val="18"/>
                <w:lang w:eastAsia="ko-KR"/>
              </w:rPr>
              <w:t>Ralenti accéléré</w:t>
            </w:r>
          </w:p>
        </w:tc>
        <w:tc>
          <w:tcPr>
            <w:tcW w:w="1374" w:type="dxa"/>
            <w:tcBorders>
              <w:top w:val="single" w:sz="2" w:space="0" w:color="auto"/>
              <w:left w:val="single" w:sz="2" w:space="0" w:color="auto"/>
              <w:bottom w:val="single" w:sz="2" w:space="0" w:color="auto"/>
              <w:right w:val="single" w:sz="2" w:space="0" w:color="auto"/>
            </w:tcBorders>
          </w:tcPr>
          <w:p w14:paraId="32AEC683" w14:textId="77777777" w:rsidR="00BE2CA7" w:rsidRPr="00CC5187" w:rsidRDefault="00BE2CA7" w:rsidP="002B0590">
            <w:pPr>
              <w:spacing w:before="60" w:after="60"/>
              <w:jc w:val="both"/>
              <w:rPr>
                <w:rFonts w:eastAsia="MS Mincho"/>
                <w:sz w:val="18"/>
                <w:szCs w:val="18"/>
                <w:lang w:eastAsia="ko-KR"/>
              </w:rPr>
            </w:pPr>
          </w:p>
        </w:tc>
        <w:tc>
          <w:tcPr>
            <w:tcW w:w="1222" w:type="dxa"/>
            <w:tcBorders>
              <w:top w:val="single" w:sz="2" w:space="0" w:color="auto"/>
              <w:left w:val="single" w:sz="2" w:space="0" w:color="auto"/>
              <w:bottom w:val="single" w:sz="2" w:space="0" w:color="auto"/>
              <w:right w:val="single" w:sz="2" w:space="0" w:color="auto"/>
            </w:tcBorders>
          </w:tcPr>
          <w:p w14:paraId="76026E4C" w14:textId="77777777" w:rsidR="00BE2CA7" w:rsidRPr="00CC5187" w:rsidRDefault="00BE2CA7" w:rsidP="002B0590">
            <w:pPr>
              <w:spacing w:before="60" w:after="60"/>
              <w:jc w:val="both"/>
              <w:rPr>
                <w:rFonts w:eastAsia="MS Mincho"/>
                <w:sz w:val="18"/>
                <w:szCs w:val="18"/>
                <w:lang w:eastAsia="ko-KR"/>
              </w:rPr>
            </w:pPr>
          </w:p>
        </w:tc>
        <w:tc>
          <w:tcPr>
            <w:tcW w:w="2444" w:type="dxa"/>
            <w:tcBorders>
              <w:top w:val="single" w:sz="2" w:space="0" w:color="auto"/>
              <w:left w:val="single" w:sz="2" w:space="0" w:color="auto"/>
              <w:bottom w:val="single" w:sz="2" w:space="0" w:color="auto"/>
              <w:right w:val="single" w:sz="2" w:space="0" w:color="auto"/>
            </w:tcBorders>
          </w:tcPr>
          <w:p w14:paraId="564E4A3A" w14:textId="77777777" w:rsidR="00BE2CA7" w:rsidRPr="00CC5187" w:rsidRDefault="00BE2CA7" w:rsidP="002B0590">
            <w:pPr>
              <w:spacing w:before="60" w:after="60"/>
              <w:jc w:val="both"/>
              <w:rPr>
                <w:rFonts w:eastAsia="MS Mincho"/>
                <w:sz w:val="18"/>
                <w:szCs w:val="18"/>
                <w:lang w:eastAsia="ko-KR"/>
              </w:rPr>
            </w:pPr>
          </w:p>
        </w:tc>
        <w:tc>
          <w:tcPr>
            <w:tcW w:w="2270" w:type="dxa"/>
            <w:tcBorders>
              <w:top w:val="single" w:sz="2" w:space="0" w:color="auto"/>
              <w:left w:val="single" w:sz="2" w:space="0" w:color="auto"/>
              <w:bottom w:val="single" w:sz="2" w:space="0" w:color="auto"/>
              <w:right w:val="single" w:sz="2" w:space="0" w:color="auto"/>
            </w:tcBorders>
          </w:tcPr>
          <w:p w14:paraId="14826D36" w14:textId="77777777" w:rsidR="00BE2CA7" w:rsidRPr="00CC5187" w:rsidRDefault="00BE2CA7" w:rsidP="002B0590">
            <w:pPr>
              <w:spacing w:before="60" w:after="60"/>
              <w:jc w:val="both"/>
              <w:rPr>
                <w:rFonts w:eastAsia="MS Mincho"/>
                <w:sz w:val="18"/>
                <w:szCs w:val="18"/>
                <w:lang w:eastAsia="ko-KR"/>
              </w:rPr>
            </w:pPr>
          </w:p>
        </w:tc>
      </w:tr>
    </w:tbl>
    <w:p w14:paraId="4294BC61" w14:textId="77777777" w:rsidR="00BE2CA7" w:rsidRPr="00CC5187" w:rsidRDefault="00BE2CA7" w:rsidP="00BE2CA7">
      <w:pPr>
        <w:pStyle w:val="SingleTxtG"/>
        <w:spacing w:before="240"/>
        <w:rPr>
          <w:b/>
          <w:bCs/>
          <w:lang w:eastAsia="fr-FR"/>
        </w:rPr>
      </w:pPr>
      <w:r w:rsidRPr="00CC5187">
        <w:rPr>
          <w:b/>
          <w:bCs/>
          <w:lang w:eastAsia="fr-FR"/>
        </w:rPr>
        <w:t>2.3</w:t>
      </w:r>
      <w:r w:rsidRPr="00CC5187">
        <w:rPr>
          <w:b/>
          <w:bCs/>
          <w:lang w:eastAsia="fr-FR"/>
        </w:rPr>
        <w:tab/>
      </w:r>
      <w:r>
        <w:rPr>
          <w:b/>
          <w:bCs/>
          <w:lang w:eastAsia="fr-FR"/>
        </w:rPr>
        <w:t>Essai du t</w:t>
      </w:r>
      <w:r w:rsidRPr="00CC5187">
        <w:rPr>
          <w:b/>
          <w:bCs/>
          <w:lang w:eastAsia="fr-FR"/>
        </w:rPr>
        <w:t>ype</w:t>
      </w:r>
      <w:r>
        <w:rPr>
          <w:b/>
          <w:bCs/>
          <w:lang w:eastAsia="fr-FR"/>
        </w:rPr>
        <w:t> </w:t>
      </w:r>
      <w:r w:rsidRPr="00CC5187">
        <w:rPr>
          <w:b/>
          <w:bCs/>
          <w:lang w:eastAsia="fr-FR"/>
        </w:rPr>
        <w:t xml:space="preserve">3 </w:t>
      </w:r>
      <w:r>
        <w:rPr>
          <w:b/>
          <w:bCs/>
          <w:lang w:eastAsia="fr-FR"/>
        </w:rPr>
        <w:t>a)</w:t>
      </w:r>
    </w:p>
    <w:p w14:paraId="5F0BA4F6" w14:textId="77777777" w:rsidR="00BE2CA7" w:rsidRPr="00A318C3" w:rsidRDefault="00BE2CA7" w:rsidP="00BE2CA7">
      <w:pPr>
        <w:pStyle w:val="SingleTxtG"/>
        <w:rPr>
          <w:b/>
          <w:bCs/>
          <w:lang w:val="fr-FR" w:eastAsia="fr-FR"/>
        </w:rPr>
      </w:pPr>
      <w:r w:rsidRPr="00A318C3">
        <w:rPr>
          <w:lang w:val="fr-FR" w:eastAsia="fr-FR"/>
        </w:rPr>
        <w:t>Émission de gaz de carter dans l</w:t>
      </w:r>
      <w:r>
        <w:rPr>
          <w:lang w:val="fr-FR" w:eastAsia="fr-FR"/>
        </w:rPr>
        <w:t>’</w:t>
      </w:r>
      <w:r w:rsidRPr="00A318C3">
        <w:rPr>
          <w:lang w:val="fr-FR" w:eastAsia="fr-FR"/>
        </w:rPr>
        <w:t>atmosphère</w:t>
      </w:r>
      <w:r>
        <w:rPr>
          <w:lang w:val="fr-FR" w:eastAsia="fr-FR"/>
        </w:rPr>
        <w:t> </w:t>
      </w:r>
      <w:r w:rsidRPr="00A318C3">
        <w:rPr>
          <w:lang w:val="fr-FR" w:eastAsia="fr-FR"/>
        </w:rPr>
        <w:t>: néant</w:t>
      </w:r>
    </w:p>
    <w:p w14:paraId="5CC45565" w14:textId="77777777" w:rsidR="00BE2CA7" w:rsidRPr="00CC5187" w:rsidRDefault="00BE2CA7" w:rsidP="00BE2CA7">
      <w:pPr>
        <w:pStyle w:val="SingleTxtG"/>
        <w:rPr>
          <w:b/>
          <w:bCs/>
          <w:lang w:eastAsia="fr-FR"/>
        </w:rPr>
      </w:pPr>
      <w:r w:rsidRPr="00CC5187">
        <w:rPr>
          <w:b/>
          <w:bCs/>
          <w:lang w:eastAsia="fr-FR"/>
        </w:rPr>
        <w:t>2.7</w:t>
      </w:r>
      <w:r w:rsidRPr="00CC5187">
        <w:rPr>
          <w:b/>
          <w:bCs/>
          <w:lang w:eastAsia="fr-FR"/>
        </w:rPr>
        <w:tab/>
      </w:r>
      <w:r>
        <w:rPr>
          <w:b/>
          <w:bCs/>
          <w:lang w:eastAsia="fr-FR"/>
        </w:rPr>
        <w:t>Essai du type 6 a)</w:t>
      </w:r>
    </w:p>
    <w:tbl>
      <w:tblPr>
        <w:tblW w:w="0" w:type="auto"/>
        <w:tblInd w:w="464" w:type="dxa"/>
        <w:tblLayout w:type="fixed"/>
        <w:tblLook w:val="0000" w:firstRow="0" w:lastRow="0" w:firstColumn="0" w:lastColumn="0" w:noHBand="0" w:noVBand="0"/>
      </w:tblPr>
      <w:tblGrid>
        <w:gridCol w:w="4429"/>
        <w:gridCol w:w="418"/>
        <w:gridCol w:w="3510"/>
      </w:tblGrid>
      <w:tr w:rsidR="00BE2CA7" w:rsidRPr="00CC5187" w14:paraId="556D5205" w14:textId="77777777" w:rsidTr="002B0590">
        <w:tc>
          <w:tcPr>
            <w:tcW w:w="4429" w:type="dxa"/>
            <w:tcBorders>
              <w:top w:val="single" w:sz="2" w:space="0" w:color="auto"/>
              <w:left w:val="single" w:sz="2" w:space="0" w:color="auto"/>
              <w:bottom w:val="single" w:sz="2" w:space="0" w:color="auto"/>
              <w:right w:val="single" w:sz="2" w:space="0" w:color="auto"/>
            </w:tcBorders>
          </w:tcPr>
          <w:p w14:paraId="730CF056" w14:textId="77777777" w:rsidR="00BE2CA7" w:rsidRPr="00CC5187" w:rsidRDefault="00BE2CA7" w:rsidP="002B0590">
            <w:pPr>
              <w:spacing w:before="60" w:after="60"/>
              <w:jc w:val="both"/>
              <w:rPr>
                <w:rFonts w:eastAsia="MS Mincho"/>
                <w:sz w:val="18"/>
                <w:szCs w:val="14"/>
                <w:lang w:eastAsia="ko-KR"/>
              </w:rPr>
            </w:pPr>
            <w:r w:rsidRPr="00CC5187">
              <w:rPr>
                <w:rFonts w:eastAsia="MS Mincho"/>
                <w:sz w:val="18"/>
                <w:szCs w:val="14"/>
                <w:lang w:eastAsia="ko-KR"/>
              </w:rPr>
              <w:t xml:space="preserve">Date </w:t>
            </w:r>
            <w:r>
              <w:rPr>
                <w:rFonts w:eastAsia="MS Mincho"/>
                <w:sz w:val="18"/>
                <w:szCs w:val="14"/>
                <w:lang w:eastAsia="ko-KR"/>
              </w:rPr>
              <w:t>des essais</w:t>
            </w:r>
          </w:p>
        </w:tc>
        <w:tc>
          <w:tcPr>
            <w:tcW w:w="418" w:type="dxa"/>
            <w:tcBorders>
              <w:top w:val="single" w:sz="2" w:space="0" w:color="auto"/>
              <w:left w:val="single" w:sz="2" w:space="0" w:color="auto"/>
              <w:bottom w:val="single" w:sz="2" w:space="0" w:color="auto"/>
              <w:right w:val="single" w:sz="2" w:space="0" w:color="auto"/>
            </w:tcBorders>
          </w:tcPr>
          <w:p w14:paraId="526CFB9E" w14:textId="77777777" w:rsidR="00BE2CA7" w:rsidRPr="00CC5187" w:rsidRDefault="00BE2CA7" w:rsidP="002B0590">
            <w:pPr>
              <w:spacing w:before="60" w:after="60"/>
              <w:jc w:val="both"/>
              <w:rPr>
                <w:rFonts w:eastAsia="MS Mincho"/>
                <w:sz w:val="18"/>
                <w:szCs w:val="14"/>
                <w:lang w:eastAsia="ko-KR"/>
              </w:rPr>
            </w:pPr>
            <w:r w:rsidRPr="00CC5187">
              <w:rPr>
                <w:rFonts w:eastAsia="MS Mincho"/>
                <w:sz w:val="18"/>
                <w:szCs w:val="14"/>
                <w:lang w:eastAsia="ko-KR"/>
              </w:rPr>
              <w:t>:</w:t>
            </w:r>
          </w:p>
        </w:tc>
        <w:tc>
          <w:tcPr>
            <w:tcW w:w="3510" w:type="dxa"/>
            <w:tcBorders>
              <w:top w:val="single" w:sz="2" w:space="0" w:color="auto"/>
              <w:left w:val="single" w:sz="2" w:space="0" w:color="auto"/>
              <w:bottom w:val="single" w:sz="2" w:space="0" w:color="auto"/>
              <w:right w:val="single" w:sz="2" w:space="0" w:color="auto"/>
            </w:tcBorders>
          </w:tcPr>
          <w:p w14:paraId="39FDB74A" w14:textId="77777777" w:rsidR="00BE2CA7" w:rsidRPr="00CC5187" w:rsidRDefault="00BE2CA7" w:rsidP="002B0590">
            <w:pPr>
              <w:spacing w:before="60" w:after="60"/>
              <w:jc w:val="both"/>
              <w:rPr>
                <w:rFonts w:eastAsia="MS Mincho"/>
                <w:sz w:val="18"/>
                <w:szCs w:val="14"/>
                <w:lang w:eastAsia="ko-KR"/>
              </w:rPr>
            </w:pPr>
            <w:r w:rsidRPr="00CC5187">
              <w:rPr>
                <w:rFonts w:eastAsia="MS Mincho"/>
                <w:sz w:val="18"/>
                <w:szCs w:val="14"/>
                <w:lang w:eastAsia="ko-KR"/>
              </w:rPr>
              <w:t>(</w:t>
            </w:r>
            <w:r>
              <w:rPr>
                <w:rFonts w:eastAsia="MS Mincho"/>
                <w:sz w:val="18"/>
                <w:szCs w:val="14"/>
                <w:lang w:eastAsia="ko-KR"/>
              </w:rPr>
              <w:t>jour/mois/année</w:t>
            </w:r>
            <w:r w:rsidRPr="00CC5187">
              <w:rPr>
                <w:rFonts w:eastAsia="MS Mincho"/>
                <w:sz w:val="18"/>
                <w:szCs w:val="14"/>
                <w:lang w:eastAsia="ko-KR"/>
              </w:rPr>
              <w:t>)</w:t>
            </w:r>
          </w:p>
        </w:tc>
      </w:tr>
      <w:tr w:rsidR="00BE2CA7" w:rsidRPr="00CC5187" w14:paraId="2F20203E" w14:textId="77777777" w:rsidTr="002B0590">
        <w:tc>
          <w:tcPr>
            <w:tcW w:w="4429" w:type="dxa"/>
            <w:tcBorders>
              <w:top w:val="single" w:sz="2" w:space="0" w:color="auto"/>
              <w:left w:val="single" w:sz="2" w:space="0" w:color="auto"/>
              <w:bottom w:val="single" w:sz="2" w:space="0" w:color="auto"/>
              <w:right w:val="single" w:sz="2" w:space="0" w:color="auto"/>
            </w:tcBorders>
          </w:tcPr>
          <w:p w14:paraId="5DF0763C" w14:textId="77777777" w:rsidR="00BE2CA7" w:rsidRPr="00CC5187" w:rsidRDefault="00BE2CA7" w:rsidP="002B0590">
            <w:pPr>
              <w:spacing w:before="60" w:after="60"/>
              <w:jc w:val="both"/>
              <w:rPr>
                <w:rFonts w:eastAsia="MS Mincho"/>
                <w:sz w:val="18"/>
                <w:szCs w:val="14"/>
                <w:lang w:eastAsia="ko-KR"/>
              </w:rPr>
            </w:pPr>
            <w:r>
              <w:rPr>
                <w:rFonts w:eastAsia="MS Mincho"/>
                <w:sz w:val="18"/>
                <w:szCs w:val="14"/>
                <w:lang w:eastAsia="ko-KR"/>
              </w:rPr>
              <w:t>Lieu des essais</w:t>
            </w:r>
          </w:p>
        </w:tc>
        <w:tc>
          <w:tcPr>
            <w:tcW w:w="418" w:type="dxa"/>
            <w:tcBorders>
              <w:top w:val="single" w:sz="2" w:space="0" w:color="auto"/>
              <w:left w:val="single" w:sz="2" w:space="0" w:color="auto"/>
              <w:bottom w:val="single" w:sz="2" w:space="0" w:color="auto"/>
              <w:right w:val="single" w:sz="2" w:space="0" w:color="auto"/>
            </w:tcBorders>
          </w:tcPr>
          <w:p w14:paraId="6CF4D5A1" w14:textId="77777777" w:rsidR="00BE2CA7" w:rsidRPr="00CC5187" w:rsidRDefault="00BE2CA7" w:rsidP="002B0590">
            <w:pPr>
              <w:spacing w:before="60" w:after="60"/>
              <w:jc w:val="both"/>
              <w:rPr>
                <w:rFonts w:eastAsia="MS Mincho"/>
                <w:sz w:val="18"/>
                <w:szCs w:val="14"/>
                <w:lang w:eastAsia="ko-KR"/>
              </w:rPr>
            </w:pPr>
            <w:r w:rsidRPr="00CC5187">
              <w:rPr>
                <w:rFonts w:eastAsia="MS Mincho"/>
                <w:sz w:val="18"/>
                <w:szCs w:val="14"/>
                <w:lang w:eastAsia="ko-KR"/>
              </w:rPr>
              <w:t>:</w:t>
            </w:r>
          </w:p>
        </w:tc>
        <w:tc>
          <w:tcPr>
            <w:tcW w:w="3510" w:type="dxa"/>
            <w:tcBorders>
              <w:top w:val="single" w:sz="2" w:space="0" w:color="auto"/>
              <w:left w:val="single" w:sz="2" w:space="0" w:color="auto"/>
              <w:bottom w:val="single" w:sz="2" w:space="0" w:color="auto"/>
              <w:right w:val="single" w:sz="2" w:space="0" w:color="auto"/>
            </w:tcBorders>
          </w:tcPr>
          <w:p w14:paraId="07B468AB" w14:textId="77777777" w:rsidR="00BE2CA7" w:rsidRPr="00CC5187" w:rsidRDefault="00BE2CA7" w:rsidP="002B0590">
            <w:pPr>
              <w:spacing w:before="60" w:after="60"/>
              <w:jc w:val="both"/>
              <w:rPr>
                <w:rFonts w:eastAsia="MS Mincho"/>
                <w:sz w:val="18"/>
                <w:szCs w:val="14"/>
                <w:lang w:eastAsia="ko-KR"/>
              </w:rPr>
            </w:pPr>
          </w:p>
        </w:tc>
      </w:tr>
      <w:tr w:rsidR="00BE2CA7" w:rsidRPr="00B115EA" w14:paraId="373C6E5B" w14:textId="77777777" w:rsidTr="002B0590">
        <w:tc>
          <w:tcPr>
            <w:tcW w:w="4429" w:type="dxa"/>
            <w:tcBorders>
              <w:top w:val="single" w:sz="2" w:space="0" w:color="auto"/>
              <w:left w:val="single" w:sz="2" w:space="0" w:color="auto"/>
              <w:bottom w:val="single" w:sz="2" w:space="0" w:color="auto"/>
              <w:right w:val="single" w:sz="2" w:space="0" w:color="auto"/>
            </w:tcBorders>
          </w:tcPr>
          <w:p w14:paraId="7E81C63B" w14:textId="77777777" w:rsidR="00BE2CA7" w:rsidRPr="00A318C3" w:rsidRDefault="00BE2CA7" w:rsidP="002B0590">
            <w:pPr>
              <w:spacing w:before="60" w:after="60"/>
              <w:jc w:val="both"/>
              <w:rPr>
                <w:rFonts w:eastAsia="MS Mincho"/>
                <w:sz w:val="18"/>
                <w:szCs w:val="14"/>
                <w:lang w:val="fr-FR" w:eastAsia="ko-KR"/>
              </w:rPr>
            </w:pPr>
            <w:r w:rsidRPr="00A318C3">
              <w:rPr>
                <w:rFonts w:eastAsia="MS Mincho"/>
                <w:sz w:val="18"/>
                <w:szCs w:val="14"/>
                <w:lang w:val="fr-FR" w:eastAsia="ko-KR"/>
              </w:rPr>
              <w:t>Méthode de réglage du banc à r</w:t>
            </w:r>
            <w:r>
              <w:rPr>
                <w:rFonts w:eastAsia="MS Mincho"/>
                <w:sz w:val="18"/>
                <w:szCs w:val="14"/>
                <w:lang w:val="fr-FR" w:eastAsia="ko-KR"/>
              </w:rPr>
              <w:t>ouleaux</w:t>
            </w:r>
          </w:p>
        </w:tc>
        <w:tc>
          <w:tcPr>
            <w:tcW w:w="418" w:type="dxa"/>
            <w:tcBorders>
              <w:top w:val="single" w:sz="2" w:space="0" w:color="auto"/>
              <w:left w:val="single" w:sz="2" w:space="0" w:color="auto"/>
              <w:bottom w:val="single" w:sz="2" w:space="0" w:color="auto"/>
              <w:right w:val="single" w:sz="2" w:space="0" w:color="auto"/>
            </w:tcBorders>
          </w:tcPr>
          <w:p w14:paraId="539ED239" w14:textId="77777777" w:rsidR="00BE2CA7" w:rsidRPr="00CC5187" w:rsidRDefault="00BE2CA7" w:rsidP="002B0590">
            <w:pPr>
              <w:spacing w:before="60" w:after="60"/>
              <w:jc w:val="both"/>
              <w:rPr>
                <w:rFonts w:eastAsia="MS Mincho"/>
                <w:sz w:val="18"/>
                <w:szCs w:val="14"/>
                <w:lang w:eastAsia="ko-KR"/>
              </w:rPr>
            </w:pPr>
            <w:r w:rsidRPr="00CC5187">
              <w:rPr>
                <w:rFonts w:eastAsia="MS Mincho"/>
                <w:sz w:val="18"/>
                <w:szCs w:val="14"/>
                <w:lang w:eastAsia="ko-KR"/>
              </w:rPr>
              <w:t>:</w:t>
            </w:r>
          </w:p>
        </w:tc>
        <w:tc>
          <w:tcPr>
            <w:tcW w:w="3510" w:type="dxa"/>
            <w:tcBorders>
              <w:top w:val="single" w:sz="2" w:space="0" w:color="auto"/>
              <w:left w:val="single" w:sz="2" w:space="0" w:color="auto"/>
              <w:bottom w:val="single" w:sz="2" w:space="0" w:color="auto"/>
              <w:right w:val="single" w:sz="2" w:space="0" w:color="auto"/>
            </w:tcBorders>
          </w:tcPr>
          <w:p w14:paraId="0EF3BA3D" w14:textId="77777777" w:rsidR="00BE2CA7" w:rsidRPr="00A318C3" w:rsidRDefault="00BE2CA7" w:rsidP="002B0590">
            <w:pPr>
              <w:spacing w:before="60" w:after="60"/>
              <w:rPr>
                <w:rFonts w:eastAsia="MS Mincho"/>
                <w:sz w:val="18"/>
                <w:szCs w:val="14"/>
                <w:lang w:val="fr-FR" w:eastAsia="ko-KR"/>
              </w:rPr>
            </w:pPr>
            <w:r w:rsidRPr="00A318C3">
              <w:rPr>
                <w:rFonts w:eastAsia="MS Mincho"/>
                <w:sz w:val="18"/>
                <w:szCs w:val="14"/>
                <w:lang w:val="fr-FR" w:eastAsia="ko-KR"/>
              </w:rPr>
              <w:t>décélération en roue libre (référence de la résistance à l</w:t>
            </w:r>
            <w:r>
              <w:rPr>
                <w:rFonts w:eastAsia="MS Mincho"/>
                <w:sz w:val="18"/>
                <w:szCs w:val="14"/>
                <w:lang w:val="fr-FR" w:eastAsia="ko-KR"/>
              </w:rPr>
              <w:t>’</w:t>
            </w:r>
            <w:r w:rsidRPr="00A318C3">
              <w:rPr>
                <w:rFonts w:eastAsia="MS Mincho"/>
                <w:sz w:val="18"/>
                <w:szCs w:val="14"/>
                <w:lang w:val="fr-FR" w:eastAsia="ko-KR"/>
              </w:rPr>
              <w:t>avancement sur route)</w:t>
            </w:r>
          </w:p>
        </w:tc>
      </w:tr>
      <w:tr w:rsidR="00BE2CA7" w:rsidRPr="00CC5187" w14:paraId="769C2217" w14:textId="77777777" w:rsidTr="002B0590">
        <w:tc>
          <w:tcPr>
            <w:tcW w:w="4429" w:type="dxa"/>
            <w:tcBorders>
              <w:top w:val="single" w:sz="2" w:space="0" w:color="auto"/>
              <w:left w:val="single" w:sz="2" w:space="0" w:color="auto"/>
              <w:bottom w:val="single" w:sz="2" w:space="0" w:color="auto"/>
              <w:right w:val="single" w:sz="2" w:space="0" w:color="auto"/>
            </w:tcBorders>
          </w:tcPr>
          <w:p w14:paraId="24627BBE" w14:textId="77777777" w:rsidR="00BE2CA7" w:rsidRPr="00A318C3" w:rsidRDefault="00BE2CA7" w:rsidP="002B0590">
            <w:pPr>
              <w:spacing w:before="60" w:after="60"/>
              <w:rPr>
                <w:rFonts w:eastAsia="MS Mincho"/>
                <w:sz w:val="18"/>
                <w:szCs w:val="14"/>
                <w:lang w:val="fr-FR" w:eastAsia="ko-KR"/>
              </w:rPr>
            </w:pPr>
            <w:r w:rsidRPr="00A318C3">
              <w:rPr>
                <w:rFonts w:eastAsia="MS Mincho"/>
                <w:sz w:val="18"/>
                <w:szCs w:val="14"/>
                <w:lang w:val="fr-FR" w:eastAsia="ko-KR"/>
              </w:rPr>
              <w:t>Puissance effective absorbée à 50</w:t>
            </w:r>
            <w:r>
              <w:rPr>
                <w:rFonts w:eastAsia="MS Mincho"/>
                <w:sz w:val="18"/>
                <w:szCs w:val="14"/>
                <w:lang w:val="fr-FR" w:eastAsia="ko-KR"/>
              </w:rPr>
              <w:t> </w:t>
            </w:r>
            <w:r w:rsidRPr="00A318C3">
              <w:rPr>
                <w:rFonts w:eastAsia="MS Mincho"/>
                <w:sz w:val="18"/>
                <w:szCs w:val="14"/>
                <w:lang w:val="fr-FR" w:eastAsia="ko-KR"/>
              </w:rPr>
              <w:t>km/h y compris les pertes en mouvement du véhicule sur le banc dynamométrique (kW)</w:t>
            </w:r>
          </w:p>
        </w:tc>
        <w:tc>
          <w:tcPr>
            <w:tcW w:w="418" w:type="dxa"/>
            <w:tcBorders>
              <w:top w:val="single" w:sz="2" w:space="0" w:color="auto"/>
              <w:left w:val="single" w:sz="2" w:space="0" w:color="auto"/>
              <w:bottom w:val="single" w:sz="2" w:space="0" w:color="auto"/>
              <w:right w:val="single" w:sz="2" w:space="0" w:color="auto"/>
            </w:tcBorders>
          </w:tcPr>
          <w:p w14:paraId="7131E3F7" w14:textId="77777777" w:rsidR="00BE2CA7" w:rsidRPr="00CC5187" w:rsidRDefault="00BE2CA7" w:rsidP="002B0590">
            <w:pPr>
              <w:spacing w:before="60" w:after="60"/>
              <w:jc w:val="both"/>
              <w:rPr>
                <w:rFonts w:eastAsia="MS Mincho"/>
                <w:sz w:val="18"/>
                <w:szCs w:val="14"/>
                <w:lang w:eastAsia="ko-KR"/>
              </w:rPr>
            </w:pPr>
            <w:r w:rsidRPr="008542FA">
              <w:rPr>
                <w:rFonts w:eastAsia="MS Mincho"/>
                <w:sz w:val="18"/>
                <w:szCs w:val="14"/>
                <w:lang w:val="en-IE" w:eastAsia="ko-KR"/>
              </w:rPr>
              <w:t>:</w:t>
            </w:r>
          </w:p>
        </w:tc>
        <w:tc>
          <w:tcPr>
            <w:tcW w:w="3510" w:type="dxa"/>
            <w:tcBorders>
              <w:top w:val="single" w:sz="2" w:space="0" w:color="auto"/>
              <w:left w:val="single" w:sz="2" w:space="0" w:color="auto"/>
              <w:bottom w:val="single" w:sz="2" w:space="0" w:color="auto"/>
              <w:right w:val="single" w:sz="2" w:space="0" w:color="auto"/>
            </w:tcBorders>
          </w:tcPr>
          <w:p w14:paraId="2203608F" w14:textId="77777777" w:rsidR="00BE2CA7" w:rsidRPr="00CC5187" w:rsidRDefault="00BE2CA7" w:rsidP="002B0590">
            <w:pPr>
              <w:spacing w:before="60" w:after="60"/>
              <w:jc w:val="both"/>
              <w:rPr>
                <w:rFonts w:eastAsia="MS Mincho"/>
                <w:sz w:val="18"/>
                <w:szCs w:val="14"/>
                <w:lang w:val="en-IE" w:eastAsia="ko-KR"/>
              </w:rPr>
            </w:pPr>
          </w:p>
        </w:tc>
      </w:tr>
    </w:tbl>
    <w:p w14:paraId="5ED4CBE2" w14:textId="77777777" w:rsidR="00BE2CA7" w:rsidRPr="00CC5187" w:rsidRDefault="00BE2CA7" w:rsidP="00BE2CA7">
      <w:pPr>
        <w:jc w:val="both"/>
        <w:rPr>
          <w:lang w:eastAsia="fr-FR"/>
        </w:rPr>
      </w:pPr>
    </w:p>
    <w:tbl>
      <w:tblPr>
        <w:tblW w:w="0" w:type="auto"/>
        <w:tblInd w:w="2507" w:type="dxa"/>
        <w:tblLayout w:type="fixed"/>
        <w:tblLook w:val="0000" w:firstRow="0" w:lastRow="0" w:firstColumn="0" w:lastColumn="0" w:noHBand="0" w:noVBand="0"/>
      </w:tblPr>
      <w:tblGrid>
        <w:gridCol w:w="812"/>
        <w:gridCol w:w="683"/>
        <w:gridCol w:w="1367"/>
        <w:gridCol w:w="1410"/>
      </w:tblGrid>
      <w:tr w:rsidR="00BE2CA7" w:rsidRPr="00CC5187" w14:paraId="36ADE69B" w14:textId="77777777" w:rsidTr="002B0590">
        <w:tc>
          <w:tcPr>
            <w:tcW w:w="1495" w:type="dxa"/>
            <w:gridSpan w:val="2"/>
            <w:tcBorders>
              <w:top w:val="single" w:sz="2" w:space="0" w:color="auto"/>
              <w:left w:val="single" w:sz="2" w:space="0" w:color="auto"/>
              <w:bottom w:val="single" w:sz="2" w:space="0" w:color="auto"/>
              <w:right w:val="single" w:sz="2" w:space="0" w:color="auto"/>
            </w:tcBorders>
            <w:vAlign w:val="bottom"/>
          </w:tcPr>
          <w:p w14:paraId="249E7CF0" w14:textId="77777777" w:rsidR="00BE2CA7" w:rsidRPr="00CC5187" w:rsidRDefault="00BE2CA7" w:rsidP="002B0590">
            <w:pPr>
              <w:spacing w:before="60" w:after="60"/>
              <w:jc w:val="center"/>
              <w:rPr>
                <w:rFonts w:eastAsia="SimSun"/>
                <w:sz w:val="18"/>
                <w:szCs w:val="18"/>
                <w:lang w:val="fr-FR" w:eastAsia="en-GB"/>
              </w:rPr>
            </w:pPr>
            <w:r w:rsidRPr="00CC5187">
              <w:rPr>
                <w:rFonts w:eastAsia="SimSun"/>
                <w:sz w:val="18"/>
                <w:szCs w:val="18"/>
                <w:lang w:val="fr-FR" w:eastAsia="en-GB"/>
              </w:rPr>
              <w:t>Polluants</w:t>
            </w:r>
          </w:p>
        </w:tc>
        <w:tc>
          <w:tcPr>
            <w:tcW w:w="1367" w:type="dxa"/>
            <w:tcBorders>
              <w:top w:val="single" w:sz="2" w:space="0" w:color="auto"/>
              <w:left w:val="single" w:sz="2" w:space="0" w:color="auto"/>
              <w:bottom w:val="single" w:sz="2" w:space="0" w:color="auto"/>
              <w:right w:val="single" w:sz="2" w:space="0" w:color="auto"/>
            </w:tcBorders>
            <w:vAlign w:val="bottom"/>
          </w:tcPr>
          <w:p w14:paraId="6F2BC2E0" w14:textId="77777777" w:rsidR="00BE2CA7" w:rsidRPr="00CC5187" w:rsidRDefault="00BE2CA7" w:rsidP="002B0590">
            <w:pPr>
              <w:spacing w:before="60" w:after="60"/>
              <w:jc w:val="center"/>
              <w:rPr>
                <w:rFonts w:eastAsia="SimSun"/>
                <w:sz w:val="18"/>
                <w:szCs w:val="18"/>
                <w:lang w:val="fr-FR" w:eastAsia="en-GB"/>
              </w:rPr>
            </w:pPr>
            <w:r w:rsidRPr="00CC5187">
              <w:rPr>
                <w:rFonts w:eastAsia="SimSun"/>
                <w:sz w:val="18"/>
                <w:szCs w:val="18"/>
                <w:lang w:val="fr-FR" w:eastAsia="en-GB"/>
              </w:rPr>
              <w:t>CO</w:t>
            </w:r>
            <w:r>
              <w:rPr>
                <w:rFonts w:eastAsia="SimSun"/>
                <w:sz w:val="18"/>
                <w:szCs w:val="18"/>
                <w:lang w:val="fr-FR" w:eastAsia="en-GB"/>
              </w:rPr>
              <w:br/>
            </w:r>
            <w:r w:rsidRPr="00CC5187">
              <w:rPr>
                <w:rFonts w:eastAsia="SimSun"/>
                <w:sz w:val="18"/>
                <w:szCs w:val="18"/>
                <w:lang w:val="fr-FR" w:eastAsia="en-GB"/>
              </w:rPr>
              <w:t>(g/km)</w:t>
            </w:r>
          </w:p>
        </w:tc>
        <w:tc>
          <w:tcPr>
            <w:tcW w:w="1410" w:type="dxa"/>
            <w:tcBorders>
              <w:top w:val="single" w:sz="2" w:space="0" w:color="auto"/>
              <w:left w:val="single" w:sz="2" w:space="0" w:color="auto"/>
              <w:bottom w:val="single" w:sz="2" w:space="0" w:color="auto"/>
              <w:right w:val="single" w:sz="2" w:space="0" w:color="auto"/>
            </w:tcBorders>
            <w:vAlign w:val="bottom"/>
          </w:tcPr>
          <w:p w14:paraId="7CDFF459" w14:textId="77777777" w:rsidR="00BE2CA7" w:rsidRPr="00CC5187" w:rsidRDefault="00BE2CA7" w:rsidP="002B0590">
            <w:pPr>
              <w:spacing w:before="60" w:after="60"/>
              <w:jc w:val="center"/>
              <w:rPr>
                <w:rFonts w:eastAsia="SimSun"/>
                <w:sz w:val="18"/>
                <w:szCs w:val="18"/>
                <w:lang w:val="fr-FR" w:eastAsia="en-GB"/>
              </w:rPr>
            </w:pPr>
            <w:r w:rsidRPr="00CC5187">
              <w:rPr>
                <w:rFonts w:eastAsia="SimSun"/>
                <w:sz w:val="18"/>
                <w:szCs w:val="18"/>
                <w:lang w:val="fr-FR" w:eastAsia="en-GB"/>
              </w:rPr>
              <w:t>HC</w:t>
            </w:r>
            <w:r>
              <w:rPr>
                <w:rFonts w:eastAsia="SimSun"/>
                <w:sz w:val="18"/>
                <w:szCs w:val="18"/>
                <w:lang w:val="fr-FR" w:eastAsia="en-GB"/>
              </w:rPr>
              <w:br/>
            </w:r>
            <w:r w:rsidRPr="00CC5187">
              <w:rPr>
                <w:rFonts w:eastAsia="SimSun"/>
                <w:sz w:val="18"/>
                <w:szCs w:val="18"/>
                <w:lang w:val="fr-FR" w:eastAsia="en-GB"/>
              </w:rPr>
              <w:t>(g/km)</w:t>
            </w:r>
          </w:p>
        </w:tc>
      </w:tr>
      <w:tr w:rsidR="00BE2CA7" w:rsidRPr="00CC5187" w14:paraId="1EE6D418" w14:textId="77777777" w:rsidTr="002B0590">
        <w:tc>
          <w:tcPr>
            <w:tcW w:w="812" w:type="dxa"/>
            <w:vMerge w:val="restart"/>
            <w:tcBorders>
              <w:top w:val="single" w:sz="2" w:space="0" w:color="auto"/>
              <w:left w:val="single" w:sz="2" w:space="0" w:color="auto"/>
              <w:bottom w:val="single" w:sz="2" w:space="0" w:color="auto"/>
              <w:right w:val="single" w:sz="2" w:space="0" w:color="auto"/>
            </w:tcBorders>
          </w:tcPr>
          <w:p w14:paraId="48748DEB" w14:textId="77777777" w:rsidR="00BE2CA7" w:rsidRPr="00CC5187" w:rsidRDefault="00BE2CA7" w:rsidP="002B0590">
            <w:pPr>
              <w:spacing w:before="60" w:after="60"/>
              <w:jc w:val="both"/>
              <w:rPr>
                <w:rFonts w:eastAsia="MS Mincho"/>
                <w:sz w:val="18"/>
                <w:szCs w:val="18"/>
                <w:lang w:eastAsia="ko-KR"/>
              </w:rPr>
            </w:pPr>
            <w:r>
              <w:rPr>
                <w:rFonts w:eastAsia="MS Mincho"/>
                <w:sz w:val="18"/>
                <w:szCs w:val="18"/>
                <w:lang w:eastAsia="ko-KR"/>
              </w:rPr>
              <w:t>Essai</w:t>
            </w:r>
          </w:p>
        </w:tc>
        <w:tc>
          <w:tcPr>
            <w:tcW w:w="683" w:type="dxa"/>
            <w:tcBorders>
              <w:top w:val="single" w:sz="2" w:space="0" w:color="auto"/>
              <w:left w:val="single" w:sz="2" w:space="0" w:color="auto"/>
              <w:bottom w:val="single" w:sz="2" w:space="0" w:color="auto"/>
              <w:right w:val="single" w:sz="2" w:space="0" w:color="auto"/>
            </w:tcBorders>
          </w:tcPr>
          <w:p w14:paraId="3A754065" w14:textId="77777777" w:rsidR="00BE2CA7" w:rsidRPr="00CC5187" w:rsidRDefault="00BE2CA7" w:rsidP="002B0590">
            <w:pPr>
              <w:spacing w:before="60" w:after="60"/>
              <w:jc w:val="both"/>
              <w:rPr>
                <w:rFonts w:eastAsia="MS Mincho"/>
                <w:sz w:val="18"/>
                <w:szCs w:val="18"/>
                <w:lang w:eastAsia="ko-KR"/>
              </w:rPr>
            </w:pPr>
            <w:r w:rsidRPr="00CC5187">
              <w:rPr>
                <w:rFonts w:eastAsia="MS Mincho"/>
                <w:sz w:val="18"/>
                <w:szCs w:val="18"/>
                <w:lang w:eastAsia="ko-KR"/>
              </w:rPr>
              <w:t>1</w:t>
            </w:r>
          </w:p>
        </w:tc>
        <w:tc>
          <w:tcPr>
            <w:tcW w:w="1367" w:type="dxa"/>
            <w:tcBorders>
              <w:top w:val="single" w:sz="2" w:space="0" w:color="auto"/>
              <w:left w:val="single" w:sz="2" w:space="0" w:color="auto"/>
              <w:bottom w:val="single" w:sz="2" w:space="0" w:color="auto"/>
              <w:right w:val="single" w:sz="2" w:space="0" w:color="auto"/>
            </w:tcBorders>
          </w:tcPr>
          <w:p w14:paraId="3F343C3B" w14:textId="77777777" w:rsidR="00BE2CA7" w:rsidRPr="00CC5187" w:rsidRDefault="00BE2CA7" w:rsidP="002B0590">
            <w:pPr>
              <w:spacing w:before="60" w:after="60"/>
              <w:jc w:val="both"/>
              <w:rPr>
                <w:rFonts w:eastAsia="MS Mincho"/>
                <w:sz w:val="18"/>
                <w:szCs w:val="18"/>
                <w:lang w:eastAsia="ko-KR"/>
              </w:rPr>
            </w:pPr>
          </w:p>
        </w:tc>
        <w:tc>
          <w:tcPr>
            <w:tcW w:w="1410" w:type="dxa"/>
            <w:tcBorders>
              <w:top w:val="single" w:sz="2" w:space="0" w:color="auto"/>
              <w:left w:val="single" w:sz="2" w:space="0" w:color="auto"/>
              <w:bottom w:val="single" w:sz="2" w:space="0" w:color="auto"/>
              <w:right w:val="single" w:sz="2" w:space="0" w:color="auto"/>
            </w:tcBorders>
          </w:tcPr>
          <w:p w14:paraId="51F77F98" w14:textId="77777777" w:rsidR="00BE2CA7" w:rsidRPr="00CC5187" w:rsidRDefault="00BE2CA7" w:rsidP="002B0590">
            <w:pPr>
              <w:spacing w:before="60" w:after="60"/>
              <w:jc w:val="both"/>
              <w:rPr>
                <w:rFonts w:eastAsia="MS Mincho"/>
                <w:sz w:val="18"/>
                <w:szCs w:val="18"/>
                <w:lang w:eastAsia="ko-KR"/>
              </w:rPr>
            </w:pPr>
          </w:p>
        </w:tc>
      </w:tr>
      <w:tr w:rsidR="00BE2CA7" w:rsidRPr="00CC5187" w14:paraId="07A868E0" w14:textId="77777777" w:rsidTr="002B0590">
        <w:tc>
          <w:tcPr>
            <w:tcW w:w="812" w:type="dxa"/>
            <w:vMerge/>
            <w:tcBorders>
              <w:top w:val="single" w:sz="2" w:space="0" w:color="auto"/>
              <w:left w:val="single" w:sz="2" w:space="0" w:color="auto"/>
              <w:bottom w:val="single" w:sz="2" w:space="0" w:color="auto"/>
              <w:right w:val="single" w:sz="2" w:space="0" w:color="auto"/>
            </w:tcBorders>
          </w:tcPr>
          <w:p w14:paraId="18636973" w14:textId="77777777" w:rsidR="00BE2CA7" w:rsidRPr="00CC5187" w:rsidRDefault="00BE2CA7" w:rsidP="002B0590">
            <w:pPr>
              <w:spacing w:before="60" w:after="60"/>
              <w:rPr>
                <w:sz w:val="18"/>
                <w:szCs w:val="18"/>
                <w:lang w:val="en-US" w:eastAsia="fr-FR"/>
              </w:rPr>
            </w:pPr>
          </w:p>
        </w:tc>
        <w:tc>
          <w:tcPr>
            <w:tcW w:w="683" w:type="dxa"/>
            <w:tcBorders>
              <w:top w:val="single" w:sz="2" w:space="0" w:color="auto"/>
              <w:left w:val="single" w:sz="2" w:space="0" w:color="auto"/>
              <w:bottom w:val="single" w:sz="2" w:space="0" w:color="auto"/>
              <w:right w:val="single" w:sz="2" w:space="0" w:color="auto"/>
            </w:tcBorders>
          </w:tcPr>
          <w:p w14:paraId="38D11441" w14:textId="77777777" w:rsidR="00BE2CA7" w:rsidRPr="00CC5187" w:rsidRDefault="00BE2CA7" w:rsidP="002B0590">
            <w:pPr>
              <w:spacing w:before="60" w:after="60"/>
              <w:jc w:val="both"/>
              <w:rPr>
                <w:rFonts w:eastAsia="MS Mincho"/>
                <w:sz w:val="18"/>
                <w:szCs w:val="18"/>
                <w:lang w:eastAsia="ko-KR"/>
              </w:rPr>
            </w:pPr>
            <w:r w:rsidRPr="00CC5187">
              <w:rPr>
                <w:rFonts w:eastAsia="MS Mincho"/>
                <w:sz w:val="18"/>
                <w:szCs w:val="18"/>
                <w:lang w:eastAsia="ko-KR"/>
              </w:rPr>
              <w:t>2</w:t>
            </w:r>
          </w:p>
        </w:tc>
        <w:tc>
          <w:tcPr>
            <w:tcW w:w="1367" w:type="dxa"/>
            <w:tcBorders>
              <w:top w:val="single" w:sz="2" w:space="0" w:color="auto"/>
              <w:left w:val="single" w:sz="2" w:space="0" w:color="auto"/>
              <w:bottom w:val="single" w:sz="2" w:space="0" w:color="auto"/>
              <w:right w:val="single" w:sz="2" w:space="0" w:color="auto"/>
            </w:tcBorders>
          </w:tcPr>
          <w:p w14:paraId="4802D349" w14:textId="77777777" w:rsidR="00BE2CA7" w:rsidRPr="00CC5187" w:rsidRDefault="00BE2CA7" w:rsidP="002B0590">
            <w:pPr>
              <w:spacing w:before="60" w:after="60"/>
              <w:jc w:val="both"/>
              <w:rPr>
                <w:rFonts w:eastAsia="MS Mincho"/>
                <w:sz w:val="18"/>
                <w:szCs w:val="18"/>
                <w:lang w:eastAsia="ko-KR"/>
              </w:rPr>
            </w:pPr>
          </w:p>
        </w:tc>
        <w:tc>
          <w:tcPr>
            <w:tcW w:w="1410" w:type="dxa"/>
            <w:tcBorders>
              <w:top w:val="single" w:sz="2" w:space="0" w:color="auto"/>
              <w:left w:val="single" w:sz="2" w:space="0" w:color="auto"/>
              <w:bottom w:val="single" w:sz="2" w:space="0" w:color="auto"/>
              <w:right w:val="single" w:sz="2" w:space="0" w:color="auto"/>
            </w:tcBorders>
          </w:tcPr>
          <w:p w14:paraId="2F7070E9" w14:textId="77777777" w:rsidR="00BE2CA7" w:rsidRPr="00CC5187" w:rsidRDefault="00BE2CA7" w:rsidP="002B0590">
            <w:pPr>
              <w:spacing w:before="60" w:after="60"/>
              <w:jc w:val="both"/>
              <w:rPr>
                <w:rFonts w:eastAsia="MS Mincho"/>
                <w:sz w:val="18"/>
                <w:szCs w:val="18"/>
                <w:lang w:eastAsia="ko-KR"/>
              </w:rPr>
            </w:pPr>
          </w:p>
        </w:tc>
      </w:tr>
      <w:tr w:rsidR="00BE2CA7" w:rsidRPr="00CC5187" w14:paraId="7C38594D" w14:textId="77777777" w:rsidTr="002B0590">
        <w:tc>
          <w:tcPr>
            <w:tcW w:w="812" w:type="dxa"/>
            <w:vMerge/>
            <w:tcBorders>
              <w:top w:val="single" w:sz="2" w:space="0" w:color="auto"/>
              <w:left w:val="single" w:sz="2" w:space="0" w:color="auto"/>
              <w:bottom w:val="single" w:sz="2" w:space="0" w:color="auto"/>
              <w:right w:val="single" w:sz="2" w:space="0" w:color="auto"/>
            </w:tcBorders>
          </w:tcPr>
          <w:p w14:paraId="62CBFEC3" w14:textId="77777777" w:rsidR="00BE2CA7" w:rsidRPr="00CC5187" w:rsidRDefault="00BE2CA7" w:rsidP="002B0590">
            <w:pPr>
              <w:spacing w:before="60" w:after="60"/>
              <w:rPr>
                <w:sz w:val="18"/>
                <w:szCs w:val="18"/>
                <w:lang w:val="en-US" w:eastAsia="fr-FR"/>
              </w:rPr>
            </w:pPr>
          </w:p>
        </w:tc>
        <w:tc>
          <w:tcPr>
            <w:tcW w:w="683" w:type="dxa"/>
            <w:tcBorders>
              <w:top w:val="single" w:sz="2" w:space="0" w:color="auto"/>
              <w:left w:val="single" w:sz="2" w:space="0" w:color="auto"/>
              <w:bottom w:val="single" w:sz="2" w:space="0" w:color="auto"/>
              <w:right w:val="single" w:sz="2" w:space="0" w:color="auto"/>
            </w:tcBorders>
          </w:tcPr>
          <w:p w14:paraId="46F9712E" w14:textId="77777777" w:rsidR="00BE2CA7" w:rsidRPr="00CC5187" w:rsidRDefault="00BE2CA7" w:rsidP="002B0590">
            <w:pPr>
              <w:spacing w:before="60" w:after="60"/>
              <w:jc w:val="both"/>
              <w:rPr>
                <w:rFonts w:eastAsia="MS Mincho"/>
                <w:sz w:val="18"/>
                <w:szCs w:val="18"/>
                <w:lang w:eastAsia="ko-KR"/>
              </w:rPr>
            </w:pPr>
            <w:r w:rsidRPr="00CC5187">
              <w:rPr>
                <w:rFonts w:eastAsia="MS Mincho"/>
                <w:sz w:val="18"/>
                <w:szCs w:val="18"/>
                <w:lang w:eastAsia="ko-KR"/>
              </w:rPr>
              <w:t>3</w:t>
            </w:r>
          </w:p>
        </w:tc>
        <w:tc>
          <w:tcPr>
            <w:tcW w:w="1367" w:type="dxa"/>
            <w:tcBorders>
              <w:top w:val="single" w:sz="2" w:space="0" w:color="auto"/>
              <w:left w:val="single" w:sz="2" w:space="0" w:color="auto"/>
              <w:bottom w:val="single" w:sz="2" w:space="0" w:color="auto"/>
              <w:right w:val="single" w:sz="2" w:space="0" w:color="auto"/>
            </w:tcBorders>
          </w:tcPr>
          <w:p w14:paraId="6A77D297" w14:textId="77777777" w:rsidR="00BE2CA7" w:rsidRPr="00CC5187" w:rsidRDefault="00BE2CA7" w:rsidP="002B0590">
            <w:pPr>
              <w:spacing w:before="60" w:after="60"/>
              <w:jc w:val="both"/>
              <w:rPr>
                <w:rFonts w:eastAsia="MS Mincho"/>
                <w:sz w:val="18"/>
                <w:szCs w:val="18"/>
                <w:lang w:eastAsia="ko-KR"/>
              </w:rPr>
            </w:pPr>
          </w:p>
        </w:tc>
        <w:tc>
          <w:tcPr>
            <w:tcW w:w="1410" w:type="dxa"/>
            <w:tcBorders>
              <w:top w:val="single" w:sz="2" w:space="0" w:color="auto"/>
              <w:left w:val="single" w:sz="2" w:space="0" w:color="auto"/>
              <w:bottom w:val="single" w:sz="2" w:space="0" w:color="auto"/>
              <w:right w:val="single" w:sz="2" w:space="0" w:color="auto"/>
            </w:tcBorders>
          </w:tcPr>
          <w:p w14:paraId="11D6E5BE" w14:textId="77777777" w:rsidR="00BE2CA7" w:rsidRPr="00CC5187" w:rsidRDefault="00BE2CA7" w:rsidP="002B0590">
            <w:pPr>
              <w:spacing w:before="60" w:after="60"/>
              <w:jc w:val="both"/>
              <w:rPr>
                <w:rFonts w:eastAsia="MS Mincho"/>
                <w:sz w:val="18"/>
                <w:szCs w:val="18"/>
                <w:lang w:eastAsia="ko-KR"/>
              </w:rPr>
            </w:pPr>
          </w:p>
        </w:tc>
      </w:tr>
      <w:tr w:rsidR="00BE2CA7" w:rsidRPr="00CC5187" w14:paraId="1154DB52" w14:textId="77777777" w:rsidTr="002B0590">
        <w:tc>
          <w:tcPr>
            <w:tcW w:w="1495" w:type="dxa"/>
            <w:gridSpan w:val="2"/>
            <w:tcBorders>
              <w:top w:val="single" w:sz="2" w:space="0" w:color="auto"/>
              <w:left w:val="single" w:sz="2" w:space="0" w:color="auto"/>
              <w:bottom w:val="single" w:sz="2" w:space="0" w:color="auto"/>
              <w:right w:val="single" w:sz="2" w:space="0" w:color="auto"/>
            </w:tcBorders>
          </w:tcPr>
          <w:p w14:paraId="18C6D06B" w14:textId="77777777" w:rsidR="00BE2CA7" w:rsidRPr="00CC5187" w:rsidRDefault="00BE2CA7" w:rsidP="002B0590">
            <w:pPr>
              <w:spacing w:before="60" w:after="60"/>
              <w:jc w:val="both"/>
              <w:rPr>
                <w:rFonts w:eastAsia="MS Mincho"/>
                <w:sz w:val="18"/>
                <w:szCs w:val="18"/>
                <w:lang w:eastAsia="ko-KR"/>
              </w:rPr>
            </w:pPr>
            <w:r>
              <w:rPr>
                <w:rFonts w:eastAsia="MS Mincho"/>
                <w:sz w:val="18"/>
                <w:szCs w:val="18"/>
                <w:lang w:eastAsia="ko-KR"/>
              </w:rPr>
              <w:t>Moyenne</w:t>
            </w:r>
          </w:p>
        </w:tc>
        <w:tc>
          <w:tcPr>
            <w:tcW w:w="1367" w:type="dxa"/>
            <w:tcBorders>
              <w:top w:val="single" w:sz="2" w:space="0" w:color="auto"/>
              <w:left w:val="single" w:sz="2" w:space="0" w:color="auto"/>
              <w:bottom w:val="single" w:sz="2" w:space="0" w:color="auto"/>
              <w:right w:val="single" w:sz="2" w:space="0" w:color="auto"/>
            </w:tcBorders>
          </w:tcPr>
          <w:p w14:paraId="1E364CA6" w14:textId="77777777" w:rsidR="00BE2CA7" w:rsidRPr="00CC5187" w:rsidRDefault="00BE2CA7" w:rsidP="002B0590">
            <w:pPr>
              <w:spacing w:before="60" w:after="60"/>
              <w:jc w:val="both"/>
              <w:rPr>
                <w:rFonts w:eastAsia="MS Mincho"/>
                <w:sz w:val="18"/>
                <w:szCs w:val="18"/>
                <w:lang w:eastAsia="ko-KR"/>
              </w:rPr>
            </w:pPr>
          </w:p>
        </w:tc>
        <w:tc>
          <w:tcPr>
            <w:tcW w:w="1410" w:type="dxa"/>
            <w:tcBorders>
              <w:top w:val="single" w:sz="2" w:space="0" w:color="auto"/>
              <w:left w:val="single" w:sz="2" w:space="0" w:color="auto"/>
              <w:bottom w:val="single" w:sz="2" w:space="0" w:color="auto"/>
              <w:right w:val="single" w:sz="2" w:space="0" w:color="auto"/>
            </w:tcBorders>
          </w:tcPr>
          <w:p w14:paraId="2427437D" w14:textId="77777777" w:rsidR="00BE2CA7" w:rsidRPr="00CC5187" w:rsidRDefault="00BE2CA7" w:rsidP="002B0590">
            <w:pPr>
              <w:spacing w:before="60" w:after="60"/>
              <w:jc w:val="both"/>
              <w:rPr>
                <w:rFonts w:eastAsia="MS Mincho"/>
                <w:sz w:val="18"/>
                <w:szCs w:val="18"/>
                <w:lang w:eastAsia="ko-KR"/>
              </w:rPr>
            </w:pPr>
          </w:p>
        </w:tc>
      </w:tr>
      <w:tr w:rsidR="00BE2CA7" w:rsidRPr="00CC5187" w14:paraId="3FBBAD6D" w14:textId="77777777" w:rsidTr="002B0590">
        <w:tc>
          <w:tcPr>
            <w:tcW w:w="1495" w:type="dxa"/>
            <w:gridSpan w:val="2"/>
            <w:tcBorders>
              <w:top w:val="single" w:sz="2" w:space="0" w:color="auto"/>
              <w:left w:val="single" w:sz="2" w:space="0" w:color="auto"/>
              <w:bottom w:val="single" w:sz="2" w:space="0" w:color="auto"/>
              <w:right w:val="single" w:sz="2" w:space="0" w:color="auto"/>
            </w:tcBorders>
          </w:tcPr>
          <w:p w14:paraId="7F6E8225" w14:textId="77777777" w:rsidR="00BE2CA7" w:rsidRPr="00CC5187" w:rsidRDefault="00BE2CA7" w:rsidP="002B0590">
            <w:pPr>
              <w:spacing w:before="60" w:after="60"/>
              <w:jc w:val="both"/>
              <w:rPr>
                <w:rFonts w:eastAsia="MS Mincho"/>
                <w:sz w:val="18"/>
                <w:szCs w:val="18"/>
                <w:lang w:eastAsia="ko-KR"/>
              </w:rPr>
            </w:pPr>
            <w:r w:rsidRPr="00CC5187">
              <w:rPr>
                <w:rFonts w:eastAsia="MS Mincho"/>
                <w:sz w:val="18"/>
                <w:szCs w:val="18"/>
                <w:lang w:eastAsia="ko-KR"/>
              </w:rPr>
              <w:t>Limit</w:t>
            </w:r>
            <w:r>
              <w:rPr>
                <w:rFonts w:eastAsia="MS Mincho"/>
                <w:sz w:val="18"/>
                <w:szCs w:val="18"/>
                <w:lang w:eastAsia="ko-KR"/>
              </w:rPr>
              <w:t>e</w:t>
            </w:r>
          </w:p>
        </w:tc>
        <w:tc>
          <w:tcPr>
            <w:tcW w:w="1367" w:type="dxa"/>
            <w:tcBorders>
              <w:top w:val="single" w:sz="2" w:space="0" w:color="auto"/>
              <w:left w:val="single" w:sz="2" w:space="0" w:color="auto"/>
              <w:bottom w:val="single" w:sz="2" w:space="0" w:color="auto"/>
              <w:right w:val="single" w:sz="2" w:space="0" w:color="auto"/>
            </w:tcBorders>
          </w:tcPr>
          <w:p w14:paraId="4D83CFD5" w14:textId="77777777" w:rsidR="00BE2CA7" w:rsidRPr="00CC5187" w:rsidRDefault="00BE2CA7" w:rsidP="002B0590">
            <w:pPr>
              <w:spacing w:before="60" w:after="60"/>
              <w:jc w:val="both"/>
              <w:rPr>
                <w:rFonts w:eastAsia="MS Mincho"/>
                <w:sz w:val="18"/>
                <w:szCs w:val="18"/>
                <w:lang w:eastAsia="ko-KR"/>
              </w:rPr>
            </w:pPr>
          </w:p>
        </w:tc>
        <w:tc>
          <w:tcPr>
            <w:tcW w:w="1410" w:type="dxa"/>
            <w:tcBorders>
              <w:top w:val="single" w:sz="2" w:space="0" w:color="auto"/>
              <w:left w:val="single" w:sz="2" w:space="0" w:color="auto"/>
              <w:bottom w:val="single" w:sz="2" w:space="0" w:color="auto"/>
              <w:right w:val="single" w:sz="2" w:space="0" w:color="auto"/>
            </w:tcBorders>
          </w:tcPr>
          <w:p w14:paraId="54C90B19" w14:textId="77777777" w:rsidR="00BE2CA7" w:rsidRPr="00CC5187" w:rsidRDefault="00BE2CA7" w:rsidP="002B0590">
            <w:pPr>
              <w:spacing w:before="60" w:after="60"/>
              <w:jc w:val="both"/>
              <w:rPr>
                <w:rFonts w:eastAsia="MS Mincho"/>
                <w:sz w:val="18"/>
                <w:szCs w:val="18"/>
                <w:lang w:eastAsia="ko-KR"/>
              </w:rPr>
            </w:pPr>
          </w:p>
        </w:tc>
      </w:tr>
    </w:tbl>
    <w:p w14:paraId="1DF9054B" w14:textId="77777777" w:rsidR="00BE2CA7" w:rsidRPr="00A318C3" w:rsidRDefault="00BE2CA7" w:rsidP="00BE2CA7">
      <w:pPr>
        <w:pStyle w:val="SingleTxtG"/>
        <w:spacing w:before="240"/>
        <w:rPr>
          <w:b/>
          <w:bCs/>
          <w:sz w:val="18"/>
          <w:szCs w:val="18"/>
          <w:lang w:val="fr-FR" w:eastAsia="fr-FR"/>
        </w:rPr>
      </w:pPr>
      <w:r w:rsidRPr="00A318C3">
        <w:rPr>
          <w:b/>
          <w:bCs/>
          <w:sz w:val="18"/>
          <w:szCs w:val="18"/>
          <w:lang w:val="fr-FR" w:eastAsia="fr-FR"/>
        </w:rPr>
        <w:t>2.9</w:t>
      </w:r>
      <w:r w:rsidRPr="00A318C3">
        <w:rPr>
          <w:b/>
          <w:bCs/>
          <w:sz w:val="18"/>
          <w:szCs w:val="18"/>
          <w:lang w:val="fr-FR" w:eastAsia="fr-FR"/>
        </w:rPr>
        <w:tab/>
        <w:t>Essai d</w:t>
      </w:r>
      <w:r>
        <w:rPr>
          <w:b/>
          <w:bCs/>
          <w:sz w:val="18"/>
          <w:szCs w:val="18"/>
          <w:lang w:val="fr-FR" w:eastAsia="fr-FR"/>
        </w:rPr>
        <w:t>’</w:t>
      </w:r>
      <w:r w:rsidRPr="00A318C3">
        <w:rPr>
          <w:b/>
          <w:bCs/>
          <w:sz w:val="18"/>
          <w:szCs w:val="18"/>
          <w:lang w:val="fr-FR" w:eastAsia="fr-FR"/>
        </w:rPr>
        <w:t xml:space="preserve">opacité des fumées b) </w:t>
      </w:r>
    </w:p>
    <w:p w14:paraId="754CC7CA" w14:textId="77777777" w:rsidR="00BE2CA7" w:rsidRPr="00CC5187" w:rsidRDefault="00BE2CA7" w:rsidP="00BE2CA7">
      <w:pPr>
        <w:pStyle w:val="SingleTxtG"/>
        <w:rPr>
          <w:b/>
          <w:bCs/>
          <w:sz w:val="18"/>
          <w:szCs w:val="18"/>
          <w:lang w:eastAsia="fr-FR"/>
        </w:rPr>
      </w:pPr>
      <w:r w:rsidRPr="00CC5187">
        <w:rPr>
          <w:b/>
          <w:bCs/>
          <w:sz w:val="18"/>
          <w:szCs w:val="18"/>
          <w:lang w:eastAsia="fr-FR"/>
        </w:rPr>
        <w:t>2.9.1</w:t>
      </w:r>
      <w:r w:rsidRPr="00CC5187">
        <w:rPr>
          <w:b/>
          <w:bCs/>
          <w:sz w:val="18"/>
          <w:szCs w:val="18"/>
          <w:lang w:eastAsia="fr-FR"/>
        </w:rPr>
        <w:tab/>
      </w:r>
      <w:r>
        <w:rPr>
          <w:b/>
          <w:bCs/>
          <w:sz w:val="18"/>
          <w:szCs w:val="18"/>
          <w:lang w:eastAsia="fr-FR"/>
        </w:rPr>
        <w:t>Essai en régimes stabilisés</w:t>
      </w:r>
    </w:p>
    <w:tbl>
      <w:tblPr>
        <w:tblW w:w="0" w:type="auto"/>
        <w:tblInd w:w="3250" w:type="dxa"/>
        <w:tblLayout w:type="fixed"/>
        <w:tblLook w:val="0000" w:firstRow="0" w:lastRow="0" w:firstColumn="0" w:lastColumn="0" w:noHBand="0" w:noVBand="0"/>
      </w:tblPr>
      <w:tblGrid>
        <w:gridCol w:w="2312"/>
        <w:gridCol w:w="446"/>
        <w:gridCol w:w="236"/>
      </w:tblGrid>
      <w:tr w:rsidR="00BE2CA7" w:rsidRPr="00CC5187" w14:paraId="38BA7483" w14:textId="77777777" w:rsidTr="002B0590">
        <w:tc>
          <w:tcPr>
            <w:tcW w:w="2312" w:type="dxa"/>
            <w:tcBorders>
              <w:top w:val="single" w:sz="2" w:space="0" w:color="auto"/>
              <w:left w:val="single" w:sz="2" w:space="0" w:color="auto"/>
              <w:bottom w:val="single" w:sz="2" w:space="0" w:color="auto"/>
              <w:right w:val="single" w:sz="2" w:space="0" w:color="auto"/>
            </w:tcBorders>
          </w:tcPr>
          <w:p w14:paraId="1D997D68" w14:textId="77777777" w:rsidR="00BE2CA7" w:rsidRPr="00CC5187" w:rsidRDefault="00BE2CA7" w:rsidP="002B0590">
            <w:pPr>
              <w:spacing w:before="60" w:after="60"/>
              <w:rPr>
                <w:rFonts w:eastAsia="MS Mincho"/>
                <w:sz w:val="18"/>
                <w:szCs w:val="18"/>
                <w:lang w:eastAsia="ko-KR"/>
              </w:rPr>
            </w:pPr>
            <w:r>
              <w:rPr>
                <w:rFonts w:eastAsia="MS Mincho"/>
                <w:sz w:val="18"/>
                <w:szCs w:val="18"/>
                <w:lang w:eastAsia="ko-KR"/>
              </w:rPr>
              <w:t>Voir procès-verbal(verbaux) de la famille</w:t>
            </w:r>
          </w:p>
        </w:tc>
        <w:tc>
          <w:tcPr>
            <w:tcW w:w="446" w:type="dxa"/>
            <w:tcBorders>
              <w:top w:val="single" w:sz="2" w:space="0" w:color="auto"/>
              <w:left w:val="single" w:sz="2" w:space="0" w:color="auto"/>
              <w:bottom w:val="single" w:sz="2" w:space="0" w:color="auto"/>
              <w:right w:val="single" w:sz="2" w:space="0" w:color="auto"/>
            </w:tcBorders>
          </w:tcPr>
          <w:p w14:paraId="246CBD59" w14:textId="77777777" w:rsidR="00BE2CA7" w:rsidRPr="00CC5187" w:rsidRDefault="00BE2CA7" w:rsidP="002B0590">
            <w:pPr>
              <w:spacing w:before="60" w:after="60"/>
              <w:jc w:val="both"/>
              <w:rPr>
                <w:rFonts w:eastAsia="MS Mincho"/>
                <w:sz w:val="18"/>
                <w:szCs w:val="18"/>
                <w:lang w:eastAsia="ko-KR"/>
              </w:rPr>
            </w:pPr>
            <w:r w:rsidRPr="00CC5187">
              <w:rPr>
                <w:rFonts w:eastAsia="MS Mincho"/>
                <w:sz w:val="18"/>
                <w:szCs w:val="18"/>
                <w:lang w:eastAsia="ko-KR"/>
              </w:rPr>
              <w:t>:</w:t>
            </w:r>
          </w:p>
        </w:tc>
        <w:tc>
          <w:tcPr>
            <w:tcW w:w="216" w:type="dxa"/>
            <w:tcBorders>
              <w:top w:val="single" w:sz="2" w:space="0" w:color="auto"/>
              <w:left w:val="single" w:sz="2" w:space="0" w:color="auto"/>
              <w:bottom w:val="single" w:sz="2" w:space="0" w:color="auto"/>
              <w:right w:val="single" w:sz="2" w:space="0" w:color="auto"/>
            </w:tcBorders>
          </w:tcPr>
          <w:p w14:paraId="7AA8CC81" w14:textId="77777777" w:rsidR="00BE2CA7" w:rsidRPr="00CC5187" w:rsidRDefault="00BE2CA7" w:rsidP="002B0590">
            <w:pPr>
              <w:spacing w:before="60" w:after="60"/>
              <w:jc w:val="both"/>
              <w:rPr>
                <w:rFonts w:eastAsia="MS Mincho"/>
                <w:sz w:val="18"/>
                <w:szCs w:val="18"/>
                <w:lang w:eastAsia="ko-KR"/>
              </w:rPr>
            </w:pPr>
          </w:p>
        </w:tc>
      </w:tr>
    </w:tbl>
    <w:p w14:paraId="6414A4F9" w14:textId="77777777" w:rsidR="00BE2CA7" w:rsidRPr="00CC5187" w:rsidRDefault="00BE2CA7" w:rsidP="00BE2CA7">
      <w:pPr>
        <w:pStyle w:val="SingleTxtG"/>
        <w:spacing w:before="240"/>
        <w:rPr>
          <w:b/>
          <w:bCs/>
          <w:sz w:val="18"/>
          <w:szCs w:val="18"/>
          <w:lang w:eastAsia="fr-FR"/>
        </w:rPr>
      </w:pPr>
      <w:r w:rsidRPr="00CC5187">
        <w:rPr>
          <w:b/>
          <w:bCs/>
          <w:sz w:val="18"/>
          <w:szCs w:val="18"/>
          <w:lang w:eastAsia="fr-FR"/>
        </w:rPr>
        <w:lastRenderedPageBreak/>
        <w:t>2.9.2</w:t>
      </w:r>
      <w:r w:rsidRPr="00CC5187">
        <w:rPr>
          <w:b/>
          <w:bCs/>
          <w:sz w:val="18"/>
          <w:szCs w:val="18"/>
          <w:lang w:eastAsia="fr-FR"/>
        </w:rPr>
        <w:tab/>
      </w:r>
      <w:r>
        <w:rPr>
          <w:b/>
          <w:bCs/>
          <w:sz w:val="18"/>
          <w:szCs w:val="18"/>
          <w:lang w:eastAsia="fr-FR"/>
        </w:rPr>
        <w:t>Essai en accélération libre</w:t>
      </w:r>
    </w:p>
    <w:tbl>
      <w:tblPr>
        <w:tblW w:w="0" w:type="auto"/>
        <w:tblInd w:w="2647" w:type="dxa"/>
        <w:tblLayout w:type="fixed"/>
        <w:tblLook w:val="0000" w:firstRow="0" w:lastRow="0" w:firstColumn="0" w:lastColumn="0" w:noHBand="0" w:noVBand="0"/>
      </w:tblPr>
      <w:tblGrid>
        <w:gridCol w:w="3514"/>
        <w:gridCol w:w="439"/>
        <w:gridCol w:w="236"/>
      </w:tblGrid>
      <w:tr w:rsidR="00BE2CA7" w:rsidRPr="00CC5187" w14:paraId="008DFAD0" w14:textId="77777777" w:rsidTr="002B0590">
        <w:tc>
          <w:tcPr>
            <w:tcW w:w="3514" w:type="dxa"/>
            <w:tcBorders>
              <w:top w:val="single" w:sz="2" w:space="0" w:color="auto"/>
              <w:left w:val="single" w:sz="2" w:space="0" w:color="auto"/>
              <w:bottom w:val="single" w:sz="2" w:space="0" w:color="auto"/>
              <w:right w:val="single" w:sz="2" w:space="0" w:color="auto"/>
            </w:tcBorders>
          </w:tcPr>
          <w:p w14:paraId="0709C711" w14:textId="77777777" w:rsidR="00BE2CA7" w:rsidRPr="00CC5187" w:rsidRDefault="00BE2CA7" w:rsidP="002B0590">
            <w:pPr>
              <w:spacing w:before="60" w:after="60"/>
              <w:jc w:val="both"/>
              <w:rPr>
                <w:rFonts w:eastAsia="MS Mincho"/>
                <w:sz w:val="18"/>
                <w:szCs w:val="18"/>
                <w:lang w:eastAsia="ko-KR"/>
              </w:rPr>
            </w:pPr>
            <w:r>
              <w:rPr>
                <w:rFonts w:eastAsia="MS Mincho"/>
                <w:sz w:val="18"/>
                <w:szCs w:val="18"/>
                <w:lang w:eastAsia="ko-KR"/>
              </w:rPr>
              <w:t>Valeur d’absorption mesurée</w:t>
            </w:r>
            <w:r w:rsidRPr="00CC5187">
              <w:rPr>
                <w:rFonts w:eastAsia="MS Mincho"/>
                <w:sz w:val="18"/>
                <w:szCs w:val="18"/>
                <w:lang w:eastAsia="ko-KR"/>
              </w:rPr>
              <w:t xml:space="preserve"> (m</w:t>
            </w:r>
            <w:r>
              <w:rPr>
                <w:rFonts w:eastAsia="MS Mincho"/>
                <w:sz w:val="18"/>
                <w:szCs w:val="18"/>
                <w:vertAlign w:val="superscript"/>
                <w:lang w:eastAsia="ko-KR"/>
              </w:rPr>
              <w:t>-</w:t>
            </w:r>
            <w:r w:rsidRPr="00CC5187">
              <w:rPr>
                <w:rFonts w:eastAsia="MS Mincho"/>
                <w:sz w:val="18"/>
                <w:szCs w:val="18"/>
                <w:vertAlign w:val="superscript"/>
                <w:lang w:eastAsia="ko-KR"/>
              </w:rPr>
              <w:t>1</w:t>
            </w:r>
            <w:r w:rsidRPr="00CC5187">
              <w:rPr>
                <w:rFonts w:eastAsia="MS Mincho"/>
                <w:sz w:val="18"/>
                <w:szCs w:val="18"/>
                <w:lang w:eastAsia="ko-KR"/>
              </w:rPr>
              <w:t>)</w:t>
            </w:r>
          </w:p>
        </w:tc>
        <w:tc>
          <w:tcPr>
            <w:tcW w:w="439" w:type="dxa"/>
            <w:tcBorders>
              <w:top w:val="single" w:sz="2" w:space="0" w:color="auto"/>
              <w:left w:val="single" w:sz="2" w:space="0" w:color="auto"/>
              <w:bottom w:val="single" w:sz="2" w:space="0" w:color="auto"/>
              <w:right w:val="single" w:sz="2" w:space="0" w:color="auto"/>
            </w:tcBorders>
          </w:tcPr>
          <w:p w14:paraId="1D268C27" w14:textId="77777777" w:rsidR="00BE2CA7" w:rsidRPr="00CC5187" w:rsidRDefault="00BE2CA7" w:rsidP="002B0590">
            <w:pPr>
              <w:spacing w:before="60" w:after="60"/>
              <w:jc w:val="both"/>
              <w:rPr>
                <w:rFonts w:eastAsia="MS Mincho"/>
                <w:sz w:val="18"/>
                <w:szCs w:val="18"/>
                <w:lang w:eastAsia="ko-KR"/>
              </w:rPr>
            </w:pPr>
            <w:r w:rsidRPr="00CC5187">
              <w:rPr>
                <w:rFonts w:eastAsia="MS Mincho"/>
                <w:sz w:val="18"/>
                <w:szCs w:val="18"/>
                <w:lang w:eastAsia="ko-KR"/>
              </w:rPr>
              <w:t>:</w:t>
            </w:r>
          </w:p>
        </w:tc>
        <w:tc>
          <w:tcPr>
            <w:tcW w:w="216" w:type="dxa"/>
            <w:tcBorders>
              <w:top w:val="single" w:sz="2" w:space="0" w:color="auto"/>
              <w:left w:val="single" w:sz="2" w:space="0" w:color="auto"/>
              <w:bottom w:val="single" w:sz="2" w:space="0" w:color="auto"/>
              <w:right w:val="single" w:sz="2" w:space="0" w:color="auto"/>
            </w:tcBorders>
          </w:tcPr>
          <w:p w14:paraId="6ADB77C0" w14:textId="77777777" w:rsidR="00BE2CA7" w:rsidRPr="00CC5187" w:rsidRDefault="00BE2CA7" w:rsidP="002B0590">
            <w:pPr>
              <w:spacing w:before="60" w:after="60"/>
              <w:jc w:val="both"/>
              <w:rPr>
                <w:rFonts w:eastAsia="MS Mincho"/>
                <w:sz w:val="18"/>
                <w:szCs w:val="18"/>
                <w:lang w:eastAsia="ko-KR"/>
              </w:rPr>
            </w:pPr>
          </w:p>
        </w:tc>
      </w:tr>
      <w:tr w:rsidR="00BE2CA7" w:rsidRPr="00CC5187" w14:paraId="14A46210" w14:textId="77777777" w:rsidTr="002B0590">
        <w:tc>
          <w:tcPr>
            <w:tcW w:w="3514" w:type="dxa"/>
            <w:tcBorders>
              <w:top w:val="single" w:sz="2" w:space="0" w:color="auto"/>
              <w:left w:val="single" w:sz="2" w:space="0" w:color="auto"/>
              <w:bottom w:val="single" w:sz="2" w:space="0" w:color="auto"/>
              <w:right w:val="single" w:sz="2" w:space="0" w:color="auto"/>
            </w:tcBorders>
          </w:tcPr>
          <w:p w14:paraId="61DBACFE" w14:textId="77777777" w:rsidR="00BE2CA7" w:rsidRPr="00CC5187" w:rsidRDefault="00BE2CA7" w:rsidP="002B0590">
            <w:pPr>
              <w:spacing w:before="60" w:after="60"/>
              <w:jc w:val="both"/>
              <w:rPr>
                <w:rFonts w:eastAsia="MS Mincho"/>
                <w:sz w:val="18"/>
                <w:szCs w:val="18"/>
                <w:lang w:eastAsia="ko-KR"/>
              </w:rPr>
            </w:pPr>
            <w:r>
              <w:rPr>
                <w:rFonts w:eastAsia="MS Mincho"/>
                <w:sz w:val="18"/>
                <w:szCs w:val="18"/>
                <w:lang w:eastAsia="ko-KR"/>
              </w:rPr>
              <w:t>Valeur d’absorption corrigée</w:t>
            </w:r>
            <w:r w:rsidRPr="00CC5187">
              <w:rPr>
                <w:rFonts w:eastAsia="MS Mincho"/>
                <w:sz w:val="18"/>
                <w:szCs w:val="18"/>
                <w:lang w:eastAsia="ko-KR"/>
              </w:rPr>
              <w:t xml:space="preserve"> (m</w:t>
            </w:r>
            <w:r>
              <w:rPr>
                <w:rFonts w:eastAsia="MS Mincho"/>
                <w:sz w:val="18"/>
                <w:szCs w:val="18"/>
                <w:vertAlign w:val="superscript"/>
                <w:lang w:eastAsia="ko-KR"/>
              </w:rPr>
              <w:t>-</w:t>
            </w:r>
            <w:r w:rsidRPr="00CC5187">
              <w:rPr>
                <w:rFonts w:eastAsia="MS Mincho"/>
                <w:sz w:val="18"/>
                <w:szCs w:val="18"/>
                <w:vertAlign w:val="superscript"/>
                <w:lang w:eastAsia="ko-KR"/>
              </w:rPr>
              <w:t>1</w:t>
            </w:r>
            <w:r w:rsidRPr="00CC5187">
              <w:rPr>
                <w:rFonts w:eastAsia="MS Mincho"/>
                <w:sz w:val="18"/>
                <w:szCs w:val="18"/>
                <w:lang w:eastAsia="ko-KR"/>
              </w:rPr>
              <w:t>)</w:t>
            </w:r>
          </w:p>
        </w:tc>
        <w:tc>
          <w:tcPr>
            <w:tcW w:w="439" w:type="dxa"/>
            <w:tcBorders>
              <w:top w:val="single" w:sz="2" w:space="0" w:color="auto"/>
              <w:left w:val="single" w:sz="2" w:space="0" w:color="auto"/>
              <w:bottom w:val="single" w:sz="2" w:space="0" w:color="auto"/>
              <w:right w:val="single" w:sz="2" w:space="0" w:color="auto"/>
            </w:tcBorders>
          </w:tcPr>
          <w:p w14:paraId="4388654A" w14:textId="77777777" w:rsidR="00BE2CA7" w:rsidRPr="00CC5187" w:rsidRDefault="00BE2CA7" w:rsidP="002B0590">
            <w:pPr>
              <w:spacing w:before="60" w:after="60"/>
              <w:jc w:val="both"/>
              <w:rPr>
                <w:rFonts w:eastAsia="MS Mincho"/>
                <w:sz w:val="18"/>
                <w:szCs w:val="18"/>
                <w:lang w:eastAsia="ko-KR"/>
              </w:rPr>
            </w:pPr>
            <w:r w:rsidRPr="00CC5187">
              <w:rPr>
                <w:rFonts w:eastAsia="MS Mincho"/>
                <w:sz w:val="18"/>
                <w:szCs w:val="18"/>
                <w:lang w:eastAsia="ko-KR"/>
              </w:rPr>
              <w:t>:</w:t>
            </w:r>
          </w:p>
        </w:tc>
        <w:tc>
          <w:tcPr>
            <w:tcW w:w="216" w:type="dxa"/>
            <w:tcBorders>
              <w:top w:val="single" w:sz="2" w:space="0" w:color="auto"/>
              <w:left w:val="single" w:sz="2" w:space="0" w:color="auto"/>
              <w:bottom w:val="single" w:sz="2" w:space="0" w:color="auto"/>
              <w:right w:val="single" w:sz="2" w:space="0" w:color="auto"/>
            </w:tcBorders>
          </w:tcPr>
          <w:p w14:paraId="62A2A518" w14:textId="77777777" w:rsidR="00BE2CA7" w:rsidRPr="00CC5187" w:rsidRDefault="00BE2CA7" w:rsidP="002B0590">
            <w:pPr>
              <w:spacing w:before="60" w:after="60"/>
              <w:jc w:val="both"/>
              <w:rPr>
                <w:rFonts w:eastAsia="MS Mincho"/>
                <w:sz w:val="18"/>
                <w:szCs w:val="18"/>
                <w:lang w:eastAsia="ko-KR"/>
              </w:rPr>
            </w:pPr>
          </w:p>
        </w:tc>
      </w:tr>
    </w:tbl>
    <w:p w14:paraId="0152B936" w14:textId="77777777" w:rsidR="00BE2CA7" w:rsidRDefault="00BE2CA7" w:rsidP="00BE2CA7">
      <w:pPr>
        <w:suppressAutoHyphens w:val="0"/>
        <w:kinsoku/>
        <w:overflowPunct/>
        <w:autoSpaceDE/>
        <w:autoSpaceDN/>
        <w:adjustRightInd/>
        <w:snapToGrid/>
        <w:spacing w:after="200" w:line="276" w:lineRule="auto"/>
        <w:rPr>
          <w:b/>
          <w:bCs/>
          <w:lang w:eastAsia="fr-FR"/>
        </w:rPr>
      </w:pPr>
      <w:r>
        <w:rPr>
          <w:b/>
          <w:bCs/>
          <w:lang w:eastAsia="fr-FR"/>
        </w:rPr>
        <w:br w:type="page"/>
      </w:r>
    </w:p>
    <w:p w14:paraId="5D980556" w14:textId="77777777" w:rsidR="00BE2CA7" w:rsidRDefault="00BE2CA7" w:rsidP="00BE2CA7">
      <w:pPr>
        <w:pStyle w:val="HChG"/>
        <w:rPr>
          <w:lang w:val="fr-FR"/>
        </w:rPr>
      </w:pPr>
      <w:r w:rsidRPr="00440C76">
        <w:rPr>
          <w:lang w:val="fr-FR"/>
        </w:rPr>
        <w:lastRenderedPageBreak/>
        <w:t>Annexe</w:t>
      </w:r>
      <w:r>
        <w:rPr>
          <w:lang w:val="fr-FR"/>
        </w:rPr>
        <w:t> 1</w:t>
      </w:r>
      <w:r w:rsidRPr="00440C76">
        <w:rPr>
          <w:lang w:val="fr-FR"/>
        </w:rPr>
        <w:t xml:space="preserve"> </w:t>
      </w:r>
      <w:r>
        <w:rPr>
          <w:lang w:val="fr-FR"/>
        </w:rPr>
        <w:t>−</w:t>
      </w:r>
      <w:r w:rsidRPr="00440C76">
        <w:rPr>
          <w:lang w:val="fr-FR"/>
        </w:rPr>
        <w:t xml:space="preserve"> </w:t>
      </w:r>
      <w:r>
        <w:rPr>
          <w:lang w:val="fr-FR"/>
        </w:rPr>
        <w:t>Appendice 2</w:t>
      </w:r>
    </w:p>
    <w:p w14:paraId="2C11A157" w14:textId="77777777" w:rsidR="00BE2CA7" w:rsidRDefault="00BE2CA7" w:rsidP="00BE2CA7">
      <w:pPr>
        <w:pStyle w:val="HChG"/>
        <w:rPr>
          <w:lang w:val="fr-FR"/>
        </w:rPr>
      </w:pPr>
      <w:r>
        <w:rPr>
          <w:lang w:val="fr-FR"/>
        </w:rPr>
        <w:tab/>
      </w:r>
      <w:r>
        <w:rPr>
          <w:lang w:val="fr-FR"/>
        </w:rPr>
        <w:tab/>
      </w:r>
      <w:r w:rsidRPr="00DF1E8F">
        <w:rPr>
          <w:lang w:val="fr-FR"/>
        </w:rPr>
        <w:t>Réservé</w:t>
      </w:r>
    </w:p>
    <w:p w14:paraId="3B675787" w14:textId="77777777" w:rsidR="00BE2CA7" w:rsidRDefault="00BE2CA7" w:rsidP="00BE2CA7">
      <w:pPr>
        <w:suppressAutoHyphens w:val="0"/>
        <w:kinsoku/>
        <w:overflowPunct/>
        <w:autoSpaceDE/>
        <w:autoSpaceDN/>
        <w:adjustRightInd/>
        <w:snapToGrid/>
        <w:spacing w:after="200" w:line="276" w:lineRule="auto"/>
        <w:rPr>
          <w:b/>
          <w:sz w:val="28"/>
          <w:lang w:val="fr-FR"/>
        </w:rPr>
      </w:pPr>
      <w:r>
        <w:rPr>
          <w:lang w:val="fr-FR"/>
        </w:rPr>
        <w:br w:type="page"/>
      </w:r>
    </w:p>
    <w:p w14:paraId="0695B67B" w14:textId="77777777" w:rsidR="00BE2CA7" w:rsidRDefault="00BE2CA7" w:rsidP="00BE2CA7">
      <w:pPr>
        <w:pStyle w:val="HChG"/>
        <w:rPr>
          <w:lang w:val="fr-FR"/>
        </w:rPr>
      </w:pPr>
      <w:r>
        <w:rPr>
          <w:lang w:val="fr-FR"/>
        </w:rPr>
        <w:lastRenderedPageBreak/>
        <w:t>Annexe 1 −</w:t>
      </w:r>
      <w:r w:rsidRPr="00440C76">
        <w:rPr>
          <w:lang w:val="fr-FR"/>
        </w:rPr>
        <w:t xml:space="preserve"> Appendice</w:t>
      </w:r>
      <w:r>
        <w:rPr>
          <w:lang w:val="fr-FR"/>
        </w:rPr>
        <w:t> </w:t>
      </w:r>
      <w:r w:rsidRPr="00440C76">
        <w:rPr>
          <w:lang w:val="fr-FR"/>
        </w:rPr>
        <w:t>3a</w:t>
      </w:r>
    </w:p>
    <w:p w14:paraId="38863765" w14:textId="77777777" w:rsidR="00BE2CA7" w:rsidRPr="00193A72" w:rsidRDefault="00BE2CA7" w:rsidP="00BE2CA7">
      <w:pPr>
        <w:pStyle w:val="HChG"/>
      </w:pPr>
      <w:r>
        <w:tab/>
      </w:r>
      <w:r>
        <w:tab/>
      </w:r>
      <w:r w:rsidRPr="00193A72">
        <w:t>Do</w:t>
      </w:r>
      <w:r>
        <w:t>ssiers d’information</w:t>
      </w:r>
    </w:p>
    <w:p w14:paraId="1007E5B3" w14:textId="77777777" w:rsidR="00BE2CA7" w:rsidRPr="00451DC0" w:rsidRDefault="00BE2CA7" w:rsidP="00BE2CA7">
      <w:pPr>
        <w:pStyle w:val="H1G"/>
        <w:rPr>
          <w:lang w:val="fr-BE"/>
        </w:rPr>
      </w:pPr>
      <w:r>
        <w:rPr>
          <w:lang w:val="fr-BE"/>
        </w:rPr>
        <w:tab/>
      </w:r>
      <w:r>
        <w:rPr>
          <w:lang w:val="fr-BE"/>
        </w:rPr>
        <w:tab/>
        <w:t>Dossier d’information officiel</w:t>
      </w:r>
    </w:p>
    <w:p w14:paraId="1A03CCDC" w14:textId="77777777" w:rsidR="00BE2CA7" w:rsidRPr="002D411F" w:rsidRDefault="00BE2CA7" w:rsidP="00BE2CA7">
      <w:pPr>
        <w:pStyle w:val="SingleTxtG"/>
        <w:ind w:firstLine="567"/>
      </w:pPr>
      <w:r w:rsidRPr="00A318C3">
        <w:rPr>
          <w:lang w:val="fr-FR"/>
        </w:rPr>
        <w:t>Le constructeur peut utiliser un seul dossier d</w:t>
      </w:r>
      <w:r>
        <w:rPr>
          <w:lang w:val="fr-FR"/>
        </w:rPr>
        <w:t>’</w:t>
      </w:r>
      <w:r w:rsidRPr="00A318C3">
        <w:rPr>
          <w:lang w:val="fr-FR"/>
        </w:rPr>
        <w:t>information officiel pour plusieurs homologations de type en ce qui concerne les émissions</w:t>
      </w:r>
      <w:r>
        <w:rPr>
          <w:lang w:val="fr-FR"/>
        </w:rPr>
        <w:t>. Le dossier doit contenir les informations suivantes </w:t>
      </w:r>
      <w:r w:rsidRPr="00EF0FE8">
        <w:t>:</w:t>
      </w:r>
    </w:p>
    <w:tbl>
      <w:tblPr>
        <w:tblW w:w="9639" w:type="dxa"/>
        <w:tblLayout w:type="fixed"/>
        <w:tblLook w:val="0000" w:firstRow="0" w:lastRow="0" w:firstColumn="0" w:lastColumn="0" w:noHBand="0" w:noVBand="0"/>
      </w:tblPr>
      <w:tblGrid>
        <w:gridCol w:w="3975"/>
        <w:gridCol w:w="5664"/>
      </w:tblGrid>
      <w:tr w:rsidR="00BE2CA7" w:rsidRPr="00EF0FE8" w14:paraId="36E4E2E9" w14:textId="77777777" w:rsidTr="002B0590">
        <w:tc>
          <w:tcPr>
            <w:tcW w:w="4077" w:type="dxa"/>
            <w:tcBorders>
              <w:top w:val="single" w:sz="2" w:space="0" w:color="auto"/>
              <w:left w:val="single" w:sz="2" w:space="0" w:color="auto"/>
              <w:bottom w:val="single" w:sz="2" w:space="0" w:color="auto"/>
              <w:right w:val="single" w:sz="2" w:space="0" w:color="auto"/>
            </w:tcBorders>
          </w:tcPr>
          <w:p w14:paraId="1ED6DCAE" w14:textId="77777777" w:rsidR="00BE2CA7" w:rsidRPr="00EF0FE8" w:rsidRDefault="00BE2CA7" w:rsidP="002B0590">
            <w:pPr>
              <w:spacing w:before="60" w:after="60"/>
              <w:jc w:val="center"/>
              <w:rPr>
                <w:b/>
              </w:rPr>
            </w:pPr>
            <w:r>
              <w:rPr>
                <w:b/>
              </w:rPr>
              <w:t>Objet</w:t>
            </w:r>
          </w:p>
        </w:tc>
        <w:tc>
          <w:tcPr>
            <w:tcW w:w="5812" w:type="dxa"/>
            <w:tcBorders>
              <w:top w:val="single" w:sz="2" w:space="0" w:color="auto"/>
              <w:left w:val="single" w:sz="2" w:space="0" w:color="auto"/>
              <w:bottom w:val="single" w:sz="2" w:space="0" w:color="auto"/>
              <w:right w:val="single" w:sz="2" w:space="0" w:color="auto"/>
            </w:tcBorders>
          </w:tcPr>
          <w:p w14:paraId="33DCC100" w14:textId="77777777" w:rsidR="00BE2CA7" w:rsidRPr="00EF0FE8" w:rsidRDefault="00BE2CA7" w:rsidP="002B0590">
            <w:pPr>
              <w:spacing w:before="60" w:after="60"/>
              <w:jc w:val="center"/>
              <w:rPr>
                <w:b/>
              </w:rPr>
            </w:pPr>
            <w:r w:rsidRPr="00EF0FE8">
              <w:rPr>
                <w:b/>
              </w:rPr>
              <w:t>Expl</w:t>
            </w:r>
            <w:r>
              <w:rPr>
                <w:b/>
              </w:rPr>
              <w:t>ication</w:t>
            </w:r>
          </w:p>
        </w:tc>
      </w:tr>
      <w:tr w:rsidR="00BE2CA7" w:rsidRPr="00C27577" w14:paraId="1BD28D13" w14:textId="77777777" w:rsidTr="002B0590">
        <w:tc>
          <w:tcPr>
            <w:tcW w:w="4077" w:type="dxa"/>
            <w:tcBorders>
              <w:top w:val="single" w:sz="2" w:space="0" w:color="auto"/>
              <w:left w:val="single" w:sz="2" w:space="0" w:color="auto"/>
              <w:bottom w:val="single" w:sz="2" w:space="0" w:color="auto"/>
              <w:right w:val="single" w:sz="2" w:space="0" w:color="auto"/>
            </w:tcBorders>
          </w:tcPr>
          <w:p w14:paraId="05E1CA2F" w14:textId="77777777" w:rsidR="00BE2CA7" w:rsidRPr="00AD1466" w:rsidRDefault="00BE2CA7" w:rsidP="002B0590">
            <w:pPr>
              <w:spacing w:before="60" w:after="60"/>
              <w:rPr>
                <w:b/>
                <w:lang w:val="fr-FR"/>
              </w:rPr>
            </w:pPr>
            <w:r w:rsidRPr="00AD1466">
              <w:rPr>
                <w:b/>
                <w:lang w:val="fr-FR"/>
              </w:rPr>
              <w:t>Numéro(s) d’homologation de type en ce qui concerne les émissions</w:t>
            </w:r>
          </w:p>
        </w:tc>
        <w:tc>
          <w:tcPr>
            <w:tcW w:w="5812" w:type="dxa"/>
            <w:tcBorders>
              <w:top w:val="single" w:sz="2" w:space="0" w:color="auto"/>
              <w:left w:val="single" w:sz="2" w:space="0" w:color="auto"/>
              <w:bottom w:val="single" w:sz="2" w:space="0" w:color="auto"/>
              <w:right w:val="single" w:sz="2" w:space="0" w:color="auto"/>
            </w:tcBorders>
          </w:tcPr>
          <w:p w14:paraId="42160FC4" w14:textId="77777777" w:rsidR="00BE2CA7" w:rsidRDefault="00BE2CA7" w:rsidP="002B0590">
            <w:pPr>
              <w:spacing w:before="60" w:after="60"/>
              <w:rPr>
                <w:lang w:val="fr-FR"/>
              </w:rPr>
            </w:pPr>
            <w:r w:rsidRPr="00A318C3">
              <w:rPr>
                <w:lang w:val="fr-FR"/>
              </w:rPr>
              <w:t>Liste d</w:t>
            </w:r>
            <w:r>
              <w:rPr>
                <w:lang w:val="fr-FR"/>
              </w:rPr>
              <w:t>u ou des</w:t>
            </w:r>
            <w:r w:rsidRPr="00A318C3">
              <w:rPr>
                <w:lang w:val="fr-FR"/>
              </w:rPr>
              <w:t xml:space="preserve"> numéro</w:t>
            </w:r>
            <w:r>
              <w:rPr>
                <w:lang w:val="fr-FR"/>
              </w:rPr>
              <w:t>(</w:t>
            </w:r>
            <w:r w:rsidRPr="00A318C3">
              <w:rPr>
                <w:lang w:val="fr-FR"/>
              </w:rPr>
              <w:t>s</w:t>
            </w:r>
            <w:r>
              <w:rPr>
                <w:lang w:val="fr-FR"/>
              </w:rPr>
              <w:t>)</w:t>
            </w:r>
            <w:r w:rsidRPr="00A318C3">
              <w:rPr>
                <w:lang w:val="fr-FR"/>
              </w:rPr>
              <w:t xml:space="preserve"> d</w:t>
            </w:r>
            <w:r>
              <w:rPr>
                <w:lang w:val="fr-FR"/>
              </w:rPr>
              <w:t>’</w:t>
            </w:r>
            <w:r w:rsidRPr="00A318C3">
              <w:rPr>
                <w:lang w:val="fr-FR"/>
              </w:rPr>
              <w:t>homologation de type en</w:t>
            </w:r>
            <w:r>
              <w:rPr>
                <w:lang w:val="fr-FR"/>
              </w:rPr>
              <w:t xml:space="preserve"> </w:t>
            </w:r>
            <w:r w:rsidRPr="00A318C3">
              <w:rPr>
                <w:lang w:val="fr-FR"/>
              </w:rPr>
              <w:t>ce qui concerne les émi</w:t>
            </w:r>
            <w:r>
              <w:rPr>
                <w:lang w:val="fr-FR"/>
              </w:rPr>
              <w:t>ssions qui sont concerné(s) par l’ensemble BES</w:t>
            </w:r>
            <w:r>
              <w:rPr>
                <w:lang w:val="fr-FR"/>
              </w:rPr>
              <w:noBreakHyphen/>
              <w:t xml:space="preserve">AES soumis pour homologation : </w:t>
            </w:r>
          </w:p>
          <w:p w14:paraId="6367AFDD" w14:textId="77777777" w:rsidR="00BE2CA7" w:rsidRPr="00A318C3" w:rsidRDefault="00BE2CA7" w:rsidP="002B0590">
            <w:pPr>
              <w:spacing w:before="60" w:after="60"/>
              <w:rPr>
                <w:lang w:val="fr-FR"/>
              </w:rPr>
            </w:pPr>
            <w:r w:rsidRPr="00ED6982">
              <w:rPr>
                <w:lang w:val="fr-FR"/>
              </w:rPr>
              <w:t>y compris référence de l</w:t>
            </w:r>
            <w:r>
              <w:rPr>
                <w:lang w:val="fr-FR"/>
              </w:rPr>
              <w:t>’</w:t>
            </w:r>
            <w:r w:rsidRPr="00ED6982">
              <w:rPr>
                <w:lang w:val="fr-FR"/>
              </w:rPr>
              <w:t>homologation, référence du logiciel, numéro d</w:t>
            </w:r>
            <w:r>
              <w:rPr>
                <w:lang w:val="fr-FR"/>
              </w:rPr>
              <w:t>’</w:t>
            </w:r>
            <w:r w:rsidRPr="00ED6982">
              <w:rPr>
                <w:lang w:val="fr-FR"/>
              </w:rPr>
              <w:t xml:space="preserve">étalonnage, sommes de contrôle de chaque version et de chaque </w:t>
            </w:r>
            <w:r>
              <w:rPr>
                <w:lang w:val="fr-FR"/>
              </w:rPr>
              <w:t>module de commande</w:t>
            </w:r>
            <w:r w:rsidRPr="00ED6982">
              <w:rPr>
                <w:lang w:val="fr-FR"/>
              </w:rPr>
              <w:t xml:space="preserve"> (moteur ou traitement aval)</w:t>
            </w:r>
          </w:p>
        </w:tc>
      </w:tr>
      <w:tr w:rsidR="00BE2CA7" w:rsidRPr="004F3060" w14:paraId="5F1B1892" w14:textId="77777777" w:rsidTr="002B0590">
        <w:tc>
          <w:tcPr>
            <w:tcW w:w="4077" w:type="dxa"/>
            <w:tcBorders>
              <w:top w:val="single" w:sz="2" w:space="0" w:color="auto"/>
              <w:left w:val="single" w:sz="2" w:space="0" w:color="auto"/>
              <w:bottom w:val="single" w:sz="2" w:space="0" w:color="auto"/>
              <w:right w:val="single" w:sz="2" w:space="0" w:color="auto"/>
            </w:tcBorders>
          </w:tcPr>
          <w:p w14:paraId="777AD8EE" w14:textId="77777777" w:rsidR="00BE2CA7" w:rsidRPr="00A318C3" w:rsidRDefault="00BE2CA7" w:rsidP="002B0590">
            <w:pPr>
              <w:spacing w:before="60" w:after="60"/>
              <w:rPr>
                <w:lang w:val="fr-FR"/>
              </w:rPr>
            </w:pPr>
            <w:r w:rsidRPr="00A318C3">
              <w:rPr>
                <w:lang w:val="fr-FR"/>
              </w:rPr>
              <w:t>Méthode d</w:t>
            </w:r>
            <w:r>
              <w:rPr>
                <w:lang w:val="fr-FR"/>
              </w:rPr>
              <w:t>’</w:t>
            </w:r>
            <w:r w:rsidRPr="00A318C3">
              <w:rPr>
                <w:lang w:val="fr-FR"/>
              </w:rPr>
              <w:t>interprétation du logiciel et version d</w:t>
            </w:r>
            <w:r>
              <w:rPr>
                <w:lang w:val="fr-FR"/>
              </w:rPr>
              <w:t>’</w:t>
            </w:r>
            <w:r w:rsidRPr="00A318C3">
              <w:rPr>
                <w:lang w:val="fr-FR"/>
              </w:rPr>
              <w:t>étalonnage</w:t>
            </w:r>
          </w:p>
        </w:tc>
        <w:tc>
          <w:tcPr>
            <w:tcW w:w="5812" w:type="dxa"/>
            <w:tcBorders>
              <w:top w:val="single" w:sz="2" w:space="0" w:color="auto"/>
              <w:left w:val="single" w:sz="2" w:space="0" w:color="auto"/>
              <w:bottom w:val="single" w:sz="2" w:space="0" w:color="auto"/>
              <w:right w:val="single" w:sz="2" w:space="0" w:color="auto"/>
            </w:tcBorders>
          </w:tcPr>
          <w:p w14:paraId="3EE12A28" w14:textId="77777777" w:rsidR="00BE2CA7" w:rsidRPr="00A318C3" w:rsidRDefault="00BE2CA7" w:rsidP="002B0590">
            <w:pPr>
              <w:spacing w:before="60" w:after="60"/>
              <w:rPr>
                <w:lang w:val="fr-FR"/>
              </w:rPr>
            </w:pPr>
            <w:r w:rsidRPr="00A318C3">
              <w:rPr>
                <w:lang w:val="fr-FR"/>
              </w:rPr>
              <w:t>Par exemple, explication du fonctionnement de l</w:t>
            </w:r>
            <w:r>
              <w:rPr>
                <w:lang w:val="fr-FR"/>
              </w:rPr>
              <w:t>’analyseur de diagnostic</w:t>
            </w:r>
          </w:p>
        </w:tc>
      </w:tr>
      <w:tr w:rsidR="00BE2CA7" w:rsidRPr="00EF0FE8" w14:paraId="3F747297" w14:textId="77777777" w:rsidTr="002B0590">
        <w:tc>
          <w:tcPr>
            <w:tcW w:w="4077" w:type="dxa"/>
            <w:tcBorders>
              <w:top w:val="single" w:sz="2" w:space="0" w:color="auto"/>
              <w:left w:val="single" w:sz="2" w:space="0" w:color="auto"/>
              <w:bottom w:val="single" w:sz="2" w:space="0" w:color="auto"/>
              <w:right w:val="single" w:sz="2" w:space="0" w:color="auto"/>
            </w:tcBorders>
          </w:tcPr>
          <w:p w14:paraId="2D8A834A" w14:textId="77777777" w:rsidR="00BE2CA7" w:rsidRPr="007D22E4" w:rsidRDefault="00BE2CA7" w:rsidP="002B0590">
            <w:pPr>
              <w:spacing w:before="60" w:after="60"/>
              <w:rPr>
                <w:rFonts w:ascii="Times New Roman Gras" w:hAnsi="Times New Roman Gras"/>
                <w:b/>
                <w:spacing w:val="-2"/>
              </w:rPr>
            </w:pPr>
            <w:r w:rsidRPr="007D22E4">
              <w:rPr>
                <w:rFonts w:ascii="Times New Roman Gras" w:hAnsi="Times New Roman Gras"/>
                <w:b/>
                <w:spacing w:val="-2"/>
              </w:rPr>
              <w:t>Stratégies de base de réduction des émissions</w:t>
            </w:r>
          </w:p>
        </w:tc>
        <w:tc>
          <w:tcPr>
            <w:tcW w:w="5812" w:type="dxa"/>
            <w:tcBorders>
              <w:top w:val="single" w:sz="2" w:space="0" w:color="auto"/>
              <w:left w:val="single" w:sz="2" w:space="0" w:color="auto"/>
              <w:bottom w:val="single" w:sz="2" w:space="0" w:color="auto"/>
              <w:right w:val="single" w:sz="2" w:space="0" w:color="auto"/>
            </w:tcBorders>
          </w:tcPr>
          <w:p w14:paraId="35DB7717" w14:textId="77777777" w:rsidR="00BE2CA7" w:rsidRPr="00EF0FE8" w:rsidRDefault="00BE2CA7" w:rsidP="002B0590">
            <w:pPr>
              <w:spacing w:before="60" w:after="60"/>
            </w:pPr>
          </w:p>
        </w:tc>
      </w:tr>
      <w:tr w:rsidR="00BE2CA7" w:rsidRPr="00EF0FE8" w14:paraId="584EC7F7" w14:textId="77777777" w:rsidTr="002B0590">
        <w:tc>
          <w:tcPr>
            <w:tcW w:w="4077" w:type="dxa"/>
            <w:tcBorders>
              <w:top w:val="single" w:sz="2" w:space="0" w:color="auto"/>
              <w:left w:val="single" w:sz="2" w:space="0" w:color="auto"/>
              <w:bottom w:val="single" w:sz="2" w:space="0" w:color="auto"/>
              <w:right w:val="single" w:sz="2" w:space="0" w:color="auto"/>
            </w:tcBorders>
          </w:tcPr>
          <w:p w14:paraId="715CDE66" w14:textId="77777777" w:rsidR="00BE2CA7" w:rsidRPr="00EF0FE8" w:rsidRDefault="00BE2CA7" w:rsidP="002B0590">
            <w:pPr>
              <w:spacing w:before="60" w:after="60"/>
            </w:pPr>
            <w:r w:rsidRPr="00EF0FE8">
              <w:t>BES x</w:t>
            </w:r>
          </w:p>
        </w:tc>
        <w:tc>
          <w:tcPr>
            <w:tcW w:w="5812" w:type="dxa"/>
            <w:tcBorders>
              <w:top w:val="single" w:sz="2" w:space="0" w:color="auto"/>
              <w:left w:val="single" w:sz="2" w:space="0" w:color="auto"/>
              <w:bottom w:val="single" w:sz="2" w:space="0" w:color="auto"/>
              <w:right w:val="single" w:sz="2" w:space="0" w:color="auto"/>
            </w:tcBorders>
          </w:tcPr>
          <w:p w14:paraId="12CCDD34" w14:textId="77777777" w:rsidR="00BE2CA7" w:rsidRPr="00A318C3" w:rsidRDefault="00BE2CA7" w:rsidP="002B0590">
            <w:pPr>
              <w:spacing w:before="60" w:after="60"/>
              <w:rPr>
                <w:lang w:val="fr-FR"/>
              </w:rPr>
            </w:pPr>
            <w:r w:rsidRPr="00B3345A">
              <w:t>Description de la stratégie x</w:t>
            </w:r>
          </w:p>
        </w:tc>
      </w:tr>
      <w:tr w:rsidR="00BE2CA7" w:rsidRPr="00EF0FE8" w14:paraId="7055120E" w14:textId="77777777" w:rsidTr="002B0590">
        <w:tc>
          <w:tcPr>
            <w:tcW w:w="4077" w:type="dxa"/>
            <w:tcBorders>
              <w:top w:val="single" w:sz="2" w:space="0" w:color="auto"/>
              <w:left w:val="single" w:sz="2" w:space="0" w:color="auto"/>
              <w:bottom w:val="single" w:sz="2" w:space="0" w:color="auto"/>
              <w:right w:val="single" w:sz="2" w:space="0" w:color="auto"/>
            </w:tcBorders>
          </w:tcPr>
          <w:p w14:paraId="615A31C9" w14:textId="77777777" w:rsidR="00BE2CA7" w:rsidRPr="00EF0FE8" w:rsidRDefault="00BE2CA7" w:rsidP="002B0590">
            <w:pPr>
              <w:spacing w:before="60" w:after="60"/>
            </w:pPr>
            <w:r w:rsidRPr="00EF0FE8">
              <w:t>BES y</w:t>
            </w:r>
          </w:p>
        </w:tc>
        <w:tc>
          <w:tcPr>
            <w:tcW w:w="5812" w:type="dxa"/>
            <w:tcBorders>
              <w:top w:val="single" w:sz="2" w:space="0" w:color="auto"/>
              <w:left w:val="single" w:sz="2" w:space="0" w:color="auto"/>
              <w:bottom w:val="single" w:sz="2" w:space="0" w:color="auto"/>
              <w:right w:val="single" w:sz="2" w:space="0" w:color="auto"/>
            </w:tcBorders>
          </w:tcPr>
          <w:p w14:paraId="5C34CACD" w14:textId="77777777" w:rsidR="00BE2CA7" w:rsidRPr="00EF0FE8" w:rsidRDefault="00BE2CA7" w:rsidP="002B0590">
            <w:pPr>
              <w:spacing w:before="60" w:after="60"/>
            </w:pPr>
            <w:r w:rsidRPr="00645EAC">
              <w:t>Description de la stratégie y</w:t>
            </w:r>
          </w:p>
        </w:tc>
      </w:tr>
      <w:tr w:rsidR="00BE2CA7" w:rsidRPr="00EF0FE8" w14:paraId="21FFC189" w14:textId="77777777" w:rsidTr="002B0590">
        <w:tc>
          <w:tcPr>
            <w:tcW w:w="4077" w:type="dxa"/>
            <w:tcBorders>
              <w:top w:val="single" w:sz="2" w:space="0" w:color="auto"/>
              <w:left w:val="single" w:sz="2" w:space="0" w:color="auto"/>
              <w:bottom w:val="single" w:sz="2" w:space="0" w:color="auto"/>
              <w:right w:val="single" w:sz="2" w:space="0" w:color="auto"/>
            </w:tcBorders>
          </w:tcPr>
          <w:p w14:paraId="0AA29F65" w14:textId="77777777" w:rsidR="00BE2CA7" w:rsidRPr="00AD1466" w:rsidRDefault="00BE2CA7" w:rsidP="002B0590">
            <w:pPr>
              <w:spacing w:before="60" w:after="60"/>
              <w:rPr>
                <w:b/>
                <w:lang w:val="fr-FR"/>
              </w:rPr>
            </w:pPr>
            <w:r w:rsidRPr="00AD1466">
              <w:rPr>
                <w:b/>
              </w:rPr>
              <w:t>Stratégies auxiliaires de réduction des émissions</w:t>
            </w:r>
          </w:p>
        </w:tc>
        <w:tc>
          <w:tcPr>
            <w:tcW w:w="5812" w:type="dxa"/>
            <w:tcBorders>
              <w:top w:val="single" w:sz="2" w:space="0" w:color="auto"/>
              <w:left w:val="single" w:sz="2" w:space="0" w:color="auto"/>
              <w:bottom w:val="single" w:sz="2" w:space="0" w:color="auto"/>
              <w:right w:val="single" w:sz="2" w:space="0" w:color="auto"/>
            </w:tcBorders>
          </w:tcPr>
          <w:p w14:paraId="1BC9A65B" w14:textId="77777777" w:rsidR="00BE2CA7" w:rsidRPr="00EF0FE8" w:rsidRDefault="00BE2CA7" w:rsidP="002B0590">
            <w:pPr>
              <w:spacing w:before="60" w:after="60"/>
            </w:pPr>
          </w:p>
        </w:tc>
      </w:tr>
      <w:tr w:rsidR="00BE2CA7" w:rsidRPr="00F57847" w14:paraId="3DFEB8BF" w14:textId="77777777" w:rsidTr="002B0590">
        <w:tc>
          <w:tcPr>
            <w:tcW w:w="4077" w:type="dxa"/>
            <w:tcBorders>
              <w:top w:val="single" w:sz="2" w:space="0" w:color="auto"/>
              <w:left w:val="single" w:sz="2" w:space="0" w:color="auto"/>
              <w:bottom w:val="single" w:sz="2" w:space="0" w:color="auto"/>
              <w:right w:val="single" w:sz="2" w:space="0" w:color="auto"/>
            </w:tcBorders>
          </w:tcPr>
          <w:p w14:paraId="6BB05B64" w14:textId="77777777" w:rsidR="00BE2CA7" w:rsidRPr="00EF0FE8" w:rsidRDefault="00BE2CA7" w:rsidP="002B0590">
            <w:pPr>
              <w:spacing w:before="60" w:after="60"/>
            </w:pPr>
            <w:r w:rsidRPr="00645EAC">
              <w:t>Présentation des AES</w:t>
            </w:r>
          </w:p>
        </w:tc>
        <w:tc>
          <w:tcPr>
            <w:tcW w:w="5812" w:type="dxa"/>
            <w:tcBorders>
              <w:top w:val="single" w:sz="2" w:space="0" w:color="auto"/>
              <w:left w:val="single" w:sz="2" w:space="0" w:color="auto"/>
              <w:bottom w:val="single" w:sz="2" w:space="0" w:color="auto"/>
              <w:right w:val="single" w:sz="2" w:space="0" w:color="auto"/>
            </w:tcBorders>
          </w:tcPr>
          <w:p w14:paraId="67AEF520" w14:textId="77777777" w:rsidR="00BE2CA7" w:rsidRPr="00F57847" w:rsidRDefault="00BE2CA7" w:rsidP="002B0590">
            <w:pPr>
              <w:spacing w:before="60" w:after="60"/>
            </w:pPr>
            <w:r w:rsidRPr="00A318C3">
              <w:t>Relations hiérarchiques entre les AES</w:t>
            </w:r>
            <w:r>
              <w:t> </w:t>
            </w:r>
            <w:r w:rsidRPr="00A318C3">
              <w:t>: quelle AES prime s</w:t>
            </w:r>
            <w:r>
              <w:t>’</w:t>
            </w:r>
            <w:r w:rsidRPr="00A318C3">
              <w:t>il en existe plusieurs</w:t>
            </w:r>
          </w:p>
        </w:tc>
      </w:tr>
      <w:tr w:rsidR="00BE2CA7" w:rsidRPr="0006131A" w14:paraId="43D86FC2" w14:textId="77777777" w:rsidTr="002B0590">
        <w:tc>
          <w:tcPr>
            <w:tcW w:w="4077" w:type="dxa"/>
            <w:tcBorders>
              <w:top w:val="single" w:sz="2" w:space="0" w:color="auto"/>
              <w:left w:val="single" w:sz="2" w:space="0" w:color="auto"/>
              <w:bottom w:val="single" w:sz="2" w:space="0" w:color="auto"/>
              <w:right w:val="single" w:sz="2" w:space="0" w:color="auto"/>
            </w:tcBorders>
          </w:tcPr>
          <w:p w14:paraId="70025558" w14:textId="77777777" w:rsidR="00BE2CA7" w:rsidRPr="00EF0FE8" w:rsidRDefault="00BE2CA7" w:rsidP="002B0590">
            <w:pPr>
              <w:spacing w:before="60" w:after="60"/>
            </w:pPr>
            <w:r w:rsidRPr="00EF0FE8">
              <w:t>AES x</w:t>
            </w:r>
          </w:p>
        </w:tc>
        <w:tc>
          <w:tcPr>
            <w:tcW w:w="5812" w:type="dxa"/>
            <w:tcBorders>
              <w:top w:val="single" w:sz="2" w:space="0" w:color="auto"/>
              <w:left w:val="single" w:sz="2" w:space="0" w:color="auto"/>
              <w:bottom w:val="single" w:sz="2" w:space="0" w:color="auto"/>
              <w:right w:val="single" w:sz="2" w:space="0" w:color="auto"/>
            </w:tcBorders>
          </w:tcPr>
          <w:p w14:paraId="249108A2" w14:textId="77777777" w:rsidR="00BE2CA7" w:rsidRPr="00A318C3" w:rsidRDefault="00BE2CA7" w:rsidP="00BE2CA7">
            <w:pPr>
              <w:pStyle w:val="Bullet1G"/>
              <w:numPr>
                <w:ilvl w:val="0"/>
                <w:numId w:val="1"/>
              </w:numPr>
              <w:spacing w:before="60" w:after="60"/>
              <w:ind w:left="454" w:right="0"/>
              <w:jc w:val="left"/>
              <w:rPr>
                <w:lang w:val="fr-FR"/>
              </w:rPr>
            </w:pPr>
            <w:r w:rsidRPr="008D79F7">
              <w:t xml:space="preserve">Justification </w:t>
            </w:r>
            <w:r>
              <w:t xml:space="preserve">et description </w:t>
            </w:r>
            <w:r w:rsidRPr="008D79F7">
              <w:t>de l</w:t>
            </w:r>
            <w:r>
              <w:t>’</w:t>
            </w:r>
            <w:r w:rsidRPr="008D79F7">
              <w:t xml:space="preserve">AES </w:t>
            </w:r>
          </w:p>
          <w:p w14:paraId="6B04E579" w14:textId="77777777" w:rsidR="00BE2CA7" w:rsidRPr="00A318C3" w:rsidRDefault="00BE2CA7" w:rsidP="00BE2CA7">
            <w:pPr>
              <w:pStyle w:val="Bullet1G"/>
              <w:numPr>
                <w:ilvl w:val="0"/>
                <w:numId w:val="1"/>
              </w:numPr>
              <w:spacing w:before="60" w:after="60"/>
              <w:ind w:left="454" w:right="0"/>
              <w:jc w:val="left"/>
              <w:rPr>
                <w:lang w:val="fr-FR"/>
              </w:rPr>
            </w:pPr>
            <w:r>
              <w:t>Paramètres mesurés ou modélisés relatifs à l’activation de l’AES</w:t>
            </w:r>
          </w:p>
          <w:p w14:paraId="35E43CC2" w14:textId="77777777" w:rsidR="00BE2CA7" w:rsidRPr="00A318C3" w:rsidRDefault="00BE2CA7" w:rsidP="00BE2CA7">
            <w:pPr>
              <w:pStyle w:val="Bullet1G"/>
              <w:numPr>
                <w:ilvl w:val="0"/>
                <w:numId w:val="1"/>
              </w:numPr>
              <w:spacing w:before="60" w:after="60"/>
              <w:ind w:left="454" w:right="0"/>
              <w:jc w:val="left"/>
              <w:rPr>
                <w:lang w:val="fr-FR"/>
              </w:rPr>
            </w:pPr>
            <w:r w:rsidRPr="00A318C3">
              <w:rPr>
                <w:lang w:val="fr-FR"/>
              </w:rPr>
              <w:t>Autres paramètres servant à active</w:t>
            </w:r>
            <w:r>
              <w:rPr>
                <w:lang w:val="fr-FR"/>
              </w:rPr>
              <w:t>r</w:t>
            </w:r>
            <w:r w:rsidRPr="00A318C3">
              <w:rPr>
                <w:lang w:val="fr-FR"/>
              </w:rPr>
              <w:t xml:space="preserve"> l</w:t>
            </w:r>
            <w:r>
              <w:rPr>
                <w:lang w:val="fr-FR"/>
              </w:rPr>
              <w:t>’</w:t>
            </w:r>
            <w:r w:rsidRPr="00A318C3">
              <w:rPr>
                <w:lang w:val="fr-FR"/>
              </w:rPr>
              <w:t>AES</w:t>
            </w:r>
          </w:p>
          <w:p w14:paraId="0FFBA43D" w14:textId="77777777" w:rsidR="00BE2CA7" w:rsidRPr="00A318C3" w:rsidRDefault="00BE2CA7" w:rsidP="00BE2CA7">
            <w:pPr>
              <w:pStyle w:val="Bullet1G"/>
              <w:numPr>
                <w:ilvl w:val="0"/>
                <w:numId w:val="1"/>
              </w:numPr>
              <w:spacing w:before="60" w:after="60"/>
              <w:ind w:left="454" w:right="0"/>
              <w:jc w:val="left"/>
              <w:rPr>
                <w:lang w:val="fr-FR"/>
              </w:rPr>
            </w:pPr>
            <w:r w:rsidRPr="00A318C3">
              <w:rPr>
                <w:lang w:val="fr-FR"/>
              </w:rPr>
              <w:t>Augmentation des polluants et du CO</w:t>
            </w:r>
            <w:r w:rsidRPr="00A318C3">
              <w:rPr>
                <w:vertAlign w:val="subscript"/>
                <w:lang w:val="fr-FR"/>
              </w:rPr>
              <w:t>2</w:t>
            </w:r>
            <w:r w:rsidRPr="00A318C3">
              <w:rPr>
                <w:lang w:val="fr-FR"/>
              </w:rPr>
              <w:t xml:space="preserve"> </w:t>
            </w:r>
            <w:r>
              <w:rPr>
                <w:lang w:val="fr-FR"/>
              </w:rPr>
              <w:t xml:space="preserve">émis </w:t>
            </w:r>
            <w:r w:rsidRPr="00A318C3">
              <w:rPr>
                <w:lang w:val="fr-FR"/>
              </w:rPr>
              <w:t>lors de l</w:t>
            </w:r>
            <w:r>
              <w:rPr>
                <w:lang w:val="fr-FR"/>
              </w:rPr>
              <w:t>’</w:t>
            </w:r>
            <w:r w:rsidRPr="00A318C3">
              <w:rPr>
                <w:lang w:val="fr-FR"/>
              </w:rPr>
              <w:t>utilisation de l</w:t>
            </w:r>
            <w:r>
              <w:rPr>
                <w:lang w:val="fr-FR"/>
              </w:rPr>
              <w:t>’</w:t>
            </w:r>
            <w:r w:rsidRPr="00A318C3">
              <w:rPr>
                <w:lang w:val="fr-FR"/>
              </w:rPr>
              <w:t xml:space="preserve">AES </w:t>
            </w:r>
            <w:r>
              <w:rPr>
                <w:lang w:val="fr-FR"/>
              </w:rPr>
              <w:t>par rapport à l’utilisation de la BES</w:t>
            </w:r>
          </w:p>
        </w:tc>
      </w:tr>
      <w:tr w:rsidR="00BE2CA7" w:rsidRPr="00EF0FE8" w14:paraId="4E3CE8EF" w14:textId="77777777" w:rsidTr="002B0590">
        <w:tc>
          <w:tcPr>
            <w:tcW w:w="4077" w:type="dxa"/>
            <w:tcBorders>
              <w:top w:val="single" w:sz="2" w:space="0" w:color="auto"/>
              <w:left w:val="single" w:sz="2" w:space="0" w:color="auto"/>
              <w:bottom w:val="single" w:sz="2" w:space="0" w:color="auto"/>
              <w:right w:val="single" w:sz="2" w:space="0" w:color="auto"/>
            </w:tcBorders>
          </w:tcPr>
          <w:p w14:paraId="614436C6" w14:textId="77777777" w:rsidR="00BE2CA7" w:rsidRPr="00EF0FE8" w:rsidRDefault="00BE2CA7" w:rsidP="002B0590">
            <w:pPr>
              <w:spacing w:before="60" w:after="60"/>
            </w:pPr>
            <w:r w:rsidRPr="00EF0FE8">
              <w:t>AES y</w:t>
            </w:r>
          </w:p>
        </w:tc>
        <w:tc>
          <w:tcPr>
            <w:tcW w:w="5812" w:type="dxa"/>
            <w:tcBorders>
              <w:top w:val="single" w:sz="2" w:space="0" w:color="auto"/>
              <w:left w:val="single" w:sz="2" w:space="0" w:color="auto"/>
              <w:bottom w:val="single" w:sz="2" w:space="0" w:color="auto"/>
              <w:right w:val="single" w:sz="2" w:space="0" w:color="auto"/>
            </w:tcBorders>
          </w:tcPr>
          <w:p w14:paraId="10F626D8" w14:textId="77777777" w:rsidR="00BE2CA7" w:rsidRPr="00EF0FE8" w:rsidRDefault="00BE2CA7" w:rsidP="002B0590">
            <w:pPr>
              <w:spacing w:before="60" w:after="60"/>
            </w:pPr>
            <w:r>
              <w:t>Comme ci-dessus</w:t>
            </w:r>
          </w:p>
        </w:tc>
      </w:tr>
    </w:tbl>
    <w:p w14:paraId="11C10912" w14:textId="77777777" w:rsidR="00BE2CA7" w:rsidRPr="00440C76" w:rsidRDefault="00BE2CA7" w:rsidP="00BE2CA7">
      <w:pPr>
        <w:pStyle w:val="H1G"/>
        <w:rPr>
          <w:bCs/>
          <w:snapToGrid w:val="0"/>
          <w:szCs w:val="24"/>
          <w:lang w:val="fr-FR"/>
        </w:rPr>
      </w:pPr>
      <w:r w:rsidRPr="00440C76">
        <w:rPr>
          <w:snapToGrid w:val="0"/>
          <w:lang w:val="fr-FR"/>
        </w:rPr>
        <w:tab/>
      </w:r>
      <w:r w:rsidRPr="00440C76">
        <w:rPr>
          <w:snapToGrid w:val="0"/>
          <w:lang w:val="fr-FR"/>
        </w:rPr>
        <w:tab/>
        <w:t>Dossier d</w:t>
      </w:r>
      <w:r>
        <w:rPr>
          <w:snapToGrid w:val="0"/>
          <w:lang w:val="fr-FR"/>
        </w:rPr>
        <w:t>’</w:t>
      </w:r>
      <w:r w:rsidRPr="00440C76">
        <w:rPr>
          <w:snapToGrid w:val="0"/>
          <w:lang w:val="fr-FR"/>
        </w:rPr>
        <w:t>information détaillé</w:t>
      </w:r>
    </w:p>
    <w:p w14:paraId="3585AEC3" w14:textId="77777777" w:rsidR="00BE2CA7" w:rsidRPr="00AD1466" w:rsidRDefault="00BE2CA7" w:rsidP="00BE2CA7">
      <w:pPr>
        <w:pStyle w:val="SingleTxtG"/>
        <w:ind w:firstLine="555"/>
      </w:pPr>
      <w:r w:rsidRPr="00440C76">
        <w:rPr>
          <w:lang w:val="fr-FR"/>
        </w:rPr>
        <w:t xml:space="preserve">Le dossier </w:t>
      </w:r>
      <w:r w:rsidRPr="00440C76">
        <w:rPr>
          <w:snapToGrid w:val="0"/>
          <w:lang w:val="fr-FR"/>
        </w:rPr>
        <w:t>d</w:t>
      </w:r>
      <w:r>
        <w:rPr>
          <w:snapToGrid w:val="0"/>
          <w:lang w:val="fr-FR"/>
        </w:rPr>
        <w:t>’</w:t>
      </w:r>
      <w:r w:rsidRPr="00440C76">
        <w:rPr>
          <w:snapToGrid w:val="0"/>
          <w:lang w:val="fr-FR"/>
        </w:rPr>
        <w:t>information détaillé</w:t>
      </w:r>
      <w:r w:rsidRPr="00440C76">
        <w:rPr>
          <w:lang w:val="fr-FR"/>
        </w:rPr>
        <w:t xml:space="preserve"> doit contenir les renseignements suivants pour toutes les AES :</w:t>
      </w:r>
    </w:p>
    <w:p w14:paraId="648E43A8" w14:textId="77777777" w:rsidR="00BE2CA7" w:rsidRPr="00440C76" w:rsidRDefault="00BE2CA7" w:rsidP="00BE2CA7">
      <w:pPr>
        <w:pStyle w:val="SingleTxtG"/>
        <w:ind w:firstLine="555"/>
        <w:rPr>
          <w:lang w:val="fr-FR"/>
        </w:rPr>
      </w:pPr>
      <w:r w:rsidRPr="00440C76">
        <w:rPr>
          <w:lang w:val="fr-FR"/>
        </w:rPr>
        <w:t>a)</w:t>
      </w:r>
      <w:r w:rsidRPr="00440C76">
        <w:rPr>
          <w:lang w:val="fr-FR"/>
        </w:rPr>
        <w:tab/>
        <w:t>Une déclaration du constructeur selon laquelle le véhicule ne comporte aucun dispositif d</w:t>
      </w:r>
      <w:r>
        <w:rPr>
          <w:lang w:val="fr-FR"/>
        </w:rPr>
        <w:t>’</w:t>
      </w:r>
      <w:r w:rsidRPr="00440C76">
        <w:rPr>
          <w:lang w:val="fr-FR"/>
        </w:rPr>
        <w:t>invalidation relevant des exceptions prévues au paragraphe</w:t>
      </w:r>
      <w:r>
        <w:rPr>
          <w:lang w:val="fr-FR"/>
        </w:rPr>
        <w:t> </w:t>
      </w:r>
      <w:r w:rsidRPr="00440C76">
        <w:rPr>
          <w:lang w:val="fr-FR"/>
        </w:rPr>
        <w:t>5.1.3 du présent Règlement ;</w:t>
      </w:r>
    </w:p>
    <w:p w14:paraId="40C6758C" w14:textId="77777777" w:rsidR="00BE2CA7" w:rsidRPr="00440C76" w:rsidRDefault="00BE2CA7" w:rsidP="00BE2CA7">
      <w:pPr>
        <w:pStyle w:val="SingleTxtG"/>
        <w:ind w:firstLine="555"/>
        <w:rPr>
          <w:lang w:val="fr-FR"/>
        </w:rPr>
      </w:pPr>
      <w:r w:rsidRPr="00440C76">
        <w:rPr>
          <w:lang w:val="fr-FR"/>
        </w:rPr>
        <w:t>b)</w:t>
      </w:r>
      <w:r w:rsidRPr="00440C76">
        <w:rPr>
          <w:lang w:val="fr-FR"/>
        </w:rPr>
        <w:tab/>
        <w:t>Une description du moteur et des stratégies et dispositifs de réduction des émissions utilisés, qu</w:t>
      </w:r>
      <w:r>
        <w:rPr>
          <w:lang w:val="fr-FR"/>
        </w:rPr>
        <w:t>’</w:t>
      </w:r>
      <w:r w:rsidRPr="00440C76">
        <w:rPr>
          <w:lang w:val="fr-FR"/>
        </w:rPr>
        <w:t>ils soient logiciels ou matériels, et de toute situation dans laquelle ces stratégies et dispositifs ne fonctionneraient pas comme ils le font lors des essais prévus pour l</w:t>
      </w:r>
      <w:r>
        <w:rPr>
          <w:lang w:val="fr-FR"/>
        </w:rPr>
        <w:t>’</w:t>
      </w:r>
      <w:r w:rsidRPr="00440C76">
        <w:rPr>
          <w:lang w:val="fr-FR"/>
        </w:rPr>
        <w:t>homologation de type</w:t>
      </w:r>
      <w:r>
        <w:rPr>
          <w:lang w:val="fr-FR"/>
        </w:rPr>
        <w:t> </w:t>
      </w:r>
      <w:r w:rsidRPr="00440C76">
        <w:rPr>
          <w:lang w:val="fr-FR"/>
        </w:rPr>
        <w:t>;</w:t>
      </w:r>
    </w:p>
    <w:p w14:paraId="18985CD2" w14:textId="77777777" w:rsidR="00BE2CA7" w:rsidRPr="00440C76" w:rsidRDefault="00BE2CA7" w:rsidP="00BE2CA7">
      <w:pPr>
        <w:pStyle w:val="SingleTxtG"/>
        <w:ind w:firstLine="555"/>
        <w:rPr>
          <w:lang w:val="fr-FR"/>
        </w:rPr>
      </w:pPr>
      <w:r w:rsidRPr="00440C76">
        <w:rPr>
          <w:lang w:val="fr-FR"/>
        </w:rPr>
        <w:t>c)</w:t>
      </w:r>
      <w:r w:rsidRPr="00440C76">
        <w:rPr>
          <w:lang w:val="fr-FR"/>
        </w:rPr>
        <w:tab/>
        <w:t>Une déclaration des versions des logiciels utilisées pour commander l</w:t>
      </w:r>
      <w:r>
        <w:rPr>
          <w:lang w:val="fr-FR"/>
        </w:rPr>
        <w:t>’</w:t>
      </w:r>
      <w:r w:rsidRPr="00440C76">
        <w:rPr>
          <w:lang w:val="fr-FR"/>
        </w:rPr>
        <w:t xml:space="preserve">AES et la BES, y compris les sommes de contrôle </w:t>
      </w:r>
      <w:r>
        <w:rPr>
          <w:lang w:val="fr-FR"/>
        </w:rPr>
        <w:t xml:space="preserve">ou les valeurs de référence </w:t>
      </w:r>
      <w:r w:rsidRPr="00440C76">
        <w:rPr>
          <w:lang w:val="fr-FR"/>
        </w:rPr>
        <w:t>appropriées de ces versions des logiciels et les instructions à l</w:t>
      </w:r>
      <w:r>
        <w:rPr>
          <w:lang w:val="fr-FR"/>
        </w:rPr>
        <w:t>’</w:t>
      </w:r>
      <w:r w:rsidRPr="00440C76">
        <w:rPr>
          <w:lang w:val="fr-FR"/>
        </w:rPr>
        <w:t>intention des autorités concernant la manière de lire ces sommes de contrôle </w:t>
      </w:r>
      <w:r>
        <w:rPr>
          <w:lang w:val="fr-FR"/>
        </w:rPr>
        <w:t>ou ces valeurs de référence </w:t>
      </w:r>
      <w:r w:rsidRPr="00440C76">
        <w:rPr>
          <w:lang w:val="fr-FR"/>
        </w:rPr>
        <w:t>; cette déclaration doit être mise à jour et envoyée à l</w:t>
      </w:r>
      <w:r>
        <w:rPr>
          <w:lang w:val="fr-FR"/>
        </w:rPr>
        <w:t>’</w:t>
      </w:r>
      <w:r w:rsidRPr="00440C76">
        <w:rPr>
          <w:lang w:val="fr-FR"/>
        </w:rPr>
        <w:t>autorité d</w:t>
      </w:r>
      <w:r>
        <w:rPr>
          <w:lang w:val="fr-FR"/>
        </w:rPr>
        <w:t>’</w:t>
      </w:r>
      <w:r w:rsidRPr="00440C76">
        <w:rPr>
          <w:lang w:val="fr-FR"/>
        </w:rPr>
        <w:t>homologation de type qui détient le dossier d</w:t>
      </w:r>
      <w:r>
        <w:rPr>
          <w:lang w:val="fr-FR"/>
        </w:rPr>
        <w:t>’</w:t>
      </w:r>
      <w:r w:rsidRPr="00440C76">
        <w:rPr>
          <w:lang w:val="fr-FR"/>
        </w:rPr>
        <w:t xml:space="preserve">information </w:t>
      </w:r>
      <w:r w:rsidRPr="00440C76">
        <w:rPr>
          <w:lang w:val="fr-FR"/>
        </w:rPr>
        <w:lastRenderedPageBreak/>
        <w:t>détaillé chaque fois qu</w:t>
      </w:r>
      <w:r>
        <w:rPr>
          <w:lang w:val="fr-FR"/>
        </w:rPr>
        <w:t>’</w:t>
      </w:r>
      <w:r w:rsidRPr="00440C76">
        <w:rPr>
          <w:lang w:val="fr-FR"/>
        </w:rPr>
        <w:t>une nouvelle version d</w:t>
      </w:r>
      <w:r>
        <w:rPr>
          <w:lang w:val="fr-FR"/>
        </w:rPr>
        <w:t>’</w:t>
      </w:r>
      <w:r w:rsidRPr="00440C76">
        <w:rPr>
          <w:lang w:val="fr-FR"/>
        </w:rPr>
        <w:t>un logiciel a une incidence sur l</w:t>
      </w:r>
      <w:r>
        <w:rPr>
          <w:lang w:val="fr-FR"/>
        </w:rPr>
        <w:t>’</w:t>
      </w:r>
      <w:r w:rsidRPr="00440C76">
        <w:rPr>
          <w:lang w:val="fr-FR"/>
        </w:rPr>
        <w:t>AES ou la BES</w:t>
      </w:r>
      <w:r>
        <w:rPr>
          <w:lang w:val="fr-FR"/>
        </w:rPr>
        <w:t>. Les constructeurs peuvent demander à utiliser une autre solution qu’une somme de contrôle, à condition qu’elle permette un même niveau de traçabilité des changements de version de logiciels </w:t>
      </w:r>
      <w:r w:rsidRPr="00440C76">
        <w:rPr>
          <w:lang w:val="fr-FR"/>
        </w:rPr>
        <w:t>;</w:t>
      </w:r>
    </w:p>
    <w:p w14:paraId="282D996A" w14:textId="77777777" w:rsidR="00BE2CA7" w:rsidRPr="00440C76" w:rsidRDefault="00BE2CA7" w:rsidP="00BE2CA7">
      <w:pPr>
        <w:pStyle w:val="SingleTxtG"/>
        <w:ind w:firstLine="555"/>
        <w:rPr>
          <w:lang w:val="fr-FR"/>
        </w:rPr>
      </w:pPr>
      <w:r w:rsidRPr="00440C76">
        <w:rPr>
          <w:lang w:val="fr-FR"/>
        </w:rPr>
        <w:t>d)</w:t>
      </w:r>
      <w:r w:rsidRPr="00440C76">
        <w:rPr>
          <w:lang w:val="fr-FR"/>
        </w:rPr>
        <w:tab/>
        <w:t>Une justification technique détaillée de l</w:t>
      </w:r>
      <w:r>
        <w:rPr>
          <w:lang w:val="fr-FR"/>
        </w:rPr>
        <w:t>’</w:t>
      </w:r>
      <w:r w:rsidRPr="00440C76">
        <w:rPr>
          <w:lang w:val="fr-FR"/>
        </w:rPr>
        <w:t>ensemble de l</w:t>
      </w:r>
      <w:r>
        <w:rPr>
          <w:lang w:val="fr-FR"/>
        </w:rPr>
        <w:t>’</w:t>
      </w:r>
      <w:r w:rsidRPr="00440C76">
        <w:rPr>
          <w:lang w:val="fr-FR"/>
        </w:rPr>
        <w:t xml:space="preserve">AES estimant </w:t>
      </w:r>
      <w:r>
        <w:rPr>
          <w:lang w:val="fr-FR"/>
        </w:rPr>
        <w:t>l’incidence</w:t>
      </w:r>
      <w:r w:rsidRPr="00440C76">
        <w:rPr>
          <w:lang w:val="fr-FR"/>
        </w:rPr>
        <w:t xml:space="preserve"> avec et sans l</w:t>
      </w:r>
      <w:r>
        <w:rPr>
          <w:lang w:val="fr-FR"/>
        </w:rPr>
        <w:t>’</w:t>
      </w:r>
      <w:r w:rsidRPr="00440C76">
        <w:rPr>
          <w:lang w:val="fr-FR"/>
        </w:rPr>
        <w:t>AES, et les informations suivantes</w:t>
      </w:r>
      <w:r>
        <w:rPr>
          <w:lang w:val="fr-FR"/>
        </w:rPr>
        <w:t> </w:t>
      </w:r>
      <w:r w:rsidRPr="00440C76">
        <w:rPr>
          <w:lang w:val="fr-FR"/>
        </w:rPr>
        <w:t>:</w:t>
      </w:r>
    </w:p>
    <w:p w14:paraId="78634907" w14:textId="77777777" w:rsidR="00BE2CA7" w:rsidRPr="00440C76" w:rsidRDefault="00BE2CA7" w:rsidP="00BE2CA7">
      <w:pPr>
        <w:pStyle w:val="SingleTxtG"/>
        <w:ind w:left="1701"/>
        <w:rPr>
          <w:lang w:val="fr-FR"/>
        </w:rPr>
      </w:pPr>
      <w:r w:rsidRPr="00440C76">
        <w:rPr>
          <w:lang w:val="fr-FR"/>
        </w:rPr>
        <w:t>i)</w:t>
      </w:r>
      <w:r w:rsidRPr="00440C76">
        <w:rPr>
          <w:lang w:val="fr-FR"/>
        </w:rPr>
        <w:tab/>
        <w:t>La raison pour laquelle l</w:t>
      </w:r>
      <w:r>
        <w:rPr>
          <w:lang w:val="fr-FR"/>
        </w:rPr>
        <w:t>’</w:t>
      </w:r>
      <w:r w:rsidRPr="00440C76">
        <w:rPr>
          <w:lang w:val="fr-FR"/>
        </w:rPr>
        <w:t>une quelconque des clauses d</w:t>
      </w:r>
      <w:r>
        <w:rPr>
          <w:lang w:val="fr-FR"/>
        </w:rPr>
        <w:t>’</w:t>
      </w:r>
      <w:r w:rsidRPr="00440C76">
        <w:rPr>
          <w:lang w:val="fr-FR"/>
        </w:rPr>
        <w:t>exception à l</w:t>
      </w:r>
      <w:r>
        <w:rPr>
          <w:lang w:val="fr-FR"/>
        </w:rPr>
        <w:t>’</w:t>
      </w:r>
      <w:r w:rsidRPr="00440C76">
        <w:rPr>
          <w:lang w:val="fr-FR"/>
        </w:rPr>
        <w:t>interdiction des dispositifs d</w:t>
      </w:r>
      <w:r>
        <w:rPr>
          <w:lang w:val="fr-FR"/>
        </w:rPr>
        <w:t>’</w:t>
      </w:r>
      <w:r w:rsidRPr="00440C76">
        <w:rPr>
          <w:lang w:val="fr-FR"/>
        </w:rPr>
        <w:t>invalidation figurant au paragraphe</w:t>
      </w:r>
      <w:r>
        <w:rPr>
          <w:lang w:val="fr-FR"/>
        </w:rPr>
        <w:t> </w:t>
      </w:r>
      <w:r w:rsidRPr="00440C76">
        <w:rPr>
          <w:lang w:val="fr-FR"/>
        </w:rPr>
        <w:t>5.1.3 du présent Règlement s</w:t>
      </w:r>
      <w:r>
        <w:rPr>
          <w:lang w:val="fr-FR"/>
        </w:rPr>
        <w:t>’</w:t>
      </w:r>
      <w:r w:rsidRPr="00440C76">
        <w:rPr>
          <w:lang w:val="fr-FR"/>
        </w:rPr>
        <w:t>applique</w:t>
      </w:r>
      <w:r>
        <w:rPr>
          <w:lang w:val="fr-FR"/>
        </w:rPr>
        <w:t> </w:t>
      </w:r>
      <w:r w:rsidRPr="00440C76">
        <w:rPr>
          <w:lang w:val="fr-FR"/>
        </w:rPr>
        <w:t>;</w:t>
      </w:r>
    </w:p>
    <w:p w14:paraId="13F5835D" w14:textId="77777777" w:rsidR="00BE2CA7" w:rsidRPr="00440C76" w:rsidRDefault="00BE2CA7" w:rsidP="00BE2CA7">
      <w:pPr>
        <w:pStyle w:val="SingleTxtG"/>
        <w:ind w:left="1701"/>
        <w:rPr>
          <w:lang w:val="fr-FR"/>
        </w:rPr>
      </w:pPr>
      <w:r w:rsidRPr="00440C76">
        <w:rPr>
          <w:lang w:val="fr-FR"/>
        </w:rPr>
        <w:t>ii)</w:t>
      </w:r>
      <w:r w:rsidRPr="00440C76">
        <w:rPr>
          <w:lang w:val="fr-FR"/>
        </w:rPr>
        <w:tab/>
        <w:t>Le ou les éléments matériels qui doivent être protégés par l</w:t>
      </w:r>
      <w:r>
        <w:rPr>
          <w:lang w:val="fr-FR"/>
        </w:rPr>
        <w:t>’</w:t>
      </w:r>
      <w:r w:rsidRPr="00440C76">
        <w:rPr>
          <w:lang w:val="fr-FR"/>
        </w:rPr>
        <w:t>AES, le cas échéant</w:t>
      </w:r>
      <w:r>
        <w:rPr>
          <w:lang w:val="fr-FR"/>
        </w:rPr>
        <w:t> </w:t>
      </w:r>
      <w:r w:rsidRPr="00440C76">
        <w:rPr>
          <w:lang w:val="fr-FR"/>
        </w:rPr>
        <w:t>;</w:t>
      </w:r>
    </w:p>
    <w:p w14:paraId="4CBD36F7" w14:textId="77777777" w:rsidR="00BE2CA7" w:rsidRPr="00440C76" w:rsidRDefault="00BE2CA7" w:rsidP="00BE2CA7">
      <w:pPr>
        <w:pStyle w:val="SingleTxtG"/>
        <w:ind w:left="1701"/>
        <w:rPr>
          <w:lang w:val="fr-FR"/>
        </w:rPr>
      </w:pPr>
      <w:r w:rsidRPr="00440C76">
        <w:rPr>
          <w:lang w:val="fr-FR"/>
        </w:rPr>
        <w:t>iii)</w:t>
      </w:r>
      <w:r w:rsidRPr="00440C76">
        <w:rPr>
          <w:lang w:val="fr-FR"/>
        </w:rPr>
        <w:tab/>
        <w:t>La preuve que des dommages soudains et irréparables au moteur, qu</w:t>
      </w:r>
      <w:r>
        <w:rPr>
          <w:lang w:val="fr-FR"/>
        </w:rPr>
        <w:t>’</w:t>
      </w:r>
      <w:r w:rsidRPr="00440C76">
        <w:rPr>
          <w:lang w:val="fr-FR"/>
        </w:rPr>
        <w:t>un entretien régulier ne permettrait pas d</w:t>
      </w:r>
      <w:r>
        <w:rPr>
          <w:lang w:val="fr-FR"/>
        </w:rPr>
        <w:t>’</w:t>
      </w:r>
      <w:r w:rsidRPr="00440C76">
        <w:rPr>
          <w:lang w:val="fr-FR"/>
        </w:rPr>
        <w:t>éviter, surviendraient en l</w:t>
      </w:r>
      <w:r>
        <w:rPr>
          <w:lang w:val="fr-FR"/>
        </w:rPr>
        <w:t>’</w:t>
      </w:r>
      <w:r w:rsidRPr="00440C76">
        <w:rPr>
          <w:lang w:val="fr-FR"/>
        </w:rPr>
        <w:t>absence de l</w:t>
      </w:r>
      <w:r>
        <w:rPr>
          <w:lang w:val="fr-FR"/>
        </w:rPr>
        <w:t>’</w:t>
      </w:r>
      <w:r w:rsidRPr="00440C76">
        <w:rPr>
          <w:lang w:val="fr-FR"/>
        </w:rPr>
        <w:t>AES, le cas échéant</w:t>
      </w:r>
      <w:r>
        <w:rPr>
          <w:lang w:val="fr-FR"/>
        </w:rPr>
        <w:t> </w:t>
      </w:r>
      <w:r w:rsidRPr="00440C76">
        <w:rPr>
          <w:lang w:val="fr-FR"/>
        </w:rPr>
        <w:t>;</w:t>
      </w:r>
    </w:p>
    <w:p w14:paraId="11F273B5" w14:textId="77777777" w:rsidR="00BE2CA7" w:rsidRPr="00440C76" w:rsidRDefault="00BE2CA7" w:rsidP="00BE2CA7">
      <w:pPr>
        <w:pStyle w:val="SingleTxtG"/>
        <w:ind w:left="1701"/>
        <w:rPr>
          <w:lang w:val="fr-FR"/>
        </w:rPr>
      </w:pPr>
      <w:r w:rsidRPr="00440C76">
        <w:rPr>
          <w:lang w:val="fr-FR"/>
        </w:rPr>
        <w:t>iv)</w:t>
      </w:r>
      <w:r w:rsidRPr="00440C76">
        <w:rPr>
          <w:lang w:val="fr-FR"/>
        </w:rPr>
        <w:tab/>
        <w:t>Une explication motivée des raisons pour lesquelles il est nécessaire d</w:t>
      </w:r>
      <w:r>
        <w:rPr>
          <w:lang w:val="fr-FR"/>
        </w:rPr>
        <w:t>’</w:t>
      </w:r>
      <w:r w:rsidRPr="00440C76">
        <w:rPr>
          <w:lang w:val="fr-FR"/>
        </w:rPr>
        <w:t>utiliser une AES lors du démarrage du moteur, le cas échéant</w:t>
      </w:r>
      <w:r>
        <w:rPr>
          <w:lang w:val="fr-FR"/>
        </w:rPr>
        <w:t> </w:t>
      </w:r>
      <w:r w:rsidRPr="00440C76">
        <w:rPr>
          <w:lang w:val="fr-FR"/>
        </w:rPr>
        <w:t>;</w:t>
      </w:r>
    </w:p>
    <w:p w14:paraId="1D4D8F4B" w14:textId="77777777" w:rsidR="00BE2CA7" w:rsidRPr="00440C76" w:rsidRDefault="00BE2CA7" w:rsidP="00BE2CA7">
      <w:pPr>
        <w:pStyle w:val="SingleTxtG"/>
        <w:ind w:firstLine="555"/>
        <w:rPr>
          <w:lang w:val="fr-FR"/>
        </w:rPr>
      </w:pPr>
      <w:r w:rsidRPr="00440C76">
        <w:rPr>
          <w:lang w:val="fr-FR"/>
        </w:rPr>
        <w:t>e)</w:t>
      </w:r>
      <w:r w:rsidRPr="00440C76">
        <w:rPr>
          <w:lang w:val="fr-FR"/>
        </w:rPr>
        <w:tab/>
        <w:t>Une description de la logique de commande du système d</w:t>
      </w:r>
      <w:r>
        <w:rPr>
          <w:lang w:val="fr-FR"/>
        </w:rPr>
        <w:t>’</w:t>
      </w:r>
      <w:r w:rsidRPr="00440C76">
        <w:rPr>
          <w:lang w:val="fr-FR"/>
        </w:rPr>
        <w:t>alimentation en carburant, des stratégies de chronométrage et des points de commutation, portant sur tous les modes de fonctionnement</w:t>
      </w:r>
      <w:r>
        <w:rPr>
          <w:lang w:val="fr-FR"/>
        </w:rPr>
        <w:t> </w:t>
      </w:r>
      <w:r w:rsidRPr="00440C76">
        <w:rPr>
          <w:lang w:val="fr-FR"/>
        </w:rPr>
        <w:t>;</w:t>
      </w:r>
    </w:p>
    <w:p w14:paraId="437EEDFD" w14:textId="77777777" w:rsidR="00BE2CA7" w:rsidRPr="00440C76" w:rsidRDefault="00BE2CA7" w:rsidP="00BE2CA7">
      <w:pPr>
        <w:pStyle w:val="SingleTxtG"/>
        <w:ind w:firstLine="555"/>
        <w:rPr>
          <w:lang w:val="fr-FR"/>
        </w:rPr>
      </w:pPr>
      <w:r w:rsidRPr="00440C76">
        <w:rPr>
          <w:lang w:val="fr-FR"/>
        </w:rPr>
        <w:t>f)</w:t>
      </w:r>
      <w:r w:rsidRPr="00440C76">
        <w:rPr>
          <w:lang w:val="fr-FR"/>
        </w:rPr>
        <w:tab/>
        <w:t>Une description de la hiérarchisation entre les AES (c</w:t>
      </w:r>
      <w:r>
        <w:rPr>
          <w:lang w:val="fr-FR"/>
        </w:rPr>
        <w:t>’</w:t>
      </w:r>
      <w:r w:rsidRPr="00440C76">
        <w:rPr>
          <w:lang w:val="fr-FR"/>
        </w:rPr>
        <w:t>est-à-dire, dans le cas où plusieurs AES peuvent être activées simultanément, l</w:t>
      </w:r>
      <w:r>
        <w:rPr>
          <w:lang w:val="fr-FR"/>
        </w:rPr>
        <w:t>’</w:t>
      </w:r>
      <w:r w:rsidRPr="00440C76">
        <w:rPr>
          <w:lang w:val="fr-FR"/>
        </w:rPr>
        <w:t>indication de celle qui a priorité, la méthode selon laquelle les stratégies interagissent, y compris les diagrammes de flux de données et la logique de décision, et la manière dont la hiérarchie garantit que les émissions de l</w:t>
      </w:r>
      <w:r>
        <w:rPr>
          <w:lang w:val="fr-FR"/>
        </w:rPr>
        <w:t>’</w:t>
      </w:r>
      <w:r w:rsidRPr="00440C76">
        <w:rPr>
          <w:lang w:val="fr-FR"/>
        </w:rPr>
        <w:t>ensemble des AES soient réduites au niveau pratique le plus bas)</w:t>
      </w:r>
      <w:r>
        <w:rPr>
          <w:lang w:val="fr-FR"/>
        </w:rPr>
        <w:t> </w:t>
      </w:r>
      <w:r w:rsidRPr="00440C76">
        <w:rPr>
          <w:lang w:val="fr-FR"/>
        </w:rPr>
        <w:t>;</w:t>
      </w:r>
    </w:p>
    <w:p w14:paraId="777CD028" w14:textId="77777777" w:rsidR="00BE2CA7" w:rsidRPr="00440C76" w:rsidRDefault="00BE2CA7" w:rsidP="00BE2CA7">
      <w:pPr>
        <w:pStyle w:val="SingleTxtG"/>
        <w:ind w:firstLine="555"/>
        <w:rPr>
          <w:lang w:val="fr-FR"/>
        </w:rPr>
      </w:pPr>
      <w:r w:rsidRPr="00440C76">
        <w:rPr>
          <w:lang w:val="fr-FR"/>
        </w:rPr>
        <w:t>g)</w:t>
      </w:r>
      <w:r w:rsidRPr="00440C76">
        <w:rPr>
          <w:lang w:val="fr-FR"/>
        </w:rPr>
        <w:tab/>
        <w:t>Une liste des paramètres mesurés ou calculés par l</w:t>
      </w:r>
      <w:r>
        <w:rPr>
          <w:lang w:val="fr-FR"/>
        </w:rPr>
        <w:t>’</w:t>
      </w:r>
      <w:r w:rsidRPr="00440C76">
        <w:rPr>
          <w:lang w:val="fr-FR"/>
        </w:rPr>
        <w:t>AES ainsi que l</w:t>
      </w:r>
      <w:r>
        <w:rPr>
          <w:lang w:val="fr-FR"/>
        </w:rPr>
        <w:t>’</w:t>
      </w:r>
      <w:r w:rsidRPr="00440C76">
        <w:rPr>
          <w:lang w:val="fr-FR"/>
        </w:rPr>
        <w:t>objectif de chacun de ces paramètres, et l</w:t>
      </w:r>
      <w:r>
        <w:rPr>
          <w:lang w:val="fr-FR"/>
        </w:rPr>
        <w:t>’</w:t>
      </w:r>
      <w:r w:rsidRPr="00440C76">
        <w:rPr>
          <w:lang w:val="fr-FR"/>
        </w:rPr>
        <w:t>indication de la manière dont chacun d</w:t>
      </w:r>
      <w:r>
        <w:rPr>
          <w:lang w:val="fr-FR"/>
        </w:rPr>
        <w:t>’</w:t>
      </w:r>
      <w:r w:rsidRPr="00440C76">
        <w:rPr>
          <w:lang w:val="fr-FR"/>
        </w:rPr>
        <w:t>eux est lié à des dommages au moteur, y compris la méthode de calcul et la mesure dans laquelle les paramètres calculés sont corrélés à l</w:t>
      </w:r>
      <w:r>
        <w:rPr>
          <w:lang w:val="fr-FR"/>
        </w:rPr>
        <w:t>’</w:t>
      </w:r>
      <w:r w:rsidRPr="00440C76">
        <w:rPr>
          <w:lang w:val="fr-FR"/>
        </w:rPr>
        <w:t>état réel du paramètre contrôlé et toute tolérance ou marge de sécurité qui en découle et qui est intégrée dans l</w:t>
      </w:r>
      <w:r>
        <w:rPr>
          <w:lang w:val="fr-FR"/>
        </w:rPr>
        <w:t>’</w:t>
      </w:r>
      <w:r w:rsidRPr="00440C76">
        <w:rPr>
          <w:lang w:val="fr-FR"/>
        </w:rPr>
        <w:t>analyse</w:t>
      </w:r>
      <w:r>
        <w:rPr>
          <w:lang w:val="fr-FR"/>
        </w:rPr>
        <w:t> </w:t>
      </w:r>
      <w:r w:rsidRPr="00440C76">
        <w:rPr>
          <w:lang w:val="fr-FR"/>
        </w:rPr>
        <w:t>;</w:t>
      </w:r>
    </w:p>
    <w:p w14:paraId="0A4A9927" w14:textId="77777777" w:rsidR="00BE2CA7" w:rsidRPr="00440C76" w:rsidRDefault="00BE2CA7" w:rsidP="00BE2CA7">
      <w:pPr>
        <w:pStyle w:val="SingleTxtG"/>
        <w:ind w:firstLine="555"/>
        <w:rPr>
          <w:lang w:val="fr-FR"/>
        </w:rPr>
      </w:pPr>
      <w:r w:rsidRPr="00440C76">
        <w:rPr>
          <w:lang w:val="fr-FR"/>
        </w:rPr>
        <w:t>h)</w:t>
      </w:r>
      <w:r w:rsidRPr="00440C76">
        <w:rPr>
          <w:lang w:val="fr-FR"/>
        </w:rPr>
        <w:tab/>
        <w:t>Une liste des paramètres de commande du moteur et de réduction des émissions qui sont modulés en fonction du ou des paramètres mesurés ou calculés et de la plage de modulation pour chaque paramètre de commande du moteur ou de réduction des émissions</w:t>
      </w:r>
      <w:r>
        <w:rPr>
          <w:lang w:val="fr-FR"/>
        </w:rPr>
        <w:t> </w:t>
      </w:r>
      <w:r w:rsidRPr="00440C76">
        <w:rPr>
          <w:lang w:val="fr-FR"/>
        </w:rPr>
        <w:t>; ainsi que la relation entre les paramètres de commande du moteur ou de réduction des émissions et les paramètres mesurés ou calculés</w:t>
      </w:r>
      <w:r>
        <w:rPr>
          <w:lang w:val="fr-FR"/>
        </w:rPr>
        <w:t> </w:t>
      </w:r>
      <w:r w:rsidRPr="00440C76">
        <w:rPr>
          <w:lang w:val="fr-FR"/>
        </w:rPr>
        <w:t>;</w:t>
      </w:r>
    </w:p>
    <w:p w14:paraId="6AE22224" w14:textId="77777777" w:rsidR="00BE2CA7" w:rsidRPr="00440C76" w:rsidRDefault="00BE2CA7" w:rsidP="00BE2CA7">
      <w:pPr>
        <w:pStyle w:val="SingleTxtG"/>
        <w:ind w:firstLine="555"/>
        <w:rPr>
          <w:lang w:val="fr-FR"/>
        </w:rPr>
      </w:pPr>
      <w:r w:rsidRPr="00440C76">
        <w:rPr>
          <w:lang w:val="fr-FR"/>
        </w:rPr>
        <w:t>i)</w:t>
      </w:r>
      <w:r w:rsidRPr="00440C76">
        <w:rPr>
          <w:lang w:val="fr-FR"/>
        </w:rPr>
        <w:tab/>
        <w:t>Une évaluation de la manière dont l</w:t>
      </w:r>
      <w:r>
        <w:rPr>
          <w:lang w:val="fr-FR"/>
        </w:rPr>
        <w:t>’</w:t>
      </w:r>
      <w:r w:rsidRPr="00440C76">
        <w:rPr>
          <w:lang w:val="fr-FR"/>
        </w:rPr>
        <w:t>AES doit permettre de réduire les émissions lors de la conduite réelle au niveau pratique le plus bas, y compris une analyse détaillée de l</w:t>
      </w:r>
      <w:r>
        <w:rPr>
          <w:lang w:val="fr-FR"/>
        </w:rPr>
        <w:t>’</w:t>
      </w:r>
      <w:r w:rsidRPr="00440C76">
        <w:rPr>
          <w:lang w:val="fr-FR"/>
        </w:rPr>
        <w:t>augmentation prévue, par rapport à la stratégie de base, du total des émissions de polluants réglementés et de CO</w:t>
      </w:r>
      <w:r w:rsidRPr="00440C76">
        <w:rPr>
          <w:vertAlign w:val="subscript"/>
          <w:lang w:val="fr-FR"/>
        </w:rPr>
        <w:t>2</w:t>
      </w:r>
      <w:r w:rsidRPr="00440C76">
        <w:rPr>
          <w:lang w:val="fr-FR"/>
        </w:rPr>
        <w:t xml:space="preserve"> découlant de l</w:t>
      </w:r>
      <w:r>
        <w:rPr>
          <w:lang w:val="fr-FR"/>
        </w:rPr>
        <w:t>’</w:t>
      </w:r>
      <w:r w:rsidRPr="00440C76">
        <w:rPr>
          <w:lang w:val="fr-FR"/>
        </w:rPr>
        <w:t>utilisation de l</w:t>
      </w:r>
      <w:r>
        <w:rPr>
          <w:lang w:val="fr-FR"/>
        </w:rPr>
        <w:t>’</w:t>
      </w:r>
      <w:r w:rsidRPr="00440C76">
        <w:rPr>
          <w:lang w:val="fr-FR"/>
        </w:rPr>
        <w:t>AES.</w:t>
      </w:r>
    </w:p>
    <w:p w14:paraId="0044A908" w14:textId="77777777" w:rsidR="00BE2CA7" w:rsidRPr="00440C76" w:rsidRDefault="00BE2CA7" w:rsidP="00BE2CA7">
      <w:pPr>
        <w:pStyle w:val="SingleTxtG"/>
        <w:ind w:firstLine="555"/>
        <w:rPr>
          <w:lang w:val="fr-FR"/>
        </w:rPr>
      </w:pPr>
      <w:r w:rsidRPr="00440C76">
        <w:rPr>
          <w:lang w:val="fr-FR"/>
        </w:rPr>
        <w:t>Le dossier d</w:t>
      </w:r>
      <w:r>
        <w:rPr>
          <w:lang w:val="fr-FR"/>
        </w:rPr>
        <w:t>’</w:t>
      </w:r>
      <w:r w:rsidRPr="00440C76">
        <w:rPr>
          <w:lang w:val="fr-FR"/>
        </w:rPr>
        <w:t>information détaillé, limité à 100 pages, doit comprendre tous les principaux éléments permettant à l</w:t>
      </w:r>
      <w:r>
        <w:rPr>
          <w:lang w:val="fr-FR"/>
        </w:rPr>
        <w:t>’</w:t>
      </w:r>
      <w:r w:rsidRPr="00440C76">
        <w:rPr>
          <w:lang w:val="fr-FR"/>
        </w:rPr>
        <w:t>autorité d</w:t>
      </w:r>
      <w:r>
        <w:rPr>
          <w:lang w:val="fr-FR"/>
        </w:rPr>
        <w:t>’</w:t>
      </w:r>
      <w:r w:rsidRPr="00440C76">
        <w:rPr>
          <w:lang w:val="fr-FR"/>
        </w:rPr>
        <w:t>homologation de type d</w:t>
      </w:r>
      <w:r>
        <w:rPr>
          <w:lang w:val="fr-FR"/>
        </w:rPr>
        <w:t>’</w:t>
      </w:r>
      <w:r w:rsidRPr="00440C76">
        <w:rPr>
          <w:lang w:val="fr-FR"/>
        </w:rPr>
        <w:t>évaluer l</w:t>
      </w:r>
      <w:r>
        <w:rPr>
          <w:lang w:val="fr-FR"/>
        </w:rPr>
        <w:t>’</w:t>
      </w:r>
      <w:r w:rsidRPr="00440C76">
        <w:rPr>
          <w:lang w:val="fr-FR"/>
        </w:rPr>
        <w:t>AES. Il peut être complété par des annexes et d</w:t>
      </w:r>
      <w:r>
        <w:rPr>
          <w:lang w:val="fr-FR"/>
        </w:rPr>
        <w:t>’</w:t>
      </w:r>
      <w:r w:rsidRPr="00440C76">
        <w:rPr>
          <w:lang w:val="fr-FR"/>
        </w:rPr>
        <w:t>autres documents joints, contenant des éléments supplémentaires et complémentaires, si nécessaire. Chaque fois que des modifications sont apportées à l</w:t>
      </w:r>
      <w:r>
        <w:rPr>
          <w:lang w:val="fr-FR"/>
        </w:rPr>
        <w:t>’</w:t>
      </w:r>
      <w:r w:rsidRPr="00440C76">
        <w:rPr>
          <w:lang w:val="fr-FR"/>
        </w:rPr>
        <w:t>AES, le constructeur doit envoyer à l</w:t>
      </w:r>
      <w:r>
        <w:rPr>
          <w:lang w:val="fr-FR"/>
        </w:rPr>
        <w:t>’</w:t>
      </w:r>
      <w:r w:rsidRPr="00440C76">
        <w:rPr>
          <w:lang w:val="fr-FR"/>
        </w:rPr>
        <w:t>autorité d</w:t>
      </w:r>
      <w:r>
        <w:rPr>
          <w:lang w:val="fr-FR"/>
        </w:rPr>
        <w:t>’</w:t>
      </w:r>
      <w:r w:rsidRPr="00440C76">
        <w:rPr>
          <w:lang w:val="fr-FR"/>
        </w:rPr>
        <w:t>homologation de type une nouvelle version du dossier d</w:t>
      </w:r>
      <w:r>
        <w:rPr>
          <w:lang w:val="fr-FR"/>
        </w:rPr>
        <w:t>’</w:t>
      </w:r>
      <w:r w:rsidRPr="00440C76">
        <w:rPr>
          <w:lang w:val="fr-FR"/>
        </w:rPr>
        <w:t>information détaillé. Cette nouvelle version doit se limiter aux modifications apportées et à leurs effets. Elle doit être évaluée et approuvée par l</w:t>
      </w:r>
      <w:r>
        <w:rPr>
          <w:lang w:val="fr-FR"/>
        </w:rPr>
        <w:t>’</w:t>
      </w:r>
      <w:r w:rsidRPr="00440C76">
        <w:rPr>
          <w:lang w:val="fr-FR"/>
        </w:rPr>
        <w:t>autorité d</w:t>
      </w:r>
      <w:r>
        <w:rPr>
          <w:lang w:val="fr-FR"/>
        </w:rPr>
        <w:t>’</w:t>
      </w:r>
      <w:r w:rsidRPr="00440C76">
        <w:rPr>
          <w:lang w:val="fr-FR"/>
        </w:rPr>
        <w:t>homologation de type.</w:t>
      </w:r>
    </w:p>
    <w:p w14:paraId="65154563" w14:textId="77777777" w:rsidR="00BE2CA7" w:rsidRPr="00440C76" w:rsidRDefault="00BE2CA7" w:rsidP="00BE2CA7">
      <w:pPr>
        <w:pStyle w:val="SingleTxtG"/>
        <w:ind w:firstLine="555"/>
        <w:rPr>
          <w:lang w:val="fr-FR"/>
        </w:rPr>
      </w:pPr>
      <w:r w:rsidRPr="00440C76">
        <w:rPr>
          <w:lang w:val="fr-FR"/>
        </w:rPr>
        <w:t>Le dossier d</w:t>
      </w:r>
      <w:r>
        <w:rPr>
          <w:lang w:val="fr-FR"/>
        </w:rPr>
        <w:t>’</w:t>
      </w:r>
      <w:r w:rsidRPr="00440C76">
        <w:rPr>
          <w:lang w:val="fr-FR"/>
        </w:rPr>
        <w:t>information détaillé est structuré comme suit</w:t>
      </w:r>
      <w:r>
        <w:rPr>
          <w:lang w:val="fr-FR"/>
        </w:rPr>
        <w:t> </w:t>
      </w:r>
      <w:r w:rsidRPr="00440C76">
        <w:rPr>
          <w:lang w:val="fr-FR"/>
        </w:rPr>
        <w:t>:</w:t>
      </w:r>
    </w:p>
    <w:p w14:paraId="7C13CA9E" w14:textId="77777777" w:rsidR="00BE2CA7" w:rsidRDefault="00BE2CA7" w:rsidP="00BE2CA7">
      <w:pPr>
        <w:suppressAutoHyphens w:val="0"/>
        <w:kinsoku/>
        <w:overflowPunct/>
        <w:autoSpaceDE/>
        <w:autoSpaceDN/>
        <w:adjustRightInd/>
        <w:snapToGrid/>
        <w:spacing w:after="200" w:line="276" w:lineRule="auto"/>
        <w:rPr>
          <w:snapToGrid w:val="0"/>
          <w:lang w:val="fr-FR"/>
        </w:rPr>
      </w:pPr>
      <w:r>
        <w:rPr>
          <w:snapToGrid w:val="0"/>
          <w:lang w:val="fr-FR"/>
        </w:rPr>
        <w:br w:type="page"/>
      </w:r>
    </w:p>
    <w:p w14:paraId="1E510DF4" w14:textId="77777777" w:rsidR="00BE2CA7" w:rsidRPr="00440C76" w:rsidRDefault="00BE2CA7" w:rsidP="00BE2CA7">
      <w:pPr>
        <w:pStyle w:val="Titre1"/>
        <w:spacing w:after="120"/>
        <w:ind w:left="0"/>
        <w:rPr>
          <w:b/>
          <w:bCs/>
          <w:snapToGrid w:val="0"/>
          <w:lang w:val="fr-FR"/>
        </w:rPr>
      </w:pPr>
      <w:r w:rsidRPr="00440C76">
        <w:rPr>
          <w:snapToGrid w:val="0"/>
          <w:lang w:val="fr-FR"/>
        </w:rPr>
        <w:lastRenderedPageBreak/>
        <w:t>Table</w:t>
      </w:r>
      <w:r>
        <w:rPr>
          <w:snapToGrid w:val="0"/>
          <w:lang w:val="fr-FR"/>
        </w:rPr>
        <w:t>au </w:t>
      </w:r>
      <w:r w:rsidRPr="00440C76">
        <w:rPr>
          <w:snapToGrid w:val="0"/>
          <w:lang w:val="fr-FR"/>
        </w:rPr>
        <w:t>A1/1</w:t>
      </w:r>
      <w:r>
        <w:rPr>
          <w:snapToGrid w:val="0"/>
          <w:lang w:val="fr-FR"/>
        </w:rPr>
        <w:br/>
      </w:r>
      <w:r w:rsidRPr="00440C76">
        <w:rPr>
          <w:b/>
          <w:bCs/>
          <w:snapToGrid w:val="0"/>
          <w:lang w:val="fr-FR"/>
        </w:rPr>
        <w:t>Dossier d</w:t>
      </w:r>
      <w:r>
        <w:rPr>
          <w:b/>
          <w:bCs/>
          <w:snapToGrid w:val="0"/>
          <w:lang w:val="fr-FR"/>
        </w:rPr>
        <w:t>’</w:t>
      </w:r>
      <w:r w:rsidRPr="00440C76">
        <w:rPr>
          <w:b/>
          <w:bCs/>
          <w:snapToGrid w:val="0"/>
          <w:lang w:val="fr-FR"/>
        </w:rPr>
        <w:t>information détaillé pour l</w:t>
      </w:r>
      <w:r>
        <w:rPr>
          <w:b/>
          <w:bCs/>
          <w:snapToGrid w:val="0"/>
          <w:lang w:val="fr-FR"/>
        </w:rPr>
        <w:t>’</w:t>
      </w:r>
      <w:r w:rsidRPr="00440C76">
        <w:rPr>
          <w:b/>
          <w:bCs/>
          <w:snapToGrid w:val="0"/>
          <w:lang w:val="fr-FR"/>
        </w:rPr>
        <w:t>application de l</w:t>
      </w:r>
      <w:r>
        <w:rPr>
          <w:b/>
          <w:bCs/>
          <w:snapToGrid w:val="0"/>
          <w:lang w:val="fr-FR"/>
        </w:rPr>
        <w:t>’</w:t>
      </w:r>
      <w:r w:rsidRPr="00440C76">
        <w:rPr>
          <w:b/>
          <w:bCs/>
          <w:snapToGrid w:val="0"/>
          <w:lang w:val="fr-FR"/>
        </w:rPr>
        <w:t xml:space="preserve">AES </w:t>
      </w:r>
      <w:r w:rsidRPr="00440C76">
        <w:rPr>
          <w:b/>
          <w:bCs/>
          <w:lang w:val="fr-FR"/>
        </w:rPr>
        <w:t>n</w:t>
      </w:r>
      <w:r w:rsidRPr="00440C76">
        <w:rPr>
          <w:b/>
          <w:bCs/>
          <w:vertAlign w:val="superscript"/>
          <w:lang w:val="fr-FR"/>
        </w:rPr>
        <w:t>o</w:t>
      </w:r>
      <w:r w:rsidRPr="00440C76">
        <w:rPr>
          <w:b/>
          <w:bCs/>
          <w:lang w:val="fr-FR"/>
        </w:rPr>
        <w:t> </w:t>
      </w:r>
      <w:r w:rsidRPr="00440C76">
        <w:rPr>
          <w:b/>
          <w:bCs/>
          <w:snapToGrid w:val="0"/>
          <w:lang w:val="fr-FR"/>
        </w:rPr>
        <w:t>YYY/OEM</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3"/>
        <w:gridCol w:w="924"/>
        <w:gridCol w:w="2824"/>
        <w:gridCol w:w="4227"/>
      </w:tblGrid>
      <w:tr w:rsidR="00BE2CA7" w:rsidRPr="00440C76" w14:paraId="785F9626" w14:textId="77777777" w:rsidTr="002B0590">
        <w:trPr>
          <w:tblHeader/>
        </w:trPr>
        <w:tc>
          <w:tcPr>
            <w:tcW w:w="1663" w:type="dxa"/>
          </w:tcPr>
          <w:p w14:paraId="26911B8A" w14:textId="77777777" w:rsidR="00BE2CA7" w:rsidRPr="00440C76" w:rsidRDefault="00BE2CA7" w:rsidP="002B0590">
            <w:pPr>
              <w:suppressAutoHyphens w:val="0"/>
              <w:kinsoku/>
              <w:overflowPunct/>
              <w:autoSpaceDE/>
              <w:autoSpaceDN/>
              <w:adjustRightInd/>
              <w:snapToGrid/>
              <w:spacing w:before="80" w:after="80" w:line="200" w:lineRule="exact"/>
              <w:ind w:left="57" w:right="57"/>
              <w:rPr>
                <w:rFonts w:eastAsia="Times New Roman"/>
                <w:i/>
                <w:iCs/>
                <w:snapToGrid w:val="0"/>
                <w:sz w:val="16"/>
                <w:szCs w:val="16"/>
                <w:lang w:val="fr-FR"/>
              </w:rPr>
            </w:pPr>
            <w:r w:rsidRPr="00440C76">
              <w:rPr>
                <w:rFonts w:eastAsia="Times New Roman"/>
                <w:i/>
                <w:iCs/>
                <w:snapToGrid w:val="0"/>
                <w:sz w:val="16"/>
                <w:szCs w:val="16"/>
                <w:lang w:val="fr-FR"/>
              </w:rPr>
              <w:t>Parties</w:t>
            </w:r>
          </w:p>
        </w:tc>
        <w:tc>
          <w:tcPr>
            <w:tcW w:w="924" w:type="dxa"/>
          </w:tcPr>
          <w:p w14:paraId="27DA4511" w14:textId="77777777" w:rsidR="00BE2CA7" w:rsidRPr="00440C76" w:rsidRDefault="00BE2CA7" w:rsidP="002B0590">
            <w:pPr>
              <w:suppressAutoHyphens w:val="0"/>
              <w:kinsoku/>
              <w:overflowPunct/>
              <w:autoSpaceDE/>
              <w:autoSpaceDN/>
              <w:adjustRightInd/>
              <w:snapToGrid/>
              <w:spacing w:before="80" w:after="80" w:line="200" w:lineRule="exact"/>
              <w:ind w:left="57" w:right="57"/>
              <w:rPr>
                <w:rFonts w:eastAsia="Times New Roman"/>
                <w:i/>
                <w:iCs/>
                <w:snapToGrid w:val="0"/>
                <w:sz w:val="16"/>
                <w:szCs w:val="16"/>
                <w:lang w:val="fr-FR"/>
              </w:rPr>
            </w:pPr>
            <w:r w:rsidRPr="00440C76">
              <w:rPr>
                <w:rFonts w:eastAsia="Times New Roman"/>
                <w:i/>
                <w:iCs/>
                <w:snapToGrid w:val="0"/>
                <w:sz w:val="16"/>
                <w:szCs w:val="16"/>
                <w:lang w:val="fr-FR"/>
              </w:rPr>
              <w:t>Paragraphe</w:t>
            </w:r>
          </w:p>
        </w:tc>
        <w:tc>
          <w:tcPr>
            <w:tcW w:w="2824" w:type="dxa"/>
          </w:tcPr>
          <w:p w14:paraId="7B985F09" w14:textId="77777777" w:rsidR="00BE2CA7" w:rsidRPr="00440C76" w:rsidRDefault="00BE2CA7" w:rsidP="002B0590">
            <w:pPr>
              <w:suppressAutoHyphens w:val="0"/>
              <w:kinsoku/>
              <w:overflowPunct/>
              <w:autoSpaceDE/>
              <w:autoSpaceDN/>
              <w:adjustRightInd/>
              <w:snapToGrid/>
              <w:spacing w:before="80" w:after="80" w:line="200" w:lineRule="exact"/>
              <w:ind w:left="57" w:right="57"/>
              <w:rPr>
                <w:rFonts w:eastAsia="Times New Roman"/>
                <w:i/>
                <w:iCs/>
                <w:snapToGrid w:val="0"/>
                <w:sz w:val="16"/>
                <w:szCs w:val="16"/>
                <w:lang w:val="fr-FR"/>
              </w:rPr>
            </w:pPr>
            <w:r w:rsidRPr="00440C76">
              <w:rPr>
                <w:rFonts w:eastAsia="Times New Roman"/>
                <w:i/>
                <w:iCs/>
                <w:snapToGrid w:val="0"/>
                <w:sz w:val="16"/>
                <w:szCs w:val="16"/>
                <w:lang w:val="fr-FR"/>
              </w:rPr>
              <w:t>Objet</w:t>
            </w:r>
          </w:p>
        </w:tc>
        <w:tc>
          <w:tcPr>
            <w:tcW w:w="4227" w:type="dxa"/>
          </w:tcPr>
          <w:p w14:paraId="1F82CF83" w14:textId="77777777" w:rsidR="00BE2CA7" w:rsidRPr="00440C76" w:rsidRDefault="00BE2CA7" w:rsidP="002B0590">
            <w:pPr>
              <w:suppressAutoHyphens w:val="0"/>
              <w:kinsoku/>
              <w:overflowPunct/>
              <w:autoSpaceDE/>
              <w:autoSpaceDN/>
              <w:adjustRightInd/>
              <w:snapToGrid/>
              <w:spacing w:before="80" w:after="80" w:line="200" w:lineRule="exact"/>
              <w:ind w:left="57" w:right="57"/>
              <w:rPr>
                <w:rFonts w:eastAsia="Times New Roman"/>
                <w:i/>
                <w:iCs/>
                <w:snapToGrid w:val="0"/>
                <w:sz w:val="16"/>
                <w:szCs w:val="16"/>
                <w:lang w:val="fr-FR"/>
              </w:rPr>
            </w:pPr>
            <w:r w:rsidRPr="00440C76">
              <w:rPr>
                <w:rFonts w:eastAsia="Times New Roman"/>
                <w:i/>
                <w:iCs/>
                <w:snapToGrid w:val="0"/>
                <w:sz w:val="16"/>
                <w:szCs w:val="16"/>
                <w:lang w:val="fr-FR"/>
              </w:rPr>
              <w:t>Explication</w:t>
            </w:r>
          </w:p>
        </w:tc>
      </w:tr>
      <w:tr w:rsidR="00BE2CA7" w:rsidRPr="00440C76" w14:paraId="73F92B8E" w14:textId="77777777" w:rsidTr="002B0590">
        <w:tc>
          <w:tcPr>
            <w:tcW w:w="1663" w:type="dxa"/>
            <w:vMerge w:val="restart"/>
          </w:tcPr>
          <w:p w14:paraId="06102D8A" w14:textId="77777777" w:rsidR="00BE2CA7" w:rsidRPr="00440C76" w:rsidRDefault="00BE2CA7" w:rsidP="002B0590">
            <w:pPr>
              <w:suppressAutoHyphens w:val="0"/>
              <w:kinsoku/>
              <w:overflowPunct/>
              <w:autoSpaceDE/>
              <w:autoSpaceDN/>
              <w:adjustRightInd/>
              <w:snapToGrid/>
              <w:spacing w:before="40" w:after="40" w:line="220" w:lineRule="exact"/>
              <w:ind w:left="57" w:right="57"/>
              <w:rPr>
                <w:rFonts w:eastAsia="Times New Roman"/>
                <w:snapToGrid w:val="0"/>
                <w:lang w:val="fr-FR"/>
              </w:rPr>
            </w:pPr>
            <w:r w:rsidRPr="00440C76">
              <w:rPr>
                <w:rFonts w:eastAsia="Times New Roman"/>
                <w:snapToGrid w:val="0"/>
                <w:lang w:val="fr-FR"/>
              </w:rPr>
              <w:t>Documents introductifs</w:t>
            </w:r>
          </w:p>
        </w:tc>
        <w:tc>
          <w:tcPr>
            <w:tcW w:w="924" w:type="dxa"/>
          </w:tcPr>
          <w:p w14:paraId="35AFB2D1" w14:textId="77777777" w:rsidR="00BE2CA7" w:rsidRPr="00440C76" w:rsidRDefault="00BE2CA7" w:rsidP="002B0590">
            <w:pPr>
              <w:suppressAutoHyphens w:val="0"/>
              <w:kinsoku/>
              <w:overflowPunct/>
              <w:autoSpaceDE/>
              <w:autoSpaceDN/>
              <w:adjustRightInd/>
              <w:snapToGrid/>
              <w:spacing w:before="40" w:after="40" w:line="220" w:lineRule="exact"/>
              <w:ind w:left="57" w:right="57"/>
              <w:rPr>
                <w:rFonts w:eastAsia="Times New Roman"/>
                <w:snapToGrid w:val="0"/>
                <w:lang w:val="fr-FR"/>
              </w:rPr>
            </w:pPr>
          </w:p>
        </w:tc>
        <w:tc>
          <w:tcPr>
            <w:tcW w:w="2824" w:type="dxa"/>
          </w:tcPr>
          <w:p w14:paraId="306BD1CB" w14:textId="77777777" w:rsidR="00BE2CA7" w:rsidRPr="00440C76" w:rsidRDefault="00BE2CA7" w:rsidP="002B0590">
            <w:pPr>
              <w:suppressAutoHyphens w:val="0"/>
              <w:kinsoku/>
              <w:overflowPunct/>
              <w:autoSpaceDE/>
              <w:autoSpaceDN/>
              <w:adjustRightInd/>
              <w:snapToGrid/>
              <w:spacing w:before="40" w:after="40" w:line="220" w:lineRule="exact"/>
              <w:ind w:left="57" w:right="57"/>
              <w:rPr>
                <w:rFonts w:eastAsia="Times New Roman"/>
                <w:snapToGrid w:val="0"/>
                <w:lang w:val="fr-FR"/>
              </w:rPr>
            </w:pPr>
            <w:r w:rsidRPr="00440C76">
              <w:rPr>
                <w:rFonts w:eastAsia="Times New Roman"/>
                <w:snapToGrid w:val="0"/>
                <w:lang w:val="fr-FR"/>
              </w:rPr>
              <w:t>Lettre de présentation à l</w:t>
            </w:r>
            <w:r>
              <w:rPr>
                <w:rFonts w:eastAsia="Times New Roman"/>
                <w:snapToGrid w:val="0"/>
                <w:lang w:val="fr-FR"/>
              </w:rPr>
              <w:t>’</w:t>
            </w:r>
            <w:r w:rsidRPr="00440C76">
              <w:rPr>
                <w:rFonts w:eastAsia="Times New Roman"/>
                <w:snapToGrid w:val="0"/>
                <w:lang w:val="fr-FR"/>
              </w:rPr>
              <w:t>autorité d</w:t>
            </w:r>
            <w:r>
              <w:rPr>
                <w:rFonts w:eastAsia="Times New Roman"/>
                <w:snapToGrid w:val="0"/>
                <w:lang w:val="fr-FR"/>
              </w:rPr>
              <w:t>’</w:t>
            </w:r>
            <w:r w:rsidRPr="00440C76">
              <w:rPr>
                <w:rFonts w:eastAsia="Times New Roman"/>
                <w:snapToGrid w:val="0"/>
                <w:lang w:val="fr-FR"/>
              </w:rPr>
              <w:t>homologation de type</w:t>
            </w:r>
          </w:p>
        </w:tc>
        <w:tc>
          <w:tcPr>
            <w:tcW w:w="4227" w:type="dxa"/>
          </w:tcPr>
          <w:p w14:paraId="335C38BB" w14:textId="77777777" w:rsidR="00BE2CA7" w:rsidRPr="00440C76" w:rsidRDefault="00BE2CA7" w:rsidP="002B0590">
            <w:pPr>
              <w:suppressAutoHyphens w:val="0"/>
              <w:kinsoku/>
              <w:overflowPunct/>
              <w:autoSpaceDE/>
              <w:autoSpaceDN/>
              <w:adjustRightInd/>
              <w:snapToGrid/>
              <w:spacing w:before="40" w:after="40" w:line="220" w:lineRule="exact"/>
              <w:ind w:left="57" w:right="57"/>
              <w:rPr>
                <w:rFonts w:eastAsia="Times New Roman"/>
                <w:snapToGrid w:val="0"/>
                <w:lang w:val="fr-FR"/>
              </w:rPr>
            </w:pPr>
            <w:r w:rsidRPr="00440C76">
              <w:rPr>
                <w:rFonts w:eastAsia="Times New Roman"/>
                <w:snapToGrid w:val="0"/>
                <w:lang w:val="fr-FR"/>
              </w:rPr>
              <w:t>Référence du document comprenant la version, la date d</w:t>
            </w:r>
            <w:r>
              <w:rPr>
                <w:rFonts w:eastAsia="Times New Roman"/>
                <w:snapToGrid w:val="0"/>
                <w:lang w:val="fr-FR"/>
              </w:rPr>
              <w:t>’</w:t>
            </w:r>
            <w:r w:rsidRPr="00440C76">
              <w:rPr>
                <w:rFonts w:eastAsia="Times New Roman"/>
                <w:snapToGrid w:val="0"/>
                <w:lang w:val="fr-FR"/>
              </w:rPr>
              <w:t>émission du document et la signature de la personne compétente de l</w:t>
            </w:r>
            <w:r>
              <w:rPr>
                <w:rFonts w:eastAsia="Times New Roman"/>
                <w:snapToGrid w:val="0"/>
                <w:lang w:val="fr-FR"/>
              </w:rPr>
              <w:t>’</w:t>
            </w:r>
            <w:r w:rsidRPr="00440C76">
              <w:rPr>
                <w:rFonts w:eastAsia="Times New Roman"/>
                <w:snapToGrid w:val="0"/>
                <w:lang w:val="fr-FR"/>
              </w:rPr>
              <w:t>organisation du constructeur</w:t>
            </w:r>
          </w:p>
        </w:tc>
      </w:tr>
      <w:tr w:rsidR="00BE2CA7" w:rsidRPr="00440C76" w14:paraId="58CDB5D6" w14:textId="77777777" w:rsidTr="002B0590">
        <w:tc>
          <w:tcPr>
            <w:tcW w:w="1663" w:type="dxa"/>
            <w:vMerge/>
          </w:tcPr>
          <w:p w14:paraId="3908EDAF" w14:textId="77777777" w:rsidR="00BE2CA7" w:rsidRPr="00440C76" w:rsidRDefault="00BE2CA7" w:rsidP="002B0590">
            <w:pPr>
              <w:tabs>
                <w:tab w:val="left" w:pos="1134"/>
              </w:tabs>
              <w:suppressAutoHyphens w:val="0"/>
              <w:kinsoku/>
              <w:overflowPunct/>
              <w:autoSpaceDE/>
              <w:autoSpaceDN/>
              <w:adjustRightInd/>
              <w:snapToGrid/>
              <w:spacing w:before="40" w:after="40" w:line="220" w:lineRule="exact"/>
              <w:ind w:left="57" w:right="57"/>
              <w:rPr>
                <w:rFonts w:eastAsia="Times New Roman"/>
                <w:snapToGrid w:val="0"/>
                <w:lang w:val="fr-FR"/>
              </w:rPr>
            </w:pPr>
          </w:p>
        </w:tc>
        <w:tc>
          <w:tcPr>
            <w:tcW w:w="924" w:type="dxa"/>
          </w:tcPr>
          <w:p w14:paraId="2693193C" w14:textId="77777777" w:rsidR="00BE2CA7" w:rsidRPr="00440C76" w:rsidRDefault="00BE2CA7" w:rsidP="002B0590">
            <w:pPr>
              <w:tabs>
                <w:tab w:val="left" w:pos="1134"/>
              </w:tabs>
              <w:suppressAutoHyphens w:val="0"/>
              <w:kinsoku/>
              <w:overflowPunct/>
              <w:autoSpaceDE/>
              <w:autoSpaceDN/>
              <w:adjustRightInd/>
              <w:snapToGrid/>
              <w:spacing w:before="40" w:after="40" w:line="220" w:lineRule="exact"/>
              <w:ind w:left="57" w:right="57"/>
              <w:rPr>
                <w:rFonts w:eastAsia="Times New Roman"/>
                <w:snapToGrid w:val="0"/>
                <w:lang w:val="fr-FR"/>
              </w:rPr>
            </w:pPr>
          </w:p>
        </w:tc>
        <w:tc>
          <w:tcPr>
            <w:tcW w:w="2824" w:type="dxa"/>
          </w:tcPr>
          <w:p w14:paraId="743BD149" w14:textId="77777777" w:rsidR="00BE2CA7" w:rsidRPr="00440C76" w:rsidRDefault="00BE2CA7" w:rsidP="002B0590">
            <w:pPr>
              <w:suppressAutoHyphens w:val="0"/>
              <w:kinsoku/>
              <w:overflowPunct/>
              <w:autoSpaceDE/>
              <w:autoSpaceDN/>
              <w:adjustRightInd/>
              <w:snapToGrid/>
              <w:spacing w:before="40" w:after="40" w:line="220" w:lineRule="exact"/>
              <w:ind w:left="57" w:right="57"/>
              <w:rPr>
                <w:rFonts w:eastAsia="Times New Roman"/>
                <w:snapToGrid w:val="0"/>
                <w:lang w:val="fr-FR"/>
              </w:rPr>
            </w:pPr>
            <w:r w:rsidRPr="00440C76">
              <w:rPr>
                <w:rFonts w:eastAsia="Times New Roman"/>
                <w:snapToGrid w:val="0"/>
                <w:lang w:val="fr-FR"/>
              </w:rPr>
              <w:t>Tableau des versions</w:t>
            </w:r>
          </w:p>
        </w:tc>
        <w:tc>
          <w:tcPr>
            <w:tcW w:w="4227" w:type="dxa"/>
          </w:tcPr>
          <w:p w14:paraId="35D8CA17" w14:textId="77777777" w:rsidR="00BE2CA7" w:rsidRPr="00440C76" w:rsidRDefault="00BE2CA7" w:rsidP="002B0590">
            <w:pPr>
              <w:suppressAutoHyphens w:val="0"/>
              <w:kinsoku/>
              <w:overflowPunct/>
              <w:autoSpaceDE/>
              <w:autoSpaceDN/>
              <w:adjustRightInd/>
              <w:snapToGrid/>
              <w:spacing w:before="40" w:after="40" w:line="220" w:lineRule="exact"/>
              <w:ind w:left="57" w:right="57"/>
              <w:rPr>
                <w:rFonts w:eastAsia="Times New Roman"/>
                <w:snapToGrid w:val="0"/>
                <w:lang w:val="fr-FR"/>
              </w:rPr>
            </w:pPr>
            <w:r w:rsidRPr="00440C76">
              <w:rPr>
                <w:rFonts w:eastAsia="Times New Roman"/>
                <w:snapToGrid w:val="0"/>
                <w:lang w:val="fr-FR"/>
              </w:rPr>
              <w:t>Contenu des modifications apportées par chaque version, précisant quelle partie a été modifiée</w:t>
            </w:r>
          </w:p>
        </w:tc>
      </w:tr>
      <w:tr w:rsidR="00BE2CA7" w:rsidRPr="00440C76" w14:paraId="106D99D4" w14:textId="77777777" w:rsidTr="002B0590">
        <w:tc>
          <w:tcPr>
            <w:tcW w:w="1663" w:type="dxa"/>
            <w:vMerge/>
          </w:tcPr>
          <w:p w14:paraId="66C5B8A5" w14:textId="77777777" w:rsidR="00BE2CA7" w:rsidRPr="00440C76" w:rsidRDefault="00BE2CA7" w:rsidP="002B0590">
            <w:pPr>
              <w:tabs>
                <w:tab w:val="left" w:pos="1134"/>
              </w:tabs>
              <w:suppressAutoHyphens w:val="0"/>
              <w:kinsoku/>
              <w:overflowPunct/>
              <w:autoSpaceDE/>
              <w:autoSpaceDN/>
              <w:adjustRightInd/>
              <w:snapToGrid/>
              <w:spacing w:before="40" w:after="40" w:line="220" w:lineRule="exact"/>
              <w:ind w:left="57" w:right="57"/>
              <w:rPr>
                <w:rFonts w:eastAsia="Times New Roman"/>
                <w:snapToGrid w:val="0"/>
                <w:lang w:val="fr-FR"/>
              </w:rPr>
            </w:pPr>
          </w:p>
        </w:tc>
        <w:tc>
          <w:tcPr>
            <w:tcW w:w="924" w:type="dxa"/>
          </w:tcPr>
          <w:p w14:paraId="4A496CFB" w14:textId="77777777" w:rsidR="00BE2CA7" w:rsidRPr="00440C76" w:rsidRDefault="00BE2CA7" w:rsidP="002B0590">
            <w:pPr>
              <w:tabs>
                <w:tab w:val="left" w:pos="1134"/>
              </w:tabs>
              <w:suppressAutoHyphens w:val="0"/>
              <w:kinsoku/>
              <w:overflowPunct/>
              <w:autoSpaceDE/>
              <w:autoSpaceDN/>
              <w:adjustRightInd/>
              <w:snapToGrid/>
              <w:spacing w:before="40" w:after="40" w:line="220" w:lineRule="exact"/>
              <w:ind w:left="57" w:right="57"/>
              <w:rPr>
                <w:rFonts w:eastAsia="Times New Roman"/>
                <w:snapToGrid w:val="0"/>
                <w:lang w:val="fr-FR"/>
              </w:rPr>
            </w:pPr>
          </w:p>
        </w:tc>
        <w:tc>
          <w:tcPr>
            <w:tcW w:w="2824" w:type="dxa"/>
          </w:tcPr>
          <w:p w14:paraId="7DE6A741" w14:textId="77777777" w:rsidR="00BE2CA7" w:rsidRPr="00440C76" w:rsidRDefault="00BE2CA7" w:rsidP="002B0590">
            <w:pPr>
              <w:suppressAutoHyphens w:val="0"/>
              <w:kinsoku/>
              <w:overflowPunct/>
              <w:autoSpaceDE/>
              <w:autoSpaceDN/>
              <w:adjustRightInd/>
              <w:snapToGrid/>
              <w:spacing w:before="40" w:after="40" w:line="220" w:lineRule="exact"/>
              <w:ind w:left="57" w:right="57"/>
              <w:rPr>
                <w:rFonts w:eastAsia="Times New Roman"/>
                <w:snapToGrid w:val="0"/>
                <w:lang w:val="fr-FR"/>
              </w:rPr>
            </w:pPr>
            <w:r w:rsidRPr="00440C76">
              <w:rPr>
                <w:rFonts w:eastAsia="Times New Roman"/>
                <w:snapToGrid w:val="0"/>
                <w:lang w:val="fr-FR"/>
              </w:rPr>
              <w:t>Description des types d</w:t>
            </w:r>
            <w:r>
              <w:rPr>
                <w:rFonts w:eastAsia="Times New Roman"/>
                <w:snapToGrid w:val="0"/>
                <w:lang w:val="fr-FR"/>
              </w:rPr>
              <w:t>’</w:t>
            </w:r>
            <w:r w:rsidRPr="00440C76">
              <w:rPr>
                <w:rFonts w:eastAsia="Times New Roman"/>
                <w:snapToGrid w:val="0"/>
                <w:lang w:val="fr-FR"/>
              </w:rPr>
              <w:t>émissions concernés</w:t>
            </w:r>
          </w:p>
        </w:tc>
        <w:tc>
          <w:tcPr>
            <w:tcW w:w="4227" w:type="dxa"/>
          </w:tcPr>
          <w:p w14:paraId="14AB7329" w14:textId="77777777" w:rsidR="00BE2CA7" w:rsidRPr="00440C76" w:rsidRDefault="00BE2CA7" w:rsidP="002B0590">
            <w:pPr>
              <w:suppressAutoHyphens w:val="0"/>
              <w:kinsoku/>
              <w:overflowPunct/>
              <w:autoSpaceDE/>
              <w:autoSpaceDN/>
              <w:adjustRightInd/>
              <w:snapToGrid/>
              <w:spacing w:before="40" w:after="40" w:line="220" w:lineRule="exact"/>
              <w:ind w:left="57" w:right="57"/>
              <w:rPr>
                <w:rFonts w:eastAsia="Times New Roman"/>
                <w:snapToGrid w:val="0"/>
                <w:lang w:val="fr-FR"/>
              </w:rPr>
            </w:pPr>
          </w:p>
        </w:tc>
      </w:tr>
      <w:tr w:rsidR="00BE2CA7" w:rsidRPr="00440C76" w14:paraId="17E4ECE1" w14:textId="77777777" w:rsidTr="002B0590">
        <w:tc>
          <w:tcPr>
            <w:tcW w:w="1663" w:type="dxa"/>
            <w:vMerge/>
          </w:tcPr>
          <w:p w14:paraId="57B31AC1" w14:textId="77777777" w:rsidR="00BE2CA7" w:rsidRPr="00440C76" w:rsidRDefault="00BE2CA7" w:rsidP="002B0590">
            <w:pPr>
              <w:tabs>
                <w:tab w:val="left" w:pos="1134"/>
              </w:tabs>
              <w:suppressAutoHyphens w:val="0"/>
              <w:kinsoku/>
              <w:overflowPunct/>
              <w:autoSpaceDE/>
              <w:autoSpaceDN/>
              <w:adjustRightInd/>
              <w:snapToGrid/>
              <w:spacing w:before="40" w:after="40" w:line="220" w:lineRule="exact"/>
              <w:ind w:left="57" w:right="57"/>
              <w:rPr>
                <w:rFonts w:eastAsia="Times New Roman"/>
                <w:snapToGrid w:val="0"/>
                <w:lang w:val="fr-FR"/>
              </w:rPr>
            </w:pPr>
          </w:p>
        </w:tc>
        <w:tc>
          <w:tcPr>
            <w:tcW w:w="924" w:type="dxa"/>
          </w:tcPr>
          <w:p w14:paraId="0D16358F" w14:textId="77777777" w:rsidR="00BE2CA7" w:rsidRPr="00440C76" w:rsidRDefault="00BE2CA7" w:rsidP="002B0590">
            <w:pPr>
              <w:tabs>
                <w:tab w:val="left" w:pos="1134"/>
              </w:tabs>
              <w:suppressAutoHyphens w:val="0"/>
              <w:kinsoku/>
              <w:overflowPunct/>
              <w:autoSpaceDE/>
              <w:autoSpaceDN/>
              <w:adjustRightInd/>
              <w:snapToGrid/>
              <w:spacing w:before="40" w:after="40" w:line="220" w:lineRule="exact"/>
              <w:ind w:left="57" w:right="57"/>
              <w:rPr>
                <w:rFonts w:eastAsia="Times New Roman"/>
                <w:snapToGrid w:val="0"/>
                <w:lang w:val="fr-FR"/>
              </w:rPr>
            </w:pPr>
          </w:p>
        </w:tc>
        <w:tc>
          <w:tcPr>
            <w:tcW w:w="2824" w:type="dxa"/>
          </w:tcPr>
          <w:p w14:paraId="28116174" w14:textId="77777777" w:rsidR="00BE2CA7" w:rsidRPr="00440C76" w:rsidRDefault="00BE2CA7" w:rsidP="002B0590">
            <w:pPr>
              <w:suppressAutoHyphens w:val="0"/>
              <w:kinsoku/>
              <w:overflowPunct/>
              <w:autoSpaceDE/>
              <w:autoSpaceDN/>
              <w:adjustRightInd/>
              <w:snapToGrid/>
              <w:spacing w:before="40" w:after="40" w:line="220" w:lineRule="exact"/>
              <w:ind w:left="57" w:right="57"/>
              <w:rPr>
                <w:rFonts w:eastAsia="Times New Roman"/>
                <w:snapToGrid w:val="0"/>
                <w:lang w:val="fr-FR"/>
              </w:rPr>
            </w:pPr>
            <w:r w:rsidRPr="00440C76">
              <w:rPr>
                <w:rFonts w:eastAsia="Times New Roman"/>
                <w:snapToGrid w:val="0"/>
                <w:lang w:val="fr-FR"/>
              </w:rPr>
              <w:t>Liste des documents annexés</w:t>
            </w:r>
          </w:p>
        </w:tc>
        <w:tc>
          <w:tcPr>
            <w:tcW w:w="4227" w:type="dxa"/>
          </w:tcPr>
          <w:p w14:paraId="3DD462F4" w14:textId="77777777" w:rsidR="00BE2CA7" w:rsidRPr="00440C76" w:rsidRDefault="00BE2CA7" w:rsidP="002B0590">
            <w:pPr>
              <w:suppressAutoHyphens w:val="0"/>
              <w:kinsoku/>
              <w:overflowPunct/>
              <w:autoSpaceDE/>
              <w:autoSpaceDN/>
              <w:adjustRightInd/>
              <w:snapToGrid/>
              <w:spacing w:before="40" w:after="40" w:line="220" w:lineRule="exact"/>
              <w:ind w:left="57" w:right="57"/>
              <w:rPr>
                <w:rFonts w:eastAsia="Times New Roman"/>
                <w:snapToGrid w:val="0"/>
                <w:lang w:val="fr-FR"/>
              </w:rPr>
            </w:pPr>
            <w:r w:rsidRPr="00440C76">
              <w:rPr>
                <w:rFonts w:eastAsia="Times New Roman"/>
                <w:snapToGrid w:val="0"/>
                <w:lang w:val="fr-FR"/>
              </w:rPr>
              <w:t>Liste de tous les documents joints</w:t>
            </w:r>
          </w:p>
        </w:tc>
      </w:tr>
      <w:tr w:rsidR="00BE2CA7" w:rsidRPr="00440C76" w14:paraId="5C711B58" w14:textId="77777777" w:rsidTr="002B0590">
        <w:tc>
          <w:tcPr>
            <w:tcW w:w="1663" w:type="dxa"/>
            <w:vMerge/>
          </w:tcPr>
          <w:p w14:paraId="44603D18" w14:textId="77777777" w:rsidR="00BE2CA7" w:rsidRPr="00440C76" w:rsidRDefault="00BE2CA7" w:rsidP="002B0590">
            <w:pPr>
              <w:tabs>
                <w:tab w:val="left" w:pos="1134"/>
              </w:tabs>
              <w:suppressAutoHyphens w:val="0"/>
              <w:kinsoku/>
              <w:overflowPunct/>
              <w:autoSpaceDE/>
              <w:autoSpaceDN/>
              <w:adjustRightInd/>
              <w:snapToGrid/>
              <w:spacing w:before="40" w:after="40" w:line="220" w:lineRule="exact"/>
              <w:ind w:left="57" w:right="57"/>
              <w:rPr>
                <w:rFonts w:eastAsia="Times New Roman"/>
                <w:snapToGrid w:val="0"/>
                <w:lang w:val="fr-FR"/>
              </w:rPr>
            </w:pPr>
          </w:p>
        </w:tc>
        <w:tc>
          <w:tcPr>
            <w:tcW w:w="924" w:type="dxa"/>
          </w:tcPr>
          <w:p w14:paraId="3B1494E4" w14:textId="77777777" w:rsidR="00BE2CA7" w:rsidRPr="00440C76" w:rsidRDefault="00BE2CA7" w:rsidP="002B0590">
            <w:pPr>
              <w:tabs>
                <w:tab w:val="left" w:pos="1134"/>
              </w:tabs>
              <w:suppressAutoHyphens w:val="0"/>
              <w:kinsoku/>
              <w:overflowPunct/>
              <w:autoSpaceDE/>
              <w:autoSpaceDN/>
              <w:adjustRightInd/>
              <w:snapToGrid/>
              <w:spacing w:before="40" w:after="40" w:line="220" w:lineRule="exact"/>
              <w:ind w:left="57" w:right="57"/>
              <w:rPr>
                <w:rFonts w:eastAsia="Times New Roman"/>
                <w:snapToGrid w:val="0"/>
                <w:lang w:val="fr-FR"/>
              </w:rPr>
            </w:pPr>
          </w:p>
        </w:tc>
        <w:tc>
          <w:tcPr>
            <w:tcW w:w="2824" w:type="dxa"/>
          </w:tcPr>
          <w:p w14:paraId="1FA0BA22" w14:textId="77777777" w:rsidR="00BE2CA7" w:rsidRPr="00440C76" w:rsidRDefault="00BE2CA7" w:rsidP="002B0590">
            <w:pPr>
              <w:suppressAutoHyphens w:val="0"/>
              <w:kinsoku/>
              <w:overflowPunct/>
              <w:autoSpaceDE/>
              <w:autoSpaceDN/>
              <w:adjustRightInd/>
              <w:snapToGrid/>
              <w:spacing w:before="40" w:after="40" w:line="220" w:lineRule="exact"/>
              <w:ind w:left="57" w:right="57"/>
              <w:rPr>
                <w:rFonts w:eastAsia="Times New Roman"/>
                <w:snapToGrid w:val="0"/>
                <w:lang w:val="fr-FR"/>
              </w:rPr>
            </w:pPr>
            <w:r w:rsidRPr="00440C76">
              <w:rPr>
                <w:rFonts w:eastAsia="Times New Roman"/>
                <w:snapToGrid w:val="0"/>
                <w:lang w:val="fr-FR"/>
              </w:rPr>
              <w:t>Références croisées</w:t>
            </w:r>
          </w:p>
        </w:tc>
        <w:tc>
          <w:tcPr>
            <w:tcW w:w="4227" w:type="dxa"/>
          </w:tcPr>
          <w:p w14:paraId="741172E1" w14:textId="77777777" w:rsidR="00BE2CA7" w:rsidRPr="006D0C82" w:rsidRDefault="00BE2CA7" w:rsidP="002B0590">
            <w:pPr>
              <w:suppressAutoHyphens w:val="0"/>
              <w:kinsoku/>
              <w:overflowPunct/>
              <w:autoSpaceDE/>
              <w:autoSpaceDN/>
              <w:adjustRightInd/>
              <w:snapToGrid/>
              <w:spacing w:before="40" w:after="40" w:line="220" w:lineRule="exact"/>
              <w:ind w:left="57" w:right="57"/>
              <w:rPr>
                <w:rFonts w:eastAsia="Times New Roman"/>
                <w:snapToGrid w:val="0"/>
                <w:spacing w:val="-4"/>
                <w:lang w:val="fr-FR"/>
              </w:rPr>
            </w:pPr>
            <w:r w:rsidRPr="006D0C82">
              <w:rPr>
                <w:rFonts w:eastAsia="Times New Roman"/>
                <w:snapToGrid w:val="0"/>
                <w:spacing w:val="-4"/>
                <w:lang w:val="fr-FR"/>
              </w:rPr>
              <w:t>Renvois aux paragraphes a) à i) de l’appendice 3a (dans lesquels sont énoncées les dispositions du Règlement)</w:t>
            </w:r>
          </w:p>
        </w:tc>
      </w:tr>
      <w:tr w:rsidR="00BE2CA7" w:rsidRPr="00440C76" w14:paraId="49DA0880" w14:textId="77777777" w:rsidTr="002B0590">
        <w:tc>
          <w:tcPr>
            <w:tcW w:w="1663" w:type="dxa"/>
            <w:vMerge/>
          </w:tcPr>
          <w:p w14:paraId="7A32F7AD" w14:textId="77777777" w:rsidR="00BE2CA7" w:rsidRPr="00440C76" w:rsidRDefault="00BE2CA7" w:rsidP="002B0590">
            <w:pPr>
              <w:tabs>
                <w:tab w:val="left" w:pos="1134"/>
              </w:tabs>
              <w:suppressAutoHyphens w:val="0"/>
              <w:kinsoku/>
              <w:overflowPunct/>
              <w:autoSpaceDE/>
              <w:autoSpaceDN/>
              <w:adjustRightInd/>
              <w:snapToGrid/>
              <w:spacing w:before="40" w:after="40" w:line="220" w:lineRule="exact"/>
              <w:ind w:left="57" w:right="57"/>
              <w:rPr>
                <w:rFonts w:eastAsia="Times New Roman"/>
                <w:snapToGrid w:val="0"/>
                <w:lang w:val="fr-FR"/>
              </w:rPr>
            </w:pPr>
          </w:p>
        </w:tc>
        <w:tc>
          <w:tcPr>
            <w:tcW w:w="924" w:type="dxa"/>
          </w:tcPr>
          <w:p w14:paraId="10549998" w14:textId="77777777" w:rsidR="00BE2CA7" w:rsidRPr="00440C76" w:rsidRDefault="00BE2CA7" w:rsidP="002B0590">
            <w:pPr>
              <w:tabs>
                <w:tab w:val="left" w:pos="1134"/>
              </w:tabs>
              <w:suppressAutoHyphens w:val="0"/>
              <w:kinsoku/>
              <w:overflowPunct/>
              <w:autoSpaceDE/>
              <w:autoSpaceDN/>
              <w:adjustRightInd/>
              <w:snapToGrid/>
              <w:spacing w:before="40" w:after="40" w:line="220" w:lineRule="exact"/>
              <w:ind w:left="57" w:right="57"/>
              <w:rPr>
                <w:rFonts w:eastAsia="Times New Roman"/>
                <w:snapToGrid w:val="0"/>
                <w:lang w:val="fr-FR"/>
              </w:rPr>
            </w:pPr>
          </w:p>
        </w:tc>
        <w:tc>
          <w:tcPr>
            <w:tcW w:w="2824" w:type="dxa"/>
          </w:tcPr>
          <w:p w14:paraId="18950582" w14:textId="77777777" w:rsidR="00BE2CA7" w:rsidRPr="00440C76" w:rsidRDefault="00BE2CA7" w:rsidP="002B0590">
            <w:pPr>
              <w:suppressAutoHyphens w:val="0"/>
              <w:kinsoku/>
              <w:overflowPunct/>
              <w:autoSpaceDE/>
              <w:autoSpaceDN/>
              <w:adjustRightInd/>
              <w:snapToGrid/>
              <w:spacing w:before="40" w:after="40" w:line="220" w:lineRule="exact"/>
              <w:ind w:left="57" w:right="57"/>
              <w:rPr>
                <w:rFonts w:eastAsia="Times New Roman"/>
                <w:snapToGrid w:val="0"/>
                <w:lang w:val="fr-FR"/>
              </w:rPr>
            </w:pPr>
            <w:r w:rsidRPr="00440C76">
              <w:rPr>
                <w:rFonts w:eastAsia="Times New Roman"/>
                <w:snapToGrid w:val="0"/>
                <w:lang w:val="fr-FR"/>
              </w:rPr>
              <w:t>Déclaration d</w:t>
            </w:r>
            <w:r>
              <w:rPr>
                <w:rFonts w:eastAsia="Times New Roman"/>
                <w:snapToGrid w:val="0"/>
                <w:lang w:val="fr-FR"/>
              </w:rPr>
              <w:t>’</w:t>
            </w:r>
            <w:r w:rsidRPr="00440C76">
              <w:rPr>
                <w:rFonts w:eastAsia="Times New Roman"/>
                <w:snapToGrid w:val="0"/>
                <w:lang w:val="fr-FR"/>
              </w:rPr>
              <w:t>absence de dispositif d</w:t>
            </w:r>
            <w:r>
              <w:rPr>
                <w:rFonts w:eastAsia="Times New Roman"/>
                <w:snapToGrid w:val="0"/>
                <w:lang w:val="fr-FR"/>
              </w:rPr>
              <w:t>’</w:t>
            </w:r>
            <w:r w:rsidRPr="00440C76">
              <w:rPr>
                <w:rFonts w:eastAsia="Times New Roman"/>
                <w:snapToGrid w:val="0"/>
                <w:lang w:val="fr-FR"/>
              </w:rPr>
              <w:t>invalidation</w:t>
            </w:r>
          </w:p>
        </w:tc>
        <w:tc>
          <w:tcPr>
            <w:tcW w:w="4227" w:type="dxa"/>
          </w:tcPr>
          <w:p w14:paraId="280102ED" w14:textId="77777777" w:rsidR="00BE2CA7" w:rsidRPr="00440C76" w:rsidRDefault="00BE2CA7" w:rsidP="002B0590">
            <w:pPr>
              <w:suppressAutoHyphens w:val="0"/>
              <w:kinsoku/>
              <w:overflowPunct/>
              <w:autoSpaceDE/>
              <w:autoSpaceDN/>
              <w:adjustRightInd/>
              <w:snapToGrid/>
              <w:spacing w:before="40" w:after="40" w:line="220" w:lineRule="exact"/>
              <w:ind w:left="57" w:right="57"/>
              <w:rPr>
                <w:rFonts w:eastAsia="Times New Roman"/>
                <w:snapToGrid w:val="0"/>
                <w:lang w:val="fr-FR"/>
              </w:rPr>
            </w:pPr>
            <w:r w:rsidRPr="00440C76">
              <w:rPr>
                <w:rFonts w:eastAsia="Times New Roman"/>
                <w:snapToGrid w:val="0"/>
                <w:lang w:val="fr-FR"/>
              </w:rPr>
              <w:t>Y compris signature</w:t>
            </w:r>
          </w:p>
        </w:tc>
      </w:tr>
      <w:tr w:rsidR="00BE2CA7" w:rsidRPr="00440C76" w14:paraId="58AE878A" w14:textId="77777777" w:rsidTr="002B0590">
        <w:tc>
          <w:tcPr>
            <w:tcW w:w="1663" w:type="dxa"/>
            <w:vMerge w:val="restart"/>
          </w:tcPr>
          <w:p w14:paraId="4C84FE80" w14:textId="77777777" w:rsidR="00BE2CA7" w:rsidRPr="00440C76" w:rsidRDefault="00BE2CA7" w:rsidP="002B0590">
            <w:pPr>
              <w:suppressAutoHyphens w:val="0"/>
              <w:kinsoku/>
              <w:overflowPunct/>
              <w:autoSpaceDE/>
              <w:autoSpaceDN/>
              <w:adjustRightInd/>
              <w:snapToGrid/>
              <w:spacing w:before="40" w:after="40" w:line="220" w:lineRule="exact"/>
              <w:ind w:left="57" w:right="57"/>
              <w:rPr>
                <w:rFonts w:eastAsia="Times New Roman"/>
                <w:snapToGrid w:val="0"/>
                <w:lang w:val="fr-FR"/>
              </w:rPr>
            </w:pPr>
            <w:r w:rsidRPr="00440C76">
              <w:rPr>
                <w:rFonts w:eastAsia="Times New Roman"/>
                <w:snapToGrid w:val="0"/>
                <w:lang w:val="fr-FR"/>
              </w:rPr>
              <w:t>Document de base</w:t>
            </w:r>
          </w:p>
        </w:tc>
        <w:tc>
          <w:tcPr>
            <w:tcW w:w="924" w:type="dxa"/>
          </w:tcPr>
          <w:p w14:paraId="252452D6" w14:textId="77777777" w:rsidR="00BE2CA7" w:rsidRPr="00440C76" w:rsidRDefault="00BE2CA7" w:rsidP="002B0590">
            <w:pPr>
              <w:suppressAutoHyphens w:val="0"/>
              <w:kinsoku/>
              <w:overflowPunct/>
              <w:autoSpaceDE/>
              <w:autoSpaceDN/>
              <w:adjustRightInd/>
              <w:snapToGrid/>
              <w:spacing w:before="40" w:after="40" w:line="220" w:lineRule="exact"/>
              <w:ind w:left="57" w:right="57"/>
              <w:rPr>
                <w:rFonts w:eastAsia="Times New Roman"/>
                <w:snapToGrid w:val="0"/>
                <w:lang w:val="fr-FR"/>
              </w:rPr>
            </w:pPr>
            <w:r w:rsidRPr="00440C76">
              <w:rPr>
                <w:rFonts w:eastAsia="Times New Roman"/>
                <w:snapToGrid w:val="0"/>
                <w:lang w:val="fr-FR"/>
              </w:rPr>
              <w:t>0</w:t>
            </w:r>
          </w:p>
        </w:tc>
        <w:tc>
          <w:tcPr>
            <w:tcW w:w="2824" w:type="dxa"/>
          </w:tcPr>
          <w:p w14:paraId="7D8AA984" w14:textId="77777777" w:rsidR="00BE2CA7" w:rsidRPr="00440C76" w:rsidRDefault="00BE2CA7" w:rsidP="002B0590">
            <w:pPr>
              <w:suppressAutoHyphens w:val="0"/>
              <w:kinsoku/>
              <w:overflowPunct/>
              <w:autoSpaceDE/>
              <w:autoSpaceDN/>
              <w:adjustRightInd/>
              <w:snapToGrid/>
              <w:spacing w:before="40" w:after="40" w:line="220" w:lineRule="exact"/>
              <w:ind w:left="57" w:right="57"/>
              <w:rPr>
                <w:rFonts w:eastAsia="Times New Roman"/>
                <w:snapToGrid w:val="0"/>
                <w:lang w:val="fr-FR"/>
              </w:rPr>
            </w:pPr>
            <w:r w:rsidRPr="00440C76">
              <w:rPr>
                <w:rFonts w:eastAsia="Times New Roman"/>
                <w:snapToGrid w:val="0"/>
                <w:lang w:val="fr-FR"/>
              </w:rPr>
              <w:t>Acronymes et abréviations</w:t>
            </w:r>
          </w:p>
        </w:tc>
        <w:tc>
          <w:tcPr>
            <w:tcW w:w="4227" w:type="dxa"/>
          </w:tcPr>
          <w:p w14:paraId="4B961B9F" w14:textId="77777777" w:rsidR="00BE2CA7" w:rsidRPr="00440C76" w:rsidRDefault="00BE2CA7" w:rsidP="002B0590">
            <w:pPr>
              <w:suppressAutoHyphens w:val="0"/>
              <w:kinsoku/>
              <w:overflowPunct/>
              <w:autoSpaceDE/>
              <w:autoSpaceDN/>
              <w:adjustRightInd/>
              <w:snapToGrid/>
              <w:spacing w:before="40" w:after="40" w:line="220" w:lineRule="exact"/>
              <w:ind w:left="57" w:right="57"/>
              <w:rPr>
                <w:rFonts w:eastAsia="Times New Roman"/>
                <w:snapToGrid w:val="0"/>
                <w:lang w:val="fr-FR"/>
              </w:rPr>
            </w:pPr>
          </w:p>
        </w:tc>
      </w:tr>
      <w:tr w:rsidR="00BE2CA7" w:rsidRPr="00440C76" w14:paraId="2F648FEB" w14:textId="77777777" w:rsidTr="002B0590">
        <w:tc>
          <w:tcPr>
            <w:tcW w:w="1663" w:type="dxa"/>
            <w:vMerge/>
          </w:tcPr>
          <w:p w14:paraId="3A929EBC" w14:textId="77777777" w:rsidR="00BE2CA7" w:rsidRPr="00440C76" w:rsidRDefault="00BE2CA7" w:rsidP="002B0590">
            <w:pPr>
              <w:suppressAutoHyphens w:val="0"/>
              <w:kinsoku/>
              <w:overflowPunct/>
              <w:autoSpaceDE/>
              <w:autoSpaceDN/>
              <w:adjustRightInd/>
              <w:snapToGrid/>
              <w:spacing w:before="40" w:after="40" w:line="220" w:lineRule="exact"/>
              <w:ind w:left="57" w:right="57"/>
              <w:rPr>
                <w:rFonts w:eastAsia="Times New Roman"/>
                <w:snapToGrid w:val="0"/>
                <w:lang w:val="fr-FR"/>
              </w:rPr>
            </w:pPr>
          </w:p>
        </w:tc>
        <w:tc>
          <w:tcPr>
            <w:tcW w:w="924" w:type="dxa"/>
          </w:tcPr>
          <w:p w14:paraId="25E077D4" w14:textId="77777777" w:rsidR="00BE2CA7" w:rsidRPr="00440C76" w:rsidRDefault="00BE2CA7" w:rsidP="002B0590">
            <w:pPr>
              <w:suppressAutoHyphens w:val="0"/>
              <w:kinsoku/>
              <w:overflowPunct/>
              <w:autoSpaceDE/>
              <w:autoSpaceDN/>
              <w:adjustRightInd/>
              <w:snapToGrid/>
              <w:spacing w:before="40" w:after="40" w:line="220" w:lineRule="exact"/>
              <w:ind w:left="57" w:right="57"/>
              <w:rPr>
                <w:rFonts w:eastAsia="Times New Roman"/>
                <w:snapToGrid w:val="0"/>
                <w:lang w:val="fr-FR"/>
              </w:rPr>
            </w:pPr>
            <w:r w:rsidRPr="00440C76">
              <w:rPr>
                <w:rFonts w:eastAsia="Times New Roman"/>
                <w:snapToGrid w:val="0"/>
                <w:lang w:val="fr-FR"/>
              </w:rPr>
              <w:t>1</w:t>
            </w:r>
          </w:p>
        </w:tc>
        <w:tc>
          <w:tcPr>
            <w:tcW w:w="2824" w:type="dxa"/>
          </w:tcPr>
          <w:p w14:paraId="2F61B837" w14:textId="77777777" w:rsidR="00BE2CA7" w:rsidRPr="00440C76" w:rsidRDefault="00BE2CA7" w:rsidP="002B0590">
            <w:pPr>
              <w:suppressAutoHyphens w:val="0"/>
              <w:kinsoku/>
              <w:overflowPunct/>
              <w:autoSpaceDE/>
              <w:autoSpaceDN/>
              <w:adjustRightInd/>
              <w:snapToGrid/>
              <w:spacing w:before="40" w:after="40" w:line="220" w:lineRule="exact"/>
              <w:ind w:left="57" w:right="57"/>
              <w:rPr>
                <w:rFonts w:eastAsia="Times New Roman"/>
                <w:snapToGrid w:val="0"/>
                <w:lang w:val="fr-FR"/>
              </w:rPr>
            </w:pPr>
            <w:r w:rsidRPr="00440C76">
              <w:rPr>
                <w:rFonts w:eastAsia="Times New Roman"/>
                <w:snapToGrid w:val="0"/>
                <w:lang w:val="fr-FR"/>
              </w:rPr>
              <w:t>DESCRIPTION GÉNÉRALE</w:t>
            </w:r>
          </w:p>
        </w:tc>
        <w:tc>
          <w:tcPr>
            <w:tcW w:w="4227" w:type="dxa"/>
          </w:tcPr>
          <w:p w14:paraId="52E4D24C" w14:textId="77777777" w:rsidR="00BE2CA7" w:rsidRPr="00440C76" w:rsidRDefault="00BE2CA7" w:rsidP="002B0590">
            <w:pPr>
              <w:suppressAutoHyphens w:val="0"/>
              <w:kinsoku/>
              <w:overflowPunct/>
              <w:autoSpaceDE/>
              <w:autoSpaceDN/>
              <w:adjustRightInd/>
              <w:snapToGrid/>
              <w:spacing w:before="40" w:after="40" w:line="220" w:lineRule="exact"/>
              <w:ind w:left="57" w:right="57"/>
              <w:rPr>
                <w:rFonts w:eastAsia="Times New Roman"/>
                <w:snapToGrid w:val="0"/>
                <w:lang w:val="fr-FR"/>
              </w:rPr>
            </w:pPr>
          </w:p>
        </w:tc>
      </w:tr>
      <w:tr w:rsidR="00BE2CA7" w:rsidRPr="00440C76" w14:paraId="493356E6" w14:textId="77777777" w:rsidTr="002B0590">
        <w:tc>
          <w:tcPr>
            <w:tcW w:w="1663" w:type="dxa"/>
            <w:vMerge/>
          </w:tcPr>
          <w:p w14:paraId="3FF1E9D6" w14:textId="77777777" w:rsidR="00BE2CA7" w:rsidRPr="00440C76" w:rsidRDefault="00BE2CA7" w:rsidP="002B0590">
            <w:pPr>
              <w:suppressAutoHyphens w:val="0"/>
              <w:kinsoku/>
              <w:overflowPunct/>
              <w:autoSpaceDE/>
              <w:autoSpaceDN/>
              <w:adjustRightInd/>
              <w:snapToGrid/>
              <w:spacing w:before="40" w:after="40" w:line="220" w:lineRule="exact"/>
              <w:ind w:left="57" w:right="57"/>
              <w:rPr>
                <w:rFonts w:eastAsia="Times New Roman"/>
                <w:snapToGrid w:val="0"/>
                <w:lang w:val="fr-FR"/>
              </w:rPr>
            </w:pPr>
          </w:p>
        </w:tc>
        <w:tc>
          <w:tcPr>
            <w:tcW w:w="924" w:type="dxa"/>
          </w:tcPr>
          <w:p w14:paraId="3EA48AD0" w14:textId="77777777" w:rsidR="00BE2CA7" w:rsidRPr="00440C76" w:rsidRDefault="00BE2CA7" w:rsidP="002B0590">
            <w:pPr>
              <w:suppressAutoHyphens w:val="0"/>
              <w:kinsoku/>
              <w:overflowPunct/>
              <w:autoSpaceDE/>
              <w:autoSpaceDN/>
              <w:adjustRightInd/>
              <w:snapToGrid/>
              <w:spacing w:before="40" w:after="40" w:line="220" w:lineRule="exact"/>
              <w:ind w:left="57" w:right="57"/>
              <w:rPr>
                <w:rFonts w:eastAsia="Times New Roman"/>
                <w:snapToGrid w:val="0"/>
                <w:lang w:val="fr-FR"/>
              </w:rPr>
            </w:pPr>
            <w:r w:rsidRPr="00440C76">
              <w:rPr>
                <w:rFonts w:eastAsia="Times New Roman"/>
                <w:snapToGrid w:val="0"/>
                <w:lang w:val="fr-FR"/>
              </w:rPr>
              <w:t>1.1</w:t>
            </w:r>
          </w:p>
        </w:tc>
        <w:tc>
          <w:tcPr>
            <w:tcW w:w="2824" w:type="dxa"/>
          </w:tcPr>
          <w:p w14:paraId="496E1FC2" w14:textId="77777777" w:rsidR="00BE2CA7" w:rsidRPr="00440C76" w:rsidRDefault="00BE2CA7" w:rsidP="002B0590">
            <w:pPr>
              <w:suppressAutoHyphens w:val="0"/>
              <w:kinsoku/>
              <w:overflowPunct/>
              <w:autoSpaceDE/>
              <w:autoSpaceDN/>
              <w:adjustRightInd/>
              <w:snapToGrid/>
              <w:spacing w:before="40" w:after="40" w:line="220" w:lineRule="exact"/>
              <w:ind w:left="57" w:right="57"/>
              <w:rPr>
                <w:rFonts w:eastAsia="Times New Roman"/>
                <w:snapToGrid w:val="0"/>
                <w:lang w:val="fr-FR"/>
              </w:rPr>
            </w:pPr>
            <w:r w:rsidRPr="00440C76">
              <w:rPr>
                <w:rFonts w:eastAsia="Times New Roman"/>
                <w:snapToGrid w:val="0"/>
                <w:lang w:val="fr-FR"/>
              </w:rPr>
              <w:t>Présentation générale du moteur</w:t>
            </w:r>
          </w:p>
        </w:tc>
        <w:tc>
          <w:tcPr>
            <w:tcW w:w="4227" w:type="dxa"/>
          </w:tcPr>
          <w:p w14:paraId="20C53949" w14:textId="77777777" w:rsidR="00BE2CA7" w:rsidRPr="00440C76" w:rsidRDefault="00BE2CA7" w:rsidP="002B0590">
            <w:pPr>
              <w:suppressAutoHyphens w:val="0"/>
              <w:kinsoku/>
              <w:overflowPunct/>
              <w:autoSpaceDE/>
              <w:autoSpaceDN/>
              <w:adjustRightInd/>
              <w:snapToGrid/>
              <w:spacing w:before="40" w:after="40" w:line="220" w:lineRule="exact"/>
              <w:ind w:left="57" w:right="57"/>
              <w:rPr>
                <w:rFonts w:eastAsia="Times New Roman"/>
                <w:snapToGrid w:val="0"/>
                <w:lang w:val="fr-FR"/>
              </w:rPr>
            </w:pPr>
            <w:r w:rsidRPr="00440C76">
              <w:rPr>
                <w:rFonts w:eastAsia="Times New Roman"/>
                <w:snapToGrid w:val="0"/>
                <w:lang w:val="fr-FR"/>
              </w:rPr>
              <w:t>Description des principales caractéristiques</w:t>
            </w:r>
            <w:r>
              <w:rPr>
                <w:rFonts w:eastAsia="Times New Roman"/>
                <w:snapToGrid w:val="0"/>
                <w:lang w:val="fr-FR"/>
              </w:rPr>
              <w:t> </w:t>
            </w:r>
            <w:r w:rsidRPr="00440C76">
              <w:rPr>
                <w:rFonts w:eastAsia="Times New Roman"/>
                <w:snapToGrid w:val="0"/>
                <w:lang w:val="fr-FR"/>
              </w:rPr>
              <w:t>: cylindrée, système de traitement aval, etc.</w:t>
            </w:r>
          </w:p>
        </w:tc>
      </w:tr>
      <w:tr w:rsidR="00BE2CA7" w:rsidRPr="00440C76" w14:paraId="28634BB3" w14:textId="77777777" w:rsidTr="002B0590">
        <w:tc>
          <w:tcPr>
            <w:tcW w:w="1663" w:type="dxa"/>
            <w:vMerge/>
          </w:tcPr>
          <w:p w14:paraId="519983EE" w14:textId="77777777" w:rsidR="00BE2CA7" w:rsidRPr="00440C76" w:rsidRDefault="00BE2CA7" w:rsidP="002B0590">
            <w:pPr>
              <w:suppressAutoHyphens w:val="0"/>
              <w:kinsoku/>
              <w:overflowPunct/>
              <w:autoSpaceDE/>
              <w:autoSpaceDN/>
              <w:adjustRightInd/>
              <w:snapToGrid/>
              <w:spacing w:before="40" w:after="40" w:line="220" w:lineRule="exact"/>
              <w:ind w:left="57" w:right="57"/>
              <w:rPr>
                <w:rFonts w:eastAsia="Times New Roman"/>
                <w:snapToGrid w:val="0"/>
                <w:lang w:val="fr-FR"/>
              </w:rPr>
            </w:pPr>
          </w:p>
        </w:tc>
        <w:tc>
          <w:tcPr>
            <w:tcW w:w="924" w:type="dxa"/>
          </w:tcPr>
          <w:p w14:paraId="09671B27" w14:textId="77777777" w:rsidR="00BE2CA7" w:rsidRPr="00440C76" w:rsidRDefault="00BE2CA7" w:rsidP="002B0590">
            <w:pPr>
              <w:suppressAutoHyphens w:val="0"/>
              <w:kinsoku/>
              <w:overflowPunct/>
              <w:autoSpaceDE/>
              <w:autoSpaceDN/>
              <w:adjustRightInd/>
              <w:snapToGrid/>
              <w:spacing w:before="40" w:after="40" w:line="220" w:lineRule="exact"/>
              <w:ind w:left="57" w:right="57"/>
              <w:rPr>
                <w:rFonts w:eastAsia="Times New Roman"/>
                <w:snapToGrid w:val="0"/>
                <w:lang w:val="fr-FR"/>
              </w:rPr>
            </w:pPr>
            <w:r w:rsidRPr="00440C76">
              <w:rPr>
                <w:rFonts w:eastAsia="Times New Roman"/>
                <w:snapToGrid w:val="0"/>
                <w:lang w:val="fr-FR"/>
              </w:rPr>
              <w:t>1.2</w:t>
            </w:r>
          </w:p>
        </w:tc>
        <w:tc>
          <w:tcPr>
            <w:tcW w:w="2824" w:type="dxa"/>
          </w:tcPr>
          <w:p w14:paraId="53896AE7" w14:textId="77777777" w:rsidR="00BE2CA7" w:rsidRPr="00440C76" w:rsidRDefault="00BE2CA7" w:rsidP="002B0590">
            <w:pPr>
              <w:suppressAutoHyphens w:val="0"/>
              <w:kinsoku/>
              <w:overflowPunct/>
              <w:autoSpaceDE/>
              <w:autoSpaceDN/>
              <w:adjustRightInd/>
              <w:snapToGrid/>
              <w:spacing w:before="40" w:after="40" w:line="220" w:lineRule="exact"/>
              <w:ind w:left="57" w:right="57"/>
              <w:rPr>
                <w:rFonts w:eastAsia="Times New Roman"/>
                <w:snapToGrid w:val="0"/>
                <w:lang w:val="fr-FR"/>
              </w:rPr>
            </w:pPr>
            <w:r w:rsidRPr="00440C76">
              <w:rPr>
                <w:rFonts w:eastAsia="Times New Roman"/>
                <w:snapToGrid w:val="0"/>
                <w:lang w:val="fr-FR"/>
              </w:rPr>
              <w:t>Architecture générale du système</w:t>
            </w:r>
          </w:p>
        </w:tc>
        <w:tc>
          <w:tcPr>
            <w:tcW w:w="4227" w:type="dxa"/>
          </w:tcPr>
          <w:p w14:paraId="59D7018C" w14:textId="77777777" w:rsidR="00BE2CA7" w:rsidRPr="00440C76" w:rsidRDefault="00BE2CA7" w:rsidP="002B0590">
            <w:pPr>
              <w:suppressAutoHyphens w:val="0"/>
              <w:kinsoku/>
              <w:overflowPunct/>
              <w:autoSpaceDE/>
              <w:autoSpaceDN/>
              <w:adjustRightInd/>
              <w:snapToGrid/>
              <w:spacing w:before="40" w:after="40" w:line="220" w:lineRule="exact"/>
              <w:ind w:left="57" w:right="57"/>
              <w:rPr>
                <w:rFonts w:eastAsia="Times New Roman"/>
                <w:snapToGrid w:val="0"/>
                <w:lang w:val="fr-FR"/>
              </w:rPr>
            </w:pPr>
            <w:r w:rsidRPr="00440C76">
              <w:rPr>
                <w:rFonts w:eastAsia="Times New Roman"/>
                <w:snapToGrid w:val="0"/>
                <w:lang w:val="fr-FR"/>
              </w:rPr>
              <w:t>Schéma de principe du système</w:t>
            </w:r>
            <w:r>
              <w:rPr>
                <w:rFonts w:eastAsia="Times New Roman"/>
                <w:snapToGrid w:val="0"/>
                <w:lang w:val="fr-FR"/>
              </w:rPr>
              <w:t> </w:t>
            </w:r>
            <w:r w:rsidRPr="00440C76">
              <w:rPr>
                <w:rFonts w:eastAsia="Times New Roman"/>
                <w:snapToGrid w:val="0"/>
                <w:lang w:val="fr-FR"/>
              </w:rPr>
              <w:t>: liste des capteurs et actionneurs, explication du fonctionnement général du moteur</w:t>
            </w:r>
          </w:p>
        </w:tc>
      </w:tr>
      <w:tr w:rsidR="00BE2CA7" w:rsidRPr="00440C76" w14:paraId="76F71C67" w14:textId="77777777" w:rsidTr="002B0590">
        <w:tc>
          <w:tcPr>
            <w:tcW w:w="1663" w:type="dxa"/>
            <w:vMerge/>
          </w:tcPr>
          <w:p w14:paraId="045BE4D4" w14:textId="77777777" w:rsidR="00BE2CA7" w:rsidRPr="00440C76" w:rsidRDefault="00BE2CA7" w:rsidP="002B0590">
            <w:pPr>
              <w:suppressAutoHyphens w:val="0"/>
              <w:kinsoku/>
              <w:overflowPunct/>
              <w:autoSpaceDE/>
              <w:autoSpaceDN/>
              <w:adjustRightInd/>
              <w:snapToGrid/>
              <w:spacing w:before="40" w:after="40" w:line="220" w:lineRule="exact"/>
              <w:ind w:left="57" w:right="57"/>
              <w:rPr>
                <w:rFonts w:eastAsia="Times New Roman"/>
                <w:snapToGrid w:val="0"/>
                <w:lang w:val="fr-FR"/>
              </w:rPr>
            </w:pPr>
          </w:p>
        </w:tc>
        <w:tc>
          <w:tcPr>
            <w:tcW w:w="924" w:type="dxa"/>
          </w:tcPr>
          <w:p w14:paraId="5466417A" w14:textId="77777777" w:rsidR="00BE2CA7" w:rsidRPr="00440C76" w:rsidRDefault="00BE2CA7" w:rsidP="002B0590">
            <w:pPr>
              <w:suppressAutoHyphens w:val="0"/>
              <w:kinsoku/>
              <w:overflowPunct/>
              <w:autoSpaceDE/>
              <w:autoSpaceDN/>
              <w:adjustRightInd/>
              <w:snapToGrid/>
              <w:spacing w:before="40" w:after="40" w:line="220" w:lineRule="exact"/>
              <w:ind w:left="57" w:right="57"/>
              <w:rPr>
                <w:rFonts w:eastAsia="Times New Roman"/>
                <w:snapToGrid w:val="0"/>
                <w:lang w:val="fr-FR"/>
              </w:rPr>
            </w:pPr>
            <w:r w:rsidRPr="00440C76">
              <w:rPr>
                <w:rFonts w:eastAsia="Times New Roman"/>
                <w:snapToGrid w:val="0"/>
                <w:lang w:val="fr-FR"/>
              </w:rPr>
              <w:t>1.3</w:t>
            </w:r>
          </w:p>
        </w:tc>
        <w:tc>
          <w:tcPr>
            <w:tcW w:w="2824" w:type="dxa"/>
          </w:tcPr>
          <w:p w14:paraId="71EAC274" w14:textId="77777777" w:rsidR="00BE2CA7" w:rsidRPr="00440C76" w:rsidRDefault="00BE2CA7" w:rsidP="002B0590">
            <w:pPr>
              <w:suppressAutoHyphens w:val="0"/>
              <w:kinsoku/>
              <w:overflowPunct/>
              <w:autoSpaceDE/>
              <w:autoSpaceDN/>
              <w:adjustRightInd/>
              <w:snapToGrid/>
              <w:spacing w:before="40" w:after="40" w:line="220" w:lineRule="exact"/>
              <w:ind w:left="57" w:right="57"/>
              <w:rPr>
                <w:rFonts w:eastAsia="Times New Roman"/>
                <w:snapToGrid w:val="0"/>
                <w:lang w:val="fr-FR"/>
              </w:rPr>
            </w:pPr>
            <w:r w:rsidRPr="00440C76">
              <w:rPr>
                <w:rFonts w:eastAsia="Times New Roman"/>
                <w:snapToGrid w:val="0"/>
                <w:lang w:val="fr-FR"/>
              </w:rPr>
              <w:t>Interprétation du logiciel et version d</w:t>
            </w:r>
            <w:r>
              <w:rPr>
                <w:rFonts w:eastAsia="Times New Roman"/>
                <w:snapToGrid w:val="0"/>
                <w:lang w:val="fr-FR"/>
              </w:rPr>
              <w:t>’</w:t>
            </w:r>
            <w:r w:rsidRPr="00440C76">
              <w:rPr>
                <w:rFonts w:eastAsia="Times New Roman"/>
                <w:snapToGrid w:val="0"/>
                <w:lang w:val="fr-FR"/>
              </w:rPr>
              <w:t>étalonnage</w:t>
            </w:r>
          </w:p>
        </w:tc>
        <w:tc>
          <w:tcPr>
            <w:tcW w:w="4227" w:type="dxa"/>
          </w:tcPr>
          <w:p w14:paraId="5632D3E0" w14:textId="77777777" w:rsidR="00BE2CA7" w:rsidRPr="00440C76" w:rsidRDefault="00BE2CA7" w:rsidP="002B0590">
            <w:pPr>
              <w:suppressAutoHyphens w:val="0"/>
              <w:kinsoku/>
              <w:overflowPunct/>
              <w:autoSpaceDE/>
              <w:autoSpaceDN/>
              <w:adjustRightInd/>
              <w:snapToGrid/>
              <w:spacing w:before="40" w:after="40" w:line="220" w:lineRule="exact"/>
              <w:ind w:left="57" w:right="57"/>
              <w:rPr>
                <w:rFonts w:eastAsia="Times New Roman"/>
                <w:snapToGrid w:val="0"/>
                <w:lang w:val="fr-FR"/>
              </w:rPr>
            </w:pPr>
            <w:r w:rsidRPr="00440C76">
              <w:rPr>
                <w:rFonts w:eastAsia="Times New Roman"/>
                <w:snapToGrid w:val="0"/>
                <w:lang w:val="fr-FR"/>
              </w:rPr>
              <w:t xml:space="preserve">Par exemple, explication du fonctionnement de </w:t>
            </w:r>
            <w:r>
              <w:rPr>
                <w:rFonts w:eastAsia="Times New Roman"/>
                <w:snapToGrid w:val="0"/>
                <w:lang w:val="fr-FR"/>
              </w:rPr>
              <w:t>l’analyseur de diagnostic</w:t>
            </w:r>
          </w:p>
        </w:tc>
      </w:tr>
      <w:tr w:rsidR="00BE2CA7" w:rsidRPr="00440C76" w14:paraId="487E2DD1" w14:textId="77777777" w:rsidTr="002B0590">
        <w:tc>
          <w:tcPr>
            <w:tcW w:w="1663" w:type="dxa"/>
            <w:vMerge/>
          </w:tcPr>
          <w:p w14:paraId="01098811" w14:textId="77777777" w:rsidR="00BE2CA7" w:rsidRPr="00440C76" w:rsidRDefault="00BE2CA7" w:rsidP="002B0590">
            <w:pPr>
              <w:suppressAutoHyphens w:val="0"/>
              <w:kinsoku/>
              <w:overflowPunct/>
              <w:autoSpaceDE/>
              <w:autoSpaceDN/>
              <w:adjustRightInd/>
              <w:snapToGrid/>
              <w:spacing w:before="40" w:after="40" w:line="220" w:lineRule="exact"/>
              <w:ind w:left="57" w:right="57"/>
              <w:rPr>
                <w:rFonts w:eastAsia="Times New Roman"/>
                <w:snapToGrid w:val="0"/>
                <w:lang w:val="fr-FR"/>
              </w:rPr>
            </w:pPr>
          </w:p>
        </w:tc>
        <w:tc>
          <w:tcPr>
            <w:tcW w:w="924" w:type="dxa"/>
          </w:tcPr>
          <w:p w14:paraId="65B5B656" w14:textId="77777777" w:rsidR="00BE2CA7" w:rsidRPr="00440C76" w:rsidRDefault="00BE2CA7" w:rsidP="002B0590">
            <w:pPr>
              <w:suppressAutoHyphens w:val="0"/>
              <w:kinsoku/>
              <w:overflowPunct/>
              <w:autoSpaceDE/>
              <w:autoSpaceDN/>
              <w:adjustRightInd/>
              <w:snapToGrid/>
              <w:spacing w:before="40" w:after="40" w:line="220" w:lineRule="exact"/>
              <w:ind w:left="57" w:right="57"/>
              <w:rPr>
                <w:rFonts w:eastAsia="Times New Roman"/>
                <w:snapToGrid w:val="0"/>
                <w:lang w:val="fr-FR"/>
              </w:rPr>
            </w:pPr>
            <w:r w:rsidRPr="00440C76">
              <w:rPr>
                <w:rFonts w:eastAsia="Times New Roman"/>
                <w:snapToGrid w:val="0"/>
                <w:lang w:val="fr-FR"/>
              </w:rPr>
              <w:t>2</w:t>
            </w:r>
          </w:p>
        </w:tc>
        <w:tc>
          <w:tcPr>
            <w:tcW w:w="2824" w:type="dxa"/>
          </w:tcPr>
          <w:p w14:paraId="0720E9FF" w14:textId="77777777" w:rsidR="00BE2CA7" w:rsidRPr="00440C76" w:rsidRDefault="00BE2CA7" w:rsidP="002B0590">
            <w:pPr>
              <w:suppressAutoHyphens w:val="0"/>
              <w:kinsoku/>
              <w:overflowPunct/>
              <w:autoSpaceDE/>
              <w:autoSpaceDN/>
              <w:adjustRightInd/>
              <w:snapToGrid/>
              <w:spacing w:before="40" w:after="40" w:line="220" w:lineRule="exact"/>
              <w:ind w:left="57" w:right="57"/>
              <w:rPr>
                <w:rFonts w:eastAsia="Times New Roman"/>
                <w:snapToGrid w:val="0"/>
                <w:lang w:val="fr-FR"/>
              </w:rPr>
            </w:pPr>
            <w:r w:rsidRPr="00440C76">
              <w:rPr>
                <w:rFonts w:eastAsia="Times New Roman"/>
                <w:snapToGrid w:val="0"/>
                <w:lang w:val="fr-FR"/>
              </w:rPr>
              <w:t>Stratégies de base de réduction des émissions</w:t>
            </w:r>
          </w:p>
        </w:tc>
        <w:tc>
          <w:tcPr>
            <w:tcW w:w="4227" w:type="dxa"/>
          </w:tcPr>
          <w:p w14:paraId="14BD9808" w14:textId="77777777" w:rsidR="00BE2CA7" w:rsidRPr="00440C76" w:rsidRDefault="00BE2CA7" w:rsidP="002B0590">
            <w:pPr>
              <w:suppressAutoHyphens w:val="0"/>
              <w:kinsoku/>
              <w:overflowPunct/>
              <w:autoSpaceDE/>
              <w:autoSpaceDN/>
              <w:adjustRightInd/>
              <w:snapToGrid/>
              <w:spacing w:before="40" w:after="40" w:line="220" w:lineRule="exact"/>
              <w:ind w:left="57" w:right="57"/>
              <w:rPr>
                <w:rFonts w:eastAsia="Times New Roman"/>
                <w:snapToGrid w:val="0"/>
                <w:lang w:val="fr-FR"/>
              </w:rPr>
            </w:pPr>
          </w:p>
        </w:tc>
      </w:tr>
      <w:tr w:rsidR="00BE2CA7" w:rsidRPr="00440C76" w14:paraId="6353E475" w14:textId="77777777" w:rsidTr="002B0590">
        <w:tc>
          <w:tcPr>
            <w:tcW w:w="1663" w:type="dxa"/>
            <w:vMerge/>
          </w:tcPr>
          <w:p w14:paraId="2BB08CA2" w14:textId="77777777" w:rsidR="00BE2CA7" w:rsidRPr="00440C76" w:rsidRDefault="00BE2CA7" w:rsidP="002B0590">
            <w:pPr>
              <w:suppressAutoHyphens w:val="0"/>
              <w:kinsoku/>
              <w:overflowPunct/>
              <w:autoSpaceDE/>
              <w:autoSpaceDN/>
              <w:adjustRightInd/>
              <w:snapToGrid/>
              <w:spacing w:before="40" w:after="40" w:line="220" w:lineRule="exact"/>
              <w:ind w:left="57" w:right="57"/>
              <w:rPr>
                <w:rFonts w:eastAsia="Times New Roman"/>
                <w:snapToGrid w:val="0"/>
                <w:lang w:val="fr-FR"/>
              </w:rPr>
            </w:pPr>
          </w:p>
        </w:tc>
        <w:tc>
          <w:tcPr>
            <w:tcW w:w="924" w:type="dxa"/>
          </w:tcPr>
          <w:p w14:paraId="2F0FF74C" w14:textId="77777777" w:rsidR="00BE2CA7" w:rsidRPr="00440C76" w:rsidRDefault="00BE2CA7" w:rsidP="002B0590">
            <w:pPr>
              <w:suppressAutoHyphens w:val="0"/>
              <w:kinsoku/>
              <w:overflowPunct/>
              <w:autoSpaceDE/>
              <w:autoSpaceDN/>
              <w:adjustRightInd/>
              <w:snapToGrid/>
              <w:spacing w:before="40" w:after="40" w:line="220" w:lineRule="exact"/>
              <w:ind w:left="57" w:right="57"/>
              <w:rPr>
                <w:rFonts w:eastAsia="Times New Roman"/>
                <w:snapToGrid w:val="0"/>
                <w:lang w:val="fr-FR"/>
              </w:rPr>
            </w:pPr>
            <w:r w:rsidRPr="00440C76">
              <w:rPr>
                <w:rFonts w:eastAsia="Times New Roman"/>
                <w:snapToGrid w:val="0"/>
                <w:lang w:val="fr-FR"/>
              </w:rPr>
              <w:t>2.x</w:t>
            </w:r>
          </w:p>
        </w:tc>
        <w:tc>
          <w:tcPr>
            <w:tcW w:w="2824" w:type="dxa"/>
          </w:tcPr>
          <w:p w14:paraId="128EED4A" w14:textId="77777777" w:rsidR="00BE2CA7" w:rsidRPr="00440C76" w:rsidRDefault="00BE2CA7" w:rsidP="002B0590">
            <w:pPr>
              <w:suppressAutoHyphens w:val="0"/>
              <w:kinsoku/>
              <w:overflowPunct/>
              <w:autoSpaceDE/>
              <w:autoSpaceDN/>
              <w:adjustRightInd/>
              <w:snapToGrid/>
              <w:spacing w:before="40" w:after="40" w:line="220" w:lineRule="exact"/>
              <w:ind w:left="57" w:right="57"/>
              <w:rPr>
                <w:rFonts w:eastAsia="Times New Roman"/>
                <w:snapToGrid w:val="0"/>
                <w:lang w:val="fr-FR"/>
              </w:rPr>
            </w:pPr>
            <w:r w:rsidRPr="00440C76">
              <w:rPr>
                <w:rFonts w:eastAsia="Times New Roman"/>
                <w:snapToGrid w:val="0"/>
                <w:lang w:val="fr-FR"/>
              </w:rPr>
              <w:t>BES x</w:t>
            </w:r>
          </w:p>
        </w:tc>
        <w:tc>
          <w:tcPr>
            <w:tcW w:w="4227" w:type="dxa"/>
          </w:tcPr>
          <w:p w14:paraId="1031D8B9" w14:textId="77777777" w:rsidR="00BE2CA7" w:rsidRPr="00440C76" w:rsidRDefault="00BE2CA7" w:rsidP="002B0590">
            <w:pPr>
              <w:suppressAutoHyphens w:val="0"/>
              <w:kinsoku/>
              <w:overflowPunct/>
              <w:autoSpaceDE/>
              <w:autoSpaceDN/>
              <w:adjustRightInd/>
              <w:snapToGrid/>
              <w:spacing w:before="40" w:after="40" w:line="220" w:lineRule="exact"/>
              <w:ind w:left="57" w:right="57"/>
              <w:rPr>
                <w:rFonts w:eastAsia="Times New Roman"/>
                <w:snapToGrid w:val="0"/>
                <w:lang w:val="fr-FR"/>
              </w:rPr>
            </w:pPr>
            <w:r w:rsidRPr="00440C76">
              <w:rPr>
                <w:rFonts w:eastAsia="Times New Roman"/>
                <w:snapToGrid w:val="0"/>
                <w:lang w:val="fr-FR"/>
              </w:rPr>
              <w:t>Description de la stratégie x</w:t>
            </w:r>
          </w:p>
        </w:tc>
      </w:tr>
      <w:tr w:rsidR="00BE2CA7" w:rsidRPr="00440C76" w14:paraId="72B671D5" w14:textId="77777777" w:rsidTr="002B0590">
        <w:tc>
          <w:tcPr>
            <w:tcW w:w="1663" w:type="dxa"/>
            <w:vMerge/>
          </w:tcPr>
          <w:p w14:paraId="24703FA3" w14:textId="77777777" w:rsidR="00BE2CA7" w:rsidRPr="00440C76" w:rsidRDefault="00BE2CA7" w:rsidP="002B0590">
            <w:pPr>
              <w:suppressAutoHyphens w:val="0"/>
              <w:kinsoku/>
              <w:overflowPunct/>
              <w:autoSpaceDE/>
              <w:autoSpaceDN/>
              <w:adjustRightInd/>
              <w:snapToGrid/>
              <w:spacing w:before="40" w:after="40" w:line="220" w:lineRule="exact"/>
              <w:ind w:left="57" w:right="57"/>
              <w:rPr>
                <w:rFonts w:eastAsia="Times New Roman"/>
                <w:snapToGrid w:val="0"/>
                <w:lang w:val="fr-FR"/>
              </w:rPr>
            </w:pPr>
          </w:p>
        </w:tc>
        <w:tc>
          <w:tcPr>
            <w:tcW w:w="924" w:type="dxa"/>
          </w:tcPr>
          <w:p w14:paraId="01460F9C" w14:textId="77777777" w:rsidR="00BE2CA7" w:rsidRPr="00440C76" w:rsidRDefault="00BE2CA7" w:rsidP="002B0590">
            <w:pPr>
              <w:suppressAutoHyphens w:val="0"/>
              <w:kinsoku/>
              <w:overflowPunct/>
              <w:autoSpaceDE/>
              <w:autoSpaceDN/>
              <w:adjustRightInd/>
              <w:snapToGrid/>
              <w:spacing w:before="40" w:after="40" w:line="220" w:lineRule="exact"/>
              <w:ind w:left="57" w:right="57"/>
              <w:rPr>
                <w:rFonts w:eastAsia="Times New Roman"/>
                <w:snapToGrid w:val="0"/>
                <w:lang w:val="fr-FR"/>
              </w:rPr>
            </w:pPr>
            <w:r w:rsidRPr="00440C76">
              <w:rPr>
                <w:rFonts w:eastAsia="Times New Roman"/>
                <w:snapToGrid w:val="0"/>
                <w:lang w:val="fr-FR"/>
              </w:rPr>
              <w:t>2.y</w:t>
            </w:r>
          </w:p>
        </w:tc>
        <w:tc>
          <w:tcPr>
            <w:tcW w:w="2824" w:type="dxa"/>
          </w:tcPr>
          <w:p w14:paraId="77D17A68" w14:textId="77777777" w:rsidR="00BE2CA7" w:rsidRPr="00440C76" w:rsidRDefault="00BE2CA7" w:rsidP="002B0590">
            <w:pPr>
              <w:suppressAutoHyphens w:val="0"/>
              <w:kinsoku/>
              <w:overflowPunct/>
              <w:autoSpaceDE/>
              <w:autoSpaceDN/>
              <w:adjustRightInd/>
              <w:snapToGrid/>
              <w:spacing w:before="40" w:after="40" w:line="220" w:lineRule="exact"/>
              <w:ind w:left="57" w:right="57"/>
              <w:rPr>
                <w:rFonts w:eastAsia="Times New Roman"/>
                <w:snapToGrid w:val="0"/>
                <w:lang w:val="fr-FR"/>
              </w:rPr>
            </w:pPr>
            <w:r w:rsidRPr="00440C76">
              <w:rPr>
                <w:rFonts w:eastAsia="Times New Roman"/>
                <w:snapToGrid w:val="0"/>
                <w:lang w:val="fr-FR"/>
              </w:rPr>
              <w:t>BES y</w:t>
            </w:r>
          </w:p>
        </w:tc>
        <w:tc>
          <w:tcPr>
            <w:tcW w:w="4227" w:type="dxa"/>
          </w:tcPr>
          <w:p w14:paraId="3A51E477" w14:textId="77777777" w:rsidR="00BE2CA7" w:rsidRPr="00440C76" w:rsidRDefault="00BE2CA7" w:rsidP="002B0590">
            <w:pPr>
              <w:suppressAutoHyphens w:val="0"/>
              <w:kinsoku/>
              <w:overflowPunct/>
              <w:autoSpaceDE/>
              <w:autoSpaceDN/>
              <w:adjustRightInd/>
              <w:snapToGrid/>
              <w:spacing w:before="40" w:after="40" w:line="220" w:lineRule="exact"/>
              <w:ind w:left="57" w:right="57"/>
              <w:rPr>
                <w:rFonts w:eastAsia="Times New Roman"/>
                <w:snapToGrid w:val="0"/>
                <w:lang w:val="fr-FR"/>
              </w:rPr>
            </w:pPr>
            <w:r w:rsidRPr="00440C76">
              <w:rPr>
                <w:rFonts w:eastAsia="Times New Roman"/>
                <w:snapToGrid w:val="0"/>
                <w:lang w:val="fr-FR"/>
              </w:rPr>
              <w:t>Description de la stratégie y</w:t>
            </w:r>
          </w:p>
        </w:tc>
      </w:tr>
      <w:tr w:rsidR="00BE2CA7" w:rsidRPr="00440C76" w14:paraId="34F06830" w14:textId="77777777" w:rsidTr="002B0590">
        <w:tc>
          <w:tcPr>
            <w:tcW w:w="1663" w:type="dxa"/>
            <w:vMerge/>
          </w:tcPr>
          <w:p w14:paraId="5C39F8F4" w14:textId="77777777" w:rsidR="00BE2CA7" w:rsidRPr="00440C76" w:rsidRDefault="00BE2CA7" w:rsidP="002B0590">
            <w:pPr>
              <w:suppressAutoHyphens w:val="0"/>
              <w:kinsoku/>
              <w:overflowPunct/>
              <w:autoSpaceDE/>
              <w:autoSpaceDN/>
              <w:adjustRightInd/>
              <w:snapToGrid/>
              <w:spacing w:before="40" w:after="40" w:line="220" w:lineRule="exact"/>
              <w:ind w:left="57" w:right="57"/>
              <w:rPr>
                <w:rFonts w:eastAsia="Times New Roman"/>
                <w:snapToGrid w:val="0"/>
                <w:lang w:val="fr-FR"/>
              </w:rPr>
            </w:pPr>
          </w:p>
        </w:tc>
        <w:tc>
          <w:tcPr>
            <w:tcW w:w="924" w:type="dxa"/>
          </w:tcPr>
          <w:p w14:paraId="37109D28" w14:textId="77777777" w:rsidR="00BE2CA7" w:rsidRPr="00440C76" w:rsidRDefault="00BE2CA7" w:rsidP="002B0590">
            <w:pPr>
              <w:suppressAutoHyphens w:val="0"/>
              <w:kinsoku/>
              <w:overflowPunct/>
              <w:autoSpaceDE/>
              <w:autoSpaceDN/>
              <w:adjustRightInd/>
              <w:snapToGrid/>
              <w:spacing w:before="40" w:after="40" w:line="220" w:lineRule="exact"/>
              <w:ind w:left="57" w:right="57"/>
              <w:rPr>
                <w:rFonts w:eastAsia="Times New Roman"/>
                <w:snapToGrid w:val="0"/>
                <w:lang w:val="fr-FR"/>
              </w:rPr>
            </w:pPr>
            <w:r w:rsidRPr="00440C76">
              <w:rPr>
                <w:rFonts w:eastAsia="Times New Roman"/>
                <w:snapToGrid w:val="0"/>
                <w:lang w:val="fr-FR"/>
              </w:rPr>
              <w:t>3</w:t>
            </w:r>
          </w:p>
        </w:tc>
        <w:tc>
          <w:tcPr>
            <w:tcW w:w="2824" w:type="dxa"/>
          </w:tcPr>
          <w:p w14:paraId="1369CC52" w14:textId="77777777" w:rsidR="00BE2CA7" w:rsidRPr="00440C76" w:rsidRDefault="00BE2CA7" w:rsidP="002B0590">
            <w:pPr>
              <w:suppressAutoHyphens w:val="0"/>
              <w:kinsoku/>
              <w:overflowPunct/>
              <w:autoSpaceDE/>
              <w:autoSpaceDN/>
              <w:adjustRightInd/>
              <w:snapToGrid/>
              <w:spacing w:before="40" w:after="40" w:line="220" w:lineRule="exact"/>
              <w:ind w:left="57" w:right="57"/>
              <w:rPr>
                <w:rFonts w:eastAsia="Times New Roman"/>
                <w:snapToGrid w:val="0"/>
                <w:lang w:val="fr-FR"/>
              </w:rPr>
            </w:pPr>
            <w:r w:rsidRPr="00440C76">
              <w:rPr>
                <w:rFonts w:eastAsia="Times New Roman"/>
                <w:snapToGrid w:val="0"/>
                <w:lang w:val="fr-FR"/>
              </w:rPr>
              <w:t>Stratégies auxiliaires de réduction des émissions</w:t>
            </w:r>
          </w:p>
        </w:tc>
        <w:tc>
          <w:tcPr>
            <w:tcW w:w="4227" w:type="dxa"/>
          </w:tcPr>
          <w:p w14:paraId="5CD00F86" w14:textId="77777777" w:rsidR="00BE2CA7" w:rsidRPr="00440C76" w:rsidRDefault="00BE2CA7" w:rsidP="002B0590">
            <w:pPr>
              <w:suppressAutoHyphens w:val="0"/>
              <w:kinsoku/>
              <w:overflowPunct/>
              <w:autoSpaceDE/>
              <w:autoSpaceDN/>
              <w:adjustRightInd/>
              <w:snapToGrid/>
              <w:spacing w:before="40" w:after="40" w:line="220" w:lineRule="exact"/>
              <w:ind w:left="57" w:right="57"/>
              <w:rPr>
                <w:rFonts w:eastAsia="Times New Roman"/>
                <w:snapToGrid w:val="0"/>
                <w:lang w:val="fr-FR"/>
              </w:rPr>
            </w:pPr>
          </w:p>
        </w:tc>
      </w:tr>
      <w:tr w:rsidR="00BE2CA7" w:rsidRPr="00440C76" w14:paraId="20772BCF" w14:textId="77777777" w:rsidTr="002B0590">
        <w:tc>
          <w:tcPr>
            <w:tcW w:w="1663" w:type="dxa"/>
            <w:vMerge/>
          </w:tcPr>
          <w:p w14:paraId="05D9D17B" w14:textId="77777777" w:rsidR="00BE2CA7" w:rsidRPr="00440C76" w:rsidRDefault="00BE2CA7" w:rsidP="002B0590">
            <w:pPr>
              <w:suppressAutoHyphens w:val="0"/>
              <w:kinsoku/>
              <w:overflowPunct/>
              <w:autoSpaceDE/>
              <w:autoSpaceDN/>
              <w:adjustRightInd/>
              <w:snapToGrid/>
              <w:spacing w:before="40" w:after="40" w:line="220" w:lineRule="exact"/>
              <w:ind w:left="57" w:right="57"/>
              <w:rPr>
                <w:rFonts w:eastAsia="Times New Roman"/>
                <w:snapToGrid w:val="0"/>
                <w:lang w:val="fr-FR"/>
              </w:rPr>
            </w:pPr>
          </w:p>
        </w:tc>
        <w:tc>
          <w:tcPr>
            <w:tcW w:w="924" w:type="dxa"/>
          </w:tcPr>
          <w:p w14:paraId="10461F92" w14:textId="77777777" w:rsidR="00BE2CA7" w:rsidRPr="00440C76" w:rsidRDefault="00BE2CA7" w:rsidP="002B0590">
            <w:pPr>
              <w:suppressAutoHyphens w:val="0"/>
              <w:kinsoku/>
              <w:overflowPunct/>
              <w:autoSpaceDE/>
              <w:autoSpaceDN/>
              <w:adjustRightInd/>
              <w:snapToGrid/>
              <w:spacing w:before="40" w:after="40" w:line="220" w:lineRule="exact"/>
              <w:ind w:left="57" w:right="57"/>
              <w:rPr>
                <w:rFonts w:eastAsia="Times New Roman"/>
                <w:snapToGrid w:val="0"/>
                <w:lang w:val="fr-FR"/>
              </w:rPr>
            </w:pPr>
            <w:r w:rsidRPr="00440C76">
              <w:rPr>
                <w:rFonts w:eastAsia="Times New Roman"/>
                <w:snapToGrid w:val="0"/>
                <w:lang w:val="fr-FR"/>
              </w:rPr>
              <w:t>3.0</w:t>
            </w:r>
          </w:p>
        </w:tc>
        <w:tc>
          <w:tcPr>
            <w:tcW w:w="2824" w:type="dxa"/>
          </w:tcPr>
          <w:p w14:paraId="6D35ED3E" w14:textId="77777777" w:rsidR="00BE2CA7" w:rsidRPr="00440C76" w:rsidRDefault="00BE2CA7" w:rsidP="002B0590">
            <w:pPr>
              <w:suppressAutoHyphens w:val="0"/>
              <w:kinsoku/>
              <w:overflowPunct/>
              <w:autoSpaceDE/>
              <w:autoSpaceDN/>
              <w:adjustRightInd/>
              <w:snapToGrid/>
              <w:spacing w:before="40" w:after="40" w:line="220" w:lineRule="exact"/>
              <w:ind w:left="57" w:right="57"/>
              <w:rPr>
                <w:rFonts w:eastAsia="Times New Roman"/>
                <w:snapToGrid w:val="0"/>
                <w:lang w:val="fr-FR"/>
              </w:rPr>
            </w:pPr>
            <w:r w:rsidRPr="00440C76">
              <w:rPr>
                <w:rFonts w:eastAsia="Times New Roman"/>
                <w:snapToGrid w:val="0"/>
                <w:lang w:val="fr-FR"/>
              </w:rPr>
              <w:t>Présentation des AES</w:t>
            </w:r>
          </w:p>
        </w:tc>
        <w:tc>
          <w:tcPr>
            <w:tcW w:w="4227" w:type="dxa"/>
          </w:tcPr>
          <w:p w14:paraId="48DB4F1F" w14:textId="77777777" w:rsidR="00BE2CA7" w:rsidRPr="006D0C82" w:rsidRDefault="00BE2CA7" w:rsidP="002B0590">
            <w:pPr>
              <w:suppressAutoHyphens w:val="0"/>
              <w:kinsoku/>
              <w:overflowPunct/>
              <w:autoSpaceDE/>
              <w:autoSpaceDN/>
              <w:adjustRightInd/>
              <w:snapToGrid/>
              <w:spacing w:before="40" w:after="40" w:line="220" w:lineRule="exact"/>
              <w:ind w:left="57" w:right="57"/>
              <w:rPr>
                <w:rFonts w:eastAsia="Times New Roman"/>
                <w:snapToGrid w:val="0"/>
                <w:spacing w:val="-4"/>
                <w:lang w:val="fr-FR"/>
              </w:rPr>
            </w:pPr>
            <w:r w:rsidRPr="006D0C82">
              <w:rPr>
                <w:rFonts w:eastAsia="Times New Roman"/>
                <w:snapToGrid w:val="0"/>
                <w:spacing w:val="-4"/>
                <w:lang w:val="fr-FR"/>
              </w:rPr>
              <w:t>Relations hiérarchiques entre les AES : description et justification (par exemple, sécurité, fiabilité, etc.)</w:t>
            </w:r>
          </w:p>
        </w:tc>
      </w:tr>
      <w:tr w:rsidR="00BE2CA7" w:rsidRPr="00440C76" w14:paraId="7DD5CFC1" w14:textId="77777777" w:rsidTr="002B0590">
        <w:tc>
          <w:tcPr>
            <w:tcW w:w="1663" w:type="dxa"/>
            <w:vMerge/>
          </w:tcPr>
          <w:p w14:paraId="16D86BFC" w14:textId="77777777" w:rsidR="00BE2CA7" w:rsidRPr="00440C76" w:rsidRDefault="00BE2CA7" w:rsidP="002B0590">
            <w:pPr>
              <w:suppressAutoHyphens w:val="0"/>
              <w:kinsoku/>
              <w:overflowPunct/>
              <w:autoSpaceDE/>
              <w:autoSpaceDN/>
              <w:adjustRightInd/>
              <w:snapToGrid/>
              <w:spacing w:before="40" w:after="40" w:line="220" w:lineRule="exact"/>
              <w:ind w:left="57" w:right="57"/>
              <w:rPr>
                <w:rFonts w:eastAsia="Times New Roman"/>
                <w:snapToGrid w:val="0"/>
                <w:lang w:val="fr-FR"/>
              </w:rPr>
            </w:pPr>
          </w:p>
        </w:tc>
        <w:tc>
          <w:tcPr>
            <w:tcW w:w="924" w:type="dxa"/>
          </w:tcPr>
          <w:p w14:paraId="07B3567A" w14:textId="77777777" w:rsidR="00BE2CA7" w:rsidRPr="00440C76" w:rsidRDefault="00BE2CA7" w:rsidP="002B0590">
            <w:pPr>
              <w:suppressAutoHyphens w:val="0"/>
              <w:kinsoku/>
              <w:overflowPunct/>
              <w:autoSpaceDE/>
              <w:autoSpaceDN/>
              <w:adjustRightInd/>
              <w:snapToGrid/>
              <w:spacing w:before="40" w:after="40" w:line="220" w:lineRule="exact"/>
              <w:ind w:left="57" w:right="57"/>
              <w:rPr>
                <w:rFonts w:eastAsia="Times New Roman"/>
                <w:snapToGrid w:val="0"/>
                <w:lang w:val="fr-FR"/>
              </w:rPr>
            </w:pPr>
            <w:r w:rsidRPr="00440C76">
              <w:rPr>
                <w:rFonts w:eastAsia="Times New Roman"/>
                <w:snapToGrid w:val="0"/>
                <w:lang w:val="fr-FR"/>
              </w:rPr>
              <w:t>3.x</w:t>
            </w:r>
          </w:p>
        </w:tc>
        <w:tc>
          <w:tcPr>
            <w:tcW w:w="2824" w:type="dxa"/>
          </w:tcPr>
          <w:p w14:paraId="06093514" w14:textId="77777777" w:rsidR="00BE2CA7" w:rsidRPr="00440C76" w:rsidRDefault="00BE2CA7" w:rsidP="002B0590">
            <w:pPr>
              <w:suppressAutoHyphens w:val="0"/>
              <w:kinsoku/>
              <w:overflowPunct/>
              <w:autoSpaceDE/>
              <w:autoSpaceDN/>
              <w:adjustRightInd/>
              <w:snapToGrid/>
              <w:spacing w:before="40" w:after="40" w:line="220" w:lineRule="exact"/>
              <w:ind w:left="57" w:right="57"/>
              <w:rPr>
                <w:rFonts w:eastAsia="Times New Roman"/>
                <w:snapToGrid w:val="0"/>
                <w:lang w:val="fr-FR"/>
              </w:rPr>
            </w:pPr>
            <w:r w:rsidRPr="00440C76">
              <w:rPr>
                <w:rFonts w:eastAsia="Times New Roman"/>
                <w:snapToGrid w:val="0"/>
                <w:lang w:val="fr-FR"/>
              </w:rPr>
              <w:t>AES x</w:t>
            </w:r>
          </w:p>
        </w:tc>
        <w:tc>
          <w:tcPr>
            <w:tcW w:w="4227" w:type="dxa"/>
          </w:tcPr>
          <w:p w14:paraId="2A4600EE" w14:textId="77777777" w:rsidR="00BE2CA7" w:rsidRPr="00440C76" w:rsidRDefault="00BE2CA7" w:rsidP="002B0590">
            <w:pPr>
              <w:suppressAutoHyphens w:val="0"/>
              <w:kinsoku/>
              <w:overflowPunct/>
              <w:autoSpaceDE/>
              <w:autoSpaceDN/>
              <w:adjustRightInd/>
              <w:snapToGrid/>
              <w:spacing w:before="40" w:after="40" w:line="220" w:lineRule="exact"/>
              <w:ind w:left="57" w:right="57"/>
              <w:rPr>
                <w:rFonts w:eastAsia="Times New Roman"/>
                <w:snapToGrid w:val="0"/>
                <w:lang w:val="fr-FR"/>
              </w:rPr>
            </w:pPr>
            <w:r w:rsidRPr="00440C76">
              <w:rPr>
                <w:rFonts w:eastAsia="Times New Roman"/>
                <w:snapToGrid w:val="0"/>
                <w:lang w:val="fr-FR"/>
              </w:rPr>
              <w:t>3.x.1</w:t>
            </w:r>
            <w:r>
              <w:rPr>
                <w:rFonts w:eastAsia="Times New Roman"/>
                <w:snapToGrid w:val="0"/>
                <w:lang w:val="fr-FR"/>
              </w:rPr>
              <w:tab/>
            </w:r>
            <w:r w:rsidRPr="00440C76">
              <w:rPr>
                <w:rFonts w:eastAsia="Times New Roman"/>
                <w:snapToGrid w:val="0"/>
                <w:lang w:val="fr-FR"/>
              </w:rPr>
              <w:t>Justification de l</w:t>
            </w:r>
            <w:r>
              <w:rPr>
                <w:rFonts w:eastAsia="Times New Roman"/>
                <w:snapToGrid w:val="0"/>
                <w:lang w:val="fr-FR"/>
              </w:rPr>
              <w:t>’</w:t>
            </w:r>
            <w:r w:rsidRPr="00440C76">
              <w:rPr>
                <w:rFonts w:eastAsia="Times New Roman"/>
                <w:snapToGrid w:val="0"/>
                <w:lang w:val="fr-FR"/>
              </w:rPr>
              <w:t>AES</w:t>
            </w:r>
          </w:p>
          <w:p w14:paraId="5A9E7AEF" w14:textId="77777777" w:rsidR="00BE2CA7" w:rsidRPr="00440C76" w:rsidRDefault="00BE2CA7" w:rsidP="002B0590">
            <w:pPr>
              <w:suppressAutoHyphens w:val="0"/>
              <w:kinsoku/>
              <w:overflowPunct/>
              <w:autoSpaceDE/>
              <w:autoSpaceDN/>
              <w:adjustRightInd/>
              <w:snapToGrid/>
              <w:spacing w:before="40" w:after="40" w:line="220" w:lineRule="exact"/>
              <w:ind w:left="57" w:right="57"/>
              <w:rPr>
                <w:rFonts w:eastAsia="Times New Roman"/>
                <w:snapToGrid w:val="0"/>
                <w:lang w:val="fr-FR"/>
              </w:rPr>
            </w:pPr>
            <w:r w:rsidRPr="00440C76">
              <w:rPr>
                <w:rFonts w:eastAsia="Times New Roman"/>
                <w:snapToGrid w:val="0"/>
                <w:lang w:val="fr-FR"/>
              </w:rPr>
              <w:t>3.x.2</w:t>
            </w:r>
            <w:r>
              <w:rPr>
                <w:rFonts w:eastAsia="Times New Roman"/>
                <w:snapToGrid w:val="0"/>
                <w:lang w:val="fr-FR"/>
              </w:rPr>
              <w:tab/>
            </w:r>
            <w:r w:rsidRPr="00440C76">
              <w:rPr>
                <w:rFonts w:eastAsia="Times New Roman"/>
                <w:snapToGrid w:val="0"/>
                <w:lang w:val="fr-FR"/>
              </w:rPr>
              <w:t>Paramètres mesurés ou modélisés propres à l</w:t>
            </w:r>
            <w:r>
              <w:rPr>
                <w:rFonts w:eastAsia="Times New Roman"/>
                <w:snapToGrid w:val="0"/>
                <w:lang w:val="fr-FR"/>
              </w:rPr>
              <w:t>’</w:t>
            </w:r>
            <w:r w:rsidRPr="00440C76">
              <w:rPr>
                <w:rFonts w:eastAsia="Times New Roman"/>
                <w:snapToGrid w:val="0"/>
                <w:lang w:val="fr-FR"/>
              </w:rPr>
              <w:t>AES concernée</w:t>
            </w:r>
          </w:p>
          <w:p w14:paraId="0CDEFFD0" w14:textId="77777777" w:rsidR="00BE2CA7" w:rsidRPr="00440C76" w:rsidRDefault="00BE2CA7" w:rsidP="002B0590">
            <w:pPr>
              <w:suppressAutoHyphens w:val="0"/>
              <w:kinsoku/>
              <w:overflowPunct/>
              <w:autoSpaceDE/>
              <w:autoSpaceDN/>
              <w:adjustRightInd/>
              <w:snapToGrid/>
              <w:spacing w:before="40" w:after="40" w:line="220" w:lineRule="exact"/>
              <w:ind w:left="57" w:right="57"/>
              <w:rPr>
                <w:rFonts w:eastAsia="Times New Roman"/>
                <w:snapToGrid w:val="0"/>
                <w:lang w:val="fr-FR"/>
              </w:rPr>
            </w:pPr>
            <w:r w:rsidRPr="00440C76">
              <w:rPr>
                <w:rFonts w:eastAsia="Times New Roman"/>
                <w:snapToGrid w:val="0"/>
                <w:lang w:val="fr-FR"/>
              </w:rPr>
              <w:t>3.x.3</w:t>
            </w:r>
            <w:r>
              <w:rPr>
                <w:rFonts w:eastAsia="Times New Roman"/>
                <w:snapToGrid w:val="0"/>
                <w:lang w:val="fr-FR"/>
              </w:rPr>
              <w:tab/>
            </w:r>
            <w:r w:rsidRPr="00440C76">
              <w:rPr>
                <w:rFonts w:eastAsia="Times New Roman"/>
                <w:snapToGrid w:val="0"/>
                <w:lang w:val="fr-FR"/>
              </w:rPr>
              <w:t>Mode d</w:t>
            </w:r>
            <w:r>
              <w:rPr>
                <w:rFonts w:eastAsia="Times New Roman"/>
                <w:snapToGrid w:val="0"/>
                <w:lang w:val="fr-FR"/>
              </w:rPr>
              <w:t>’</w:t>
            </w:r>
            <w:r w:rsidRPr="00440C76">
              <w:rPr>
                <w:rFonts w:eastAsia="Times New Roman"/>
                <w:snapToGrid w:val="0"/>
                <w:lang w:val="fr-FR"/>
              </w:rPr>
              <w:t>action de l</w:t>
            </w:r>
            <w:r>
              <w:rPr>
                <w:rFonts w:eastAsia="Times New Roman"/>
                <w:snapToGrid w:val="0"/>
                <w:lang w:val="fr-FR"/>
              </w:rPr>
              <w:t>’</w:t>
            </w:r>
            <w:r w:rsidRPr="00440C76">
              <w:rPr>
                <w:rFonts w:eastAsia="Times New Roman"/>
                <w:snapToGrid w:val="0"/>
                <w:lang w:val="fr-FR"/>
              </w:rPr>
              <w:t>AES et paramètres utilisés</w:t>
            </w:r>
          </w:p>
          <w:p w14:paraId="620891FF" w14:textId="77777777" w:rsidR="00BE2CA7" w:rsidRPr="006D0C82" w:rsidRDefault="00BE2CA7" w:rsidP="002B0590">
            <w:pPr>
              <w:suppressAutoHyphens w:val="0"/>
              <w:kinsoku/>
              <w:overflowPunct/>
              <w:autoSpaceDE/>
              <w:autoSpaceDN/>
              <w:adjustRightInd/>
              <w:snapToGrid/>
              <w:spacing w:before="40" w:after="40" w:line="220" w:lineRule="exact"/>
              <w:ind w:left="57" w:right="57"/>
              <w:rPr>
                <w:rFonts w:eastAsia="Times New Roman"/>
                <w:snapToGrid w:val="0"/>
                <w:spacing w:val="-4"/>
                <w:lang w:val="fr-FR"/>
              </w:rPr>
            </w:pPr>
            <w:r w:rsidRPr="006D0C82">
              <w:rPr>
                <w:rFonts w:eastAsia="Times New Roman"/>
                <w:snapToGrid w:val="0"/>
                <w:spacing w:val="-4"/>
                <w:lang w:val="fr-FR"/>
              </w:rPr>
              <w:t>3.x.4</w:t>
            </w:r>
            <w:r w:rsidRPr="006D0C82">
              <w:rPr>
                <w:rFonts w:eastAsia="Times New Roman"/>
                <w:snapToGrid w:val="0"/>
                <w:spacing w:val="-4"/>
                <w:lang w:val="fr-FR"/>
              </w:rPr>
              <w:tab/>
              <w:t>Effets de l’AES sur les polluants et le CO</w:t>
            </w:r>
            <w:r w:rsidRPr="006D0C82">
              <w:rPr>
                <w:rFonts w:eastAsia="Times New Roman"/>
                <w:snapToGrid w:val="0"/>
                <w:spacing w:val="-4"/>
                <w:vertAlign w:val="subscript"/>
                <w:lang w:val="fr-FR"/>
              </w:rPr>
              <w:t>2</w:t>
            </w:r>
          </w:p>
        </w:tc>
      </w:tr>
      <w:tr w:rsidR="00BE2CA7" w:rsidRPr="00440C76" w14:paraId="04AEB578" w14:textId="77777777" w:rsidTr="002B0590">
        <w:tc>
          <w:tcPr>
            <w:tcW w:w="1663" w:type="dxa"/>
            <w:vMerge/>
          </w:tcPr>
          <w:p w14:paraId="0E902371" w14:textId="77777777" w:rsidR="00BE2CA7" w:rsidRPr="00440C76" w:rsidRDefault="00BE2CA7" w:rsidP="002B0590">
            <w:pPr>
              <w:suppressAutoHyphens w:val="0"/>
              <w:kinsoku/>
              <w:overflowPunct/>
              <w:autoSpaceDE/>
              <w:autoSpaceDN/>
              <w:adjustRightInd/>
              <w:snapToGrid/>
              <w:spacing w:before="40" w:after="40" w:line="220" w:lineRule="exact"/>
              <w:ind w:left="57" w:right="57"/>
              <w:rPr>
                <w:rFonts w:eastAsia="Times New Roman"/>
                <w:snapToGrid w:val="0"/>
                <w:lang w:val="fr-FR"/>
              </w:rPr>
            </w:pPr>
          </w:p>
        </w:tc>
        <w:tc>
          <w:tcPr>
            <w:tcW w:w="924" w:type="dxa"/>
          </w:tcPr>
          <w:p w14:paraId="4AAC5122" w14:textId="77777777" w:rsidR="00BE2CA7" w:rsidRPr="00440C76" w:rsidRDefault="00BE2CA7" w:rsidP="002B0590">
            <w:pPr>
              <w:suppressAutoHyphens w:val="0"/>
              <w:kinsoku/>
              <w:overflowPunct/>
              <w:autoSpaceDE/>
              <w:autoSpaceDN/>
              <w:adjustRightInd/>
              <w:snapToGrid/>
              <w:spacing w:before="40" w:after="40" w:line="220" w:lineRule="exact"/>
              <w:ind w:left="57" w:right="57"/>
              <w:rPr>
                <w:rFonts w:eastAsia="Times New Roman"/>
                <w:snapToGrid w:val="0"/>
                <w:lang w:val="fr-FR"/>
              </w:rPr>
            </w:pPr>
            <w:r w:rsidRPr="00440C76">
              <w:rPr>
                <w:rFonts w:eastAsia="Times New Roman"/>
                <w:snapToGrid w:val="0"/>
                <w:lang w:val="fr-FR"/>
              </w:rPr>
              <w:t>3.y</w:t>
            </w:r>
          </w:p>
        </w:tc>
        <w:tc>
          <w:tcPr>
            <w:tcW w:w="2824" w:type="dxa"/>
          </w:tcPr>
          <w:p w14:paraId="4FB17033" w14:textId="77777777" w:rsidR="00BE2CA7" w:rsidRPr="00440C76" w:rsidRDefault="00BE2CA7" w:rsidP="002B0590">
            <w:pPr>
              <w:suppressAutoHyphens w:val="0"/>
              <w:kinsoku/>
              <w:overflowPunct/>
              <w:autoSpaceDE/>
              <w:autoSpaceDN/>
              <w:adjustRightInd/>
              <w:snapToGrid/>
              <w:spacing w:before="40" w:after="40" w:line="220" w:lineRule="exact"/>
              <w:ind w:left="57" w:right="57"/>
              <w:rPr>
                <w:rFonts w:eastAsia="Times New Roman"/>
                <w:snapToGrid w:val="0"/>
                <w:lang w:val="fr-FR"/>
              </w:rPr>
            </w:pPr>
            <w:r w:rsidRPr="00440C76">
              <w:rPr>
                <w:rFonts w:eastAsia="Times New Roman"/>
                <w:snapToGrid w:val="0"/>
                <w:lang w:val="fr-FR"/>
              </w:rPr>
              <w:t>AES y</w:t>
            </w:r>
          </w:p>
        </w:tc>
        <w:tc>
          <w:tcPr>
            <w:tcW w:w="4227" w:type="dxa"/>
          </w:tcPr>
          <w:p w14:paraId="652A2F1D" w14:textId="77777777" w:rsidR="00BE2CA7" w:rsidRPr="00440C76" w:rsidRDefault="00BE2CA7" w:rsidP="002B0590">
            <w:pPr>
              <w:suppressAutoHyphens w:val="0"/>
              <w:kinsoku/>
              <w:overflowPunct/>
              <w:autoSpaceDE/>
              <w:autoSpaceDN/>
              <w:adjustRightInd/>
              <w:snapToGrid/>
              <w:spacing w:before="40" w:after="40" w:line="220" w:lineRule="exact"/>
              <w:ind w:left="57" w:right="57"/>
              <w:rPr>
                <w:rFonts w:eastAsia="Times New Roman"/>
                <w:snapToGrid w:val="0"/>
                <w:lang w:val="fr-FR"/>
              </w:rPr>
            </w:pPr>
            <w:r w:rsidRPr="00440C76">
              <w:rPr>
                <w:rFonts w:eastAsia="Times New Roman"/>
                <w:snapToGrid w:val="0"/>
                <w:lang w:val="fr-FR"/>
              </w:rPr>
              <w:t>3.y.1</w:t>
            </w:r>
          </w:p>
          <w:p w14:paraId="1E5E5C88" w14:textId="77777777" w:rsidR="00BE2CA7" w:rsidRPr="00440C76" w:rsidRDefault="00BE2CA7" w:rsidP="002B0590">
            <w:pPr>
              <w:suppressAutoHyphens w:val="0"/>
              <w:kinsoku/>
              <w:overflowPunct/>
              <w:autoSpaceDE/>
              <w:autoSpaceDN/>
              <w:adjustRightInd/>
              <w:snapToGrid/>
              <w:spacing w:before="40" w:after="40" w:line="220" w:lineRule="exact"/>
              <w:ind w:left="57" w:right="57"/>
              <w:rPr>
                <w:rFonts w:eastAsia="Times New Roman"/>
                <w:snapToGrid w:val="0"/>
                <w:lang w:val="fr-FR"/>
              </w:rPr>
            </w:pPr>
            <w:r w:rsidRPr="00440C76">
              <w:rPr>
                <w:rFonts w:eastAsia="Times New Roman"/>
                <w:snapToGrid w:val="0"/>
                <w:lang w:val="fr-FR"/>
              </w:rPr>
              <w:t>3.y.2</w:t>
            </w:r>
          </w:p>
          <w:p w14:paraId="25107D96" w14:textId="77777777" w:rsidR="00BE2CA7" w:rsidRPr="00440C76" w:rsidRDefault="00BE2CA7" w:rsidP="002B0590">
            <w:pPr>
              <w:suppressAutoHyphens w:val="0"/>
              <w:kinsoku/>
              <w:overflowPunct/>
              <w:autoSpaceDE/>
              <w:autoSpaceDN/>
              <w:adjustRightInd/>
              <w:snapToGrid/>
              <w:spacing w:before="40" w:after="40" w:line="220" w:lineRule="exact"/>
              <w:ind w:left="57" w:right="57"/>
              <w:rPr>
                <w:rFonts w:eastAsia="Times New Roman"/>
                <w:snapToGrid w:val="0"/>
                <w:lang w:val="fr-FR"/>
              </w:rPr>
            </w:pPr>
            <w:r w:rsidRPr="00440C76">
              <w:rPr>
                <w:rFonts w:eastAsia="Times New Roman"/>
                <w:snapToGrid w:val="0"/>
                <w:lang w:val="fr-FR"/>
              </w:rPr>
              <w:t>etc.</w:t>
            </w:r>
          </w:p>
        </w:tc>
      </w:tr>
      <w:tr w:rsidR="00BE2CA7" w:rsidRPr="00440C76" w14:paraId="204370F9" w14:textId="77777777" w:rsidTr="002B0590">
        <w:tc>
          <w:tcPr>
            <w:tcW w:w="1663" w:type="dxa"/>
            <w:vMerge/>
          </w:tcPr>
          <w:p w14:paraId="3D746521" w14:textId="77777777" w:rsidR="00BE2CA7" w:rsidRPr="00440C76" w:rsidRDefault="00BE2CA7" w:rsidP="002B0590">
            <w:pPr>
              <w:tabs>
                <w:tab w:val="left" w:pos="1134"/>
              </w:tabs>
              <w:suppressAutoHyphens w:val="0"/>
              <w:kinsoku/>
              <w:overflowPunct/>
              <w:autoSpaceDE/>
              <w:autoSpaceDN/>
              <w:adjustRightInd/>
              <w:snapToGrid/>
              <w:spacing w:before="40" w:after="40" w:line="220" w:lineRule="exact"/>
              <w:ind w:left="57" w:right="57"/>
              <w:rPr>
                <w:rFonts w:eastAsia="Times New Roman"/>
                <w:snapToGrid w:val="0"/>
                <w:lang w:val="fr-FR"/>
              </w:rPr>
            </w:pPr>
          </w:p>
        </w:tc>
        <w:tc>
          <w:tcPr>
            <w:tcW w:w="7975" w:type="dxa"/>
            <w:gridSpan w:val="3"/>
          </w:tcPr>
          <w:p w14:paraId="35588718" w14:textId="77777777" w:rsidR="00BE2CA7" w:rsidRPr="00440C76" w:rsidRDefault="00BE2CA7" w:rsidP="002B0590">
            <w:pPr>
              <w:tabs>
                <w:tab w:val="left" w:pos="1134"/>
              </w:tabs>
              <w:suppressAutoHyphens w:val="0"/>
              <w:kinsoku/>
              <w:overflowPunct/>
              <w:autoSpaceDE/>
              <w:autoSpaceDN/>
              <w:adjustRightInd/>
              <w:snapToGrid/>
              <w:spacing w:before="40" w:after="40" w:line="220" w:lineRule="exact"/>
              <w:ind w:left="57" w:right="57"/>
              <w:rPr>
                <w:rFonts w:eastAsia="Times New Roman"/>
                <w:snapToGrid w:val="0"/>
                <w:lang w:val="fr-FR"/>
              </w:rPr>
            </w:pPr>
            <w:r w:rsidRPr="00440C76">
              <w:rPr>
                <w:rFonts w:eastAsia="Times New Roman"/>
                <w:snapToGrid w:val="0"/>
                <w:lang w:val="fr-FR"/>
              </w:rPr>
              <w:t>La limite de 100</w:t>
            </w:r>
            <w:r>
              <w:rPr>
                <w:rFonts w:eastAsia="Times New Roman"/>
                <w:snapToGrid w:val="0"/>
                <w:lang w:val="fr-FR"/>
              </w:rPr>
              <w:t> </w:t>
            </w:r>
            <w:r w:rsidRPr="00440C76">
              <w:rPr>
                <w:rFonts w:eastAsia="Times New Roman"/>
                <w:snapToGrid w:val="0"/>
                <w:lang w:val="fr-FR"/>
              </w:rPr>
              <w:t>pages se termine ici</w:t>
            </w:r>
          </w:p>
        </w:tc>
      </w:tr>
      <w:tr w:rsidR="00BE2CA7" w:rsidRPr="00440C76" w14:paraId="6F224E1B" w14:textId="77777777" w:rsidTr="002B0590">
        <w:tc>
          <w:tcPr>
            <w:tcW w:w="1663" w:type="dxa"/>
            <w:vMerge/>
          </w:tcPr>
          <w:p w14:paraId="5651BE59" w14:textId="77777777" w:rsidR="00BE2CA7" w:rsidRPr="00440C76" w:rsidRDefault="00BE2CA7" w:rsidP="002B0590">
            <w:pPr>
              <w:tabs>
                <w:tab w:val="left" w:pos="1134"/>
              </w:tabs>
              <w:suppressAutoHyphens w:val="0"/>
              <w:kinsoku/>
              <w:overflowPunct/>
              <w:autoSpaceDE/>
              <w:autoSpaceDN/>
              <w:adjustRightInd/>
              <w:snapToGrid/>
              <w:spacing w:before="40" w:after="40" w:line="220" w:lineRule="exact"/>
              <w:ind w:left="57" w:right="57"/>
              <w:rPr>
                <w:rFonts w:eastAsia="Times New Roman"/>
                <w:snapToGrid w:val="0"/>
                <w:lang w:val="fr-FR"/>
              </w:rPr>
            </w:pPr>
          </w:p>
        </w:tc>
        <w:tc>
          <w:tcPr>
            <w:tcW w:w="924" w:type="dxa"/>
          </w:tcPr>
          <w:p w14:paraId="19003786" w14:textId="77777777" w:rsidR="00BE2CA7" w:rsidRPr="00440C76" w:rsidRDefault="00BE2CA7" w:rsidP="002B0590">
            <w:pPr>
              <w:suppressAutoHyphens w:val="0"/>
              <w:kinsoku/>
              <w:overflowPunct/>
              <w:autoSpaceDE/>
              <w:autoSpaceDN/>
              <w:adjustRightInd/>
              <w:snapToGrid/>
              <w:spacing w:before="40" w:after="40" w:line="220" w:lineRule="exact"/>
              <w:ind w:left="57" w:right="57"/>
              <w:rPr>
                <w:rFonts w:eastAsia="Times New Roman"/>
                <w:snapToGrid w:val="0"/>
                <w:lang w:val="fr-FR"/>
              </w:rPr>
            </w:pPr>
            <w:r w:rsidRPr="00440C76">
              <w:rPr>
                <w:rFonts w:eastAsia="Times New Roman"/>
                <w:snapToGrid w:val="0"/>
                <w:lang w:val="fr-FR"/>
              </w:rPr>
              <w:t>Annexe</w:t>
            </w:r>
          </w:p>
        </w:tc>
        <w:tc>
          <w:tcPr>
            <w:tcW w:w="2824" w:type="dxa"/>
          </w:tcPr>
          <w:p w14:paraId="385EC554" w14:textId="77777777" w:rsidR="00BE2CA7" w:rsidRPr="00440C76" w:rsidRDefault="00BE2CA7" w:rsidP="002B0590">
            <w:pPr>
              <w:suppressAutoHyphens w:val="0"/>
              <w:kinsoku/>
              <w:overflowPunct/>
              <w:autoSpaceDE/>
              <w:autoSpaceDN/>
              <w:adjustRightInd/>
              <w:snapToGrid/>
              <w:spacing w:before="40" w:after="40" w:line="220" w:lineRule="exact"/>
              <w:ind w:left="57" w:right="57"/>
              <w:rPr>
                <w:rFonts w:eastAsia="Times New Roman"/>
                <w:snapToGrid w:val="0"/>
                <w:lang w:val="fr-FR"/>
              </w:rPr>
            </w:pPr>
          </w:p>
        </w:tc>
        <w:tc>
          <w:tcPr>
            <w:tcW w:w="4227" w:type="dxa"/>
          </w:tcPr>
          <w:p w14:paraId="26C50374" w14:textId="77777777" w:rsidR="00BE2CA7" w:rsidRPr="006D0C82" w:rsidRDefault="00BE2CA7" w:rsidP="002B0590">
            <w:pPr>
              <w:suppressAutoHyphens w:val="0"/>
              <w:kinsoku/>
              <w:overflowPunct/>
              <w:autoSpaceDE/>
              <w:autoSpaceDN/>
              <w:adjustRightInd/>
              <w:snapToGrid/>
              <w:spacing w:before="40" w:after="40" w:line="220" w:lineRule="exact"/>
              <w:ind w:left="57" w:right="57"/>
              <w:rPr>
                <w:rFonts w:eastAsia="Times New Roman"/>
                <w:snapToGrid w:val="0"/>
                <w:spacing w:val="-4"/>
                <w:lang w:val="fr-FR"/>
              </w:rPr>
            </w:pPr>
            <w:r w:rsidRPr="006D0C82">
              <w:rPr>
                <w:rFonts w:eastAsia="Times New Roman"/>
                <w:snapToGrid w:val="0"/>
                <w:spacing w:val="-4"/>
                <w:lang w:val="fr-FR"/>
              </w:rPr>
              <w:t>Liste des types concernés par l’ensemble BES-AES soumis pour homologation : y compris référence de l’homologation, référence du logiciel, numéro d’étalonnage, sommes de contrôle de chaque version et de chaque module de commande (moteur ou traitement aval, le cas échéant)</w:t>
            </w:r>
          </w:p>
        </w:tc>
      </w:tr>
      <w:tr w:rsidR="00BE2CA7" w:rsidRPr="00440C76" w14:paraId="38026EA9" w14:textId="77777777" w:rsidTr="002B0590">
        <w:tc>
          <w:tcPr>
            <w:tcW w:w="1663" w:type="dxa"/>
            <w:vMerge w:val="restart"/>
          </w:tcPr>
          <w:p w14:paraId="121B6144" w14:textId="77777777" w:rsidR="00BE2CA7" w:rsidRPr="00440C76" w:rsidRDefault="00BE2CA7" w:rsidP="002B0590">
            <w:pPr>
              <w:keepNext/>
              <w:suppressAutoHyphens w:val="0"/>
              <w:kinsoku/>
              <w:overflowPunct/>
              <w:autoSpaceDE/>
              <w:autoSpaceDN/>
              <w:adjustRightInd/>
              <w:snapToGrid/>
              <w:spacing w:before="40" w:after="40" w:line="220" w:lineRule="exact"/>
              <w:ind w:left="57" w:right="57"/>
              <w:rPr>
                <w:rFonts w:eastAsia="Times New Roman"/>
                <w:snapToGrid w:val="0"/>
                <w:lang w:val="fr-FR"/>
              </w:rPr>
            </w:pPr>
            <w:r w:rsidRPr="00440C76">
              <w:rPr>
                <w:rFonts w:eastAsia="Times New Roman"/>
                <w:snapToGrid w:val="0"/>
                <w:lang w:val="fr-FR"/>
              </w:rPr>
              <w:lastRenderedPageBreak/>
              <w:t>Documents joints</w:t>
            </w:r>
          </w:p>
        </w:tc>
        <w:tc>
          <w:tcPr>
            <w:tcW w:w="924" w:type="dxa"/>
          </w:tcPr>
          <w:p w14:paraId="3F6F2021" w14:textId="77777777" w:rsidR="00BE2CA7" w:rsidRPr="00440C76" w:rsidRDefault="00BE2CA7" w:rsidP="002B0590">
            <w:pPr>
              <w:keepNext/>
              <w:suppressAutoHyphens w:val="0"/>
              <w:kinsoku/>
              <w:overflowPunct/>
              <w:autoSpaceDE/>
              <w:autoSpaceDN/>
              <w:adjustRightInd/>
              <w:snapToGrid/>
              <w:spacing w:before="40" w:after="40" w:line="220" w:lineRule="exact"/>
              <w:ind w:left="57" w:right="57"/>
              <w:rPr>
                <w:rFonts w:eastAsia="Times New Roman"/>
                <w:snapToGrid w:val="0"/>
                <w:lang w:val="fr-FR"/>
              </w:rPr>
            </w:pPr>
          </w:p>
        </w:tc>
        <w:tc>
          <w:tcPr>
            <w:tcW w:w="2824" w:type="dxa"/>
          </w:tcPr>
          <w:p w14:paraId="25307532" w14:textId="77777777" w:rsidR="00BE2CA7" w:rsidRPr="00440C76" w:rsidRDefault="00BE2CA7" w:rsidP="002B0590">
            <w:pPr>
              <w:keepNext/>
              <w:suppressAutoHyphens w:val="0"/>
              <w:kinsoku/>
              <w:overflowPunct/>
              <w:autoSpaceDE/>
              <w:autoSpaceDN/>
              <w:adjustRightInd/>
              <w:snapToGrid/>
              <w:spacing w:before="40" w:after="40" w:line="220" w:lineRule="exact"/>
              <w:ind w:left="57" w:right="57"/>
              <w:rPr>
                <w:rFonts w:eastAsia="Times New Roman"/>
                <w:snapToGrid w:val="0"/>
                <w:lang w:val="fr-FR"/>
              </w:rPr>
            </w:pPr>
            <w:r w:rsidRPr="00440C76">
              <w:rPr>
                <w:rFonts w:eastAsia="Times New Roman"/>
                <w:snapToGrid w:val="0"/>
                <w:lang w:val="fr-FR"/>
              </w:rPr>
              <w:t>Note technique de justification de l</w:t>
            </w:r>
            <w:r>
              <w:rPr>
                <w:rFonts w:eastAsia="Times New Roman"/>
                <w:snapToGrid w:val="0"/>
                <w:lang w:val="fr-FR"/>
              </w:rPr>
              <w:t>’</w:t>
            </w:r>
            <w:r w:rsidRPr="00440C76">
              <w:rPr>
                <w:rFonts w:eastAsia="Times New Roman"/>
                <w:snapToGrid w:val="0"/>
                <w:lang w:val="fr-FR"/>
              </w:rPr>
              <w:t xml:space="preserve">AES </w:t>
            </w:r>
            <w:r w:rsidRPr="00440C76">
              <w:rPr>
                <w:lang w:val="fr-FR"/>
              </w:rPr>
              <w:t>n</w:t>
            </w:r>
            <w:r w:rsidRPr="00440C76">
              <w:rPr>
                <w:vertAlign w:val="superscript"/>
                <w:lang w:val="fr-FR"/>
              </w:rPr>
              <w:t>o</w:t>
            </w:r>
            <w:r w:rsidRPr="00440C76">
              <w:rPr>
                <w:lang w:val="fr-FR"/>
              </w:rPr>
              <w:t> </w:t>
            </w:r>
            <w:r w:rsidRPr="00440C76">
              <w:rPr>
                <w:rFonts w:eastAsia="Times New Roman"/>
                <w:snapToGrid w:val="0"/>
                <w:lang w:val="fr-FR"/>
              </w:rPr>
              <w:t>xxx</w:t>
            </w:r>
          </w:p>
        </w:tc>
        <w:tc>
          <w:tcPr>
            <w:tcW w:w="4227" w:type="dxa"/>
          </w:tcPr>
          <w:p w14:paraId="4F0CC585" w14:textId="77777777" w:rsidR="00BE2CA7" w:rsidRPr="00440C76" w:rsidRDefault="00BE2CA7" w:rsidP="002B0590">
            <w:pPr>
              <w:keepNext/>
              <w:suppressAutoHyphens w:val="0"/>
              <w:kinsoku/>
              <w:overflowPunct/>
              <w:autoSpaceDE/>
              <w:autoSpaceDN/>
              <w:adjustRightInd/>
              <w:snapToGrid/>
              <w:spacing w:before="40" w:after="40" w:line="220" w:lineRule="exact"/>
              <w:ind w:left="57" w:right="57"/>
              <w:rPr>
                <w:rFonts w:eastAsia="Times New Roman"/>
                <w:snapToGrid w:val="0"/>
                <w:lang w:val="fr-FR"/>
              </w:rPr>
            </w:pPr>
            <w:r w:rsidRPr="00440C76">
              <w:rPr>
                <w:rFonts w:eastAsia="Times New Roman"/>
                <w:snapToGrid w:val="0"/>
                <w:lang w:val="fr-FR"/>
              </w:rPr>
              <w:t>Évaluation des risques ou justification par des essais ou exemple de dommage soudain, le cas échéant</w:t>
            </w:r>
          </w:p>
        </w:tc>
      </w:tr>
      <w:tr w:rsidR="00BE2CA7" w:rsidRPr="00440C76" w14:paraId="5CD9C10E" w14:textId="77777777" w:rsidTr="002B0590">
        <w:tc>
          <w:tcPr>
            <w:tcW w:w="1663" w:type="dxa"/>
            <w:vMerge/>
          </w:tcPr>
          <w:p w14:paraId="505C2016" w14:textId="77777777" w:rsidR="00BE2CA7" w:rsidRPr="00440C76" w:rsidRDefault="00BE2CA7" w:rsidP="002B0590">
            <w:pPr>
              <w:keepNext/>
              <w:suppressAutoHyphens w:val="0"/>
              <w:kinsoku/>
              <w:overflowPunct/>
              <w:autoSpaceDE/>
              <w:autoSpaceDN/>
              <w:adjustRightInd/>
              <w:snapToGrid/>
              <w:spacing w:before="40" w:after="40" w:line="240" w:lineRule="auto"/>
              <w:ind w:left="57" w:right="57"/>
              <w:rPr>
                <w:rFonts w:eastAsia="Times New Roman"/>
                <w:snapToGrid w:val="0"/>
                <w:lang w:val="fr-FR"/>
              </w:rPr>
            </w:pPr>
          </w:p>
        </w:tc>
        <w:tc>
          <w:tcPr>
            <w:tcW w:w="924" w:type="dxa"/>
          </w:tcPr>
          <w:p w14:paraId="7947CBE6" w14:textId="77777777" w:rsidR="00BE2CA7" w:rsidRPr="00440C76" w:rsidRDefault="00BE2CA7" w:rsidP="002B0590">
            <w:pPr>
              <w:keepNext/>
              <w:suppressAutoHyphens w:val="0"/>
              <w:kinsoku/>
              <w:overflowPunct/>
              <w:autoSpaceDE/>
              <w:autoSpaceDN/>
              <w:adjustRightInd/>
              <w:snapToGrid/>
              <w:spacing w:before="40" w:after="40" w:line="240" w:lineRule="auto"/>
              <w:ind w:left="57" w:right="57"/>
              <w:rPr>
                <w:rFonts w:eastAsia="Times New Roman"/>
                <w:snapToGrid w:val="0"/>
                <w:lang w:val="fr-FR"/>
              </w:rPr>
            </w:pPr>
          </w:p>
        </w:tc>
        <w:tc>
          <w:tcPr>
            <w:tcW w:w="2824" w:type="dxa"/>
          </w:tcPr>
          <w:p w14:paraId="52662393" w14:textId="77777777" w:rsidR="00BE2CA7" w:rsidRPr="00440C76" w:rsidRDefault="00BE2CA7" w:rsidP="002B0590">
            <w:pPr>
              <w:keepNext/>
              <w:suppressAutoHyphens w:val="0"/>
              <w:kinsoku/>
              <w:overflowPunct/>
              <w:autoSpaceDE/>
              <w:autoSpaceDN/>
              <w:adjustRightInd/>
              <w:snapToGrid/>
              <w:spacing w:before="40" w:after="40" w:line="240" w:lineRule="auto"/>
              <w:ind w:left="57" w:right="57"/>
              <w:rPr>
                <w:rFonts w:eastAsia="Times New Roman"/>
                <w:snapToGrid w:val="0"/>
                <w:lang w:val="fr-FR"/>
              </w:rPr>
            </w:pPr>
            <w:r w:rsidRPr="00440C76">
              <w:rPr>
                <w:rFonts w:eastAsia="Times New Roman"/>
                <w:snapToGrid w:val="0"/>
                <w:lang w:val="fr-FR"/>
              </w:rPr>
              <w:t>Note technique de justification de l</w:t>
            </w:r>
            <w:r>
              <w:rPr>
                <w:rFonts w:eastAsia="Times New Roman"/>
                <w:snapToGrid w:val="0"/>
                <w:lang w:val="fr-FR"/>
              </w:rPr>
              <w:t>’</w:t>
            </w:r>
            <w:r w:rsidRPr="00440C76">
              <w:rPr>
                <w:rFonts w:eastAsia="Times New Roman"/>
                <w:snapToGrid w:val="0"/>
                <w:lang w:val="fr-FR"/>
              </w:rPr>
              <w:t xml:space="preserve">AES </w:t>
            </w:r>
            <w:r w:rsidRPr="00440C76">
              <w:rPr>
                <w:lang w:val="fr-FR"/>
              </w:rPr>
              <w:t>n</w:t>
            </w:r>
            <w:r w:rsidRPr="00440C76">
              <w:rPr>
                <w:vertAlign w:val="superscript"/>
                <w:lang w:val="fr-FR"/>
              </w:rPr>
              <w:t>o</w:t>
            </w:r>
            <w:r w:rsidRPr="00440C76">
              <w:rPr>
                <w:lang w:val="fr-FR"/>
              </w:rPr>
              <w:t> </w:t>
            </w:r>
            <w:proofErr w:type="spellStart"/>
            <w:r w:rsidRPr="00440C76">
              <w:rPr>
                <w:rFonts w:eastAsia="Times New Roman"/>
                <w:snapToGrid w:val="0"/>
                <w:lang w:val="fr-FR"/>
              </w:rPr>
              <w:t>yyy</w:t>
            </w:r>
            <w:proofErr w:type="spellEnd"/>
          </w:p>
        </w:tc>
        <w:tc>
          <w:tcPr>
            <w:tcW w:w="4227" w:type="dxa"/>
          </w:tcPr>
          <w:p w14:paraId="336FA355" w14:textId="77777777" w:rsidR="00BE2CA7" w:rsidRPr="00440C76" w:rsidRDefault="00BE2CA7" w:rsidP="002B0590">
            <w:pPr>
              <w:keepNext/>
              <w:suppressAutoHyphens w:val="0"/>
              <w:kinsoku/>
              <w:overflowPunct/>
              <w:autoSpaceDE/>
              <w:autoSpaceDN/>
              <w:adjustRightInd/>
              <w:snapToGrid/>
              <w:spacing w:before="40" w:after="40" w:line="240" w:lineRule="auto"/>
              <w:ind w:left="57" w:right="57"/>
              <w:rPr>
                <w:rFonts w:eastAsia="Times New Roman"/>
                <w:snapToGrid w:val="0"/>
                <w:lang w:val="fr-FR"/>
              </w:rPr>
            </w:pPr>
          </w:p>
        </w:tc>
      </w:tr>
      <w:tr w:rsidR="00BE2CA7" w:rsidRPr="00440C76" w14:paraId="05A05D2A" w14:textId="77777777" w:rsidTr="002B0590">
        <w:tc>
          <w:tcPr>
            <w:tcW w:w="1663" w:type="dxa"/>
            <w:vMerge/>
          </w:tcPr>
          <w:p w14:paraId="28D01360" w14:textId="77777777" w:rsidR="00BE2CA7" w:rsidRPr="00440C76" w:rsidRDefault="00BE2CA7" w:rsidP="002B0590">
            <w:pPr>
              <w:suppressAutoHyphens w:val="0"/>
              <w:kinsoku/>
              <w:overflowPunct/>
              <w:autoSpaceDE/>
              <w:autoSpaceDN/>
              <w:adjustRightInd/>
              <w:snapToGrid/>
              <w:spacing w:before="40" w:after="40" w:line="240" w:lineRule="auto"/>
              <w:ind w:left="57" w:right="57"/>
              <w:rPr>
                <w:rFonts w:eastAsia="Times New Roman"/>
                <w:snapToGrid w:val="0"/>
                <w:lang w:val="fr-FR"/>
              </w:rPr>
            </w:pPr>
          </w:p>
        </w:tc>
        <w:tc>
          <w:tcPr>
            <w:tcW w:w="924" w:type="dxa"/>
          </w:tcPr>
          <w:p w14:paraId="518402D2" w14:textId="77777777" w:rsidR="00BE2CA7" w:rsidRPr="00440C76" w:rsidRDefault="00BE2CA7" w:rsidP="002B0590">
            <w:pPr>
              <w:suppressAutoHyphens w:val="0"/>
              <w:kinsoku/>
              <w:overflowPunct/>
              <w:autoSpaceDE/>
              <w:autoSpaceDN/>
              <w:adjustRightInd/>
              <w:snapToGrid/>
              <w:spacing w:before="40" w:after="40" w:line="240" w:lineRule="auto"/>
              <w:ind w:left="57" w:right="57"/>
              <w:rPr>
                <w:rFonts w:eastAsia="Times New Roman"/>
                <w:snapToGrid w:val="0"/>
                <w:lang w:val="fr-FR"/>
              </w:rPr>
            </w:pPr>
          </w:p>
        </w:tc>
        <w:tc>
          <w:tcPr>
            <w:tcW w:w="2824" w:type="dxa"/>
          </w:tcPr>
          <w:p w14:paraId="506D0DED" w14:textId="77777777" w:rsidR="00BE2CA7" w:rsidRPr="00440C76" w:rsidRDefault="00BE2CA7" w:rsidP="002B0590">
            <w:pPr>
              <w:suppressAutoHyphens w:val="0"/>
              <w:kinsoku/>
              <w:overflowPunct/>
              <w:autoSpaceDE/>
              <w:autoSpaceDN/>
              <w:adjustRightInd/>
              <w:snapToGrid/>
              <w:spacing w:before="40" w:after="40" w:line="240" w:lineRule="auto"/>
              <w:ind w:left="57" w:right="57"/>
              <w:rPr>
                <w:rFonts w:eastAsia="Times New Roman"/>
                <w:snapToGrid w:val="0"/>
                <w:lang w:val="fr-FR"/>
              </w:rPr>
            </w:pPr>
            <w:r w:rsidRPr="00440C76">
              <w:rPr>
                <w:rFonts w:eastAsia="Times New Roman"/>
                <w:snapToGrid w:val="0"/>
                <w:lang w:val="fr-FR"/>
              </w:rPr>
              <w:t>Procès-verbal d</w:t>
            </w:r>
            <w:r>
              <w:rPr>
                <w:rFonts w:eastAsia="Times New Roman"/>
                <w:snapToGrid w:val="0"/>
                <w:lang w:val="fr-FR"/>
              </w:rPr>
              <w:t>’</w:t>
            </w:r>
            <w:r w:rsidRPr="00440C76">
              <w:rPr>
                <w:rFonts w:eastAsia="Times New Roman"/>
                <w:snapToGrid w:val="0"/>
                <w:lang w:val="fr-FR"/>
              </w:rPr>
              <w:t>essai concernant la quantification de l</w:t>
            </w:r>
            <w:r>
              <w:rPr>
                <w:rFonts w:eastAsia="Times New Roman"/>
                <w:snapToGrid w:val="0"/>
                <w:lang w:val="fr-FR"/>
              </w:rPr>
              <w:t>’</w:t>
            </w:r>
            <w:r w:rsidRPr="00440C76">
              <w:rPr>
                <w:rFonts w:eastAsia="Times New Roman"/>
                <w:snapToGrid w:val="0"/>
                <w:lang w:val="fr-FR"/>
              </w:rPr>
              <w:t>incidence de l</w:t>
            </w:r>
            <w:r>
              <w:rPr>
                <w:rFonts w:eastAsia="Times New Roman"/>
                <w:snapToGrid w:val="0"/>
                <w:lang w:val="fr-FR"/>
              </w:rPr>
              <w:t>’</w:t>
            </w:r>
            <w:r w:rsidRPr="00440C76">
              <w:rPr>
                <w:rFonts w:eastAsia="Times New Roman"/>
                <w:snapToGrid w:val="0"/>
                <w:lang w:val="fr-FR"/>
              </w:rPr>
              <w:t>AES</w:t>
            </w:r>
          </w:p>
        </w:tc>
        <w:tc>
          <w:tcPr>
            <w:tcW w:w="4227" w:type="dxa"/>
          </w:tcPr>
          <w:p w14:paraId="02BC1C8F" w14:textId="77777777" w:rsidR="00BE2CA7" w:rsidRPr="00440C76" w:rsidRDefault="00BE2CA7" w:rsidP="002B0590">
            <w:pPr>
              <w:suppressAutoHyphens w:val="0"/>
              <w:kinsoku/>
              <w:overflowPunct/>
              <w:autoSpaceDE/>
              <w:autoSpaceDN/>
              <w:adjustRightInd/>
              <w:snapToGrid/>
              <w:spacing w:before="40" w:after="40" w:line="240" w:lineRule="auto"/>
              <w:ind w:left="57" w:right="57"/>
              <w:rPr>
                <w:rFonts w:eastAsia="Times New Roman"/>
                <w:snapToGrid w:val="0"/>
                <w:lang w:val="fr-FR"/>
              </w:rPr>
            </w:pPr>
            <w:r w:rsidRPr="00440C76">
              <w:rPr>
                <w:rFonts w:eastAsia="Times New Roman"/>
                <w:snapToGrid w:val="0"/>
                <w:lang w:val="fr-FR"/>
              </w:rPr>
              <w:t>Procès-verbal de tou</w:t>
            </w:r>
            <w:r>
              <w:rPr>
                <w:rFonts w:eastAsia="Times New Roman"/>
                <w:snapToGrid w:val="0"/>
                <w:lang w:val="fr-FR"/>
              </w:rPr>
              <w:t>s</w:t>
            </w:r>
            <w:r w:rsidRPr="00440C76">
              <w:rPr>
                <w:rFonts w:eastAsia="Times New Roman"/>
                <w:snapToGrid w:val="0"/>
                <w:lang w:val="fr-FR"/>
              </w:rPr>
              <w:t xml:space="preserve"> les </w:t>
            </w:r>
            <w:r>
              <w:rPr>
                <w:rFonts w:eastAsia="Times New Roman"/>
                <w:snapToGrid w:val="0"/>
                <w:lang w:val="fr-FR"/>
              </w:rPr>
              <w:t>essais</w:t>
            </w:r>
            <w:r w:rsidRPr="00440C76">
              <w:rPr>
                <w:rFonts w:eastAsia="Times New Roman"/>
                <w:snapToGrid w:val="0"/>
                <w:lang w:val="fr-FR"/>
              </w:rPr>
              <w:t xml:space="preserve"> effectués en vue de justifier l</w:t>
            </w:r>
            <w:r>
              <w:rPr>
                <w:rFonts w:eastAsia="Times New Roman"/>
                <w:snapToGrid w:val="0"/>
                <w:lang w:val="fr-FR"/>
              </w:rPr>
              <w:t>’</w:t>
            </w:r>
            <w:r w:rsidRPr="00440C76">
              <w:rPr>
                <w:rFonts w:eastAsia="Times New Roman"/>
                <w:snapToGrid w:val="0"/>
                <w:lang w:val="fr-FR"/>
              </w:rPr>
              <w:t>AES, détails des conditions d</w:t>
            </w:r>
            <w:r>
              <w:rPr>
                <w:rFonts w:eastAsia="Times New Roman"/>
                <w:snapToGrid w:val="0"/>
                <w:lang w:val="fr-FR"/>
              </w:rPr>
              <w:t>’</w:t>
            </w:r>
            <w:r w:rsidRPr="00440C76">
              <w:rPr>
                <w:rFonts w:eastAsia="Times New Roman"/>
                <w:snapToGrid w:val="0"/>
                <w:lang w:val="fr-FR"/>
              </w:rPr>
              <w:t>essai, description du véhicule, date des essais, incidence sur les émissions et le CO</w:t>
            </w:r>
            <w:r w:rsidRPr="00440C76">
              <w:rPr>
                <w:rFonts w:eastAsia="Times New Roman"/>
                <w:snapToGrid w:val="0"/>
                <w:vertAlign w:val="subscript"/>
                <w:lang w:val="fr-FR"/>
              </w:rPr>
              <w:t>2</w:t>
            </w:r>
            <w:r w:rsidRPr="00440C76">
              <w:rPr>
                <w:rFonts w:eastAsia="Times New Roman"/>
                <w:snapToGrid w:val="0"/>
                <w:lang w:val="fr-FR"/>
              </w:rPr>
              <w:t xml:space="preserve"> avec </w:t>
            </w:r>
            <w:r>
              <w:rPr>
                <w:rFonts w:eastAsia="Times New Roman"/>
                <w:snapToGrid w:val="0"/>
                <w:lang w:val="fr-FR"/>
              </w:rPr>
              <w:t>ou</w:t>
            </w:r>
            <w:r w:rsidRPr="00440C76">
              <w:rPr>
                <w:rFonts w:eastAsia="Times New Roman"/>
                <w:snapToGrid w:val="0"/>
                <w:lang w:val="fr-FR"/>
              </w:rPr>
              <w:t xml:space="preserve"> sans activation de l</w:t>
            </w:r>
            <w:r>
              <w:rPr>
                <w:rFonts w:eastAsia="Times New Roman"/>
                <w:snapToGrid w:val="0"/>
                <w:lang w:val="fr-FR"/>
              </w:rPr>
              <w:t>’</w:t>
            </w:r>
            <w:r w:rsidRPr="00440C76">
              <w:rPr>
                <w:rFonts w:eastAsia="Times New Roman"/>
                <w:snapToGrid w:val="0"/>
                <w:lang w:val="fr-FR"/>
              </w:rPr>
              <w:t>AES</w:t>
            </w:r>
          </w:p>
        </w:tc>
      </w:tr>
    </w:tbl>
    <w:p w14:paraId="7422C51C" w14:textId="77777777" w:rsidR="00BE2CA7" w:rsidRDefault="00BE2CA7" w:rsidP="00BE2CA7">
      <w:pPr>
        <w:suppressAutoHyphens w:val="0"/>
        <w:kinsoku/>
        <w:overflowPunct/>
        <w:autoSpaceDE/>
        <w:autoSpaceDN/>
        <w:adjustRightInd/>
        <w:snapToGrid/>
        <w:spacing w:after="200" w:line="276" w:lineRule="auto"/>
      </w:pPr>
      <w:r>
        <w:br w:type="page"/>
      </w:r>
    </w:p>
    <w:p w14:paraId="74F0C47C" w14:textId="77777777" w:rsidR="00BE2CA7" w:rsidRPr="006D0C82" w:rsidRDefault="00BE2CA7" w:rsidP="00BE2CA7">
      <w:pPr>
        <w:pStyle w:val="HChG"/>
      </w:pPr>
      <w:r w:rsidRPr="00440C76">
        <w:rPr>
          <w:lang w:val="fr-FR"/>
        </w:rPr>
        <w:lastRenderedPageBreak/>
        <w:t>Annexe</w:t>
      </w:r>
      <w:r>
        <w:rPr>
          <w:lang w:val="fr-FR"/>
        </w:rPr>
        <w:t> </w:t>
      </w:r>
      <w:r w:rsidRPr="00440C76">
        <w:rPr>
          <w:lang w:val="fr-FR"/>
        </w:rPr>
        <w:t xml:space="preserve">1 </w:t>
      </w:r>
      <w:r>
        <w:rPr>
          <w:lang w:val="fr-FR"/>
        </w:rPr>
        <w:t>−</w:t>
      </w:r>
      <w:r w:rsidRPr="00440C76">
        <w:rPr>
          <w:lang w:val="fr-FR"/>
        </w:rPr>
        <w:t xml:space="preserve"> Appendice</w:t>
      </w:r>
      <w:r>
        <w:rPr>
          <w:lang w:val="fr-FR"/>
        </w:rPr>
        <w:t> </w:t>
      </w:r>
      <w:r w:rsidRPr="00440C76">
        <w:rPr>
          <w:lang w:val="fr-FR"/>
        </w:rPr>
        <w:t>3</w:t>
      </w:r>
      <w:r>
        <w:rPr>
          <w:lang w:val="fr-FR"/>
        </w:rPr>
        <w:t> </w:t>
      </w:r>
      <w:r w:rsidRPr="00440C76">
        <w:rPr>
          <w:lang w:val="fr-FR"/>
        </w:rPr>
        <w:t>b</w:t>
      </w:r>
    </w:p>
    <w:p w14:paraId="53AECDBE" w14:textId="77777777" w:rsidR="00BE2CA7" w:rsidRPr="00440C76" w:rsidRDefault="00BE2CA7" w:rsidP="00BE2CA7">
      <w:pPr>
        <w:pStyle w:val="HChG"/>
        <w:rPr>
          <w:lang w:val="fr-FR"/>
        </w:rPr>
      </w:pPr>
      <w:r w:rsidRPr="00440C76">
        <w:rPr>
          <w:lang w:val="fr-FR"/>
        </w:rPr>
        <w:tab/>
      </w:r>
      <w:r w:rsidRPr="00440C76">
        <w:rPr>
          <w:lang w:val="fr-FR"/>
        </w:rPr>
        <w:tab/>
        <w:t>Méthode d</w:t>
      </w:r>
      <w:r>
        <w:rPr>
          <w:lang w:val="fr-FR"/>
        </w:rPr>
        <w:t>’</w:t>
      </w:r>
      <w:r w:rsidRPr="00440C76">
        <w:rPr>
          <w:lang w:val="fr-FR"/>
        </w:rPr>
        <w:t>évaluation de la stratégie auxiliaire de limitation des émissions</w:t>
      </w:r>
    </w:p>
    <w:p w14:paraId="7417E63C" w14:textId="77777777" w:rsidR="00BE2CA7" w:rsidRPr="00440C76" w:rsidRDefault="00BE2CA7" w:rsidP="00BE2CA7">
      <w:pPr>
        <w:pStyle w:val="SingleTxtG"/>
        <w:ind w:firstLine="567"/>
        <w:rPr>
          <w:snapToGrid w:val="0"/>
          <w:lang w:val="fr-FR"/>
        </w:rPr>
      </w:pPr>
      <w:r w:rsidRPr="00440C76">
        <w:rPr>
          <w:snapToGrid w:val="0"/>
          <w:lang w:val="fr-FR"/>
        </w:rPr>
        <w:t>Dans le cadre de l</w:t>
      </w:r>
      <w:r>
        <w:rPr>
          <w:snapToGrid w:val="0"/>
          <w:lang w:val="fr-FR"/>
        </w:rPr>
        <w:t>’</w:t>
      </w:r>
      <w:r w:rsidRPr="00440C76">
        <w:rPr>
          <w:snapToGrid w:val="0"/>
          <w:lang w:val="fr-FR"/>
        </w:rPr>
        <w:t>évaluation de la</w:t>
      </w:r>
      <w:r w:rsidRPr="00440C76">
        <w:rPr>
          <w:lang w:val="fr-FR"/>
        </w:rPr>
        <w:t xml:space="preserve"> </w:t>
      </w:r>
      <w:r w:rsidRPr="00440C76">
        <w:rPr>
          <w:snapToGrid w:val="0"/>
          <w:lang w:val="fr-FR"/>
        </w:rPr>
        <w:t>stratégie auxiliaire de limitation des émissions (AES), l</w:t>
      </w:r>
      <w:r>
        <w:rPr>
          <w:snapToGrid w:val="0"/>
          <w:lang w:val="fr-FR"/>
        </w:rPr>
        <w:t>’</w:t>
      </w:r>
      <w:r w:rsidRPr="00440C76">
        <w:rPr>
          <w:snapToGrid w:val="0"/>
          <w:lang w:val="fr-FR"/>
        </w:rPr>
        <w:t>autorité d</w:t>
      </w:r>
      <w:r>
        <w:rPr>
          <w:snapToGrid w:val="0"/>
          <w:lang w:val="fr-FR"/>
        </w:rPr>
        <w:t>’</w:t>
      </w:r>
      <w:r w:rsidRPr="00440C76">
        <w:rPr>
          <w:snapToGrid w:val="0"/>
          <w:lang w:val="fr-FR"/>
        </w:rPr>
        <w:t>homologation de type doit au moins procéder aux vérifications suivantes</w:t>
      </w:r>
      <w:r>
        <w:rPr>
          <w:snapToGrid w:val="0"/>
          <w:lang w:val="fr-FR"/>
        </w:rPr>
        <w:t> </w:t>
      </w:r>
      <w:r w:rsidRPr="00440C76">
        <w:rPr>
          <w:snapToGrid w:val="0"/>
          <w:lang w:val="fr-FR"/>
        </w:rPr>
        <w:t>:</w:t>
      </w:r>
    </w:p>
    <w:p w14:paraId="53E8816F" w14:textId="77777777" w:rsidR="00BE2CA7" w:rsidRPr="00440C76" w:rsidRDefault="00BE2CA7" w:rsidP="00BE2CA7">
      <w:pPr>
        <w:pStyle w:val="SingleTxtG"/>
        <w:rPr>
          <w:snapToGrid w:val="0"/>
          <w:lang w:val="fr-FR"/>
        </w:rPr>
      </w:pPr>
      <w:r w:rsidRPr="00440C76">
        <w:rPr>
          <w:snapToGrid w:val="0"/>
          <w:lang w:val="fr-FR"/>
        </w:rPr>
        <w:t>1.</w:t>
      </w:r>
      <w:r w:rsidRPr="00440C76">
        <w:rPr>
          <w:snapToGrid w:val="0"/>
          <w:lang w:val="fr-FR"/>
        </w:rPr>
        <w:tab/>
        <w:t>L</w:t>
      </w:r>
      <w:r>
        <w:rPr>
          <w:snapToGrid w:val="0"/>
          <w:lang w:val="fr-FR"/>
        </w:rPr>
        <w:t>’</w:t>
      </w:r>
      <w:r w:rsidRPr="00440C76">
        <w:rPr>
          <w:snapToGrid w:val="0"/>
          <w:lang w:val="fr-FR"/>
        </w:rPr>
        <w:t>augmentation des émissions induite par l</w:t>
      </w:r>
      <w:r>
        <w:rPr>
          <w:snapToGrid w:val="0"/>
          <w:lang w:val="fr-FR"/>
        </w:rPr>
        <w:t>’</w:t>
      </w:r>
      <w:r w:rsidRPr="00440C76">
        <w:rPr>
          <w:snapToGrid w:val="0"/>
          <w:lang w:val="fr-FR"/>
        </w:rPr>
        <w:t>AES doit être maintenue au niveau le plus bas possible</w:t>
      </w:r>
      <w:r>
        <w:rPr>
          <w:snapToGrid w:val="0"/>
          <w:lang w:val="fr-FR"/>
        </w:rPr>
        <w:t> </w:t>
      </w:r>
      <w:r w:rsidRPr="00440C76">
        <w:rPr>
          <w:snapToGrid w:val="0"/>
          <w:lang w:val="fr-FR"/>
        </w:rPr>
        <w:t>:</w:t>
      </w:r>
    </w:p>
    <w:p w14:paraId="19BA600F" w14:textId="77777777" w:rsidR="00BE2CA7" w:rsidRPr="00440C76" w:rsidRDefault="00BE2CA7" w:rsidP="00BE2CA7">
      <w:pPr>
        <w:pStyle w:val="SingleTxtG"/>
        <w:ind w:firstLine="567"/>
        <w:rPr>
          <w:snapToGrid w:val="0"/>
          <w:lang w:val="fr-FR"/>
        </w:rPr>
      </w:pPr>
      <w:r w:rsidRPr="00440C76">
        <w:rPr>
          <w:snapToGrid w:val="0"/>
          <w:lang w:val="fr-FR"/>
        </w:rPr>
        <w:t>a)</w:t>
      </w:r>
      <w:r w:rsidRPr="00440C76">
        <w:rPr>
          <w:snapToGrid w:val="0"/>
          <w:lang w:val="fr-FR"/>
        </w:rPr>
        <w:tab/>
        <w:t>L</w:t>
      </w:r>
      <w:r>
        <w:rPr>
          <w:snapToGrid w:val="0"/>
          <w:lang w:val="fr-FR"/>
        </w:rPr>
        <w:t>’</w:t>
      </w:r>
      <w:r w:rsidRPr="00440C76">
        <w:rPr>
          <w:snapToGrid w:val="0"/>
          <w:lang w:val="fr-FR"/>
        </w:rPr>
        <w:t>augmentation des émissions totales lors de l</w:t>
      </w:r>
      <w:r>
        <w:rPr>
          <w:snapToGrid w:val="0"/>
          <w:lang w:val="fr-FR"/>
        </w:rPr>
        <w:t>’</w:t>
      </w:r>
      <w:r w:rsidRPr="00440C76">
        <w:rPr>
          <w:snapToGrid w:val="0"/>
          <w:lang w:val="fr-FR"/>
        </w:rPr>
        <w:t>utilisation d</w:t>
      </w:r>
      <w:r>
        <w:rPr>
          <w:snapToGrid w:val="0"/>
          <w:lang w:val="fr-FR"/>
        </w:rPr>
        <w:t>’</w:t>
      </w:r>
      <w:r w:rsidRPr="00440C76">
        <w:rPr>
          <w:snapToGrid w:val="0"/>
          <w:lang w:val="fr-FR"/>
        </w:rPr>
        <w:t>une AES doit être maintenue au niveau le plus bas possible tout au long de l</w:t>
      </w:r>
      <w:r>
        <w:rPr>
          <w:snapToGrid w:val="0"/>
          <w:lang w:val="fr-FR"/>
        </w:rPr>
        <w:t>’</w:t>
      </w:r>
      <w:r w:rsidRPr="00440C76">
        <w:rPr>
          <w:snapToGrid w:val="0"/>
          <w:lang w:val="fr-FR"/>
        </w:rPr>
        <w:t>utilisation et de la vie normales des véhicules</w:t>
      </w:r>
      <w:r>
        <w:rPr>
          <w:snapToGrid w:val="0"/>
          <w:lang w:val="fr-FR"/>
        </w:rPr>
        <w:t> </w:t>
      </w:r>
      <w:r w:rsidRPr="00440C76">
        <w:rPr>
          <w:snapToGrid w:val="0"/>
          <w:lang w:val="fr-FR"/>
        </w:rPr>
        <w:t>;</w:t>
      </w:r>
    </w:p>
    <w:p w14:paraId="1E03E609" w14:textId="77777777" w:rsidR="00BE2CA7" w:rsidRPr="00440C76" w:rsidRDefault="00BE2CA7" w:rsidP="00BE2CA7">
      <w:pPr>
        <w:pStyle w:val="SingleTxtG"/>
        <w:ind w:firstLine="567"/>
        <w:rPr>
          <w:snapToGrid w:val="0"/>
          <w:lang w:val="fr-FR"/>
        </w:rPr>
      </w:pPr>
      <w:r w:rsidRPr="00440C76">
        <w:rPr>
          <w:snapToGrid w:val="0"/>
          <w:lang w:val="fr-FR"/>
        </w:rPr>
        <w:t>b)</w:t>
      </w:r>
      <w:r w:rsidRPr="00440C76">
        <w:rPr>
          <w:snapToGrid w:val="0"/>
          <w:lang w:val="fr-FR"/>
        </w:rPr>
        <w:tab/>
        <w:t>Lorsqu</w:t>
      </w:r>
      <w:r>
        <w:rPr>
          <w:snapToGrid w:val="0"/>
          <w:lang w:val="fr-FR"/>
        </w:rPr>
        <w:t>’</w:t>
      </w:r>
      <w:r w:rsidRPr="00440C76">
        <w:rPr>
          <w:snapToGrid w:val="0"/>
          <w:lang w:val="fr-FR"/>
        </w:rPr>
        <w:t>une technologie ou une conception permettant d</w:t>
      </w:r>
      <w:r>
        <w:rPr>
          <w:snapToGrid w:val="0"/>
          <w:lang w:val="fr-FR"/>
        </w:rPr>
        <w:t>’</w:t>
      </w:r>
      <w:r w:rsidRPr="00440C76">
        <w:rPr>
          <w:snapToGrid w:val="0"/>
          <w:lang w:val="fr-FR"/>
        </w:rPr>
        <w:t>améliorer la limitation des émissions est disponible sur le marché au moment de l</w:t>
      </w:r>
      <w:r>
        <w:rPr>
          <w:snapToGrid w:val="0"/>
          <w:lang w:val="fr-FR"/>
        </w:rPr>
        <w:t>’</w:t>
      </w:r>
      <w:r w:rsidRPr="00440C76">
        <w:rPr>
          <w:snapToGrid w:val="0"/>
          <w:lang w:val="fr-FR"/>
        </w:rPr>
        <w:t>évaluation préliminaire de l</w:t>
      </w:r>
      <w:r>
        <w:rPr>
          <w:snapToGrid w:val="0"/>
          <w:lang w:val="fr-FR"/>
        </w:rPr>
        <w:t>’</w:t>
      </w:r>
      <w:r w:rsidRPr="00440C76">
        <w:rPr>
          <w:snapToGrid w:val="0"/>
          <w:lang w:val="fr-FR"/>
        </w:rPr>
        <w:t>AES, elle doit être utilisée sans fluctuation injustifiée.</w:t>
      </w:r>
    </w:p>
    <w:p w14:paraId="169C9ECB" w14:textId="77777777" w:rsidR="00BE2CA7" w:rsidRPr="00440C76" w:rsidRDefault="00BE2CA7" w:rsidP="00BE2CA7">
      <w:pPr>
        <w:pStyle w:val="SingleTxtG"/>
        <w:rPr>
          <w:snapToGrid w:val="0"/>
          <w:lang w:val="fr-FR"/>
        </w:rPr>
      </w:pPr>
      <w:r w:rsidRPr="00440C76">
        <w:rPr>
          <w:snapToGrid w:val="0"/>
          <w:lang w:val="fr-FR"/>
        </w:rPr>
        <w:t>2.</w:t>
      </w:r>
      <w:r w:rsidRPr="00440C76">
        <w:rPr>
          <w:snapToGrid w:val="0"/>
          <w:lang w:val="fr-FR"/>
        </w:rPr>
        <w:tab/>
        <w:t>Lorsqu</w:t>
      </w:r>
      <w:r>
        <w:rPr>
          <w:snapToGrid w:val="0"/>
          <w:lang w:val="fr-FR"/>
        </w:rPr>
        <w:t>’</w:t>
      </w:r>
      <w:r w:rsidRPr="00440C76">
        <w:rPr>
          <w:snapToGrid w:val="0"/>
          <w:lang w:val="fr-FR"/>
        </w:rPr>
        <w:t>il est utilisé pour justifier une AES, le risque d</w:t>
      </w:r>
      <w:r>
        <w:rPr>
          <w:snapToGrid w:val="0"/>
          <w:lang w:val="fr-FR"/>
        </w:rPr>
        <w:t>’</w:t>
      </w:r>
      <w:r w:rsidRPr="00440C76">
        <w:rPr>
          <w:snapToGrid w:val="0"/>
          <w:lang w:val="fr-FR"/>
        </w:rPr>
        <w:t>endommagement soudain et irréparable du convertisseur de l</w:t>
      </w:r>
      <w:r>
        <w:rPr>
          <w:snapToGrid w:val="0"/>
          <w:lang w:val="fr-FR"/>
        </w:rPr>
        <w:t>’</w:t>
      </w:r>
      <w:r w:rsidRPr="00440C76">
        <w:rPr>
          <w:snapToGrid w:val="0"/>
          <w:lang w:val="fr-FR"/>
        </w:rPr>
        <w:t xml:space="preserve">énergie de propulsion et du groupe motopropulseur, tels que définis dans la résolution mutuelle </w:t>
      </w:r>
      <w:r w:rsidRPr="00440C76">
        <w:rPr>
          <w:lang w:val="fr-FR"/>
        </w:rPr>
        <w:t>n</w:t>
      </w:r>
      <w:r w:rsidRPr="009A6791">
        <w:rPr>
          <w:vertAlign w:val="superscript"/>
          <w:lang w:val="fr-FR"/>
        </w:rPr>
        <w:t>o</w:t>
      </w:r>
      <w:r>
        <w:rPr>
          <w:lang w:val="fr-FR"/>
        </w:rPr>
        <w:t> </w:t>
      </w:r>
      <w:r w:rsidRPr="00440C76">
        <w:rPr>
          <w:snapToGrid w:val="0"/>
          <w:lang w:val="fr-FR"/>
        </w:rPr>
        <w:t>2 (M.R.2) des Accords de 1958 et de 1998 de la CEE qui contient les définitions du système de propulsion des véhicules</w:t>
      </w:r>
      <w:r w:rsidRPr="00977679">
        <w:rPr>
          <w:rStyle w:val="Appelnotedebasdep"/>
        </w:rPr>
        <w:footnoteReference w:id="18"/>
      </w:r>
      <w:r w:rsidRPr="00440C76">
        <w:rPr>
          <w:snapToGrid w:val="0"/>
          <w:lang w:val="fr-FR"/>
        </w:rPr>
        <w:t>, doit être démontré et étayé par des documents de manière appropriée, y compris les renseignements suivants</w:t>
      </w:r>
      <w:r>
        <w:rPr>
          <w:snapToGrid w:val="0"/>
          <w:lang w:val="fr-FR"/>
        </w:rPr>
        <w:t> </w:t>
      </w:r>
      <w:r w:rsidRPr="00440C76">
        <w:rPr>
          <w:snapToGrid w:val="0"/>
          <w:lang w:val="fr-FR"/>
        </w:rPr>
        <w:t>:</w:t>
      </w:r>
    </w:p>
    <w:p w14:paraId="11849C14" w14:textId="77777777" w:rsidR="00BE2CA7" w:rsidRPr="00440C76" w:rsidRDefault="00BE2CA7" w:rsidP="00BE2CA7">
      <w:pPr>
        <w:pStyle w:val="SingleTxtG"/>
        <w:ind w:firstLine="567"/>
        <w:rPr>
          <w:snapToGrid w:val="0"/>
          <w:lang w:val="fr-FR"/>
        </w:rPr>
      </w:pPr>
      <w:r w:rsidRPr="00440C76">
        <w:rPr>
          <w:snapToGrid w:val="0"/>
          <w:lang w:val="fr-FR"/>
        </w:rPr>
        <w:t>a)</w:t>
      </w:r>
      <w:r w:rsidRPr="00440C76">
        <w:rPr>
          <w:snapToGrid w:val="0"/>
          <w:lang w:val="fr-FR"/>
        </w:rPr>
        <w:tab/>
        <w:t>La preuve de dommages catastrophiques (c</w:t>
      </w:r>
      <w:r>
        <w:rPr>
          <w:snapToGrid w:val="0"/>
          <w:lang w:val="fr-FR"/>
        </w:rPr>
        <w:t>’</w:t>
      </w:r>
      <w:r w:rsidRPr="00440C76">
        <w:rPr>
          <w:snapToGrid w:val="0"/>
          <w:lang w:val="fr-FR"/>
        </w:rPr>
        <w:t>est-à-dire soudains et irréparables) au moteur doit être fournie par le constructeur, ainsi qu</w:t>
      </w:r>
      <w:r>
        <w:rPr>
          <w:snapToGrid w:val="0"/>
          <w:lang w:val="fr-FR"/>
        </w:rPr>
        <w:t>’</w:t>
      </w:r>
      <w:r w:rsidRPr="00440C76">
        <w:rPr>
          <w:snapToGrid w:val="0"/>
          <w:lang w:val="fr-FR"/>
        </w:rPr>
        <w:t>une évaluation des risques comprenant une évaluation de la probabilité que ce risque se concrétise et de la gravité des conséquences possibles, y compris les résultats d</w:t>
      </w:r>
      <w:r>
        <w:rPr>
          <w:snapToGrid w:val="0"/>
          <w:lang w:val="fr-FR"/>
        </w:rPr>
        <w:t>’</w:t>
      </w:r>
      <w:r w:rsidRPr="00440C76">
        <w:rPr>
          <w:snapToGrid w:val="0"/>
          <w:lang w:val="fr-FR"/>
        </w:rPr>
        <w:t>essais effectués à cet effet</w:t>
      </w:r>
      <w:r>
        <w:rPr>
          <w:snapToGrid w:val="0"/>
          <w:lang w:val="fr-FR"/>
        </w:rPr>
        <w:t> </w:t>
      </w:r>
      <w:r w:rsidRPr="00440C76">
        <w:rPr>
          <w:snapToGrid w:val="0"/>
          <w:lang w:val="fr-FR"/>
        </w:rPr>
        <w:t>;</w:t>
      </w:r>
    </w:p>
    <w:p w14:paraId="276465F0" w14:textId="77777777" w:rsidR="00BE2CA7" w:rsidRPr="00440C76" w:rsidRDefault="00BE2CA7" w:rsidP="00BE2CA7">
      <w:pPr>
        <w:pStyle w:val="SingleTxtG"/>
        <w:ind w:firstLine="567"/>
        <w:rPr>
          <w:snapToGrid w:val="0"/>
          <w:szCs w:val="16"/>
          <w:lang w:val="fr-FR"/>
        </w:rPr>
      </w:pPr>
      <w:r w:rsidRPr="00440C76">
        <w:rPr>
          <w:snapToGrid w:val="0"/>
          <w:szCs w:val="16"/>
          <w:lang w:val="fr-FR"/>
        </w:rPr>
        <w:t>b)</w:t>
      </w:r>
      <w:r w:rsidRPr="00440C76">
        <w:rPr>
          <w:snapToGrid w:val="0"/>
          <w:szCs w:val="16"/>
          <w:lang w:val="fr-FR"/>
        </w:rPr>
        <w:tab/>
        <w:t>Lorsqu</w:t>
      </w:r>
      <w:r>
        <w:rPr>
          <w:snapToGrid w:val="0"/>
          <w:szCs w:val="16"/>
          <w:lang w:val="fr-FR"/>
        </w:rPr>
        <w:t>’</w:t>
      </w:r>
      <w:r w:rsidRPr="00440C76">
        <w:rPr>
          <w:snapToGrid w:val="0"/>
          <w:szCs w:val="16"/>
          <w:lang w:val="fr-FR"/>
        </w:rPr>
        <w:t xml:space="preserve">une technologie ou une conception éliminant ou réduisant ce risque est disponible sur </w:t>
      </w:r>
      <w:r w:rsidRPr="00440C76">
        <w:rPr>
          <w:snapToGrid w:val="0"/>
          <w:lang w:val="fr-FR"/>
        </w:rPr>
        <w:t>le</w:t>
      </w:r>
      <w:r w:rsidRPr="00440C76">
        <w:rPr>
          <w:snapToGrid w:val="0"/>
          <w:szCs w:val="16"/>
          <w:lang w:val="fr-FR"/>
        </w:rPr>
        <w:t xml:space="preserve"> marché au moment de l</w:t>
      </w:r>
      <w:r>
        <w:rPr>
          <w:snapToGrid w:val="0"/>
          <w:szCs w:val="16"/>
          <w:lang w:val="fr-FR"/>
        </w:rPr>
        <w:t>’</w:t>
      </w:r>
      <w:r w:rsidRPr="00440C76">
        <w:rPr>
          <w:snapToGrid w:val="0"/>
          <w:szCs w:val="16"/>
          <w:lang w:val="fr-FR"/>
        </w:rPr>
        <w:t>application de l</w:t>
      </w:r>
      <w:r>
        <w:rPr>
          <w:snapToGrid w:val="0"/>
          <w:szCs w:val="16"/>
          <w:lang w:val="fr-FR"/>
        </w:rPr>
        <w:t>’</w:t>
      </w:r>
      <w:r w:rsidRPr="00440C76">
        <w:rPr>
          <w:snapToGrid w:val="0"/>
          <w:szCs w:val="16"/>
          <w:lang w:val="fr-FR"/>
        </w:rPr>
        <w:t>AES, elle doit être utilisée dans la plus large mesure techniquement possible (c</w:t>
      </w:r>
      <w:r>
        <w:rPr>
          <w:snapToGrid w:val="0"/>
          <w:szCs w:val="16"/>
          <w:lang w:val="fr-FR"/>
        </w:rPr>
        <w:t>’</w:t>
      </w:r>
      <w:r w:rsidRPr="00440C76">
        <w:rPr>
          <w:snapToGrid w:val="0"/>
          <w:szCs w:val="16"/>
          <w:lang w:val="fr-FR"/>
        </w:rPr>
        <w:t>est-à-dire sans fluctuation injustifiée)</w:t>
      </w:r>
      <w:r>
        <w:rPr>
          <w:snapToGrid w:val="0"/>
          <w:szCs w:val="16"/>
          <w:lang w:val="fr-FR"/>
        </w:rPr>
        <w:t> </w:t>
      </w:r>
      <w:r w:rsidRPr="00440C76">
        <w:rPr>
          <w:snapToGrid w:val="0"/>
          <w:szCs w:val="16"/>
          <w:lang w:val="fr-FR"/>
        </w:rPr>
        <w:t>;</w:t>
      </w:r>
    </w:p>
    <w:p w14:paraId="51A76447" w14:textId="77777777" w:rsidR="00BE2CA7" w:rsidRPr="00440C76" w:rsidRDefault="00BE2CA7" w:rsidP="00BE2CA7">
      <w:pPr>
        <w:pStyle w:val="SingleTxtG"/>
        <w:ind w:firstLine="567"/>
        <w:rPr>
          <w:snapToGrid w:val="0"/>
          <w:szCs w:val="16"/>
          <w:lang w:val="fr-FR"/>
        </w:rPr>
      </w:pPr>
      <w:r w:rsidRPr="00440C76">
        <w:rPr>
          <w:snapToGrid w:val="0"/>
          <w:szCs w:val="16"/>
          <w:lang w:val="fr-FR"/>
        </w:rPr>
        <w:t>c)</w:t>
      </w:r>
      <w:r w:rsidRPr="00440C76">
        <w:rPr>
          <w:snapToGrid w:val="0"/>
          <w:szCs w:val="16"/>
          <w:lang w:val="fr-FR"/>
        </w:rPr>
        <w:tab/>
        <w:t xml:space="preserve">La durabilité et la protection à long terme du moteur ou des éléments du système de </w:t>
      </w:r>
      <w:r w:rsidRPr="00440C76">
        <w:rPr>
          <w:snapToGrid w:val="0"/>
          <w:lang w:val="fr-FR"/>
        </w:rPr>
        <w:t>limitation</w:t>
      </w:r>
      <w:r w:rsidRPr="00440C76">
        <w:rPr>
          <w:snapToGrid w:val="0"/>
          <w:szCs w:val="16"/>
          <w:lang w:val="fr-FR"/>
        </w:rPr>
        <w:t xml:space="preserve"> des émissions contre l</w:t>
      </w:r>
      <w:r>
        <w:rPr>
          <w:snapToGrid w:val="0"/>
          <w:szCs w:val="16"/>
          <w:lang w:val="fr-FR"/>
        </w:rPr>
        <w:t>’</w:t>
      </w:r>
      <w:r w:rsidRPr="00440C76">
        <w:rPr>
          <w:snapToGrid w:val="0"/>
          <w:szCs w:val="16"/>
          <w:lang w:val="fr-FR"/>
        </w:rPr>
        <w:t>usure et les dysfonctionnements ne sont pas considérées comme une raison acceptable pour accorder une dérogation à l</w:t>
      </w:r>
      <w:r>
        <w:rPr>
          <w:snapToGrid w:val="0"/>
          <w:szCs w:val="16"/>
          <w:lang w:val="fr-FR"/>
        </w:rPr>
        <w:t>’</w:t>
      </w:r>
      <w:r w:rsidRPr="00440C76">
        <w:rPr>
          <w:snapToGrid w:val="0"/>
          <w:szCs w:val="16"/>
          <w:lang w:val="fr-FR"/>
        </w:rPr>
        <w:t>interdiction des dispositifs d</w:t>
      </w:r>
      <w:r>
        <w:rPr>
          <w:snapToGrid w:val="0"/>
          <w:szCs w:val="16"/>
          <w:lang w:val="fr-FR"/>
        </w:rPr>
        <w:t>’</w:t>
      </w:r>
      <w:r w:rsidRPr="00440C76">
        <w:rPr>
          <w:snapToGrid w:val="0"/>
          <w:szCs w:val="16"/>
          <w:lang w:val="fr-FR"/>
        </w:rPr>
        <w:t>invalidation.</w:t>
      </w:r>
    </w:p>
    <w:p w14:paraId="1DBEEB8F" w14:textId="77777777" w:rsidR="00BE2CA7" w:rsidRPr="00440C76" w:rsidRDefault="00BE2CA7" w:rsidP="00BE2CA7">
      <w:pPr>
        <w:pStyle w:val="SingleTxtG"/>
        <w:rPr>
          <w:snapToGrid w:val="0"/>
          <w:szCs w:val="16"/>
          <w:lang w:val="fr-FR"/>
        </w:rPr>
      </w:pPr>
      <w:r w:rsidRPr="00440C76">
        <w:rPr>
          <w:snapToGrid w:val="0"/>
          <w:szCs w:val="16"/>
          <w:lang w:val="fr-FR"/>
        </w:rPr>
        <w:t>3.</w:t>
      </w:r>
      <w:r w:rsidRPr="00440C76">
        <w:rPr>
          <w:snapToGrid w:val="0"/>
          <w:szCs w:val="16"/>
          <w:lang w:val="fr-FR"/>
        </w:rPr>
        <w:tab/>
      </w:r>
      <w:r w:rsidRPr="00440C76">
        <w:rPr>
          <w:snapToGrid w:val="0"/>
          <w:lang w:val="fr-FR"/>
        </w:rPr>
        <w:t>Une</w:t>
      </w:r>
      <w:r w:rsidRPr="00440C76">
        <w:rPr>
          <w:snapToGrid w:val="0"/>
          <w:szCs w:val="16"/>
          <w:lang w:val="fr-FR"/>
        </w:rPr>
        <w:t xml:space="preserve"> description technique adéquate doit établir les raisons pour lesquelles il est nécessaire d</w:t>
      </w:r>
      <w:r>
        <w:rPr>
          <w:snapToGrid w:val="0"/>
          <w:szCs w:val="16"/>
          <w:lang w:val="fr-FR"/>
        </w:rPr>
        <w:t>’</w:t>
      </w:r>
      <w:r w:rsidRPr="00440C76">
        <w:rPr>
          <w:snapToGrid w:val="0"/>
          <w:szCs w:val="16"/>
          <w:lang w:val="fr-FR"/>
        </w:rPr>
        <w:t>utiliser une AES pour permettre au véhicule de fonctionner en toute sécurité</w:t>
      </w:r>
      <w:r>
        <w:rPr>
          <w:snapToGrid w:val="0"/>
          <w:szCs w:val="16"/>
          <w:lang w:val="fr-FR"/>
        </w:rPr>
        <w:t> </w:t>
      </w:r>
      <w:r w:rsidRPr="00440C76">
        <w:rPr>
          <w:snapToGrid w:val="0"/>
          <w:szCs w:val="16"/>
          <w:lang w:val="fr-FR"/>
        </w:rPr>
        <w:t>:</w:t>
      </w:r>
    </w:p>
    <w:p w14:paraId="405F98C7" w14:textId="77777777" w:rsidR="00BE2CA7" w:rsidRPr="00440C76" w:rsidRDefault="00BE2CA7" w:rsidP="00BE2CA7">
      <w:pPr>
        <w:pStyle w:val="SingleTxtG"/>
        <w:ind w:firstLine="567"/>
        <w:rPr>
          <w:snapToGrid w:val="0"/>
          <w:szCs w:val="16"/>
          <w:lang w:val="fr-FR"/>
        </w:rPr>
      </w:pPr>
      <w:r w:rsidRPr="00440C76">
        <w:rPr>
          <w:snapToGrid w:val="0"/>
          <w:szCs w:val="16"/>
          <w:lang w:val="fr-FR"/>
        </w:rPr>
        <w:t>a)</w:t>
      </w:r>
      <w:r w:rsidRPr="00440C76">
        <w:rPr>
          <w:snapToGrid w:val="0"/>
          <w:szCs w:val="16"/>
          <w:lang w:val="fr-FR"/>
        </w:rPr>
        <w:tab/>
        <w:t>Le constructeur doit fournir la preuve d</w:t>
      </w:r>
      <w:r>
        <w:rPr>
          <w:snapToGrid w:val="0"/>
          <w:szCs w:val="16"/>
          <w:lang w:val="fr-FR"/>
        </w:rPr>
        <w:t>’</w:t>
      </w:r>
      <w:r w:rsidRPr="00440C76">
        <w:rPr>
          <w:snapToGrid w:val="0"/>
          <w:szCs w:val="16"/>
          <w:lang w:val="fr-FR"/>
        </w:rPr>
        <w:t>un accroissement du risque pour la sécurité d</w:t>
      </w:r>
      <w:r>
        <w:rPr>
          <w:snapToGrid w:val="0"/>
          <w:szCs w:val="16"/>
          <w:lang w:val="fr-FR"/>
        </w:rPr>
        <w:t>’</w:t>
      </w:r>
      <w:r w:rsidRPr="00440C76">
        <w:rPr>
          <w:snapToGrid w:val="0"/>
          <w:szCs w:val="16"/>
          <w:lang w:val="fr-FR"/>
        </w:rPr>
        <w:t>utilisation du véhicule en même temps qu</w:t>
      </w:r>
      <w:r>
        <w:rPr>
          <w:snapToGrid w:val="0"/>
          <w:szCs w:val="16"/>
          <w:lang w:val="fr-FR"/>
        </w:rPr>
        <w:t>’</w:t>
      </w:r>
      <w:r w:rsidRPr="00440C76">
        <w:rPr>
          <w:snapToGrid w:val="0"/>
          <w:szCs w:val="16"/>
          <w:lang w:val="fr-FR"/>
        </w:rPr>
        <w:t xml:space="preserve">une évaluation des risques comprenant une </w:t>
      </w:r>
      <w:r w:rsidRPr="00440C76">
        <w:rPr>
          <w:snapToGrid w:val="0"/>
          <w:lang w:val="fr-FR"/>
        </w:rPr>
        <w:t>évaluation</w:t>
      </w:r>
      <w:r w:rsidRPr="00440C76">
        <w:rPr>
          <w:snapToGrid w:val="0"/>
          <w:szCs w:val="16"/>
          <w:lang w:val="fr-FR"/>
        </w:rPr>
        <w:t xml:space="preserve"> de la probabilité que ce risque se concrétise et de la gravité des conséquences possibles, y compris les résultats d</w:t>
      </w:r>
      <w:r>
        <w:rPr>
          <w:snapToGrid w:val="0"/>
          <w:szCs w:val="16"/>
          <w:lang w:val="fr-FR"/>
        </w:rPr>
        <w:t>’</w:t>
      </w:r>
      <w:r w:rsidRPr="00440C76">
        <w:rPr>
          <w:snapToGrid w:val="0"/>
          <w:szCs w:val="16"/>
          <w:lang w:val="fr-FR"/>
        </w:rPr>
        <w:t>essais effectués à cet effet</w:t>
      </w:r>
      <w:r>
        <w:rPr>
          <w:snapToGrid w:val="0"/>
          <w:szCs w:val="16"/>
          <w:lang w:val="fr-FR"/>
        </w:rPr>
        <w:t> </w:t>
      </w:r>
      <w:r w:rsidRPr="00440C76">
        <w:rPr>
          <w:snapToGrid w:val="0"/>
          <w:szCs w:val="16"/>
          <w:lang w:val="fr-FR"/>
        </w:rPr>
        <w:t>;</w:t>
      </w:r>
    </w:p>
    <w:p w14:paraId="2E74DD3D" w14:textId="77777777" w:rsidR="00BE2CA7" w:rsidRPr="00440C76" w:rsidRDefault="00BE2CA7" w:rsidP="00BE2CA7">
      <w:pPr>
        <w:pStyle w:val="SingleTxtG"/>
        <w:ind w:firstLine="567"/>
        <w:rPr>
          <w:snapToGrid w:val="0"/>
          <w:szCs w:val="16"/>
          <w:lang w:val="fr-FR"/>
        </w:rPr>
      </w:pPr>
      <w:r w:rsidRPr="00440C76">
        <w:rPr>
          <w:snapToGrid w:val="0"/>
          <w:szCs w:val="16"/>
          <w:lang w:val="fr-FR"/>
        </w:rPr>
        <w:t>b)</w:t>
      </w:r>
      <w:r w:rsidRPr="00440C76">
        <w:rPr>
          <w:snapToGrid w:val="0"/>
          <w:szCs w:val="16"/>
          <w:lang w:val="fr-FR"/>
        </w:rPr>
        <w:tab/>
        <w:t>Lorsqu</w:t>
      </w:r>
      <w:r>
        <w:rPr>
          <w:snapToGrid w:val="0"/>
          <w:szCs w:val="16"/>
          <w:lang w:val="fr-FR"/>
        </w:rPr>
        <w:t>’</w:t>
      </w:r>
      <w:r w:rsidRPr="00440C76">
        <w:rPr>
          <w:snapToGrid w:val="0"/>
          <w:szCs w:val="16"/>
          <w:lang w:val="fr-FR"/>
        </w:rPr>
        <w:t>une technologie ou une conception différente permettant de réduire le risque pour la sécurité est disponible sur le marché au moment de l</w:t>
      </w:r>
      <w:r>
        <w:rPr>
          <w:snapToGrid w:val="0"/>
          <w:szCs w:val="16"/>
          <w:lang w:val="fr-FR"/>
        </w:rPr>
        <w:t>’</w:t>
      </w:r>
      <w:r w:rsidRPr="00440C76">
        <w:rPr>
          <w:snapToGrid w:val="0"/>
          <w:szCs w:val="16"/>
          <w:lang w:val="fr-FR"/>
        </w:rPr>
        <w:t>application de l</w:t>
      </w:r>
      <w:r>
        <w:rPr>
          <w:snapToGrid w:val="0"/>
          <w:szCs w:val="16"/>
          <w:lang w:val="fr-FR"/>
        </w:rPr>
        <w:t>’</w:t>
      </w:r>
      <w:r w:rsidRPr="00440C76">
        <w:rPr>
          <w:snapToGrid w:val="0"/>
          <w:szCs w:val="16"/>
          <w:lang w:val="fr-FR"/>
        </w:rPr>
        <w:t>AES, elle doit être utilisée dans toute la mesure possible sur le plan technique (c</w:t>
      </w:r>
      <w:r>
        <w:rPr>
          <w:snapToGrid w:val="0"/>
          <w:szCs w:val="16"/>
          <w:lang w:val="fr-FR"/>
        </w:rPr>
        <w:t>’</w:t>
      </w:r>
      <w:r w:rsidRPr="00440C76">
        <w:rPr>
          <w:snapToGrid w:val="0"/>
          <w:szCs w:val="16"/>
          <w:lang w:val="fr-FR"/>
        </w:rPr>
        <w:t>est-à-dire sans fluctuation injustifiée).</w:t>
      </w:r>
    </w:p>
    <w:p w14:paraId="545849EC" w14:textId="77777777" w:rsidR="00BE2CA7" w:rsidRPr="00440C76" w:rsidRDefault="00BE2CA7" w:rsidP="00BE2CA7">
      <w:pPr>
        <w:pStyle w:val="SingleTxtG"/>
        <w:rPr>
          <w:snapToGrid w:val="0"/>
          <w:szCs w:val="16"/>
          <w:lang w:val="fr-FR"/>
        </w:rPr>
      </w:pPr>
      <w:r w:rsidRPr="00440C76">
        <w:rPr>
          <w:snapToGrid w:val="0"/>
          <w:szCs w:val="16"/>
          <w:lang w:val="fr-FR"/>
        </w:rPr>
        <w:t>4.</w:t>
      </w:r>
      <w:r w:rsidRPr="00440C76">
        <w:rPr>
          <w:snapToGrid w:val="0"/>
          <w:szCs w:val="16"/>
          <w:lang w:val="fr-FR"/>
        </w:rPr>
        <w:tab/>
        <w:t xml:space="preserve">Une </w:t>
      </w:r>
      <w:r w:rsidRPr="00440C76">
        <w:rPr>
          <w:snapToGrid w:val="0"/>
          <w:lang w:val="fr-FR"/>
        </w:rPr>
        <w:t>description</w:t>
      </w:r>
      <w:r w:rsidRPr="00440C76">
        <w:rPr>
          <w:snapToGrid w:val="0"/>
          <w:szCs w:val="16"/>
          <w:lang w:val="fr-FR"/>
        </w:rPr>
        <w:t xml:space="preserve"> technique adéquate doit établir les raisons pour lesquelles il est nécessaire d</w:t>
      </w:r>
      <w:r>
        <w:rPr>
          <w:snapToGrid w:val="0"/>
          <w:szCs w:val="16"/>
          <w:lang w:val="fr-FR"/>
        </w:rPr>
        <w:t>’</w:t>
      </w:r>
      <w:r w:rsidRPr="00440C76">
        <w:rPr>
          <w:snapToGrid w:val="0"/>
          <w:szCs w:val="16"/>
          <w:lang w:val="fr-FR"/>
        </w:rPr>
        <w:t>utiliser une AES lors du démarrage du moteur</w:t>
      </w:r>
      <w:r>
        <w:rPr>
          <w:snapToGrid w:val="0"/>
          <w:szCs w:val="16"/>
          <w:lang w:val="fr-FR"/>
        </w:rPr>
        <w:t> </w:t>
      </w:r>
      <w:r w:rsidRPr="00440C76">
        <w:rPr>
          <w:snapToGrid w:val="0"/>
          <w:szCs w:val="16"/>
          <w:lang w:val="fr-FR"/>
        </w:rPr>
        <w:t>:</w:t>
      </w:r>
    </w:p>
    <w:p w14:paraId="5A18B7A0" w14:textId="77777777" w:rsidR="00BE2CA7" w:rsidRPr="00440C76" w:rsidRDefault="00BE2CA7" w:rsidP="00BE2CA7">
      <w:pPr>
        <w:pStyle w:val="SingleTxtG"/>
        <w:ind w:firstLine="567"/>
        <w:rPr>
          <w:snapToGrid w:val="0"/>
          <w:szCs w:val="16"/>
          <w:lang w:val="fr-FR"/>
        </w:rPr>
      </w:pPr>
      <w:r w:rsidRPr="00440C76">
        <w:rPr>
          <w:snapToGrid w:val="0"/>
          <w:szCs w:val="16"/>
          <w:lang w:val="fr-FR"/>
        </w:rPr>
        <w:t>a)</w:t>
      </w:r>
      <w:r w:rsidRPr="00440C76">
        <w:rPr>
          <w:snapToGrid w:val="0"/>
          <w:szCs w:val="16"/>
          <w:lang w:val="fr-FR"/>
        </w:rPr>
        <w:tab/>
        <w:t>Le constructeur doit fournir la preuve de la nécessité d</w:t>
      </w:r>
      <w:r>
        <w:rPr>
          <w:snapToGrid w:val="0"/>
          <w:szCs w:val="16"/>
          <w:lang w:val="fr-FR"/>
        </w:rPr>
        <w:t>’</w:t>
      </w:r>
      <w:r w:rsidRPr="00440C76">
        <w:rPr>
          <w:snapToGrid w:val="0"/>
          <w:szCs w:val="16"/>
          <w:lang w:val="fr-FR"/>
        </w:rPr>
        <w:t>utiliser une AES pendant le démarrage du moteur en même temps qu</w:t>
      </w:r>
      <w:r>
        <w:rPr>
          <w:snapToGrid w:val="0"/>
          <w:szCs w:val="16"/>
          <w:lang w:val="fr-FR"/>
        </w:rPr>
        <w:t>’</w:t>
      </w:r>
      <w:r w:rsidRPr="00440C76">
        <w:rPr>
          <w:snapToGrid w:val="0"/>
          <w:szCs w:val="16"/>
          <w:lang w:val="fr-FR"/>
        </w:rPr>
        <w:t xml:space="preserve">une évaluation des risques comprenant une </w:t>
      </w:r>
      <w:r w:rsidRPr="00440C76">
        <w:rPr>
          <w:snapToGrid w:val="0"/>
          <w:lang w:val="fr-FR"/>
        </w:rPr>
        <w:t>évaluation</w:t>
      </w:r>
      <w:r w:rsidRPr="00440C76">
        <w:rPr>
          <w:snapToGrid w:val="0"/>
          <w:szCs w:val="16"/>
          <w:lang w:val="fr-FR"/>
        </w:rPr>
        <w:t xml:space="preserve"> de la probabilité que ce risque se concrétise et de la gravité des conséquences possibles, y compris les résultats d</w:t>
      </w:r>
      <w:r>
        <w:rPr>
          <w:snapToGrid w:val="0"/>
          <w:szCs w:val="16"/>
          <w:lang w:val="fr-FR"/>
        </w:rPr>
        <w:t>’</w:t>
      </w:r>
      <w:r w:rsidRPr="00440C76">
        <w:rPr>
          <w:snapToGrid w:val="0"/>
          <w:szCs w:val="16"/>
          <w:lang w:val="fr-FR"/>
        </w:rPr>
        <w:t>essais effectués à cet effet</w:t>
      </w:r>
      <w:r>
        <w:rPr>
          <w:snapToGrid w:val="0"/>
          <w:szCs w:val="16"/>
          <w:lang w:val="fr-FR"/>
        </w:rPr>
        <w:t> </w:t>
      </w:r>
      <w:r w:rsidRPr="00440C76">
        <w:rPr>
          <w:snapToGrid w:val="0"/>
          <w:szCs w:val="16"/>
          <w:lang w:val="fr-FR"/>
        </w:rPr>
        <w:t>;</w:t>
      </w:r>
    </w:p>
    <w:p w14:paraId="69121E23" w14:textId="77777777" w:rsidR="00BE2CA7" w:rsidRDefault="00BE2CA7" w:rsidP="00BE2CA7">
      <w:pPr>
        <w:pStyle w:val="SingleTxtG"/>
        <w:ind w:firstLine="567"/>
        <w:rPr>
          <w:snapToGrid w:val="0"/>
          <w:szCs w:val="16"/>
          <w:lang w:val="fr-FR"/>
        </w:rPr>
        <w:sectPr w:rsidR="00BE2CA7" w:rsidSect="00BE2CA7">
          <w:endnotePr>
            <w:numFmt w:val="decimal"/>
          </w:endnotePr>
          <w:pgSz w:w="11907" w:h="16840" w:code="9"/>
          <w:pgMar w:top="1417" w:right="1134" w:bottom="1134" w:left="1134" w:header="680" w:footer="567" w:gutter="0"/>
          <w:cols w:space="720"/>
          <w:docGrid w:linePitch="272"/>
        </w:sectPr>
      </w:pPr>
      <w:r w:rsidRPr="00440C76">
        <w:rPr>
          <w:snapToGrid w:val="0"/>
          <w:szCs w:val="16"/>
          <w:lang w:val="fr-FR"/>
        </w:rPr>
        <w:lastRenderedPageBreak/>
        <w:t>b)</w:t>
      </w:r>
      <w:r w:rsidRPr="00440C76">
        <w:rPr>
          <w:snapToGrid w:val="0"/>
          <w:szCs w:val="16"/>
          <w:lang w:val="fr-FR"/>
        </w:rPr>
        <w:tab/>
        <w:t>Lorsqu</w:t>
      </w:r>
      <w:r>
        <w:rPr>
          <w:snapToGrid w:val="0"/>
          <w:szCs w:val="16"/>
          <w:lang w:val="fr-FR"/>
        </w:rPr>
        <w:t>’</w:t>
      </w:r>
      <w:r w:rsidRPr="00440C76">
        <w:rPr>
          <w:snapToGrid w:val="0"/>
          <w:szCs w:val="16"/>
          <w:lang w:val="fr-FR"/>
        </w:rPr>
        <w:t>une technologie ou une conception différente permettant de mieux limiter les émissions au démarrage du moteur est disponible sur le marché au moment de l</w:t>
      </w:r>
      <w:r>
        <w:rPr>
          <w:snapToGrid w:val="0"/>
          <w:szCs w:val="16"/>
          <w:lang w:val="fr-FR"/>
        </w:rPr>
        <w:t>’</w:t>
      </w:r>
      <w:r w:rsidRPr="00440C76">
        <w:rPr>
          <w:snapToGrid w:val="0"/>
          <w:szCs w:val="16"/>
          <w:lang w:val="fr-FR"/>
        </w:rPr>
        <w:t>application de l</w:t>
      </w:r>
      <w:r>
        <w:rPr>
          <w:snapToGrid w:val="0"/>
          <w:szCs w:val="16"/>
          <w:lang w:val="fr-FR"/>
        </w:rPr>
        <w:t>’</w:t>
      </w:r>
      <w:r w:rsidRPr="00440C76">
        <w:rPr>
          <w:snapToGrid w:val="0"/>
          <w:szCs w:val="16"/>
          <w:lang w:val="fr-FR"/>
        </w:rPr>
        <w:t>AES, elle doit être utilisée dans toute la mesure possible sur le plan technique.</w:t>
      </w:r>
    </w:p>
    <w:p w14:paraId="0D219929" w14:textId="77777777" w:rsidR="00BE2CA7" w:rsidRPr="00440C76" w:rsidRDefault="00BE2CA7" w:rsidP="00BE2CA7">
      <w:pPr>
        <w:pStyle w:val="HChG"/>
        <w:rPr>
          <w:lang w:val="fr-FR"/>
        </w:rPr>
      </w:pPr>
      <w:r w:rsidRPr="00440C76">
        <w:rPr>
          <w:lang w:val="fr-FR"/>
        </w:rPr>
        <w:lastRenderedPageBreak/>
        <w:t>Annexe</w:t>
      </w:r>
      <w:r>
        <w:rPr>
          <w:lang w:val="fr-FR"/>
        </w:rPr>
        <w:t> </w:t>
      </w:r>
      <w:r w:rsidRPr="00440C76">
        <w:rPr>
          <w:lang w:val="fr-FR"/>
        </w:rPr>
        <w:t>2</w:t>
      </w:r>
    </w:p>
    <w:p w14:paraId="5CFD619B" w14:textId="1DC77FDD" w:rsidR="00BE2CA7" w:rsidRPr="009A6791" w:rsidRDefault="00BE2CA7" w:rsidP="00BE2CA7">
      <w:pPr>
        <w:pStyle w:val="HChG"/>
      </w:pPr>
      <w:r w:rsidRPr="00440C76">
        <w:rPr>
          <w:lang w:val="fr-FR"/>
        </w:rPr>
        <w:tab/>
      </w:r>
      <w:r w:rsidRPr="00440C76">
        <w:rPr>
          <w:lang w:val="fr-FR"/>
        </w:rPr>
        <w:tab/>
        <w:t>Communication</w:t>
      </w:r>
    </w:p>
    <w:p w14:paraId="7F965B7C" w14:textId="77777777" w:rsidR="00BE2CA7" w:rsidRPr="00337A07" w:rsidRDefault="00BE2CA7" w:rsidP="00BE2CA7">
      <w:pPr>
        <w:pStyle w:val="SingleTxtG"/>
        <w:ind w:right="1417"/>
      </w:pPr>
      <w:bookmarkStart w:id="28" w:name="_MON_1420453160"/>
      <w:bookmarkStart w:id="29" w:name="_MON_1420453756"/>
      <w:bookmarkEnd w:id="28"/>
      <w:bookmarkEnd w:id="29"/>
      <w:r w:rsidRPr="00337A07">
        <w:t>(</w:t>
      </w:r>
      <w:r>
        <w:t>F</w:t>
      </w:r>
      <w:r w:rsidRPr="00337A07">
        <w:t>ormat</w:t>
      </w:r>
      <w:r>
        <w:t xml:space="preserve"> maximal </w:t>
      </w:r>
      <w:r w:rsidRPr="00337A07">
        <w:t>: A4 (210 x 297</w:t>
      </w:r>
      <w:r>
        <w:t> </w:t>
      </w:r>
      <w:r w:rsidRPr="00337A07">
        <w:t>mm))</w:t>
      </w:r>
    </w:p>
    <w:p w14:paraId="46409EA1" w14:textId="77777777" w:rsidR="00BE2CA7" w:rsidRPr="00337A07" w:rsidRDefault="00BE2CA7" w:rsidP="00BE2CA7">
      <w:pPr>
        <w:pStyle w:val="SingleTxtG"/>
      </w:pPr>
      <w:r>
        <w:rPr>
          <w:noProof/>
          <w:lang w:eastAsia="en-GB"/>
        </w:rPr>
        <mc:AlternateContent>
          <mc:Choice Requires="wps">
            <w:drawing>
              <wp:anchor distT="0" distB="0" distL="114300" distR="114300" simplePos="0" relativeHeight="251660288" behindDoc="0" locked="0" layoutInCell="1" allowOverlap="1" wp14:anchorId="4686A84A" wp14:editId="36F2E82A">
                <wp:simplePos x="0" y="0"/>
                <wp:positionH relativeFrom="column">
                  <wp:posOffset>2749880</wp:posOffset>
                </wp:positionH>
                <wp:positionV relativeFrom="paragraph">
                  <wp:posOffset>12700</wp:posOffset>
                </wp:positionV>
                <wp:extent cx="2921635" cy="662305"/>
                <wp:effectExtent l="0" t="0" r="0" b="4445"/>
                <wp:wrapNone/>
                <wp:docPr id="694" name="Text Box 6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635"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1B0A77" w14:textId="77777777" w:rsidR="00BE2CA7" w:rsidRPr="007C4634" w:rsidRDefault="00BE2CA7" w:rsidP="00BE2CA7">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fr-FR"/>
                              </w:rPr>
                            </w:pPr>
                            <w:r w:rsidRPr="007C4634">
                              <w:rPr>
                                <w:lang w:val="fr-FR"/>
                              </w:rPr>
                              <w:t>Émanant de</w:t>
                            </w:r>
                            <w:r>
                              <w:rPr>
                                <w:lang w:val="fr-FR"/>
                              </w:rPr>
                              <w:t> </w:t>
                            </w:r>
                            <w:r w:rsidRPr="007C4634">
                              <w:rPr>
                                <w:lang w:val="fr-FR"/>
                              </w:rPr>
                              <w:t>:</w:t>
                            </w:r>
                            <w:r w:rsidRPr="007C4634">
                              <w:rPr>
                                <w:lang w:val="fr-FR"/>
                              </w:rPr>
                              <w:tab/>
                            </w:r>
                            <w:r>
                              <w:rPr>
                                <w:lang w:val="fr-FR"/>
                              </w:rPr>
                              <w:t>Nom de l’administration </w:t>
                            </w:r>
                            <w:r w:rsidRPr="00A318C3">
                              <w:rPr>
                                <w:lang w:val="fr-FR"/>
                              </w:rPr>
                              <w:t>:</w:t>
                            </w:r>
                          </w:p>
                          <w:p w14:paraId="636D6AB1" w14:textId="77777777" w:rsidR="00BE2CA7" w:rsidRPr="00752DEF" w:rsidRDefault="00BE2CA7" w:rsidP="00BE2CA7">
                            <w:pPr>
                              <w:pStyle w:val="SingleTxtG"/>
                              <w:tabs>
                                <w:tab w:val="right" w:leader="dot" w:pos="4186"/>
                              </w:tabs>
                              <w:kinsoku/>
                              <w:overflowPunct/>
                              <w:autoSpaceDE/>
                              <w:autoSpaceDN/>
                              <w:adjustRightInd/>
                              <w:snapToGrid/>
                              <w:spacing w:after="0"/>
                              <w:ind w:left="1701" w:right="0" w:firstLine="413"/>
                              <w:rPr>
                                <w:lang w:val="fr-FR"/>
                              </w:rPr>
                            </w:pPr>
                            <w:r>
                              <w:rPr>
                                <w:lang w:val="fr-FR"/>
                              </w:rPr>
                              <w:tab/>
                            </w:r>
                          </w:p>
                          <w:p w14:paraId="77A3050E" w14:textId="77777777" w:rsidR="00BE2CA7" w:rsidRPr="00752DEF" w:rsidRDefault="00BE2CA7" w:rsidP="00BE2CA7">
                            <w:pPr>
                              <w:pStyle w:val="SingleTxtG"/>
                              <w:tabs>
                                <w:tab w:val="right" w:leader="dot" w:pos="4186"/>
                              </w:tabs>
                              <w:kinsoku/>
                              <w:overflowPunct/>
                              <w:autoSpaceDE/>
                              <w:autoSpaceDN/>
                              <w:adjustRightInd/>
                              <w:snapToGrid/>
                              <w:spacing w:after="0"/>
                              <w:ind w:left="1701" w:right="0" w:firstLine="413"/>
                              <w:rPr>
                                <w:lang w:val="fr-FR"/>
                              </w:rPr>
                            </w:pPr>
                            <w:r>
                              <w:rPr>
                                <w:lang w:val="fr-FR"/>
                              </w:rPr>
                              <w:tab/>
                            </w:r>
                          </w:p>
                          <w:p w14:paraId="4405D47C" w14:textId="77777777" w:rsidR="00BE2CA7" w:rsidRPr="00752DEF" w:rsidRDefault="00BE2CA7" w:rsidP="00BE2CA7">
                            <w:pPr>
                              <w:pStyle w:val="SingleTxtG"/>
                              <w:tabs>
                                <w:tab w:val="right" w:leader="dot" w:pos="4186"/>
                              </w:tabs>
                              <w:kinsoku/>
                              <w:overflowPunct/>
                              <w:autoSpaceDE/>
                              <w:autoSpaceDN/>
                              <w:adjustRightInd/>
                              <w:snapToGrid/>
                              <w:spacing w:after="0"/>
                              <w:ind w:left="1701" w:right="0" w:firstLine="413"/>
                              <w:rPr>
                                <w:lang w:val="fr-FR"/>
                              </w:rPr>
                            </w:pPr>
                            <w:r>
                              <w:rPr>
                                <w:lang w:val="fr-FR"/>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6A84A" id="Text Box 694" o:spid="_x0000_s1027" type="#_x0000_t202" style="position:absolute;left:0;text-align:left;margin-left:216.55pt;margin-top:1pt;width:230.05pt;height:5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" stroked="f">
                <v:textbox inset="0,0,0,0">
                  <w:txbxContent>
                    <w:p w14:paraId="771B0A77" w14:textId="77777777" w:rsidR="00BE2CA7" w:rsidRPr="007C4634" w:rsidRDefault="00BE2CA7" w:rsidP="00BE2CA7">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fr-FR"/>
                        </w:rPr>
                      </w:pPr>
                      <w:r w:rsidRPr="007C4634">
                        <w:rPr>
                          <w:lang w:val="fr-FR"/>
                        </w:rPr>
                        <w:t>Émanant de</w:t>
                      </w:r>
                      <w:r>
                        <w:rPr>
                          <w:lang w:val="fr-FR"/>
                        </w:rPr>
                        <w:t> </w:t>
                      </w:r>
                      <w:r w:rsidRPr="007C4634">
                        <w:rPr>
                          <w:lang w:val="fr-FR"/>
                        </w:rPr>
                        <w:t>:</w:t>
                      </w:r>
                      <w:r w:rsidRPr="007C4634">
                        <w:rPr>
                          <w:lang w:val="fr-FR"/>
                        </w:rPr>
                        <w:tab/>
                      </w:r>
                      <w:r>
                        <w:rPr>
                          <w:lang w:val="fr-FR"/>
                        </w:rPr>
                        <w:t>Nom de l’administration </w:t>
                      </w:r>
                      <w:r w:rsidRPr="00A318C3">
                        <w:rPr>
                          <w:lang w:val="fr-FR"/>
                        </w:rPr>
                        <w:t>:</w:t>
                      </w:r>
                    </w:p>
                    <w:p w14:paraId="636D6AB1" w14:textId="77777777" w:rsidR="00BE2CA7" w:rsidRPr="00752DEF" w:rsidRDefault="00BE2CA7" w:rsidP="00BE2CA7">
                      <w:pPr>
                        <w:pStyle w:val="SingleTxtG"/>
                        <w:tabs>
                          <w:tab w:val="right" w:leader="dot" w:pos="4186"/>
                        </w:tabs>
                        <w:kinsoku/>
                        <w:overflowPunct/>
                        <w:autoSpaceDE/>
                        <w:autoSpaceDN/>
                        <w:adjustRightInd/>
                        <w:snapToGrid/>
                        <w:spacing w:after="0"/>
                        <w:ind w:left="1701" w:right="0" w:firstLine="413"/>
                        <w:rPr>
                          <w:lang w:val="fr-FR"/>
                        </w:rPr>
                      </w:pPr>
                      <w:r>
                        <w:rPr>
                          <w:lang w:val="fr-FR"/>
                        </w:rPr>
                        <w:tab/>
                      </w:r>
                    </w:p>
                    <w:p w14:paraId="77A3050E" w14:textId="77777777" w:rsidR="00BE2CA7" w:rsidRPr="00752DEF" w:rsidRDefault="00BE2CA7" w:rsidP="00BE2CA7">
                      <w:pPr>
                        <w:pStyle w:val="SingleTxtG"/>
                        <w:tabs>
                          <w:tab w:val="right" w:leader="dot" w:pos="4186"/>
                        </w:tabs>
                        <w:kinsoku/>
                        <w:overflowPunct/>
                        <w:autoSpaceDE/>
                        <w:autoSpaceDN/>
                        <w:adjustRightInd/>
                        <w:snapToGrid/>
                        <w:spacing w:after="0"/>
                        <w:ind w:left="1701" w:right="0" w:firstLine="413"/>
                        <w:rPr>
                          <w:lang w:val="fr-FR"/>
                        </w:rPr>
                      </w:pPr>
                      <w:r>
                        <w:rPr>
                          <w:lang w:val="fr-FR"/>
                        </w:rPr>
                        <w:tab/>
                      </w:r>
                    </w:p>
                    <w:p w14:paraId="4405D47C" w14:textId="77777777" w:rsidR="00BE2CA7" w:rsidRPr="00752DEF" w:rsidRDefault="00BE2CA7" w:rsidP="00BE2CA7">
                      <w:pPr>
                        <w:pStyle w:val="SingleTxtG"/>
                        <w:tabs>
                          <w:tab w:val="right" w:leader="dot" w:pos="4186"/>
                        </w:tabs>
                        <w:kinsoku/>
                        <w:overflowPunct/>
                        <w:autoSpaceDE/>
                        <w:autoSpaceDN/>
                        <w:adjustRightInd/>
                        <w:snapToGrid/>
                        <w:spacing w:after="0"/>
                        <w:ind w:left="1701" w:right="0" w:firstLine="413"/>
                        <w:rPr>
                          <w:lang w:val="fr-FR"/>
                        </w:rPr>
                      </w:pPr>
                      <w:r>
                        <w:rPr>
                          <w:lang w:val="fr-FR"/>
                        </w:rPr>
                        <w:tab/>
                      </w:r>
                    </w:p>
                  </w:txbxContent>
                </v:textbox>
              </v:shape>
            </w:pict>
          </mc:Fallback>
        </mc:AlternateContent>
      </w:r>
    </w:p>
    <w:p w14:paraId="3812669F" w14:textId="77777777" w:rsidR="00BE2CA7" w:rsidRPr="00337A07" w:rsidRDefault="00BE2CA7" w:rsidP="00BE2CA7">
      <w:pPr>
        <w:pStyle w:val="SingleTxtG"/>
        <w:tabs>
          <w:tab w:val="left" w:pos="5100"/>
        </w:tabs>
      </w:pPr>
      <w:r>
        <w:rPr>
          <w:noProof/>
          <w:lang w:eastAsia="en-GB"/>
        </w:rPr>
        <mc:AlternateContent>
          <mc:Choice Requires="wps">
            <w:drawing>
              <wp:anchor distT="0" distB="0" distL="114300" distR="114300" simplePos="0" relativeHeight="251661312" behindDoc="0" locked="0" layoutInCell="1" allowOverlap="1" wp14:anchorId="1FC15F76" wp14:editId="5878014A">
                <wp:simplePos x="0" y="0"/>
                <wp:positionH relativeFrom="column">
                  <wp:posOffset>1367790</wp:posOffset>
                </wp:positionH>
                <wp:positionV relativeFrom="paragraph">
                  <wp:posOffset>276860</wp:posOffset>
                </wp:positionV>
                <wp:extent cx="260350" cy="273050"/>
                <wp:effectExtent l="0" t="0" r="6350" b="0"/>
                <wp:wrapNone/>
                <wp:docPr id="693" name="Text Box 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019DC4CC" w14:textId="77777777" w:rsidR="00BE2CA7" w:rsidRPr="008C572C" w:rsidRDefault="00BE2CA7" w:rsidP="00BE2CA7">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14:paraId="1C93740B" w14:textId="77777777" w:rsidR="00BE2CA7" w:rsidRPr="004508D9" w:rsidRDefault="00BE2CA7" w:rsidP="00BE2CA7">
                            <w:pPr>
                              <w:rPr>
                                <w:rFonts w:eastAsia="Arial Unicode MS"/>
                                <w:sz w:val="16"/>
                                <w:szCs w:val="16"/>
                              </w:rPr>
                            </w:pPr>
                            <w:r>
                              <w:rPr>
                                <w:rFonts w:eastAsia="Arial Unicode MS"/>
                                <w:noProof/>
                                <w:sz w:val="16"/>
                                <w:szCs w:val="16"/>
                                <w:lang w:eastAsia="en-GB"/>
                              </w:rPr>
                              <w:drawing>
                                <wp:inline distT="0" distB="0" distL="0" distR="0" wp14:anchorId="6AF2313D" wp14:editId="6857D8B5">
                                  <wp:extent cx="167005" cy="247650"/>
                                  <wp:effectExtent l="0" t="0" r="444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005" cy="2476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15F76" id="Text Box 693" o:spid="_x0000_s1028" type="#_x0000_t202" style="position:absolute;left:0;text-align:left;margin-left:107.7pt;margin-top:21.8pt;width:20.5pt;height: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" stroked="f" strokecolor="white">
                <v:textbox inset="0,0,0,0">
                  <w:txbxContent>
                    <w:p w14:paraId="019DC4CC" w14:textId="77777777" w:rsidR="00BE2CA7" w:rsidRPr="008C572C" w:rsidRDefault="00BE2CA7" w:rsidP="00BE2CA7">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14:paraId="1C93740B" w14:textId="77777777" w:rsidR="00BE2CA7" w:rsidRPr="004508D9" w:rsidRDefault="00BE2CA7" w:rsidP="00BE2CA7">
                      <w:pPr>
                        <w:rPr>
                          <w:rFonts w:eastAsia="Arial Unicode MS"/>
                          <w:sz w:val="16"/>
                          <w:szCs w:val="16"/>
                        </w:rPr>
                      </w:pPr>
                      <w:r>
                        <w:rPr>
                          <w:rFonts w:eastAsia="Arial Unicode MS"/>
                          <w:noProof/>
                          <w:sz w:val="16"/>
                          <w:szCs w:val="16"/>
                          <w:lang w:eastAsia="en-GB"/>
                        </w:rPr>
                        <w:drawing>
                          <wp:inline distT="0" distB="0" distL="0" distR="0" wp14:anchorId="6AF2313D" wp14:editId="6857D8B5">
                            <wp:extent cx="167005" cy="247650"/>
                            <wp:effectExtent l="0" t="0" r="444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005" cy="247650"/>
                                    </a:xfrm>
                                    <a:prstGeom prst="rect">
                                      <a:avLst/>
                                    </a:prstGeom>
                                    <a:noFill/>
                                    <a:ln>
                                      <a:noFill/>
                                    </a:ln>
                                  </pic:spPr>
                                </pic:pic>
                              </a:graphicData>
                            </a:graphic>
                          </wp:inline>
                        </w:drawing>
                      </w:r>
                    </w:p>
                  </w:txbxContent>
                </v:textbox>
              </v:shape>
            </w:pict>
          </mc:Fallback>
        </mc:AlternateContent>
      </w:r>
      <w:r>
        <w:rPr>
          <w:noProof/>
          <w:lang w:eastAsia="en-GB"/>
        </w:rPr>
        <w:drawing>
          <wp:inline distT="0" distB="0" distL="0" distR="0" wp14:anchorId="0ED66268" wp14:editId="5189E02F">
            <wp:extent cx="1066800" cy="1009650"/>
            <wp:effectExtent l="0" t="0" r="0" b="0"/>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5" descr="Icon&#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l="-1199" t="-1198" r="-1199" b="-1198"/>
                    <a:stretch>
                      <a:fillRect/>
                    </a:stretch>
                  </pic:blipFill>
                  <pic:spPr bwMode="auto">
                    <a:xfrm>
                      <a:off x="0" y="0"/>
                      <a:ext cx="1066800" cy="1009650"/>
                    </a:xfrm>
                    <a:prstGeom prst="rect">
                      <a:avLst/>
                    </a:prstGeom>
                    <a:noFill/>
                    <a:ln>
                      <a:noFill/>
                    </a:ln>
                  </pic:spPr>
                </pic:pic>
              </a:graphicData>
            </a:graphic>
          </wp:inline>
        </w:drawing>
      </w:r>
    </w:p>
    <w:p w14:paraId="34F7BD53" w14:textId="77777777" w:rsidR="00BE2CA7" w:rsidRPr="00A318C3" w:rsidRDefault="00BE2CA7" w:rsidP="00BE2CA7">
      <w:pPr>
        <w:pStyle w:val="SingleTxtG"/>
        <w:kinsoku/>
        <w:overflowPunct/>
        <w:autoSpaceDE/>
        <w:autoSpaceDN/>
        <w:adjustRightInd/>
        <w:snapToGrid/>
        <w:spacing w:before="120"/>
        <w:ind w:left="2552" w:hanging="1418"/>
        <w:jc w:val="left"/>
        <w:rPr>
          <w:lang w:val="fr-FR"/>
        </w:rPr>
      </w:pPr>
      <w:r w:rsidRPr="00A318C3">
        <w:rPr>
          <w:lang w:val="fr-FR"/>
        </w:rPr>
        <w:t>Concernant</w:t>
      </w:r>
      <w:r w:rsidRPr="00A318C3">
        <w:rPr>
          <w:rStyle w:val="Appelnotedebasdep"/>
          <w:lang w:val="fr-FR"/>
        </w:rPr>
        <w:footnoteReference w:customMarkFollows="1" w:id="19"/>
        <w:t>2</w:t>
      </w:r>
      <w:r>
        <w:t> :</w:t>
      </w:r>
      <w:r w:rsidRPr="00A318C3">
        <w:rPr>
          <w:lang w:val="fr-FR"/>
        </w:rPr>
        <w:tab/>
        <w:t>Délivrance d</w:t>
      </w:r>
      <w:r>
        <w:rPr>
          <w:lang w:val="fr-FR"/>
        </w:rPr>
        <w:t>’</w:t>
      </w:r>
      <w:r w:rsidRPr="00A318C3">
        <w:rPr>
          <w:lang w:val="fr-FR"/>
        </w:rPr>
        <w:t>une homologation</w:t>
      </w:r>
      <w:r>
        <w:rPr>
          <w:lang w:val="fr-FR"/>
        </w:rPr>
        <w:br/>
      </w:r>
      <w:r w:rsidRPr="00A318C3">
        <w:rPr>
          <w:lang w:val="fr-FR"/>
        </w:rPr>
        <w:t>Extension d</w:t>
      </w:r>
      <w:r>
        <w:rPr>
          <w:lang w:val="fr-FR"/>
        </w:rPr>
        <w:t>’</w:t>
      </w:r>
      <w:r w:rsidRPr="00A318C3">
        <w:rPr>
          <w:lang w:val="fr-FR"/>
        </w:rPr>
        <w:t>homologation</w:t>
      </w:r>
      <w:r>
        <w:rPr>
          <w:lang w:val="fr-FR"/>
        </w:rPr>
        <w:br/>
      </w:r>
      <w:r w:rsidRPr="00A318C3">
        <w:rPr>
          <w:lang w:val="fr-FR"/>
        </w:rPr>
        <w:t>Refus d</w:t>
      </w:r>
      <w:r>
        <w:rPr>
          <w:lang w:val="fr-FR"/>
        </w:rPr>
        <w:t>’</w:t>
      </w:r>
      <w:r w:rsidRPr="00A318C3">
        <w:rPr>
          <w:lang w:val="fr-FR"/>
        </w:rPr>
        <w:t>homologation</w:t>
      </w:r>
      <w:r>
        <w:rPr>
          <w:lang w:val="fr-FR"/>
        </w:rPr>
        <w:br/>
      </w:r>
      <w:r w:rsidRPr="00A318C3">
        <w:rPr>
          <w:lang w:val="fr-FR"/>
        </w:rPr>
        <w:t>Retrait d</w:t>
      </w:r>
      <w:r>
        <w:rPr>
          <w:lang w:val="fr-FR"/>
        </w:rPr>
        <w:t>’</w:t>
      </w:r>
      <w:r w:rsidRPr="00A318C3">
        <w:rPr>
          <w:lang w:val="fr-FR"/>
        </w:rPr>
        <w:t>homologation</w:t>
      </w:r>
      <w:r>
        <w:rPr>
          <w:lang w:val="fr-FR"/>
        </w:rPr>
        <w:br/>
      </w:r>
      <w:r w:rsidRPr="00A318C3">
        <w:rPr>
          <w:lang w:val="fr-FR"/>
        </w:rPr>
        <w:t>Arrêt définitif de la production</w:t>
      </w:r>
    </w:p>
    <w:p w14:paraId="1F26F1A5" w14:textId="77777777" w:rsidR="00BE2CA7" w:rsidRPr="00A318C3" w:rsidRDefault="00BE2CA7" w:rsidP="00BE2CA7">
      <w:pPr>
        <w:pStyle w:val="SingleTxtG"/>
        <w:rPr>
          <w:lang w:val="fr-FR"/>
        </w:rPr>
      </w:pPr>
      <w:r w:rsidRPr="00A318C3">
        <w:rPr>
          <w:lang w:val="fr-FR"/>
        </w:rPr>
        <w:t>d</w:t>
      </w:r>
      <w:r>
        <w:rPr>
          <w:lang w:val="fr-FR"/>
        </w:rPr>
        <w:t>’</w:t>
      </w:r>
      <w:r w:rsidRPr="00A318C3">
        <w:rPr>
          <w:lang w:val="fr-FR"/>
        </w:rPr>
        <w:t xml:space="preserve">un type de véhicule en ce qui concerne les émissions de </w:t>
      </w:r>
      <w:r>
        <w:rPr>
          <w:lang w:val="fr-FR"/>
        </w:rPr>
        <w:t xml:space="preserve">gaz </w:t>
      </w:r>
      <w:r w:rsidRPr="00A318C3">
        <w:rPr>
          <w:lang w:val="fr-FR"/>
        </w:rPr>
        <w:t>polluants</w:t>
      </w:r>
      <w:r>
        <w:rPr>
          <w:lang w:val="fr-FR"/>
        </w:rPr>
        <w:t xml:space="preserve"> par le moteur</w:t>
      </w:r>
      <w:r w:rsidRPr="00A318C3">
        <w:rPr>
          <w:lang w:val="fr-FR"/>
        </w:rPr>
        <w:t xml:space="preserve"> en application d</w:t>
      </w:r>
      <w:r>
        <w:rPr>
          <w:lang w:val="fr-FR"/>
        </w:rPr>
        <w:t>e la série 08 d’amendements au</w:t>
      </w:r>
      <w:r w:rsidRPr="00A318C3">
        <w:rPr>
          <w:lang w:val="fr-FR"/>
        </w:rPr>
        <w:t xml:space="preserve"> Règlement</w:t>
      </w:r>
      <w:r>
        <w:rPr>
          <w:lang w:val="fr-FR"/>
        </w:rPr>
        <w:t xml:space="preserve"> ONU</w:t>
      </w:r>
      <w:r w:rsidRPr="00A318C3">
        <w:rPr>
          <w:lang w:val="fr-FR"/>
        </w:rPr>
        <w:t xml:space="preserve"> n</w:t>
      </w:r>
      <w:r w:rsidRPr="005467AD">
        <w:rPr>
          <w:vertAlign w:val="superscript"/>
          <w:lang w:val="fr-FR"/>
        </w:rPr>
        <w:t>o</w:t>
      </w:r>
      <w:r>
        <w:rPr>
          <w:lang w:val="fr-FR"/>
        </w:rPr>
        <w:t> </w:t>
      </w:r>
      <w:r w:rsidRPr="00A318C3">
        <w:rPr>
          <w:lang w:val="fr-FR"/>
        </w:rPr>
        <w:t>83</w:t>
      </w:r>
    </w:p>
    <w:p w14:paraId="34110E46" w14:textId="77777777" w:rsidR="00BE2CA7" w:rsidRPr="00A318C3" w:rsidRDefault="00BE2CA7" w:rsidP="00BE2CA7">
      <w:pPr>
        <w:pStyle w:val="SingleTxtG"/>
        <w:tabs>
          <w:tab w:val="right" w:leader="dot" w:pos="4253"/>
          <w:tab w:val="left" w:pos="4536"/>
          <w:tab w:val="right" w:leader="dot" w:pos="8505"/>
        </w:tabs>
        <w:kinsoku/>
        <w:overflowPunct/>
        <w:autoSpaceDE/>
        <w:autoSpaceDN/>
        <w:adjustRightInd/>
        <w:snapToGrid/>
        <w:jc w:val="left"/>
        <w:rPr>
          <w:lang w:val="fr-FR"/>
        </w:rPr>
      </w:pPr>
      <w:r>
        <w:rPr>
          <w:lang w:val="fr-FR"/>
        </w:rPr>
        <w:t>N</w:t>
      </w:r>
      <w:r w:rsidRPr="005467AD">
        <w:rPr>
          <w:vertAlign w:val="superscript"/>
          <w:lang w:val="fr-FR"/>
        </w:rPr>
        <w:t>o</w:t>
      </w:r>
      <w:r>
        <w:rPr>
          <w:lang w:val="fr-FR"/>
        </w:rPr>
        <w:t xml:space="preserve"> d’h</w:t>
      </w:r>
      <w:r w:rsidRPr="00A318C3">
        <w:rPr>
          <w:lang w:val="fr-FR"/>
        </w:rPr>
        <w:t>omologation</w:t>
      </w:r>
      <w:r w:rsidRPr="00A318C3">
        <w:rPr>
          <w:lang w:val="fr-FR"/>
        </w:rPr>
        <w:tab/>
      </w:r>
      <w:r w:rsidRPr="00A318C3">
        <w:rPr>
          <w:lang w:val="fr-FR"/>
        </w:rPr>
        <w:tab/>
      </w:r>
      <w:r>
        <w:rPr>
          <w:lang w:val="fr-FR"/>
        </w:rPr>
        <w:t>Motif</w:t>
      </w:r>
      <w:r w:rsidRPr="00A318C3">
        <w:rPr>
          <w:lang w:val="fr-FR"/>
        </w:rPr>
        <w:t xml:space="preserve"> de l</w:t>
      </w:r>
      <w:r>
        <w:rPr>
          <w:lang w:val="fr-FR"/>
        </w:rPr>
        <w:t>’</w:t>
      </w:r>
      <w:r w:rsidRPr="00A318C3">
        <w:rPr>
          <w:lang w:val="fr-FR"/>
        </w:rPr>
        <w:t>extension:</w:t>
      </w:r>
      <w:r>
        <w:rPr>
          <w:lang w:val="fr-FR"/>
        </w:rPr>
        <w:tab/>
      </w:r>
    </w:p>
    <w:p w14:paraId="0D5D6A46" w14:textId="77777777" w:rsidR="00BE2CA7" w:rsidRPr="00A318C3" w:rsidRDefault="00BE2CA7" w:rsidP="00BE2CA7">
      <w:pPr>
        <w:pStyle w:val="ManualNumPar1"/>
        <w:spacing w:before="0"/>
        <w:ind w:left="1985" w:right="1134"/>
        <w:outlineLvl w:val="0"/>
        <w:rPr>
          <w:sz w:val="20"/>
          <w:lang w:val="fr-FR"/>
        </w:rPr>
      </w:pPr>
      <w:r w:rsidRPr="00A318C3">
        <w:rPr>
          <w:sz w:val="20"/>
          <w:lang w:val="fr-FR"/>
        </w:rPr>
        <w:t>Section I</w:t>
      </w:r>
    </w:p>
    <w:p w14:paraId="53C2C6E9" w14:textId="77777777" w:rsidR="00BE2CA7" w:rsidRPr="00A318C3" w:rsidRDefault="00BE2CA7" w:rsidP="00BE2CA7">
      <w:pPr>
        <w:pStyle w:val="SingleTxtG"/>
        <w:tabs>
          <w:tab w:val="right" w:leader="dot" w:pos="8505"/>
        </w:tabs>
        <w:kinsoku/>
        <w:overflowPunct/>
        <w:autoSpaceDE/>
        <w:autoSpaceDN/>
        <w:adjustRightInd/>
        <w:snapToGrid/>
        <w:ind w:left="1701" w:hanging="567"/>
        <w:jc w:val="left"/>
        <w:rPr>
          <w:lang w:val="fr-FR"/>
        </w:rPr>
      </w:pPr>
      <w:r w:rsidRPr="00A318C3">
        <w:rPr>
          <w:lang w:val="fr-FR"/>
        </w:rPr>
        <w:t>0.1</w:t>
      </w:r>
      <w:r w:rsidRPr="00A318C3">
        <w:rPr>
          <w:lang w:val="fr-FR"/>
        </w:rPr>
        <w:tab/>
        <w:t>Marque (</w:t>
      </w:r>
      <w:r>
        <w:rPr>
          <w:lang w:val="fr-FR"/>
        </w:rPr>
        <w:t>nom commercial</w:t>
      </w:r>
      <w:r w:rsidRPr="00A318C3">
        <w:rPr>
          <w:lang w:val="fr-FR"/>
        </w:rPr>
        <w:t xml:space="preserve"> du constructeur)</w:t>
      </w:r>
      <w:r>
        <w:rPr>
          <w:lang w:val="fr-FR"/>
        </w:rPr>
        <w:t> </w:t>
      </w:r>
      <w:r w:rsidRPr="00A318C3">
        <w:rPr>
          <w:lang w:val="fr-FR"/>
        </w:rPr>
        <w:t>:</w:t>
      </w:r>
      <w:r w:rsidRPr="00A318C3">
        <w:rPr>
          <w:lang w:val="fr-FR"/>
        </w:rPr>
        <w:tab/>
      </w:r>
    </w:p>
    <w:p w14:paraId="7255BD6C" w14:textId="77777777" w:rsidR="00BE2CA7" w:rsidRPr="00A318C3" w:rsidRDefault="00BE2CA7" w:rsidP="00BE2CA7">
      <w:pPr>
        <w:pStyle w:val="SingleTxtG"/>
        <w:tabs>
          <w:tab w:val="right" w:leader="dot" w:pos="8505"/>
        </w:tabs>
        <w:kinsoku/>
        <w:overflowPunct/>
        <w:autoSpaceDE/>
        <w:autoSpaceDN/>
        <w:adjustRightInd/>
        <w:snapToGrid/>
        <w:ind w:left="1701" w:hanging="567"/>
        <w:jc w:val="left"/>
        <w:rPr>
          <w:lang w:val="fr-FR"/>
        </w:rPr>
      </w:pPr>
      <w:r w:rsidRPr="00A318C3">
        <w:rPr>
          <w:lang w:val="fr-FR"/>
        </w:rPr>
        <w:t>0.2</w:t>
      </w:r>
      <w:r w:rsidRPr="00A318C3">
        <w:rPr>
          <w:lang w:val="fr-FR"/>
        </w:rPr>
        <w:tab/>
        <w:t>Type</w:t>
      </w:r>
      <w:r>
        <w:rPr>
          <w:lang w:val="fr-FR"/>
        </w:rPr>
        <w:t> </w:t>
      </w:r>
      <w:r w:rsidRPr="00A318C3">
        <w:rPr>
          <w:lang w:val="fr-FR"/>
        </w:rPr>
        <w:t>:</w:t>
      </w:r>
      <w:r w:rsidRPr="00A318C3">
        <w:rPr>
          <w:lang w:val="fr-FR"/>
        </w:rPr>
        <w:tab/>
      </w:r>
    </w:p>
    <w:p w14:paraId="5E50BDD6" w14:textId="77777777" w:rsidR="00BE2CA7" w:rsidRPr="00A318C3" w:rsidRDefault="00BE2CA7" w:rsidP="00BE2CA7">
      <w:pPr>
        <w:pStyle w:val="SingleTxtG"/>
        <w:tabs>
          <w:tab w:val="right" w:leader="dot" w:pos="8505"/>
        </w:tabs>
        <w:kinsoku/>
        <w:overflowPunct/>
        <w:autoSpaceDE/>
        <w:autoSpaceDN/>
        <w:adjustRightInd/>
        <w:snapToGrid/>
        <w:ind w:left="1701" w:hanging="567"/>
        <w:jc w:val="left"/>
        <w:rPr>
          <w:lang w:val="fr-FR"/>
        </w:rPr>
      </w:pPr>
      <w:r w:rsidRPr="00A318C3">
        <w:rPr>
          <w:lang w:val="fr-FR"/>
        </w:rPr>
        <w:t>0.2.1</w:t>
      </w:r>
      <w:r w:rsidRPr="00A318C3">
        <w:rPr>
          <w:lang w:val="fr-FR"/>
        </w:rPr>
        <w:tab/>
      </w:r>
      <w:r>
        <w:rPr>
          <w:lang w:val="fr-FR"/>
        </w:rPr>
        <w:t>Dénomination(s) commerciale(s)</w:t>
      </w:r>
      <w:r w:rsidRPr="00A318C3">
        <w:rPr>
          <w:lang w:val="fr-FR"/>
        </w:rPr>
        <w:t xml:space="preserve"> (</w:t>
      </w:r>
      <w:r>
        <w:rPr>
          <w:lang w:val="fr-FR"/>
        </w:rPr>
        <w:t>le cas échéant</w:t>
      </w:r>
      <w:r w:rsidRPr="00A318C3">
        <w:rPr>
          <w:lang w:val="fr-FR"/>
        </w:rPr>
        <w:t>)</w:t>
      </w:r>
      <w:r>
        <w:rPr>
          <w:lang w:val="fr-FR"/>
        </w:rPr>
        <w:t> </w:t>
      </w:r>
      <w:r w:rsidRPr="00A318C3">
        <w:rPr>
          <w:lang w:val="fr-FR"/>
        </w:rPr>
        <w:t>:</w:t>
      </w:r>
      <w:r w:rsidRPr="00A318C3">
        <w:rPr>
          <w:lang w:val="fr-FR"/>
        </w:rPr>
        <w:tab/>
      </w:r>
    </w:p>
    <w:p w14:paraId="5A8FA045" w14:textId="77777777" w:rsidR="00BE2CA7" w:rsidRPr="00A318C3" w:rsidRDefault="00BE2CA7" w:rsidP="00BE2CA7">
      <w:pPr>
        <w:pStyle w:val="SingleTxtG"/>
        <w:tabs>
          <w:tab w:val="right" w:leader="dot" w:pos="8505"/>
        </w:tabs>
        <w:kinsoku/>
        <w:overflowPunct/>
        <w:autoSpaceDE/>
        <w:autoSpaceDN/>
        <w:adjustRightInd/>
        <w:snapToGrid/>
        <w:ind w:left="1701" w:hanging="567"/>
        <w:jc w:val="left"/>
        <w:rPr>
          <w:lang w:val="fr-FR"/>
        </w:rPr>
      </w:pPr>
      <w:r w:rsidRPr="00A318C3">
        <w:rPr>
          <w:lang w:val="fr-FR"/>
        </w:rPr>
        <w:t>0.3</w:t>
      </w:r>
      <w:r w:rsidRPr="00A318C3">
        <w:rPr>
          <w:lang w:val="fr-FR"/>
        </w:rPr>
        <w:tab/>
        <w:t>Moyens d</w:t>
      </w:r>
      <w:r>
        <w:rPr>
          <w:lang w:val="fr-FR"/>
        </w:rPr>
        <w:t>’</w:t>
      </w:r>
      <w:r w:rsidRPr="00A318C3">
        <w:rPr>
          <w:lang w:val="fr-FR"/>
        </w:rPr>
        <w:t>identification du type</w:t>
      </w:r>
      <w:r>
        <w:rPr>
          <w:lang w:val="fr-FR"/>
        </w:rPr>
        <w:t>,</w:t>
      </w:r>
      <w:r w:rsidRPr="00A318C3">
        <w:rPr>
          <w:lang w:val="fr-FR"/>
        </w:rPr>
        <w:t xml:space="preserve"> s</w:t>
      </w:r>
      <w:r>
        <w:rPr>
          <w:lang w:val="fr-FR"/>
        </w:rPr>
        <w:t>’</w:t>
      </w:r>
      <w:r w:rsidRPr="00A318C3">
        <w:rPr>
          <w:lang w:val="fr-FR"/>
        </w:rPr>
        <w:t xml:space="preserve">il </w:t>
      </w:r>
      <w:r>
        <w:rPr>
          <w:lang w:val="fr-FR"/>
        </w:rPr>
        <w:t xml:space="preserve">est indiqué </w:t>
      </w:r>
      <w:r w:rsidRPr="00A318C3">
        <w:rPr>
          <w:lang w:val="fr-FR"/>
        </w:rPr>
        <w:t>sur le véhicule</w:t>
      </w:r>
      <w:r w:rsidRPr="00A318C3">
        <w:rPr>
          <w:rStyle w:val="Appelnotedebasdep"/>
          <w:lang w:val="fr-FR"/>
        </w:rPr>
        <w:footnoteReference w:customMarkFollows="1" w:id="20"/>
        <w:t>3</w:t>
      </w:r>
    </w:p>
    <w:p w14:paraId="530455A0" w14:textId="77777777" w:rsidR="00BE2CA7" w:rsidRPr="00A318C3" w:rsidRDefault="00BE2CA7" w:rsidP="00BE2CA7">
      <w:pPr>
        <w:pStyle w:val="SingleTxtG"/>
        <w:tabs>
          <w:tab w:val="right" w:leader="dot" w:pos="8505"/>
        </w:tabs>
        <w:kinsoku/>
        <w:overflowPunct/>
        <w:autoSpaceDE/>
        <w:autoSpaceDN/>
        <w:adjustRightInd/>
        <w:snapToGrid/>
        <w:ind w:left="1701" w:hanging="567"/>
        <w:jc w:val="left"/>
        <w:rPr>
          <w:lang w:val="fr-FR"/>
        </w:rPr>
      </w:pPr>
      <w:r w:rsidRPr="00A318C3">
        <w:rPr>
          <w:lang w:val="fr-FR"/>
        </w:rPr>
        <w:t>0.3.1</w:t>
      </w:r>
      <w:r w:rsidRPr="00A318C3">
        <w:rPr>
          <w:lang w:val="fr-FR"/>
        </w:rPr>
        <w:tab/>
        <w:t>Emplacement de ce marquage</w:t>
      </w:r>
      <w:r>
        <w:rPr>
          <w:lang w:val="fr-FR"/>
        </w:rPr>
        <w:t> </w:t>
      </w:r>
      <w:r w:rsidRPr="00A318C3">
        <w:rPr>
          <w:lang w:val="fr-FR"/>
        </w:rPr>
        <w:t>:</w:t>
      </w:r>
      <w:r w:rsidRPr="00A318C3">
        <w:rPr>
          <w:lang w:val="fr-FR"/>
        </w:rPr>
        <w:tab/>
      </w:r>
    </w:p>
    <w:p w14:paraId="6855BDCE" w14:textId="77777777" w:rsidR="00BE2CA7" w:rsidRPr="00A318C3" w:rsidRDefault="00BE2CA7" w:rsidP="00BE2CA7">
      <w:pPr>
        <w:pStyle w:val="SingleTxtG"/>
        <w:tabs>
          <w:tab w:val="right" w:leader="dot" w:pos="8505"/>
        </w:tabs>
        <w:kinsoku/>
        <w:overflowPunct/>
        <w:autoSpaceDE/>
        <w:autoSpaceDN/>
        <w:adjustRightInd/>
        <w:snapToGrid/>
        <w:ind w:left="1701" w:hanging="567"/>
        <w:jc w:val="left"/>
        <w:rPr>
          <w:vertAlign w:val="subscript"/>
          <w:lang w:val="fr-FR"/>
        </w:rPr>
      </w:pPr>
      <w:r w:rsidRPr="00A318C3">
        <w:rPr>
          <w:lang w:val="fr-FR"/>
        </w:rPr>
        <w:t>0.4</w:t>
      </w:r>
      <w:r w:rsidRPr="00A318C3">
        <w:rPr>
          <w:lang w:val="fr-FR"/>
        </w:rPr>
        <w:tab/>
        <w:t>Catégorie d</w:t>
      </w:r>
      <w:r>
        <w:rPr>
          <w:lang w:val="fr-FR"/>
        </w:rPr>
        <w:t>e</w:t>
      </w:r>
      <w:r w:rsidRPr="00A318C3">
        <w:rPr>
          <w:lang w:val="fr-FR"/>
        </w:rPr>
        <w:t xml:space="preserve"> véhicule</w:t>
      </w:r>
      <w:r w:rsidRPr="00A318C3">
        <w:rPr>
          <w:rStyle w:val="Appelnotedebasdep"/>
          <w:lang w:val="fr-FR"/>
        </w:rPr>
        <w:footnoteReference w:customMarkFollows="1" w:id="21"/>
        <w:t>4</w:t>
      </w:r>
      <w:r>
        <w:rPr>
          <w:lang w:val="fr-FR"/>
        </w:rPr>
        <w:t> </w:t>
      </w:r>
      <w:r w:rsidRPr="00A318C3">
        <w:rPr>
          <w:lang w:val="fr-FR"/>
        </w:rPr>
        <w:t>:</w:t>
      </w:r>
      <w:r w:rsidRPr="00A318C3">
        <w:rPr>
          <w:lang w:val="fr-FR"/>
        </w:rPr>
        <w:tab/>
      </w:r>
    </w:p>
    <w:p w14:paraId="3C5F6A24" w14:textId="77777777" w:rsidR="00BE2CA7" w:rsidRPr="00A318C3" w:rsidRDefault="00BE2CA7" w:rsidP="00BE2CA7">
      <w:pPr>
        <w:pStyle w:val="SingleTxtG"/>
        <w:tabs>
          <w:tab w:val="right" w:leader="dot" w:pos="8505"/>
        </w:tabs>
        <w:kinsoku/>
        <w:overflowPunct/>
        <w:autoSpaceDE/>
        <w:autoSpaceDN/>
        <w:adjustRightInd/>
        <w:snapToGrid/>
        <w:ind w:left="1701" w:hanging="567"/>
        <w:jc w:val="left"/>
        <w:rPr>
          <w:lang w:val="fr-FR"/>
        </w:rPr>
      </w:pPr>
      <w:r w:rsidRPr="00A318C3">
        <w:rPr>
          <w:lang w:val="fr-FR"/>
        </w:rPr>
        <w:t>0.5</w:t>
      </w:r>
      <w:r w:rsidRPr="00A318C3">
        <w:rPr>
          <w:lang w:val="fr-FR"/>
        </w:rPr>
        <w:tab/>
        <w:t>Nom et adresse du constructeur</w:t>
      </w:r>
      <w:r>
        <w:rPr>
          <w:lang w:val="fr-FR"/>
        </w:rPr>
        <w:t> </w:t>
      </w:r>
      <w:r w:rsidRPr="00A318C3">
        <w:rPr>
          <w:lang w:val="fr-FR"/>
        </w:rPr>
        <w:t>:</w:t>
      </w:r>
      <w:r w:rsidRPr="00A318C3">
        <w:rPr>
          <w:lang w:val="fr-FR"/>
        </w:rPr>
        <w:tab/>
      </w:r>
    </w:p>
    <w:p w14:paraId="3377CCE8" w14:textId="77777777" w:rsidR="00BE2CA7" w:rsidRPr="00A318C3" w:rsidRDefault="00BE2CA7" w:rsidP="00BE2CA7">
      <w:pPr>
        <w:pStyle w:val="ManualNumPar1"/>
        <w:tabs>
          <w:tab w:val="left" w:pos="851"/>
          <w:tab w:val="left" w:leader="dot" w:pos="8505"/>
        </w:tabs>
        <w:spacing w:before="0"/>
        <w:ind w:left="1985" w:right="1134"/>
        <w:outlineLvl w:val="0"/>
        <w:rPr>
          <w:sz w:val="20"/>
          <w:lang w:val="fr-FR"/>
        </w:rPr>
      </w:pPr>
      <w:r w:rsidRPr="00A318C3">
        <w:rPr>
          <w:sz w:val="20"/>
          <w:lang w:val="fr-FR"/>
        </w:rPr>
        <w:t>0.8</w:t>
      </w:r>
      <w:r w:rsidRPr="00A318C3">
        <w:rPr>
          <w:sz w:val="20"/>
          <w:lang w:val="fr-FR"/>
        </w:rPr>
        <w:tab/>
        <w:t xml:space="preserve">Nom(s) et adresse(s) </w:t>
      </w:r>
      <w:r>
        <w:rPr>
          <w:sz w:val="20"/>
          <w:lang w:val="fr-FR"/>
        </w:rPr>
        <w:t>du ou des</w:t>
      </w:r>
      <w:r w:rsidRPr="00A318C3">
        <w:rPr>
          <w:sz w:val="20"/>
          <w:lang w:val="fr-FR"/>
        </w:rPr>
        <w:t xml:space="preserve"> ateliers de montage</w:t>
      </w:r>
      <w:r>
        <w:rPr>
          <w:sz w:val="20"/>
          <w:lang w:val="fr-FR"/>
        </w:rPr>
        <w:t> </w:t>
      </w:r>
      <w:r w:rsidRPr="00A318C3">
        <w:rPr>
          <w:sz w:val="20"/>
          <w:lang w:val="fr-FR"/>
        </w:rPr>
        <w:t>:</w:t>
      </w:r>
      <w:r w:rsidRPr="00A318C3">
        <w:rPr>
          <w:sz w:val="20"/>
          <w:lang w:val="fr-FR"/>
        </w:rPr>
        <w:tab/>
      </w:r>
    </w:p>
    <w:p w14:paraId="15FCB45B" w14:textId="77777777" w:rsidR="00BE2CA7" w:rsidRPr="00A318C3" w:rsidRDefault="00BE2CA7" w:rsidP="00BE2CA7">
      <w:pPr>
        <w:pStyle w:val="SingleTxtG"/>
        <w:tabs>
          <w:tab w:val="right" w:leader="dot" w:pos="8505"/>
        </w:tabs>
        <w:kinsoku/>
        <w:overflowPunct/>
        <w:autoSpaceDE/>
        <w:autoSpaceDN/>
        <w:adjustRightInd/>
        <w:snapToGrid/>
        <w:ind w:left="1701" w:hanging="567"/>
        <w:jc w:val="left"/>
        <w:rPr>
          <w:lang w:val="fr-FR"/>
        </w:rPr>
      </w:pPr>
      <w:r w:rsidRPr="00A318C3">
        <w:rPr>
          <w:lang w:val="fr-FR"/>
        </w:rPr>
        <w:t>0.9</w:t>
      </w:r>
      <w:r w:rsidRPr="00A318C3">
        <w:rPr>
          <w:lang w:val="fr-FR"/>
        </w:rPr>
        <w:tab/>
        <w:t>Le cas échéant, nom et adresse du mandataire</w:t>
      </w:r>
      <w:r>
        <w:rPr>
          <w:lang w:val="fr-FR"/>
        </w:rPr>
        <w:t xml:space="preserve"> </w:t>
      </w:r>
      <w:r w:rsidRPr="00A318C3">
        <w:rPr>
          <w:lang w:val="fr-FR"/>
        </w:rPr>
        <w:t>du constructeur</w:t>
      </w:r>
      <w:r>
        <w:rPr>
          <w:lang w:val="fr-FR"/>
        </w:rPr>
        <w:t> </w:t>
      </w:r>
      <w:r w:rsidRPr="00A318C3">
        <w:rPr>
          <w:lang w:val="fr-FR"/>
        </w:rPr>
        <w:t>:</w:t>
      </w:r>
      <w:r w:rsidRPr="00A318C3">
        <w:rPr>
          <w:lang w:val="fr-FR"/>
        </w:rPr>
        <w:tab/>
      </w:r>
    </w:p>
    <w:p w14:paraId="1A9FB2E5" w14:textId="77777777" w:rsidR="00BE2CA7" w:rsidRDefault="00BE2CA7" w:rsidP="00BE2CA7">
      <w:pPr>
        <w:pStyle w:val="SingleTxtG"/>
        <w:tabs>
          <w:tab w:val="right" w:leader="dot" w:pos="8505"/>
        </w:tabs>
        <w:kinsoku/>
        <w:overflowPunct/>
        <w:autoSpaceDE/>
        <w:autoSpaceDN/>
        <w:adjustRightInd/>
        <w:snapToGrid/>
        <w:ind w:left="1701" w:hanging="567"/>
        <w:jc w:val="left"/>
        <w:rPr>
          <w:lang w:val="fr-FR"/>
        </w:rPr>
      </w:pPr>
      <w:r w:rsidRPr="00A318C3">
        <w:rPr>
          <w:lang w:val="fr-FR"/>
        </w:rPr>
        <w:t>1.0</w:t>
      </w:r>
      <w:r w:rsidRPr="00A318C3">
        <w:rPr>
          <w:lang w:val="fr-FR"/>
        </w:rPr>
        <w:tab/>
      </w:r>
      <w:r>
        <w:rPr>
          <w:lang w:val="fr-FR"/>
        </w:rPr>
        <w:t>Remarques </w:t>
      </w:r>
      <w:r w:rsidRPr="00A318C3">
        <w:rPr>
          <w:lang w:val="fr-FR"/>
        </w:rPr>
        <w:t>:…</w:t>
      </w:r>
    </w:p>
    <w:p w14:paraId="7B9EB8A1" w14:textId="77777777" w:rsidR="00BE2CA7" w:rsidRPr="00A318C3" w:rsidRDefault="00BE2CA7" w:rsidP="00BE2CA7">
      <w:pPr>
        <w:pStyle w:val="ManualNumPar1"/>
        <w:tabs>
          <w:tab w:val="left" w:pos="851"/>
          <w:tab w:val="left" w:leader="dot" w:pos="8505"/>
        </w:tabs>
        <w:spacing w:before="0"/>
        <w:ind w:left="1985" w:right="1134"/>
        <w:outlineLvl w:val="0"/>
        <w:rPr>
          <w:sz w:val="20"/>
          <w:lang w:val="fr-FR"/>
        </w:rPr>
      </w:pPr>
      <w:r w:rsidRPr="00A318C3">
        <w:rPr>
          <w:sz w:val="20"/>
          <w:lang w:val="fr-FR"/>
        </w:rPr>
        <w:t>Section II</w:t>
      </w:r>
    </w:p>
    <w:p w14:paraId="131DF698" w14:textId="77777777" w:rsidR="00BE2CA7" w:rsidRPr="00A318C3" w:rsidRDefault="00BE2CA7" w:rsidP="00BE2CA7">
      <w:pPr>
        <w:pStyle w:val="SingleTxtG"/>
        <w:tabs>
          <w:tab w:val="right" w:leader="dot" w:pos="8505"/>
        </w:tabs>
        <w:kinsoku/>
        <w:overflowPunct/>
        <w:autoSpaceDE/>
        <w:autoSpaceDN/>
        <w:adjustRightInd/>
        <w:snapToGrid/>
        <w:ind w:left="1701" w:hanging="567"/>
        <w:jc w:val="left"/>
        <w:rPr>
          <w:lang w:val="fr-FR"/>
        </w:rPr>
      </w:pPr>
      <w:r w:rsidRPr="00A318C3">
        <w:rPr>
          <w:lang w:val="fr-FR"/>
        </w:rPr>
        <w:t>1.</w:t>
      </w:r>
      <w:r w:rsidRPr="00A318C3">
        <w:rPr>
          <w:lang w:val="fr-FR"/>
        </w:rPr>
        <w:tab/>
        <w:t>Informations complémentaires (le cas échéant)</w:t>
      </w:r>
      <w:r>
        <w:rPr>
          <w:lang w:val="fr-FR"/>
        </w:rPr>
        <w:t> </w:t>
      </w:r>
      <w:r w:rsidRPr="00A318C3">
        <w:rPr>
          <w:lang w:val="fr-FR"/>
        </w:rPr>
        <w:t>: voir l</w:t>
      </w:r>
      <w:r>
        <w:rPr>
          <w:lang w:val="fr-FR"/>
        </w:rPr>
        <w:t>’</w:t>
      </w:r>
      <w:r w:rsidRPr="00A318C3">
        <w:rPr>
          <w:lang w:val="fr-FR"/>
        </w:rPr>
        <w:t>additif</w:t>
      </w:r>
    </w:p>
    <w:p w14:paraId="7F89F3AA" w14:textId="77777777" w:rsidR="00BE2CA7" w:rsidRPr="00A318C3" w:rsidRDefault="00BE2CA7" w:rsidP="00BE2CA7">
      <w:pPr>
        <w:pStyle w:val="SingleTxtG"/>
        <w:tabs>
          <w:tab w:val="right" w:leader="dot" w:pos="8505"/>
        </w:tabs>
        <w:kinsoku/>
        <w:overflowPunct/>
        <w:autoSpaceDE/>
        <w:autoSpaceDN/>
        <w:adjustRightInd/>
        <w:snapToGrid/>
        <w:ind w:left="1701" w:hanging="567"/>
        <w:jc w:val="left"/>
        <w:rPr>
          <w:lang w:val="fr-FR"/>
        </w:rPr>
      </w:pPr>
      <w:r w:rsidRPr="00A318C3">
        <w:rPr>
          <w:lang w:val="fr-FR"/>
        </w:rPr>
        <w:t>2.</w:t>
      </w:r>
      <w:r w:rsidRPr="00A318C3">
        <w:rPr>
          <w:lang w:val="fr-FR"/>
        </w:rPr>
        <w:tab/>
        <w:t>Service technique responsable de la réalisation des essais</w:t>
      </w:r>
      <w:r>
        <w:rPr>
          <w:lang w:val="fr-FR"/>
        </w:rPr>
        <w:t> </w:t>
      </w:r>
      <w:r w:rsidRPr="00A318C3">
        <w:rPr>
          <w:lang w:val="fr-FR"/>
        </w:rPr>
        <w:t>:</w:t>
      </w:r>
      <w:r w:rsidRPr="00A318C3">
        <w:rPr>
          <w:lang w:val="fr-FR"/>
        </w:rPr>
        <w:tab/>
      </w:r>
    </w:p>
    <w:p w14:paraId="6A55C7C7" w14:textId="77777777" w:rsidR="00BE2CA7" w:rsidRPr="00A318C3" w:rsidRDefault="00BE2CA7" w:rsidP="00BE2CA7">
      <w:pPr>
        <w:pStyle w:val="SingleTxtG"/>
        <w:tabs>
          <w:tab w:val="right" w:leader="dot" w:pos="8505"/>
        </w:tabs>
        <w:kinsoku/>
        <w:overflowPunct/>
        <w:autoSpaceDE/>
        <w:autoSpaceDN/>
        <w:adjustRightInd/>
        <w:snapToGrid/>
        <w:ind w:left="1701" w:hanging="567"/>
        <w:jc w:val="left"/>
        <w:rPr>
          <w:lang w:val="fr-FR"/>
        </w:rPr>
      </w:pPr>
      <w:r w:rsidRPr="00A318C3">
        <w:rPr>
          <w:lang w:val="fr-FR"/>
        </w:rPr>
        <w:t>3.</w:t>
      </w:r>
      <w:r w:rsidRPr="00A318C3">
        <w:rPr>
          <w:lang w:val="fr-FR"/>
        </w:rPr>
        <w:tab/>
        <w:t xml:space="preserve">Date du </w:t>
      </w:r>
      <w:r>
        <w:rPr>
          <w:lang w:val="fr-FR"/>
        </w:rPr>
        <w:t>procès-verbal de l’essai </w:t>
      </w:r>
      <w:r w:rsidRPr="00A318C3">
        <w:rPr>
          <w:lang w:val="fr-FR"/>
        </w:rPr>
        <w:t>:</w:t>
      </w:r>
      <w:r w:rsidRPr="00A318C3">
        <w:rPr>
          <w:lang w:val="fr-FR"/>
        </w:rPr>
        <w:tab/>
      </w:r>
    </w:p>
    <w:p w14:paraId="77DE036B" w14:textId="77777777" w:rsidR="00BE2CA7" w:rsidRPr="00A318C3" w:rsidRDefault="00BE2CA7" w:rsidP="00BE2CA7">
      <w:pPr>
        <w:pStyle w:val="SingleTxtG"/>
        <w:tabs>
          <w:tab w:val="right" w:leader="dot" w:pos="8505"/>
        </w:tabs>
        <w:kinsoku/>
        <w:overflowPunct/>
        <w:autoSpaceDE/>
        <w:autoSpaceDN/>
        <w:adjustRightInd/>
        <w:snapToGrid/>
        <w:ind w:left="1701" w:hanging="567"/>
        <w:jc w:val="left"/>
        <w:rPr>
          <w:lang w:val="fr-FR"/>
        </w:rPr>
      </w:pPr>
      <w:r w:rsidRPr="00A318C3">
        <w:rPr>
          <w:lang w:val="fr-FR"/>
        </w:rPr>
        <w:lastRenderedPageBreak/>
        <w:t>4.</w:t>
      </w:r>
      <w:r w:rsidRPr="00A318C3">
        <w:rPr>
          <w:lang w:val="fr-FR"/>
        </w:rPr>
        <w:tab/>
        <w:t xml:space="preserve">Numéro du </w:t>
      </w:r>
      <w:r>
        <w:rPr>
          <w:lang w:val="fr-FR"/>
        </w:rPr>
        <w:t>procès-verbal de l’essai </w:t>
      </w:r>
      <w:r w:rsidRPr="00A318C3">
        <w:rPr>
          <w:lang w:val="fr-FR"/>
        </w:rPr>
        <w:t>:</w:t>
      </w:r>
      <w:r w:rsidRPr="00A318C3">
        <w:rPr>
          <w:lang w:val="fr-FR"/>
        </w:rPr>
        <w:tab/>
      </w:r>
    </w:p>
    <w:p w14:paraId="1B360FD1" w14:textId="77777777" w:rsidR="00BE2CA7" w:rsidRPr="00A318C3" w:rsidRDefault="00BE2CA7" w:rsidP="00BE2CA7">
      <w:pPr>
        <w:pStyle w:val="SingleTxtG"/>
        <w:tabs>
          <w:tab w:val="right" w:leader="dot" w:pos="8505"/>
        </w:tabs>
        <w:kinsoku/>
        <w:overflowPunct/>
        <w:autoSpaceDE/>
        <w:autoSpaceDN/>
        <w:adjustRightInd/>
        <w:snapToGrid/>
        <w:ind w:left="1701" w:hanging="567"/>
        <w:jc w:val="left"/>
        <w:rPr>
          <w:lang w:val="fr-FR"/>
        </w:rPr>
      </w:pPr>
      <w:r w:rsidRPr="00A318C3">
        <w:rPr>
          <w:lang w:val="fr-FR"/>
        </w:rPr>
        <w:t>5.</w:t>
      </w:r>
      <w:r w:rsidRPr="00A318C3">
        <w:rPr>
          <w:lang w:val="fr-FR"/>
        </w:rPr>
        <w:tab/>
        <w:t>Remarques (le cas échéant)</w:t>
      </w:r>
      <w:r>
        <w:rPr>
          <w:lang w:val="fr-FR"/>
        </w:rPr>
        <w:t> </w:t>
      </w:r>
      <w:r w:rsidRPr="00A318C3">
        <w:rPr>
          <w:lang w:val="fr-FR"/>
        </w:rPr>
        <w:t>: (</w:t>
      </w:r>
      <w:r>
        <w:rPr>
          <w:lang w:val="fr-FR"/>
        </w:rPr>
        <w:t>voir la</w:t>
      </w:r>
      <w:r w:rsidRPr="00A318C3">
        <w:rPr>
          <w:lang w:val="fr-FR"/>
        </w:rPr>
        <w:t xml:space="preserve"> section</w:t>
      </w:r>
      <w:r>
        <w:rPr>
          <w:lang w:val="fr-FR"/>
        </w:rPr>
        <w:t> </w:t>
      </w:r>
      <w:r w:rsidRPr="00A318C3">
        <w:rPr>
          <w:lang w:val="fr-FR"/>
        </w:rPr>
        <w:t xml:space="preserve">3 </w:t>
      </w:r>
      <w:r>
        <w:rPr>
          <w:lang w:val="fr-FR"/>
        </w:rPr>
        <w:t>de l’additif</w:t>
      </w:r>
      <w:r w:rsidRPr="00A318C3">
        <w:rPr>
          <w:lang w:val="fr-FR"/>
        </w:rPr>
        <w:t>)</w:t>
      </w:r>
    </w:p>
    <w:p w14:paraId="040986CB" w14:textId="77777777" w:rsidR="00BE2CA7" w:rsidRPr="00A318C3" w:rsidRDefault="00BE2CA7" w:rsidP="00BE2CA7">
      <w:pPr>
        <w:pStyle w:val="SingleTxtG"/>
        <w:tabs>
          <w:tab w:val="right" w:leader="dot" w:pos="8505"/>
        </w:tabs>
        <w:kinsoku/>
        <w:overflowPunct/>
        <w:autoSpaceDE/>
        <w:autoSpaceDN/>
        <w:adjustRightInd/>
        <w:snapToGrid/>
        <w:ind w:left="1701" w:hanging="567"/>
        <w:jc w:val="left"/>
        <w:rPr>
          <w:lang w:val="fr-FR" w:eastAsia="zh-CN"/>
        </w:rPr>
      </w:pPr>
      <w:r w:rsidRPr="00A318C3">
        <w:rPr>
          <w:lang w:val="fr-FR" w:eastAsia="zh-CN"/>
        </w:rPr>
        <w:t>6.</w:t>
      </w:r>
      <w:r w:rsidRPr="00A318C3">
        <w:rPr>
          <w:lang w:val="fr-FR" w:eastAsia="zh-CN"/>
        </w:rPr>
        <w:tab/>
        <w:t>Lieu</w:t>
      </w:r>
      <w:r>
        <w:rPr>
          <w:lang w:val="fr-FR" w:eastAsia="zh-CN"/>
        </w:rPr>
        <w:t> </w:t>
      </w:r>
      <w:r w:rsidRPr="00A318C3">
        <w:rPr>
          <w:lang w:val="fr-FR" w:eastAsia="zh-CN"/>
        </w:rPr>
        <w:t>:</w:t>
      </w:r>
      <w:r w:rsidRPr="00A318C3">
        <w:rPr>
          <w:lang w:val="fr-FR" w:eastAsia="zh-CN"/>
        </w:rPr>
        <w:tab/>
      </w:r>
    </w:p>
    <w:p w14:paraId="7C84C042" w14:textId="77777777" w:rsidR="00BE2CA7" w:rsidRPr="00A318C3" w:rsidRDefault="00BE2CA7" w:rsidP="00BE2CA7">
      <w:pPr>
        <w:pStyle w:val="SingleTxtG"/>
        <w:tabs>
          <w:tab w:val="right" w:leader="dot" w:pos="8505"/>
        </w:tabs>
        <w:kinsoku/>
        <w:overflowPunct/>
        <w:autoSpaceDE/>
        <w:autoSpaceDN/>
        <w:adjustRightInd/>
        <w:snapToGrid/>
        <w:ind w:left="1701" w:hanging="567"/>
        <w:jc w:val="left"/>
        <w:rPr>
          <w:lang w:val="fr-FR" w:eastAsia="zh-CN"/>
        </w:rPr>
      </w:pPr>
      <w:r w:rsidRPr="00A318C3">
        <w:rPr>
          <w:lang w:val="fr-FR" w:eastAsia="zh-CN"/>
        </w:rPr>
        <w:t>7.</w:t>
      </w:r>
      <w:r w:rsidRPr="00A318C3">
        <w:rPr>
          <w:lang w:val="fr-FR" w:eastAsia="zh-CN"/>
        </w:rPr>
        <w:tab/>
        <w:t>Date</w:t>
      </w:r>
      <w:r>
        <w:rPr>
          <w:lang w:val="fr-FR" w:eastAsia="zh-CN"/>
        </w:rPr>
        <w:t> </w:t>
      </w:r>
      <w:r w:rsidRPr="00A318C3">
        <w:rPr>
          <w:lang w:val="fr-FR" w:eastAsia="zh-CN"/>
        </w:rPr>
        <w:t>:</w:t>
      </w:r>
      <w:r w:rsidRPr="00A318C3">
        <w:rPr>
          <w:lang w:val="fr-FR" w:eastAsia="zh-CN"/>
        </w:rPr>
        <w:tab/>
      </w:r>
      <w:r w:rsidRPr="00A318C3">
        <w:rPr>
          <w:lang w:val="fr-FR" w:eastAsia="zh-CN"/>
        </w:rPr>
        <w:tab/>
      </w:r>
    </w:p>
    <w:p w14:paraId="0BD08BC1" w14:textId="77777777" w:rsidR="00BE2CA7" w:rsidRDefault="00BE2CA7" w:rsidP="00BE2CA7">
      <w:pPr>
        <w:pStyle w:val="SingleTxtG"/>
        <w:tabs>
          <w:tab w:val="right" w:leader="dot" w:pos="8505"/>
        </w:tabs>
        <w:kinsoku/>
        <w:overflowPunct/>
        <w:autoSpaceDE/>
        <w:autoSpaceDN/>
        <w:adjustRightInd/>
        <w:snapToGrid/>
        <w:ind w:left="1701" w:hanging="567"/>
        <w:jc w:val="left"/>
        <w:rPr>
          <w:lang w:val="fr-FR" w:eastAsia="zh-CN"/>
        </w:rPr>
      </w:pPr>
      <w:r w:rsidRPr="00A318C3">
        <w:rPr>
          <w:lang w:val="fr-FR" w:eastAsia="zh-CN"/>
        </w:rPr>
        <w:t>8.</w:t>
      </w:r>
      <w:r w:rsidRPr="00A318C3">
        <w:rPr>
          <w:lang w:val="fr-FR" w:eastAsia="zh-CN"/>
        </w:rPr>
        <w:tab/>
        <w:t>Signature</w:t>
      </w:r>
      <w:r>
        <w:rPr>
          <w:lang w:val="fr-FR" w:eastAsia="zh-CN"/>
        </w:rPr>
        <w:t> </w:t>
      </w:r>
      <w:r w:rsidRPr="00A318C3">
        <w:rPr>
          <w:lang w:val="fr-FR" w:eastAsia="zh-CN"/>
        </w:rPr>
        <w:t>:</w:t>
      </w:r>
      <w:r w:rsidRPr="00A318C3">
        <w:rPr>
          <w:lang w:val="fr-FR" w:eastAsia="zh-CN"/>
        </w:rPr>
        <w:tab/>
      </w:r>
    </w:p>
    <w:p w14:paraId="5A8E349E" w14:textId="77777777" w:rsidR="00BE2CA7" w:rsidRPr="00A318C3" w:rsidRDefault="00BE2CA7" w:rsidP="00BE2CA7">
      <w:pPr>
        <w:pStyle w:val="SingleTxtG"/>
        <w:tabs>
          <w:tab w:val="left" w:pos="2835"/>
        </w:tabs>
        <w:spacing w:before="1080"/>
        <w:rPr>
          <w:lang w:val="fr-FR"/>
        </w:rPr>
      </w:pPr>
      <w:r w:rsidRPr="00A318C3">
        <w:rPr>
          <w:lang w:val="fr-FR"/>
        </w:rPr>
        <w:t>Pièces jointes</w:t>
      </w:r>
      <w:r>
        <w:rPr>
          <w:lang w:val="fr-FR"/>
        </w:rPr>
        <w:t> </w:t>
      </w:r>
      <w:r w:rsidRPr="00A318C3">
        <w:rPr>
          <w:lang w:val="fr-FR"/>
        </w:rPr>
        <w:t>:</w:t>
      </w:r>
      <w:r>
        <w:rPr>
          <w:lang w:val="fr-FR"/>
        </w:rPr>
        <w:tab/>
      </w:r>
      <w:r w:rsidRPr="00A318C3">
        <w:rPr>
          <w:lang w:val="fr-FR"/>
        </w:rPr>
        <w:t>1.</w:t>
      </w:r>
      <w:r w:rsidRPr="00A318C3">
        <w:rPr>
          <w:lang w:val="fr-FR"/>
        </w:rPr>
        <w:tab/>
      </w:r>
      <w:r>
        <w:rPr>
          <w:lang w:val="fr-FR"/>
        </w:rPr>
        <w:t>Dossier d’information</w:t>
      </w:r>
      <w:r w:rsidRPr="00A318C3">
        <w:rPr>
          <w:lang w:val="fr-FR"/>
        </w:rPr>
        <w:t>.</w:t>
      </w:r>
    </w:p>
    <w:p w14:paraId="1B3A7245" w14:textId="77777777" w:rsidR="00BE2CA7" w:rsidRDefault="00BE2CA7" w:rsidP="00BE2CA7">
      <w:pPr>
        <w:pStyle w:val="SingleTxtG"/>
        <w:ind w:left="2268" w:firstLine="567"/>
        <w:rPr>
          <w:lang w:val="fr-FR"/>
        </w:rPr>
        <w:sectPr w:rsidR="00BE2CA7" w:rsidSect="00BE2CA7">
          <w:endnotePr>
            <w:numFmt w:val="decimal"/>
          </w:endnotePr>
          <w:pgSz w:w="11907" w:h="16840" w:code="9"/>
          <w:pgMar w:top="1417" w:right="1134" w:bottom="1134" w:left="1134" w:header="680" w:footer="567" w:gutter="0"/>
          <w:cols w:space="720"/>
          <w:docGrid w:linePitch="272"/>
        </w:sectPr>
      </w:pPr>
      <w:r w:rsidRPr="00A318C3">
        <w:rPr>
          <w:lang w:val="fr-FR"/>
        </w:rPr>
        <w:t>2.</w:t>
      </w:r>
      <w:r w:rsidRPr="00A318C3">
        <w:rPr>
          <w:lang w:val="fr-FR"/>
        </w:rPr>
        <w:tab/>
      </w:r>
      <w:r>
        <w:rPr>
          <w:lang w:val="fr-FR"/>
        </w:rPr>
        <w:t>Procès-verbal d’essai</w:t>
      </w:r>
      <w:r w:rsidRPr="00A318C3">
        <w:rPr>
          <w:lang w:val="fr-FR"/>
        </w:rPr>
        <w:t>.</w:t>
      </w:r>
    </w:p>
    <w:p w14:paraId="1567C267" w14:textId="29DB2914" w:rsidR="00BE2CA7" w:rsidRPr="00440C76" w:rsidRDefault="00BE2CA7" w:rsidP="00BE2CA7">
      <w:pPr>
        <w:pStyle w:val="HChG"/>
        <w:rPr>
          <w:lang w:val="fr-FR"/>
        </w:rPr>
      </w:pPr>
      <w:bookmarkStart w:id="30" w:name="_Hlk162956554"/>
      <w:r w:rsidRPr="00440C76">
        <w:rPr>
          <w:iCs/>
          <w:lang w:val="fr-FR"/>
        </w:rPr>
        <w:lastRenderedPageBreak/>
        <w:tab/>
      </w:r>
      <w:r w:rsidRPr="00440C76">
        <w:rPr>
          <w:iCs/>
          <w:lang w:val="fr-FR"/>
        </w:rPr>
        <w:tab/>
      </w:r>
      <w:r w:rsidRPr="005467AD">
        <w:t>Additif</w:t>
      </w:r>
      <w:r w:rsidRPr="00440C76">
        <w:rPr>
          <w:iCs/>
          <w:lang w:val="fr-FR"/>
        </w:rPr>
        <w:t xml:space="preserve"> à la </w:t>
      </w:r>
      <w:r>
        <w:rPr>
          <w:iCs/>
          <w:lang w:val="fr-FR"/>
        </w:rPr>
        <w:t xml:space="preserve">fiche de </w:t>
      </w:r>
      <w:r w:rsidRPr="00440C76">
        <w:rPr>
          <w:iCs/>
          <w:lang w:val="fr-FR"/>
        </w:rPr>
        <w:t xml:space="preserve">communication </w:t>
      </w:r>
      <w:r w:rsidRPr="00440C76">
        <w:rPr>
          <w:lang w:val="fr-FR"/>
        </w:rPr>
        <w:t>n</w:t>
      </w:r>
      <w:r w:rsidRPr="00440C76">
        <w:rPr>
          <w:vertAlign w:val="superscript"/>
          <w:lang w:val="fr-FR"/>
        </w:rPr>
        <w:t>o</w:t>
      </w:r>
      <w:r w:rsidRPr="00440C76">
        <w:rPr>
          <w:iCs/>
          <w:lang w:val="fr-FR"/>
        </w:rPr>
        <w:t xml:space="preserve">… </w:t>
      </w:r>
      <w:r w:rsidRPr="00440C76">
        <w:rPr>
          <w:lang w:val="fr-FR"/>
        </w:rPr>
        <w:t xml:space="preserve">relative </w:t>
      </w:r>
      <w:r>
        <w:rPr>
          <w:lang w:val="fr-FR"/>
        </w:rPr>
        <w:br/>
      </w:r>
      <w:r w:rsidRPr="00440C76">
        <w:rPr>
          <w:lang w:val="fr-FR"/>
        </w:rPr>
        <w:t>à</w:t>
      </w:r>
      <w:r>
        <w:rPr>
          <w:lang w:val="fr-FR"/>
        </w:rPr>
        <w:t xml:space="preserve"> </w:t>
      </w:r>
      <w:r w:rsidRPr="00440C76">
        <w:rPr>
          <w:lang w:val="fr-FR"/>
        </w:rPr>
        <w:t>l</w:t>
      </w:r>
      <w:r>
        <w:rPr>
          <w:lang w:val="fr-FR"/>
        </w:rPr>
        <w:t>’</w:t>
      </w:r>
      <w:r w:rsidRPr="00440C76">
        <w:rPr>
          <w:lang w:val="fr-FR"/>
        </w:rPr>
        <w:t>homologation de</w:t>
      </w:r>
      <w:r w:rsidR="002D411F">
        <w:rPr>
          <w:lang w:val="fr-FR"/>
        </w:rPr>
        <w:t xml:space="preserve"> </w:t>
      </w:r>
      <w:r w:rsidRPr="00440C76">
        <w:rPr>
          <w:lang w:val="fr-FR"/>
        </w:rPr>
        <w:t>type d</w:t>
      </w:r>
      <w:r>
        <w:rPr>
          <w:lang w:val="fr-FR"/>
        </w:rPr>
        <w:t>’</w:t>
      </w:r>
      <w:r w:rsidRPr="00440C76">
        <w:rPr>
          <w:lang w:val="fr-FR"/>
        </w:rPr>
        <w:t xml:space="preserve">un véhicule en ce qui </w:t>
      </w:r>
      <w:r>
        <w:rPr>
          <w:lang w:val="fr-FR"/>
        </w:rPr>
        <w:br/>
      </w:r>
      <w:r w:rsidRPr="00440C76">
        <w:rPr>
          <w:lang w:val="fr-FR"/>
        </w:rPr>
        <w:t>concerne les émissions d</w:t>
      </w:r>
      <w:r>
        <w:rPr>
          <w:lang w:val="fr-FR"/>
        </w:rPr>
        <w:t>’</w:t>
      </w:r>
      <w:r w:rsidRPr="00440C76">
        <w:rPr>
          <w:lang w:val="fr-FR"/>
        </w:rPr>
        <w:t xml:space="preserve">échappement </w:t>
      </w:r>
      <w:r>
        <w:rPr>
          <w:lang w:val="fr-FR"/>
        </w:rPr>
        <w:t xml:space="preserve">en application </w:t>
      </w:r>
      <w:r>
        <w:rPr>
          <w:lang w:val="fr-FR"/>
        </w:rPr>
        <w:br/>
        <w:t xml:space="preserve">de </w:t>
      </w:r>
      <w:r w:rsidRPr="00440C76">
        <w:rPr>
          <w:lang w:val="fr-FR"/>
        </w:rPr>
        <w:t>la série</w:t>
      </w:r>
      <w:r>
        <w:rPr>
          <w:lang w:val="fr-FR"/>
        </w:rPr>
        <w:t> </w:t>
      </w:r>
      <w:r w:rsidRPr="00440C76">
        <w:rPr>
          <w:lang w:val="fr-FR"/>
        </w:rPr>
        <w:t>08 d</w:t>
      </w:r>
      <w:r>
        <w:rPr>
          <w:lang w:val="fr-FR"/>
        </w:rPr>
        <w:t>’</w:t>
      </w:r>
      <w:r w:rsidRPr="00440C76">
        <w:rPr>
          <w:lang w:val="fr-FR"/>
        </w:rPr>
        <w:t>amendements au Règlement ONU n</w:t>
      </w:r>
      <w:r w:rsidRPr="00440C76">
        <w:rPr>
          <w:vertAlign w:val="superscript"/>
          <w:lang w:val="fr-FR"/>
        </w:rPr>
        <w:t>o</w:t>
      </w:r>
      <w:r w:rsidRPr="00440C76">
        <w:rPr>
          <w:lang w:val="fr-FR"/>
        </w:rPr>
        <w:t> 83</w:t>
      </w:r>
    </w:p>
    <w:p w14:paraId="4899970D" w14:textId="77777777" w:rsidR="00BE2CA7" w:rsidRPr="00A318C3" w:rsidRDefault="00BE2CA7" w:rsidP="00BE2CA7">
      <w:pPr>
        <w:pStyle w:val="SingleTxtG"/>
        <w:tabs>
          <w:tab w:val="right" w:leader="dot" w:pos="8505"/>
        </w:tabs>
        <w:kinsoku/>
        <w:overflowPunct/>
        <w:autoSpaceDE/>
        <w:autoSpaceDN/>
        <w:adjustRightInd/>
        <w:snapToGrid/>
        <w:ind w:left="2268" w:hanging="1134"/>
        <w:jc w:val="left"/>
        <w:rPr>
          <w:lang w:val="fr-FR"/>
        </w:rPr>
      </w:pPr>
      <w:r w:rsidRPr="00A318C3">
        <w:rPr>
          <w:lang w:val="fr-FR"/>
        </w:rPr>
        <w:t>1.</w:t>
      </w:r>
      <w:r w:rsidRPr="00A318C3">
        <w:rPr>
          <w:lang w:val="fr-FR"/>
        </w:rPr>
        <w:tab/>
        <w:t xml:space="preserve">Informations </w:t>
      </w:r>
      <w:r>
        <w:rPr>
          <w:lang w:val="fr-FR"/>
        </w:rPr>
        <w:t>complémentaires</w:t>
      </w:r>
    </w:p>
    <w:p w14:paraId="474498F3" w14:textId="77777777" w:rsidR="00BE2CA7" w:rsidRPr="00A318C3" w:rsidRDefault="00BE2CA7" w:rsidP="00BE2CA7">
      <w:pPr>
        <w:pStyle w:val="SingleTxtG"/>
        <w:tabs>
          <w:tab w:val="right" w:leader="dot" w:pos="8505"/>
        </w:tabs>
        <w:kinsoku/>
        <w:overflowPunct/>
        <w:autoSpaceDE/>
        <w:autoSpaceDN/>
        <w:adjustRightInd/>
        <w:snapToGrid/>
        <w:ind w:left="2268" w:hanging="1134"/>
        <w:jc w:val="left"/>
        <w:rPr>
          <w:lang w:val="fr-FR"/>
        </w:rPr>
      </w:pPr>
      <w:r w:rsidRPr="00A318C3">
        <w:rPr>
          <w:lang w:val="fr-FR"/>
        </w:rPr>
        <w:t>1.1</w:t>
      </w:r>
      <w:r w:rsidRPr="00A318C3">
        <w:rPr>
          <w:lang w:val="fr-FR"/>
        </w:rPr>
        <w:tab/>
        <w:t>Masse du véhicule en ordre de marche</w:t>
      </w:r>
      <w:r>
        <w:rPr>
          <w:lang w:val="fr-FR"/>
        </w:rPr>
        <w:t> </w:t>
      </w:r>
      <w:r w:rsidRPr="00A318C3">
        <w:rPr>
          <w:lang w:val="fr-FR"/>
        </w:rPr>
        <w:t>:</w:t>
      </w:r>
      <w:r w:rsidRPr="00A318C3">
        <w:rPr>
          <w:lang w:val="fr-FR"/>
        </w:rPr>
        <w:tab/>
      </w:r>
    </w:p>
    <w:p w14:paraId="2DAC8A34" w14:textId="77777777" w:rsidR="00BE2CA7" w:rsidRPr="00A318C3" w:rsidRDefault="00BE2CA7" w:rsidP="00BE2CA7">
      <w:pPr>
        <w:pStyle w:val="SingleTxtG"/>
        <w:tabs>
          <w:tab w:val="right" w:leader="dot" w:pos="8505"/>
        </w:tabs>
        <w:kinsoku/>
        <w:overflowPunct/>
        <w:autoSpaceDE/>
        <w:autoSpaceDN/>
        <w:adjustRightInd/>
        <w:snapToGrid/>
        <w:ind w:left="2268" w:hanging="1134"/>
        <w:jc w:val="left"/>
        <w:rPr>
          <w:lang w:val="fr-FR"/>
        </w:rPr>
      </w:pPr>
      <w:r w:rsidRPr="00A318C3">
        <w:rPr>
          <w:lang w:val="fr-FR"/>
        </w:rPr>
        <w:t>1.2</w:t>
      </w:r>
      <w:r w:rsidRPr="00A318C3">
        <w:rPr>
          <w:lang w:val="fr-FR"/>
        </w:rPr>
        <w:tab/>
        <w:t>Masse de référence du véhicule</w:t>
      </w:r>
      <w:r>
        <w:rPr>
          <w:lang w:val="fr-FR"/>
        </w:rPr>
        <w:t> </w:t>
      </w:r>
      <w:r w:rsidRPr="00A318C3">
        <w:rPr>
          <w:lang w:val="fr-FR"/>
        </w:rPr>
        <w:t>:</w:t>
      </w:r>
      <w:r w:rsidRPr="00A318C3">
        <w:rPr>
          <w:lang w:val="fr-FR"/>
        </w:rPr>
        <w:tab/>
      </w:r>
    </w:p>
    <w:p w14:paraId="4F3EC442" w14:textId="77777777" w:rsidR="00BE2CA7" w:rsidRPr="00A318C3" w:rsidRDefault="00BE2CA7" w:rsidP="00BE2CA7">
      <w:pPr>
        <w:pStyle w:val="SingleTxtG"/>
        <w:tabs>
          <w:tab w:val="right" w:leader="dot" w:pos="8505"/>
        </w:tabs>
        <w:kinsoku/>
        <w:overflowPunct/>
        <w:autoSpaceDE/>
        <w:autoSpaceDN/>
        <w:adjustRightInd/>
        <w:snapToGrid/>
        <w:ind w:left="2268" w:hanging="1134"/>
        <w:jc w:val="left"/>
        <w:rPr>
          <w:lang w:val="fr-FR"/>
        </w:rPr>
      </w:pPr>
      <w:r w:rsidRPr="00A318C3">
        <w:rPr>
          <w:lang w:val="fr-FR"/>
        </w:rPr>
        <w:t>1.3</w:t>
      </w:r>
      <w:r w:rsidRPr="00A318C3">
        <w:rPr>
          <w:lang w:val="fr-FR"/>
        </w:rPr>
        <w:tab/>
        <w:t>Masse maximale du véhicule</w:t>
      </w:r>
      <w:r>
        <w:rPr>
          <w:lang w:val="fr-FR"/>
        </w:rPr>
        <w:t> </w:t>
      </w:r>
      <w:r w:rsidRPr="00A318C3">
        <w:rPr>
          <w:lang w:val="fr-FR"/>
        </w:rPr>
        <w:t>:</w:t>
      </w:r>
      <w:r w:rsidRPr="00A318C3">
        <w:rPr>
          <w:lang w:val="fr-FR"/>
        </w:rPr>
        <w:tab/>
      </w:r>
    </w:p>
    <w:p w14:paraId="35FBE9E0" w14:textId="77777777" w:rsidR="00BE2CA7" w:rsidRPr="00A318C3" w:rsidRDefault="00BE2CA7" w:rsidP="00BE2CA7">
      <w:pPr>
        <w:pStyle w:val="SingleTxtG"/>
        <w:tabs>
          <w:tab w:val="right" w:leader="dot" w:pos="8505"/>
        </w:tabs>
        <w:kinsoku/>
        <w:overflowPunct/>
        <w:autoSpaceDE/>
        <w:autoSpaceDN/>
        <w:adjustRightInd/>
        <w:snapToGrid/>
        <w:ind w:left="2268" w:hanging="1134"/>
        <w:jc w:val="left"/>
        <w:rPr>
          <w:lang w:val="fr-FR"/>
        </w:rPr>
      </w:pPr>
      <w:r w:rsidRPr="00A318C3">
        <w:rPr>
          <w:lang w:val="fr-FR"/>
        </w:rPr>
        <w:t>1.7</w:t>
      </w:r>
      <w:r w:rsidRPr="00A318C3">
        <w:rPr>
          <w:lang w:val="fr-FR"/>
        </w:rPr>
        <w:tab/>
        <w:t>Roues motrices</w:t>
      </w:r>
      <w:r>
        <w:rPr>
          <w:lang w:val="fr-FR"/>
        </w:rPr>
        <w:t> </w:t>
      </w:r>
      <w:r w:rsidRPr="00A318C3">
        <w:rPr>
          <w:lang w:val="fr-FR"/>
        </w:rPr>
        <w:t>: avant, arrière, 4 x 4</w:t>
      </w:r>
      <w:r w:rsidRPr="00A318C3">
        <w:rPr>
          <w:sz w:val="18"/>
          <w:szCs w:val="18"/>
          <w:vertAlign w:val="superscript"/>
          <w:lang w:val="fr-FR"/>
        </w:rPr>
        <w:t>1</w:t>
      </w:r>
    </w:p>
    <w:p w14:paraId="1C47FE4F" w14:textId="77777777" w:rsidR="00BE2CA7" w:rsidRPr="00A318C3" w:rsidRDefault="00BE2CA7" w:rsidP="00BE2CA7">
      <w:pPr>
        <w:pStyle w:val="SingleTxtG"/>
        <w:tabs>
          <w:tab w:val="right" w:leader="dot" w:pos="8505"/>
        </w:tabs>
        <w:kinsoku/>
        <w:overflowPunct/>
        <w:autoSpaceDE/>
        <w:autoSpaceDN/>
        <w:adjustRightInd/>
        <w:snapToGrid/>
        <w:ind w:left="2268" w:hanging="1134"/>
        <w:jc w:val="left"/>
        <w:rPr>
          <w:lang w:val="fr-FR"/>
        </w:rPr>
      </w:pPr>
      <w:r w:rsidRPr="00A318C3">
        <w:rPr>
          <w:lang w:val="fr-FR"/>
        </w:rPr>
        <w:t>1.9</w:t>
      </w:r>
      <w:r w:rsidRPr="00A318C3">
        <w:rPr>
          <w:lang w:val="fr-FR"/>
        </w:rPr>
        <w:tab/>
        <w:t>Véhicule électrique hybride</w:t>
      </w:r>
      <w:r>
        <w:rPr>
          <w:lang w:val="fr-FR"/>
        </w:rPr>
        <w:t> </w:t>
      </w:r>
      <w:r w:rsidRPr="00A318C3">
        <w:rPr>
          <w:lang w:val="fr-FR"/>
        </w:rPr>
        <w:t>: oui/non</w:t>
      </w:r>
      <w:r w:rsidRPr="00A318C3">
        <w:rPr>
          <w:sz w:val="18"/>
          <w:szCs w:val="18"/>
          <w:vertAlign w:val="superscript"/>
          <w:lang w:val="fr-FR"/>
        </w:rPr>
        <w:t>1</w:t>
      </w:r>
    </w:p>
    <w:p w14:paraId="10F3DE90" w14:textId="77777777" w:rsidR="00BE2CA7" w:rsidRPr="00A318C3" w:rsidRDefault="00BE2CA7" w:rsidP="00BE2CA7">
      <w:pPr>
        <w:pStyle w:val="SingleTxtG"/>
        <w:tabs>
          <w:tab w:val="right" w:leader="dot" w:pos="8505"/>
        </w:tabs>
        <w:kinsoku/>
        <w:overflowPunct/>
        <w:autoSpaceDE/>
        <w:autoSpaceDN/>
        <w:adjustRightInd/>
        <w:snapToGrid/>
        <w:ind w:left="2268" w:hanging="1134"/>
        <w:jc w:val="left"/>
        <w:rPr>
          <w:lang w:val="fr-FR"/>
        </w:rPr>
      </w:pPr>
      <w:r w:rsidRPr="00A318C3">
        <w:rPr>
          <w:lang w:val="fr-FR"/>
        </w:rPr>
        <w:t>1.9.1</w:t>
      </w:r>
      <w:r w:rsidRPr="00A318C3">
        <w:rPr>
          <w:lang w:val="fr-FR"/>
        </w:rPr>
        <w:tab/>
        <w:t>Catégorie de véhicule électrique hybride</w:t>
      </w:r>
      <w:r>
        <w:rPr>
          <w:lang w:val="fr-FR"/>
        </w:rPr>
        <w:t> </w:t>
      </w:r>
      <w:r w:rsidRPr="00A318C3">
        <w:rPr>
          <w:lang w:val="fr-FR"/>
        </w:rPr>
        <w:t>: rechargeable de l</w:t>
      </w:r>
      <w:r>
        <w:rPr>
          <w:lang w:val="fr-FR"/>
        </w:rPr>
        <w:t>’</w:t>
      </w:r>
      <w:r w:rsidRPr="00A318C3">
        <w:rPr>
          <w:lang w:val="fr-FR"/>
        </w:rPr>
        <w:t>extérieur/non rechargeable de l</w:t>
      </w:r>
      <w:r>
        <w:rPr>
          <w:lang w:val="fr-FR"/>
        </w:rPr>
        <w:t>’</w:t>
      </w:r>
      <w:r w:rsidRPr="00A318C3">
        <w:rPr>
          <w:lang w:val="fr-FR"/>
        </w:rPr>
        <w:t>extérieur</w:t>
      </w:r>
      <w:r w:rsidRPr="00A318C3">
        <w:rPr>
          <w:sz w:val="18"/>
          <w:szCs w:val="18"/>
          <w:vertAlign w:val="superscript"/>
          <w:lang w:val="fr-FR"/>
        </w:rPr>
        <w:t>1</w:t>
      </w:r>
    </w:p>
    <w:p w14:paraId="76AE0730" w14:textId="77777777" w:rsidR="00BE2CA7" w:rsidRPr="00A318C3" w:rsidRDefault="00BE2CA7" w:rsidP="00BE2CA7">
      <w:pPr>
        <w:pStyle w:val="SingleTxtG"/>
        <w:tabs>
          <w:tab w:val="right" w:leader="dot" w:pos="8505"/>
        </w:tabs>
        <w:kinsoku/>
        <w:overflowPunct/>
        <w:autoSpaceDE/>
        <w:autoSpaceDN/>
        <w:adjustRightInd/>
        <w:snapToGrid/>
        <w:ind w:left="2268" w:hanging="1134"/>
        <w:jc w:val="left"/>
        <w:rPr>
          <w:lang w:val="fr-FR"/>
        </w:rPr>
      </w:pPr>
      <w:r w:rsidRPr="00A318C3">
        <w:rPr>
          <w:lang w:val="fr-FR"/>
        </w:rPr>
        <w:t>1.9.2</w:t>
      </w:r>
      <w:r w:rsidRPr="00A318C3">
        <w:rPr>
          <w:lang w:val="fr-FR"/>
        </w:rPr>
        <w:tab/>
        <w:t>Commutateur de mode de fonctionnement</w:t>
      </w:r>
      <w:r>
        <w:rPr>
          <w:lang w:val="fr-FR"/>
        </w:rPr>
        <w:t> </w:t>
      </w:r>
      <w:r w:rsidRPr="00A318C3">
        <w:rPr>
          <w:lang w:val="fr-FR"/>
        </w:rPr>
        <w:t>: avec/sans</w:t>
      </w:r>
      <w:r w:rsidRPr="00A318C3">
        <w:rPr>
          <w:sz w:val="18"/>
          <w:szCs w:val="18"/>
          <w:vertAlign w:val="superscript"/>
          <w:lang w:val="fr-FR"/>
        </w:rPr>
        <w:t>1</w:t>
      </w:r>
    </w:p>
    <w:p w14:paraId="0D56A437" w14:textId="77777777" w:rsidR="00BE2CA7" w:rsidRPr="00A318C3" w:rsidRDefault="00BE2CA7" w:rsidP="00BE2CA7">
      <w:pPr>
        <w:pStyle w:val="SingleTxtG"/>
        <w:tabs>
          <w:tab w:val="right" w:leader="dot" w:pos="8505"/>
        </w:tabs>
        <w:kinsoku/>
        <w:overflowPunct/>
        <w:autoSpaceDE/>
        <w:autoSpaceDN/>
        <w:adjustRightInd/>
        <w:snapToGrid/>
        <w:ind w:left="2268" w:hanging="1134"/>
        <w:jc w:val="left"/>
        <w:rPr>
          <w:lang w:val="fr-FR"/>
        </w:rPr>
      </w:pPr>
      <w:r w:rsidRPr="00A318C3">
        <w:rPr>
          <w:lang w:val="fr-FR"/>
        </w:rPr>
        <w:t>1.10</w:t>
      </w:r>
      <w:r w:rsidRPr="00A318C3">
        <w:rPr>
          <w:lang w:val="fr-FR"/>
        </w:rPr>
        <w:tab/>
        <w:t>Identification du moteur</w:t>
      </w:r>
      <w:r>
        <w:rPr>
          <w:lang w:val="fr-FR"/>
        </w:rPr>
        <w:t> </w:t>
      </w:r>
      <w:r w:rsidRPr="00A318C3">
        <w:rPr>
          <w:lang w:val="fr-FR"/>
        </w:rPr>
        <w:t>:</w:t>
      </w:r>
      <w:r w:rsidRPr="00A318C3">
        <w:rPr>
          <w:lang w:val="fr-FR"/>
        </w:rPr>
        <w:tab/>
      </w:r>
    </w:p>
    <w:p w14:paraId="4FE69B7C" w14:textId="77777777" w:rsidR="00BE2CA7" w:rsidRPr="00A318C3" w:rsidRDefault="00BE2CA7" w:rsidP="00BE2CA7">
      <w:pPr>
        <w:pStyle w:val="SingleTxtG"/>
        <w:tabs>
          <w:tab w:val="right" w:leader="dot" w:pos="8505"/>
        </w:tabs>
        <w:kinsoku/>
        <w:overflowPunct/>
        <w:autoSpaceDE/>
        <w:autoSpaceDN/>
        <w:adjustRightInd/>
        <w:snapToGrid/>
        <w:ind w:left="2268" w:hanging="1134"/>
        <w:jc w:val="left"/>
        <w:rPr>
          <w:lang w:val="fr-FR"/>
        </w:rPr>
      </w:pPr>
      <w:r w:rsidRPr="00A318C3">
        <w:rPr>
          <w:lang w:val="fr-FR"/>
        </w:rPr>
        <w:t>1.10.1</w:t>
      </w:r>
      <w:r w:rsidRPr="00A318C3">
        <w:rPr>
          <w:lang w:val="fr-FR"/>
        </w:rPr>
        <w:tab/>
        <w:t>Cylindrée</w:t>
      </w:r>
      <w:r>
        <w:rPr>
          <w:lang w:val="fr-FR"/>
        </w:rPr>
        <w:t> </w:t>
      </w:r>
      <w:r w:rsidRPr="00A318C3">
        <w:rPr>
          <w:lang w:val="fr-FR"/>
        </w:rPr>
        <w:t>:</w:t>
      </w:r>
      <w:r w:rsidRPr="00A318C3">
        <w:rPr>
          <w:lang w:val="fr-FR"/>
        </w:rPr>
        <w:tab/>
      </w:r>
    </w:p>
    <w:p w14:paraId="5CE7C527" w14:textId="77777777" w:rsidR="00BE2CA7" w:rsidRPr="00A318C3" w:rsidRDefault="00BE2CA7" w:rsidP="00BE2CA7">
      <w:pPr>
        <w:pStyle w:val="SingleTxtG"/>
        <w:tabs>
          <w:tab w:val="right" w:leader="dot" w:pos="8505"/>
        </w:tabs>
        <w:kinsoku/>
        <w:overflowPunct/>
        <w:autoSpaceDE/>
        <w:autoSpaceDN/>
        <w:adjustRightInd/>
        <w:snapToGrid/>
        <w:ind w:left="2268" w:hanging="1134"/>
        <w:jc w:val="left"/>
        <w:rPr>
          <w:lang w:val="fr-FR"/>
        </w:rPr>
      </w:pPr>
      <w:r w:rsidRPr="00A318C3">
        <w:rPr>
          <w:lang w:val="fr-FR"/>
        </w:rPr>
        <w:t>1.10.2</w:t>
      </w:r>
      <w:r w:rsidRPr="00A318C3">
        <w:rPr>
          <w:lang w:val="fr-FR"/>
        </w:rPr>
        <w:tab/>
      </w:r>
      <w:r>
        <w:rPr>
          <w:lang w:val="fr-FR"/>
        </w:rPr>
        <w:t>Système d’a</w:t>
      </w:r>
      <w:r w:rsidRPr="00A318C3">
        <w:rPr>
          <w:lang w:val="fr-FR"/>
        </w:rPr>
        <w:t>limentation</w:t>
      </w:r>
      <w:r>
        <w:rPr>
          <w:lang w:val="fr-FR"/>
        </w:rPr>
        <w:t xml:space="preserve"> en carburant </w:t>
      </w:r>
      <w:r w:rsidRPr="00A318C3">
        <w:rPr>
          <w:lang w:val="fr-FR"/>
        </w:rPr>
        <w:t>: injection directe/injection</w:t>
      </w:r>
      <w:r>
        <w:rPr>
          <w:lang w:val="fr-FR"/>
        </w:rPr>
        <w:t> </w:t>
      </w:r>
      <w:r w:rsidRPr="00A318C3">
        <w:rPr>
          <w:lang w:val="fr-FR"/>
        </w:rPr>
        <w:t>indirecte</w:t>
      </w:r>
      <w:r w:rsidRPr="00A318C3">
        <w:rPr>
          <w:sz w:val="18"/>
          <w:szCs w:val="18"/>
          <w:vertAlign w:val="superscript"/>
          <w:lang w:val="fr-FR"/>
        </w:rPr>
        <w:t>1</w:t>
      </w:r>
    </w:p>
    <w:p w14:paraId="42835298" w14:textId="77777777" w:rsidR="00BE2CA7" w:rsidRPr="00A318C3" w:rsidRDefault="00BE2CA7" w:rsidP="00BE2CA7">
      <w:pPr>
        <w:pStyle w:val="SingleTxtG"/>
        <w:tabs>
          <w:tab w:val="right" w:leader="dot" w:pos="8505"/>
        </w:tabs>
        <w:kinsoku/>
        <w:overflowPunct/>
        <w:autoSpaceDE/>
        <w:autoSpaceDN/>
        <w:adjustRightInd/>
        <w:snapToGrid/>
        <w:ind w:left="2268" w:hanging="1134"/>
        <w:jc w:val="left"/>
        <w:rPr>
          <w:lang w:val="fr-FR"/>
        </w:rPr>
      </w:pPr>
      <w:r w:rsidRPr="00A318C3">
        <w:rPr>
          <w:lang w:val="fr-FR"/>
        </w:rPr>
        <w:t>1.10.3</w:t>
      </w:r>
      <w:r w:rsidRPr="00A318C3">
        <w:rPr>
          <w:lang w:val="fr-FR"/>
        </w:rPr>
        <w:tab/>
        <w:t>Carburant recommandé par le constructeur</w:t>
      </w:r>
      <w:r>
        <w:rPr>
          <w:lang w:val="fr-FR"/>
        </w:rPr>
        <w:t> </w:t>
      </w:r>
      <w:r w:rsidRPr="00A318C3">
        <w:rPr>
          <w:lang w:val="fr-FR"/>
        </w:rPr>
        <w:t>:</w:t>
      </w:r>
      <w:r w:rsidRPr="00A318C3">
        <w:rPr>
          <w:lang w:val="fr-FR"/>
        </w:rPr>
        <w:tab/>
      </w:r>
    </w:p>
    <w:p w14:paraId="43045A80" w14:textId="77777777" w:rsidR="00BE2CA7" w:rsidRPr="00A318C3" w:rsidRDefault="00BE2CA7" w:rsidP="00BE2CA7">
      <w:pPr>
        <w:pStyle w:val="SingleTxtG"/>
        <w:tabs>
          <w:tab w:val="right" w:leader="dot" w:pos="6237"/>
          <w:tab w:val="right" w:leader="dot" w:pos="8483"/>
        </w:tabs>
        <w:kinsoku/>
        <w:overflowPunct/>
        <w:autoSpaceDE/>
        <w:autoSpaceDN/>
        <w:adjustRightInd/>
        <w:snapToGrid/>
        <w:ind w:left="2268" w:hanging="1134"/>
        <w:jc w:val="left"/>
        <w:rPr>
          <w:lang w:val="fr-FR"/>
        </w:rPr>
      </w:pPr>
      <w:r w:rsidRPr="00A318C3">
        <w:rPr>
          <w:lang w:val="fr-FR"/>
        </w:rPr>
        <w:t>1.10.4</w:t>
      </w:r>
      <w:r>
        <w:rPr>
          <w:lang w:val="fr-FR"/>
        </w:rPr>
        <w:tab/>
      </w:r>
      <w:r w:rsidRPr="00A318C3">
        <w:rPr>
          <w:lang w:val="fr-FR"/>
        </w:rPr>
        <w:t>Puissance maximale</w:t>
      </w:r>
      <w:r>
        <w:rPr>
          <w:lang w:val="fr-FR"/>
        </w:rPr>
        <w:t> </w:t>
      </w:r>
      <w:r w:rsidRPr="00A318C3">
        <w:rPr>
          <w:lang w:val="fr-FR"/>
        </w:rPr>
        <w:t>:</w:t>
      </w:r>
      <w:r>
        <w:rPr>
          <w:lang w:val="fr-FR"/>
        </w:rPr>
        <w:tab/>
      </w:r>
      <w:r w:rsidRPr="00A318C3">
        <w:rPr>
          <w:lang w:val="fr-FR"/>
        </w:rPr>
        <w:t>kW à</w:t>
      </w:r>
      <w:r>
        <w:rPr>
          <w:lang w:val="fr-FR"/>
        </w:rPr>
        <w:t xml:space="preserve"> </w:t>
      </w:r>
      <w:r w:rsidRPr="00A318C3">
        <w:rPr>
          <w:lang w:val="fr-FR"/>
        </w:rPr>
        <w:tab/>
        <w:t>min</w:t>
      </w:r>
      <w:r w:rsidRPr="00A318C3">
        <w:rPr>
          <w:vertAlign w:val="superscript"/>
          <w:lang w:val="fr-FR"/>
        </w:rPr>
        <w:t>-1</w:t>
      </w:r>
    </w:p>
    <w:p w14:paraId="1910ACB4" w14:textId="77777777" w:rsidR="00BE2CA7" w:rsidRPr="00A318C3" w:rsidRDefault="00BE2CA7" w:rsidP="00BE2CA7">
      <w:pPr>
        <w:pStyle w:val="SingleTxtG"/>
        <w:tabs>
          <w:tab w:val="right" w:leader="dot" w:pos="8505"/>
        </w:tabs>
        <w:kinsoku/>
        <w:overflowPunct/>
        <w:autoSpaceDE/>
        <w:autoSpaceDN/>
        <w:adjustRightInd/>
        <w:snapToGrid/>
        <w:ind w:left="2268" w:hanging="1134"/>
        <w:jc w:val="left"/>
        <w:rPr>
          <w:lang w:val="fr-FR"/>
        </w:rPr>
      </w:pPr>
      <w:r w:rsidRPr="00A318C3">
        <w:rPr>
          <w:lang w:val="fr-FR"/>
        </w:rPr>
        <w:t>1.10.5</w:t>
      </w:r>
      <w:r w:rsidRPr="00A318C3">
        <w:rPr>
          <w:lang w:val="fr-FR"/>
        </w:rPr>
        <w:tab/>
        <w:t>Suralimentation</w:t>
      </w:r>
      <w:r>
        <w:rPr>
          <w:lang w:val="fr-FR"/>
        </w:rPr>
        <w:t> </w:t>
      </w:r>
      <w:r w:rsidRPr="00A318C3">
        <w:rPr>
          <w:lang w:val="fr-FR"/>
        </w:rPr>
        <w:t>: oui/non</w:t>
      </w:r>
      <w:r w:rsidRPr="00A318C3">
        <w:rPr>
          <w:sz w:val="18"/>
          <w:szCs w:val="18"/>
          <w:vertAlign w:val="superscript"/>
          <w:lang w:val="fr-FR"/>
        </w:rPr>
        <w:t>1</w:t>
      </w:r>
    </w:p>
    <w:p w14:paraId="2FBE44D1" w14:textId="77777777" w:rsidR="00BE2CA7" w:rsidRPr="00A318C3" w:rsidRDefault="00BE2CA7" w:rsidP="00BE2CA7">
      <w:pPr>
        <w:pStyle w:val="SingleTxtG"/>
        <w:tabs>
          <w:tab w:val="right" w:leader="dot" w:pos="8505"/>
        </w:tabs>
        <w:kinsoku/>
        <w:overflowPunct/>
        <w:autoSpaceDE/>
        <w:autoSpaceDN/>
        <w:adjustRightInd/>
        <w:snapToGrid/>
        <w:ind w:left="2268" w:hanging="1134"/>
        <w:jc w:val="left"/>
        <w:rPr>
          <w:lang w:val="fr-FR"/>
        </w:rPr>
      </w:pPr>
      <w:r w:rsidRPr="00A318C3">
        <w:rPr>
          <w:lang w:val="fr-FR"/>
        </w:rPr>
        <w:t>1.10.6</w:t>
      </w:r>
      <w:r w:rsidRPr="00A318C3">
        <w:rPr>
          <w:lang w:val="fr-FR"/>
        </w:rPr>
        <w:tab/>
      </w:r>
      <w:r>
        <w:rPr>
          <w:lang w:val="fr-FR"/>
        </w:rPr>
        <w:t>Mode d’a</w:t>
      </w:r>
      <w:r w:rsidRPr="00A318C3">
        <w:rPr>
          <w:lang w:val="fr-FR"/>
        </w:rPr>
        <w:t>llumage</w:t>
      </w:r>
      <w:r>
        <w:rPr>
          <w:lang w:val="fr-FR"/>
        </w:rPr>
        <w:t> </w:t>
      </w:r>
      <w:r w:rsidRPr="00A318C3">
        <w:rPr>
          <w:lang w:val="fr-FR"/>
        </w:rPr>
        <w:t xml:space="preserve">: </w:t>
      </w:r>
      <w:r>
        <w:rPr>
          <w:lang w:val="fr-FR"/>
        </w:rPr>
        <w:t xml:space="preserve">allumage </w:t>
      </w:r>
      <w:r w:rsidRPr="00A318C3">
        <w:rPr>
          <w:lang w:val="fr-FR"/>
        </w:rPr>
        <w:t>par compression/allumage</w:t>
      </w:r>
      <w:r>
        <w:rPr>
          <w:lang w:val="fr-FR"/>
        </w:rPr>
        <w:t> </w:t>
      </w:r>
      <w:r w:rsidRPr="00A318C3">
        <w:rPr>
          <w:lang w:val="fr-FR"/>
        </w:rPr>
        <w:t>commandé</w:t>
      </w:r>
      <w:r w:rsidRPr="00A318C3">
        <w:rPr>
          <w:sz w:val="18"/>
          <w:szCs w:val="18"/>
          <w:vertAlign w:val="superscript"/>
          <w:lang w:val="fr-FR"/>
        </w:rPr>
        <w:t>1</w:t>
      </w:r>
    </w:p>
    <w:p w14:paraId="3162CE15" w14:textId="77777777" w:rsidR="00BE2CA7" w:rsidRPr="00A318C3" w:rsidRDefault="00BE2CA7" w:rsidP="00BE2CA7">
      <w:pPr>
        <w:pStyle w:val="SingleTxtG"/>
        <w:tabs>
          <w:tab w:val="right" w:leader="dot" w:pos="8505"/>
        </w:tabs>
        <w:kinsoku/>
        <w:overflowPunct/>
        <w:autoSpaceDE/>
        <w:autoSpaceDN/>
        <w:adjustRightInd/>
        <w:snapToGrid/>
        <w:ind w:left="2268" w:hanging="1134"/>
        <w:jc w:val="left"/>
        <w:rPr>
          <w:lang w:val="fr-FR"/>
        </w:rPr>
      </w:pPr>
      <w:r w:rsidRPr="00A318C3">
        <w:rPr>
          <w:lang w:val="fr-FR"/>
        </w:rPr>
        <w:t>1.11</w:t>
      </w:r>
      <w:r w:rsidRPr="00A318C3">
        <w:rPr>
          <w:lang w:val="fr-FR"/>
        </w:rPr>
        <w:tab/>
      </w:r>
      <w:r>
        <w:rPr>
          <w:lang w:val="fr-FR"/>
        </w:rPr>
        <w:t>Groupe motopropulseur</w:t>
      </w:r>
      <w:r w:rsidRPr="00A318C3">
        <w:rPr>
          <w:lang w:val="fr-FR"/>
        </w:rPr>
        <w:t xml:space="preserve"> (pour véhicule électrique pur ou véhicule électrique hybride)</w:t>
      </w:r>
      <w:r w:rsidRPr="00A318C3">
        <w:rPr>
          <w:sz w:val="18"/>
          <w:szCs w:val="18"/>
          <w:vertAlign w:val="superscript"/>
          <w:lang w:val="fr-FR"/>
        </w:rPr>
        <w:t>1</w:t>
      </w:r>
    </w:p>
    <w:p w14:paraId="3688D266" w14:textId="77777777" w:rsidR="00BE2CA7" w:rsidRPr="00A318C3" w:rsidRDefault="00BE2CA7" w:rsidP="00BE2CA7">
      <w:pPr>
        <w:pStyle w:val="SingleTxtG"/>
        <w:tabs>
          <w:tab w:val="left" w:pos="2268"/>
          <w:tab w:val="right" w:leader="dot" w:pos="5812"/>
          <w:tab w:val="right" w:leader="dot" w:pos="6804"/>
          <w:tab w:val="left" w:leader="dot" w:pos="8080"/>
          <w:tab w:val="left" w:pos="8504"/>
        </w:tabs>
        <w:kinsoku/>
        <w:overflowPunct/>
        <w:autoSpaceDE/>
        <w:autoSpaceDN/>
        <w:adjustRightInd/>
        <w:snapToGrid/>
        <w:ind w:left="4253" w:hanging="3119"/>
        <w:jc w:val="left"/>
        <w:rPr>
          <w:lang w:val="fr-FR"/>
        </w:rPr>
      </w:pPr>
      <w:r w:rsidRPr="00A318C3">
        <w:rPr>
          <w:lang w:val="fr-FR"/>
        </w:rPr>
        <w:t>1.11.1</w:t>
      </w:r>
      <w:r w:rsidRPr="00A318C3">
        <w:rPr>
          <w:lang w:val="fr-FR"/>
        </w:rPr>
        <w:tab/>
        <w:t>Puissance maximale nette</w:t>
      </w:r>
      <w:r>
        <w:rPr>
          <w:lang w:val="fr-FR"/>
        </w:rPr>
        <w:t> </w:t>
      </w:r>
      <w:r w:rsidRPr="00A318C3">
        <w:rPr>
          <w:lang w:val="fr-FR"/>
        </w:rPr>
        <w:t>:</w:t>
      </w:r>
      <w:r>
        <w:rPr>
          <w:lang w:val="fr-FR"/>
        </w:rPr>
        <w:tab/>
      </w:r>
      <w:r w:rsidRPr="00A318C3">
        <w:rPr>
          <w:lang w:val="fr-FR"/>
        </w:rPr>
        <w:t xml:space="preserve">kW, </w:t>
      </w:r>
      <w:r>
        <w:rPr>
          <w:lang w:val="fr-FR"/>
        </w:rPr>
        <w:t xml:space="preserve">à </w:t>
      </w:r>
      <w:r w:rsidRPr="00A318C3">
        <w:rPr>
          <w:lang w:val="fr-FR"/>
        </w:rPr>
        <w:t>entre</w:t>
      </w:r>
      <w:r>
        <w:rPr>
          <w:lang w:val="fr-FR"/>
        </w:rPr>
        <w:tab/>
        <w:t xml:space="preserve"> </w:t>
      </w:r>
      <w:r w:rsidRPr="00434995">
        <w:rPr>
          <w:lang w:val="fr-FR"/>
        </w:rPr>
        <w:t>et</w:t>
      </w:r>
      <w:r>
        <w:rPr>
          <w:lang w:val="fr-FR"/>
        </w:rPr>
        <w:tab/>
      </w:r>
      <w:r w:rsidRPr="00A318C3">
        <w:rPr>
          <w:lang w:val="fr-FR"/>
        </w:rPr>
        <w:t>min</w:t>
      </w:r>
      <w:r w:rsidRPr="00A318C3">
        <w:rPr>
          <w:vertAlign w:val="superscript"/>
          <w:lang w:val="fr-FR"/>
        </w:rPr>
        <w:t>-1</w:t>
      </w:r>
    </w:p>
    <w:p w14:paraId="39FC5392" w14:textId="77777777" w:rsidR="00BE2CA7" w:rsidRPr="00A318C3" w:rsidRDefault="00BE2CA7" w:rsidP="00BE2CA7">
      <w:pPr>
        <w:pStyle w:val="SingleTxtG"/>
        <w:tabs>
          <w:tab w:val="right" w:leader="dot" w:pos="8505"/>
        </w:tabs>
        <w:kinsoku/>
        <w:overflowPunct/>
        <w:autoSpaceDE/>
        <w:autoSpaceDN/>
        <w:adjustRightInd/>
        <w:snapToGrid/>
        <w:ind w:left="2268" w:hanging="1134"/>
        <w:jc w:val="left"/>
        <w:rPr>
          <w:lang w:val="fr-FR"/>
        </w:rPr>
      </w:pPr>
      <w:r w:rsidRPr="00A318C3">
        <w:rPr>
          <w:lang w:val="fr-FR"/>
        </w:rPr>
        <w:t>1.11.2</w:t>
      </w:r>
      <w:r w:rsidRPr="00A318C3">
        <w:rPr>
          <w:lang w:val="fr-FR"/>
        </w:rPr>
        <w:tab/>
        <w:t>Puissance maximale</w:t>
      </w:r>
      <w:r>
        <w:rPr>
          <w:lang w:val="fr-FR"/>
        </w:rPr>
        <w:t xml:space="preserve"> </w:t>
      </w:r>
      <w:r w:rsidRPr="00A318C3">
        <w:rPr>
          <w:lang w:val="fr-FR"/>
        </w:rPr>
        <w:t>sur 30</w:t>
      </w:r>
      <w:r>
        <w:rPr>
          <w:lang w:val="fr-FR"/>
        </w:rPr>
        <w:t> </w:t>
      </w:r>
      <w:r w:rsidRPr="00A318C3">
        <w:rPr>
          <w:lang w:val="fr-FR"/>
        </w:rPr>
        <w:t>min</w:t>
      </w:r>
      <w:r>
        <w:rPr>
          <w:lang w:val="fr-FR"/>
        </w:rPr>
        <w:t> </w:t>
      </w:r>
      <w:r w:rsidRPr="00A318C3">
        <w:rPr>
          <w:lang w:val="fr-FR"/>
        </w:rPr>
        <w:t>:</w:t>
      </w:r>
      <w:r w:rsidRPr="00A318C3">
        <w:rPr>
          <w:lang w:val="fr-FR"/>
        </w:rPr>
        <w:tab/>
        <w:t>kW</w:t>
      </w:r>
    </w:p>
    <w:p w14:paraId="201ECA94" w14:textId="77777777" w:rsidR="00BE2CA7" w:rsidRPr="00A318C3" w:rsidRDefault="00BE2CA7" w:rsidP="00BE2CA7">
      <w:pPr>
        <w:pStyle w:val="SingleTxtG"/>
        <w:tabs>
          <w:tab w:val="right" w:leader="dot" w:pos="6237"/>
          <w:tab w:val="right" w:leader="dot" w:pos="8505"/>
        </w:tabs>
        <w:kinsoku/>
        <w:overflowPunct/>
        <w:autoSpaceDE/>
        <w:autoSpaceDN/>
        <w:adjustRightInd/>
        <w:snapToGrid/>
        <w:ind w:left="2268" w:hanging="1134"/>
        <w:jc w:val="left"/>
        <w:rPr>
          <w:lang w:val="fr-FR"/>
        </w:rPr>
      </w:pPr>
      <w:r w:rsidRPr="00A318C3">
        <w:rPr>
          <w:lang w:val="fr-FR"/>
        </w:rPr>
        <w:t>1.11.3</w:t>
      </w:r>
      <w:r w:rsidRPr="00A318C3">
        <w:rPr>
          <w:lang w:val="fr-FR"/>
        </w:rPr>
        <w:tab/>
        <w:t>Couple maximal</w:t>
      </w:r>
      <w:r>
        <w:rPr>
          <w:lang w:val="fr-FR"/>
        </w:rPr>
        <w:t xml:space="preserve"> net </w:t>
      </w:r>
      <w:r w:rsidRPr="00A318C3">
        <w:rPr>
          <w:lang w:val="fr-FR"/>
        </w:rPr>
        <w:t>:</w:t>
      </w:r>
      <w:r>
        <w:rPr>
          <w:lang w:val="fr-FR"/>
        </w:rPr>
        <w:tab/>
        <w:t>n</w:t>
      </w:r>
      <w:r w:rsidRPr="00A318C3">
        <w:rPr>
          <w:lang w:val="fr-FR"/>
        </w:rPr>
        <w:t>m à</w:t>
      </w:r>
      <w:r w:rsidRPr="00A318C3">
        <w:rPr>
          <w:lang w:val="fr-FR"/>
        </w:rPr>
        <w:tab/>
        <w:t>min</w:t>
      </w:r>
      <w:r w:rsidRPr="00A318C3">
        <w:rPr>
          <w:vertAlign w:val="superscript"/>
          <w:lang w:val="fr-FR"/>
        </w:rPr>
        <w:t>-1</w:t>
      </w:r>
    </w:p>
    <w:p w14:paraId="584E4EA1" w14:textId="77777777" w:rsidR="00BE2CA7" w:rsidRPr="00A318C3" w:rsidRDefault="00BE2CA7" w:rsidP="00BE2CA7">
      <w:pPr>
        <w:pStyle w:val="SingleTxtG"/>
        <w:tabs>
          <w:tab w:val="right" w:leader="dot" w:pos="8505"/>
        </w:tabs>
        <w:kinsoku/>
        <w:overflowPunct/>
        <w:autoSpaceDE/>
        <w:autoSpaceDN/>
        <w:adjustRightInd/>
        <w:snapToGrid/>
        <w:ind w:left="2268" w:hanging="1134"/>
        <w:jc w:val="left"/>
        <w:rPr>
          <w:lang w:val="fr-FR"/>
        </w:rPr>
      </w:pPr>
      <w:r w:rsidRPr="00A318C3">
        <w:rPr>
          <w:lang w:val="fr-FR"/>
        </w:rPr>
        <w:t>1.12</w:t>
      </w:r>
      <w:r w:rsidRPr="00A318C3">
        <w:rPr>
          <w:lang w:val="fr-FR"/>
        </w:rPr>
        <w:tab/>
        <w:t>Batterie de traction (pour véhicule électrique pur ou véhicule électrique hybride)</w:t>
      </w:r>
    </w:p>
    <w:p w14:paraId="4F2B5F8A" w14:textId="77777777" w:rsidR="00BE2CA7" w:rsidRPr="00A318C3" w:rsidRDefault="00BE2CA7" w:rsidP="00BE2CA7">
      <w:pPr>
        <w:pStyle w:val="SingleTxtG"/>
        <w:tabs>
          <w:tab w:val="right" w:leader="dot" w:pos="8505"/>
        </w:tabs>
        <w:kinsoku/>
        <w:overflowPunct/>
        <w:autoSpaceDE/>
        <w:autoSpaceDN/>
        <w:adjustRightInd/>
        <w:snapToGrid/>
        <w:ind w:left="2268" w:hanging="1134"/>
        <w:jc w:val="left"/>
        <w:rPr>
          <w:lang w:val="fr-FR"/>
        </w:rPr>
      </w:pPr>
      <w:r w:rsidRPr="00A318C3">
        <w:rPr>
          <w:lang w:val="fr-FR"/>
        </w:rPr>
        <w:t>1.12.1</w:t>
      </w:r>
      <w:r w:rsidRPr="00A318C3">
        <w:rPr>
          <w:lang w:val="fr-FR"/>
        </w:rPr>
        <w:tab/>
        <w:t>Tension nominale</w:t>
      </w:r>
      <w:r>
        <w:rPr>
          <w:lang w:val="fr-FR"/>
        </w:rPr>
        <w:t> </w:t>
      </w:r>
      <w:r w:rsidRPr="00A318C3">
        <w:rPr>
          <w:lang w:val="fr-FR"/>
        </w:rPr>
        <w:t>:</w:t>
      </w:r>
      <w:r w:rsidRPr="00A318C3">
        <w:rPr>
          <w:lang w:val="fr-FR"/>
        </w:rPr>
        <w:tab/>
        <w:t>V</w:t>
      </w:r>
    </w:p>
    <w:p w14:paraId="4DFCFDEF" w14:textId="77777777" w:rsidR="00BE2CA7" w:rsidRPr="00A318C3" w:rsidRDefault="00BE2CA7" w:rsidP="00BE2CA7">
      <w:pPr>
        <w:pStyle w:val="SingleTxtG"/>
        <w:tabs>
          <w:tab w:val="right" w:leader="dot" w:pos="8505"/>
        </w:tabs>
        <w:kinsoku/>
        <w:overflowPunct/>
        <w:autoSpaceDE/>
        <w:autoSpaceDN/>
        <w:adjustRightInd/>
        <w:snapToGrid/>
        <w:ind w:left="2268" w:hanging="1134"/>
        <w:jc w:val="left"/>
        <w:rPr>
          <w:lang w:val="fr-FR"/>
        </w:rPr>
      </w:pPr>
      <w:r w:rsidRPr="00A318C3">
        <w:rPr>
          <w:lang w:val="fr-FR"/>
        </w:rPr>
        <w:t>1.12.2</w:t>
      </w:r>
      <w:r w:rsidRPr="00A318C3">
        <w:rPr>
          <w:lang w:val="fr-FR"/>
        </w:rPr>
        <w:tab/>
        <w:t>Capacité (décharge sur 2 h)</w:t>
      </w:r>
      <w:r>
        <w:rPr>
          <w:lang w:val="fr-FR"/>
        </w:rPr>
        <w:t> </w:t>
      </w:r>
      <w:r w:rsidRPr="00A318C3">
        <w:rPr>
          <w:lang w:val="fr-FR"/>
        </w:rPr>
        <w:t>:</w:t>
      </w:r>
      <w:r w:rsidRPr="00A318C3">
        <w:rPr>
          <w:lang w:val="fr-FR"/>
        </w:rPr>
        <w:tab/>
        <w:t>Ah</w:t>
      </w:r>
    </w:p>
    <w:p w14:paraId="7DA69AA1" w14:textId="77777777" w:rsidR="00BE2CA7" w:rsidRPr="00A318C3" w:rsidRDefault="00BE2CA7" w:rsidP="00BE2CA7">
      <w:pPr>
        <w:pStyle w:val="SingleTxtG"/>
        <w:tabs>
          <w:tab w:val="right" w:leader="dot" w:pos="8505"/>
        </w:tabs>
        <w:kinsoku/>
        <w:overflowPunct/>
        <w:autoSpaceDE/>
        <w:autoSpaceDN/>
        <w:adjustRightInd/>
        <w:snapToGrid/>
        <w:ind w:left="2268" w:hanging="1134"/>
        <w:jc w:val="left"/>
        <w:rPr>
          <w:lang w:val="fr-FR"/>
        </w:rPr>
      </w:pPr>
      <w:r w:rsidRPr="00A318C3">
        <w:rPr>
          <w:lang w:val="fr-FR"/>
        </w:rPr>
        <w:t>1.13</w:t>
      </w:r>
      <w:r w:rsidRPr="00A318C3">
        <w:rPr>
          <w:lang w:val="fr-FR"/>
        </w:rPr>
        <w:tab/>
      </w:r>
      <w:r>
        <w:rPr>
          <w:lang w:val="fr-FR"/>
        </w:rPr>
        <w:t>Boîte de vitesses </w:t>
      </w:r>
      <w:r w:rsidRPr="00A318C3">
        <w:rPr>
          <w:lang w:val="fr-FR"/>
        </w:rPr>
        <w:t>:</w:t>
      </w:r>
    </w:p>
    <w:p w14:paraId="7B870666" w14:textId="77777777" w:rsidR="00BE2CA7" w:rsidRPr="00F75071" w:rsidRDefault="00BE2CA7" w:rsidP="00BE2CA7">
      <w:pPr>
        <w:pStyle w:val="SingleTxtG"/>
        <w:tabs>
          <w:tab w:val="right" w:leader="dot" w:pos="8505"/>
        </w:tabs>
        <w:kinsoku/>
        <w:overflowPunct/>
        <w:autoSpaceDE/>
        <w:autoSpaceDN/>
        <w:adjustRightInd/>
        <w:snapToGrid/>
        <w:ind w:left="2268" w:hanging="1134"/>
        <w:jc w:val="left"/>
        <w:rPr>
          <w:lang w:val="fr-FR"/>
        </w:rPr>
      </w:pPr>
      <w:r w:rsidRPr="00A318C3">
        <w:rPr>
          <w:lang w:val="fr-FR"/>
        </w:rPr>
        <w:t>1.13.1</w:t>
      </w:r>
      <w:r w:rsidRPr="00A318C3">
        <w:rPr>
          <w:lang w:val="fr-FR"/>
        </w:rPr>
        <w:tab/>
        <w:t>Type de boîte de vitesses</w:t>
      </w:r>
      <w:r>
        <w:rPr>
          <w:lang w:val="fr-FR"/>
        </w:rPr>
        <w:t> </w:t>
      </w:r>
      <w:r w:rsidRPr="00A318C3">
        <w:rPr>
          <w:lang w:val="fr-FR"/>
        </w:rPr>
        <w:t>: manuelle/automatique/</w:t>
      </w:r>
      <w:r>
        <w:rPr>
          <w:lang w:val="fr-FR"/>
        </w:rPr>
        <w:t>à variation continue</w:t>
      </w:r>
      <w:r w:rsidRPr="00A318C3">
        <w:rPr>
          <w:sz w:val="18"/>
          <w:szCs w:val="18"/>
          <w:vertAlign w:val="superscript"/>
          <w:lang w:val="fr-FR"/>
        </w:rPr>
        <w:t>1</w:t>
      </w:r>
      <w:r w:rsidRPr="00A318C3">
        <w:rPr>
          <w:vertAlign w:val="superscript"/>
          <w:lang w:val="fr-FR"/>
        </w:rPr>
        <w:t>,</w:t>
      </w:r>
      <w:r w:rsidRPr="00F75071">
        <w:rPr>
          <w:rStyle w:val="Appelnotedebasdep"/>
        </w:rPr>
        <w:t xml:space="preserve"> </w:t>
      </w:r>
      <w:r w:rsidRPr="00977679">
        <w:rPr>
          <w:rStyle w:val="Appelnotedebasdep"/>
        </w:rPr>
        <w:footnoteReference w:id="22"/>
      </w:r>
      <w:r w:rsidRPr="00F75071">
        <w:rPr>
          <w:lang w:val="fr-FR"/>
        </w:rPr>
        <w:t> </w:t>
      </w:r>
      <w:r w:rsidRPr="00A318C3">
        <w:rPr>
          <w:lang w:val="fr-FR"/>
        </w:rPr>
        <w:t>:</w:t>
      </w:r>
      <w:r>
        <w:rPr>
          <w:lang w:val="fr-FR"/>
        </w:rPr>
        <w:tab/>
      </w:r>
    </w:p>
    <w:p w14:paraId="060D7743" w14:textId="77777777" w:rsidR="00BE2CA7" w:rsidRPr="00A318C3" w:rsidRDefault="00BE2CA7" w:rsidP="00BE2CA7">
      <w:pPr>
        <w:pStyle w:val="SingleTxtG"/>
        <w:tabs>
          <w:tab w:val="right" w:leader="dot" w:pos="8505"/>
        </w:tabs>
        <w:kinsoku/>
        <w:overflowPunct/>
        <w:autoSpaceDE/>
        <w:autoSpaceDN/>
        <w:adjustRightInd/>
        <w:snapToGrid/>
        <w:ind w:left="2268" w:hanging="1134"/>
        <w:jc w:val="left"/>
        <w:rPr>
          <w:lang w:val="fr-FR"/>
        </w:rPr>
      </w:pPr>
      <w:r w:rsidRPr="00A318C3">
        <w:rPr>
          <w:lang w:val="fr-FR"/>
        </w:rPr>
        <w:t>1.13.2</w:t>
      </w:r>
      <w:r w:rsidRPr="00A318C3">
        <w:rPr>
          <w:lang w:val="fr-FR"/>
        </w:rPr>
        <w:tab/>
        <w:t>Nombre de rapports</w:t>
      </w:r>
      <w:r>
        <w:rPr>
          <w:lang w:val="fr-FR"/>
        </w:rPr>
        <w:t> </w:t>
      </w:r>
      <w:r w:rsidRPr="00A318C3">
        <w:rPr>
          <w:lang w:val="fr-FR"/>
        </w:rPr>
        <w:t>:</w:t>
      </w:r>
      <w:r w:rsidRPr="00A318C3">
        <w:rPr>
          <w:lang w:val="fr-FR"/>
        </w:rPr>
        <w:tab/>
      </w:r>
    </w:p>
    <w:p w14:paraId="4DA4F0B9" w14:textId="77777777" w:rsidR="00BE2CA7" w:rsidRDefault="00BE2CA7" w:rsidP="00BE2CA7">
      <w:pPr>
        <w:pStyle w:val="SingleTxtG"/>
        <w:tabs>
          <w:tab w:val="right" w:leader="dot" w:pos="8505"/>
        </w:tabs>
        <w:kinsoku/>
        <w:overflowPunct/>
        <w:autoSpaceDE/>
        <w:autoSpaceDN/>
        <w:adjustRightInd/>
        <w:snapToGrid/>
        <w:ind w:left="2268" w:hanging="1134"/>
        <w:jc w:val="left"/>
        <w:rPr>
          <w:lang w:val="fr-FR"/>
        </w:rPr>
      </w:pPr>
      <w:r w:rsidRPr="00A318C3">
        <w:rPr>
          <w:lang w:val="fr-FR"/>
        </w:rPr>
        <w:t>1.13.3</w:t>
      </w:r>
      <w:r w:rsidRPr="00A318C3">
        <w:rPr>
          <w:lang w:val="fr-FR"/>
        </w:rPr>
        <w:tab/>
        <w:t>Démultiplication globale (y compris les circonférences de roulement des pneumatiques sous charge)</w:t>
      </w:r>
      <w:r>
        <w:rPr>
          <w:lang w:val="fr-FR"/>
        </w:rPr>
        <w:t> </w:t>
      </w:r>
      <w:r w:rsidRPr="00A318C3">
        <w:rPr>
          <w:lang w:val="fr-FR"/>
        </w:rPr>
        <w:t>: vitesses en (km/h) pour 1 000 min</w:t>
      </w:r>
      <w:r w:rsidRPr="00A318C3">
        <w:rPr>
          <w:vertAlign w:val="superscript"/>
          <w:lang w:val="fr-FR"/>
        </w:rPr>
        <w:t>-1</w:t>
      </w:r>
      <w:r w:rsidRPr="00A318C3">
        <w:rPr>
          <w:lang w:val="fr-FR"/>
        </w:rPr>
        <w:t xml:space="preserve"> du moteur</w:t>
      </w:r>
    </w:p>
    <w:p w14:paraId="4BB3C990" w14:textId="77777777" w:rsidR="00BE2CA7" w:rsidRPr="00A318C3" w:rsidRDefault="00BE2CA7" w:rsidP="00BE2CA7">
      <w:pPr>
        <w:pStyle w:val="SingleTxtG"/>
        <w:tabs>
          <w:tab w:val="right" w:leader="dot" w:pos="5103"/>
          <w:tab w:val="left" w:pos="5245"/>
          <w:tab w:val="right" w:leader="dot" w:pos="8505"/>
        </w:tabs>
        <w:kinsoku/>
        <w:overflowPunct/>
        <w:autoSpaceDE/>
        <w:autoSpaceDN/>
        <w:adjustRightInd/>
        <w:snapToGrid/>
        <w:ind w:left="2268"/>
        <w:jc w:val="left"/>
        <w:rPr>
          <w:lang w:val="fr-FR"/>
        </w:rPr>
      </w:pPr>
      <w:r>
        <w:rPr>
          <w:lang w:val="fr-FR"/>
        </w:rPr>
        <w:t>Premier rapport </w:t>
      </w:r>
      <w:r w:rsidRPr="00A318C3">
        <w:rPr>
          <w:lang w:val="fr-FR"/>
        </w:rPr>
        <w:t>:</w:t>
      </w:r>
      <w:r>
        <w:rPr>
          <w:lang w:val="fr-FR"/>
        </w:rPr>
        <w:tab/>
      </w:r>
      <w:r>
        <w:rPr>
          <w:lang w:val="fr-FR"/>
        </w:rPr>
        <w:tab/>
        <w:t>Sixième rapport </w:t>
      </w:r>
      <w:r w:rsidRPr="00A318C3">
        <w:rPr>
          <w:lang w:val="fr-FR"/>
        </w:rPr>
        <w:t>:</w:t>
      </w:r>
      <w:r w:rsidRPr="00A318C3">
        <w:rPr>
          <w:lang w:val="fr-FR"/>
        </w:rPr>
        <w:tab/>
      </w:r>
    </w:p>
    <w:p w14:paraId="4B4889C8" w14:textId="77777777" w:rsidR="00BE2CA7" w:rsidRPr="00A318C3" w:rsidRDefault="00BE2CA7" w:rsidP="00BE2CA7">
      <w:pPr>
        <w:pStyle w:val="SingleTxtG"/>
        <w:tabs>
          <w:tab w:val="right" w:leader="dot" w:pos="5103"/>
          <w:tab w:val="left" w:pos="5245"/>
          <w:tab w:val="right" w:leader="dot" w:pos="8505"/>
        </w:tabs>
        <w:kinsoku/>
        <w:overflowPunct/>
        <w:autoSpaceDE/>
        <w:autoSpaceDN/>
        <w:adjustRightInd/>
        <w:snapToGrid/>
        <w:ind w:left="2268"/>
        <w:jc w:val="left"/>
        <w:rPr>
          <w:lang w:val="fr-FR"/>
        </w:rPr>
      </w:pPr>
      <w:r w:rsidRPr="00A318C3">
        <w:rPr>
          <w:lang w:val="fr-FR"/>
        </w:rPr>
        <w:t>Deuxième rapport</w:t>
      </w:r>
      <w:r>
        <w:rPr>
          <w:lang w:val="fr-FR"/>
        </w:rPr>
        <w:t> </w:t>
      </w:r>
      <w:r w:rsidRPr="00A318C3">
        <w:rPr>
          <w:lang w:val="fr-FR"/>
        </w:rPr>
        <w:t>:</w:t>
      </w:r>
      <w:r>
        <w:rPr>
          <w:lang w:val="fr-FR"/>
        </w:rPr>
        <w:tab/>
      </w:r>
      <w:r>
        <w:rPr>
          <w:lang w:val="fr-FR"/>
        </w:rPr>
        <w:tab/>
        <w:t>Septième rapport </w:t>
      </w:r>
      <w:r w:rsidRPr="00A318C3">
        <w:rPr>
          <w:lang w:val="fr-FR"/>
        </w:rPr>
        <w:t>:</w:t>
      </w:r>
      <w:r w:rsidRPr="00A318C3">
        <w:rPr>
          <w:lang w:val="fr-FR"/>
        </w:rPr>
        <w:tab/>
      </w:r>
    </w:p>
    <w:p w14:paraId="38DA89C9" w14:textId="77777777" w:rsidR="00BE2CA7" w:rsidRPr="00A318C3" w:rsidRDefault="00BE2CA7" w:rsidP="00BE2CA7">
      <w:pPr>
        <w:pStyle w:val="SingleTxtG"/>
        <w:tabs>
          <w:tab w:val="right" w:leader="dot" w:pos="5103"/>
          <w:tab w:val="left" w:pos="5245"/>
          <w:tab w:val="right" w:leader="dot" w:pos="8505"/>
        </w:tabs>
        <w:kinsoku/>
        <w:overflowPunct/>
        <w:autoSpaceDE/>
        <w:autoSpaceDN/>
        <w:adjustRightInd/>
        <w:snapToGrid/>
        <w:ind w:left="2268"/>
        <w:jc w:val="left"/>
        <w:rPr>
          <w:lang w:val="fr-FR"/>
        </w:rPr>
      </w:pPr>
      <w:r w:rsidRPr="00A318C3">
        <w:rPr>
          <w:lang w:val="fr-FR"/>
        </w:rPr>
        <w:t>Troisième rapport</w:t>
      </w:r>
      <w:r>
        <w:rPr>
          <w:lang w:val="fr-FR"/>
        </w:rPr>
        <w:t> </w:t>
      </w:r>
      <w:r w:rsidRPr="00A318C3">
        <w:rPr>
          <w:lang w:val="fr-FR"/>
        </w:rPr>
        <w:t>:</w:t>
      </w:r>
      <w:r>
        <w:rPr>
          <w:lang w:val="fr-FR"/>
        </w:rPr>
        <w:tab/>
      </w:r>
      <w:r>
        <w:rPr>
          <w:lang w:val="fr-FR"/>
        </w:rPr>
        <w:tab/>
      </w:r>
      <w:r w:rsidRPr="00A318C3">
        <w:rPr>
          <w:lang w:val="fr-FR"/>
        </w:rPr>
        <w:t>Huitième rapport</w:t>
      </w:r>
      <w:r>
        <w:rPr>
          <w:lang w:val="fr-FR"/>
        </w:rPr>
        <w:t> </w:t>
      </w:r>
      <w:r w:rsidRPr="00A318C3">
        <w:rPr>
          <w:lang w:val="fr-FR"/>
        </w:rPr>
        <w:t>:</w:t>
      </w:r>
      <w:r w:rsidRPr="00A318C3">
        <w:rPr>
          <w:lang w:val="fr-FR"/>
        </w:rPr>
        <w:tab/>
      </w:r>
    </w:p>
    <w:p w14:paraId="32E4AC7A" w14:textId="77777777" w:rsidR="00BE2CA7" w:rsidRPr="00A318C3" w:rsidRDefault="00BE2CA7" w:rsidP="00BE2CA7">
      <w:pPr>
        <w:pStyle w:val="SingleTxtG"/>
        <w:tabs>
          <w:tab w:val="right" w:leader="dot" w:pos="5103"/>
          <w:tab w:val="left" w:pos="5245"/>
          <w:tab w:val="right" w:leader="dot" w:pos="8505"/>
        </w:tabs>
        <w:kinsoku/>
        <w:overflowPunct/>
        <w:autoSpaceDE/>
        <w:autoSpaceDN/>
        <w:adjustRightInd/>
        <w:snapToGrid/>
        <w:ind w:left="2268"/>
        <w:jc w:val="left"/>
        <w:rPr>
          <w:lang w:val="fr-FR"/>
        </w:rPr>
      </w:pPr>
      <w:r w:rsidRPr="00A318C3">
        <w:rPr>
          <w:lang w:val="fr-FR"/>
        </w:rPr>
        <w:t>Quatrième rapport</w:t>
      </w:r>
      <w:r>
        <w:rPr>
          <w:lang w:val="fr-FR"/>
        </w:rPr>
        <w:t> </w:t>
      </w:r>
      <w:r w:rsidRPr="00A318C3">
        <w:rPr>
          <w:lang w:val="fr-FR"/>
        </w:rPr>
        <w:t>:</w:t>
      </w:r>
      <w:r>
        <w:rPr>
          <w:lang w:val="fr-FR"/>
        </w:rPr>
        <w:tab/>
      </w:r>
      <w:r>
        <w:rPr>
          <w:lang w:val="fr-FR"/>
        </w:rPr>
        <w:tab/>
        <w:t>Surmultiplication </w:t>
      </w:r>
      <w:r w:rsidRPr="00A318C3">
        <w:rPr>
          <w:lang w:val="fr-FR"/>
        </w:rPr>
        <w:t>:</w:t>
      </w:r>
      <w:r w:rsidRPr="00A318C3">
        <w:rPr>
          <w:lang w:val="fr-FR"/>
        </w:rPr>
        <w:tab/>
      </w:r>
    </w:p>
    <w:p w14:paraId="09B9909A" w14:textId="77777777" w:rsidR="00BE2CA7" w:rsidRPr="00A318C3" w:rsidRDefault="00BE2CA7" w:rsidP="00BE2CA7">
      <w:pPr>
        <w:pStyle w:val="SingleTxtG"/>
        <w:tabs>
          <w:tab w:val="right" w:leader="dot" w:pos="5103"/>
          <w:tab w:val="left" w:pos="5245"/>
          <w:tab w:val="right" w:leader="dot" w:pos="8505"/>
        </w:tabs>
        <w:kinsoku/>
        <w:overflowPunct/>
        <w:autoSpaceDE/>
        <w:autoSpaceDN/>
        <w:adjustRightInd/>
        <w:snapToGrid/>
        <w:ind w:left="2268"/>
        <w:jc w:val="left"/>
        <w:rPr>
          <w:lang w:val="fr-FR"/>
        </w:rPr>
      </w:pPr>
      <w:r w:rsidRPr="00A318C3">
        <w:rPr>
          <w:lang w:val="fr-FR"/>
        </w:rPr>
        <w:lastRenderedPageBreak/>
        <w:t>Cinquième rapport</w:t>
      </w:r>
      <w:r>
        <w:rPr>
          <w:lang w:val="fr-FR"/>
        </w:rPr>
        <w:t> </w:t>
      </w:r>
      <w:r w:rsidRPr="00A318C3">
        <w:rPr>
          <w:lang w:val="fr-FR"/>
        </w:rPr>
        <w:t>:</w:t>
      </w:r>
      <w:r>
        <w:rPr>
          <w:lang w:val="fr-FR"/>
        </w:rPr>
        <w:tab/>
      </w:r>
    </w:p>
    <w:p w14:paraId="2EED13FA" w14:textId="77777777" w:rsidR="00BE2CA7" w:rsidRPr="00A318C3" w:rsidRDefault="00BE2CA7" w:rsidP="00BE2CA7">
      <w:pPr>
        <w:pStyle w:val="SingleTxtG"/>
        <w:tabs>
          <w:tab w:val="right" w:leader="dot" w:pos="8505"/>
        </w:tabs>
        <w:kinsoku/>
        <w:overflowPunct/>
        <w:autoSpaceDE/>
        <w:autoSpaceDN/>
        <w:adjustRightInd/>
        <w:snapToGrid/>
        <w:ind w:left="2268" w:hanging="1134"/>
        <w:jc w:val="left"/>
        <w:rPr>
          <w:lang w:val="fr-FR"/>
        </w:rPr>
      </w:pPr>
      <w:r w:rsidRPr="00A318C3">
        <w:rPr>
          <w:lang w:val="fr-FR"/>
        </w:rPr>
        <w:t>1.13.4</w:t>
      </w:r>
      <w:r w:rsidRPr="00A318C3">
        <w:rPr>
          <w:lang w:val="fr-FR"/>
        </w:rPr>
        <w:tab/>
        <w:t xml:space="preserve">Rapport </w:t>
      </w:r>
      <w:r>
        <w:rPr>
          <w:lang w:val="fr-FR"/>
        </w:rPr>
        <w:t>de pont </w:t>
      </w:r>
      <w:r w:rsidRPr="00A318C3">
        <w:rPr>
          <w:lang w:val="fr-FR"/>
        </w:rPr>
        <w:t>:</w:t>
      </w:r>
      <w:r w:rsidRPr="00A318C3">
        <w:rPr>
          <w:lang w:val="fr-FR"/>
        </w:rPr>
        <w:tab/>
      </w:r>
    </w:p>
    <w:p w14:paraId="582421DB" w14:textId="77777777" w:rsidR="00BE2CA7" w:rsidRPr="00A318C3" w:rsidRDefault="00BE2CA7" w:rsidP="00BE2CA7">
      <w:pPr>
        <w:pStyle w:val="SingleTxtG"/>
        <w:tabs>
          <w:tab w:val="right" w:leader="dot" w:pos="8505"/>
        </w:tabs>
        <w:kinsoku/>
        <w:overflowPunct/>
        <w:autoSpaceDE/>
        <w:autoSpaceDN/>
        <w:adjustRightInd/>
        <w:snapToGrid/>
        <w:ind w:left="2268" w:hanging="1134"/>
        <w:jc w:val="left"/>
        <w:rPr>
          <w:lang w:val="fr-FR"/>
        </w:rPr>
      </w:pPr>
      <w:r w:rsidRPr="00A318C3">
        <w:rPr>
          <w:lang w:val="fr-FR"/>
        </w:rPr>
        <w:t>1.14</w:t>
      </w:r>
      <w:r w:rsidRPr="00A318C3">
        <w:rPr>
          <w:lang w:val="fr-FR"/>
        </w:rPr>
        <w:tab/>
        <w:t>Pneumatiques</w:t>
      </w:r>
      <w:r>
        <w:rPr>
          <w:lang w:val="fr-FR"/>
        </w:rPr>
        <w:t> </w:t>
      </w:r>
      <w:r w:rsidRPr="00A318C3">
        <w:rPr>
          <w:lang w:val="fr-FR"/>
        </w:rPr>
        <w:t>:</w:t>
      </w:r>
      <w:r w:rsidRPr="00A318C3">
        <w:rPr>
          <w:lang w:val="fr-FR"/>
        </w:rPr>
        <w:tab/>
      </w:r>
    </w:p>
    <w:p w14:paraId="7D33A5B2" w14:textId="77777777" w:rsidR="00BE2CA7" w:rsidRPr="00A318C3" w:rsidRDefault="00BE2CA7" w:rsidP="00BE2CA7">
      <w:pPr>
        <w:pStyle w:val="SingleTxtG"/>
        <w:tabs>
          <w:tab w:val="right" w:leader="dot" w:pos="8505"/>
        </w:tabs>
        <w:kinsoku/>
        <w:overflowPunct/>
        <w:autoSpaceDE/>
        <w:autoSpaceDN/>
        <w:adjustRightInd/>
        <w:snapToGrid/>
        <w:ind w:left="2268" w:hanging="1134"/>
        <w:jc w:val="left"/>
        <w:rPr>
          <w:lang w:val="fr-FR"/>
        </w:rPr>
      </w:pPr>
      <w:r w:rsidRPr="00A318C3">
        <w:rPr>
          <w:lang w:val="fr-FR"/>
        </w:rPr>
        <w:t>1.14.1</w:t>
      </w:r>
      <w:r w:rsidRPr="00A318C3">
        <w:rPr>
          <w:lang w:val="fr-FR"/>
        </w:rPr>
        <w:tab/>
        <w:t>Type</w:t>
      </w:r>
      <w:r>
        <w:rPr>
          <w:lang w:val="fr-FR"/>
        </w:rPr>
        <w:t> </w:t>
      </w:r>
      <w:r w:rsidRPr="00A318C3">
        <w:rPr>
          <w:lang w:val="fr-FR"/>
        </w:rPr>
        <w:t>:</w:t>
      </w:r>
      <w:r w:rsidRPr="00A318C3">
        <w:rPr>
          <w:lang w:val="fr-FR"/>
        </w:rPr>
        <w:tab/>
      </w:r>
    </w:p>
    <w:p w14:paraId="4168A762" w14:textId="77777777" w:rsidR="00BE2CA7" w:rsidRPr="00A318C3" w:rsidRDefault="00BE2CA7" w:rsidP="00BE2CA7">
      <w:pPr>
        <w:pStyle w:val="SingleTxtG"/>
        <w:tabs>
          <w:tab w:val="right" w:leader="dot" w:pos="8505"/>
        </w:tabs>
        <w:kinsoku/>
        <w:overflowPunct/>
        <w:autoSpaceDE/>
        <w:autoSpaceDN/>
        <w:adjustRightInd/>
        <w:snapToGrid/>
        <w:ind w:left="2268" w:hanging="1134"/>
        <w:jc w:val="left"/>
        <w:rPr>
          <w:lang w:val="fr-FR"/>
        </w:rPr>
      </w:pPr>
      <w:r w:rsidRPr="00A318C3">
        <w:rPr>
          <w:lang w:val="fr-FR"/>
        </w:rPr>
        <w:t>1.14.2</w:t>
      </w:r>
      <w:r w:rsidRPr="00A318C3">
        <w:rPr>
          <w:lang w:val="fr-FR"/>
        </w:rPr>
        <w:tab/>
        <w:t>Dimensions</w:t>
      </w:r>
      <w:r>
        <w:rPr>
          <w:lang w:val="fr-FR"/>
        </w:rPr>
        <w:t> </w:t>
      </w:r>
      <w:r w:rsidRPr="00A318C3">
        <w:rPr>
          <w:lang w:val="fr-FR"/>
        </w:rPr>
        <w:t>:</w:t>
      </w:r>
      <w:r w:rsidRPr="00A318C3">
        <w:rPr>
          <w:lang w:val="fr-FR"/>
        </w:rPr>
        <w:tab/>
      </w:r>
    </w:p>
    <w:p w14:paraId="66EA2F0B" w14:textId="77777777" w:rsidR="00BE2CA7" w:rsidRPr="00A318C3" w:rsidRDefault="00BE2CA7" w:rsidP="00BE2CA7">
      <w:pPr>
        <w:pStyle w:val="SingleTxtG"/>
        <w:tabs>
          <w:tab w:val="right" w:leader="dot" w:pos="8505"/>
        </w:tabs>
        <w:kinsoku/>
        <w:overflowPunct/>
        <w:autoSpaceDE/>
        <w:autoSpaceDN/>
        <w:adjustRightInd/>
        <w:snapToGrid/>
        <w:ind w:left="2268" w:hanging="1134"/>
        <w:jc w:val="left"/>
        <w:rPr>
          <w:lang w:val="fr-FR"/>
        </w:rPr>
      </w:pPr>
      <w:r w:rsidRPr="00A318C3">
        <w:rPr>
          <w:lang w:val="fr-FR"/>
        </w:rPr>
        <w:t>1.14.3</w:t>
      </w:r>
      <w:r w:rsidRPr="00A318C3">
        <w:rPr>
          <w:lang w:val="fr-FR"/>
        </w:rPr>
        <w:tab/>
        <w:t xml:space="preserve">Circonférence de roulement </w:t>
      </w:r>
      <w:r>
        <w:rPr>
          <w:lang w:val="fr-FR"/>
        </w:rPr>
        <w:t>sous</w:t>
      </w:r>
      <w:r w:rsidRPr="00A318C3">
        <w:rPr>
          <w:lang w:val="fr-FR"/>
        </w:rPr>
        <w:t xml:space="preserve"> charge</w:t>
      </w:r>
      <w:r>
        <w:rPr>
          <w:lang w:val="fr-FR"/>
        </w:rPr>
        <w:t> </w:t>
      </w:r>
      <w:r w:rsidRPr="00A318C3">
        <w:rPr>
          <w:lang w:val="fr-FR"/>
        </w:rPr>
        <w:t>:</w:t>
      </w:r>
      <w:r w:rsidRPr="00A318C3">
        <w:rPr>
          <w:lang w:val="fr-FR"/>
        </w:rPr>
        <w:tab/>
      </w:r>
    </w:p>
    <w:p w14:paraId="411BAE09" w14:textId="77777777" w:rsidR="00BE2CA7" w:rsidRPr="00DC4583" w:rsidRDefault="00BE2CA7" w:rsidP="00BE2CA7">
      <w:pPr>
        <w:pStyle w:val="SingleTxtG"/>
        <w:tabs>
          <w:tab w:val="right" w:leader="dot" w:pos="8505"/>
        </w:tabs>
        <w:kinsoku/>
        <w:overflowPunct/>
        <w:autoSpaceDE/>
        <w:autoSpaceDN/>
        <w:adjustRightInd/>
        <w:snapToGrid/>
        <w:ind w:left="2268" w:hanging="1134"/>
        <w:jc w:val="left"/>
      </w:pPr>
      <w:r w:rsidRPr="00DC4583">
        <w:t>2.</w:t>
      </w:r>
      <w:r w:rsidRPr="00DC4583">
        <w:tab/>
      </w:r>
      <w:r>
        <w:t>Résultats d’essai</w:t>
      </w:r>
    </w:p>
    <w:p w14:paraId="5DF05E78" w14:textId="77777777" w:rsidR="00BE2CA7" w:rsidRPr="00DC4583" w:rsidRDefault="00BE2CA7" w:rsidP="00BE2CA7">
      <w:pPr>
        <w:pStyle w:val="SingleTxtG"/>
        <w:tabs>
          <w:tab w:val="right" w:leader="dot" w:pos="8505"/>
        </w:tabs>
        <w:kinsoku/>
        <w:overflowPunct/>
        <w:autoSpaceDE/>
        <w:autoSpaceDN/>
        <w:adjustRightInd/>
        <w:snapToGrid/>
        <w:ind w:left="2268"/>
        <w:jc w:val="left"/>
      </w:pPr>
      <w:r w:rsidRPr="00DC4583">
        <w:t>Type</w:t>
      </w:r>
      <w:r>
        <w:t> </w:t>
      </w:r>
      <w:r w:rsidRPr="00DC4583">
        <w:t>3</w:t>
      </w:r>
      <w:r>
        <w:t> </w:t>
      </w:r>
      <w:r w:rsidRPr="00DC4583">
        <w:t>:</w:t>
      </w:r>
      <w:r w:rsidRPr="00DC4583">
        <w:tab/>
      </w:r>
    </w:p>
    <w:p w14:paraId="6964FB35" w14:textId="77777777" w:rsidR="00BE2CA7" w:rsidRPr="00DC4583" w:rsidRDefault="00BE2CA7" w:rsidP="00BE2CA7">
      <w:pPr>
        <w:pStyle w:val="SingleTxtG"/>
        <w:tabs>
          <w:tab w:val="right" w:leader="dot" w:pos="4253"/>
          <w:tab w:val="left" w:pos="4536"/>
          <w:tab w:val="right" w:leader="dot" w:pos="8505"/>
        </w:tabs>
        <w:kinsoku/>
        <w:overflowPunct/>
        <w:autoSpaceDE/>
        <w:autoSpaceDN/>
        <w:adjustRightInd/>
        <w:snapToGrid/>
        <w:ind w:left="2268"/>
        <w:jc w:val="left"/>
      </w:pPr>
      <w:r w:rsidRPr="00DC4583">
        <w:t>Type</w:t>
      </w:r>
      <w:r>
        <w:t> </w:t>
      </w:r>
      <w:r w:rsidRPr="00DC4583">
        <w:t>6</w:t>
      </w:r>
      <w:r>
        <w:t> </w:t>
      </w:r>
      <w:r w:rsidRPr="00DC4583">
        <w:t>:</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127"/>
        <w:gridCol w:w="1842"/>
      </w:tblGrid>
      <w:tr w:rsidR="00BE2CA7" w:rsidRPr="00DC4583" w14:paraId="466CB736" w14:textId="77777777" w:rsidTr="002B0590">
        <w:tc>
          <w:tcPr>
            <w:tcW w:w="2268" w:type="dxa"/>
            <w:tcMar>
              <w:left w:w="0" w:type="dxa"/>
              <w:right w:w="0" w:type="dxa"/>
            </w:tcMar>
          </w:tcPr>
          <w:p w14:paraId="62060362" w14:textId="77777777" w:rsidR="00BE2CA7" w:rsidRPr="00DC4583" w:rsidRDefault="00BE2CA7" w:rsidP="002B0590">
            <w:pPr>
              <w:spacing w:before="80" w:after="80" w:line="200" w:lineRule="exact"/>
              <w:ind w:left="57" w:right="57"/>
              <w:rPr>
                <w:i/>
                <w:sz w:val="16"/>
                <w:szCs w:val="16"/>
              </w:rPr>
            </w:pPr>
            <w:r w:rsidRPr="00DC4583">
              <w:rPr>
                <w:i/>
                <w:sz w:val="16"/>
                <w:szCs w:val="16"/>
              </w:rPr>
              <w:t>Type</w:t>
            </w:r>
            <w:r>
              <w:rPr>
                <w:i/>
                <w:sz w:val="16"/>
                <w:szCs w:val="16"/>
              </w:rPr>
              <w:t> 6</w:t>
            </w:r>
          </w:p>
        </w:tc>
        <w:tc>
          <w:tcPr>
            <w:tcW w:w="2127" w:type="dxa"/>
            <w:tcMar>
              <w:left w:w="0" w:type="dxa"/>
              <w:right w:w="0" w:type="dxa"/>
            </w:tcMar>
          </w:tcPr>
          <w:p w14:paraId="1BBCAC5B" w14:textId="77777777" w:rsidR="00BE2CA7" w:rsidRPr="00DC4583" w:rsidRDefault="00BE2CA7" w:rsidP="002B0590">
            <w:pPr>
              <w:spacing w:before="80" w:after="80" w:line="200" w:lineRule="exact"/>
              <w:ind w:left="57" w:right="57"/>
              <w:jc w:val="center"/>
              <w:rPr>
                <w:i/>
                <w:sz w:val="16"/>
                <w:szCs w:val="16"/>
              </w:rPr>
            </w:pPr>
            <w:r w:rsidRPr="00DC4583">
              <w:rPr>
                <w:i/>
                <w:sz w:val="16"/>
                <w:szCs w:val="16"/>
              </w:rPr>
              <w:t>CO (mg/km)</w:t>
            </w:r>
          </w:p>
        </w:tc>
        <w:tc>
          <w:tcPr>
            <w:tcW w:w="1842" w:type="dxa"/>
            <w:tcMar>
              <w:left w:w="0" w:type="dxa"/>
              <w:right w:w="0" w:type="dxa"/>
            </w:tcMar>
          </w:tcPr>
          <w:p w14:paraId="302CEC29" w14:textId="77777777" w:rsidR="00BE2CA7" w:rsidRPr="00DC4583" w:rsidRDefault="00BE2CA7" w:rsidP="002B0590">
            <w:pPr>
              <w:spacing w:before="80" w:after="80" w:line="200" w:lineRule="exact"/>
              <w:ind w:left="57" w:right="57"/>
              <w:jc w:val="center"/>
              <w:rPr>
                <w:i/>
                <w:sz w:val="16"/>
                <w:szCs w:val="16"/>
              </w:rPr>
            </w:pPr>
            <w:r w:rsidRPr="00DC4583">
              <w:rPr>
                <w:i/>
                <w:sz w:val="16"/>
                <w:szCs w:val="16"/>
              </w:rPr>
              <w:t>THC (mg/km)</w:t>
            </w:r>
          </w:p>
        </w:tc>
      </w:tr>
      <w:tr w:rsidR="00BE2CA7" w:rsidRPr="00DC4583" w14:paraId="7C32DBD6" w14:textId="77777777" w:rsidTr="002B0590">
        <w:tc>
          <w:tcPr>
            <w:tcW w:w="2268" w:type="dxa"/>
            <w:tcMar>
              <w:left w:w="0" w:type="dxa"/>
              <w:right w:w="0" w:type="dxa"/>
            </w:tcMar>
          </w:tcPr>
          <w:p w14:paraId="53BD760C" w14:textId="77777777" w:rsidR="00BE2CA7" w:rsidRPr="00DC4583" w:rsidRDefault="00BE2CA7" w:rsidP="002B0590">
            <w:pPr>
              <w:spacing w:before="60" w:after="60"/>
              <w:ind w:left="57" w:right="57"/>
            </w:pPr>
            <w:r>
              <w:t>Valeur mesurée</w:t>
            </w:r>
          </w:p>
        </w:tc>
        <w:tc>
          <w:tcPr>
            <w:tcW w:w="2127" w:type="dxa"/>
            <w:tcMar>
              <w:left w:w="0" w:type="dxa"/>
              <w:right w:w="0" w:type="dxa"/>
            </w:tcMar>
          </w:tcPr>
          <w:p w14:paraId="266685A0" w14:textId="77777777" w:rsidR="00BE2CA7" w:rsidRPr="00DC4583" w:rsidRDefault="00BE2CA7" w:rsidP="002B0590">
            <w:pPr>
              <w:spacing w:before="60" w:after="60"/>
              <w:ind w:left="57" w:right="57"/>
            </w:pPr>
          </w:p>
        </w:tc>
        <w:tc>
          <w:tcPr>
            <w:tcW w:w="1842" w:type="dxa"/>
            <w:tcMar>
              <w:left w:w="0" w:type="dxa"/>
              <w:right w:w="0" w:type="dxa"/>
            </w:tcMar>
          </w:tcPr>
          <w:p w14:paraId="462107BE" w14:textId="77777777" w:rsidR="00BE2CA7" w:rsidRPr="00DC4583" w:rsidRDefault="00BE2CA7" w:rsidP="002B0590">
            <w:pPr>
              <w:spacing w:before="60" w:after="60"/>
              <w:ind w:left="57" w:right="57"/>
            </w:pPr>
          </w:p>
        </w:tc>
      </w:tr>
    </w:tbl>
    <w:p w14:paraId="46289C73" w14:textId="77777777" w:rsidR="00BE2CA7" w:rsidRPr="00A318C3" w:rsidRDefault="00BE2CA7" w:rsidP="00BE2CA7">
      <w:pPr>
        <w:pStyle w:val="SingleTxtG"/>
        <w:tabs>
          <w:tab w:val="right" w:leader="dot" w:pos="8505"/>
        </w:tabs>
        <w:kinsoku/>
        <w:overflowPunct/>
        <w:autoSpaceDE/>
        <w:autoSpaceDN/>
        <w:adjustRightInd/>
        <w:snapToGrid/>
        <w:spacing w:before="240"/>
        <w:ind w:left="2268" w:hanging="1134"/>
        <w:jc w:val="left"/>
        <w:rPr>
          <w:lang w:val="fr-FR"/>
        </w:rPr>
      </w:pPr>
      <w:r w:rsidRPr="00A318C3">
        <w:rPr>
          <w:lang w:val="fr-FR"/>
        </w:rPr>
        <w:t>2.2</w:t>
      </w:r>
      <w:r w:rsidRPr="00A318C3">
        <w:rPr>
          <w:lang w:val="fr-FR"/>
        </w:rPr>
        <w:tab/>
        <w:t xml:space="preserve">Données </w:t>
      </w:r>
      <w:r w:rsidRPr="002079EB">
        <w:rPr>
          <w:lang w:val="fr-FR"/>
        </w:rPr>
        <w:t>sur les émissions requises pour les besoins du contrôle technique des véhicules</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46"/>
        <w:gridCol w:w="1320"/>
        <w:gridCol w:w="1080"/>
        <w:gridCol w:w="1236"/>
        <w:gridCol w:w="2040"/>
      </w:tblGrid>
      <w:tr w:rsidR="00BE2CA7" w:rsidRPr="00DC4583" w14:paraId="6DD29997" w14:textId="77777777" w:rsidTr="002B0590">
        <w:tc>
          <w:tcPr>
            <w:tcW w:w="1746" w:type="dxa"/>
            <w:vAlign w:val="bottom"/>
          </w:tcPr>
          <w:p w14:paraId="1F06BD6C" w14:textId="77777777" w:rsidR="00BE2CA7" w:rsidRPr="00DC4583" w:rsidRDefault="00BE2CA7" w:rsidP="002B0590">
            <w:pPr>
              <w:spacing w:before="80" w:after="80" w:line="200" w:lineRule="exact"/>
              <w:ind w:left="57" w:right="57"/>
              <w:rPr>
                <w:i/>
                <w:sz w:val="16"/>
                <w:szCs w:val="16"/>
              </w:rPr>
            </w:pPr>
            <w:r>
              <w:rPr>
                <w:i/>
                <w:sz w:val="16"/>
                <w:szCs w:val="16"/>
              </w:rPr>
              <w:t>Essai</w:t>
            </w:r>
          </w:p>
        </w:tc>
        <w:tc>
          <w:tcPr>
            <w:tcW w:w="1320" w:type="dxa"/>
            <w:vAlign w:val="bottom"/>
          </w:tcPr>
          <w:p w14:paraId="609DA350" w14:textId="77777777" w:rsidR="00BE2CA7" w:rsidRPr="00A318C3" w:rsidRDefault="00BE2CA7" w:rsidP="002B0590">
            <w:pPr>
              <w:spacing w:before="80" w:after="80" w:line="200" w:lineRule="exact"/>
              <w:ind w:left="57" w:right="57"/>
              <w:rPr>
                <w:i/>
                <w:sz w:val="16"/>
                <w:szCs w:val="16"/>
                <w:lang w:val="en-US"/>
              </w:rPr>
            </w:pPr>
            <w:r>
              <w:rPr>
                <w:i/>
                <w:sz w:val="16"/>
                <w:szCs w:val="16"/>
                <w:lang w:val="en-US"/>
              </w:rPr>
              <w:t>Valeur de CO</w:t>
            </w:r>
            <w:r w:rsidRPr="00A318C3">
              <w:rPr>
                <w:i/>
                <w:sz w:val="16"/>
                <w:szCs w:val="16"/>
                <w:lang w:val="en-US"/>
              </w:rPr>
              <w:br/>
              <w:t>(</w:t>
            </w:r>
            <w:r>
              <w:rPr>
                <w:i/>
                <w:sz w:val="16"/>
                <w:szCs w:val="16"/>
                <w:lang w:val="en-US"/>
              </w:rPr>
              <w:t xml:space="preserve">% </w:t>
            </w:r>
            <w:r w:rsidRPr="00A318C3">
              <w:rPr>
                <w:i/>
                <w:sz w:val="16"/>
                <w:szCs w:val="16"/>
                <w:lang w:val="en-US"/>
              </w:rPr>
              <w:t>vol.)</w:t>
            </w:r>
          </w:p>
        </w:tc>
        <w:tc>
          <w:tcPr>
            <w:tcW w:w="1080" w:type="dxa"/>
            <w:vAlign w:val="bottom"/>
          </w:tcPr>
          <w:p w14:paraId="1A8F0E0E" w14:textId="77777777" w:rsidR="00BE2CA7" w:rsidRPr="00DC4583" w:rsidRDefault="00BE2CA7" w:rsidP="002B0590">
            <w:pPr>
              <w:spacing w:before="80" w:after="80" w:line="200" w:lineRule="exact"/>
              <w:ind w:left="57" w:right="57"/>
              <w:rPr>
                <w:i/>
                <w:sz w:val="16"/>
                <w:szCs w:val="16"/>
              </w:rPr>
            </w:pPr>
            <w:r w:rsidRPr="00DC4583">
              <w:rPr>
                <w:i/>
                <w:sz w:val="16"/>
                <w:szCs w:val="16"/>
              </w:rPr>
              <w:t>Lambda</w:t>
            </w:r>
            <w:r w:rsidRPr="00D22797">
              <w:rPr>
                <w:i/>
                <w:sz w:val="16"/>
                <w:szCs w:val="16"/>
              </w:rPr>
              <w:t>*</w:t>
            </w:r>
          </w:p>
        </w:tc>
        <w:tc>
          <w:tcPr>
            <w:tcW w:w="1236" w:type="dxa"/>
            <w:vAlign w:val="bottom"/>
          </w:tcPr>
          <w:p w14:paraId="7D1AE854" w14:textId="77777777" w:rsidR="00BE2CA7" w:rsidRPr="00DC4583" w:rsidRDefault="00BE2CA7" w:rsidP="002B0590">
            <w:pPr>
              <w:spacing w:before="80" w:after="80" w:line="200" w:lineRule="exact"/>
              <w:ind w:left="57" w:right="57"/>
              <w:rPr>
                <w:i/>
                <w:sz w:val="16"/>
                <w:szCs w:val="16"/>
              </w:rPr>
            </w:pPr>
            <w:r>
              <w:rPr>
                <w:i/>
                <w:sz w:val="16"/>
                <w:szCs w:val="16"/>
              </w:rPr>
              <w:t>Régime moteur</w:t>
            </w:r>
            <w:r>
              <w:rPr>
                <w:i/>
                <w:sz w:val="16"/>
                <w:szCs w:val="16"/>
              </w:rPr>
              <w:br/>
            </w:r>
            <w:r w:rsidRPr="00DC4583">
              <w:rPr>
                <w:i/>
                <w:sz w:val="16"/>
                <w:szCs w:val="16"/>
              </w:rPr>
              <w:t xml:space="preserve">(min </w:t>
            </w:r>
            <w:r w:rsidRPr="00DC4583">
              <w:rPr>
                <w:i/>
                <w:sz w:val="16"/>
                <w:szCs w:val="16"/>
                <w:vertAlign w:val="superscript"/>
              </w:rPr>
              <w:t>-1</w:t>
            </w:r>
            <w:r w:rsidRPr="00DC4583">
              <w:rPr>
                <w:i/>
                <w:sz w:val="16"/>
                <w:szCs w:val="16"/>
              </w:rPr>
              <w:t>)</w:t>
            </w:r>
          </w:p>
        </w:tc>
        <w:tc>
          <w:tcPr>
            <w:tcW w:w="2040" w:type="dxa"/>
            <w:vAlign w:val="bottom"/>
          </w:tcPr>
          <w:p w14:paraId="0C4FD608" w14:textId="77777777" w:rsidR="00BE2CA7" w:rsidRPr="00DC4583" w:rsidRDefault="00BE2CA7" w:rsidP="002B0590">
            <w:pPr>
              <w:spacing w:before="80" w:after="80" w:line="200" w:lineRule="exact"/>
              <w:ind w:left="57" w:right="57"/>
              <w:rPr>
                <w:i/>
                <w:sz w:val="16"/>
                <w:szCs w:val="16"/>
              </w:rPr>
            </w:pPr>
            <w:r>
              <w:rPr>
                <w:i/>
                <w:sz w:val="16"/>
                <w:szCs w:val="16"/>
              </w:rPr>
              <w:t>Température d’huile moteur</w:t>
            </w:r>
            <w:r>
              <w:rPr>
                <w:i/>
                <w:sz w:val="16"/>
                <w:szCs w:val="16"/>
              </w:rPr>
              <w:br/>
            </w:r>
            <w:r w:rsidRPr="00DC4583">
              <w:rPr>
                <w:i/>
                <w:sz w:val="16"/>
                <w:szCs w:val="16"/>
              </w:rPr>
              <w:t>(°C)</w:t>
            </w:r>
          </w:p>
        </w:tc>
      </w:tr>
      <w:tr w:rsidR="00BE2CA7" w:rsidRPr="00DC4583" w14:paraId="5B744E50" w14:textId="77777777" w:rsidTr="002B0590">
        <w:tc>
          <w:tcPr>
            <w:tcW w:w="1746" w:type="dxa"/>
          </w:tcPr>
          <w:p w14:paraId="435B27E5" w14:textId="77777777" w:rsidR="00BE2CA7" w:rsidRPr="00DC4583" w:rsidRDefault="00BE2CA7" w:rsidP="002B0590">
            <w:pPr>
              <w:spacing w:before="60" w:after="60"/>
              <w:ind w:left="57" w:right="57"/>
            </w:pPr>
            <w:r>
              <w:t>Essai en régime inférieur de ralenti</w:t>
            </w:r>
          </w:p>
        </w:tc>
        <w:tc>
          <w:tcPr>
            <w:tcW w:w="1320" w:type="dxa"/>
          </w:tcPr>
          <w:p w14:paraId="1B1667B7" w14:textId="77777777" w:rsidR="00BE2CA7" w:rsidRPr="00DC4583" w:rsidRDefault="00BE2CA7" w:rsidP="002B0590">
            <w:pPr>
              <w:spacing w:before="60" w:after="60"/>
              <w:ind w:left="57" w:right="57"/>
            </w:pPr>
          </w:p>
        </w:tc>
        <w:tc>
          <w:tcPr>
            <w:tcW w:w="1080" w:type="dxa"/>
          </w:tcPr>
          <w:p w14:paraId="4595A40F" w14:textId="77777777" w:rsidR="00BE2CA7" w:rsidRPr="00DC4583" w:rsidRDefault="00BE2CA7" w:rsidP="002B0590">
            <w:pPr>
              <w:spacing w:before="60" w:after="60"/>
              <w:ind w:left="57" w:right="57"/>
            </w:pPr>
            <w:r w:rsidRPr="00DC4583">
              <w:t>N/A</w:t>
            </w:r>
          </w:p>
        </w:tc>
        <w:tc>
          <w:tcPr>
            <w:tcW w:w="1236" w:type="dxa"/>
          </w:tcPr>
          <w:p w14:paraId="18C39F5B" w14:textId="77777777" w:rsidR="00BE2CA7" w:rsidRPr="00DC4583" w:rsidRDefault="00BE2CA7" w:rsidP="002B0590">
            <w:pPr>
              <w:spacing w:before="60" w:after="60"/>
              <w:ind w:left="57" w:right="57"/>
            </w:pPr>
          </w:p>
        </w:tc>
        <w:tc>
          <w:tcPr>
            <w:tcW w:w="2040" w:type="dxa"/>
          </w:tcPr>
          <w:p w14:paraId="23C5199C" w14:textId="77777777" w:rsidR="00BE2CA7" w:rsidRPr="00DC4583" w:rsidRDefault="00BE2CA7" w:rsidP="002B0590">
            <w:pPr>
              <w:spacing w:before="60" w:after="60"/>
              <w:ind w:left="57" w:right="57"/>
            </w:pPr>
          </w:p>
        </w:tc>
      </w:tr>
      <w:tr w:rsidR="00BE2CA7" w:rsidRPr="00DC4583" w14:paraId="1EB7009C" w14:textId="77777777" w:rsidTr="002B0590">
        <w:tc>
          <w:tcPr>
            <w:tcW w:w="1746" w:type="dxa"/>
          </w:tcPr>
          <w:p w14:paraId="17ED2855" w14:textId="77777777" w:rsidR="00BE2CA7" w:rsidRPr="00DC4583" w:rsidRDefault="00BE2CA7" w:rsidP="002B0590">
            <w:pPr>
              <w:spacing w:before="60" w:after="60"/>
              <w:ind w:left="57" w:right="57"/>
            </w:pPr>
            <w:r>
              <w:t>Essai en régime de ralenti accéléré</w:t>
            </w:r>
          </w:p>
        </w:tc>
        <w:tc>
          <w:tcPr>
            <w:tcW w:w="1320" w:type="dxa"/>
          </w:tcPr>
          <w:p w14:paraId="0031137C" w14:textId="77777777" w:rsidR="00BE2CA7" w:rsidRPr="00DC4583" w:rsidRDefault="00BE2CA7" w:rsidP="002B0590">
            <w:pPr>
              <w:spacing w:before="60" w:after="60"/>
              <w:ind w:left="57" w:right="57"/>
            </w:pPr>
          </w:p>
        </w:tc>
        <w:tc>
          <w:tcPr>
            <w:tcW w:w="1080" w:type="dxa"/>
          </w:tcPr>
          <w:p w14:paraId="75C51DE9" w14:textId="77777777" w:rsidR="00BE2CA7" w:rsidRPr="00DC4583" w:rsidRDefault="00BE2CA7" w:rsidP="002B0590">
            <w:pPr>
              <w:spacing w:before="60" w:after="60"/>
              <w:ind w:left="57" w:right="57"/>
            </w:pPr>
          </w:p>
        </w:tc>
        <w:tc>
          <w:tcPr>
            <w:tcW w:w="1236" w:type="dxa"/>
          </w:tcPr>
          <w:p w14:paraId="261977BF" w14:textId="77777777" w:rsidR="00BE2CA7" w:rsidRPr="00DC4583" w:rsidRDefault="00BE2CA7" w:rsidP="002B0590">
            <w:pPr>
              <w:spacing w:before="60" w:after="60"/>
              <w:ind w:left="57" w:right="57"/>
            </w:pPr>
          </w:p>
        </w:tc>
        <w:tc>
          <w:tcPr>
            <w:tcW w:w="2040" w:type="dxa"/>
          </w:tcPr>
          <w:p w14:paraId="3A13A53E" w14:textId="77777777" w:rsidR="00BE2CA7" w:rsidRPr="00DC4583" w:rsidRDefault="00BE2CA7" w:rsidP="002B0590">
            <w:pPr>
              <w:spacing w:before="60" w:after="60"/>
              <w:ind w:left="57" w:right="57"/>
            </w:pPr>
          </w:p>
        </w:tc>
      </w:tr>
    </w:tbl>
    <w:p w14:paraId="6D9F2647" w14:textId="77777777" w:rsidR="00BE2CA7" w:rsidRDefault="00BE2CA7" w:rsidP="00BE2CA7">
      <w:pPr>
        <w:pStyle w:val="SingleTxtG"/>
        <w:tabs>
          <w:tab w:val="right" w:leader="dot" w:pos="8505"/>
        </w:tabs>
        <w:kinsoku/>
        <w:overflowPunct/>
        <w:autoSpaceDE/>
        <w:autoSpaceDN/>
        <w:adjustRightInd/>
        <w:snapToGrid/>
        <w:spacing w:before="120"/>
        <w:ind w:firstLine="113"/>
        <w:jc w:val="left"/>
        <w:rPr>
          <w:lang w:val="fr-FR"/>
        </w:rPr>
      </w:pPr>
      <w:r w:rsidRPr="00D22797">
        <w:rPr>
          <w:lang w:val="fr-FR"/>
        </w:rPr>
        <w:t>*</w:t>
      </w:r>
      <w:r w:rsidRPr="00A318C3">
        <w:rPr>
          <w:lang w:val="fr-FR"/>
        </w:rPr>
        <w:t xml:space="preserve">  </w:t>
      </w:r>
      <w:r w:rsidRPr="00A318C3">
        <w:rPr>
          <w:sz w:val="18"/>
          <w:szCs w:val="18"/>
          <w:lang w:val="fr-FR"/>
        </w:rPr>
        <w:t>Formule lambda</w:t>
      </w:r>
      <w:r>
        <w:rPr>
          <w:sz w:val="18"/>
          <w:szCs w:val="18"/>
          <w:lang w:val="fr-FR"/>
        </w:rPr>
        <w:t> </w:t>
      </w:r>
      <w:r w:rsidRPr="00A318C3">
        <w:rPr>
          <w:sz w:val="18"/>
          <w:szCs w:val="18"/>
          <w:lang w:val="fr-FR"/>
        </w:rPr>
        <w:t>: voir par</w:t>
      </w:r>
      <w:r>
        <w:rPr>
          <w:sz w:val="18"/>
          <w:szCs w:val="18"/>
          <w:lang w:val="fr-FR"/>
        </w:rPr>
        <w:t>. </w:t>
      </w:r>
      <w:r w:rsidRPr="00A318C3">
        <w:rPr>
          <w:sz w:val="18"/>
          <w:szCs w:val="18"/>
          <w:lang w:val="fr-FR"/>
        </w:rPr>
        <w:t>5.3.7.3. du présent Règlement.</w:t>
      </w:r>
    </w:p>
    <w:p w14:paraId="0D8C682F" w14:textId="77777777" w:rsidR="00BE2CA7" w:rsidRPr="00A318C3" w:rsidRDefault="00BE2CA7" w:rsidP="00BE2CA7">
      <w:pPr>
        <w:pStyle w:val="SingleTxtG"/>
        <w:tabs>
          <w:tab w:val="right" w:leader="dot" w:pos="8505"/>
        </w:tabs>
        <w:kinsoku/>
        <w:overflowPunct/>
        <w:autoSpaceDE/>
        <w:autoSpaceDN/>
        <w:adjustRightInd/>
        <w:snapToGrid/>
        <w:spacing w:before="240"/>
        <w:ind w:left="2268" w:hanging="1134"/>
        <w:jc w:val="left"/>
        <w:rPr>
          <w:vertAlign w:val="superscript"/>
          <w:lang w:val="fr-FR"/>
        </w:rPr>
      </w:pPr>
      <w:r w:rsidRPr="00A318C3">
        <w:rPr>
          <w:lang w:val="fr-FR"/>
        </w:rPr>
        <w:t>2.4</w:t>
      </w:r>
      <w:r w:rsidRPr="00A318C3">
        <w:rPr>
          <w:lang w:val="fr-FR"/>
        </w:rPr>
        <w:tab/>
        <w:t>Résultats de l</w:t>
      </w:r>
      <w:r>
        <w:rPr>
          <w:lang w:val="fr-FR"/>
        </w:rPr>
        <w:t>’</w:t>
      </w:r>
      <w:r w:rsidRPr="00A318C3">
        <w:rPr>
          <w:lang w:val="fr-FR"/>
        </w:rPr>
        <w:t>essai de mesure de l</w:t>
      </w:r>
      <w:r>
        <w:rPr>
          <w:lang w:val="fr-FR"/>
        </w:rPr>
        <w:t>’</w:t>
      </w:r>
      <w:r w:rsidRPr="00A318C3">
        <w:rPr>
          <w:lang w:val="fr-FR"/>
        </w:rPr>
        <w:t>opacité des fumées</w:t>
      </w:r>
      <w:r w:rsidRPr="00A318C3">
        <w:rPr>
          <w:sz w:val="18"/>
          <w:szCs w:val="18"/>
          <w:vertAlign w:val="superscript"/>
          <w:lang w:val="fr-FR"/>
        </w:rPr>
        <w:t>1</w:t>
      </w:r>
      <w:r w:rsidRPr="00A318C3">
        <w:rPr>
          <w:vertAlign w:val="superscript"/>
          <w:lang w:val="fr-FR"/>
        </w:rPr>
        <w:t>,</w:t>
      </w:r>
      <w:r>
        <w:rPr>
          <w:vertAlign w:val="superscript"/>
          <w:lang w:val="fr-FR"/>
        </w:rPr>
        <w:t xml:space="preserve"> </w:t>
      </w:r>
      <w:r w:rsidRPr="00977679">
        <w:rPr>
          <w:rStyle w:val="Appelnotedebasdep"/>
        </w:rPr>
        <w:footnoteReference w:id="23"/>
      </w:r>
      <w:r w:rsidRPr="00A318C3">
        <w:rPr>
          <w:sz w:val="18"/>
          <w:vertAlign w:val="superscript"/>
          <w:lang w:val="fr-FR"/>
        </w:rPr>
        <w:t xml:space="preserve"> </w:t>
      </w:r>
    </w:p>
    <w:p w14:paraId="5E858640" w14:textId="77777777" w:rsidR="00BE2CA7" w:rsidRPr="00A318C3" w:rsidRDefault="00BE2CA7" w:rsidP="00BE2CA7">
      <w:pPr>
        <w:pStyle w:val="SingleTxtG"/>
        <w:tabs>
          <w:tab w:val="right" w:leader="dot" w:pos="8505"/>
        </w:tabs>
        <w:kinsoku/>
        <w:overflowPunct/>
        <w:autoSpaceDE/>
        <w:autoSpaceDN/>
        <w:adjustRightInd/>
        <w:snapToGrid/>
        <w:ind w:left="2268" w:hanging="1134"/>
        <w:jc w:val="left"/>
        <w:rPr>
          <w:lang w:val="fr-FR"/>
        </w:rPr>
      </w:pPr>
      <w:r w:rsidRPr="00A318C3">
        <w:rPr>
          <w:lang w:val="fr-FR"/>
        </w:rPr>
        <w:t>2.4.1</w:t>
      </w:r>
      <w:r w:rsidRPr="00A318C3">
        <w:rPr>
          <w:lang w:val="fr-FR"/>
        </w:rPr>
        <w:tab/>
        <w:t>En régime stabilisé</w:t>
      </w:r>
      <w:r>
        <w:rPr>
          <w:lang w:val="fr-FR"/>
        </w:rPr>
        <w:t> </w:t>
      </w:r>
      <w:r w:rsidRPr="00A318C3">
        <w:rPr>
          <w:lang w:val="fr-FR"/>
        </w:rPr>
        <w:t xml:space="preserve">: voir le numéro du </w:t>
      </w:r>
      <w:r>
        <w:rPr>
          <w:lang w:val="fr-FR"/>
        </w:rPr>
        <w:t>procès-verbal</w:t>
      </w:r>
      <w:r w:rsidRPr="00A318C3">
        <w:rPr>
          <w:lang w:val="fr-FR"/>
        </w:rPr>
        <w:t xml:space="preserve"> d</w:t>
      </w:r>
      <w:r>
        <w:rPr>
          <w:lang w:val="fr-FR"/>
        </w:rPr>
        <w:t>’</w:t>
      </w:r>
      <w:r w:rsidRPr="00A318C3">
        <w:rPr>
          <w:lang w:val="fr-FR"/>
        </w:rPr>
        <w:t>essai du service technique (</w:t>
      </w:r>
      <w:r>
        <w:rPr>
          <w:lang w:val="fr-FR"/>
        </w:rPr>
        <w:t>le cas échéant</w:t>
      </w:r>
      <w:r w:rsidRPr="00A318C3">
        <w:rPr>
          <w:lang w:val="fr-FR"/>
        </w:rPr>
        <w:t>)</w:t>
      </w:r>
      <w:r>
        <w:rPr>
          <w:lang w:val="fr-FR"/>
        </w:rPr>
        <w:t> </w:t>
      </w:r>
      <w:r w:rsidRPr="00A318C3">
        <w:rPr>
          <w:lang w:val="fr-FR"/>
        </w:rPr>
        <w:t>:</w:t>
      </w:r>
      <w:r w:rsidRPr="00A318C3">
        <w:rPr>
          <w:lang w:val="fr-FR"/>
        </w:rPr>
        <w:tab/>
      </w:r>
    </w:p>
    <w:p w14:paraId="437C2169" w14:textId="77777777" w:rsidR="00BE2CA7" w:rsidRPr="00A318C3" w:rsidRDefault="00BE2CA7" w:rsidP="00BE2CA7">
      <w:pPr>
        <w:pStyle w:val="SingleTxtG"/>
        <w:tabs>
          <w:tab w:val="right" w:leader="dot" w:pos="8505"/>
        </w:tabs>
        <w:kinsoku/>
        <w:overflowPunct/>
        <w:autoSpaceDE/>
        <w:autoSpaceDN/>
        <w:adjustRightInd/>
        <w:snapToGrid/>
        <w:ind w:left="2268" w:hanging="1134"/>
        <w:jc w:val="left"/>
        <w:rPr>
          <w:lang w:val="fr-FR"/>
        </w:rPr>
      </w:pPr>
      <w:r w:rsidRPr="00A318C3">
        <w:rPr>
          <w:lang w:val="fr-FR"/>
        </w:rPr>
        <w:t>2.4.2</w:t>
      </w:r>
      <w:r w:rsidRPr="00A318C3">
        <w:rPr>
          <w:lang w:val="fr-FR"/>
        </w:rPr>
        <w:tab/>
        <w:t>Essais en accélération libre</w:t>
      </w:r>
    </w:p>
    <w:p w14:paraId="0C1AA306" w14:textId="77777777" w:rsidR="00BE2CA7" w:rsidRPr="00A318C3" w:rsidRDefault="00BE2CA7" w:rsidP="00BE2CA7">
      <w:pPr>
        <w:pStyle w:val="SingleTxtG"/>
        <w:tabs>
          <w:tab w:val="right" w:leader="dot" w:pos="8505"/>
        </w:tabs>
        <w:kinsoku/>
        <w:overflowPunct/>
        <w:autoSpaceDE/>
        <w:autoSpaceDN/>
        <w:adjustRightInd/>
        <w:snapToGrid/>
        <w:ind w:left="2268" w:hanging="1134"/>
        <w:jc w:val="left"/>
        <w:rPr>
          <w:lang w:val="fr-FR"/>
        </w:rPr>
      </w:pPr>
      <w:r w:rsidRPr="00A318C3">
        <w:rPr>
          <w:lang w:val="fr-FR"/>
        </w:rPr>
        <w:t>2.4.2.1</w:t>
      </w:r>
      <w:r w:rsidRPr="00A318C3">
        <w:rPr>
          <w:lang w:val="fr-FR"/>
        </w:rPr>
        <w:tab/>
        <w:t>Valeur mesurée du coefficient d</w:t>
      </w:r>
      <w:r>
        <w:rPr>
          <w:lang w:val="fr-FR"/>
        </w:rPr>
        <w:t>’</w:t>
      </w:r>
      <w:r w:rsidRPr="00A318C3">
        <w:rPr>
          <w:lang w:val="fr-FR"/>
        </w:rPr>
        <w:t>absorption (le cas échéant)</w:t>
      </w:r>
      <w:r>
        <w:rPr>
          <w:lang w:val="fr-FR"/>
        </w:rPr>
        <w:t> </w:t>
      </w:r>
      <w:r w:rsidRPr="00A318C3">
        <w:rPr>
          <w:lang w:val="fr-FR"/>
        </w:rPr>
        <w:t>:</w:t>
      </w:r>
      <w:r w:rsidRPr="00A318C3">
        <w:rPr>
          <w:lang w:val="fr-FR"/>
        </w:rPr>
        <w:tab/>
        <w:t>.m</w:t>
      </w:r>
      <w:r w:rsidRPr="00A318C3">
        <w:rPr>
          <w:vertAlign w:val="superscript"/>
          <w:lang w:val="fr-FR"/>
        </w:rPr>
        <w:t>-1</w:t>
      </w:r>
    </w:p>
    <w:p w14:paraId="74ECC38A" w14:textId="77777777" w:rsidR="00BE2CA7" w:rsidRPr="00A318C3" w:rsidRDefault="00BE2CA7" w:rsidP="00BE2CA7">
      <w:pPr>
        <w:pStyle w:val="SingleTxtG"/>
        <w:tabs>
          <w:tab w:val="right" w:leader="dot" w:pos="8505"/>
        </w:tabs>
        <w:kinsoku/>
        <w:overflowPunct/>
        <w:autoSpaceDE/>
        <w:autoSpaceDN/>
        <w:adjustRightInd/>
        <w:snapToGrid/>
        <w:ind w:left="2268" w:hanging="1134"/>
        <w:jc w:val="left"/>
        <w:rPr>
          <w:lang w:val="fr-FR"/>
        </w:rPr>
      </w:pPr>
      <w:r w:rsidRPr="00A318C3">
        <w:rPr>
          <w:lang w:val="fr-FR"/>
        </w:rPr>
        <w:t>2.4.2.2</w:t>
      </w:r>
      <w:r w:rsidRPr="00A318C3">
        <w:rPr>
          <w:lang w:val="fr-FR"/>
        </w:rPr>
        <w:tab/>
        <w:t>Valeur corrigée du coefficient d</w:t>
      </w:r>
      <w:r>
        <w:rPr>
          <w:lang w:val="fr-FR"/>
        </w:rPr>
        <w:t>’</w:t>
      </w:r>
      <w:r w:rsidRPr="00A318C3">
        <w:rPr>
          <w:lang w:val="fr-FR"/>
        </w:rPr>
        <w:t>absorption</w:t>
      </w:r>
      <w:r>
        <w:rPr>
          <w:lang w:val="fr-FR"/>
        </w:rPr>
        <w:t> </w:t>
      </w:r>
      <w:r w:rsidRPr="00A318C3">
        <w:rPr>
          <w:lang w:val="fr-FR"/>
        </w:rPr>
        <w:t>:</w:t>
      </w:r>
      <w:r w:rsidRPr="00A318C3">
        <w:rPr>
          <w:lang w:val="fr-FR"/>
        </w:rPr>
        <w:tab/>
        <w:t>m</w:t>
      </w:r>
      <w:r w:rsidRPr="00A318C3">
        <w:rPr>
          <w:vertAlign w:val="superscript"/>
          <w:lang w:val="fr-FR"/>
        </w:rPr>
        <w:t>-1</w:t>
      </w:r>
    </w:p>
    <w:p w14:paraId="3A168556" w14:textId="77777777" w:rsidR="00BE2CA7" w:rsidRPr="00A318C3" w:rsidRDefault="00BE2CA7" w:rsidP="00BE2CA7">
      <w:pPr>
        <w:pStyle w:val="SingleTxtG"/>
        <w:tabs>
          <w:tab w:val="right" w:leader="dot" w:pos="8505"/>
        </w:tabs>
        <w:kinsoku/>
        <w:overflowPunct/>
        <w:autoSpaceDE/>
        <w:autoSpaceDN/>
        <w:adjustRightInd/>
        <w:snapToGrid/>
        <w:ind w:left="2268" w:hanging="1134"/>
        <w:jc w:val="left"/>
        <w:rPr>
          <w:strike/>
          <w:lang w:val="fr-FR"/>
        </w:rPr>
      </w:pPr>
      <w:r w:rsidRPr="00A318C3">
        <w:rPr>
          <w:lang w:val="fr-FR"/>
        </w:rPr>
        <w:t>2.4.2.3</w:t>
      </w:r>
      <w:r w:rsidRPr="00A318C3">
        <w:rPr>
          <w:lang w:val="fr-FR"/>
        </w:rPr>
        <w:tab/>
        <w:t>Emplacement du symbole de coefficient d</w:t>
      </w:r>
      <w:r>
        <w:rPr>
          <w:lang w:val="fr-FR"/>
        </w:rPr>
        <w:t>’</w:t>
      </w:r>
      <w:r w:rsidRPr="00A318C3">
        <w:rPr>
          <w:lang w:val="fr-FR"/>
        </w:rPr>
        <w:t>absorption sur le véhicule</w:t>
      </w:r>
      <w:r>
        <w:rPr>
          <w:lang w:val="fr-FR"/>
        </w:rPr>
        <w:t> </w:t>
      </w:r>
      <w:r w:rsidRPr="00A318C3">
        <w:rPr>
          <w:lang w:val="fr-FR"/>
        </w:rPr>
        <w:t>:</w:t>
      </w:r>
      <w:r w:rsidRPr="00A318C3">
        <w:rPr>
          <w:lang w:val="fr-FR"/>
        </w:rPr>
        <w:tab/>
      </w:r>
      <w:r w:rsidRPr="00A318C3">
        <w:rPr>
          <w:strike/>
          <w:lang w:val="fr-FR"/>
        </w:rPr>
        <w:tab/>
      </w:r>
    </w:p>
    <w:p w14:paraId="0D0605FE" w14:textId="77777777" w:rsidR="00BE2CA7" w:rsidRDefault="00BE2CA7" w:rsidP="00BE2CA7">
      <w:pPr>
        <w:pStyle w:val="SingleTxtG"/>
        <w:tabs>
          <w:tab w:val="right" w:leader="dot" w:pos="8505"/>
        </w:tabs>
        <w:kinsoku/>
        <w:overflowPunct/>
        <w:autoSpaceDE/>
        <w:autoSpaceDN/>
        <w:adjustRightInd/>
        <w:snapToGrid/>
        <w:ind w:left="2268" w:hanging="1134"/>
        <w:jc w:val="left"/>
      </w:pPr>
      <w:r w:rsidRPr="00DC4583">
        <w:t>3.</w:t>
      </w:r>
      <w:r w:rsidRPr="00DC4583">
        <w:tab/>
      </w:r>
      <w:r>
        <w:t>Remarques </w:t>
      </w:r>
      <w:r w:rsidRPr="00DC4583">
        <w:t>:</w:t>
      </w:r>
      <w:r w:rsidRPr="00DC4583">
        <w:tab/>
      </w:r>
    </w:p>
    <w:bookmarkEnd w:id="30"/>
    <w:p w14:paraId="3B209B45" w14:textId="77777777" w:rsidR="00BE2CA7" w:rsidRDefault="00BE2CA7" w:rsidP="00BE2CA7">
      <w:pPr>
        <w:suppressAutoHyphens w:val="0"/>
        <w:kinsoku/>
        <w:overflowPunct/>
        <w:autoSpaceDE/>
        <w:autoSpaceDN/>
        <w:adjustRightInd/>
        <w:snapToGrid/>
        <w:spacing w:after="200" w:line="276" w:lineRule="auto"/>
        <w:rPr>
          <w:lang w:val="fr-FR"/>
        </w:rPr>
      </w:pPr>
      <w:r>
        <w:rPr>
          <w:lang w:val="fr-FR"/>
        </w:rPr>
        <w:br w:type="page"/>
      </w:r>
    </w:p>
    <w:p w14:paraId="6CF1702B" w14:textId="77777777" w:rsidR="00BE2CA7" w:rsidRPr="00440C76" w:rsidRDefault="00BE2CA7" w:rsidP="00BE2CA7">
      <w:pPr>
        <w:pStyle w:val="HChG"/>
        <w:rPr>
          <w:lang w:val="fr-FR"/>
        </w:rPr>
      </w:pPr>
      <w:bookmarkStart w:id="31" w:name="_Hlk162956567"/>
      <w:r w:rsidRPr="00440C76">
        <w:rPr>
          <w:lang w:val="fr-FR"/>
        </w:rPr>
        <w:lastRenderedPageBreak/>
        <w:t>Annexe</w:t>
      </w:r>
      <w:r>
        <w:rPr>
          <w:lang w:val="fr-FR"/>
        </w:rPr>
        <w:t> </w:t>
      </w:r>
      <w:r w:rsidRPr="00440C76">
        <w:rPr>
          <w:lang w:val="fr-FR"/>
        </w:rPr>
        <w:t>2</w:t>
      </w:r>
      <w:r w:rsidRPr="00440C76">
        <w:rPr>
          <w:sz w:val="18"/>
          <w:szCs w:val="18"/>
          <w:lang w:val="fr-FR"/>
        </w:rPr>
        <w:t xml:space="preserve"> </w:t>
      </w:r>
      <w:r>
        <w:rPr>
          <w:sz w:val="18"/>
          <w:szCs w:val="18"/>
          <w:lang w:val="fr-FR"/>
        </w:rPr>
        <w:t>−</w:t>
      </w:r>
      <w:r w:rsidRPr="00440C76">
        <w:rPr>
          <w:sz w:val="18"/>
          <w:szCs w:val="18"/>
          <w:lang w:val="fr-FR"/>
        </w:rPr>
        <w:t xml:space="preserve"> </w:t>
      </w:r>
      <w:r w:rsidRPr="00440C76">
        <w:rPr>
          <w:lang w:val="fr-FR"/>
        </w:rPr>
        <w:t>Appendice</w:t>
      </w:r>
      <w:r>
        <w:rPr>
          <w:lang w:val="fr-FR"/>
        </w:rPr>
        <w:t> </w:t>
      </w:r>
      <w:r w:rsidRPr="00440C76">
        <w:rPr>
          <w:lang w:val="fr-FR"/>
        </w:rPr>
        <w:t>1</w:t>
      </w:r>
    </w:p>
    <w:p w14:paraId="0569141E" w14:textId="77777777" w:rsidR="00BE2CA7" w:rsidRPr="00440C76" w:rsidRDefault="00BE2CA7" w:rsidP="00BE2CA7">
      <w:pPr>
        <w:pStyle w:val="HChG"/>
        <w:rPr>
          <w:lang w:val="fr-FR"/>
        </w:rPr>
      </w:pPr>
      <w:r w:rsidRPr="00440C76">
        <w:rPr>
          <w:lang w:val="fr-FR"/>
        </w:rPr>
        <w:tab/>
      </w:r>
      <w:r w:rsidRPr="00440C76">
        <w:rPr>
          <w:lang w:val="fr-FR"/>
        </w:rPr>
        <w:tab/>
      </w:r>
      <w:r w:rsidRPr="006F682E">
        <w:t>Réservé</w:t>
      </w:r>
    </w:p>
    <w:bookmarkEnd w:id="31"/>
    <w:p w14:paraId="2B3564FE" w14:textId="77777777" w:rsidR="00BE2CA7" w:rsidRDefault="00BE2CA7" w:rsidP="00BE2CA7">
      <w:pPr>
        <w:suppressAutoHyphens w:val="0"/>
        <w:kinsoku/>
        <w:overflowPunct/>
        <w:autoSpaceDE/>
        <w:autoSpaceDN/>
        <w:adjustRightInd/>
        <w:snapToGrid/>
        <w:spacing w:after="200" w:line="276" w:lineRule="auto"/>
        <w:rPr>
          <w:lang w:val="fr-FR"/>
        </w:rPr>
      </w:pPr>
      <w:r>
        <w:rPr>
          <w:lang w:val="fr-FR"/>
        </w:rPr>
        <w:br w:type="page"/>
      </w:r>
    </w:p>
    <w:p w14:paraId="3A70308D" w14:textId="77777777" w:rsidR="00BE2CA7" w:rsidRPr="00440C76" w:rsidRDefault="00BE2CA7" w:rsidP="00BE2CA7">
      <w:pPr>
        <w:pStyle w:val="HChG"/>
        <w:rPr>
          <w:lang w:val="fr-FR"/>
        </w:rPr>
      </w:pPr>
      <w:r w:rsidRPr="00440C76">
        <w:rPr>
          <w:lang w:val="fr-FR"/>
        </w:rPr>
        <w:lastRenderedPageBreak/>
        <w:t>Annexe</w:t>
      </w:r>
      <w:r>
        <w:rPr>
          <w:lang w:val="fr-FR"/>
        </w:rPr>
        <w:t> </w:t>
      </w:r>
      <w:r w:rsidRPr="00440C76">
        <w:rPr>
          <w:lang w:val="fr-FR"/>
        </w:rPr>
        <w:t>2</w:t>
      </w:r>
      <w:r w:rsidRPr="00440C76">
        <w:rPr>
          <w:sz w:val="18"/>
          <w:szCs w:val="18"/>
          <w:lang w:val="fr-FR"/>
        </w:rPr>
        <w:t xml:space="preserve"> </w:t>
      </w:r>
      <w:r>
        <w:rPr>
          <w:szCs w:val="28"/>
          <w:lang w:val="fr-FR"/>
        </w:rPr>
        <w:t>−</w:t>
      </w:r>
      <w:r w:rsidRPr="00440C76">
        <w:rPr>
          <w:sz w:val="18"/>
          <w:szCs w:val="18"/>
          <w:lang w:val="fr-FR"/>
        </w:rPr>
        <w:t xml:space="preserve"> </w:t>
      </w:r>
      <w:r w:rsidRPr="006F682E">
        <w:t>Appendice</w:t>
      </w:r>
      <w:r>
        <w:rPr>
          <w:lang w:val="fr-FR"/>
        </w:rPr>
        <w:t> </w:t>
      </w:r>
      <w:r w:rsidRPr="00440C76">
        <w:rPr>
          <w:lang w:val="fr-FR"/>
        </w:rPr>
        <w:t>2</w:t>
      </w:r>
    </w:p>
    <w:p w14:paraId="7D03679D" w14:textId="77777777" w:rsidR="00BE2CA7" w:rsidRPr="00440C76" w:rsidRDefault="00BE2CA7" w:rsidP="00BE2CA7">
      <w:pPr>
        <w:pStyle w:val="HChG"/>
        <w:rPr>
          <w:lang w:val="fr-FR"/>
        </w:rPr>
      </w:pPr>
      <w:r w:rsidRPr="00440C76">
        <w:rPr>
          <w:lang w:val="fr-FR"/>
        </w:rPr>
        <w:tab/>
      </w:r>
      <w:r w:rsidRPr="00440C76">
        <w:rPr>
          <w:lang w:val="fr-FR"/>
        </w:rPr>
        <w:tab/>
        <w:t xml:space="preserve">Certificat de conformité aux prescriptions en ce qui concerne les performances en service du système OBD, établi </w:t>
      </w:r>
      <w:r w:rsidRPr="00440C76">
        <w:rPr>
          <w:lang w:val="fr-FR"/>
        </w:rPr>
        <w:br/>
        <w:t>par le constructeur</w:t>
      </w:r>
    </w:p>
    <w:p w14:paraId="06AADC70" w14:textId="77777777" w:rsidR="00BE2CA7" w:rsidRPr="00440C76" w:rsidRDefault="00BE2CA7" w:rsidP="00BE2CA7">
      <w:pPr>
        <w:pStyle w:val="SingleTxtG"/>
        <w:rPr>
          <w:lang w:val="fr-FR"/>
        </w:rPr>
      </w:pPr>
      <w:r w:rsidRPr="00440C76">
        <w:rPr>
          <w:lang w:val="fr-FR"/>
        </w:rPr>
        <w:t>(Constructeur) :</w:t>
      </w:r>
    </w:p>
    <w:p w14:paraId="63D76577" w14:textId="77777777" w:rsidR="00BE2CA7" w:rsidRPr="00440C76" w:rsidRDefault="00BE2CA7" w:rsidP="00BE2CA7">
      <w:pPr>
        <w:pStyle w:val="SingleTxtG"/>
        <w:spacing w:after="360"/>
        <w:rPr>
          <w:lang w:val="fr-FR"/>
        </w:rPr>
      </w:pPr>
      <w:r w:rsidRPr="00440C76">
        <w:rPr>
          <w:lang w:val="fr-FR"/>
        </w:rPr>
        <w:t>(Adresse du constructeur) :</w:t>
      </w:r>
    </w:p>
    <w:p w14:paraId="595C6996" w14:textId="77777777" w:rsidR="00BE2CA7" w:rsidRPr="00440C76" w:rsidRDefault="00BE2CA7" w:rsidP="00BE2CA7">
      <w:pPr>
        <w:pStyle w:val="SingleTxtG"/>
        <w:rPr>
          <w:lang w:val="fr-FR"/>
        </w:rPr>
      </w:pPr>
      <w:r w:rsidRPr="00440C76">
        <w:rPr>
          <w:lang w:val="fr-FR"/>
        </w:rPr>
        <w:t>Certifie que :</w:t>
      </w:r>
    </w:p>
    <w:p w14:paraId="494B73C9" w14:textId="77777777" w:rsidR="00BE2CA7" w:rsidRPr="00440C76" w:rsidRDefault="00BE2CA7" w:rsidP="00BE2CA7">
      <w:pPr>
        <w:pStyle w:val="SingleTxtG"/>
        <w:ind w:left="1701" w:hanging="567"/>
        <w:rPr>
          <w:lang w:val="fr-FR"/>
        </w:rPr>
      </w:pPr>
      <w:r w:rsidRPr="00440C76">
        <w:rPr>
          <w:lang w:val="fr-FR"/>
        </w:rPr>
        <w:t>1.</w:t>
      </w:r>
      <w:r w:rsidRPr="00440C76">
        <w:rPr>
          <w:lang w:val="fr-FR"/>
        </w:rPr>
        <w:tab/>
        <w:t>Les types de véhicules énumérés dans la pièce jointe au présent certificat sont conformes aux dispositions du paragraphe</w:t>
      </w:r>
      <w:r>
        <w:rPr>
          <w:lang w:val="fr-FR"/>
        </w:rPr>
        <w:t> </w:t>
      </w:r>
      <w:r w:rsidRPr="00440C76">
        <w:rPr>
          <w:lang w:val="fr-FR"/>
        </w:rPr>
        <w:t>7 de l</w:t>
      </w:r>
      <w:r>
        <w:rPr>
          <w:lang w:val="fr-FR"/>
        </w:rPr>
        <w:t>’</w:t>
      </w:r>
      <w:r w:rsidRPr="00440C76">
        <w:rPr>
          <w:lang w:val="fr-FR"/>
        </w:rPr>
        <w:t>appendice</w:t>
      </w:r>
      <w:r>
        <w:rPr>
          <w:lang w:val="fr-FR"/>
        </w:rPr>
        <w:t> </w:t>
      </w:r>
      <w:r w:rsidRPr="00440C76">
        <w:rPr>
          <w:lang w:val="fr-FR"/>
        </w:rPr>
        <w:t>1 de l</w:t>
      </w:r>
      <w:r>
        <w:rPr>
          <w:lang w:val="fr-FR"/>
        </w:rPr>
        <w:t>’</w:t>
      </w:r>
      <w:r w:rsidRPr="00440C76">
        <w:rPr>
          <w:lang w:val="fr-FR"/>
        </w:rPr>
        <w:t>annexe</w:t>
      </w:r>
      <w:r>
        <w:rPr>
          <w:lang w:val="fr-FR"/>
        </w:rPr>
        <w:t> </w:t>
      </w:r>
      <w:r w:rsidRPr="00440C76">
        <w:rPr>
          <w:lang w:val="fr-FR"/>
        </w:rPr>
        <w:t>C5 du Règlement ONU n</w:t>
      </w:r>
      <w:r w:rsidRPr="00440C76">
        <w:rPr>
          <w:vertAlign w:val="superscript"/>
          <w:lang w:val="fr-FR"/>
        </w:rPr>
        <w:t>o</w:t>
      </w:r>
      <w:r w:rsidRPr="00440C76">
        <w:rPr>
          <w:lang w:val="fr-FR"/>
        </w:rPr>
        <w:t> 154 et du paragraphe</w:t>
      </w:r>
      <w:r>
        <w:rPr>
          <w:lang w:val="fr-FR"/>
        </w:rPr>
        <w:t> </w:t>
      </w:r>
      <w:r w:rsidRPr="00440C76">
        <w:rPr>
          <w:lang w:val="fr-FR"/>
        </w:rPr>
        <w:t>1 de l</w:t>
      </w:r>
      <w:r>
        <w:rPr>
          <w:lang w:val="fr-FR"/>
        </w:rPr>
        <w:t>’</w:t>
      </w:r>
      <w:r w:rsidRPr="00440C76">
        <w:rPr>
          <w:lang w:val="fr-FR"/>
        </w:rPr>
        <w:t>annexe</w:t>
      </w:r>
      <w:r>
        <w:rPr>
          <w:lang w:val="fr-FR"/>
        </w:rPr>
        <w:t> </w:t>
      </w:r>
      <w:r w:rsidRPr="00440C76">
        <w:rPr>
          <w:lang w:val="fr-FR"/>
        </w:rPr>
        <w:t>11 du présent Règlement relatif aux performances en service du système OBD dans toutes les conditions de conduite raisonnablement prévisibles ;</w:t>
      </w:r>
    </w:p>
    <w:p w14:paraId="6EA5CD1E" w14:textId="77777777" w:rsidR="00BE2CA7" w:rsidRPr="00440C76" w:rsidRDefault="00BE2CA7" w:rsidP="00BE2CA7">
      <w:pPr>
        <w:pStyle w:val="SingleTxtG"/>
        <w:ind w:left="1701" w:hanging="567"/>
        <w:rPr>
          <w:lang w:val="fr-FR"/>
        </w:rPr>
      </w:pPr>
      <w:r w:rsidRPr="00440C76">
        <w:rPr>
          <w:lang w:val="fr-FR"/>
        </w:rPr>
        <w:t>2.</w:t>
      </w:r>
      <w:r w:rsidRPr="00440C76">
        <w:rPr>
          <w:lang w:val="fr-FR"/>
        </w:rPr>
        <w:tab/>
        <w:t>Le(s) plan(s) décrivant les critères techniques détaillés pour augmenter le numérateur et le dénominateur de chaque moniteur, joint(s) au présent certificat, sont corrects et complets pour tous les types de véhicules auxquels le certificat s</w:t>
      </w:r>
      <w:r>
        <w:rPr>
          <w:lang w:val="fr-FR"/>
        </w:rPr>
        <w:t>’</w:t>
      </w:r>
      <w:r w:rsidRPr="00440C76">
        <w:rPr>
          <w:lang w:val="fr-FR"/>
        </w:rPr>
        <w:t>applique.</w:t>
      </w:r>
    </w:p>
    <w:p w14:paraId="69BAF5B3" w14:textId="77777777" w:rsidR="00BE2CA7" w:rsidRPr="00440C76" w:rsidRDefault="00BE2CA7" w:rsidP="00BE2CA7">
      <w:pPr>
        <w:pStyle w:val="SingleTxtG"/>
        <w:tabs>
          <w:tab w:val="right" w:leader="dot" w:pos="3402"/>
        </w:tabs>
        <w:spacing w:before="240"/>
        <w:rPr>
          <w:lang w:val="fr-FR"/>
        </w:rPr>
      </w:pPr>
      <w:r w:rsidRPr="00440C76">
        <w:rPr>
          <w:lang w:val="fr-FR"/>
        </w:rPr>
        <w:t>Fait à [</w:t>
      </w:r>
      <w:r w:rsidRPr="00440C76">
        <w:rPr>
          <w:lang w:val="fr-FR"/>
        </w:rPr>
        <w:tab/>
        <w:t>Lieu]</w:t>
      </w:r>
    </w:p>
    <w:p w14:paraId="4470D355" w14:textId="77777777" w:rsidR="00BE2CA7" w:rsidRPr="00440C76" w:rsidRDefault="00BE2CA7" w:rsidP="00BE2CA7">
      <w:pPr>
        <w:pStyle w:val="SingleTxtG"/>
        <w:tabs>
          <w:tab w:val="right" w:leader="dot" w:pos="3402"/>
        </w:tabs>
        <w:rPr>
          <w:lang w:val="fr-FR"/>
        </w:rPr>
      </w:pPr>
      <w:r w:rsidRPr="00440C76">
        <w:rPr>
          <w:lang w:val="fr-FR"/>
        </w:rPr>
        <w:t>Le [</w:t>
      </w:r>
      <w:r w:rsidRPr="00440C76">
        <w:rPr>
          <w:lang w:val="fr-FR"/>
        </w:rPr>
        <w:tab/>
        <w:t>Date]</w:t>
      </w:r>
    </w:p>
    <w:p w14:paraId="37682EA8" w14:textId="77777777" w:rsidR="00BE2CA7" w:rsidRPr="00440C76" w:rsidRDefault="00BE2CA7" w:rsidP="00BE2CA7">
      <w:pPr>
        <w:pStyle w:val="SingleTxtG"/>
        <w:spacing w:after="1200"/>
        <w:jc w:val="right"/>
        <w:rPr>
          <w:lang w:val="fr-FR"/>
        </w:rPr>
      </w:pPr>
      <w:r w:rsidRPr="00440C76">
        <w:rPr>
          <w:lang w:val="fr-FR"/>
        </w:rPr>
        <w:t>[Signature du mandataire du constructeur]</w:t>
      </w:r>
    </w:p>
    <w:p w14:paraId="32D2C783" w14:textId="77777777" w:rsidR="00BE2CA7" w:rsidRPr="00440C76" w:rsidRDefault="00BE2CA7" w:rsidP="00BE2CA7">
      <w:pPr>
        <w:pStyle w:val="SingleTxtG"/>
        <w:rPr>
          <w:lang w:val="fr-FR"/>
        </w:rPr>
      </w:pPr>
      <w:r w:rsidRPr="00440C76">
        <w:rPr>
          <w:lang w:val="fr-FR"/>
        </w:rPr>
        <w:t>Annexes :</w:t>
      </w:r>
    </w:p>
    <w:p w14:paraId="5B3CB651" w14:textId="77777777" w:rsidR="00BE2CA7" w:rsidRPr="00440C76" w:rsidRDefault="00BE2CA7" w:rsidP="00BE2CA7">
      <w:pPr>
        <w:pStyle w:val="SingleTxtG"/>
        <w:ind w:left="2268" w:hanging="567"/>
        <w:rPr>
          <w:lang w:val="fr-FR"/>
        </w:rPr>
      </w:pPr>
      <w:r w:rsidRPr="00440C76">
        <w:rPr>
          <w:lang w:val="fr-FR"/>
        </w:rPr>
        <w:t>a)</w:t>
      </w:r>
      <w:r w:rsidRPr="00440C76">
        <w:rPr>
          <w:lang w:val="fr-FR"/>
        </w:rPr>
        <w:tab/>
        <w:t>Liste des types de véhicules auxquels le présent certificat s</w:t>
      </w:r>
      <w:r>
        <w:rPr>
          <w:lang w:val="fr-FR"/>
        </w:rPr>
        <w:t>’</w:t>
      </w:r>
      <w:r w:rsidRPr="00440C76">
        <w:rPr>
          <w:lang w:val="fr-FR"/>
        </w:rPr>
        <w:t>applique ;</w:t>
      </w:r>
    </w:p>
    <w:p w14:paraId="2F100ED8" w14:textId="77777777" w:rsidR="00BE2CA7" w:rsidRDefault="00BE2CA7" w:rsidP="002D411F">
      <w:pPr>
        <w:pStyle w:val="SingleTxtG"/>
        <w:ind w:left="2268" w:hanging="567"/>
        <w:rPr>
          <w:lang w:val="fr-FR"/>
        </w:rPr>
      </w:pPr>
      <w:r w:rsidRPr="00440C76">
        <w:rPr>
          <w:lang w:val="fr-FR"/>
        </w:rPr>
        <w:t>b)</w:t>
      </w:r>
      <w:r w:rsidRPr="00440C76">
        <w:rPr>
          <w:lang w:val="fr-FR"/>
        </w:rPr>
        <w:tab/>
        <w:t>Plan(s) décrivant de manière détaillée les critères techniques pour augmenter le numérateur et le dénominateur de chaque moniteur et plan(s) de désactivation des numérateurs, des dénominateurs et du dénominateur général</w:t>
      </w:r>
      <w:r>
        <w:rPr>
          <w:lang w:val="fr-FR"/>
        </w:rPr>
        <w:t>.</w:t>
      </w:r>
    </w:p>
    <w:p w14:paraId="5ECA96BC" w14:textId="77777777" w:rsidR="002D411F" w:rsidRDefault="002D411F" w:rsidP="002D411F">
      <w:pPr>
        <w:pStyle w:val="SingleTxtG"/>
        <w:ind w:left="2268" w:hanging="567"/>
        <w:rPr>
          <w:lang w:val="fr-FR"/>
        </w:rPr>
        <w:sectPr w:rsidR="002D411F" w:rsidSect="00BE2CA7">
          <w:endnotePr>
            <w:numFmt w:val="decimal"/>
          </w:endnotePr>
          <w:pgSz w:w="11907" w:h="16840" w:code="9"/>
          <w:pgMar w:top="1417" w:right="1134" w:bottom="1134" w:left="1134" w:header="680" w:footer="567" w:gutter="0"/>
          <w:cols w:space="720"/>
          <w:docGrid w:linePitch="272"/>
        </w:sectPr>
      </w:pPr>
    </w:p>
    <w:p w14:paraId="1607D9B9" w14:textId="77777777" w:rsidR="00BE2CA7" w:rsidRPr="006F682E" w:rsidRDefault="00BE2CA7" w:rsidP="00BE2CA7">
      <w:pPr>
        <w:pStyle w:val="HChG"/>
      </w:pPr>
      <w:r w:rsidRPr="00440C76">
        <w:rPr>
          <w:lang w:val="fr-FR"/>
        </w:rPr>
        <w:lastRenderedPageBreak/>
        <w:t>Annexe</w:t>
      </w:r>
      <w:r>
        <w:rPr>
          <w:lang w:val="fr-FR"/>
        </w:rPr>
        <w:t> </w:t>
      </w:r>
      <w:r w:rsidRPr="00440C76">
        <w:rPr>
          <w:lang w:val="fr-FR"/>
        </w:rPr>
        <w:t>3</w:t>
      </w:r>
    </w:p>
    <w:p w14:paraId="46385145" w14:textId="77777777" w:rsidR="00BE2CA7" w:rsidRPr="006F682E" w:rsidRDefault="00BE2CA7" w:rsidP="00BE2CA7">
      <w:pPr>
        <w:pStyle w:val="HChG"/>
      </w:pPr>
      <w:r w:rsidRPr="00440C76">
        <w:rPr>
          <w:lang w:val="fr-FR"/>
        </w:rPr>
        <w:tab/>
      </w:r>
      <w:r w:rsidRPr="00440C76">
        <w:rPr>
          <w:lang w:val="fr-FR"/>
        </w:rPr>
        <w:tab/>
      </w:r>
      <w:r w:rsidRPr="00440C76">
        <w:rPr>
          <w:lang w:val="fr-FR"/>
        </w:rPr>
        <w:tab/>
        <w:t>Exemples de marques d</w:t>
      </w:r>
      <w:r>
        <w:rPr>
          <w:lang w:val="fr-FR"/>
        </w:rPr>
        <w:t>’</w:t>
      </w:r>
      <w:r w:rsidRPr="00440C76">
        <w:rPr>
          <w:lang w:val="fr-FR"/>
        </w:rPr>
        <w:t>homologation</w:t>
      </w:r>
    </w:p>
    <w:p w14:paraId="79928D58" w14:textId="77777777" w:rsidR="00BE2CA7" w:rsidRPr="00440C76" w:rsidRDefault="00BE2CA7" w:rsidP="00BE2CA7">
      <w:pPr>
        <w:pStyle w:val="SingleTxtG"/>
        <w:ind w:firstLine="567"/>
        <w:rPr>
          <w:lang w:val="fr-FR"/>
        </w:rPr>
      </w:pPr>
      <w:r w:rsidRPr="00440C76">
        <w:rPr>
          <w:lang w:val="fr-FR"/>
        </w:rPr>
        <w:t>Dans la marque d</w:t>
      </w:r>
      <w:r>
        <w:rPr>
          <w:lang w:val="fr-FR"/>
        </w:rPr>
        <w:t>’</w:t>
      </w:r>
      <w:r w:rsidRPr="00440C76">
        <w:rPr>
          <w:lang w:val="fr-FR"/>
        </w:rPr>
        <w:t>homologation délivrée et apposée à un véhicule conformément au paragraphe</w:t>
      </w:r>
      <w:r>
        <w:rPr>
          <w:lang w:val="fr-FR"/>
        </w:rPr>
        <w:t> </w:t>
      </w:r>
      <w:r w:rsidRPr="00440C76">
        <w:rPr>
          <w:lang w:val="fr-FR"/>
        </w:rPr>
        <w:t>4 du présent Règlement, le numéro d</w:t>
      </w:r>
      <w:r>
        <w:rPr>
          <w:lang w:val="fr-FR"/>
        </w:rPr>
        <w:t>’</w:t>
      </w:r>
      <w:r w:rsidRPr="00440C76">
        <w:rPr>
          <w:lang w:val="fr-FR"/>
        </w:rPr>
        <w:t>homologation doit être accompagné d</w:t>
      </w:r>
      <w:r>
        <w:rPr>
          <w:lang w:val="fr-FR"/>
        </w:rPr>
        <w:t>’</w:t>
      </w:r>
      <w:r w:rsidRPr="00440C76">
        <w:rPr>
          <w:lang w:val="fr-FR"/>
        </w:rPr>
        <w:t>une lettre alphabétique, attribuée conformément au tableau</w:t>
      </w:r>
      <w:r>
        <w:rPr>
          <w:lang w:val="fr-FR"/>
        </w:rPr>
        <w:t> </w:t>
      </w:r>
      <w:r w:rsidRPr="00440C76">
        <w:rPr>
          <w:lang w:val="fr-FR"/>
        </w:rPr>
        <w:t>A3/1 de la présente annexe, indiquant la norme d</w:t>
      </w:r>
      <w:r>
        <w:rPr>
          <w:lang w:val="fr-FR"/>
        </w:rPr>
        <w:t>’</w:t>
      </w:r>
      <w:r w:rsidRPr="00440C76">
        <w:rPr>
          <w:lang w:val="fr-FR"/>
        </w:rPr>
        <w:t>émission à laquelle l</w:t>
      </w:r>
      <w:r>
        <w:rPr>
          <w:lang w:val="fr-FR"/>
        </w:rPr>
        <w:t>’</w:t>
      </w:r>
      <w:r w:rsidRPr="00440C76">
        <w:rPr>
          <w:lang w:val="fr-FR"/>
        </w:rPr>
        <w:t>homologation est limitée.</w:t>
      </w:r>
    </w:p>
    <w:p w14:paraId="06455B8A" w14:textId="77777777" w:rsidR="00BE2CA7" w:rsidRPr="00440C76" w:rsidRDefault="00BE2CA7" w:rsidP="00BE2CA7">
      <w:pPr>
        <w:pStyle w:val="SingleTxtG"/>
        <w:ind w:firstLine="567"/>
        <w:rPr>
          <w:lang w:val="fr-FR"/>
        </w:rPr>
      </w:pPr>
      <w:r w:rsidRPr="00440C76">
        <w:rPr>
          <w:lang w:val="fr-FR"/>
        </w:rPr>
        <w:t>On trouvera ci-après une description de l</w:t>
      </w:r>
      <w:r>
        <w:rPr>
          <w:lang w:val="fr-FR"/>
        </w:rPr>
        <w:t>’</w:t>
      </w:r>
      <w:r w:rsidRPr="00440C76">
        <w:rPr>
          <w:lang w:val="fr-FR"/>
        </w:rPr>
        <w:t>apparence de cette marque et un exemple de la manière dont elle doit être composée.</w:t>
      </w:r>
    </w:p>
    <w:p w14:paraId="2DD56645" w14:textId="77777777" w:rsidR="00BE2CA7" w:rsidRPr="00440C76" w:rsidRDefault="00BE2CA7" w:rsidP="00BE2CA7">
      <w:pPr>
        <w:pStyle w:val="SingleTxtG"/>
        <w:spacing w:after="240"/>
        <w:ind w:firstLine="567"/>
        <w:rPr>
          <w:lang w:val="fr-FR"/>
        </w:rPr>
      </w:pPr>
      <w:r w:rsidRPr="00440C76">
        <w:rPr>
          <w:lang w:val="fr-FR"/>
        </w:rPr>
        <w:t>Le schéma qui suit présente la disposition générale, les proportions et le contenu d</w:t>
      </w:r>
      <w:r>
        <w:rPr>
          <w:lang w:val="fr-FR"/>
        </w:rPr>
        <w:t>’</w:t>
      </w:r>
      <w:r w:rsidRPr="00440C76">
        <w:rPr>
          <w:lang w:val="fr-FR"/>
        </w:rPr>
        <w:t>une marque d</w:t>
      </w:r>
      <w:r>
        <w:rPr>
          <w:lang w:val="fr-FR"/>
        </w:rPr>
        <w:t>’</w:t>
      </w:r>
      <w:r w:rsidRPr="00440C76">
        <w:rPr>
          <w:lang w:val="fr-FR"/>
        </w:rPr>
        <w:t>homologation. La signification des numéros et de la lettre alphabétique est indiquée, de même que sont précisées les variantes correspondantes pour chaque cas d</w:t>
      </w:r>
      <w:r>
        <w:rPr>
          <w:lang w:val="fr-FR"/>
        </w:rPr>
        <w:t>’</w:t>
      </w:r>
      <w:r w:rsidRPr="00440C76">
        <w:rPr>
          <w:lang w:val="fr-FR"/>
        </w:rPr>
        <w:t>homologation.</w:t>
      </w:r>
      <w:r w:rsidRPr="00440C76">
        <w:rPr>
          <w:bCs/>
          <w:noProof/>
          <w:lang w:val="fr-FR"/>
        </w:rPr>
        <w:t xml:space="preserve"> </w:t>
      </w:r>
    </w:p>
    <w:tbl>
      <w:tblPr>
        <w:tblW w:w="7371" w:type="dxa"/>
        <w:tblInd w:w="1134" w:type="dxa"/>
        <w:tblLayout w:type="fixed"/>
        <w:tblCellMar>
          <w:left w:w="0" w:type="dxa"/>
          <w:right w:w="0" w:type="dxa"/>
        </w:tblCellMar>
        <w:tblLook w:val="01E0" w:firstRow="1" w:lastRow="1" w:firstColumn="1" w:lastColumn="1" w:noHBand="0" w:noVBand="0"/>
      </w:tblPr>
      <w:tblGrid>
        <w:gridCol w:w="3119"/>
        <w:gridCol w:w="4252"/>
      </w:tblGrid>
      <w:tr w:rsidR="00BE2CA7" w:rsidRPr="00440C76" w14:paraId="54C312BD" w14:textId="77777777" w:rsidTr="002B0590">
        <w:tc>
          <w:tcPr>
            <w:tcW w:w="3119" w:type="dxa"/>
            <w:shd w:val="clear" w:color="auto" w:fill="auto"/>
          </w:tcPr>
          <w:p w14:paraId="6EC13430" w14:textId="77777777" w:rsidR="00BE2CA7" w:rsidRPr="00440C76" w:rsidRDefault="00BE2CA7" w:rsidP="002B0590">
            <w:pPr>
              <w:kinsoku/>
              <w:overflowPunct/>
              <w:autoSpaceDE/>
              <w:autoSpaceDN/>
              <w:adjustRightInd/>
              <w:snapToGrid/>
              <w:spacing w:before="60"/>
              <w:jc w:val="center"/>
              <w:rPr>
                <w:rFonts w:eastAsia="Verdana"/>
                <w:lang w:val="fr-FR"/>
              </w:rPr>
            </w:pPr>
            <w:r w:rsidRPr="00440C76">
              <w:rPr>
                <w:rFonts w:eastAsia="Times New Roman"/>
                <w:bCs/>
                <w:lang w:val="fr-FR"/>
              </w:rPr>
              <w:t>Numéro du pays</w:t>
            </w:r>
            <w:r w:rsidRPr="00977679">
              <w:rPr>
                <w:rStyle w:val="Appelnotedebasdep"/>
              </w:rPr>
              <w:footnoteReference w:id="24"/>
            </w:r>
            <w:r w:rsidRPr="00440C76">
              <w:rPr>
                <w:rFonts w:eastAsia="Times New Roman"/>
                <w:bCs/>
                <w:lang w:val="fr-FR"/>
              </w:rPr>
              <w:br/>
            </w:r>
            <w:r w:rsidRPr="00440C76">
              <w:rPr>
                <w:rFonts w:eastAsia="Times New Roman"/>
                <w:lang w:val="fr-FR"/>
              </w:rPr>
              <w:t>accordant l</w:t>
            </w:r>
            <w:r>
              <w:rPr>
                <w:rFonts w:eastAsia="Times New Roman"/>
                <w:lang w:val="fr-FR"/>
              </w:rPr>
              <w:t>’</w:t>
            </w:r>
            <w:r w:rsidRPr="00440C76">
              <w:rPr>
                <w:rFonts w:eastAsia="Times New Roman"/>
                <w:lang w:val="fr-FR"/>
              </w:rPr>
              <w:t>homologation</w:t>
            </w:r>
          </w:p>
        </w:tc>
        <w:tc>
          <w:tcPr>
            <w:tcW w:w="4252" w:type="dxa"/>
            <w:shd w:val="clear" w:color="auto" w:fill="auto"/>
          </w:tcPr>
          <w:p w14:paraId="04FC0E73" w14:textId="77777777" w:rsidR="00BE2CA7" w:rsidRPr="00440C76" w:rsidRDefault="00BE2CA7" w:rsidP="002B0590">
            <w:pPr>
              <w:kinsoku/>
              <w:overflowPunct/>
              <w:autoSpaceDE/>
              <w:autoSpaceDN/>
              <w:adjustRightInd/>
              <w:snapToGrid/>
              <w:spacing w:before="60"/>
              <w:ind w:left="1385" w:right="284"/>
              <w:jc w:val="center"/>
              <w:rPr>
                <w:rFonts w:eastAsia="Verdana"/>
                <w:lang w:val="fr-FR"/>
              </w:rPr>
            </w:pPr>
            <w:r w:rsidRPr="00440C76">
              <w:rPr>
                <w:rFonts w:eastAsia="Times New Roman"/>
                <w:lang w:val="fr-FR"/>
              </w:rPr>
              <w:t>Lettre selon la norme d</w:t>
            </w:r>
            <w:r>
              <w:rPr>
                <w:rFonts w:eastAsia="Times New Roman"/>
                <w:lang w:val="fr-FR"/>
              </w:rPr>
              <w:t>’</w:t>
            </w:r>
            <w:r w:rsidRPr="00440C76">
              <w:rPr>
                <w:rFonts w:eastAsia="Times New Roman"/>
                <w:lang w:val="fr-FR"/>
              </w:rPr>
              <w:t>émission</w:t>
            </w:r>
            <w:r w:rsidRPr="00977679">
              <w:rPr>
                <w:rStyle w:val="Appelnotedebasdep"/>
              </w:rPr>
              <w:footnoteReference w:id="25"/>
            </w:r>
          </w:p>
        </w:tc>
      </w:tr>
    </w:tbl>
    <w:p w14:paraId="5AB2C901" w14:textId="77777777" w:rsidR="00BE2CA7" w:rsidRPr="00440C76" w:rsidRDefault="00BE2CA7" w:rsidP="00BE2CA7">
      <w:pPr>
        <w:pStyle w:val="SingleTxtG"/>
        <w:rPr>
          <w:lang w:val="fr-FR"/>
        </w:rPr>
      </w:pPr>
      <w:r w:rsidRPr="00440C76">
        <w:rPr>
          <w:noProof/>
          <w:lang w:val="fr-FR" w:eastAsia="en-GB"/>
        </w:rPr>
        <mc:AlternateContent>
          <mc:Choice Requires="wpg">
            <w:drawing>
              <wp:inline distT="0" distB="0" distL="0" distR="0" wp14:anchorId="05201992" wp14:editId="3B819B21">
                <wp:extent cx="4164330" cy="1972310"/>
                <wp:effectExtent l="0" t="0" r="7620" b="8890"/>
                <wp:docPr id="659" name="Group 5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4330" cy="1972310"/>
                          <a:chOff x="2554" y="6689"/>
                          <a:chExt cx="6558" cy="3106"/>
                        </a:xfrm>
                      </wpg:grpSpPr>
                      <wpg:grpSp>
                        <wpg:cNvPr id="660" name="Group 543"/>
                        <wpg:cNvGrpSpPr>
                          <a:grpSpLocks/>
                        </wpg:cNvGrpSpPr>
                        <wpg:grpSpPr bwMode="auto">
                          <a:xfrm>
                            <a:off x="2554" y="7267"/>
                            <a:ext cx="6558" cy="2528"/>
                            <a:chOff x="2554" y="7267"/>
                            <a:chExt cx="6558" cy="2528"/>
                          </a:xfrm>
                        </wpg:grpSpPr>
                        <wpg:grpSp>
                          <wpg:cNvPr id="661" name="Group 542"/>
                          <wpg:cNvGrpSpPr>
                            <a:grpSpLocks/>
                          </wpg:cNvGrpSpPr>
                          <wpg:grpSpPr bwMode="auto">
                            <a:xfrm>
                              <a:off x="3406" y="8784"/>
                              <a:ext cx="5457" cy="1011"/>
                              <a:chOff x="3406" y="8784"/>
                              <a:chExt cx="5457" cy="1011"/>
                            </a:xfrm>
                          </wpg:grpSpPr>
                          <wps:wsp>
                            <wps:cNvPr id="662" name="Text Box 111"/>
                            <wps:cNvSpPr txBox="1">
                              <a:spLocks noChangeArrowheads="1"/>
                            </wps:cNvSpPr>
                            <wps:spPr bwMode="auto">
                              <a:xfrm>
                                <a:off x="3406" y="9171"/>
                                <a:ext cx="2376"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A6589" w14:textId="77777777" w:rsidR="00BE2CA7" w:rsidRPr="000E1A7E" w:rsidRDefault="00BE2CA7" w:rsidP="00BE2CA7">
                                  <w:pPr>
                                    <w:jc w:val="center"/>
                                    <w:rPr>
                                      <w:bCs/>
                                    </w:rPr>
                                  </w:pPr>
                                  <w:r>
                                    <w:rPr>
                                      <w:bCs/>
                                    </w:rPr>
                                    <w:t>Numéro d’homologation</w:t>
                                  </w:r>
                                  <w:r w:rsidRPr="000E1A7E">
                                    <w:rPr>
                                      <w:bCs/>
                                    </w:rPr>
                                    <w:t xml:space="preserve"> </w:t>
                                  </w:r>
                                  <w:r>
                                    <w:rPr>
                                      <w:bCs/>
                                    </w:rPr>
                                    <w:br/>
                                  </w:r>
                                  <w:r w:rsidRPr="000E1A7E">
                                    <w:rPr>
                                      <w:bCs/>
                                    </w:rPr>
                                    <w:t>(</w:t>
                                  </w:r>
                                  <w:r>
                                    <w:rPr>
                                      <w:bCs/>
                                    </w:rPr>
                                    <w:t>Règlement ONU n</w:t>
                                  </w:r>
                                  <w:r w:rsidRPr="0077241C">
                                    <w:rPr>
                                      <w:bCs/>
                                      <w:vertAlign w:val="superscript"/>
                                    </w:rPr>
                                    <w:t>o</w:t>
                                  </w:r>
                                  <w:r>
                                    <w:rPr>
                                      <w:bCs/>
                                    </w:rPr>
                                    <w:t> </w:t>
                                  </w:r>
                                  <w:r w:rsidRPr="000E1A7E">
                                    <w:rPr>
                                      <w:bCs/>
                                    </w:rPr>
                                    <w:t>83)</w:t>
                                  </w:r>
                                </w:p>
                              </w:txbxContent>
                            </wps:txbx>
                            <wps:bodyPr rot="0" vert="horz" wrap="square" lIns="0" tIns="0" rIns="0" bIns="0" anchor="t" anchorCtr="0" upright="1">
                              <a:noAutofit/>
                            </wps:bodyPr>
                          </wps:wsp>
                          <wps:wsp>
                            <wps:cNvPr id="663" name="Text Box 112"/>
                            <wps:cNvSpPr txBox="1">
                              <a:spLocks noChangeArrowheads="1"/>
                            </wps:cNvSpPr>
                            <wps:spPr bwMode="auto">
                              <a:xfrm>
                                <a:off x="5967" y="9327"/>
                                <a:ext cx="2211"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EFF43" w14:textId="11801358" w:rsidR="00BE2CA7" w:rsidRPr="000E1A7E" w:rsidRDefault="00BE2CA7" w:rsidP="00BE2CA7">
                                  <w:pPr>
                                    <w:jc w:val="center"/>
                                  </w:pPr>
                                  <w:r>
                                    <w:rPr>
                                      <w:bCs/>
                                    </w:rPr>
                                    <w:t xml:space="preserve">Série d’amendements </w:t>
                                  </w:r>
                                  <w:r w:rsidR="007C4489" w:rsidRPr="007C4489">
                                    <w:rPr>
                                      <w:rFonts w:eastAsia="MS Mincho"/>
                                      <w:bCs/>
                                      <w:szCs w:val="22"/>
                                    </w:rPr>
                                    <w:t>n</w:t>
                                  </w:r>
                                  <w:r w:rsidR="007C4489" w:rsidRPr="007C4489">
                                    <w:rPr>
                                      <w:rFonts w:eastAsia="MS Mincho"/>
                                      <w:bCs/>
                                      <w:szCs w:val="22"/>
                                      <w:vertAlign w:val="superscript"/>
                                    </w:rPr>
                                    <w:t>o</w:t>
                                  </w:r>
                                  <w:r w:rsidR="007C4489">
                                    <w:rPr>
                                      <w:bCs/>
                                    </w:rPr>
                                    <w:t> </w:t>
                                  </w:r>
                                </w:p>
                              </w:txbxContent>
                            </wps:txbx>
                            <wps:bodyPr rot="0" vert="horz" wrap="square" lIns="0" tIns="0" rIns="0" bIns="0" anchor="t" anchorCtr="0" upright="1">
                              <a:noAutofit/>
                            </wps:bodyPr>
                          </wps:wsp>
                          <wps:wsp>
                            <wps:cNvPr id="664" name="Text Box 113"/>
                            <wps:cNvSpPr txBox="1">
                              <a:spLocks noChangeArrowheads="1"/>
                            </wps:cNvSpPr>
                            <wps:spPr bwMode="auto">
                              <a:xfrm>
                                <a:off x="7101" y="8784"/>
                                <a:ext cx="1762" cy="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6BC0C" w14:textId="77777777" w:rsidR="00BE2CA7" w:rsidRPr="000E1A7E" w:rsidRDefault="00BE2CA7" w:rsidP="00BE2CA7">
                                  <w:r>
                                    <w:t>Section 3 du numéro d’homologation</w:t>
                                  </w:r>
                                </w:p>
                              </w:txbxContent>
                            </wps:txbx>
                            <wps:bodyPr rot="0" vert="horz" wrap="square" lIns="0" tIns="0" rIns="0" bIns="0" anchor="t" anchorCtr="0" upright="1">
                              <a:noAutofit/>
                            </wps:bodyPr>
                          </wps:wsp>
                        </wpg:grpSp>
                        <wpg:grpSp>
                          <wpg:cNvPr id="665" name="Group 378"/>
                          <wpg:cNvGrpSpPr>
                            <a:grpSpLocks/>
                          </wpg:cNvGrpSpPr>
                          <wpg:grpSpPr bwMode="auto">
                            <a:xfrm>
                              <a:off x="2554" y="7267"/>
                              <a:ext cx="6558" cy="1590"/>
                              <a:chOff x="0" y="0"/>
                              <a:chExt cx="4164940" cy="1009585"/>
                            </a:xfrm>
                          </wpg:grpSpPr>
                          <wps:wsp>
                            <wps:cNvPr id="666" name="Line 36"/>
                            <wps:cNvCnPr>
                              <a:cxnSpLocks noChangeShapeType="1"/>
                            </wps:cNvCnPr>
                            <wps:spPr bwMode="auto">
                              <a:xfrm flipV="1">
                                <a:off x="1533833" y="659464"/>
                                <a:ext cx="0" cy="2527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8" name="Line 37"/>
                            <wps:cNvCnPr>
                              <a:cxnSpLocks noChangeShapeType="1"/>
                            </wps:cNvCnPr>
                            <wps:spPr bwMode="auto">
                              <a:xfrm flipV="1">
                                <a:off x="1230437" y="579401"/>
                                <a:ext cx="0" cy="3340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9" name="AutoShape 45"/>
                            <wps:cNvCnPr>
                              <a:cxnSpLocks noChangeShapeType="1"/>
                            </wps:cNvCnPr>
                            <wps:spPr bwMode="auto">
                              <a:xfrm>
                                <a:off x="1232544" y="726885"/>
                                <a:ext cx="299085" cy="0"/>
                              </a:xfrm>
                              <a:prstGeom prst="straightConnector1">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670" name="Line 4"/>
                            <wps:cNvCnPr>
                              <a:cxnSpLocks noChangeShapeType="1"/>
                            </wps:cNvCnPr>
                            <wps:spPr bwMode="auto">
                              <a:xfrm flipH="1">
                                <a:off x="90598" y="0"/>
                                <a:ext cx="60071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1" name="Line 5"/>
                            <wps:cNvCnPr>
                              <a:cxnSpLocks noChangeShapeType="1"/>
                            </wps:cNvCnPr>
                            <wps:spPr bwMode="auto">
                              <a:xfrm flipH="1">
                                <a:off x="63208" y="756382"/>
                                <a:ext cx="60071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8" name="Rectangle 6"/>
                            <wps:cNvSpPr>
                              <a:spLocks noChangeArrowheads="1"/>
                            </wps:cNvSpPr>
                            <wps:spPr bwMode="auto">
                              <a:xfrm>
                                <a:off x="0" y="431917"/>
                                <a:ext cx="122452" cy="1457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FA9A8" w14:textId="77777777" w:rsidR="00BE2CA7" w:rsidRDefault="00BE2CA7" w:rsidP="00BE2CA7">
                                  <w:r>
                                    <w:rPr>
                                      <w:b/>
                                      <w:bCs/>
                                      <w:color w:val="000000"/>
                                      <w:sz w:val="16"/>
                                      <w:szCs w:val="16"/>
                                    </w:rPr>
                                    <w:t>a</w:t>
                                  </w:r>
                                </w:p>
                              </w:txbxContent>
                            </wps:txbx>
                            <wps:bodyPr rot="0" vert="horz" wrap="square" lIns="0" tIns="0" rIns="0" bIns="0" anchor="t" anchorCtr="0" upright="1">
                              <a:noAutofit/>
                            </wps:bodyPr>
                          </wps:wsp>
                          <wps:wsp>
                            <wps:cNvPr id="449" name="Line 7"/>
                            <wps:cNvCnPr>
                              <a:cxnSpLocks noChangeShapeType="1"/>
                            </wps:cNvCnPr>
                            <wps:spPr bwMode="auto">
                              <a:xfrm>
                                <a:off x="99025" y="200157"/>
                                <a:ext cx="0" cy="5505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0" name="Freeform 8"/>
                            <wps:cNvSpPr>
                              <a:spLocks/>
                            </wps:cNvSpPr>
                            <wps:spPr bwMode="auto">
                              <a:xfrm>
                                <a:off x="61101" y="200157"/>
                                <a:ext cx="71755" cy="73025"/>
                              </a:xfrm>
                              <a:custGeom>
                                <a:avLst/>
                                <a:gdLst>
                                  <a:gd name="T0" fmla="*/ 71755 w 113"/>
                                  <a:gd name="T1" fmla="*/ 73025 h 116"/>
                                  <a:gd name="T2" fmla="*/ 36830 w 113"/>
                                  <a:gd name="T3" fmla="*/ 0 h 116"/>
                                  <a:gd name="T4" fmla="*/ 0 w 113"/>
                                  <a:gd name="T5" fmla="*/ 73025 h 116"/>
                                  <a:gd name="T6" fmla="*/ 36830 w 113"/>
                                  <a:gd name="T7" fmla="*/ 36513 h 116"/>
                                  <a:gd name="T8" fmla="*/ 71755 w 113"/>
                                  <a:gd name="T9" fmla="*/ 73025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116"/>
                                    </a:moveTo>
                                    <a:lnTo>
                                      <a:pt x="58" y="0"/>
                                    </a:lnTo>
                                    <a:lnTo>
                                      <a:pt x="0" y="116"/>
                                    </a:lnTo>
                                    <a:lnTo>
                                      <a:pt x="58" y="58"/>
                                    </a:lnTo>
                                    <a:lnTo>
                                      <a:pt x="113"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451" name="Freeform 9"/>
                            <wps:cNvSpPr>
                              <a:spLocks/>
                            </wps:cNvSpPr>
                            <wps:spPr bwMode="auto">
                              <a:xfrm>
                                <a:off x="61101" y="676319"/>
                                <a:ext cx="71755" cy="73025"/>
                              </a:xfrm>
                              <a:custGeom>
                                <a:avLst/>
                                <a:gdLst>
                                  <a:gd name="T0" fmla="*/ 71755 w 113"/>
                                  <a:gd name="T1" fmla="*/ 0 h 116"/>
                                  <a:gd name="T2" fmla="*/ 36830 w 113"/>
                                  <a:gd name="T3" fmla="*/ 73025 h 116"/>
                                  <a:gd name="T4" fmla="*/ 0 w 113"/>
                                  <a:gd name="T5" fmla="*/ 0 h 116"/>
                                  <a:gd name="T6" fmla="*/ 36830 w 113"/>
                                  <a:gd name="T7" fmla="*/ 36513 h 116"/>
                                  <a:gd name="T8" fmla="*/ 71755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8" y="116"/>
                                    </a:lnTo>
                                    <a:lnTo>
                                      <a:pt x="0" y="0"/>
                                    </a:lnTo>
                                    <a:lnTo>
                                      <a:pt x="58"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452" name="Line 10"/>
                            <wps:cNvCnPr>
                              <a:cxnSpLocks noChangeShapeType="1"/>
                            </wps:cNvCnPr>
                            <wps:spPr bwMode="auto">
                              <a:xfrm flipH="1">
                                <a:off x="299182" y="229653"/>
                                <a:ext cx="19240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3" name="Line 11"/>
                            <wps:cNvCnPr>
                              <a:cxnSpLocks noChangeShapeType="1"/>
                            </wps:cNvCnPr>
                            <wps:spPr bwMode="auto">
                              <a:xfrm flipH="1">
                                <a:off x="299182" y="570973"/>
                                <a:ext cx="19240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4" name="Line 12"/>
                            <wps:cNvCnPr>
                              <a:cxnSpLocks noChangeShapeType="1"/>
                            </wps:cNvCnPr>
                            <wps:spPr bwMode="auto">
                              <a:xfrm>
                                <a:off x="385565" y="238081"/>
                                <a:ext cx="0" cy="3238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5" name="Freeform 13"/>
                            <wps:cNvSpPr>
                              <a:spLocks/>
                            </wps:cNvSpPr>
                            <wps:spPr bwMode="auto">
                              <a:xfrm>
                                <a:off x="345534" y="231760"/>
                                <a:ext cx="72390" cy="73660"/>
                              </a:xfrm>
                              <a:custGeom>
                                <a:avLst/>
                                <a:gdLst>
                                  <a:gd name="T0" fmla="*/ 72390 w 113"/>
                                  <a:gd name="T1" fmla="*/ 73660 h 117"/>
                                  <a:gd name="T2" fmla="*/ 35234 w 113"/>
                                  <a:gd name="T3" fmla="*/ 0 h 117"/>
                                  <a:gd name="T4" fmla="*/ 0 w 113"/>
                                  <a:gd name="T5" fmla="*/ 73660 h 117"/>
                                  <a:gd name="T6" fmla="*/ 35234 w 113"/>
                                  <a:gd name="T7" fmla="*/ 37145 h 117"/>
                                  <a:gd name="T8" fmla="*/ 72390 w 113"/>
                                  <a:gd name="T9" fmla="*/ 73660 h 1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7">
                                    <a:moveTo>
                                      <a:pt x="113" y="117"/>
                                    </a:moveTo>
                                    <a:lnTo>
                                      <a:pt x="55" y="0"/>
                                    </a:lnTo>
                                    <a:lnTo>
                                      <a:pt x="0" y="117"/>
                                    </a:lnTo>
                                    <a:lnTo>
                                      <a:pt x="55" y="59"/>
                                    </a:lnTo>
                                    <a:lnTo>
                                      <a:pt x="113" y="117"/>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456" name="Freeform 14"/>
                            <wps:cNvSpPr>
                              <a:spLocks/>
                            </wps:cNvSpPr>
                            <wps:spPr bwMode="auto">
                              <a:xfrm>
                                <a:off x="345534" y="495124"/>
                                <a:ext cx="72390" cy="73025"/>
                              </a:xfrm>
                              <a:custGeom>
                                <a:avLst/>
                                <a:gdLst>
                                  <a:gd name="T0" fmla="*/ 72390 w 113"/>
                                  <a:gd name="T1" fmla="*/ 0 h 116"/>
                                  <a:gd name="T2" fmla="*/ 35234 w 113"/>
                                  <a:gd name="T3" fmla="*/ 73025 h 116"/>
                                  <a:gd name="T4" fmla="*/ 0 w 113"/>
                                  <a:gd name="T5" fmla="*/ 0 h 116"/>
                                  <a:gd name="T6" fmla="*/ 35234 w 113"/>
                                  <a:gd name="T7" fmla="*/ 36513 h 116"/>
                                  <a:gd name="T8" fmla="*/ 72390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5" y="116"/>
                                    </a:lnTo>
                                    <a:lnTo>
                                      <a:pt x="0" y="0"/>
                                    </a:lnTo>
                                    <a:lnTo>
                                      <a:pt x="55"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457" name="Oval 18"/>
                            <wps:cNvSpPr>
                              <a:spLocks noChangeArrowheads="1"/>
                            </wps:cNvSpPr>
                            <wps:spPr bwMode="auto">
                              <a:xfrm>
                                <a:off x="505659" y="200157"/>
                                <a:ext cx="577215" cy="55308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Freeform 19"/>
                            <wps:cNvSpPr>
                              <a:spLocks/>
                            </wps:cNvSpPr>
                            <wps:spPr bwMode="auto">
                              <a:xfrm>
                                <a:off x="499339" y="0"/>
                                <a:ext cx="722630" cy="757555"/>
                              </a:xfrm>
                              <a:custGeom>
                                <a:avLst/>
                                <a:gdLst>
                                  <a:gd name="T0" fmla="*/ 2377 w 912"/>
                                  <a:gd name="T1" fmla="*/ 435935 h 888"/>
                                  <a:gd name="T2" fmla="*/ 15055 w 912"/>
                                  <a:gd name="T3" fmla="*/ 490534 h 888"/>
                                  <a:gd name="T4" fmla="*/ 41203 w 912"/>
                                  <a:gd name="T5" fmla="*/ 558782 h 888"/>
                                  <a:gd name="T6" fmla="*/ 95083 w 912"/>
                                  <a:gd name="T7" fmla="*/ 632149 h 888"/>
                                  <a:gd name="T8" fmla="*/ 131531 w 912"/>
                                  <a:gd name="T9" fmla="*/ 668832 h 888"/>
                                  <a:gd name="T10" fmla="*/ 203636 w 912"/>
                                  <a:gd name="T11" fmla="*/ 720872 h 888"/>
                                  <a:gd name="T12" fmla="*/ 286041 w 912"/>
                                  <a:gd name="T13" fmla="*/ 749024 h 888"/>
                                  <a:gd name="T14" fmla="*/ 342298 w 912"/>
                                  <a:gd name="T15" fmla="*/ 757555 h 888"/>
                                  <a:gd name="T16" fmla="*/ 434212 w 912"/>
                                  <a:gd name="T17" fmla="*/ 749024 h 888"/>
                                  <a:gd name="T18" fmla="*/ 534049 w 912"/>
                                  <a:gd name="T19" fmla="*/ 713194 h 888"/>
                                  <a:gd name="T20" fmla="*/ 591891 w 912"/>
                                  <a:gd name="T21" fmla="*/ 668832 h 888"/>
                                  <a:gd name="T22" fmla="*/ 649733 w 912"/>
                                  <a:gd name="T23" fmla="*/ 605703 h 888"/>
                                  <a:gd name="T24" fmla="*/ 701236 w 912"/>
                                  <a:gd name="T25" fmla="*/ 506743 h 888"/>
                                  <a:gd name="T26" fmla="*/ 722630 w 912"/>
                                  <a:gd name="T27" fmla="*/ 396693 h 888"/>
                                  <a:gd name="T28" fmla="*/ 710745 w 912"/>
                                  <a:gd name="T29" fmla="*/ 282377 h 888"/>
                                  <a:gd name="T30" fmla="*/ 694105 w 912"/>
                                  <a:gd name="T31" fmla="*/ 232044 h 888"/>
                                  <a:gd name="T32" fmla="*/ 660034 w 912"/>
                                  <a:gd name="T33" fmla="*/ 167208 h 888"/>
                                  <a:gd name="T34" fmla="*/ 628339 w 912"/>
                                  <a:gd name="T35" fmla="*/ 122847 h 888"/>
                                  <a:gd name="T36" fmla="*/ 577629 w 912"/>
                                  <a:gd name="T37" fmla="*/ 75926 h 888"/>
                                  <a:gd name="T38" fmla="*/ 534049 w 912"/>
                                  <a:gd name="T39" fmla="*/ 44361 h 888"/>
                                  <a:gd name="T40" fmla="*/ 484923 w 912"/>
                                  <a:gd name="T41" fmla="*/ 20474 h 888"/>
                                  <a:gd name="T42" fmla="*/ 417572 w 912"/>
                                  <a:gd name="T43" fmla="*/ 2559 h 888"/>
                                  <a:gd name="T44" fmla="*/ 303473 w 912"/>
                                  <a:gd name="T45" fmla="*/ 2559 h 888"/>
                                  <a:gd name="T46" fmla="*/ 235330 w 912"/>
                                  <a:gd name="T47" fmla="*/ 20474 h 888"/>
                                  <a:gd name="T48" fmla="*/ 172734 w 912"/>
                                  <a:gd name="T49" fmla="*/ 52039 h 888"/>
                                  <a:gd name="T50" fmla="*/ 116477 w 912"/>
                                  <a:gd name="T51" fmla="*/ 98960 h 888"/>
                                  <a:gd name="T52" fmla="*/ 72897 w 912"/>
                                  <a:gd name="T53" fmla="*/ 151852 h 888"/>
                                  <a:gd name="T54" fmla="*/ 41203 w 912"/>
                                  <a:gd name="T55" fmla="*/ 196214 h 888"/>
                                  <a:gd name="T56" fmla="*/ 22186 w 912"/>
                                  <a:gd name="T57" fmla="*/ 248253 h 888"/>
                                  <a:gd name="T58" fmla="*/ 7131 w 912"/>
                                  <a:gd name="T59" fmla="*/ 300292 h 888"/>
                                  <a:gd name="T60" fmla="*/ 0 w 912"/>
                                  <a:gd name="T61" fmla="*/ 378778 h 888"/>
                                  <a:gd name="T62" fmla="*/ 17432 w 912"/>
                                  <a:gd name="T63" fmla="*/ 324179 h 888"/>
                                  <a:gd name="T64" fmla="*/ 29317 w 912"/>
                                  <a:gd name="T65" fmla="*/ 271287 h 888"/>
                                  <a:gd name="T66" fmla="*/ 49126 w 912"/>
                                  <a:gd name="T67" fmla="*/ 219247 h 888"/>
                                  <a:gd name="T68" fmla="*/ 72897 w 912"/>
                                  <a:gd name="T69" fmla="*/ 177445 h 888"/>
                                  <a:gd name="T70" fmla="*/ 104591 w 912"/>
                                  <a:gd name="T71" fmla="*/ 133084 h 888"/>
                                  <a:gd name="T72" fmla="*/ 152925 w 912"/>
                                  <a:gd name="T73" fmla="*/ 86163 h 888"/>
                                  <a:gd name="T74" fmla="*/ 225822 w 912"/>
                                  <a:gd name="T75" fmla="*/ 44361 h 888"/>
                                  <a:gd name="T76" fmla="*/ 291588 w 912"/>
                                  <a:gd name="T77" fmla="*/ 23887 h 888"/>
                                  <a:gd name="T78" fmla="*/ 397763 w 912"/>
                                  <a:gd name="T79" fmla="*/ 15356 h 888"/>
                                  <a:gd name="T80" fmla="*/ 446097 w 912"/>
                                  <a:gd name="T81" fmla="*/ 26446 h 888"/>
                                  <a:gd name="T82" fmla="*/ 511863 w 912"/>
                                  <a:gd name="T83" fmla="*/ 52039 h 888"/>
                                  <a:gd name="T84" fmla="*/ 555443 w 912"/>
                                  <a:gd name="T85" fmla="*/ 75926 h 888"/>
                                  <a:gd name="T86" fmla="*/ 606153 w 912"/>
                                  <a:gd name="T87" fmla="*/ 122847 h 888"/>
                                  <a:gd name="T88" fmla="*/ 640225 w 912"/>
                                  <a:gd name="T89" fmla="*/ 162089 h 888"/>
                                  <a:gd name="T90" fmla="*/ 671919 w 912"/>
                                  <a:gd name="T91" fmla="*/ 219247 h 888"/>
                                  <a:gd name="T92" fmla="*/ 691728 w 912"/>
                                  <a:gd name="T93" fmla="*/ 271287 h 888"/>
                                  <a:gd name="T94" fmla="*/ 708368 w 912"/>
                                  <a:gd name="T95" fmla="*/ 357450 h 888"/>
                                  <a:gd name="T96" fmla="*/ 691728 w 912"/>
                                  <a:gd name="T97" fmla="*/ 485415 h 888"/>
                                  <a:gd name="T98" fmla="*/ 657657 w 912"/>
                                  <a:gd name="T99" fmla="*/ 563901 h 888"/>
                                  <a:gd name="T100" fmla="*/ 594268 w 912"/>
                                  <a:gd name="T101" fmla="*/ 647505 h 888"/>
                                  <a:gd name="T102" fmla="*/ 555443 w 912"/>
                                  <a:gd name="T103" fmla="*/ 679070 h 888"/>
                                  <a:gd name="T104" fmla="*/ 497600 w 912"/>
                                  <a:gd name="T105" fmla="*/ 713194 h 888"/>
                                  <a:gd name="T106" fmla="*/ 378747 w 912"/>
                                  <a:gd name="T107" fmla="*/ 741346 h 888"/>
                                  <a:gd name="T108" fmla="*/ 305850 w 912"/>
                                  <a:gd name="T109" fmla="*/ 736227 h 888"/>
                                  <a:gd name="T110" fmla="*/ 225822 w 912"/>
                                  <a:gd name="T111" fmla="*/ 713194 h 888"/>
                                  <a:gd name="T112" fmla="*/ 152925 w 912"/>
                                  <a:gd name="T113" fmla="*/ 668832 h 888"/>
                                  <a:gd name="T114" fmla="*/ 114099 w 912"/>
                                  <a:gd name="T115" fmla="*/ 634708 h 888"/>
                                  <a:gd name="T116" fmla="*/ 82405 w 912"/>
                                  <a:gd name="T117" fmla="*/ 595466 h 888"/>
                                  <a:gd name="T118" fmla="*/ 36448 w 912"/>
                                  <a:gd name="T119" fmla="*/ 501624 h 888"/>
                                  <a:gd name="T120" fmla="*/ 22186 w 912"/>
                                  <a:gd name="T121" fmla="*/ 448732 h 888"/>
                                  <a:gd name="T122" fmla="*/ 15055 w 912"/>
                                  <a:gd name="T123" fmla="*/ 378778 h 888"/>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912" h="888">
                                    <a:moveTo>
                                      <a:pt x="0" y="444"/>
                                    </a:moveTo>
                                    <a:lnTo>
                                      <a:pt x="0" y="487"/>
                                    </a:lnTo>
                                    <a:lnTo>
                                      <a:pt x="3" y="511"/>
                                    </a:lnTo>
                                    <a:lnTo>
                                      <a:pt x="9" y="533"/>
                                    </a:lnTo>
                                    <a:lnTo>
                                      <a:pt x="13" y="554"/>
                                    </a:lnTo>
                                    <a:lnTo>
                                      <a:pt x="19" y="575"/>
                                    </a:lnTo>
                                    <a:lnTo>
                                      <a:pt x="28" y="594"/>
                                    </a:lnTo>
                                    <a:lnTo>
                                      <a:pt x="34" y="615"/>
                                    </a:lnTo>
                                    <a:lnTo>
                                      <a:pt x="52" y="655"/>
                                    </a:lnTo>
                                    <a:lnTo>
                                      <a:pt x="92" y="710"/>
                                    </a:lnTo>
                                    <a:lnTo>
                                      <a:pt x="104" y="725"/>
                                    </a:lnTo>
                                    <a:lnTo>
                                      <a:pt x="120" y="741"/>
                                    </a:lnTo>
                                    <a:lnTo>
                                      <a:pt x="132" y="756"/>
                                    </a:lnTo>
                                    <a:lnTo>
                                      <a:pt x="147" y="771"/>
                                    </a:lnTo>
                                    <a:lnTo>
                                      <a:pt x="166" y="784"/>
                                    </a:lnTo>
                                    <a:lnTo>
                                      <a:pt x="181" y="796"/>
                                    </a:lnTo>
                                    <a:lnTo>
                                      <a:pt x="236" y="836"/>
                                    </a:lnTo>
                                    <a:lnTo>
                                      <a:pt x="257" y="845"/>
                                    </a:lnTo>
                                    <a:lnTo>
                                      <a:pt x="279" y="854"/>
                                    </a:lnTo>
                                    <a:lnTo>
                                      <a:pt x="297" y="860"/>
                                    </a:lnTo>
                                    <a:lnTo>
                                      <a:pt x="361" y="878"/>
                                    </a:lnTo>
                                    <a:lnTo>
                                      <a:pt x="386" y="882"/>
                                    </a:lnTo>
                                    <a:lnTo>
                                      <a:pt x="410" y="885"/>
                                    </a:lnTo>
                                    <a:lnTo>
                                      <a:pt x="432" y="888"/>
                                    </a:lnTo>
                                    <a:lnTo>
                                      <a:pt x="478" y="888"/>
                                    </a:lnTo>
                                    <a:lnTo>
                                      <a:pt x="502" y="885"/>
                                    </a:lnTo>
                                    <a:lnTo>
                                      <a:pt x="548" y="878"/>
                                    </a:lnTo>
                                    <a:lnTo>
                                      <a:pt x="634" y="854"/>
                                    </a:lnTo>
                                    <a:lnTo>
                                      <a:pt x="652" y="845"/>
                                    </a:lnTo>
                                    <a:lnTo>
                                      <a:pt x="674" y="836"/>
                                    </a:lnTo>
                                    <a:lnTo>
                                      <a:pt x="713" y="808"/>
                                    </a:lnTo>
                                    <a:lnTo>
                                      <a:pt x="729" y="796"/>
                                    </a:lnTo>
                                    <a:lnTo>
                                      <a:pt x="747" y="784"/>
                                    </a:lnTo>
                                    <a:lnTo>
                                      <a:pt x="762" y="771"/>
                                    </a:lnTo>
                                    <a:lnTo>
                                      <a:pt x="808" y="725"/>
                                    </a:lnTo>
                                    <a:lnTo>
                                      <a:pt x="820" y="710"/>
                                    </a:lnTo>
                                    <a:lnTo>
                                      <a:pt x="848" y="673"/>
                                    </a:lnTo>
                                    <a:lnTo>
                                      <a:pt x="876" y="615"/>
                                    </a:lnTo>
                                    <a:lnTo>
                                      <a:pt x="885" y="594"/>
                                    </a:lnTo>
                                    <a:lnTo>
                                      <a:pt x="891" y="575"/>
                                    </a:lnTo>
                                    <a:lnTo>
                                      <a:pt x="903" y="533"/>
                                    </a:lnTo>
                                    <a:lnTo>
                                      <a:pt x="912" y="465"/>
                                    </a:lnTo>
                                    <a:lnTo>
                                      <a:pt x="912" y="419"/>
                                    </a:lnTo>
                                    <a:lnTo>
                                      <a:pt x="903" y="352"/>
                                    </a:lnTo>
                                    <a:lnTo>
                                      <a:pt x="897" y="331"/>
                                    </a:lnTo>
                                    <a:lnTo>
                                      <a:pt x="891" y="312"/>
                                    </a:lnTo>
                                    <a:lnTo>
                                      <a:pt x="885" y="291"/>
                                    </a:lnTo>
                                    <a:lnTo>
                                      <a:pt x="876" y="272"/>
                                    </a:lnTo>
                                    <a:lnTo>
                                      <a:pt x="866" y="251"/>
                                    </a:lnTo>
                                    <a:lnTo>
                                      <a:pt x="848" y="211"/>
                                    </a:lnTo>
                                    <a:lnTo>
                                      <a:pt x="833" y="196"/>
                                    </a:lnTo>
                                    <a:lnTo>
                                      <a:pt x="820" y="178"/>
                                    </a:lnTo>
                                    <a:lnTo>
                                      <a:pt x="808" y="162"/>
                                    </a:lnTo>
                                    <a:lnTo>
                                      <a:pt x="793" y="144"/>
                                    </a:lnTo>
                                    <a:lnTo>
                                      <a:pt x="778" y="132"/>
                                    </a:lnTo>
                                    <a:lnTo>
                                      <a:pt x="747" y="101"/>
                                    </a:lnTo>
                                    <a:lnTo>
                                      <a:pt x="729" y="89"/>
                                    </a:lnTo>
                                    <a:lnTo>
                                      <a:pt x="713" y="77"/>
                                    </a:lnTo>
                                    <a:lnTo>
                                      <a:pt x="695" y="61"/>
                                    </a:lnTo>
                                    <a:lnTo>
                                      <a:pt x="674" y="52"/>
                                    </a:lnTo>
                                    <a:lnTo>
                                      <a:pt x="652" y="43"/>
                                    </a:lnTo>
                                    <a:lnTo>
                                      <a:pt x="634" y="34"/>
                                    </a:lnTo>
                                    <a:lnTo>
                                      <a:pt x="612" y="24"/>
                                    </a:lnTo>
                                    <a:lnTo>
                                      <a:pt x="570" y="12"/>
                                    </a:lnTo>
                                    <a:lnTo>
                                      <a:pt x="548" y="9"/>
                                    </a:lnTo>
                                    <a:lnTo>
                                      <a:pt x="527" y="3"/>
                                    </a:lnTo>
                                    <a:lnTo>
                                      <a:pt x="502" y="0"/>
                                    </a:lnTo>
                                    <a:lnTo>
                                      <a:pt x="410" y="0"/>
                                    </a:lnTo>
                                    <a:lnTo>
                                      <a:pt x="383" y="3"/>
                                    </a:lnTo>
                                    <a:lnTo>
                                      <a:pt x="361" y="9"/>
                                    </a:lnTo>
                                    <a:lnTo>
                                      <a:pt x="340" y="12"/>
                                    </a:lnTo>
                                    <a:lnTo>
                                      <a:pt x="297" y="24"/>
                                    </a:lnTo>
                                    <a:lnTo>
                                      <a:pt x="279" y="34"/>
                                    </a:lnTo>
                                    <a:lnTo>
                                      <a:pt x="257" y="43"/>
                                    </a:lnTo>
                                    <a:lnTo>
                                      <a:pt x="218" y="61"/>
                                    </a:lnTo>
                                    <a:lnTo>
                                      <a:pt x="181" y="89"/>
                                    </a:lnTo>
                                    <a:lnTo>
                                      <a:pt x="166" y="101"/>
                                    </a:lnTo>
                                    <a:lnTo>
                                      <a:pt x="147" y="116"/>
                                    </a:lnTo>
                                    <a:lnTo>
                                      <a:pt x="120" y="144"/>
                                    </a:lnTo>
                                    <a:lnTo>
                                      <a:pt x="104" y="162"/>
                                    </a:lnTo>
                                    <a:lnTo>
                                      <a:pt x="92" y="178"/>
                                    </a:lnTo>
                                    <a:lnTo>
                                      <a:pt x="80" y="196"/>
                                    </a:lnTo>
                                    <a:lnTo>
                                      <a:pt x="68" y="211"/>
                                    </a:lnTo>
                                    <a:lnTo>
                                      <a:pt x="52" y="230"/>
                                    </a:lnTo>
                                    <a:lnTo>
                                      <a:pt x="43" y="251"/>
                                    </a:lnTo>
                                    <a:lnTo>
                                      <a:pt x="34" y="272"/>
                                    </a:lnTo>
                                    <a:lnTo>
                                      <a:pt x="28" y="291"/>
                                    </a:lnTo>
                                    <a:lnTo>
                                      <a:pt x="19" y="312"/>
                                    </a:lnTo>
                                    <a:lnTo>
                                      <a:pt x="13" y="331"/>
                                    </a:lnTo>
                                    <a:lnTo>
                                      <a:pt x="9" y="352"/>
                                    </a:lnTo>
                                    <a:lnTo>
                                      <a:pt x="3" y="373"/>
                                    </a:lnTo>
                                    <a:lnTo>
                                      <a:pt x="0" y="398"/>
                                    </a:lnTo>
                                    <a:lnTo>
                                      <a:pt x="0" y="444"/>
                                    </a:lnTo>
                                    <a:lnTo>
                                      <a:pt x="19" y="444"/>
                                    </a:lnTo>
                                    <a:lnTo>
                                      <a:pt x="19" y="398"/>
                                    </a:lnTo>
                                    <a:lnTo>
                                      <a:pt x="22" y="380"/>
                                    </a:lnTo>
                                    <a:lnTo>
                                      <a:pt x="28" y="358"/>
                                    </a:lnTo>
                                    <a:lnTo>
                                      <a:pt x="31" y="337"/>
                                    </a:lnTo>
                                    <a:lnTo>
                                      <a:pt x="37" y="318"/>
                                    </a:lnTo>
                                    <a:lnTo>
                                      <a:pt x="46" y="297"/>
                                    </a:lnTo>
                                    <a:lnTo>
                                      <a:pt x="52" y="279"/>
                                    </a:lnTo>
                                    <a:lnTo>
                                      <a:pt x="62" y="257"/>
                                    </a:lnTo>
                                    <a:lnTo>
                                      <a:pt x="71" y="242"/>
                                    </a:lnTo>
                                    <a:lnTo>
                                      <a:pt x="80" y="223"/>
                                    </a:lnTo>
                                    <a:lnTo>
                                      <a:pt x="92" y="208"/>
                                    </a:lnTo>
                                    <a:lnTo>
                                      <a:pt x="104" y="190"/>
                                    </a:lnTo>
                                    <a:lnTo>
                                      <a:pt x="117" y="174"/>
                                    </a:lnTo>
                                    <a:lnTo>
                                      <a:pt x="132" y="156"/>
                                    </a:lnTo>
                                    <a:lnTo>
                                      <a:pt x="159" y="129"/>
                                    </a:lnTo>
                                    <a:lnTo>
                                      <a:pt x="178" y="113"/>
                                    </a:lnTo>
                                    <a:lnTo>
                                      <a:pt x="193" y="101"/>
                                    </a:lnTo>
                                    <a:lnTo>
                                      <a:pt x="230" y="80"/>
                                    </a:lnTo>
                                    <a:lnTo>
                                      <a:pt x="264" y="61"/>
                                    </a:lnTo>
                                    <a:lnTo>
                                      <a:pt x="285" y="52"/>
                                    </a:lnTo>
                                    <a:lnTo>
                                      <a:pt x="303" y="43"/>
                                    </a:lnTo>
                                    <a:lnTo>
                                      <a:pt x="346" y="31"/>
                                    </a:lnTo>
                                    <a:lnTo>
                                      <a:pt x="368" y="28"/>
                                    </a:lnTo>
                                    <a:lnTo>
                                      <a:pt x="389" y="21"/>
                                    </a:lnTo>
                                    <a:lnTo>
                                      <a:pt x="410" y="18"/>
                                    </a:lnTo>
                                    <a:lnTo>
                                      <a:pt x="502" y="18"/>
                                    </a:lnTo>
                                    <a:lnTo>
                                      <a:pt x="521" y="21"/>
                                    </a:lnTo>
                                    <a:lnTo>
                                      <a:pt x="542" y="28"/>
                                    </a:lnTo>
                                    <a:lnTo>
                                      <a:pt x="563" y="31"/>
                                    </a:lnTo>
                                    <a:lnTo>
                                      <a:pt x="606" y="43"/>
                                    </a:lnTo>
                                    <a:lnTo>
                                      <a:pt x="628" y="52"/>
                                    </a:lnTo>
                                    <a:lnTo>
                                      <a:pt x="646" y="61"/>
                                    </a:lnTo>
                                    <a:lnTo>
                                      <a:pt x="667" y="70"/>
                                    </a:lnTo>
                                    <a:lnTo>
                                      <a:pt x="683" y="80"/>
                                    </a:lnTo>
                                    <a:lnTo>
                                      <a:pt x="701" y="89"/>
                                    </a:lnTo>
                                    <a:lnTo>
                                      <a:pt x="716" y="101"/>
                                    </a:lnTo>
                                    <a:lnTo>
                                      <a:pt x="735" y="113"/>
                                    </a:lnTo>
                                    <a:lnTo>
                                      <a:pt x="765" y="144"/>
                                    </a:lnTo>
                                    <a:lnTo>
                                      <a:pt x="781" y="156"/>
                                    </a:lnTo>
                                    <a:lnTo>
                                      <a:pt x="796" y="174"/>
                                    </a:lnTo>
                                    <a:lnTo>
                                      <a:pt x="808" y="190"/>
                                    </a:lnTo>
                                    <a:lnTo>
                                      <a:pt x="820" y="208"/>
                                    </a:lnTo>
                                    <a:lnTo>
                                      <a:pt x="830" y="223"/>
                                    </a:lnTo>
                                    <a:lnTo>
                                      <a:pt x="848" y="257"/>
                                    </a:lnTo>
                                    <a:lnTo>
                                      <a:pt x="857" y="279"/>
                                    </a:lnTo>
                                    <a:lnTo>
                                      <a:pt x="866" y="297"/>
                                    </a:lnTo>
                                    <a:lnTo>
                                      <a:pt x="873" y="318"/>
                                    </a:lnTo>
                                    <a:lnTo>
                                      <a:pt x="879" y="337"/>
                                    </a:lnTo>
                                    <a:lnTo>
                                      <a:pt x="885" y="358"/>
                                    </a:lnTo>
                                    <a:lnTo>
                                      <a:pt x="894" y="419"/>
                                    </a:lnTo>
                                    <a:lnTo>
                                      <a:pt x="894" y="465"/>
                                    </a:lnTo>
                                    <a:lnTo>
                                      <a:pt x="885" y="526"/>
                                    </a:lnTo>
                                    <a:lnTo>
                                      <a:pt x="873" y="569"/>
                                    </a:lnTo>
                                    <a:lnTo>
                                      <a:pt x="866" y="588"/>
                                    </a:lnTo>
                                    <a:lnTo>
                                      <a:pt x="857" y="609"/>
                                    </a:lnTo>
                                    <a:lnTo>
                                      <a:pt x="830" y="661"/>
                                    </a:lnTo>
                                    <a:lnTo>
                                      <a:pt x="808" y="698"/>
                                    </a:lnTo>
                                    <a:lnTo>
                                      <a:pt x="796" y="713"/>
                                    </a:lnTo>
                                    <a:lnTo>
                                      <a:pt x="750" y="759"/>
                                    </a:lnTo>
                                    <a:lnTo>
                                      <a:pt x="735" y="771"/>
                                    </a:lnTo>
                                    <a:lnTo>
                                      <a:pt x="716" y="784"/>
                                    </a:lnTo>
                                    <a:lnTo>
                                      <a:pt x="701" y="796"/>
                                    </a:lnTo>
                                    <a:lnTo>
                                      <a:pt x="667" y="817"/>
                                    </a:lnTo>
                                    <a:lnTo>
                                      <a:pt x="646" y="826"/>
                                    </a:lnTo>
                                    <a:lnTo>
                                      <a:pt x="628" y="836"/>
                                    </a:lnTo>
                                    <a:lnTo>
                                      <a:pt x="542" y="860"/>
                                    </a:lnTo>
                                    <a:lnTo>
                                      <a:pt x="502" y="866"/>
                                    </a:lnTo>
                                    <a:lnTo>
                                      <a:pt x="478" y="869"/>
                                    </a:lnTo>
                                    <a:lnTo>
                                      <a:pt x="432" y="869"/>
                                    </a:lnTo>
                                    <a:lnTo>
                                      <a:pt x="410" y="866"/>
                                    </a:lnTo>
                                    <a:lnTo>
                                      <a:pt x="386" y="863"/>
                                    </a:lnTo>
                                    <a:lnTo>
                                      <a:pt x="368" y="860"/>
                                    </a:lnTo>
                                    <a:lnTo>
                                      <a:pt x="303" y="842"/>
                                    </a:lnTo>
                                    <a:lnTo>
                                      <a:pt x="285" y="836"/>
                                    </a:lnTo>
                                    <a:lnTo>
                                      <a:pt x="264" y="826"/>
                                    </a:lnTo>
                                    <a:lnTo>
                                      <a:pt x="248" y="817"/>
                                    </a:lnTo>
                                    <a:lnTo>
                                      <a:pt x="193" y="784"/>
                                    </a:lnTo>
                                    <a:lnTo>
                                      <a:pt x="178" y="771"/>
                                    </a:lnTo>
                                    <a:lnTo>
                                      <a:pt x="159" y="759"/>
                                    </a:lnTo>
                                    <a:lnTo>
                                      <a:pt x="144" y="744"/>
                                    </a:lnTo>
                                    <a:lnTo>
                                      <a:pt x="132" y="728"/>
                                    </a:lnTo>
                                    <a:lnTo>
                                      <a:pt x="117" y="713"/>
                                    </a:lnTo>
                                    <a:lnTo>
                                      <a:pt x="104" y="698"/>
                                    </a:lnTo>
                                    <a:lnTo>
                                      <a:pt x="71" y="643"/>
                                    </a:lnTo>
                                    <a:lnTo>
                                      <a:pt x="52" y="609"/>
                                    </a:lnTo>
                                    <a:lnTo>
                                      <a:pt x="46" y="588"/>
                                    </a:lnTo>
                                    <a:lnTo>
                                      <a:pt x="37" y="569"/>
                                    </a:lnTo>
                                    <a:lnTo>
                                      <a:pt x="31" y="548"/>
                                    </a:lnTo>
                                    <a:lnTo>
                                      <a:pt x="28" y="526"/>
                                    </a:lnTo>
                                    <a:lnTo>
                                      <a:pt x="22" y="505"/>
                                    </a:lnTo>
                                    <a:lnTo>
                                      <a:pt x="19" y="487"/>
                                    </a:lnTo>
                                    <a:lnTo>
                                      <a:pt x="19" y="444"/>
                                    </a:lnTo>
                                    <a:lnTo>
                                      <a:pt x="0" y="4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Rectangle 20"/>
                            <wps:cNvSpPr>
                              <a:spLocks noChangeArrowheads="1"/>
                            </wps:cNvSpPr>
                            <wps:spPr bwMode="auto">
                              <a:xfrm>
                                <a:off x="526728" y="134842"/>
                                <a:ext cx="704850" cy="52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8DB6D" w14:textId="77777777" w:rsidR="00BE2CA7" w:rsidRPr="00585869" w:rsidRDefault="00BE2CA7" w:rsidP="00BE2CA7">
                                  <w:pPr>
                                    <w:jc w:val="center"/>
                                    <w:rPr>
                                      <w:sz w:val="72"/>
                                      <w:szCs w:val="72"/>
                                    </w:rPr>
                                  </w:pPr>
                                  <w:r w:rsidRPr="00585869">
                                    <w:rPr>
                                      <w:rFonts w:ascii="Arial Narrow" w:hAnsi="Arial Narrow"/>
                                      <w:color w:val="000000"/>
                                      <w:sz w:val="72"/>
                                      <w:szCs w:val="72"/>
                                    </w:rPr>
                                    <w:t>E</w:t>
                                  </w:r>
                                  <w:r w:rsidRPr="00585869">
                                    <w:rPr>
                                      <w:rFonts w:ascii="Arial Narrow" w:hAnsi="Arial Narrow"/>
                                      <w:color w:val="000000"/>
                                      <w:sz w:val="52"/>
                                      <w:szCs w:val="52"/>
                                    </w:rPr>
                                    <w:t>11</w:t>
                                  </w:r>
                                </w:p>
                              </w:txbxContent>
                            </wps:txbx>
                            <wps:bodyPr rot="0" vert="horz" wrap="square" lIns="0" tIns="0" rIns="0" bIns="0" anchor="t" anchorCtr="0" upright="1">
                              <a:noAutofit/>
                            </wps:bodyPr>
                          </wps:wsp>
                          <wps:wsp>
                            <wps:cNvPr id="462" name="Rectangle 23"/>
                            <wps:cNvSpPr>
                              <a:spLocks noChangeArrowheads="1"/>
                            </wps:cNvSpPr>
                            <wps:spPr bwMode="auto">
                              <a:xfrm>
                                <a:off x="1533832" y="366603"/>
                                <a:ext cx="2631108"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72F5D" w14:textId="77777777" w:rsidR="00BE2CA7" w:rsidRDefault="00BE2CA7" w:rsidP="00BE2CA7">
                                  <w:r>
                                    <w:rPr>
                                      <w:rFonts w:ascii="Arial" w:hAnsi="Arial" w:cs="Arial"/>
                                      <w:color w:val="000000"/>
                                      <w:sz w:val="40"/>
                                      <w:szCs w:val="40"/>
                                    </w:rPr>
                                    <w:t>83 R – 082439 - EA</w:t>
                                  </w:r>
                                </w:p>
                              </w:txbxContent>
                            </wps:txbx>
                            <wps:bodyPr rot="0" vert="horz" wrap="square" lIns="0" tIns="0" rIns="0" bIns="0" anchor="t" anchorCtr="0" upright="1">
                              <a:noAutofit/>
                            </wps:bodyPr>
                          </wps:wsp>
                          <wpg:grpSp>
                            <wpg:cNvPr id="463" name="Group 84"/>
                            <wpg:cNvGrpSpPr>
                              <a:grpSpLocks/>
                            </wpg:cNvGrpSpPr>
                            <wpg:grpSpPr bwMode="auto">
                              <a:xfrm>
                                <a:off x="143270" y="305502"/>
                                <a:ext cx="203200" cy="244475"/>
                                <a:chOff x="3392" y="2822"/>
                                <a:chExt cx="341" cy="386"/>
                              </a:xfrm>
                            </wpg:grpSpPr>
                            <wps:wsp>
                              <wps:cNvPr id="464" name="Rectangle 85"/>
                              <wps:cNvSpPr>
                                <a:spLocks noChangeArrowheads="1"/>
                              </wps:cNvSpPr>
                              <wps:spPr bwMode="auto">
                                <a:xfrm>
                                  <a:off x="3392" y="2822"/>
                                  <a:ext cx="341"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21C44" w14:textId="77777777" w:rsidR="00BE2CA7" w:rsidRPr="00585869" w:rsidRDefault="00BE2CA7" w:rsidP="00BE2CA7">
                                    <w:pPr>
                                      <w:spacing w:line="200" w:lineRule="atLeast"/>
                                      <w:jc w:val="center"/>
                                      <w:rPr>
                                        <w:sz w:val="32"/>
                                      </w:rPr>
                                    </w:pPr>
                                    <w:r>
                                      <w:rPr>
                                        <w:b/>
                                        <w:bCs/>
                                        <w:color w:val="000000"/>
                                        <w:sz w:val="16"/>
                                        <w:szCs w:val="12"/>
                                      </w:rPr>
                                      <w:t>a</w:t>
                                    </w:r>
                                    <w:r>
                                      <w:rPr>
                                        <w:b/>
                                        <w:bCs/>
                                        <w:color w:val="000000"/>
                                        <w:sz w:val="16"/>
                                        <w:szCs w:val="12"/>
                                      </w:rPr>
                                      <w:br/>
                                    </w:r>
                                    <w:r w:rsidRPr="00585869">
                                      <w:rPr>
                                        <w:b/>
                                        <w:bCs/>
                                        <w:color w:val="000000"/>
                                        <w:sz w:val="16"/>
                                        <w:szCs w:val="12"/>
                                      </w:rPr>
                                      <w:t>2</w:t>
                                    </w:r>
                                  </w:p>
                                </w:txbxContent>
                              </wps:txbx>
                              <wps:bodyPr rot="0" vert="horz" wrap="square" lIns="0" tIns="0" rIns="0" bIns="0" anchor="t" anchorCtr="0" upright="1">
                                <a:noAutofit/>
                              </wps:bodyPr>
                            </wps:wsp>
                            <wps:wsp>
                              <wps:cNvPr id="465" name="Line 86"/>
                              <wps:cNvCnPr>
                                <a:cxnSpLocks noChangeShapeType="1"/>
                              </wps:cNvCnPr>
                              <wps:spPr bwMode="auto">
                                <a:xfrm>
                                  <a:off x="3502" y="3022"/>
                                  <a:ext cx="162"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grpSp>
                          <wpg:grpSp>
                            <wpg:cNvPr id="466" name="Group 87"/>
                            <wpg:cNvGrpSpPr>
                              <a:grpSpLocks/>
                            </wpg:cNvGrpSpPr>
                            <wpg:grpSpPr bwMode="auto">
                              <a:xfrm>
                                <a:off x="1297491" y="751803"/>
                                <a:ext cx="192405" cy="257782"/>
                                <a:chOff x="3742" y="2863"/>
                                <a:chExt cx="378" cy="492"/>
                              </a:xfrm>
                            </wpg:grpSpPr>
                            <wps:wsp>
                              <wps:cNvPr id="467" name="Rectangle 88"/>
                              <wps:cNvSpPr>
                                <a:spLocks noChangeArrowheads="1"/>
                              </wps:cNvSpPr>
                              <wps:spPr bwMode="auto">
                                <a:xfrm>
                                  <a:off x="3742" y="2863"/>
                                  <a:ext cx="378"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318C" w14:textId="77777777" w:rsidR="00BE2CA7" w:rsidRPr="00585869" w:rsidRDefault="00BE2CA7" w:rsidP="00BE2CA7">
                                    <w:pPr>
                                      <w:spacing w:line="200" w:lineRule="atLeast"/>
                                      <w:jc w:val="center"/>
                                    </w:pPr>
                                    <w:r>
                                      <w:rPr>
                                        <w:b/>
                                        <w:bCs/>
                                        <w:color w:val="000000"/>
                                        <w:sz w:val="16"/>
                                        <w:szCs w:val="12"/>
                                      </w:rPr>
                                      <w:t>a</w:t>
                                    </w:r>
                                    <w:r>
                                      <w:rPr>
                                        <w:b/>
                                        <w:bCs/>
                                        <w:color w:val="000000"/>
                                        <w:sz w:val="16"/>
                                        <w:szCs w:val="12"/>
                                      </w:rPr>
                                      <w:br/>
                                    </w:r>
                                    <w:r w:rsidRPr="00585869">
                                      <w:rPr>
                                        <w:b/>
                                        <w:bCs/>
                                        <w:color w:val="000000"/>
                                        <w:sz w:val="16"/>
                                        <w:szCs w:val="12"/>
                                      </w:rPr>
                                      <w:t>3</w:t>
                                    </w:r>
                                  </w:p>
                                </w:txbxContent>
                              </wps:txbx>
                              <wps:bodyPr rot="0" vert="horz" wrap="square" lIns="0" tIns="0" rIns="0" bIns="0" anchor="t" anchorCtr="0" upright="1">
                                <a:noAutofit/>
                              </wps:bodyPr>
                            </wps:wsp>
                            <wps:wsp>
                              <wps:cNvPr id="468" name="Line 89"/>
                              <wps:cNvCnPr>
                                <a:cxnSpLocks noChangeShapeType="1"/>
                              </wps:cNvCnPr>
                              <wps:spPr bwMode="auto">
                                <a:xfrm>
                                  <a:off x="3844" y="3107"/>
                                  <a:ext cx="162"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grpSp>
                          <wpg:grpSp>
                            <wpg:cNvPr id="469" name="Group 101"/>
                            <wpg:cNvGrpSpPr>
                              <a:grpSpLocks/>
                            </wpg:cNvGrpSpPr>
                            <wpg:grpSpPr bwMode="auto">
                              <a:xfrm>
                                <a:off x="1232544" y="305502"/>
                                <a:ext cx="70485" cy="245745"/>
                                <a:chOff x="5795" y="5154"/>
                                <a:chExt cx="119" cy="388"/>
                              </a:xfrm>
                            </wpg:grpSpPr>
                            <wps:wsp>
                              <wps:cNvPr id="470" name="Line 102"/>
                              <wps:cNvCnPr>
                                <a:cxnSpLocks noChangeShapeType="1"/>
                              </wps:cNvCnPr>
                              <wps:spPr bwMode="auto">
                                <a:xfrm>
                                  <a:off x="5857" y="5181"/>
                                  <a:ext cx="1" cy="32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1" name="Freeform 103"/>
                              <wps:cNvSpPr>
                                <a:spLocks/>
                              </wps:cNvSpPr>
                              <wps:spPr bwMode="auto">
                                <a:xfrm>
                                  <a:off x="5795" y="5154"/>
                                  <a:ext cx="119" cy="116"/>
                                </a:xfrm>
                                <a:custGeom>
                                  <a:avLst/>
                                  <a:gdLst>
                                    <a:gd name="T0" fmla="*/ 119 w 117"/>
                                    <a:gd name="T1" fmla="*/ 116 h 116"/>
                                    <a:gd name="T2" fmla="*/ 59 w 117"/>
                                    <a:gd name="T3" fmla="*/ 0 h 116"/>
                                    <a:gd name="T4" fmla="*/ 0 w 117"/>
                                    <a:gd name="T5" fmla="*/ 116 h 116"/>
                                    <a:gd name="T6" fmla="*/ 59 w 117"/>
                                    <a:gd name="T7" fmla="*/ 58 h 116"/>
                                    <a:gd name="T8" fmla="*/ 119 w 117"/>
                                    <a:gd name="T9" fmla="*/ 116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116"/>
                                      </a:moveTo>
                                      <a:lnTo>
                                        <a:pt x="58" y="0"/>
                                      </a:lnTo>
                                      <a:lnTo>
                                        <a:pt x="0" y="116"/>
                                      </a:lnTo>
                                      <a:lnTo>
                                        <a:pt x="58" y="58"/>
                                      </a:lnTo>
                                      <a:lnTo>
                                        <a:pt x="117"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472" name="Freeform 104"/>
                              <wps:cNvSpPr>
                                <a:spLocks/>
                              </wps:cNvSpPr>
                              <wps:spPr bwMode="auto">
                                <a:xfrm>
                                  <a:off x="5795" y="5426"/>
                                  <a:ext cx="119" cy="116"/>
                                </a:xfrm>
                                <a:custGeom>
                                  <a:avLst/>
                                  <a:gdLst>
                                    <a:gd name="T0" fmla="*/ 119 w 117"/>
                                    <a:gd name="T1" fmla="*/ 0 h 116"/>
                                    <a:gd name="T2" fmla="*/ 59 w 117"/>
                                    <a:gd name="T3" fmla="*/ 116 h 116"/>
                                    <a:gd name="T4" fmla="*/ 0 w 117"/>
                                    <a:gd name="T5" fmla="*/ 0 h 116"/>
                                    <a:gd name="T6" fmla="*/ 59 w 117"/>
                                    <a:gd name="T7" fmla="*/ 58 h 116"/>
                                    <a:gd name="T8" fmla="*/ 119 w 117"/>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0"/>
                                      </a:moveTo>
                                      <a:lnTo>
                                        <a:pt x="58" y="116"/>
                                      </a:lnTo>
                                      <a:lnTo>
                                        <a:pt x="0" y="0"/>
                                      </a:lnTo>
                                      <a:lnTo>
                                        <a:pt x="58" y="58"/>
                                      </a:lnTo>
                                      <a:lnTo>
                                        <a:pt x="117"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g:grpSp>
                          <wps:wsp>
                            <wps:cNvPr id="473" name="Line 105"/>
                            <wps:cNvCnPr>
                              <a:cxnSpLocks noChangeShapeType="1"/>
                            </wps:cNvCnPr>
                            <wps:spPr bwMode="auto">
                              <a:xfrm>
                                <a:off x="1232544" y="549904"/>
                                <a:ext cx="13081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4" name="Line 106"/>
                            <wps:cNvCnPr>
                              <a:cxnSpLocks noChangeShapeType="1"/>
                            </wps:cNvCnPr>
                            <wps:spPr bwMode="auto">
                              <a:xfrm>
                                <a:off x="1247080" y="305105"/>
                                <a:ext cx="116161" cy="21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grpSp>
                            <wpg:cNvPr id="475" name="Group 107"/>
                            <wpg:cNvGrpSpPr>
                              <a:grpSpLocks/>
                            </wpg:cNvGrpSpPr>
                            <wpg:grpSpPr bwMode="auto">
                              <a:xfrm>
                                <a:off x="1307147" y="295042"/>
                                <a:ext cx="216193" cy="331508"/>
                                <a:chOff x="3728" y="2686"/>
                                <a:chExt cx="425" cy="634"/>
                              </a:xfrm>
                            </wpg:grpSpPr>
                            <wps:wsp>
                              <wps:cNvPr id="476" name="Rectangle 108"/>
                              <wps:cNvSpPr>
                                <a:spLocks noChangeArrowheads="1"/>
                              </wps:cNvSpPr>
                              <wps:spPr bwMode="auto">
                                <a:xfrm>
                                  <a:off x="3728" y="2686"/>
                                  <a:ext cx="425"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80183" w14:textId="77777777" w:rsidR="00BE2CA7" w:rsidRPr="00585869" w:rsidRDefault="00BE2CA7" w:rsidP="00BE2CA7">
                                    <w:pPr>
                                      <w:spacing w:line="200" w:lineRule="atLeast"/>
                                      <w:jc w:val="center"/>
                                      <w:rPr>
                                        <w:sz w:val="16"/>
                                        <w:szCs w:val="16"/>
                                      </w:rPr>
                                    </w:pPr>
                                    <w:r>
                                      <w:rPr>
                                        <w:b/>
                                        <w:bCs/>
                                        <w:color w:val="000000"/>
                                        <w:sz w:val="16"/>
                                        <w:szCs w:val="16"/>
                                      </w:rPr>
                                      <w:t>a</w:t>
                                    </w:r>
                                    <w:r>
                                      <w:rPr>
                                        <w:b/>
                                        <w:bCs/>
                                        <w:color w:val="000000"/>
                                        <w:sz w:val="16"/>
                                        <w:szCs w:val="16"/>
                                      </w:rPr>
                                      <w:br/>
                                    </w:r>
                                    <w:r w:rsidRPr="00585869">
                                      <w:rPr>
                                        <w:b/>
                                        <w:bCs/>
                                        <w:color w:val="000000"/>
                                        <w:sz w:val="16"/>
                                        <w:szCs w:val="16"/>
                                      </w:rPr>
                                      <w:t>3</w:t>
                                    </w:r>
                                  </w:p>
                                </w:txbxContent>
                              </wps:txbx>
                              <wps:bodyPr rot="0" vert="horz" wrap="square" lIns="0" tIns="0" rIns="0" bIns="0" anchor="t" anchorCtr="0" upright="1">
                                <a:noAutofit/>
                              </wps:bodyPr>
                            </wps:wsp>
                            <wps:wsp>
                              <wps:cNvPr id="477" name="Line 109"/>
                              <wps:cNvCnPr>
                                <a:cxnSpLocks noChangeShapeType="1"/>
                              </wps:cNvCnPr>
                              <wps:spPr bwMode="auto">
                                <a:xfrm>
                                  <a:off x="3834" y="2951"/>
                                  <a:ext cx="162"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grpSp>
                          <wpg:grpSp>
                            <wpg:cNvPr id="478" name="Group 122"/>
                            <wpg:cNvGrpSpPr>
                              <a:grpSpLocks/>
                            </wpg:cNvGrpSpPr>
                            <wpg:grpSpPr bwMode="auto">
                              <a:xfrm>
                                <a:off x="1563329" y="659464"/>
                                <a:ext cx="528955" cy="71755"/>
                                <a:chOff x="3612" y="831"/>
                                <a:chExt cx="954" cy="416"/>
                              </a:xfrm>
                            </wpg:grpSpPr>
                            <wps:wsp>
                              <wps:cNvPr id="479" name="AutoShape 123"/>
                              <wps:cNvCnPr>
                                <a:cxnSpLocks noChangeShapeType="1"/>
                              </wps:cNvCnPr>
                              <wps:spPr bwMode="auto">
                                <a:xfrm>
                                  <a:off x="3612" y="831"/>
                                  <a:ext cx="0" cy="41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72" name="AutoShape 124"/>
                              <wps:cNvCnPr>
                                <a:cxnSpLocks noChangeShapeType="1"/>
                              </wps:cNvCnPr>
                              <wps:spPr bwMode="auto">
                                <a:xfrm>
                                  <a:off x="4566" y="835"/>
                                  <a:ext cx="0" cy="41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73" name="AutoShape 125"/>
                              <wps:cNvCnPr>
                                <a:cxnSpLocks noChangeShapeType="1"/>
                              </wps:cNvCnPr>
                              <wps:spPr bwMode="auto">
                                <a:xfrm flipH="1" flipV="1">
                                  <a:off x="3612" y="1243"/>
                                  <a:ext cx="954" cy="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674" name="Group 126"/>
                            <wpg:cNvGrpSpPr>
                              <a:grpSpLocks/>
                            </wpg:cNvGrpSpPr>
                            <wpg:grpSpPr bwMode="auto">
                              <a:xfrm>
                                <a:off x="2389239" y="665784"/>
                                <a:ext cx="217170" cy="69215"/>
                                <a:chOff x="4254" y="867"/>
                                <a:chExt cx="877" cy="412"/>
                              </a:xfrm>
                            </wpg:grpSpPr>
                            <wps:wsp>
                              <wps:cNvPr id="675" name="AutoShape 127"/>
                              <wps:cNvCnPr>
                                <a:cxnSpLocks noChangeShapeType="1"/>
                              </wps:cNvCnPr>
                              <wps:spPr bwMode="auto">
                                <a:xfrm>
                                  <a:off x="4254" y="867"/>
                                  <a:ext cx="0" cy="41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76" name="AutoShape 128"/>
                              <wps:cNvCnPr>
                                <a:cxnSpLocks noChangeShapeType="1"/>
                              </wps:cNvCnPr>
                              <wps:spPr bwMode="auto">
                                <a:xfrm>
                                  <a:off x="5131" y="867"/>
                                  <a:ext cx="0" cy="41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77" name="AutoShape 129"/>
                              <wps:cNvCnPr>
                                <a:cxnSpLocks noChangeShapeType="1"/>
                              </wps:cNvCnPr>
                              <wps:spPr bwMode="auto">
                                <a:xfrm flipH="1">
                                  <a:off x="4257" y="1279"/>
                                  <a:ext cx="874"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678" name="Group 130"/>
                            <wpg:cNvGrpSpPr>
                              <a:grpSpLocks/>
                            </wpg:cNvGrpSpPr>
                            <wpg:grpSpPr bwMode="auto">
                              <a:xfrm>
                                <a:off x="2658924" y="660869"/>
                                <a:ext cx="541020" cy="71448"/>
                                <a:chOff x="3699" y="832"/>
                                <a:chExt cx="874" cy="436"/>
                              </a:xfrm>
                            </wpg:grpSpPr>
                            <wps:wsp>
                              <wps:cNvPr id="679" name="AutoShape 131"/>
                              <wps:cNvCnPr>
                                <a:cxnSpLocks noChangeShapeType="1"/>
                              </wps:cNvCnPr>
                              <wps:spPr bwMode="auto">
                                <a:xfrm>
                                  <a:off x="3703" y="856"/>
                                  <a:ext cx="0" cy="41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80" name="AutoShape 132"/>
                              <wps:cNvCnPr>
                                <a:cxnSpLocks noChangeShapeType="1"/>
                              </wps:cNvCnPr>
                              <wps:spPr bwMode="auto">
                                <a:xfrm>
                                  <a:off x="4573" y="832"/>
                                  <a:ext cx="0" cy="41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81" name="AutoShape 133"/>
                              <wps:cNvCnPr>
                                <a:cxnSpLocks noChangeShapeType="1"/>
                              </wps:cNvCnPr>
                              <wps:spPr bwMode="auto">
                                <a:xfrm flipH="1">
                                  <a:off x="3699" y="1268"/>
                                  <a:ext cx="874"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682" name="Group 134"/>
                            <wpg:cNvGrpSpPr>
                              <a:grpSpLocks/>
                            </wpg:cNvGrpSpPr>
                            <wpg:grpSpPr bwMode="auto">
                              <a:xfrm flipV="1">
                                <a:off x="3412485" y="268995"/>
                                <a:ext cx="376135" cy="83656"/>
                                <a:chOff x="4387" y="813"/>
                                <a:chExt cx="1221" cy="486"/>
                              </a:xfrm>
                            </wpg:grpSpPr>
                            <wps:wsp>
                              <wps:cNvPr id="683" name="AutoShape 135"/>
                              <wps:cNvCnPr>
                                <a:cxnSpLocks noChangeShapeType="1"/>
                              </wps:cNvCnPr>
                              <wps:spPr bwMode="auto">
                                <a:xfrm>
                                  <a:off x="4387" y="887"/>
                                  <a:ext cx="0" cy="41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84" name="AutoShape 136"/>
                              <wps:cNvCnPr>
                                <a:cxnSpLocks noChangeShapeType="1"/>
                              </wps:cNvCnPr>
                              <wps:spPr bwMode="auto">
                                <a:xfrm>
                                  <a:off x="5577" y="813"/>
                                  <a:ext cx="0" cy="41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85" name="AutoShape 137"/>
                              <wps:cNvCnPr>
                                <a:cxnSpLocks noChangeShapeType="1"/>
                              </wps:cNvCnPr>
                              <wps:spPr bwMode="auto">
                                <a:xfrm flipH="1">
                                  <a:off x="4387" y="1283"/>
                                  <a:ext cx="1221" cy="1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cNvPr id="686" name="Group 538"/>
                        <wpg:cNvGrpSpPr>
                          <a:grpSpLocks/>
                        </wpg:cNvGrpSpPr>
                        <wpg:grpSpPr bwMode="auto">
                          <a:xfrm>
                            <a:off x="3871" y="6689"/>
                            <a:ext cx="4392" cy="2638"/>
                            <a:chOff x="3944" y="6897"/>
                            <a:chExt cx="4392" cy="2638"/>
                          </a:xfrm>
                        </wpg:grpSpPr>
                        <wps:wsp>
                          <wps:cNvPr id="687" name="AutoShape 141"/>
                          <wps:cNvCnPr>
                            <a:cxnSpLocks noChangeShapeType="1"/>
                          </wps:cNvCnPr>
                          <wps:spPr bwMode="auto">
                            <a:xfrm>
                              <a:off x="8336" y="6900"/>
                              <a:ext cx="0" cy="8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8" name="AutoShape 142"/>
                          <wps:cNvCnPr>
                            <a:cxnSpLocks noChangeShapeType="1"/>
                          </wps:cNvCnPr>
                          <wps:spPr bwMode="auto">
                            <a:xfrm flipV="1">
                              <a:off x="5194" y="8567"/>
                              <a:ext cx="64" cy="8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0" name="AutoShape 143"/>
                          <wps:cNvCnPr>
                            <a:cxnSpLocks noChangeShapeType="1"/>
                          </wps:cNvCnPr>
                          <wps:spPr bwMode="auto">
                            <a:xfrm flipH="1" flipV="1">
                              <a:off x="6493" y="8567"/>
                              <a:ext cx="282" cy="9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1" name="AutoShape 144"/>
                          <wps:cNvCnPr>
                            <a:cxnSpLocks noChangeShapeType="1"/>
                          </wps:cNvCnPr>
                          <wps:spPr bwMode="auto">
                            <a:xfrm flipH="1" flipV="1">
                              <a:off x="7046" y="8564"/>
                              <a:ext cx="394" cy="4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2" name="AutoShape 139"/>
                          <wps:cNvCnPr>
                            <a:cxnSpLocks noChangeShapeType="1"/>
                          </wps:cNvCnPr>
                          <wps:spPr bwMode="auto">
                            <a:xfrm>
                              <a:off x="3944" y="6897"/>
                              <a:ext cx="106" cy="8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w:pict>
              <v:group w14:anchorId="05201992" id="Group 544" o:spid="_x0000_s1029" style="width:327.9pt;height:155.3pt;mso-position-horizontal-relative:char;mso-position-vertical-relative:line" coordorigin="2554,6689" coordsize="6558,3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">
                <v:group id="Group 543" o:spid="_x0000_s1030" style="position:absolute;left:2554;top:7267;width:6558;height:2528" coordorigin="2554,7267" coordsize="6558,2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">
                  <v:group id="Group 542" o:spid="_x0000_s1031" style="position:absolute;left:3406;top:8784;width:5457;height:1011" coordorigin="3406,8784" coordsize="5457,1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">
                    <v:shape id="Text Box 111" o:spid="_x0000_s1032" type="#_x0000_t202" style="position:absolute;left:3406;top:9171;width:2376;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" filled="f" stroked="f">
                      <v:textbox inset="0,0,0,0">
                        <w:txbxContent>
                          <w:p w14:paraId="221A6589" w14:textId="77777777" w:rsidR="00BE2CA7" w:rsidRPr="000E1A7E" w:rsidRDefault="00BE2CA7" w:rsidP="00BE2CA7">
                            <w:pPr>
                              <w:jc w:val="center"/>
                              <w:rPr>
                                <w:bCs/>
                              </w:rPr>
                            </w:pPr>
                            <w:r>
                              <w:rPr>
                                <w:bCs/>
                              </w:rPr>
                              <w:t>Numéro d’homologation</w:t>
                            </w:r>
                            <w:r w:rsidRPr="000E1A7E">
                              <w:rPr>
                                <w:bCs/>
                              </w:rPr>
                              <w:t xml:space="preserve"> </w:t>
                            </w:r>
                            <w:r>
                              <w:rPr>
                                <w:bCs/>
                              </w:rPr>
                              <w:br/>
                            </w:r>
                            <w:r w:rsidRPr="000E1A7E">
                              <w:rPr>
                                <w:bCs/>
                              </w:rPr>
                              <w:t>(</w:t>
                            </w:r>
                            <w:r>
                              <w:rPr>
                                <w:bCs/>
                              </w:rPr>
                              <w:t>Règlement ONU n</w:t>
                            </w:r>
                            <w:r w:rsidRPr="0077241C">
                              <w:rPr>
                                <w:bCs/>
                                <w:vertAlign w:val="superscript"/>
                              </w:rPr>
                              <w:t>o</w:t>
                            </w:r>
                            <w:r>
                              <w:rPr>
                                <w:bCs/>
                              </w:rPr>
                              <w:t> </w:t>
                            </w:r>
                            <w:r w:rsidRPr="000E1A7E">
                              <w:rPr>
                                <w:bCs/>
                              </w:rPr>
                              <w:t>83)</w:t>
                            </w:r>
                          </w:p>
                        </w:txbxContent>
                      </v:textbox>
                    </v:shape>
                    <v:shape id="Text Box 112" o:spid="_x0000_s1033" type="#_x0000_t202" style="position:absolute;left:5967;top:9327;width:2211;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" filled="f" stroked="f">
                      <v:textbox inset="0,0,0,0">
                        <w:txbxContent>
                          <w:p w14:paraId="030EFF43" w14:textId="11801358" w:rsidR="00BE2CA7" w:rsidRPr="000E1A7E" w:rsidRDefault="00BE2CA7" w:rsidP="00BE2CA7">
                            <w:pPr>
                              <w:jc w:val="center"/>
                            </w:pPr>
                            <w:r>
                              <w:rPr>
                                <w:bCs/>
                              </w:rPr>
                              <w:t xml:space="preserve">Série d’amendements </w:t>
                            </w:r>
                            <w:r w:rsidR="007C4489" w:rsidRPr="007C4489">
                              <w:rPr>
                                <w:rFonts w:eastAsia="MS Mincho"/>
                                <w:bCs/>
                                <w:szCs w:val="22"/>
                              </w:rPr>
                              <w:t>n</w:t>
                            </w:r>
                            <w:r w:rsidR="007C4489" w:rsidRPr="007C4489">
                              <w:rPr>
                                <w:rFonts w:eastAsia="MS Mincho"/>
                                <w:bCs/>
                                <w:szCs w:val="22"/>
                                <w:vertAlign w:val="superscript"/>
                              </w:rPr>
                              <w:t>o</w:t>
                            </w:r>
                            <w:r w:rsidR="007C4489">
                              <w:rPr>
                                <w:bCs/>
                              </w:rPr>
                              <w:t> </w:t>
                            </w:r>
                          </w:p>
                        </w:txbxContent>
                      </v:textbox>
                    </v:shape>
                    <v:shape id="Text Box 113" o:spid="_x0000_s1034" type="#_x0000_t202" style="position:absolute;left:7101;top:8784;width:1762;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" filled="f" stroked="f">
                      <v:textbox inset="0,0,0,0">
                        <w:txbxContent>
                          <w:p w14:paraId="0A66BC0C" w14:textId="77777777" w:rsidR="00BE2CA7" w:rsidRPr="000E1A7E" w:rsidRDefault="00BE2CA7" w:rsidP="00BE2CA7">
                            <w:r>
                              <w:t>Section 3 du numéro d’homologation</w:t>
                            </w:r>
                          </w:p>
                        </w:txbxContent>
                      </v:textbox>
                    </v:shape>
                  </v:group>
                  <v:group id="Group 378" o:spid="_x0000_s1035" style="position:absolute;left:2554;top:7267;width:6558;height:1590" coordsize="41649,10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">
                    <v:line id="Line 36" o:spid="_x0000_s1036" style="position:absolute;flip:y;visibility:visible;mso-wrap-style:square" from="15338,6594" to="15338,9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" strokeweight="0"/>
                    <v:line id="Line 37" o:spid="_x0000_s1037" style="position:absolute;flip:y;visibility:visible;mso-wrap-style:square" from="12304,5794" to="12304,9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" strokeweight="0"/>
                    <v:shapetype id="_x0000_t32" coordsize="21600,21600" o:spt="32" o:oned="t" path="m,l21600,21600e" filled="f">
                      <v:path arrowok="t" fillok="f" o:connecttype="none"/>
                      <o:lock v:ext="edit" shapetype="t"/>
                    </v:shapetype>
                    <v:shape id="AutoShape 45" o:spid="_x0000_s1038" type="#_x0000_t32" style="position:absolute;left:12325;top:7268;width:29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">
                      <v:stroke startarrow="classic" endarrow="classic"/>
                    </v:shape>
                    <v:line id="Line 4" o:spid="_x0000_s1039" style="position:absolute;flip:x;visibility:visible;mso-wrap-style:square" from="905,0" to="69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" strokeweight="0"/>
                    <v:line id="Line 5" o:spid="_x0000_s1040" style="position:absolute;flip:x;visibility:visible;mso-wrap-style:square" from="632,7563" to="6639,7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" strokeweight="0"/>
                    <v:rect id="Rectangle 6" o:spid="_x0000_s1041" style="position:absolute;top:4319;width:1224;height:1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" filled="f" stroked="f">
                      <v:textbox inset="0,0,0,0">
                        <w:txbxContent>
                          <w:p w14:paraId="5D1FA9A8" w14:textId="77777777" w:rsidR="00BE2CA7" w:rsidRDefault="00BE2CA7" w:rsidP="00BE2CA7">
                            <w:r>
                              <w:rPr>
                                <w:b/>
                                <w:bCs/>
                                <w:color w:val="000000"/>
                                <w:sz w:val="16"/>
                                <w:szCs w:val="16"/>
                              </w:rPr>
                              <w:t>a</w:t>
                            </w:r>
                          </w:p>
                        </w:txbxContent>
                      </v:textbox>
                    </v:rect>
                    <v:line id="Line 7" o:spid="_x0000_s1042" style="position:absolute;visibility:visible;mso-wrap-style:square" from="990,2001" to="990,7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" strokeweight="0"/>
                    <v:shape id="Freeform 8" o:spid="_x0000_s1043" style="position:absolute;left:611;top:2001;width:717;height:730;visibility:visible;mso-wrap-style:square;v-text-anchor:top" coordsize="113,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" path="m113,116l58,,,116,58,58r55,58xe" fillcolor="black" strokeweight="0">
                      <v:path arrowok="t" o:connecttype="custom" o:connectlocs="45564425,45971126;23387050,0;0,45971126;23387050,22985878;45564425,45971126" o:connectangles="0,0,0,0,0"/>
                    </v:shape>
                    <v:shape id="Freeform 9" o:spid="_x0000_s1044" style="position:absolute;left:611;top:6763;width:717;height:730;visibility:visible;mso-wrap-style:square;v-text-anchor:top" coordsize="113,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" path="m113,l58,116,,,58,58,113,xe" fillcolor="black" strokeweight="0">
                      <v:path arrowok="t" o:connecttype="custom" o:connectlocs="45564425,0;23387050,45971126;0,0;23387050,22985878;45564425,0" o:connectangles="0,0,0,0,0"/>
                    </v:shape>
                    <v:line id="Line 10" o:spid="_x0000_s1045" style="position:absolute;flip:x;visibility:visible;mso-wrap-style:square" from="2991,2296" to="4915,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" strokeweight="0"/>
                    <v:line id="Line 11" o:spid="_x0000_s1046" style="position:absolute;flip:x;visibility:visible;mso-wrap-style:square" from="2991,5709" to="4915,5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" strokeweight="0"/>
                    <v:line id="Line 12" o:spid="_x0000_s1047" style="position:absolute;visibility:visible;mso-wrap-style:square" from="3855,2380" to="3855,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" strokeweight="0"/>
                    <v:shape id="Freeform 13" o:spid="_x0000_s1048" style="position:absolute;left:3455;top:2317;width:724;height:737;visibility:visible;mso-wrap-style:square;v-text-anchor:top" coordsize="11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" path="m113,117l55,,,117,55,59r58,58xe" fillcolor="black" strokeweight="0">
                      <v:path arrowok="t" o:connecttype="custom" o:connectlocs="46374443,46374321;22571586,0;0,46374321;22571586,23385476;46374443,46374321" o:connectangles="0,0,0,0,0"/>
                    </v:shape>
                    <v:shape id="Freeform 14" o:spid="_x0000_s1049" style="position:absolute;left:3455;top:4951;width:724;height:730;visibility:visible;mso-wrap-style:square;v-text-anchor:top" coordsize="113,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" path="m113,l55,116,,,55,58,113,xe" fillcolor="black" strokeweight="0">
                      <v:path arrowok="t" o:connecttype="custom" o:connectlocs="46374443,0;22571586,45971126;0,0;22571586,22985878;46374443,0" o:connectangles="0,0,0,0,0"/>
                    </v:shape>
                    <v:oval id="Oval 18" o:spid="_x0000_s1050" style="position:absolute;left:5056;top:2001;width:5772;height:5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" stroked="f"/>
                    <v:shape id="Freeform 19" o:spid="_x0000_s1051" style="position:absolute;left:4993;width:7226;height:7575;visibility:visible;mso-wrap-style:square;v-text-anchor:top" coordsize="912,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" path="m,444r,43l3,511r6,22l13,554r6,21l28,594r6,21l52,655r40,55l104,725r16,16l132,756r15,15l166,784r15,12l236,836r21,9l279,854r18,6l361,878r25,4l410,885r22,3l478,888r24,-3l548,878r86,-24l652,845r22,-9l713,808r16,-12l747,784r15,-13l808,725r12,-15l848,673r28,-58l885,594r6,-19l903,533r9,-68l912,419r-9,-67l897,331r-6,-19l885,291r-9,-19l866,251,848,211,833,196,820,178,808,162,793,144,778,132,747,101,729,89,713,77,695,61,674,52,652,43,634,34,612,24,570,12,548,9,527,3,502,,410,,383,3,361,9r-21,3l297,24,279,34r-22,9l218,61,181,89r-15,12l147,116r-27,28l104,162,92,178,80,196,68,211,52,230r-9,21l34,272r-6,19l19,312r-6,19l9,352,3,373,,398r,46l19,444r,-46l22,380r6,-22l31,337r6,-19l46,297r6,-18l62,257r9,-15l80,223,92,208r12,-18l117,174r15,-18l159,129r19,-16l193,101,230,80,264,61r21,-9l303,43,346,31r22,-3l389,21r21,-3l502,18r19,3l542,28r21,3l606,43r22,9l646,61r21,9l683,80r18,9l716,101r19,12l765,144r16,12l796,174r12,16l820,208r10,15l848,257r9,22l866,297r7,21l879,337r6,21l894,419r,46l885,526r-12,43l866,588r-9,21l830,661r-22,37l796,713r-46,46l735,771r-19,13l701,796r-34,21l646,826r-18,10l542,860r-40,6l478,869r-46,l410,866r-24,-3l368,860,303,842r-18,-6l264,826r-16,-9l193,784,178,771,159,759,144,744,132,728,117,713,104,698,71,643,52,609,46,588,37,569,31,548,28,526,22,505,19,487r,-43l,444xe" fillcolor="black" stroked="f">
                      <v:path arrowok="t" o:connecttype="custom" o:connectlocs="1883434,371897229;11928942,418475771;32647504,476698309;75339724,539287878;104219569,570582236;161352503,614977689;226646719,638994230;271222373,646272047;344051116,638994230;423157707,608427568;468989247,570582236;514820787,516726730;555629573,432303709;572581269,338419781;563164100,240896518;549979272,197957311;522982861,142645559;497869092,104801080;457688645,64772659;423157707,37844479;384232355,17466420;330866288,2183089;240459094,2183089;186465480,17466420;136867073,44394600;92291419,84423021;57760481,129545317;32647504,167390650;17579243,211785249;5650301,256179849;0,323136450;13812375,276557908;23229544,231435612;38925352,187040159;57760481,151378769;82873459,113534290;121171264,73505869;178931745,37844479;231041926,20378059;315170479,13100242;353468284,22561148;405578465,44394600;440109403,64772659;480289849,104801080;507287052,138278527;532400030,187040159;548095838,231435612;561280666,304941481;548095838,414108739;521099428,481065340;470872681,552388120;440109403,579316299;394277070,608427568;300103009,632444109;242342528,628077078;178931745,608427568;121171264,570582236;90407193,541470967;65294216,507993520;28879845,427936677;17579243,382814381;11928942,323136450" o:connectangles="0,0,0,0,0,0,0,0,0,0,0,0,0,0,0,0,0,0,0,0,0,0,0,0,0,0,0,0,0,0,0,0,0,0,0,0,0,0,0,0,0,0,0,0,0,0,0,0,0,0,0,0,0,0,0,0,0,0,0,0,0,0"/>
                    </v:shape>
                    <v:rect id="Rectangle 20" o:spid="_x0000_s1052" style="position:absolute;left:5267;top:1348;width:7048;height:5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puwgAAANwAAAAPAAAAZHJzL2Rvd25yZXYueG1sRE/LisIw&#10;FN0L/kO4wuw0VQb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B/iqpuwgAAANwAAAAPAAAA&#10;AAAAAAAAAAAAAAcCAABkcnMvZG93bnJldi54bWxQSwUGAAAAAAMAAwC3AAAA9gIAAAAA&#10;" filled="f" stroked="f">
                      <v:textbox inset="0,0,0,0">
                        <w:txbxContent>
                          <w:p w14:paraId="3188DB6D" w14:textId="77777777" w:rsidR="00BE2CA7" w:rsidRPr="00585869" w:rsidRDefault="00BE2CA7" w:rsidP="00BE2CA7">
                            <w:pPr>
                              <w:jc w:val="center"/>
                              <w:rPr>
                                <w:sz w:val="72"/>
                                <w:szCs w:val="72"/>
                              </w:rPr>
                            </w:pPr>
                            <w:r w:rsidRPr="00585869">
                              <w:rPr>
                                <w:rFonts w:ascii="Arial Narrow" w:hAnsi="Arial Narrow"/>
                                <w:color w:val="000000"/>
                                <w:sz w:val="72"/>
                                <w:szCs w:val="72"/>
                              </w:rPr>
                              <w:t>E</w:t>
                            </w:r>
                            <w:r w:rsidRPr="00585869">
                              <w:rPr>
                                <w:rFonts w:ascii="Arial Narrow" w:hAnsi="Arial Narrow"/>
                                <w:color w:val="000000"/>
                                <w:sz w:val="52"/>
                                <w:szCs w:val="52"/>
                              </w:rPr>
                              <w:t>11</w:t>
                            </w:r>
                          </w:p>
                        </w:txbxContent>
                      </v:textbox>
                    </v:rect>
                    <v:rect id="Rectangle 23" o:spid="_x0000_s1053" style="position:absolute;left:15338;top:3666;width:26311;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JGC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YfwOROOgFz8AgAA//8DAFBLAQItABQABgAIAAAAIQDb4fbL7gAAAIUBAAATAAAAAAAAAAAA&#10;AAAAAAAAAABbQ29udGVudF9UeXBlc10ueG1sUEsBAi0AFAAGAAgAAAAhAFr0LFu/AAAAFQEAAAsA&#10;AAAAAAAAAAAAAAAAHwEAAF9yZWxzLy5yZWxzUEsBAi0AFAAGAAgAAAAhAOAUkYLEAAAA3AAAAA8A&#10;AAAAAAAAAAAAAAAABwIAAGRycy9kb3ducmV2LnhtbFBLBQYAAAAAAwADALcAAAD4AgAAAAA=&#10;" filled="f" stroked="f">
                      <v:textbox inset="0,0,0,0">
                        <w:txbxContent>
                          <w:p w14:paraId="1B872F5D" w14:textId="77777777" w:rsidR="00BE2CA7" w:rsidRDefault="00BE2CA7" w:rsidP="00BE2CA7">
                            <w:r>
                              <w:rPr>
                                <w:rFonts w:ascii="Arial" w:hAnsi="Arial" w:cs="Arial"/>
                                <w:color w:val="000000"/>
                                <w:sz w:val="40"/>
                                <w:szCs w:val="40"/>
                              </w:rPr>
                              <w:t>83 R – 082439 - EA</w:t>
                            </w:r>
                          </w:p>
                        </w:txbxContent>
                      </v:textbox>
                    </v:rect>
                    <v:group id="Group 84" o:spid="_x0000_s1054" style="position:absolute;left:1432;top:3055;width:2032;height:2444" coordorigin="3392,2822" coordsize="341,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">
                      <v:rect id="Rectangle 85" o:spid="_x0000_s1055" style="position:absolute;left:3392;top:2822;width:341;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" filled="f" stroked="f">
                        <v:textbox inset="0,0,0,0">
                          <w:txbxContent>
                            <w:p w14:paraId="66621C44" w14:textId="77777777" w:rsidR="00BE2CA7" w:rsidRPr="00585869" w:rsidRDefault="00BE2CA7" w:rsidP="00BE2CA7">
                              <w:pPr>
                                <w:spacing w:line="200" w:lineRule="atLeast"/>
                                <w:jc w:val="center"/>
                                <w:rPr>
                                  <w:sz w:val="32"/>
                                </w:rPr>
                              </w:pPr>
                              <w:r>
                                <w:rPr>
                                  <w:b/>
                                  <w:bCs/>
                                  <w:color w:val="000000"/>
                                  <w:sz w:val="16"/>
                                  <w:szCs w:val="12"/>
                                </w:rPr>
                                <w:t>a</w:t>
                              </w:r>
                              <w:r>
                                <w:rPr>
                                  <w:b/>
                                  <w:bCs/>
                                  <w:color w:val="000000"/>
                                  <w:sz w:val="16"/>
                                  <w:szCs w:val="12"/>
                                </w:rPr>
                                <w:br/>
                              </w:r>
                              <w:r w:rsidRPr="00585869">
                                <w:rPr>
                                  <w:b/>
                                  <w:bCs/>
                                  <w:color w:val="000000"/>
                                  <w:sz w:val="16"/>
                                  <w:szCs w:val="12"/>
                                </w:rPr>
                                <w:t>2</w:t>
                              </w:r>
                            </w:p>
                          </w:txbxContent>
                        </v:textbox>
                      </v:rect>
                      <v:line id="Line 86" o:spid="_x0000_s1056" style="position:absolute;visibility:visible;mso-wrap-style:square" from="3502,3022" to="3664,3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" strokeweight="0"/>
                    </v:group>
                    <v:group id="Group 87" o:spid="_x0000_s1057" style="position:absolute;left:12974;top:7518;width:1924;height:2577" coordorigin="3742,2863" coordsize="378,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rect id="Rectangle 88" o:spid="_x0000_s1058" style="position:absolute;left:3742;top:2863;width:378;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" filled="f" stroked="f">
                        <v:textbox inset="0,0,0,0">
                          <w:txbxContent>
                            <w:p w14:paraId="154E318C" w14:textId="77777777" w:rsidR="00BE2CA7" w:rsidRPr="00585869" w:rsidRDefault="00BE2CA7" w:rsidP="00BE2CA7">
                              <w:pPr>
                                <w:spacing w:line="200" w:lineRule="atLeast"/>
                                <w:jc w:val="center"/>
                              </w:pPr>
                              <w:r>
                                <w:rPr>
                                  <w:b/>
                                  <w:bCs/>
                                  <w:color w:val="000000"/>
                                  <w:sz w:val="16"/>
                                  <w:szCs w:val="12"/>
                                </w:rPr>
                                <w:t>a</w:t>
                              </w:r>
                              <w:r>
                                <w:rPr>
                                  <w:b/>
                                  <w:bCs/>
                                  <w:color w:val="000000"/>
                                  <w:sz w:val="16"/>
                                  <w:szCs w:val="12"/>
                                </w:rPr>
                                <w:br/>
                              </w:r>
                              <w:r w:rsidRPr="00585869">
                                <w:rPr>
                                  <w:b/>
                                  <w:bCs/>
                                  <w:color w:val="000000"/>
                                  <w:sz w:val="16"/>
                                  <w:szCs w:val="12"/>
                                </w:rPr>
                                <w:t>3</w:t>
                              </w:r>
                            </w:p>
                          </w:txbxContent>
                        </v:textbox>
                      </v:rect>
                      <v:line id="Line 89" o:spid="_x0000_s1059" style="position:absolute;visibility:visible;mso-wrap-style:square" from="3844,3107" to="4006,3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" strokeweight="0"/>
                    </v:group>
                    <v:group id="Group 101" o:spid="_x0000_s1060" style="position:absolute;left:12325;top:3055;width:705;height:2457" coordorigin="5795,5154" coordsize="119,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">
                      <v:line id="Line 102" o:spid="_x0000_s1061" style="position:absolute;visibility:visible;mso-wrap-style:square" from="5857,5181" to="5858,5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" strokeweight="0"/>
                      <v:shape id="Freeform 103" o:spid="_x0000_s1062" style="position:absolute;left:5795;top:5154;width:119;height:116;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" path="m117,116l58,,,116,58,58r59,58xe" fillcolor="black" strokeweight="0">
                        <v:path arrowok="t" o:connecttype="custom" o:connectlocs="121,116;60,0;0,116;60,58;121,116" o:connectangles="0,0,0,0,0"/>
                      </v:shape>
                      <v:shape id="Freeform 104" o:spid="_x0000_s1063" style="position:absolute;left:5795;top:5426;width:119;height:116;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" path="m117,l58,116,,,58,58,117,xe" fillcolor="black" strokeweight="0">
                        <v:path arrowok="t" o:connecttype="custom" o:connectlocs="121,0;60,116;0,0;60,58;121,0" o:connectangles="0,0,0,0,0"/>
                      </v:shape>
                    </v:group>
                    <v:line id="Line 105" o:spid="_x0000_s1064" style="position:absolute;visibility:visible;mso-wrap-style:square" from="12325,5499" to="13633,5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" strokeweight="0"/>
                    <v:line id="Line 106" o:spid="_x0000_s1065" style="position:absolute;visibility:visible;mso-wrap-style:square" from="12470,3051" to="13632,3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" strokeweight="0"/>
                    <v:group id="Group 107" o:spid="_x0000_s1066" style="position:absolute;left:13071;top:2950;width:2162;height:3315" coordorigin="3728,2686" coordsize="425,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rect id="Rectangle 108" o:spid="_x0000_s1067" style="position:absolute;left:3728;top:2686;width:425;height: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" filled="f" stroked="f">
                        <v:textbox inset="0,0,0,0">
                          <w:txbxContent>
                            <w:p w14:paraId="7CB80183" w14:textId="77777777" w:rsidR="00BE2CA7" w:rsidRPr="00585869" w:rsidRDefault="00BE2CA7" w:rsidP="00BE2CA7">
                              <w:pPr>
                                <w:spacing w:line="200" w:lineRule="atLeast"/>
                                <w:jc w:val="center"/>
                                <w:rPr>
                                  <w:sz w:val="16"/>
                                  <w:szCs w:val="16"/>
                                </w:rPr>
                              </w:pPr>
                              <w:r>
                                <w:rPr>
                                  <w:b/>
                                  <w:bCs/>
                                  <w:color w:val="000000"/>
                                  <w:sz w:val="16"/>
                                  <w:szCs w:val="16"/>
                                </w:rPr>
                                <w:t>a</w:t>
                              </w:r>
                              <w:r>
                                <w:rPr>
                                  <w:b/>
                                  <w:bCs/>
                                  <w:color w:val="000000"/>
                                  <w:sz w:val="16"/>
                                  <w:szCs w:val="16"/>
                                </w:rPr>
                                <w:br/>
                              </w:r>
                              <w:r w:rsidRPr="00585869">
                                <w:rPr>
                                  <w:b/>
                                  <w:bCs/>
                                  <w:color w:val="000000"/>
                                  <w:sz w:val="16"/>
                                  <w:szCs w:val="16"/>
                                </w:rPr>
                                <w:t>3</w:t>
                              </w:r>
                            </w:p>
                          </w:txbxContent>
                        </v:textbox>
                      </v:rect>
                      <v:line id="Line 109" o:spid="_x0000_s1068" style="position:absolute;visibility:visible;mso-wrap-style:square" from="3834,2951" to="3996,2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" strokeweight="0"/>
                    </v:group>
                    <v:group id="Group 122" o:spid="_x0000_s1069" style="position:absolute;left:15633;top:6594;width:5289;height:718" coordorigin="3612,831" coordsize="954,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">
                      <v:shape id="AutoShape 123" o:spid="_x0000_s1070" type="#_x0000_t32" style="position:absolute;left:3612;top:831;width:0;height:4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" strokeweight=".25pt"/>
                      <v:shape id="AutoShape 124" o:spid="_x0000_s1071" type="#_x0000_t32" style="position:absolute;left:4566;top:835;width:0;height:4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" strokeweight=".25pt"/>
                      <v:shape id="AutoShape 125" o:spid="_x0000_s1072" type="#_x0000_t32" style="position:absolute;left:3612;top:1243;width:954;height: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" strokeweight=".25pt"/>
                    </v:group>
                    <v:group id="Group 126" o:spid="_x0000_s1073" style="position:absolute;left:23892;top:6657;width:2172;height:692" coordorigin="4254,867" coordsize="877,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">
                      <v:shape id="AutoShape 127" o:spid="_x0000_s1074" type="#_x0000_t32" style="position:absolute;left:4254;top:867;width:0;height:4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" strokeweight=".25pt"/>
                      <v:shape id="AutoShape 128" o:spid="_x0000_s1075" type="#_x0000_t32" style="position:absolute;left:5131;top:867;width:0;height:4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" strokeweight=".25pt"/>
                      <v:shape id="AutoShape 129" o:spid="_x0000_s1076" type="#_x0000_t32" style="position:absolute;left:4257;top:1279;width:87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" strokeweight=".25pt"/>
                    </v:group>
                    <v:group id="Group 130" o:spid="_x0000_s1077" style="position:absolute;left:26589;top:6608;width:5410;height:715" coordorigin="3699,832" coordsize="874,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">
                      <v:shape id="AutoShape 131" o:spid="_x0000_s1078" type="#_x0000_t32" style="position:absolute;left:3703;top:856;width:0;height:4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" strokeweight=".25pt"/>
                      <v:shape id="AutoShape 132" o:spid="_x0000_s1079" type="#_x0000_t32" style="position:absolute;left:4573;top:832;width:0;height:4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" strokeweight=".25pt"/>
                      <v:shape id="AutoShape 133" o:spid="_x0000_s1080" type="#_x0000_t32" style="position:absolute;left:3699;top:1268;width:87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" strokeweight=".25pt"/>
                    </v:group>
                    <v:group id="Group 134" o:spid="_x0000_s1081" style="position:absolute;left:34124;top:2689;width:3762;height:837;flip:y" coordorigin="4387,813" coordsize="122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">
                      <v:shape id="AutoShape 135" o:spid="_x0000_s1082" type="#_x0000_t32" style="position:absolute;left:4387;top:887;width:0;height:4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" strokeweight=".25pt"/>
                      <v:shape id="AutoShape 136" o:spid="_x0000_s1083" type="#_x0000_t32" style="position:absolute;left:5577;top:813;width:0;height:4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" strokeweight=".25pt"/>
                      <v:shape id="AutoShape 137" o:spid="_x0000_s1084" type="#_x0000_t32" style="position:absolute;left:4387;top:1283;width:1221;height: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" strokeweight=".25pt"/>
                    </v:group>
                  </v:group>
                </v:group>
                <v:group id="Group 538" o:spid="_x0000_s1085" style="position:absolute;left:3871;top:6689;width:4392;height:2638" coordorigin="3944,6897" coordsize="4392,2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">
                  <v:shape id="AutoShape 141" o:spid="_x0000_s1086" type="#_x0000_t32" style="position:absolute;left:8336;top:6900;width:0;height:8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">
                    <v:stroke endarrow="block"/>
                  </v:shape>
                  <v:shape id="AutoShape 142" o:spid="_x0000_s1087" type="#_x0000_t32" style="position:absolute;left:5194;top:8567;width:64;height:8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">
                    <v:stroke endarrow="block"/>
                  </v:shape>
                  <v:shape id="AutoShape 143" o:spid="_x0000_s1088" type="#_x0000_t32" style="position:absolute;left:6493;top:8567;width:282;height:96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">
                    <v:stroke endarrow="block"/>
                  </v:shape>
                  <v:shape id="AutoShape 144" o:spid="_x0000_s1089" type="#_x0000_t32" style="position:absolute;left:7046;top:8564;width:394;height:42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">
                    <v:stroke endarrow="block"/>
                  </v:shape>
                  <v:shape id="AutoShape 139" o:spid="_x0000_s1090" type="#_x0000_t32" style="position:absolute;left:3944;top:6897;width:106;height:8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">
                    <v:stroke endarrow="block"/>
                  </v:shape>
                </v:group>
                <w10:anchorlock/>
              </v:group>
            </w:pict>
          </mc:Fallback>
        </mc:AlternateContent>
      </w:r>
    </w:p>
    <w:p w14:paraId="17D61E3B" w14:textId="77777777" w:rsidR="00BE2CA7" w:rsidRDefault="00BE2CA7" w:rsidP="00BE2CA7">
      <w:pPr>
        <w:pStyle w:val="SingleTxtG"/>
        <w:ind w:firstLine="567"/>
        <w:rPr>
          <w:lang w:val="fr-FR"/>
        </w:rPr>
      </w:pPr>
      <w:r>
        <w:rPr>
          <w:lang w:val="fr-FR"/>
        </w:rPr>
        <w:t>a = 8 mm (minimum)</w:t>
      </w:r>
    </w:p>
    <w:p w14:paraId="0C52825F" w14:textId="77777777" w:rsidR="00BE2CA7" w:rsidRPr="00440C76" w:rsidRDefault="00BE2CA7" w:rsidP="00BE2CA7">
      <w:pPr>
        <w:pStyle w:val="SingleTxtG"/>
        <w:spacing w:before="240"/>
        <w:ind w:firstLine="567"/>
        <w:rPr>
          <w:lang w:val="fr-FR"/>
        </w:rPr>
      </w:pPr>
      <w:r w:rsidRPr="00440C76">
        <w:rPr>
          <w:lang w:val="fr-FR"/>
        </w:rPr>
        <w:t>Les schémas qui suivent illustrent le mode de composition de la marque d</w:t>
      </w:r>
      <w:r>
        <w:rPr>
          <w:lang w:val="fr-FR"/>
        </w:rPr>
        <w:t>’</w:t>
      </w:r>
      <w:r w:rsidRPr="00440C76">
        <w:rPr>
          <w:lang w:val="fr-FR"/>
        </w:rPr>
        <w:t>homologation.</w:t>
      </w:r>
    </w:p>
    <w:p w14:paraId="54602E2F" w14:textId="77777777" w:rsidR="00BE2CA7" w:rsidRPr="00440C76" w:rsidRDefault="00BE2CA7" w:rsidP="00BE2CA7">
      <w:pPr>
        <w:pStyle w:val="SingleTxtG"/>
        <w:rPr>
          <w:lang w:val="fr-FR"/>
        </w:rPr>
      </w:pPr>
      <w:r w:rsidRPr="00440C76">
        <w:rPr>
          <w:lang w:val="fr-FR"/>
        </w:rPr>
        <w:t>Exemple</w:t>
      </w:r>
      <w:r>
        <w:rPr>
          <w:lang w:val="fr-FR"/>
        </w:rPr>
        <w:t> </w:t>
      </w:r>
      <w:r w:rsidRPr="00440C76">
        <w:rPr>
          <w:lang w:val="fr-FR"/>
        </w:rPr>
        <w:t>1</w:t>
      </w:r>
    </w:p>
    <w:p w14:paraId="08D89958" w14:textId="77777777" w:rsidR="00BE2CA7" w:rsidRPr="00440C76" w:rsidRDefault="00BE2CA7" w:rsidP="00BE2CA7">
      <w:pPr>
        <w:pStyle w:val="SingleTxtG"/>
        <w:spacing w:after="240"/>
        <w:rPr>
          <w:lang w:val="fr-FR"/>
        </w:rPr>
      </w:pPr>
      <w:r w:rsidRPr="00440C76">
        <w:rPr>
          <w:noProof/>
          <w:lang w:val="fr-FR"/>
        </w:rPr>
        <w:drawing>
          <wp:inline distT="0" distB="0" distL="0" distR="0" wp14:anchorId="76291774" wp14:editId="2175AE82">
            <wp:extent cx="4680000" cy="989583"/>
            <wp:effectExtent l="0" t="0" r="0" b="1270"/>
            <wp:docPr id="165287912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80000" cy="989583"/>
                    </a:xfrm>
                    <a:prstGeom prst="rect">
                      <a:avLst/>
                    </a:prstGeom>
                    <a:noFill/>
                  </pic:spPr>
                </pic:pic>
              </a:graphicData>
            </a:graphic>
          </wp:inline>
        </w:drawing>
      </w:r>
    </w:p>
    <w:p w14:paraId="787F7764" w14:textId="77777777" w:rsidR="00BE2CA7" w:rsidRPr="00440C76" w:rsidRDefault="00BE2CA7" w:rsidP="00BE2CA7">
      <w:pPr>
        <w:pStyle w:val="SingleTxtG"/>
        <w:spacing w:before="120"/>
        <w:ind w:firstLine="567"/>
        <w:rPr>
          <w:rFonts w:eastAsia="Times New Roman"/>
          <w:bCs/>
          <w:lang w:val="fr-FR"/>
        </w:rPr>
      </w:pPr>
      <w:r w:rsidRPr="00440C76">
        <w:rPr>
          <w:lang w:val="fr-FR"/>
        </w:rPr>
        <w:t>La marque d</w:t>
      </w:r>
      <w:r>
        <w:rPr>
          <w:lang w:val="fr-FR"/>
        </w:rPr>
        <w:t>’</w:t>
      </w:r>
      <w:r w:rsidRPr="00440C76">
        <w:rPr>
          <w:lang w:val="fr-FR"/>
        </w:rPr>
        <w:t>homologation ci-dessus, apposée sur un véhicule conforme au paragraphe</w:t>
      </w:r>
      <w:r>
        <w:rPr>
          <w:lang w:val="fr-FR"/>
        </w:rPr>
        <w:t> </w:t>
      </w:r>
      <w:r w:rsidRPr="00440C76">
        <w:rPr>
          <w:lang w:val="fr-FR"/>
        </w:rPr>
        <w:t>4 du présent Règlement, indique que ce type de véhicule a été homologué au Royaume-Uni (E 11) conformément au Règlement ONU n</w:t>
      </w:r>
      <w:r w:rsidRPr="00440C76">
        <w:rPr>
          <w:vertAlign w:val="superscript"/>
          <w:lang w:val="fr-FR"/>
        </w:rPr>
        <w:t>o</w:t>
      </w:r>
      <w:r w:rsidRPr="00440C76">
        <w:rPr>
          <w:lang w:val="fr-FR"/>
        </w:rPr>
        <w:t> 83, sous le numéro d</w:t>
      </w:r>
      <w:r>
        <w:rPr>
          <w:lang w:val="fr-FR"/>
        </w:rPr>
        <w:t>’</w:t>
      </w:r>
      <w:r w:rsidRPr="00440C76">
        <w:rPr>
          <w:lang w:val="fr-FR"/>
        </w:rPr>
        <w:t>homologation</w:t>
      </w:r>
      <w:r>
        <w:rPr>
          <w:lang w:val="fr-FR"/>
        </w:rPr>
        <w:t> </w:t>
      </w:r>
      <w:r w:rsidRPr="00440C76">
        <w:rPr>
          <w:lang w:val="fr-FR"/>
        </w:rPr>
        <w:t>2439, tel que défini à la section</w:t>
      </w:r>
      <w:r>
        <w:rPr>
          <w:lang w:val="fr-FR"/>
        </w:rPr>
        <w:t> </w:t>
      </w:r>
      <w:r w:rsidRPr="00440C76">
        <w:rPr>
          <w:lang w:val="fr-FR"/>
        </w:rPr>
        <w:t>3 du paragraphe</w:t>
      </w:r>
      <w:r>
        <w:rPr>
          <w:lang w:val="fr-FR"/>
        </w:rPr>
        <w:t> </w:t>
      </w:r>
      <w:r w:rsidRPr="00440C76">
        <w:rPr>
          <w:lang w:val="fr-FR"/>
        </w:rPr>
        <w:t>4.2.1 du présent Règlement. Elle indique que l</w:t>
      </w:r>
      <w:r>
        <w:rPr>
          <w:lang w:val="fr-FR"/>
        </w:rPr>
        <w:t>’</w:t>
      </w:r>
      <w:r w:rsidRPr="00440C76">
        <w:rPr>
          <w:lang w:val="fr-FR"/>
        </w:rPr>
        <w:t>homologation a été accordée conformément aux prescriptions du présent Règlement, y compris la série</w:t>
      </w:r>
      <w:r>
        <w:rPr>
          <w:lang w:val="fr-FR"/>
        </w:rPr>
        <w:t> </w:t>
      </w:r>
      <w:r w:rsidRPr="00440C76">
        <w:rPr>
          <w:lang w:val="fr-FR"/>
        </w:rPr>
        <w:t>08 d</w:t>
      </w:r>
      <w:r>
        <w:rPr>
          <w:lang w:val="fr-FR"/>
        </w:rPr>
        <w:t>’</w:t>
      </w:r>
      <w:r w:rsidRPr="00440C76">
        <w:rPr>
          <w:lang w:val="fr-FR"/>
        </w:rPr>
        <w:t>amendements. Les lettres EA indiquent en outre que le véhicule satisfait à la norme d</w:t>
      </w:r>
      <w:r>
        <w:rPr>
          <w:lang w:val="fr-FR"/>
        </w:rPr>
        <w:t>’</w:t>
      </w:r>
      <w:r w:rsidRPr="00440C76">
        <w:rPr>
          <w:lang w:val="fr-FR"/>
        </w:rPr>
        <w:t>émission Euro 6e.</w:t>
      </w:r>
    </w:p>
    <w:p w14:paraId="4D1440E5" w14:textId="77777777" w:rsidR="00BE2CA7" w:rsidRPr="00440C76" w:rsidRDefault="00BE2CA7" w:rsidP="00BE2CA7">
      <w:pPr>
        <w:pStyle w:val="SingleTxtG"/>
        <w:keepNext/>
        <w:rPr>
          <w:lang w:val="fr-FR"/>
        </w:rPr>
      </w:pPr>
      <w:r w:rsidRPr="00440C76">
        <w:rPr>
          <w:lang w:val="fr-FR"/>
        </w:rPr>
        <w:lastRenderedPageBreak/>
        <w:t>Exemple</w:t>
      </w:r>
      <w:r>
        <w:rPr>
          <w:lang w:val="fr-FR"/>
        </w:rPr>
        <w:t> </w:t>
      </w:r>
      <w:r w:rsidRPr="00440C76">
        <w:rPr>
          <w:lang w:val="fr-FR"/>
        </w:rPr>
        <w:t>2</w:t>
      </w:r>
    </w:p>
    <w:p w14:paraId="1D0A7DEA" w14:textId="77777777" w:rsidR="00BE2CA7" w:rsidRPr="00440C76" w:rsidRDefault="00BE2CA7" w:rsidP="00BE2CA7">
      <w:pPr>
        <w:pStyle w:val="SingleTxtG"/>
        <w:jc w:val="center"/>
        <w:rPr>
          <w:lang w:val="fr-FR"/>
        </w:rPr>
      </w:pPr>
      <w:r w:rsidRPr="00440C76">
        <w:rPr>
          <w:noProof/>
          <w:lang w:val="fr-FR" w:eastAsia="en-GB"/>
        </w:rPr>
        <w:drawing>
          <wp:inline distT="0" distB="0" distL="0" distR="0" wp14:anchorId="3AB48453" wp14:editId="702E883C">
            <wp:extent cx="3594100" cy="1631950"/>
            <wp:effectExtent l="0" t="0" r="0" b="0"/>
            <wp:docPr id="2102234996" name="Image 3" descr="Une image contenant texte, Police, blanc, symbo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2234996" name="Image 3" descr="Une image contenant texte, Police, blanc, symbole&#10;&#10;Description générée automatiquemen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94100" cy="1631950"/>
                    </a:xfrm>
                    <a:prstGeom prst="rect">
                      <a:avLst/>
                    </a:prstGeom>
                    <a:noFill/>
                    <a:ln>
                      <a:noFill/>
                    </a:ln>
                  </pic:spPr>
                </pic:pic>
              </a:graphicData>
            </a:graphic>
          </wp:inline>
        </w:drawing>
      </w:r>
    </w:p>
    <w:p w14:paraId="368D42FD" w14:textId="77777777" w:rsidR="00BE2CA7" w:rsidRPr="00440C76" w:rsidRDefault="00BE2CA7" w:rsidP="00BE2CA7">
      <w:pPr>
        <w:pStyle w:val="SingleTxtG"/>
        <w:ind w:firstLine="567"/>
        <w:rPr>
          <w:lang w:val="fr-FR"/>
        </w:rPr>
      </w:pPr>
      <w:r w:rsidRPr="00440C76">
        <w:rPr>
          <w:lang w:val="fr-FR"/>
        </w:rPr>
        <w:t>La marque d</w:t>
      </w:r>
      <w:r>
        <w:rPr>
          <w:lang w:val="fr-FR"/>
        </w:rPr>
        <w:t>’</w:t>
      </w:r>
      <w:r w:rsidRPr="00440C76">
        <w:rPr>
          <w:lang w:val="fr-FR"/>
        </w:rPr>
        <w:t>homologation ci-dessus, apposée sur un véhicule conformément au paragraphe</w:t>
      </w:r>
      <w:r>
        <w:rPr>
          <w:lang w:val="fr-FR"/>
        </w:rPr>
        <w:t> </w:t>
      </w:r>
      <w:r w:rsidRPr="00440C76">
        <w:rPr>
          <w:lang w:val="fr-FR"/>
        </w:rPr>
        <w:t>4 du présent Règlement, indique que ce type de véhicule a été homologué aux Pays-Bas (E</w:t>
      </w:r>
      <w:r>
        <w:rPr>
          <w:lang w:val="fr-FR"/>
        </w:rPr>
        <w:t> </w:t>
      </w:r>
      <w:r w:rsidRPr="00440C76">
        <w:rPr>
          <w:lang w:val="fr-FR"/>
        </w:rPr>
        <w:t>4), en application :</w:t>
      </w:r>
    </w:p>
    <w:p w14:paraId="644FBA9A" w14:textId="77777777" w:rsidR="00BE2CA7" w:rsidRPr="00440C76" w:rsidRDefault="00BE2CA7" w:rsidP="00BE2CA7">
      <w:pPr>
        <w:pStyle w:val="SingleTxtG"/>
        <w:ind w:firstLine="567"/>
        <w:rPr>
          <w:lang w:val="fr-FR"/>
        </w:rPr>
      </w:pPr>
      <w:r w:rsidRPr="00440C76">
        <w:rPr>
          <w:lang w:val="fr-FR"/>
        </w:rPr>
        <w:t>a)</w:t>
      </w:r>
      <w:r w:rsidRPr="00440C76">
        <w:rPr>
          <w:lang w:val="fr-FR"/>
        </w:rPr>
        <w:tab/>
        <w:t>Du présent Règlement, sous le numéro d</w:t>
      </w:r>
      <w:r>
        <w:rPr>
          <w:lang w:val="fr-FR"/>
        </w:rPr>
        <w:t>’</w:t>
      </w:r>
      <w:r w:rsidRPr="00440C76">
        <w:rPr>
          <w:lang w:val="fr-FR"/>
        </w:rPr>
        <w:t>homologation</w:t>
      </w:r>
      <w:r>
        <w:rPr>
          <w:lang w:val="fr-FR"/>
        </w:rPr>
        <w:t> </w:t>
      </w:r>
      <w:r w:rsidRPr="00440C76">
        <w:rPr>
          <w:lang w:val="fr-FR"/>
        </w:rPr>
        <w:t>0925 tel que défini à la section 3 du paragraphe</w:t>
      </w:r>
      <w:r>
        <w:rPr>
          <w:lang w:val="fr-FR"/>
        </w:rPr>
        <w:t> </w:t>
      </w:r>
      <w:r w:rsidRPr="00440C76">
        <w:rPr>
          <w:lang w:val="fr-FR"/>
        </w:rPr>
        <w:t>4.2.1 dudit Règlement. Cette marque indique que l</w:t>
      </w:r>
      <w:r>
        <w:rPr>
          <w:lang w:val="fr-FR"/>
        </w:rPr>
        <w:t>’</w:t>
      </w:r>
      <w:r w:rsidRPr="00440C76">
        <w:rPr>
          <w:lang w:val="fr-FR"/>
        </w:rPr>
        <w:t>homologation a été accordée conformément aux prescriptions du Règlement, y compris la série</w:t>
      </w:r>
      <w:r>
        <w:rPr>
          <w:lang w:val="fr-FR"/>
        </w:rPr>
        <w:t> </w:t>
      </w:r>
      <w:r w:rsidRPr="00440C76">
        <w:rPr>
          <w:lang w:val="fr-FR"/>
        </w:rPr>
        <w:t>08 d</w:t>
      </w:r>
      <w:r>
        <w:rPr>
          <w:lang w:val="fr-FR"/>
        </w:rPr>
        <w:t>’</w:t>
      </w:r>
      <w:r w:rsidRPr="00440C76">
        <w:rPr>
          <w:lang w:val="fr-FR"/>
        </w:rPr>
        <w:t>amendements. Les lettres EA indiquent en outre que le véhicule est conforme à la norme d</w:t>
      </w:r>
      <w:r>
        <w:rPr>
          <w:lang w:val="fr-FR"/>
        </w:rPr>
        <w:t>’</w:t>
      </w:r>
      <w:r w:rsidRPr="00440C76">
        <w:rPr>
          <w:lang w:val="fr-FR"/>
        </w:rPr>
        <w:t>émission Euro 6e ;</w:t>
      </w:r>
    </w:p>
    <w:p w14:paraId="61B685DA" w14:textId="77777777" w:rsidR="00BE2CA7" w:rsidRPr="00440C76" w:rsidRDefault="00BE2CA7" w:rsidP="00BE2CA7">
      <w:pPr>
        <w:pStyle w:val="SingleTxtG"/>
        <w:ind w:firstLine="567"/>
        <w:rPr>
          <w:bCs/>
          <w:lang w:val="fr-FR"/>
        </w:rPr>
      </w:pPr>
      <w:r w:rsidRPr="00440C76">
        <w:rPr>
          <w:bCs/>
          <w:lang w:val="fr-FR"/>
        </w:rPr>
        <w:t>b)</w:t>
      </w:r>
      <w:r w:rsidRPr="00440C76">
        <w:rPr>
          <w:bCs/>
          <w:lang w:val="fr-FR"/>
        </w:rPr>
        <w:tab/>
        <w:t xml:space="preserve">Du Règlement ONU </w:t>
      </w:r>
      <w:r w:rsidRPr="00440C76">
        <w:rPr>
          <w:lang w:val="fr-FR"/>
        </w:rPr>
        <w:t>n</w:t>
      </w:r>
      <w:r w:rsidRPr="00440C76">
        <w:rPr>
          <w:vertAlign w:val="superscript"/>
          <w:lang w:val="fr-FR"/>
        </w:rPr>
        <w:t>o</w:t>
      </w:r>
      <w:r w:rsidRPr="00440C76">
        <w:rPr>
          <w:lang w:val="fr-FR"/>
        </w:rPr>
        <w:t> </w:t>
      </w:r>
      <w:r w:rsidRPr="00440C76">
        <w:rPr>
          <w:bCs/>
          <w:lang w:val="fr-FR"/>
        </w:rPr>
        <w:t>85, sous le numéro d</w:t>
      </w:r>
      <w:r>
        <w:rPr>
          <w:bCs/>
          <w:lang w:val="fr-FR"/>
        </w:rPr>
        <w:t>’</w:t>
      </w:r>
      <w:r w:rsidRPr="00440C76">
        <w:rPr>
          <w:bCs/>
          <w:lang w:val="fr-FR"/>
        </w:rPr>
        <w:t>homologation</w:t>
      </w:r>
      <w:r>
        <w:rPr>
          <w:bCs/>
          <w:lang w:val="fr-FR"/>
        </w:rPr>
        <w:t> </w:t>
      </w:r>
      <w:r w:rsidRPr="00440C76">
        <w:rPr>
          <w:bCs/>
          <w:lang w:val="fr-FR"/>
        </w:rPr>
        <w:t xml:space="preserve">0818. Cette marque </w:t>
      </w:r>
      <w:r w:rsidRPr="00440C76">
        <w:rPr>
          <w:lang w:val="fr-FR"/>
        </w:rPr>
        <w:t>indique</w:t>
      </w:r>
      <w:r w:rsidRPr="00440C76">
        <w:rPr>
          <w:bCs/>
          <w:lang w:val="fr-FR"/>
        </w:rPr>
        <w:t xml:space="preserve"> que l</w:t>
      </w:r>
      <w:r>
        <w:rPr>
          <w:bCs/>
          <w:lang w:val="fr-FR"/>
        </w:rPr>
        <w:t>’</w:t>
      </w:r>
      <w:r w:rsidRPr="00440C76">
        <w:rPr>
          <w:bCs/>
          <w:lang w:val="fr-FR"/>
        </w:rPr>
        <w:t>homologation a été accordée conformément aux prescriptions du Règlement dans sa version originale ;</w:t>
      </w:r>
    </w:p>
    <w:p w14:paraId="3239E938" w14:textId="77777777" w:rsidR="00BE2CA7" w:rsidRPr="00440C76" w:rsidRDefault="00BE2CA7" w:rsidP="00BE2CA7">
      <w:pPr>
        <w:pStyle w:val="SingleTxtG"/>
        <w:ind w:firstLine="567"/>
        <w:rPr>
          <w:bCs/>
          <w:lang w:val="fr-FR"/>
        </w:rPr>
      </w:pPr>
      <w:r w:rsidRPr="00440C76">
        <w:rPr>
          <w:bCs/>
          <w:lang w:val="fr-FR"/>
        </w:rPr>
        <w:t>c)</w:t>
      </w:r>
      <w:r w:rsidRPr="00440C76">
        <w:rPr>
          <w:bCs/>
          <w:lang w:val="fr-FR"/>
        </w:rPr>
        <w:tab/>
      </w:r>
      <w:r w:rsidRPr="00440C76">
        <w:rPr>
          <w:lang w:val="fr-FR"/>
        </w:rPr>
        <w:t>Du Règlement ONU</w:t>
      </w:r>
      <w:r w:rsidRPr="00440C76">
        <w:rPr>
          <w:bCs/>
          <w:lang w:val="fr-FR"/>
        </w:rPr>
        <w:t xml:space="preserve"> </w:t>
      </w:r>
      <w:r w:rsidRPr="00440C76">
        <w:rPr>
          <w:lang w:val="fr-FR"/>
        </w:rPr>
        <w:t>n</w:t>
      </w:r>
      <w:r w:rsidRPr="00440C76">
        <w:rPr>
          <w:vertAlign w:val="superscript"/>
          <w:lang w:val="fr-FR"/>
        </w:rPr>
        <w:t>o</w:t>
      </w:r>
      <w:r w:rsidRPr="00440C76">
        <w:rPr>
          <w:lang w:val="fr-FR"/>
        </w:rPr>
        <w:t> </w:t>
      </w:r>
      <w:r w:rsidRPr="00440C76">
        <w:rPr>
          <w:bCs/>
          <w:lang w:val="fr-FR"/>
        </w:rPr>
        <w:t>154, sous le numéro d</w:t>
      </w:r>
      <w:r>
        <w:rPr>
          <w:bCs/>
          <w:lang w:val="fr-FR"/>
        </w:rPr>
        <w:t>’</w:t>
      </w:r>
      <w:r w:rsidRPr="00440C76">
        <w:rPr>
          <w:bCs/>
          <w:lang w:val="fr-FR"/>
        </w:rPr>
        <w:t>homologation</w:t>
      </w:r>
      <w:r>
        <w:rPr>
          <w:bCs/>
          <w:lang w:val="fr-FR"/>
        </w:rPr>
        <w:t> </w:t>
      </w:r>
      <w:r w:rsidRPr="00440C76">
        <w:rPr>
          <w:bCs/>
          <w:lang w:val="fr-FR"/>
        </w:rPr>
        <w:t xml:space="preserve">0807. Cette marque </w:t>
      </w:r>
      <w:r w:rsidRPr="00440C76">
        <w:rPr>
          <w:lang w:val="fr-FR"/>
        </w:rPr>
        <w:t>indique</w:t>
      </w:r>
      <w:r w:rsidRPr="00440C76">
        <w:rPr>
          <w:bCs/>
          <w:lang w:val="fr-FR"/>
        </w:rPr>
        <w:t xml:space="preserve"> que l</w:t>
      </w:r>
      <w:r>
        <w:rPr>
          <w:bCs/>
          <w:lang w:val="fr-FR"/>
        </w:rPr>
        <w:t>’</w:t>
      </w:r>
      <w:r w:rsidRPr="00440C76">
        <w:rPr>
          <w:bCs/>
          <w:lang w:val="fr-FR"/>
        </w:rPr>
        <w:t xml:space="preserve">homologation a </w:t>
      </w:r>
      <w:r w:rsidRPr="00440C76">
        <w:rPr>
          <w:lang w:val="fr-FR"/>
        </w:rPr>
        <w:t>été accordée conformément aux prescriptions du présent Règlement tel que modifié par la série</w:t>
      </w:r>
      <w:r>
        <w:rPr>
          <w:lang w:val="fr-FR"/>
        </w:rPr>
        <w:t> </w:t>
      </w:r>
      <w:r w:rsidRPr="00440C76">
        <w:rPr>
          <w:lang w:val="fr-FR"/>
        </w:rPr>
        <w:t>02 d</w:t>
      </w:r>
      <w:r>
        <w:rPr>
          <w:lang w:val="fr-FR"/>
        </w:rPr>
        <w:t>’</w:t>
      </w:r>
      <w:r w:rsidRPr="00440C76">
        <w:rPr>
          <w:lang w:val="fr-FR"/>
        </w:rPr>
        <w:t>amendements</w:t>
      </w:r>
      <w:r w:rsidRPr="00440C76">
        <w:rPr>
          <w:bCs/>
          <w:lang w:val="fr-FR"/>
        </w:rPr>
        <w:t>. Le code</w:t>
      </w:r>
      <w:r>
        <w:rPr>
          <w:bCs/>
          <w:lang w:val="fr-FR"/>
        </w:rPr>
        <w:t> </w:t>
      </w:r>
      <w:r w:rsidRPr="00440C76">
        <w:rPr>
          <w:bCs/>
          <w:lang w:val="fr-FR"/>
        </w:rPr>
        <w:t>1A indique en outre que le véhicule est homologué au niveau</w:t>
      </w:r>
      <w:r>
        <w:rPr>
          <w:bCs/>
          <w:lang w:val="fr-FR"/>
        </w:rPr>
        <w:t> </w:t>
      </w:r>
      <w:r w:rsidRPr="00440C76">
        <w:rPr>
          <w:bCs/>
          <w:lang w:val="fr-FR"/>
        </w:rPr>
        <w:t>1A (Europe) ;</w:t>
      </w:r>
    </w:p>
    <w:p w14:paraId="72B4C7D5" w14:textId="77777777" w:rsidR="00BE2CA7" w:rsidRPr="00440C76" w:rsidRDefault="00BE2CA7" w:rsidP="00BE2CA7">
      <w:pPr>
        <w:pStyle w:val="SingleTxtG"/>
        <w:ind w:firstLine="567"/>
        <w:rPr>
          <w:lang w:val="fr-FR"/>
        </w:rPr>
      </w:pPr>
      <w:r w:rsidRPr="00440C76">
        <w:rPr>
          <w:lang w:val="fr-FR"/>
        </w:rPr>
        <w:t>d)</w:t>
      </w:r>
      <w:r w:rsidRPr="00440C76">
        <w:rPr>
          <w:lang w:val="fr-FR"/>
        </w:rPr>
        <w:tab/>
        <w:t>Du Règlement ONU n</w:t>
      </w:r>
      <w:r w:rsidRPr="00440C76">
        <w:rPr>
          <w:vertAlign w:val="superscript"/>
          <w:lang w:val="fr-FR"/>
        </w:rPr>
        <w:t>o</w:t>
      </w:r>
      <w:r w:rsidRPr="00440C76">
        <w:rPr>
          <w:lang w:val="fr-FR"/>
        </w:rPr>
        <w:t> [xxx*] sur les émissions en conditions réelles de conduite, sous le numéro d</w:t>
      </w:r>
      <w:r>
        <w:rPr>
          <w:lang w:val="fr-FR"/>
        </w:rPr>
        <w:t>’</w:t>
      </w:r>
      <w:r w:rsidRPr="00440C76">
        <w:rPr>
          <w:lang w:val="fr-FR"/>
        </w:rPr>
        <w:t>homologation</w:t>
      </w:r>
      <w:r>
        <w:rPr>
          <w:lang w:val="fr-FR"/>
        </w:rPr>
        <w:t> </w:t>
      </w:r>
      <w:r w:rsidRPr="00440C76">
        <w:rPr>
          <w:lang w:val="fr-FR"/>
        </w:rPr>
        <w:t>1102. Cette marque indique que l</w:t>
      </w:r>
      <w:r>
        <w:rPr>
          <w:lang w:val="fr-FR"/>
        </w:rPr>
        <w:t>’</w:t>
      </w:r>
      <w:r w:rsidRPr="00440C76">
        <w:rPr>
          <w:lang w:val="fr-FR"/>
        </w:rPr>
        <w:t>homologation a été accordée conformément aux prescriptions du Règlement dans sa version originale.</w:t>
      </w:r>
    </w:p>
    <w:p w14:paraId="1C6322F4" w14:textId="77777777" w:rsidR="00BE2CA7" w:rsidRPr="00440C76" w:rsidRDefault="00BE2CA7" w:rsidP="00BE2CA7">
      <w:pPr>
        <w:pStyle w:val="SingleTxtG"/>
        <w:spacing w:after="240"/>
        <w:rPr>
          <w:lang w:val="fr-FR"/>
        </w:rPr>
      </w:pPr>
      <w:r w:rsidRPr="00440C76">
        <w:rPr>
          <w:lang w:val="fr-FR"/>
        </w:rPr>
        <w:t>*</w:t>
      </w:r>
      <w:r w:rsidRPr="00440C76">
        <w:rPr>
          <w:sz w:val="18"/>
          <w:szCs w:val="18"/>
          <w:lang w:val="fr-FR"/>
        </w:rPr>
        <w:t xml:space="preserve"> </w:t>
      </w:r>
      <w:r>
        <w:rPr>
          <w:sz w:val="18"/>
          <w:szCs w:val="18"/>
          <w:lang w:val="fr-FR"/>
        </w:rPr>
        <w:t xml:space="preserve"> </w:t>
      </w:r>
      <w:r w:rsidRPr="00440C76">
        <w:rPr>
          <w:sz w:val="18"/>
          <w:szCs w:val="18"/>
          <w:lang w:val="fr-FR"/>
        </w:rPr>
        <w:t>Numéro à attribuer</w:t>
      </w:r>
    </w:p>
    <w:p w14:paraId="2240A5C3" w14:textId="77777777" w:rsidR="00BE2CA7" w:rsidRPr="00440C76" w:rsidRDefault="00BE2CA7" w:rsidP="00BE2CA7">
      <w:pPr>
        <w:pStyle w:val="Titre1"/>
        <w:spacing w:after="120"/>
        <w:rPr>
          <w:b/>
          <w:bCs/>
          <w:lang w:val="fr-FR"/>
        </w:rPr>
      </w:pPr>
      <w:r w:rsidRPr="00440C76">
        <w:rPr>
          <w:lang w:val="fr-FR"/>
        </w:rPr>
        <w:t>Tableau</w:t>
      </w:r>
      <w:r>
        <w:rPr>
          <w:lang w:val="fr-FR"/>
        </w:rPr>
        <w:t> </w:t>
      </w:r>
      <w:r w:rsidRPr="00440C76">
        <w:rPr>
          <w:lang w:val="fr-FR"/>
        </w:rPr>
        <w:t>A3/1</w:t>
      </w:r>
      <w:r>
        <w:rPr>
          <w:lang w:val="fr-FR"/>
        </w:rPr>
        <w:br/>
      </w:r>
      <w:r w:rsidRPr="00440C76">
        <w:rPr>
          <w:b/>
          <w:bCs/>
          <w:lang w:val="fr-FR"/>
        </w:rPr>
        <w:t>Lettres renvoyant à la norme d</w:t>
      </w:r>
      <w:r>
        <w:rPr>
          <w:b/>
          <w:bCs/>
          <w:lang w:val="fr-FR"/>
        </w:rPr>
        <w:t>’</w:t>
      </w:r>
      <w:r w:rsidRPr="00440C76">
        <w:rPr>
          <w:b/>
          <w:bCs/>
          <w:lang w:val="fr-FR"/>
        </w:rPr>
        <w:t>émission, à la catégorie de véhicule et au type de moteur</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4"/>
        <w:gridCol w:w="2126"/>
        <w:gridCol w:w="1699"/>
        <w:gridCol w:w="1699"/>
        <w:gridCol w:w="2276"/>
      </w:tblGrid>
      <w:tr w:rsidR="00BE2CA7" w:rsidRPr="00440C76" w14:paraId="79023CB5" w14:textId="77777777" w:rsidTr="002B0590">
        <w:trPr>
          <w:tblHeader/>
        </w:trPr>
        <w:tc>
          <w:tcPr>
            <w:tcW w:w="704" w:type="dxa"/>
            <w:shd w:val="clear" w:color="auto" w:fill="auto"/>
            <w:vAlign w:val="bottom"/>
          </w:tcPr>
          <w:p w14:paraId="2523E962" w14:textId="77777777" w:rsidR="00BE2CA7" w:rsidRPr="00440C76" w:rsidRDefault="00BE2CA7" w:rsidP="002B0590">
            <w:pPr>
              <w:spacing w:before="80" w:after="80" w:line="200" w:lineRule="exact"/>
              <w:ind w:left="57" w:right="57"/>
              <w:rPr>
                <w:i/>
                <w:sz w:val="16"/>
                <w:lang w:val="fr-FR"/>
              </w:rPr>
            </w:pPr>
            <w:r w:rsidRPr="00440C76">
              <w:rPr>
                <w:i/>
                <w:sz w:val="16"/>
                <w:lang w:val="fr-FR"/>
              </w:rPr>
              <w:t>Lettre</w:t>
            </w:r>
          </w:p>
        </w:tc>
        <w:tc>
          <w:tcPr>
            <w:tcW w:w="2126" w:type="dxa"/>
            <w:shd w:val="clear" w:color="auto" w:fill="auto"/>
            <w:vAlign w:val="bottom"/>
          </w:tcPr>
          <w:p w14:paraId="6DBD0946" w14:textId="77777777" w:rsidR="00BE2CA7" w:rsidRPr="00440C76" w:rsidRDefault="00BE2CA7" w:rsidP="002B0590">
            <w:pPr>
              <w:spacing w:before="80" w:after="80" w:line="200" w:lineRule="exact"/>
              <w:ind w:left="57" w:right="57"/>
              <w:rPr>
                <w:i/>
                <w:sz w:val="16"/>
                <w:lang w:val="fr-FR"/>
              </w:rPr>
            </w:pPr>
            <w:r w:rsidRPr="00440C76">
              <w:rPr>
                <w:i/>
                <w:sz w:val="16"/>
                <w:lang w:val="fr-FR"/>
              </w:rPr>
              <w:t>Norme d</w:t>
            </w:r>
            <w:r>
              <w:rPr>
                <w:i/>
                <w:sz w:val="16"/>
                <w:lang w:val="fr-FR"/>
              </w:rPr>
              <w:t>’</w:t>
            </w:r>
            <w:r w:rsidRPr="00440C76">
              <w:rPr>
                <w:i/>
                <w:sz w:val="16"/>
                <w:lang w:val="fr-FR"/>
              </w:rPr>
              <w:t>émission</w:t>
            </w:r>
          </w:p>
        </w:tc>
        <w:tc>
          <w:tcPr>
            <w:tcW w:w="1699" w:type="dxa"/>
            <w:shd w:val="clear" w:color="auto" w:fill="auto"/>
            <w:vAlign w:val="bottom"/>
          </w:tcPr>
          <w:p w14:paraId="0819B6DF" w14:textId="77777777" w:rsidR="00BE2CA7" w:rsidRPr="00440C76" w:rsidRDefault="00BE2CA7" w:rsidP="002B0590">
            <w:pPr>
              <w:spacing w:before="80" w:after="80" w:line="200" w:lineRule="exact"/>
              <w:ind w:left="57" w:right="57"/>
              <w:rPr>
                <w:i/>
                <w:sz w:val="16"/>
                <w:lang w:val="fr-FR"/>
              </w:rPr>
            </w:pPr>
            <w:r w:rsidRPr="00440C76">
              <w:rPr>
                <w:i/>
                <w:sz w:val="16"/>
                <w:lang w:val="fr-FR"/>
              </w:rPr>
              <w:t>Catégorie de véhicule</w:t>
            </w:r>
          </w:p>
        </w:tc>
        <w:tc>
          <w:tcPr>
            <w:tcW w:w="1699" w:type="dxa"/>
            <w:shd w:val="clear" w:color="auto" w:fill="auto"/>
            <w:vAlign w:val="bottom"/>
          </w:tcPr>
          <w:p w14:paraId="5D8946FA" w14:textId="77777777" w:rsidR="00BE2CA7" w:rsidRPr="00440C76" w:rsidRDefault="00BE2CA7" w:rsidP="002B0590">
            <w:pPr>
              <w:spacing w:before="80" w:after="80" w:line="200" w:lineRule="exact"/>
              <w:ind w:left="57" w:right="57"/>
              <w:rPr>
                <w:i/>
                <w:sz w:val="16"/>
                <w:lang w:val="fr-FR"/>
              </w:rPr>
            </w:pPr>
            <w:r w:rsidRPr="00440C76">
              <w:rPr>
                <w:i/>
                <w:sz w:val="16"/>
                <w:lang w:val="fr-FR"/>
              </w:rPr>
              <w:t>Type de moteur</w:t>
            </w:r>
          </w:p>
        </w:tc>
        <w:tc>
          <w:tcPr>
            <w:tcW w:w="2276" w:type="dxa"/>
            <w:shd w:val="clear" w:color="auto" w:fill="auto"/>
            <w:vAlign w:val="bottom"/>
          </w:tcPr>
          <w:p w14:paraId="7674C6F9" w14:textId="77777777" w:rsidR="00BE2CA7" w:rsidRPr="00440C76" w:rsidRDefault="00BE2CA7" w:rsidP="002B0590">
            <w:pPr>
              <w:spacing w:before="80" w:after="80" w:line="200" w:lineRule="exact"/>
              <w:ind w:left="57" w:right="57"/>
              <w:rPr>
                <w:i/>
                <w:sz w:val="16"/>
                <w:lang w:val="fr-FR"/>
              </w:rPr>
            </w:pPr>
            <w:r w:rsidRPr="00440C76">
              <w:rPr>
                <w:i/>
                <w:sz w:val="16"/>
                <w:lang w:val="fr-FR"/>
              </w:rPr>
              <w:t>OBD</w:t>
            </w:r>
          </w:p>
        </w:tc>
      </w:tr>
      <w:tr w:rsidR="00BE2CA7" w:rsidRPr="00440C76" w14:paraId="58AD0D02" w14:textId="77777777" w:rsidTr="002B0590">
        <w:tc>
          <w:tcPr>
            <w:tcW w:w="704" w:type="dxa"/>
            <w:shd w:val="clear" w:color="auto" w:fill="auto"/>
          </w:tcPr>
          <w:p w14:paraId="65DFEE80" w14:textId="77777777" w:rsidR="00BE2CA7" w:rsidRPr="00440C76" w:rsidRDefault="00BE2CA7" w:rsidP="002B0590">
            <w:pPr>
              <w:spacing w:before="60" w:after="60"/>
              <w:ind w:left="57" w:right="57"/>
              <w:rPr>
                <w:szCs w:val="18"/>
                <w:lang w:val="fr-FR"/>
              </w:rPr>
            </w:pPr>
            <w:r w:rsidRPr="00440C76">
              <w:rPr>
                <w:lang w:val="fr-FR"/>
              </w:rPr>
              <w:t>EA</w:t>
            </w:r>
          </w:p>
        </w:tc>
        <w:tc>
          <w:tcPr>
            <w:tcW w:w="2126" w:type="dxa"/>
            <w:shd w:val="clear" w:color="auto" w:fill="auto"/>
          </w:tcPr>
          <w:p w14:paraId="5ACDA35A" w14:textId="77777777" w:rsidR="00BE2CA7" w:rsidRPr="00440C76" w:rsidRDefault="00BE2CA7" w:rsidP="002B0590">
            <w:pPr>
              <w:spacing w:before="60" w:after="60"/>
              <w:ind w:left="57" w:right="57"/>
              <w:rPr>
                <w:szCs w:val="18"/>
                <w:lang w:val="fr-FR"/>
              </w:rPr>
            </w:pPr>
            <w:r w:rsidRPr="00440C76">
              <w:rPr>
                <w:lang w:val="fr-FR"/>
              </w:rPr>
              <w:t>Euro 6e</w:t>
            </w:r>
          </w:p>
        </w:tc>
        <w:tc>
          <w:tcPr>
            <w:tcW w:w="1699" w:type="dxa"/>
            <w:shd w:val="clear" w:color="auto" w:fill="auto"/>
          </w:tcPr>
          <w:p w14:paraId="1E00A165" w14:textId="77777777" w:rsidR="00BE2CA7" w:rsidRPr="00440C76" w:rsidRDefault="00BE2CA7" w:rsidP="002B0590">
            <w:pPr>
              <w:spacing w:before="60" w:after="60"/>
              <w:ind w:left="57" w:right="57"/>
              <w:rPr>
                <w:szCs w:val="18"/>
                <w:lang w:val="fr-FR"/>
              </w:rPr>
            </w:pPr>
            <w:r w:rsidRPr="00440C76">
              <w:rPr>
                <w:lang w:val="fr-FR"/>
              </w:rPr>
              <w:t>M</w:t>
            </w:r>
            <w:r>
              <w:rPr>
                <w:vertAlign w:val="subscript"/>
                <w:lang w:val="fr-FR"/>
              </w:rPr>
              <w:t>1</w:t>
            </w:r>
            <w:r>
              <w:rPr>
                <w:lang w:val="fr-FR"/>
              </w:rPr>
              <w:t>, M</w:t>
            </w:r>
            <w:r>
              <w:rPr>
                <w:vertAlign w:val="subscript"/>
                <w:lang w:val="fr-FR"/>
              </w:rPr>
              <w:t>2</w:t>
            </w:r>
            <w:r w:rsidRPr="00440C76">
              <w:rPr>
                <w:lang w:val="fr-FR"/>
              </w:rPr>
              <w:t>, N</w:t>
            </w:r>
            <w:r w:rsidRPr="00440C76">
              <w:rPr>
                <w:vertAlign w:val="subscript"/>
                <w:lang w:val="fr-FR"/>
              </w:rPr>
              <w:t>1</w:t>
            </w:r>
            <w:r w:rsidRPr="00440C76">
              <w:rPr>
                <w:lang w:val="fr-FR"/>
              </w:rPr>
              <w:t>, N</w:t>
            </w:r>
            <w:r w:rsidRPr="00440C76">
              <w:rPr>
                <w:vertAlign w:val="subscript"/>
                <w:lang w:val="fr-FR"/>
              </w:rPr>
              <w:t>2</w:t>
            </w:r>
          </w:p>
        </w:tc>
        <w:tc>
          <w:tcPr>
            <w:tcW w:w="1699" w:type="dxa"/>
            <w:shd w:val="clear" w:color="auto" w:fill="auto"/>
          </w:tcPr>
          <w:p w14:paraId="193C502C" w14:textId="77777777" w:rsidR="00BE2CA7" w:rsidRPr="00440C76" w:rsidRDefault="00BE2CA7" w:rsidP="002B0590">
            <w:pPr>
              <w:spacing w:before="60" w:after="60"/>
              <w:ind w:left="57" w:right="57"/>
              <w:rPr>
                <w:szCs w:val="18"/>
                <w:lang w:val="fr-FR"/>
              </w:rPr>
            </w:pPr>
            <w:r w:rsidRPr="00440C76">
              <w:rPr>
                <w:lang w:val="fr-FR"/>
              </w:rPr>
              <w:t>PI, CI</w:t>
            </w:r>
          </w:p>
        </w:tc>
        <w:tc>
          <w:tcPr>
            <w:tcW w:w="2276" w:type="dxa"/>
            <w:vMerge w:val="restart"/>
            <w:shd w:val="clear" w:color="auto" w:fill="auto"/>
          </w:tcPr>
          <w:p w14:paraId="39DC6F77" w14:textId="77777777" w:rsidR="00BE2CA7" w:rsidRPr="00440C76" w:rsidRDefault="00BE2CA7" w:rsidP="002B0590">
            <w:pPr>
              <w:spacing w:before="60" w:after="60"/>
              <w:ind w:left="57" w:right="57"/>
              <w:rPr>
                <w:lang w:val="fr-FR"/>
              </w:rPr>
            </w:pPr>
            <w:r w:rsidRPr="00440C76">
              <w:rPr>
                <w:szCs w:val="18"/>
                <w:lang w:val="fr-FR"/>
              </w:rPr>
              <w:t>Seuils OBD (voir le tableau</w:t>
            </w:r>
            <w:r>
              <w:rPr>
                <w:szCs w:val="18"/>
                <w:lang w:val="fr-FR"/>
              </w:rPr>
              <w:t> </w:t>
            </w:r>
            <w:r w:rsidRPr="00440C76">
              <w:rPr>
                <w:szCs w:val="18"/>
                <w:lang w:val="fr-FR"/>
              </w:rPr>
              <w:t>4A du paragraphe</w:t>
            </w:r>
            <w:r>
              <w:rPr>
                <w:szCs w:val="18"/>
                <w:lang w:val="fr-FR"/>
              </w:rPr>
              <w:t> </w:t>
            </w:r>
            <w:r w:rsidRPr="00440C76">
              <w:rPr>
                <w:szCs w:val="18"/>
                <w:lang w:val="fr-FR"/>
              </w:rPr>
              <w:t xml:space="preserve">6.8 du Règlement ONU </w:t>
            </w:r>
            <w:r w:rsidRPr="00440C76">
              <w:rPr>
                <w:lang w:val="fr-FR"/>
              </w:rPr>
              <w:t>n</w:t>
            </w:r>
            <w:r w:rsidRPr="00440C76">
              <w:rPr>
                <w:vertAlign w:val="superscript"/>
                <w:lang w:val="fr-FR"/>
              </w:rPr>
              <w:t>o</w:t>
            </w:r>
            <w:r w:rsidRPr="00440C76">
              <w:rPr>
                <w:lang w:val="fr-FR"/>
              </w:rPr>
              <w:t> </w:t>
            </w:r>
            <w:r w:rsidRPr="00440C76">
              <w:rPr>
                <w:szCs w:val="18"/>
                <w:lang w:val="fr-FR"/>
              </w:rPr>
              <w:t>154)</w:t>
            </w:r>
          </w:p>
        </w:tc>
      </w:tr>
      <w:tr w:rsidR="00BE2CA7" w:rsidRPr="00440C76" w14:paraId="304DD8E1" w14:textId="77777777" w:rsidTr="002B0590">
        <w:tc>
          <w:tcPr>
            <w:tcW w:w="704" w:type="dxa"/>
            <w:shd w:val="clear" w:color="auto" w:fill="auto"/>
          </w:tcPr>
          <w:p w14:paraId="01D8EB55" w14:textId="77777777" w:rsidR="00BE2CA7" w:rsidRPr="00440C76" w:rsidRDefault="00BE2CA7" w:rsidP="002B0590">
            <w:pPr>
              <w:spacing w:before="60" w:after="60"/>
              <w:ind w:left="57" w:right="57"/>
              <w:rPr>
                <w:szCs w:val="18"/>
                <w:lang w:val="fr-FR"/>
              </w:rPr>
            </w:pPr>
            <w:r w:rsidRPr="00440C76">
              <w:rPr>
                <w:lang w:val="fr-FR"/>
              </w:rPr>
              <w:t>EB</w:t>
            </w:r>
          </w:p>
        </w:tc>
        <w:tc>
          <w:tcPr>
            <w:tcW w:w="2126" w:type="dxa"/>
            <w:shd w:val="clear" w:color="auto" w:fill="auto"/>
          </w:tcPr>
          <w:p w14:paraId="79C8DB0A" w14:textId="77777777" w:rsidR="00BE2CA7" w:rsidRPr="00440C76" w:rsidRDefault="00BE2CA7" w:rsidP="002B0590">
            <w:pPr>
              <w:spacing w:before="60" w:after="60"/>
              <w:ind w:left="57" w:right="57"/>
              <w:rPr>
                <w:szCs w:val="18"/>
                <w:lang w:val="fr-FR"/>
              </w:rPr>
            </w:pPr>
            <w:r w:rsidRPr="00440C76">
              <w:rPr>
                <w:lang w:val="fr-FR"/>
              </w:rPr>
              <w:t>Euro 6e-bis</w:t>
            </w:r>
          </w:p>
        </w:tc>
        <w:tc>
          <w:tcPr>
            <w:tcW w:w="1699" w:type="dxa"/>
            <w:shd w:val="clear" w:color="auto" w:fill="auto"/>
          </w:tcPr>
          <w:p w14:paraId="2988138F" w14:textId="77777777" w:rsidR="00BE2CA7" w:rsidRPr="00440C76" w:rsidRDefault="00BE2CA7" w:rsidP="002B0590">
            <w:pPr>
              <w:spacing w:before="60" w:after="60"/>
              <w:ind w:left="57" w:right="57"/>
              <w:rPr>
                <w:szCs w:val="18"/>
                <w:lang w:val="fr-FR"/>
              </w:rPr>
            </w:pPr>
            <w:r w:rsidRPr="00440C76">
              <w:rPr>
                <w:lang w:val="fr-FR"/>
              </w:rPr>
              <w:t>M</w:t>
            </w:r>
            <w:r>
              <w:rPr>
                <w:vertAlign w:val="subscript"/>
                <w:lang w:val="fr-FR"/>
              </w:rPr>
              <w:t>1</w:t>
            </w:r>
            <w:r>
              <w:rPr>
                <w:lang w:val="fr-FR"/>
              </w:rPr>
              <w:t>, M</w:t>
            </w:r>
            <w:r>
              <w:rPr>
                <w:vertAlign w:val="subscript"/>
                <w:lang w:val="fr-FR"/>
              </w:rPr>
              <w:t>2</w:t>
            </w:r>
            <w:r w:rsidRPr="00440C76">
              <w:rPr>
                <w:lang w:val="fr-FR"/>
              </w:rPr>
              <w:t>, N</w:t>
            </w:r>
            <w:r w:rsidRPr="00440C76">
              <w:rPr>
                <w:vertAlign w:val="subscript"/>
                <w:lang w:val="fr-FR"/>
              </w:rPr>
              <w:t>1</w:t>
            </w:r>
            <w:r w:rsidRPr="00440C76">
              <w:rPr>
                <w:lang w:val="fr-FR"/>
              </w:rPr>
              <w:t>, N</w:t>
            </w:r>
            <w:r w:rsidRPr="00440C76">
              <w:rPr>
                <w:vertAlign w:val="subscript"/>
                <w:lang w:val="fr-FR"/>
              </w:rPr>
              <w:t>2</w:t>
            </w:r>
          </w:p>
        </w:tc>
        <w:tc>
          <w:tcPr>
            <w:tcW w:w="1699" w:type="dxa"/>
            <w:shd w:val="clear" w:color="auto" w:fill="auto"/>
          </w:tcPr>
          <w:p w14:paraId="64632858" w14:textId="77777777" w:rsidR="00BE2CA7" w:rsidRPr="00440C76" w:rsidRDefault="00BE2CA7" w:rsidP="002B0590">
            <w:pPr>
              <w:spacing w:before="60" w:after="60"/>
              <w:ind w:left="57" w:right="57"/>
              <w:rPr>
                <w:szCs w:val="18"/>
                <w:lang w:val="fr-FR"/>
              </w:rPr>
            </w:pPr>
            <w:r w:rsidRPr="00440C76">
              <w:rPr>
                <w:lang w:val="fr-FR"/>
              </w:rPr>
              <w:t>PI, CI</w:t>
            </w:r>
          </w:p>
        </w:tc>
        <w:tc>
          <w:tcPr>
            <w:tcW w:w="2276" w:type="dxa"/>
            <w:vMerge/>
            <w:shd w:val="clear" w:color="auto" w:fill="auto"/>
          </w:tcPr>
          <w:p w14:paraId="4B0F982D" w14:textId="77777777" w:rsidR="00BE2CA7" w:rsidRPr="00440C76" w:rsidRDefault="00BE2CA7" w:rsidP="002B0590">
            <w:pPr>
              <w:spacing w:before="40" w:after="120"/>
              <w:ind w:left="57" w:right="57"/>
              <w:rPr>
                <w:szCs w:val="18"/>
                <w:lang w:val="fr-FR"/>
              </w:rPr>
            </w:pPr>
          </w:p>
        </w:tc>
      </w:tr>
      <w:tr w:rsidR="00BE2CA7" w:rsidRPr="00440C76" w14:paraId="4AEA6F00" w14:textId="77777777" w:rsidTr="002B0590">
        <w:tc>
          <w:tcPr>
            <w:tcW w:w="704" w:type="dxa"/>
            <w:shd w:val="clear" w:color="auto" w:fill="auto"/>
          </w:tcPr>
          <w:p w14:paraId="3586041C" w14:textId="77777777" w:rsidR="00BE2CA7" w:rsidRPr="00440C76" w:rsidRDefault="00BE2CA7" w:rsidP="002B0590">
            <w:pPr>
              <w:spacing w:before="60" w:after="60"/>
              <w:ind w:left="57" w:right="57"/>
              <w:rPr>
                <w:szCs w:val="18"/>
                <w:lang w:val="fr-FR"/>
              </w:rPr>
            </w:pPr>
            <w:r w:rsidRPr="00440C76">
              <w:rPr>
                <w:lang w:val="fr-FR"/>
              </w:rPr>
              <w:t>EC</w:t>
            </w:r>
          </w:p>
        </w:tc>
        <w:tc>
          <w:tcPr>
            <w:tcW w:w="2126" w:type="dxa"/>
            <w:shd w:val="clear" w:color="auto" w:fill="auto"/>
          </w:tcPr>
          <w:p w14:paraId="71586DE0" w14:textId="77777777" w:rsidR="00BE2CA7" w:rsidRPr="00440C76" w:rsidRDefault="00BE2CA7" w:rsidP="002B0590">
            <w:pPr>
              <w:spacing w:before="60" w:after="60"/>
              <w:ind w:left="57" w:right="57"/>
              <w:rPr>
                <w:szCs w:val="18"/>
                <w:lang w:val="fr-FR"/>
              </w:rPr>
            </w:pPr>
            <w:r w:rsidRPr="00440C76">
              <w:rPr>
                <w:lang w:val="fr-FR"/>
              </w:rPr>
              <w:t>Euro 6e-bis-FCM</w:t>
            </w:r>
          </w:p>
        </w:tc>
        <w:tc>
          <w:tcPr>
            <w:tcW w:w="1699" w:type="dxa"/>
            <w:shd w:val="clear" w:color="auto" w:fill="auto"/>
          </w:tcPr>
          <w:p w14:paraId="687C240E" w14:textId="77777777" w:rsidR="00BE2CA7" w:rsidRPr="00440C76" w:rsidRDefault="00BE2CA7" w:rsidP="002B0590">
            <w:pPr>
              <w:spacing w:before="60" w:after="60"/>
              <w:ind w:left="57" w:right="57"/>
              <w:rPr>
                <w:szCs w:val="18"/>
                <w:lang w:val="fr-FR"/>
              </w:rPr>
            </w:pPr>
            <w:r w:rsidRPr="00440C76">
              <w:rPr>
                <w:lang w:val="fr-FR"/>
              </w:rPr>
              <w:t>M</w:t>
            </w:r>
            <w:r>
              <w:rPr>
                <w:vertAlign w:val="subscript"/>
                <w:lang w:val="fr-FR"/>
              </w:rPr>
              <w:t>1</w:t>
            </w:r>
            <w:r>
              <w:rPr>
                <w:lang w:val="fr-FR"/>
              </w:rPr>
              <w:t>, M</w:t>
            </w:r>
            <w:r>
              <w:rPr>
                <w:vertAlign w:val="subscript"/>
                <w:lang w:val="fr-FR"/>
              </w:rPr>
              <w:t>2</w:t>
            </w:r>
            <w:r w:rsidRPr="00440C76">
              <w:rPr>
                <w:lang w:val="fr-FR"/>
              </w:rPr>
              <w:t>, N</w:t>
            </w:r>
            <w:r w:rsidRPr="00440C76">
              <w:rPr>
                <w:vertAlign w:val="subscript"/>
                <w:lang w:val="fr-FR"/>
              </w:rPr>
              <w:t>1</w:t>
            </w:r>
            <w:r w:rsidRPr="00440C76">
              <w:rPr>
                <w:lang w:val="fr-FR"/>
              </w:rPr>
              <w:t>, N</w:t>
            </w:r>
            <w:r w:rsidRPr="00440C76">
              <w:rPr>
                <w:vertAlign w:val="subscript"/>
                <w:lang w:val="fr-FR"/>
              </w:rPr>
              <w:t>2</w:t>
            </w:r>
          </w:p>
        </w:tc>
        <w:tc>
          <w:tcPr>
            <w:tcW w:w="1699" w:type="dxa"/>
            <w:shd w:val="clear" w:color="auto" w:fill="auto"/>
          </w:tcPr>
          <w:p w14:paraId="7D802CAF" w14:textId="77777777" w:rsidR="00BE2CA7" w:rsidRPr="00440C76" w:rsidRDefault="00BE2CA7" w:rsidP="002B0590">
            <w:pPr>
              <w:spacing w:before="60" w:after="60"/>
              <w:ind w:left="57" w:right="57"/>
              <w:rPr>
                <w:szCs w:val="18"/>
                <w:lang w:val="fr-FR"/>
              </w:rPr>
            </w:pPr>
            <w:r w:rsidRPr="00440C76">
              <w:rPr>
                <w:lang w:val="fr-FR"/>
              </w:rPr>
              <w:t>PI, CI</w:t>
            </w:r>
          </w:p>
        </w:tc>
        <w:tc>
          <w:tcPr>
            <w:tcW w:w="2276" w:type="dxa"/>
            <w:vMerge/>
            <w:shd w:val="clear" w:color="auto" w:fill="auto"/>
          </w:tcPr>
          <w:p w14:paraId="393F4297" w14:textId="77777777" w:rsidR="00BE2CA7" w:rsidRPr="00440C76" w:rsidRDefault="00BE2CA7" w:rsidP="002B0590">
            <w:pPr>
              <w:spacing w:before="40" w:after="120"/>
              <w:ind w:left="57" w:right="57"/>
              <w:rPr>
                <w:szCs w:val="18"/>
                <w:lang w:val="fr-FR"/>
              </w:rPr>
            </w:pPr>
          </w:p>
        </w:tc>
      </w:tr>
    </w:tbl>
    <w:p w14:paraId="1EB12C2B" w14:textId="77777777" w:rsidR="00BE2CA7" w:rsidRPr="00440C76" w:rsidRDefault="00BE2CA7" w:rsidP="00BE2CA7">
      <w:pPr>
        <w:pStyle w:val="SingleTxtG"/>
        <w:rPr>
          <w:lang w:val="fr-FR"/>
        </w:rPr>
      </w:pPr>
      <w:r w:rsidRPr="00440C76">
        <w:rPr>
          <w:lang w:val="fr-FR"/>
        </w:rPr>
        <w:br w:type="page"/>
      </w:r>
    </w:p>
    <w:p w14:paraId="0DF826F2" w14:textId="77777777" w:rsidR="00BE2CA7" w:rsidRPr="00A170DA" w:rsidRDefault="00BE2CA7" w:rsidP="00BE2CA7">
      <w:pPr>
        <w:pStyle w:val="HChG"/>
      </w:pPr>
      <w:r w:rsidRPr="00440C76">
        <w:rPr>
          <w:lang w:val="fr-FR"/>
        </w:rPr>
        <w:lastRenderedPageBreak/>
        <w:t>Annexe</w:t>
      </w:r>
      <w:r>
        <w:rPr>
          <w:lang w:val="fr-FR"/>
        </w:rPr>
        <w:t> </w:t>
      </w:r>
      <w:r w:rsidRPr="00440C76">
        <w:rPr>
          <w:lang w:val="fr-FR"/>
        </w:rPr>
        <w:t>4</w:t>
      </w:r>
    </w:p>
    <w:p w14:paraId="03FAC3AC" w14:textId="77777777" w:rsidR="00BE2CA7" w:rsidRPr="00A170DA" w:rsidRDefault="00BE2CA7" w:rsidP="00BE2CA7">
      <w:pPr>
        <w:pStyle w:val="HChG"/>
      </w:pPr>
      <w:r w:rsidRPr="00440C76">
        <w:rPr>
          <w:lang w:val="fr-FR"/>
        </w:rPr>
        <w:tab/>
      </w:r>
      <w:r w:rsidRPr="00440C76">
        <w:rPr>
          <w:lang w:val="fr-FR"/>
        </w:rPr>
        <w:tab/>
        <w:t>Méthode de contrôle de la conformité en service</w:t>
      </w:r>
    </w:p>
    <w:p w14:paraId="463141F9" w14:textId="77777777" w:rsidR="00BE2CA7" w:rsidRPr="00440C76" w:rsidRDefault="00BE2CA7" w:rsidP="00BE2CA7">
      <w:pPr>
        <w:pStyle w:val="SingleTxtG"/>
        <w:ind w:left="2268" w:hanging="1134"/>
        <w:rPr>
          <w:lang w:val="fr-FR"/>
        </w:rPr>
      </w:pPr>
      <w:r w:rsidRPr="00440C76">
        <w:rPr>
          <w:lang w:val="fr-FR"/>
        </w:rPr>
        <w:t>1.</w:t>
      </w:r>
      <w:r w:rsidRPr="00440C76">
        <w:rPr>
          <w:lang w:val="fr-FR"/>
        </w:rPr>
        <w:tab/>
        <w:t>Introduction</w:t>
      </w:r>
    </w:p>
    <w:p w14:paraId="6ABCD8E7" w14:textId="77777777" w:rsidR="00BE2CA7" w:rsidRPr="00440C76" w:rsidRDefault="00BE2CA7" w:rsidP="00BE2CA7">
      <w:pPr>
        <w:pStyle w:val="SingleTxtG"/>
        <w:ind w:left="2268"/>
        <w:rPr>
          <w:lang w:val="fr-FR"/>
        </w:rPr>
      </w:pPr>
      <w:r w:rsidRPr="00440C76">
        <w:rPr>
          <w:rFonts w:eastAsia="Arial Unicode MS"/>
          <w:lang w:val="fr-FR"/>
        </w:rPr>
        <w:t>La présente annexe définit la méthode de contrôle de la conformité en service permettant de vérifier le respect des limites d</w:t>
      </w:r>
      <w:r>
        <w:rPr>
          <w:rFonts w:eastAsia="Arial Unicode MS"/>
          <w:lang w:val="fr-FR"/>
        </w:rPr>
        <w:t>’</w:t>
      </w:r>
      <w:r w:rsidRPr="00440C76">
        <w:rPr>
          <w:rFonts w:eastAsia="Arial Unicode MS"/>
          <w:lang w:val="fr-FR"/>
        </w:rPr>
        <w:t>émissions d</w:t>
      </w:r>
      <w:r>
        <w:rPr>
          <w:rFonts w:eastAsia="Arial Unicode MS"/>
          <w:lang w:val="fr-FR"/>
        </w:rPr>
        <w:t>’</w:t>
      </w:r>
      <w:r w:rsidRPr="00440C76">
        <w:rPr>
          <w:rFonts w:eastAsia="Arial Unicode MS"/>
          <w:lang w:val="fr-FR"/>
        </w:rPr>
        <w:t>échappement (y compris à basse température) et d</w:t>
      </w:r>
      <w:r>
        <w:rPr>
          <w:rFonts w:eastAsia="Arial Unicode MS"/>
          <w:lang w:val="fr-FR"/>
        </w:rPr>
        <w:t>’</w:t>
      </w:r>
      <w:r w:rsidRPr="00440C76">
        <w:rPr>
          <w:rFonts w:eastAsia="Arial Unicode MS"/>
          <w:lang w:val="fr-FR"/>
        </w:rPr>
        <w:t>émissions par évaporation pendant toute la durée de service normale du véhicule.</w:t>
      </w:r>
    </w:p>
    <w:p w14:paraId="69DA01E3" w14:textId="77777777" w:rsidR="00BE2CA7" w:rsidRPr="00440C76" w:rsidRDefault="00BE2CA7" w:rsidP="00BE2CA7">
      <w:pPr>
        <w:pStyle w:val="SingleTxtG"/>
        <w:ind w:left="2268" w:hanging="1134"/>
        <w:rPr>
          <w:lang w:val="fr-FR"/>
        </w:rPr>
      </w:pPr>
      <w:r w:rsidRPr="00440C76">
        <w:rPr>
          <w:lang w:val="fr-FR"/>
        </w:rPr>
        <w:t>2.</w:t>
      </w:r>
      <w:r w:rsidRPr="00440C76">
        <w:rPr>
          <w:lang w:val="fr-FR"/>
        </w:rPr>
        <w:tab/>
        <w:t>Description du processus</w:t>
      </w:r>
    </w:p>
    <w:p w14:paraId="6B8757D9" w14:textId="77777777" w:rsidR="00BE2CA7" w:rsidRPr="00440C76" w:rsidRDefault="00BE2CA7" w:rsidP="00BE2CA7">
      <w:pPr>
        <w:pStyle w:val="Titre1"/>
        <w:spacing w:after="120"/>
        <w:ind w:left="0"/>
        <w:rPr>
          <w:b/>
          <w:bCs/>
          <w:lang w:val="fr-FR"/>
        </w:rPr>
      </w:pPr>
      <w:r w:rsidRPr="00440C76">
        <w:rPr>
          <w:lang w:val="fr-FR"/>
        </w:rPr>
        <w:t>Figure</w:t>
      </w:r>
      <w:r>
        <w:rPr>
          <w:lang w:val="fr-FR"/>
        </w:rPr>
        <w:t> </w:t>
      </w:r>
      <w:r w:rsidRPr="00440C76">
        <w:rPr>
          <w:lang w:val="fr-FR"/>
        </w:rPr>
        <w:t>4/1</w:t>
      </w:r>
      <w:r>
        <w:rPr>
          <w:lang w:val="fr-FR"/>
        </w:rPr>
        <w:br/>
      </w:r>
      <w:r w:rsidRPr="00440C76">
        <w:rPr>
          <w:b/>
          <w:bCs/>
          <w:lang w:val="fr-FR"/>
        </w:rPr>
        <w:t>Illustration du processus de contrôle de la conformité en service</w:t>
      </w:r>
    </w:p>
    <w:p w14:paraId="42421FBC" w14:textId="77777777" w:rsidR="00BE2CA7" w:rsidRPr="00440C76" w:rsidRDefault="00BE2CA7" w:rsidP="00BE2CA7">
      <w:pPr>
        <w:pStyle w:val="SingleTxtG"/>
        <w:ind w:left="0"/>
        <w:rPr>
          <w:lang w:val="fr-FR"/>
        </w:rPr>
      </w:pPr>
      <w:r w:rsidRPr="00440C76">
        <w:rPr>
          <w:noProof/>
          <w:lang w:val="fr-FR" w:eastAsia="en-GB"/>
        </w:rPr>
        <mc:AlternateContent>
          <mc:Choice Requires="wpg">
            <w:drawing>
              <wp:inline distT="0" distB="0" distL="0" distR="0" wp14:anchorId="0A2F1011" wp14:editId="4A8808AF">
                <wp:extent cx="6120000" cy="4531384"/>
                <wp:effectExtent l="0" t="0" r="14605" b="21590"/>
                <wp:docPr id="1558992514" name="Group 3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120000" cy="4531384"/>
                          <a:chOff x="92407" y="25401"/>
                          <a:chExt cx="5506084" cy="4005968"/>
                        </a:xfrm>
                      </wpg:grpSpPr>
                      <wps:wsp>
                        <wps:cNvPr id="1821535673" name="TextBox 3"/>
                        <wps:cNvSpPr txBox="1"/>
                        <wps:spPr>
                          <a:xfrm>
                            <a:off x="92415" y="696939"/>
                            <a:ext cx="1840066" cy="455387"/>
                          </a:xfrm>
                          <a:prstGeom prst="rect">
                            <a:avLst/>
                          </a:prstGeom>
                          <a:noFill/>
                          <a:ln>
                            <a:solidFill>
                              <a:schemeClr val="tx1"/>
                            </a:solidFill>
                          </a:ln>
                        </wps:spPr>
                        <wps:txbx>
                          <w:txbxContent>
                            <w:p w14:paraId="4EC32A4A" w14:textId="77777777" w:rsidR="00BE2CA7" w:rsidRPr="007C1B0D" w:rsidRDefault="00BE2CA7" w:rsidP="00BE2CA7">
                              <w:pPr>
                                <w:jc w:val="center"/>
                                <w:textAlignment w:val="baseline"/>
                                <w:rPr>
                                  <w:lang w:val="fr-FR"/>
                                </w:rPr>
                              </w:pPr>
                              <w:r w:rsidRPr="007C1B0D">
                                <w:rPr>
                                  <w:lang w:val="fr-FR"/>
                                </w:rPr>
                                <w:t>Collecte d’</w:t>
                              </w:r>
                              <w:r>
                                <w:rPr>
                                  <w:lang w:val="fr-FR"/>
                                </w:rPr>
                                <w:t xml:space="preserve">informations et évaluation des risques </w:t>
                              </w:r>
                              <w:r w:rsidRPr="00443259">
                                <w:rPr>
                                  <w:color w:val="000000"/>
                                  <w:kern w:val="24"/>
                                  <w:lang w:val="fr-SN"/>
                                </w:rPr>
                                <w:t>(</w:t>
                              </w:r>
                              <w:r>
                                <w:rPr>
                                  <w:color w:val="000000"/>
                                  <w:kern w:val="24"/>
                                  <w:lang w:val="fr-SN"/>
                                </w:rPr>
                                <w:t>s</w:t>
                              </w:r>
                              <w:r w:rsidRPr="00443259">
                                <w:rPr>
                                  <w:color w:val="000000"/>
                                  <w:kern w:val="24"/>
                                  <w:lang w:val="fr-SN"/>
                                </w:rPr>
                                <w:t>ect</w:t>
                              </w:r>
                              <w:r>
                                <w:rPr>
                                  <w:color w:val="000000"/>
                                  <w:kern w:val="24"/>
                                  <w:lang w:val="fr-SN"/>
                                </w:rPr>
                                <w:t>. </w:t>
                              </w:r>
                              <w:r w:rsidRPr="00443259">
                                <w:rPr>
                                  <w:color w:val="000000"/>
                                  <w:kern w:val="24"/>
                                  <w:lang w:val="fr-SN"/>
                                </w:rPr>
                                <w:t>4)</w:t>
                              </w:r>
                            </w:p>
                          </w:txbxContent>
                        </wps:txbx>
                        <wps:bodyPr wrap="square" rtlCol="0" anchor="ctr" anchorCtr="0">
                          <a:noAutofit/>
                        </wps:bodyPr>
                      </wps:wsp>
                      <wps:wsp>
                        <wps:cNvPr id="603004941" name="TextBox 4"/>
                        <wps:cNvSpPr txBox="1"/>
                        <wps:spPr>
                          <a:xfrm>
                            <a:off x="92418" y="1352335"/>
                            <a:ext cx="1840066" cy="487915"/>
                          </a:xfrm>
                          <a:prstGeom prst="rect">
                            <a:avLst/>
                          </a:prstGeom>
                          <a:noFill/>
                          <a:ln>
                            <a:solidFill>
                              <a:schemeClr val="tx1"/>
                            </a:solidFill>
                          </a:ln>
                        </wps:spPr>
                        <wps:txbx>
                          <w:txbxContent>
                            <w:p w14:paraId="46003AA0" w14:textId="77777777" w:rsidR="00BE2CA7" w:rsidRPr="007C1B0D" w:rsidRDefault="00BE2CA7" w:rsidP="00BE2CA7">
                              <w:pPr>
                                <w:jc w:val="center"/>
                                <w:textAlignment w:val="baseline"/>
                                <w:rPr>
                                  <w:lang w:val="fr-SN"/>
                                </w:rPr>
                              </w:pPr>
                              <w:r w:rsidRPr="00443259">
                                <w:rPr>
                                  <w:lang w:val="fr-SN"/>
                                </w:rPr>
                                <w:t>Vérification de la conformité en</w:t>
                              </w:r>
                              <w:r>
                                <w:rPr>
                                  <w:lang w:val="fr-SN"/>
                                </w:rPr>
                                <w:t> </w:t>
                              </w:r>
                              <w:r w:rsidRPr="00443259">
                                <w:rPr>
                                  <w:lang w:val="fr-SN"/>
                                </w:rPr>
                                <w:t xml:space="preserve">service </w:t>
                              </w:r>
                              <w:r>
                                <w:rPr>
                                  <w:lang w:val="fr-SN"/>
                                </w:rPr>
                                <w:br/>
                              </w:r>
                              <w:r w:rsidRPr="00AF1F68">
                                <w:rPr>
                                  <w:color w:val="000000"/>
                                  <w:kern w:val="24"/>
                                  <w:lang w:val="fr-SN"/>
                                </w:rPr>
                                <w:t>(</w:t>
                              </w:r>
                              <w:r>
                                <w:rPr>
                                  <w:color w:val="000000"/>
                                  <w:kern w:val="24"/>
                                  <w:lang w:val="fr-SN"/>
                                </w:rPr>
                                <w:t>s</w:t>
                              </w:r>
                              <w:r w:rsidRPr="00AF1F68">
                                <w:rPr>
                                  <w:color w:val="000000"/>
                                  <w:kern w:val="24"/>
                                  <w:lang w:val="fr-SN"/>
                                </w:rPr>
                                <w:t>ec</w:t>
                              </w:r>
                              <w:r>
                                <w:rPr>
                                  <w:color w:val="000000"/>
                                  <w:kern w:val="24"/>
                                  <w:lang w:val="fr-SN"/>
                                </w:rPr>
                                <w:t>t. 5</w:t>
                              </w:r>
                              <w:r w:rsidRPr="00AF1F68">
                                <w:rPr>
                                  <w:color w:val="000000"/>
                                  <w:kern w:val="24"/>
                                  <w:lang w:val="fr-SN"/>
                                </w:rPr>
                                <w:t>)</w:t>
                              </w:r>
                            </w:p>
                          </w:txbxContent>
                        </wps:txbx>
                        <wps:bodyPr wrap="square" rtlCol="0" anchor="ctr" anchorCtr="0">
                          <a:noAutofit/>
                        </wps:bodyPr>
                      </wps:wsp>
                      <wps:wsp>
                        <wps:cNvPr id="478586387" name="TextBox 5"/>
                        <wps:cNvSpPr txBox="1"/>
                        <wps:spPr>
                          <a:xfrm>
                            <a:off x="92426" y="2073291"/>
                            <a:ext cx="1840066" cy="487915"/>
                          </a:xfrm>
                          <a:prstGeom prst="rect">
                            <a:avLst/>
                          </a:prstGeom>
                          <a:noFill/>
                          <a:ln>
                            <a:solidFill>
                              <a:schemeClr val="tx1"/>
                            </a:solidFill>
                          </a:ln>
                        </wps:spPr>
                        <wps:txbx>
                          <w:txbxContent>
                            <w:p w14:paraId="56EF5A60" w14:textId="77777777" w:rsidR="00BE2CA7" w:rsidRPr="007C1B0D" w:rsidRDefault="00BE2CA7" w:rsidP="00BE2CA7">
                              <w:pPr>
                                <w:jc w:val="center"/>
                                <w:textAlignment w:val="baseline"/>
                                <w:rPr>
                                  <w:lang w:val="fr-SN"/>
                                </w:rPr>
                              </w:pPr>
                              <w:r w:rsidRPr="00443259">
                                <w:rPr>
                                  <w:lang w:val="fr-SN"/>
                                </w:rPr>
                                <w:t xml:space="preserve">Évaluation de la conformité </w:t>
                              </w:r>
                              <w:r w:rsidRPr="00AF1F68">
                                <w:rPr>
                                  <w:color w:val="000000"/>
                                  <w:kern w:val="24"/>
                                  <w:lang w:val="fr-SN"/>
                                </w:rPr>
                                <w:t>(</w:t>
                              </w:r>
                              <w:r>
                                <w:rPr>
                                  <w:color w:val="000000"/>
                                  <w:kern w:val="24"/>
                                  <w:lang w:val="fr-SN"/>
                                </w:rPr>
                                <w:t>s</w:t>
                              </w:r>
                              <w:r w:rsidRPr="00AF1F68">
                                <w:rPr>
                                  <w:color w:val="000000"/>
                                  <w:kern w:val="24"/>
                                  <w:lang w:val="fr-SN"/>
                                </w:rPr>
                                <w:t>ect</w:t>
                              </w:r>
                              <w:r>
                                <w:rPr>
                                  <w:color w:val="000000"/>
                                  <w:kern w:val="24"/>
                                  <w:lang w:val="fr-SN"/>
                                </w:rPr>
                                <w:t>. 6</w:t>
                              </w:r>
                              <w:r w:rsidRPr="00AF1F68">
                                <w:rPr>
                                  <w:color w:val="000000"/>
                                  <w:kern w:val="24"/>
                                  <w:lang w:val="fr-SN"/>
                                </w:rPr>
                                <w:t>)</w:t>
                              </w:r>
                            </w:p>
                          </w:txbxContent>
                        </wps:txbx>
                        <wps:bodyPr wrap="square" rtlCol="0" anchor="ctr" anchorCtr="0">
                          <a:noAutofit/>
                        </wps:bodyPr>
                      </wps:wsp>
                      <wps:wsp>
                        <wps:cNvPr id="213754560" name="TextBox 6"/>
                        <wps:cNvSpPr txBox="1"/>
                        <wps:spPr>
                          <a:xfrm>
                            <a:off x="92434" y="2797032"/>
                            <a:ext cx="1840066" cy="487915"/>
                          </a:xfrm>
                          <a:prstGeom prst="rect">
                            <a:avLst/>
                          </a:prstGeom>
                          <a:noFill/>
                          <a:ln>
                            <a:solidFill>
                              <a:schemeClr val="tx1"/>
                            </a:solidFill>
                          </a:ln>
                        </wps:spPr>
                        <wps:txbx>
                          <w:txbxContent>
                            <w:p w14:paraId="1C51D449" w14:textId="77777777" w:rsidR="00BE2CA7" w:rsidRPr="00443259" w:rsidRDefault="00BE2CA7" w:rsidP="00BE2CA7">
                              <w:pPr>
                                <w:jc w:val="center"/>
                                <w:textAlignment w:val="baseline"/>
                                <w:rPr>
                                  <w:lang w:val="fr-SN"/>
                                </w:rPr>
                              </w:pPr>
                              <w:r w:rsidRPr="00443259">
                                <w:rPr>
                                  <w:rFonts w:cstheme="minorBidi"/>
                                  <w:color w:val="000000" w:themeColor="text1"/>
                                  <w:kern w:val="24"/>
                                  <w:lang w:val="fr-SN"/>
                                </w:rPr>
                                <w:t xml:space="preserve">Mesures correctives </w:t>
                              </w:r>
                              <w:r>
                                <w:rPr>
                                  <w:rFonts w:cstheme="minorBidi"/>
                                  <w:color w:val="000000" w:themeColor="text1"/>
                                  <w:kern w:val="24"/>
                                  <w:lang w:val="fr-SN"/>
                                </w:rPr>
                                <w:br/>
                              </w:r>
                              <w:r w:rsidRPr="00443259">
                                <w:rPr>
                                  <w:rFonts w:cstheme="minorBidi"/>
                                  <w:color w:val="000000" w:themeColor="text1"/>
                                  <w:kern w:val="24"/>
                                  <w:lang w:val="fr-SN"/>
                                </w:rPr>
                                <w:t>(le cas échéant, sect</w:t>
                              </w:r>
                              <w:r>
                                <w:rPr>
                                  <w:rFonts w:cstheme="minorBidi"/>
                                  <w:color w:val="000000" w:themeColor="text1"/>
                                  <w:kern w:val="24"/>
                                  <w:lang w:val="fr-SN"/>
                                </w:rPr>
                                <w:t>. </w:t>
                              </w:r>
                              <w:r w:rsidRPr="00443259">
                                <w:rPr>
                                  <w:rFonts w:cstheme="minorBidi"/>
                                  <w:color w:val="000000" w:themeColor="text1"/>
                                  <w:kern w:val="24"/>
                                  <w:lang w:val="fr-SN"/>
                                </w:rPr>
                                <w:t>7)</w:t>
                              </w:r>
                            </w:p>
                          </w:txbxContent>
                        </wps:txbx>
                        <wps:bodyPr wrap="square" rtlCol="0" anchor="ctr" anchorCtr="0">
                          <a:noAutofit/>
                        </wps:bodyPr>
                      </wps:wsp>
                      <wps:wsp>
                        <wps:cNvPr id="1456711536" name="TextBox 7"/>
                        <wps:cNvSpPr txBox="1"/>
                        <wps:spPr>
                          <a:xfrm>
                            <a:off x="92434" y="3543454"/>
                            <a:ext cx="1840066" cy="487915"/>
                          </a:xfrm>
                          <a:prstGeom prst="rect">
                            <a:avLst/>
                          </a:prstGeom>
                          <a:noFill/>
                          <a:ln>
                            <a:solidFill>
                              <a:schemeClr val="tx1"/>
                            </a:solidFill>
                          </a:ln>
                        </wps:spPr>
                        <wps:txbx>
                          <w:txbxContent>
                            <w:p w14:paraId="474B8CF9" w14:textId="77777777" w:rsidR="00BE2CA7" w:rsidRPr="00C82C19" w:rsidRDefault="00BE2CA7" w:rsidP="00BE2CA7">
                              <w:pPr>
                                <w:jc w:val="center"/>
                                <w:textAlignment w:val="baseline"/>
                              </w:pPr>
                              <w:r w:rsidRPr="00194D8F">
                                <w:rPr>
                                  <w:color w:val="000000"/>
                                  <w:kern w:val="24"/>
                                  <w:lang w:val="it-IT"/>
                                </w:rPr>
                                <w:t>Communication des données</w:t>
                              </w:r>
                            </w:p>
                            <w:p w14:paraId="386BFBBB" w14:textId="77777777" w:rsidR="00BE2CA7" w:rsidRPr="00C82C19" w:rsidRDefault="00BE2CA7" w:rsidP="00BE2CA7">
                              <w:pPr>
                                <w:jc w:val="center"/>
                                <w:textAlignment w:val="baseline"/>
                              </w:pPr>
                              <w:r w:rsidRPr="00C82C19">
                                <w:rPr>
                                  <w:color w:val="000000"/>
                                  <w:kern w:val="24"/>
                                  <w:lang w:val="it-IT"/>
                                </w:rPr>
                                <w:t>(</w:t>
                              </w:r>
                              <w:r>
                                <w:rPr>
                                  <w:color w:val="000000"/>
                                  <w:kern w:val="24"/>
                                  <w:lang w:val="it-IT"/>
                                </w:rPr>
                                <w:t>s</w:t>
                              </w:r>
                              <w:r w:rsidRPr="00C82C19">
                                <w:rPr>
                                  <w:color w:val="000000"/>
                                  <w:kern w:val="24"/>
                                  <w:lang w:val="it-IT"/>
                                </w:rPr>
                                <w:t>ect</w:t>
                              </w:r>
                              <w:r>
                                <w:rPr>
                                  <w:color w:val="000000"/>
                                  <w:kern w:val="24"/>
                                  <w:lang w:val="it-IT"/>
                                </w:rPr>
                                <w:t>.</w:t>
                              </w:r>
                              <w:r w:rsidRPr="00C82C19">
                                <w:rPr>
                                  <w:color w:val="000000"/>
                                  <w:kern w:val="24"/>
                                  <w:lang w:val="it-IT"/>
                                </w:rPr>
                                <w:t xml:space="preserve"> 8)</w:t>
                              </w:r>
                            </w:p>
                          </w:txbxContent>
                        </wps:txbx>
                        <wps:bodyPr wrap="square" rtlCol="0" anchor="ctr" anchorCtr="0">
                          <a:noAutofit/>
                        </wps:bodyPr>
                      </wps:wsp>
                      <wps:wsp>
                        <wps:cNvPr id="550171000" name="Straight Arrow Connector 35"/>
                        <wps:cNvCnPr/>
                        <wps:spPr bwMode="auto">
                          <a:xfrm flipH="1">
                            <a:off x="1010861" y="1152326"/>
                            <a:ext cx="1" cy="200008"/>
                          </a:xfrm>
                          <a:prstGeom prst="straightConnector1">
                            <a:avLst/>
                          </a:prstGeom>
                          <a:noFill/>
                          <a:ln w="28575" cap="flat" cmpd="sng" algn="ctr">
                            <a:solidFill>
                              <a:schemeClr val="tx1"/>
                            </a:solidFill>
                            <a:prstDash val="solid"/>
                            <a:round/>
                            <a:headEnd type="none" w="med" len="med"/>
                            <a:tailEnd type="arrow"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339881930" name="Straight Arrow Connector 36"/>
                        <wps:cNvCnPr/>
                        <wps:spPr bwMode="auto">
                          <a:xfrm>
                            <a:off x="1010857" y="1840251"/>
                            <a:ext cx="0" cy="233041"/>
                          </a:xfrm>
                          <a:prstGeom prst="straightConnector1">
                            <a:avLst/>
                          </a:prstGeom>
                          <a:noFill/>
                          <a:ln w="28575" cap="flat" cmpd="sng" algn="ctr">
                            <a:solidFill>
                              <a:schemeClr val="tx1"/>
                            </a:solidFill>
                            <a:prstDash val="solid"/>
                            <a:round/>
                            <a:headEnd type="none" w="med" len="med"/>
                            <a:tailEnd type="arrow"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073624562" name="Straight Arrow Connector 37"/>
                        <wps:cNvCnPr/>
                        <wps:spPr bwMode="auto">
                          <a:xfrm flipH="1">
                            <a:off x="1022381" y="2563990"/>
                            <a:ext cx="1" cy="233041"/>
                          </a:xfrm>
                          <a:prstGeom prst="straightConnector1">
                            <a:avLst/>
                          </a:prstGeom>
                          <a:noFill/>
                          <a:ln w="28575" cap="flat" cmpd="sng" algn="ctr">
                            <a:solidFill>
                              <a:schemeClr val="tx1"/>
                            </a:solidFill>
                            <a:prstDash val="solid"/>
                            <a:round/>
                            <a:headEnd type="none" w="med" len="med"/>
                            <a:tailEnd type="arrow"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398258275" name="Straight Arrow Connector 38"/>
                        <wps:cNvCnPr/>
                        <wps:spPr bwMode="auto">
                          <a:xfrm>
                            <a:off x="1022380" y="3284947"/>
                            <a:ext cx="0" cy="246178"/>
                          </a:xfrm>
                          <a:prstGeom prst="straightConnector1">
                            <a:avLst/>
                          </a:prstGeom>
                          <a:noFill/>
                          <a:ln w="28575" cap="flat" cmpd="sng" algn="ctr">
                            <a:solidFill>
                              <a:schemeClr val="tx1"/>
                            </a:solidFill>
                            <a:prstDash val="solid"/>
                            <a:round/>
                            <a:headEnd type="none" w="med" len="med"/>
                            <a:tailEnd type="arrow"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858074558" name="TextBox 24"/>
                        <wps:cNvSpPr txBox="1"/>
                        <wps:spPr>
                          <a:xfrm>
                            <a:off x="2129136" y="35120"/>
                            <a:ext cx="1642916" cy="516595"/>
                          </a:xfrm>
                          <a:prstGeom prst="rect">
                            <a:avLst/>
                          </a:prstGeom>
                          <a:noFill/>
                          <a:ln>
                            <a:solidFill>
                              <a:schemeClr val="tx1"/>
                            </a:solidFill>
                          </a:ln>
                        </wps:spPr>
                        <wps:txbx>
                          <w:txbxContent>
                            <w:p w14:paraId="553747F6" w14:textId="77777777" w:rsidR="00BE2CA7" w:rsidRPr="007C1B0D" w:rsidRDefault="00BE2CA7" w:rsidP="00BE2CA7">
                              <w:pPr>
                                <w:jc w:val="center"/>
                                <w:textAlignment w:val="baseline"/>
                                <w:rPr>
                                  <w:b/>
                                  <w:bCs/>
                                  <w:color w:val="000000"/>
                                  <w:kern w:val="24"/>
                                  <w:sz w:val="28"/>
                                  <w:szCs w:val="28"/>
                                  <w:lang w:val="fr-FR"/>
                                </w:rPr>
                              </w:pPr>
                              <w:r>
                                <w:rPr>
                                  <w:b/>
                                  <w:bCs/>
                                  <w:color w:val="000000"/>
                                  <w:kern w:val="24"/>
                                  <w:sz w:val="28"/>
                                  <w:szCs w:val="28"/>
                                  <w:lang w:val="fr-FR"/>
                                </w:rPr>
                                <w:t>Responsabilité principale</w:t>
                              </w:r>
                            </w:p>
                          </w:txbxContent>
                        </wps:txbx>
                        <wps:bodyPr wrap="square" rtlCol="0" anchor="ctr" anchorCtr="0">
                          <a:noAutofit/>
                        </wps:bodyPr>
                      </wps:wsp>
                      <wps:wsp>
                        <wps:cNvPr id="1431517444" name="TextBox 31"/>
                        <wps:cNvSpPr txBox="1"/>
                        <wps:spPr>
                          <a:xfrm>
                            <a:off x="2129131" y="664412"/>
                            <a:ext cx="1642916" cy="487915"/>
                          </a:xfrm>
                          <a:prstGeom prst="rect">
                            <a:avLst/>
                          </a:prstGeom>
                          <a:noFill/>
                          <a:ln>
                            <a:solidFill>
                              <a:schemeClr val="tx1"/>
                            </a:solidFill>
                          </a:ln>
                        </wps:spPr>
                        <wps:txbx>
                          <w:txbxContent>
                            <w:p w14:paraId="0FF767B8" w14:textId="77777777" w:rsidR="00BE2CA7" w:rsidRPr="007C1B0D" w:rsidRDefault="00BE2CA7" w:rsidP="00BE2CA7">
                              <w:pPr>
                                <w:jc w:val="center"/>
                                <w:textAlignment w:val="baseline"/>
                                <w:rPr>
                                  <w:lang w:val="fr-FR"/>
                                </w:rPr>
                              </w:pPr>
                              <w:r w:rsidRPr="00443259">
                                <w:rPr>
                                  <w:lang w:val="fr-FR"/>
                                </w:rPr>
                                <w:t>Autorité d’homologation de</w:t>
                              </w:r>
                              <w:r>
                                <w:rPr>
                                  <w:lang w:val="fr-FR"/>
                                </w:rPr>
                                <w:t> </w:t>
                              </w:r>
                              <w:r w:rsidRPr="00443259">
                                <w:rPr>
                                  <w:lang w:val="fr-FR"/>
                                </w:rPr>
                                <w:t>type</w:t>
                              </w:r>
                            </w:p>
                          </w:txbxContent>
                        </wps:txbx>
                        <wps:bodyPr wrap="square" rtlCol="0" anchor="ctr" anchorCtr="0">
                          <a:noAutofit/>
                        </wps:bodyPr>
                      </wps:wsp>
                      <wps:wsp>
                        <wps:cNvPr id="426669003" name="TextBox 33"/>
                        <wps:cNvSpPr txBox="1"/>
                        <wps:spPr>
                          <a:xfrm>
                            <a:off x="2129139" y="1352335"/>
                            <a:ext cx="1642916" cy="487915"/>
                          </a:xfrm>
                          <a:prstGeom prst="rect">
                            <a:avLst/>
                          </a:prstGeom>
                          <a:noFill/>
                          <a:ln>
                            <a:solidFill>
                              <a:schemeClr val="tx1"/>
                            </a:solidFill>
                          </a:ln>
                        </wps:spPr>
                        <wps:txbx>
                          <w:txbxContent>
                            <w:p w14:paraId="7E8B8FE3" w14:textId="77777777" w:rsidR="00BE2CA7" w:rsidRPr="007C1B0D" w:rsidRDefault="00BE2CA7" w:rsidP="00BE2CA7">
                              <w:pPr>
                                <w:jc w:val="center"/>
                                <w:textAlignment w:val="baseline"/>
                                <w:rPr>
                                  <w:lang w:val="fr-FR"/>
                                </w:rPr>
                              </w:pPr>
                              <w:r w:rsidRPr="00AF1F68">
                                <w:rPr>
                                  <w:lang w:val="fr-FR"/>
                                </w:rPr>
                                <w:t>Autorité d’homologation de</w:t>
                              </w:r>
                              <w:r>
                                <w:rPr>
                                  <w:lang w:val="fr-FR"/>
                                </w:rPr>
                                <w:t> </w:t>
                              </w:r>
                              <w:r w:rsidRPr="00AF1F68">
                                <w:rPr>
                                  <w:lang w:val="fr-FR"/>
                                </w:rPr>
                                <w:t>type</w:t>
                              </w:r>
                              <w:r>
                                <w:rPr>
                                  <w:lang w:val="fr-FR"/>
                                </w:rPr>
                                <w:t>, constructeur</w:t>
                              </w:r>
                            </w:p>
                          </w:txbxContent>
                        </wps:txbx>
                        <wps:bodyPr wrap="square" rtlCol="0" anchor="ctr" anchorCtr="0">
                          <a:noAutofit/>
                        </wps:bodyPr>
                      </wps:wsp>
                      <wps:wsp>
                        <wps:cNvPr id="1929770504" name="TextBox 26"/>
                        <wps:cNvSpPr txBox="1"/>
                        <wps:spPr>
                          <a:xfrm>
                            <a:off x="92407" y="25401"/>
                            <a:ext cx="1840066" cy="516595"/>
                          </a:xfrm>
                          <a:prstGeom prst="rect">
                            <a:avLst/>
                          </a:prstGeom>
                          <a:noFill/>
                          <a:ln>
                            <a:solidFill>
                              <a:schemeClr val="tx1"/>
                            </a:solidFill>
                          </a:ln>
                        </wps:spPr>
                        <wps:txbx>
                          <w:txbxContent>
                            <w:p w14:paraId="088C48CE" w14:textId="77777777" w:rsidR="00BE2CA7" w:rsidRPr="007C1B0D" w:rsidRDefault="00BE2CA7" w:rsidP="00BE2CA7">
                              <w:pPr>
                                <w:jc w:val="center"/>
                                <w:textAlignment w:val="baseline"/>
                                <w:rPr>
                                  <w:b/>
                                  <w:bCs/>
                                  <w:sz w:val="28"/>
                                  <w:szCs w:val="28"/>
                                  <w:lang w:val="fr-FR"/>
                                </w:rPr>
                              </w:pPr>
                              <w:r w:rsidRPr="00443259">
                                <w:rPr>
                                  <w:b/>
                                  <w:bCs/>
                                  <w:sz w:val="28"/>
                                  <w:szCs w:val="28"/>
                                  <w:lang w:val="fr-FR"/>
                                </w:rPr>
                                <w:t>Étapes du contrôle de la conformité en service</w:t>
                              </w:r>
                            </w:p>
                          </w:txbxContent>
                        </wps:txbx>
                        <wps:bodyPr wrap="square" rtlCol="0" anchor="ctr" anchorCtr="0">
                          <a:noAutofit/>
                        </wps:bodyPr>
                      </wps:wsp>
                      <wps:wsp>
                        <wps:cNvPr id="1208219482" name="TextBox 33"/>
                        <wps:cNvSpPr txBox="1"/>
                        <wps:spPr>
                          <a:xfrm>
                            <a:off x="2129139" y="2796952"/>
                            <a:ext cx="1642916" cy="487915"/>
                          </a:xfrm>
                          <a:prstGeom prst="rect">
                            <a:avLst/>
                          </a:prstGeom>
                          <a:noFill/>
                          <a:ln>
                            <a:solidFill>
                              <a:schemeClr val="tx1"/>
                            </a:solidFill>
                          </a:ln>
                        </wps:spPr>
                        <wps:txbx>
                          <w:txbxContent>
                            <w:p w14:paraId="730A6808" w14:textId="77777777" w:rsidR="00BE2CA7" w:rsidRPr="00C82C19" w:rsidRDefault="00BE2CA7" w:rsidP="00BE2CA7">
                              <w:pPr>
                                <w:jc w:val="center"/>
                                <w:textAlignment w:val="baseline"/>
                              </w:pPr>
                              <w:r w:rsidRPr="00AF1F68">
                                <w:rPr>
                                  <w:lang w:val="fr-FR"/>
                                </w:rPr>
                                <w:t>Autorité d’homologation de</w:t>
                              </w:r>
                              <w:r>
                                <w:rPr>
                                  <w:lang w:val="fr-FR"/>
                                </w:rPr>
                                <w:t> </w:t>
                              </w:r>
                              <w:r w:rsidRPr="00AF1F68">
                                <w:rPr>
                                  <w:lang w:val="fr-FR"/>
                                </w:rPr>
                                <w:t>type</w:t>
                              </w:r>
                              <w:r>
                                <w:rPr>
                                  <w:lang w:val="fr-FR"/>
                                </w:rPr>
                                <w:t>, constructeur</w:t>
                              </w:r>
                            </w:p>
                          </w:txbxContent>
                        </wps:txbx>
                        <wps:bodyPr wrap="square" rtlCol="0" anchor="ctr" anchorCtr="0">
                          <a:noAutofit/>
                        </wps:bodyPr>
                      </wps:wsp>
                      <wps:wsp>
                        <wps:cNvPr id="1554341434" name="TextBox 33"/>
                        <wps:cNvSpPr txBox="1"/>
                        <wps:spPr>
                          <a:xfrm>
                            <a:off x="2129139" y="2076074"/>
                            <a:ext cx="1642916" cy="487915"/>
                          </a:xfrm>
                          <a:prstGeom prst="rect">
                            <a:avLst/>
                          </a:prstGeom>
                          <a:noFill/>
                          <a:ln>
                            <a:solidFill>
                              <a:schemeClr val="tx1"/>
                            </a:solidFill>
                          </a:ln>
                        </wps:spPr>
                        <wps:txbx>
                          <w:txbxContent>
                            <w:p w14:paraId="21B435E5" w14:textId="77777777" w:rsidR="00BE2CA7" w:rsidRPr="00C82C19" w:rsidRDefault="00BE2CA7" w:rsidP="00BE2CA7">
                              <w:pPr>
                                <w:jc w:val="center"/>
                                <w:textAlignment w:val="baseline"/>
                              </w:pPr>
                              <w:r w:rsidRPr="00AF1F68">
                                <w:rPr>
                                  <w:lang w:val="fr-FR"/>
                                </w:rPr>
                                <w:t>Autorité d’homologation de</w:t>
                              </w:r>
                              <w:r>
                                <w:rPr>
                                  <w:lang w:val="fr-FR"/>
                                </w:rPr>
                                <w:t> </w:t>
                              </w:r>
                              <w:r w:rsidRPr="00AF1F68">
                                <w:rPr>
                                  <w:lang w:val="fr-FR"/>
                                </w:rPr>
                                <w:t>type</w:t>
                              </w:r>
                              <w:r>
                                <w:rPr>
                                  <w:lang w:val="fr-FR"/>
                                </w:rPr>
                                <w:t>, constructeur</w:t>
                              </w:r>
                            </w:p>
                          </w:txbxContent>
                        </wps:txbx>
                        <wps:bodyPr wrap="square" rtlCol="0" anchor="ctr" anchorCtr="0">
                          <a:noAutofit/>
                        </wps:bodyPr>
                      </wps:wsp>
                      <wps:wsp>
                        <wps:cNvPr id="1498584413" name="TextBox 31"/>
                        <wps:cNvSpPr txBox="1"/>
                        <wps:spPr>
                          <a:xfrm>
                            <a:off x="2129138" y="3543453"/>
                            <a:ext cx="1642916" cy="487915"/>
                          </a:xfrm>
                          <a:prstGeom prst="rect">
                            <a:avLst/>
                          </a:prstGeom>
                          <a:noFill/>
                          <a:ln>
                            <a:solidFill>
                              <a:schemeClr val="tx1"/>
                            </a:solidFill>
                          </a:ln>
                        </wps:spPr>
                        <wps:txbx>
                          <w:txbxContent>
                            <w:p w14:paraId="0306FC12" w14:textId="77777777" w:rsidR="00BE2CA7" w:rsidRPr="00C82C19" w:rsidRDefault="00BE2CA7" w:rsidP="00BE2CA7">
                              <w:pPr>
                                <w:jc w:val="center"/>
                                <w:textAlignment w:val="baseline"/>
                              </w:pPr>
                              <w:r w:rsidRPr="00AF1F68">
                                <w:rPr>
                                  <w:lang w:val="fr-FR"/>
                                </w:rPr>
                                <w:t>Autorité d’homologation de</w:t>
                              </w:r>
                              <w:r>
                                <w:rPr>
                                  <w:lang w:val="fr-FR"/>
                                </w:rPr>
                                <w:t> </w:t>
                              </w:r>
                              <w:r w:rsidRPr="00AF1F68">
                                <w:rPr>
                                  <w:lang w:val="fr-FR"/>
                                </w:rPr>
                                <w:t>type</w:t>
                              </w:r>
                            </w:p>
                          </w:txbxContent>
                        </wps:txbx>
                        <wps:bodyPr wrap="square" rtlCol="0" anchor="ctr" anchorCtr="0">
                          <a:noAutofit/>
                        </wps:bodyPr>
                      </wps:wsp>
                      <wps:wsp>
                        <wps:cNvPr id="1776046354" name="TextBox 24"/>
                        <wps:cNvSpPr txBox="1"/>
                        <wps:spPr>
                          <a:xfrm>
                            <a:off x="3955575" y="35120"/>
                            <a:ext cx="1642916" cy="516595"/>
                          </a:xfrm>
                          <a:prstGeom prst="rect">
                            <a:avLst/>
                          </a:prstGeom>
                          <a:noFill/>
                          <a:ln>
                            <a:solidFill>
                              <a:schemeClr val="tx1"/>
                            </a:solidFill>
                          </a:ln>
                        </wps:spPr>
                        <wps:txbx>
                          <w:txbxContent>
                            <w:p w14:paraId="47A17A7C" w14:textId="77777777" w:rsidR="00BE2CA7" w:rsidRPr="007C1B0D" w:rsidRDefault="00BE2CA7" w:rsidP="00BE2CA7">
                              <w:pPr>
                                <w:jc w:val="center"/>
                                <w:textAlignment w:val="baseline"/>
                                <w:rPr>
                                  <w:b/>
                                  <w:bCs/>
                                  <w:sz w:val="28"/>
                                  <w:szCs w:val="28"/>
                                  <w:lang w:val="fr-FR"/>
                                </w:rPr>
                              </w:pPr>
                              <w:r w:rsidRPr="00443259">
                                <w:rPr>
                                  <w:b/>
                                  <w:bCs/>
                                  <w:sz w:val="28"/>
                                  <w:szCs w:val="28"/>
                                  <w:lang w:val="fr-FR"/>
                                </w:rPr>
                                <w:t>Autres acteurs</w:t>
                              </w:r>
                            </w:p>
                          </w:txbxContent>
                        </wps:txbx>
                        <wps:bodyPr wrap="square" rtlCol="0" anchor="ctr" anchorCtr="0">
                          <a:noAutofit/>
                        </wps:bodyPr>
                      </wps:wsp>
                      <wps:wsp>
                        <wps:cNvPr id="1019773276" name="TextBox 31"/>
                        <wps:cNvSpPr txBox="1"/>
                        <wps:spPr>
                          <a:xfrm>
                            <a:off x="3955575" y="664413"/>
                            <a:ext cx="1642916" cy="487915"/>
                          </a:xfrm>
                          <a:prstGeom prst="rect">
                            <a:avLst/>
                          </a:prstGeom>
                          <a:noFill/>
                          <a:ln>
                            <a:solidFill>
                              <a:schemeClr val="tx1"/>
                            </a:solidFill>
                          </a:ln>
                        </wps:spPr>
                        <wps:txbx>
                          <w:txbxContent>
                            <w:p w14:paraId="1D6C17BF" w14:textId="77777777" w:rsidR="00BE2CA7" w:rsidRPr="007C1B0D" w:rsidRDefault="00BE2CA7" w:rsidP="00BE2CA7">
                              <w:pPr>
                                <w:jc w:val="center"/>
                                <w:textAlignment w:val="baseline"/>
                                <w:rPr>
                                  <w:lang w:val="fr-FR"/>
                                </w:rPr>
                              </w:pPr>
                              <w:r w:rsidRPr="00443259">
                                <w:rPr>
                                  <w:lang w:val="fr-FR"/>
                                </w:rPr>
                                <w:t xml:space="preserve">Autres </w:t>
                              </w:r>
                              <w:r>
                                <w:rPr>
                                  <w:lang w:val="fr-FR"/>
                                </w:rPr>
                                <w:t>P</w:t>
                              </w:r>
                              <w:r w:rsidRPr="00443259">
                                <w:rPr>
                                  <w:lang w:val="fr-FR"/>
                                </w:rPr>
                                <w:t>arties contractant</w:t>
                              </w:r>
                              <w:r>
                                <w:rPr>
                                  <w:lang w:val="fr-FR"/>
                                </w:rPr>
                                <w:t>e</w:t>
                              </w:r>
                              <w:r w:rsidRPr="00443259">
                                <w:rPr>
                                  <w:lang w:val="fr-FR"/>
                                </w:rPr>
                                <w:t>s, ti</w:t>
                              </w:r>
                              <w:r>
                                <w:rPr>
                                  <w:lang w:val="fr-FR"/>
                                </w:rPr>
                                <w:t>er</w:t>
                              </w:r>
                              <w:r w:rsidRPr="00443259">
                                <w:rPr>
                                  <w:lang w:val="fr-FR"/>
                                </w:rPr>
                                <w:t>ces parties</w:t>
                              </w:r>
                            </w:p>
                          </w:txbxContent>
                        </wps:txbx>
                        <wps:bodyPr wrap="square" rtlCol="0" anchor="ctr" anchorCtr="0">
                          <a:noAutofit/>
                        </wps:bodyPr>
                      </wps:wsp>
                      <wps:wsp>
                        <wps:cNvPr id="151687658" name="TextBox 33"/>
                        <wps:cNvSpPr txBox="1"/>
                        <wps:spPr>
                          <a:xfrm>
                            <a:off x="3955572" y="1352336"/>
                            <a:ext cx="1642916" cy="487915"/>
                          </a:xfrm>
                          <a:prstGeom prst="rect">
                            <a:avLst/>
                          </a:prstGeom>
                          <a:noFill/>
                          <a:ln>
                            <a:solidFill>
                              <a:schemeClr val="tx1"/>
                            </a:solidFill>
                          </a:ln>
                        </wps:spPr>
                        <wps:txbx>
                          <w:txbxContent>
                            <w:p w14:paraId="2F7CF7AF" w14:textId="77777777" w:rsidR="00BE2CA7" w:rsidRPr="00443259" w:rsidRDefault="00BE2CA7" w:rsidP="00BE2CA7">
                              <w:pPr>
                                <w:jc w:val="center"/>
                                <w:textAlignment w:val="baseline"/>
                              </w:pPr>
                              <w:r w:rsidRPr="00443259">
                                <w:t>Autres Parties contractantes, tierces parties</w:t>
                              </w:r>
                            </w:p>
                          </w:txbxContent>
                        </wps:txbx>
                        <wps:bodyPr wrap="square" rtlCol="0" anchor="ctr" anchorCtr="0">
                          <a:noAutofit/>
                        </wps:bodyPr>
                      </wps:wsp>
                      <wps:wsp>
                        <wps:cNvPr id="986750101" name="TextBox 33"/>
                        <wps:cNvSpPr txBox="1"/>
                        <wps:spPr>
                          <a:xfrm>
                            <a:off x="3955572" y="2790094"/>
                            <a:ext cx="1642916" cy="487915"/>
                          </a:xfrm>
                          <a:prstGeom prst="rect">
                            <a:avLst/>
                          </a:prstGeom>
                          <a:noFill/>
                          <a:ln>
                            <a:solidFill>
                              <a:schemeClr val="tx1"/>
                            </a:solidFill>
                          </a:ln>
                        </wps:spPr>
                        <wps:txbx>
                          <w:txbxContent>
                            <w:p w14:paraId="19F2A62C" w14:textId="77777777" w:rsidR="00BE2CA7" w:rsidRDefault="00BE2CA7" w:rsidP="00BE2CA7">
                              <w:pPr>
                                <w:jc w:val="center"/>
                                <w:textAlignment w:val="baseline"/>
                              </w:pPr>
                              <w:r>
                                <w:rPr>
                                  <w:rFonts w:cstheme="minorBidi"/>
                                  <w:color w:val="000000" w:themeColor="text1"/>
                                  <w:kern w:val="24"/>
                                </w:rPr>
                                <w:t>-</w:t>
                              </w:r>
                            </w:p>
                          </w:txbxContent>
                        </wps:txbx>
                        <wps:bodyPr wrap="square" rtlCol="0" anchor="ctr" anchorCtr="0">
                          <a:noAutofit/>
                        </wps:bodyPr>
                      </wps:wsp>
                      <wps:wsp>
                        <wps:cNvPr id="269853403" name="TextBox 33"/>
                        <wps:cNvSpPr txBox="1"/>
                        <wps:spPr>
                          <a:xfrm>
                            <a:off x="3955570" y="2076074"/>
                            <a:ext cx="1642916" cy="487915"/>
                          </a:xfrm>
                          <a:prstGeom prst="rect">
                            <a:avLst/>
                          </a:prstGeom>
                          <a:noFill/>
                          <a:ln>
                            <a:solidFill>
                              <a:schemeClr val="tx1"/>
                            </a:solidFill>
                          </a:ln>
                        </wps:spPr>
                        <wps:txbx>
                          <w:txbxContent>
                            <w:p w14:paraId="301DC9F5" w14:textId="77777777" w:rsidR="00BE2CA7" w:rsidRDefault="00BE2CA7" w:rsidP="00BE2CA7">
                              <w:pPr>
                                <w:jc w:val="center"/>
                                <w:textAlignment w:val="baseline"/>
                              </w:pPr>
                              <w:r>
                                <w:rPr>
                                  <w:rFonts w:cstheme="minorBidi"/>
                                  <w:color w:val="000000" w:themeColor="text1"/>
                                  <w:kern w:val="24"/>
                                </w:rPr>
                                <w:t>-</w:t>
                              </w:r>
                            </w:p>
                          </w:txbxContent>
                        </wps:txbx>
                        <wps:bodyPr wrap="square" rtlCol="0" anchor="ctr" anchorCtr="0">
                          <a:noAutofit/>
                        </wps:bodyPr>
                      </wps:wsp>
                      <wps:wsp>
                        <wps:cNvPr id="315998491" name="TextBox 37"/>
                        <wps:cNvSpPr txBox="1"/>
                        <wps:spPr>
                          <a:xfrm>
                            <a:off x="3955567" y="3541156"/>
                            <a:ext cx="1641713" cy="487915"/>
                          </a:xfrm>
                          <a:prstGeom prst="rect">
                            <a:avLst/>
                          </a:prstGeom>
                          <a:noFill/>
                          <a:ln>
                            <a:solidFill>
                              <a:schemeClr val="tx1"/>
                            </a:solidFill>
                          </a:ln>
                        </wps:spPr>
                        <wps:txbx>
                          <w:txbxContent>
                            <w:p w14:paraId="121CFF3E" w14:textId="77777777" w:rsidR="00BE2CA7" w:rsidRPr="00C82C19" w:rsidRDefault="00BE2CA7" w:rsidP="00BE2CA7">
                              <w:pPr>
                                <w:jc w:val="center"/>
                                <w:textAlignment w:val="baseline"/>
                              </w:pPr>
                              <w:r w:rsidRPr="00AF1F68">
                                <w:t>Autres Parties contractantes, tierces parties</w:t>
                              </w:r>
                            </w:p>
                          </w:txbxContent>
                        </wps:txbx>
                        <wps:bodyPr wrap="square" rtlCol="0" anchor="ctr" anchorCtr="0">
                          <a:noAutofit/>
                        </wps:bodyPr>
                      </wps:wsp>
                    </wpg:wgp>
                  </a:graphicData>
                </a:graphic>
              </wp:inline>
            </w:drawing>
          </mc:Choice>
          <mc:Fallback>
            <w:pict>
              <v:group w14:anchorId="0A2F1011" id="Group 38" o:spid="_x0000_s1091" style="width:481.9pt;height:356.8pt;mso-position-horizontal-relative:char;mso-position-vertical-relative:line" coordorigin="924,254" coordsize="55060,40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">
                <o:lock v:ext="edit" aspectratio="t"/>
                <v:shape id="TextBox 3" o:spid="_x0000_s1092" type="#_x0000_t202" style="position:absolute;left:924;top:6969;width:18400;height:45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" filled="f" strokecolor="black [3213]">
                  <v:textbox>
                    <w:txbxContent>
                      <w:p w14:paraId="4EC32A4A" w14:textId="77777777" w:rsidR="00BE2CA7" w:rsidRPr="007C1B0D" w:rsidRDefault="00BE2CA7" w:rsidP="00BE2CA7">
                        <w:pPr>
                          <w:jc w:val="center"/>
                          <w:textAlignment w:val="baseline"/>
                          <w:rPr>
                            <w:lang w:val="fr-FR"/>
                          </w:rPr>
                        </w:pPr>
                        <w:r w:rsidRPr="007C1B0D">
                          <w:rPr>
                            <w:lang w:val="fr-FR"/>
                          </w:rPr>
                          <w:t>Collecte d’</w:t>
                        </w:r>
                        <w:r>
                          <w:rPr>
                            <w:lang w:val="fr-FR"/>
                          </w:rPr>
                          <w:t xml:space="preserve">informations et évaluation des risques </w:t>
                        </w:r>
                        <w:r w:rsidRPr="00443259">
                          <w:rPr>
                            <w:color w:val="000000"/>
                            <w:kern w:val="24"/>
                            <w:lang w:val="fr-SN"/>
                          </w:rPr>
                          <w:t>(</w:t>
                        </w:r>
                        <w:r>
                          <w:rPr>
                            <w:color w:val="000000"/>
                            <w:kern w:val="24"/>
                            <w:lang w:val="fr-SN"/>
                          </w:rPr>
                          <w:t>s</w:t>
                        </w:r>
                        <w:r w:rsidRPr="00443259">
                          <w:rPr>
                            <w:color w:val="000000"/>
                            <w:kern w:val="24"/>
                            <w:lang w:val="fr-SN"/>
                          </w:rPr>
                          <w:t>ect</w:t>
                        </w:r>
                        <w:r>
                          <w:rPr>
                            <w:color w:val="000000"/>
                            <w:kern w:val="24"/>
                            <w:lang w:val="fr-SN"/>
                          </w:rPr>
                          <w:t>. </w:t>
                        </w:r>
                        <w:r w:rsidRPr="00443259">
                          <w:rPr>
                            <w:color w:val="000000"/>
                            <w:kern w:val="24"/>
                            <w:lang w:val="fr-SN"/>
                          </w:rPr>
                          <w:t>4)</w:t>
                        </w:r>
                      </w:p>
                    </w:txbxContent>
                  </v:textbox>
                </v:shape>
                <v:shape id="TextBox 4" o:spid="_x0000_s1093" type="#_x0000_t202" style="position:absolute;left:924;top:13523;width:18400;height:4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" filled="f" strokecolor="black [3213]">
                  <v:textbox>
                    <w:txbxContent>
                      <w:p w14:paraId="46003AA0" w14:textId="77777777" w:rsidR="00BE2CA7" w:rsidRPr="007C1B0D" w:rsidRDefault="00BE2CA7" w:rsidP="00BE2CA7">
                        <w:pPr>
                          <w:jc w:val="center"/>
                          <w:textAlignment w:val="baseline"/>
                          <w:rPr>
                            <w:lang w:val="fr-SN"/>
                          </w:rPr>
                        </w:pPr>
                        <w:r w:rsidRPr="00443259">
                          <w:rPr>
                            <w:lang w:val="fr-SN"/>
                          </w:rPr>
                          <w:t>Vérification de la conformité en</w:t>
                        </w:r>
                        <w:r>
                          <w:rPr>
                            <w:lang w:val="fr-SN"/>
                          </w:rPr>
                          <w:t> </w:t>
                        </w:r>
                        <w:r w:rsidRPr="00443259">
                          <w:rPr>
                            <w:lang w:val="fr-SN"/>
                          </w:rPr>
                          <w:t xml:space="preserve">service </w:t>
                        </w:r>
                        <w:r>
                          <w:rPr>
                            <w:lang w:val="fr-SN"/>
                          </w:rPr>
                          <w:br/>
                        </w:r>
                        <w:r w:rsidRPr="00AF1F68">
                          <w:rPr>
                            <w:color w:val="000000"/>
                            <w:kern w:val="24"/>
                            <w:lang w:val="fr-SN"/>
                          </w:rPr>
                          <w:t>(</w:t>
                        </w:r>
                        <w:r>
                          <w:rPr>
                            <w:color w:val="000000"/>
                            <w:kern w:val="24"/>
                            <w:lang w:val="fr-SN"/>
                          </w:rPr>
                          <w:t>s</w:t>
                        </w:r>
                        <w:r w:rsidRPr="00AF1F68">
                          <w:rPr>
                            <w:color w:val="000000"/>
                            <w:kern w:val="24"/>
                            <w:lang w:val="fr-SN"/>
                          </w:rPr>
                          <w:t>ec</w:t>
                        </w:r>
                        <w:r>
                          <w:rPr>
                            <w:color w:val="000000"/>
                            <w:kern w:val="24"/>
                            <w:lang w:val="fr-SN"/>
                          </w:rPr>
                          <w:t>t. 5</w:t>
                        </w:r>
                        <w:r w:rsidRPr="00AF1F68">
                          <w:rPr>
                            <w:color w:val="000000"/>
                            <w:kern w:val="24"/>
                            <w:lang w:val="fr-SN"/>
                          </w:rPr>
                          <w:t>)</w:t>
                        </w:r>
                      </w:p>
                    </w:txbxContent>
                  </v:textbox>
                </v:shape>
                <v:shape id="TextBox 5" o:spid="_x0000_s1094" type="#_x0000_t202" style="position:absolute;left:924;top:20732;width:18400;height:4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" filled="f" strokecolor="black [3213]">
                  <v:textbox>
                    <w:txbxContent>
                      <w:p w14:paraId="56EF5A60" w14:textId="77777777" w:rsidR="00BE2CA7" w:rsidRPr="007C1B0D" w:rsidRDefault="00BE2CA7" w:rsidP="00BE2CA7">
                        <w:pPr>
                          <w:jc w:val="center"/>
                          <w:textAlignment w:val="baseline"/>
                          <w:rPr>
                            <w:lang w:val="fr-SN"/>
                          </w:rPr>
                        </w:pPr>
                        <w:r w:rsidRPr="00443259">
                          <w:rPr>
                            <w:lang w:val="fr-SN"/>
                          </w:rPr>
                          <w:t xml:space="preserve">Évaluation de la conformité </w:t>
                        </w:r>
                        <w:r w:rsidRPr="00AF1F68">
                          <w:rPr>
                            <w:color w:val="000000"/>
                            <w:kern w:val="24"/>
                            <w:lang w:val="fr-SN"/>
                          </w:rPr>
                          <w:t>(</w:t>
                        </w:r>
                        <w:r>
                          <w:rPr>
                            <w:color w:val="000000"/>
                            <w:kern w:val="24"/>
                            <w:lang w:val="fr-SN"/>
                          </w:rPr>
                          <w:t>s</w:t>
                        </w:r>
                        <w:r w:rsidRPr="00AF1F68">
                          <w:rPr>
                            <w:color w:val="000000"/>
                            <w:kern w:val="24"/>
                            <w:lang w:val="fr-SN"/>
                          </w:rPr>
                          <w:t>ect</w:t>
                        </w:r>
                        <w:r>
                          <w:rPr>
                            <w:color w:val="000000"/>
                            <w:kern w:val="24"/>
                            <w:lang w:val="fr-SN"/>
                          </w:rPr>
                          <w:t>. 6</w:t>
                        </w:r>
                        <w:r w:rsidRPr="00AF1F68">
                          <w:rPr>
                            <w:color w:val="000000"/>
                            <w:kern w:val="24"/>
                            <w:lang w:val="fr-SN"/>
                          </w:rPr>
                          <w:t>)</w:t>
                        </w:r>
                      </w:p>
                    </w:txbxContent>
                  </v:textbox>
                </v:shape>
                <v:shape id="TextBox 6" o:spid="_x0000_s1095" type="#_x0000_t202" style="position:absolute;left:924;top:27970;width:18401;height:4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" filled="f" strokecolor="black [3213]">
                  <v:textbox>
                    <w:txbxContent>
                      <w:p w14:paraId="1C51D449" w14:textId="77777777" w:rsidR="00BE2CA7" w:rsidRPr="00443259" w:rsidRDefault="00BE2CA7" w:rsidP="00BE2CA7">
                        <w:pPr>
                          <w:jc w:val="center"/>
                          <w:textAlignment w:val="baseline"/>
                          <w:rPr>
                            <w:lang w:val="fr-SN"/>
                          </w:rPr>
                        </w:pPr>
                        <w:r w:rsidRPr="00443259">
                          <w:rPr>
                            <w:rFonts w:cstheme="minorBidi"/>
                            <w:color w:val="000000" w:themeColor="text1"/>
                            <w:kern w:val="24"/>
                            <w:lang w:val="fr-SN"/>
                          </w:rPr>
                          <w:t xml:space="preserve">Mesures correctives </w:t>
                        </w:r>
                        <w:r>
                          <w:rPr>
                            <w:rFonts w:cstheme="minorBidi"/>
                            <w:color w:val="000000" w:themeColor="text1"/>
                            <w:kern w:val="24"/>
                            <w:lang w:val="fr-SN"/>
                          </w:rPr>
                          <w:br/>
                        </w:r>
                        <w:r w:rsidRPr="00443259">
                          <w:rPr>
                            <w:rFonts w:cstheme="minorBidi"/>
                            <w:color w:val="000000" w:themeColor="text1"/>
                            <w:kern w:val="24"/>
                            <w:lang w:val="fr-SN"/>
                          </w:rPr>
                          <w:t>(le cas échéant, sect</w:t>
                        </w:r>
                        <w:r>
                          <w:rPr>
                            <w:rFonts w:cstheme="minorBidi"/>
                            <w:color w:val="000000" w:themeColor="text1"/>
                            <w:kern w:val="24"/>
                            <w:lang w:val="fr-SN"/>
                          </w:rPr>
                          <w:t>. </w:t>
                        </w:r>
                        <w:r w:rsidRPr="00443259">
                          <w:rPr>
                            <w:rFonts w:cstheme="minorBidi"/>
                            <w:color w:val="000000" w:themeColor="text1"/>
                            <w:kern w:val="24"/>
                            <w:lang w:val="fr-SN"/>
                          </w:rPr>
                          <w:t>7)</w:t>
                        </w:r>
                      </w:p>
                    </w:txbxContent>
                  </v:textbox>
                </v:shape>
                <v:shape id="TextBox 7" o:spid="_x0000_s1096" type="#_x0000_t202" style="position:absolute;left:924;top:35434;width:18401;height:4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" filled="f" strokecolor="black [3213]">
                  <v:textbox>
                    <w:txbxContent>
                      <w:p w14:paraId="474B8CF9" w14:textId="77777777" w:rsidR="00BE2CA7" w:rsidRPr="00C82C19" w:rsidRDefault="00BE2CA7" w:rsidP="00BE2CA7">
                        <w:pPr>
                          <w:jc w:val="center"/>
                          <w:textAlignment w:val="baseline"/>
                        </w:pPr>
                        <w:r w:rsidRPr="00194D8F">
                          <w:rPr>
                            <w:color w:val="000000"/>
                            <w:kern w:val="24"/>
                            <w:lang w:val="it-IT"/>
                          </w:rPr>
                          <w:t>Communication des données</w:t>
                        </w:r>
                      </w:p>
                      <w:p w14:paraId="386BFBBB" w14:textId="77777777" w:rsidR="00BE2CA7" w:rsidRPr="00C82C19" w:rsidRDefault="00BE2CA7" w:rsidP="00BE2CA7">
                        <w:pPr>
                          <w:jc w:val="center"/>
                          <w:textAlignment w:val="baseline"/>
                        </w:pPr>
                        <w:r w:rsidRPr="00C82C19">
                          <w:rPr>
                            <w:color w:val="000000"/>
                            <w:kern w:val="24"/>
                            <w:lang w:val="it-IT"/>
                          </w:rPr>
                          <w:t>(</w:t>
                        </w:r>
                        <w:r>
                          <w:rPr>
                            <w:color w:val="000000"/>
                            <w:kern w:val="24"/>
                            <w:lang w:val="it-IT"/>
                          </w:rPr>
                          <w:t>s</w:t>
                        </w:r>
                        <w:r w:rsidRPr="00C82C19">
                          <w:rPr>
                            <w:color w:val="000000"/>
                            <w:kern w:val="24"/>
                            <w:lang w:val="it-IT"/>
                          </w:rPr>
                          <w:t>ect</w:t>
                        </w:r>
                        <w:r>
                          <w:rPr>
                            <w:color w:val="000000"/>
                            <w:kern w:val="24"/>
                            <w:lang w:val="it-IT"/>
                          </w:rPr>
                          <w:t>.</w:t>
                        </w:r>
                        <w:r w:rsidRPr="00C82C19">
                          <w:rPr>
                            <w:color w:val="000000"/>
                            <w:kern w:val="24"/>
                            <w:lang w:val="it-IT"/>
                          </w:rPr>
                          <w:t xml:space="preserve"> 8)</w:t>
                        </w:r>
                      </w:p>
                    </w:txbxContent>
                  </v:textbox>
                </v:shape>
                <v:shape id="Straight Arrow Connector 35" o:spid="_x0000_s1097" type="#_x0000_t32" style="position:absolute;left:10108;top:11523;width:0;height:20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" fillcolor="#4f81bd [3204]" strokecolor="black [3213]" strokeweight="2.25pt">
                  <v:stroke endarrow="open"/>
                  <v:shadow color="#eeece1 [3214]"/>
                </v:shape>
                <v:shape id="Straight Arrow Connector 36" o:spid="_x0000_s1098" type="#_x0000_t32" style="position:absolute;left:10108;top:18402;width:0;height:2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" fillcolor="#4f81bd [3204]" strokecolor="black [3213]" strokeweight="2.25pt">
                  <v:stroke endarrow="open"/>
                  <v:shadow color="#eeece1 [3214]"/>
                </v:shape>
                <v:shape id="Straight Arrow Connector 37" o:spid="_x0000_s1099" type="#_x0000_t32" style="position:absolute;left:10223;top:25639;width:0;height:233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" fillcolor="#4f81bd [3204]" strokecolor="black [3213]" strokeweight="2.25pt">
                  <v:stroke endarrow="open"/>
                  <v:shadow color="#eeece1 [3214]"/>
                </v:shape>
                <v:shape id="Straight Arrow Connector 38" o:spid="_x0000_s1100" type="#_x0000_t32" style="position:absolute;left:10223;top:32849;width:0;height:24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" fillcolor="#4f81bd [3204]" strokecolor="black [3213]" strokeweight="2.25pt">
                  <v:stroke endarrow="open"/>
                  <v:shadow color="#eeece1 [3214]"/>
                </v:shape>
                <v:shape id="TextBox 24" o:spid="_x0000_s1101" type="#_x0000_t202" style="position:absolute;left:21291;top:351;width:16429;height:51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" filled="f" strokecolor="black [3213]">
                  <v:textbox>
                    <w:txbxContent>
                      <w:p w14:paraId="553747F6" w14:textId="77777777" w:rsidR="00BE2CA7" w:rsidRPr="007C1B0D" w:rsidRDefault="00BE2CA7" w:rsidP="00BE2CA7">
                        <w:pPr>
                          <w:jc w:val="center"/>
                          <w:textAlignment w:val="baseline"/>
                          <w:rPr>
                            <w:b/>
                            <w:bCs/>
                            <w:color w:val="000000"/>
                            <w:kern w:val="24"/>
                            <w:sz w:val="28"/>
                            <w:szCs w:val="28"/>
                            <w:lang w:val="fr-FR"/>
                          </w:rPr>
                        </w:pPr>
                        <w:r>
                          <w:rPr>
                            <w:b/>
                            <w:bCs/>
                            <w:color w:val="000000"/>
                            <w:kern w:val="24"/>
                            <w:sz w:val="28"/>
                            <w:szCs w:val="28"/>
                            <w:lang w:val="fr-FR"/>
                          </w:rPr>
                          <w:t>Responsabilité principale</w:t>
                        </w:r>
                      </w:p>
                    </w:txbxContent>
                  </v:textbox>
                </v:shape>
                <v:shape id="TextBox 31" o:spid="_x0000_s1102" type="#_x0000_t202" style="position:absolute;left:21291;top:6644;width:16429;height:4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" filled="f" strokecolor="black [3213]">
                  <v:textbox>
                    <w:txbxContent>
                      <w:p w14:paraId="0FF767B8" w14:textId="77777777" w:rsidR="00BE2CA7" w:rsidRPr="007C1B0D" w:rsidRDefault="00BE2CA7" w:rsidP="00BE2CA7">
                        <w:pPr>
                          <w:jc w:val="center"/>
                          <w:textAlignment w:val="baseline"/>
                          <w:rPr>
                            <w:lang w:val="fr-FR"/>
                          </w:rPr>
                        </w:pPr>
                        <w:r w:rsidRPr="00443259">
                          <w:rPr>
                            <w:lang w:val="fr-FR"/>
                          </w:rPr>
                          <w:t>Autorité d’homologation de</w:t>
                        </w:r>
                        <w:r>
                          <w:rPr>
                            <w:lang w:val="fr-FR"/>
                          </w:rPr>
                          <w:t> </w:t>
                        </w:r>
                        <w:r w:rsidRPr="00443259">
                          <w:rPr>
                            <w:lang w:val="fr-FR"/>
                          </w:rPr>
                          <w:t>type</w:t>
                        </w:r>
                      </w:p>
                    </w:txbxContent>
                  </v:textbox>
                </v:shape>
                <v:shape id="TextBox 33" o:spid="_x0000_s1103" type="#_x0000_t202" style="position:absolute;left:21291;top:13523;width:16429;height:4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" filled="f" strokecolor="black [3213]">
                  <v:textbox>
                    <w:txbxContent>
                      <w:p w14:paraId="7E8B8FE3" w14:textId="77777777" w:rsidR="00BE2CA7" w:rsidRPr="007C1B0D" w:rsidRDefault="00BE2CA7" w:rsidP="00BE2CA7">
                        <w:pPr>
                          <w:jc w:val="center"/>
                          <w:textAlignment w:val="baseline"/>
                          <w:rPr>
                            <w:lang w:val="fr-FR"/>
                          </w:rPr>
                        </w:pPr>
                        <w:r w:rsidRPr="00AF1F68">
                          <w:rPr>
                            <w:lang w:val="fr-FR"/>
                          </w:rPr>
                          <w:t>Autorité d’homologation de</w:t>
                        </w:r>
                        <w:r>
                          <w:rPr>
                            <w:lang w:val="fr-FR"/>
                          </w:rPr>
                          <w:t> </w:t>
                        </w:r>
                        <w:r w:rsidRPr="00AF1F68">
                          <w:rPr>
                            <w:lang w:val="fr-FR"/>
                          </w:rPr>
                          <w:t>type</w:t>
                        </w:r>
                        <w:r>
                          <w:rPr>
                            <w:lang w:val="fr-FR"/>
                          </w:rPr>
                          <w:t>, constructeur</w:t>
                        </w:r>
                      </w:p>
                    </w:txbxContent>
                  </v:textbox>
                </v:shape>
                <v:shape id="TextBox 26" o:spid="_x0000_s1104" type="#_x0000_t202" style="position:absolute;left:924;top:254;width:18400;height:51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" filled="f" strokecolor="black [3213]">
                  <v:textbox>
                    <w:txbxContent>
                      <w:p w14:paraId="088C48CE" w14:textId="77777777" w:rsidR="00BE2CA7" w:rsidRPr="007C1B0D" w:rsidRDefault="00BE2CA7" w:rsidP="00BE2CA7">
                        <w:pPr>
                          <w:jc w:val="center"/>
                          <w:textAlignment w:val="baseline"/>
                          <w:rPr>
                            <w:b/>
                            <w:bCs/>
                            <w:sz w:val="28"/>
                            <w:szCs w:val="28"/>
                            <w:lang w:val="fr-FR"/>
                          </w:rPr>
                        </w:pPr>
                        <w:r w:rsidRPr="00443259">
                          <w:rPr>
                            <w:b/>
                            <w:bCs/>
                            <w:sz w:val="28"/>
                            <w:szCs w:val="28"/>
                            <w:lang w:val="fr-FR"/>
                          </w:rPr>
                          <w:t>Étapes du contrôle de la conformité en service</w:t>
                        </w:r>
                      </w:p>
                    </w:txbxContent>
                  </v:textbox>
                </v:shape>
                <v:shape id="TextBox 33" o:spid="_x0000_s1105" type="#_x0000_t202" style="position:absolute;left:21291;top:27969;width:16429;height:4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" filled="f" strokecolor="black [3213]">
                  <v:textbox>
                    <w:txbxContent>
                      <w:p w14:paraId="730A6808" w14:textId="77777777" w:rsidR="00BE2CA7" w:rsidRPr="00C82C19" w:rsidRDefault="00BE2CA7" w:rsidP="00BE2CA7">
                        <w:pPr>
                          <w:jc w:val="center"/>
                          <w:textAlignment w:val="baseline"/>
                        </w:pPr>
                        <w:r w:rsidRPr="00AF1F68">
                          <w:rPr>
                            <w:lang w:val="fr-FR"/>
                          </w:rPr>
                          <w:t>Autorité d’homologation de</w:t>
                        </w:r>
                        <w:r>
                          <w:rPr>
                            <w:lang w:val="fr-FR"/>
                          </w:rPr>
                          <w:t> </w:t>
                        </w:r>
                        <w:r w:rsidRPr="00AF1F68">
                          <w:rPr>
                            <w:lang w:val="fr-FR"/>
                          </w:rPr>
                          <w:t>type</w:t>
                        </w:r>
                        <w:r>
                          <w:rPr>
                            <w:lang w:val="fr-FR"/>
                          </w:rPr>
                          <w:t>, constructeur</w:t>
                        </w:r>
                      </w:p>
                    </w:txbxContent>
                  </v:textbox>
                </v:shape>
                <v:shape id="TextBox 33" o:spid="_x0000_s1106" type="#_x0000_t202" style="position:absolute;left:21291;top:20760;width:16429;height:4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" filled="f" strokecolor="black [3213]">
                  <v:textbox>
                    <w:txbxContent>
                      <w:p w14:paraId="21B435E5" w14:textId="77777777" w:rsidR="00BE2CA7" w:rsidRPr="00C82C19" w:rsidRDefault="00BE2CA7" w:rsidP="00BE2CA7">
                        <w:pPr>
                          <w:jc w:val="center"/>
                          <w:textAlignment w:val="baseline"/>
                        </w:pPr>
                        <w:r w:rsidRPr="00AF1F68">
                          <w:rPr>
                            <w:lang w:val="fr-FR"/>
                          </w:rPr>
                          <w:t>Autorité d’homologation de</w:t>
                        </w:r>
                        <w:r>
                          <w:rPr>
                            <w:lang w:val="fr-FR"/>
                          </w:rPr>
                          <w:t> </w:t>
                        </w:r>
                        <w:r w:rsidRPr="00AF1F68">
                          <w:rPr>
                            <w:lang w:val="fr-FR"/>
                          </w:rPr>
                          <w:t>type</w:t>
                        </w:r>
                        <w:r>
                          <w:rPr>
                            <w:lang w:val="fr-FR"/>
                          </w:rPr>
                          <w:t>, constructeur</w:t>
                        </w:r>
                      </w:p>
                    </w:txbxContent>
                  </v:textbox>
                </v:shape>
                <v:shape id="TextBox 31" o:spid="_x0000_s1107" type="#_x0000_t202" style="position:absolute;left:21291;top:35434;width:16429;height:4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" filled="f" strokecolor="black [3213]">
                  <v:textbox>
                    <w:txbxContent>
                      <w:p w14:paraId="0306FC12" w14:textId="77777777" w:rsidR="00BE2CA7" w:rsidRPr="00C82C19" w:rsidRDefault="00BE2CA7" w:rsidP="00BE2CA7">
                        <w:pPr>
                          <w:jc w:val="center"/>
                          <w:textAlignment w:val="baseline"/>
                        </w:pPr>
                        <w:r w:rsidRPr="00AF1F68">
                          <w:rPr>
                            <w:lang w:val="fr-FR"/>
                          </w:rPr>
                          <w:t>Autorité d’homologation de</w:t>
                        </w:r>
                        <w:r>
                          <w:rPr>
                            <w:lang w:val="fr-FR"/>
                          </w:rPr>
                          <w:t> </w:t>
                        </w:r>
                        <w:r w:rsidRPr="00AF1F68">
                          <w:rPr>
                            <w:lang w:val="fr-FR"/>
                          </w:rPr>
                          <w:t>type</w:t>
                        </w:r>
                      </w:p>
                    </w:txbxContent>
                  </v:textbox>
                </v:shape>
                <v:shape id="TextBox 24" o:spid="_x0000_s1108" type="#_x0000_t202" style="position:absolute;left:39555;top:351;width:16429;height:51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" filled="f" strokecolor="black [3213]">
                  <v:textbox>
                    <w:txbxContent>
                      <w:p w14:paraId="47A17A7C" w14:textId="77777777" w:rsidR="00BE2CA7" w:rsidRPr="007C1B0D" w:rsidRDefault="00BE2CA7" w:rsidP="00BE2CA7">
                        <w:pPr>
                          <w:jc w:val="center"/>
                          <w:textAlignment w:val="baseline"/>
                          <w:rPr>
                            <w:b/>
                            <w:bCs/>
                            <w:sz w:val="28"/>
                            <w:szCs w:val="28"/>
                            <w:lang w:val="fr-FR"/>
                          </w:rPr>
                        </w:pPr>
                        <w:r w:rsidRPr="00443259">
                          <w:rPr>
                            <w:b/>
                            <w:bCs/>
                            <w:sz w:val="28"/>
                            <w:szCs w:val="28"/>
                            <w:lang w:val="fr-FR"/>
                          </w:rPr>
                          <w:t>Autres acteurs</w:t>
                        </w:r>
                      </w:p>
                    </w:txbxContent>
                  </v:textbox>
                </v:shape>
                <v:shape id="TextBox 31" o:spid="_x0000_s1109" type="#_x0000_t202" style="position:absolute;left:39555;top:6644;width:16429;height:4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" filled="f" strokecolor="black [3213]">
                  <v:textbox>
                    <w:txbxContent>
                      <w:p w14:paraId="1D6C17BF" w14:textId="77777777" w:rsidR="00BE2CA7" w:rsidRPr="007C1B0D" w:rsidRDefault="00BE2CA7" w:rsidP="00BE2CA7">
                        <w:pPr>
                          <w:jc w:val="center"/>
                          <w:textAlignment w:val="baseline"/>
                          <w:rPr>
                            <w:lang w:val="fr-FR"/>
                          </w:rPr>
                        </w:pPr>
                        <w:r w:rsidRPr="00443259">
                          <w:rPr>
                            <w:lang w:val="fr-FR"/>
                          </w:rPr>
                          <w:t xml:space="preserve">Autres </w:t>
                        </w:r>
                        <w:r>
                          <w:rPr>
                            <w:lang w:val="fr-FR"/>
                          </w:rPr>
                          <w:t>P</w:t>
                        </w:r>
                        <w:r w:rsidRPr="00443259">
                          <w:rPr>
                            <w:lang w:val="fr-FR"/>
                          </w:rPr>
                          <w:t>arties contractant</w:t>
                        </w:r>
                        <w:r>
                          <w:rPr>
                            <w:lang w:val="fr-FR"/>
                          </w:rPr>
                          <w:t>e</w:t>
                        </w:r>
                        <w:r w:rsidRPr="00443259">
                          <w:rPr>
                            <w:lang w:val="fr-FR"/>
                          </w:rPr>
                          <w:t>s, ti</w:t>
                        </w:r>
                        <w:r>
                          <w:rPr>
                            <w:lang w:val="fr-FR"/>
                          </w:rPr>
                          <w:t>er</w:t>
                        </w:r>
                        <w:r w:rsidRPr="00443259">
                          <w:rPr>
                            <w:lang w:val="fr-FR"/>
                          </w:rPr>
                          <w:t>ces parties</w:t>
                        </w:r>
                      </w:p>
                    </w:txbxContent>
                  </v:textbox>
                </v:shape>
                <v:shape id="TextBox 33" o:spid="_x0000_s1110" type="#_x0000_t202" style="position:absolute;left:39555;top:13523;width:16429;height:4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" filled="f" strokecolor="black [3213]">
                  <v:textbox>
                    <w:txbxContent>
                      <w:p w14:paraId="2F7CF7AF" w14:textId="77777777" w:rsidR="00BE2CA7" w:rsidRPr="00443259" w:rsidRDefault="00BE2CA7" w:rsidP="00BE2CA7">
                        <w:pPr>
                          <w:jc w:val="center"/>
                          <w:textAlignment w:val="baseline"/>
                        </w:pPr>
                        <w:r w:rsidRPr="00443259">
                          <w:t>Autres Parties contractantes, tierces parties</w:t>
                        </w:r>
                      </w:p>
                    </w:txbxContent>
                  </v:textbox>
                </v:shape>
                <v:shape id="TextBox 33" o:spid="_x0000_s1111" type="#_x0000_t202" style="position:absolute;left:39555;top:27900;width:16429;height:4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" filled="f" strokecolor="black [3213]">
                  <v:textbox>
                    <w:txbxContent>
                      <w:p w14:paraId="19F2A62C" w14:textId="77777777" w:rsidR="00BE2CA7" w:rsidRDefault="00BE2CA7" w:rsidP="00BE2CA7">
                        <w:pPr>
                          <w:jc w:val="center"/>
                          <w:textAlignment w:val="baseline"/>
                        </w:pPr>
                        <w:r>
                          <w:rPr>
                            <w:rFonts w:cstheme="minorBidi"/>
                            <w:color w:val="000000" w:themeColor="text1"/>
                            <w:kern w:val="24"/>
                          </w:rPr>
                          <w:t>-</w:t>
                        </w:r>
                      </w:p>
                    </w:txbxContent>
                  </v:textbox>
                </v:shape>
                <v:shape id="TextBox 33" o:spid="_x0000_s1112" type="#_x0000_t202" style="position:absolute;left:39555;top:20760;width:16429;height:4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" filled="f" strokecolor="black [3213]">
                  <v:textbox>
                    <w:txbxContent>
                      <w:p w14:paraId="301DC9F5" w14:textId="77777777" w:rsidR="00BE2CA7" w:rsidRDefault="00BE2CA7" w:rsidP="00BE2CA7">
                        <w:pPr>
                          <w:jc w:val="center"/>
                          <w:textAlignment w:val="baseline"/>
                        </w:pPr>
                        <w:r>
                          <w:rPr>
                            <w:rFonts w:cstheme="minorBidi"/>
                            <w:color w:val="000000" w:themeColor="text1"/>
                            <w:kern w:val="24"/>
                          </w:rPr>
                          <w:t>-</w:t>
                        </w:r>
                      </w:p>
                    </w:txbxContent>
                  </v:textbox>
                </v:shape>
                <v:shape id="TextBox 37" o:spid="_x0000_s1113" type="#_x0000_t202" style="position:absolute;left:39555;top:35411;width:16417;height:4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" filled="f" strokecolor="black [3213]">
                  <v:textbox>
                    <w:txbxContent>
                      <w:p w14:paraId="121CFF3E" w14:textId="77777777" w:rsidR="00BE2CA7" w:rsidRPr="00C82C19" w:rsidRDefault="00BE2CA7" w:rsidP="00BE2CA7">
                        <w:pPr>
                          <w:jc w:val="center"/>
                          <w:textAlignment w:val="baseline"/>
                        </w:pPr>
                        <w:r w:rsidRPr="00AF1F68">
                          <w:t>Autres Parties contractantes, tierces parties</w:t>
                        </w:r>
                      </w:p>
                    </w:txbxContent>
                  </v:textbox>
                </v:shape>
                <w10:anchorlock/>
              </v:group>
            </w:pict>
          </mc:Fallback>
        </mc:AlternateContent>
      </w:r>
    </w:p>
    <w:p w14:paraId="7DC84B88" w14:textId="77777777" w:rsidR="00BE2CA7" w:rsidRPr="00440C76" w:rsidRDefault="00BE2CA7" w:rsidP="00BE2CA7">
      <w:pPr>
        <w:spacing w:before="120" w:after="240" w:line="220" w:lineRule="atLeast"/>
        <w:ind w:firstLine="170"/>
        <w:jc w:val="both"/>
        <w:outlineLvl w:val="3"/>
        <w:rPr>
          <w:sz w:val="18"/>
          <w:szCs w:val="18"/>
          <w:lang w:val="fr-FR"/>
        </w:rPr>
      </w:pPr>
      <w:r w:rsidRPr="00346BBE">
        <w:rPr>
          <w:i/>
          <w:iCs/>
          <w:sz w:val="18"/>
          <w:szCs w:val="18"/>
          <w:lang w:val="fr-FR"/>
        </w:rPr>
        <w:t>Note </w:t>
      </w:r>
      <w:r w:rsidRPr="00346BBE">
        <w:rPr>
          <w:sz w:val="18"/>
          <w:szCs w:val="18"/>
          <w:lang w:val="fr-FR"/>
        </w:rPr>
        <w:t xml:space="preserve">: </w:t>
      </w:r>
      <w:r w:rsidRPr="00346BBE">
        <w:rPr>
          <w:lang w:val="fr-FR"/>
        </w:rPr>
        <w:t>« </w:t>
      </w:r>
      <w:r w:rsidRPr="00346BBE">
        <w:rPr>
          <w:sz w:val="18"/>
          <w:szCs w:val="18"/>
          <w:lang w:val="fr-FR"/>
        </w:rPr>
        <w:t>Autres Parties contractantes</w:t>
      </w:r>
      <w:r w:rsidRPr="00346BBE">
        <w:rPr>
          <w:lang w:val="fr-FR"/>
        </w:rPr>
        <w:t> »</w:t>
      </w:r>
      <w:r w:rsidRPr="00346BBE">
        <w:rPr>
          <w:sz w:val="18"/>
          <w:szCs w:val="18"/>
          <w:lang w:val="fr-FR"/>
        </w:rPr>
        <w:t xml:space="preserve"> désigne les Parties contractantes qui ne délivrent pas l’homologation de type.</w:t>
      </w:r>
    </w:p>
    <w:p w14:paraId="08069141" w14:textId="77777777" w:rsidR="00BE2CA7" w:rsidRPr="00440C76" w:rsidRDefault="00BE2CA7" w:rsidP="00BE2CA7">
      <w:pPr>
        <w:pStyle w:val="SingleTxtG"/>
        <w:ind w:left="2268" w:hanging="1134"/>
        <w:rPr>
          <w:bCs/>
          <w:lang w:val="fr-FR"/>
        </w:rPr>
      </w:pPr>
      <w:r w:rsidRPr="00440C76">
        <w:rPr>
          <w:bCs/>
          <w:lang w:val="fr-FR"/>
        </w:rPr>
        <w:t>3.</w:t>
      </w:r>
      <w:r w:rsidRPr="00440C76">
        <w:rPr>
          <w:bCs/>
          <w:lang w:val="fr-FR"/>
        </w:rPr>
        <w:tab/>
      </w:r>
      <w:r w:rsidRPr="00440C76">
        <w:rPr>
          <w:lang w:val="fr-FR"/>
        </w:rPr>
        <w:t>Définition</w:t>
      </w:r>
      <w:r w:rsidRPr="00440C76">
        <w:rPr>
          <w:bCs/>
          <w:lang w:val="fr-FR"/>
        </w:rPr>
        <w:t xml:space="preserve"> de la famille de conformité en service</w:t>
      </w:r>
    </w:p>
    <w:p w14:paraId="7EFF0D00" w14:textId="77777777" w:rsidR="00BE2CA7" w:rsidRPr="00440C76" w:rsidRDefault="00BE2CA7" w:rsidP="00BE2CA7">
      <w:pPr>
        <w:pStyle w:val="SingleTxtG"/>
        <w:ind w:left="2268"/>
        <w:rPr>
          <w:lang w:val="fr-FR"/>
        </w:rPr>
      </w:pPr>
      <w:r w:rsidRPr="00440C76">
        <w:rPr>
          <w:lang w:val="fr-FR"/>
        </w:rPr>
        <w:t xml:space="preserve">Une famille </w:t>
      </w:r>
      <w:r w:rsidRPr="00440C76">
        <w:rPr>
          <w:bCs/>
          <w:lang w:val="fr-FR"/>
        </w:rPr>
        <w:t xml:space="preserve">de conformité en service </w:t>
      </w:r>
      <w:r w:rsidRPr="00440C76">
        <w:rPr>
          <w:lang w:val="fr-FR"/>
        </w:rPr>
        <w:t>est composée des véhicules suivants :</w:t>
      </w:r>
    </w:p>
    <w:p w14:paraId="19A2C784" w14:textId="77777777" w:rsidR="00BE2CA7" w:rsidRPr="00440C76" w:rsidRDefault="00BE2CA7" w:rsidP="00BE2CA7">
      <w:pPr>
        <w:pStyle w:val="SingleTxtG"/>
        <w:ind w:left="2835" w:hanging="567"/>
        <w:rPr>
          <w:lang w:val="fr-FR"/>
        </w:rPr>
      </w:pPr>
      <w:r w:rsidRPr="00440C76">
        <w:rPr>
          <w:lang w:val="fr-FR"/>
        </w:rPr>
        <w:t>a)</w:t>
      </w:r>
      <w:r w:rsidRPr="00440C76">
        <w:rPr>
          <w:lang w:val="fr-FR"/>
        </w:rPr>
        <w:tab/>
        <w:t>Pour les émissions d</w:t>
      </w:r>
      <w:r>
        <w:rPr>
          <w:lang w:val="fr-FR"/>
        </w:rPr>
        <w:t>’</w:t>
      </w:r>
      <w:r w:rsidRPr="00440C76">
        <w:rPr>
          <w:lang w:val="fr-FR"/>
        </w:rPr>
        <w:t>échappement (essais du type</w:t>
      </w:r>
      <w:r>
        <w:rPr>
          <w:lang w:val="fr-FR"/>
        </w:rPr>
        <w:t> </w:t>
      </w:r>
      <w:r w:rsidRPr="00440C76">
        <w:rPr>
          <w:lang w:val="fr-FR"/>
        </w:rPr>
        <w:t>1, essais de mesure des émissions en conditions réelles de conduite et essais du type</w:t>
      </w:r>
      <w:r>
        <w:rPr>
          <w:lang w:val="fr-FR"/>
        </w:rPr>
        <w:t> </w:t>
      </w:r>
      <w:r w:rsidRPr="00440C76">
        <w:rPr>
          <w:lang w:val="fr-FR"/>
        </w:rPr>
        <w:t>6), les véhicules couverts par la famille PEMS, telle que définie au paragraphe</w:t>
      </w:r>
      <w:r>
        <w:rPr>
          <w:lang w:val="fr-FR"/>
        </w:rPr>
        <w:t> </w:t>
      </w:r>
      <w:r w:rsidRPr="00440C76">
        <w:rPr>
          <w:lang w:val="fr-FR"/>
        </w:rPr>
        <w:t>6.3.1 du Règlement ONU n</w:t>
      </w:r>
      <w:r w:rsidRPr="00440C76">
        <w:rPr>
          <w:vertAlign w:val="superscript"/>
          <w:lang w:val="fr-FR"/>
        </w:rPr>
        <w:t>o</w:t>
      </w:r>
      <w:r w:rsidRPr="00440C76">
        <w:rPr>
          <w:lang w:val="fr-FR"/>
        </w:rPr>
        <w:t> [xxx] sur les émissions en conditions réelles de conduite ;</w:t>
      </w:r>
    </w:p>
    <w:p w14:paraId="14CCD904" w14:textId="77777777" w:rsidR="00BE2CA7" w:rsidRPr="00440C76" w:rsidRDefault="00BE2CA7" w:rsidP="00BE2CA7">
      <w:pPr>
        <w:pStyle w:val="SingleTxtG"/>
        <w:ind w:left="2835" w:hanging="567"/>
        <w:rPr>
          <w:lang w:val="fr-FR"/>
        </w:rPr>
      </w:pPr>
      <w:r w:rsidRPr="00440C76">
        <w:rPr>
          <w:lang w:val="fr-FR"/>
        </w:rPr>
        <w:t>b)</w:t>
      </w:r>
      <w:r w:rsidRPr="00440C76">
        <w:rPr>
          <w:lang w:val="fr-FR"/>
        </w:rPr>
        <w:tab/>
        <w:t>Pour les émissions par évaporation (essai du type</w:t>
      </w:r>
      <w:r>
        <w:rPr>
          <w:lang w:val="fr-FR"/>
        </w:rPr>
        <w:t> </w:t>
      </w:r>
      <w:r w:rsidRPr="00440C76">
        <w:rPr>
          <w:lang w:val="fr-FR"/>
        </w:rPr>
        <w:t>4), les véhicules relevant de la famille d</w:t>
      </w:r>
      <w:r>
        <w:rPr>
          <w:lang w:val="fr-FR"/>
        </w:rPr>
        <w:t>’</w:t>
      </w:r>
      <w:r w:rsidRPr="00440C76">
        <w:rPr>
          <w:lang w:val="fr-FR"/>
        </w:rPr>
        <w:t>émissions par évaporation, telle que définie au paragraphe</w:t>
      </w:r>
      <w:r>
        <w:rPr>
          <w:lang w:val="fr-FR"/>
        </w:rPr>
        <w:t> </w:t>
      </w:r>
      <w:r w:rsidRPr="00440C76">
        <w:rPr>
          <w:lang w:val="fr-FR"/>
        </w:rPr>
        <w:t>6.6.3 du Règlement ONU n</w:t>
      </w:r>
      <w:r w:rsidRPr="00440C76">
        <w:rPr>
          <w:vertAlign w:val="superscript"/>
          <w:lang w:val="fr-FR"/>
        </w:rPr>
        <w:t>o</w:t>
      </w:r>
      <w:r w:rsidRPr="00440C76">
        <w:rPr>
          <w:lang w:val="fr-FR"/>
        </w:rPr>
        <w:t> 154.</w:t>
      </w:r>
    </w:p>
    <w:p w14:paraId="11AE1B90" w14:textId="77777777" w:rsidR="00BE2CA7" w:rsidRPr="00440C76" w:rsidRDefault="00BE2CA7" w:rsidP="00BE2CA7">
      <w:pPr>
        <w:pStyle w:val="SingleTxtG"/>
        <w:ind w:left="2268" w:hanging="1134"/>
        <w:rPr>
          <w:bCs/>
          <w:lang w:val="fr-FR"/>
        </w:rPr>
      </w:pPr>
      <w:r w:rsidRPr="00440C76">
        <w:rPr>
          <w:bCs/>
          <w:lang w:val="fr-FR"/>
        </w:rPr>
        <w:lastRenderedPageBreak/>
        <w:t>4.</w:t>
      </w:r>
      <w:r w:rsidRPr="00440C76">
        <w:rPr>
          <w:bCs/>
          <w:lang w:val="fr-FR"/>
        </w:rPr>
        <w:tab/>
      </w:r>
      <w:r w:rsidRPr="00440C76">
        <w:rPr>
          <w:lang w:val="fr-FR"/>
        </w:rPr>
        <w:t>Collecte</w:t>
      </w:r>
      <w:r w:rsidRPr="00440C76">
        <w:rPr>
          <w:bCs/>
          <w:lang w:val="fr-FR"/>
        </w:rPr>
        <w:t xml:space="preserve"> d</w:t>
      </w:r>
      <w:r>
        <w:rPr>
          <w:bCs/>
          <w:lang w:val="fr-FR"/>
        </w:rPr>
        <w:t>’</w:t>
      </w:r>
      <w:r w:rsidRPr="00440C76">
        <w:rPr>
          <w:bCs/>
          <w:lang w:val="fr-FR"/>
        </w:rPr>
        <w:t>informations et évaluation initiale des risques</w:t>
      </w:r>
    </w:p>
    <w:p w14:paraId="5F642420" w14:textId="77777777" w:rsidR="00BE2CA7" w:rsidRPr="00440C76" w:rsidRDefault="00BE2CA7" w:rsidP="00BE2CA7">
      <w:pPr>
        <w:pStyle w:val="SingleTxtG"/>
        <w:ind w:left="2268"/>
        <w:rPr>
          <w:lang w:val="fr-FR"/>
        </w:rPr>
      </w:pPr>
      <w:r w:rsidRPr="00440C76">
        <w:rPr>
          <w:lang w:val="fr-FR"/>
        </w:rPr>
        <w:t>L</w:t>
      </w:r>
      <w:r>
        <w:rPr>
          <w:lang w:val="fr-FR"/>
        </w:rPr>
        <w:t>’</w:t>
      </w:r>
      <w:r w:rsidRPr="00440C76">
        <w:rPr>
          <w:lang w:val="fr-FR"/>
        </w:rPr>
        <w:t>autorité d</w:t>
      </w:r>
      <w:r>
        <w:rPr>
          <w:lang w:val="fr-FR"/>
        </w:rPr>
        <w:t>’</w:t>
      </w:r>
      <w:r w:rsidRPr="00440C76">
        <w:rPr>
          <w:lang w:val="fr-FR"/>
        </w:rPr>
        <w:t>homologation de type et les autres acteurs collectent toutes les informations utiles sur les éventuelles non-conformités en matière d</w:t>
      </w:r>
      <w:r>
        <w:rPr>
          <w:lang w:val="fr-FR"/>
        </w:rPr>
        <w:t>’</w:t>
      </w:r>
      <w:r w:rsidRPr="00440C76">
        <w:rPr>
          <w:lang w:val="fr-FR"/>
        </w:rPr>
        <w:t>émissions, à prendre en considération pour déterminer les familles de conformité en service à contrôler au cours d</w:t>
      </w:r>
      <w:r>
        <w:rPr>
          <w:lang w:val="fr-FR"/>
        </w:rPr>
        <w:t>’</w:t>
      </w:r>
      <w:r w:rsidRPr="00440C76">
        <w:rPr>
          <w:lang w:val="fr-FR"/>
        </w:rPr>
        <w:t>une année donnée. Ils doivent notamment prendre en compte les informations indiquant les types de véhicules affichant des niveaux d</w:t>
      </w:r>
      <w:r>
        <w:rPr>
          <w:lang w:val="fr-FR"/>
        </w:rPr>
        <w:t>’</w:t>
      </w:r>
      <w:r w:rsidRPr="00440C76">
        <w:rPr>
          <w:lang w:val="fr-FR"/>
        </w:rPr>
        <w:t xml:space="preserve">émissions élevés en conditions réelles de conduite. Ces informations sont </w:t>
      </w:r>
      <w:r w:rsidRPr="00440C76">
        <w:rPr>
          <w:rFonts w:eastAsia="Arial Unicode MS"/>
          <w:lang w:val="fr-FR"/>
        </w:rPr>
        <w:t>obtenues</w:t>
      </w:r>
      <w:r w:rsidRPr="00440C76">
        <w:rPr>
          <w:lang w:val="fr-FR"/>
        </w:rPr>
        <w:t xml:space="preserve"> par des méthodes appropriées, qui peuvent inclure la télédétection, les systèmes simplifiés embarqués de contrôle des émissions et les essais à l</w:t>
      </w:r>
      <w:r>
        <w:rPr>
          <w:lang w:val="fr-FR"/>
        </w:rPr>
        <w:t>’</w:t>
      </w:r>
      <w:r w:rsidRPr="00440C76">
        <w:rPr>
          <w:lang w:val="fr-FR"/>
        </w:rPr>
        <w:t>aide de systèmes mobiles de mesure des émissions. Le nombre et l</w:t>
      </w:r>
      <w:r>
        <w:rPr>
          <w:lang w:val="fr-FR"/>
        </w:rPr>
        <w:t>’</w:t>
      </w:r>
      <w:r w:rsidRPr="00440C76">
        <w:rPr>
          <w:lang w:val="fr-FR"/>
        </w:rPr>
        <w:t>importance des dépassements observés au cours de ces essais peuvent être utilisés pour établir l</w:t>
      </w:r>
      <w:r>
        <w:rPr>
          <w:lang w:val="fr-FR"/>
        </w:rPr>
        <w:t>’</w:t>
      </w:r>
      <w:r w:rsidRPr="00440C76">
        <w:rPr>
          <w:lang w:val="fr-FR"/>
        </w:rPr>
        <w:t>ordre de priorité des essais de conformité en service.</w:t>
      </w:r>
    </w:p>
    <w:p w14:paraId="1FCABE09" w14:textId="77777777" w:rsidR="00BE2CA7" w:rsidRPr="00440C76" w:rsidRDefault="00BE2CA7" w:rsidP="00BE2CA7">
      <w:pPr>
        <w:pStyle w:val="SingleTxtG"/>
        <w:ind w:left="2268"/>
        <w:rPr>
          <w:lang w:val="fr-FR"/>
        </w:rPr>
      </w:pPr>
      <w:r w:rsidRPr="00440C76">
        <w:rPr>
          <w:lang w:val="fr-FR"/>
        </w:rPr>
        <w:t xml:space="preserve">Dans les informations communiquées aux fins des vérifications de la conformité en service, </w:t>
      </w:r>
      <w:r w:rsidRPr="00440C76">
        <w:rPr>
          <w:rFonts w:eastAsia="Arial Unicode MS"/>
          <w:lang w:val="fr-FR"/>
        </w:rPr>
        <w:t>chaque</w:t>
      </w:r>
      <w:r w:rsidRPr="00440C76">
        <w:rPr>
          <w:lang w:val="fr-FR"/>
        </w:rPr>
        <w:t xml:space="preserve"> constructeur doit signaler à l</w:t>
      </w:r>
      <w:r>
        <w:rPr>
          <w:lang w:val="fr-FR"/>
        </w:rPr>
        <w:t>’</w:t>
      </w:r>
      <w:r w:rsidRPr="00440C76">
        <w:rPr>
          <w:lang w:val="fr-FR"/>
        </w:rPr>
        <w:t>autorité d</w:t>
      </w:r>
      <w:r>
        <w:rPr>
          <w:lang w:val="fr-FR"/>
        </w:rPr>
        <w:t>’</w:t>
      </w:r>
      <w:r w:rsidRPr="00440C76">
        <w:rPr>
          <w:lang w:val="fr-FR"/>
        </w:rPr>
        <w:t>homologation de type les demandes d</w:t>
      </w:r>
      <w:r>
        <w:rPr>
          <w:lang w:val="fr-FR"/>
        </w:rPr>
        <w:t>’</w:t>
      </w:r>
      <w:r w:rsidRPr="00440C76">
        <w:rPr>
          <w:lang w:val="fr-FR"/>
        </w:rPr>
        <w:t>activation de garantie liées aux émissions ainsi que les réparations effectuées ou enregistrées sous garantie lors de l</w:t>
      </w:r>
      <w:r>
        <w:rPr>
          <w:lang w:val="fr-FR"/>
        </w:rPr>
        <w:t>’</w:t>
      </w:r>
      <w:r w:rsidRPr="00440C76">
        <w:rPr>
          <w:lang w:val="fr-FR"/>
        </w:rPr>
        <w:t>entretien, selon un format convenu au moment de l</w:t>
      </w:r>
      <w:r>
        <w:rPr>
          <w:lang w:val="fr-FR"/>
        </w:rPr>
        <w:t>’</w:t>
      </w:r>
      <w:r w:rsidRPr="00440C76">
        <w:rPr>
          <w:lang w:val="fr-FR"/>
        </w:rPr>
        <w:t>homologation entre ladite autorité et le constructeur. Ces renseignements doivent indiquer de façon détaillée, par famille de conformité en service, la fréquence et la teneur des dysfonctionnements des composants et systèmes liés aux émissions. Les rapports des contrôles de la conformité en service doivent être établis au moins une fois par an pour chaque famille de conformité en service, pendant la période au cours de laquelle ces contrôles doivent être effectués conformément aux dispositions du paragraphe</w:t>
      </w:r>
      <w:r>
        <w:rPr>
          <w:lang w:val="fr-FR"/>
        </w:rPr>
        <w:t> </w:t>
      </w:r>
      <w:r w:rsidRPr="00440C76">
        <w:rPr>
          <w:lang w:val="fr-FR"/>
        </w:rPr>
        <w:t>9.3 du présent Règlement. Ils doivent être communiqués sur demande.</w:t>
      </w:r>
    </w:p>
    <w:p w14:paraId="3FE93404" w14:textId="77777777" w:rsidR="00BE2CA7" w:rsidRPr="00440C76" w:rsidRDefault="00BE2CA7" w:rsidP="00BE2CA7">
      <w:pPr>
        <w:pStyle w:val="SingleTxtG"/>
        <w:ind w:left="2268"/>
        <w:rPr>
          <w:lang w:val="fr-FR"/>
        </w:rPr>
      </w:pPr>
      <w:r w:rsidRPr="00440C76">
        <w:rPr>
          <w:lang w:val="fr-FR"/>
        </w:rPr>
        <w:t xml:space="preserve">En fonction </w:t>
      </w:r>
      <w:r w:rsidRPr="00440C76">
        <w:rPr>
          <w:rFonts w:eastAsia="Arial Unicode MS"/>
          <w:lang w:val="fr-FR"/>
        </w:rPr>
        <w:t>des</w:t>
      </w:r>
      <w:r w:rsidRPr="00440C76">
        <w:rPr>
          <w:lang w:val="fr-FR"/>
        </w:rPr>
        <w:t xml:space="preserve"> informations visées aux premier et deuxième alinéas, l</w:t>
      </w:r>
      <w:r>
        <w:rPr>
          <w:lang w:val="fr-FR"/>
        </w:rPr>
        <w:t>’</w:t>
      </w:r>
      <w:r w:rsidRPr="00440C76">
        <w:rPr>
          <w:lang w:val="fr-FR"/>
        </w:rPr>
        <w:t>autorité d</w:t>
      </w:r>
      <w:r>
        <w:rPr>
          <w:lang w:val="fr-FR"/>
        </w:rPr>
        <w:t>’</w:t>
      </w:r>
      <w:r w:rsidRPr="00440C76">
        <w:rPr>
          <w:lang w:val="fr-FR"/>
        </w:rPr>
        <w:t>homologation de type doit procéder à une première évaluation du risque qu</w:t>
      </w:r>
      <w:r>
        <w:rPr>
          <w:lang w:val="fr-FR"/>
        </w:rPr>
        <w:t>’</w:t>
      </w:r>
      <w:r w:rsidRPr="00440C76">
        <w:rPr>
          <w:lang w:val="fr-FR"/>
        </w:rPr>
        <w:t>une famille de conformité en service ne respecte pas les règles en matière de conformité en service et, sur cette base, déterminer les familles à soumettre aux essais ainsi que les types d</w:t>
      </w:r>
      <w:r>
        <w:rPr>
          <w:lang w:val="fr-FR"/>
        </w:rPr>
        <w:t>’</w:t>
      </w:r>
      <w:r w:rsidRPr="00440C76">
        <w:rPr>
          <w:lang w:val="fr-FR"/>
        </w:rPr>
        <w:t>essais à réaliser en vertu des dispositions relatives à la conformité en service. Elle peut également choisir au hasard les familles de conformité en service à soumettre aux essais.</w:t>
      </w:r>
    </w:p>
    <w:p w14:paraId="707D41A3" w14:textId="77777777" w:rsidR="00BE2CA7" w:rsidRPr="00440C76" w:rsidRDefault="00BE2CA7" w:rsidP="00BE2CA7">
      <w:pPr>
        <w:pStyle w:val="SingleTxtG"/>
        <w:ind w:left="2268"/>
        <w:rPr>
          <w:lang w:val="fr-FR"/>
        </w:rPr>
      </w:pPr>
      <w:r w:rsidRPr="00440C76">
        <w:rPr>
          <w:lang w:val="fr-FR"/>
        </w:rPr>
        <w:t xml:space="preserve">Les autres acteurs doivent prendre en compte les informations collectées conformément au </w:t>
      </w:r>
      <w:r w:rsidRPr="00440C76">
        <w:rPr>
          <w:rFonts w:eastAsia="Arial Unicode MS"/>
          <w:lang w:val="fr-FR"/>
        </w:rPr>
        <w:t>premier</w:t>
      </w:r>
      <w:r w:rsidRPr="00440C76">
        <w:rPr>
          <w:lang w:val="fr-FR"/>
        </w:rPr>
        <w:t xml:space="preserve"> alinéa afin d</w:t>
      </w:r>
      <w:r>
        <w:rPr>
          <w:lang w:val="fr-FR"/>
        </w:rPr>
        <w:t>’</w:t>
      </w:r>
      <w:r w:rsidRPr="00440C76">
        <w:rPr>
          <w:lang w:val="fr-FR"/>
        </w:rPr>
        <w:t>établir l</w:t>
      </w:r>
      <w:r>
        <w:rPr>
          <w:lang w:val="fr-FR"/>
        </w:rPr>
        <w:t>’</w:t>
      </w:r>
      <w:r w:rsidRPr="00440C76">
        <w:rPr>
          <w:lang w:val="fr-FR"/>
        </w:rPr>
        <w:t>ordre de priorité des essais. En outre, ils peuvent choisir au hasard les familles de conformité en service à soumettre aux essais.</w:t>
      </w:r>
    </w:p>
    <w:p w14:paraId="104BEF4C" w14:textId="77777777" w:rsidR="00BE2CA7" w:rsidRPr="00440C76" w:rsidRDefault="00BE2CA7" w:rsidP="00BE2CA7">
      <w:pPr>
        <w:pStyle w:val="SingleTxtG"/>
        <w:ind w:left="2268" w:hanging="1134"/>
        <w:rPr>
          <w:bCs/>
          <w:lang w:val="fr-FR"/>
        </w:rPr>
      </w:pPr>
      <w:r w:rsidRPr="00440C76">
        <w:rPr>
          <w:bCs/>
          <w:lang w:val="fr-FR"/>
        </w:rPr>
        <w:t>5.</w:t>
      </w:r>
      <w:r w:rsidRPr="00440C76">
        <w:rPr>
          <w:bCs/>
          <w:lang w:val="fr-FR"/>
        </w:rPr>
        <w:tab/>
      </w:r>
      <w:r w:rsidRPr="00440C76">
        <w:rPr>
          <w:lang w:val="fr-FR"/>
        </w:rPr>
        <w:t>Essais</w:t>
      </w:r>
      <w:r w:rsidRPr="00440C76">
        <w:rPr>
          <w:bCs/>
          <w:lang w:val="fr-FR"/>
        </w:rPr>
        <w:t xml:space="preserve"> de conformité en service</w:t>
      </w:r>
    </w:p>
    <w:p w14:paraId="4C27EB6F" w14:textId="77777777" w:rsidR="00BE2CA7" w:rsidRPr="00440C76" w:rsidRDefault="00BE2CA7" w:rsidP="00BE2CA7">
      <w:pPr>
        <w:pStyle w:val="SingleTxtG"/>
        <w:ind w:left="2268"/>
        <w:rPr>
          <w:lang w:val="fr-FR"/>
        </w:rPr>
      </w:pPr>
      <w:r w:rsidRPr="00440C76">
        <w:rPr>
          <w:lang w:val="fr-FR"/>
        </w:rPr>
        <w:t>Le constructeur doit intégrer dans les essais de conformité en service consacrés aux émissions d</w:t>
      </w:r>
      <w:r>
        <w:rPr>
          <w:lang w:val="fr-FR"/>
        </w:rPr>
        <w:t>’</w:t>
      </w:r>
      <w:r w:rsidRPr="00440C76">
        <w:rPr>
          <w:lang w:val="fr-FR"/>
        </w:rPr>
        <w:t>échappement au minimum des essais du type</w:t>
      </w:r>
      <w:r>
        <w:rPr>
          <w:lang w:val="fr-FR"/>
        </w:rPr>
        <w:t> </w:t>
      </w:r>
      <w:r w:rsidRPr="00440C76">
        <w:rPr>
          <w:lang w:val="fr-FR"/>
        </w:rPr>
        <w:t xml:space="preserve">1 pour toutes les familles de </w:t>
      </w:r>
      <w:r w:rsidRPr="00440C76">
        <w:rPr>
          <w:rFonts w:eastAsia="Arial Unicode MS"/>
          <w:lang w:val="fr-FR"/>
        </w:rPr>
        <w:t>conformité</w:t>
      </w:r>
      <w:r w:rsidRPr="00440C76">
        <w:rPr>
          <w:lang w:val="fr-FR"/>
        </w:rPr>
        <w:t xml:space="preserve"> en service. Il peut également effectuer des essais de mesure des émissions en conditions réelles de conduite et des essais du type 1a, du type</w:t>
      </w:r>
      <w:r>
        <w:rPr>
          <w:lang w:val="fr-FR"/>
        </w:rPr>
        <w:t> </w:t>
      </w:r>
      <w:r w:rsidRPr="00440C76">
        <w:rPr>
          <w:lang w:val="fr-FR"/>
        </w:rPr>
        <w:t>4 et du type</w:t>
      </w:r>
      <w:r>
        <w:rPr>
          <w:lang w:val="fr-FR"/>
        </w:rPr>
        <w:t> </w:t>
      </w:r>
      <w:r w:rsidRPr="00440C76">
        <w:rPr>
          <w:lang w:val="fr-FR"/>
        </w:rPr>
        <w:t>6 pour tout ou partie des familles de conformité en service. Le constructeur doit communiquer à l</w:t>
      </w:r>
      <w:r>
        <w:rPr>
          <w:lang w:val="fr-FR"/>
        </w:rPr>
        <w:t>’</w:t>
      </w:r>
      <w:r w:rsidRPr="00440C76">
        <w:rPr>
          <w:lang w:val="fr-FR"/>
        </w:rPr>
        <w:t>autorité d</w:t>
      </w:r>
      <w:r>
        <w:rPr>
          <w:lang w:val="fr-FR"/>
        </w:rPr>
        <w:t>’</w:t>
      </w:r>
      <w:r w:rsidRPr="00440C76">
        <w:rPr>
          <w:lang w:val="fr-FR"/>
        </w:rPr>
        <w:t>homologation de type l</w:t>
      </w:r>
      <w:r>
        <w:rPr>
          <w:lang w:val="fr-FR"/>
        </w:rPr>
        <w:t>’</w:t>
      </w:r>
      <w:r w:rsidRPr="00440C76">
        <w:rPr>
          <w:lang w:val="fr-FR"/>
        </w:rPr>
        <w:t>ensemble des résultats des essais de conformité en service.</w:t>
      </w:r>
    </w:p>
    <w:p w14:paraId="327FDD56" w14:textId="77777777" w:rsidR="00BE2CA7" w:rsidRPr="00440C76" w:rsidRDefault="00BE2CA7" w:rsidP="00BE2CA7">
      <w:pPr>
        <w:pStyle w:val="SingleTxtG"/>
        <w:ind w:left="2268"/>
        <w:rPr>
          <w:lang w:val="fr-FR"/>
        </w:rPr>
      </w:pPr>
      <w:r w:rsidRPr="00440C76">
        <w:rPr>
          <w:lang w:val="fr-FR"/>
        </w:rPr>
        <w:t>L</w:t>
      </w:r>
      <w:r>
        <w:rPr>
          <w:lang w:val="fr-FR"/>
        </w:rPr>
        <w:t>’</w:t>
      </w:r>
      <w:r w:rsidRPr="00440C76">
        <w:rPr>
          <w:lang w:val="fr-FR"/>
        </w:rPr>
        <w:t>autorité d</w:t>
      </w:r>
      <w:r>
        <w:rPr>
          <w:lang w:val="fr-FR"/>
        </w:rPr>
        <w:t>’</w:t>
      </w:r>
      <w:r w:rsidRPr="00440C76">
        <w:rPr>
          <w:lang w:val="fr-FR"/>
        </w:rPr>
        <w:t xml:space="preserve">homologation de type doit contrôler, chaque année, un nombre approprié de </w:t>
      </w:r>
      <w:r w:rsidRPr="00440C76">
        <w:rPr>
          <w:rFonts w:eastAsia="Arial Unicode MS"/>
          <w:lang w:val="fr-FR"/>
        </w:rPr>
        <w:t>familles</w:t>
      </w:r>
      <w:r w:rsidRPr="00440C76">
        <w:rPr>
          <w:lang w:val="fr-FR"/>
        </w:rPr>
        <w:t xml:space="preserve"> de conformité en service, comme indiqué au paragraphe 5.4.</w:t>
      </w:r>
    </w:p>
    <w:p w14:paraId="6E5B082D" w14:textId="77777777" w:rsidR="00BE2CA7" w:rsidRPr="00440C76" w:rsidRDefault="00BE2CA7" w:rsidP="00BE2CA7">
      <w:pPr>
        <w:pStyle w:val="SingleTxtG"/>
        <w:ind w:left="2268"/>
        <w:rPr>
          <w:lang w:val="fr-FR"/>
        </w:rPr>
      </w:pPr>
      <w:r w:rsidRPr="00440C76">
        <w:rPr>
          <w:lang w:val="fr-FR"/>
        </w:rPr>
        <w:t>Les autres acteurs peuvent effectuer, chaque année, des contrôles sur un nombre quelconque de familles de conformité en service. Ils doivent communiquer à l</w:t>
      </w:r>
      <w:r>
        <w:rPr>
          <w:lang w:val="fr-FR"/>
        </w:rPr>
        <w:t>’</w:t>
      </w:r>
      <w:r w:rsidRPr="00440C76">
        <w:rPr>
          <w:lang w:val="fr-FR"/>
        </w:rPr>
        <w:t>autorité d</w:t>
      </w:r>
      <w:r>
        <w:rPr>
          <w:lang w:val="fr-FR"/>
        </w:rPr>
        <w:t>’</w:t>
      </w:r>
      <w:r w:rsidRPr="00440C76">
        <w:rPr>
          <w:lang w:val="fr-FR"/>
        </w:rPr>
        <w:t>homologation de type l</w:t>
      </w:r>
      <w:r>
        <w:rPr>
          <w:lang w:val="fr-FR"/>
        </w:rPr>
        <w:t>’</w:t>
      </w:r>
      <w:r w:rsidRPr="00440C76">
        <w:rPr>
          <w:lang w:val="fr-FR"/>
        </w:rPr>
        <w:t>ensemble des résultats des essais de conformité en service.</w:t>
      </w:r>
    </w:p>
    <w:p w14:paraId="3555A1AE" w14:textId="77777777" w:rsidR="00BE2CA7" w:rsidRPr="00440C76" w:rsidRDefault="00BE2CA7" w:rsidP="00BE2CA7">
      <w:pPr>
        <w:pStyle w:val="SingleTxtG"/>
        <w:keepNext/>
        <w:ind w:left="2268" w:hanging="1134"/>
        <w:rPr>
          <w:iCs/>
          <w:lang w:val="fr-FR"/>
        </w:rPr>
      </w:pPr>
      <w:r w:rsidRPr="00440C76">
        <w:rPr>
          <w:iCs/>
          <w:lang w:val="fr-FR"/>
        </w:rPr>
        <w:lastRenderedPageBreak/>
        <w:t>5.1</w:t>
      </w:r>
      <w:r w:rsidRPr="00440C76">
        <w:rPr>
          <w:iCs/>
          <w:lang w:val="fr-FR"/>
        </w:rPr>
        <w:tab/>
      </w:r>
      <w:r w:rsidRPr="00440C76">
        <w:rPr>
          <w:lang w:val="fr-FR"/>
        </w:rPr>
        <w:t>Assurance</w:t>
      </w:r>
      <w:r w:rsidRPr="00440C76">
        <w:rPr>
          <w:iCs/>
          <w:lang w:val="fr-FR"/>
        </w:rPr>
        <w:t xml:space="preserve"> qualité des essais</w:t>
      </w:r>
    </w:p>
    <w:p w14:paraId="31286974" w14:textId="77777777" w:rsidR="00BE2CA7" w:rsidRPr="00440C76" w:rsidRDefault="00BE2CA7" w:rsidP="00BE2CA7">
      <w:pPr>
        <w:pStyle w:val="SingleTxtG"/>
        <w:ind w:left="2268"/>
        <w:rPr>
          <w:spacing w:val="-1"/>
          <w:lang w:val="fr-FR"/>
        </w:rPr>
      </w:pPr>
      <w:r w:rsidRPr="00440C76">
        <w:rPr>
          <w:spacing w:val="-1"/>
          <w:lang w:val="fr-FR"/>
        </w:rPr>
        <w:t>L</w:t>
      </w:r>
      <w:r>
        <w:rPr>
          <w:spacing w:val="-1"/>
          <w:lang w:val="fr-FR"/>
        </w:rPr>
        <w:t>’</w:t>
      </w:r>
      <w:r w:rsidRPr="00440C76">
        <w:rPr>
          <w:spacing w:val="-1"/>
          <w:lang w:val="fr-FR"/>
        </w:rPr>
        <w:t>autorité d</w:t>
      </w:r>
      <w:r>
        <w:rPr>
          <w:spacing w:val="-1"/>
          <w:lang w:val="fr-FR"/>
        </w:rPr>
        <w:t>’</w:t>
      </w:r>
      <w:r w:rsidRPr="00440C76">
        <w:rPr>
          <w:spacing w:val="-1"/>
          <w:lang w:val="fr-FR"/>
        </w:rPr>
        <w:t>homologation de type doit procéder chaque année à un audit des contrôles de la conformité en service effectués par le constructeur. Il peut également procéder à un audit des contrôles de conformité en service effectués par d</w:t>
      </w:r>
      <w:r>
        <w:rPr>
          <w:spacing w:val="-1"/>
          <w:lang w:val="fr-FR"/>
        </w:rPr>
        <w:t>’</w:t>
      </w:r>
      <w:r w:rsidRPr="00440C76">
        <w:rPr>
          <w:spacing w:val="-1"/>
          <w:lang w:val="fr-FR"/>
        </w:rPr>
        <w:t>autres acteurs. L</w:t>
      </w:r>
      <w:r>
        <w:rPr>
          <w:spacing w:val="-1"/>
          <w:lang w:val="fr-FR"/>
        </w:rPr>
        <w:t>’</w:t>
      </w:r>
      <w:r w:rsidRPr="00440C76">
        <w:rPr>
          <w:spacing w:val="-1"/>
          <w:lang w:val="fr-FR"/>
        </w:rPr>
        <w:t>audit doit reposer sur les informations communiquées par les constructeurs ou d</w:t>
      </w:r>
      <w:r>
        <w:rPr>
          <w:spacing w:val="-1"/>
          <w:lang w:val="fr-FR"/>
        </w:rPr>
        <w:t>’</w:t>
      </w:r>
      <w:r w:rsidRPr="00440C76">
        <w:rPr>
          <w:spacing w:val="-1"/>
          <w:lang w:val="fr-FR"/>
        </w:rPr>
        <w:t xml:space="preserve">autres acteurs, qui doivent inclure au moins le rapport détaillé des </w:t>
      </w:r>
      <w:r w:rsidRPr="00440C76">
        <w:rPr>
          <w:rFonts w:eastAsia="Arial Unicode MS"/>
          <w:spacing w:val="-1"/>
          <w:lang w:val="fr-FR"/>
        </w:rPr>
        <w:t>contrôles</w:t>
      </w:r>
      <w:r w:rsidRPr="00440C76">
        <w:rPr>
          <w:spacing w:val="-1"/>
          <w:lang w:val="fr-FR"/>
        </w:rPr>
        <w:t xml:space="preserve"> de la conformité en service tel que décrit à l</w:t>
      </w:r>
      <w:r>
        <w:rPr>
          <w:spacing w:val="-1"/>
          <w:lang w:val="fr-FR"/>
        </w:rPr>
        <w:t>’</w:t>
      </w:r>
      <w:r w:rsidRPr="00440C76">
        <w:rPr>
          <w:spacing w:val="-1"/>
          <w:lang w:val="fr-FR"/>
        </w:rPr>
        <w:t>appendice</w:t>
      </w:r>
      <w:r>
        <w:rPr>
          <w:spacing w:val="-1"/>
          <w:lang w:val="fr-FR"/>
        </w:rPr>
        <w:t> </w:t>
      </w:r>
      <w:r w:rsidRPr="00440C76">
        <w:rPr>
          <w:spacing w:val="-1"/>
          <w:lang w:val="fr-FR"/>
        </w:rPr>
        <w:t>3. L</w:t>
      </w:r>
      <w:r>
        <w:rPr>
          <w:spacing w:val="-1"/>
          <w:lang w:val="fr-FR"/>
        </w:rPr>
        <w:t>’</w:t>
      </w:r>
      <w:r w:rsidRPr="00440C76">
        <w:rPr>
          <w:spacing w:val="-1"/>
          <w:lang w:val="fr-FR"/>
        </w:rPr>
        <w:t>autorité d</w:t>
      </w:r>
      <w:r>
        <w:rPr>
          <w:spacing w:val="-1"/>
          <w:lang w:val="fr-FR"/>
        </w:rPr>
        <w:t>’</w:t>
      </w:r>
      <w:r w:rsidRPr="00440C76">
        <w:rPr>
          <w:spacing w:val="-1"/>
          <w:lang w:val="fr-FR"/>
        </w:rPr>
        <w:t>homologation de type peut exiger des constructeurs, ou des autres acteurs, qu</w:t>
      </w:r>
      <w:r>
        <w:rPr>
          <w:spacing w:val="-1"/>
          <w:lang w:val="fr-FR"/>
        </w:rPr>
        <w:t>’</w:t>
      </w:r>
      <w:r w:rsidRPr="00440C76">
        <w:rPr>
          <w:spacing w:val="-1"/>
          <w:lang w:val="fr-FR"/>
        </w:rPr>
        <w:t>ils fournissent des informations complémentaires.</w:t>
      </w:r>
    </w:p>
    <w:p w14:paraId="7662476D" w14:textId="77777777" w:rsidR="00BE2CA7" w:rsidRPr="00440C76" w:rsidRDefault="00BE2CA7" w:rsidP="00BE2CA7">
      <w:pPr>
        <w:pStyle w:val="SingleTxtG"/>
        <w:ind w:left="2268" w:hanging="1134"/>
        <w:rPr>
          <w:iCs/>
          <w:lang w:val="fr-FR"/>
        </w:rPr>
      </w:pPr>
      <w:r w:rsidRPr="00440C76">
        <w:rPr>
          <w:iCs/>
          <w:lang w:val="fr-FR"/>
        </w:rPr>
        <w:t>5.2</w:t>
      </w:r>
      <w:r w:rsidRPr="00440C76">
        <w:rPr>
          <w:iCs/>
          <w:lang w:val="fr-FR"/>
        </w:rPr>
        <w:tab/>
      </w:r>
      <w:r w:rsidRPr="00440C76">
        <w:rPr>
          <w:lang w:val="fr-FR"/>
        </w:rPr>
        <w:t>Communication</w:t>
      </w:r>
      <w:r w:rsidRPr="00440C76">
        <w:rPr>
          <w:iCs/>
          <w:lang w:val="fr-FR"/>
        </w:rPr>
        <w:t xml:space="preserve"> des résultats d</w:t>
      </w:r>
      <w:r>
        <w:rPr>
          <w:iCs/>
          <w:lang w:val="fr-FR"/>
        </w:rPr>
        <w:t>’</w:t>
      </w:r>
      <w:r w:rsidRPr="00440C76">
        <w:rPr>
          <w:iCs/>
          <w:lang w:val="fr-FR"/>
        </w:rPr>
        <w:t>essais</w:t>
      </w:r>
    </w:p>
    <w:p w14:paraId="335B1AF5" w14:textId="77777777" w:rsidR="00BE2CA7" w:rsidRPr="00440C76" w:rsidRDefault="00BE2CA7" w:rsidP="00BE2CA7">
      <w:pPr>
        <w:pStyle w:val="SingleTxtG"/>
        <w:ind w:left="2268"/>
        <w:rPr>
          <w:lang w:val="fr-FR"/>
        </w:rPr>
      </w:pPr>
      <w:r w:rsidRPr="00440C76">
        <w:rPr>
          <w:lang w:val="fr-FR"/>
        </w:rPr>
        <w:t>L</w:t>
      </w:r>
      <w:r>
        <w:rPr>
          <w:lang w:val="fr-FR"/>
        </w:rPr>
        <w:t>’</w:t>
      </w:r>
      <w:r w:rsidRPr="00440C76">
        <w:rPr>
          <w:lang w:val="fr-FR"/>
        </w:rPr>
        <w:t>autorité d</w:t>
      </w:r>
      <w:r>
        <w:rPr>
          <w:lang w:val="fr-FR"/>
        </w:rPr>
        <w:t>’</w:t>
      </w:r>
      <w:r w:rsidRPr="00440C76">
        <w:rPr>
          <w:lang w:val="fr-FR"/>
        </w:rPr>
        <w:t>homologation de type doit transmettre, dès qu</w:t>
      </w:r>
      <w:r>
        <w:rPr>
          <w:lang w:val="fr-FR"/>
        </w:rPr>
        <w:t>’</w:t>
      </w:r>
      <w:r w:rsidRPr="00440C76">
        <w:rPr>
          <w:lang w:val="fr-FR"/>
        </w:rPr>
        <w:t xml:space="preserve">ils sont disponibles, les résultats </w:t>
      </w:r>
      <w:r w:rsidRPr="00440C76">
        <w:rPr>
          <w:rFonts w:eastAsia="Arial Unicode MS"/>
          <w:lang w:val="fr-FR"/>
        </w:rPr>
        <w:t>de</w:t>
      </w:r>
      <w:r w:rsidRPr="00440C76">
        <w:rPr>
          <w:lang w:val="fr-FR"/>
        </w:rPr>
        <w:t xml:space="preserve"> l</w:t>
      </w:r>
      <w:r>
        <w:rPr>
          <w:lang w:val="fr-FR"/>
        </w:rPr>
        <w:t>’</w:t>
      </w:r>
      <w:r w:rsidRPr="00440C76">
        <w:rPr>
          <w:lang w:val="fr-FR"/>
        </w:rPr>
        <w:t>évaluation de la conformité de même que les mesures correctives concernant une famille de conformité en service donnée aux autres acteurs qui ont fourni les résultats des essais pour cette famille.</w:t>
      </w:r>
    </w:p>
    <w:p w14:paraId="4925F44E" w14:textId="77777777" w:rsidR="00BE2CA7" w:rsidRPr="00440C76" w:rsidRDefault="00BE2CA7" w:rsidP="00BE2CA7">
      <w:pPr>
        <w:pStyle w:val="SingleTxtG"/>
        <w:ind w:left="2268"/>
        <w:rPr>
          <w:lang w:val="fr-FR"/>
        </w:rPr>
      </w:pPr>
      <w:r w:rsidRPr="00440C76">
        <w:rPr>
          <w:lang w:val="fr-FR"/>
        </w:rPr>
        <w:t>Les résultats des essais, y compris les données détaillées relatives à l</w:t>
      </w:r>
      <w:r>
        <w:rPr>
          <w:lang w:val="fr-FR"/>
        </w:rPr>
        <w:t>’</w:t>
      </w:r>
      <w:r w:rsidRPr="00440C76">
        <w:rPr>
          <w:lang w:val="fr-FR"/>
        </w:rPr>
        <w:t xml:space="preserve">ensemble des véhicules </w:t>
      </w:r>
      <w:r w:rsidRPr="00440C76">
        <w:rPr>
          <w:rFonts w:eastAsia="Arial Unicode MS"/>
          <w:lang w:val="fr-FR"/>
        </w:rPr>
        <w:t>soumis</w:t>
      </w:r>
      <w:r w:rsidRPr="00440C76">
        <w:rPr>
          <w:lang w:val="fr-FR"/>
        </w:rPr>
        <w:t xml:space="preserve"> aux essais, ne peuvent être communiqués au public qu</w:t>
      </w:r>
      <w:r>
        <w:rPr>
          <w:lang w:val="fr-FR"/>
        </w:rPr>
        <w:t>’</w:t>
      </w:r>
      <w:r w:rsidRPr="00440C76">
        <w:rPr>
          <w:lang w:val="fr-FR"/>
        </w:rPr>
        <w:t>après la publication par l</w:t>
      </w:r>
      <w:r>
        <w:rPr>
          <w:lang w:val="fr-FR"/>
        </w:rPr>
        <w:t>’</w:t>
      </w:r>
      <w:r w:rsidRPr="00440C76">
        <w:rPr>
          <w:lang w:val="fr-FR"/>
        </w:rPr>
        <w:t>autorité d</w:t>
      </w:r>
      <w:r>
        <w:rPr>
          <w:lang w:val="fr-FR"/>
        </w:rPr>
        <w:t>’</w:t>
      </w:r>
      <w:r w:rsidRPr="00440C76">
        <w:rPr>
          <w:lang w:val="fr-FR"/>
        </w:rPr>
        <w:t>homologation de type du rapport annuel ou des résultats concernant une procédure de contrôle de la conformité en service spécifique, ou après la clôture d</w:t>
      </w:r>
      <w:r>
        <w:rPr>
          <w:lang w:val="fr-FR"/>
        </w:rPr>
        <w:t>’</w:t>
      </w:r>
      <w:r w:rsidRPr="00440C76">
        <w:rPr>
          <w:lang w:val="fr-FR"/>
        </w:rPr>
        <w:t>une procédure statistique (voir par.</w:t>
      </w:r>
      <w:r>
        <w:rPr>
          <w:lang w:val="fr-FR"/>
        </w:rPr>
        <w:t> </w:t>
      </w:r>
      <w:r w:rsidRPr="00440C76">
        <w:rPr>
          <w:lang w:val="fr-FR"/>
        </w:rPr>
        <w:t>5.10) n</w:t>
      </w:r>
      <w:r>
        <w:rPr>
          <w:lang w:val="fr-FR"/>
        </w:rPr>
        <w:t>’</w:t>
      </w:r>
      <w:r w:rsidRPr="00440C76">
        <w:rPr>
          <w:lang w:val="fr-FR"/>
        </w:rPr>
        <w:t>ayant pas abouti. Si les résultats des essais de conformité en service réalisés par d</w:t>
      </w:r>
      <w:r>
        <w:rPr>
          <w:lang w:val="fr-FR"/>
        </w:rPr>
        <w:t>’</w:t>
      </w:r>
      <w:r w:rsidRPr="00440C76">
        <w:rPr>
          <w:lang w:val="fr-FR"/>
        </w:rPr>
        <w:t>autres acteurs sont publiés, l</w:t>
      </w:r>
      <w:r>
        <w:rPr>
          <w:lang w:val="fr-FR"/>
        </w:rPr>
        <w:t>’</w:t>
      </w:r>
      <w:r w:rsidRPr="00440C76">
        <w:rPr>
          <w:lang w:val="fr-FR"/>
        </w:rPr>
        <w:t>autorité d</w:t>
      </w:r>
      <w:r>
        <w:rPr>
          <w:lang w:val="fr-FR"/>
        </w:rPr>
        <w:t>’</w:t>
      </w:r>
      <w:r w:rsidRPr="00440C76">
        <w:rPr>
          <w:lang w:val="fr-FR"/>
        </w:rPr>
        <w:t>homologation de type doit faire référence au rapport annuel qui les contient.</w:t>
      </w:r>
    </w:p>
    <w:p w14:paraId="501A433B" w14:textId="77777777" w:rsidR="00BE2CA7" w:rsidRPr="00440C76" w:rsidRDefault="00BE2CA7" w:rsidP="00BE2CA7">
      <w:pPr>
        <w:pStyle w:val="SingleTxtG"/>
        <w:ind w:left="2268" w:hanging="1134"/>
        <w:rPr>
          <w:iCs/>
          <w:highlight w:val="yellow"/>
          <w:lang w:val="fr-FR"/>
        </w:rPr>
      </w:pPr>
      <w:r w:rsidRPr="00440C76">
        <w:rPr>
          <w:iCs/>
          <w:lang w:val="fr-FR"/>
        </w:rPr>
        <w:t>5.3</w:t>
      </w:r>
      <w:r w:rsidRPr="00440C76">
        <w:rPr>
          <w:iCs/>
          <w:lang w:val="fr-FR"/>
        </w:rPr>
        <w:tab/>
      </w:r>
      <w:r w:rsidRPr="00440C76">
        <w:rPr>
          <w:lang w:val="fr-FR"/>
        </w:rPr>
        <w:t>Types</w:t>
      </w:r>
      <w:r w:rsidRPr="00440C76">
        <w:rPr>
          <w:iCs/>
          <w:lang w:val="fr-FR"/>
        </w:rPr>
        <w:t xml:space="preserve"> d</w:t>
      </w:r>
      <w:r>
        <w:rPr>
          <w:iCs/>
          <w:lang w:val="fr-FR"/>
        </w:rPr>
        <w:t>’</w:t>
      </w:r>
      <w:r w:rsidRPr="00440C76">
        <w:rPr>
          <w:iCs/>
          <w:lang w:val="fr-FR"/>
        </w:rPr>
        <w:t>essais</w:t>
      </w:r>
    </w:p>
    <w:p w14:paraId="1A9201AE" w14:textId="77777777" w:rsidR="00BE2CA7" w:rsidRPr="00440C76" w:rsidRDefault="00BE2CA7" w:rsidP="00BE2CA7">
      <w:pPr>
        <w:pStyle w:val="SingleTxtG"/>
        <w:ind w:left="2268"/>
        <w:rPr>
          <w:highlight w:val="yellow"/>
          <w:lang w:val="fr-FR"/>
        </w:rPr>
      </w:pPr>
      <w:r w:rsidRPr="00440C76">
        <w:rPr>
          <w:lang w:val="fr-FR"/>
        </w:rPr>
        <w:t xml:space="preserve">Les essais de conformité en service ne peuvent être réalisés que sur les véhicules sélectionnés </w:t>
      </w:r>
      <w:r w:rsidRPr="00440C76">
        <w:rPr>
          <w:rFonts w:eastAsia="Arial Unicode MS"/>
          <w:lang w:val="fr-FR"/>
        </w:rPr>
        <w:t>conformément</w:t>
      </w:r>
      <w:r w:rsidRPr="00440C76">
        <w:rPr>
          <w:lang w:val="fr-FR"/>
        </w:rPr>
        <w:t xml:space="preserve"> à l</w:t>
      </w:r>
      <w:r>
        <w:rPr>
          <w:lang w:val="fr-FR"/>
        </w:rPr>
        <w:t>’</w:t>
      </w:r>
      <w:r w:rsidRPr="00440C76">
        <w:rPr>
          <w:lang w:val="fr-FR"/>
        </w:rPr>
        <w:t>appendice</w:t>
      </w:r>
      <w:r>
        <w:rPr>
          <w:lang w:val="fr-FR"/>
        </w:rPr>
        <w:t> </w:t>
      </w:r>
      <w:r w:rsidRPr="00440C76">
        <w:rPr>
          <w:lang w:val="fr-FR"/>
        </w:rPr>
        <w:t>1.</w:t>
      </w:r>
    </w:p>
    <w:p w14:paraId="6E57427B" w14:textId="77777777" w:rsidR="00BE2CA7" w:rsidRPr="00440C76" w:rsidRDefault="00BE2CA7" w:rsidP="00BE2CA7">
      <w:pPr>
        <w:pStyle w:val="SingleTxtG"/>
        <w:ind w:left="2268"/>
        <w:rPr>
          <w:highlight w:val="yellow"/>
          <w:lang w:val="fr-FR"/>
        </w:rPr>
      </w:pPr>
      <w:r w:rsidRPr="00440C76">
        <w:rPr>
          <w:lang w:val="fr-FR"/>
        </w:rPr>
        <w:t>L</w:t>
      </w:r>
      <w:r>
        <w:rPr>
          <w:lang w:val="fr-FR"/>
        </w:rPr>
        <w:t>’</w:t>
      </w:r>
      <w:r w:rsidRPr="00440C76">
        <w:rPr>
          <w:lang w:val="fr-FR"/>
        </w:rPr>
        <w:t xml:space="preserve">essai de </w:t>
      </w:r>
      <w:r w:rsidRPr="00440C76">
        <w:rPr>
          <w:rFonts w:eastAsia="Arial Unicode MS"/>
          <w:lang w:val="fr-FR"/>
        </w:rPr>
        <w:t>conformité</w:t>
      </w:r>
      <w:r w:rsidRPr="00440C76">
        <w:rPr>
          <w:lang w:val="fr-FR"/>
        </w:rPr>
        <w:t xml:space="preserve"> selon l</w:t>
      </w:r>
      <w:r>
        <w:rPr>
          <w:lang w:val="fr-FR"/>
        </w:rPr>
        <w:t>’</w:t>
      </w:r>
      <w:r w:rsidRPr="00440C76">
        <w:rPr>
          <w:lang w:val="fr-FR"/>
        </w:rPr>
        <w:t>essai du type</w:t>
      </w:r>
      <w:r>
        <w:rPr>
          <w:lang w:val="fr-FR"/>
        </w:rPr>
        <w:t> </w:t>
      </w:r>
      <w:r w:rsidRPr="00440C76">
        <w:rPr>
          <w:lang w:val="fr-FR"/>
        </w:rPr>
        <w:t>1 doit être réalisé conformément au Règlement ONU n</w:t>
      </w:r>
      <w:r w:rsidRPr="00440C76">
        <w:rPr>
          <w:vertAlign w:val="superscript"/>
          <w:lang w:val="fr-FR"/>
        </w:rPr>
        <w:t>o</w:t>
      </w:r>
      <w:r w:rsidRPr="00440C76">
        <w:rPr>
          <w:lang w:val="fr-FR"/>
        </w:rPr>
        <w:t> 154.</w:t>
      </w:r>
    </w:p>
    <w:p w14:paraId="249E5375" w14:textId="77777777" w:rsidR="00BE2CA7" w:rsidRPr="00440C76" w:rsidRDefault="00BE2CA7" w:rsidP="00BE2CA7">
      <w:pPr>
        <w:pStyle w:val="SingleTxtG"/>
        <w:ind w:left="2268"/>
        <w:rPr>
          <w:highlight w:val="yellow"/>
          <w:lang w:val="fr-FR"/>
        </w:rPr>
      </w:pPr>
      <w:r w:rsidRPr="00440C76">
        <w:rPr>
          <w:lang w:val="fr-FR"/>
        </w:rPr>
        <w:t xml:space="preserve">Les essais de </w:t>
      </w:r>
      <w:r w:rsidRPr="00440C76">
        <w:rPr>
          <w:rFonts w:eastAsia="Arial Unicode MS"/>
          <w:lang w:val="fr-FR"/>
        </w:rPr>
        <w:t>conformité</w:t>
      </w:r>
      <w:r w:rsidRPr="00440C76">
        <w:rPr>
          <w:lang w:val="fr-FR"/>
        </w:rPr>
        <w:t xml:space="preserve"> en service avec essai de mesure des émissions en conditions réelles de conduite doivent être réalisés conformément au Règlement ONU n</w:t>
      </w:r>
      <w:r w:rsidRPr="00440C76">
        <w:rPr>
          <w:vertAlign w:val="superscript"/>
          <w:lang w:val="fr-FR"/>
        </w:rPr>
        <w:t>o</w:t>
      </w:r>
      <w:r w:rsidRPr="00440C76">
        <w:rPr>
          <w:lang w:val="fr-FR"/>
        </w:rPr>
        <w:t> [xxx] sur les émissions en conditions réelles de conduite, les essais du type</w:t>
      </w:r>
      <w:r>
        <w:rPr>
          <w:lang w:val="fr-FR"/>
        </w:rPr>
        <w:t> </w:t>
      </w:r>
      <w:r w:rsidRPr="00440C76">
        <w:rPr>
          <w:lang w:val="fr-FR"/>
        </w:rPr>
        <w:t>4 doivent être réalisés conformément à l</w:t>
      </w:r>
      <w:r>
        <w:rPr>
          <w:lang w:val="fr-FR"/>
        </w:rPr>
        <w:t>’</w:t>
      </w:r>
      <w:r w:rsidRPr="00440C76">
        <w:rPr>
          <w:lang w:val="fr-FR"/>
        </w:rPr>
        <w:t>appendice</w:t>
      </w:r>
      <w:r>
        <w:rPr>
          <w:lang w:val="fr-FR"/>
        </w:rPr>
        <w:t> </w:t>
      </w:r>
      <w:r w:rsidRPr="00440C76">
        <w:rPr>
          <w:lang w:val="fr-FR"/>
        </w:rPr>
        <w:t>2 de la présente annexe et les essais du type</w:t>
      </w:r>
      <w:r>
        <w:rPr>
          <w:lang w:val="fr-FR"/>
        </w:rPr>
        <w:t> </w:t>
      </w:r>
      <w:r w:rsidRPr="00440C76">
        <w:rPr>
          <w:lang w:val="fr-FR"/>
        </w:rPr>
        <w:t>6 conformément à l</w:t>
      </w:r>
      <w:r>
        <w:rPr>
          <w:lang w:val="fr-FR"/>
        </w:rPr>
        <w:t>’</w:t>
      </w:r>
      <w:r w:rsidRPr="00440C76">
        <w:rPr>
          <w:lang w:val="fr-FR"/>
        </w:rPr>
        <w:t>annexe</w:t>
      </w:r>
      <w:r>
        <w:rPr>
          <w:lang w:val="fr-FR"/>
        </w:rPr>
        <w:t> </w:t>
      </w:r>
      <w:r w:rsidRPr="00440C76">
        <w:rPr>
          <w:lang w:val="fr-FR"/>
        </w:rPr>
        <w:t>8.</w:t>
      </w:r>
    </w:p>
    <w:p w14:paraId="68F48332" w14:textId="77777777" w:rsidR="00BE2CA7" w:rsidRPr="00440C76" w:rsidRDefault="00BE2CA7" w:rsidP="00BE2CA7">
      <w:pPr>
        <w:pStyle w:val="SingleTxtG"/>
        <w:ind w:left="2268" w:hanging="1134"/>
        <w:rPr>
          <w:iCs/>
          <w:highlight w:val="yellow"/>
          <w:lang w:val="fr-FR"/>
        </w:rPr>
      </w:pPr>
      <w:r w:rsidRPr="00440C76">
        <w:rPr>
          <w:iCs/>
          <w:lang w:val="fr-FR"/>
        </w:rPr>
        <w:t>5.4</w:t>
      </w:r>
      <w:r w:rsidRPr="00440C76">
        <w:rPr>
          <w:iCs/>
          <w:lang w:val="fr-FR"/>
        </w:rPr>
        <w:tab/>
      </w:r>
      <w:r w:rsidRPr="00440C76">
        <w:rPr>
          <w:lang w:val="fr-FR"/>
        </w:rPr>
        <w:t>Fréquence</w:t>
      </w:r>
      <w:r w:rsidRPr="00440C76">
        <w:rPr>
          <w:iCs/>
          <w:lang w:val="fr-FR"/>
        </w:rPr>
        <w:t xml:space="preserve"> et portée des essais de conformité en service</w:t>
      </w:r>
    </w:p>
    <w:p w14:paraId="075A1140" w14:textId="77777777" w:rsidR="00BE2CA7" w:rsidRPr="00440C76" w:rsidRDefault="00BE2CA7" w:rsidP="00BE2CA7">
      <w:pPr>
        <w:pStyle w:val="SingleTxtG"/>
        <w:ind w:left="2268"/>
        <w:rPr>
          <w:highlight w:val="yellow"/>
          <w:lang w:val="fr-FR"/>
        </w:rPr>
      </w:pPr>
      <w:r w:rsidRPr="00440C76">
        <w:rPr>
          <w:lang w:val="fr-FR"/>
        </w:rPr>
        <w:t xml:space="preserve">Le délai entre </w:t>
      </w:r>
      <w:r w:rsidRPr="00440C76">
        <w:rPr>
          <w:rFonts w:eastAsia="Arial Unicode MS"/>
          <w:lang w:val="fr-FR"/>
        </w:rPr>
        <w:t>deux</w:t>
      </w:r>
      <w:r w:rsidRPr="00440C76">
        <w:rPr>
          <w:lang w:val="fr-FR"/>
        </w:rPr>
        <w:t xml:space="preserve"> contrôles de conformité en service effectués par le constructeur pour une famille de conformité en service donnée ne doit pas dépasser 24 mois.</w:t>
      </w:r>
    </w:p>
    <w:p w14:paraId="25546FEF" w14:textId="77777777" w:rsidR="00BE2CA7" w:rsidRPr="00440C76" w:rsidRDefault="00BE2CA7" w:rsidP="00BE2CA7">
      <w:pPr>
        <w:pStyle w:val="SingleTxtG"/>
        <w:ind w:left="2268"/>
        <w:rPr>
          <w:highlight w:val="yellow"/>
          <w:lang w:val="fr-FR"/>
        </w:rPr>
      </w:pPr>
      <w:r w:rsidRPr="00440C76">
        <w:rPr>
          <w:lang w:val="fr-FR"/>
        </w:rPr>
        <w:t>La périodicité des essais de conformité en service effectués par l</w:t>
      </w:r>
      <w:r>
        <w:rPr>
          <w:lang w:val="fr-FR"/>
        </w:rPr>
        <w:t>’</w:t>
      </w:r>
      <w:r w:rsidRPr="00440C76">
        <w:rPr>
          <w:lang w:val="fr-FR"/>
        </w:rPr>
        <w:t>autorité d</w:t>
      </w:r>
      <w:r>
        <w:rPr>
          <w:lang w:val="fr-FR"/>
        </w:rPr>
        <w:t>’</w:t>
      </w:r>
      <w:r w:rsidRPr="00440C76">
        <w:rPr>
          <w:lang w:val="fr-FR"/>
        </w:rPr>
        <w:t xml:space="preserve">homologation de </w:t>
      </w:r>
      <w:r w:rsidRPr="00440C76">
        <w:rPr>
          <w:rFonts w:eastAsia="Arial Unicode MS"/>
          <w:lang w:val="fr-FR"/>
        </w:rPr>
        <w:t>type</w:t>
      </w:r>
      <w:r w:rsidRPr="00440C76">
        <w:rPr>
          <w:lang w:val="fr-FR"/>
        </w:rPr>
        <w:t xml:space="preserve"> doit être fondée </w:t>
      </w:r>
      <w:r>
        <w:rPr>
          <w:lang w:val="fr-FR"/>
        </w:rPr>
        <w:t xml:space="preserve">sur </w:t>
      </w:r>
      <w:r w:rsidRPr="00440C76">
        <w:rPr>
          <w:lang w:val="fr-FR"/>
        </w:rPr>
        <w:t>une méthode d</w:t>
      </w:r>
      <w:r>
        <w:rPr>
          <w:lang w:val="fr-FR"/>
        </w:rPr>
        <w:t>’</w:t>
      </w:r>
      <w:r w:rsidRPr="00440C76">
        <w:rPr>
          <w:lang w:val="fr-FR"/>
        </w:rPr>
        <w:t>évaluation des risques conforme à la norme internationale ISO</w:t>
      </w:r>
      <w:r>
        <w:rPr>
          <w:lang w:val="fr-FR"/>
        </w:rPr>
        <w:t> </w:t>
      </w:r>
      <w:r w:rsidRPr="00440C76">
        <w:rPr>
          <w:lang w:val="fr-FR"/>
        </w:rPr>
        <w:t>31000:2018 (Management du risque</w:t>
      </w:r>
      <w:r w:rsidRPr="00440C76">
        <w:rPr>
          <w:sz w:val="18"/>
          <w:szCs w:val="18"/>
          <w:lang w:val="fr-FR"/>
        </w:rPr>
        <w:t xml:space="preserve"> − </w:t>
      </w:r>
      <w:r w:rsidRPr="00440C76">
        <w:rPr>
          <w:lang w:val="fr-FR"/>
        </w:rPr>
        <w:t>Lignes directrices), qui inclut les résultats de l</w:t>
      </w:r>
      <w:r>
        <w:rPr>
          <w:lang w:val="fr-FR"/>
        </w:rPr>
        <w:t>’</w:t>
      </w:r>
      <w:r w:rsidRPr="00440C76">
        <w:rPr>
          <w:lang w:val="fr-FR"/>
        </w:rPr>
        <w:t>évaluation initiale réalisée conformément au paragraphe</w:t>
      </w:r>
      <w:r>
        <w:rPr>
          <w:lang w:val="fr-FR"/>
        </w:rPr>
        <w:t> </w:t>
      </w:r>
      <w:r w:rsidRPr="00440C76">
        <w:rPr>
          <w:lang w:val="fr-FR"/>
        </w:rPr>
        <w:t>4.</w:t>
      </w:r>
    </w:p>
    <w:p w14:paraId="3356F9B1" w14:textId="77777777" w:rsidR="00BE2CA7" w:rsidRPr="00440C76" w:rsidRDefault="00BE2CA7" w:rsidP="00BE2CA7">
      <w:pPr>
        <w:pStyle w:val="SingleTxtG"/>
        <w:ind w:left="2268"/>
        <w:rPr>
          <w:lang w:val="fr-FR"/>
        </w:rPr>
      </w:pPr>
      <w:r w:rsidRPr="00440C76">
        <w:rPr>
          <w:lang w:val="fr-FR"/>
        </w:rPr>
        <w:t>Chaque autorité d</w:t>
      </w:r>
      <w:r>
        <w:rPr>
          <w:lang w:val="fr-FR"/>
        </w:rPr>
        <w:t>’</w:t>
      </w:r>
      <w:r w:rsidRPr="00440C76">
        <w:rPr>
          <w:lang w:val="fr-FR"/>
        </w:rPr>
        <w:t>homologation de type doit réaliser l</w:t>
      </w:r>
      <w:r>
        <w:rPr>
          <w:lang w:val="fr-FR"/>
        </w:rPr>
        <w:t>’</w:t>
      </w:r>
      <w:r w:rsidRPr="00440C76">
        <w:rPr>
          <w:lang w:val="fr-FR"/>
        </w:rPr>
        <w:t>essai du type</w:t>
      </w:r>
      <w:r>
        <w:rPr>
          <w:lang w:val="fr-FR"/>
        </w:rPr>
        <w:t> </w:t>
      </w:r>
      <w:r w:rsidRPr="00440C76">
        <w:rPr>
          <w:lang w:val="fr-FR"/>
        </w:rPr>
        <w:t>1 et l</w:t>
      </w:r>
      <w:r>
        <w:rPr>
          <w:lang w:val="fr-FR"/>
        </w:rPr>
        <w:t>’</w:t>
      </w:r>
      <w:r w:rsidRPr="00440C76">
        <w:rPr>
          <w:lang w:val="fr-FR"/>
        </w:rPr>
        <w:t>essai de mesure des émissions en conditions réelles de conduite sur au moins 5 % des familles de conformité en service par constructeur et par an, ou sur au moins deux familles de conformité en service par constructeur et par an, si disponibles. L</w:t>
      </w:r>
      <w:r>
        <w:rPr>
          <w:lang w:val="fr-FR"/>
        </w:rPr>
        <w:t>’</w:t>
      </w:r>
      <w:r w:rsidRPr="00440C76">
        <w:rPr>
          <w:lang w:val="fr-FR"/>
        </w:rPr>
        <w:t>obligation de soumettre aux essais au moins 5 % des familles de conformité en service ou au moins deux de ces familles par constructeur et par an ne s</w:t>
      </w:r>
      <w:r>
        <w:rPr>
          <w:lang w:val="fr-FR"/>
        </w:rPr>
        <w:t>’</w:t>
      </w:r>
      <w:r w:rsidRPr="00440C76">
        <w:rPr>
          <w:lang w:val="fr-FR"/>
        </w:rPr>
        <w:t>applique pas aux petites séries.</w:t>
      </w:r>
      <w:r w:rsidRPr="00440C76">
        <w:rPr>
          <w:color w:val="333333"/>
          <w:shd w:val="clear" w:color="auto" w:fill="FFFFFF"/>
          <w:lang w:val="fr-FR"/>
        </w:rPr>
        <w:t xml:space="preserve"> </w:t>
      </w:r>
      <w:r w:rsidRPr="00440C76">
        <w:rPr>
          <w:lang w:val="fr-FR"/>
        </w:rPr>
        <w:t>L</w:t>
      </w:r>
      <w:r>
        <w:rPr>
          <w:lang w:val="fr-FR"/>
        </w:rPr>
        <w:t>’</w:t>
      </w:r>
      <w:r w:rsidRPr="00440C76">
        <w:rPr>
          <w:lang w:val="fr-FR"/>
        </w:rPr>
        <w:t>autorité d</w:t>
      </w:r>
      <w:r>
        <w:rPr>
          <w:lang w:val="fr-FR"/>
        </w:rPr>
        <w:t>’</w:t>
      </w:r>
      <w:r w:rsidRPr="00440C76">
        <w:rPr>
          <w:lang w:val="fr-FR"/>
        </w:rPr>
        <w:t>homologation de type doit garantir la couverture la plus large possible de familles de conformité en service et d</w:t>
      </w:r>
      <w:r>
        <w:rPr>
          <w:lang w:val="fr-FR"/>
        </w:rPr>
        <w:t>’</w:t>
      </w:r>
      <w:r w:rsidRPr="00440C76">
        <w:rPr>
          <w:lang w:val="fr-FR"/>
        </w:rPr>
        <w:t>âges de véhicule dans une famille de conformité en service donnée afin d</w:t>
      </w:r>
      <w:r>
        <w:rPr>
          <w:lang w:val="fr-FR"/>
        </w:rPr>
        <w:t>’</w:t>
      </w:r>
      <w:r w:rsidRPr="00440C76">
        <w:rPr>
          <w:lang w:val="fr-FR"/>
        </w:rPr>
        <w:t>assurer le respect des dispositions du paragraphe</w:t>
      </w:r>
      <w:r>
        <w:rPr>
          <w:lang w:val="fr-FR"/>
        </w:rPr>
        <w:t> </w:t>
      </w:r>
      <w:r w:rsidRPr="00440C76">
        <w:rPr>
          <w:lang w:val="fr-FR"/>
        </w:rPr>
        <w:t>9.3 du présent Règlement. L</w:t>
      </w:r>
      <w:r>
        <w:rPr>
          <w:lang w:val="fr-FR"/>
        </w:rPr>
        <w:t>’</w:t>
      </w:r>
      <w:r w:rsidRPr="00440C76">
        <w:rPr>
          <w:lang w:val="fr-FR"/>
        </w:rPr>
        <w:t>autorité d</w:t>
      </w:r>
      <w:r>
        <w:rPr>
          <w:lang w:val="fr-FR"/>
        </w:rPr>
        <w:t>’</w:t>
      </w:r>
      <w:r w:rsidRPr="00440C76">
        <w:rPr>
          <w:lang w:val="fr-FR"/>
        </w:rPr>
        <w:t xml:space="preserve">homologation de type doit achever, dans un délai de </w:t>
      </w:r>
      <w:r w:rsidRPr="00440C76">
        <w:rPr>
          <w:lang w:val="fr-FR"/>
        </w:rPr>
        <w:lastRenderedPageBreak/>
        <w:t>12 mois, la procédure statistique engagée pour chaque famille de conformité en service.</w:t>
      </w:r>
    </w:p>
    <w:p w14:paraId="2AB5DB49" w14:textId="77777777" w:rsidR="00BE2CA7" w:rsidRPr="00440C76" w:rsidRDefault="00BE2CA7" w:rsidP="00BE2CA7">
      <w:pPr>
        <w:pStyle w:val="SingleTxtG"/>
        <w:ind w:left="2268"/>
        <w:rPr>
          <w:highlight w:val="yellow"/>
          <w:lang w:val="fr-FR"/>
        </w:rPr>
      </w:pPr>
      <w:r w:rsidRPr="00440C76">
        <w:rPr>
          <w:lang w:val="fr-FR"/>
        </w:rPr>
        <w:t>Les essais de conformité en service du type</w:t>
      </w:r>
      <w:r>
        <w:rPr>
          <w:lang w:val="fr-FR"/>
        </w:rPr>
        <w:t> </w:t>
      </w:r>
      <w:r w:rsidRPr="00440C76">
        <w:rPr>
          <w:lang w:val="fr-FR"/>
        </w:rPr>
        <w:t>4 ou du type</w:t>
      </w:r>
      <w:r>
        <w:rPr>
          <w:lang w:val="fr-FR"/>
        </w:rPr>
        <w:t> </w:t>
      </w:r>
      <w:r w:rsidRPr="00440C76">
        <w:rPr>
          <w:lang w:val="fr-FR"/>
        </w:rPr>
        <w:t xml:space="preserve">6 ne sont pas soumis à des </w:t>
      </w:r>
      <w:r w:rsidRPr="00440C76">
        <w:rPr>
          <w:rFonts w:eastAsia="Arial Unicode MS"/>
          <w:lang w:val="fr-FR"/>
        </w:rPr>
        <w:t>prescriptions</w:t>
      </w:r>
      <w:r w:rsidRPr="00440C76">
        <w:rPr>
          <w:lang w:val="fr-FR"/>
        </w:rPr>
        <w:t xml:space="preserve"> de fréquence minimale.</w:t>
      </w:r>
    </w:p>
    <w:p w14:paraId="1DAA4D26" w14:textId="77777777" w:rsidR="00BE2CA7" w:rsidRPr="00440C76" w:rsidRDefault="00BE2CA7" w:rsidP="00BE2CA7">
      <w:pPr>
        <w:pStyle w:val="SingleTxtG"/>
        <w:ind w:left="2268" w:hanging="1134"/>
        <w:rPr>
          <w:iCs/>
          <w:lang w:val="fr-FR"/>
        </w:rPr>
      </w:pPr>
      <w:r w:rsidRPr="00440C76">
        <w:rPr>
          <w:iCs/>
          <w:lang w:val="fr-FR"/>
        </w:rPr>
        <w:t>5.5</w:t>
      </w:r>
      <w:r w:rsidRPr="00440C76">
        <w:rPr>
          <w:iCs/>
          <w:lang w:val="fr-FR"/>
        </w:rPr>
        <w:tab/>
        <w:t xml:space="preserve">Financement des essais de conformité en service effectués par les autorités </w:t>
      </w:r>
      <w:r w:rsidRPr="00440C76">
        <w:rPr>
          <w:lang w:val="fr-FR"/>
        </w:rPr>
        <w:t>d</w:t>
      </w:r>
      <w:r>
        <w:rPr>
          <w:lang w:val="fr-FR"/>
        </w:rPr>
        <w:t>’</w:t>
      </w:r>
      <w:r w:rsidRPr="00440C76">
        <w:rPr>
          <w:lang w:val="fr-FR"/>
        </w:rPr>
        <w:t>homologations</w:t>
      </w:r>
      <w:r w:rsidRPr="00440C76">
        <w:rPr>
          <w:iCs/>
          <w:lang w:val="fr-FR"/>
        </w:rPr>
        <w:t xml:space="preserve"> de type</w:t>
      </w:r>
    </w:p>
    <w:p w14:paraId="295E652D" w14:textId="77777777" w:rsidR="00BE2CA7" w:rsidRPr="00440C76" w:rsidRDefault="00BE2CA7" w:rsidP="00BE2CA7">
      <w:pPr>
        <w:pStyle w:val="SingleTxtG"/>
        <w:ind w:left="2268"/>
        <w:rPr>
          <w:lang w:val="fr-FR"/>
        </w:rPr>
      </w:pPr>
      <w:r w:rsidRPr="00440C76">
        <w:rPr>
          <w:lang w:val="fr-FR"/>
        </w:rPr>
        <w:t>L</w:t>
      </w:r>
      <w:r>
        <w:rPr>
          <w:lang w:val="fr-FR"/>
        </w:rPr>
        <w:t>’</w:t>
      </w:r>
      <w:r w:rsidRPr="00440C76">
        <w:rPr>
          <w:lang w:val="fr-FR"/>
        </w:rPr>
        <w:t>autorité d</w:t>
      </w:r>
      <w:r>
        <w:rPr>
          <w:lang w:val="fr-FR"/>
        </w:rPr>
        <w:t>’</w:t>
      </w:r>
      <w:r w:rsidRPr="00440C76">
        <w:rPr>
          <w:lang w:val="fr-FR"/>
        </w:rPr>
        <w:t>homologation de type doit veiller à ce que des ressources suffisantes soient disponibles pour couvrir les coûts des essais de conformité en service. Sans préjudice de la législation nationale, ces coûts sont recouvrés au moyen de redevances que l</w:t>
      </w:r>
      <w:r>
        <w:rPr>
          <w:lang w:val="fr-FR"/>
        </w:rPr>
        <w:t>’</w:t>
      </w:r>
      <w:r w:rsidRPr="00440C76">
        <w:rPr>
          <w:lang w:val="fr-FR"/>
        </w:rPr>
        <w:t>autorité d</w:t>
      </w:r>
      <w:r>
        <w:rPr>
          <w:lang w:val="fr-FR"/>
        </w:rPr>
        <w:t>’</w:t>
      </w:r>
      <w:r w:rsidRPr="00440C76">
        <w:rPr>
          <w:lang w:val="fr-FR"/>
        </w:rPr>
        <w:t xml:space="preserve">homologation de type peut imposer au </w:t>
      </w:r>
      <w:r w:rsidRPr="00440C76">
        <w:rPr>
          <w:rFonts w:eastAsia="Arial Unicode MS"/>
          <w:lang w:val="fr-FR"/>
        </w:rPr>
        <w:t>constructeur</w:t>
      </w:r>
      <w:r w:rsidRPr="00440C76">
        <w:rPr>
          <w:lang w:val="fr-FR"/>
        </w:rPr>
        <w:t>. Ces redevances couvriront les essais de conformité en service d</w:t>
      </w:r>
      <w:r>
        <w:rPr>
          <w:lang w:val="fr-FR"/>
        </w:rPr>
        <w:t>’</w:t>
      </w:r>
      <w:r w:rsidRPr="00440C76">
        <w:rPr>
          <w:lang w:val="fr-FR"/>
        </w:rPr>
        <w:t>au moins 5 % des familles de conformité en service ou d</w:t>
      </w:r>
      <w:r>
        <w:rPr>
          <w:lang w:val="fr-FR"/>
        </w:rPr>
        <w:t>’</w:t>
      </w:r>
      <w:r w:rsidRPr="00440C76">
        <w:rPr>
          <w:lang w:val="fr-FR"/>
        </w:rPr>
        <w:t>au moins deux de ces familles par constructeur et par an.</w:t>
      </w:r>
    </w:p>
    <w:p w14:paraId="255C35EF" w14:textId="77777777" w:rsidR="00BE2CA7" w:rsidRPr="00440C76" w:rsidRDefault="00BE2CA7" w:rsidP="00BE2CA7">
      <w:pPr>
        <w:pStyle w:val="SingleTxtG"/>
        <w:ind w:left="2268" w:hanging="1134"/>
        <w:rPr>
          <w:iCs/>
          <w:highlight w:val="yellow"/>
          <w:lang w:val="fr-FR"/>
        </w:rPr>
      </w:pPr>
      <w:r w:rsidRPr="00440C76">
        <w:rPr>
          <w:iCs/>
          <w:lang w:val="fr-FR"/>
        </w:rPr>
        <w:t>5.6</w:t>
      </w:r>
      <w:r w:rsidRPr="00440C76">
        <w:rPr>
          <w:iCs/>
          <w:lang w:val="fr-FR"/>
        </w:rPr>
        <w:tab/>
        <w:t>Plan d</w:t>
      </w:r>
      <w:r>
        <w:rPr>
          <w:iCs/>
          <w:lang w:val="fr-FR"/>
        </w:rPr>
        <w:t>’</w:t>
      </w:r>
      <w:r w:rsidRPr="00440C76">
        <w:rPr>
          <w:iCs/>
          <w:lang w:val="fr-FR"/>
        </w:rPr>
        <w:t>essais</w:t>
      </w:r>
    </w:p>
    <w:p w14:paraId="5D8DC958" w14:textId="77777777" w:rsidR="00BE2CA7" w:rsidRPr="00440C76" w:rsidRDefault="00BE2CA7" w:rsidP="00BE2CA7">
      <w:pPr>
        <w:pStyle w:val="SingleTxtG"/>
        <w:ind w:left="2268"/>
        <w:rPr>
          <w:highlight w:val="yellow"/>
          <w:lang w:val="fr-FR"/>
        </w:rPr>
      </w:pPr>
      <w:r w:rsidRPr="00440C76">
        <w:rPr>
          <w:lang w:val="fr-FR"/>
        </w:rPr>
        <w:t>Lors de la réalisation des essais aux fins de la conformité en service, l</w:t>
      </w:r>
      <w:r>
        <w:rPr>
          <w:lang w:val="fr-FR"/>
        </w:rPr>
        <w:t>’</w:t>
      </w:r>
      <w:r w:rsidRPr="00440C76">
        <w:rPr>
          <w:lang w:val="fr-FR"/>
        </w:rPr>
        <w:t>autorité d</w:t>
      </w:r>
      <w:r>
        <w:rPr>
          <w:lang w:val="fr-FR"/>
        </w:rPr>
        <w:t>’</w:t>
      </w:r>
      <w:r w:rsidRPr="00440C76">
        <w:rPr>
          <w:lang w:val="fr-FR"/>
        </w:rPr>
        <w:t>homologation de type doit élaborer un plan d</w:t>
      </w:r>
      <w:r>
        <w:rPr>
          <w:lang w:val="fr-FR"/>
        </w:rPr>
        <w:t>’</w:t>
      </w:r>
      <w:r w:rsidRPr="00440C76">
        <w:rPr>
          <w:lang w:val="fr-FR"/>
        </w:rPr>
        <w:t>essais. Dans le cas de l</w:t>
      </w:r>
      <w:r>
        <w:rPr>
          <w:lang w:val="fr-FR"/>
        </w:rPr>
        <w:t>’</w:t>
      </w:r>
      <w:r w:rsidRPr="00440C76">
        <w:rPr>
          <w:lang w:val="fr-FR"/>
        </w:rPr>
        <w:t xml:space="preserve">essai de mesure des émissions en conditions réelles de conduite, ce plan doit inclure le </w:t>
      </w:r>
      <w:r w:rsidRPr="00440C76">
        <w:rPr>
          <w:rFonts w:eastAsia="Arial Unicode MS"/>
          <w:lang w:val="fr-FR"/>
        </w:rPr>
        <w:t>contrôle</w:t>
      </w:r>
      <w:r w:rsidRPr="00440C76">
        <w:rPr>
          <w:lang w:val="fr-FR"/>
        </w:rPr>
        <w:t xml:space="preserve"> de la conformité en service dans un large éventail de conditions, conformément au Règlement ONU n</w:t>
      </w:r>
      <w:r w:rsidRPr="00440C76">
        <w:rPr>
          <w:vertAlign w:val="superscript"/>
          <w:lang w:val="fr-FR"/>
        </w:rPr>
        <w:t>o</w:t>
      </w:r>
      <w:r w:rsidRPr="00440C76">
        <w:rPr>
          <w:lang w:val="fr-FR"/>
        </w:rPr>
        <w:t> [xxx] sur les émissions en conditions réelles de conduite.</w:t>
      </w:r>
    </w:p>
    <w:p w14:paraId="237225AA" w14:textId="77777777" w:rsidR="00BE2CA7" w:rsidRPr="00440C76" w:rsidRDefault="00BE2CA7" w:rsidP="00BE2CA7">
      <w:pPr>
        <w:pStyle w:val="SingleTxtG"/>
        <w:ind w:left="2268" w:hanging="1134"/>
        <w:rPr>
          <w:iCs/>
          <w:lang w:val="fr-FR"/>
        </w:rPr>
      </w:pPr>
      <w:r w:rsidRPr="00440C76">
        <w:rPr>
          <w:iCs/>
          <w:lang w:val="fr-FR"/>
        </w:rPr>
        <w:t>5.7</w:t>
      </w:r>
      <w:r w:rsidRPr="00440C76">
        <w:rPr>
          <w:iCs/>
          <w:lang w:val="fr-FR"/>
        </w:rPr>
        <w:tab/>
      </w:r>
      <w:r w:rsidRPr="00440C76">
        <w:rPr>
          <w:lang w:val="fr-FR"/>
        </w:rPr>
        <w:t>Sélection</w:t>
      </w:r>
      <w:r w:rsidRPr="00440C76">
        <w:rPr>
          <w:iCs/>
          <w:lang w:val="fr-FR"/>
        </w:rPr>
        <w:t xml:space="preserve"> des véhicules soumis au contrôle de la conformité en service</w:t>
      </w:r>
    </w:p>
    <w:p w14:paraId="6D1BA56D" w14:textId="77777777" w:rsidR="00BE2CA7" w:rsidRPr="00440C76" w:rsidRDefault="00BE2CA7" w:rsidP="00BE2CA7">
      <w:pPr>
        <w:pStyle w:val="SingleTxtG"/>
        <w:ind w:left="2268"/>
        <w:rPr>
          <w:lang w:val="fr-FR"/>
        </w:rPr>
      </w:pPr>
      <w:r w:rsidRPr="00440C76">
        <w:rPr>
          <w:lang w:val="fr-FR"/>
        </w:rPr>
        <w:t xml:space="preserve">Les informations réunies doivent être suffisamment complètes pour que les performances en </w:t>
      </w:r>
      <w:r w:rsidRPr="00440C76">
        <w:rPr>
          <w:rFonts w:eastAsia="Arial Unicode MS"/>
          <w:lang w:val="fr-FR"/>
        </w:rPr>
        <w:t>service</w:t>
      </w:r>
      <w:r w:rsidRPr="00440C76">
        <w:rPr>
          <w:lang w:val="fr-FR"/>
        </w:rPr>
        <w:t xml:space="preserve"> puissent être évaluées pour les véhicules correctement entretenus et utilisés. Les tableaux figurant à l</w:t>
      </w:r>
      <w:r>
        <w:rPr>
          <w:lang w:val="fr-FR"/>
        </w:rPr>
        <w:t>’</w:t>
      </w:r>
      <w:r w:rsidRPr="00440C76">
        <w:rPr>
          <w:lang w:val="fr-FR"/>
        </w:rPr>
        <w:t>appendice</w:t>
      </w:r>
      <w:r>
        <w:rPr>
          <w:lang w:val="fr-FR"/>
        </w:rPr>
        <w:t> </w:t>
      </w:r>
      <w:r w:rsidRPr="00440C76">
        <w:rPr>
          <w:lang w:val="fr-FR"/>
        </w:rPr>
        <w:t>1 doivent être utilisés pour déterminer si le véhicule peut être sélectionné aux fins du contrôle de la conformité en service. Lors de la vérification au regard des tableaux de l</w:t>
      </w:r>
      <w:r>
        <w:rPr>
          <w:lang w:val="fr-FR"/>
        </w:rPr>
        <w:t>’</w:t>
      </w:r>
      <w:r w:rsidRPr="00440C76">
        <w:rPr>
          <w:lang w:val="fr-FR"/>
        </w:rPr>
        <w:t>appendice</w:t>
      </w:r>
      <w:r>
        <w:rPr>
          <w:lang w:val="fr-FR"/>
        </w:rPr>
        <w:t> </w:t>
      </w:r>
      <w:r w:rsidRPr="00440C76">
        <w:rPr>
          <w:lang w:val="fr-FR"/>
        </w:rPr>
        <w:t>1, certains véhicules peuvent être déclarés comme présentant un dysfonctionnement et ne pas être soumis aux essais pendant le contrôle de la conformité en service, lorsqu</w:t>
      </w:r>
      <w:r>
        <w:rPr>
          <w:lang w:val="fr-FR"/>
        </w:rPr>
        <w:t>’</w:t>
      </w:r>
      <w:r w:rsidRPr="00440C76">
        <w:rPr>
          <w:lang w:val="fr-FR"/>
        </w:rPr>
        <w:t>il est démontré que des éléments du système antipollution ont été endommagés.</w:t>
      </w:r>
    </w:p>
    <w:p w14:paraId="58A6290D" w14:textId="77777777" w:rsidR="00BE2CA7" w:rsidRPr="00440C76" w:rsidRDefault="00BE2CA7" w:rsidP="00BE2CA7">
      <w:pPr>
        <w:pStyle w:val="SingleTxtG"/>
        <w:ind w:left="2268"/>
        <w:rPr>
          <w:lang w:val="fr-FR"/>
        </w:rPr>
      </w:pPr>
      <w:r w:rsidRPr="00440C76">
        <w:rPr>
          <w:lang w:val="fr-FR"/>
        </w:rPr>
        <w:t>Un même véhicule peut être utilisé pour effectuer plus d</w:t>
      </w:r>
      <w:r>
        <w:rPr>
          <w:lang w:val="fr-FR"/>
        </w:rPr>
        <w:t>’</w:t>
      </w:r>
      <w:r w:rsidRPr="00440C76">
        <w:rPr>
          <w:lang w:val="fr-FR"/>
        </w:rPr>
        <w:t>un type d</w:t>
      </w:r>
      <w:r>
        <w:rPr>
          <w:lang w:val="fr-FR"/>
        </w:rPr>
        <w:t>’</w:t>
      </w:r>
      <w:r w:rsidRPr="00440C76">
        <w:rPr>
          <w:lang w:val="fr-FR"/>
        </w:rPr>
        <w:t>essais (type 1, RDE, type</w:t>
      </w:r>
      <w:r>
        <w:rPr>
          <w:lang w:val="fr-FR"/>
        </w:rPr>
        <w:t> </w:t>
      </w:r>
      <w:r w:rsidRPr="00440C76">
        <w:rPr>
          <w:lang w:val="fr-FR"/>
        </w:rPr>
        <w:t xml:space="preserve">4, </w:t>
      </w:r>
      <w:r w:rsidRPr="00440C76">
        <w:rPr>
          <w:rFonts w:eastAsia="Arial Unicode MS"/>
          <w:lang w:val="fr-FR"/>
        </w:rPr>
        <w:t>type</w:t>
      </w:r>
      <w:r>
        <w:rPr>
          <w:lang w:val="fr-FR"/>
        </w:rPr>
        <w:t> </w:t>
      </w:r>
      <w:r w:rsidRPr="00440C76">
        <w:rPr>
          <w:lang w:val="fr-FR"/>
        </w:rPr>
        <w:t>6) et établir les rapports correspondants, mais seul le premier essai valable de chaque type sera pris en compte aux fins de la procédure statistique.</w:t>
      </w:r>
    </w:p>
    <w:p w14:paraId="7981CBA2" w14:textId="77777777" w:rsidR="00BE2CA7" w:rsidRPr="00440C76" w:rsidRDefault="00BE2CA7" w:rsidP="00BE2CA7">
      <w:pPr>
        <w:pStyle w:val="SingleTxtG"/>
        <w:ind w:left="2268" w:hanging="1134"/>
        <w:rPr>
          <w:lang w:val="fr-FR"/>
        </w:rPr>
      </w:pPr>
      <w:r w:rsidRPr="00440C76">
        <w:rPr>
          <w:lang w:val="fr-FR"/>
        </w:rPr>
        <w:t>5.7.1</w:t>
      </w:r>
      <w:r w:rsidRPr="00440C76">
        <w:rPr>
          <w:lang w:val="fr-FR"/>
        </w:rPr>
        <w:tab/>
        <w:t>Prescriptions générales</w:t>
      </w:r>
    </w:p>
    <w:p w14:paraId="036E05FC" w14:textId="77777777" w:rsidR="00BE2CA7" w:rsidRPr="00440C76" w:rsidRDefault="00BE2CA7" w:rsidP="00BE2CA7">
      <w:pPr>
        <w:pStyle w:val="SingleTxtG"/>
        <w:ind w:left="2268"/>
        <w:rPr>
          <w:lang w:val="fr-FR"/>
        </w:rPr>
      </w:pPr>
      <w:r w:rsidRPr="00440C76">
        <w:rPr>
          <w:lang w:val="fr-FR"/>
        </w:rPr>
        <w:t>Le véhicule doit appartenir à une famille de conformité en service telle que décrite au paragraphe</w:t>
      </w:r>
      <w:r>
        <w:rPr>
          <w:lang w:val="fr-FR"/>
        </w:rPr>
        <w:t> </w:t>
      </w:r>
      <w:r w:rsidRPr="00440C76">
        <w:rPr>
          <w:lang w:val="fr-FR"/>
        </w:rPr>
        <w:t>3 et satisfaire aux contrôles prévus dans le tableau de l</w:t>
      </w:r>
      <w:r>
        <w:rPr>
          <w:lang w:val="fr-FR"/>
        </w:rPr>
        <w:t>’</w:t>
      </w:r>
      <w:r w:rsidRPr="00440C76">
        <w:rPr>
          <w:lang w:val="fr-FR"/>
        </w:rPr>
        <w:t>appendice</w:t>
      </w:r>
      <w:r>
        <w:rPr>
          <w:lang w:val="fr-FR"/>
        </w:rPr>
        <w:t> </w:t>
      </w:r>
      <w:r w:rsidRPr="00440C76">
        <w:rPr>
          <w:lang w:val="fr-FR"/>
        </w:rPr>
        <w:t>1. Il doit être immatriculé dans la Partie contractante et avoir roulé dans sur le territoire de celle-ci pendant au moins 90 % de son temps de conduite. Les essais relatifs aux émissions peuvent être effectués dans une région géographique différente de celle dans laquelle le véhicule a été sélectionné. Dans le cas où le contrôle de la conformité en service est effectué par le constructeur, avec l</w:t>
      </w:r>
      <w:r>
        <w:rPr>
          <w:lang w:val="fr-FR"/>
        </w:rPr>
        <w:t>’</w:t>
      </w:r>
      <w:r w:rsidRPr="00440C76">
        <w:rPr>
          <w:lang w:val="fr-FR"/>
        </w:rPr>
        <w:t>accord de l</w:t>
      </w:r>
      <w:r>
        <w:rPr>
          <w:lang w:val="fr-FR"/>
        </w:rPr>
        <w:t>’</w:t>
      </w:r>
      <w:r w:rsidRPr="00440C76">
        <w:rPr>
          <w:lang w:val="fr-FR"/>
        </w:rPr>
        <w:t>autorité d</w:t>
      </w:r>
      <w:r>
        <w:rPr>
          <w:lang w:val="fr-FR"/>
        </w:rPr>
        <w:t>’</w:t>
      </w:r>
      <w:r w:rsidRPr="00440C76">
        <w:rPr>
          <w:lang w:val="fr-FR"/>
        </w:rPr>
        <w:t>homologation de type, des véhicules immatriculés dans une Partie non contractante peuvent être contrôlés s</w:t>
      </w:r>
      <w:r>
        <w:rPr>
          <w:lang w:val="fr-FR"/>
        </w:rPr>
        <w:t>’</w:t>
      </w:r>
      <w:r w:rsidRPr="00440C76">
        <w:rPr>
          <w:lang w:val="fr-FR"/>
        </w:rPr>
        <w:t>ils appartiennent à la même famille de conformité en service et sont accompagnés d</w:t>
      </w:r>
      <w:r>
        <w:rPr>
          <w:lang w:val="fr-FR"/>
        </w:rPr>
        <w:t>’</w:t>
      </w:r>
      <w:r w:rsidRPr="00440C76">
        <w:rPr>
          <w:lang w:val="fr-FR"/>
        </w:rPr>
        <w:t>un certificat de conformité défini à l</w:t>
      </w:r>
      <w:r>
        <w:rPr>
          <w:lang w:val="fr-FR"/>
        </w:rPr>
        <w:t>’</w:t>
      </w:r>
      <w:r w:rsidRPr="00440C76">
        <w:rPr>
          <w:lang w:val="fr-FR"/>
        </w:rPr>
        <w:t>annexe</w:t>
      </w:r>
      <w:r>
        <w:rPr>
          <w:lang w:val="fr-FR"/>
        </w:rPr>
        <w:t> </w:t>
      </w:r>
      <w:r w:rsidRPr="00440C76">
        <w:rPr>
          <w:lang w:val="fr-FR"/>
        </w:rPr>
        <w:t>1 de l</w:t>
      </w:r>
      <w:r>
        <w:rPr>
          <w:lang w:val="fr-FR"/>
        </w:rPr>
        <w:t>’</w:t>
      </w:r>
      <w:r w:rsidRPr="00440C76">
        <w:rPr>
          <w:lang w:val="fr-FR"/>
        </w:rPr>
        <w:t>Accord de 1958 (E/ECE/TRANS/505/Rev.3).</w:t>
      </w:r>
    </w:p>
    <w:p w14:paraId="2EE8390A" w14:textId="77777777" w:rsidR="00BE2CA7" w:rsidRPr="00440C76" w:rsidRDefault="00BE2CA7" w:rsidP="00BE2CA7">
      <w:pPr>
        <w:pStyle w:val="SingleTxtG"/>
        <w:ind w:left="2268"/>
        <w:rPr>
          <w:spacing w:val="-1"/>
          <w:lang w:val="fr-FR"/>
        </w:rPr>
      </w:pPr>
      <w:r w:rsidRPr="00440C76">
        <w:rPr>
          <w:spacing w:val="-1"/>
          <w:lang w:val="fr-FR"/>
        </w:rPr>
        <w:t>Les véhicules sélectionnés doivent être accompagnés d</w:t>
      </w:r>
      <w:r>
        <w:rPr>
          <w:spacing w:val="-1"/>
          <w:lang w:val="fr-FR"/>
        </w:rPr>
        <w:t>’</w:t>
      </w:r>
      <w:r w:rsidRPr="00440C76">
        <w:rPr>
          <w:spacing w:val="-1"/>
          <w:lang w:val="fr-FR"/>
        </w:rPr>
        <w:t>un dossier d</w:t>
      </w:r>
      <w:r>
        <w:rPr>
          <w:spacing w:val="-1"/>
          <w:lang w:val="fr-FR"/>
        </w:rPr>
        <w:t>’</w:t>
      </w:r>
      <w:r w:rsidRPr="00440C76">
        <w:rPr>
          <w:spacing w:val="-1"/>
          <w:lang w:val="fr-FR"/>
        </w:rPr>
        <w:t>entretien attestant que le véhicule a été correctement entretenu et qu</w:t>
      </w:r>
      <w:r>
        <w:rPr>
          <w:spacing w:val="-1"/>
          <w:lang w:val="fr-FR"/>
        </w:rPr>
        <w:t>’</w:t>
      </w:r>
      <w:r w:rsidRPr="00440C76">
        <w:rPr>
          <w:spacing w:val="-1"/>
          <w:lang w:val="fr-FR"/>
        </w:rPr>
        <w:t xml:space="preserve">il a subi les entretiens selon les </w:t>
      </w:r>
      <w:r w:rsidRPr="00440C76">
        <w:rPr>
          <w:rFonts w:eastAsia="Arial Unicode MS"/>
          <w:spacing w:val="-1"/>
          <w:lang w:val="fr-FR"/>
        </w:rPr>
        <w:t>recommandations</w:t>
      </w:r>
      <w:r w:rsidRPr="00440C76">
        <w:rPr>
          <w:spacing w:val="-1"/>
          <w:lang w:val="fr-FR"/>
        </w:rPr>
        <w:t xml:space="preserve"> du constructeur, le remplacement des pièces liées aux émissions étant effectué exclusivement avec des pièces d</w:t>
      </w:r>
      <w:r>
        <w:rPr>
          <w:spacing w:val="-1"/>
          <w:lang w:val="fr-FR"/>
        </w:rPr>
        <w:t>’</w:t>
      </w:r>
      <w:r w:rsidRPr="00440C76">
        <w:rPr>
          <w:spacing w:val="-1"/>
          <w:lang w:val="fr-FR"/>
        </w:rPr>
        <w:t>origine.</w:t>
      </w:r>
    </w:p>
    <w:p w14:paraId="1DE0F9B8" w14:textId="77777777" w:rsidR="00BE2CA7" w:rsidRPr="00440C76" w:rsidRDefault="00BE2CA7" w:rsidP="00BE2CA7">
      <w:pPr>
        <w:pStyle w:val="SingleTxtG"/>
        <w:ind w:left="2268"/>
        <w:rPr>
          <w:lang w:val="fr-FR"/>
        </w:rPr>
      </w:pPr>
      <w:r w:rsidRPr="00440C76">
        <w:rPr>
          <w:lang w:val="fr-FR"/>
        </w:rPr>
        <w:t>Les véhicules présentant des signes de manipulation, d</w:t>
      </w:r>
      <w:r>
        <w:rPr>
          <w:lang w:val="fr-FR"/>
        </w:rPr>
        <w:t>’</w:t>
      </w:r>
      <w:r w:rsidRPr="00440C76">
        <w:rPr>
          <w:lang w:val="fr-FR"/>
        </w:rPr>
        <w:t>utilisation inappropriée susceptible d</w:t>
      </w:r>
      <w:r>
        <w:rPr>
          <w:lang w:val="fr-FR"/>
        </w:rPr>
        <w:t>’</w:t>
      </w:r>
      <w:r w:rsidRPr="00440C76">
        <w:rPr>
          <w:lang w:val="fr-FR"/>
        </w:rPr>
        <w:t xml:space="preserve">avoir une incidence sur le comportement du véhicule en matière </w:t>
      </w:r>
      <w:r w:rsidRPr="00440C76">
        <w:rPr>
          <w:lang w:val="fr-FR"/>
        </w:rPr>
        <w:lastRenderedPageBreak/>
        <w:t>d</w:t>
      </w:r>
      <w:r>
        <w:rPr>
          <w:lang w:val="fr-FR"/>
        </w:rPr>
        <w:t>’</w:t>
      </w:r>
      <w:r w:rsidRPr="00440C76">
        <w:rPr>
          <w:lang w:val="fr-FR"/>
        </w:rPr>
        <w:t>émissions, ayant subi des modifications non autorisées ou se trouvant dans des conditions qui pourraient entraîner des risques pour le fonctionnement doivent être exclus du contrôle de conformité en service.</w:t>
      </w:r>
    </w:p>
    <w:p w14:paraId="5AD8CD73" w14:textId="77777777" w:rsidR="00BE2CA7" w:rsidRPr="00440C76" w:rsidRDefault="00BE2CA7" w:rsidP="00BE2CA7">
      <w:pPr>
        <w:pStyle w:val="SingleTxtG"/>
        <w:ind w:left="2268"/>
        <w:rPr>
          <w:lang w:val="fr-FR"/>
        </w:rPr>
      </w:pPr>
      <w:r w:rsidRPr="00440C76">
        <w:rPr>
          <w:lang w:val="fr-FR"/>
        </w:rPr>
        <w:t xml:space="preserve">Les véhicules ne peuvent pas avoir subi de modifications aérodynamiques non amovibles </w:t>
      </w:r>
      <w:r w:rsidRPr="00440C76">
        <w:rPr>
          <w:rFonts w:eastAsia="Arial Unicode MS"/>
          <w:lang w:val="fr-FR"/>
        </w:rPr>
        <w:t>avant</w:t>
      </w:r>
      <w:r w:rsidRPr="00440C76">
        <w:rPr>
          <w:lang w:val="fr-FR"/>
        </w:rPr>
        <w:t xml:space="preserve"> le contrôle.</w:t>
      </w:r>
    </w:p>
    <w:p w14:paraId="4A4EAB2A" w14:textId="77777777" w:rsidR="00BE2CA7" w:rsidRPr="00440C76" w:rsidRDefault="00BE2CA7" w:rsidP="00BE2CA7">
      <w:pPr>
        <w:pStyle w:val="SingleTxtG"/>
        <w:ind w:left="2268"/>
        <w:rPr>
          <w:lang w:val="fr-FR"/>
        </w:rPr>
      </w:pPr>
      <w:r w:rsidRPr="00440C76">
        <w:rPr>
          <w:lang w:val="fr-FR"/>
        </w:rPr>
        <w:t>Un véhicule doit être exclu du contrôle de conformité en service si les informations stockées dans l</w:t>
      </w:r>
      <w:r>
        <w:rPr>
          <w:lang w:val="fr-FR"/>
        </w:rPr>
        <w:t>’</w:t>
      </w:r>
      <w:r w:rsidRPr="00440C76">
        <w:rPr>
          <w:lang w:val="fr-FR"/>
        </w:rPr>
        <w:t>ordinateur de bord montrent que le véhicule a fonctionné après l</w:t>
      </w:r>
      <w:r>
        <w:rPr>
          <w:lang w:val="fr-FR"/>
        </w:rPr>
        <w:t>’</w:t>
      </w:r>
      <w:r w:rsidRPr="00440C76">
        <w:rPr>
          <w:lang w:val="fr-FR"/>
        </w:rPr>
        <w:t>affichage d</w:t>
      </w:r>
      <w:r>
        <w:rPr>
          <w:lang w:val="fr-FR"/>
        </w:rPr>
        <w:t>’</w:t>
      </w:r>
      <w:r w:rsidRPr="00440C76">
        <w:rPr>
          <w:lang w:val="fr-FR"/>
        </w:rPr>
        <w:t>un code d</w:t>
      </w:r>
      <w:r>
        <w:rPr>
          <w:lang w:val="fr-FR"/>
        </w:rPr>
        <w:t>’</w:t>
      </w:r>
      <w:r w:rsidRPr="00440C76">
        <w:rPr>
          <w:lang w:val="fr-FR"/>
        </w:rPr>
        <w:t>erreur et qu</w:t>
      </w:r>
      <w:r>
        <w:rPr>
          <w:lang w:val="fr-FR"/>
        </w:rPr>
        <w:t>’</w:t>
      </w:r>
      <w:r w:rsidRPr="00440C76">
        <w:rPr>
          <w:lang w:val="fr-FR"/>
        </w:rPr>
        <w:t>une réparation n</w:t>
      </w:r>
      <w:r>
        <w:rPr>
          <w:lang w:val="fr-FR"/>
        </w:rPr>
        <w:t>’</w:t>
      </w:r>
      <w:r w:rsidRPr="00440C76">
        <w:rPr>
          <w:lang w:val="fr-FR"/>
        </w:rPr>
        <w:t>a pas été effectuée conformément aux spécifications du constructeur.</w:t>
      </w:r>
    </w:p>
    <w:p w14:paraId="470943CC" w14:textId="77777777" w:rsidR="00BE2CA7" w:rsidRPr="00440C76" w:rsidRDefault="00BE2CA7" w:rsidP="00BE2CA7">
      <w:pPr>
        <w:pStyle w:val="SingleTxtG"/>
        <w:ind w:left="2268"/>
        <w:rPr>
          <w:lang w:val="fr-FR"/>
        </w:rPr>
      </w:pPr>
      <w:r w:rsidRPr="00440C76">
        <w:rPr>
          <w:lang w:val="fr-FR"/>
        </w:rPr>
        <w:t>Un véhicule doit être exclu du contrôle de la conformité en service si le carburant prélevé dans le réservoir du véhicule ne respecte pas les normes applicables ou s</w:t>
      </w:r>
      <w:r>
        <w:rPr>
          <w:lang w:val="fr-FR"/>
        </w:rPr>
        <w:t>’</w:t>
      </w:r>
      <w:r w:rsidRPr="00440C76">
        <w:rPr>
          <w:lang w:val="fr-FR"/>
        </w:rPr>
        <w:t>il est démontré ou consigné qu</w:t>
      </w:r>
      <w:r>
        <w:rPr>
          <w:lang w:val="fr-FR"/>
        </w:rPr>
        <w:t>’</w:t>
      </w:r>
      <w:r w:rsidRPr="00440C76">
        <w:rPr>
          <w:lang w:val="fr-FR"/>
        </w:rPr>
        <w:t>un type de carburant non adapté a été utilisé.</w:t>
      </w:r>
    </w:p>
    <w:p w14:paraId="497AC545" w14:textId="77777777" w:rsidR="00BE2CA7" w:rsidRPr="00440C76" w:rsidRDefault="00BE2CA7" w:rsidP="00BE2CA7">
      <w:pPr>
        <w:pStyle w:val="SingleTxtG"/>
        <w:ind w:left="2268" w:hanging="1134"/>
        <w:rPr>
          <w:szCs w:val="16"/>
          <w:lang w:val="fr-FR"/>
        </w:rPr>
      </w:pPr>
      <w:r w:rsidRPr="00440C76">
        <w:rPr>
          <w:szCs w:val="16"/>
          <w:lang w:val="fr-FR"/>
        </w:rPr>
        <w:t>5.7.1.1</w:t>
      </w:r>
      <w:r w:rsidRPr="00440C76">
        <w:rPr>
          <w:szCs w:val="16"/>
          <w:lang w:val="fr-FR"/>
        </w:rPr>
        <w:tab/>
      </w:r>
      <w:r w:rsidRPr="00440C76">
        <w:rPr>
          <w:lang w:val="fr-FR"/>
        </w:rPr>
        <w:t>Prescriptions</w:t>
      </w:r>
      <w:r w:rsidRPr="00440C76">
        <w:rPr>
          <w:szCs w:val="16"/>
          <w:lang w:val="fr-FR"/>
        </w:rPr>
        <w:t xml:space="preserve"> supplémentaires de conformité en service relatives aux émissions en conditions réelles de conduite</w:t>
      </w:r>
    </w:p>
    <w:p w14:paraId="05EED1F2" w14:textId="77777777" w:rsidR="00BE2CA7" w:rsidRPr="00440C76" w:rsidRDefault="00BE2CA7" w:rsidP="00BE2CA7">
      <w:pPr>
        <w:pStyle w:val="SingleTxtG"/>
        <w:ind w:left="2268"/>
        <w:rPr>
          <w:szCs w:val="16"/>
          <w:lang w:val="fr-FR"/>
        </w:rPr>
      </w:pPr>
      <w:bookmarkStart w:id="32" w:name="_Hlk103761420"/>
      <w:r w:rsidRPr="00440C76">
        <w:rPr>
          <w:szCs w:val="16"/>
          <w:lang w:val="fr-FR"/>
        </w:rPr>
        <w:t>Pour les essais réalisés aux fins de la conformité en service ou dans le cadre de la surveillance du marché au niveau régional, la masse de CO</w:t>
      </w:r>
      <w:r w:rsidRPr="00440C76">
        <w:rPr>
          <w:szCs w:val="16"/>
          <w:vertAlign w:val="subscript"/>
          <w:lang w:val="fr-FR"/>
        </w:rPr>
        <w:t>2</w:t>
      </w:r>
      <w:r w:rsidRPr="00440C76">
        <w:rPr>
          <w:szCs w:val="16"/>
          <w:lang w:val="fr-FR"/>
        </w:rPr>
        <w:t xml:space="preserve"> de référence doit être obtenue à partir du certificat de conformité pour le véhicule </w:t>
      </w:r>
      <w:r w:rsidRPr="00440C76">
        <w:rPr>
          <w:lang w:val="fr-FR"/>
        </w:rPr>
        <w:t>individuel</w:t>
      </w:r>
      <w:r w:rsidRPr="00440C76">
        <w:rPr>
          <w:szCs w:val="16"/>
          <w:lang w:val="fr-FR"/>
        </w:rPr>
        <w:t>. La valeur pour les VEH-RE doit être obtenue lors de l</w:t>
      </w:r>
      <w:r>
        <w:rPr>
          <w:szCs w:val="16"/>
          <w:lang w:val="fr-FR"/>
        </w:rPr>
        <w:t>’</w:t>
      </w:r>
      <w:r w:rsidRPr="00440C76">
        <w:rPr>
          <w:szCs w:val="16"/>
          <w:lang w:val="fr-FR"/>
        </w:rPr>
        <w:t>essai WLTP effectué en mode maintien de la charge.</w:t>
      </w:r>
    </w:p>
    <w:p w14:paraId="35F8D747" w14:textId="77777777" w:rsidR="00BE2CA7" w:rsidRPr="00440C76" w:rsidRDefault="00BE2CA7" w:rsidP="00BE2CA7">
      <w:pPr>
        <w:pStyle w:val="SingleTxtG"/>
        <w:ind w:left="2268" w:hanging="1134"/>
        <w:rPr>
          <w:lang w:val="fr-FR"/>
        </w:rPr>
      </w:pPr>
      <w:r w:rsidRPr="00440C76">
        <w:rPr>
          <w:lang w:val="fr-FR"/>
        </w:rPr>
        <w:t>5.7.1.2</w:t>
      </w:r>
      <w:r w:rsidRPr="00440C76">
        <w:rPr>
          <w:lang w:val="fr-FR"/>
        </w:rPr>
        <w:tab/>
        <w:t>Lubrifiant, carburant et réactif</w:t>
      </w:r>
    </w:p>
    <w:p w14:paraId="266798A2" w14:textId="77777777" w:rsidR="00BE2CA7" w:rsidRPr="00440C76" w:rsidRDefault="00BE2CA7" w:rsidP="00BE2CA7">
      <w:pPr>
        <w:pStyle w:val="SingleTxtG"/>
        <w:ind w:left="2268"/>
        <w:rPr>
          <w:lang w:val="fr-FR"/>
        </w:rPr>
      </w:pPr>
      <w:r w:rsidRPr="00440C76">
        <w:rPr>
          <w:lang w:val="fr-FR"/>
        </w:rPr>
        <w:t>Pour les essais effectués aux fins de la conformité en service ou dans le cadre de la surveillance du marché au niveau régional, le carburant utilisé pour l</w:t>
      </w:r>
      <w:r>
        <w:rPr>
          <w:lang w:val="fr-FR"/>
        </w:rPr>
        <w:t>’</w:t>
      </w:r>
      <w:r w:rsidRPr="00440C76">
        <w:rPr>
          <w:lang w:val="fr-FR"/>
        </w:rPr>
        <w:t xml:space="preserve">essai RDE peut être tout carburant légalement disponible sur le marché et </w:t>
      </w:r>
      <w:r w:rsidRPr="00440C76">
        <w:rPr>
          <w:rFonts w:eastAsia="Arial Unicode MS"/>
          <w:lang w:val="fr-FR"/>
        </w:rPr>
        <w:t>correspondant</w:t>
      </w:r>
      <w:r w:rsidRPr="00440C76">
        <w:rPr>
          <w:lang w:val="fr-FR"/>
        </w:rPr>
        <w:t xml:space="preserve"> aux spécifications communiquées par le constructeur pour l</w:t>
      </w:r>
      <w:r>
        <w:rPr>
          <w:lang w:val="fr-FR"/>
        </w:rPr>
        <w:t>’</w:t>
      </w:r>
      <w:r w:rsidRPr="00440C76">
        <w:rPr>
          <w:lang w:val="fr-FR"/>
        </w:rPr>
        <w:t>utilisation du véhicule par le client.</w:t>
      </w:r>
    </w:p>
    <w:bookmarkEnd w:id="32"/>
    <w:p w14:paraId="6F575085" w14:textId="77777777" w:rsidR="00BE2CA7" w:rsidRPr="00440C76" w:rsidRDefault="00BE2CA7" w:rsidP="00BE2CA7">
      <w:pPr>
        <w:pStyle w:val="SingleTxtG"/>
        <w:ind w:left="2268" w:hanging="1134"/>
        <w:rPr>
          <w:lang w:val="fr-FR"/>
        </w:rPr>
      </w:pPr>
      <w:r w:rsidRPr="00440C76">
        <w:rPr>
          <w:lang w:val="fr-FR"/>
        </w:rPr>
        <w:t>5.7.2</w:t>
      </w:r>
      <w:r w:rsidRPr="00440C76">
        <w:rPr>
          <w:lang w:val="fr-FR"/>
        </w:rPr>
        <w:tab/>
        <w:t>Examen et entretien du véhicule</w:t>
      </w:r>
    </w:p>
    <w:p w14:paraId="03B8FE13" w14:textId="77777777" w:rsidR="00BE2CA7" w:rsidRPr="00440C76" w:rsidRDefault="00BE2CA7" w:rsidP="00BE2CA7">
      <w:pPr>
        <w:pStyle w:val="SingleTxtG"/>
        <w:ind w:left="2268"/>
        <w:rPr>
          <w:lang w:val="fr-FR"/>
        </w:rPr>
      </w:pPr>
      <w:r w:rsidRPr="00440C76">
        <w:rPr>
          <w:lang w:val="fr-FR"/>
        </w:rPr>
        <w:t xml:space="preserve">Le diagnostic des défaillances et tout entretien normal nécessaire conformément à </w:t>
      </w:r>
      <w:r w:rsidRPr="00440C76">
        <w:rPr>
          <w:rFonts w:eastAsia="Arial Unicode MS"/>
          <w:lang w:val="fr-FR"/>
        </w:rPr>
        <w:t>l</w:t>
      </w:r>
      <w:r>
        <w:rPr>
          <w:rFonts w:eastAsia="Arial Unicode MS"/>
          <w:lang w:val="fr-FR"/>
        </w:rPr>
        <w:t>’</w:t>
      </w:r>
      <w:r w:rsidRPr="00440C76">
        <w:rPr>
          <w:rFonts w:eastAsia="Arial Unicode MS"/>
          <w:lang w:val="fr-FR"/>
        </w:rPr>
        <w:t>appendice</w:t>
      </w:r>
      <w:r>
        <w:rPr>
          <w:lang w:val="fr-FR"/>
        </w:rPr>
        <w:t> </w:t>
      </w:r>
      <w:r w:rsidRPr="00440C76">
        <w:rPr>
          <w:lang w:val="fr-FR"/>
        </w:rPr>
        <w:t>1 sont effectués sur des véhicules acceptés pour les essais, avant ou après le contrôle de la conformité en service.</w:t>
      </w:r>
    </w:p>
    <w:p w14:paraId="6AF7C6D6" w14:textId="77777777" w:rsidR="00BE2CA7" w:rsidRPr="00440C76" w:rsidRDefault="00BE2CA7" w:rsidP="00BE2CA7">
      <w:pPr>
        <w:pStyle w:val="SingleTxtG"/>
        <w:ind w:left="2268"/>
        <w:rPr>
          <w:spacing w:val="-1"/>
          <w:lang w:val="fr-FR"/>
        </w:rPr>
      </w:pPr>
      <w:r w:rsidRPr="00440C76">
        <w:rPr>
          <w:spacing w:val="-1"/>
          <w:lang w:val="fr-FR"/>
        </w:rPr>
        <w:t>Les contrôles suivants sont effectués : vérifications du système OBD (avant et après les essais), contrôles visuels de l</w:t>
      </w:r>
      <w:r>
        <w:rPr>
          <w:spacing w:val="-1"/>
          <w:lang w:val="fr-FR"/>
        </w:rPr>
        <w:t>’</w:t>
      </w:r>
      <w:r w:rsidRPr="00440C76">
        <w:rPr>
          <w:spacing w:val="-1"/>
          <w:lang w:val="fr-FR"/>
        </w:rPr>
        <w:t>affichage des témoins lumineux de défaillance, vérification du bon état du filtre à air et de toutes les courroies d</w:t>
      </w:r>
      <w:r>
        <w:rPr>
          <w:spacing w:val="-1"/>
          <w:lang w:val="fr-FR"/>
        </w:rPr>
        <w:t>’</w:t>
      </w:r>
      <w:r w:rsidRPr="00440C76">
        <w:rPr>
          <w:spacing w:val="-1"/>
          <w:lang w:val="fr-FR"/>
        </w:rPr>
        <w:t>entraînement, de tous les niveaux de liquides, du bouchon du radiateur et du système de remplissage du réservoir, de tous les flexibles à dépression et du système d</w:t>
      </w:r>
      <w:r>
        <w:rPr>
          <w:spacing w:val="-1"/>
          <w:lang w:val="fr-FR"/>
        </w:rPr>
        <w:t>’</w:t>
      </w:r>
      <w:r w:rsidRPr="00440C76">
        <w:rPr>
          <w:spacing w:val="-1"/>
          <w:lang w:val="fr-FR"/>
        </w:rPr>
        <w:t xml:space="preserve">alimentation en carburant, ainsi que du câblage électrique lié au système de </w:t>
      </w:r>
      <w:r w:rsidRPr="00440C76">
        <w:rPr>
          <w:rFonts w:eastAsia="Arial Unicode MS"/>
          <w:spacing w:val="-1"/>
          <w:lang w:val="fr-FR"/>
        </w:rPr>
        <w:t>traitement</w:t>
      </w:r>
      <w:r w:rsidRPr="00440C76">
        <w:rPr>
          <w:spacing w:val="-1"/>
          <w:lang w:val="fr-FR"/>
        </w:rPr>
        <w:t xml:space="preserve"> aval. ; il y a lieu de vérifier également que les composants de l</w:t>
      </w:r>
      <w:r>
        <w:rPr>
          <w:spacing w:val="-1"/>
          <w:lang w:val="fr-FR"/>
        </w:rPr>
        <w:t>’</w:t>
      </w:r>
      <w:r w:rsidRPr="00440C76">
        <w:rPr>
          <w:spacing w:val="-1"/>
          <w:lang w:val="fr-FR"/>
        </w:rPr>
        <w:t>allumage, de la mesure du carburant et des dispositifs antipollution ne présentent aucun mauvais réglage et n</w:t>
      </w:r>
      <w:r>
        <w:rPr>
          <w:spacing w:val="-1"/>
          <w:lang w:val="fr-FR"/>
        </w:rPr>
        <w:t>’</w:t>
      </w:r>
      <w:r w:rsidRPr="00440C76">
        <w:rPr>
          <w:spacing w:val="-1"/>
          <w:lang w:val="fr-FR"/>
        </w:rPr>
        <w:t>ont subi aucune manipulation.</w:t>
      </w:r>
    </w:p>
    <w:p w14:paraId="3E93F8D4" w14:textId="77777777" w:rsidR="00BE2CA7" w:rsidRPr="00440C76" w:rsidRDefault="00BE2CA7" w:rsidP="00BE2CA7">
      <w:pPr>
        <w:pStyle w:val="SingleTxtG"/>
        <w:ind w:left="2268"/>
        <w:rPr>
          <w:lang w:val="fr-FR"/>
        </w:rPr>
      </w:pPr>
      <w:r w:rsidRPr="00440C76">
        <w:rPr>
          <w:lang w:val="fr-FR"/>
        </w:rPr>
        <w:t xml:space="preserve">Si le véhicule </w:t>
      </w:r>
      <w:r w:rsidRPr="00440C76">
        <w:rPr>
          <w:rFonts w:eastAsia="Arial Unicode MS"/>
          <w:lang w:val="fr-FR"/>
        </w:rPr>
        <w:t>doit</w:t>
      </w:r>
      <w:r w:rsidRPr="00440C76">
        <w:rPr>
          <w:lang w:val="fr-FR"/>
        </w:rPr>
        <w:t xml:space="preserve"> subir un entretien programmé au cours des 800 km suivants, il faut effectuer cet entretien.</w:t>
      </w:r>
    </w:p>
    <w:p w14:paraId="4DBDA4DF" w14:textId="77777777" w:rsidR="00BE2CA7" w:rsidRPr="00440C76" w:rsidRDefault="00BE2CA7" w:rsidP="00BE2CA7">
      <w:pPr>
        <w:pStyle w:val="SingleTxtG"/>
        <w:ind w:left="2268"/>
        <w:rPr>
          <w:lang w:val="fr-FR"/>
        </w:rPr>
      </w:pPr>
      <w:r w:rsidRPr="00440C76">
        <w:rPr>
          <w:lang w:val="fr-FR"/>
        </w:rPr>
        <w:t>Le liquide lave-</w:t>
      </w:r>
      <w:r w:rsidRPr="00440C76">
        <w:rPr>
          <w:rFonts w:eastAsia="Arial Unicode MS"/>
          <w:lang w:val="fr-FR"/>
        </w:rPr>
        <w:t>glace</w:t>
      </w:r>
      <w:r w:rsidRPr="00440C76">
        <w:rPr>
          <w:lang w:val="fr-FR"/>
        </w:rPr>
        <w:t xml:space="preserve"> doit être retiré avant l</w:t>
      </w:r>
      <w:r>
        <w:rPr>
          <w:lang w:val="fr-FR"/>
        </w:rPr>
        <w:t>’</w:t>
      </w:r>
      <w:r w:rsidRPr="00440C76">
        <w:rPr>
          <w:lang w:val="fr-FR"/>
        </w:rPr>
        <w:t>essai du type</w:t>
      </w:r>
      <w:r>
        <w:rPr>
          <w:lang w:val="fr-FR"/>
        </w:rPr>
        <w:t> </w:t>
      </w:r>
      <w:r w:rsidRPr="00440C76">
        <w:rPr>
          <w:lang w:val="fr-FR"/>
        </w:rPr>
        <w:t>4 et remplacé par de l</w:t>
      </w:r>
      <w:r>
        <w:rPr>
          <w:lang w:val="fr-FR"/>
        </w:rPr>
        <w:t>’</w:t>
      </w:r>
      <w:r w:rsidRPr="00440C76">
        <w:rPr>
          <w:lang w:val="fr-FR"/>
        </w:rPr>
        <w:t>eau chaude.</w:t>
      </w:r>
    </w:p>
    <w:p w14:paraId="7F6AE044" w14:textId="77777777" w:rsidR="00BE2CA7" w:rsidRPr="00440C76" w:rsidRDefault="00BE2CA7" w:rsidP="00BE2CA7">
      <w:pPr>
        <w:pStyle w:val="SingleTxtG"/>
        <w:ind w:left="2268"/>
        <w:rPr>
          <w:lang w:val="fr-FR"/>
        </w:rPr>
      </w:pPr>
      <w:r w:rsidRPr="00440C76">
        <w:rPr>
          <w:lang w:val="fr-FR"/>
        </w:rPr>
        <w:t>Un échantillon de carburant doit être prélevé et conservé conformément aux prescriptions du Règlement ONU n</w:t>
      </w:r>
      <w:r w:rsidRPr="00440C76">
        <w:rPr>
          <w:vertAlign w:val="superscript"/>
          <w:lang w:val="fr-FR"/>
        </w:rPr>
        <w:t>o</w:t>
      </w:r>
      <w:r w:rsidRPr="00440C76">
        <w:rPr>
          <w:lang w:val="fr-FR"/>
        </w:rPr>
        <w:t> [xxx] sur les émissions en conditions réelles de conduite en vue d</w:t>
      </w:r>
      <w:r>
        <w:rPr>
          <w:lang w:val="fr-FR"/>
        </w:rPr>
        <w:t>’</w:t>
      </w:r>
      <w:r w:rsidRPr="00440C76">
        <w:rPr>
          <w:lang w:val="fr-FR"/>
        </w:rPr>
        <w:t>une analyse ultérieure en cas de refus.</w:t>
      </w:r>
    </w:p>
    <w:p w14:paraId="422A8810" w14:textId="77777777" w:rsidR="00BE2CA7" w:rsidRPr="00440C76" w:rsidRDefault="00BE2CA7" w:rsidP="00BE2CA7">
      <w:pPr>
        <w:pStyle w:val="SingleTxtG"/>
        <w:ind w:left="2268"/>
        <w:rPr>
          <w:lang w:val="fr-FR"/>
        </w:rPr>
      </w:pPr>
      <w:r w:rsidRPr="00440C76">
        <w:rPr>
          <w:lang w:val="fr-FR"/>
        </w:rPr>
        <w:t xml:space="preserve">Toutes les </w:t>
      </w:r>
      <w:r w:rsidRPr="00440C76">
        <w:rPr>
          <w:rFonts w:eastAsia="Arial Unicode MS"/>
          <w:lang w:val="fr-FR"/>
        </w:rPr>
        <w:t>défaillances</w:t>
      </w:r>
      <w:r w:rsidRPr="00440C76">
        <w:rPr>
          <w:lang w:val="fr-FR"/>
        </w:rPr>
        <w:t xml:space="preserve"> doivent être enregistrées. Lorsque la défaillance concerne les dispositifs antipollution, le véhicule doit être signalé défectueux et ne plus être utilisé aux fins du contrôle. Cependant, la défaillance doit être prise en compte aux fins de l</w:t>
      </w:r>
      <w:r>
        <w:rPr>
          <w:lang w:val="fr-FR"/>
        </w:rPr>
        <w:t>’</w:t>
      </w:r>
      <w:r w:rsidRPr="00440C76">
        <w:rPr>
          <w:lang w:val="fr-FR"/>
        </w:rPr>
        <w:t>évaluation de la conformité effectuée conformément au paragraphe</w:t>
      </w:r>
      <w:r>
        <w:rPr>
          <w:lang w:val="fr-FR"/>
        </w:rPr>
        <w:t> </w:t>
      </w:r>
      <w:r w:rsidRPr="00440C76">
        <w:rPr>
          <w:lang w:val="fr-FR"/>
        </w:rPr>
        <w:t>6.1.</w:t>
      </w:r>
    </w:p>
    <w:p w14:paraId="74B2B549" w14:textId="77777777" w:rsidR="00BE2CA7" w:rsidRPr="00440C76" w:rsidRDefault="00BE2CA7" w:rsidP="002D411F">
      <w:pPr>
        <w:pStyle w:val="SingleTxtG"/>
        <w:keepNext/>
        <w:ind w:left="2268" w:hanging="1134"/>
        <w:rPr>
          <w:iCs/>
          <w:lang w:val="fr-FR"/>
        </w:rPr>
      </w:pPr>
      <w:r w:rsidRPr="00440C76">
        <w:rPr>
          <w:iCs/>
          <w:lang w:val="fr-FR"/>
        </w:rPr>
        <w:lastRenderedPageBreak/>
        <w:t>5.8</w:t>
      </w:r>
      <w:r w:rsidRPr="00440C76">
        <w:rPr>
          <w:iCs/>
          <w:lang w:val="fr-FR"/>
        </w:rPr>
        <w:tab/>
      </w:r>
      <w:r w:rsidRPr="00440C76">
        <w:rPr>
          <w:lang w:val="fr-FR"/>
        </w:rPr>
        <w:t>Taille</w:t>
      </w:r>
      <w:r w:rsidRPr="00440C76">
        <w:rPr>
          <w:iCs/>
          <w:lang w:val="fr-FR"/>
        </w:rPr>
        <w:t xml:space="preserve"> de l</w:t>
      </w:r>
      <w:r>
        <w:rPr>
          <w:iCs/>
          <w:lang w:val="fr-FR"/>
        </w:rPr>
        <w:t>’</w:t>
      </w:r>
      <w:r w:rsidRPr="00440C76">
        <w:rPr>
          <w:iCs/>
          <w:lang w:val="fr-FR"/>
        </w:rPr>
        <w:t>échantillon</w:t>
      </w:r>
    </w:p>
    <w:p w14:paraId="06E1ABCE" w14:textId="77777777" w:rsidR="00BE2CA7" w:rsidRPr="00440C76" w:rsidRDefault="00BE2CA7" w:rsidP="00BE2CA7">
      <w:pPr>
        <w:pStyle w:val="SingleTxtG"/>
        <w:ind w:left="2268"/>
        <w:rPr>
          <w:lang w:val="fr-FR"/>
        </w:rPr>
      </w:pPr>
      <w:r w:rsidRPr="00440C76">
        <w:rPr>
          <w:lang w:val="fr-FR"/>
        </w:rPr>
        <w:t>Lorsque les constructeurs appliquent la procédure statistique prévue au paragraphe</w:t>
      </w:r>
      <w:r>
        <w:rPr>
          <w:lang w:val="fr-FR"/>
        </w:rPr>
        <w:t> </w:t>
      </w:r>
      <w:r w:rsidRPr="00440C76">
        <w:rPr>
          <w:lang w:val="fr-FR"/>
        </w:rPr>
        <w:t>5.10 pour l</w:t>
      </w:r>
      <w:r>
        <w:rPr>
          <w:lang w:val="fr-FR"/>
        </w:rPr>
        <w:t>’</w:t>
      </w:r>
      <w:r w:rsidRPr="00440C76">
        <w:rPr>
          <w:lang w:val="fr-FR"/>
        </w:rPr>
        <w:t>essai du type</w:t>
      </w:r>
      <w:r>
        <w:rPr>
          <w:lang w:val="fr-FR"/>
        </w:rPr>
        <w:t> </w:t>
      </w:r>
      <w:r w:rsidRPr="00440C76">
        <w:rPr>
          <w:lang w:val="fr-FR"/>
        </w:rPr>
        <w:t>1, le nombre de lots d</w:t>
      </w:r>
      <w:r>
        <w:rPr>
          <w:lang w:val="fr-FR"/>
        </w:rPr>
        <w:t>’</w:t>
      </w:r>
      <w:r w:rsidRPr="00440C76">
        <w:rPr>
          <w:lang w:val="fr-FR"/>
        </w:rPr>
        <w:t>échantillons est fixé sur la base du volume</w:t>
      </w:r>
      <w:r>
        <w:rPr>
          <w:lang w:val="fr-FR"/>
        </w:rPr>
        <w:t xml:space="preserve"> de production</w:t>
      </w:r>
      <w:r w:rsidRPr="00440C76">
        <w:rPr>
          <w:lang w:val="fr-FR"/>
        </w:rPr>
        <w:t xml:space="preserve"> annuel d</w:t>
      </w:r>
      <w:r>
        <w:rPr>
          <w:lang w:val="fr-FR"/>
        </w:rPr>
        <w:t>’</w:t>
      </w:r>
      <w:r w:rsidRPr="00440C76">
        <w:rPr>
          <w:lang w:val="fr-FR"/>
        </w:rPr>
        <w:t xml:space="preserve">une famille en service </w:t>
      </w:r>
      <w:r>
        <w:rPr>
          <w:lang w:val="fr-FR"/>
        </w:rPr>
        <w:t xml:space="preserve">destiné à la vente </w:t>
      </w:r>
      <w:r w:rsidRPr="00440C76">
        <w:rPr>
          <w:lang w:val="fr-FR"/>
        </w:rPr>
        <w:t>dans</w:t>
      </w:r>
      <w:r>
        <w:rPr>
          <w:lang w:val="fr-FR"/>
        </w:rPr>
        <w:t xml:space="preserve"> les</w:t>
      </w:r>
      <w:r w:rsidRPr="00440C76">
        <w:rPr>
          <w:lang w:val="fr-FR"/>
        </w:rPr>
        <w:t xml:space="preserve"> Partie</w:t>
      </w:r>
      <w:r>
        <w:rPr>
          <w:lang w:val="fr-FR"/>
        </w:rPr>
        <w:t>s</w:t>
      </w:r>
      <w:r w:rsidRPr="00440C76">
        <w:rPr>
          <w:lang w:val="fr-FR"/>
        </w:rPr>
        <w:t xml:space="preserve"> contractante</w:t>
      </w:r>
      <w:r>
        <w:rPr>
          <w:lang w:val="fr-FR"/>
        </w:rPr>
        <w:t>s appliquant le présent Règlement</w:t>
      </w:r>
      <w:r w:rsidRPr="00440C76">
        <w:rPr>
          <w:lang w:val="fr-FR"/>
        </w:rPr>
        <w:t>, comme décrit dans le tableau</w:t>
      </w:r>
      <w:r>
        <w:rPr>
          <w:lang w:val="fr-FR"/>
        </w:rPr>
        <w:t> </w:t>
      </w:r>
      <w:r w:rsidRPr="00440C76">
        <w:rPr>
          <w:lang w:val="fr-FR"/>
        </w:rPr>
        <w:t>4/1.</w:t>
      </w:r>
    </w:p>
    <w:p w14:paraId="1A88C219" w14:textId="77777777" w:rsidR="00BE2CA7" w:rsidRPr="00440C76" w:rsidRDefault="00BE2CA7" w:rsidP="00BE2CA7">
      <w:pPr>
        <w:pStyle w:val="Titre1"/>
        <w:spacing w:after="120"/>
        <w:ind w:right="1134"/>
        <w:rPr>
          <w:b/>
          <w:bCs/>
          <w:highlight w:val="yellow"/>
          <w:lang w:val="fr-FR"/>
        </w:rPr>
      </w:pPr>
      <w:r w:rsidRPr="00440C76">
        <w:rPr>
          <w:lang w:val="fr-FR"/>
        </w:rPr>
        <w:t>Tableau</w:t>
      </w:r>
      <w:r>
        <w:rPr>
          <w:lang w:val="fr-FR"/>
        </w:rPr>
        <w:t> </w:t>
      </w:r>
      <w:r w:rsidRPr="00440C76">
        <w:rPr>
          <w:lang w:val="fr-FR"/>
        </w:rPr>
        <w:t>4/1</w:t>
      </w:r>
      <w:r>
        <w:rPr>
          <w:lang w:val="fr-FR"/>
        </w:rPr>
        <w:br/>
      </w:r>
      <w:r w:rsidRPr="00440C76">
        <w:rPr>
          <w:b/>
          <w:bCs/>
          <w:lang w:val="fr-FR"/>
        </w:rPr>
        <w:t>Nombre de lots d</w:t>
      </w:r>
      <w:r>
        <w:rPr>
          <w:b/>
          <w:bCs/>
          <w:lang w:val="fr-FR"/>
        </w:rPr>
        <w:t>’</w:t>
      </w:r>
      <w:r w:rsidRPr="00440C76">
        <w:rPr>
          <w:b/>
          <w:bCs/>
          <w:lang w:val="fr-FR"/>
        </w:rPr>
        <w:t xml:space="preserve">échantillons pour le contrôle de conformité en service fondés </w:t>
      </w:r>
      <w:r>
        <w:rPr>
          <w:b/>
          <w:bCs/>
          <w:lang w:val="fr-FR"/>
        </w:rPr>
        <w:br/>
      </w:r>
      <w:r w:rsidRPr="00440C76">
        <w:rPr>
          <w:b/>
          <w:bCs/>
          <w:lang w:val="fr-FR"/>
        </w:rPr>
        <w:t>sur des essais du type</w:t>
      </w:r>
      <w:r>
        <w:rPr>
          <w:b/>
          <w:bCs/>
          <w:lang w:val="fr-FR"/>
        </w:rPr>
        <w:t> </w:t>
      </w:r>
      <w:r w:rsidRPr="00440C76">
        <w:rPr>
          <w:b/>
          <w:bCs/>
          <w:lang w:val="fr-FR"/>
        </w:rPr>
        <w:t>1</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99"/>
        <w:gridCol w:w="2571"/>
      </w:tblGrid>
      <w:tr w:rsidR="00BE2CA7" w:rsidRPr="00440C76" w14:paraId="6D155F94" w14:textId="77777777" w:rsidTr="002B0590">
        <w:trPr>
          <w:tblHeader/>
        </w:trPr>
        <w:tc>
          <w:tcPr>
            <w:tcW w:w="4799" w:type="dxa"/>
            <w:shd w:val="clear" w:color="auto" w:fill="auto"/>
            <w:vAlign w:val="bottom"/>
          </w:tcPr>
          <w:p w14:paraId="0B8AFEC5" w14:textId="77777777" w:rsidR="00BE2CA7" w:rsidRPr="00440C76" w:rsidRDefault="00BE2CA7" w:rsidP="002B0590">
            <w:pPr>
              <w:spacing w:before="80" w:after="80" w:line="200" w:lineRule="exact"/>
              <w:ind w:left="57" w:right="57"/>
              <w:rPr>
                <w:i/>
                <w:sz w:val="16"/>
                <w:lang w:val="fr-FR"/>
              </w:rPr>
            </w:pPr>
            <w:r>
              <w:rPr>
                <w:i/>
                <w:sz w:val="16"/>
                <w:lang w:val="fr-FR"/>
              </w:rPr>
              <w:t>Volume de production</w:t>
            </w:r>
            <w:r w:rsidRPr="00440C76">
              <w:rPr>
                <w:i/>
                <w:sz w:val="16"/>
                <w:lang w:val="fr-FR"/>
              </w:rPr>
              <w:t xml:space="preserve"> de véhicules par année civile dans la Partie contractante au cours de la période de prélèvement</w:t>
            </w:r>
          </w:p>
        </w:tc>
        <w:tc>
          <w:tcPr>
            <w:tcW w:w="2571" w:type="dxa"/>
            <w:shd w:val="clear" w:color="auto" w:fill="auto"/>
            <w:vAlign w:val="bottom"/>
          </w:tcPr>
          <w:p w14:paraId="6E5C7C31" w14:textId="77777777" w:rsidR="00BE2CA7" w:rsidRPr="00440C76" w:rsidRDefault="00BE2CA7" w:rsidP="002B0590">
            <w:pPr>
              <w:spacing w:before="80" w:after="80" w:line="200" w:lineRule="exact"/>
              <w:ind w:left="57" w:right="57"/>
              <w:jc w:val="right"/>
              <w:rPr>
                <w:i/>
                <w:sz w:val="16"/>
                <w:lang w:val="fr-FR"/>
              </w:rPr>
            </w:pPr>
            <w:r w:rsidRPr="00440C76">
              <w:rPr>
                <w:i/>
                <w:sz w:val="16"/>
                <w:lang w:val="fr-FR"/>
              </w:rPr>
              <w:t>Nombre de lots d</w:t>
            </w:r>
            <w:r>
              <w:rPr>
                <w:i/>
                <w:sz w:val="16"/>
                <w:lang w:val="fr-FR"/>
              </w:rPr>
              <w:t>’</w:t>
            </w:r>
            <w:r w:rsidRPr="00440C76">
              <w:rPr>
                <w:i/>
                <w:sz w:val="16"/>
                <w:lang w:val="fr-FR"/>
              </w:rPr>
              <w:t>échantillons (pour les essais du type</w:t>
            </w:r>
            <w:r>
              <w:rPr>
                <w:i/>
                <w:sz w:val="16"/>
                <w:lang w:val="fr-FR"/>
              </w:rPr>
              <w:t> </w:t>
            </w:r>
            <w:r w:rsidRPr="00440C76">
              <w:rPr>
                <w:i/>
                <w:sz w:val="16"/>
                <w:lang w:val="fr-FR"/>
              </w:rPr>
              <w:t>1)</w:t>
            </w:r>
          </w:p>
        </w:tc>
      </w:tr>
      <w:tr w:rsidR="00BE2CA7" w:rsidRPr="00440C76" w14:paraId="63F85B86" w14:textId="77777777" w:rsidTr="002B0590">
        <w:tc>
          <w:tcPr>
            <w:tcW w:w="4799" w:type="dxa"/>
            <w:shd w:val="clear" w:color="auto" w:fill="auto"/>
          </w:tcPr>
          <w:p w14:paraId="6800B3AA" w14:textId="77777777" w:rsidR="00BE2CA7" w:rsidRPr="00440C76" w:rsidRDefault="00BE2CA7" w:rsidP="002B0590">
            <w:pPr>
              <w:spacing w:before="60" w:after="60"/>
              <w:ind w:left="57" w:right="57"/>
              <w:rPr>
                <w:lang w:val="fr-FR"/>
              </w:rPr>
            </w:pPr>
            <w:r w:rsidRPr="00440C76">
              <w:rPr>
                <w:lang w:val="fr-FR"/>
              </w:rPr>
              <w:t>jusqu</w:t>
            </w:r>
            <w:r>
              <w:rPr>
                <w:lang w:val="fr-FR"/>
              </w:rPr>
              <w:t>’</w:t>
            </w:r>
            <w:r w:rsidRPr="00440C76">
              <w:rPr>
                <w:lang w:val="fr-FR"/>
              </w:rPr>
              <w:t>à 100 000</w:t>
            </w:r>
          </w:p>
        </w:tc>
        <w:tc>
          <w:tcPr>
            <w:tcW w:w="2571" w:type="dxa"/>
            <w:shd w:val="clear" w:color="auto" w:fill="auto"/>
            <w:vAlign w:val="bottom"/>
          </w:tcPr>
          <w:p w14:paraId="7DF9672E" w14:textId="77777777" w:rsidR="00BE2CA7" w:rsidRPr="00440C76" w:rsidRDefault="00BE2CA7" w:rsidP="002B0590">
            <w:pPr>
              <w:spacing w:before="60" w:after="60"/>
              <w:ind w:left="57" w:right="57"/>
              <w:jc w:val="right"/>
              <w:rPr>
                <w:lang w:val="fr-FR"/>
              </w:rPr>
            </w:pPr>
            <w:r w:rsidRPr="00440C76">
              <w:rPr>
                <w:lang w:val="fr-FR"/>
              </w:rPr>
              <w:t>1</w:t>
            </w:r>
          </w:p>
        </w:tc>
      </w:tr>
      <w:tr w:rsidR="00BE2CA7" w:rsidRPr="00440C76" w14:paraId="7A14FE61" w14:textId="77777777" w:rsidTr="002B0590">
        <w:tc>
          <w:tcPr>
            <w:tcW w:w="4799" w:type="dxa"/>
            <w:shd w:val="clear" w:color="auto" w:fill="auto"/>
          </w:tcPr>
          <w:p w14:paraId="49DC21C9" w14:textId="77777777" w:rsidR="00BE2CA7" w:rsidRPr="00440C76" w:rsidRDefault="00BE2CA7" w:rsidP="002B0590">
            <w:pPr>
              <w:spacing w:before="60" w:after="60"/>
              <w:ind w:left="57" w:right="57"/>
              <w:rPr>
                <w:lang w:val="fr-FR"/>
              </w:rPr>
            </w:pPr>
            <w:r w:rsidRPr="00440C76">
              <w:rPr>
                <w:lang w:val="fr-FR"/>
              </w:rPr>
              <w:t>100 001 à 200 000</w:t>
            </w:r>
          </w:p>
        </w:tc>
        <w:tc>
          <w:tcPr>
            <w:tcW w:w="2571" w:type="dxa"/>
            <w:shd w:val="clear" w:color="auto" w:fill="auto"/>
            <w:vAlign w:val="bottom"/>
          </w:tcPr>
          <w:p w14:paraId="1D08EA66" w14:textId="77777777" w:rsidR="00BE2CA7" w:rsidRPr="00440C76" w:rsidRDefault="00BE2CA7" w:rsidP="002B0590">
            <w:pPr>
              <w:spacing w:before="60" w:after="60"/>
              <w:ind w:left="57" w:right="57"/>
              <w:jc w:val="right"/>
              <w:rPr>
                <w:lang w:val="fr-FR"/>
              </w:rPr>
            </w:pPr>
            <w:r w:rsidRPr="00440C76">
              <w:rPr>
                <w:lang w:val="fr-FR"/>
              </w:rPr>
              <w:t>2</w:t>
            </w:r>
          </w:p>
        </w:tc>
      </w:tr>
      <w:tr w:rsidR="00BE2CA7" w:rsidRPr="00440C76" w14:paraId="42EFD3DA" w14:textId="77777777" w:rsidTr="002B0590">
        <w:tc>
          <w:tcPr>
            <w:tcW w:w="4799" w:type="dxa"/>
            <w:shd w:val="clear" w:color="auto" w:fill="auto"/>
          </w:tcPr>
          <w:p w14:paraId="126FB957" w14:textId="77777777" w:rsidR="00BE2CA7" w:rsidRPr="00440C76" w:rsidRDefault="00BE2CA7" w:rsidP="002B0590">
            <w:pPr>
              <w:spacing w:before="60" w:after="60"/>
              <w:ind w:left="57" w:right="57"/>
              <w:rPr>
                <w:lang w:val="fr-FR"/>
              </w:rPr>
            </w:pPr>
            <w:r w:rsidRPr="00440C76">
              <w:rPr>
                <w:lang w:val="fr-FR"/>
              </w:rPr>
              <w:t>plus de 200 000</w:t>
            </w:r>
          </w:p>
        </w:tc>
        <w:tc>
          <w:tcPr>
            <w:tcW w:w="2571" w:type="dxa"/>
            <w:shd w:val="clear" w:color="auto" w:fill="auto"/>
            <w:vAlign w:val="bottom"/>
          </w:tcPr>
          <w:p w14:paraId="6325F9DF" w14:textId="77777777" w:rsidR="00BE2CA7" w:rsidRPr="00440C76" w:rsidRDefault="00BE2CA7" w:rsidP="002B0590">
            <w:pPr>
              <w:spacing w:before="60" w:after="60"/>
              <w:ind w:left="57" w:right="57"/>
              <w:jc w:val="right"/>
              <w:rPr>
                <w:lang w:val="fr-FR"/>
              </w:rPr>
            </w:pPr>
            <w:r w:rsidRPr="00440C76">
              <w:rPr>
                <w:lang w:val="fr-FR"/>
              </w:rPr>
              <w:t>3</w:t>
            </w:r>
          </w:p>
        </w:tc>
      </w:tr>
    </w:tbl>
    <w:p w14:paraId="059F24FF" w14:textId="77777777" w:rsidR="00BE2CA7" w:rsidRPr="00440C76" w:rsidRDefault="00BE2CA7" w:rsidP="002D411F">
      <w:pPr>
        <w:pStyle w:val="SingleTxtG"/>
        <w:spacing w:before="120"/>
        <w:ind w:left="2268"/>
        <w:rPr>
          <w:lang w:val="fr-FR"/>
        </w:rPr>
      </w:pPr>
      <w:r w:rsidRPr="00440C76">
        <w:rPr>
          <w:lang w:val="fr-FR"/>
        </w:rPr>
        <w:t>Chaque lot d</w:t>
      </w:r>
      <w:r>
        <w:rPr>
          <w:lang w:val="fr-FR"/>
        </w:rPr>
        <w:t>’</w:t>
      </w:r>
      <w:r w:rsidRPr="00440C76">
        <w:rPr>
          <w:lang w:val="fr-FR"/>
        </w:rPr>
        <w:t>échantillons doit inclure suffisamment de types de véhicules pour permettre de couvrir au moins 20 % des immatriculations totales de la famille PEMS dans la Partie contractante concernée pour l</w:t>
      </w:r>
      <w:r>
        <w:rPr>
          <w:lang w:val="fr-FR"/>
        </w:rPr>
        <w:t>’</w:t>
      </w:r>
      <w:r w:rsidRPr="00440C76">
        <w:rPr>
          <w:lang w:val="fr-FR"/>
        </w:rPr>
        <w:t>année précédente. Si la même famille PEMS est partagée entre plusieurs marques, toutes les marques doivent alors être contrôlées. Lorsque, dans une famille, il est nécessaire d</w:t>
      </w:r>
      <w:r>
        <w:rPr>
          <w:lang w:val="fr-FR"/>
        </w:rPr>
        <w:t>’</w:t>
      </w:r>
      <w:r w:rsidRPr="00440C76">
        <w:rPr>
          <w:lang w:val="fr-FR"/>
        </w:rPr>
        <w:t>essayer plus d</w:t>
      </w:r>
      <w:r>
        <w:rPr>
          <w:lang w:val="fr-FR"/>
        </w:rPr>
        <w:t>’</w:t>
      </w:r>
      <w:r w:rsidRPr="00440C76">
        <w:rPr>
          <w:lang w:val="fr-FR"/>
        </w:rPr>
        <w:t xml:space="preserve">un lot </w:t>
      </w:r>
      <w:r w:rsidRPr="00440C76">
        <w:rPr>
          <w:rFonts w:eastAsia="Arial Unicode MS"/>
          <w:lang w:val="fr-FR"/>
        </w:rPr>
        <w:t>d</w:t>
      </w:r>
      <w:r>
        <w:rPr>
          <w:rFonts w:eastAsia="Arial Unicode MS"/>
          <w:lang w:val="fr-FR"/>
        </w:rPr>
        <w:t>’</w:t>
      </w:r>
      <w:r w:rsidRPr="00440C76">
        <w:rPr>
          <w:rFonts w:eastAsia="Arial Unicode MS"/>
          <w:lang w:val="fr-FR"/>
        </w:rPr>
        <w:t>échantillons</w:t>
      </w:r>
      <w:r w:rsidRPr="00440C76">
        <w:rPr>
          <w:lang w:val="fr-FR"/>
        </w:rPr>
        <w:t>, les véhicules sélectionnés pour les deuxième et troisième lots d</w:t>
      </w:r>
      <w:r>
        <w:rPr>
          <w:lang w:val="fr-FR"/>
        </w:rPr>
        <w:t>’</w:t>
      </w:r>
      <w:r w:rsidRPr="00440C76">
        <w:rPr>
          <w:lang w:val="fr-FR"/>
        </w:rPr>
        <w:t>échantillons doivent être des véhicules utilisés dans des conditions ambiantes et/ou d</w:t>
      </w:r>
      <w:r>
        <w:rPr>
          <w:lang w:val="fr-FR"/>
        </w:rPr>
        <w:t>’</w:t>
      </w:r>
      <w:r w:rsidRPr="00440C76">
        <w:rPr>
          <w:lang w:val="fr-FR"/>
        </w:rPr>
        <w:t>utilisation typique différentes de celles des véhicules sélectionnés pour le premier échantillon.</w:t>
      </w:r>
    </w:p>
    <w:p w14:paraId="455AF319" w14:textId="77777777" w:rsidR="00BE2CA7" w:rsidRPr="00440C76" w:rsidRDefault="00BE2CA7" w:rsidP="00BE2CA7">
      <w:pPr>
        <w:pStyle w:val="SingleTxtG"/>
        <w:ind w:left="2268" w:hanging="1134"/>
        <w:rPr>
          <w:iCs/>
          <w:lang w:val="fr-FR"/>
        </w:rPr>
      </w:pPr>
      <w:r w:rsidRPr="00440C76">
        <w:rPr>
          <w:iCs/>
          <w:lang w:val="fr-FR"/>
        </w:rPr>
        <w:t>5.9</w:t>
      </w:r>
      <w:r w:rsidRPr="00440C76">
        <w:rPr>
          <w:iCs/>
          <w:lang w:val="fr-FR"/>
        </w:rPr>
        <w:tab/>
      </w:r>
      <w:r w:rsidRPr="00440C76">
        <w:rPr>
          <w:lang w:val="fr-FR"/>
        </w:rPr>
        <w:t>Accès</w:t>
      </w:r>
      <w:r w:rsidRPr="00440C76">
        <w:rPr>
          <w:iCs/>
          <w:lang w:val="fr-FR"/>
        </w:rPr>
        <w:t xml:space="preserve"> aux données requises aux fins du contrôle</w:t>
      </w:r>
    </w:p>
    <w:p w14:paraId="4D2CE338" w14:textId="77777777" w:rsidR="00BE2CA7" w:rsidRPr="00440C76" w:rsidRDefault="00BE2CA7" w:rsidP="00BE2CA7">
      <w:pPr>
        <w:pStyle w:val="SingleTxtG"/>
        <w:ind w:left="2268"/>
        <w:rPr>
          <w:lang w:val="fr-FR"/>
        </w:rPr>
      </w:pPr>
      <w:r w:rsidRPr="00440C76">
        <w:rPr>
          <w:lang w:val="fr-FR"/>
        </w:rPr>
        <w:t>Le constructeur doit compléter le dossier d</w:t>
      </w:r>
      <w:r>
        <w:rPr>
          <w:lang w:val="fr-FR"/>
        </w:rPr>
        <w:t>’</w:t>
      </w:r>
      <w:r w:rsidRPr="00440C76">
        <w:rPr>
          <w:lang w:val="fr-FR"/>
        </w:rPr>
        <w:t>informations sur la transparence des essais dans le format spécifié dans les tableaux</w:t>
      </w:r>
      <w:r>
        <w:rPr>
          <w:lang w:val="fr-FR"/>
        </w:rPr>
        <w:t> </w:t>
      </w:r>
      <w:r w:rsidRPr="00440C76">
        <w:rPr>
          <w:lang w:val="fr-FR"/>
        </w:rPr>
        <w:t>1 et 2 de l</w:t>
      </w:r>
      <w:r>
        <w:rPr>
          <w:lang w:val="fr-FR"/>
        </w:rPr>
        <w:t>’</w:t>
      </w:r>
      <w:r w:rsidRPr="00440C76">
        <w:rPr>
          <w:lang w:val="fr-FR"/>
        </w:rPr>
        <w:t>appendice</w:t>
      </w:r>
      <w:r>
        <w:rPr>
          <w:lang w:val="fr-FR"/>
        </w:rPr>
        <w:t> </w:t>
      </w:r>
      <w:r w:rsidRPr="00440C76">
        <w:rPr>
          <w:lang w:val="fr-FR"/>
        </w:rPr>
        <w:t>5 ainsi que dans le tableau</w:t>
      </w:r>
      <w:r>
        <w:rPr>
          <w:lang w:val="fr-FR"/>
        </w:rPr>
        <w:t> </w:t>
      </w:r>
      <w:r w:rsidRPr="00440C76">
        <w:rPr>
          <w:lang w:val="fr-FR"/>
        </w:rPr>
        <w:t>A4/2 et le transmettre à l</w:t>
      </w:r>
      <w:r>
        <w:rPr>
          <w:lang w:val="fr-FR"/>
        </w:rPr>
        <w:t>’</w:t>
      </w:r>
      <w:r w:rsidRPr="00440C76">
        <w:rPr>
          <w:lang w:val="fr-FR"/>
        </w:rPr>
        <w:t>autorité d</w:t>
      </w:r>
      <w:r>
        <w:rPr>
          <w:lang w:val="fr-FR"/>
        </w:rPr>
        <w:t>’</w:t>
      </w:r>
      <w:r w:rsidRPr="00440C76">
        <w:rPr>
          <w:lang w:val="fr-FR"/>
        </w:rPr>
        <w:t>homologation de type. Le tableau</w:t>
      </w:r>
      <w:r>
        <w:rPr>
          <w:lang w:val="fr-FR"/>
        </w:rPr>
        <w:t> </w:t>
      </w:r>
      <w:r w:rsidRPr="00440C76">
        <w:rPr>
          <w:lang w:val="fr-FR"/>
        </w:rPr>
        <w:t>2 de l</w:t>
      </w:r>
      <w:r>
        <w:rPr>
          <w:lang w:val="fr-FR"/>
        </w:rPr>
        <w:t>’</w:t>
      </w:r>
      <w:r w:rsidRPr="00440C76">
        <w:rPr>
          <w:lang w:val="fr-FR"/>
        </w:rPr>
        <w:t>appendice</w:t>
      </w:r>
      <w:r>
        <w:rPr>
          <w:lang w:val="fr-FR"/>
        </w:rPr>
        <w:t> </w:t>
      </w:r>
      <w:r w:rsidRPr="00440C76">
        <w:rPr>
          <w:lang w:val="fr-FR"/>
        </w:rPr>
        <w:t>5 doit être utilisé pour permettre la sélection de véhicules d</w:t>
      </w:r>
      <w:r>
        <w:rPr>
          <w:lang w:val="fr-FR"/>
        </w:rPr>
        <w:t>’</w:t>
      </w:r>
      <w:r w:rsidRPr="00440C76">
        <w:rPr>
          <w:lang w:val="fr-FR"/>
        </w:rPr>
        <w:t>une même famille aux fins des essais et pour fournir, en complément du tableau</w:t>
      </w:r>
      <w:r>
        <w:rPr>
          <w:lang w:val="fr-FR"/>
        </w:rPr>
        <w:t> </w:t>
      </w:r>
      <w:r w:rsidRPr="00440C76">
        <w:rPr>
          <w:lang w:val="fr-FR"/>
        </w:rPr>
        <w:t>1 de l</w:t>
      </w:r>
      <w:r>
        <w:rPr>
          <w:lang w:val="fr-FR"/>
        </w:rPr>
        <w:t>’</w:t>
      </w:r>
      <w:r w:rsidRPr="00440C76">
        <w:rPr>
          <w:lang w:val="fr-FR"/>
        </w:rPr>
        <w:t>appendice</w:t>
      </w:r>
      <w:r>
        <w:rPr>
          <w:lang w:val="fr-FR"/>
        </w:rPr>
        <w:t> </w:t>
      </w:r>
      <w:r w:rsidRPr="00440C76">
        <w:rPr>
          <w:lang w:val="fr-FR"/>
        </w:rPr>
        <w:t>5, les renseignements suffisants concernant les véhicules destinés aux essais.</w:t>
      </w:r>
    </w:p>
    <w:p w14:paraId="4E15ACB7" w14:textId="77777777" w:rsidR="00BE2CA7" w:rsidRPr="00440C76" w:rsidRDefault="00BE2CA7" w:rsidP="00BE2CA7">
      <w:pPr>
        <w:pStyle w:val="SingleTxtG"/>
        <w:ind w:left="2268"/>
        <w:rPr>
          <w:lang w:val="fr-FR"/>
        </w:rPr>
      </w:pPr>
      <w:r w:rsidRPr="00440C76">
        <w:rPr>
          <w:lang w:val="fr-FR"/>
        </w:rPr>
        <w:t>Toutes les informations figurant dans les tableaux</w:t>
      </w:r>
      <w:r>
        <w:rPr>
          <w:lang w:val="fr-FR"/>
        </w:rPr>
        <w:t> </w:t>
      </w:r>
      <w:r w:rsidRPr="00440C76">
        <w:rPr>
          <w:lang w:val="fr-FR"/>
        </w:rPr>
        <w:t>1 et 2 de l</w:t>
      </w:r>
      <w:r>
        <w:rPr>
          <w:lang w:val="fr-FR"/>
        </w:rPr>
        <w:t>’</w:t>
      </w:r>
      <w:r w:rsidRPr="00440C76">
        <w:rPr>
          <w:lang w:val="fr-FR"/>
        </w:rPr>
        <w:t>appendice</w:t>
      </w:r>
      <w:r>
        <w:rPr>
          <w:lang w:val="fr-FR"/>
        </w:rPr>
        <w:t> </w:t>
      </w:r>
      <w:r w:rsidRPr="00440C76">
        <w:rPr>
          <w:lang w:val="fr-FR"/>
        </w:rPr>
        <w:t>5 doivent être rendu</w:t>
      </w:r>
      <w:r>
        <w:rPr>
          <w:lang w:val="fr-FR"/>
        </w:rPr>
        <w:t>e</w:t>
      </w:r>
      <w:r w:rsidRPr="00440C76">
        <w:rPr>
          <w:lang w:val="fr-FR"/>
        </w:rPr>
        <w:t>s accessibles gratuitement au public sous forme électronique dans un délai de 5 jours ouvrables à compter de la date de la demande.</w:t>
      </w:r>
    </w:p>
    <w:p w14:paraId="308FCC5C" w14:textId="77777777" w:rsidR="00BE2CA7" w:rsidRPr="00440C76" w:rsidRDefault="00BE2CA7" w:rsidP="00BE2CA7">
      <w:pPr>
        <w:pStyle w:val="SingleTxtG"/>
        <w:ind w:left="2268"/>
        <w:rPr>
          <w:lang w:val="fr-FR"/>
        </w:rPr>
      </w:pPr>
      <w:r w:rsidRPr="00440C76">
        <w:rPr>
          <w:lang w:val="fr-FR"/>
        </w:rPr>
        <w:t>Les informations ci-après font également partie du dossier relatif à la transparence du contrôle et doivent être communiquées gratuitement par le constructeur dans les 5 jours ouvrables suivant la demande d</w:t>
      </w:r>
      <w:r>
        <w:rPr>
          <w:lang w:val="fr-FR"/>
        </w:rPr>
        <w:t>’</w:t>
      </w:r>
      <w:r w:rsidRPr="00440C76">
        <w:rPr>
          <w:lang w:val="fr-FR"/>
        </w:rPr>
        <w:t>autres acteurs.</w:t>
      </w:r>
    </w:p>
    <w:p w14:paraId="179FC422" w14:textId="77777777" w:rsidR="00BE2CA7" w:rsidRPr="00440C76" w:rsidRDefault="00BE2CA7" w:rsidP="00BE2CA7">
      <w:pPr>
        <w:pStyle w:val="Titre1"/>
        <w:spacing w:after="120"/>
        <w:ind w:right="1134"/>
        <w:rPr>
          <w:b/>
          <w:bCs/>
          <w:lang w:val="fr-FR"/>
        </w:rPr>
      </w:pPr>
      <w:r w:rsidRPr="00440C76">
        <w:rPr>
          <w:lang w:val="fr-FR"/>
        </w:rPr>
        <w:t>Tableau</w:t>
      </w:r>
      <w:r>
        <w:rPr>
          <w:lang w:val="fr-FR"/>
        </w:rPr>
        <w:t> </w:t>
      </w:r>
      <w:r w:rsidRPr="00440C76">
        <w:rPr>
          <w:lang w:val="fr-FR"/>
        </w:rPr>
        <w:t>A4/2</w:t>
      </w:r>
      <w:r>
        <w:rPr>
          <w:lang w:val="fr-FR"/>
        </w:rPr>
        <w:br/>
      </w:r>
      <w:r w:rsidRPr="00440C76">
        <w:rPr>
          <w:b/>
          <w:bCs/>
          <w:lang w:val="fr-FR"/>
        </w:rPr>
        <w:t>Informations sensibles</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2949"/>
        <w:gridCol w:w="4421"/>
      </w:tblGrid>
      <w:tr w:rsidR="00BE2CA7" w:rsidRPr="00440C76" w14:paraId="306A1862" w14:textId="77777777" w:rsidTr="002B0590">
        <w:trPr>
          <w:tblHeader/>
        </w:trPr>
        <w:tc>
          <w:tcPr>
            <w:tcW w:w="1134" w:type="dxa"/>
            <w:shd w:val="clear" w:color="auto" w:fill="auto"/>
            <w:vAlign w:val="bottom"/>
          </w:tcPr>
          <w:p w14:paraId="6734169A" w14:textId="77777777" w:rsidR="00BE2CA7" w:rsidRPr="00440C76" w:rsidRDefault="00BE2CA7" w:rsidP="002B0590">
            <w:pPr>
              <w:spacing w:before="80" w:after="80" w:line="200" w:lineRule="exact"/>
              <w:ind w:left="57" w:right="57"/>
              <w:rPr>
                <w:i/>
                <w:sz w:val="16"/>
                <w:lang w:val="fr-FR"/>
              </w:rPr>
            </w:pPr>
            <w:r w:rsidRPr="00440C76">
              <w:rPr>
                <w:i/>
                <w:sz w:val="16"/>
                <w:lang w:val="fr-FR"/>
              </w:rPr>
              <w:t>Numéro d</w:t>
            </w:r>
            <w:r>
              <w:rPr>
                <w:i/>
                <w:sz w:val="16"/>
                <w:lang w:val="fr-FR"/>
              </w:rPr>
              <w:t>’</w:t>
            </w:r>
            <w:r w:rsidRPr="00440C76">
              <w:rPr>
                <w:i/>
                <w:sz w:val="16"/>
                <w:lang w:val="fr-FR"/>
              </w:rPr>
              <w:t>identification</w:t>
            </w:r>
          </w:p>
        </w:tc>
        <w:tc>
          <w:tcPr>
            <w:tcW w:w="2949" w:type="dxa"/>
            <w:shd w:val="clear" w:color="auto" w:fill="auto"/>
            <w:vAlign w:val="bottom"/>
          </w:tcPr>
          <w:p w14:paraId="5454125F" w14:textId="77777777" w:rsidR="00BE2CA7" w:rsidRPr="00440C76" w:rsidRDefault="00BE2CA7" w:rsidP="002B0590">
            <w:pPr>
              <w:spacing w:before="80" w:after="80" w:line="200" w:lineRule="exact"/>
              <w:ind w:left="57" w:right="57"/>
              <w:rPr>
                <w:i/>
                <w:sz w:val="16"/>
                <w:lang w:val="fr-FR"/>
              </w:rPr>
            </w:pPr>
            <w:r w:rsidRPr="00440C76">
              <w:rPr>
                <w:i/>
                <w:sz w:val="16"/>
                <w:lang w:val="fr-FR"/>
              </w:rPr>
              <w:t>Données d</w:t>
            </w:r>
            <w:r>
              <w:rPr>
                <w:i/>
                <w:sz w:val="16"/>
                <w:lang w:val="fr-FR"/>
              </w:rPr>
              <w:t>’</w:t>
            </w:r>
            <w:r w:rsidRPr="00440C76">
              <w:rPr>
                <w:i/>
                <w:sz w:val="16"/>
                <w:lang w:val="fr-FR"/>
              </w:rPr>
              <w:t>entrée</w:t>
            </w:r>
          </w:p>
        </w:tc>
        <w:tc>
          <w:tcPr>
            <w:tcW w:w="4421" w:type="dxa"/>
            <w:shd w:val="clear" w:color="auto" w:fill="auto"/>
            <w:vAlign w:val="bottom"/>
          </w:tcPr>
          <w:p w14:paraId="3851AD17" w14:textId="77777777" w:rsidR="00BE2CA7" w:rsidRPr="00440C76" w:rsidRDefault="00BE2CA7" w:rsidP="002B0590">
            <w:pPr>
              <w:spacing w:before="80" w:after="80" w:line="200" w:lineRule="exact"/>
              <w:ind w:left="57" w:right="57"/>
              <w:rPr>
                <w:i/>
                <w:sz w:val="16"/>
                <w:lang w:val="fr-FR"/>
              </w:rPr>
            </w:pPr>
            <w:r w:rsidRPr="00440C76">
              <w:rPr>
                <w:i/>
                <w:sz w:val="16"/>
                <w:lang w:val="fr-FR"/>
              </w:rPr>
              <w:t>Description</w:t>
            </w:r>
          </w:p>
        </w:tc>
      </w:tr>
      <w:tr w:rsidR="00BE2CA7" w:rsidRPr="00440C76" w14:paraId="5DC9AE29" w14:textId="77777777" w:rsidTr="002B0590">
        <w:tc>
          <w:tcPr>
            <w:tcW w:w="1134" w:type="dxa"/>
            <w:shd w:val="clear" w:color="auto" w:fill="auto"/>
          </w:tcPr>
          <w:p w14:paraId="713636F3" w14:textId="77777777" w:rsidR="00BE2CA7" w:rsidRPr="00440C76" w:rsidRDefault="00BE2CA7" w:rsidP="002B0590">
            <w:pPr>
              <w:spacing w:before="60" w:after="60"/>
              <w:ind w:left="57" w:right="57"/>
              <w:rPr>
                <w:lang w:val="fr-FR"/>
              </w:rPr>
            </w:pPr>
            <w:r w:rsidRPr="00440C76">
              <w:rPr>
                <w:lang w:val="fr-FR"/>
              </w:rPr>
              <w:t>1.</w:t>
            </w:r>
          </w:p>
        </w:tc>
        <w:tc>
          <w:tcPr>
            <w:tcW w:w="2949" w:type="dxa"/>
            <w:shd w:val="clear" w:color="auto" w:fill="auto"/>
          </w:tcPr>
          <w:p w14:paraId="47E6EFD4" w14:textId="77777777" w:rsidR="00BE2CA7" w:rsidRPr="00440C76" w:rsidRDefault="00BE2CA7" w:rsidP="002B0590">
            <w:pPr>
              <w:spacing w:before="60" w:after="60"/>
              <w:ind w:left="57" w:right="57"/>
              <w:rPr>
                <w:lang w:val="fr-FR"/>
              </w:rPr>
            </w:pPr>
            <w:r w:rsidRPr="00440C76">
              <w:rPr>
                <w:lang w:val="fr-FR"/>
              </w:rPr>
              <w:t>Procédure spéciale pour la conversion de véhicules (quatre roues motrices à deux roues motrices) pour le contrôle sur banc, si disponible</w:t>
            </w:r>
          </w:p>
        </w:tc>
        <w:tc>
          <w:tcPr>
            <w:tcW w:w="4421" w:type="dxa"/>
            <w:shd w:val="clear" w:color="auto" w:fill="auto"/>
          </w:tcPr>
          <w:p w14:paraId="018B730F" w14:textId="77777777" w:rsidR="00BE2CA7" w:rsidRPr="00440C76" w:rsidRDefault="00BE2CA7" w:rsidP="002B0590">
            <w:pPr>
              <w:spacing w:before="60" w:after="60"/>
              <w:ind w:left="57" w:right="57"/>
              <w:rPr>
                <w:lang w:val="fr-FR"/>
              </w:rPr>
            </w:pPr>
            <w:r w:rsidRPr="00440C76">
              <w:rPr>
                <w:lang w:val="fr-FR"/>
              </w:rPr>
              <w:t>Comme défini au paragraphe</w:t>
            </w:r>
            <w:r>
              <w:rPr>
                <w:lang w:val="fr-FR"/>
              </w:rPr>
              <w:t> </w:t>
            </w:r>
            <w:r w:rsidRPr="00440C76">
              <w:rPr>
                <w:lang w:val="fr-FR"/>
              </w:rPr>
              <w:t>2.4.2.4 de l</w:t>
            </w:r>
            <w:r>
              <w:rPr>
                <w:lang w:val="fr-FR"/>
              </w:rPr>
              <w:t>’</w:t>
            </w:r>
            <w:r w:rsidRPr="00440C76">
              <w:rPr>
                <w:lang w:val="fr-FR"/>
              </w:rPr>
              <w:t>annexe</w:t>
            </w:r>
            <w:r>
              <w:rPr>
                <w:lang w:val="fr-FR"/>
              </w:rPr>
              <w:t> </w:t>
            </w:r>
            <w:r w:rsidRPr="00440C76">
              <w:rPr>
                <w:lang w:val="fr-FR"/>
              </w:rPr>
              <w:t>B6 du Règlement ONU n</w:t>
            </w:r>
            <w:r w:rsidRPr="00440C76">
              <w:rPr>
                <w:vertAlign w:val="superscript"/>
                <w:lang w:val="fr-FR"/>
              </w:rPr>
              <w:t>o</w:t>
            </w:r>
            <w:r w:rsidRPr="00440C76">
              <w:rPr>
                <w:lang w:val="fr-FR"/>
              </w:rPr>
              <w:t> 154</w:t>
            </w:r>
          </w:p>
        </w:tc>
      </w:tr>
      <w:tr w:rsidR="00BE2CA7" w:rsidRPr="00440C76" w14:paraId="1F64A887" w14:textId="77777777" w:rsidTr="002B0590">
        <w:tc>
          <w:tcPr>
            <w:tcW w:w="1134" w:type="dxa"/>
            <w:shd w:val="clear" w:color="auto" w:fill="auto"/>
          </w:tcPr>
          <w:p w14:paraId="1D2B3F14" w14:textId="77777777" w:rsidR="00BE2CA7" w:rsidRPr="00440C76" w:rsidRDefault="00BE2CA7" w:rsidP="002B0590">
            <w:pPr>
              <w:spacing w:before="60" w:after="60"/>
              <w:ind w:left="57" w:right="57"/>
              <w:rPr>
                <w:lang w:val="fr-FR"/>
              </w:rPr>
            </w:pPr>
            <w:r w:rsidRPr="00440C76">
              <w:rPr>
                <w:lang w:val="fr-FR"/>
              </w:rPr>
              <w:t>2.</w:t>
            </w:r>
          </w:p>
        </w:tc>
        <w:tc>
          <w:tcPr>
            <w:tcW w:w="2949" w:type="dxa"/>
            <w:shd w:val="clear" w:color="auto" w:fill="auto"/>
          </w:tcPr>
          <w:p w14:paraId="1F1F9B97" w14:textId="77777777" w:rsidR="00BE2CA7" w:rsidRPr="00440C76" w:rsidRDefault="00BE2CA7" w:rsidP="002B0590">
            <w:pPr>
              <w:spacing w:before="60" w:after="60"/>
              <w:ind w:left="57" w:right="57"/>
              <w:rPr>
                <w:lang w:val="fr-FR"/>
              </w:rPr>
            </w:pPr>
            <w:r w:rsidRPr="00440C76">
              <w:rPr>
                <w:lang w:val="fr-FR"/>
              </w:rPr>
              <w:t>Instructions relatives au mode banc, si disponible</w:t>
            </w:r>
          </w:p>
        </w:tc>
        <w:tc>
          <w:tcPr>
            <w:tcW w:w="4421" w:type="dxa"/>
            <w:shd w:val="clear" w:color="auto" w:fill="auto"/>
          </w:tcPr>
          <w:p w14:paraId="1AA0A19C" w14:textId="77777777" w:rsidR="00BE2CA7" w:rsidRPr="00440C76" w:rsidRDefault="00BE2CA7" w:rsidP="002B0590">
            <w:pPr>
              <w:spacing w:before="60" w:after="60"/>
              <w:ind w:left="57" w:right="57"/>
              <w:rPr>
                <w:lang w:val="fr-FR"/>
              </w:rPr>
            </w:pPr>
            <w:r w:rsidRPr="00440C76">
              <w:rPr>
                <w:lang w:val="fr-FR"/>
              </w:rPr>
              <w:t>Comment activer le mode banc, tel qu</w:t>
            </w:r>
            <w:r>
              <w:rPr>
                <w:lang w:val="fr-FR"/>
              </w:rPr>
              <w:t>’</w:t>
            </w:r>
            <w:r w:rsidRPr="00440C76">
              <w:rPr>
                <w:lang w:val="fr-FR"/>
              </w:rPr>
              <w:t>effectué également lors des essais d</w:t>
            </w:r>
            <w:r>
              <w:rPr>
                <w:lang w:val="fr-FR"/>
              </w:rPr>
              <w:t>’</w:t>
            </w:r>
            <w:r w:rsidRPr="00440C76">
              <w:rPr>
                <w:lang w:val="fr-FR"/>
              </w:rPr>
              <w:t>homologation de type</w:t>
            </w:r>
          </w:p>
        </w:tc>
      </w:tr>
      <w:tr w:rsidR="00BE2CA7" w:rsidRPr="00440C76" w14:paraId="139E73B9" w14:textId="77777777" w:rsidTr="002B0590">
        <w:tc>
          <w:tcPr>
            <w:tcW w:w="1134" w:type="dxa"/>
            <w:shd w:val="clear" w:color="auto" w:fill="auto"/>
          </w:tcPr>
          <w:p w14:paraId="73A20820" w14:textId="77777777" w:rsidR="00BE2CA7" w:rsidRPr="00440C76" w:rsidRDefault="00BE2CA7" w:rsidP="002B0590">
            <w:pPr>
              <w:spacing w:before="60" w:after="60"/>
              <w:ind w:left="57" w:right="57"/>
              <w:rPr>
                <w:lang w:val="fr-FR"/>
              </w:rPr>
            </w:pPr>
            <w:r w:rsidRPr="00440C76">
              <w:rPr>
                <w:lang w:val="fr-FR"/>
              </w:rPr>
              <w:lastRenderedPageBreak/>
              <w:t>3.</w:t>
            </w:r>
          </w:p>
        </w:tc>
        <w:tc>
          <w:tcPr>
            <w:tcW w:w="2949" w:type="dxa"/>
            <w:shd w:val="clear" w:color="auto" w:fill="auto"/>
          </w:tcPr>
          <w:p w14:paraId="2A1E9F99" w14:textId="77777777" w:rsidR="00BE2CA7" w:rsidRPr="00440C76" w:rsidRDefault="00BE2CA7" w:rsidP="002B0590">
            <w:pPr>
              <w:spacing w:before="60" w:after="60"/>
              <w:ind w:left="57" w:right="57"/>
              <w:rPr>
                <w:lang w:val="fr-FR"/>
              </w:rPr>
            </w:pPr>
            <w:r w:rsidRPr="00440C76">
              <w:rPr>
                <w:lang w:val="fr-FR"/>
              </w:rPr>
              <w:t>Mode décélération libre utilisé pendant les essais d</w:t>
            </w:r>
            <w:r>
              <w:rPr>
                <w:lang w:val="fr-FR"/>
              </w:rPr>
              <w:t>’</w:t>
            </w:r>
            <w:r w:rsidRPr="00440C76">
              <w:rPr>
                <w:lang w:val="fr-FR"/>
              </w:rPr>
              <w:t>homologation de type</w:t>
            </w:r>
          </w:p>
        </w:tc>
        <w:tc>
          <w:tcPr>
            <w:tcW w:w="4421" w:type="dxa"/>
            <w:shd w:val="clear" w:color="auto" w:fill="auto"/>
          </w:tcPr>
          <w:p w14:paraId="73DD80AD" w14:textId="77777777" w:rsidR="00BE2CA7" w:rsidRPr="00440C76" w:rsidRDefault="00BE2CA7" w:rsidP="002B0590">
            <w:pPr>
              <w:spacing w:before="60" w:after="60"/>
              <w:ind w:left="57" w:right="57"/>
              <w:rPr>
                <w:lang w:val="fr-FR"/>
              </w:rPr>
            </w:pPr>
            <w:r w:rsidRPr="00440C76">
              <w:rPr>
                <w:lang w:val="fr-FR"/>
              </w:rPr>
              <w:t>Si le véhicule dispose d</w:t>
            </w:r>
            <w:r>
              <w:rPr>
                <w:lang w:val="fr-FR"/>
              </w:rPr>
              <w:t>’</w:t>
            </w:r>
            <w:r w:rsidRPr="00440C76">
              <w:rPr>
                <w:lang w:val="fr-FR"/>
              </w:rPr>
              <w:t>instructions spécifiques pour le mode décélération libre, comment activer ce mode</w:t>
            </w:r>
          </w:p>
        </w:tc>
      </w:tr>
      <w:tr w:rsidR="00BE2CA7" w:rsidRPr="00440C76" w14:paraId="10967128" w14:textId="77777777" w:rsidTr="002B0590">
        <w:tc>
          <w:tcPr>
            <w:tcW w:w="1134" w:type="dxa"/>
            <w:shd w:val="clear" w:color="auto" w:fill="auto"/>
          </w:tcPr>
          <w:p w14:paraId="40CA31E3" w14:textId="77777777" w:rsidR="00BE2CA7" w:rsidRPr="00440C76" w:rsidRDefault="00BE2CA7" w:rsidP="002B0590">
            <w:pPr>
              <w:spacing w:before="60" w:after="60"/>
              <w:ind w:left="57" w:right="57"/>
              <w:rPr>
                <w:lang w:val="fr-FR"/>
              </w:rPr>
            </w:pPr>
            <w:r w:rsidRPr="00440C76">
              <w:rPr>
                <w:lang w:val="fr-FR"/>
              </w:rPr>
              <w:t>4.</w:t>
            </w:r>
          </w:p>
        </w:tc>
        <w:tc>
          <w:tcPr>
            <w:tcW w:w="2949" w:type="dxa"/>
            <w:shd w:val="clear" w:color="auto" w:fill="auto"/>
          </w:tcPr>
          <w:p w14:paraId="27E8955A" w14:textId="77777777" w:rsidR="00BE2CA7" w:rsidRPr="00440C76" w:rsidRDefault="00BE2CA7" w:rsidP="002B0590">
            <w:pPr>
              <w:spacing w:before="60" w:after="60"/>
              <w:ind w:left="57" w:right="57"/>
              <w:rPr>
                <w:lang w:val="fr-FR"/>
              </w:rPr>
            </w:pPr>
            <w:r w:rsidRPr="00440C76">
              <w:rPr>
                <w:lang w:val="fr-FR"/>
              </w:rPr>
              <w:t>Procédure de décharge de la batterie (VEH-RE, VEP)</w:t>
            </w:r>
          </w:p>
        </w:tc>
        <w:tc>
          <w:tcPr>
            <w:tcW w:w="4421" w:type="dxa"/>
            <w:shd w:val="clear" w:color="auto" w:fill="auto"/>
          </w:tcPr>
          <w:p w14:paraId="20B666E7" w14:textId="77777777" w:rsidR="00BE2CA7" w:rsidRPr="00440C76" w:rsidRDefault="00BE2CA7" w:rsidP="002B0590">
            <w:pPr>
              <w:spacing w:before="60" w:after="60"/>
              <w:ind w:left="57" w:right="57"/>
              <w:rPr>
                <w:lang w:val="fr-FR"/>
              </w:rPr>
            </w:pPr>
            <w:r w:rsidRPr="00440C76">
              <w:rPr>
                <w:lang w:val="fr-FR"/>
              </w:rPr>
              <w:t>Procédure établie par le constructeur pour la décharge de la batterie afin de préparer le VEH-RE aux essais en mode maintien de la charge, et le VEP en vue de la charge de la batterie</w:t>
            </w:r>
          </w:p>
        </w:tc>
      </w:tr>
      <w:tr w:rsidR="00BE2CA7" w:rsidRPr="00440C76" w14:paraId="6586F559" w14:textId="77777777" w:rsidTr="002B0590">
        <w:tc>
          <w:tcPr>
            <w:tcW w:w="1134" w:type="dxa"/>
            <w:shd w:val="clear" w:color="auto" w:fill="auto"/>
          </w:tcPr>
          <w:p w14:paraId="767FB8B6" w14:textId="77777777" w:rsidR="00BE2CA7" w:rsidRPr="00440C76" w:rsidRDefault="00BE2CA7" w:rsidP="002B0590">
            <w:pPr>
              <w:spacing w:before="60" w:after="60"/>
              <w:ind w:left="57" w:right="57"/>
              <w:rPr>
                <w:lang w:val="fr-FR"/>
              </w:rPr>
            </w:pPr>
            <w:r w:rsidRPr="00440C76">
              <w:rPr>
                <w:lang w:val="fr-FR"/>
              </w:rPr>
              <w:t>5.</w:t>
            </w:r>
          </w:p>
        </w:tc>
        <w:tc>
          <w:tcPr>
            <w:tcW w:w="2949" w:type="dxa"/>
            <w:shd w:val="clear" w:color="auto" w:fill="auto"/>
          </w:tcPr>
          <w:p w14:paraId="1CDE0C44" w14:textId="77777777" w:rsidR="00BE2CA7" w:rsidRPr="00440C76" w:rsidRDefault="00BE2CA7" w:rsidP="002B0590">
            <w:pPr>
              <w:spacing w:before="60" w:after="60"/>
              <w:ind w:left="57" w:right="57"/>
              <w:rPr>
                <w:lang w:val="fr-FR"/>
              </w:rPr>
            </w:pPr>
            <w:r w:rsidRPr="00440C76">
              <w:rPr>
                <w:lang w:val="fr-FR"/>
              </w:rPr>
              <w:t>Procédure de désactivation de tous les auxiliaires</w:t>
            </w:r>
          </w:p>
        </w:tc>
        <w:tc>
          <w:tcPr>
            <w:tcW w:w="4421" w:type="dxa"/>
            <w:shd w:val="clear" w:color="auto" w:fill="auto"/>
          </w:tcPr>
          <w:p w14:paraId="0D8940C8" w14:textId="77777777" w:rsidR="00BE2CA7" w:rsidRPr="00440C76" w:rsidRDefault="00BE2CA7" w:rsidP="002B0590">
            <w:pPr>
              <w:spacing w:before="60" w:after="60"/>
              <w:ind w:left="57" w:right="57"/>
              <w:rPr>
                <w:lang w:val="fr-FR"/>
              </w:rPr>
            </w:pPr>
            <w:r w:rsidRPr="00440C76">
              <w:rPr>
                <w:lang w:val="fr-FR"/>
              </w:rPr>
              <w:t>En cas d</w:t>
            </w:r>
            <w:r>
              <w:rPr>
                <w:lang w:val="fr-FR"/>
              </w:rPr>
              <w:t>’</w:t>
            </w:r>
            <w:r w:rsidRPr="00440C76">
              <w:rPr>
                <w:lang w:val="fr-FR"/>
              </w:rPr>
              <w:t>utilisation pendant l</w:t>
            </w:r>
            <w:r>
              <w:rPr>
                <w:lang w:val="fr-FR"/>
              </w:rPr>
              <w:t>’</w:t>
            </w:r>
            <w:r w:rsidRPr="00440C76">
              <w:rPr>
                <w:lang w:val="fr-FR"/>
              </w:rPr>
              <w:t>homologation de type</w:t>
            </w:r>
          </w:p>
        </w:tc>
      </w:tr>
      <w:tr w:rsidR="00BE2CA7" w:rsidRPr="00440C76" w14:paraId="5AEE8DD8" w14:textId="77777777" w:rsidTr="002B0590">
        <w:tc>
          <w:tcPr>
            <w:tcW w:w="1134" w:type="dxa"/>
            <w:shd w:val="clear" w:color="auto" w:fill="auto"/>
          </w:tcPr>
          <w:p w14:paraId="057F361F" w14:textId="77777777" w:rsidR="00BE2CA7" w:rsidRPr="00440C76" w:rsidRDefault="00BE2CA7" w:rsidP="002B0590">
            <w:pPr>
              <w:spacing w:before="60" w:after="60"/>
              <w:ind w:left="57" w:right="57"/>
              <w:rPr>
                <w:lang w:val="fr-FR"/>
              </w:rPr>
            </w:pPr>
            <w:r w:rsidRPr="00440C76">
              <w:rPr>
                <w:lang w:val="fr-FR"/>
              </w:rPr>
              <w:t>6.</w:t>
            </w:r>
          </w:p>
        </w:tc>
        <w:tc>
          <w:tcPr>
            <w:tcW w:w="2949" w:type="dxa"/>
            <w:shd w:val="clear" w:color="auto" w:fill="auto"/>
          </w:tcPr>
          <w:p w14:paraId="7C4BEE1E" w14:textId="77777777" w:rsidR="00BE2CA7" w:rsidRPr="00440C76" w:rsidRDefault="00BE2CA7" w:rsidP="002B0590">
            <w:pPr>
              <w:spacing w:before="60" w:after="60"/>
              <w:ind w:left="57" w:right="57"/>
              <w:rPr>
                <w:lang w:val="fr-FR"/>
              </w:rPr>
            </w:pPr>
            <w:r w:rsidRPr="00440C76">
              <w:rPr>
                <w:lang w:val="fr-FR"/>
              </w:rPr>
              <w:t>Procédure de mesure du courant et de la tension de tous les SRSEE en utilisant un équipement extérieur</w:t>
            </w:r>
          </w:p>
        </w:tc>
        <w:tc>
          <w:tcPr>
            <w:tcW w:w="4421" w:type="dxa"/>
            <w:shd w:val="clear" w:color="auto" w:fill="auto"/>
          </w:tcPr>
          <w:p w14:paraId="07FAF135" w14:textId="77777777" w:rsidR="00BE2CA7" w:rsidRPr="00440C76" w:rsidRDefault="00BE2CA7" w:rsidP="002B0590">
            <w:pPr>
              <w:spacing w:before="60" w:after="60"/>
              <w:ind w:left="57" w:right="57"/>
              <w:rPr>
                <w:lang w:val="fr-FR"/>
              </w:rPr>
            </w:pPr>
            <w:r w:rsidRPr="00440C76">
              <w:rPr>
                <w:lang w:val="fr-FR"/>
              </w:rPr>
              <w:t>Comme défini à l</w:t>
            </w:r>
            <w:r>
              <w:rPr>
                <w:lang w:val="fr-FR"/>
              </w:rPr>
              <w:t>’</w:t>
            </w:r>
            <w:r w:rsidRPr="00440C76">
              <w:rPr>
                <w:lang w:val="fr-FR"/>
              </w:rPr>
              <w:t>appendice</w:t>
            </w:r>
            <w:r>
              <w:rPr>
                <w:lang w:val="fr-FR"/>
              </w:rPr>
              <w:t> </w:t>
            </w:r>
            <w:r w:rsidRPr="00440C76">
              <w:rPr>
                <w:lang w:val="fr-FR"/>
              </w:rPr>
              <w:t>3 de l</w:t>
            </w:r>
            <w:r>
              <w:rPr>
                <w:lang w:val="fr-FR"/>
              </w:rPr>
              <w:t>’</w:t>
            </w:r>
            <w:r w:rsidRPr="00440C76">
              <w:rPr>
                <w:lang w:val="fr-FR"/>
              </w:rPr>
              <w:t>annexe</w:t>
            </w:r>
            <w:r>
              <w:rPr>
                <w:lang w:val="fr-FR"/>
              </w:rPr>
              <w:t> </w:t>
            </w:r>
            <w:r w:rsidRPr="00440C76">
              <w:rPr>
                <w:lang w:val="fr-FR"/>
              </w:rPr>
              <w:t>B8 du Règlement ONU n</w:t>
            </w:r>
            <w:r w:rsidRPr="00440C76">
              <w:rPr>
                <w:vertAlign w:val="superscript"/>
                <w:lang w:val="fr-FR"/>
              </w:rPr>
              <w:t>o</w:t>
            </w:r>
            <w:r w:rsidRPr="00440C76">
              <w:rPr>
                <w:lang w:val="fr-FR"/>
              </w:rPr>
              <w:t> 154</w:t>
            </w:r>
          </w:p>
          <w:p w14:paraId="41043EEB" w14:textId="77777777" w:rsidR="00BE2CA7" w:rsidRPr="00440C76" w:rsidRDefault="00BE2CA7" w:rsidP="002B0590">
            <w:pPr>
              <w:spacing w:before="60" w:after="60"/>
              <w:ind w:left="57" w:right="57"/>
              <w:rPr>
                <w:lang w:val="fr-FR"/>
              </w:rPr>
            </w:pPr>
            <w:r w:rsidRPr="00440C76">
              <w:rPr>
                <w:lang w:val="fr-FR"/>
              </w:rPr>
              <w:t>Pour mesurer le courant et la tension indépendamment des données disponibles à bord, le constructeur communique la procédure, la description des points d</w:t>
            </w:r>
            <w:r>
              <w:rPr>
                <w:lang w:val="fr-FR"/>
              </w:rPr>
              <w:t>’</w:t>
            </w:r>
            <w:r w:rsidRPr="00440C76">
              <w:rPr>
                <w:lang w:val="fr-FR"/>
              </w:rPr>
              <w:t>accès pour le courant et la tension et la liste des dispositifs utilisés pour la mesure du courant et de la tension dans le cadre de l</w:t>
            </w:r>
            <w:r>
              <w:rPr>
                <w:lang w:val="fr-FR"/>
              </w:rPr>
              <w:t>’</w:t>
            </w:r>
            <w:r w:rsidRPr="00440C76">
              <w:rPr>
                <w:lang w:val="fr-FR"/>
              </w:rPr>
              <w:t xml:space="preserve">homologation de type. </w:t>
            </w:r>
          </w:p>
        </w:tc>
      </w:tr>
    </w:tbl>
    <w:p w14:paraId="0CC47475" w14:textId="77777777" w:rsidR="00BE2CA7" w:rsidRPr="00440C76" w:rsidRDefault="00BE2CA7" w:rsidP="008007A5">
      <w:pPr>
        <w:pStyle w:val="SingleTxtG"/>
        <w:spacing w:before="120"/>
        <w:ind w:left="2268" w:hanging="1134"/>
        <w:rPr>
          <w:iCs/>
          <w:lang w:val="fr-FR"/>
        </w:rPr>
      </w:pPr>
      <w:r w:rsidRPr="00440C76">
        <w:rPr>
          <w:iCs/>
          <w:lang w:val="fr-FR"/>
        </w:rPr>
        <w:t>5.10</w:t>
      </w:r>
      <w:r w:rsidRPr="00440C76">
        <w:rPr>
          <w:iCs/>
          <w:lang w:val="fr-FR"/>
        </w:rPr>
        <w:tab/>
      </w:r>
      <w:r w:rsidRPr="00440C76">
        <w:rPr>
          <w:lang w:val="fr-FR"/>
        </w:rPr>
        <w:t>Procédure</w:t>
      </w:r>
      <w:r w:rsidRPr="00440C76">
        <w:rPr>
          <w:iCs/>
          <w:lang w:val="fr-FR"/>
        </w:rPr>
        <w:t xml:space="preserve"> statistique</w:t>
      </w:r>
    </w:p>
    <w:p w14:paraId="67B46FF0" w14:textId="77777777" w:rsidR="00BE2CA7" w:rsidRPr="00440C76" w:rsidRDefault="00BE2CA7" w:rsidP="00BE2CA7">
      <w:pPr>
        <w:pStyle w:val="SingleTxtG"/>
        <w:ind w:left="2268" w:hanging="1134"/>
        <w:rPr>
          <w:lang w:val="fr-FR"/>
        </w:rPr>
      </w:pPr>
      <w:r w:rsidRPr="00440C76">
        <w:rPr>
          <w:lang w:val="fr-FR"/>
        </w:rPr>
        <w:t>5.10.1</w:t>
      </w:r>
      <w:r w:rsidRPr="00440C76">
        <w:rPr>
          <w:lang w:val="fr-FR"/>
        </w:rPr>
        <w:tab/>
        <w:t>Généralités</w:t>
      </w:r>
    </w:p>
    <w:p w14:paraId="10373650" w14:textId="77777777" w:rsidR="00BE2CA7" w:rsidRPr="00440C76" w:rsidRDefault="00BE2CA7" w:rsidP="00BE2CA7">
      <w:pPr>
        <w:pStyle w:val="SingleTxtG"/>
        <w:ind w:left="2268"/>
        <w:rPr>
          <w:lang w:val="fr-FR"/>
        </w:rPr>
      </w:pPr>
      <w:r w:rsidRPr="00440C76">
        <w:rPr>
          <w:lang w:val="fr-FR"/>
        </w:rPr>
        <w:t>La vérification de la conformité en service repose sur une méthode statistique suivant les principes généraux de l</w:t>
      </w:r>
      <w:r>
        <w:rPr>
          <w:lang w:val="fr-FR"/>
        </w:rPr>
        <w:t>’</w:t>
      </w:r>
      <w:r w:rsidRPr="00440C76">
        <w:rPr>
          <w:lang w:val="fr-FR"/>
        </w:rPr>
        <w:t>échantillonnage progressif pour le contrôle par attributs. La taille d</w:t>
      </w:r>
      <w:r>
        <w:rPr>
          <w:lang w:val="fr-FR"/>
        </w:rPr>
        <w:t>’</w:t>
      </w:r>
      <w:r w:rsidRPr="00440C76">
        <w:rPr>
          <w:lang w:val="fr-FR"/>
        </w:rPr>
        <w:t>échantillon minimale pour un résultat d</w:t>
      </w:r>
      <w:r>
        <w:rPr>
          <w:lang w:val="fr-FR"/>
        </w:rPr>
        <w:t>’</w:t>
      </w:r>
      <w:r w:rsidRPr="00440C76">
        <w:rPr>
          <w:lang w:val="fr-FR"/>
        </w:rPr>
        <w:t>acceptation est de trois véhicules, et la taille maximale cumulée de l</w:t>
      </w:r>
      <w:r>
        <w:rPr>
          <w:lang w:val="fr-FR"/>
        </w:rPr>
        <w:t>’</w:t>
      </w:r>
      <w:r w:rsidRPr="00440C76">
        <w:rPr>
          <w:lang w:val="fr-FR"/>
        </w:rPr>
        <w:t>échantillon est de 10 véhicules pour les essais du type</w:t>
      </w:r>
      <w:r>
        <w:rPr>
          <w:lang w:val="fr-FR"/>
        </w:rPr>
        <w:t> </w:t>
      </w:r>
      <w:r w:rsidRPr="00440C76">
        <w:rPr>
          <w:lang w:val="fr-FR"/>
        </w:rPr>
        <w:t>1 et les essais RDE.</w:t>
      </w:r>
    </w:p>
    <w:p w14:paraId="312B52A9" w14:textId="77777777" w:rsidR="00BE2CA7" w:rsidRPr="00440C76" w:rsidRDefault="00BE2CA7" w:rsidP="00BE2CA7">
      <w:pPr>
        <w:pStyle w:val="SingleTxtG"/>
        <w:ind w:left="2268"/>
        <w:rPr>
          <w:lang w:val="fr-FR"/>
        </w:rPr>
      </w:pPr>
      <w:r w:rsidRPr="00440C76">
        <w:rPr>
          <w:lang w:val="fr-FR"/>
        </w:rPr>
        <w:t>Pour les essais du type</w:t>
      </w:r>
      <w:r>
        <w:rPr>
          <w:lang w:val="fr-FR"/>
        </w:rPr>
        <w:t> </w:t>
      </w:r>
      <w:r w:rsidRPr="00440C76">
        <w:rPr>
          <w:lang w:val="fr-FR"/>
        </w:rPr>
        <w:t>4 et du type</w:t>
      </w:r>
      <w:r>
        <w:rPr>
          <w:lang w:val="fr-FR"/>
        </w:rPr>
        <w:t> </w:t>
      </w:r>
      <w:r w:rsidRPr="00440C76">
        <w:rPr>
          <w:lang w:val="fr-FR"/>
        </w:rPr>
        <w:t>6, une méthode simplifiée peut être utilisée, avec un échantillon de trois véhicules pour lequel une décision d</w:t>
      </w:r>
      <w:r>
        <w:rPr>
          <w:lang w:val="fr-FR"/>
        </w:rPr>
        <w:t>’</w:t>
      </w:r>
      <w:r w:rsidRPr="00440C76">
        <w:rPr>
          <w:lang w:val="fr-FR"/>
        </w:rPr>
        <w:t>acceptation ou de rejet sera prise selon que les trois véhicules auront subi avec succès, ou non, les vérifications prévues. En cas de réussite ou d</w:t>
      </w:r>
      <w:r>
        <w:rPr>
          <w:lang w:val="fr-FR"/>
        </w:rPr>
        <w:t>’</w:t>
      </w:r>
      <w:r w:rsidRPr="00440C76">
        <w:rPr>
          <w:lang w:val="fr-FR"/>
        </w:rPr>
        <w:t>échec aux essais pour deux des trois véhicules, l</w:t>
      </w:r>
      <w:r>
        <w:rPr>
          <w:lang w:val="fr-FR"/>
        </w:rPr>
        <w:t>’</w:t>
      </w:r>
      <w:r w:rsidRPr="00440C76">
        <w:rPr>
          <w:lang w:val="fr-FR"/>
        </w:rPr>
        <w:t>autorité d</w:t>
      </w:r>
      <w:r>
        <w:rPr>
          <w:lang w:val="fr-FR"/>
        </w:rPr>
        <w:t>’</w:t>
      </w:r>
      <w:r w:rsidRPr="00440C76">
        <w:rPr>
          <w:lang w:val="fr-FR"/>
        </w:rPr>
        <w:t>homologation de type peut décider de procéder à d</w:t>
      </w:r>
      <w:r>
        <w:rPr>
          <w:lang w:val="fr-FR"/>
        </w:rPr>
        <w:t>’</w:t>
      </w:r>
      <w:r w:rsidRPr="00440C76">
        <w:rPr>
          <w:lang w:val="fr-FR"/>
        </w:rPr>
        <w:t>autres essais ou de poursuivre l</w:t>
      </w:r>
      <w:r>
        <w:rPr>
          <w:lang w:val="fr-FR"/>
        </w:rPr>
        <w:t>’</w:t>
      </w:r>
      <w:r w:rsidRPr="00440C76">
        <w:rPr>
          <w:lang w:val="fr-FR"/>
        </w:rPr>
        <w:t>évaluation de la conformité conformément au paragraphe</w:t>
      </w:r>
      <w:r>
        <w:rPr>
          <w:lang w:val="fr-FR"/>
        </w:rPr>
        <w:t> </w:t>
      </w:r>
      <w:r w:rsidRPr="00440C76">
        <w:rPr>
          <w:lang w:val="fr-FR"/>
        </w:rPr>
        <w:t>6.1.</w:t>
      </w:r>
    </w:p>
    <w:p w14:paraId="660EEEB1" w14:textId="77777777" w:rsidR="00BE2CA7" w:rsidRPr="00440C76" w:rsidRDefault="00BE2CA7" w:rsidP="00BE2CA7">
      <w:pPr>
        <w:pStyle w:val="SingleTxtG"/>
        <w:ind w:left="2268"/>
        <w:rPr>
          <w:lang w:val="fr-FR"/>
        </w:rPr>
      </w:pPr>
      <w:r w:rsidRPr="00440C76">
        <w:rPr>
          <w:lang w:val="fr-FR"/>
        </w:rPr>
        <w:t>Les résultats des essais ne doivent pas être multipliés par les facteurs de détérioration.</w:t>
      </w:r>
    </w:p>
    <w:p w14:paraId="65E7D936" w14:textId="77777777" w:rsidR="00BE2CA7" w:rsidRPr="00440C76" w:rsidRDefault="00BE2CA7" w:rsidP="00BE2CA7">
      <w:pPr>
        <w:pStyle w:val="SingleTxtG"/>
        <w:ind w:left="2268"/>
        <w:rPr>
          <w:lang w:val="fr-FR"/>
        </w:rPr>
      </w:pPr>
      <w:r w:rsidRPr="00440C76">
        <w:rPr>
          <w:lang w:val="fr-FR"/>
        </w:rPr>
        <w:t>Préalablement à l</w:t>
      </w:r>
      <w:r>
        <w:rPr>
          <w:lang w:val="fr-FR"/>
        </w:rPr>
        <w:t>’</w:t>
      </w:r>
      <w:r w:rsidRPr="00440C76">
        <w:rPr>
          <w:lang w:val="fr-FR"/>
        </w:rPr>
        <w:t>exécution du premier essai de conformité en service, le constructeur, ou un autre acteur, doit notifier à l</w:t>
      </w:r>
      <w:r>
        <w:rPr>
          <w:lang w:val="fr-FR"/>
        </w:rPr>
        <w:t>’</w:t>
      </w:r>
      <w:r w:rsidRPr="00440C76">
        <w:rPr>
          <w:lang w:val="fr-FR"/>
        </w:rPr>
        <w:t>autorité d</w:t>
      </w:r>
      <w:r>
        <w:rPr>
          <w:lang w:val="fr-FR"/>
        </w:rPr>
        <w:t>’</w:t>
      </w:r>
      <w:r w:rsidRPr="00440C76">
        <w:rPr>
          <w:lang w:val="fr-FR"/>
        </w:rPr>
        <w:t>homologation de type son intention de procéder à un contrôle de la conformité en service d</w:t>
      </w:r>
      <w:r>
        <w:rPr>
          <w:lang w:val="fr-FR"/>
        </w:rPr>
        <w:t>’</w:t>
      </w:r>
      <w:r w:rsidRPr="00440C76">
        <w:rPr>
          <w:lang w:val="fr-FR"/>
        </w:rPr>
        <w:t>une famille de véhicules donnée. À la suite de cette notification, l</w:t>
      </w:r>
      <w:r>
        <w:rPr>
          <w:lang w:val="fr-FR"/>
        </w:rPr>
        <w:t>’</w:t>
      </w:r>
      <w:r w:rsidRPr="00440C76">
        <w:rPr>
          <w:lang w:val="fr-FR"/>
        </w:rPr>
        <w:t>autorité d</w:t>
      </w:r>
      <w:r>
        <w:rPr>
          <w:lang w:val="fr-FR"/>
        </w:rPr>
        <w:t>’</w:t>
      </w:r>
      <w:r w:rsidRPr="00440C76">
        <w:rPr>
          <w:lang w:val="fr-FR"/>
        </w:rPr>
        <w:t>homologation de type doit ouvrir un nouveau dossier statistique afin de traiter les résultats obtenus pour chaque combinaison pertinente des paramètres suivants relatifs à cette partie ou à cet ensemble de parties : famille de véhicules, type d</w:t>
      </w:r>
      <w:r>
        <w:rPr>
          <w:lang w:val="fr-FR"/>
        </w:rPr>
        <w:t>’</w:t>
      </w:r>
      <w:r w:rsidRPr="00440C76">
        <w:rPr>
          <w:lang w:val="fr-FR"/>
        </w:rPr>
        <w:t>essais d</w:t>
      </w:r>
      <w:r>
        <w:rPr>
          <w:lang w:val="fr-FR"/>
        </w:rPr>
        <w:t>’</w:t>
      </w:r>
      <w:r w:rsidRPr="00440C76">
        <w:rPr>
          <w:lang w:val="fr-FR"/>
        </w:rPr>
        <w:t>émissions et polluants.</w:t>
      </w:r>
      <w:r w:rsidRPr="00440C76">
        <w:rPr>
          <w:color w:val="333333"/>
          <w:shd w:val="clear" w:color="auto" w:fill="FFFFFF"/>
          <w:lang w:val="fr-FR"/>
        </w:rPr>
        <w:t xml:space="preserve"> </w:t>
      </w:r>
      <w:r w:rsidRPr="00440C76">
        <w:rPr>
          <w:lang w:val="fr-FR"/>
        </w:rPr>
        <w:t>Des procédures statistiques séparées doivent être engagées pour chacune des combinaisons pertinentes de ces paramètres.</w:t>
      </w:r>
    </w:p>
    <w:p w14:paraId="0A84CF74" w14:textId="77777777" w:rsidR="00BE2CA7" w:rsidRPr="00440C76" w:rsidRDefault="00BE2CA7" w:rsidP="00BE2CA7">
      <w:pPr>
        <w:pStyle w:val="SingleTxtG"/>
        <w:ind w:left="2268"/>
        <w:rPr>
          <w:lang w:val="fr-FR"/>
        </w:rPr>
      </w:pPr>
      <w:r w:rsidRPr="00440C76">
        <w:rPr>
          <w:lang w:val="fr-FR"/>
        </w:rPr>
        <w:t>L</w:t>
      </w:r>
      <w:r>
        <w:rPr>
          <w:lang w:val="fr-FR"/>
        </w:rPr>
        <w:t>’</w:t>
      </w:r>
      <w:r w:rsidRPr="00440C76">
        <w:rPr>
          <w:lang w:val="fr-FR"/>
        </w:rPr>
        <w:t>autorité d</w:t>
      </w:r>
      <w:r>
        <w:rPr>
          <w:lang w:val="fr-FR"/>
        </w:rPr>
        <w:t>’</w:t>
      </w:r>
      <w:r w:rsidRPr="00440C76">
        <w:rPr>
          <w:lang w:val="fr-FR"/>
        </w:rPr>
        <w:t>homologation de type ne doit inclure dans chaque dossier statistique que les résultats communiqués par la partie concernée. L</w:t>
      </w:r>
      <w:r>
        <w:rPr>
          <w:lang w:val="fr-FR"/>
        </w:rPr>
        <w:t>’</w:t>
      </w:r>
      <w:r w:rsidRPr="00440C76">
        <w:rPr>
          <w:lang w:val="fr-FR"/>
        </w:rPr>
        <w:t>autorité d</w:t>
      </w:r>
      <w:r>
        <w:rPr>
          <w:lang w:val="fr-FR"/>
        </w:rPr>
        <w:t>’</w:t>
      </w:r>
      <w:r w:rsidRPr="00440C76">
        <w:rPr>
          <w:lang w:val="fr-FR"/>
        </w:rPr>
        <w:t>homologation de type doit enregistrer le nombre d</w:t>
      </w:r>
      <w:r>
        <w:rPr>
          <w:lang w:val="fr-FR"/>
        </w:rPr>
        <w:t>’</w:t>
      </w:r>
      <w:r w:rsidRPr="00440C76">
        <w:rPr>
          <w:lang w:val="fr-FR"/>
        </w:rPr>
        <w:t>essais réalisés, le nombre d</w:t>
      </w:r>
      <w:r>
        <w:rPr>
          <w:lang w:val="fr-FR"/>
        </w:rPr>
        <w:t>’</w:t>
      </w:r>
      <w:r w:rsidRPr="00440C76">
        <w:rPr>
          <w:lang w:val="fr-FR"/>
        </w:rPr>
        <w:t>essais acceptés ou rejetés ainsi que les autres données nécessaires pour étayer la procédure statistique.</w:t>
      </w:r>
    </w:p>
    <w:p w14:paraId="241738A9" w14:textId="77777777" w:rsidR="00BE2CA7" w:rsidRPr="005868F7" w:rsidRDefault="00BE2CA7" w:rsidP="00BE2CA7">
      <w:pPr>
        <w:pStyle w:val="SingleTxtG"/>
        <w:ind w:left="2268"/>
        <w:rPr>
          <w:spacing w:val="-4"/>
          <w:lang w:val="fr-FR"/>
        </w:rPr>
      </w:pPr>
      <w:r w:rsidRPr="005868F7">
        <w:rPr>
          <w:spacing w:val="-4"/>
          <w:lang w:val="fr-FR"/>
        </w:rPr>
        <w:lastRenderedPageBreak/>
        <w:t>Alors que plusieurs procédures statistiques peuvent être engagées en même temps pour une combinaison donnée de types d’essais et de familles de véhicules, une partie n’est autorisée à fournir les résultats d’essais que pour une procédure statistique ouverte relative à une combinaison donnée de types d’essais et de familles de véhicules. Chaque essai ne peut être notifié qu’une seule fois et tous les essais (valables, non valables, rejetés ou acceptés, etc.) doivent être notifiés.</w:t>
      </w:r>
    </w:p>
    <w:p w14:paraId="29E5629E" w14:textId="77777777" w:rsidR="00BE2CA7" w:rsidRPr="00440C76" w:rsidRDefault="00BE2CA7" w:rsidP="00BE2CA7">
      <w:pPr>
        <w:pStyle w:val="SingleTxtG"/>
        <w:ind w:left="2268"/>
        <w:rPr>
          <w:lang w:val="fr-FR"/>
        </w:rPr>
      </w:pPr>
      <w:r w:rsidRPr="00440C76">
        <w:rPr>
          <w:lang w:val="fr-FR"/>
        </w:rPr>
        <w:t>Toute procédure statistique relative au contrôle de la conformité en service reste ouverte jusqu</w:t>
      </w:r>
      <w:r>
        <w:rPr>
          <w:lang w:val="fr-FR"/>
        </w:rPr>
        <w:t>’</w:t>
      </w:r>
      <w:r w:rsidRPr="00440C76">
        <w:rPr>
          <w:lang w:val="fr-FR"/>
        </w:rPr>
        <w:t>à la prise d</w:t>
      </w:r>
      <w:r>
        <w:rPr>
          <w:lang w:val="fr-FR"/>
        </w:rPr>
        <w:t>’</w:t>
      </w:r>
      <w:r w:rsidRPr="00440C76">
        <w:rPr>
          <w:lang w:val="fr-FR"/>
        </w:rPr>
        <w:t>une décision finale, à savoir lorsque la procédure statistique aboutit à une décision d</w:t>
      </w:r>
      <w:r>
        <w:rPr>
          <w:lang w:val="fr-FR"/>
        </w:rPr>
        <w:t>’</w:t>
      </w:r>
      <w:r w:rsidRPr="00440C76">
        <w:rPr>
          <w:lang w:val="fr-FR"/>
        </w:rPr>
        <w:t>acceptation ou de rejet pour l</w:t>
      </w:r>
      <w:r>
        <w:rPr>
          <w:lang w:val="fr-FR"/>
        </w:rPr>
        <w:t>’</w:t>
      </w:r>
      <w:r w:rsidRPr="00440C76">
        <w:rPr>
          <w:lang w:val="fr-FR"/>
        </w:rPr>
        <w:t>échantillon considéré, conformément au paragraphe</w:t>
      </w:r>
      <w:r>
        <w:rPr>
          <w:lang w:val="fr-FR"/>
        </w:rPr>
        <w:t> </w:t>
      </w:r>
      <w:r w:rsidRPr="00440C76">
        <w:rPr>
          <w:lang w:val="fr-FR"/>
        </w:rPr>
        <w:t>5.10.5. Cependant, si aucune décision n</w:t>
      </w:r>
      <w:r>
        <w:rPr>
          <w:lang w:val="fr-FR"/>
        </w:rPr>
        <w:t>’</w:t>
      </w:r>
      <w:r w:rsidRPr="00440C76">
        <w:rPr>
          <w:lang w:val="fr-FR"/>
        </w:rPr>
        <w:t>est prise dans un délai de 12 mois à compter de l</w:t>
      </w:r>
      <w:r>
        <w:rPr>
          <w:lang w:val="fr-FR"/>
        </w:rPr>
        <w:t>’</w:t>
      </w:r>
      <w:r w:rsidRPr="00440C76">
        <w:rPr>
          <w:lang w:val="fr-FR"/>
        </w:rPr>
        <w:t>ouverture du dossier statistique, l</w:t>
      </w:r>
      <w:r>
        <w:rPr>
          <w:lang w:val="fr-FR"/>
        </w:rPr>
        <w:t>’</w:t>
      </w:r>
      <w:r w:rsidRPr="00440C76">
        <w:rPr>
          <w:lang w:val="fr-FR"/>
        </w:rPr>
        <w:t>autorité d</w:t>
      </w:r>
      <w:r>
        <w:rPr>
          <w:lang w:val="fr-FR"/>
        </w:rPr>
        <w:t>’</w:t>
      </w:r>
      <w:r w:rsidRPr="00440C76">
        <w:rPr>
          <w:lang w:val="fr-FR"/>
        </w:rPr>
        <w:t>homologation de type doit clore le dossier statistique à moins qu</w:t>
      </w:r>
      <w:r>
        <w:rPr>
          <w:lang w:val="fr-FR"/>
        </w:rPr>
        <w:t>’</w:t>
      </w:r>
      <w:r w:rsidRPr="00440C76">
        <w:rPr>
          <w:lang w:val="fr-FR"/>
        </w:rPr>
        <w:t>elle ne décide d</w:t>
      </w:r>
      <w:r>
        <w:rPr>
          <w:lang w:val="fr-FR"/>
        </w:rPr>
        <w:t>’</w:t>
      </w:r>
      <w:r w:rsidRPr="00440C76">
        <w:rPr>
          <w:lang w:val="fr-FR"/>
        </w:rPr>
        <w:t>achever les contrôles pour ce dossier statistique au plus tard au cours des 6 mois suivants.</w:t>
      </w:r>
    </w:p>
    <w:p w14:paraId="60051C37" w14:textId="77777777" w:rsidR="00BE2CA7" w:rsidRPr="00440C76" w:rsidRDefault="00BE2CA7" w:rsidP="00BE2CA7">
      <w:pPr>
        <w:pStyle w:val="SingleTxtG"/>
        <w:keepNext/>
        <w:ind w:left="2268" w:hanging="1134"/>
        <w:rPr>
          <w:lang w:val="fr-FR"/>
        </w:rPr>
      </w:pPr>
      <w:r w:rsidRPr="00440C76">
        <w:rPr>
          <w:lang w:val="fr-FR"/>
        </w:rPr>
        <w:t>5.10.2</w:t>
      </w:r>
      <w:r w:rsidRPr="00440C76">
        <w:rPr>
          <w:lang w:val="fr-FR"/>
        </w:rPr>
        <w:tab/>
        <w:t>Regroupement des résultats des contrôles de conformité en service</w:t>
      </w:r>
    </w:p>
    <w:p w14:paraId="3F185B7F" w14:textId="77777777" w:rsidR="00BE2CA7" w:rsidRPr="005868F7" w:rsidRDefault="00BE2CA7" w:rsidP="00BE2CA7">
      <w:pPr>
        <w:pStyle w:val="SingleTxtG"/>
        <w:ind w:left="2268"/>
        <w:rPr>
          <w:spacing w:val="-4"/>
          <w:lang w:val="fr-FR"/>
        </w:rPr>
      </w:pPr>
      <w:r w:rsidRPr="005868F7">
        <w:rPr>
          <w:spacing w:val="-4"/>
          <w:lang w:val="fr-FR"/>
        </w:rPr>
        <w:t>Les résultats d’essais provenant d’autres acteurs peuvent être regroupés aux fins d’une procédure statistique commune. Le regroupement des résultats d’essais nécessite l’autorisation écrite de toutes les parties intéressées appelées à fournir les résultats d’essais en vue du regroupement des résultats, ainsi qu’une notification à l’autorité d’homologation de type avant le début des essais. Une des parties doit être désignée comme chef de file et chargée de la notification des données et de la communication avec l’autorité d’homologation de type.</w:t>
      </w:r>
    </w:p>
    <w:p w14:paraId="247AF819" w14:textId="77777777" w:rsidR="00BE2CA7" w:rsidRPr="00440C76" w:rsidRDefault="00BE2CA7" w:rsidP="00BE2CA7">
      <w:pPr>
        <w:pStyle w:val="SingleTxtG"/>
        <w:ind w:left="2268" w:hanging="1134"/>
        <w:rPr>
          <w:lang w:val="fr-FR"/>
        </w:rPr>
      </w:pPr>
      <w:r w:rsidRPr="00440C76">
        <w:rPr>
          <w:lang w:val="fr-FR"/>
        </w:rPr>
        <w:t>5.10.3</w:t>
      </w:r>
      <w:r w:rsidRPr="00440C76">
        <w:rPr>
          <w:lang w:val="fr-FR"/>
        </w:rPr>
        <w:tab/>
        <w:t>Décision d</w:t>
      </w:r>
      <w:r>
        <w:rPr>
          <w:lang w:val="fr-FR"/>
        </w:rPr>
        <w:t>’</w:t>
      </w:r>
      <w:r w:rsidRPr="00440C76">
        <w:rPr>
          <w:lang w:val="fr-FR"/>
        </w:rPr>
        <w:t>acceptation/de rejet/d</w:t>
      </w:r>
      <w:r>
        <w:rPr>
          <w:lang w:val="fr-FR"/>
        </w:rPr>
        <w:t>’</w:t>
      </w:r>
      <w:r w:rsidRPr="00440C76">
        <w:rPr>
          <w:lang w:val="fr-FR"/>
        </w:rPr>
        <w:t>invalidité pour un essai unique</w:t>
      </w:r>
    </w:p>
    <w:p w14:paraId="1C8C8C35" w14:textId="77777777" w:rsidR="00BE2CA7" w:rsidRPr="00440C76" w:rsidRDefault="00BE2CA7" w:rsidP="00BE2CA7">
      <w:pPr>
        <w:pStyle w:val="SingleTxtG"/>
        <w:ind w:left="2268"/>
        <w:rPr>
          <w:lang w:val="fr-FR"/>
        </w:rPr>
      </w:pPr>
      <w:r w:rsidRPr="00440C76">
        <w:rPr>
          <w:lang w:val="fr-FR"/>
        </w:rPr>
        <w:t>Un essai d</w:t>
      </w:r>
      <w:r>
        <w:rPr>
          <w:lang w:val="fr-FR"/>
        </w:rPr>
        <w:t>’</w:t>
      </w:r>
      <w:r w:rsidRPr="00440C76">
        <w:rPr>
          <w:lang w:val="fr-FR"/>
        </w:rPr>
        <w:t>émissions aux fins du contrôle de la conformité en service est considéré comme « accepté » pour un ou plusieurs polluants lorsque le résultat des émissions est égal ou inférieur à la limite d</w:t>
      </w:r>
      <w:r>
        <w:rPr>
          <w:lang w:val="fr-FR"/>
        </w:rPr>
        <w:t>’</w:t>
      </w:r>
      <w:r w:rsidRPr="00440C76">
        <w:rPr>
          <w:lang w:val="fr-FR"/>
        </w:rPr>
        <w:t>émission fixée au paragraphe</w:t>
      </w:r>
      <w:r>
        <w:rPr>
          <w:lang w:val="fr-FR"/>
        </w:rPr>
        <w:t> </w:t>
      </w:r>
      <w:r w:rsidRPr="00440C76">
        <w:rPr>
          <w:lang w:val="fr-FR"/>
        </w:rPr>
        <w:t>6.3.10 du Règlement ONU n</w:t>
      </w:r>
      <w:r w:rsidRPr="00440C76">
        <w:rPr>
          <w:vertAlign w:val="superscript"/>
          <w:lang w:val="fr-FR"/>
        </w:rPr>
        <w:t>o</w:t>
      </w:r>
      <w:r w:rsidRPr="00440C76">
        <w:rPr>
          <w:lang w:val="fr-FR"/>
        </w:rPr>
        <w:t> 154 pour ce type d</w:t>
      </w:r>
      <w:r>
        <w:rPr>
          <w:lang w:val="fr-FR"/>
        </w:rPr>
        <w:t>’</w:t>
      </w:r>
      <w:r w:rsidRPr="00440C76">
        <w:rPr>
          <w:lang w:val="fr-FR"/>
        </w:rPr>
        <w:t>essai.</w:t>
      </w:r>
    </w:p>
    <w:p w14:paraId="56EB9EC6" w14:textId="77777777" w:rsidR="00BE2CA7" w:rsidRPr="00440C76" w:rsidRDefault="00BE2CA7" w:rsidP="00BE2CA7">
      <w:pPr>
        <w:pStyle w:val="SingleTxtG"/>
        <w:ind w:left="2268"/>
        <w:rPr>
          <w:lang w:val="fr-FR"/>
        </w:rPr>
      </w:pPr>
      <w:r w:rsidRPr="00440C76">
        <w:rPr>
          <w:lang w:val="fr-FR"/>
        </w:rPr>
        <w:t>Un essai est considéré comme « rejeté » pour un ou plusieurs polluants lorsque le résultat des émissions est supérieur à la limite d</w:t>
      </w:r>
      <w:r>
        <w:rPr>
          <w:lang w:val="fr-FR"/>
        </w:rPr>
        <w:t>’</w:t>
      </w:r>
      <w:r w:rsidRPr="00440C76">
        <w:rPr>
          <w:lang w:val="fr-FR"/>
        </w:rPr>
        <w:t>émission correspondante fixée pour ce type d</w:t>
      </w:r>
      <w:r>
        <w:rPr>
          <w:lang w:val="fr-FR"/>
        </w:rPr>
        <w:t>’</w:t>
      </w:r>
      <w:r w:rsidRPr="00440C76">
        <w:rPr>
          <w:lang w:val="fr-FR"/>
        </w:rPr>
        <w:t>essai. Chaque résultat d</w:t>
      </w:r>
      <w:r>
        <w:rPr>
          <w:lang w:val="fr-FR"/>
        </w:rPr>
        <w:t>’</w:t>
      </w:r>
      <w:r w:rsidRPr="00440C76">
        <w:rPr>
          <w:lang w:val="fr-FR"/>
        </w:rPr>
        <w:t>essai rejeté accroît d</w:t>
      </w:r>
      <w:r>
        <w:rPr>
          <w:lang w:val="fr-FR"/>
        </w:rPr>
        <w:t>’</w:t>
      </w:r>
      <w:r w:rsidRPr="00440C76">
        <w:rPr>
          <w:lang w:val="fr-FR"/>
        </w:rPr>
        <w:t>une unité le comptage « r » (voir par.</w:t>
      </w:r>
      <w:r>
        <w:rPr>
          <w:lang w:val="fr-FR"/>
        </w:rPr>
        <w:t xml:space="preserve"> </w:t>
      </w:r>
      <w:r w:rsidRPr="00440C76">
        <w:rPr>
          <w:lang w:val="fr-FR"/>
        </w:rPr>
        <w:t>5.10.5) relatif à ce dossier statistique.</w:t>
      </w:r>
    </w:p>
    <w:p w14:paraId="283703BF" w14:textId="77777777" w:rsidR="00BE2CA7" w:rsidRPr="00440C76" w:rsidRDefault="00BE2CA7" w:rsidP="00BE2CA7">
      <w:pPr>
        <w:pStyle w:val="SingleTxtG"/>
        <w:ind w:left="2268"/>
        <w:rPr>
          <w:lang w:val="fr-FR"/>
        </w:rPr>
      </w:pPr>
      <w:r w:rsidRPr="00440C76">
        <w:rPr>
          <w:lang w:val="fr-FR"/>
        </w:rPr>
        <w:t>Un essai est considéré comme non valable s</w:t>
      </w:r>
      <w:r>
        <w:rPr>
          <w:lang w:val="fr-FR"/>
        </w:rPr>
        <w:t>’</w:t>
      </w:r>
      <w:r w:rsidRPr="00440C76">
        <w:rPr>
          <w:lang w:val="fr-FR"/>
        </w:rPr>
        <w:t>il ne satisfait pas aux prescriptions visées au paragraphe</w:t>
      </w:r>
      <w:r>
        <w:rPr>
          <w:lang w:val="fr-FR"/>
        </w:rPr>
        <w:t> </w:t>
      </w:r>
      <w:r w:rsidRPr="00440C76">
        <w:rPr>
          <w:lang w:val="fr-FR"/>
        </w:rPr>
        <w:t>5.3. Les résultats d</w:t>
      </w:r>
      <w:r>
        <w:rPr>
          <w:lang w:val="fr-FR"/>
        </w:rPr>
        <w:t>’</w:t>
      </w:r>
      <w:r w:rsidRPr="00440C76">
        <w:rPr>
          <w:lang w:val="fr-FR"/>
        </w:rPr>
        <w:t>essais non valables sont exclus de la procédure statistique et on doit répéter l</w:t>
      </w:r>
      <w:r>
        <w:rPr>
          <w:lang w:val="fr-FR"/>
        </w:rPr>
        <w:t>’</w:t>
      </w:r>
      <w:r w:rsidRPr="00440C76">
        <w:rPr>
          <w:lang w:val="fr-FR"/>
        </w:rPr>
        <w:t>essai avec le même véhicule afin d</w:t>
      </w:r>
      <w:r>
        <w:rPr>
          <w:lang w:val="fr-FR"/>
        </w:rPr>
        <w:t>’</w:t>
      </w:r>
      <w:r w:rsidRPr="00440C76">
        <w:rPr>
          <w:lang w:val="fr-FR"/>
        </w:rPr>
        <w:t>avoir un essai valable.</w:t>
      </w:r>
    </w:p>
    <w:p w14:paraId="61978CDA" w14:textId="77777777" w:rsidR="00BE2CA7" w:rsidRPr="00440C76" w:rsidRDefault="00BE2CA7" w:rsidP="00BE2CA7">
      <w:pPr>
        <w:pStyle w:val="SingleTxtG"/>
        <w:ind w:left="2268"/>
        <w:rPr>
          <w:lang w:val="fr-FR"/>
        </w:rPr>
      </w:pPr>
      <w:r w:rsidRPr="00440C76">
        <w:rPr>
          <w:lang w:val="fr-FR"/>
        </w:rPr>
        <w:t>Les résultats de tous les essais de conformité en service doivent être communiqués à l</w:t>
      </w:r>
      <w:r>
        <w:rPr>
          <w:lang w:val="fr-FR"/>
        </w:rPr>
        <w:t>’</w:t>
      </w:r>
      <w:r w:rsidRPr="00440C76">
        <w:rPr>
          <w:lang w:val="fr-FR"/>
        </w:rPr>
        <w:t>autorité d</w:t>
      </w:r>
      <w:r>
        <w:rPr>
          <w:lang w:val="fr-FR"/>
        </w:rPr>
        <w:t>’</w:t>
      </w:r>
      <w:r w:rsidRPr="00440C76">
        <w:rPr>
          <w:lang w:val="fr-FR"/>
        </w:rPr>
        <w:t>homologation de type dans un délai de 10 jours ouvrables à compter de la réalisation de chaque essai sur un même véhicule. À la fin des essais, les résultats d</w:t>
      </w:r>
      <w:r>
        <w:rPr>
          <w:lang w:val="fr-FR"/>
        </w:rPr>
        <w:t>’</w:t>
      </w:r>
      <w:r w:rsidRPr="00440C76">
        <w:rPr>
          <w:lang w:val="fr-FR"/>
        </w:rPr>
        <w:t>essai doivent être accompagnés d</w:t>
      </w:r>
      <w:r>
        <w:rPr>
          <w:lang w:val="fr-FR"/>
        </w:rPr>
        <w:t>’</w:t>
      </w:r>
      <w:r w:rsidRPr="00440C76">
        <w:rPr>
          <w:lang w:val="fr-FR"/>
        </w:rPr>
        <w:t>un procès</w:t>
      </w:r>
      <w:r w:rsidRPr="00440C76">
        <w:rPr>
          <w:lang w:val="fr-FR"/>
        </w:rPr>
        <w:noBreakHyphen/>
        <w:t>verbal d</w:t>
      </w:r>
      <w:r>
        <w:rPr>
          <w:lang w:val="fr-FR"/>
        </w:rPr>
        <w:t>’</w:t>
      </w:r>
      <w:r w:rsidRPr="00440C76">
        <w:rPr>
          <w:lang w:val="fr-FR"/>
        </w:rPr>
        <w:t>essai détaillé. Les résultats doivent être intégrés dans l</w:t>
      </w:r>
      <w:r>
        <w:rPr>
          <w:lang w:val="fr-FR"/>
        </w:rPr>
        <w:t>’</w:t>
      </w:r>
      <w:r w:rsidRPr="00440C76">
        <w:rPr>
          <w:lang w:val="fr-FR"/>
        </w:rPr>
        <w:t>échantillon dans l</w:t>
      </w:r>
      <w:r>
        <w:rPr>
          <w:lang w:val="fr-FR"/>
        </w:rPr>
        <w:t>’</w:t>
      </w:r>
      <w:r w:rsidRPr="00440C76">
        <w:rPr>
          <w:lang w:val="fr-FR"/>
        </w:rPr>
        <w:t>ordre chronologique d</w:t>
      </w:r>
      <w:r>
        <w:rPr>
          <w:lang w:val="fr-FR"/>
        </w:rPr>
        <w:t>’</w:t>
      </w:r>
      <w:r w:rsidRPr="00440C76">
        <w:rPr>
          <w:lang w:val="fr-FR"/>
        </w:rPr>
        <w:t>exécution.</w:t>
      </w:r>
    </w:p>
    <w:p w14:paraId="0E037891" w14:textId="77777777" w:rsidR="00BE2CA7" w:rsidRPr="00440C76" w:rsidRDefault="00BE2CA7" w:rsidP="00BE2CA7">
      <w:pPr>
        <w:pStyle w:val="SingleTxtG"/>
        <w:ind w:left="2268"/>
        <w:rPr>
          <w:lang w:val="fr-FR"/>
        </w:rPr>
      </w:pPr>
      <w:r w:rsidRPr="00440C76">
        <w:rPr>
          <w:lang w:val="fr-FR"/>
        </w:rPr>
        <w:t>L</w:t>
      </w:r>
      <w:r>
        <w:rPr>
          <w:lang w:val="fr-FR"/>
        </w:rPr>
        <w:t>’</w:t>
      </w:r>
      <w:r w:rsidRPr="00440C76">
        <w:rPr>
          <w:lang w:val="fr-FR"/>
        </w:rPr>
        <w:t>autorité d</w:t>
      </w:r>
      <w:r>
        <w:rPr>
          <w:lang w:val="fr-FR"/>
        </w:rPr>
        <w:t>’</w:t>
      </w:r>
      <w:r w:rsidRPr="00440C76">
        <w:rPr>
          <w:lang w:val="fr-FR"/>
        </w:rPr>
        <w:t>homologation de type doit inclure tous les résultats d</w:t>
      </w:r>
      <w:r>
        <w:rPr>
          <w:lang w:val="fr-FR"/>
        </w:rPr>
        <w:t>’</w:t>
      </w:r>
      <w:r w:rsidRPr="00440C76">
        <w:rPr>
          <w:lang w:val="fr-FR"/>
        </w:rPr>
        <w:t>essais d</w:t>
      </w:r>
      <w:r>
        <w:rPr>
          <w:lang w:val="fr-FR"/>
        </w:rPr>
        <w:t>’</w:t>
      </w:r>
      <w:r w:rsidRPr="00440C76">
        <w:rPr>
          <w:lang w:val="fr-FR"/>
        </w:rPr>
        <w:t>émission valables dans la procédure statistique ouverte correspondante jusqu</w:t>
      </w:r>
      <w:r>
        <w:rPr>
          <w:lang w:val="fr-FR"/>
        </w:rPr>
        <w:t>’</w:t>
      </w:r>
      <w:r w:rsidRPr="00440C76">
        <w:rPr>
          <w:lang w:val="fr-FR"/>
        </w:rPr>
        <w:t>à la prise d</w:t>
      </w:r>
      <w:r>
        <w:rPr>
          <w:lang w:val="fr-FR"/>
        </w:rPr>
        <w:t>’</w:t>
      </w:r>
      <w:r w:rsidRPr="00440C76">
        <w:rPr>
          <w:lang w:val="fr-FR"/>
        </w:rPr>
        <w:t>une décision d</w:t>
      </w:r>
      <w:r>
        <w:rPr>
          <w:lang w:val="fr-FR"/>
        </w:rPr>
        <w:t>’</w:t>
      </w:r>
      <w:r w:rsidRPr="00440C76">
        <w:rPr>
          <w:lang w:val="fr-FR"/>
        </w:rPr>
        <w:t>acceptation ou de rejet de l</w:t>
      </w:r>
      <w:r>
        <w:rPr>
          <w:lang w:val="fr-FR"/>
        </w:rPr>
        <w:t>’</w:t>
      </w:r>
      <w:r w:rsidRPr="00440C76">
        <w:rPr>
          <w:lang w:val="fr-FR"/>
        </w:rPr>
        <w:t>échantillon conformément au paragraphe</w:t>
      </w:r>
      <w:r>
        <w:rPr>
          <w:lang w:val="fr-FR"/>
        </w:rPr>
        <w:t> </w:t>
      </w:r>
      <w:r w:rsidRPr="00440C76">
        <w:rPr>
          <w:lang w:val="fr-FR"/>
        </w:rPr>
        <w:t>5.10.5.</w:t>
      </w:r>
    </w:p>
    <w:p w14:paraId="3634FF55" w14:textId="77777777" w:rsidR="00BE2CA7" w:rsidRPr="00440C76" w:rsidRDefault="00BE2CA7" w:rsidP="00BE2CA7">
      <w:pPr>
        <w:pStyle w:val="SingleTxtG"/>
        <w:ind w:left="2268" w:hanging="1134"/>
        <w:rPr>
          <w:lang w:val="fr-FR"/>
        </w:rPr>
      </w:pPr>
      <w:r w:rsidRPr="00440C76">
        <w:rPr>
          <w:lang w:val="fr-FR"/>
        </w:rPr>
        <w:t>5.10.4</w:t>
      </w:r>
      <w:r w:rsidRPr="00440C76">
        <w:rPr>
          <w:lang w:val="fr-FR"/>
        </w:rPr>
        <w:tab/>
        <w:t>Traitement des observations aberrantes</w:t>
      </w:r>
    </w:p>
    <w:p w14:paraId="2A34439C" w14:textId="77777777" w:rsidR="00BE2CA7" w:rsidRPr="00440C76" w:rsidRDefault="00BE2CA7" w:rsidP="00BE2CA7">
      <w:pPr>
        <w:pStyle w:val="SingleTxtG"/>
        <w:ind w:left="2268"/>
        <w:rPr>
          <w:lang w:val="fr-FR"/>
        </w:rPr>
      </w:pPr>
      <w:r w:rsidRPr="00440C76">
        <w:rPr>
          <w:lang w:val="fr-FR"/>
        </w:rPr>
        <w:t>La présence de résultats aberrants dans la procédure statistique d</w:t>
      </w:r>
      <w:r>
        <w:rPr>
          <w:lang w:val="fr-FR"/>
        </w:rPr>
        <w:t>’</w:t>
      </w:r>
      <w:r w:rsidRPr="00440C76">
        <w:rPr>
          <w:lang w:val="fr-FR"/>
        </w:rPr>
        <w:t>un échantillon peut entraîner une décision de rejet conformément aux procédures décrites ci-dessous :</w:t>
      </w:r>
    </w:p>
    <w:p w14:paraId="32128872" w14:textId="77777777" w:rsidR="00BE2CA7" w:rsidRPr="00440C76" w:rsidRDefault="00BE2CA7" w:rsidP="00BE2CA7">
      <w:pPr>
        <w:pStyle w:val="SingleTxtG"/>
        <w:ind w:left="2835" w:hanging="567"/>
        <w:rPr>
          <w:lang w:val="fr-FR"/>
        </w:rPr>
      </w:pPr>
      <w:r w:rsidRPr="00440C76">
        <w:rPr>
          <w:lang w:val="fr-FR"/>
        </w:rPr>
        <w:t>a)</w:t>
      </w:r>
      <w:r w:rsidRPr="00440C76">
        <w:rPr>
          <w:lang w:val="fr-FR"/>
        </w:rPr>
        <w:tab/>
        <w:t>Les observations aberrantes doivent être classées comme légères, intermédiaires ou extrêmes ;</w:t>
      </w:r>
    </w:p>
    <w:p w14:paraId="0C094FEA" w14:textId="77777777" w:rsidR="00BE2CA7" w:rsidRPr="00440C76" w:rsidRDefault="00BE2CA7" w:rsidP="00BE2CA7">
      <w:pPr>
        <w:pStyle w:val="SingleTxtG"/>
        <w:ind w:left="2835" w:hanging="567"/>
        <w:rPr>
          <w:lang w:val="fr-FR"/>
        </w:rPr>
      </w:pPr>
      <w:r w:rsidRPr="00440C76">
        <w:rPr>
          <w:lang w:val="fr-FR"/>
        </w:rPr>
        <w:t>b)</w:t>
      </w:r>
      <w:r w:rsidRPr="00440C76">
        <w:rPr>
          <w:lang w:val="fr-FR"/>
        </w:rPr>
        <w:tab/>
        <w:t>Un résultat d</w:t>
      </w:r>
      <w:r>
        <w:rPr>
          <w:lang w:val="fr-FR"/>
        </w:rPr>
        <w:t>’</w:t>
      </w:r>
      <w:r w:rsidRPr="00440C76">
        <w:rPr>
          <w:lang w:val="fr-FR"/>
        </w:rPr>
        <w:t>essai d</w:t>
      </w:r>
      <w:r>
        <w:rPr>
          <w:lang w:val="fr-FR"/>
        </w:rPr>
        <w:t>’</w:t>
      </w:r>
      <w:r w:rsidRPr="00440C76">
        <w:rPr>
          <w:lang w:val="fr-FR"/>
        </w:rPr>
        <w:t>émissions est considéré comme une valeur aberrante légère s</w:t>
      </w:r>
      <w:r>
        <w:rPr>
          <w:lang w:val="fr-FR"/>
        </w:rPr>
        <w:t>’</w:t>
      </w:r>
      <w:r w:rsidRPr="00440C76">
        <w:rPr>
          <w:lang w:val="fr-FR"/>
        </w:rPr>
        <w:t>il est supérieur à la limite d</w:t>
      </w:r>
      <w:r>
        <w:rPr>
          <w:lang w:val="fr-FR"/>
        </w:rPr>
        <w:t>’</w:t>
      </w:r>
      <w:r w:rsidRPr="00440C76">
        <w:rPr>
          <w:lang w:val="fr-FR"/>
        </w:rPr>
        <w:t xml:space="preserve">émissions applicable </w:t>
      </w:r>
      <w:r w:rsidRPr="00440C76">
        <w:rPr>
          <w:lang w:val="fr-FR"/>
        </w:rPr>
        <w:lastRenderedPageBreak/>
        <w:t>mais inférieur à 1,3 fois la limite d</w:t>
      </w:r>
      <w:r>
        <w:rPr>
          <w:lang w:val="fr-FR"/>
        </w:rPr>
        <w:t>’</w:t>
      </w:r>
      <w:r w:rsidRPr="00440C76">
        <w:rPr>
          <w:lang w:val="fr-FR"/>
        </w:rPr>
        <w:t>émission applicable. La présence d</w:t>
      </w:r>
      <w:r>
        <w:rPr>
          <w:lang w:val="fr-FR"/>
        </w:rPr>
        <w:t>’</w:t>
      </w:r>
      <w:r w:rsidRPr="00440C76">
        <w:rPr>
          <w:lang w:val="fr-FR"/>
        </w:rPr>
        <w:t>une valeur aberrante légère compte uniquement dans le nombre de résultats rejetés au paragraphe 5.10.5 ci-après ;</w:t>
      </w:r>
    </w:p>
    <w:p w14:paraId="5C4B76F5" w14:textId="77777777" w:rsidR="00BE2CA7" w:rsidRPr="00440C76" w:rsidRDefault="00BE2CA7" w:rsidP="00BE2CA7">
      <w:pPr>
        <w:pStyle w:val="SingleTxtG"/>
        <w:ind w:left="2835" w:hanging="567"/>
        <w:rPr>
          <w:lang w:val="fr-FR"/>
        </w:rPr>
      </w:pPr>
      <w:r w:rsidRPr="00440C76">
        <w:rPr>
          <w:lang w:val="fr-FR"/>
        </w:rPr>
        <w:t>c)</w:t>
      </w:r>
      <w:r w:rsidRPr="00440C76">
        <w:rPr>
          <w:lang w:val="fr-FR"/>
        </w:rPr>
        <w:tab/>
        <w:t>Un résultat d</w:t>
      </w:r>
      <w:r>
        <w:rPr>
          <w:lang w:val="fr-FR"/>
        </w:rPr>
        <w:t>’</w:t>
      </w:r>
      <w:r w:rsidRPr="00440C76">
        <w:rPr>
          <w:lang w:val="fr-FR"/>
        </w:rPr>
        <w:t>essai d</w:t>
      </w:r>
      <w:r>
        <w:rPr>
          <w:lang w:val="fr-FR"/>
        </w:rPr>
        <w:t>’</w:t>
      </w:r>
      <w:r w:rsidRPr="00440C76">
        <w:rPr>
          <w:lang w:val="fr-FR"/>
        </w:rPr>
        <w:t>émissions est considéré comme une valeur aberrante intermédiaire s</w:t>
      </w:r>
      <w:r>
        <w:rPr>
          <w:lang w:val="fr-FR"/>
        </w:rPr>
        <w:t>’</w:t>
      </w:r>
      <w:r w:rsidRPr="00440C76">
        <w:rPr>
          <w:lang w:val="fr-FR"/>
        </w:rPr>
        <w:t>il est égal ou supérieur à 1,3 fois la limite d</w:t>
      </w:r>
      <w:r>
        <w:rPr>
          <w:lang w:val="fr-FR"/>
        </w:rPr>
        <w:t>’</w:t>
      </w:r>
      <w:r w:rsidRPr="00440C76">
        <w:rPr>
          <w:lang w:val="fr-FR"/>
        </w:rPr>
        <w:t>émission applicable. La présence dans un échantillon de deux observations aberrantes de ce type entraîne le rejet de l</w:t>
      </w:r>
      <w:r>
        <w:rPr>
          <w:lang w:val="fr-FR"/>
        </w:rPr>
        <w:t>’</w:t>
      </w:r>
      <w:r w:rsidRPr="00440C76">
        <w:rPr>
          <w:lang w:val="fr-FR"/>
        </w:rPr>
        <w:t>échantillon ;</w:t>
      </w:r>
    </w:p>
    <w:p w14:paraId="561F829F" w14:textId="77777777" w:rsidR="00BE2CA7" w:rsidRPr="00440C76" w:rsidRDefault="00BE2CA7" w:rsidP="00BE2CA7">
      <w:pPr>
        <w:pStyle w:val="SingleTxtG"/>
        <w:ind w:left="2835" w:hanging="567"/>
        <w:rPr>
          <w:lang w:val="fr-FR"/>
        </w:rPr>
      </w:pPr>
      <w:r w:rsidRPr="00440C76">
        <w:rPr>
          <w:lang w:val="fr-FR"/>
        </w:rPr>
        <w:t>d)</w:t>
      </w:r>
      <w:r w:rsidRPr="00440C76">
        <w:rPr>
          <w:lang w:val="fr-FR"/>
        </w:rPr>
        <w:tab/>
        <w:t>Un résultat d</w:t>
      </w:r>
      <w:r>
        <w:rPr>
          <w:lang w:val="fr-FR"/>
        </w:rPr>
        <w:t>’</w:t>
      </w:r>
      <w:r w:rsidRPr="00440C76">
        <w:rPr>
          <w:lang w:val="fr-FR"/>
        </w:rPr>
        <w:t>essai d</w:t>
      </w:r>
      <w:r>
        <w:rPr>
          <w:lang w:val="fr-FR"/>
        </w:rPr>
        <w:t>’</w:t>
      </w:r>
      <w:r w:rsidRPr="00440C76">
        <w:rPr>
          <w:lang w:val="fr-FR"/>
        </w:rPr>
        <w:t>émissions est considéré comme une valeur aberrante extrême s</w:t>
      </w:r>
      <w:r>
        <w:rPr>
          <w:lang w:val="fr-FR"/>
        </w:rPr>
        <w:t>’</w:t>
      </w:r>
      <w:r w:rsidRPr="00440C76">
        <w:rPr>
          <w:lang w:val="fr-FR"/>
        </w:rPr>
        <w:t>il est égal ou supérieur à 2,5 fois la limite d</w:t>
      </w:r>
      <w:r>
        <w:rPr>
          <w:lang w:val="fr-FR"/>
        </w:rPr>
        <w:t>’</w:t>
      </w:r>
      <w:r w:rsidRPr="00440C76">
        <w:rPr>
          <w:lang w:val="fr-FR"/>
        </w:rPr>
        <w:t>émission applicable. La présence dans un échantillon d</w:t>
      </w:r>
      <w:r>
        <w:rPr>
          <w:lang w:val="fr-FR"/>
        </w:rPr>
        <w:t>’</w:t>
      </w:r>
      <w:r w:rsidRPr="00440C76">
        <w:rPr>
          <w:lang w:val="fr-FR"/>
        </w:rPr>
        <w:t>une telle valeur aberrante entraîne le rejet de l</w:t>
      </w:r>
      <w:r>
        <w:rPr>
          <w:lang w:val="fr-FR"/>
        </w:rPr>
        <w:t>’</w:t>
      </w:r>
      <w:r w:rsidRPr="00440C76">
        <w:rPr>
          <w:lang w:val="fr-FR"/>
        </w:rPr>
        <w:t>échantillon. Dans ce cas, le numéro de plaque du véhicule est communiqué au constructeur et à l</w:t>
      </w:r>
      <w:r>
        <w:rPr>
          <w:lang w:val="fr-FR"/>
        </w:rPr>
        <w:t>’</w:t>
      </w:r>
      <w:r w:rsidRPr="00440C76">
        <w:rPr>
          <w:lang w:val="fr-FR"/>
        </w:rPr>
        <w:t>autorité d</w:t>
      </w:r>
      <w:r>
        <w:rPr>
          <w:lang w:val="fr-FR"/>
        </w:rPr>
        <w:t>’</w:t>
      </w:r>
      <w:r w:rsidRPr="00440C76">
        <w:rPr>
          <w:lang w:val="fr-FR"/>
        </w:rPr>
        <w:t>homologation de type. Cette possibilité doit être communiquée aux propriétaires des véhicules avant les essais.</w:t>
      </w:r>
    </w:p>
    <w:p w14:paraId="11E30400" w14:textId="77777777" w:rsidR="00BE2CA7" w:rsidRPr="00440C76" w:rsidRDefault="00BE2CA7" w:rsidP="00BE2CA7">
      <w:pPr>
        <w:pStyle w:val="SingleTxtG"/>
        <w:ind w:left="2268" w:hanging="1134"/>
        <w:rPr>
          <w:lang w:val="fr-FR"/>
        </w:rPr>
      </w:pPr>
      <w:r w:rsidRPr="00440C76">
        <w:rPr>
          <w:lang w:val="fr-FR"/>
        </w:rPr>
        <w:t>5.10.5</w:t>
      </w:r>
      <w:r w:rsidRPr="00440C76">
        <w:rPr>
          <w:lang w:val="fr-FR"/>
        </w:rPr>
        <w:tab/>
        <w:t>Décision d</w:t>
      </w:r>
      <w:r>
        <w:rPr>
          <w:lang w:val="fr-FR"/>
        </w:rPr>
        <w:t>’</w:t>
      </w:r>
      <w:r w:rsidRPr="00440C76">
        <w:rPr>
          <w:lang w:val="fr-FR"/>
        </w:rPr>
        <w:t>acceptation ou de rejet pour un échantillon</w:t>
      </w:r>
    </w:p>
    <w:p w14:paraId="4D1D3F9A" w14:textId="77777777" w:rsidR="00BE2CA7" w:rsidRPr="00440C76" w:rsidRDefault="00BE2CA7" w:rsidP="00BE2CA7">
      <w:pPr>
        <w:pStyle w:val="SingleTxtG"/>
        <w:ind w:left="2268"/>
        <w:rPr>
          <w:spacing w:val="-2"/>
          <w:lang w:val="fr-FR"/>
        </w:rPr>
      </w:pPr>
      <w:r w:rsidRPr="00440C76">
        <w:rPr>
          <w:spacing w:val="-2"/>
          <w:lang w:val="fr-FR"/>
        </w:rPr>
        <w:t>Aux fins de la décision d</w:t>
      </w:r>
      <w:r>
        <w:rPr>
          <w:spacing w:val="-2"/>
          <w:lang w:val="fr-FR"/>
        </w:rPr>
        <w:t>’</w:t>
      </w:r>
      <w:r w:rsidRPr="00440C76">
        <w:rPr>
          <w:spacing w:val="-2"/>
          <w:lang w:val="fr-FR"/>
        </w:rPr>
        <w:t>acceptation ou de rejet de l</w:t>
      </w:r>
      <w:r>
        <w:rPr>
          <w:spacing w:val="-2"/>
          <w:lang w:val="fr-FR"/>
        </w:rPr>
        <w:t>’</w:t>
      </w:r>
      <w:r w:rsidRPr="00440C76">
        <w:rPr>
          <w:spacing w:val="-2"/>
          <w:lang w:val="fr-FR"/>
        </w:rPr>
        <w:t>échantillon, « a » désigne le nombre de résultats acceptés et « r » le nombre de résultats rejetés. Chaque résultat accepté augmente le comptage « a » d</w:t>
      </w:r>
      <w:r>
        <w:rPr>
          <w:spacing w:val="-2"/>
          <w:lang w:val="fr-FR"/>
        </w:rPr>
        <w:t>’</w:t>
      </w:r>
      <w:r w:rsidRPr="00440C76">
        <w:rPr>
          <w:spacing w:val="-2"/>
          <w:lang w:val="fr-FR"/>
        </w:rPr>
        <w:t>une unité et chaque résultat rejeté augmente le comptage « r » d</w:t>
      </w:r>
      <w:r>
        <w:rPr>
          <w:spacing w:val="-2"/>
          <w:lang w:val="fr-FR"/>
        </w:rPr>
        <w:t>’</w:t>
      </w:r>
      <w:r w:rsidRPr="00440C76">
        <w:rPr>
          <w:spacing w:val="-2"/>
          <w:lang w:val="fr-FR"/>
        </w:rPr>
        <w:t>une unité pour la procédure statistique engagée.</w:t>
      </w:r>
    </w:p>
    <w:p w14:paraId="761DDB59" w14:textId="77777777" w:rsidR="00BE2CA7" w:rsidRPr="00440C76" w:rsidRDefault="00BE2CA7" w:rsidP="00BE2CA7">
      <w:pPr>
        <w:pStyle w:val="SingleTxtG"/>
        <w:ind w:left="2268"/>
        <w:rPr>
          <w:lang w:val="fr-FR"/>
        </w:rPr>
      </w:pPr>
      <w:r w:rsidRPr="00440C76">
        <w:rPr>
          <w:lang w:val="fr-FR"/>
        </w:rPr>
        <w:t>Lors de l</w:t>
      </w:r>
      <w:r>
        <w:rPr>
          <w:lang w:val="fr-FR"/>
        </w:rPr>
        <w:t>’</w:t>
      </w:r>
      <w:r w:rsidRPr="00440C76">
        <w:rPr>
          <w:lang w:val="fr-FR"/>
        </w:rPr>
        <w:t>intégration de résultats d</w:t>
      </w:r>
      <w:r>
        <w:rPr>
          <w:lang w:val="fr-FR"/>
        </w:rPr>
        <w:t>’</w:t>
      </w:r>
      <w:r w:rsidRPr="00440C76">
        <w:rPr>
          <w:lang w:val="fr-FR"/>
        </w:rPr>
        <w:t>essai d</w:t>
      </w:r>
      <w:r>
        <w:rPr>
          <w:lang w:val="fr-FR"/>
        </w:rPr>
        <w:t>’</w:t>
      </w:r>
      <w:r w:rsidRPr="00440C76">
        <w:rPr>
          <w:lang w:val="fr-FR"/>
        </w:rPr>
        <w:t>émissions valables dans un dossier ouvert de la procédure statistique, l</w:t>
      </w:r>
      <w:r>
        <w:rPr>
          <w:lang w:val="fr-FR"/>
        </w:rPr>
        <w:t>’</w:t>
      </w:r>
      <w:r w:rsidRPr="00440C76">
        <w:rPr>
          <w:lang w:val="fr-FR"/>
        </w:rPr>
        <w:t>autorité d</w:t>
      </w:r>
      <w:r>
        <w:rPr>
          <w:lang w:val="fr-FR"/>
        </w:rPr>
        <w:t>’</w:t>
      </w:r>
      <w:r w:rsidRPr="00440C76">
        <w:rPr>
          <w:lang w:val="fr-FR"/>
        </w:rPr>
        <w:t>homologation de type doit effectuer les actions suivantes :</w:t>
      </w:r>
    </w:p>
    <w:p w14:paraId="7274CE74" w14:textId="77777777" w:rsidR="00BE2CA7" w:rsidRPr="00440C76" w:rsidRDefault="00BE2CA7" w:rsidP="00BE2CA7">
      <w:pPr>
        <w:pStyle w:val="SingleTxtG"/>
        <w:ind w:left="2835" w:hanging="567"/>
        <w:rPr>
          <w:lang w:val="fr-FR"/>
        </w:rPr>
      </w:pPr>
      <w:r w:rsidRPr="00440C76">
        <w:rPr>
          <w:lang w:val="fr-FR"/>
        </w:rPr>
        <w:t>a)</w:t>
      </w:r>
      <w:r w:rsidRPr="00440C76">
        <w:rPr>
          <w:lang w:val="fr-FR"/>
        </w:rPr>
        <w:tab/>
        <w:t>Mettre à jour la taille cumulée de l</w:t>
      </w:r>
      <w:r>
        <w:rPr>
          <w:lang w:val="fr-FR"/>
        </w:rPr>
        <w:t>’</w:t>
      </w:r>
      <w:r w:rsidRPr="00440C76">
        <w:rPr>
          <w:lang w:val="fr-FR"/>
        </w:rPr>
        <w:t>échantillon « n » pour ce dossier afin de refléter le nombre total d</w:t>
      </w:r>
      <w:r>
        <w:rPr>
          <w:lang w:val="fr-FR"/>
        </w:rPr>
        <w:t>’</w:t>
      </w:r>
      <w:r w:rsidRPr="00440C76">
        <w:rPr>
          <w:lang w:val="fr-FR"/>
        </w:rPr>
        <w:t>essais valables inclus dans la procédure statistique ;</w:t>
      </w:r>
    </w:p>
    <w:p w14:paraId="0621325A" w14:textId="77777777" w:rsidR="00BE2CA7" w:rsidRPr="00440C76" w:rsidRDefault="00BE2CA7" w:rsidP="00BE2CA7">
      <w:pPr>
        <w:pStyle w:val="SingleTxtG"/>
        <w:ind w:left="2835" w:hanging="567"/>
        <w:rPr>
          <w:lang w:val="fr-FR"/>
        </w:rPr>
      </w:pPr>
      <w:r w:rsidRPr="00440C76">
        <w:rPr>
          <w:lang w:val="fr-FR"/>
        </w:rPr>
        <w:t>b)</w:t>
      </w:r>
      <w:r w:rsidRPr="00440C76">
        <w:rPr>
          <w:lang w:val="fr-FR"/>
        </w:rPr>
        <w:tab/>
        <w:t>Après évaluation des résultats, mettre à jour le nombre de résultats acceptés « a » et le nombre de résultats rejetés « r » ;</w:t>
      </w:r>
    </w:p>
    <w:p w14:paraId="42956410" w14:textId="77777777" w:rsidR="00BE2CA7" w:rsidRPr="00440C76" w:rsidRDefault="00BE2CA7" w:rsidP="00BE2CA7">
      <w:pPr>
        <w:pStyle w:val="SingleTxtG"/>
        <w:ind w:left="2835" w:hanging="567"/>
        <w:rPr>
          <w:lang w:val="fr-FR"/>
        </w:rPr>
      </w:pPr>
      <w:r w:rsidRPr="00440C76">
        <w:rPr>
          <w:lang w:val="fr-FR"/>
        </w:rPr>
        <w:t>c)</w:t>
      </w:r>
      <w:r w:rsidRPr="00440C76">
        <w:rPr>
          <w:lang w:val="fr-FR"/>
        </w:rPr>
        <w:tab/>
      </w:r>
      <w:r w:rsidRPr="005868F7">
        <w:rPr>
          <w:spacing w:val="-4"/>
          <w:lang w:val="fr-FR"/>
        </w:rPr>
        <w:t>Calculer le nombre d’observations aberrantes intermédiaires et extrêmes présentes dans l’échantillon conformément au paragraphe 5.10.4 ;</w:t>
      </w:r>
    </w:p>
    <w:p w14:paraId="782C8A95" w14:textId="77777777" w:rsidR="00BE2CA7" w:rsidRPr="00440C76" w:rsidRDefault="00BE2CA7" w:rsidP="00BE2CA7">
      <w:pPr>
        <w:pStyle w:val="SingleTxtG"/>
        <w:ind w:left="2835" w:hanging="567"/>
        <w:rPr>
          <w:lang w:val="fr-FR"/>
        </w:rPr>
      </w:pPr>
      <w:r w:rsidRPr="00440C76">
        <w:rPr>
          <w:lang w:val="fr-FR"/>
        </w:rPr>
        <w:t>d)</w:t>
      </w:r>
      <w:r w:rsidRPr="00440C76">
        <w:rPr>
          <w:lang w:val="fr-FR"/>
        </w:rPr>
        <w:tab/>
        <w:t>Vérifier si une décision peut être prise sur la base de la procédure décrite ci-dessous.</w:t>
      </w:r>
    </w:p>
    <w:p w14:paraId="5FCD6EFD" w14:textId="77777777" w:rsidR="00BE2CA7" w:rsidRPr="00440C76" w:rsidRDefault="00BE2CA7" w:rsidP="00BE2CA7">
      <w:pPr>
        <w:pStyle w:val="SingleTxtG"/>
        <w:ind w:left="2268"/>
        <w:rPr>
          <w:lang w:val="fr-FR"/>
        </w:rPr>
      </w:pPr>
      <w:r w:rsidRPr="00440C76">
        <w:rPr>
          <w:lang w:val="fr-FR"/>
        </w:rPr>
        <w:t>La décision dépend de la taille cumulée de l</w:t>
      </w:r>
      <w:r>
        <w:rPr>
          <w:lang w:val="fr-FR"/>
        </w:rPr>
        <w:t>’</w:t>
      </w:r>
      <w:r w:rsidRPr="00440C76">
        <w:rPr>
          <w:lang w:val="fr-FR"/>
        </w:rPr>
        <w:t>échantillon « n », des comptages de résultats acceptés et rejetés « a » et « r », ainsi que du nombre d</w:t>
      </w:r>
      <w:r>
        <w:rPr>
          <w:lang w:val="fr-FR"/>
        </w:rPr>
        <w:t>’</w:t>
      </w:r>
      <w:r w:rsidRPr="00440C76">
        <w:rPr>
          <w:lang w:val="fr-FR"/>
        </w:rPr>
        <w:t>observations aberrantes intermédiaires ou extrêmes présentes dans l</w:t>
      </w:r>
      <w:r>
        <w:rPr>
          <w:lang w:val="fr-FR"/>
        </w:rPr>
        <w:t>’</w:t>
      </w:r>
      <w:r w:rsidRPr="00440C76">
        <w:rPr>
          <w:lang w:val="fr-FR"/>
        </w:rPr>
        <w:t>échantillon. Pour prendre la décision d</w:t>
      </w:r>
      <w:r>
        <w:rPr>
          <w:lang w:val="fr-FR"/>
        </w:rPr>
        <w:t>’</w:t>
      </w:r>
      <w:r w:rsidRPr="00440C76">
        <w:rPr>
          <w:lang w:val="fr-FR"/>
        </w:rPr>
        <w:t>acceptation ou de rejet d</w:t>
      </w:r>
      <w:r>
        <w:rPr>
          <w:lang w:val="fr-FR"/>
        </w:rPr>
        <w:t>’</w:t>
      </w:r>
      <w:r w:rsidRPr="00440C76">
        <w:rPr>
          <w:lang w:val="fr-FR"/>
        </w:rPr>
        <w:t>un échantillon pour le contrôle de la conformité en service, l</w:t>
      </w:r>
      <w:r>
        <w:rPr>
          <w:lang w:val="fr-FR"/>
        </w:rPr>
        <w:t>’</w:t>
      </w:r>
      <w:r w:rsidRPr="00440C76">
        <w:rPr>
          <w:lang w:val="fr-FR"/>
        </w:rPr>
        <w:t>autorité d</w:t>
      </w:r>
      <w:r>
        <w:rPr>
          <w:lang w:val="fr-FR"/>
        </w:rPr>
        <w:t>’</w:t>
      </w:r>
      <w:r w:rsidRPr="00440C76">
        <w:rPr>
          <w:lang w:val="fr-FR"/>
        </w:rPr>
        <w:t>homologation de type doit utiliser le tableau décisionnel de la figure</w:t>
      </w:r>
      <w:r>
        <w:rPr>
          <w:lang w:val="fr-FR"/>
        </w:rPr>
        <w:t> </w:t>
      </w:r>
      <w:r w:rsidRPr="00440C76">
        <w:rPr>
          <w:lang w:val="fr-FR"/>
        </w:rPr>
        <w:t>4/2. Le tableau indique la décision à prendre pour une taille cumulée d</w:t>
      </w:r>
      <w:r>
        <w:rPr>
          <w:lang w:val="fr-FR"/>
        </w:rPr>
        <w:t>’</w:t>
      </w:r>
      <w:r w:rsidRPr="00440C76">
        <w:rPr>
          <w:lang w:val="fr-FR"/>
        </w:rPr>
        <w:t>échantillon donnée « n » et un nombre de résultats rejetés « r ».</w:t>
      </w:r>
    </w:p>
    <w:p w14:paraId="6727B94C" w14:textId="77777777" w:rsidR="00BE2CA7" w:rsidRPr="00440C76" w:rsidRDefault="00BE2CA7" w:rsidP="00BE2CA7">
      <w:pPr>
        <w:pStyle w:val="SingleTxtG"/>
        <w:ind w:left="2268"/>
        <w:rPr>
          <w:lang w:val="fr-FR"/>
        </w:rPr>
      </w:pPr>
      <w:r w:rsidRPr="00440C76">
        <w:rPr>
          <w:lang w:val="fr-FR"/>
        </w:rPr>
        <w:t>Deux décisions sont possibles pour une procédure statistique relative à une combinaison donnée de familles de véhicules, de types d</w:t>
      </w:r>
      <w:r>
        <w:rPr>
          <w:lang w:val="fr-FR"/>
        </w:rPr>
        <w:t>’</w:t>
      </w:r>
      <w:r w:rsidRPr="00440C76">
        <w:rPr>
          <w:lang w:val="fr-FR"/>
        </w:rPr>
        <w:t>essais d</w:t>
      </w:r>
      <w:r>
        <w:rPr>
          <w:lang w:val="fr-FR"/>
        </w:rPr>
        <w:t>’</w:t>
      </w:r>
      <w:r w:rsidRPr="00440C76">
        <w:rPr>
          <w:lang w:val="fr-FR"/>
        </w:rPr>
        <w:t>émissions et de polluants :</w:t>
      </w:r>
    </w:p>
    <w:p w14:paraId="79FC8D32" w14:textId="77777777" w:rsidR="00BE2CA7" w:rsidRPr="00440C76" w:rsidRDefault="00BE2CA7" w:rsidP="00BE2CA7">
      <w:pPr>
        <w:pStyle w:val="SingleTxtG"/>
        <w:ind w:left="2268"/>
        <w:rPr>
          <w:lang w:val="fr-FR"/>
        </w:rPr>
      </w:pPr>
      <w:r w:rsidRPr="00440C76">
        <w:rPr>
          <w:lang w:val="fr-FR"/>
        </w:rPr>
        <w:t>Une décision d</w:t>
      </w:r>
      <w:r>
        <w:rPr>
          <w:lang w:val="fr-FR"/>
        </w:rPr>
        <w:t>’</w:t>
      </w:r>
      <w:r w:rsidRPr="00440C76">
        <w:rPr>
          <w:lang w:val="fr-FR"/>
        </w:rPr>
        <w:t>acceptation de l</w:t>
      </w:r>
      <w:r>
        <w:rPr>
          <w:lang w:val="fr-FR"/>
        </w:rPr>
        <w:t>’</w:t>
      </w:r>
      <w:r w:rsidRPr="00440C76">
        <w:rPr>
          <w:lang w:val="fr-FR"/>
        </w:rPr>
        <w:t>échantillon est prise lorsque le tableau décisionnel de la figure</w:t>
      </w:r>
      <w:r>
        <w:rPr>
          <w:lang w:val="fr-FR"/>
        </w:rPr>
        <w:t> </w:t>
      </w:r>
      <w:r w:rsidRPr="00440C76">
        <w:rPr>
          <w:lang w:val="fr-FR"/>
        </w:rPr>
        <w:t>4/2 donne un résultat « ACCEPTÉ » pour la taille cumulée actuelle de l</w:t>
      </w:r>
      <w:r>
        <w:rPr>
          <w:lang w:val="fr-FR"/>
        </w:rPr>
        <w:t>’</w:t>
      </w:r>
      <w:r w:rsidRPr="00440C76">
        <w:rPr>
          <w:lang w:val="fr-FR"/>
        </w:rPr>
        <w:t>échantillon « n » et le nombre de résultats rejetés « r ».</w:t>
      </w:r>
    </w:p>
    <w:p w14:paraId="68C1A947" w14:textId="77777777" w:rsidR="00BE2CA7" w:rsidRPr="005868F7" w:rsidRDefault="00BE2CA7" w:rsidP="00BE2CA7">
      <w:pPr>
        <w:pStyle w:val="SingleTxtG"/>
        <w:ind w:left="2268"/>
        <w:rPr>
          <w:spacing w:val="-4"/>
          <w:lang w:val="fr-FR"/>
        </w:rPr>
      </w:pPr>
      <w:r w:rsidRPr="005868F7">
        <w:rPr>
          <w:spacing w:val="-4"/>
          <w:lang w:val="fr-FR"/>
        </w:rPr>
        <w:t>Une décision de rejet de l’échantillon est prise lorsque, pour une taille cumulée donnée de l’échantillon « n », au moins une des conditions suivantes est remplie :</w:t>
      </w:r>
    </w:p>
    <w:p w14:paraId="6887FB35" w14:textId="77777777" w:rsidR="00BE2CA7" w:rsidRPr="00440C76" w:rsidRDefault="00BE2CA7" w:rsidP="00BE2CA7">
      <w:pPr>
        <w:pStyle w:val="SingleTxtG"/>
        <w:ind w:left="2835" w:hanging="567"/>
        <w:rPr>
          <w:lang w:val="fr-FR"/>
        </w:rPr>
      </w:pPr>
      <w:r w:rsidRPr="00440C76">
        <w:rPr>
          <w:lang w:val="fr-FR"/>
        </w:rPr>
        <w:t>a)</w:t>
      </w:r>
      <w:r w:rsidRPr="00440C76">
        <w:rPr>
          <w:lang w:val="fr-FR"/>
        </w:rPr>
        <w:tab/>
      </w:r>
      <w:bookmarkStart w:id="33" w:name="_Hlk159859964"/>
      <w:r w:rsidRPr="00440C76">
        <w:rPr>
          <w:lang w:val="fr-FR"/>
        </w:rPr>
        <w:t>Le tableau décisionnel de la figure</w:t>
      </w:r>
      <w:r>
        <w:rPr>
          <w:lang w:val="fr-FR"/>
        </w:rPr>
        <w:t> </w:t>
      </w:r>
      <w:r w:rsidRPr="00440C76">
        <w:rPr>
          <w:lang w:val="fr-FR"/>
        </w:rPr>
        <w:t xml:space="preserve">4/2 donne un résultat </w:t>
      </w:r>
      <w:bookmarkEnd w:id="33"/>
      <w:r w:rsidRPr="00440C76">
        <w:rPr>
          <w:lang w:val="fr-FR"/>
        </w:rPr>
        <w:t>« REJETÉ » pour la taille cumulée actuelle de l</w:t>
      </w:r>
      <w:r>
        <w:rPr>
          <w:lang w:val="fr-FR"/>
        </w:rPr>
        <w:t>’</w:t>
      </w:r>
      <w:r w:rsidRPr="00440C76">
        <w:rPr>
          <w:lang w:val="fr-FR"/>
        </w:rPr>
        <w:t>échantillon « n » et le nombre de résultats rejetés « r » ;</w:t>
      </w:r>
    </w:p>
    <w:p w14:paraId="43BD081B" w14:textId="77777777" w:rsidR="00BE2CA7" w:rsidRPr="00440C76" w:rsidRDefault="00BE2CA7" w:rsidP="00BE2CA7">
      <w:pPr>
        <w:pStyle w:val="SingleTxtG"/>
        <w:ind w:left="2835" w:hanging="567"/>
        <w:rPr>
          <w:lang w:val="fr-FR"/>
        </w:rPr>
      </w:pPr>
      <w:r w:rsidRPr="00440C76">
        <w:rPr>
          <w:lang w:val="fr-FR"/>
        </w:rPr>
        <w:t>b)</w:t>
      </w:r>
      <w:r w:rsidRPr="00440C76">
        <w:rPr>
          <w:lang w:val="fr-FR"/>
        </w:rPr>
        <w:tab/>
        <w:t>Il existe deux résultats « REJETÉ » avec des valeurs aberrantes intermédiaires ;</w:t>
      </w:r>
    </w:p>
    <w:p w14:paraId="45ECC435" w14:textId="77777777" w:rsidR="00BE2CA7" w:rsidRPr="00440C76" w:rsidRDefault="00BE2CA7" w:rsidP="00BE2CA7">
      <w:pPr>
        <w:pStyle w:val="SingleTxtG"/>
        <w:ind w:left="2835" w:hanging="567"/>
        <w:rPr>
          <w:lang w:val="fr-FR"/>
        </w:rPr>
      </w:pPr>
      <w:r w:rsidRPr="00440C76">
        <w:rPr>
          <w:lang w:val="fr-FR"/>
        </w:rPr>
        <w:lastRenderedPageBreak/>
        <w:t>c)</w:t>
      </w:r>
      <w:r w:rsidRPr="00440C76">
        <w:rPr>
          <w:lang w:val="fr-FR"/>
        </w:rPr>
        <w:tab/>
        <w:t>Il existe un résultat « REJETÉ » avec une valeur aberrante extrême.</w:t>
      </w:r>
    </w:p>
    <w:p w14:paraId="272FFB46" w14:textId="77777777" w:rsidR="00BE2CA7" w:rsidRPr="00440C76" w:rsidRDefault="00BE2CA7" w:rsidP="00BE2CA7">
      <w:pPr>
        <w:pStyle w:val="SingleTxtG"/>
        <w:ind w:left="2268"/>
        <w:rPr>
          <w:lang w:val="fr-FR"/>
        </w:rPr>
      </w:pPr>
      <w:r w:rsidRPr="00440C76">
        <w:rPr>
          <w:lang w:val="fr-FR"/>
        </w:rPr>
        <w:t>Si aucune décision n</w:t>
      </w:r>
      <w:r>
        <w:rPr>
          <w:lang w:val="fr-FR"/>
        </w:rPr>
        <w:t>’</w:t>
      </w:r>
      <w:r w:rsidRPr="00440C76">
        <w:rPr>
          <w:lang w:val="fr-FR"/>
        </w:rPr>
        <w:t>est prise, la procédure statistique reste ouverte et d</w:t>
      </w:r>
      <w:r>
        <w:rPr>
          <w:lang w:val="fr-FR"/>
        </w:rPr>
        <w:t>’</w:t>
      </w:r>
      <w:r w:rsidRPr="00440C76">
        <w:rPr>
          <w:lang w:val="fr-FR"/>
        </w:rPr>
        <w:t>autres résultats doivent y être intégrés jusqu</w:t>
      </w:r>
      <w:r>
        <w:rPr>
          <w:lang w:val="fr-FR"/>
        </w:rPr>
        <w:t>’</w:t>
      </w:r>
      <w:r w:rsidRPr="00440C76">
        <w:rPr>
          <w:lang w:val="fr-FR"/>
        </w:rPr>
        <w:t>à ce qu</w:t>
      </w:r>
      <w:r>
        <w:rPr>
          <w:lang w:val="fr-FR"/>
        </w:rPr>
        <w:t>’</w:t>
      </w:r>
      <w:r w:rsidRPr="00440C76">
        <w:rPr>
          <w:lang w:val="fr-FR"/>
        </w:rPr>
        <w:t>une décision puisse être prise ou que la procédure soit close, conformément au paragraphe</w:t>
      </w:r>
      <w:r>
        <w:rPr>
          <w:lang w:val="fr-FR"/>
        </w:rPr>
        <w:t> </w:t>
      </w:r>
      <w:r w:rsidRPr="00440C76">
        <w:rPr>
          <w:lang w:val="fr-FR"/>
        </w:rPr>
        <w:t>5.10.1.</w:t>
      </w:r>
    </w:p>
    <w:p w14:paraId="76C773FC" w14:textId="77777777" w:rsidR="00BE2CA7" w:rsidRPr="00440C76" w:rsidRDefault="00BE2CA7" w:rsidP="00BE2CA7">
      <w:pPr>
        <w:pStyle w:val="Titre1"/>
        <w:spacing w:after="120"/>
        <w:ind w:left="0"/>
        <w:rPr>
          <w:b/>
          <w:bCs/>
          <w:lang w:val="fr-FR"/>
        </w:rPr>
      </w:pPr>
      <w:r w:rsidRPr="00440C76">
        <w:rPr>
          <w:lang w:val="fr-FR"/>
        </w:rPr>
        <w:t>Figure</w:t>
      </w:r>
      <w:r>
        <w:rPr>
          <w:lang w:val="fr-FR"/>
        </w:rPr>
        <w:t> </w:t>
      </w:r>
      <w:r w:rsidRPr="00440C76">
        <w:rPr>
          <w:lang w:val="fr-FR"/>
        </w:rPr>
        <w:t>4/2</w:t>
      </w:r>
      <w:r>
        <w:rPr>
          <w:lang w:val="fr-FR"/>
        </w:rPr>
        <w:br/>
      </w:r>
      <w:r w:rsidRPr="00440C76">
        <w:rPr>
          <w:b/>
          <w:bCs/>
          <w:lang w:val="fr-FR"/>
        </w:rPr>
        <w:t>Tableau décisionnel pour la procédure statistique relative aux véhicules (« IND » signifie indécis)</w:t>
      </w:r>
    </w:p>
    <w:tbl>
      <w:tblPr>
        <w:tblW w:w="9639" w:type="dxa"/>
        <w:tblLayout w:type="fixed"/>
        <w:tblCellMar>
          <w:left w:w="0" w:type="dxa"/>
          <w:right w:w="0" w:type="dxa"/>
        </w:tblCellMar>
        <w:tblLook w:val="0000" w:firstRow="0" w:lastRow="0" w:firstColumn="0" w:lastColumn="0" w:noHBand="0" w:noVBand="0"/>
      </w:tblPr>
      <w:tblGrid>
        <w:gridCol w:w="990"/>
        <w:gridCol w:w="427"/>
        <w:gridCol w:w="1027"/>
        <w:gridCol w:w="1028"/>
        <w:gridCol w:w="1028"/>
        <w:gridCol w:w="1028"/>
        <w:gridCol w:w="1027"/>
        <w:gridCol w:w="1028"/>
        <w:gridCol w:w="1028"/>
        <w:gridCol w:w="1028"/>
      </w:tblGrid>
      <w:tr w:rsidR="00BE2CA7" w:rsidRPr="00440C76" w14:paraId="1F6721DD" w14:textId="77777777" w:rsidTr="002B0590">
        <w:trPr>
          <w:trHeight w:val="20"/>
        </w:trPr>
        <w:tc>
          <w:tcPr>
            <w:tcW w:w="990" w:type="dxa"/>
            <w:vMerge w:val="restart"/>
            <w:tcBorders>
              <w:top w:val="single" w:sz="2" w:space="0" w:color="auto"/>
              <w:left w:val="single" w:sz="2" w:space="0" w:color="auto"/>
              <w:bottom w:val="single" w:sz="2" w:space="0" w:color="auto"/>
              <w:right w:val="single" w:sz="2" w:space="0" w:color="auto"/>
            </w:tcBorders>
          </w:tcPr>
          <w:p w14:paraId="5CB9764B" w14:textId="77777777" w:rsidR="00BE2CA7" w:rsidRPr="00440C76" w:rsidRDefault="00BE2CA7" w:rsidP="002B0590">
            <w:pPr>
              <w:keepNext/>
              <w:spacing w:before="60" w:after="60" w:line="220" w:lineRule="atLeast"/>
              <w:ind w:left="57" w:right="57"/>
              <w:rPr>
                <w:sz w:val="18"/>
                <w:szCs w:val="18"/>
                <w:lang w:val="fr-FR"/>
              </w:rPr>
            </w:pPr>
            <w:r w:rsidRPr="00440C76">
              <w:rPr>
                <w:i/>
                <w:iCs/>
                <w:sz w:val="18"/>
                <w:szCs w:val="18"/>
                <w:lang w:val="fr-FR"/>
              </w:rPr>
              <w:t>Nombre de résultats rejetés r</w:t>
            </w:r>
          </w:p>
        </w:tc>
        <w:tc>
          <w:tcPr>
            <w:tcW w:w="427" w:type="dxa"/>
            <w:tcBorders>
              <w:top w:val="single" w:sz="2" w:space="0" w:color="auto"/>
              <w:left w:val="single" w:sz="2" w:space="0" w:color="auto"/>
              <w:bottom w:val="single" w:sz="2" w:space="0" w:color="auto"/>
              <w:right w:val="single" w:sz="2" w:space="0" w:color="auto"/>
            </w:tcBorders>
          </w:tcPr>
          <w:p w14:paraId="51FBFCE0" w14:textId="77777777" w:rsidR="00BE2CA7" w:rsidRPr="00440C76" w:rsidRDefault="00BE2CA7" w:rsidP="002B0590">
            <w:pPr>
              <w:keepNext/>
              <w:spacing w:before="60" w:after="60"/>
              <w:ind w:left="57" w:right="57"/>
              <w:rPr>
                <w:lang w:val="fr-FR"/>
              </w:rPr>
            </w:pPr>
            <w:r w:rsidRPr="00440C76">
              <w:rPr>
                <w:lang w:val="fr-FR"/>
              </w:rPr>
              <w:t>10</w:t>
            </w:r>
          </w:p>
        </w:tc>
        <w:tc>
          <w:tcPr>
            <w:tcW w:w="1027" w:type="dxa"/>
            <w:tcBorders>
              <w:top w:val="single" w:sz="2" w:space="0" w:color="auto"/>
              <w:left w:val="single" w:sz="2" w:space="0" w:color="auto"/>
              <w:bottom w:val="single" w:sz="2" w:space="0" w:color="auto"/>
              <w:right w:val="single" w:sz="2" w:space="0" w:color="auto"/>
            </w:tcBorders>
          </w:tcPr>
          <w:p w14:paraId="4B211137" w14:textId="77777777" w:rsidR="00BE2CA7" w:rsidRPr="00440C76" w:rsidRDefault="00BE2CA7" w:rsidP="002B0590">
            <w:pPr>
              <w:keepNext/>
              <w:spacing w:before="60" w:after="60"/>
              <w:ind w:left="57" w:right="57"/>
              <w:rPr>
                <w:lang w:val="fr-FR"/>
              </w:rPr>
            </w:pPr>
          </w:p>
        </w:tc>
        <w:tc>
          <w:tcPr>
            <w:tcW w:w="1028" w:type="dxa"/>
            <w:tcBorders>
              <w:top w:val="single" w:sz="2" w:space="0" w:color="auto"/>
              <w:left w:val="single" w:sz="2" w:space="0" w:color="auto"/>
              <w:bottom w:val="single" w:sz="2" w:space="0" w:color="auto"/>
              <w:right w:val="single" w:sz="2" w:space="0" w:color="auto"/>
            </w:tcBorders>
          </w:tcPr>
          <w:p w14:paraId="4E9E3DC7" w14:textId="77777777" w:rsidR="00BE2CA7" w:rsidRPr="00440C76" w:rsidRDefault="00BE2CA7" w:rsidP="002B0590">
            <w:pPr>
              <w:keepNext/>
              <w:spacing w:before="60" w:after="60"/>
              <w:ind w:left="57" w:right="57"/>
              <w:rPr>
                <w:lang w:val="fr-FR"/>
              </w:rPr>
            </w:pPr>
          </w:p>
        </w:tc>
        <w:tc>
          <w:tcPr>
            <w:tcW w:w="1028" w:type="dxa"/>
            <w:tcBorders>
              <w:top w:val="single" w:sz="2" w:space="0" w:color="auto"/>
              <w:left w:val="single" w:sz="2" w:space="0" w:color="auto"/>
              <w:bottom w:val="single" w:sz="2" w:space="0" w:color="auto"/>
              <w:right w:val="single" w:sz="2" w:space="0" w:color="auto"/>
            </w:tcBorders>
          </w:tcPr>
          <w:p w14:paraId="27B4CA1F" w14:textId="77777777" w:rsidR="00BE2CA7" w:rsidRPr="00440C76" w:rsidRDefault="00BE2CA7" w:rsidP="002B0590">
            <w:pPr>
              <w:keepNext/>
              <w:spacing w:before="60" w:after="60"/>
              <w:ind w:left="57" w:right="57"/>
              <w:rPr>
                <w:lang w:val="fr-FR"/>
              </w:rPr>
            </w:pPr>
          </w:p>
        </w:tc>
        <w:tc>
          <w:tcPr>
            <w:tcW w:w="1028" w:type="dxa"/>
            <w:tcBorders>
              <w:top w:val="single" w:sz="2" w:space="0" w:color="auto"/>
              <w:left w:val="single" w:sz="2" w:space="0" w:color="auto"/>
              <w:bottom w:val="single" w:sz="2" w:space="0" w:color="auto"/>
              <w:right w:val="single" w:sz="2" w:space="0" w:color="auto"/>
            </w:tcBorders>
          </w:tcPr>
          <w:p w14:paraId="5DBABE08" w14:textId="77777777" w:rsidR="00BE2CA7" w:rsidRPr="00440C76" w:rsidRDefault="00BE2CA7" w:rsidP="002B0590">
            <w:pPr>
              <w:keepNext/>
              <w:spacing w:before="60" w:after="60"/>
              <w:ind w:left="57" w:right="57"/>
              <w:rPr>
                <w:lang w:val="fr-FR"/>
              </w:rPr>
            </w:pPr>
          </w:p>
        </w:tc>
        <w:tc>
          <w:tcPr>
            <w:tcW w:w="1027" w:type="dxa"/>
            <w:tcBorders>
              <w:top w:val="single" w:sz="2" w:space="0" w:color="auto"/>
              <w:left w:val="single" w:sz="2" w:space="0" w:color="auto"/>
              <w:bottom w:val="single" w:sz="2" w:space="0" w:color="auto"/>
              <w:right w:val="single" w:sz="2" w:space="0" w:color="auto"/>
            </w:tcBorders>
          </w:tcPr>
          <w:p w14:paraId="601930A4" w14:textId="77777777" w:rsidR="00BE2CA7" w:rsidRPr="00440C76" w:rsidRDefault="00BE2CA7" w:rsidP="002B0590">
            <w:pPr>
              <w:keepNext/>
              <w:spacing w:before="60" w:after="60"/>
              <w:ind w:left="57" w:right="57"/>
              <w:rPr>
                <w:lang w:val="fr-FR"/>
              </w:rPr>
            </w:pPr>
          </w:p>
        </w:tc>
        <w:tc>
          <w:tcPr>
            <w:tcW w:w="1028" w:type="dxa"/>
            <w:tcBorders>
              <w:top w:val="single" w:sz="2" w:space="0" w:color="auto"/>
              <w:left w:val="single" w:sz="2" w:space="0" w:color="auto"/>
              <w:bottom w:val="single" w:sz="2" w:space="0" w:color="auto"/>
              <w:right w:val="single" w:sz="2" w:space="0" w:color="auto"/>
            </w:tcBorders>
          </w:tcPr>
          <w:p w14:paraId="416BE775" w14:textId="77777777" w:rsidR="00BE2CA7" w:rsidRPr="00440C76" w:rsidRDefault="00BE2CA7" w:rsidP="002B0590">
            <w:pPr>
              <w:keepNext/>
              <w:spacing w:before="60" w:after="60"/>
              <w:ind w:left="57" w:right="57"/>
              <w:rPr>
                <w:lang w:val="fr-FR"/>
              </w:rPr>
            </w:pPr>
          </w:p>
        </w:tc>
        <w:tc>
          <w:tcPr>
            <w:tcW w:w="1028" w:type="dxa"/>
            <w:tcBorders>
              <w:top w:val="single" w:sz="2" w:space="0" w:color="auto"/>
              <w:left w:val="single" w:sz="2" w:space="0" w:color="auto"/>
              <w:bottom w:val="single" w:sz="2" w:space="0" w:color="auto"/>
              <w:right w:val="single" w:sz="2" w:space="0" w:color="auto"/>
            </w:tcBorders>
          </w:tcPr>
          <w:p w14:paraId="639B5236" w14:textId="77777777" w:rsidR="00BE2CA7" w:rsidRPr="00440C76" w:rsidRDefault="00BE2CA7" w:rsidP="002B0590">
            <w:pPr>
              <w:keepNext/>
              <w:spacing w:before="60" w:after="60"/>
              <w:ind w:left="57" w:right="57"/>
              <w:rPr>
                <w:lang w:val="fr-FR"/>
              </w:rPr>
            </w:pPr>
          </w:p>
        </w:tc>
        <w:tc>
          <w:tcPr>
            <w:tcW w:w="1028" w:type="dxa"/>
            <w:tcBorders>
              <w:top w:val="single" w:sz="2" w:space="0" w:color="auto"/>
              <w:left w:val="single" w:sz="2" w:space="0" w:color="auto"/>
              <w:bottom w:val="single" w:sz="2" w:space="0" w:color="auto"/>
              <w:right w:val="single" w:sz="2" w:space="0" w:color="auto"/>
            </w:tcBorders>
          </w:tcPr>
          <w:p w14:paraId="58ADD23C" w14:textId="77777777" w:rsidR="00BE2CA7" w:rsidRPr="00440C76" w:rsidRDefault="00BE2CA7" w:rsidP="002B0590">
            <w:pPr>
              <w:keepNext/>
              <w:spacing w:before="60" w:after="60"/>
              <w:ind w:left="57" w:right="57"/>
              <w:rPr>
                <w:lang w:val="fr-FR"/>
              </w:rPr>
            </w:pPr>
            <w:r w:rsidRPr="00440C76">
              <w:rPr>
                <w:lang w:val="fr-FR"/>
              </w:rPr>
              <w:t>REJETÉ</w:t>
            </w:r>
          </w:p>
        </w:tc>
      </w:tr>
      <w:tr w:rsidR="00BE2CA7" w:rsidRPr="00440C76" w14:paraId="20E2AD0B" w14:textId="77777777" w:rsidTr="002B0590">
        <w:trPr>
          <w:trHeight w:val="20"/>
        </w:trPr>
        <w:tc>
          <w:tcPr>
            <w:tcW w:w="990" w:type="dxa"/>
            <w:vMerge/>
            <w:tcBorders>
              <w:top w:val="single" w:sz="2" w:space="0" w:color="auto"/>
              <w:left w:val="single" w:sz="2" w:space="0" w:color="auto"/>
              <w:bottom w:val="single" w:sz="2" w:space="0" w:color="auto"/>
              <w:right w:val="single" w:sz="2" w:space="0" w:color="auto"/>
            </w:tcBorders>
          </w:tcPr>
          <w:p w14:paraId="528ADB7F" w14:textId="77777777" w:rsidR="00BE2CA7" w:rsidRPr="00440C76" w:rsidRDefault="00BE2CA7" w:rsidP="002B0590">
            <w:pPr>
              <w:keepNext/>
              <w:spacing w:before="60" w:after="60"/>
              <w:ind w:left="57" w:right="57"/>
              <w:rPr>
                <w:lang w:val="fr-FR"/>
              </w:rPr>
            </w:pPr>
          </w:p>
        </w:tc>
        <w:tc>
          <w:tcPr>
            <w:tcW w:w="427" w:type="dxa"/>
            <w:tcBorders>
              <w:top w:val="single" w:sz="2" w:space="0" w:color="auto"/>
              <w:left w:val="single" w:sz="2" w:space="0" w:color="auto"/>
              <w:bottom w:val="single" w:sz="2" w:space="0" w:color="auto"/>
              <w:right w:val="single" w:sz="2" w:space="0" w:color="auto"/>
            </w:tcBorders>
          </w:tcPr>
          <w:p w14:paraId="34138A87" w14:textId="77777777" w:rsidR="00BE2CA7" w:rsidRPr="00440C76" w:rsidRDefault="00BE2CA7" w:rsidP="002B0590">
            <w:pPr>
              <w:keepNext/>
              <w:spacing w:before="60" w:after="60"/>
              <w:ind w:left="57" w:right="57"/>
              <w:rPr>
                <w:lang w:val="fr-FR"/>
              </w:rPr>
            </w:pPr>
            <w:r w:rsidRPr="00440C76">
              <w:rPr>
                <w:lang w:val="fr-FR"/>
              </w:rPr>
              <w:t>9</w:t>
            </w:r>
          </w:p>
        </w:tc>
        <w:tc>
          <w:tcPr>
            <w:tcW w:w="1027" w:type="dxa"/>
            <w:tcBorders>
              <w:top w:val="single" w:sz="2" w:space="0" w:color="auto"/>
              <w:left w:val="single" w:sz="2" w:space="0" w:color="auto"/>
              <w:bottom w:val="single" w:sz="2" w:space="0" w:color="auto"/>
              <w:right w:val="single" w:sz="2" w:space="0" w:color="auto"/>
            </w:tcBorders>
          </w:tcPr>
          <w:p w14:paraId="6CB62C64" w14:textId="77777777" w:rsidR="00BE2CA7" w:rsidRPr="00440C76" w:rsidRDefault="00BE2CA7" w:rsidP="002B0590">
            <w:pPr>
              <w:keepNext/>
              <w:spacing w:before="60" w:after="60"/>
              <w:ind w:left="57" w:right="57"/>
              <w:rPr>
                <w:lang w:val="fr-FR"/>
              </w:rPr>
            </w:pPr>
          </w:p>
        </w:tc>
        <w:tc>
          <w:tcPr>
            <w:tcW w:w="1028" w:type="dxa"/>
            <w:tcBorders>
              <w:top w:val="single" w:sz="2" w:space="0" w:color="auto"/>
              <w:left w:val="single" w:sz="2" w:space="0" w:color="auto"/>
              <w:bottom w:val="single" w:sz="2" w:space="0" w:color="auto"/>
              <w:right w:val="single" w:sz="2" w:space="0" w:color="auto"/>
            </w:tcBorders>
          </w:tcPr>
          <w:p w14:paraId="23D1DFE2" w14:textId="77777777" w:rsidR="00BE2CA7" w:rsidRPr="00440C76" w:rsidRDefault="00BE2CA7" w:rsidP="002B0590">
            <w:pPr>
              <w:keepNext/>
              <w:spacing w:before="60" w:after="60"/>
              <w:ind w:left="57" w:right="57"/>
              <w:rPr>
                <w:lang w:val="fr-FR"/>
              </w:rPr>
            </w:pPr>
          </w:p>
        </w:tc>
        <w:tc>
          <w:tcPr>
            <w:tcW w:w="1028" w:type="dxa"/>
            <w:tcBorders>
              <w:top w:val="single" w:sz="2" w:space="0" w:color="auto"/>
              <w:left w:val="single" w:sz="2" w:space="0" w:color="auto"/>
              <w:bottom w:val="single" w:sz="2" w:space="0" w:color="auto"/>
              <w:right w:val="single" w:sz="2" w:space="0" w:color="auto"/>
            </w:tcBorders>
          </w:tcPr>
          <w:p w14:paraId="458695C7" w14:textId="77777777" w:rsidR="00BE2CA7" w:rsidRPr="00440C76" w:rsidRDefault="00BE2CA7" w:rsidP="002B0590">
            <w:pPr>
              <w:keepNext/>
              <w:spacing w:before="60" w:after="60"/>
              <w:ind w:left="57" w:right="57"/>
              <w:rPr>
                <w:lang w:val="fr-FR"/>
              </w:rPr>
            </w:pPr>
          </w:p>
        </w:tc>
        <w:tc>
          <w:tcPr>
            <w:tcW w:w="1028" w:type="dxa"/>
            <w:tcBorders>
              <w:top w:val="single" w:sz="2" w:space="0" w:color="auto"/>
              <w:left w:val="single" w:sz="2" w:space="0" w:color="auto"/>
              <w:bottom w:val="single" w:sz="2" w:space="0" w:color="auto"/>
              <w:right w:val="single" w:sz="2" w:space="0" w:color="auto"/>
            </w:tcBorders>
          </w:tcPr>
          <w:p w14:paraId="572CC15E" w14:textId="77777777" w:rsidR="00BE2CA7" w:rsidRPr="00440C76" w:rsidRDefault="00BE2CA7" w:rsidP="002B0590">
            <w:pPr>
              <w:keepNext/>
              <w:spacing w:before="60" w:after="60"/>
              <w:ind w:left="57" w:right="57"/>
              <w:rPr>
                <w:lang w:val="fr-FR"/>
              </w:rPr>
            </w:pPr>
          </w:p>
        </w:tc>
        <w:tc>
          <w:tcPr>
            <w:tcW w:w="1027" w:type="dxa"/>
            <w:tcBorders>
              <w:top w:val="single" w:sz="2" w:space="0" w:color="auto"/>
              <w:left w:val="single" w:sz="2" w:space="0" w:color="auto"/>
              <w:bottom w:val="single" w:sz="2" w:space="0" w:color="auto"/>
              <w:right w:val="single" w:sz="2" w:space="0" w:color="auto"/>
            </w:tcBorders>
          </w:tcPr>
          <w:p w14:paraId="6B031753" w14:textId="77777777" w:rsidR="00BE2CA7" w:rsidRPr="00440C76" w:rsidRDefault="00BE2CA7" w:rsidP="002B0590">
            <w:pPr>
              <w:keepNext/>
              <w:spacing w:before="60" w:after="60"/>
              <w:ind w:left="57" w:right="57"/>
              <w:rPr>
                <w:lang w:val="fr-FR"/>
              </w:rPr>
            </w:pPr>
          </w:p>
        </w:tc>
        <w:tc>
          <w:tcPr>
            <w:tcW w:w="1028" w:type="dxa"/>
            <w:tcBorders>
              <w:top w:val="single" w:sz="2" w:space="0" w:color="auto"/>
              <w:left w:val="single" w:sz="2" w:space="0" w:color="auto"/>
              <w:bottom w:val="single" w:sz="2" w:space="0" w:color="auto"/>
              <w:right w:val="single" w:sz="2" w:space="0" w:color="auto"/>
            </w:tcBorders>
          </w:tcPr>
          <w:p w14:paraId="70A2C5BB" w14:textId="77777777" w:rsidR="00BE2CA7" w:rsidRPr="00440C76" w:rsidRDefault="00BE2CA7" w:rsidP="002B0590">
            <w:pPr>
              <w:keepNext/>
              <w:spacing w:before="60" w:after="60"/>
              <w:ind w:left="57" w:right="57"/>
              <w:rPr>
                <w:lang w:val="fr-FR"/>
              </w:rPr>
            </w:pPr>
          </w:p>
        </w:tc>
        <w:tc>
          <w:tcPr>
            <w:tcW w:w="1028" w:type="dxa"/>
            <w:tcBorders>
              <w:top w:val="single" w:sz="2" w:space="0" w:color="auto"/>
              <w:left w:val="single" w:sz="2" w:space="0" w:color="auto"/>
              <w:bottom w:val="single" w:sz="2" w:space="0" w:color="auto"/>
              <w:right w:val="single" w:sz="2" w:space="0" w:color="auto"/>
            </w:tcBorders>
          </w:tcPr>
          <w:p w14:paraId="2F889D6E" w14:textId="77777777" w:rsidR="00BE2CA7" w:rsidRPr="00440C76" w:rsidRDefault="00BE2CA7" w:rsidP="002B0590">
            <w:pPr>
              <w:keepNext/>
              <w:spacing w:before="60" w:after="60"/>
              <w:ind w:left="57" w:right="57"/>
              <w:rPr>
                <w:lang w:val="fr-FR"/>
              </w:rPr>
            </w:pPr>
            <w:r w:rsidRPr="00440C76">
              <w:rPr>
                <w:lang w:val="fr-FR"/>
              </w:rPr>
              <w:t>REJETÉ</w:t>
            </w:r>
          </w:p>
        </w:tc>
        <w:tc>
          <w:tcPr>
            <w:tcW w:w="1028" w:type="dxa"/>
            <w:tcBorders>
              <w:top w:val="single" w:sz="2" w:space="0" w:color="auto"/>
              <w:left w:val="single" w:sz="2" w:space="0" w:color="auto"/>
              <w:bottom w:val="single" w:sz="2" w:space="0" w:color="auto"/>
              <w:right w:val="single" w:sz="2" w:space="0" w:color="auto"/>
            </w:tcBorders>
          </w:tcPr>
          <w:p w14:paraId="270C609A" w14:textId="77777777" w:rsidR="00BE2CA7" w:rsidRPr="00440C76" w:rsidRDefault="00BE2CA7" w:rsidP="002B0590">
            <w:pPr>
              <w:keepNext/>
              <w:spacing w:before="60" w:after="60"/>
              <w:ind w:left="57" w:right="57"/>
              <w:rPr>
                <w:lang w:val="fr-FR"/>
              </w:rPr>
            </w:pPr>
            <w:r w:rsidRPr="00440C76">
              <w:rPr>
                <w:lang w:val="fr-FR"/>
              </w:rPr>
              <w:t>REJETÉ</w:t>
            </w:r>
          </w:p>
        </w:tc>
      </w:tr>
      <w:tr w:rsidR="00BE2CA7" w:rsidRPr="00440C76" w14:paraId="6AC1B089" w14:textId="77777777" w:rsidTr="002B0590">
        <w:trPr>
          <w:trHeight w:val="20"/>
        </w:trPr>
        <w:tc>
          <w:tcPr>
            <w:tcW w:w="990" w:type="dxa"/>
            <w:vMerge/>
            <w:tcBorders>
              <w:top w:val="single" w:sz="2" w:space="0" w:color="auto"/>
              <w:left w:val="single" w:sz="2" w:space="0" w:color="auto"/>
              <w:bottom w:val="single" w:sz="2" w:space="0" w:color="auto"/>
              <w:right w:val="single" w:sz="2" w:space="0" w:color="auto"/>
            </w:tcBorders>
          </w:tcPr>
          <w:p w14:paraId="33154235" w14:textId="77777777" w:rsidR="00BE2CA7" w:rsidRPr="00440C76" w:rsidRDefault="00BE2CA7" w:rsidP="002B0590">
            <w:pPr>
              <w:keepNext/>
              <w:spacing w:before="60" w:after="60"/>
              <w:ind w:left="57" w:right="57"/>
              <w:rPr>
                <w:lang w:val="fr-FR"/>
              </w:rPr>
            </w:pPr>
          </w:p>
        </w:tc>
        <w:tc>
          <w:tcPr>
            <w:tcW w:w="427" w:type="dxa"/>
            <w:tcBorders>
              <w:top w:val="single" w:sz="2" w:space="0" w:color="auto"/>
              <w:left w:val="single" w:sz="2" w:space="0" w:color="auto"/>
              <w:bottom w:val="single" w:sz="2" w:space="0" w:color="auto"/>
              <w:right w:val="single" w:sz="2" w:space="0" w:color="auto"/>
            </w:tcBorders>
          </w:tcPr>
          <w:p w14:paraId="5199C278" w14:textId="77777777" w:rsidR="00BE2CA7" w:rsidRPr="00440C76" w:rsidRDefault="00BE2CA7" w:rsidP="002B0590">
            <w:pPr>
              <w:keepNext/>
              <w:spacing w:before="60" w:after="60"/>
              <w:ind w:left="57" w:right="57"/>
              <w:rPr>
                <w:lang w:val="fr-FR"/>
              </w:rPr>
            </w:pPr>
            <w:r w:rsidRPr="00440C76">
              <w:rPr>
                <w:lang w:val="fr-FR"/>
              </w:rPr>
              <w:t>8</w:t>
            </w:r>
          </w:p>
        </w:tc>
        <w:tc>
          <w:tcPr>
            <w:tcW w:w="1027" w:type="dxa"/>
            <w:tcBorders>
              <w:top w:val="single" w:sz="2" w:space="0" w:color="auto"/>
              <w:left w:val="single" w:sz="2" w:space="0" w:color="auto"/>
              <w:bottom w:val="single" w:sz="2" w:space="0" w:color="auto"/>
              <w:right w:val="single" w:sz="2" w:space="0" w:color="auto"/>
            </w:tcBorders>
          </w:tcPr>
          <w:p w14:paraId="12C65FEC" w14:textId="77777777" w:rsidR="00BE2CA7" w:rsidRPr="00440C76" w:rsidRDefault="00BE2CA7" w:rsidP="002B0590">
            <w:pPr>
              <w:keepNext/>
              <w:spacing w:before="60" w:after="60"/>
              <w:ind w:left="57" w:right="57"/>
              <w:rPr>
                <w:lang w:val="fr-FR"/>
              </w:rPr>
            </w:pPr>
          </w:p>
        </w:tc>
        <w:tc>
          <w:tcPr>
            <w:tcW w:w="1028" w:type="dxa"/>
            <w:tcBorders>
              <w:top w:val="single" w:sz="2" w:space="0" w:color="auto"/>
              <w:left w:val="single" w:sz="2" w:space="0" w:color="auto"/>
              <w:bottom w:val="single" w:sz="2" w:space="0" w:color="auto"/>
              <w:right w:val="single" w:sz="2" w:space="0" w:color="auto"/>
            </w:tcBorders>
          </w:tcPr>
          <w:p w14:paraId="5F5A8A8B" w14:textId="77777777" w:rsidR="00BE2CA7" w:rsidRPr="00440C76" w:rsidRDefault="00BE2CA7" w:rsidP="002B0590">
            <w:pPr>
              <w:keepNext/>
              <w:spacing w:before="60" w:after="60"/>
              <w:ind w:left="57" w:right="57"/>
              <w:rPr>
                <w:lang w:val="fr-FR"/>
              </w:rPr>
            </w:pPr>
          </w:p>
        </w:tc>
        <w:tc>
          <w:tcPr>
            <w:tcW w:w="1028" w:type="dxa"/>
            <w:tcBorders>
              <w:top w:val="single" w:sz="2" w:space="0" w:color="auto"/>
              <w:left w:val="single" w:sz="2" w:space="0" w:color="auto"/>
              <w:bottom w:val="single" w:sz="2" w:space="0" w:color="auto"/>
              <w:right w:val="single" w:sz="2" w:space="0" w:color="auto"/>
            </w:tcBorders>
          </w:tcPr>
          <w:p w14:paraId="2F81DDF9" w14:textId="77777777" w:rsidR="00BE2CA7" w:rsidRPr="00440C76" w:rsidRDefault="00BE2CA7" w:rsidP="002B0590">
            <w:pPr>
              <w:keepNext/>
              <w:spacing w:before="60" w:after="60"/>
              <w:ind w:left="57" w:right="57"/>
              <w:rPr>
                <w:lang w:val="fr-FR"/>
              </w:rPr>
            </w:pPr>
          </w:p>
        </w:tc>
        <w:tc>
          <w:tcPr>
            <w:tcW w:w="1028" w:type="dxa"/>
            <w:tcBorders>
              <w:top w:val="single" w:sz="2" w:space="0" w:color="auto"/>
              <w:left w:val="single" w:sz="2" w:space="0" w:color="auto"/>
              <w:bottom w:val="single" w:sz="2" w:space="0" w:color="auto"/>
              <w:right w:val="single" w:sz="2" w:space="0" w:color="auto"/>
            </w:tcBorders>
          </w:tcPr>
          <w:p w14:paraId="242D6D61" w14:textId="77777777" w:rsidR="00BE2CA7" w:rsidRPr="00440C76" w:rsidRDefault="00BE2CA7" w:rsidP="002B0590">
            <w:pPr>
              <w:keepNext/>
              <w:spacing w:before="60" w:after="60"/>
              <w:ind w:left="57" w:right="57"/>
              <w:rPr>
                <w:lang w:val="fr-FR"/>
              </w:rPr>
            </w:pPr>
          </w:p>
        </w:tc>
        <w:tc>
          <w:tcPr>
            <w:tcW w:w="1027" w:type="dxa"/>
            <w:tcBorders>
              <w:top w:val="single" w:sz="2" w:space="0" w:color="auto"/>
              <w:left w:val="single" w:sz="2" w:space="0" w:color="auto"/>
              <w:bottom w:val="single" w:sz="2" w:space="0" w:color="auto"/>
              <w:right w:val="single" w:sz="2" w:space="0" w:color="auto"/>
            </w:tcBorders>
          </w:tcPr>
          <w:p w14:paraId="7DC9E67F" w14:textId="77777777" w:rsidR="00BE2CA7" w:rsidRPr="00440C76" w:rsidRDefault="00BE2CA7" w:rsidP="002B0590">
            <w:pPr>
              <w:keepNext/>
              <w:spacing w:before="60" w:after="60"/>
              <w:ind w:left="57" w:right="57"/>
              <w:rPr>
                <w:lang w:val="fr-FR"/>
              </w:rPr>
            </w:pPr>
          </w:p>
        </w:tc>
        <w:tc>
          <w:tcPr>
            <w:tcW w:w="1028" w:type="dxa"/>
            <w:tcBorders>
              <w:top w:val="single" w:sz="2" w:space="0" w:color="auto"/>
              <w:left w:val="single" w:sz="2" w:space="0" w:color="auto"/>
              <w:bottom w:val="single" w:sz="2" w:space="0" w:color="auto"/>
              <w:right w:val="single" w:sz="2" w:space="0" w:color="auto"/>
            </w:tcBorders>
          </w:tcPr>
          <w:p w14:paraId="459C822F" w14:textId="77777777" w:rsidR="00BE2CA7" w:rsidRPr="00440C76" w:rsidRDefault="00BE2CA7" w:rsidP="002B0590">
            <w:pPr>
              <w:keepNext/>
              <w:spacing w:before="60" w:after="60"/>
              <w:ind w:left="57" w:right="57"/>
              <w:rPr>
                <w:lang w:val="fr-FR"/>
              </w:rPr>
            </w:pPr>
            <w:r w:rsidRPr="00440C76">
              <w:rPr>
                <w:lang w:val="fr-FR"/>
              </w:rPr>
              <w:t>REJETÉ</w:t>
            </w:r>
          </w:p>
        </w:tc>
        <w:tc>
          <w:tcPr>
            <w:tcW w:w="1028" w:type="dxa"/>
            <w:tcBorders>
              <w:top w:val="single" w:sz="2" w:space="0" w:color="auto"/>
              <w:left w:val="single" w:sz="2" w:space="0" w:color="auto"/>
              <w:bottom w:val="single" w:sz="2" w:space="0" w:color="auto"/>
              <w:right w:val="single" w:sz="2" w:space="0" w:color="auto"/>
            </w:tcBorders>
          </w:tcPr>
          <w:p w14:paraId="203B1C38" w14:textId="77777777" w:rsidR="00BE2CA7" w:rsidRPr="00440C76" w:rsidRDefault="00BE2CA7" w:rsidP="002B0590">
            <w:pPr>
              <w:keepNext/>
              <w:spacing w:before="60" w:after="60"/>
              <w:ind w:left="57" w:right="57"/>
              <w:rPr>
                <w:lang w:val="fr-FR"/>
              </w:rPr>
            </w:pPr>
            <w:r w:rsidRPr="00440C76">
              <w:rPr>
                <w:lang w:val="fr-FR"/>
              </w:rPr>
              <w:t>REJETÉ</w:t>
            </w:r>
          </w:p>
        </w:tc>
        <w:tc>
          <w:tcPr>
            <w:tcW w:w="1028" w:type="dxa"/>
            <w:tcBorders>
              <w:top w:val="single" w:sz="2" w:space="0" w:color="auto"/>
              <w:left w:val="single" w:sz="2" w:space="0" w:color="auto"/>
              <w:bottom w:val="single" w:sz="2" w:space="0" w:color="auto"/>
              <w:right w:val="single" w:sz="2" w:space="0" w:color="auto"/>
            </w:tcBorders>
          </w:tcPr>
          <w:p w14:paraId="16B64D57" w14:textId="77777777" w:rsidR="00BE2CA7" w:rsidRPr="00440C76" w:rsidRDefault="00BE2CA7" w:rsidP="002B0590">
            <w:pPr>
              <w:keepNext/>
              <w:spacing w:before="60" w:after="60"/>
              <w:ind w:left="57" w:right="57"/>
              <w:rPr>
                <w:lang w:val="fr-FR"/>
              </w:rPr>
            </w:pPr>
            <w:r w:rsidRPr="00440C76">
              <w:rPr>
                <w:lang w:val="fr-FR"/>
              </w:rPr>
              <w:t>REJETÉ</w:t>
            </w:r>
          </w:p>
        </w:tc>
      </w:tr>
      <w:tr w:rsidR="00BE2CA7" w:rsidRPr="00440C76" w14:paraId="532A61E8" w14:textId="77777777" w:rsidTr="002B0590">
        <w:trPr>
          <w:trHeight w:val="20"/>
        </w:trPr>
        <w:tc>
          <w:tcPr>
            <w:tcW w:w="990" w:type="dxa"/>
            <w:vMerge/>
            <w:tcBorders>
              <w:top w:val="single" w:sz="2" w:space="0" w:color="auto"/>
              <w:left w:val="single" w:sz="2" w:space="0" w:color="auto"/>
              <w:bottom w:val="single" w:sz="2" w:space="0" w:color="auto"/>
              <w:right w:val="single" w:sz="2" w:space="0" w:color="auto"/>
            </w:tcBorders>
          </w:tcPr>
          <w:p w14:paraId="239E5EDF" w14:textId="77777777" w:rsidR="00BE2CA7" w:rsidRPr="00440C76" w:rsidRDefault="00BE2CA7" w:rsidP="002B0590">
            <w:pPr>
              <w:keepNext/>
              <w:spacing w:before="60" w:after="60"/>
              <w:ind w:left="57" w:right="57"/>
              <w:rPr>
                <w:lang w:val="fr-FR"/>
              </w:rPr>
            </w:pPr>
          </w:p>
        </w:tc>
        <w:tc>
          <w:tcPr>
            <w:tcW w:w="427" w:type="dxa"/>
            <w:tcBorders>
              <w:top w:val="single" w:sz="2" w:space="0" w:color="auto"/>
              <w:left w:val="single" w:sz="2" w:space="0" w:color="auto"/>
              <w:bottom w:val="single" w:sz="2" w:space="0" w:color="auto"/>
              <w:right w:val="single" w:sz="2" w:space="0" w:color="auto"/>
            </w:tcBorders>
          </w:tcPr>
          <w:p w14:paraId="0DAA6875" w14:textId="77777777" w:rsidR="00BE2CA7" w:rsidRPr="00440C76" w:rsidRDefault="00BE2CA7" w:rsidP="002B0590">
            <w:pPr>
              <w:keepNext/>
              <w:spacing w:before="60" w:after="60"/>
              <w:ind w:left="57" w:right="57"/>
              <w:rPr>
                <w:lang w:val="fr-FR"/>
              </w:rPr>
            </w:pPr>
            <w:r w:rsidRPr="00440C76">
              <w:rPr>
                <w:lang w:val="fr-FR"/>
              </w:rPr>
              <w:t>7</w:t>
            </w:r>
          </w:p>
        </w:tc>
        <w:tc>
          <w:tcPr>
            <w:tcW w:w="1027" w:type="dxa"/>
            <w:tcBorders>
              <w:top w:val="single" w:sz="2" w:space="0" w:color="auto"/>
              <w:left w:val="single" w:sz="2" w:space="0" w:color="auto"/>
              <w:bottom w:val="single" w:sz="2" w:space="0" w:color="auto"/>
              <w:right w:val="single" w:sz="2" w:space="0" w:color="auto"/>
            </w:tcBorders>
          </w:tcPr>
          <w:p w14:paraId="5D760301" w14:textId="77777777" w:rsidR="00BE2CA7" w:rsidRPr="00440C76" w:rsidRDefault="00BE2CA7" w:rsidP="002B0590">
            <w:pPr>
              <w:keepNext/>
              <w:spacing w:before="60" w:after="60"/>
              <w:ind w:left="57" w:right="57"/>
              <w:rPr>
                <w:lang w:val="fr-FR"/>
              </w:rPr>
            </w:pPr>
          </w:p>
        </w:tc>
        <w:tc>
          <w:tcPr>
            <w:tcW w:w="1028" w:type="dxa"/>
            <w:tcBorders>
              <w:top w:val="single" w:sz="2" w:space="0" w:color="auto"/>
              <w:left w:val="single" w:sz="2" w:space="0" w:color="auto"/>
              <w:bottom w:val="single" w:sz="2" w:space="0" w:color="auto"/>
              <w:right w:val="single" w:sz="2" w:space="0" w:color="auto"/>
            </w:tcBorders>
          </w:tcPr>
          <w:p w14:paraId="135E278A" w14:textId="77777777" w:rsidR="00BE2CA7" w:rsidRPr="00440C76" w:rsidRDefault="00BE2CA7" w:rsidP="002B0590">
            <w:pPr>
              <w:keepNext/>
              <w:spacing w:before="60" w:after="60"/>
              <w:ind w:left="57" w:right="57"/>
              <w:rPr>
                <w:lang w:val="fr-FR"/>
              </w:rPr>
            </w:pPr>
          </w:p>
        </w:tc>
        <w:tc>
          <w:tcPr>
            <w:tcW w:w="1028" w:type="dxa"/>
            <w:tcBorders>
              <w:top w:val="single" w:sz="2" w:space="0" w:color="auto"/>
              <w:left w:val="single" w:sz="2" w:space="0" w:color="auto"/>
              <w:bottom w:val="single" w:sz="2" w:space="0" w:color="auto"/>
              <w:right w:val="single" w:sz="2" w:space="0" w:color="auto"/>
            </w:tcBorders>
          </w:tcPr>
          <w:p w14:paraId="1E1F9B5F" w14:textId="77777777" w:rsidR="00BE2CA7" w:rsidRPr="00440C76" w:rsidRDefault="00BE2CA7" w:rsidP="002B0590">
            <w:pPr>
              <w:keepNext/>
              <w:spacing w:before="60" w:after="60"/>
              <w:ind w:left="57" w:right="57"/>
              <w:rPr>
                <w:lang w:val="fr-FR"/>
              </w:rPr>
            </w:pPr>
          </w:p>
        </w:tc>
        <w:tc>
          <w:tcPr>
            <w:tcW w:w="1028" w:type="dxa"/>
            <w:tcBorders>
              <w:top w:val="single" w:sz="2" w:space="0" w:color="auto"/>
              <w:left w:val="single" w:sz="2" w:space="0" w:color="auto"/>
              <w:bottom w:val="single" w:sz="2" w:space="0" w:color="auto"/>
              <w:right w:val="single" w:sz="2" w:space="0" w:color="auto"/>
            </w:tcBorders>
          </w:tcPr>
          <w:p w14:paraId="3D9854DE" w14:textId="77777777" w:rsidR="00BE2CA7" w:rsidRPr="00440C76" w:rsidRDefault="00BE2CA7" w:rsidP="002B0590">
            <w:pPr>
              <w:keepNext/>
              <w:spacing w:before="60" w:after="60"/>
              <w:ind w:left="57" w:right="57"/>
              <w:rPr>
                <w:lang w:val="fr-FR"/>
              </w:rPr>
            </w:pPr>
          </w:p>
        </w:tc>
        <w:tc>
          <w:tcPr>
            <w:tcW w:w="1027" w:type="dxa"/>
            <w:tcBorders>
              <w:top w:val="single" w:sz="2" w:space="0" w:color="auto"/>
              <w:left w:val="single" w:sz="2" w:space="0" w:color="auto"/>
              <w:bottom w:val="single" w:sz="2" w:space="0" w:color="auto"/>
              <w:right w:val="single" w:sz="2" w:space="0" w:color="auto"/>
            </w:tcBorders>
          </w:tcPr>
          <w:p w14:paraId="17FC9BD2" w14:textId="77777777" w:rsidR="00BE2CA7" w:rsidRPr="00440C76" w:rsidRDefault="00BE2CA7" w:rsidP="002B0590">
            <w:pPr>
              <w:keepNext/>
              <w:spacing w:before="60" w:after="60"/>
              <w:ind w:left="57" w:right="57"/>
              <w:rPr>
                <w:lang w:val="fr-FR"/>
              </w:rPr>
            </w:pPr>
            <w:r w:rsidRPr="00440C76">
              <w:rPr>
                <w:lang w:val="fr-FR"/>
              </w:rPr>
              <w:t>REJETÉ</w:t>
            </w:r>
          </w:p>
        </w:tc>
        <w:tc>
          <w:tcPr>
            <w:tcW w:w="1028" w:type="dxa"/>
            <w:tcBorders>
              <w:top w:val="single" w:sz="2" w:space="0" w:color="auto"/>
              <w:left w:val="single" w:sz="2" w:space="0" w:color="auto"/>
              <w:bottom w:val="single" w:sz="2" w:space="0" w:color="auto"/>
              <w:right w:val="single" w:sz="2" w:space="0" w:color="auto"/>
            </w:tcBorders>
          </w:tcPr>
          <w:p w14:paraId="50F29297" w14:textId="77777777" w:rsidR="00BE2CA7" w:rsidRPr="00440C76" w:rsidRDefault="00BE2CA7" w:rsidP="002B0590">
            <w:pPr>
              <w:keepNext/>
              <w:spacing w:before="60" w:after="60"/>
              <w:ind w:left="57" w:right="57"/>
              <w:rPr>
                <w:lang w:val="fr-FR"/>
              </w:rPr>
            </w:pPr>
            <w:r w:rsidRPr="00440C76">
              <w:rPr>
                <w:lang w:val="fr-FR"/>
              </w:rPr>
              <w:t>REJETÉ</w:t>
            </w:r>
          </w:p>
        </w:tc>
        <w:tc>
          <w:tcPr>
            <w:tcW w:w="1028" w:type="dxa"/>
            <w:tcBorders>
              <w:top w:val="single" w:sz="2" w:space="0" w:color="auto"/>
              <w:left w:val="single" w:sz="2" w:space="0" w:color="auto"/>
              <w:bottom w:val="single" w:sz="2" w:space="0" w:color="auto"/>
              <w:right w:val="single" w:sz="2" w:space="0" w:color="auto"/>
            </w:tcBorders>
          </w:tcPr>
          <w:p w14:paraId="04EE99C1" w14:textId="77777777" w:rsidR="00BE2CA7" w:rsidRPr="00440C76" w:rsidRDefault="00BE2CA7" w:rsidP="002B0590">
            <w:pPr>
              <w:keepNext/>
              <w:spacing w:before="60" w:after="60"/>
              <w:ind w:left="57" w:right="57"/>
              <w:rPr>
                <w:lang w:val="fr-FR"/>
              </w:rPr>
            </w:pPr>
            <w:r w:rsidRPr="00440C76">
              <w:rPr>
                <w:lang w:val="fr-FR"/>
              </w:rPr>
              <w:t>REJETÉ</w:t>
            </w:r>
          </w:p>
        </w:tc>
        <w:tc>
          <w:tcPr>
            <w:tcW w:w="1028" w:type="dxa"/>
            <w:tcBorders>
              <w:top w:val="single" w:sz="2" w:space="0" w:color="auto"/>
              <w:left w:val="single" w:sz="2" w:space="0" w:color="auto"/>
              <w:bottom w:val="single" w:sz="2" w:space="0" w:color="auto"/>
              <w:right w:val="single" w:sz="2" w:space="0" w:color="auto"/>
            </w:tcBorders>
          </w:tcPr>
          <w:p w14:paraId="508D2DFF" w14:textId="77777777" w:rsidR="00BE2CA7" w:rsidRPr="00440C76" w:rsidRDefault="00BE2CA7" w:rsidP="002B0590">
            <w:pPr>
              <w:keepNext/>
              <w:spacing w:before="60" w:after="60"/>
              <w:ind w:left="57" w:right="57"/>
              <w:rPr>
                <w:lang w:val="fr-FR"/>
              </w:rPr>
            </w:pPr>
            <w:r w:rsidRPr="00440C76">
              <w:rPr>
                <w:lang w:val="fr-FR"/>
              </w:rPr>
              <w:t>REJETÉ</w:t>
            </w:r>
          </w:p>
        </w:tc>
      </w:tr>
      <w:tr w:rsidR="00BE2CA7" w:rsidRPr="00440C76" w14:paraId="496BAB40" w14:textId="77777777" w:rsidTr="002B0590">
        <w:trPr>
          <w:trHeight w:val="20"/>
        </w:trPr>
        <w:tc>
          <w:tcPr>
            <w:tcW w:w="990" w:type="dxa"/>
            <w:vMerge/>
            <w:tcBorders>
              <w:top w:val="single" w:sz="2" w:space="0" w:color="auto"/>
              <w:left w:val="single" w:sz="2" w:space="0" w:color="auto"/>
              <w:bottom w:val="single" w:sz="2" w:space="0" w:color="auto"/>
              <w:right w:val="single" w:sz="2" w:space="0" w:color="auto"/>
            </w:tcBorders>
          </w:tcPr>
          <w:p w14:paraId="1BFAEC0E" w14:textId="77777777" w:rsidR="00BE2CA7" w:rsidRPr="00440C76" w:rsidRDefault="00BE2CA7" w:rsidP="002B0590">
            <w:pPr>
              <w:keepNext/>
              <w:spacing w:before="60" w:after="60"/>
              <w:ind w:left="57" w:right="57"/>
              <w:rPr>
                <w:lang w:val="fr-FR"/>
              </w:rPr>
            </w:pPr>
          </w:p>
        </w:tc>
        <w:tc>
          <w:tcPr>
            <w:tcW w:w="427" w:type="dxa"/>
            <w:tcBorders>
              <w:top w:val="single" w:sz="2" w:space="0" w:color="auto"/>
              <w:left w:val="single" w:sz="2" w:space="0" w:color="auto"/>
              <w:bottom w:val="single" w:sz="2" w:space="0" w:color="auto"/>
              <w:right w:val="single" w:sz="2" w:space="0" w:color="auto"/>
            </w:tcBorders>
          </w:tcPr>
          <w:p w14:paraId="043EA8B6" w14:textId="77777777" w:rsidR="00BE2CA7" w:rsidRPr="00440C76" w:rsidRDefault="00BE2CA7" w:rsidP="002B0590">
            <w:pPr>
              <w:keepNext/>
              <w:spacing w:before="60" w:after="60"/>
              <w:ind w:left="57" w:right="57"/>
              <w:rPr>
                <w:lang w:val="fr-FR"/>
              </w:rPr>
            </w:pPr>
            <w:r w:rsidRPr="00440C76">
              <w:rPr>
                <w:lang w:val="fr-FR"/>
              </w:rPr>
              <w:t>6</w:t>
            </w:r>
          </w:p>
        </w:tc>
        <w:tc>
          <w:tcPr>
            <w:tcW w:w="1027" w:type="dxa"/>
            <w:tcBorders>
              <w:top w:val="single" w:sz="2" w:space="0" w:color="auto"/>
              <w:left w:val="single" w:sz="2" w:space="0" w:color="auto"/>
              <w:bottom w:val="single" w:sz="2" w:space="0" w:color="auto"/>
              <w:right w:val="single" w:sz="2" w:space="0" w:color="auto"/>
            </w:tcBorders>
          </w:tcPr>
          <w:p w14:paraId="72DAF680" w14:textId="77777777" w:rsidR="00BE2CA7" w:rsidRPr="00440C76" w:rsidRDefault="00BE2CA7" w:rsidP="002B0590">
            <w:pPr>
              <w:keepNext/>
              <w:spacing w:before="60" w:after="60"/>
              <w:ind w:left="57" w:right="57"/>
              <w:rPr>
                <w:lang w:val="fr-FR"/>
              </w:rPr>
            </w:pPr>
          </w:p>
        </w:tc>
        <w:tc>
          <w:tcPr>
            <w:tcW w:w="1028" w:type="dxa"/>
            <w:tcBorders>
              <w:top w:val="single" w:sz="2" w:space="0" w:color="auto"/>
              <w:left w:val="single" w:sz="2" w:space="0" w:color="auto"/>
              <w:bottom w:val="single" w:sz="2" w:space="0" w:color="auto"/>
              <w:right w:val="single" w:sz="2" w:space="0" w:color="auto"/>
            </w:tcBorders>
          </w:tcPr>
          <w:p w14:paraId="552F8908" w14:textId="77777777" w:rsidR="00BE2CA7" w:rsidRPr="00440C76" w:rsidRDefault="00BE2CA7" w:rsidP="002B0590">
            <w:pPr>
              <w:keepNext/>
              <w:spacing w:before="60" w:after="60"/>
              <w:ind w:left="57" w:right="57"/>
              <w:rPr>
                <w:lang w:val="fr-FR"/>
              </w:rPr>
            </w:pPr>
          </w:p>
        </w:tc>
        <w:tc>
          <w:tcPr>
            <w:tcW w:w="1028" w:type="dxa"/>
            <w:tcBorders>
              <w:top w:val="single" w:sz="2" w:space="0" w:color="auto"/>
              <w:left w:val="single" w:sz="2" w:space="0" w:color="auto"/>
              <w:bottom w:val="single" w:sz="2" w:space="0" w:color="auto"/>
              <w:right w:val="single" w:sz="2" w:space="0" w:color="auto"/>
            </w:tcBorders>
          </w:tcPr>
          <w:p w14:paraId="1BA8CD8D" w14:textId="77777777" w:rsidR="00BE2CA7" w:rsidRPr="00440C76" w:rsidRDefault="00BE2CA7" w:rsidP="002B0590">
            <w:pPr>
              <w:keepNext/>
              <w:spacing w:before="60" w:after="60"/>
              <w:ind w:left="57" w:right="57"/>
              <w:rPr>
                <w:lang w:val="fr-FR"/>
              </w:rPr>
            </w:pPr>
          </w:p>
        </w:tc>
        <w:tc>
          <w:tcPr>
            <w:tcW w:w="1028" w:type="dxa"/>
            <w:tcBorders>
              <w:top w:val="single" w:sz="2" w:space="0" w:color="auto"/>
              <w:left w:val="single" w:sz="2" w:space="0" w:color="auto"/>
              <w:bottom w:val="single" w:sz="2" w:space="0" w:color="auto"/>
              <w:right w:val="single" w:sz="2" w:space="0" w:color="auto"/>
            </w:tcBorders>
          </w:tcPr>
          <w:p w14:paraId="35E2654D" w14:textId="77777777" w:rsidR="00BE2CA7" w:rsidRPr="00440C76" w:rsidRDefault="00BE2CA7" w:rsidP="002B0590">
            <w:pPr>
              <w:keepNext/>
              <w:spacing w:before="60" w:after="60"/>
              <w:ind w:left="57" w:right="57"/>
              <w:rPr>
                <w:lang w:val="fr-FR"/>
              </w:rPr>
            </w:pPr>
            <w:r w:rsidRPr="00440C76">
              <w:rPr>
                <w:lang w:val="fr-FR"/>
              </w:rPr>
              <w:t>REJETÉ</w:t>
            </w:r>
          </w:p>
        </w:tc>
        <w:tc>
          <w:tcPr>
            <w:tcW w:w="1027" w:type="dxa"/>
            <w:tcBorders>
              <w:top w:val="single" w:sz="2" w:space="0" w:color="auto"/>
              <w:left w:val="single" w:sz="2" w:space="0" w:color="auto"/>
              <w:bottom w:val="single" w:sz="2" w:space="0" w:color="auto"/>
              <w:right w:val="single" w:sz="2" w:space="0" w:color="auto"/>
            </w:tcBorders>
          </w:tcPr>
          <w:p w14:paraId="495514F6" w14:textId="77777777" w:rsidR="00BE2CA7" w:rsidRPr="00440C76" w:rsidRDefault="00BE2CA7" w:rsidP="002B0590">
            <w:pPr>
              <w:keepNext/>
              <w:spacing w:before="60" w:after="60"/>
              <w:ind w:left="57" w:right="57"/>
              <w:rPr>
                <w:lang w:val="fr-FR"/>
              </w:rPr>
            </w:pPr>
            <w:r w:rsidRPr="00440C76">
              <w:rPr>
                <w:lang w:val="fr-FR"/>
              </w:rPr>
              <w:t>REJETÉ</w:t>
            </w:r>
          </w:p>
        </w:tc>
        <w:tc>
          <w:tcPr>
            <w:tcW w:w="1028" w:type="dxa"/>
            <w:tcBorders>
              <w:top w:val="single" w:sz="2" w:space="0" w:color="auto"/>
              <w:left w:val="single" w:sz="2" w:space="0" w:color="auto"/>
              <w:bottom w:val="single" w:sz="2" w:space="0" w:color="auto"/>
              <w:right w:val="single" w:sz="2" w:space="0" w:color="auto"/>
            </w:tcBorders>
          </w:tcPr>
          <w:p w14:paraId="601200F9" w14:textId="77777777" w:rsidR="00BE2CA7" w:rsidRPr="00440C76" w:rsidRDefault="00BE2CA7" w:rsidP="002B0590">
            <w:pPr>
              <w:keepNext/>
              <w:spacing w:before="60" w:after="60"/>
              <w:ind w:left="57" w:right="57"/>
              <w:rPr>
                <w:lang w:val="fr-FR"/>
              </w:rPr>
            </w:pPr>
            <w:r w:rsidRPr="00440C76">
              <w:rPr>
                <w:lang w:val="fr-FR"/>
              </w:rPr>
              <w:t>REJETÉ</w:t>
            </w:r>
          </w:p>
        </w:tc>
        <w:tc>
          <w:tcPr>
            <w:tcW w:w="1028" w:type="dxa"/>
            <w:tcBorders>
              <w:top w:val="single" w:sz="2" w:space="0" w:color="auto"/>
              <w:left w:val="single" w:sz="2" w:space="0" w:color="auto"/>
              <w:bottom w:val="single" w:sz="2" w:space="0" w:color="auto"/>
              <w:right w:val="single" w:sz="2" w:space="0" w:color="auto"/>
            </w:tcBorders>
          </w:tcPr>
          <w:p w14:paraId="2DBC47F8" w14:textId="77777777" w:rsidR="00BE2CA7" w:rsidRPr="00440C76" w:rsidRDefault="00BE2CA7" w:rsidP="002B0590">
            <w:pPr>
              <w:keepNext/>
              <w:spacing w:before="60" w:after="60"/>
              <w:ind w:left="57" w:right="57"/>
              <w:rPr>
                <w:lang w:val="fr-FR"/>
              </w:rPr>
            </w:pPr>
            <w:r w:rsidRPr="00440C76">
              <w:rPr>
                <w:lang w:val="fr-FR"/>
              </w:rPr>
              <w:t>REJETÉ</w:t>
            </w:r>
          </w:p>
        </w:tc>
        <w:tc>
          <w:tcPr>
            <w:tcW w:w="1028" w:type="dxa"/>
            <w:tcBorders>
              <w:top w:val="single" w:sz="2" w:space="0" w:color="auto"/>
              <w:left w:val="single" w:sz="2" w:space="0" w:color="auto"/>
              <w:bottom w:val="single" w:sz="2" w:space="0" w:color="auto"/>
              <w:right w:val="single" w:sz="2" w:space="0" w:color="auto"/>
            </w:tcBorders>
          </w:tcPr>
          <w:p w14:paraId="2B21C412" w14:textId="77777777" w:rsidR="00BE2CA7" w:rsidRPr="00440C76" w:rsidRDefault="00BE2CA7" w:rsidP="002B0590">
            <w:pPr>
              <w:keepNext/>
              <w:spacing w:before="60" w:after="60"/>
              <w:ind w:left="57" w:right="57"/>
              <w:rPr>
                <w:lang w:val="fr-FR"/>
              </w:rPr>
            </w:pPr>
            <w:r w:rsidRPr="00440C76">
              <w:rPr>
                <w:lang w:val="fr-FR"/>
              </w:rPr>
              <w:t>REJETÉ</w:t>
            </w:r>
          </w:p>
        </w:tc>
      </w:tr>
      <w:tr w:rsidR="00BE2CA7" w:rsidRPr="00440C76" w14:paraId="56490DCE" w14:textId="77777777" w:rsidTr="002B0590">
        <w:trPr>
          <w:trHeight w:val="20"/>
        </w:trPr>
        <w:tc>
          <w:tcPr>
            <w:tcW w:w="990" w:type="dxa"/>
            <w:vMerge/>
            <w:tcBorders>
              <w:top w:val="single" w:sz="2" w:space="0" w:color="auto"/>
              <w:left w:val="single" w:sz="2" w:space="0" w:color="auto"/>
              <w:bottom w:val="single" w:sz="2" w:space="0" w:color="auto"/>
              <w:right w:val="single" w:sz="2" w:space="0" w:color="auto"/>
            </w:tcBorders>
          </w:tcPr>
          <w:p w14:paraId="42957F61" w14:textId="77777777" w:rsidR="00BE2CA7" w:rsidRPr="00440C76" w:rsidRDefault="00BE2CA7" w:rsidP="002B0590">
            <w:pPr>
              <w:keepNext/>
              <w:spacing w:before="60" w:after="60"/>
              <w:ind w:left="57" w:right="57"/>
              <w:rPr>
                <w:lang w:val="fr-FR"/>
              </w:rPr>
            </w:pPr>
          </w:p>
        </w:tc>
        <w:tc>
          <w:tcPr>
            <w:tcW w:w="427" w:type="dxa"/>
            <w:tcBorders>
              <w:top w:val="single" w:sz="2" w:space="0" w:color="auto"/>
              <w:left w:val="single" w:sz="2" w:space="0" w:color="auto"/>
              <w:bottom w:val="single" w:sz="2" w:space="0" w:color="auto"/>
              <w:right w:val="single" w:sz="2" w:space="0" w:color="auto"/>
            </w:tcBorders>
          </w:tcPr>
          <w:p w14:paraId="7C4490DD" w14:textId="77777777" w:rsidR="00BE2CA7" w:rsidRPr="00440C76" w:rsidRDefault="00BE2CA7" w:rsidP="002B0590">
            <w:pPr>
              <w:keepNext/>
              <w:spacing w:before="60" w:after="60"/>
              <w:ind w:left="57" w:right="57"/>
              <w:rPr>
                <w:lang w:val="fr-FR"/>
              </w:rPr>
            </w:pPr>
            <w:r w:rsidRPr="00440C76">
              <w:rPr>
                <w:lang w:val="fr-FR"/>
              </w:rPr>
              <w:t>5</w:t>
            </w:r>
          </w:p>
        </w:tc>
        <w:tc>
          <w:tcPr>
            <w:tcW w:w="1027" w:type="dxa"/>
            <w:tcBorders>
              <w:top w:val="single" w:sz="2" w:space="0" w:color="auto"/>
              <w:left w:val="single" w:sz="2" w:space="0" w:color="auto"/>
              <w:bottom w:val="single" w:sz="2" w:space="0" w:color="auto"/>
              <w:right w:val="single" w:sz="2" w:space="0" w:color="auto"/>
            </w:tcBorders>
          </w:tcPr>
          <w:p w14:paraId="6D766C50" w14:textId="77777777" w:rsidR="00BE2CA7" w:rsidRPr="00440C76" w:rsidRDefault="00BE2CA7" w:rsidP="002B0590">
            <w:pPr>
              <w:keepNext/>
              <w:spacing w:before="60" w:after="60"/>
              <w:ind w:left="57" w:right="57"/>
              <w:rPr>
                <w:lang w:val="fr-FR"/>
              </w:rPr>
            </w:pPr>
          </w:p>
        </w:tc>
        <w:tc>
          <w:tcPr>
            <w:tcW w:w="1028" w:type="dxa"/>
            <w:tcBorders>
              <w:top w:val="single" w:sz="2" w:space="0" w:color="auto"/>
              <w:left w:val="single" w:sz="2" w:space="0" w:color="auto"/>
              <w:bottom w:val="single" w:sz="2" w:space="0" w:color="auto"/>
              <w:right w:val="single" w:sz="2" w:space="0" w:color="auto"/>
            </w:tcBorders>
          </w:tcPr>
          <w:p w14:paraId="732626FB" w14:textId="77777777" w:rsidR="00BE2CA7" w:rsidRPr="00440C76" w:rsidRDefault="00BE2CA7" w:rsidP="002B0590">
            <w:pPr>
              <w:keepNext/>
              <w:spacing w:before="60" w:after="60"/>
              <w:ind w:left="57" w:right="57"/>
              <w:rPr>
                <w:lang w:val="fr-FR"/>
              </w:rPr>
            </w:pPr>
          </w:p>
        </w:tc>
        <w:tc>
          <w:tcPr>
            <w:tcW w:w="1028" w:type="dxa"/>
            <w:tcBorders>
              <w:top w:val="single" w:sz="2" w:space="0" w:color="auto"/>
              <w:left w:val="single" w:sz="2" w:space="0" w:color="auto"/>
              <w:bottom w:val="single" w:sz="2" w:space="0" w:color="auto"/>
              <w:right w:val="single" w:sz="2" w:space="0" w:color="auto"/>
            </w:tcBorders>
          </w:tcPr>
          <w:p w14:paraId="19B25702" w14:textId="77777777" w:rsidR="00BE2CA7" w:rsidRPr="00440C76" w:rsidRDefault="00BE2CA7" w:rsidP="002B0590">
            <w:pPr>
              <w:keepNext/>
              <w:spacing w:before="60" w:after="60"/>
              <w:ind w:left="57" w:right="57"/>
              <w:rPr>
                <w:lang w:val="fr-FR"/>
              </w:rPr>
            </w:pPr>
            <w:r w:rsidRPr="00440C76">
              <w:rPr>
                <w:lang w:val="fr-FR"/>
              </w:rPr>
              <w:t>REJETÉ</w:t>
            </w:r>
          </w:p>
        </w:tc>
        <w:tc>
          <w:tcPr>
            <w:tcW w:w="1028" w:type="dxa"/>
            <w:tcBorders>
              <w:top w:val="single" w:sz="2" w:space="0" w:color="auto"/>
              <w:left w:val="single" w:sz="2" w:space="0" w:color="auto"/>
              <w:bottom w:val="single" w:sz="2" w:space="0" w:color="auto"/>
              <w:right w:val="single" w:sz="2" w:space="0" w:color="auto"/>
            </w:tcBorders>
          </w:tcPr>
          <w:p w14:paraId="69C0A9E3" w14:textId="77777777" w:rsidR="00BE2CA7" w:rsidRPr="00440C76" w:rsidRDefault="00BE2CA7" w:rsidP="002B0590">
            <w:pPr>
              <w:keepNext/>
              <w:spacing w:before="60" w:after="60"/>
              <w:ind w:left="57" w:right="57"/>
              <w:rPr>
                <w:lang w:val="fr-FR"/>
              </w:rPr>
            </w:pPr>
            <w:r w:rsidRPr="00440C76">
              <w:rPr>
                <w:lang w:val="fr-FR"/>
              </w:rPr>
              <w:t>REJETÉ</w:t>
            </w:r>
          </w:p>
        </w:tc>
        <w:tc>
          <w:tcPr>
            <w:tcW w:w="1027" w:type="dxa"/>
            <w:tcBorders>
              <w:top w:val="single" w:sz="2" w:space="0" w:color="auto"/>
              <w:left w:val="single" w:sz="2" w:space="0" w:color="auto"/>
              <w:bottom w:val="single" w:sz="2" w:space="0" w:color="auto"/>
              <w:right w:val="single" w:sz="2" w:space="0" w:color="auto"/>
            </w:tcBorders>
          </w:tcPr>
          <w:p w14:paraId="1F425238" w14:textId="77777777" w:rsidR="00BE2CA7" w:rsidRPr="00440C76" w:rsidRDefault="00BE2CA7" w:rsidP="002B0590">
            <w:pPr>
              <w:keepNext/>
              <w:spacing w:before="60" w:after="60"/>
              <w:ind w:left="57" w:right="57"/>
              <w:rPr>
                <w:lang w:val="fr-FR"/>
              </w:rPr>
            </w:pPr>
            <w:r w:rsidRPr="00440C76">
              <w:rPr>
                <w:lang w:val="fr-FR"/>
              </w:rPr>
              <w:t>REJETÉ</w:t>
            </w:r>
          </w:p>
        </w:tc>
        <w:tc>
          <w:tcPr>
            <w:tcW w:w="1028" w:type="dxa"/>
            <w:tcBorders>
              <w:top w:val="single" w:sz="2" w:space="0" w:color="auto"/>
              <w:left w:val="single" w:sz="2" w:space="0" w:color="auto"/>
              <w:bottom w:val="single" w:sz="2" w:space="0" w:color="auto"/>
              <w:right w:val="single" w:sz="2" w:space="0" w:color="auto"/>
            </w:tcBorders>
          </w:tcPr>
          <w:p w14:paraId="4E58DF45" w14:textId="77777777" w:rsidR="00BE2CA7" w:rsidRPr="00440C76" w:rsidRDefault="00BE2CA7" w:rsidP="002B0590">
            <w:pPr>
              <w:keepNext/>
              <w:spacing w:before="60" w:after="60"/>
              <w:ind w:left="57" w:right="57"/>
              <w:rPr>
                <w:lang w:val="fr-FR"/>
              </w:rPr>
            </w:pPr>
            <w:r w:rsidRPr="00440C76">
              <w:rPr>
                <w:lang w:val="fr-FR"/>
              </w:rPr>
              <w:t>IND</w:t>
            </w:r>
          </w:p>
        </w:tc>
        <w:tc>
          <w:tcPr>
            <w:tcW w:w="1028" w:type="dxa"/>
            <w:tcBorders>
              <w:top w:val="single" w:sz="2" w:space="0" w:color="auto"/>
              <w:left w:val="single" w:sz="2" w:space="0" w:color="auto"/>
              <w:bottom w:val="single" w:sz="2" w:space="0" w:color="auto"/>
              <w:right w:val="single" w:sz="2" w:space="0" w:color="auto"/>
            </w:tcBorders>
          </w:tcPr>
          <w:p w14:paraId="427A4B5C" w14:textId="77777777" w:rsidR="00BE2CA7" w:rsidRPr="00440C76" w:rsidRDefault="00BE2CA7" w:rsidP="002B0590">
            <w:pPr>
              <w:keepNext/>
              <w:spacing w:before="60" w:after="60"/>
              <w:ind w:left="57" w:right="57"/>
              <w:rPr>
                <w:lang w:val="fr-FR"/>
              </w:rPr>
            </w:pPr>
            <w:r w:rsidRPr="00440C76">
              <w:rPr>
                <w:lang w:val="fr-FR"/>
              </w:rPr>
              <w:t>IND</w:t>
            </w:r>
          </w:p>
        </w:tc>
        <w:tc>
          <w:tcPr>
            <w:tcW w:w="1028" w:type="dxa"/>
            <w:tcBorders>
              <w:top w:val="single" w:sz="2" w:space="0" w:color="auto"/>
              <w:left w:val="single" w:sz="2" w:space="0" w:color="auto"/>
              <w:bottom w:val="single" w:sz="2" w:space="0" w:color="auto"/>
              <w:right w:val="single" w:sz="2" w:space="0" w:color="auto"/>
            </w:tcBorders>
          </w:tcPr>
          <w:p w14:paraId="68A9D479" w14:textId="77777777" w:rsidR="00BE2CA7" w:rsidRPr="00440C76" w:rsidRDefault="00BE2CA7" w:rsidP="002B0590">
            <w:pPr>
              <w:keepNext/>
              <w:spacing w:before="60" w:after="60"/>
              <w:ind w:left="57" w:right="57"/>
              <w:rPr>
                <w:lang w:val="fr-FR"/>
              </w:rPr>
            </w:pPr>
            <w:r w:rsidRPr="00440C76">
              <w:rPr>
                <w:lang w:val="fr-FR"/>
              </w:rPr>
              <w:t>ACCEPTÉ</w:t>
            </w:r>
          </w:p>
        </w:tc>
      </w:tr>
      <w:tr w:rsidR="00BE2CA7" w:rsidRPr="00440C76" w14:paraId="4CB8562A" w14:textId="77777777" w:rsidTr="002B0590">
        <w:trPr>
          <w:trHeight w:val="20"/>
        </w:trPr>
        <w:tc>
          <w:tcPr>
            <w:tcW w:w="990" w:type="dxa"/>
            <w:vMerge/>
            <w:tcBorders>
              <w:top w:val="single" w:sz="2" w:space="0" w:color="auto"/>
              <w:left w:val="single" w:sz="2" w:space="0" w:color="auto"/>
              <w:bottom w:val="single" w:sz="2" w:space="0" w:color="auto"/>
              <w:right w:val="single" w:sz="2" w:space="0" w:color="auto"/>
            </w:tcBorders>
          </w:tcPr>
          <w:p w14:paraId="4BA38E99" w14:textId="77777777" w:rsidR="00BE2CA7" w:rsidRPr="00440C76" w:rsidRDefault="00BE2CA7" w:rsidP="002B0590">
            <w:pPr>
              <w:keepNext/>
              <w:spacing w:before="60" w:after="60"/>
              <w:ind w:left="57" w:right="57"/>
              <w:rPr>
                <w:lang w:val="fr-FR"/>
              </w:rPr>
            </w:pPr>
          </w:p>
        </w:tc>
        <w:tc>
          <w:tcPr>
            <w:tcW w:w="427" w:type="dxa"/>
            <w:tcBorders>
              <w:top w:val="single" w:sz="2" w:space="0" w:color="auto"/>
              <w:left w:val="single" w:sz="2" w:space="0" w:color="auto"/>
              <w:bottom w:val="single" w:sz="2" w:space="0" w:color="auto"/>
              <w:right w:val="single" w:sz="2" w:space="0" w:color="auto"/>
            </w:tcBorders>
          </w:tcPr>
          <w:p w14:paraId="5CA25999" w14:textId="77777777" w:rsidR="00BE2CA7" w:rsidRPr="00440C76" w:rsidRDefault="00BE2CA7" w:rsidP="002B0590">
            <w:pPr>
              <w:keepNext/>
              <w:spacing w:before="60" w:after="60"/>
              <w:ind w:left="57" w:right="57"/>
              <w:rPr>
                <w:lang w:val="fr-FR"/>
              </w:rPr>
            </w:pPr>
            <w:r w:rsidRPr="00440C76">
              <w:rPr>
                <w:lang w:val="fr-FR"/>
              </w:rPr>
              <w:t>4</w:t>
            </w:r>
          </w:p>
        </w:tc>
        <w:tc>
          <w:tcPr>
            <w:tcW w:w="1027" w:type="dxa"/>
            <w:tcBorders>
              <w:top w:val="single" w:sz="2" w:space="0" w:color="auto"/>
              <w:left w:val="single" w:sz="2" w:space="0" w:color="auto"/>
              <w:bottom w:val="single" w:sz="2" w:space="0" w:color="auto"/>
              <w:right w:val="single" w:sz="2" w:space="0" w:color="auto"/>
            </w:tcBorders>
          </w:tcPr>
          <w:p w14:paraId="5B543080" w14:textId="77777777" w:rsidR="00BE2CA7" w:rsidRPr="00440C76" w:rsidRDefault="00BE2CA7" w:rsidP="002B0590">
            <w:pPr>
              <w:keepNext/>
              <w:spacing w:before="60" w:after="60"/>
              <w:ind w:left="57" w:right="57"/>
              <w:rPr>
                <w:lang w:val="fr-FR"/>
              </w:rPr>
            </w:pPr>
          </w:p>
        </w:tc>
        <w:tc>
          <w:tcPr>
            <w:tcW w:w="1028" w:type="dxa"/>
            <w:tcBorders>
              <w:top w:val="single" w:sz="2" w:space="0" w:color="auto"/>
              <w:left w:val="single" w:sz="2" w:space="0" w:color="auto"/>
              <w:bottom w:val="single" w:sz="2" w:space="0" w:color="auto"/>
              <w:right w:val="single" w:sz="2" w:space="0" w:color="auto"/>
            </w:tcBorders>
          </w:tcPr>
          <w:p w14:paraId="47D58A3F" w14:textId="77777777" w:rsidR="00BE2CA7" w:rsidRPr="00440C76" w:rsidRDefault="00BE2CA7" w:rsidP="002B0590">
            <w:pPr>
              <w:keepNext/>
              <w:spacing w:before="60" w:after="60"/>
              <w:ind w:left="57" w:right="57"/>
              <w:rPr>
                <w:lang w:val="fr-FR"/>
              </w:rPr>
            </w:pPr>
            <w:r w:rsidRPr="00440C76">
              <w:rPr>
                <w:lang w:val="fr-FR"/>
              </w:rPr>
              <w:t>REJETÉ</w:t>
            </w:r>
          </w:p>
        </w:tc>
        <w:tc>
          <w:tcPr>
            <w:tcW w:w="1028" w:type="dxa"/>
            <w:tcBorders>
              <w:top w:val="single" w:sz="2" w:space="0" w:color="auto"/>
              <w:left w:val="single" w:sz="2" w:space="0" w:color="auto"/>
              <w:bottom w:val="single" w:sz="2" w:space="0" w:color="auto"/>
              <w:right w:val="single" w:sz="2" w:space="0" w:color="auto"/>
            </w:tcBorders>
          </w:tcPr>
          <w:p w14:paraId="6625745E" w14:textId="77777777" w:rsidR="00BE2CA7" w:rsidRPr="00440C76" w:rsidRDefault="00BE2CA7" w:rsidP="002B0590">
            <w:pPr>
              <w:keepNext/>
              <w:spacing w:before="60" w:after="60"/>
              <w:ind w:left="57" w:right="57"/>
              <w:rPr>
                <w:lang w:val="fr-FR"/>
              </w:rPr>
            </w:pPr>
            <w:r w:rsidRPr="00440C76">
              <w:rPr>
                <w:lang w:val="fr-FR"/>
              </w:rPr>
              <w:t>REJETÉ</w:t>
            </w:r>
          </w:p>
        </w:tc>
        <w:tc>
          <w:tcPr>
            <w:tcW w:w="1028" w:type="dxa"/>
            <w:tcBorders>
              <w:top w:val="single" w:sz="2" w:space="0" w:color="auto"/>
              <w:left w:val="single" w:sz="2" w:space="0" w:color="auto"/>
              <w:bottom w:val="single" w:sz="2" w:space="0" w:color="auto"/>
              <w:right w:val="single" w:sz="2" w:space="0" w:color="auto"/>
            </w:tcBorders>
          </w:tcPr>
          <w:p w14:paraId="45EE200D" w14:textId="77777777" w:rsidR="00BE2CA7" w:rsidRPr="00440C76" w:rsidRDefault="00BE2CA7" w:rsidP="002B0590">
            <w:pPr>
              <w:keepNext/>
              <w:spacing w:before="60" w:after="60"/>
              <w:ind w:left="57" w:right="57"/>
              <w:rPr>
                <w:lang w:val="fr-FR"/>
              </w:rPr>
            </w:pPr>
            <w:r w:rsidRPr="00440C76">
              <w:rPr>
                <w:lang w:val="fr-FR"/>
              </w:rPr>
              <w:t>IND</w:t>
            </w:r>
          </w:p>
        </w:tc>
        <w:tc>
          <w:tcPr>
            <w:tcW w:w="1027" w:type="dxa"/>
            <w:tcBorders>
              <w:top w:val="single" w:sz="2" w:space="0" w:color="auto"/>
              <w:left w:val="single" w:sz="2" w:space="0" w:color="auto"/>
              <w:bottom w:val="single" w:sz="2" w:space="0" w:color="auto"/>
              <w:right w:val="single" w:sz="2" w:space="0" w:color="auto"/>
            </w:tcBorders>
          </w:tcPr>
          <w:p w14:paraId="5B506DC2" w14:textId="77777777" w:rsidR="00BE2CA7" w:rsidRPr="00440C76" w:rsidRDefault="00BE2CA7" w:rsidP="002B0590">
            <w:pPr>
              <w:keepNext/>
              <w:spacing w:before="60" w:after="60"/>
              <w:ind w:left="57" w:right="57"/>
              <w:rPr>
                <w:lang w:val="fr-FR"/>
              </w:rPr>
            </w:pPr>
            <w:r w:rsidRPr="00440C76">
              <w:rPr>
                <w:lang w:val="fr-FR"/>
              </w:rPr>
              <w:t>IND</w:t>
            </w:r>
          </w:p>
        </w:tc>
        <w:tc>
          <w:tcPr>
            <w:tcW w:w="1028" w:type="dxa"/>
            <w:tcBorders>
              <w:top w:val="single" w:sz="2" w:space="0" w:color="auto"/>
              <w:left w:val="single" w:sz="2" w:space="0" w:color="auto"/>
              <w:bottom w:val="single" w:sz="2" w:space="0" w:color="auto"/>
              <w:right w:val="single" w:sz="2" w:space="0" w:color="auto"/>
            </w:tcBorders>
          </w:tcPr>
          <w:p w14:paraId="378F9FEA" w14:textId="77777777" w:rsidR="00BE2CA7" w:rsidRPr="00440C76" w:rsidRDefault="00BE2CA7" w:rsidP="002B0590">
            <w:pPr>
              <w:keepNext/>
              <w:spacing w:before="60" w:after="60"/>
              <w:ind w:left="57" w:right="57"/>
              <w:rPr>
                <w:lang w:val="fr-FR"/>
              </w:rPr>
            </w:pPr>
            <w:r w:rsidRPr="00440C76">
              <w:rPr>
                <w:lang w:val="fr-FR"/>
              </w:rPr>
              <w:t>IND</w:t>
            </w:r>
          </w:p>
        </w:tc>
        <w:tc>
          <w:tcPr>
            <w:tcW w:w="1028" w:type="dxa"/>
            <w:tcBorders>
              <w:top w:val="single" w:sz="2" w:space="0" w:color="auto"/>
              <w:left w:val="single" w:sz="2" w:space="0" w:color="auto"/>
              <w:bottom w:val="single" w:sz="2" w:space="0" w:color="auto"/>
              <w:right w:val="single" w:sz="2" w:space="0" w:color="auto"/>
            </w:tcBorders>
          </w:tcPr>
          <w:p w14:paraId="1BF6B831" w14:textId="77777777" w:rsidR="00BE2CA7" w:rsidRPr="00440C76" w:rsidRDefault="00BE2CA7" w:rsidP="002B0590">
            <w:pPr>
              <w:keepNext/>
              <w:spacing w:before="60" w:after="60"/>
              <w:ind w:left="57" w:right="57"/>
              <w:rPr>
                <w:lang w:val="fr-FR"/>
              </w:rPr>
            </w:pPr>
            <w:r w:rsidRPr="00440C76">
              <w:rPr>
                <w:lang w:val="fr-FR"/>
              </w:rPr>
              <w:t>IND</w:t>
            </w:r>
          </w:p>
        </w:tc>
        <w:tc>
          <w:tcPr>
            <w:tcW w:w="1028" w:type="dxa"/>
            <w:tcBorders>
              <w:top w:val="single" w:sz="2" w:space="0" w:color="auto"/>
              <w:left w:val="single" w:sz="2" w:space="0" w:color="auto"/>
              <w:bottom w:val="single" w:sz="2" w:space="0" w:color="auto"/>
              <w:right w:val="single" w:sz="2" w:space="0" w:color="auto"/>
            </w:tcBorders>
          </w:tcPr>
          <w:p w14:paraId="6304DDA8" w14:textId="77777777" w:rsidR="00BE2CA7" w:rsidRPr="00440C76" w:rsidRDefault="00BE2CA7" w:rsidP="002B0590">
            <w:pPr>
              <w:keepNext/>
              <w:spacing w:before="60" w:after="60"/>
              <w:ind w:left="57" w:right="57"/>
              <w:rPr>
                <w:lang w:val="fr-FR"/>
              </w:rPr>
            </w:pPr>
            <w:r w:rsidRPr="00440C76">
              <w:rPr>
                <w:lang w:val="fr-FR"/>
              </w:rPr>
              <w:t>ACCEPTÉ</w:t>
            </w:r>
          </w:p>
        </w:tc>
      </w:tr>
      <w:tr w:rsidR="00BE2CA7" w:rsidRPr="00440C76" w14:paraId="606B9B0D" w14:textId="77777777" w:rsidTr="002B0590">
        <w:trPr>
          <w:trHeight w:val="20"/>
        </w:trPr>
        <w:tc>
          <w:tcPr>
            <w:tcW w:w="990" w:type="dxa"/>
            <w:vMerge/>
            <w:tcBorders>
              <w:top w:val="single" w:sz="2" w:space="0" w:color="auto"/>
              <w:left w:val="single" w:sz="2" w:space="0" w:color="auto"/>
              <w:bottom w:val="single" w:sz="2" w:space="0" w:color="auto"/>
              <w:right w:val="single" w:sz="2" w:space="0" w:color="auto"/>
            </w:tcBorders>
          </w:tcPr>
          <w:p w14:paraId="56CE64D2" w14:textId="77777777" w:rsidR="00BE2CA7" w:rsidRPr="00440C76" w:rsidRDefault="00BE2CA7" w:rsidP="002B0590">
            <w:pPr>
              <w:keepNext/>
              <w:spacing w:before="60" w:after="60"/>
              <w:ind w:left="57" w:right="57"/>
              <w:rPr>
                <w:lang w:val="fr-FR"/>
              </w:rPr>
            </w:pPr>
          </w:p>
        </w:tc>
        <w:tc>
          <w:tcPr>
            <w:tcW w:w="427" w:type="dxa"/>
            <w:tcBorders>
              <w:top w:val="single" w:sz="2" w:space="0" w:color="auto"/>
              <w:left w:val="single" w:sz="2" w:space="0" w:color="auto"/>
              <w:bottom w:val="single" w:sz="2" w:space="0" w:color="auto"/>
              <w:right w:val="single" w:sz="2" w:space="0" w:color="auto"/>
            </w:tcBorders>
          </w:tcPr>
          <w:p w14:paraId="46FEA4C7" w14:textId="77777777" w:rsidR="00BE2CA7" w:rsidRPr="00440C76" w:rsidRDefault="00BE2CA7" w:rsidP="002B0590">
            <w:pPr>
              <w:keepNext/>
              <w:spacing w:before="60" w:after="60"/>
              <w:ind w:left="57" w:right="57"/>
              <w:rPr>
                <w:lang w:val="fr-FR"/>
              </w:rPr>
            </w:pPr>
            <w:r w:rsidRPr="00440C76">
              <w:rPr>
                <w:lang w:val="fr-FR"/>
              </w:rPr>
              <w:t>3</w:t>
            </w:r>
          </w:p>
        </w:tc>
        <w:tc>
          <w:tcPr>
            <w:tcW w:w="1027" w:type="dxa"/>
            <w:tcBorders>
              <w:top w:val="single" w:sz="2" w:space="0" w:color="auto"/>
              <w:left w:val="single" w:sz="2" w:space="0" w:color="auto"/>
              <w:bottom w:val="single" w:sz="2" w:space="0" w:color="auto"/>
              <w:right w:val="single" w:sz="2" w:space="0" w:color="auto"/>
            </w:tcBorders>
          </w:tcPr>
          <w:p w14:paraId="320453FD" w14:textId="77777777" w:rsidR="00BE2CA7" w:rsidRPr="00440C76" w:rsidRDefault="00BE2CA7" w:rsidP="002B0590">
            <w:pPr>
              <w:keepNext/>
              <w:spacing w:before="60" w:after="60"/>
              <w:ind w:left="57" w:right="57"/>
              <w:rPr>
                <w:lang w:val="fr-FR"/>
              </w:rPr>
            </w:pPr>
            <w:r w:rsidRPr="00440C76">
              <w:rPr>
                <w:lang w:val="fr-FR"/>
              </w:rPr>
              <w:t>REJETÉ</w:t>
            </w:r>
          </w:p>
        </w:tc>
        <w:tc>
          <w:tcPr>
            <w:tcW w:w="1028" w:type="dxa"/>
            <w:tcBorders>
              <w:top w:val="single" w:sz="2" w:space="0" w:color="auto"/>
              <w:left w:val="single" w:sz="2" w:space="0" w:color="auto"/>
              <w:bottom w:val="single" w:sz="2" w:space="0" w:color="auto"/>
              <w:right w:val="single" w:sz="2" w:space="0" w:color="auto"/>
            </w:tcBorders>
          </w:tcPr>
          <w:p w14:paraId="6B16E7C0" w14:textId="77777777" w:rsidR="00BE2CA7" w:rsidRPr="00440C76" w:rsidRDefault="00BE2CA7" w:rsidP="002B0590">
            <w:pPr>
              <w:keepNext/>
              <w:spacing w:before="60" w:after="60"/>
              <w:ind w:left="57" w:right="57"/>
              <w:rPr>
                <w:lang w:val="fr-FR"/>
              </w:rPr>
            </w:pPr>
            <w:r w:rsidRPr="00440C76">
              <w:rPr>
                <w:lang w:val="fr-FR"/>
              </w:rPr>
              <w:t>REJETÉ</w:t>
            </w:r>
          </w:p>
        </w:tc>
        <w:tc>
          <w:tcPr>
            <w:tcW w:w="1028" w:type="dxa"/>
            <w:tcBorders>
              <w:top w:val="single" w:sz="2" w:space="0" w:color="auto"/>
              <w:left w:val="single" w:sz="2" w:space="0" w:color="auto"/>
              <w:bottom w:val="single" w:sz="2" w:space="0" w:color="auto"/>
              <w:right w:val="single" w:sz="2" w:space="0" w:color="auto"/>
            </w:tcBorders>
          </w:tcPr>
          <w:p w14:paraId="68C59E98" w14:textId="77777777" w:rsidR="00BE2CA7" w:rsidRPr="00440C76" w:rsidRDefault="00BE2CA7" w:rsidP="002B0590">
            <w:pPr>
              <w:keepNext/>
              <w:spacing w:before="60" w:after="60"/>
              <w:ind w:left="57" w:right="57"/>
              <w:rPr>
                <w:lang w:val="fr-FR"/>
              </w:rPr>
            </w:pPr>
            <w:r w:rsidRPr="00440C76">
              <w:rPr>
                <w:lang w:val="fr-FR"/>
              </w:rPr>
              <w:t>IND</w:t>
            </w:r>
          </w:p>
        </w:tc>
        <w:tc>
          <w:tcPr>
            <w:tcW w:w="1028" w:type="dxa"/>
            <w:tcBorders>
              <w:top w:val="single" w:sz="2" w:space="0" w:color="auto"/>
              <w:left w:val="single" w:sz="2" w:space="0" w:color="auto"/>
              <w:bottom w:val="single" w:sz="2" w:space="0" w:color="auto"/>
              <w:right w:val="single" w:sz="2" w:space="0" w:color="auto"/>
            </w:tcBorders>
          </w:tcPr>
          <w:p w14:paraId="00621227" w14:textId="77777777" w:rsidR="00BE2CA7" w:rsidRPr="00440C76" w:rsidRDefault="00BE2CA7" w:rsidP="002B0590">
            <w:pPr>
              <w:keepNext/>
              <w:spacing w:before="60" w:after="60"/>
              <w:ind w:left="57" w:right="57"/>
              <w:rPr>
                <w:lang w:val="fr-FR"/>
              </w:rPr>
            </w:pPr>
            <w:r w:rsidRPr="00440C76">
              <w:rPr>
                <w:lang w:val="fr-FR"/>
              </w:rPr>
              <w:t>IND</w:t>
            </w:r>
          </w:p>
        </w:tc>
        <w:tc>
          <w:tcPr>
            <w:tcW w:w="1027" w:type="dxa"/>
            <w:tcBorders>
              <w:top w:val="single" w:sz="2" w:space="0" w:color="auto"/>
              <w:left w:val="single" w:sz="2" w:space="0" w:color="auto"/>
              <w:bottom w:val="single" w:sz="2" w:space="0" w:color="auto"/>
              <w:right w:val="single" w:sz="2" w:space="0" w:color="auto"/>
            </w:tcBorders>
          </w:tcPr>
          <w:p w14:paraId="4D5F08FB" w14:textId="77777777" w:rsidR="00BE2CA7" w:rsidRPr="00440C76" w:rsidRDefault="00BE2CA7" w:rsidP="002B0590">
            <w:pPr>
              <w:keepNext/>
              <w:spacing w:before="60" w:after="60"/>
              <w:ind w:left="57" w:right="57"/>
              <w:rPr>
                <w:lang w:val="fr-FR"/>
              </w:rPr>
            </w:pPr>
            <w:r w:rsidRPr="00440C76">
              <w:rPr>
                <w:lang w:val="fr-FR"/>
              </w:rPr>
              <w:t>IND</w:t>
            </w:r>
          </w:p>
        </w:tc>
        <w:tc>
          <w:tcPr>
            <w:tcW w:w="1028" w:type="dxa"/>
            <w:tcBorders>
              <w:top w:val="single" w:sz="2" w:space="0" w:color="auto"/>
              <w:left w:val="single" w:sz="2" w:space="0" w:color="auto"/>
              <w:bottom w:val="single" w:sz="2" w:space="0" w:color="auto"/>
              <w:right w:val="single" w:sz="2" w:space="0" w:color="auto"/>
            </w:tcBorders>
          </w:tcPr>
          <w:p w14:paraId="51E86278" w14:textId="77777777" w:rsidR="00BE2CA7" w:rsidRPr="00440C76" w:rsidRDefault="00BE2CA7" w:rsidP="002B0590">
            <w:pPr>
              <w:keepNext/>
              <w:spacing w:before="60" w:after="60"/>
              <w:ind w:left="57" w:right="57"/>
              <w:rPr>
                <w:lang w:val="fr-FR"/>
              </w:rPr>
            </w:pPr>
            <w:r w:rsidRPr="00440C76">
              <w:rPr>
                <w:lang w:val="fr-FR"/>
              </w:rPr>
              <w:t>IND</w:t>
            </w:r>
          </w:p>
        </w:tc>
        <w:tc>
          <w:tcPr>
            <w:tcW w:w="1028" w:type="dxa"/>
            <w:tcBorders>
              <w:top w:val="single" w:sz="2" w:space="0" w:color="auto"/>
              <w:left w:val="single" w:sz="2" w:space="0" w:color="auto"/>
              <w:bottom w:val="single" w:sz="2" w:space="0" w:color="auto"/>
              <w:right w:val="single" w:sz="2" w:space="0" w:color="auto"/>
            </w:tcBorders>
          </w:tcPr>
          <w:p w14:paraId="5B16834A" w14:textId="77777777" w:rsidR="00BE2CA7" w:rsidRPr="00440C76" w:rsidRDefault="00BE2CA7" w:rsidP="002B0590">
            <w:pPr>
              <w:keepNext/>
              <w:spacing w:before="60" w:after="60"/>
              <w:ind w:left="57" w:right="57"/>
              <w:rPr>
                <w:lang w:val="fr-FR"/>
              </w:rPr>
            </w:pPr>
            <w:r w:rsidRPr="00440C76">
              <w:rPr>
                <w:lang w:val="fr-FR"/>
              </w:rPr>
              <w:t>ACCEPTÉ</w:t>
            </w:r>
          </w:p>
        </w:tc>
        <w:tc>
          <w:tcPr>
            <w:tcW w:w="1028" w:type="dxa"/>
            <w:tcBorders>
              <w:top w:val="single" w:sz="2" w:space="0" w:color="auto"/>
              <w:left w:val="single" w:sz="2" w:space="0" w:color="auto"/>
              <w:bottom w:val="single" w:sz="2" w:space="0" w:color="auto"/>
              <w:right w:val="single" w:sz="2" w:space="0" w:color="auto"/>
            </w:tcBorders>
          </w:tcPr>
          <w:p w14:paraId="09B784BA" w14:textId="77777777" w:rsidR="00BE2CA7" w:rsidRPr="00440C76" w:rsidRDefault="00BE2CA7" w:rsidP="002B0590">
            <w:pPr>
              <w:keepNext/>
              <w:spacing w:before="60" w:after="60"/>
              <w:ind w:left="57" w:right="57"/>
              <w:rPr>
                <w:lang w:val="fr-FR"/>
              </w:rPr>
            </w:pPr>
            <w:r w:rsidRPr="00440C76">
              <w:rPr>
                <w:lang w:val="fr-FR"/>
              </w:rPr>
              <w:t>ACCEPTÉ</w:t>
            </w:r>
          </w:p>
        </w:tc>
      </w:tr>
      <w:tr w:rsidR="00BE2CA7" w:rsidRPr="00440C76" w14:paraId="1005E05E" w14:textId="77777777" w:rsidTr="002B0590">
        <w:trPr>
          <w:trHeight w:val="20"/>
        </w:trPr>
        <w:tc>
          <w:tcPr>
            <w:tcW w:w="990" w:type="dxa"/>
            <w:vMerge/>
            <w:tcBorders>
              <w:top w:val="single" w:sz="2" w:space="0" w:color="auto"/>
              <w:left w:val="single" w:sz="2" w:space="0" w:color="auto"/>
              <w:bottom w:val="single" w:sz="2" w:space="0" w:color="auto"/>
              <w:right w:val="single" w:sz="2" w:space="0" w:color="auto"/>
            </w:tcBorders>
          </w:tcPr>
          <w:p w14:paraId="1B282681" w14:textId="77777777" w:rsidR="00BE2CA7" w:rsidRPr="00440C76" w:rsidRDefault="00BE2CA7" w:rsidP="002B0590">
            <w:pPr>
              <w:keepNext/>
              <w:spacing w:before="60" w:after="60"/>
              <w:ind w:left="57" w:right="57"/>
              <w:rPr>
                <w:lang w:val="fr-FR"/>
              </w:rPr>
            </w:pPr>
          </w:p>
        </w:tc>
        <w:tc>
          <w:tcPr>
            <w:tcW w:w="427" w:type="dxa"/>
            <w:tcBorders>
              <w:top w:val="single" w:sz="2" w:space="0" w:color="auto"/>
              <w:left w:val="single" w:sz="2" w:space="0" w:color="auto"/>
              <w:bottom w:val="single" w:sz="2" w:space="0" w:color="auto"/>
              <w:right w:val="single" w:sz="2" w:space="0" w:color="auto"/>
            </w:tcBorders>
          </w:tcPr>
          <w:p w14:paraId="6E59E21A" w14:textId="77777777" w:rsidR="00BE2CA7" w:rsidRPr="00440C76" w:rsidRDefault="00BE2CA7" w:rsidP="002B0590">
            <w:pPr>
              <w:keepNext/>
              <w:spacing w:before="60" w:after="60"/>
              <w:ind w:left="57" w:right="57"/>
              <w:rPr>
                <w:lang w:val="fr-FR"/>
              </w:rPr>
            </w:pPr>
            <w:r w:rsidRPr="00440C76">
              <w:rPr>
                <w:lang w:val="fr-FR"/>
              </w:rPr>
              <w:t>2</w:t>
            </w:r>
          </w:p>
        </w:tc>
        <w:tc>
          <w:tcPr>
            <w:tcW w:w="1027" w:type="dxa"/>
            <w:tcBorders>
              <w:top w:val="single" w:sz="2" w:space="0" w:color="auto"/>
              <w:left w:val="single" w:sz="2" w:space="0" w:color="auto"/>
              <w:bottom w:val="single" w:sz="2" w:space="0" w:color="auto"/>
              <w:right w:val="single" w:sz="2" w:space="0" w:color="auto"/>
            </w:tcBorders>
          </w:tcPr>
          <w:p w14:paraId="0943E4FA" w14:textId="77777777" w:rsidR="00BE2CA7" w:rsidRPr="00440C76" w:rsidRDefault="00BE2CA7" w:rsidP="002B0590">
            <w:pPr>
              <w:keepNext/>
              <w:spacing w:before="60" w:after="60"/>
              <w:ind w:left="57" w:right="57"/>
              <w:rPr>
                <w:lang w:val="fr-FR"/>
              </w:rPr>
            </w:pPr>
            <w:r w:rsidRPr="00440C76">
              <w:rPr>
                <w:lang w:val="fr-FR"/>
              </w:rPr>
              <w:t>IND</w:t>
            </w:r>
          </w:p>
        </w:tc>
        <w:tc>
          <w:tcPr>
            <w:tcW w:w="1028" w:type="dxa"/>
            <w:tcBorders>
              <w:top w:val="single" w:sz="2" w:space="0" w:color="auto"/>
              <w:left w:val="single" w:sz="2" w:space="0" w:color="auto"/>
              <w:bottom w:val="single" w:sz="2" w:space="0" w:color="auto"/>
              <w:right w:val="single" w:sz="2" w:space="0" w:color="auto"/>
            </w:tcBorders>
          </w:tcPr>
          <w:p w14:paraId="0CB40318" w14:textId="77777777" w:rsidR="00BE2CA7" w:rsidRPr="00440C76" w:rsidRDefault="00BE2CA7" w:rsidP="002B0590">
            <w:pPr>
              <w:keepNext/>
              <w:spacing w:before="60" w:after="60"/>
              <w:ind w:left="57" w:right="57"/>
              <w:rPr>
                <w:lang w:val="fr-FR"/>
              </w:rPr>
            </w:pPr>
            <w:r w:rsidRPr="00440C76">
              <w:rPr>
                <w:lang w:val="fr-FR"/>
              </w:rPr>
              <w:t>IND</w:t>
            </w:r>
          </w:p>
        </w:tc>
        <w:tc>
          <w:tcPr>
            <w:tcW w:w="1028" w:type="dxa"/>
            <w:tcBorders>
              <w:top w:val="single" w:sz="2" w:space="0" w:color="auto"/>
              <w:left w:val="single" w:sz="2" w:space="0" w:color="auto"/>
              <w:bottom w:val="single" w:sz="2" w:space="0" w:color="auto"/>
              <w:right w:val="single" w:sz="2" w:space="0" w:color="auto"/>
            </w:tcBorders>
          </w:tcPr>
          <w:p w14:paraId="70E77300" w14:textId="77777777" w:rsidR="00BE2CA7" w:rsidRPr="00440C76" w:rsidRDefault="00BE2CA7" w:rsidP="002B0590">
            <w:pPr>
              <w:keepNext/>
              <w:spacing w:before="60" w:after="60"/>
              <w:ind w:left="57" w:right="57"/>
              <w:rPr>
                <w:lang w:val="fr-FR"/>
              </w:rPr>
            </w:pPr>
            <w:r w:rsidRPr="00440C76">
              <w:rPr>
                <w:lang w:val="fr-FR"/>
              </w:rPr>
              <w:t>IND</w:t>
            </w:r>
          </w:p>
        </w:tc>
        <w:tc>
          <w:tcPr>
            <w:tcW w:w="1028" w:type="dxa"/>
            <w:tcBorders>
              <w:top w:val="single" w:sz="2" w:space="0" w:color="auto"/>
              <w:left w:val="single" w:sz="2" w:space="0" w:color="auto"/>
              <w:bottom w:val="single" w:sz="2" w:space="0" w:color="auto"/>
              <w:right w:val="single" w:sz="2" w:space="0" w:color="auto"/>
            </w:tcBorders>
          </w:tcPr>
          <w:p w14:paraId="7A33CB8C" w14:textId="77777777" w:rsidR="00BE2CA7" w:rsidRPr="00440C76" w:rsidRDefault="00BE2CA7" w:rsidP="002B0590">
            <w:pPr>
              <w:keepNext/>
              <w:spacing w:before="60" w:after="60"/>
              <w:ind w:left="57" w:right="57"/>
              <w:rPr>
                <w:lang w:val="fr-FR"/>
              </w:rPr>
            </w:pPr>
            <w:r w:rsidRPr="00440C76">
              <w:rPr>
                <w:lang w:val="fr-FR"/>
              </w:rPr>
              <w:t>IND</w:t>
            </w:r>
          </w:p>
        </w:tc>
        <w:tc>
          <w:tcPr>
            <w:tcW w:w="1027" w:type="dxa"/>
            <w:tcBorders>
              <w:top w:val="single" w:sz="2" w:space="0" w:color="auto"/>
              <w:left w:val="single" w:sz="2" w:space="0" w:color="auto"/>
              <w:bottom w:val="single" w:sz="2" w:space="0" w:color="auto"/>
              <w:right w:val="single" w:sz="2" w:space="0" w:color="auto"/>
            </w:tcBorders>
          </w:tcPr>
          <w:p w14:paraId="3014A023" w14:textId="77777777" w:rsidR="00BE2CA7" w:rsidRPr="00440C76" w:rsidRDefault="00BE2CA7" w:rsidP="002B0590">
            <w:pPr>
              <w:keepNext/>
              <w:spacing w:before="60" w:after="60"/>
              <w:ind w:left="57" w:right="57"/>
              <w:rPr>
                <w:lang w:val="fr-FR"/>
              </w:rPr>
            </w:pPr>
            <w:r w:rsidRPr="00440C76">
              <w:rPr>
                <w:lang w:val="fr-FR"/>
              </w:rPr>
              <w:t>ACCEPTÉ</w:t>
            </w:r>
          </w:p>
        </w:tc>
        <w:tc>
          <w:tcPr>
            <w:tcW w:w="1028" w:type="dxa"/>
            <w:tcBorders>
              <w:top w:val="single" w:sz="2" w:space="0" w:color="auto"/>
              <w:left w:val="single" w:sz="2" w:space="0" w:color="auto"/>
              <w:bottom w:val="single" w:sz="2" w:space="0" w:color="auto"/>
              <w:right w:val="single" w:sz="2" w:space="0" w:color="auto"/>
            </w:tcBorders>
          </w:tcPr>
          <w:p w14:paraId="2250364F" w14:textId="77777777" w:rsidR="00BE2CA7" w:rsidRPr="00440C76" w:rsidRDefault="00BE2CA7" w:rsidP="002B0590">
            <w:pPr>
              <w:keepNext/>
              <w:spacing w:before="60" w:after="60"/>
              <w:ind w:left="57" w:right="57"/>
              <w:rPr>
                <w:lang w:val="fr-FR"/>
              </w:rPr>
            </w:pPr>
            <w:r w:rsidRPr="00440C76">
              <w:rPr>
                <w:lang w:val="fr-FR"/>
              </w:rPr>
              <w:t>ACCEPTÉ</w:t>
            </w:r>
          </w:p>
        </w:tc>
        <w:tc>
          <w:tcPr>
            <w:tcW w:w="1028" w:type="dxa"/>
            <w:tcBorders>
              <w:top w:val="single" w:sz="2" w:space="0" w:color="auto"/>
              <w:left w:val="single" w:sz="2" w:space="0" w:color="auto"/>
              <w:bottom w:val="single" w:sz="2" w:space="0" w:color="auto"/>
              <w:right w:val="single" w:sz="2" w:space="0" w:color="auto"/>
            </w:tcBorders>
          </w:tcPr>
          <w:p w14:paraId="7A403522" w14:textId="77777777" w:rsidR="00BE2CA7" w:rsidRPr="00440C76" w:rsidRDefault="00BE2CA7" w:rsidP="002B0590">
            <w:pPr>
              <w:keepNext/>
              <w:spacing w:before="60" w:after="60"/>
              <w:ind w:left="57" w:right="57"/>
              <w:rPr>
                <w:lang w:val="fr-FR"/>
              </w:rPr>
            </w:pPr>
            <w:r w:rsidRPr="00440C76">
              <w:rPr>
                <w:lang w:val="fr-FR"/>
              </w:rPr>
              <w:t>ACCEPTÉ</w:t>
            </w:r>
          </w:p>
        </w:tc>
        <w:tc>
          <w:tcPr>
            <w:tcW w:w="1028" w:type="dxa"/>
            <w:tcBorders>
              <w:top w:val="single" w:sz="2" w:space="0" w:color="auto"/>
              <w:left w:val="single" w:sz="2" w:space="0" w:color="auto"/>
              <w:bottom w:val="single" w:sz="2" w:space="0" w:color="auto"/>
              <w:right w:val="single" w:sz="2" w:space="0" w:color="auto"/>
            </w:tcBorders>
          </w:tcPr>
          <w:p w14:paraId="0C4361A6" w14:textId="77777777" w:rsidR="00BE2CA7" w:rsidRPr="00440C76" w:rsidRDefault="00BE2CA7" w:rsidP="002B0590">
            <w:pPr>
              <w:keepNext/>
              <w:spacing w:before="60" w:after="60"/>
              <w:ind w:left="57" w:right="57"/>
              <w:rPr>
                <w:lang w:val="fr-FR"/>
              </w:rPr>
            </w:pPr>
            <w:r w:rsidRPr="00440C76">
              <w:rPr>
                <w:lang w:val="fr-FR"/>
              </w:rPr>
              <w:t>ACCEPTÉ</w:t>
            </w:r>
          </w:p>
        </w:tc>
      </w:tr>
      <w:tr w:rsidR="00BE2CA7" w:rsidRPr="00440C76" w14:paraId="377B589F" w14:textId="77777777" w:rsidTr="002B0590">
        <w:trPr>
          <w:trHeight w:val="20"/>
        </w:trPr>
        <w:tc>
          <w:tcPr>
            <w:tcW w:w="990" w:type="dxa"/>
            <w:vMerge/>
            <w:tcBorders>
              <w:top w:val="single" w:sz="2" w:space="0" w:color="auto"/>
              <w:left w:val="single" w:sz="2" w:space="0" w:color="auto"/>
              <w:bottom w:val="single" w:sz="2" w:space="0" w:color="auto"/>
              <w:right w:val="single" w:sz="2" w:space="0" w:color="auto"/>
            </w:tcBorders>
          </w:tcPr>
          <w:p w14:paraId="4C7D3F6E" w14:textId="77777777" w:rsidR="00BE2CA7" w:rsidRPr="00440C76" w:rsidRDefault="00BE2CA7" w:rsidP="002B0590">
            <w:pPr>
              <w:keepNext/>
              <w:spacing w:before="60" w:after="60"/>
              <w:ind w:left="57" w:right="57"/>
              <w:rPr>
                <w:lang w:val="fr-FR"/>
              </w:rPr>
            </w:pPr>
          </w:p>
        </w:tc>
        <w:tc>
          <w:tcPr>
            <w:tcW w:w="427" w:type="dxa"/>
            <w:tcBorders>
              <w:top w:val="single" w:sz="2" w:space="0" w:color="auto"/>
              <w:left w:val="single" w:sz="2" w:space="0" w:color="auto"/>
              <w:bottom w:val="single" w:sz="2" w:space="0" w:color="auto"/>
              <w:right w:val="single" w:sz="2" w:space="0" w:color="auto"/>
            </w:tcBorders>
          </w:tcPr>
          <w:p w14:paraId="7BF72B29" w14:textId="77777777" w:rsidR="00BE2CA7" w:rsidRPr="00440C76" w:rsidRDefault="00BE2CA7" w:rsidP="002B0590">
            <w:pPr>
              <w:keepNext/>
              <w:spacing w:before="60" w:after="60"/>
              <w:ind w:left="57" w:right="57"/>
              <w:rPr>
                <w:lang w:val="fr-FR"/>
              </w:rPr>
            </w:pPr>
            <w:r w:rsidRPr="00440C76">
              <w:rPr>
                <w:lang w:val="fr-FR"/>
              </w:rPr>
              <w:t>1</w:t>
            </w:r>
          </w:p>
        </w:tc>
        <w:tc>
          <w:tcPr>
            <w:tcW w:w="1027" w:type="dxa"/>
            <w:tcBorders>
              <w:top w:val="single" w:sz="2" w:space="0" w:color="auto"/>
              <w:left w:val="single" w:sz="2" w:space="0" w:color="auto"/>
              <w:bottom w:val="single" w:sz="2" w:space="0" w:color="auto"/>
              <w:right w:val="single" w:sz="2" w:space="0" w:color="auto"/>
            </w:tcBorders>
          </w:tcPr>
          <w:p w14:paraId="543FB9AE" w14:textId="77777777" w:rsidR="00BE2CA7" w:rsidRPr="00440C76" w:rsidRDefault="00BE2CA7" w:rsidP="002B0590">
            <w:pPr>
              <w:keepNext/>
              <w:spacing w:before="60" w:after="60"/>
              <w:ind w:left="57" w:right="57"/>
              <w:rPr>
                <w:lang w:val="fr-FR"/>
              </w:rPr>
            </w:pPr>
            <w:r>
              <w:rPr>
                <w:lang w:val="fr-FR"/>
              </w:rPr>
              <w:t>I</w:t>
            </w:r>
            <w:r w:rsidRPr="00440C76">
              <w:rPr>
                <w:lang w:val="fr-FR"/>
              </w:rPr>
              <w:t>ND</w:t>
            </w:r>
          </w:p>
        </w:tc>
        <w:tc>
          <w:tcPr>
            <w:tcW w:w="1028" w:type="dxa"/>
            <w:tcBorders>
              <w:top w:val="single" w:sz="2" w:space="0" w:color="auto"/>
              <w:left w:val="single" w:sz="2" w:space="0" w:color="auto"/>
              <w:bottom w:val="single" w:sz="2" w:space="0" w:color="auto"/>
              <w:right w:val="single" w:sz="2" w:space="0" w:color="auto"/>
            </w:tcBorders>
          </w:tcPr>
          <w:p w14:paraId="2BC336BB" w14:textId="77777777" w:rsidR="00BE2CA7" w:rsidRPr="00440C76" w:rsidRDefault="00BE2CA7" w:rsidP="002B0590">
            <w:pPr>
              <w:keepNext/>
              <w:spacing w:before="60" w:after="60"/>
              <w:ind w:left="57" w:right="57"/>
              <w:rPr>
                <w:lang w:val="fr-FR"/>
              </w:rPr>
            </w:pPr>
            <w:r w:rsidRPr="00440C76">
              <w:rPr>
                <w:lang w:val="fr-FR"/>
              </w:rPr>
              <w:t>ACCEPTÉ</w:t>
            </w:r>
          </w:p>
        </w:tc>
        <w:tc>
          <w:tcPr>
            <w:tcW w:w="1028" w:type="dxa"/>
            <w:tcBorders>
              <w:top w:val="single" w:sz="2" w:space="0" w:color="auto"/>
              <w:left w:val="single" w:sz="2" w:space="0" w:color="auto"/>
              <w:bottom w:val="single" w:sz="2" w:space="0" w:color="auto"/>
              <w:right w:val="single" w:sz="2" w:space="0" w:color="auto"/>
            </w:tcBorders>
          </w:tcPr>
          <w:p w14:paraId="7B177AB3" w14:textId="77777777" w:rsidR="00BE2CA7" w:rsidRPr="00440C76" w:rsidRDefault="00BE2CA7" w:rsidP="002B0590">
            <w:pPr>
              <w:keepNext/>
              <w:spacing w:before="60" w:after="60"/>
              <w:ind w:left="57" w:right="57"/>
              <w:rPr>
                <w:lang w:val="fr-FR"/>
              </w:rPr>
            </w:pPr>
            <w:r w:rsidRPr="00440C76">
              <w:rPr>
                <w:lang w:val="fr-FR"/>
              </w:rPr>
              <w:t>ACCEPTÉ</w:t>
            </w:r>
          </w:p>
        </w:tc>
        <w:tc>
          <w:tcPr>
            <w:tcW w:w="1028" w:type="dxa"/>
            <w:tcBorders>
              <w:top w:val="single" w:sz="2" w:space="0" w:color="auto"/>
              <w:left w:val="single" w:sz="2" w:space="0" w:color="auto"/>
              <w:bottom w:val="single" w:sz="2" w:space="0" w:color="auto"/>
              <w:right w:val="single" w:sz="2" w:space="0" w:color="auto"/>
            </w:tcBorders>
          </w:tcPr>
          <w:p w14:paraId="4ECB0BE7" w14:textId="77777777" w:rsidR="00BE2CA7" w:rsidRPr="00440C76" w:rsidRDefault="00BE2CA7" w:rsidP="002B0590">
            <w:pPr>
              <w:keepNext/>
              <w:spacing w:before="60" w:after="60"/>
              <w:ind w:left="57" w:right="57"/>
              <w:rPr>
                <w:lang w:val="fr-FR"/>
              </w:rPr>
            </w:pPr>
            <w:r w:rsidRPr="00440C76">
              <w:rPr>
                <w:lang w:val="fr-FR"/>
              </w:rPr>
              <w:t>ACCEPTÉ</w:t>
            </w:r>
          </w:p>
        </w:tc>
        <w:tc>
          <w:tcPr>
            <w:tcW w:w="1027" w:type="dxa"/>
            <w:tcBorders>
              <w:top w:val="single" w:sz="2" w:space="0" w:color="auto"/>
              <w:left w:val="single" w:sz="2" w:space="0" w:color="auto"/>
              <w:bottom w:val="single" w:sz="2" w:space="0" w:color="auto"/>
              <w:right w:val="single" w:sz="2" w:space="0" w:color="auto"/>
            </w:tcBorders>
          </w:tcPr>
          <w:p w14:paraId="5E9485E4" w14:textId="77777777" w:rsidR="00BE2CA7" w:rsidRPr="00440C76" w:rsidRDefault="00BE2CA7" w:rsidP="002B0590">
            <w:pPr>
              <w:keepNext/>
              <w:spacing w:before="60" w:after="60"/>
              <w:ind w:left="57" w:right="57"/>
              <w:rPr>
                <w:lang w:val="fr-FR"/>
              </w:rPr>
            </w:pPr>
            <w:r w:rsidRPr="00440C76">
              <w:rPr>
                <w:lang w:val="fr-FR"/>
              </w:rPr>
              <w:t>ACCEPTÉ</w:t>
            </w:r>
          </w:p>
        </w:tc>
        <w:tc>
          <w:tcPr>
            <w:tcW w:w="1028" w:type="dxa"/>
            <w:tcBorders>
              <w:top w:val="single" w:sz="2" w:space="0" w:color="auto"/>
              <w:left w:val="single" w:sz="2" w:space="0" w:color="auto"/>
              <w:bottom w:val="single" w:sz="2" w:space="0" w:color="auto"/>
              <w:right w:val="single" w:sz="2" w:space="0" w:color="auto"/>
            </w:tcBorders>
          </w:tcPr>
          <w:p w14:paraId="02E16807" w14:textId="77777777" w:rsidR="00BE2CA7" w:rsidRPr="00440C76" w:rsidRDefault="00BE2CA7" w:rsidP="002B0590">
            <w:pPr>
              <w:keepNext/>
              <w:spacing w:before="60" w:after="60"/>
              <w:ind w:left="57" w:right="57"/>
              <w:rPr>
                <w:lang w:val="fr-FR"/>
              </w:rPr>
            </w:pPr>
            <w:r w:rsidRPr="00440C76">
              <w:rPr>
                <w:lang w:val="fr-FR"/>
              </w:rPr>
              <w:t>ACCEPTÉ</w:t>
            </w:r>
          </w:p>
        </w:tc>
        <w:tc>
          <w:tcPr>
            <w:tcW w:w="1028" w:type="dxa"/>
            <w:tcBorders>
              <w:top w:val="single" w:sz="2" w:space="0" w:color="auto"/>
              <w:left w:val="single" w:sz="2" w:space="0" w:color="auto"/>
              <w:bottom w:val="single" w:sz="2" w:space="0" w:color="auto"/>
              <w:right w:val="single" w:sz="2" w:space="0" w:color="auto"/>
            </w:tcBorders>
          </w:tcPr>
          <w:p w14:paraId="1C60931C" w14:textId="77777777" w:rsidR="00BE2CA7" w:rsidRPr="00440C76" w:rsidRDefault="00BE2CA7" w:rsidP="002B0590">
            <w:pPr>
              <w:keepNext/>
              <w:spacing w:before="60" w:after="60"/>
              <w:ind w:left="57" w:right="57"/>
              <w:rPr>
                <w:lang w:val="fr-FR"/>
              </w:rPr>
            </w:pPr>
            <w:r w:rsidRPr="00440C76">
              <w:rPr>
                <w:lang w:val="fr-FR"/>
              </w:rPr>
              <w:t>ACCEPTÉ</w:t>
            </w:r>
          </w:p>
        </w:tc>
        <w:tc>
          <w:tcPr>
            <w:tcW w:w="1028" w:type="dxa"/>
            <w:tcBorders>
              <w:top w:val="single" w:sz="2" w:space="0" w:color="auto"/>
              <w:left w:val="single" w:sz="2" w:space="0" w:color="auto"/>
              <w:bottom w:val="single" w:sz="2" w:space="0" w:color="auto"/>
              <w:right w:val="single" w:sz="2" w:space="0" w:color="auto"/>
            </w:tcBorders>
          </w:tcPr>
          <w:p w14:paraId="3FF8665A" w14:textId="77777777" w:rsidR="00BE2CA7" w:rsidRPr="00440C76" w:rsidRDefault="00BE2CA7" w:rsidP="002B0590">
            <w:pPr>
              <w:keepNext/>
              <w:spacing w:before="60" w:after="60"/>
              <w:ind w:left="57" w:right="57"/>
              <w:rPr>
                <w:lang w:val="fr-FR"/>
              </w:rPr>
            </w:pPr>
            <w:r w:rsidRPr="00440C76">
              <w:rPr>
                <w:lang w:val="fr-FR"/>
              </w:rPr>
              <w:t>ACCEPTÉ</w:t>
            </w:r>
          </w:p>
        </w:tc>
      </w:tr>
      <w:tr w:rsidR="00BE2CA7" w:rsidRPr="00440C76" w14:paraId="53646371" w14:textId="77777777" w:rsidTr="002B0590">
        <w:trPr>
          <w:trHeight w:val="20"/>
        </w:trPr>
        <w:tc>
          <w:tcPr>
            <w:tcW w:w="990" w:type="dxa"/>
            <w:vMerge/>
            <w:tcBorders>
              <w:top w:val="single" w:sz="2" w:space="0" w:color="auto"/>
              <w:left w:val="single" w:sz="2" w:space="0" w:color="auto"/>
              <w:bottom w:val="single" w:sz="2" w:space="0" w:color="auto"/>
              <w:right w:val="single" w:sz="2" w:space="0" w:color="auto"/>
            </w:tcBorders>
          </w:tcPr>
          <w:p w14:paraId="1203A202" w14:textId="77777777" w:rsidR="00BE2CA7" w:rsidRPr="00440C76" w:rsidRDefault="00BE2CA7" w:rsidP="002B0590">
            <w:pPr>
              <w:keepNext/>
              <w:spacing w:before="60" w:after="60"/>
              <w:ind w:left="57" w:right="57"/>
              <w:rPr>
                <w:lang w:val="fr-FR"/>
              </w:rPr>
            </w:pPr>
          </w:p>
        </w:tc>
        <w:tc>
          <w:tcPr>
            <w:tcW w:w="427" w:type="dxa"/>
            <w:tcBorders>
              <w:top w:val="single" w:sz="2" w:space="0" w:color="auto"/>
              <w:left w:val="single" w:sz="2" w:space="0" w:color="auto"/>
              <w:bottom w:val="single" w:sz="2" w:space="0" w:color="auto"/>
              <w:right w:val="single" w:sz="2" w:space="0" w:color="auto"/>
            </w:tcBorders>
          </w:tcPr>
          <w:p w14:paraId="306ADCD3" w14:textId="77777777" w:rsidR="00BE2CA7" w:rsidRPr="00440C76" w:rsidRDefault="00BE2CA7" w:rsidP="002B0590">
            <w:pPr>
              <w:keepNext/>
              <w:spacing w:before="60" w:after="60"/>
              <w:ind w:left="57" w:right="57"/>
              <w:rPr>
                <w:lang w:val="fr-FR"/>
              </w:rPr>
            </w:pPr>
            <w:r w:rsidRPr="00440C76">
              <w:rPr>
                <w:lang w:val="fr-FR"/>
              </w:rPr>
              <w:t>0</w:t>
            </w:r>
          </w:p>
        </w:tc>
        <w:tc>
          <w:tcPr>
            <w:tcW w:w="1027" w:type="dxa"/>
            <w:tcBorders>
              <w:top w:val="single" w:sz="2" w:space="0" w:color="auto"/>
              <w:left w:val="single" w:sz="2" w:space="0" w:color="auto"/>
              <w:bottom w:val="single" w:sz="2" w:space="0" w:color="auto"/>
              <w:right w:val="single" w:sz="2" w:space="0" w:color="auto"/>
            </w:tcBorders>
          </w:tcPr>
          <w:p w14:paraId="0EA66A0A" w14:textId="77777777" w:rsidR="00BE2CA7" w:rsidRPr="00440C76" w:rsidRDefault="00BE2CA7" w:rsidP="002B0590">
            <w:pPr>
              <w:keepNext/>
              <w:spacing w:before="60" w:after="60"/>
              <w:ind w:left="57" w:right="57"/>
              <w:rPr>
                <w:lang w:val="fr-FR"/>
              </w:rPr>
            </w:pPr>
            <w:r w:rsidRPr="00440C76">
              <w:rPr>
                <w:lang w:val="fr-FR"/>
              </w:rPr>
              <w:t>ACCEPTÉ</w:t>
            </w:r>
          </w:p>
        </w:tc>
        <w:tc>
          <w:tcPr>
            <w:tcW w:w="1028" w:type="dxa"/>
            <w:tcBorders>
              <w:top w:val="single" w:sz="2" w:space="0" w:color="auto"/>
              <w:left w:val="single" w:sz="2" w:space="0" w:color="auto"/>
              <w:bottom w:val="single" w:sz="2" w:space="0" w:color="auto"/>
              <w:right w:val="single" w:sz="2" w:space="0" w:color="auto"/>
            </w:tcBorders>
          </w:tcPr>
          <w:p w14:paraId="213EBDE1" w14:textId="77777777" w:rsidR="00BE2CA7" w:rsidRPr="00440C76" w:rsidRDefault="00BE2CA7" w:rsidP="002B0590">
            <w:pPr>
              <w:keepNext/>
              <w:spacing w:before="60" w:after="60"/>
              <w:ind w:left="57" w:right="57"/>
              <w:rPr>
                <w:lang w:val="fr-FR"/>
              </w:rPr>
            </w:pPr>
            <w:r w:rsidRPr="00440C76">
              <w:rPr>
                <w:lang w:val="fr-FR"/>
              </w:rPr>
              <w:t>ACCEPTÉ</w:t>
            </w:r>
          </w:p>
        </w:tc>
        <w:tc>
          <w:tcPr>
            <w:tcW w:w="1028" w:type="dxa"/>
            <w:tcBorders>
              <w:top w:val="single" w:sz="2" w:space="0" w:color="auto"/>
              <w:left w:val="single" w:sz="2" w:space="0" w:color="auto"/>
              <w:bottom w:val="single" w:sz="2" w:space="0" w:color="auto"/>
              <w:right w:val="single" w:sz="2" w:space="0" w:color="auto"/>
            </w:tcBorders>
          </w:tcPr>
          <w:p w14:paraId="7F0715B6" w14:textId="77777777" w:rsidR="00BE2CA7" w:rsidRPr="00440C76" w:rsidRDefault="00BE2CA7" w:rsidP="002B0590">
            <w:pPr>
              <w:keepNext/>
              <w:spacing w:before="60" w:after="60"/>
              <w:ind w:left="57" w:right="57"/>
              <w:rPr>
                <w:lang w:val="fr-FR"/>
              </w:rPr>
            </w:pPr>
            <w:r w:rsidRPr="00440C76">
              <w:rPr>
                <w:lang w:val="fr-FR"/>
              </w:rPr>
              <w:t>ACCEPTÉ</w:t>
            </w:r>
          </w:p>
        </w:tc>
        <w:tc>
          <w:tcPr>
            <w:tcW w:w="1028" w:type="dxa"/>
            <w:tcBorders>
              <w:top w:val="single" w:sz="2" w:space="0" w:color="auto"/>
              <w:left w:val="single" w:sz="2" w:space="0" w:color="auto"/>
              <w:bottom w:val="single" w:sz="2" w:space="0" w:color="auto"/>
              <w:right w:val="single" w:sz="2" w:space="0" w:color="auto"/>
            </w:tcBorders>
          </w:tcPr>
          <w:p w14:paraId="4DD8D111" w14:textId="77777777" w:rsidR="00BE2CA7" w:rsidRPr="00440C76" w:rsidRDefault="00BE2CA7" w:rsidP="002B0590">
            <w:pPr>
              <w:keepNext/>
              <w:spacing w:before="60" w:after="60"/>
              <w:ind w:left="57" w:right="57"/>
              <w:rPr>
                <w:lang w:val="fr-FR"/>
              </w:rPr>
            </w:pPr>
            <w:r w:rsidRPr="00440C76">
              <w:rPr>
                <w:lang w:val="fr-FR"/>
              </w:rPr>
              <w:t>ACCEPTÉ</w:t>
            </w:r>
          </w:p>
        </w:tc>
        <w:tc>
          <w:tcPr>
            <w:tcW w:w="1027" w:type="dxa"/>
            <w:tcBorders>
              <w:top w:val="single" w:sz="2" w:space="0" w:color="auto"/>
              <w:left w:val="single" w:sz="2" w:space="0" w:color="auto"/>
              <w:bottom w:val="single" w:sz="2" w:space="0" w:color="auto"/>
              <w:right w:val="single" w:sz="2" w:space="0" w:color="auto"/>
            </w:tcBorders>
          </w:tcPr>
          <w:p w14:paraId="11D94D06" w14:textId="77777777" w:rsidR="00BE2CA7" w:rsidRPr="00440C76" w:rsidRDefault="00BE2CA7" w:rsidP="002B0590">
            <w:pPr>
              <w:keepNext/>
              <w:spacing w:before="60" w:after="60"/>
              <w:ind w:left="57" w:right="57"/>
              <w:rPr>
                <w:lang w:val="fr-FR"/>
              </w:rPr>
            </w:pPr>
            <w:r w:rsidRPr="00440C76">
              <w:rPr>
                <w:lang w:val="fr-FR"/>
              </w:rPr>
              <w:t>ACCEPTÉ</w:t>
            </w:r>
          </w:p>
        </w:tc>
        <w:tc>
          <w:tcPr>
            <w:tcW w:w="1028" w:type="dxa"/>
            <w:tcBorders>
              <w:top w:val="single" w:sz="2" w:space="0" w:color="auto"/>
              <w:left w:val="single" w:sz="2" w:space="0" w:color="auto"/>
              <w:bottom w:val="single" w:sz="2" w:space="0" w:color="auto"/>
              <w:right w:val="single" w:sz="2" w:space="0" w:color="auto"/>
            </w:tcBorders>
          </w:tcPr>
          <w:p w14:paraId="586C9C78" w14:textId="77777777" w:rsidR="00BE2CA7" w:rsidRPr="00440C76" w:rsidRDefault="00BE2CA7" w:rsidP="002B0590">
            <w:pPr>
              <w:keepNext/>
              <w:spacing w:before="60" w:after="60"/>
              <w:ind w:left="57" w:right="57"/>
              <w:rPr>
                <w:lang w:val="fr-FR"/>
              </w:rPr>
            </w:pPr>
            <w:r w:rsidRPr="00440C76">
              <w:rPr>
                <w:lang w:val="fr-FR"/>
              </w:rPr>
              <w:t>ACCEPTÉ</w:t>
            </w:r>
          </w:p>
        </w:tc>
        <w:tc>
          <w:tcPr>
            <w:tcW w:w="1028" w:type="dxa"/>
            <w:tcBorders>
              <w:top w:val="single" w:sz="2" w:space="0" w:color="auto"/>
              <w:left w:val="single" w:sz="2" w:space="0" w:color="auto"/>
              <w:bottom w:val="single" w:sz="2" w:space="0" w:color="auto"/>
              <w:right w:val="single" w:sz="2" w:space="0" w:color="auto"/>
            </w:tcBorders>
          </w:tcPr>
          <w:p w14:paraId="59BB97C3" w14:textId="77777777" w:rsidR="00BE2CA7" w:rsidRPr="00440C76" w:rsidRDefault="00BE2CA7" w:rsidP="002B0590">
            <w:pPr>
              <w:keepNext/>
              <w:spacing w:before="60" w:after="60"/>
              <w:ind w:left="57" w:right="57"/>
              <w:rPr>
                <w:lang w:val="fr-FR"/>
              </w:rPr>
            </w:pPr>
            <w:r w:rsidRPr="00440C76">
              <w:rPr>
                <w:lang w:val="fr-FR"/>
              </w:rPr>
              <w:t>ACCEPTÉ</w:t>
            </w:r>
          </w:p>
        </w:tc>
        <w:tc>
          <w:tcPr>
            <w:tcW w:w="1028" w:type="dxa"/>
            <w:tcBorders>
              <w:top w:val="single" w:sz="2" w:space="0" w:color="auto"/>
              <w:left w:val="single" w:sz="2" w:space="0" w:color="auto"/>
              <w:bottom w:val="single" w:sz="2" w:space="0" w:color="auto"/>
              <w:right w:val="single" w:sz="2" w:space="0" w:color="auto"/>
            </w:tcBorders>
          </w:tcPr>
          <w:p w14:paraId="0CB9EA76" w14:textId="77777777" w:rsidR="00BE2CA7" w:rsidRPr="00440C76" w:rsidRDefault="00BE2CA7" w:rsidP="002B0590">
            <w:pPr>
              <w:keepNext/>
              <w:spacing w:before="60" w:after="60"/>
              <w:ind w:left="57" w:right="57"/>
              <w:rPr>
                <w:lang w:val="fr-FR"/>
              </w:rPr>
            </w:pPr>
            <w:r w:rsidRPr="00440C76">
              <w:rPr>
                <w:lang w:val="fr-FR"/>
              </w:rPr>
              <w:t>ACCEPTÉ</w:t>
            </w:r>
          </w:p>
        </w:tc>
      </w:tr>
      <w:tr w:rsidR="00BE2CA7" w:rsidRPr="00440C76" w14:paraId="3B9B4394" w14:textId="77777777" w:rsidTr="002B0590">
        <w:trPr>
          <w:trHeight w:val="20"/>
        </w:trPr>
        <w:tc>
          <w:tcPr>
            <w:tcW w:w="990" w:type="dxa"/>
            <w:tcBorders>
              <w:top w:val="single" w:sz="2" w:space="0" w:color="auto"/>
              <w:left w:val="single" w:sz="2" w:space="0" w:color="auto"/>
              <w:bottom w:val="single" w:sz="2" w:space="0" w:color="auto"/>
              <w:right w:val="single" w:sz="2" w:space="0" w:color="auto"/>
            </w:tcBorders>
          </w:tcPr>
          <w:p w14:paraId="4D47D731" w14:textId="77777777" w:rsidR="00BE2CA7" w:rsidRPr="00440C76" w:rsidRDefault="00BE2CA7" w:rsidP="002B0590">
            <w:pPr>
              <w:keepNext/>
              <w:spacing w:before="60" w:after="60"/>
              <w:ind w:left="57" w:right="57"/>
              <w:rPr>
                <w:lang w:val="fr-FR"/>
              </w:rPr>
            </w:pPr>
          </w:p>
        </w:tc>
        <w:tc>
          <w:tcPr>
            <w:tcW w:w="427" w:type="dxa"/>
            <w:tcBorders>
              <w:top w:val="single" w:sz="2" w:space="0" w:color="auto"/>
              <w:left w:val="single" w:sz="2" w:space="0" w:color="auto"/>
              <w:bottom w:val="single" w:sz="2" w:space="0" w:color="auto"/>
              <w:right w:val="single" w:sz="2" w:space="0" w:color="auto"/>
            </w:tcBorders>
          </w:tcPr>
          <w:p w14:paraId="58175747" w14:textId="77777777" w:rsidR="00BE2CA7" w:rsidRPr="00440C76" w:rsidRDefault="00BE2CA7" w:rsidP="002B0590">
            <w:pPr>
              <w:keepNext/>
              <w:spacing w:before="60" w:after="60"/>
              <w:ind w:left="57" w:right="57"/>
              <w:rPr>
                <w:lang w:val="fr-FR"/>
              </w:rPr>
            </w:pPr>
          </w:p>
        </w:tc>
        <w:tc>
          <w:tcPr>
            <w:tcW w:w="1027" w:type="dxa"/>
            <w:tcBorders>
              <w:top w:val="single" w:sz="2" w:space="0" w:color="auto"/>
              <w:left w:val="single" w:sz="2" w:space="0" w:color="auto"/>
              <w:bottom w:val="single" w:sz="2" w:space="0" w:color="auto"/>
              <w:right w:val="single" w:sz="2" w:space="0" w:color="auto"/>
            </w:tcBorders>
          </w:tcPr>
          <w:p w14:paraId="127C2EE4" w14:textId="77777777" w:rsidR="00BE2CA7" w:rsidRPr="00440C76" w:rsidRDefault="00BE2CA7" w:rsidP="002B0590">
            <w:pPr>
              <w:keepNext/>
              <w:spacing w:before="60" w:after="60"/>
              <w:ind w:left="57" w:right="57"/>
              <w:rPr>
                <w:lang w:val="fr-FR"/>
              </w:rPr>
            </w:pPr>
            <w:r w:rsidRPr="00440C76">
              <w:rPr>
                <w:lang w:val="fr-FR"/>
              </w:rPr>
              <w:t>3</w:t>
            </w:r>
          </w:p>
        </w:tc>
        <w:tc>
          <w:tcPr>
            <w:tcW w:w="1028" w:type="dxa"/>
            <w:tcBorders>
              <w:top w:val="single" w:sz="2" w:space="0" w:color="auto"/>
              <w:left w:val="single" w:sz="2" w:space="0" w:color="auto"/>
              <w:bottom w:val="single" w:sz="2" w:space="0" w:color="auto"/>
              <w:right w:val="single" w:sz="2" w:space="0" w:color="auto"/>
            </w:tcBorders>
          </w:tcPr>
          <w:p w14:paraId="411F8A1D" w14:textId="77777777" w:rsidR="00BE2CA7" w:rsidRPr="00440C76" w:rsidRDefault="00BE2CA7" w:rsidP="002B0590">
            <w:pPr>
              <w:keepNext/>
              <w:spacing w:before="60" w:after="60"/>
              <w:ind w:left="57" w:right="57"/>
              <w:rPr>
                <w:lang w:val="fr-FR"/>
              </w:rPr>
            </w:pPr>
            <w:r w:rsidRPr="00440C76">
              <w:rPr>
                <w:lang w:val="fr-FR"/>
              </w:rPr>
              <w:t>4</w:t>
            </w:r>
          </w:p>
        </w:tc>
        <w:tc>
          <w:tcPr>
            <w:tcW w:w="1028" w:type="dxa"/>
            <w:tcBorders>
              <w:top w:val="single" w:sz="2" w:space="0" w:color="auto"/>
              <w:left w:val="single" w:sz="2" w:space="0" w:color="auto"/>
              <w:bottom w:val="single" w:sz="2" w:space="0" w:color="auto"/>
              <w:right w:val="single" w:sz="2" w:space="0" w:color="auto"/>
            </w:tcBorders>
          </w:tcPr>
          <w:p w14:paraId="72025798" w14:textId="77777777" w:rsidR="00BE2CA7" w:rsidRPr="00440C76" w:rsidRDefault="00BE2CA7" w:rsidP="002B0590">
            <w:pPr>
              <w:keepNext/>
              <w:spacing w:before="60" w:after="60"/>
              <w:ind w:left="57" w:right="57"/>
              <w:rPr>
                <w:lang w:val="fr-FR"/>
              </w:rPr>
            </w:pPr>
            <w:r w:rsidRPr="00440C76">
              <w:rPr>
                <w:lang w:val="fr-FR"/>
              </w:rPr>
              <w:t>5</w:t>
            </w:r>
          </w:p>
        </w:tc>
        <w:tc>
          <w:tcPr>
            <w:tcW w:w="1028" w:type="dxa"/>
            <w:tcBorders>
              <w:top w:val="single" w:sz="2" w:space="0" w:color="auto"/>
              <w:left w:val="single" w:sz="2" w:space="0" w:color="auto"/>
              <w:bottom w:val="single" w:sz="2" w:space="0" w:color="auto"/>
              <w:right w:val="single" w:sz="2" w:space="0" w:color="auto"/>
            </w:tcBorders>
          </w:tcPr>
          <w:p w14:paraId="5EE752FC" w14:textId="77777777" w:rsidR="00BE2CA7" w:rsidRPr="00440C76" w:rsidRDefault="00BE2CA7" w:rsidP="002B0590">
            <w:pPr>
              <w:keepNext/>
              <w:spacing w:before="60" w:after="60"/>
              <w:ind w:left="57" w:right="57"/>
              <w:rPr>
                <w:lang w:val="fr-FR"/>
              </w:rPr>
            </w:pPr>
            <w:r w:rsidRPr="00440C76">
              <w:rPr>
                <w:lang w:val="fr-FR"/>
              </w:rPr>
              <w:t>6</w:t>
            </w:r>
          </w:p>
        </w:tc>
        <w:tc>
          <w:tcPr>
            <w:tcW w:w="1027" w:type="dxa"/>
            <w:tcBorders>
              <w:top w:val="single" w:sz="2" w:space="0" w:color="auto"/>
              <w:left w:val="single" w:sz="2" w:space="0" w:color="auto"/>
              <w:bottom w:val="single" w:sz="2" w:space="0" w:color="auto"/>
              <w:right w:val="single" w:sz="2" w:space="0" w:color="auto"/>
            </w:tcBorders>
          </w:tcPr>
          <w:p w14:paraId="6B67759F" w14:textId="77777777" w:rsidR="00BE2CA7" w:rsidRPr="00440C76" w:rsidRDefault="00BE2CA7" w:rsidP="002B0590">
            <w:pPr>
              <w:keepNext/>
              <w:spacing w:before="60" w:after="60"/>
              <w:ind w:left="57" w:right="57"/>
              <w:rPr>
                <w:lang w:val="fr-FR"/>
              </w:rPr>
            </w:pPr>
            <w:r w:rsidRPr="00440C76">
              <w:rPr>
                <w:lang w:val="fr-FR"/>
              </w:rPr>
              <w:t>7</w:t>
            </w:r>
          </w:p>
        </w:tc>
        <w:tc>
          <w:tcPr>
            <w:tcW w:w="1028" w:type="dxa"/>
            <w:tcBorders>
              <w:top w:val="single" w:sz="2" w:space="0" w:color="auto"/>
              <w:left w:val="single" w:sz="2" w:space="0" w:color="auto"/>
              <w:bottom w:val="single" w:sz="2" w:space="0" w:color="auto"/>
              <w:right w:val="single" w:sz="2" w:space="0" w:color="auto"/>
            </w:tcBorders>
          </w:tcPr>
          <w:p w14:paraId="7B183A10" w14:textId="77777777" w:rsidR="00BE2CA7" w:rsidRPr="00440C76" w:rsidRDefault="00BE2CA7" w:rsidP="002B0590">
            <w:pPr>
              <w:keepNext/>
              <w:spacing w:before="60" w:after="60"/>
              <w:ind w:left="57" w:right="57"/>
              <w:rPr>
                <w:lang w:val="fr-FR"/>
              </w:rPr>
            </w:pPr>
            <w:r w:rsidRPr="00440C76">
              <w:rPr>
                <w:lang w:val="fr-FR"/>
              </w:rPr>
              <w:t>8</w:t>
            </w:r>
          </w:p>
        </w:tc>
        <w:tc>
          <w:tcPr>
            <w:tcW w:w="1028" w:type="dxa"/>
            <w:tcBorders>
              <w:top w:val="single" w:sz="2" w:space="0" w:color="auto"/>
              <w:left w:val="single" w:sz="2" w:space="0" w:color="auto"/>
              <w:bottom w:val="single" w:sz="2" w:space="0" w:color="auto"/>
              <w:right w:val="single" w:sz="2" w:space="0" w:color="auto"/>
            </w:tcBorders>
          </w:tcPr>
          <w:p w14:paraId="6B7867D4" w14:textId="77777777" w:rsidR="00BE2CA7" w:rsidRPr="00440C76" w:rsidRDefault="00BE2CA7" w:rsidP="002B0590">
            <w:pPr>
              <w:keepNext/>
              <w:spacing w:before="60" w:after="60"/>
              <w:ind w:left="57" w:right="57"/>
              <w:rPr>
                <w:lang w:val="fr-FR"/>
              </w:rPr>
            </w:pPr>
            <w:r w:rsidRPr="00440C76">
              <w:rPr>
                <w:lang w:val="fr-FR"/>
              </w:rPr>
              <w:t>9</w:t>
            </w:r>
          </w:p>
        </w:tc>
        <w:tc>
          <w:tcPr>
            <w:tcW w:w="1028" w:type="dxa"/>
            <w:tcBorders>
              <w:top w:val="single" w:sz="2" w:space="0" w:color="auto"/>
              <w:left w:val="single" w:sz="2" w:space="0" w:color="auto"/>
              <w:bottom w:val="single" w:sz="2" w:space="0" w:color="auto"/>
              <w:right w:val="single" w:sz="2" w:space="0" w:color="auto"/>
            </w:tcBorders>
          </w:tcPr>
          <w:p w14:paraId="05341F23" w14:textId="77777777" w:rsidR="00BE2CA7" w:rsidRPr="00440C76" w:rsidRDefault="00BE2CA7" w:rsidP="002B0590">
            <w:pPr>
              <w:keepNext/>
              <w:spacing w:before="60" w:after="60"/>
              <w:ind w:left="57" w:right="57"/>
              <w:rPr>
                <w:lang w:val="fr-FR"/>
              </w:rPr>
            </w:pPr>
            <w:r w:rsidRPr="00440C76">
              <w:rPr>
                <w:lang w:val="fr-FR"/>
              </w:rPr>
              <w:t>10</w:t>
            </w:r>
          </w:p>
        </w:tc>
      </w:tr>
      <w:tr w:rsidR="00BE2CA7" w:rsidRPr="00440C76" w14:paraId="5E62B47D" w14:textId="77777777" w:rsidTr="002B0590">
        <w:trPr>
          <w:trHeight w:val="20"/>
        </w:trPr>
        <w:tc>
          <w:tcPr>
            <w:tcW w:w="990" w:type="dxa"/>
            <w:tcBorders>
              <w:top w:val="single" w:sz="2" w:space="0" w:color="auto"/>
              <w:left w:val="single" w:sz="2" w:space="0" w:color="auto"/>
              <w:bottom w:val="single" w:sz="2" w:space="0" w:color="auto"/>
              <w:right w:val="single" w:sz="2" w:space="0" w:color="auto"/>
            </w:tcBorders>
          </w:tcPr>
          <w:p w14:paraId="4E7C51A4" w14:textId="77777777" w:rsidR="00BE2CA7" w:rsidRPr="00440C76" w:rsidRDefault="00BE2CA7" w:rsidP="002B0590">
            <w:pPr>
              <w:spacing w:before="60" w:after="60"/>
              <w:ind w:left="57" w:right="57"/>
              <w:rPr>
                <w:lang w:val="fr-FR"/>
              </w:rPr>
            </w:pPr>
          </w:p>
        </w:tc>
        <w:tc>
          <w:tcPr>
            <w:tcW w:w="8649" w:type="dxa"/>
            <w:gridSpan w:val="9"/>
            <w:tcBorders>
              <w:top w:val="single" w:sz="2" w:space="0" w:color="auto"/>
              <w:left w:val="single" w:sz="2" w:space="0" w:color="auto"/>
              <w:bottom w:val="single" w:sz="2" w:space="0" w:color="auto"/>
              <w:right w:val="single" w:sz="2" w:space="0" w:color="auto"/>
            </w:tcBorders>
          </w:tcPr>
          <w:p w14:paraId="1254E85B" w14:textId="77777777" w:rsidR="00BE2CA7" w:rsidRPr="00440C76" w:rsidRDefault="00BE2CA7" w:rsidP="002B0590">
            <w:pPr>
              <w:spacing w:before="60" w:after="60"/>
              <w:ind w:left="57" w:right="57"/>
              <w:rPr>
                <w:lang w:val="fr-FR"/>
              </w:rPr>
            </w:pPr>
            <w:r w:rsidRPr="00440C76">
              <w:rPr>
                <w:i/>
                <w:iCs/>
                <w:lang w:val="fr-FR"/>
              </w:rPr>
              <w:t>Taille cumulée de l</w:t>
            </w:r>
            <w:r>
              <w:rPr>
                <w:i/>
                <w:iCs/>
                <w:lang w:val="fr-FR"/>
              </w:rPr>
              <w:t>’</w:t>
            </w:r>
            <w:r w:rsidRPr="00440C76">
              <w:rPr>
                <w:i/>
                <w:iCs/>
                <w:lang w:val="fr-FR"/>
              </w:rPr>
              <w:t>échantillon n</w:t>
            </w:r>
          </w:p>
        </w:tc>
      </w:tr>
    </w:tbl>
    <w:p w14:paraId="0BB2F98D" w14:textId="77777777" w:rsidR="00BE2CA7" w:rsidRPr="001C3E9D" w:rsidRDefault="00BE2CA7" w:rsidP="008007A5">
      <w:pPr>
        <w:pStyle w:val="SingleTxtG"/>
        <w:spacing w:before="120"/>
        <w:ind w:left="2268" w:hanging="1134"/>
        <w:rPr>
          <w:bCs/>
          <w:lang w:val="fr-FR"/>
        </w:rPr>
      </w:pPr>
      <w:r w:rsidRPr="001C3E9D">
        <w:rPr>
          <w:bCs/>
          <w:lang w:val="fr-FR"/>
        </w:rPr>
        <w:t>6.</w:t>
      </w:r>
      <w:r w:rsidRPr="001C3E9D">
        <w:rPr>
          <w:bCs/>
          <w:lang w:val="fr-FR"/>
        </w:rPr>
        <w:tab/>
      </w:r>
      <w:r w:rsidRPr="001C3E9D">
        <w:rPr>
          <w:lang w:val="fr-FR"/>
        </w:rPr>
        <w:t>Évaluation</w:t>
      </w:r>
      <w:r w:rsidRPr="001C3E9D">
        <w:rPr>
          <w:bCs/>
          <w:lang w:val="fr-FR"/>
        </w:rPr>
        <w:t xml:space="preserve"> de la conformité</w:t>
      </w:r>
    </w:p>
    <w:p w14:paraId="6C1C5D67" w14:textId="77777777" w:rsidR="00BE2CA7" w:rsidRPr="00440C76" w:rsidRDefault="00BE2CA7" w:rsidP="00BE2CA7">
      <w:pPr>
        <w:pStyle w:val="SingleTxtG"/>
        <w:ind w:left="2268" w:hanging="1134"/>
        <w:rPr>
          <w:lang w:val="fr-FR"/>
        </w:rPr>
      </w:pPr>
      <w:r w:rsidRPr="001C3E9D">
        <w:rPr>
          <w:lang w:val="fr-FR"/>
        </w:rPr>
        <w:t>6.1</w:t>
      </w:r>
      <w:r w:rsidRPr="001C3E9D">
        <w:rPr>
          <w:lang w:val="fr-FR"/>
        </w:rPr>
        <w:tab/>
        <w:t>Dans un délai de 10 jours ouvrables à compter de la fin du contrôle de la conformité en service de l’échantillon tel que visé au paragraphe 5.10.5, l’autorité d’homologation de type doit entamer une enquête approfondie auprès du constructeur afin de déterminer si la famille de conformité en service (ou une partie de celle-ci) est conforme aux règles de conformité en service et si des mesures correctives sont nécessaires. Dans le cas de véhicules fabriqués en plusieurs</w:t>
      </w:r>
      <w:r w:rsidRPr="00440C76">
        <w:rPr>
          <w:lang w:val="fr-FR"/>
        </w:rPr>
        <w:t xml:space="preserve"> étapes ou à usage spécial, l</w:t>
      </w:r>
      <w:r>
        <w:rPr>
          <w:lang w:val="fr-FR"/>
        </w:rPr>
        <w:t>’</w:t>
      </w:r>
      <w:r w:rsidRPr="00440C76">
        <w:rPr>
          <w:lang w:val="fr-FR"/>
        </w:rPr>
        <w:t>autorité d</w:t>
      </w:r>
      <w:r>
        <w:rPr>
          <w:lang w:val="fr-FR"/>
        </w:rPr>
        <w:t>’</w:t>
      </w:r>
      <w:r w:rsidRPr="00440C76">
        <w:rPr>
          <w:lang w:val="fr-FR"/>
        </w:rPr>
        <w:t>homologation de type doit également mener une enquête approfondie lorsqu</w:t>
      </w:r>
      <w:r>
        <w:rPr>
          <w:lang w:val="fr-FR"/>
        </w:rPr>
        <w:t>’</w:t>
      </w:r>
      <w:r w:rsidRPr="00440C76">
        <w:rPr>
          <w:lang w:val="fr-FR"/>
        </w:rPr>
        <w:t>il y a dans une même famille de conformité en service au moins trois véhicules défaillants présentant le même dysfonctionnement ou cinq véhicules signalés, comme indiqué au paragraphe</w:t>
      </w:r>
      <w:r>
        <w:rPr>
          <w:lang w:val="fr-FR"/>
        </w:rPr>
        <w:t> </w:t>
      </w:r>
      <w:r w:rsidRPr="00440C76">
        <w:rPr>
          <w:lang w:val="fr-FR"/>
        </w:rPr>
        <w:t>5.10.6.</w:t>
      </w:r>
    </w:p>
    <w:p w14:paraId="173827B0" w14:textId="77777777" w:rsidR="00BE2CA7" w:rsidRPr="00440C76" w:rsidRDefault="00BE2CA7" w:rsidP="00BE2CA7">
      <w:pPr>
        <w:pStyle w:val="SingleTxtG"/>
        <w:ind w:left="2268" w:hanging="1134"/>
        <w:rPr>
          <w:lang w:val="fr-FR"/>
        </w:rPr>
      </w:pPr>
      <w:r w:rsidRPr="00440C76">
        <w:rPr>
          <w:lang w:val="fr-FR"/>
        </w:rPr>
        <w:t>6.2</w:t>
      </w:r>
      <w:r w:rsidRPr="00440C76">
        <w:rPr>
          <w:lang w:val="fr-FR"/>
        </w:rPr>
        <w:tab/>
        <w:t>L</w:t>
      </w:r>
      <w:r>
        <w:rPr>
          <w:lang w:val="fr-FR"/>
        </w:rPr>
        <w:t>’</w:t>
      </w:r>
      <w:r w:rsidRPr="00440C76">
        <w:rPr>
          <w:lang w:val="fr-FR"/>
        </w:rPr>
        <w:t>autorité d</w:t>
      </w:r>
      <w:r>
        <w:rPr>
          <w:lang w:val="fr-FR"/>
        </w:rPr>
        <w:t>’</w:t>
      </w:r>
      <w:r w:rsidRPr="00440C76">
        <w:rPr>
          <w:lang w:val="fr-FR"/>
        </w:rPr>
        <w:t>homologation de type doit veiller à ce que des ressources suffisantes soient disponibles pour couvrir les coûts d</w:t>
      </w:r>
      <w:r>
        <w:rPr>
          <w:lang w:val="fr-FR"/>
        </w:rPr>
        <w:t>’</w:t>
      </w:r>
      <w:r w:rsidRPr="00440C76">
        <w:rPr>
          <w:lang w:val="fr-FR"/>
        </w:rPr>
        <w:t>évaluation de la conformité. Sans préjudice de la législation nationale, ces coûts sont recouvrés au moyen de redevances que l</w:t>
      </w:r>
      <w:r>
        <w:rPr>
          <w:lang w:val="fr-FR"/>
        </w:rPr>
        <w:t>’</w:t>
      </w:r>
      <w:r w:rsidRPr="00440C76">
        <w:rPr>
          <w:lang w:val="fr-FR"/>
        </w:rPr>
        <w:t>autorité d</w:t>
      </w:r>
      <w:r>
        <w:rPr>
          <w:lang w:val="fr-FR"/>
        </w:rPr>
        <w:t>’</w:t>
      </w:r>
      <w:r w:rsidRPr="00440C76">
        <w:rPr>
          <w:lang w:val="fr-FR"/>
        </w:rPr>
        <w:t>homologation de type peut imposer au constructeur.</w:t>
      </w:r>
      <w:r w:rsidRPr="00440C76">
        <w:rPr>
          <w:color w:val="333333"/>
          <w:sz w:val="26"/>
          <w:szCs w:val="26"/>
          <w:shd w:val="clear" w:color="auto" w:fill="FFFFFF"/>
          <w:lang w:val="fr-FR"/>
        </w:rPr>
        <w:t xml:space="preserve"> </w:t>
      </w:r>
      <w:r w:rsidRPr="00440C76">
        <w:rPr>
          <w:lang w:val="fr-FR"/>
        </w:rPr>
        <w:t>Ces redevances couvriront l</w:t>
      </w:r>
      <w:r>
        <w:rPr>
          <w:lang w:val="fr-FR"/>
        </w:rPr>
        <w:t>’</w:t>
      </w:r>
      <w:r w:rsidRPr="00440C76">
        <w:rPr>
          <w:lang w:val="fr-FR"/>
        </w:rPr>
        <w:t>ensemble des essais ou contrôles indispensables pour permettre une évaluation de la conformité.</w:t>
      </w:r>
    </w:p>
    <w:p w14:paraId="60575ABC" w14:textId="77777777" w:rsidR="00BE2CA7" w:rsidRPr="00440C76" w:rsidRDefault="00BE2CA7" w:rsidP="00BE2CA7">
      <w:pPr>
        <w:pStyle w:val="SingleTxtG"/>
        <w:ind w:left="2268" w:hanging="1134"/>
        <w:rPr>
          <w:lang w:val="fr-FR"/>
        </w:rPr>
      </w:pPr>
      <w:r w:rsidRPr="00440C76">
        <w:rPr>
          <w:lang w:val="fr-FR"/>
        </w:rPr>
        <w:t>6.3</w:t>
      </w:r>
      <w:r w:rsidRPr="00440C76">
        <w:rPr>
          <w:lang w:val="fr-FR"/>
        </w:rPr>
        <w:tab/>
        <w:t>À la demande du constructeur, l</w:t>
      </w:r>
      <w:r>
        <w:rPr>
          <w:lang w:val="fr-FR"/>
        </w:rPr>
        <w:t>’</w:t>
      </w:r>
      <w:r w:rsidRPr="00440C76">
        <w:rPr>
          <w:lang w:val="fr-FR"/>
        </w:rPr>
        <w:t>autorité d</w:t>
      </w:r>
      <w:r>
        <w:rPr>
          <w:lang w:val="fr-FR"/>
        </w:rPr>
        <w:t>’</w:t>
      </w:r>
      <w:r w:rsidRPr="00440C76">
        <w:rPr>
          <w:lang w:val="fr-FR"/>
        </w:rPr>
        <w:t>homologation de type peut élargir l</w:t>
      </w:r>
      <w:r>
        <w:rPr>
          <w:lang w:val="fr-FR"/>
        </w:rPr>
        <w:t>’</w:t>
      </w:r>
      <w:r w:rsidRPr="00440C76">
        <w:rPr>
          <w:lang w:val="fr-FR"/>
        </w:rPr>
        <w:t>examen aux véhicules en service du même constructeur appartenant à d</w:t>
      </w:r>
      <w:r>
        <w:rPr>
          <w:lang w:val="fr-FR"/>
        </w:rPr>
        <w:t>’</w:t>
      </w:r>
      <w:r w:rsidRPr="00440C76">
        <w:rPr>
          <w:lang w:val="fr-FR"/>
        </w:rPr>
        <w:t>autres familles de conformité en service et susceptibles de présenter les mêmes défauts.</w:t>
      </w:r>
    </w:p>
    <w:p w14:paraId="1240C94C" w14:textId="77777777" w:rsidR="00BE2CA7" w:rsidRPr="00440C76" w:rsidRDefault="00BE2CA7" w:rsidP="00BE2CA7">
      <w:pPr>
        <w:pStyle w:val="SingleTxtG"/>
        <w:ind w:left="2268" w:hanging="1134"/>
        <w:rPr>
          <w:lang w:val="fr-FR"/>
        </w:rPr>
      </w:pPr>
      <w:r w:rsidRPr="00440C76">
        <w:rPr>
          <w:lang w:val="fr-FR"/>
        </w:rPr>
        <w:t>6.4</w:t>
      </w:r>
      <w:r w:rsidRPr="00440C76">
        <w:rPr>
          <w:lang w:val="fr-FR"/>
        </w:rPr>
        <w:tab/>
        <w:t>L</w:t>
      </w:r>
      <w:r>
        <w:rPr>
          <w:lang w:val="fr-FR"/>
        </w:rPr>
        <w:t>’</w:t>
      </w:r>
      <w:r w:rsidRPr="00440C76">
        <w:rPr>
          <w:lang w:val="fr-FR"/>
        </w:rPr>
        <w:t>enquête approfondie ne doit pas dépasser 60 jours ouvrables à compter du début de l</w:t>
      </w:r>
      <w:r>
        <w:rPr>
          <w:lang w:val="fr-FR"/>
        </w:rPr>
        <w:t>’</w:t>
      </w:r>
      <w:r w:rsidRPr="00440C76">
        <w:rPr>
          <w:lang w:val="fr-FR"/>
        </w:rPr>
        <w:t>enquête ouverte par l</w:t>
      </w:r>
      <w:r>
        <w:rPr>
          <w:lang w:val="fr-FR"/>
        </w:rPr>
        <w:t>’</w:t>
      </w:r>
      <w:r w:rsidRPr="00440C76">
        <w:rPr>
          <w:lang w:val="fr-FR"/>
        </w:rPr>
        <w:t>autorité d</w:t>
      </w:r>
      <w:r>
        <w:rPr>
          <w:lang w:val="fr-FR"/>
        </w:rPr>
        <w:t>’</w:t>
      </w:r>
      <w:r w:rsidRPr="00440C76">
        <w:rPr>
          <w:lang w:val="fr-FR"/>
        </w:rPr>
        <w:t>homologation de type. Cette dernière peut procéder à des essais de conformité en service supplémentaires afin de déterminer les raisons pour lesquelles les véhicules n</w:t>
      </w:r>
      <w:r>
        <w:rPr>
          <w:lang w:val="fr-FR"/>
        </w:rPr>
        <w:t>’</w:t>
      </w:r>
      <w:r w:rsidRPr="00440C76">
        <w:rPr>
          <w:lang w:val="fr-FR"/>
        </w:rPr>
        <w:t xml:space="preserve">ont pas satisfait aux vérifications pendant les essais de conformité en service initiaux. Les essais supplémentaires doivent être menés dans des conditions similaires à </w:t>
      </w:r>
      <w:r w:rsidRPr="00440C76">
        <w:rPr>
          <w:lang w:val="fr-FR"/>
        </w:rPr>
        <w:lastRenderedPageBreak/>
        <w:t>celles dans lesquelles les essais de conformité en service initiaux rejetés ont été réalisés.</w:t>
      </w:r>
    </w:p>
    <w:p w14:paraId="5A772AC5" w14:textId="77777777" w:rsidR="00BE2CA7" w:rsidRPr="00440C76" w:rsidRDefault="00BE2CA7" w:rsidP="00BE2CA7">
      <w:pPr>
        <w:pStyle w:val="SingleTxtG"/>
        <w:ind w:left="2268"/>
        <w:rPr>
          <w:lang w:val="fr-FR"/>
        </w:rPr>
      </w:pPr>
      <w:r w:rsidRPr="00440C76">
        <w:rPr>
          <w:lang w:val="fr-FR"/>
        </w:rPr>
        <w:t>À la demande de l</w:t>
      </w:r>
      <w:r>
        <w:rPr>
          <w:lang w:val="fr-FR"/>
        </w:rPr>
        <w:t>’</w:t>
      </w:r>
      <w:r w:rsidRPr="00440C76">
        <w:rPr>
          <w:lang w:val="fr-FR"/>
        </w:rPr>
        <w:t>autorité d</w:t>
      </w:r>
      <w:r>
        <w:rPr>
          <w:lang w:val="fr-FR"/>
        </w:rPr>
        <w:t>’</w:t>
      </w:r>
      <w:r w:rsidRPr="00440C76">
        <w:rPr>
          <w:lang w:val="fr-FR"/>
        </w:rPr>
        <w:t>homologation de type, le constructeur doit fournir des informations supplémentaires indiquant en particulier l</w:t>
      </w:r>
      <w:r>
        <w:rPr>
          <w:lang w:val="fr-FR"/>
        </w:rPr>
        <w:t>’</w:t>
      </w:r>
      <w:r w:rsidRPr="00440C76">
        <w:rPr>
          <w:lang w:val="fr-FR"/>
        </w:rPr>
        <w:t>éventuelle cause des défaillances, les parties de la famille susceptibles d</w:t>
      </w:r>
      <w:r>
        <w:rPr>
          <w:lang w:val="fr-FR"/>
        </w:rPr>
        <w:t>’</w:t>
      </w:r>
      <w:r w:rsidRPr="00440C76">
        <w:rPr>
          <w:lang w:val="fr-FR"/>
        </w:rPr>
        <w:t>être concernées, les autres familles pouvant être affectées ou, le cas échéant, la raison pour laquelle le problème à l</w:t>
      </w:r>
      <w:r>
        <w:rPr>
          <w:lang w:val="fr-FR"/>
        </w:rPr>
        <w:t>’</w:t>
      </w:r>
      <w:r w:rsidRPr="00440C76">
        <w:rPr>
          <w:lang w:val="fr-FR"/>
        </w:rPr>
        <w:t>origine de la défaillance lors des essais de conformité en service initiaux n</w:t>
      </w:r>
      <w:r>
        <w:rPr>
          <w:lang w:val="fr-FR"/>
        </w:rPr>
        <w:t>’</w:t>
      </w:r>
      <w:r w:rsidRPr="00440C76">
        <w:rPr>
          <w:lang w:val="fr-FR"/>
        </w:rPr>
        <w:t>est pas lié à la conformité en service. Le constructeur doit avoir la possibilité de démontrer qu</w:t>
      </w:r>
      <w:r>
        <w:rPr>
          <w:lang w:val="fr-FR"/>
        </w:rPr>
        <w:t>’</w:t>
      </w:r>
      <w:r w:rsidRPr="00440C76">
        <w:rPr>
          <w:lang w:val="fr-FR"/>
        </w:rPr>
        <w:t>il a été satisfait aux dispositions relatives à la conformité en service.</w:t>
      </w:r>
    </w:p>
    <w:p w14:paraId="28B0B051" w14:textId="77777777" w:rsidR="00BE2CA7" w:rsidRPr="00440C76" w:rsidRDefault="00BE2CA7" w:rsidP="00BE2CA7">
      <w:pPr>
        <w:pStyle w:val="SingleTxtG"/>
        <w:ind w:left="2268" w:hanging="1134"/>
        <w:rPr>
          <w:lang w:val="fr-FR"/>
        </w:rPr>
      </w:pPr>
      <w:r w:rsidRPr="00440C76">
        <w:rPr>
          <w:lang w:val="fr-FR"/>
        </w:rPr>
        <w:t>6.5</w:t>
      </w:r>
      <w:r w:rsidRPr="00440C76">
        <w:rPr>
          <w:lang w:val="fr-FR"/>
        </w:rPr>
        <w:tab/>
        <w:t>Dans le délai fixé au paragraphe</w:t>
      </w:r>
      <w:r>
        <w:rPr>
          <w:lang w:val="fr-FR"/>
        </w:rPr>
        <w:t> </w:t>
      </w:r>
      <w:r w:rsidRPr="00440C76">
        <w:rPr>
          <w:lang w:val="fr-FR"/>
        </w:rPr>
        <w:t>6.4, l</w:t>
      </w:r>
      <w:r>
        <w:rPr>
          <w:lang w:val="fr-FR"/>
        </w:rPr>
        <w:t>’</w:t>
      </w:r>
      <w:r w:rsidRPr="00440C76">
        <w:rPr>
          <w:lang w:val="fr-FR"/>
        </w:rPr>
        <w:t>autorité d</w:t>
      </w:r>
      <w:r>
        <w:rPr>
          <w:lang w:val="fr-FR"/>
        </w:rPr>
        <w:t>’</w:t>
      </w:r>
      <w:r w:rsidRPr="00440C76">
        <w:rPr>
          <w:lang w:val="fr-FR"/>
        </w:rPr>
        <w:t>homologation de type doit prendre une décision quant à la conformité ou la non-conformité. En cas de non-conformité, l</w:t>
      </w:r>
      <w:r>
        <w:rPr>
          <w:lang w:val="fr-FR"/>
        </w:rPr>
        <w:t>’</w:t>
      </w:r>
      <w:r w:rsidRPr="00440C76">
        <w:rPr>
          <w:lang w:val="fr-FR"/>
        </w:rPr>
        <w:t>autorité d</w:t>
      </w:r>
      <w:r>
        <w:rPr>
          <w:lang w:val="fr-FR"/>
        </w:rPr>
        <w:t>’</w:t>
      </w:r>
      <w:r w:rsidRPr="00440C76">
        <w:rPr>
          <w:lang w:val="fr-FR"/>
        </w:rPr>
        <w:t>homologation de type doit définir les mesures correctives pour la famille de conformité en service, conformément au paragraphe</w:t>
      </w:r>
      <w:r>
        <w:rPr>
          <w:lang w:val="fr-FR"/>
        </w:rPr>
        <w:t> </w:t>
      </w:r>
      <w:r w:rsidRPr="00440C76">
        <w:rPr>
          <w:lang w:val="fr-FR"/>
        </w:rPr>
        <w:t>7, et les notifier au constructeur.</w:t>
      </w:r>
    </w:p>
    <w:p w14:paraId="1D68EAB8" w14:textId="7DF69123" w:rsidR="00BE2CA7" w:rsidRPr="00440C76" w:rsidRDefault="00BE2CA7" w:rsidP="00BE2CA7">
      <w:pPr>
        <w:pStyle w:val="SingleTxtG"/>
        <w:ind w:left="2268" w:hanging="1134"/>
        <w:rPr>
          <w:bCs/>
          <w:lang w:val="fr-FR"/>
        </w:rPr>
      </w:pPr>
      <w:r w:rsidRPr="00440C76">
        <w:rPr>
          <w:bCs/>
          <w:lang w:val="fr-FR"/>
        </w:rPr>
        <w:t>7</w:t>
      </w:r>
      <w:r w:rsidR="002D411F">
        <w:rPr>
          <w:bCs/>
          <w:lang w:val="fr-FR"/>
        </w:rPr>
        <w:t>.</w:t>
      </w:r>
      <w:r w:rsidRPr="00440C76">
        <w:rPr>
          <w:bCs/>
          <w:lang w:val="fr-FR"/>
        </w:rPr>
        <w:tab/>
      </w:r>
      <w:r w:rsidRPr="00440C76">
        <w:rPr>
          <w:lang w:val="fr-FR"/>
        </w:rPr>
        <w:t>Mesures</w:t>
      </w:r>
      <w:r w:rsidRPr="00440C76">
        <w:rPr>
          <w:bCs/>
          <w:lang w:val="fr-FR"/>
        </w:rPr>
        <w:t xml:space="preserve"> correctives</w:t>
      </w:r>
    </w:p>
    <w:p w14:paraId="5D015FC5" w14:textId="77777777" w:rsidR="00BE2CA7" w:rsidRPr="00440C76" w:rsidRDefault="00BE2CA7" w:rsidP="00BE2CA7">
      <w:pPr>
        <w:pStyle w:val="SingleTxtG"/>
        <w:ind w:left="2268" w:hanging="1134"/>
        <w:rPr>
          <w:lang w:val="fr-FR"/>
        </w:rPr>
      </w:pPr>
      <w:r w:rsidRPr="00440C76">
        <w:rPr>
          <w:lang w:val="fr-FR"/>
        </w:rPr>
        <w:t>7.1</w:t>
      </w:r>
      <w:r w:rsidRPr="00440C76">
        <w:rPr>
          <w:lang w:val="fr-FR"/>
        </w:rPr>
        <w:tab/>
        <w:t>Le constructeur doit établir un plan de mesures correctives et le soumettre à l</w:t>
      </w:r>
      <w:r>
        <w:rPr>
          <w:lang w:val="fr-FR"/>
        </w:rPr>
        <w:t>’</w:t>
      </w:r>
      <w:r w:rsidRPr="00440C76">
        <w:rPr>
          <w:lang w:val="fr-FR"/>
        </w:rPr>
        <w:t>autorité d</w:t>
      </w:r>
      <w:r>
        <w:rPr>
          <w:lang w:val="fr-FR"/>
        </w:rPr>
        <w:t>’</w:t>
      </w:r>
      <w:r w:rsidRPr="00440C76">
        <w:rPr>
          <w:lang w:val="fr-FR"/>
        </w:rPr>
        <w:t>homologation de type dans un délai de 45 jours ouvrables à compter de la décision concernant la conformité ou la non-conformité visée au paragraphe</w:t>
      </w:r>
      <w:r>
        <w:rPr>
          <w:lang w:val="fr-FR"/>
        </w:rPr>
        <w:t> </w:t>
      </w:r>
      <w:r w:rsidRPr="00440C76">
        <w:rPr>
          <w:lang w:val="fr-FR"/>
        </w:rPr>
        <w:t>6.5. Ce délai peut être prolongé de 30 jours ouvrables au maximum pour autant que le constructeur puisse démontrer à l</w:t>
      </w:r>
      <w:r>
        <w:rPr>
          <w:lang w:val="fr-FR"/>
        </w:rPr>
        <w:t>’</w:t>
      </w:r>
      <w:r w:rsidRPr="00440C76">
        <w:rPr>
          <w:lang w:val="fr-FR"/>
        </w:rPr>
        <w:t>autorité d</w:t>
      </w:r>
      <w:r>
        <w:rPr>
          <w:lang w:val="fr-FR"/>
        </w:rPr>
        <w:t>’</w:t>
      </w:r>
      <w:r w:rsidRPr="00440C76">
        <w:rPr>
          <w:lang w:val="fr-FR"/>
        </w:rPr>
        <w:t>homologation de type que l</w:t>
      </w:r>
      <w:r>
        <w:rPr>
          <w:lang w:val="fr-FR"/>
        </w:rPr>
        <w:t>’</w:t>
      </w:r>
      <w:r w:rsidRPr="00440C76">
        <w:rPr>
          <w:lang w:val="fr-FR"/>
        </w:rPr>
        <w:t>examen de la non-conformité requiert plus de temps.</w:t>
      </w:r>
    </w:p>
    <w:p w14:paraId="18C3FAFC" w14:textId="77777777" w:rsidR="00BE2CA7" w:rsidRPr="00440C76" w:rsidRDefault="00BE2CA7" w:rsidP="00BE2CA7">
      <w:pPr>
        <w:pStyle w:val="SingleTxtG"/>
        <w:ind w:left="2268" w:hanging="1134"/>
        <w:rPr>
          <w:lang w:val="fr-FR"/>
        </w:rPr>
      </w:pPr>
      <w:r w:rsidRPr="00440C76">
        <w:rPr>
          <w:lang w:val="fr-FR"/>
        </w:rPr>
        <w:t>7.2</w:t>
      </w:r>
      <w:r w:rsidRPr="00440C76">
        <w:rPr>
          <w:lang w:val="fr-FR"/>
        </w:rPr>
        <w:tab/>
        <w:t>Les mesures correctives imposées par l</w:t>
      </w:r>
      <w:r>
        <w:rPr>
          <w:lang w:val="fr-FR"/>
        </w:rPr>
        <w:t>’</w:t>
      </w:r>
      <w:r w:rsidRPr="00440C76">
        <w:rPr>
          <w:lang w:val="fr-FR"/>
        </w:rPr>
        <w:t>autorité d</w:t>
      </w:r>
      <w:r>
        <w:rPr>
          <w:lang w:val="fr-FR"/>
        </w:rPr>
        <w:t>’</w:t>
      </w:r>
      <w:r w:rsidRPr="00440C76">
        <w:rPr>
          <w:lang w:val="fr-FR"/>
        </w:rPr>
        <w:t>homologation de type doivent comprendre des essais raisonnablement conçus et nécessaires sur les composants et les véhicules afin de faire la preuve de l</w:t>
      </w:r>
      <w:r>
        <w:rPr>
          <w:lang w:val="fr-FR"/>
        </w:rPr>
        <w:t>’</w:t>
      </w:r>
      <w:r w:rsidRPr="00440C76">
        <w:rPr>
          <w:lang w:val="fr-FR"/>
        </w:rPr>
        <w:t>efficacité et de la durabilité de ces mesures.</w:t>
      </w:r>
    </w:p>
    <w:p w14:paraId="31805709" w14:textId="77777777" w:rsidR="00BE2CA7" w:rsidRPr="00440C76" w:rsidRDefault="00BE2CA7" w:rsidP="00BE2CA7">
      <w:pPr>
        <w:pStyle w:val="SingleTxtG"/>
        <w:ind w:left="2268" w:hanging="1134"/>
        <w:rPr>
          <w:lang w:val="fr-FR"/>
        </w:rPr>
      </w:pPr>
      <w:r w:rsidRPr="00440C76">
        <w:rPr>
          <w:lang w:val="fr-FR"/>
        </w:rPr>
        <w:t>7.3</w:t>
      </w:r>
      <w:r w:rsidRPr="00440C76">
        <w:rPr>
          <w:lang w:val="fr-FR"/>
        </w:rPr>
        <w:tab/>
        <w:t>Le constructeur doit attribuer au plan de mesures correctives une dénomination ou un numéro d</w:t>
      </w:r>
      <w:r>
        <w:rPr>
          <w:lang w:val="fr-FR"/>
        </w:rPr>
        <w:t>’</w:t>
      </w:r>
      <w:r w:rsidRPr="00440C76">
        <w:rPr>
          <w:lang w:val="fr-FR"/>
        </w:rPr>
        <w:t>identification unique. Le plan de mesures correctives doit comporter au moins les éléments suivants :</w:t>
      </w:r>
    </w:p>
    <w:p w14:paraId="2397C4AB" w14:textId="77777777" w:rsidR="00BE2CA7" w:rsidRPr="00440C76" w:rsidRDefault="00BE2CA7" w:rsidP="00BE2CA7">
      <w:pPr>
        <w:pStyle w:val="SingleTxtG"/>
        <w:ind w:left="2835" w:hanging="567"/>
        <w:rPr>
          <w:lang w:val="fr-FR"/>
        </w:rPr>
      </w:pPr>
      <w:r w:rsidRPr="004E7E22">
        <w:rPr>
          <w:lang w:val="fr-FR"/>
        </w:rPr>
        <w:t>a)</w:t>
      </w:r>
      <w:r w:rsidRPr="004E7E22">
        <w:rPr>
          <w:lang w:val="fr-FR"/>
        </w:rPr>
        <w:tab/>
        <w:t>Une description de chaque type d’émissions de véhicule faisant l’objet du plan de mesures correctives ;</w:t>
      </w:r>
    </w:p>
    <w:p w14:paraId="1060AA24" w14:textId="77777777" w:rsidR="00BE2CA7" w:rsidRPr="00440C76" w:rsidRDefault="00BE2CA7" w:rsidP="00BE2CA7">
      <w:pPr>
        <w:pStyle w:val="SingleTxtG"/>
        <w:ind w:left="2835" w:hanging="567"/>
        <w:rPr>
          <w:lang w:val="fr-FR"/>
        </w:rPr>
      </w:pPr>
      <w:r w:rsidRPr="00440C76">
        <w:rPr>
          <w:lang w:val="fr-FR"/>
        </w:rPr>
        <w:t>b)</w:t>
      </w:r>
      <w:r w:rsidRPr="00440C76">
        <w:rPr>
          <w:lang w:val="fr-FR"/>
        </w:rPr>
        <w:tab/>
        <w:t>Une description des modifications, adaptations, réparations, corrections, ajustements ou autres changements à apporter pour mettre les véhicules en conformité, ainsi qu</w:t>
      </w:r>
      <w:r>
        <w:rPr>
          <w:lang w:val="fr-FR"/>
        </w:rPr>
        <w:t>’</w:t>
      </w:r>
      <w:r w:rsidRPr="00440C76">
        <w:rPr>
          <w:lang w:val="fr-FR"/>
        </w:rPr>
        <w:t>un bref résumé des données et des études techniques sur lesquelles se fonde la décision du constructeur quant aux différentes mesures correctives à prendre ;</w:t>
      </w:r>
    </w:p>
    <w:p w14:paraId="676BEEA2" w14:textId="77777777" w:rsidR="00BE2CA7" w:rsidRPr="00440C76" w:rsidRDefault="00BE2CA7" w:rsidP="00BE2CA7">
      <w:pPr>
        <w:pStyle w:val="SingleTxtG"/>
        <w:ind w:left="2835" w:hanging="567"/>
        <w:rPr>
          <w:lang w:val="fr-FR"/>
        </w:rPr>
      </w:pPr>
      <w:r w:rsidRPr="00440C76">
        <w:rPr>
          <w:lang w:val="fr-FR"/>
        </w:rPr>
        <w:t>c)</w:t>
      </w:r>
      <w:r w:rsidRPr="00440C76">
        <w:rPr>
          <w:lang w:val="fr-FR"/>
        </w:rPr>
        <w:tab/>
        <w:t>Une description de la manière dont le constructeur informera les propriétaires de véhicules des mesures correctives envisagées ;</w:t>
      </w:r>
    </w:p>
    <w:p w14:paraId="32AEA899" w14:textId="77777777" w:rsidR="00BE2CA7" w:rsidRPr="00440C76" w:rsidRDefault="00BE2CA7" w:rsidP="00BE2CA7">
      <w:pPr>
        <w:pStyle w:val="SingleTxtG"/>
        <w:ind w:left="2835" w:hanging="567"/>
        <w:rPr>
          <w:lang w:val="fr-FR"/>
        </w:rPr>
      </w:pPr>
      <w:r w:rsidRPr="00440C76">
        <w:rPr>
          <w:lang w:val="fr-FR"/>
        </w:rPr>
        <w:t>d)</w:t>
      </w:r>
      <w:r w:rsidRPr="00440C76">
        <w:rPr>
          <w:lang w:val="fr-FR"/>
        </w:rPr>
        <w:tab/>
        <w:t>Une description de l</w:t>
      </w:r>
      <w:r>
        <w:rPr>
          <w:lang w:val="fr-FR"/>
        </w:rPr>
        <w:t>’</w:t>
      </w:r>
      <w:r w:rsidRPr="00440C76">
        <w:rPr>
          <w:lang w:val="fr-FR"/>
        </w:rPr>
        <w:t>entretien ou de l</w:t>
      </w:r>
      <w:r>
        <w:rPr>
          <w:lang w:val="fr-FR"/>
        </w:rPr>
        <w:t>’</w:t>
      </w:r>
      <w:r w:rsidRPr="00440C76">
        <w:rPr>
          <w:lang w:val="fr-FR"/>
        </w:rPr>
        <w:t>utilisation correcte auxquels le constructeur subordonne, le cas échéant, le droit aux réparations à effectuer dans le cadre du plan de mesures correctives et une explication des raisons qui motivent ces conditions ;</w:t>
      </w:r>
    </w:p>
    <w:p w14:paraId="7186D710" w14:textId="77777777" w:rsidR="00BE2CA7" w:rsidRPr="00440C76" w:rsidRDefault="00BE2CA7" w:rsidP="00BE2CA7">
      <w:pPr>
        <w:pStyle w:val="SingleTxtG"/>
        <w:ind w:left="2835" w:hanging="567"/>
        <w:rPr>
          <w:lang w:val="fr-FR"/>
        </w:rPr>
      </w:pPr>
      <w:r w:rsidRPr="00440C76">
        <w:rPr>
          <w:lang w:val="fr-FR"/>
        </w:rPr>
        <w:t>e)</w:t>
      </w:r>
      <w:r w:rsidRPr="00440C76">
        <w:rPr>
          <w:lang w:val="fr-FR"/>
        </w:rPr>
        <w:tab/>
        <w:t>Une description de la procédure à suivre par les propriétaires de véhicules pour obtenir la mise en conformité de leur véhicule ; elle comprend la date à partir de laquelle les mesures correctives sont prises, la durée estimée des réparations en atelier et l</w:t>
      </w:r>
      <w:r>
        <w:rPr>
          <w:lang w:val="fr-FR"/>
        </w:rPr>
        <w:t>’</w:t>
      </w:r>
      <w:r w:rsidRPr="00440C76">
        <w:rPr>
          <w:lang w:val="fr-FR"/>
        </w:rPr>
        <w:t>indication du lieu où elles peuvent être faites ;</w:t>
      </w:r>
    </w:p>
    <w:p w14:paraId="5CF566B7" w14:textId="77777777" w:rsidR="00BE2CA7" w:rsidRPr="00440C76" w:rsidRDefault="00BE2CA7" w:rsidP="00BE2CA7">
      <w:pPr>
        <w:pStyle w:val="SingleTxtG"/>
        <w:ind w:left="2835" w:hanging="567"/>
        <w:rPr>
          <w:lang w:val="fr-FR"/>
        </w:rPr>
      </w:pPr>
      <w:r w:rsidRPr="00440C76">
        <w:rPr>
          <w:lang w:val="fr-FR"/>
        </w:rPr>
        <w:t>f)</w:t>
      </w:r>
      <w:r w:rsidRPr="00440C76">
        <w:rPr>
          <w:lang w:val="fr-FR"/>
        </w:rPr>
        <w:tab/>
        <w:t>Un exemple d</w:t>
      </w:r>
      <w:r>
        <w:rPr>
          <w:lang w:val="fr-FR"/>
        </w:rPr>
        <w:t>’</w:t>
      </w:r>
      <w:r w:rsidRPr="00440C76">
        <w:rPr>
          <w:lang w:val="fr-FR"/>
        </w:rPr>
        <w:t>informations transmises aux propriétaires de véhicules ;</w:t>
      </w:r>
    </w:p>
    <w:p w14:paraId="4D725585" w14:textId="77777777" w:rsidR="00BE2CA7" w:rsidRPr="00440C76" w:rsidRDefault="00BE2CA7" w:rsidP="00BE2CA7">
      <w:pPr>
        <w:pStyle w:val="SingleTxtG"/>
        <w:ind w:left="2835" w:hanging="567"/>
        <w:rPr>
          <w:lang w:val="fr-FR"/>
        </w:rPr>
      </w:pPr>
      <w:r w:rsidRPr="00440C76">
        <w:rPr>
          <w:lang w:val="fr-FR"/>
        </w:rPr>
        <w:t>g)</w:t>
      </w:r>
      <w:r w:rsidRPr="00440C76">
        <w:rPr>
          <w:lang w:val="fr-FR"/>
        </w:rPr>
        <w:tab/>
        <w:t>Une brève description du système que le constructeur utilise pour assurer un approvisionnement adéquat en composants ou systèmes afin de mener à bien l</w:t>
      </w:r>
      <w:r>
        <w:rPr>
          <w:lang w:val="fr-FR"/>
        </w:rPr>
        <w:t>’</w:t>
      </w:r>
      <w:r w:rsidRPr="00440C76">
        <w:rPr>
          <w:lang w:val="fr-FR"/>
        </w:rPr>
        <w:t xml:space="preserve">action palliative, comprenant des informations sur la date à laquelle un approvisionnement adéquat en composants, logiciels </w:t>
      </w:r>
      <w:r w:rsidRPr="00440C76">
        <w:rPr>
          <w:lang w:val="fr-FR"/>
        </w:rPr>
        <w:lastRenderedPageBreak/>
        <w:t>ou systèmes indispensables à la mise en œuvre des mesures correctives sera disponible ;</w:t>
      </w:r>
    </w:p>
    <w:p w14:paraId="36479D65" w14:textId="77777777" w:rsidR="00BE2CA7" w:rsidRPr="00440C76" w:rsidRDefault="00BE2CA7" w:rsidP="00BE2CA7">
      <w:pPr>
        <w:pStyle w:val="SingleTxtG"/>
        <w:ind w:left="2835" w:hanging="567"/>
        <w:rPr>
          <w:lang w:val="fr-FR"/>
        </w:rPr>
      </w:pPr>
      <w:r w:rsidRPr="00440C76">
        <w:rPr>
          <w:lang w:val="fr-FR"/>
        </w:rPr>
        <w:t>h)</w:t>
      </w:r>
      <w:r w:rsidRPr="00440C76">
        <w:rPr>
          <w:lang w:val="fr-FR"/>
        </w:rPr>
        <w:tab/>
        <w:t>Un exemple de toutes les instructions à envoyer aux ateliers qui seront chargés des réparations ;</w:t>
      </w:r>
    </w:p>
    <w:p w14:paraId="746DE981" w14:textId="77777777" w:rsidR="00BE2CA7" w:rsidRPr="00440C76" w:rsidRDefault="00BE2CA7" w:rsidP="00BE2CA7">
      <w:pPr>
        <w:pStyle w:val="SingleTxtG"/>
        <w:ind w:left="2835" w:hanging="567"/>
        <w:rPr>
          <w:lang w:val="fr-FR"/>
        </w:rPr>
      </w:pPr>
      <w:r w:rsidRPr="00440C76">
        <w:rPr>
          <w:lang w:val="fr-FR"/>
        </w:rPr>
        <w:t>i)</w:t>
      </w:r>
      <w:r w:rsidRPr="00440C76">
        <w:rPr>
          <w:lang w:val="fr-FR"/>
        </w:rPr>
        <w:tab/>
        <w:t>Une description de l</w:t>
      </w:r>
      <w:r>
        <w:rPr>
          <w:lang w:val="fr-FR"/>
        </w:rPr>
        <w:t>’</w:t>
      </w:r>
      <w:r w:rsidRPr="00440C76">
        <w:rPr>
          <w:lang w:val="fr-FR"/>
        </w:rPr>
        <w:t>incidence des mesures correctives proposées sur les émissions, la consommation de carburant, l</w:t>
      </w:r>
      <w:r>
        <w:rPr>
          <w:lang w:val="fr-FR"/>
        </w:rPr>
        <w:t>’</w:t>
      </w:r>
      <w:r w:rsidRPr="00440C76">
        <w:rPr>
          <w:lang w:val="fr-FR"/>
        </w:rPr>
        <w:t>agrément de conduite et la sécurité de chaque type d</w:t>
      </w:r>
      <w:r>
        <w:rPr>
          <w:lang w:val="fr-FR"/>
        </w:rPr>
        <w:t>’</w:t>
      </w:r>
      <w:r w:rsidRPr="00440C76">
        <w:rPr>
          <w:lang w:val="fr-FR"/>
        </w:rPr>
        <w:t>émissions de véhicule concerné par le plan de mesures correctives, accompagnée des données et d</w:t>
      </w:r>
      <w:r>
        <w:rPr>
          <w:lang w:val="fr-FR"/>
        </w:rPr>
        <w:t>’</w:t>
      </w:r>
      <w:r w:rsidRPr="00440C76">
        <w:rPr>
          <w:lang w:val="fr-FR"/>
        </w:rPr>
        <w:t>études techniques de référence ;</w:t>
      </w:r>
    </w:p>
    <w:p w14:paraId="37A3F472" w14:textId="77777777" w:rsidR="00BE2CA7" w:rsidRPr="00440C76" w:rsidRDefault="00BE2CA7" w:rsidP="00BE2CA7">
      <w:pPr>
        <w:pStyle w:val="SingleTxtG"/>
        <w:ind w:left="2835" w:hanging="567"/>
        <w:rPr>
          <w:lang w:val="fr-FR"/>
        </w:rPr>
      </w:pPr>
      <w:r w:rsidRPr="00440C76">
        <w:rPr>
          <w:lang w:val="fr-FR"/>
        </w:rPr>
        <w:t>j)</w:t>
      </w:r>
      <w:r w:rsidRPr="00440C76">
        <w:rPr>
          <w:lang w:val="fr-FR"/>
        </w:rPr>
        <w:tab/>
        <w:t>Si le plan de mesures correctives comprend un rappel de véhicules, une description de la méthode d</w:t>
      </w:r>
      <w:r>
        <w:rPr>
          <w:lang w:val="fr-FR"/>
        </w:rPr>
        <w:t>’</w:t>
      </w:r>
      <w:r w:rsidRPr="00440C76">
        <w:rPr>
          <w:lang w:val="fr-FR"/>
        </w:rPr>
        <w:t>enregistrement des réparations doit être présentée à l</w:t>
      </w:r>
      <w:r>
        <w:rPr>
          <w:lang w:val="fr-FR"/>
        </w:rPr>
        <w:t>’</w:t>
      </w:r>
      <w:r w:rsidRPr="00440C76">
        <w:rPr>
          <w:lang w:val="fr-FR"/>
        </w:rPr>
        <w:t>autorité d</w:t>
      </w:r>
      <w:r>
        <w:rPr>
          <w:lang w:val="fr-FR"/>
        </w:rPr>
        <w:t>’</w:t>
      </w:r>
      <w:r w:rsidRPr="00440C76">
        <w:rPr>
          <w:lang w:val="fr-FR"/>
        </w:rPr>
        <w:t>homologation de type. Si une étiquette est utilisée, un exemplaire de cette dernière doit également être fourni.</w:t>
      </w:r>
    </w:p>
    <w:p w14:paraId="27E5998D" w14:textId="77777777" w:rsidR="00BE2CA7" w:rsidRPr="00440C76" w:rsidRDefault="00BE2CA7" w:rsidP="00BE2CA7">
      <w:pPr>
        <w:pStyle w:val="SingleTxtG"/>
        <w:ind w:left="2268"/>
        <w:rPr>
          <w:lang w:val="fr-FR"/>
        </w:rPr>
      </w:pPr>
      <w:r w:rsidRPr="00440C76">
        <w:rPr>
          <w:lang w:val="fr-FR"/>
        </w:rPr>
        <w:t>Aux fins de l</w:t>
      </w:r>
      <w:r>
        <w:rPr>
          <w:lang w:val="fr-FR"/>
        </w:rPr>
        <w:t>’</w:t>
      </w:r>
      <w:r w:rsidRPr="00440C76">
        <w:rPr>
          <w:lang w:val="fr-FR"/>
        </w:rPr>
        <w:t>alinéa d), le constructeur ne peut pas imposer des conditions d</w:t>
      </w:r>
      <w:r>
        <w:rPr>
          <w:lang w:val="fr-FR"/>
        </w:rPr>
        <w:t>’</w:t>
      </w:r>
      <w:r w:rsidRPr="00440C76">
        <w:rPr>
          <w:lang w:val="fr-FR"/>
        </w:rPr>
        <w:t>entretien ou d</w:t>
      </w:r>
      <w:r>
        <w:rPr>
          <w:lang w:val="fr-FR"/>
        </w:rPr>
        <w:t>’</w:t>
      </w:r>
      <w:r w:rsidRPr="00440C76">
        <w:rPr>
          <w:lang w:val="fr-FR"/>
        </w:rPr>
        <w:t>utilisation qui ne sont pas manifestement liées à la non</w:t>
      </w:r>
      <w:r w:rsidRPr="00440C76">
        <w:rPr>
          <w:lang w:val="fr-FR"/>
        </w:rPr>
        <w:noBreakHyphen/>
        <w:t>conformité et aux mesures correctives.</w:t>
      </w:r>
    </w:p>
    <w:p w14:paraId="2E406B6C" w14:textId="77777777" w:rsidR="00BE2CA7" w:rsidRPr="00440C76" w:rsidRDefault="00BE2CA7" w:rsidP="00BE2CA7">
      <w:pPr>
        <w:pStyle w:val="SingleTxtG"/>
        <w:ind w:left="2268" w:hanging="1134"/>
        <w:rPr>
          <w:lang w:val="fr-FR"/>
        </w:rPr>
      </w:pPr>
      <w:r w:rsidRPr="00440C76">
        <w:rPr>
          <w:lang w:val="fr-FR"/>
        </w:rPr>
        <w:t>7.4</w:t>
      </w:r>
      <w:r w:rsidRPr="00440C76">
        <w:rPr>
          <w:lang w:val="fr-FR"/>
        </w:rPr>
        <w:tab/>
        <w:t>Les réparations doivent être effectuées de manière appropriée dans un délai raisonnable à compter de la remise du véhicule au constructeur pour réparation. Dans un délai de 15 jours ouvrables à compter de la réception de la proposition de plan de mesures correctives, l</w:t>
      </w:r>
      <w:r>
        <w:rPr>
          <w:lang w:val="fr-FR"/>
        </w:rPr>
        <w:t>’</w:t>
      </w:r>
      <w:r w:rsidRPr="00440C76">
        <w:rPr>
          <w:lang w:val="fr-FR"/>
        </w:rPr>
        <w:t>autorité d</w:t>
      </w:r>
      <w:r>
        <w:rPr>
          <w:lang w:val="fr-FR"/>
        </w:rPr>
        <w:t>’</w:t>
      </w:r>
      <w:r w:rsidRPr="00440C76">
        <w:rPr>
          <w:lang w:val="fr-FR"/>
        </w:rPr>
        <w:t>homologation de type doit approuver ce plan ou exiger un nouveau plan conformément au paragraphe</w:t>
      </w:r>
      <w:r>
        <w:rPr>
          <w:lang w:val="fr-FR"/>
        </w:rPr>
        <w:t> </w:t>
      </w:r>
      <w:r w:rsidRPr="00440C76">
        <w:rPr>
          <w:lang w:val="fr-FR"/>
        </w:rPr>
        <w:t>7.5.</w:t>
      </w:r>
    </w:p>
    <w:p w14:paraId="7865E6B9" w14:textId="77777777" w:rsidR="00BE2CA7" w:rsidRPr="00440C76" w:rsidRDefault="00BE2CA7" w:rsidP="00BE2CA7">
      <w:pPr>
        <w:pStyle w:val="SingleTxtG"/>
        <w:ind w:left="2268" w:hanging="1134"/>
        <w:rPr>
          <w:lang w:val="fr-FR"/>
        </w:rPr>
      </w:pPr>
      <w:r w:rsidRPr="00440C76">
        <w:rPr>
          <w:lang w:val="fr-FR"/>
        </w:rPr>
        <w:t>7.5</w:t>
      </w:r>
      <w:r w:rsidRPr="00440C76">
        <w:rPr>
          <w:lang w:val="fr-FR"/>
        </w:rPr>
        <w:tab/>
        <w:t>Si l</w:t>
      </w:r>
      <w:r>
        <w:rPr>
          <w:lang w:val="fr-FR"/>
        </w:rPr>
        <w:t>’</w:t>
      </w:r>
      <w:r w:rsidRPr="00440C76">
        <w:rPr>
          <w:lang w:val="fr-FR"/>
        </w:rPr>
        <w:t>autorité d</w:t>
      </w:r>
      <w:r>
        <w:rPr>
          <w:lang w:val="fr-FR"/>
        </w:rPr>
        <w:t>’</w:t>
      </w:r>
      <w:r w:rsidRPr="00440C76">
        <w:rPr>
          <w:lang w:val="fr-FR"/>
        </w:rPr>
        <w:t>homologation de type n</w:t>
      </w:r>
      <w:r>
        <w:rPr>
          <w:lang w:val="fr-FR"/>
        </w:rPr>
        <w:t>’</w:t>
      </w:r>
      <w:r w:rsidRPr="00440C76">
        <w:rPr>
          <w:lang w:val="fr-FR"/>
        </w:rPr>
        <w:t>approuve pas le plan de mesures correctives, le constructeur est tenu d</w:t>
      </w:r>
      <w:r>
        <w:rPr>
          <w:lang w:val="fr-FR"/>
        </w:rPr>
        <w:t>’</w:t>
      </w:r>
      <w:r w:rsidRPr="00440C76">
        <w:rPr>
          <w:lang w:val="fr-FR"/>
        </w:rPr>
        <w:t>élaborer un nouveau plan et de le soumettre à ladite autorité dans un délai de 20 jours ouvrables à compter de la notification de la décision prise par cette autorité.</w:t>
      </w:r>
    </w:p>
    <w:p w14:paraId="785134E6" w14:textId="77777777" w:rsidR="00BE2CA7" w:rsidRPr="00440C76" w:rsidRDefault="00BE2CA7" w:rsidP="00BE2CA7">
      <w:pPr>
        <w:pStyle w:val="SingleTxtG"/>
        <w:ind w:left="2268" w:hanging="1134"/>
        <w:rPr>
          <w:lang w:val="fr-FR"/>
        </w:rPr>
      </w:pPr>
      <w:r w:rsidRPr="00440C76">
        <w:rPr>
          <w:lang w:val="fr-FR"/>
        </w:rPr>
        <w:t>7.6</w:t>
      </w:r>
      <w:r w:rsidRPr="00440C76">
        <w:rPr>
          <w:lang w:val="fr-FR"/>
        </w:rPr>
        <w:tab/>
        <w:t>Si l</w:t>
      </w:r>
      <w:r>
        <w:rPr>
          <w:lang w:val="fr-FR"/>
        </w:rPr>
        <w:t>’</w:t>
      </w:r>
      <w:r w:rsidRPr="00440C76">
        <w:rPr>
          <w:lang w:val="fr-FR"/>
        </w:rPr>
        <w:t>autorité d</w:t>
      </w:r>
      <w:r>
        <w:rPr>
          <w:lang w:val="fr-FR"/>
        </w:rPr>
        <w:t>’</w:t>
      </w:r>
      <w:r w:rsidRPr="00440C76">
        <w:rPr>
          <w:lang w:val="fr-FR"/>
        </w:rPr>
        <w:t>homologation de type n</w:t>
      </w:r>
      <w:r>
        <w:rPr>
          <w:lang w:val="fr-FR"/>
        </w:rPr>
        <w:t>’</w:t>
      </w:r>
      <w:r w:rsidRPr="00440C76">
        <w:rPr>
          <w:lang w:val="fr-FR"/>
        </w:rPr>
        <w:t>approuve pas le second plan de mesures correctives, elle doit prendre toutes les mesures appropriées pour rétablir la conformité, y compris au besoin le retrait de l</w:t>
      </w:r>
      <w:r>
        <w:rPr>
          <w:lang w:val="fr-FR"/>
        </w:rPr>
        <w:t>’</w:t>
      </w:r>
      <w:r w:rsidRPr="00440C76">
        <w:rPr>
          <w:lang w:val="fr-FR"/>
        </w:rPr>
        <w:t>homologation de type.</w:t>
      </w:r>
    </w:p>
    <w:p w14:paraId="5E6758C2" w14:textId="77777777" w:rsidR="00BE2CA7" w:rsidRPr="00440C76" w:rsidRDefault="00BE2CA7" w:rsidP="00BE2CA7">
      <w:pPr>
        <w:pStyle w:val="SingleTxtG"/>
        <w:ind w:left="2268" w:hanging="1134"/>
        <w:rPr>
          <w:lang w:val="fr-FR"/>
        </w:rPr>
      </w:pPr>
      <w:r w:rsidRPr="00440C76">
        <w:rPr>
          <w:lang w:val="fr-FR"/>
        </w:rPr>
        <w:t>7.7</w:t>
      </w:r>
      <w:r w:rsidRPr="00440C76">
        <w:rPr>
          <w:lang w:val="fr-FR"/>
        </w:rPr>
        <w:tab/>
        <w:t>L</w:t>
      </w:r>
      <w:r>
        <w:rPr>
          <w:lang w:val="fr-FR"/>
        </w:rPr>
        <w:t>’</w:t>
      </w:r>
      <w:r w:rsidRPr="00440C76">
        <w:rPr>
          <w:lang w:val="fr-FR"/>
        </w:rPr>
        <w:t>autorité d</w:t>
      </w:r>
      <w:r>
        <w:rPr>
          <w:lang w:val="fr-FR"/>
        </w:rPr>
        <w:t>’</w:t>
      </w:r>
      <w:r w:rsidRPr="00440C76">
        <w:rPr>
          <w:lang w:val="fr-FR"/>
        </w:rPr>
        <w:t>homologation de type doit notifier sa décision concernant les mesures correctives aux Parties contractantes concernées dans un délai de 5 jours ouvrables.</w:t>
      </w:r>
    </w:p>
    <w:p w14:paraId="3DC4F866" w14:textId="77777777" w:rsidR="00BE2CA7" w:rsidRPr="00440C76" w:rsidRDefault="00BE2CA7" w:rsidP="00BE2CA7">
      <w:pPr>
        <w:pStyle w:val="SingleTxtG"/>
        <w:ind w:left="2268" w:hanging="1134"/>
        <w:rPr>
          <w:lang w:val="fr-FR"/>
        </w:rPr>
      </w:pPr>
      <w:r w:rsidRPr="00440C76">
        <w:rPr>
          <w:lang w:val="fr-FR"/>
        </w:rPr>
        <w:t>7.8</w:t>
      </w:r>
      <w:r w:rsidRPr="00440C76">
        <w:rPr>
          <w:lang w:val="fr-FR"/>
        </w:rPr>
        <w:tab/>
        <w:t>Les mesures correctives doivent s</w:t>
      </w:r>
      <w:r>
        <w:rPr>
          <w:lang w:val="fr-FR"/>
        </w:rPr>
        <w:t>’</w:t>
      </w:r>
      <w:r w:rsidRPr="00440C76">
        <w:rPr>
          <w:lang w:val="fr-FR"/>
        </w:rPr>
        <w:t>appliquer à tous les véhicules de la famille de conformité en service (ou d</w:t>
      </w:r>
      <w:r>
        <w:rPr>
          <w:lang w:val="fr-FR"/>
        </w:rPr>
        <w:t>’</w:t>
      </w:r>
      <w:r w:rsidRPr="00440C76">
        <w:rPr>
          <w:lang w:val="fr-FR"/>
        </w:rPr>
        <w:t>autres familles concernées recensées par le constructeur conformément au paragraphe</w:t>
      </w:r>
      <w:r>
        <w:rPr>
          <w:lang w:val="fr-FR"/>
        </w:rPr>
        <w:t> </w:t>
      </w:r>
      <w:r w:rsidRPr="00440C76">
        <w:rPr>
          <w:lang w:val="fr-FR"/>
        </w:rPr>
        <w:t>6.2) qui sont susceptibles de présenter le même défaut. L</w:t>
      </w:r>
      <w:r>
        <w:rPr>
          <w:lang w:val="fr-FR"/>
        </w:rPr>
        <w:t>’</w:t>
      </w:r>
      <w:r w:rsidRPr="00440C76">
        <w:rPr>
          <w:lang w:val="fr-FR"/>
        </w:rPr>
        <w:t>autorité d</w:t>
      </w:r>
      <w:r>
        <w:rPr>
          <w:lang w:val="fr-FR"/>
        </w:rPr>
        <w:t>’</w:t>
      </w:r>
      <w:r w:rsidRPr="00440C76">
        <w:rPr>
          <w:lang w:val="fr-FR"/>
        </w:rPr>
        <w:t>homologation de type décide de la nécessité de modifier l</w:t>
      </w:r>
      <w:r>
        <w:rPr>
          <w:lang w:val="fr-FR"/>
        </w:rPr>
        <w:t>’</w:t>
      </w:r>
      <w:r w:rsidRPr="00440C76">
        <w:rPr>
          <w:lang w:val="fr-FR"/>
        </w:rPr>
        <w:t>homologation.</w:t>
      </w:r>
    </w:p>
    <w:p w14:paraId="487A2670" w14:textId="77777777" w:rsidR="00BE2CA7" w:rsidRPr="00440C76" w:rsidRDefault="00BE2CA7" w:rsidP="00BE2CA7">
      <w:pPr>
        <w:pStyle w:val="SingleTxtG"/>
        <w:ind w:left="2268" w:hanging="1134"/>
        <w:rPr>
          <w:lang w:val="fr-FR"/>
        </w:rPr>
      </w:pPr>
      <w:r w:rsidRPr="00440C76">
        <w:rPr>
          <w:lang w:val="fr-FR"/>
        </w:rPr>
        <w:t>7.9</w:t>
      </w:r>
      <w:r w:rsidRPr="00440C76">
        <w:rPr>
          <w:lang w:val="fr-FR"/>
        </w:rPr>
        <w:tab/>
        <w:t>Le constructeur est responsable de l</w:t>
      </w:r>
      <w:r>
        <w:rPr>
          <w:lang w:val="fr-FR"/>
        </w:rPr>
        <w:t>’</w:t>
      </w:r>
      <w:r w:rsidRPr="00440C76">
        <w:rPr>
          <w:lang w:val="fr-FR"/>
        </w:rPr>
        <w:t>exécution, dans l</w:t>
      </w:r>
      <w:r>
        <w:rPr>
          <w:lang w:val="fr-FR"/>
        </w:rPr>
        <w:t>’</w:t>
      </w:r>
      <w:r w:rsidRPr="00440C76">
        <w:rPr>
          <w:lang w:val="fr-FR"/>
        </w:rPr>
        <w:t>ensemble des Parties contractantes concernées, du plan de mesures correctives approuvé et a la responsabilité de constituer un dossier comprenant tous les véhicules retirés du marché ou rappelés et réparés, avec l</w:t>
      </w:r>
      <w:r>
        <w:rPr>
          <w:lang w:val="fr-FR"/>
        </w:rPr>
        <w:t>’</w:t>
      </w:r>
      <w:r w:rsidRPr="00440C76">
        <w:rPr>
          <w:lang w:val="fr-FR"/>
        </w:rPr>
        <w:t>indication de l</w:t>
      </w:r>
      <w:r>
        <w:rPr>
          <w:lang w:val="fr-FR"/>
        </w:rPr>
        <w:t>’</w:t>
      </w:r>
      <w:r w:rsidRPr="00440C76">
        <w:rPr>
          <w:lang w:val="fr-FR"/>
        </w:rPr>
        <w:t>atelier qui a effectué les réparations.</w:t>
      </w:r>
    </w:p>
    <w:p w14:paraId="1121782C" w14:textId="77777777" w:rsidR="00BE2CA7" w:rsidRPr="00440C76" w:rsidRDefault="00BE2CA7" w:rsidP="00BE2CA7">
      <w:pPr>
        <w:pStyle w:val="SingleTxtG"/>
        <w:ind w:left="2268" w:hanging="1134"/>
        <w:rPr>
          <w:lang w:val="fr-FR"/>
        </w:rPr>
      </w:pPr>
      <w:r w:rsidRPr="00440C76">
        <w:rPr>
          <w:lang w:val="fr-FR"/>
        </w:rPr>
        <w:t>7.10</w:t>
      </w:r>
      <w:r w:rsidRPr="00440C76">
        <w:rPr>
          <w:lang w:val="fr-FR"/>
        </w:rPr>
        <w:tab/>
        <w:t>Le constructeur doit conserver une copie des communications échangées avec les clients des véhicules concernés relatives au plan de mesures correctives. Il doit également conserver un dossier de la campagne de rappel, contenant le nombre total de véhicules concernés par Partie contractante et le nombre total de véhicules déjà rappelés par Partie contractante, ainsi qu</w:t>
      </w:r>
      <w:r>
        <w:rPr>
          <w:lang w:val="fr-FR"/>
        </w:rPr>
        <w:t>’</w:t>
      </w:r>
      <w:r w:rsidRPr="00440C76">
        <w:rPr>
          <w:lang w:val="fr-FR"/>
        </w:rPr>
        <w:t>une explication de tout retard observé dans l</w:t>
      </w:r>
      <w:r>
        <w:rPr>
          <w:lang w:val="fr-FR"/>
        </w:rPr>
        <w:t>’</w:t>
      </w:r>
      <w:r w:rsidRPr="00440C76">
        <w:rPr>
          <w:lang w:val="fr-FR"/>
        </w:rPr>
        <w:t>application des mesures correctives. Il doit transmettre, tous les 2 mois, le dossier de la campagne de rappel à l</w:t>
      </w:r>
      <w:r>
        <w:rPr>
          <w:lang w:val="fr-FR"/>
        </w:rPr>
        <w:t>’</w:t>
      </w:r>
      <w:r w:rsidRPr="00440C76">
        <w:rPr>
          <w:lang w:val="fr-FR"/>
        </w:rPr>
        <w:t>autorité qui a délivré l</w:t>
      </w:r>
      <w:r>
        <w:rPr>
          <w:lang w:val="fr-FR"/>
        </w:rPr>
        <w:t>’</w:t>
      </w:r>
      <w:r w:rsidRPr="00440C76">
        <w:rPr>
          <w:lang w:val="fr-FR"/>
        </w:rPr>
        <w:t>homologation de type et aux autorités d</w:t>
      </w:r>
      <w:r>
        <w:rPr>
          <w:lang w:val="fr-FR"/>
        </w:rPr>
        <w:t>’</w:t>
      </w:r>
      <w:r w:rsidRPr="00440C76">
        <w:rPr>
          <w:lang w:val="fr-FR"/>
        </w:rPr>
        <w:t>homologation de chaque Partie contractante.</w:t>
      </w:r>
    </w:p>
    <w:p w14:paraId="4C0BEF86" w14:textId="77777777" w:rsidR="00BE2CA7" w:rsidRPr="00440C76" w:rsidRDefault="00BE2CA7" w:rsidP="00BE2CA7">
      <w:pPr>
        <w:pStyle w:val="SingleTxtG"/>
        <w:ind w:left="2268" w:hanging="1134"/>
        <w:rPr>
          <w:lang w:val="fr-FR"/>
        </w:rPr>
      </w:pPr>
      <w:r w:rsidRPr="00440C76">
        <w:rPr>
          <w:lang w:val="fr-FR"/>
        </w:rPr>
        <w:t>7.11</w:t>
      </w:r>
      <w:r w:rsidRPr="00440C76">
        <w:rPr>
          <w:lang w:val="fr-FR"/>
        </w:rPr>
        <w:tab/>
      </w:r>
      <w:r w:rsidRPr="00440C76">
        <w:rPr>
          <w:bCs/>
          <w:lang w:val="fr-FR"/>
        </w:rPr>
        <w:t xml:space="preserve">Les </w:t>
      </w:r>
      <w:r w:rsidRPr="00440C76">
        <w:rPr>
          <w:lang w:val="fr-FR"/>
        </w:rPr>
        <w:t>Parties contractantes</w:t>
      </w:r>
      <w:r w:rsidRPr="00440C76">
        <w:rPr>
          <w:bCs/>
          <w:lang w:val="fr-FR"/>
        </w:rPr>
        <w:t xml:space="preserve"> doivent prendre les mesures nécessaires pour que le plan de mesures correctives approuvé soit appliqué dans un délai de 2 ans à 90 % au moins des véhicules concernés immatriculés dans leur territoire</w:t>
      </w:r>
      <w:r w:rsidRPr="00440C76">
        <w:rPr>
          <w:lang w:val="fr-FR"/>
        </w:rPr>
        <w:t>.</w:t>
      </w:r>
    </w:p>
    <w:p w14:paraId="00F0C2B9" w14:textId="77777777" w:rsidR="00BE2CA7" w:rsidRPr="00440C76" w:rsidRDefault="00BE2CA7" w:rsidP="00BE2CA7">
      <w:pPr>
        <w:pStyle w:val="SingleTxtG"/>
        <w:ind w:left="2268" w:hanging="1134"/>
        <w:rPr>
          <w:lang w:val="fr-FR"/>
        </w:rPr>
      </w:pPr>
      <w:r w:rsidRPr="00440C76">
        <w:rPr>
          <w:lang w:val="fr-FR"/>
        </w:rPr>
        <w:lastRenderedPageBreak/>
        <w:t>7.12</w:t>
      </w:r>
      <w:r w:rsidRPr="00440C76">
        <w:rPr>
          <w:lang w:val="fr-FR"/>
        </w:rPr>
        <w:tab/>
        <w:t>La réparation effectuée et la modification apportée ou l</w:t>
      </w:r>
      <w:r>
        <w:rPr>
          <w:lang w:val="fr-FR"/>
        </w:rPr>
        <w:t>’</w:t>
      </w:r>
      <w:r w:rsidRPr="00440C76">
        <w:rPr>
          <w:lang w:val="fr-FR"/>
        </w:rPr>
        <w:t>ajout de nouveaux équipements doivent être signalés dans un certificat remis au propriétaire du véhicule, précisant le numéro de la campagne de mesures correctives.</w:t>
      </w:r>
    </w:p>
    <w:p w14:paraId="2F6ADAEC" w14:textId="77777777" w:rsidR="00BE2CA7" w:rsidRPr="00440C76" w:rsidRDefault="00BE2CA7" w:rsidP="00BE2CA7">
      <w:pPr>
        <w:pStyle w:val="SingleTxtG"/>
        <w:ind w:left="2268" w:hanging="1134"/>
        <w:rPr>
          <w:bCs/>
          <w:lang w:val="fr-FR"/>
        </w:rPr>
      </w:pPr>
      <w:r w:rsidRPr="00440C76">
        <w:rPr>
          <w:bCs/>
          <w:lang w:val="fr-FR"/>
        </w:rPr>
        <w:t>8.</w:t>
      </w:r>
      <w:r w:rsidRPr="00440C76">
        <w:rPr>
          <w:bCs/>
          <w:lang w:val="fr-FR"/>
        </w:rPr>
        <w:tab/>
      </w:r>
      <w:r w:rsidRPr="00440C76">
        <w:rPr>
          <w:lang w:val="fr-FR"/>
        </w:rPr>
        <w:t>Rapport</w:t>
      </w:r>
      <w:r w:rsidRPr="00440C76">
        <w:rPr>
          <w:bCs/>
          <w:lang w:val="fr-FR"/>
        </w:rPr>
        <w:t xml:space="preserve"> annuel de l</w:t>
      </w:r>
      <w:r>
        <w:rPr>
          <w:bCs/>
          <w:lang w:val="fr-FR"/>
        </w:rPr>
        <w:t>’</w:t>
      </w:r>
      <w:r w:rsidRPr="00440C76">
        <w:rPr>
          <w:bCs/>
          <w:lang w:val="fr-FR"/>
        </w:rPr>
        <w:t>autorité d</w:t>
      </w:r>
      <w:r>
        <w:rPr>
          <w:bCs/>
          <w:lang w:val="fr-FR"/>
        </w:rPr>
        <w:t>’</w:t>
      </w:r>
      <w:r w:rsidRPr="00440C76">
        <w:rPr>
          <w:bCs/>
          <w:lang w:val="fr-FR"/>
        </w:rPr>
        <w:t>homologation de type</w:t>
      </w:r>
    </w:p>
    <w:p w14:paraId="315D4D8D" w14:textId="77777777" w:rsidR="00BE2CA7" w:rsidRPr="00440C76" w:rsidRDefault="00BE2CA7" w:rsidP="00BE2CA7">
      <w:pPr>
        <w:pStyle w:val="SingleTxtG"/>
        <w:ind w:left="2268"/>
        <w:rPr>
          <w:highlight w:val="yellow"/>
          <w:lang w:val="fr-FR"/>
        </w:rPr>
      </w:pPr>
      <w:r w:rsidRPr="00440C76">
        <w:rPr>
          <w:lang w:val="fr-FR"/>
        </w:rPr>
        <w:t>L</w:t>
      </w:r>
      <w:r>
        <w:rPr>
          <w:lang w:val="fr-FR"/>
        </w:rPr>
        <w:t>’</w:t>
      </w:r>
      <w:r w:rsidRPr="00440C76">
        <w:rPr>
          <w:lang w:val="fr-FR"/>
        </w:rPr>
        <w:t>autorité d</w:t>
      </w:r>
      <w:r>
        <w:rPr>
          <w:lang w:val="fr-FR"/>
        </w:rPr>
        <w:t>’</w:t>
      </w:r>
      <w:r w:rsidRPr="00440C76">
        <w:rPr>
          <w:lang w:val="fr-FR"/>
        </w:rPr>
        <w:t>homologation de type doit mettre à disposition gratuitement, sur un site Web publiquement accessible et sans que l</w:t>
      </w:r>
      <w:r>
        <w:rPr>
          <w:lang w:val="fr-FR"/>
        </w:rPr>
        <w:t>’</w:t>
      </w:r>
      <w:r w:rsidRPr="00440C76">
        <w:rPr>
          <w:lang w:val="fr-FR"/>
        </w:rPr>
        <w:t>utilisateur ne soit contraint de révéler son identité ou de s</w:t>
      </w:r>
      <w:r>
        <w:rPr>
          <w:lang w:val="fr-FR"/>
        </w:rPr>
        <w:t>’</w:t>
      </w:r>
      <w:r w:rsidRPr="00440C76">
        <w:rPr>
          <w:lang w:val="fr-FR"/>
        </w:rPr>
        <w:t>enregistrer, un rapport contenant les résultats de toutes les enquêtes sur la conformité en service menées à terme au cours de l</w:t>
      </w:r>
      <w:r>
        <w:rPr>
          <w:lang w:val="fr-FR"/>
        </w:rPr>
        <w:t>’</w:t>
      </w:r>
      <w:r w:rsidRPr="00440C76">
        <w:rPr>
          <w:lang w:val="fr-FR"/>
        </w:rPr>
        <w:t>année précédente, au plus tard le 31 mars de chaque année. Si certaines enquêtes relatives à la conformité en service de l</w:t>
      </w:r>
      <w:r>
        <w:rPr>
          <w:lang w:val="fr-FR"/>
        </w:rPr>
        <w:t>’</w:t>
      </w:r>
      <w:r w:rsidRPr="00440C76">
        <w:rPr>
          <w:lang w:val="fr-FR"/>
        </w:rPr>
        <w:t>année précédente sont encore en cours à cette date, elles doivent être publiées dès leur clôture. Le rapport doit contenir au minimum les éléments énoncés à l</w:t>
      </w:r>
      <w:r>
        <w:rPr>
          <w:lang w:val="fr-FR"/>
        </w:rPr>
        <w:t>’</w:t>
      </w:r>
      <w:r w:rsidRPr="00440C76">
        <w:rPr>
          <w:lang w:val="fr-FR"/>
        </w:rPr>
        <w:t>appendice</w:t>
      </w:r>
      <w:r>
        <w:rPr>
          <w:lang w:val="fr-FR"/>
        </w:rPr>
        <w:t> </w:t>
      </w:r>
      <w:r w:rsidRPr="00440C76">
        <w:rPr>
          <w:lang w:val="fr-FR"/>
        </w:rPr>
        <w:t>4.</w:t>
      </w:r>
    </w:p>
    <w:p w14:paraId="6374F9F1" w14:textId="77777777" w:rsidR="00BE2CA7" w:rsidRPr="00440C76" w:rsidRDefault="00BE2CA7" w:rsidP="00BE2CA7">
      <w:pPr>
        <w:pStyle w:val="SingleTxtG"/>
        <w:rPr>
          <w:highlight w:val="yellow"/>
          <w:lang w:val="fr-FR"/>
        </w:rPr>
      </w:pPr>
      <w:r w:rsidRPr="00440C76">
        <w:rPr>
          <w:highlight w:val="yellow"/>
          <w:lang w:val="fr-FR"/>
        </w:rPr>
        <w:br w:type="page"/>
      </w:r>
    </w:p>
    <w:p w14:paraId="19A58156" w14:textId="77777777" w:rsidR="00BE2CA7" w:rsidRPr="004A7F64" w:rsidRDefault="00BE2CA7" w:rsidP="00BE2CA7">
      <w:pPr>
        <w:pStyle w:val="HChG"/>
      </w:pPr>
      <w:bookmarkStart w:id="34" w:name="_Toc116913996"/>
      <w:r w:rsidRPr="00440C76">
        <w:rPr>
          <w:lang w:val="fr-FR" w:eastAsia="en-GB"/>
        </w:rPr>
        <w:lastRenderedPageBreak/>
        <w:t>Annexe</w:t>
      </w:r>
      <w:r>
        <w:rPr>
          <w:lang w:val="fr-FR" w:eastAsia="en-GB"/>
        </w:rPr>
        <w:t> </w:t>
      </w:r>
      <w:r w:rsidRPr="00440C76">
        <w:rPr>
          <w:lang w:val="fr-FR" w:eastAsia="en-GB"/>
        </w:rPr>
        <w:t xml:space="preserve">4 − </w:t>
      </w:r>
      <w:r w:rsidRPr="00440C76">
        <w:rPr>
          <w:lang w:val="fr-FR"/>
        </w:rPr>
        <w:t>Appendice</w:t>
      </w:r>
      <w:r>
        <w:rPr>
          <w:lang w:val="fr-FR" w:eastAsia="en-GB"/>
        </w:rPr>
        <w:t> </w:t>
      </w:r>
      <w:r w:rsidRPr="00440C76">
        <w:rPr>
          <w:lang w:val="fr-FR" w:eastAsia="en-GB"/>
        </w:rPr>
        <w:t>1</w:t>
      </w:r>
      <w:bookmarkEnd w:id="34"/>
    </w:p>
    <w:p w14:paraId="7D5F75E3" w14:textId="77777777" w:rsidR="00BE2CA7" w:rsidRPr="004A7F64" w:rsidRDefault="00BE2CA7" w:rsidP="00BE2CA7">
      <w:pPr>
        <w:pStyle w:val="HChG"/>
      </w:pPr>
      <w:bookmarkStart w:id="35" w:name="_Toc116913997"/>
      <w:r w:rsidRPr="00440C76">
        <w:rPr>
          <w:lang w:val="fr-FR"/>
        </w:rPr>
        <w:tab/>
      </w:r>
      <w:r w:rsidRPr="00440C76">
        <w:rPr>
          <w:lang w:val="fr-FR"/>
        </w:rPr>
        <w:tab/>
      </w:r>
      <w:bookmarkEnd w:id="35"/>
      <w:r w:rsidRPr="00440C76">
        <w:rPr>
          <w:lang w:val="fr-FR"/>
        </w:rPr>
        <w:t xml:space="preserve">Critères applicables pour la sélection des véhicules </w:t>
      </w:r>
      <w:r>
        <w:rPr>
          <w:lang w:val="fr-FR"/>
        </w:rPr>
        <w:br/>
      </w:r>
      <w:r w:rsidRPr="00440C76">
        <w:rPr>
          <w:lang w:val="fr-FR"/>
        </w:rPr>
        <w:t>et la décision de rejet des véhicules</w:t>
      </w:r>
    </w:p>
    <w:p w14:paraId="523A87C4" w14:textId="77777777" w:rsidR="00BE2CA7" w:rsidRPr="00440C76" w:rsidRDefault="00BE2CA7" w:rsidP="00BE2CA7">
      <w:pPr>
        <w:pStyle w:val="SingleTxtG"/>
        <w:ind w:firstLine="567"/>
        <w:rPr>
          <w:lang w:val="fr-FR"/>
        </w:rPr>
      </w:pPr>
      <w:r w:rsidRPr="00440C76">
        <w:rPr>
          <w:lang w:val="fr-FR"/>
        </w:rPr>
        <w:t>L</w:t>
      </w:r>
      <w:r>
        <w:rPr>
          <w:lang w:val="fr-FR"/>
        </w:rPr>
        <w:t>’</w:t>
      </w:r>
      <w:r w:rsidRPr="00440C76">
        <w:rPr>
          <w:lang w:val="fr-FR"/>
        </w:rPr>
        <w:t>enquête sur les véhicules doit être utilisée afin de sélectionner des véhicules correctement entretenus pour le contrôle de la conformité en service. Les véhicules répondant à un ou plusieurs des critères d</w:t>
      </w:r>
      <w:r>
        <w:rPr>
          <w:lang w:val="fr-FR"/>
        </w:rPr>
        <w:t>’</w:t>
      </w:r>
      <w:r w:rsidRPr="00440C76">
        <w:rPr>
          <w:lang w:val="fr-FR"/>
        </w:rPr>
        <w:t>exclusion ci-dessous doivent être exclus du contrôle ou doivent être réparés puis sélectionnés.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
        <w:gridCol w:w="4614"/>
        <w:gridCol w:w="1156"/>
        <w:gridCol w:w="1349"/>
        <w:gridCol w:w="1639"/>
      </w:tblGrid>
      <w:tr w:rsidR="00BE2CA7" w:rsidRPr="00440C76" w14:paraId="3BC233F2" w14:textId="77777777" w:rsidTr="002B0590">
        <w:tc>
          <w:tcPr>
            <w:tcW w:w="9286" w:type="dxa"/>
            <w:gridSpan w:val="5"/>
            <w:tcMar>
              <w:left w:w="0" w:type="dxa"/>
              <w:right w:w="0" w:type="dxa"/>
            </w:tcMar>
          </w:tcPr>
          <w:p w14:paraId="2A773F40" w14:textId="77777777" w:rsidR="00BE2CA7" w:rsidRPr="00440C76" w:rsidRDefault="00BE2CA7" w:rsidP="002B0590">
            <w:pPr>
              <w:spacing w:before="80" w:after="80" w:line="200" w:lineRule="atLeast"/>
              <w:ind w:left="57" w:right="57"/>
              <w:jc w:val="center"/>
              <w:rPr>
                <w:sz w:val="16"/>
                <w:szCs w:val="16"/>
                <w:lang w:val="fr-FR"/>
              </w:rPr>
            </w:pPr>
            <w:r w:rsidRPr="00440C76">
              <w:rPr>
                <w:i/>
                <w:iCs/>
                <w:sz w:val="16"/>
                <w:szCs w:val="16"/>
                <w:lang w:val="fr-FR"/>
              </w:rPr>
              <w:t>Sélection des véhicules aux fins des essais de conformité en service au regard des émissions</w:t>
            </w:r>
          </w:p>
        </w:tc>
      </w:tr>
      <w:tr w:rsidR="00BE2CA7" w:rsidRPr="00440C76" w14:paraId="284CEC3B" w14:textId="77777777" w:rsidTr="002B0590">
        <w:tc>
          <w:tcPr>
            <w:tcW w:w="848" w:type="dxa"/>
            <w:tcMar>
              <w:left w:w="0" w:type="dxa"/>
              <w:right w:w="0" w:type="dxa"/>
            </w:tcMar>
          </w:tcPr>
          <w:p w14:paraId="244F9F83" w14:textId="77777777" w:rsidR="00BE2CA7" w:rsidRPr="00440C76" w:rsidRDefault="00BE2CA7" w:rsidP="002B0590">
            <w:pPr>
              <w:spacing w:before="60" w:after="60" w:line="220" w:lineRule="atLeast"/>
              <w:ind w:left="57" w:right="57"/>
              <w:rPr>
                <w:sz w:val="18"/>
                <w:szCs w:val="18"/>
                <w:lang w:val="fr-FR"/>
              </w:rPr>
            </w:pPr>
          </w:p>
        </w:tc>
        <w:tc>
          <w:tcPr>
            <w:tcW w:w="4445" w:type="dxa"/>
            <w:tcMar>
              <w:left w:w="0" w:type="dxa"/>
              <w:right w:w="0" w:type="dxa"/>
            </w:tcMar>
          </w:tcPr>
          <w:p w14:paraId="1DA71AD7" w14:textId="77777777" w:rsidR="00BE2CA7" w:rsidRPr="00440C76" w:rsidRDefault="00BE2CA7" w:rsidP="002B0590">
            <w:pPr>
              <w:spacing w:before="60" w:after="60" w:line="220" w:lineRule="atLeast"/>
              <w:ind w:left="57" w:right="57"/>
              <w:rPr>
                <w:sz w:val="18"/>
                <w:szCs w:val="18"/>
                <w:lang w:val="fr-FR"/>
              </w:rPr>
            </w:pPr>
          </w:p>
        </w:tc>
        <w:tc>
          <w:tcPr>
            <w:tcW w:w="1114" w:type="dxa"/>
            <w:tcMar>
              <w:left w:w="0" w:type="dxa"/>
              <w:right w:w="0" w:type="dxa"/>
            </w:tcMar>
          </w:tcPr>
          <w:p w14:paraId="2EBD7110" w14:textId="77777777" w:rsidR="00BE2CA7" w:rsidRPr="00440C76" w:rsidRDefault="00BE2CA7" w:rsidP="002B0590">
            <w:pPr>
              <w:spacing w:before="60" w:after="60" w:line="220" w:lineRule="atLeast"/>
              <w:ind w:left="57" w:right="57"/>
              <w:rPr>
                <w:i/>
                <w:iCs/>
                <w:sz w:val="18"/>
                <w:szCs w:val="18"/>
                <w:lang w:val="fr-FR"/>
              </w:rPr>
            </w:pPr>
          </w:p>
        </w:tc>
        <w:tc>
          <w:tcPr>
            <w:tcW w:w="1300" w:type="dxa"/>
            <w:tcMar>
              <w:left w:w="0" w:type="dxa"/>
              <w:right w:w="0" w:type="dxa"/>
            </w:tcMar>
          </w:tcPr>
          <w:p w14:paraId="34A74D2D" w14:textId="77777777" w:rsidR="00BE2CA7" w:rsidRPr="00440C76" w:rsidRDefault="00BE2CA7" w:rsidP="002B0590">
            <w:pPr>
              <w:spacing w:before="60" w:after="60" w:line="220" w:lineRule="atLeast"/>
              <w:ind w:left="57" w:right="57"/>
              <w:rPr>
                <w:i/>
                <w:iCs/>
                <w:sz w:val="18"/>
                <w:szCs w:val="18"/>
                <w:lang w:val="fr-FR"/>
              </w:rPr>
            </w:pPr>
          </w:p>
        </w:tc>
        <w:tc>
          <w:tcPr>
            <w:tcW w:w="1579" w:type="dxa"/>
            <w:tcMar>
              <w:left w:w="0" w:type="dxa"/>
              <w:right w:w="0" w:type="dxa"/>
            </w:tcMar>
          </w:tcPr>
          <w:p w14:paraId="11489370"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Confidentiel</w:t>
            </w:r>
          </w:p>
        </w:tc>
      </w:tr>
      <w:tr w:rsidR="00BE2CA7" w:rsidRPr="00440C76" w14:paraId="6C3EBA90" w14:textId="77777777" w:rsidTr="002B0590">
        <w:tc>
          <w:tcPr>
            <w:tcW w:w="5293" w:type="dxa"/>
            <w:gridSpan w:val="2"/>
            <w:tcMar>
              <w:left w:w="0" w:type="dxa"/>
              <w:right w:w="0" w:type="dxa"/>
            </w:tcMar>
          </w:tcPr>
          <w:p w14:paraId="2A0F6448" w14:textId="77777777" w:rsidR="00BE2CA7" w:rsidRPr="00440C76" w:rsidRDefault="00BE2CA7" w:rsidP="002B0590">
            <w:pPr>
              <w:spacing w:before="60" w:after="60" w:line="220" w:lineRule="atLeast"/>
              <w:ind w:left="57" w:right="57"/>
              <w:rPr>
                <w:sz w:val="18"/>
                <w:szCs w:val="18"/>
                <w:lang w:val="fr-FR"/>
              </w:rPr>
            </w:pPr>
            <w:r w:rsidRPr="00440C76">
              <w:rPr>
                <w:i/>
                <w:iCs/>
                <w:sz w:val="18"/>
                <w:szCs w:val="18"/>
                <w:lang w:val="fr-FR"/>
              </w:rPr>
              <w:t>Date :</w:t>
            </w:r>
          </w:p>
        </w:tc>
        <w:tc>
          <w:tcPr>
            <w:tcW w:w="1114" w:type="dxa"/>
            <w:tcMar>
              <w:left w:w="0" w:type="dxa"/>
              <w:right w:w="0" w:type="dxa"/>
            </w:tcMar>
          </w:tcPr>
          <w:p w14:paraId="2B86F79F" w14:textId="77777777" w:rsidR="00BE2CA7" w:rsidRPr="00440C76" w:rsidRDefault="00BE2CA7" w:rsidP="002B0590">
            <w:pPr>
              <w:spacing w:before="60" w:after="60" w:line="220" w:lineRule="atLeast"/>
              <w:ind w:left="57" w:right="57"/>
              <w:rPr>
                <w:i/>
                <w:iCs/>
                <w:sz w:val="18"/>
                <w:szCs w:val="18"/>
                <w:lang w:val="fr-FR"/>
              </w:rPr>
            </w:pPr>
          </w:p>
        </w:tc>
        <w:tc>
          <w:tcPr>
            <w:tcW w:w="1300" w:type="dxa"/>
            <w:tcMar>
              <w:left w:w="0" w:type="dxa"/>
              <w:right w:w="0" w:type="dxa"/>
            </w:tcMar>
          </w:tcPr>
          <w:p w14:paraId="73D663F4" w14:textId="77777777" w:rsidR="00BE2CA7" w:rsidRPr="00440C76" w:rsidRDefault="00BE2CA7" w:rsidP="002B0590">
            <w:pPr>
              <w:spacing w:before="60" w:after="60" w:line="220" w:lineRule="atLeast"/>
              <w:ind w:left="57" w:right="57"/>
              <w:rPr>
                <w:i/>
                <w:iCs/>
                <w:sz w:val="18"/>
                <w:szCs w:val="18"/>
                <w:lang w:val="fr-FR"/>
              </w:rPr>
            </w:pPr>
          </w:p>
        </w:tc>
        <w:tc>
          <w:tcPr>
            <w:tcW w:w="1579" w:type="dxa"/>
            <w:tcMar>
              <w:left w:w="0" w:type="dxa"/>
              <w:right w:w="0" w:type="dxa"/>
            </w:tcMar>
          </w:tcPr>
          <w:p w14:paraId="02C575A4"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x</w:t>
            </w:r>
          </w:p>
        </w:tc>
      </w:tr>
      <w:tr w:rsidR="00BE2CA7" w:rsidRPr="00440C76" w14:paraId="45D2E542" w14:textId="77777777" w:rsidTr="002B0590">
        <w:tc>
          <w:tcPr>
            <w:tcW w:w="5293" w:type="dxa"/>
            <w:gridSpan w:val="2"/>
            <w:tcMar>
              <w:left w:w="0" w:type="dxa"/>
              <w:right w:w="0" w:type="dxa"/>
            </w:tcMar>
          </w:tcPr>
          <w:p w14:paraId="3D882A0A" w14:textId="77777777" w:rsidR="00BE2CA7" w:rsidRPr="00440C76" w:rsidRDefault="00BE2CA7" w:rsidP="002B0590">
            <w:pPr>
              <w:spacing w:before="60" w:after="60" w:line="220" w:lineRule="atLeast"/>
              <w:ind w:left="57" w:right="57"/>
              <w:rPr>
                <w:sz w:val="18"/>
                <w:szCs w:val="18"/>
                <w:lang w:val="fr-FR"/>
              </w:rPr>
            </w:pPr>
            <w:r w:rsidRPr="00440C76">
              <w:rPr>
                <w:i/>
                <w:iCs/>
                <w:sz w:val="18"/>
                <w:szCs w:val="18"/>
                <w:lang w:val="fr-FR"/>
              </w:rPr>
              <w:t>Nom du vérificateur :</w:t>
            </w:r>
          </w:p>
        </w:tc>
        <w:tc>
          <w:tcPr>
            <w:tcW w:w="1114" w:type="dxa"/>
            <w:tcMar>
              <w:left w:w="0" w:type="dxa"/>
              <w:right w:w="0" w:type="dxa"/>
            </w:tcMar>
          </w:tcPr>
          <w:p w14:paraId="2BC198A0" w14:textId="77777777" w:rsidR="00BE2CA7" w:rsidRPr="00440C76" w:rsidRDefault="00BE2CA7" w:rsidP="002B0590">
            <w:pPr>
              <w:spacing w:before="60" w:after="60" w:line="220" w:lineRule="atLeast"/>
              <w:ind w:left="57" w:right="57"/>
              <w:rPr>
                <w:i/>
                <w:iCs/>
                <w:sz w:val="18"/>
                <w:szCs w:val="18"/>
                <w:lang w:val="fr-FR"/>
              </w:rPr>
            </w:pPr>
          </w:p>
        </w:tc>
        <w:tc>
          <w:tcPr>
            <w:tcW w:w="1300" w:type="dxa"/>
            <w:tcMar>
              <w:left w:w="0" w:type="dxa"/>
              <w:right w:w="0" w:type="dxa"/>
            </w:tcMar>
          </w:tcPr>
          <w:p w14:paraId="3D09078B" w14:textId="77777777" w:rsidR="00BE2CA7" w:rsidRPr="00440C76" w:rsidRDefault="00BE2CA7" w:rsidP="002B0590">
            <w:pPr>
              <w:spacing w:before="60" w:after="60" w:line="220" w:lineRule="atLeast"/>
              <w:ind w:left="57" w:right="57"/>
              <w:rPr>
                <w:i/>
                <w:iCs/>
                <w:sz w:val="18"/>
                <w:szCs w:val="18"/>
                <w:lang w:val="fr-FR"/>
              </w:rPr>
            </w:pPr>
          </w:p>
        </w:tc>
        <w:tc>
          <w:tcPr>
            <w:tcW w:w="1579" w:type="dxa"/>
            <w:tcMar>
              <w:left w:w="0" w:type="dxa"/>
              <w:right w:w="0" w:type="dxa"/>
            </w:tcMar>
          </w:tcPr>
          <w:p w14:paraId="1E733C09"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x</w:t>
            </w:r>
          </w:p>
        </w:tc>
      </w:tr>
      <w:tr w:rsidR="00BE2CA7" w:rsidRPr="00440C76" w14:paraId="64428734" w14:textId="77777777" w:rsidTr="002B0590">
        <w:tc>
          <w:tcPr>
            <w:tcW w:w="5293" w:type="dxa"/>
            <w:gridSpan w:val="2"/>
            <w:tcMar>
              <w:left w:w="0" w:type="dxa"/>
              <w:right w:w="0" w:type="dxa"/>
            </w:tcMar>
          </w:tcPr>
          <w:p w14:paraId="46B1F376" w14:textId="77777777" w:rsidR="00BE2CA7" w:rsidRPr="00440C76" w:rsidRDefault="00BE2CA7" w:rsidP="002B0590">
            <w:pPr>
              <w:spacing w:before="60" w:after="60" w:line="220" w:lineRule="atLeast"/>
              <w:ind w:left="57" w:right="57"/>
              <w:rPr>
                <w:sz w:val="18"/>
                <w:szCs w:val="18"/>
                <w:lang w:val="fr-FR"/>
              </w:rPr>
            </w:pPr>
            <w:r w:rsidRPr="00440C76">
              <w:rPr>
                <w:i/>
                <w:iCs/>
                <w:sz w:val="18"/>
                <w:szCs w:val="18"/>
                <w:lang w:val="fr-FR"/>
              </w:rPr>
              <w:t>Lieu de l</w:t>
            </w:r>
            <w:r>
              <w:rPr>
                <w:i/>
                <w:iCs/>
                <w:sz w:val="18"/>
                <w:szCs w:val="18"/>
                <w:lang w:val="fr-FR"/>
              </w:rPr>
              <w:t>’</w:t>
            </w:r>
            <w:r w:rsidRPr="00440C76">
              <w:rPr>
                <w:i/>
                <w:iCs/>
                <w:sz w:val="18"/>
                <w:szCs w:val="18"/>
                <w:lang w:val="fr-FR"/>
              </w:rPr>
              <w:t>essai :</w:t>
            </w:r>
          </w:p>
        </w:tc>
        <w:tc>
          <w:tcPr>
            <w:tcW w:w="1114" w:type="dxa"/>
            <w:tcMar>
              <w:left w:w="0" w:type="dxa"/>
              <w:right w:w="0" w:type="dxa"/>
            </w:tcMar>
          </w:tcPr>
          <w:p w14:paraId="33D5D195" w14:textId="77777777" w:rsidR="00BE2CA7" w:rsidRPr="00440C76" w:rsidRDefault="00BE2CA7" w:rsidP="002B0590">
            <w:pPr>
              <w:spacing w:before="60" w:after="60" w:line="220" w:lineRule="atLeast"/>
              <w:ind w:left="57" w:right="57"/>
              <w:rPr>
                <w:i/>
                <w:iCs/>
                <w:sz w:val="18"/>
                <w:szCs w:val="18"/>
                <w:lang w:val="fr-FR"/>
              </w:rPr>
            </w:pPr>
          </w:p>
        </w:tc>
        <w:tc>
          <w:tcPr>
            <w:tcW w:w="1300" w:type="dxa"/>
            <w:tcMar>
              <w:left w:w="0" w:type="dxa"/>
              <w:right w:w="0" w:type="dxa"/>
            </w:tcMar>
          </w:tcPr>
          <w:p w14:paraId="2CD60132" w14:textId="77777777" w:rsidR="00BE2CA7" w:rsidRPr="00440C76" w:rsidRDefault="00BE2CA7" w:rsidP="002B0590">
            <w:pPr>
              <w:spacing w:before="60" w:after="60" w:line="220" w:lineRule="atLeast"/>
              <w:ind w:left="57" w:right="57"/>
              <w:rPr>
                <w:i/>
                <w:iCs/>
                <w:sz w:val="18"/>
                <w:szCs w:val="18"/>
                <w:lang w:val="fr-FR"/>
              </w:rPr>
            </w:pPr>
          </w:p>
        </w:tc>
        <w:tc>
          <w:tcPr>
            <w:tcW w:w="1579" w:type="dxa"/>
            <w:tcMar>
              <w:left w:w="0" w:type="dxa"/>
              <w:right w:w="0" w:type="dxa"/>
            </w:tcMar>
          </w:tcPr>
          <w:p w14:paraId="28F89A41"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x</w:t>
            </w:r>
          </w:p>
        </w:tc>
      </w:tr>
      <w:tr w:rsidR="00BE2CA7" w:rsidRPr="00440C76" w14:paraId="70C28E33" w14:textId="77777777" w:rsidTr="002B0590">
        <w:tc>
          <w:tcPr>
            <w:tcW w:w="5293" w:type="dxa"/>
            <w:gridSpan w:val="2"/>
            <w:tcMar>
              <w:left w:w="0" w:type="dxa"/>
              <w:right w:w="0" w:type="dxa"/>
            </w:tcMar>
          </w:tcPr>
          <w:p w14:paraId="6749BCB1" w14:textId="77777777" w:rsidR="00BE2CA7" w:rsidRPr="00440C76" w:rsidRDefault="00BE2CA7" w:rsidP="002B0590">
            <w:pPr>
              <w:spacing w:before="60" w:after="60" w:line="220" w:lineRule="atLeast"/>
              <w:ind w:left="57" w:right="57"/>
              <w:rPr>
                <w:sz w:val="18"/>
                <w:szCs w:val="18"/>
                <w:lang w:val="fr-FR"/>
              </w:rPr>
            </w:pPr>
            <w:r w:rsidRPr="00440C76">
              <w:rPr>
                <w:i/>
                <w:iCs/>
                <w:sz w:val="18"/>
                <w:szCs w:val="18"/>
                <w:lang w:val="fr-FR"/>
              </w:rPr>
              <w:t>Pays d</w:t>
            </w:r>
            <w:r>
              <w:rPr>
                <w:i/>
                <w:iCs/>
                <w:sz w:val="18"/>
                <w:szCs w:val="18"/>
                <w:lang w:val="fr-FR"/>
              </w:rPr>
              <w:t>’</w:t>
            </w:r>
            <w:r w:rsidRPr="00440C76">
              <w:rPr>
                <w:i/>
                <w:iCs/>
                <w:sz w:val="18"/>
                <w:szCs w:val="18"/>
                <w:lang w:val="fr-FR"/>
              </w:rPr>
              <w:t>immatriculation :</w:t>
            </w:r>
          </w:p>
        </w:tc>
        <w:tc>
          <w:tcPr>
            <w:tcW w:w="1114" w:type="dxa"/>
            <w:tcMar>
              <w:left w:w="0" w:type="dxa"/>
              <w:right w:w="0" w:type="dxa"/>
            </w:tcMar>
          </w:tcPr>
          <w:p w14:paraId="12D8B43C" w14:textId="77777777" w:rsidR="00BE2CA7" w:rsidRPr="00440C76" w:rsidRDefault="00BE2CA7" w:rsidP="002B0590">
            <w:pPr>
              <w:spacing w:before="60" w:after="60" w:line="220" w:lineRule="atLeast"/>
              <w:ind w:left="57" w:right="57"/>
              <w:rPr>
                <w:i/>
                <w:iCs/>
                <w:sz w:val="18"/>
                <w:szCs w:val="18"/>
                <w:lang w:val="fr-FR"/>
              </w:rPr>
            </w:pPr>
          </w:p>
        </w:tc>
        <w:tc>
          <w:tcPr>
            <w:tcW w:w="1300" w:type="dxa"/>
            <w:tcMar>
              <w:left w:w="0" w:type="dxa"/>
              <w:right w:w="0" w:type="dxa"/>
            </w:tcMar>
          </w:tcPr>
          <w:p w14:paraId="1E8724C9"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x</w:t>
            </w:r>
          </w:p>
        </w:tc>
        <w:tc>
          <w:tcPr>
            <w:tcW w:w="1579" w:type="dxa"/>
            <w:tcMar>
              <w:left w:w="0" w:type="dxa"/>
              <w:right w:w="0" w:type="dxa"/>
            </w:tcMar>
          </w:tcPr>
          <w:p w14:paraId="419AF555" w14:textId="77777777" w:rsidR="00BE2CA7" w:rsidRPr="00440C76" w:rsidRDefault="00BE2CA7" w:rsidP="002B0590">
            <w:pPr>
              <w:spacing w:before="60" w:after="60" w:line="220" w:lineRule="atLeast"/>
              <w:ind w:left="57" w:right="57"/>
              <w:rPr>
                <w:i/>
                <w:iCs/>
                <w:sz w:val="18"/>
                <w:szCs w:val="18"/>
                <w:lang w:val="fr-FR"/>
              </w:rPr>
            </w:pPr>
          </w:p>
        </w:tc>
      </w:tr>
      <w:tr w:rsidR="00BE2CA7" w:rsidRPr="00440C76" w14:paraId="37532D2C" w14:textId="77777777" w:rsidTr="002B0590">
        <w:tc>
          <w:tcPr>
            <w:tcW w:w="848" w:type="dxa"/>
            <w:tcMar>
              <w:left w:w="0" w:type="dxa"/>
              <w:right w:w="0" w:type="dxa"/>
            </w:tcMar>
          </w:tcPr>
          <w:p w14:paraId="72D62FF0" w14:textId="77777777" w:rsidR="00BE2CA7" w:rsidRPr="00440C76" w:rsidRDefault="00BE2CA7" w:rsidP="002B0590">
            <w:pPr>
              <w:spacing w:before="60" w:after="60" w:line="220" w:lineRule="atLeast"/>
              <w:ind w:left="57" w:right="57"/>
              <w:rPr>
                <w:sz w:val="18"/>
                <w:szCs w:val="18"/>
                <w:lang w:val="fr-FR"/>
              </w:rPr>
            </w:pPr>
          </w:p>
        </w:tc>
        <w:tc>
          <w:tcPr>
            <w:tcW w:w="4445" w:type="dxa"/>
            <w:tcMar>
              <w:left w:w="0" w:type="dxa"/>
              <w:right w:w="0" w:type="dxa"/>
            </w:tcMar>
          </w:tcPr>
          <w:p w14:paraId="1DF9FC4E" w14:textId="77777777" w:rsidR="00BE2CA7" w:rsidRPr="00440C76" w:rsidRDefault="00BE2CA7" w:rsidP="002B0590">
            <w:pPr>
              <w:spacing w:before="60" w:after="60" w:line="220" w:lineRule="atLeast"/>
              <w:ind w:left="57" w:right="57"/>
              <w:rPr>
                <w:sz w:val="18"/>
                <w:szCs w:val="18"/>
                <w:lang w:val="fr-FR"/>
              </w:rPr>
            </w:pPr>
          </w:p>
        </w:tc>
        <w:tc>
          <w:tcPr>
            <w:tcW w:w="1114" w:type="dxa"/>
            <w:vMerge w:val="restart"/>
            <w:tcMar>
              <w:left w:w="0" w:type="dxa"/>
              <w:right w:w="0" w:type="dxa"/>
            </w:tcMar>
            <w:vAlign w:val="center"/>
          </w:tcPr>
          <w:p w14:paraId="1A510864"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x = critères d</w:t>
            </w:r>
            <w:r>
              <w:rPr>
                <w:i/>
                <w:iCs/>
                <w:sz w:val="18"/>
                <w:szCs w:val="18"/>
                <w:lang w:val="fr-FR"/>
              </w:rPr>
              <w:t>’</w:t>
            </w:r>
            <w:r w:rsidRPr="00440C76">
              <w:rPr>
                <w:i/>
                <w:iCs/>
                <w:sz w:val="18"/>
                <w:szCs w:val="18"/>
                <w:lang w:val="fr-FR"/>
              </w:rPr>
              <w:t>exclusion</w:t>
            </w:r>
          </w:p>
        </w:tc>
        <w:tc>
          <w:tcPr>
            <w:tcW w:w="1300" w:type="dxa"/>
            <w:vMerge w:val="restart"/>
            <w:tcMar>
              <w:left w:w="0" w:type="dxa"/>
              <w:right w:w="0" w:type="dxa"/>
            </w:tcMar>
            <w:vAlign w:val="center"/>
          </w:tcPr>
          <w:p w14:paraId="31BBA5D1"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x = vérifié et consigné</w:t>
            </w:r>
          </w:p>
        </w:tc>
        <w:tc>
          <w:tcPr>
            <w:tcW w:w="1579" w:type="dxa"/>
            <w:tcMar>
              <w:left w:w="0" w:type="dxa"/>
              <w:right w:w="0" w:type="dxa"/>
            </w:tcMar>
          </w:tcPr>
          <w:p w14:paraId="06D51354" w14:textId="77777777" w:rsidR="00BE2CA7" w:rsidRPr="00440C76" w:rsidRDefault="00BE2CA7" w:rsidP="002B0590">
            <w:pPr>
              <w:spacing w:before="60" w:after="60" w:line="220" w:lineRule="atLeast"/>
              <w:ind w:left="57" w:right="57"/>
              <w:rPr>
                <w:i/>
                <w:iCs/>
                <w:sz w:val="18"/>
                <w:szCs w:val="18"/>
                <w:lang w:val="fr-FR"/>
              </w:rPr>
            </w:pPr>
          </w:p>
        </w:tc>
      </w:tr>
      <w:tr w:rsidR="00BE2CA7" w:rsidRPr="00440C76" w14:paraId="0B9F83EE" w14:textId="77777777" w:rsidTr="002B0590">
        <w:tc>
          <w:tcPr>
            <w:tcW w:w="5293" w:type="dxa"/>
            <w:gridSpan w:val="2"/>
            <w:tcMar>
              <w:left w:w="0" w:type="dxa"/>
              <w:right w:w="0" w:type="dxa"/>
            </w:tcMar>
          </w:tcPr>
          <w:p w14:paraId="0CF8B88B" w14:textId="77777777" w:rsidR="00BE2CA7" w:rsidRPr="00440C76" w:rsidRDefault="00BE2CA7" w:rsidP="002B0590">
            <w:pPr>
              <w:spacing w:before="60" w:after="60" w:line="220" w:lineRule="atLeast"/>
              <w:ind w:left="57" w:right="57"/>
              <w:rPr>
                <w:sz w:val="18"/>
                <w:szCs w:val="18"/>
                <w:lang w:val="fr-FR"/>
              </w:rPr>
            </w:pPr>
            <w:r w:rsidRPr="00440C76">
              <w:rPr>
                <w:i/>
                <w:iCs/>
                <w:sz w:val="18"/>
                <w:szCs w:val="18"/>
                <w:lang w:val="fr-FR"/>
              </w:rPr>
              <w:t>Caractéristiques du véhicule</w:t>
            </w:r>
          </w:p>
        </w:tc>
        <w:tc>
          <w:tcPr>
            <w:tcW w:w="1114" w:type="dxa"/>
            <w:vMerge/>
            <w:tcMar>
              <w:left w:w="0" w:type="dxa"/>
              <w:right w:w="0" w:type="dxa"/>
            </w:tcMar>
          </w:tcPr>
          <w:p w14:paraId="3CCC71E1" w14:textId="77777777" w:rsidR="00BE2CA7" w:rsidRPr="00440C76" w:rsidRDefault="00BE2CA7" w:rsidP="002B0590">
            <w:pPr>
              <w:spacing w:before="60" w:after="60" w:line="220" w:lineRule="atLeast"/>
              <w:ind w:left="57" w:right="57"/>
              <w:rPr>
                <w:i/>
                <w:iCs/>
                <w:sz w:val="18"/>
                <w:szCs w:val="18"/>
                <w:lang w:val="fr-FR"/>
              </w:rPr>
            </w:pPr>
          </w:p>
        </w:tc>
        <w:tc>
          <w:tcPr>
            <w:tcW w:w="1300" w:type="dxa"/>
            <w:vMerge/>
            <w:tcMar>
              <w:left w:w="0" w:type="dxa"/>
              <w:right w:w="0" w:type="dxa"/>
            </w:tcMar>
          </w:tcPr>
          <w:p w14:paraId="0A39A639" w14:textId="77777777" w:rsidR="00BE2CA7" w:rsidRPr="00440C76" w:rsidRDefault="00BE2CA7" w:rsidP="002B0590">
            <w:pPr>
              <w:spacing w:before="60" w:after="60" w:line="220" w:lineRule="atLeast"/>
              <w:ind w:left="57" w:right="57"/>
              <w:rPr>
                <w:i/>
                <w:iCs/>
                <w:sz w:val="18"/>
                <w:szCs w:val="18"/>
                <w:lang w:val="fr-FR"/>
              </w:rPr>
            </w:pPr>
          </w:p>
        </w:tc>
        <w:tc>
          <w:tcPr>
            <w:tcW w:w="1579" w:type="dxa"/>
            <w:tcMar>
              <w:left w:w="0" w:type="dxa"/>
              <w:right w:w="0" w:type="dxa"/>
            </w:tcMar>
          </w:tcPr>
          <w:p w14:paraId="60AA983F" w14:textId="77777777" w:rsidR="00BE2CA7" w:rsidRPr="00440C76" w:rsidRDefault="00BE2CA7" w:rsidP="002B0590">
            <w:pPr>
              <w:spacing w:before="60" w:after="60" w:line="220" w:lineRule="atLeast"/>
              <w:ind w:left="57" w:right="57"/>
              <w:rPr>
                <w:i/>
                <w:iCs/>
                <w:sz w:val="18"/>
                <w:szCs w:val="18"/>
                <w:lang w:val="fr-FR"/>
              </w:rPr>
            </w:pPr>
          </w:p>
        </w:tc>
      </w:tr>
      <w:tr w:rsidR="00BE2CA7" w:rsidRPr="00440C76" w14:paraId="24A13828" w14:textId="77777777" w:rsidTr="002B0590">
        <w:tc>
          <w:tcPr>
            <w:tcW w:w="848" w:type="dxa"/>
            <w:tcMar>
              <w:left w:w="0" w:type="dxa"/>
              <w:right w:w="0" w:type="dxa"/>
            </w:tcMar>
          </w:tcPr>
          <w:p w14:paraId="0194E92D" w14:textId="77777777" w:rsidR="00BE2CA7" w:rsidRPr="00440C76" w:rsidRDefault="00BE2CA7" w:rsidP="002B0590">
            <w:pPr>
              <w:spacing w:before="60" w:after="60" w:line="220" w:lineRule="atLeast"/>
              <w:ind w:left="57" w:right="57"/>
              <w:rPr>
                <w:sz w:val="18"/>
                <w:szCs w:val="18"/>
                <w:lang w:val="fr-FR"/>
              </w:rPr>
            </w:pPr>
          </w:p>
        </w:tc>
        <w:tc>
          <w:tcPr>
            <w:tcW w:w="4445" w:type="dxa"/>
            <w:tcMar>
              <w:left w:w="0" w:type="dxa"/>
              <w:right w:w="0" w:type="dxa"/>
            </w:tcMar>
          </w:tcPr>
          <w:p w14:paraId="48C2212A" w14:textId="77777777" w:rsidR="00BE2CA7" w:rsidRPr="00440C76" w:rsidRDefault="00BE2CA7" w:rsidP="002B0590">
            <w:pPr>
              <w:spacing w:before="60" w:after="60" w:line="220" w:lineRule="atLeast"/>
              <w:ind w:left="57" w:right="57"/>
              <w:rPr>
                <w:sz w:val="18"/>
                <w:szCs w:val="18"/>
                <w:lang w:val="fr-FR"/>
              </w:rPr>
            </w:pPr>
          </w:p>
        </w:tc>
        <w:tc>
          <w:tcPr>
            <w:tcW w:w="1114" w:type="dxa"/>
            <w:vMerge/>
            <w:tcMar>
              <w:left w:w="0" w:type="dxa"/>
              <w:right w:w="0" w:type="dxa"/>
            </w:tcMar>
          </w:tcPr>
          <w:p w14:paraId="5A7F1C7A" w14:textId="77777777" w:rsidR="00BE2CA7" w:rsidRPr="00440C76" w:rsidRDefault="00BE2CA7" w:rsidP="002B0590">
            <w:pPr>
              <w:spacing w:before="60" w:after="60" w:line="220" w:lineRule="atLeast"/>
              <w:ind w:left="57" w:right="57"/>
              <w:rPr>
                <w:i/>
                <w:iCs/>
                <w:sz w:val="18"/>
                <w:szCs w:val="18"/>
                <w:lang w:val="fr-FR"/>
              </w:rPr>
            </w:pPr>
          </w:p>
        </w:tc>
        <w:tc>
          <w:tcPr>
            <w:tcW w:w="1300" w:type="dxa"/>
            <w:vMerge/>
            <w:tcMar>
              <w:left w:w="0" w:type="dxa"/>
              <w:right w:w="0" w:type="dxa"/>
            </w:tcMar>
          </w:tcPr>
          <w:p w14:paraId="59745FEB" w14:textId="77777777" w:rsidR="00BE2CA7" w:rsidRPr="00440C76" w:rsidRDefault="00BE2CA7" w:rsidP="002B0590">
            <w:pPr>
              <w:spacing w:before="60" w:after="60" w:line="220" w:lineRule="atLeast"/>
              <w:ind w:left="57" w:right="57"/>
              <w:rPr>
                <w:i/>
                <w:iCs/>
                <w:sz w:val="18"/>
                <w:szCs w:val="18"/>
                <w:lang w:val="fr-FR"/>
              </w:rPr>
            </w:pPr>
          </w:p>
        </w:tc>
        <w:tc>
          <w:tcPr>
            <w:tcW w:w="1579" w:type="dxa"/>
            <w:tcMar>
              <w:left w:w="0" w:type="dxa"/>
              <w:right w:w="0" w:type="dxa"/>
            </w:tcMar>
          </w:tcPr>
          <w:p w14:paraId="60908DEA" w14:textId="77777777" w:rsidR="00BE2CA7" w:rsidRPr="00440C76" w:rsidRDefault="00BE2CA7" w:rsidP="002B0590">
            <w:pPr>
              <w:spacing w:before="60" w:after="60" w:line="220" w:lineRule="atLeast"/>
              <w:ind w:left="57" w:right="57"/>
              <w:rPr>
                <w:i/>
                <w:iCs/>
                <w:sz w:val="18"/>
                <w:szCs w:val="18"/>
                <w:lang w:val="fr-FR"/>
              </w:rPr>
            </w:pPr>
          </w:p>
        </w:tc>
      </w:tr>
      <w:tr w:rsidR="00BE2CA7" w:rsidRPr="00440C76" w14:paraId="379C548C" w14:textId="77777777" w:rsidTr="002B0590">
        <w:tc>
          <w:tcPr>
            <w:tcW w:w="5293" w:type="dxa"/>
            <w:gridSpan w:val="2"/>
            <w:tcMar>
              <w:left w:w="0" w:type="dxa"/>
              <w:right w:w="0" w:type="dxa"/>
            </w:tcMar>
          </w:tcPr>
          <w:p w14:paraId="57F40A75" w14:textId="77777777" w:rsidR="00BE2CA7" w:rsidRPr="00440C76" w:rsidRDefault="00BE2CA7" w:rsidP="002B0590">
            <w:pPr>
              <w:spacing w:before="60" w:after="60" w:line="220" w:lineRule="atLeast"/>
              <w:ind w:left="57" w:right="57"/>
              <w:rPr>
                <w:sz w:val="18"/>
                <w:szCs w:val="18"/>
                <w:lang w:val="fr-FR"/>
              </w:rPr>
            </w:pPr>
            <w:r w:rsidRPr="00440C76">
              <w:rPr>
                <w:i/>
                <w:iCs/>
                <w:sz w:val="18"/>
                <w:szCs w:val="18"/>
                <w:lang w:val="fr-FR"/>
              </w:rPr>
              <w:t>Numéro d</w:t>
            </w:r>
            <w:r>
              <w:rPr>
                <w:i/>
                <w:iCs/>
                <w:sz w:val="18"/>
                <w:szCs w:val="18"/>
                <w:lang w:val="fr-FR"/>
              </w:rPr>
              <w:t>’</w:t>
            </w:r>
            <w:r w:rsidRPr="00440C76">
              <w:rPr>
                <w:i/>
                <w:iCs/>
                <w:sz w:val="18"/>
                <w:szCs w:val="18"/>
                <w:lang w:val="fr-FR"/>
              </w:rPr>
              <w:t>immatriculation :</w:t>
            </w:r>
          </w:p>
        </w:tc>
        <w:tc>
          <w:tcPr>
            <w:tcW w:w="1114" w:type="dxa"/>
            <w:tcMar>
              <w:left w:w="0" w:type="dxa"/>
              <w:right w:w="0" w:type="dxa"/>
            </w:tcMar>
          </w:tcPr>
          <w:p w14:paraId="4841FF9F" w14:textId="77777777" w:rsidR="00BE2CA7" w:rsidRPr="00440C76" w:rsidRDefault="00BE2CA7" w:rsidP="002B0590">
            <w:pPr>
              <w:spacing w:before="60" w:after="60" w:line="220" w:lineRule="atLeast"/>
              <w:ind w:left="57" w:right="57"/>
              <w:rPr>
                <w:i/>
                <w:iCs/>
                <w:sz w:val="18"/>
                <w:szCs w:val="18"/>
                <w:lang w:val="fr-FR"/>
              </w:rPr>
            </w:pPr>
          </w:p>
        </w:tc>
        <w:tc>
          <w:tcPr>
            <w:tcW w:w="1300" w:type="dxa"/>
            <w:tcMar>
              <w:left w:w="0" w:type="dxa"/>
              <w:right w:w="0" w:type="dxa"/>
            </w:tcMar>
          </w:tcPr>
          <w:p w14:paraId="26F85DCA"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x</w:t>
            </w:r>
          </w:p>
        </w:tc>
        <w:tc>
          <w:tcPr>
            <w:tcW w:w="1579" w:type="dxa"/>
            <w:tcMar>
              <w:left w:w="0" w:type="dxa"/>
              <w:right w:w="0" w:type="dxa"/>
            </w:tcMar>
          </w:tcPr>
          <w:p w14:paraId="2132DEDC"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x</w:t>
            </w:r>
          </w:p>
        </w:tc>
      </w:tr>
      <w:tr w:rsidR="00BE2CA7" w:rsidRPr="00440C76" w14:paraId="5FA241A3" w14:textId="77777777" w:rsidTr="002B0590">
        <w:tc>
          <w:tcPr>
            <w:tcW w:w="5293" w:type="dxa"/>
            <w:gridSpan w:val="2"/>
            <w:tcMar>
              <w:left w:w="0" w:type="dxa"/>
              <w:right w:w="0" w:type="dxa"/>
            </w:tcMar>
          </w:tcPr>
          <w:p w14:paraId="0364424D" w14:textId="77777777" w:rsidR="00BE2CA7" w:rsidRPr="00440C76" w:rsidRDefault="00BE2CA7" w:rsidP="002B0590">
            <w:pPr>
              <w:spacing w:before="60" w:after="60" w:line="220" w:lineRule="atLeast"/>
              <w:ind w:left="57" w:right="57"/>
              <w:rPr>
                <w:sz w:val="18"/>
                <w:szCs w:val="18"/>
                <w:lang w:val="fr-FR"/>
              </w:rPr>
            </w:pPr>
            <w:r w:rsidRPr="00440C76">
              <w:rPr>
                <w:i/>
                <w:iCs/>
                <w:sz w:val="18"/>
                <w:szCs w:val="18"/>
                <w:lang w:val="fr-FR"/>
              </w:rPr>
              <w:t>Kilométrage et âge du véhicule :</w:t>
            </w:r>
          </w:p>
          <w:p w14:paraId="3850235E" w14:textId="77777777" w:rsidR="00BE2CA7" w:rsidRPr="00440C76" w:rsidRDefault="00BE2CA7" w:rsidP="002B0590">
            <w:pPr>
              <w:spacing w:before="60" w:after="60" w:line="220" w:lineRule="atLeast"/>
              <w:ind w:left="57" w:right="57"/>
              <w:rPr>
                <w:sz w:val="18"/>
                <w:szCs w:val="18"/>
                <w:lang w:val="fr-FR"/>
              </w:rPr>
            </w:pPr>
            <w:r w:rsidRPr="00440C76">
              <w:rPr>
                <w:i/>
                <w:iCs/>
                <w:sz w:val="18"/>
                <w:szCs w:val="18"/>
                <w:lang w:val="fr-FR"/>
              </w:rPr>
              <w:t>Le véhicule doit satisfaire aux règles concernant le kilométrage et l</w:t>
            </w:r>
            <w:r>
              <w:rPr>
                <w:i/>
                <w:iCs/>
                <w:sz w:val="18"/>
                <w:szCs w:val="18"/>
                <w:lang w:val="fr-FR"/>
              </w:rPr>
              <w:t>’</w:t>
            </w:r>
            <w:r w:rsidRPr="00440C76">
              <w:rPr>
                <w:i/>
                <w:iCs/>
                <w:sz w:val="18"/>
                <w:szCs w:val="18"/>
                <w:lang w:val="fr-FR"/>
              </w:rPr>
              <w:t>âge du paragraphe</w:t>
            </w:r>
            <w:r>
              <w:rPr>
                <w:i/>
                <w:iCs/>
                <w:sz w:val="18"/>
                <w:szCs w:val="18"/>
                <w:lang w:val="fr-FR"/>
              </w:rPr>
              <w:t> </w:t>
            </w:r>
            <w:r w:rsidRPr="00440C76">
              <w:rPr>
                <w:i/>
                <w:iCs/>
                <w:sz w:val="18"/>
                <w:szCs w:val="18"/>
                <w:lang w:val="fr-FR"/>
              </w:rPr>
              <w:t>9 ; dans le cas contraire, il ne peut pas être sélectionné. L</w:t>
            </w:r>
            <w:r>
              <w:rPr>
                <w:i/>
                <w:iCs/>
                <w:sz w:val="18"/>
                <w:szCs w:val="18"/>
                <w:lang w:val="fr-FR"/>
              </w:rPr>
              <w:t>’</w:t>
            </w:r>
            <w:r w:rsidRPr="00440C76">
              <w:rPr>
                <w:i/>
                <w:iCs/>
                <w:sz w:val="18"/>
                <w:szCs w:val="18"/>
                <w:lang w:val="fr-FR"/>
              </w:rPr>
              <w:t>âge du véhicule est déterminé à partir de la date de première immatriculation.</w:t>
            </w:r>
          </w:p>
        </w:tc>
        <w:tc>
          <w:tcPr>
            <w:tcW w:w="1114" w:type="dxa"/>
            <w:tcMar>
              <w:left w:w="0" w:type="dxa"/>
              <w:right w:w="0" w:type="dxa"/>
            </w:tcMar>
          </w:tcPr>
          <w:p w14:paraId="7569AB1B"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x</w:t>
            </w:r>
          </w:p>
        </w:tc>
        <w:tc>
          <w:tcPr>
            <w:tcW w:w="1300" w:type="dxa"/>
            <w:tcMar>
              <w:left w:w="0" w:type="dxa"/>
              <w:right w:w="0" w:type="dxa"/>
            </w:tcMar>
          </w:tcPr>
          <w:p w14:paraId="71D62277" w14:textId="77777777" w:rsidR="00BE2CA7" w:rsidRPr="00440C76" w:rsidRDefault="00BE2CA7" w:rsidP="002B0590">
            <w:pPr>
              <w:spacing w:before="60" w:after="60" w:line="220" w:lineRule="atLeast"/>
              <w:ind w:left="57" w:right="57"/>
              <w:rPr>
                <w:i/>
                <w:iCs/>
                <w:sz w:val="18"/>
                <w:szCs w:val="18"/>
                <w:lang w:val="fr-FR"/>
              </w:rPr>
            </w:pPr>
          </w:p>
        </w:tc>
        <w:tc>
          <w:tcPr>
            <w:tcW w:w="1579" w:type="dxa"/>
            <w:tcMar>
              <w:left w:w="0" w:type="dxa"/>
              <w:right w:w="0" w:type="dxa"/>
            </w:tcMar>
          </w:tcPr>
          <w:p w14:paraId="3EF53295" w14:textId="77777777" w:rsidR="00BE2CA7" w:rsidRPr="00440C76" w:rsidRDefault="00BE2CA7" w:rsidP="002B0590">
            <w:pPr>
              <w:spacing w:before="60" w:after="60" w:line="220" w:lineRule="atLeast"/>
              <w:ind w:left="57" w:right="57"/>
              <w:rPr>
                <w:i/>
                <w:iCs/>
                <w:sz w:val="18"/>
                <w:szCs w:val="18"/>
                <w:lang w:val="fr-FR"/>
              </w:rPr>
            </w:pPr>
          </w:p>
        </w:tc>
      </w:tr>
      <w:tr w:rsidR="00BE2CA7" w:rsidRPr="00440C76" w14:paraId="090E0D60" w14:textId="77777777" w:rsidTr="002B0590">
        <w:tc>
          <w:tcPr>
            <w:tcW w:w="5293" w:type="dxa"/>
            <w:gridSpan w:val="2"/>
            <w:tcMar>
              <w:left w:w="0" w:type="dxa"/>
              <w:right w:w="0" w:type="dxa"/>
            </w:tcMar>
          </w:tcPr>
          <w:p w14:paraId="6EBCFD4D" w14:textId="77777777" w:rsidR="00BE2CA7" w:rsidRPr="00440C76" w:rsidRDefault="00BE2CA7" w:rsidP="002B0590">
            <w:pPr>
              <w:spacing w:before="60" w:after="60" w:line="220" w:lineRule="atLeast"/>
              <w:ind w:left="57" w:right="57"/>
              <w:rPr>
                <w:sz w:val="18"/>
                <w:szCs w:val="18"/>
                <w:lang w:val="fr-FR"/>
              </w:rPr>
            </w:pPr>
            <w:r w:rsidRPr="00440C76">
              <w:rPr>
                <w:i/>
                <w:iCs/>
                <w:sz w:val="18"/>
                <w:szCs w:val="18"/>
                <w:lang w:val="fr-FR"/>
              </w:rPr>
              <w:t>Date de première immatriculation :</w:t>
            </w:r>
          </w:p>
        </w:tc>
        <w:tc>
          <w:tcPr>
            <w:tcW w:w="1114" w:type="dxa"/>
            <w:tcMar>
              <w:left w:w="0" w:type="dxa"/>
              <w:right w:w="0" w:type="dxa"/>
            </w:tcMar>
          </w:tcPr>
          <w:p w14:paraId="634E732C" w14:textId="77777777" w:rsidR="00BE2CA7" w:rsidRPr="00440C76" w:rsidRDefault="00BE2CA7" w:rsidP="002B0590">
            <w:pPr>
              <w:spacing w:before="60" w:after="60" w:line="220" w:lineRule="atLeast"/>
              <w:ind w:left="57" w:right="57"/>
              <w:rPr>
                <w:i/>
                <w:iCs/>
                <w:sz w:val="18"/>
                <w:szCs w:val="18"/>
                <w:lang w:val="fr-FR"/>
              </w:rPr>
            </w:pPr>
          </w:p>
        </w:tc>
        <w:tc>
          <w:tcPr>
            <w:tcW w:w="1300" w:type="dxa"/>
            <w:tcMar>
              <w:left w:w="0" w:type="dxa"/>
              <w:right w:w="0" w:type="dxa"/>
            </w:tcMar>
          </w:tcPr>
          <w:p w14:paraId="53A55718"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x</w:t>
            </w:r>
          </w:p>
        </w:tc>
        <w:tc>
          <w:tcPr>
            <w:tcW w:w="1579" w:type="dxa"/>
            <w:tcMar>
              <w:left w:w="0" w:type="dxa"/>
              <w:right w:w="0" w:type="dxa"/>
            </w:tcMar>
          </w:tcPr>
          <w:p w14:paraId="090B1415" w14:textId="77777777" w:rsidR="00BE2CA7" w:rsidRPr="00440C76" w:rsidRDefault="00BE2CA7" w:rsidP="002B0590">
            <w:pPr>
              <w:spacing w:before="60" w:after="60" w:line="220" w:lineRule="atLeast"/>
              <w:ind w:left="57" w:right="57"/>
              <w:rPr>
                <w:i/>
                <w:iCs/>
                <w:sz w:val="18"/>
                <w:szCs w:val="18"/>
                <w:lang w:val="fr-FR"/>
              </w:rPr>
            </w:pPr>
          </w:p>
        </w:tc>
      </w:tr>
      <w:tr w:rsidR="00BE2CA7" w:rsidRPr="00440C76" w14:paraId="35277FBA" w14:textId="77777777" w:rsidTr="002B0590">
        <w:tc>
          <w:tcPr>
            <w:tcW w:w="848" w:type="dxa"/>
            <w:tcMar>
              <w:left w:w="0" w:type="dxa"/>
              <w:right w:w="0" w:type="dxa"/>
            </w:tcMar>
          </w:tcPr>
          <w:p w14:paraId="7B23C1A3" w14:textId="77777777" w:rsidR="00BE2CA7" w:rsidRPr="00440C76" w:rsidRDefault="00BE2CA7" w:rsidP="002B0590">
            <w:pPr>
              <w:spacing w:before="60" w:after="60" w:line="220" w:lineRule="atLeast"/>
              <w:ind w:left="57" w:right="57"/>
              <w:rPr>
                <w:sz w:val="18"/>
                <w:szCs w:val="18"/>
                <w:lang w:val="fr-FR"/>
              </w:rPr>
            </w:pPr>
          </w:p>
        </w:tc>
        <w:tc>
          <w:tcPr>
            <w:tcW w:w="4445" w:type="dxa"/>
            <w:tcMar>
              <w:left w:w="0" w:type="dxa"/>
              <w:right w:w="0" w:type="dxa"/>
            </w:tcMar>
          </w:tcPr>
          <w:p w14:paraId="25C87909" w14:textId="77777777" w:rsidR="00BE2CA7" w:rsidRPr="00440C76" w:rsidRDefault="00BE2CA7" w:rsidP="002B0590">
            <w:pPr>
              <w:spacing w:before="60" w:after="60" w:line="220" w:lineRule="atLeast"/>
              <w:ind w:left="57" w:right="57"/>
              <w:rPr>
                <w:sz w:val="18"/>
                <w:szCs w:val="18"/>
                <w:lang w:val="fr-FR"/>
              </w:rPr>
            </w:pPr>
          </w:p>
        </w:tc>
        <w:tc>
          <w:tcPr>
            <w:tcW w:w="1114" w:type="dxa"/>
            <w:tcMar>
              <w:left w:w="0" w:type="dxa"/>
              <w:right w:w="0" w:type="dxa"/>
            </w:tcMar>
          </w:tcPr>
          <w:p w14:paraId="16D81AA0" w14:textId="77777777" w:rsidR="00BE2CA7" w:rsidRPr="00440C76" w:rsidRDefault="00BE2CA7" w:rsidP="002B0590">
            <w:pPr>
              <w:spacing w:before="60" w:after="60" w:line="220" w:lineRule="atLeast"/>
              <w:ind w:left="57" w:right="57"/>
              <w:rPr>
                <w:i/>
                <w:iCs/>
                <w:sz w:val="18"/>
                <w:szCs w:val="18"/>
                <w:lang w:val="fr-FR"/>
              </w:rPr>
            </w:pPr>
          </w:p>
        </w:tc>
        <w:tc>
          <w:tcPr>
            <w:tcW w:w="1300" w:type="dxa"/>
            <w:tcMar>
              <w:left w:w="0" w:type="dxa"/>
              <w:right w:w="0" w:type="dxa"/>
            </w:tcMar>
          </w:tcPr>
          <w:p w14:paraId="7B82231E" w14:textId="77777777" w:rsidR="00BE2CA7" w:rsidRPr="00440C76" w:rsidRDefault="00BE2CA7" w:rsidP="002B0590">
            <w:pPr>
              <w:spacing w:before="60" w:after="60" w:line="220" w:lineRule="atLeast"/>
              <w:ind w:left="57" w:right="57"/>
              <w:rPr>
                <w:i/>
                <w:iCs/>
                <w:sz w:val="18"/>
                <w:szCs w:val="18"/>
                <w:lang w:val="fr-FR"/>
              </w:rPr>
            </w:pPr>
          </w:p>
        </w:tc>
        <w:tc>
          <w:tcPr>
            <w:tcW w:w="1579" w:type="dxa"/>
            <w:tcMar>
              <w:left w:w="0" w:type="dxa"/>
              <w:right w:w="0" w:type="dxa"/>
            </w:tcMar>
          </w:tcPr>
          <w:p w14:paraId="4A8A428A" w14:textId="77777777" w:rsidR="00BE2CA7" w:rsidRPr="00440C76" w:rsidRDefault="00BE2CA7" w:rsidP="002B0590">
            <w:pPr>
              <w:spacing w:before="60" w:after="60" w:line="220" w:lineRule="atLeast"/>
              <w:ind w:left="57" w:right="57"/>
              <w:rPr>
                <w:i/>
                <w:iCs/>
                <w:sz w:val="18"/>
                <w:szCs w:val="18"/>
                <w:lang w:val="fr-FR"/>
              </w:rPr>
            </w:pPr>
          </w:p>
        </w:tc>
      </w:tr>
      <w:tr w:rsidR="00BE2CA7" w:rsidRPr="00440C76" w14:paraId="2AA44D55" w14:textId="77777777" w:rsidTr="002B0590">
        <w:tc>
          <w:tcPr>
            <w:tcW w:w="5293" w:type="dxa"/>
            <w:gridSpan w:val="2"/>
            <w:tcMar>
              <w:left w:w="0" w:type="dxa"/>
              <w:right w:w="0" w:type="dxa"/>
            </w:tcMar>
          </w:tcPr>
          <w:p w14:paraId="475BC302" w14:textId="77777777" w:rsidR="00BE2CA7" w:rsidRPr="00440C76" w:rsidRDefault="00BE2CA7" w:rsidP="002B0590">
            <w:pPr>
              <w:spacing w:before="60" w:after="60" w:line="220" w:lineRule="atLeast"/>
              <w:ind w:left="57" w:right="57"/>
              <w:rPr>
                <w:sz w:val="18"/>
                <w:szCs w:val="18"/>
                <w:lang w:val="fr-FR"/>
              </w:rPr>
            </w:pPr>
            <w:r w:rsidRPr="00440C76">
              <w:rPr>
                <w:i/>
                <w:iCs/>
                <w:sz w:val="18"/>
                <w:szCs w:val="18"/>
                <w:lang w:val="fr-FR"/>
              </w:rPr>
              <w:t>Numéro d</w:t>
            </w:r>
            <w:r>
              <w:rPr>
                <w:i/>
                <w:iCs/>
                <w:sz w:val="18"/>
                <w:szCs w:val="18"/>
                <w:lang w:val="fr-FR"/>
              </w:rPr>
              <w:t>’</w:t>
            </w:r>
            <w:r w:rsidRPr="00440C76">
              <w:rPr>
                <w:i/>
                <w:iCs/>
                <w:sz w:val="18"/>
                <w:szCs w:val="18"/>
                <w:lang w:val="fr-FR"/>
              </w:rPr>
              <w:t>identification du véhicule :</w:t>
            </w:r>
          </w:p>
        </w:tc>
        <w:tc>
          <w:tcPr>
            <w:tcW w:w="1114" w:type="dxa"/>
            <w:tcMar>
              <w:left w:w="0" w:type="dxa"/>
              <w:right w:w="0" w:type="dxa"/>
            </w:tcMar>
          </w:tcPr>
          <w:p w14:paraId="265505A9" w14:textId="77777777" w:rsidR="00BE2CA7" w:rsidRPr="00440C76" w:rsidRDefault="00BE2CA7" w:rsidP="002B0590">
            <w:pPr>
              <w:spacing w:before="60" w:after="60" w:line="220" w:lineRule="atLeast"/>
              <w:ind w:left="57" w:right="57"/>
              <w:rPr>
                <w:i/>
                <w:iCs/>
                <w:sz w:val="18"/>
                <w:szCs w:val="18"/>
                <w:lang w:val="fr-FR"/>
              </w:rPr>
            </w:pPr>
          </w:p>
        </w:tc>
        <w:tc>
          <w:tcPr>
            <w:tcW w:w="1300" w:type="dxa"/>
            <w:tcMar>
              <w:left w:w="0" w:type="dxa"/>
              <w:right w:w="0" w:type="dxa"/>
            </w:tcMar>
          </w:tcPr>
          <w:p w14:paraId="26C6E762"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x</w:t>
            </w:r>
          </w:p>
        </w:tc>
        <w:tc>
          <w:tcPr>
            <w:tcW w:w="1579" w:type="dxa"/>
            <w:tcMar>
              <w:left w:w="0" w:type="dxa"/>
              <w:right w:w="0" w:type="dxa"/>
            </w:tcMar>
          </w:tcPr>
          <w:p w14:paraId="37A75CEA"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x</w:t>
            </w:r>
          </w:p>
        </w:tc>
      </w:tr>
      <w:tr w:rsidR="00BE2CA7" w:rsidRPr="00440C76" w14:paraId="199A3A70" w14:textId="77777777" w:rsidTr="002B0590">
        <w:tc>
          <w:tcPr>
            <w:tcW w:w="5293" w:type="dxa"/>
            <w:gridSpan w:val="2"/>
            <w:tcMar>
              <w:left w:w="0" w:type="dxa"/>
              <w:right w:w="0" w:type="dxa"/>
            </w:tcMar>
          </w:tcPr>
          <w:p w14:paraId="7C3784ED" w14:textId="77777777" w:rsidR="00BE2CA7" w:rsidRPr="00440C76" w:rsidRDefault="00BE2CA7" w:rsidP="002B0590">
            <w:pPr>
              <w:spacing w:before="60" w:after="60" w:line="220" w:lineRule="atLeast"/>
              <w:ind w:left="57" w:right="57"/>
              <w:rPr>
                <w:sz w:val="18"/>
                <w:szCs w:val="18"/>
                <w:lang w:val="fr-FR"/>
              </w:rPr>
            </w:pPr>
            <w:r w:rsidRPr="00440C76">
              <w:rPr>
                <w:i/>
                <w:iCs/>
                <w:sz w:val="18"/>
                <w:szCs w:val="18"/>
                <w:lang w:val="fr-FR"/>
              </w:rPr>
              <w:t>Classe et caractéristiques d</w:t>
            </w:r>
            <w:r>
              <w:rPr>
                <w:i/>
                <w:iCs/>
                <w:sz w:val="18"/>
                <w:szCs w:val="18"/>
                <w:lang w:val="fr-FR"/>
              </w:rPr>
              <w:t>’</w:t>
            </w:r>
            <w:r w:rsidRPr="00440C76">
              <w:rPr>
                <w:i/>
                <w:iCs/>
                <w:sz w:val="18"/>
                <w:szCs w:val="18"/>
                <w:lang w:val="fr-FR"/>
              </w:rPr>
              <w:t>émissions :</w:t>
            </w:r>
          </w:p>
        </w:tc>
        <w:tc>
          <w:tcPr>
            <w:tcW w:w="1114" w:type="dxa"/>
            <w:tcMar>
              <w:left w:w="0" w:type="dxa"/>
              <w:right w:w="0" w:type="dxa"/>
            </w:tcMar>
          </w:tcPr>
          <w:p w14:paraId="78F36A23" w14:textId="77777777" w:rsidR="00BE2CA7" w:rsidRPr="00440C76" w:rsidRDefault="00BE2CA7" w:rsidP="002B0590">
            <w:pPr>
              <w:spacing w:before="60" w:after="60" w:line="220" w:lineRule="atLeast"/>
              <w:ind w:left="57" w:right="57"/>
              <w:rPr>
                <w:i/>
                <w:iCs/>
                <w:sz w:val="18"/>
                <w:szCs w:val="18"/>
                <w:lang w:val="fr-FR"/>
              </w:rPr>
            </w:pPr>
          </w:p>
        </w:tc>
        <w:tc>
          <w:tcPr>
            <w:tcW w:w="1300" w:type="dxa"/>
            <w:tcMar>
              <w:left w:w="0" w:type="dxa"/>
              <w:right w:w="0" w:type="dxa"/>
            </w:tcMar>
          </w:tcPr>
          <w:p w14:paraId="2D3BAC3D"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x</w:t>
            </w:r>
          </w:p>
        </w:tc>
        <w:tc>
          <w:tcPr>
            <w:tcW w:w="1579" w:type="dxa"/>
            <w:tcMar>
              <w:left w:w="0" w:type="dxa"/>
              <w:right w:w="0" w:type="dxa"/>
            </w:tcMar>
          </w:tcPr>
          <w:p w14:paraId="654B6CCF" w14:textId="77777777" w:rsidR="00BE2CA7" w:rsidRPr="00440C76" w:rsidRDefault="00BE2CA7" w:rsidP="002B0590">
            <w:pPr>
              <w:spacing w:before="60" w:after="60" w:line="220" w:lineRule="atLeast"/>
              <w:ind w:left="57" w:right="57"/>
              <w:rPr>
                <w:i/>
                <w:iCs/>
                <w:sz w:val="18"/>
                <w:szCs w:val="18"/>
                <w:lang w:val="fr-FR"/>
              </w:rPr>
            </w:pPr>
          </w:p>
        </w:tc>
      </w:tr>
      <w:tr w:rsidR="00BE2CA7" w:rsidRPr="00440C76" w14:paraId="59004CF0" w14:textId="77777777" w:rsidTr="002B0590">
        <w:tc>
          <w:tcPr>
            <w:tcW w:w="5293" w:type="dxa"/>
            <w:gridSpan w:val="2"/>
            <w:tcMar>
              <w:left w:w="0" w:type="dxa"/>
              <w:right w:w="0" w:type="dxa"/>
            </w:tcMar>
          </w:tcPr>
          <w:p w14:paraId="4CC08A1E" w14:textId="77777777" w:rsidR="00BE2CA7" w:rsidRPr="00440C76" w:rsidRDefault="00BE2CA7" w:rsidP="002B0590">
            <w:pPr>
              <w:spacing w:before="60" w:after="60" w:line="220" w:lineRule="atLeast"/>
              <w:ind w:left="57" w:right="57"/>
              <w:rPr>
                <w:sz w:val="18"/>
                <w:szCs w:val="18"/>
                <w:lang w:val="fr-FR"/>
              </w:rPr>
            </w:pPr>
            <w:r w:rsidRPr="00440C76">
              <w:rPr>
                <w:i/>
                <w:iCs/>
                <w:sz w:val="18"/>
                <w:szCs w:val="18"/>
                <w:lang w:val="fr-FR"/>
              </w:rPr>
              <w:t>Pays d</w:t>
            </w:r>
            <w:r>
              <w:rPr>
                <w:i/>
                <w:iCs/>
                <w:sz w:val="18"/>
                <w:szCs w:val="18"/>
                <w:lang w:val="fr-FR"/>
              </w:rPr>
              <w:t>’</w:t>
            </w:r>
            <w:r w:rsidRPr="00440C76">
              <w:rPr>
                <w:i/>
                <w:iCs/>
                <w:sz w:val="18"/>
                <w:szCs w:val="18"/>
                <w:lang w:val="fr-FR"/>
              </w:rPr>
              <w:t>immatriculation :</w:t>
            </w:r>
          </w:p>
          <w:p w14:paraId="117F79EB" w14:textId="77777777" w:rsidR="00BE2CA7" w:rsidRPr="00440C76" w:rsidRDefault="00BE2CA7" w:rsidP="002B0590">
            <w:pPr>
              <w:spacing w:before="60" w:after="60" w:line="220" w:lineRule="atLeast"/>
              <w:ind w:left="57" w:right="57"/>
              <w:rPr>
                <w:sz w:val="18"/>
                <w:szCs w:val="18"/>
                <w:lang w:val="fr-FR"/>
              </w:rPr>
            </w:pPr>
            <w:r w:rsidRPr="00440C76">
              <w:rPr>
                <w:i/>
                <w:iCs/>
                <w:sz w:val="18"/>
                <w:szCs w:val="18"/>
                <w:lang w:val="fr-FR"/>
              </w:rPr>
              <w:t>Le véhicule doit être immatriculé dans la Partie contractante</w:t>
            </w:r>
            <w:r>
              <w:rPr>
                <w:i/>
                <w:iCs/>
                <w:sz w:val="18"/>
                <w:szCs w:val="18"/>
                <w:lang w:val="fr-FR"/>
              </w:rPr>
              <w:t>.</w:t>
            </w:r>
          </w:p>
        </w:tc>
        <w:tc>
          <w:tcPr>
            <w:tcW w:w="1114" w:type="dxa"/>
            <w:tcMar>
              <w:left w:w="0" w:type="dxa"/>
              <w:right w:w="0" w:type="dxa"/>
            </w:tcMar>
          </w:tcPr>
          <w:p w14:paraId="6274D7C1"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x</w:t>
            </w:r>
          </w:p>
        </w:tc>
        <w:tc>
          <w:tcPr>
            <w:tcW w:w="1300" w:type="dxa"/>
            <w:tcMar>
              <w:left w:w="0" w:type="dxa"/>
              <w:right w:w="0" w:type="dxa"/>
            </w:tcMar>
          </w:tcPr>
          <w:p w14:paraId="3785E779"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x</w:t>
            </w:r>
          </w:p>
        </w:tc>
        <w:tc>
          <w:tcPr>
            <w:tcW w:w="1579" w:type="dxa"/>
            <w:tcMar>
              <w:left w:w="0" w:type="dxa"/>
              <w:right w:w="0" w:type="dxa"/>
            </w:tcMar>
          </w:tcPr>
          <w:p w14:paraId="270DD710" w14:textId="77777777" w:rsidR="00BE2CA7" w:rsidRPr="00440C76" w:rsidRDefault="00BE2CA7" w:rsidP="002B0590">
            <w:pPr>
              <w:spacing w:before="60" w:after="60" w:line="220" w:lineRule="atLeast"/>
              <w:ind w:left="57" w:right="57"/>
              <w:rPr>
                <w:i/>
                <w:iCs/>
                <w:sz w:val="18"/>
                <w:szCs w:val="18"/>
                <w:lang w:val="fr-FR"/>
              </w:rPr>
            </w:pPr>
          </w:p>
        </w:tc>
      </w:tr>
      <w:tr w:rsidR="00BE2CA7" w:rsidRPr="00440C76" w14:paraId="25378584" w14:textId="77777777" w:rsidTr="002B0590">
        <w:tc>
          <w:tcPr>
            <w:tcW w:w="5293" w:type="dxa"/>
            <w:gridSpan w:val="2"/>
            <w:tcMar>
              <w:left w:w="0" w:type="dxa"/>
              <w:right w:w="0" w:type="dxa"/>
            </w:tcMar>
          </w:tcPr>
          <w:p w14:paraId="7B948201" w14:textId="77777777" w:rsidR="00BE2CA7" w:rsidRPr="00440C76" w:rsidRDefault="00BE2CA7" w:rsidP="002B0590">
            <w:pPr>
              <w:spacing w:before="60" w:after="60" w:line="220" w:lineRule="atLeast"/>
              <w:ind w:left="57" w:right="57"/>
              <w:rPr>
                <w:sz w:val="18"/>
                <w:szCs w:val="18"/>
                <w:lang w:val="fr-FR"/>
              </w:rPr>
            </w:pPr>
            <w:r w:rsidRPr="00440C76">
              <w:rPr>
                <w:i/>
                <w:iCs/>
                <w:sz w:val="18"/>
                <w:szCs w:val="18"/>
                <w:lang w:val="fr-FR"/>
              </w:rPr>
              <w:t>Modèle :</w:t>
            </w:r>
          </w:p>
        </w:tc>
        <w:tc>
          <w:tcPr>
            <w:tcW w:w="1114" w:type="dxa"/>
            <w:tcMar>
              <w:left w:w="0" w:type="dxa"/>
              <w:right w:w="0" w:type="dxa"/>
            </w:tcMar>
          </w:tcPr>
          <w:p w14:paraId="0B4C5302" w14:textId="77777777" w:rsidR="00BE2CA7" w:rsidRPr="00440C76" w:rsidRDefault="00BE2CA7" w:rsidP="002B0590">
            <w:pPr>
              <w:spacing w:before="60" w:after="60" w:line="220" w:lineRule="atLeast"/>
              <w:ind w:left="57" w:right="57"/>
              <w:rPr>
                <w:i/>
                <w:iCs/>
                <w:sz w:val="18"/>
                <w:szCs w:val="18"/>
                <w:lang w:val="fr-FR"/>
              </w:rPr>
            </w:pPr>
          </w:p>
        </w:tc>
        <w:tc>
          <w:tcPr>
            <w:tcW w:w="1300" w:type="dxa"/>
            <w:tcMar>
              <w:left w:w="0" w:type="dxa"/>
              <w:right w:w="0" w:type="dxa"/>
            </w:tcMar>
          </w:tcPr>
          <w:p w14:paraId="0A1923E9"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x</w:t>
            </w:r>
          </w:p>
        </w:tc>
        <w:tc>
          <w:tcPr>
            <w:tcW w:w="1579" w:type="dxa"/>
            <w:tcMar>
              <w:left w:w="0" w:type="dxa"/>
              <w:right w:w="0" w:type="dxa"/>
            </w:tcMar>
          </w:tcPr>
          <w:p w14:paraId="01834D42" w14:textId="77777777" w:rsidR="00BE2CA7" w:rsidRPr="00440C76" w:rsidRDefault="00BE2CA7" w:rsidP="002B0590">
            <w:pPr>
              <w:spacing w:before="60" w:after="60" w:line="220" w:lineRule="atLeast"/>
              <w:ind w:left="57" w:right="57"/>
              <w:rPr>
                <w:i/>
                <w:iCs/>
                <w:sz w:val="18"/>
                <w:szCs w:val="18"/>
                <w:lang w:val="fr-FR"/>
              </w:rPr>
            </w:pPr>
          </w:p>
        </w:tc>
      </w:tr>
      <w:tr w:rsidR="00BE2CA7" w:rsidRPr="00440C76" w14:paraId="69CD041F" w14:textId="77777777" w:rsidTr="002B0590">
        <w:tc>
          <w:tcPr>
            <w:tcW w:w="5293" w:type="dxa"/>
            <w:gridSpan w:val="2"/>
            <w:tcMar>
              <w:left w:w="0" w:type="dxa"/>
              <w:right w:w="0" w:type="dxa"/>
            </w:tcMar>
          </w:tcPr>
          <w:p w14:paraId="5E09D6B2" w14:textId="77777777" w:rsidR="00BE2CA7" w:rsidRPr="00440C76" w:rsidRDefault="00BE2CA7" w:rsidP="002B0590">
            <w:pPr>
              <w:spacing w:before="60" w:after="60" w:line="220" w:lineRule="atLeast"/>
              <w:ind w:left="57" w:right="57"/>
              <w:rPr>
                <w:sz w:val="18"/>
                <w:szCs w:val="18"/>
                <w:lang w:val="fr-FR"/>
              </w:rPr>
            </w:pPr>
            <w:r w:rsidRPr="00440C76">
              <w:rPr>
                <w:i/>
                <w:iCs/>
                <w:sz w:val="18"/>
                <w:szCs w:val="18"/>
                <w:lang w:val="fr-FR"/>
              </w:rPr>
              <w:t>Code du moteur :</w:t>
            </w:r>
          </w:p>
        </w:tc>
        <w:tc>
          <w:tcPr>
            <w:tcW w:w="1114" w:type="dxa"/>
            <w:tcMar>
              <w:left w:w="0" w:type="dxa"/>
              <w:right w:w="0" w:type="dxa"/>
            </w:tcMar>
          </w:tcPr>
          <w:p w14:paraId="3A7E436B" w14:textId="77777777" w:rsidR="00BE2CA7" w:rsidRPr="00440C76" w:rsidRDefault="00BE2CA7" w:rsidP="002B0590">
            <w:pPr>
              <w:spacing w:before="60" w:after="60" w:line="220" w:lineRule="atLeast"/>
              <w:ind w:left="57" w:right="57"/>
              <w:rPr>
                <w:i/>
                <w:iCs/>
                <w:sz w:val="18"/>
                <w:szCs w:val="18"/>
                <w:lang w:val="fr-FR"/>
              </w:rPr>
            </w:pPr>
          </w:p>
        </w:tc>
        <w:tc>
          <w:tcPr>
            <w:tcW w:w="1300" w:type="dxa"/>
            <w:tcMar>
              <w:left w:w="0" w:type="dxa"/>
              <w:right w:w="0" w:type="dxa"/>
            </w:tcMar>
          </w:tcPr>
          <w:p w14:paraId="18ED2C73"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x</w:t>
            </w:r>
          </w:p>
        </w:tc>
        <w:tc>
          <w:tcPr>
            <w:tcW w:w="1579" w:type="dxa"/>
            <w:tcMar>
              <w:left w:w="0" w:type="dxa"/>
              <w:right w:w="0" w:type="dxa"/>
            </w:tcMar>
          </w:tcPr>
          <w:p w14:paraId="5DCF03AE" w14:textId="77777777" w:rsidR="00BE2CA7" w:rsidRPr="00440C76" w:rsidRDefault="00BE2CA7" w:rsidP="002B0590">
            <w:pPr>
              <w:spacing w:before="60" w:after="60" w:line="220" w:lineRule="atLeast"/>
              <w:ind w:left="57" w:right="57"/>
              <w:rPr>
                <w:i/>
                <w:iCs/>
                <w:sz w:val="18"/>
                <w:szCs w:val="18"/>
                <w:lang w:val="fr-FR"/>
              </w:rPr>
            </w:pPr>
          </w:p>
        </w:tc>
      </w:tr>
      <w:tr w:rsidR="00BE2CA7" w:rsidRPr="00440C76" w14:paraId="11EE379A" w14:textId="77777777" w:rsidTr="002B0590">
        <w:tc>
          <w:tcPr>
            <w:tcW w:w="5293" w:type="dxa"/>
            <w:gridSpan w:val="2"/>
            <w:tcMar>
              <w:left w:w="0" w:type="dxa"/>
              <w:right w:w="0" w:type="dxa"/>
            </w:tcMar>
          </w:tcPr>
          <w:p w14:paraId="79241843" w14:textId="77777777" w:rsidR="00BE2CA7" w:rsidRPr="00440C76" w:rsidRDefault="00BE2CA7" w:rsidP="002B0590">
            <w:pPr>
              <w:spacing w:before="60" w:after="60" w:line="220" w:lineRule="atLeast"/>
              <w:ind w:left="57" w:right="57"/>
              <w:rPr>
                <w:sz w:val="18"/>
                <w:szCs w:val="18"/>
                <w:lang w:val="fr-FR"/>
              </w:rPr>
            </w:pPr>
            <w:r w:rsidRPr="00440C76">
              <w:rPr>
                <w:i/>
                <w:iCs/>
                <w:sz w:val="18"/>
                <w:szCs w:val="18"/>
                <w:lang w:val="fr-FR"/>
              </w:rPr>
              <w:t>Cylindrée (l) :</w:t>
            </w:r>
          </w:p>
        </w:tc>
        <w:tc>
          <w:tcPr>
            <w:tcW w:w="1114" w:type="dxa"/>
            <w:tcMar>
              <w:left w:w="0" w:type="dxa"/>
              <w:right w:w="0" w:type="dxa"/>
            </w:tcMar>
          </w:tcPr>
          <w:p w14:paraId="78C3BDF8" w14:textId="77777777" w:rsidR="00BE2CA7" w:rsidRPr="00440C76" w:rsidRDefault="00BE2CA7" w:rsidP="002B0590">
            <w:pPr>
              <w:spacing w:before="60" w:after="60" w:line="220" w:lineRule="atLeast"/>
              <w:ind w:left="57" w:right="57"/>
              <w:rPr>
                <w:i/>
                <w:iCs/>
                <w:sz w:val="18"/>
                <w:szCs w:val="18"/>
                <w:lang w:val="fr-FR"/>
              </w:rPr>
            </w:pPr>
          </w:p>
        </w:tc>
        <w:tc>
          <w:tcPr>
            <w:tcW w:w="1300" w:type="dxa"/>
            <w:tcMar>
              <w:left w:w="0" w:type="dxa"/>
              <w:right w:w="0" w:type="dxa"/>
            </w:tcMar>
          </w:tcPr>
          <w:p w14:paraId="085BC836"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x</w:t>
            </w:r>
          </w:p>
        </w:tc>
        <w:tc>
          <w:tcPr>
            <w:tcW w:w="1579" w:type="dxa"/>
            <w:tcMar>
              <w:left w:w="0" w:type="dxa"/>
              <w:right w:w="0" w:type="dxa"/>
            </w:tcMar>
          </w:tcPr>
          <w:p w14:paraId="441C6F7F" w14:textId="77777777" w:rsidR="00BE2CA7" w:rsidRPr="00440C76" w:rsidRDefault="00BE2CA7" w:rsidP="002B0590">
            <w:pPr>
              <w:spacing w:before="60" w:after="60" w:line="220" w:lineRule="atLeast"/>
              <w:ind w:left="57" w:right="57"/>
              <w:rPr>
                <w:i/>
                <w:iCs/>
                <w:sz w:val="18"/>
                <w:szCs w:val="18"/>
                <w:lang w:val="fr-FR"/>
              </w:rPr>
            </w:pPr>
          </w:p>
        </w:tc>
      </w:tr>
      <w:tr w:rsidR="00BE2CA7" w:rsidRPr="00440C76" w14:paraId="47B1BE2D" w14:textId="77777777" w:rsidTr="002B0590">
        <w:tc>
          <w:tcPr>
            <w:tcW w:w="5293" w:type="dxa"/>
            <w:gridSpan w:val="2"/>
            <w:tcMar>
              <w:left w:w="0" w:type="dxa"/>
              <w:right w:w="0" w:type="dxa"/>
            </w:tcMar>
          </w:tcPr>
          <w:p w14:paraId="7AD7C7F6" w14:textId="77777777" w:rsidR="00BE2CA7" w:rsidRPr="00440C76" w:rsidRDefault="00BE2CA7" w:rsidP="002B0590">
            <w:pPr>
              <w:spacing w:before="60" w:after="60" w:line="220" w:lineRule="atLeast"/>
              <w:ind w:left="57" w:right="57"/>
              <w:rPr>
                <w:sz w:val="18"/>
                <w:szCs w:val="18"/>
                <w:lang w:val="fr-FR"/>
              </w:rPr>
            </w:pPr>
            <w:r w:rsidRPr="00440C76">
              <w:rPr>
                <w:i/>
                <w:iCs/>
                <w:sz w:val="18"/>
                <w:szCs w:val="18"/>
                <w:lang w:val="fr-FR"/>
              </w:rPr>
              <w:t>Puissance du moteur (kW) :</w:t>
            </w:r>
          </w:p>
        </w:tc>
        <w:tc>
          <w:tcPr>
            <w:tcW w:w="1114" w:type="dxa"/>
            <w:tcMar>
              <w:left w:w="0" w:type="dxa"/>
              <w:right w:w="0" w:type="dxa"/>
            </w:tcMar>
          </w:tcPr>
          <w:p w14:paraId="431F3156" w14:textId="77777777" w:rsidR="00BE2CA7" w:rsidRPr="00440C76" w:rsidRDefault="00BE2CA7" w:rsidP="002B0590">
            <w:pPr>
              <w:spacing w:before="60" w:after="60" w:line="220" w:lineRule="atLeast"/>
              <w:ind w:left="57" w:right="57"/>
              <w:rPr>
                <w:i/>
                <w:iCs/>
                <w:sz w:val="18"/>
                <w:szCs w:val="18"/>
                <w:lang w:val="fr-FR"/>
              </w:rPr>
            </w:pPr>
          </w:p>
        </w:tc>
        <w:tc>
          <w:tcPr>
            <w:tcW w:w="1300" w:type="dxa"/>
            <w:tcMar>
              <w:left w:w="0" w:type="dxa"/>
              <w:right w:w="0" w:type="dxa"/>
            </w:tcMar>
          </w:tcPr>
          <w:p w14:paraId="1EB48B95"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x</w:t>
            </w:r>
          </w:p>
        </w:tc>
        <w:tc>
          <w:tcPr>
            <w:tcW w:w="1579" w:type="dxa"/>
            <w:tcMar>
              <w:left w:w="0" w:type="dxa"/>
              <w:right w:w="0" w:type="dxa"/>
            </w:tcMar>
          </w:tcPr>
          <w:p w14:paraId="0F5B96B8" w14:textId="77777777" w:rsidR="00BE2CA7" w:rsidRPr="00440C76" w:rsidRDefault="00BE2CA7" w:rsidP="002B0590">
            <w:pPr>
              <w:spacing w:before="60" w:after="60" w:line="220" w:lineRule="atLeast"/>
              <w:ind w:left="57" w:right="57"/>
              <w:rPr>
                <w:i/>
                <w:iCs/>
                <w:sz w:val="18"/>
                <w:szCs w:val="18"/>
                <w:lang w:val="fr-FR"/>
              </w:rPr>
            </w:pPr>
          </w:p>
        </w:tc>
      </w:tr>
      <w:tr w:rsidR="00BE2CA7" w:rsidRPr="00440C76" w14:paraId="5A157E97" w14:textId="77777777" w:rsidTr="002B0590">
        <w:tc>
          <w:tcPr>
            <w:tcW w:w="5293" w:type="dxa"/>
            <w:gridSpan w:val="2"/>
            <w:tcMar>
              <w:left w:w="0" w:type="dxa"/>
              <w:right w:w="0" w:type="dxa"/>
            </w:tcMar>
          </w:tcPr>
          <w:p w14:paraId="08D99A12" w14:textId="77777777" w:rsidR="00BE2CA7" w:rsidRPr="00440C76" w:rsidRDefault="00BE2CA7" w:rsidP="002B0590">
            <w:pPr>
              <w:spacing w:before="60" w:after="60" w:line="220" w:lineRule="atLeast"/>
              <w:ind w:left="57" w:right="57"/>
              <w:rPr>
                <w:sz w:val="18"/>
                <w:szCs w:val="18"/>
                <w:lang w:val="fr-FR"/>
              </w:rPr>
            </w:pPr>
            <w:r w:rsidRPr="00440C76">
              <w:rPr>
                <w:i/>
                <w:iCs/>
                <w:sz w:val="18"/>
                <w:szCs w:val="18"/>
                <w:lang w:val="fr-FR"/>
              </w:rPr>
              <w:t>Type de boîte de vitesses (automatique/manuelle) :</w:t>
            </w:r>
          </w:p>
        </w:tc>
        <w:tc>
          <w:tcPr>
            <w:tcW w:w="1114" w:type="dxa"/>
            <w:tcMar>
              <w:left w:w="0" w:type="dxa"/>
              <w:right w:w="0" w:type="dxa"/>
            </w:tcMar>
          </w:tcPr>
          <w:p w14:paraId="1EF85039" w14:textId="77777777" w:rsidR="00BE2CA7" w:rsidRPr="00440C76" w:rsidRDefault="00BE2CA7" w:rsidP="002B0590">
            <w:pPr>
              <w:spacing w:before="60" w:after="60" w:line="220" w:lineRule="atLeast"/>
              <w:ind w:left="57" w:right="57"/>
              <w:rPr>
                <w:i/>
                <w:iCs/>
                <w:sz w:val="18"/>
                <w:szCs w:val="18"/>
                <w:lang w:val="fr-FR"/>
              </w:rPr>
            </w:pPr>
          </w:p>
        </w:tc>
        <w:tc>
          <w:tcPr>
            <w:tcW w:w="1300" w:type="dxa"/>
            <w:tcMar>
              <w:left w:w="0" w:type="dxa"/>
              <w:right w:w="0" w:type="dxa"/>
            </w:tcMar>
          </w:tcPr>
          <w:p w14:paraId="372A7093"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x</w:t>
            </w:r>
          </w:p>
        </w:tc>
        <w:tc>
          <w:tcPr>
            <w:tcW w:w="1579" w:type="dxa"/>
            <w:tcMar>
              <w:left w:w="0" w:type="dxa"/>
              <w:right w:w="0" w:type="dxa"/>
            </w:tcMar>
          </w:tcPr>
          <w:p w14:paraId="722D9762" w14:textId="77777777" w:rsidR="00BE2CA7" w:rsidRPr="00440C76" w:rsidRDefault="00BE2CA7" w:rsidP="002B0590">
            <w:pPr>
              <w:spacing w:before="60" w:after="60" w:line="220" w:lineRule="atLeast"/>
              <w:ind w:left="57" w:right="57"/>
              <w:rPr>
                <w:i/>
                <w:iCs/>
                <w:sz w:val="18"/>
                <w:szCs w:val="18"/>
                <w:lang w:val="fr-FR"/>
              </w:rPr>
            </w:pPr>
          </w:p>
        </w:tc>
      </w:tr>
      <w:tr w:rsidR="00BE2CA7" w:rsidRPr="00440C76" w14:paraId="222423F8" w14:textId="77777777" w:rsidTr="002B0590">
        <w:tc>
          <w:tcPr>
            <w:tcW w:w="5293" w:type="dxa"/>
            <w:gridSpan w:val="2"/>
            <w:tcMar>
              <w:left w:w="0" w:type="dxa"/>
              <w:right w:w="0" w:type="dxa"/>
            </w:tcMar>
          </w:tcPr>
          <w:p w14:paraId="05A64797" w14:textId="77777777" w:rsidR="00BE2CA7" w:rsidRPr="00440C76" w:rsidRDefault="00BE2CA7" w:rsidP="002B0590">
            <w:pPr>
              <w:spacing w:before="60" w:after="60" w:line="220" w:lineRule="atLeast"/>
              <w:ind w:left="57" w:right="57"/>
              <w:rPr>
                <w:sz w:val="18"/>
                <w:szCs w:val="18"/>
                <w:lang w:val="fr-FR"/>
              </w:rPr>
            </w:pPr>
            <w:r w:rsidRPr="00440C76">
              <w:rPr>
                <w:i/>
                <w:iCs/>
                <w:sz w:val="18"/>
                <w:szCs w:val="18"/>
                <w:lang w:val="fr-FR"/>
              </w:rPr>
              <w:t>Essieu moteur (traction</w:t>
            </w:r>
            <w:r>
              <w:rPr>
                <w:i/>
                <w:iCs/>
                <w:sz w:val="18"/>
                <w:szCs w:val="18"/>
                <w:lang w:val="fr-FR"/>
              </w:rPr>
              <w:t> </w:t>
            </w:r>
            <w:r w:rsidRPr="00440C76">
              <w:rPr>
                <w:i/>
                <w:iCs/>
                <w:sz w:val="18"/>
                <w:szCs w:val="18"/>
                <w:lang w:val="fr-FR"/>
              </w:rPr>
              <w:t>avant/4 roues motrices/propulsion arrière) :</w:t>
            </w:r>
          </w:p>
        </w:tc>
        <w:tc>
          <w:tcPr>
            <w:tcW w:w="1114" w:type="dxa"/>
            <w:tcMar>
              <w:left w:w="0" w:type="dxa"/>
              <w:right w:w="0" w:type="dxa"/>
            </w:tcMar>
          </w:tcPr>
          <w:p w14:paraId="57153270" w14:textId="77777777" w:rsidR="00BE2CA7" w:rsidRPr="00440C76" w:rsidRDefault="00BE2CA7" w:rsidP="002B0590">
            <w:pPr>
              <w:spacing w:before="60" w:after="60" w:line="220" w:lineRule="atLeast"/>
              <w:ind w:left="57" w:right="57"/>
              <w:rPr>
                <w:i/>
                <w:iCs/>
                <w:sz w:val="18"/>
                <w:szCs w:val="18"/>
                <w:lang w:val="fr-FR"/>
              </w:rPr>
            </w:pPr>
          </w:p>
        </w:tc>
        <w:tc>
          <w:tcPr>
            <w:tcW w:w="1300" w:type="dxa"/>
            <w:tcMar>
              <w:left w:w="0" w:type="dxa"/>
              <w:right w:w="0" w:type="dxa"/>
            </w:tcMar>
          </w:tcPr>
          <w:p w14:paraId="633CD092"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x</w:t>
            </w:r>
          </w:p>
        </w:tc>
        <w:tc>
          <w:tcPr>
            <w:tcW w:w="1579" w:type="dxa"/>
            <w:tcMar>
              <w:left w:w="0" w:type="dxa"/>
              <w:right w:w="0" w:type="dxa"/>
            </w:tcMar>
          </w:tcPr>
          <w:p w14:paraId="2F1A61BC" w14:textId="77777777" w:rsidR="00BE2CA7" w:rsidRPr="00440C76" w:rsidRDefault="00BE2CA7" w:rsidP="002B0590">
            <w:pPr>
              <w:spacing w:before="60" w:after="60" w:line="220" w:lineRule="atLeast"/>
              <w:ind w:left="57" w:right="57"/>
              <w:rPr>
                <w:i/>
                <w:iCs/>
                <w:sz w:val="18"/>
                <w:szCs w:val="18"/>
                <w:lang w:val="fr-FR"/>
              </w:rPr>
            </w:pPr>
          </w:p>
        </w:tc>
      </w:tr>
      <w:tr w:rsidR="00BE2CA7" w:rsidRPr="00440C76" w14:paraId="78D91766" w14:textId="77777777" w:rsidTr="002B0590">
        <w:tc>
          <w:tcPr>
            <w:tcW w:w="5293" w:type="dxa"/>
            <w:gridSpan w:val="2"/>
            <w:tcMar>
              <w:left w:w="0" w:type="dxa"/>
              <w:right w:w="0" w:type="dxa"/>
            </w:tcMar>
          </w:tcPr>
          <w:p w14:paraId="5F849D2F" w14:textId="77777777" w:rsidR="00BE2CA7" w:rsidRPr="00440C76" w:rsidRDefault="00BE2CA7" w:rsidP="002B0590">
            <w:pPr>
              <w:spacing w:before="60" w:after="60" w:line="220" w:lineRule="atLeast"/>
              <w:ind w:left="57" w:right="57"/>
              <w:rPr>
                <w:sz w:val="18"/>
                <w:szCs w:val="18"/>
                <w:lang w:val="fr-FR"/>
              </w:rPr>
            </w:pPr>
            <w:r w:rsidRPr="00440C76">
              <w:rPr>
                <w:i/>
                <w:iCs/>
                <w:sz w:val="18"/>
                <w:szCs w:val="18"/>
                <w:lang w:val="fr-FR"/>
              </w:rPr>
              <w:t>Dimensions des pneumatiques (avant et arrière si différentes) :</w:t>
            </w:r>
          </w:p>
        </w:tc>
        <w:tc>
          <w:tcPr>
            <w:tcW w:w="1114" w:type="dxa"/>
            <w:tcMar>
              <w:left w:w="0" w:type="dxa"/>
              <w:right w:w="0" w:type="dxa"/>
            </w:tcMar>
          </w:tcPr>
          <w:p w14:paraId="7D8F07D6" w14:textId="77777777" w:rsidR="00BE2CA7" w:rsidRPr="00440C76" w:rsidRDefault="00BE2CA7" w:rsidP="002B0590">
            <w:pPr>
              <w:spacing w:before="60" w:after="60" w:line="220" w:lineRule="atLeast"/>
              <w:ind w:left="57" w:right="57"/>
              <w:rPr>
                <w:i/>
                <w:iCs/>
                <w:sz w:val="18"/>
                <w:szCs w:val="18"/>
                <w:lang w:val="fr-FR"/>
              </w:rPr>
            </w:pPr>
          </w:p>
        </w:tc>
        <w:tc>
          <w:tcPr>
            <w:tcW w:w="1300" w:type="dxa"/>
            <w:tcMar>
              <w:left w:w="0" w:type="dxa"/>
              <w:right w:w="0" w:type="dxa"/>
            </w:tcMar>
          </w:tcPr>
          <w:p w14:paraId="732C8EEE"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x</w:t>
            </w:r>
          </w:p>
        </w:tc>
        <w:tc>
          <w:tcPr>
            <w:tcW w:w="1579" w:type="dxa"/>
            <w:tcMar>
              <w:left w:w="0" w:type="dxa"/>
              <w:right w:w="0" w:type="dxa"/>
            </w:tcMar>
          </w:tcPr>
          <w:p w14:paraId="0F7439C6" w14:textId="77777777" w:rsidR="00BE2CA7" w:rsidRPr="00440C76" w:rsidRDefault="00BE2CA7" w:rsidP="002B0590">
            <w:pPr>
              <w:spacing w:before="60" w:after="60" w:line="220" w:lineRule="atLeast"/>
              <w:ind w:left="57" w:right="57"/>
              <w:rPr>
                <w:i/>
                <w:iCs/>
                <w:sz w:val="18"/>
                <w:szCs w:val="18"/>
                <w:lang w:val="fr-FR"/>
              </w:rPr>
            </w:pPr>
          </w:p>
        </w:tc>
      </w:tr>
      <w:tr w:rsidR="00BE2CA7" w:rsidRPr="00440C76" w14:paraId="70EEFD7D" w14:textId="77777777" w:rsidTr="002B0590">
        <w:tc>
          <w:tcPr>
            <w:tcW w:w="5293" w:type="dxa"/>
            <w:gridSpan w:val="2"/>
            <w:tcMar>
              <w:left w:w="0" w:type="dxa"/>
              <w:right w:w="0" w:type="dxa"/>
            </w:tcMar>
          </w:tcPr>
          <w:p w14:paraId="3B63A648" w14:textId="77777777" w:rsidR="00BE2CA7" w:rsidRPr="00440C76" w:rsidRDefault="00BE2CA7" w:rsidP="002B0590">
            <w:pPr>
              <w:keepNext/>
              <w:spacing w:before="60" w:after="60" w:line="220" w:lineRule="atLeast"/>
              <w:ind w:left="57" w:right="57"/>
              <w:rPr>
                <w:sz w:val="18"/>
                <w:szCs w:val="18"/>
                <w:lang w:val="fr-FR"/>
              </w:rPr>
            </w:pPr>
            <w:r w:rsidRPr="00440C76">
              <w:rPr>
                <w:i/>
                <w:iCs/>
                <w:sz w:val="18"/>
                <w:szCs w:val="18"/>
                <w:lang w:val="fr-FR"/>
              </w:rPr>
              <w:t>Le véhicule est-il concerné par une campagne de rappel ou d</w:t>
            </w:r>
            <w:r>
              <w:rPr>
                <w:i/>
                <w:iCs/>
                <w:sz w:val="18"/>
                <w:szCs w:val="18"/>
                <w:lang w:val="fr-FR"/>
              </w:rPr>
              <w:t>’</w:t>
            </w:r>
            <w:r w:rsidRPr="00440C76">
              <w:rPr>
                <w:i/>
                <w:iCs/>
                <w:sz w:val="18"/>
                <w:szCs w:val="18"/>
                <w:lang w:val="fr-FR"/>
              </w:rPr>
              <w:t>entretien ?</w:t>
            </w:r>
          </w:p>
          <w:p w14:paraId="78EEE64E" w14:textId="77777777" w:rsidR="00BE2CA7" w:rsidRPr="00440C76" w:rsidRDefault="00BE2CA7" w:rsidP="002B0590">
            <w:pPr>
              <w:keepNext/>
              <w:spacing w:before="60" w:after="60" w:line="220" w:lineRule="atLeast"/>
              <w:ind w:left="57" w:right="57"/>
              <w:rPr>
                <w:sz w:val="18"/>
                <w:szCs w:val="18"/>
                <w:lang w:val="fr-FR"/>
              </w:rPr>
            </w:pPr>
            <w:r w:rsidRPr="00440C76">
              <w:rPr>
                <w:i/>
                <w:iCs/>
                <w:sz w:val="18"/>
                <w:szCs w:val="18"/>
                <w:lang w:val="fr-FR"/>
              </w:rPr>
              <w:t>Dans l</w:t>
            </w:r>
            <w:r>
              <w:rPr>
                <w:i/>
                <w:iCs/>
                <w:sz w:val="18"/>
                <w:szCs w:val="18"/>
                <w:lang w:val="fr-FR"/>
              </w:rPr>
              <w:t>’</w:t>
            </w:r>
            <w:r w:rsidRPr="00440C76">
              <w:rPr>
                <w:i/>
                <w:iCs/>
                <w:sz w:val="18"/>
                <w:szCs w:val="18"/>
                <w:lang w:val="fr-FR"/>
              </w:rPr>
              <w:t>affirmative : laquelle ? Les réparations prévues par la campagne ont-elles déjà été effectuées ?</w:t>
            </w:r>
          </w:p>
          <w:p w14:paraId="0006297D" w14:textId="77777777" w:rsidR="00BE2CA7" w:rsidRPr="00440C76" w:rsidRDefault="00BE2CA7" w:rsidP="002B0590">
            <w:pPr>
              <w:keepNext/>
              <w:spacing w:before="60" w:after="60" w:line="220" w:lineRule="atLeast"/>
              <w:ind w:left="57" w:right="57"/>
              <w:rPr>
                <w:sz w:val="18"/>
                <w:szCs w:val="18"/>
                <w:lang w:val="fr-FR"/>
              </w:rPr>
            </w:pPr>
            <w:r w:rsidRPr="00440C76">
              <w:rPr>
                <w:i/>
                <w:iCs/>
                <w:sz w:val="18"/>
                <w:szCs w:val="18"/>
                <w:lang w:val="fr-FR"/>
              </w:rPr>
              <w:t>Les réparations doivent avoir été effectuées avant le début du contrôle de conformité en service.</w:t>
            </w:r>
          </w:p>
        </w:tc>
        <w:tc>
          <w:tcPr>
            <w:tcW w:w="1114" w:type="dxa"/>
            <w:tcMar>
              <w:left w:w="0" w:type="dxa"/>
              <w:right w:w="0" w:type="dxa"/>
            </w:tcMar>
          </w:tcPr>
          <w:p w14:paraId="07724A4D" w14:textId="77777777" w:rsidR="00BE2CA7" w:rsidRPr="00440C76" w:rsidRDefault="00BE2CA7" w:rsidP="002B0590">
            <w:pPr>
              <w:keepNext/>
              <w:spacing w:before="60" w:after="60" w:line="220" w:lineRule="atLeast"/>
              <w:ind w:left="57" w:right="57"/>
              <w:rPr>
                <w:i/>
                <w:iCs/>
                <w:sz w:val="18"/>
                <w:szCs w:val="18"/>
                <w:lang w:val="fr-FR"/>
              </w:rPr>
            </w:pPr>
            <w:r w:rsidRPr="00440C76">
              <w:rPr>
                <w:i/>
                <w:iCs/>
                <w:sz w:val="18"/>
                <w:szCs w:val="18"/>
                <w:lang w:val="fr-FR"/>
              </w:rPr>
              <w:t>x</w:t>
            </w:r>
          </w:p>
        </w:tc>
        <w:tc>
          <w:tcPr>
            <w:tcW w:w="1300" w:type="dxa"/>
            <w:tcMar>
              <w:left w:w="0" w:type="dxa"/>
              <w:right w:w="0" w:type="dxa"/>
            </w:tcMar>
          </w:tcPr>
          <w:p w14:paraId="46990DB1" w14:textId="77777777" w:rsidR="00BE2CA7" w:rsidRPr="00440C76" w:rsidRDefault="00BE2CA7" w:rsidP="002B0590">
            <w:pPr>
              <w:keepNext/>
              <w:spacing w:before="60" w:after="60" w:line="220" w:lineRule="atLeast"/>
              <w:ind w:left="57" w:right="57"/>
              <w:rPr>
                <w:i/>
                <w:iCs/>
                <w:sz w:val="18"/>
                <w:szCs w:val="18"/>
                <w:lang w:val="fr-FR"/>
              </w:rPr>
            </w:pPr>
            <w:r w:rsidRPr="00440C76">
              <w:rPr>
                <w:i/>
                <w:iCs/>
                <w:sz w:val="18"/>
                <w:szCs w:val="18"/>
                <w:lang w:val="fr-FR"/>
              </w:rPr>
              <w:t>x</w:t>
            </w:r>
          </w:p>
        </w:tc>
        <w:tc>
          <w:tcPr>
            <w:tcW w:w="1579" w:type="dxa"/>
            <w:tcMar>
              <w:left w:w="0" w:type="dxa"/>
              <w:right w:w="0" w:type="dxa"/>
            </w:tcMar>
          </w:tcPr>
          <w:p w14:paraId="78AF1CC1" w14:textId="77777777" w:rsidR="00BE2CA7" w:rsidRPr="00440C76" w:rsidRDefault="00BE2CA7" w:rsidP="002B0590">
            <w:pPr>
              <w:keepNext/>
              <w:spacing w:before="60" w:after="60" w:line="220" w:lineRule="atLeast"/>
              <w:ind w:left="57" w:right="57"/>
              <w:rPr>
                <w:i/>
                <w:iCs/>
                <w:sz w:val="18"/>
                <w:szCs w:val="18"/>
                <w:lang w:val="fr-FR"/>
              </w:rPr>
            </w:pPr>
          </w:p>
        </w:tc>
      </w:tr>
      <w:tr w:rsidR="00BE2CA7" w:rsidRPr="00440C76" w14:paraId="55087B15" w14:textId="77777777" w:rsidTr="002B0590">
        <w:tc>
          <w:tcPr>
            <w:tcW w:w="848" w:type="dxa"/>
            <w:tcMar>
              <w:left w:w="0" w:type="dxa"/>
              <w:right w:w="0" w:type="dxa"/>
            </w:tcMar>
          </w:tcPr>
          <w:p w14:paraId="1B7F9B79" w14:textId="77777777" w:rsidR="00BE2CA7" w:rsidRPr="00440C76" w:rsidRDefault="00BE2CA7" w:rsidP="002B0590">
            <w:pPr>
              <w:spacing w:before="60" w:after="60" w:line="220" w:lineRule="atLeast"/>
              <w:ind w:left="57" w:right="57"/>
              <w:rPr>
                <w:sz w:val="18"/>
                <w:szCs w:val="18"/>
                <w:lang w:val="fr-FR"/>
              </w:rPr>
            </w:pPr>
          </w:p>
        </w:tc>
        <w:tc>
          <w:tcPr>
            <w:tcW w:w="4445" w:type="dxa"/>
            <w:tcMar>
              <w:left w:w="0" w:type="dxa"/>
              <w:right w:w="0" w:type="dxa"/>
            </w:tcMar>
          </w:tcPr>
          <w:p w14:paraId="097C3C90" w14:textId="77777777" w:rsidR="00BE2CA7" w:rsidRPr="00440C76" w:rsidRDefault="00BE2CA7" w:rsidP="002B0590">
            <w:pPr>
              <w:spacing w:before="60" w:after="60" w:line="220" w:lineRule="atLeast"/>
              <w:ind w:left="57" w:right="57"/>
              <w:rPr>
                <w:sz w:val="18"/>
                <w:szCs w:val="18"/>
                <w:lang w:val="fr-FR"/>
              </w:rPr>
            </w:pPr>
          </w:p>
        </w:tc>
        <w:tc>
          <w:tcPr>
            <w:tcW w:w="1114" w:type="dxa"/>
            <w:tcMar>
              <w:left w:w="0" w:type="dxa"/>
              <w:right w:w="0" w:type="dxa"/>
            </w:tcMar>
          </w:tcPr>
          <w:p w14:paraId="7E2C1E5A" w14:textId="77777777" w:rsidR="00BE2CA7" w:rsidRPr="00440C76" w:rsidRDefault="00BE2CA7" w:rsidP="002B0590">
            <w:pPr>
              <w:spacing w:before="60" w:after="60" w:line="220" w:lineRule="atLeast"/>
              <w:ind w:left="57" w:right="57"/>
              <w:rPr>
                <w:i/>
                <w:iCs/>
                <w:sz w:val="18"/>
                <w:szCs w:val="18"/>
                <w:lang w:val="fr-FR"/>
              </w:rPr>
            </w:pPr>
          </w:p>
        </w:tc>
        <w:tc>
          <w:tcPr>
            <w:tcW w:w="1300" w:type="dxa"/>
            <w:tcMar>
              <w:left w:w="0" w:type="dxa"/>
              <w:right w:w="0" w:type="dxa"/>
            </w:tcMar>
          </w:tcPr>
          <w:p w14:paraId="7D954BD1" w14:textId="77777777" w:rsidR="00BE2CA7" w:rsidRPr="00440C76" w:rsidRDefault="00BE2CA7" w:rsidP="002B0590">
            <w:pPr>
              <w:spacing w:before="60" w:after="60" w:line="220" w:lineRule="atLeast"/>
              <w:ind w:left="57" w:right="57"/>
              <w:rPr>
                <w:i/>
                <w:iCs/>
                <w:sz w:val="18"/>
                <w:szCs w:val="18"/>
                <w:lang w:val="fr-FR"/>
              </w:rPr>
            </w:pPr>
          </w:p>
        </w:tc>
        <w:tc>
          <w:tcPr>
            <w:tcW w:w="1579" w:type="dxa"/>
            <w:tcMar>
              <w:left w:w="0" w:type="dxa"/>
              <w:right w:w="0" w:type="dxa"/>
            </w:tcMar>
          </w:tcPr>
          <w:p w14:paraId="638A8B22" w14:textId="77777777" w:rsidR="00BE2CA7" w:rsidRPr="00440C76" w:rsidRDefault="00BE2CA7" w:rsidP="002B0590">
            <w:pPr>
              <w:spacing w:before="60" w:after="60" w:line="220" w:lineRule="atLeast"/>
              <w:ind w:left="57" w:right="57"/>
              <w:rPr>
                <w:i/>
                <w:iCs/>
                <w:sz w:val="18"/>
                <w:szCs w:val="18"/>
                <w:lang w:val="fr-FR"/>
              </w:rPr>
            </w:pPr>
          </w:p>
        </w:tc>
      </w:tr>
      <w:tr w:rsidR="00BE2CA7" w:rsidRPr="00440C76" w14:paraId="26C5FA6C" w14:textId="77777777" w:rsidTr="002B0590">
        <w:tc>
          <w:tcPr>
            <w:tcW w:w="5293" w:type="dxa"/>
            <w:gridSpan w:val="2"/>
            <w:tcMar>
              <w:left w:w="0" w:type="dxa"/>
              <w:right w:w="0" w:type="dxa"/>
            </w:tcMar>
          </w:tcPr>
          <w:p w14:paraId="4166A567" w14:textId="77777777" w:rsidR="00BE2CA7" w:rsidRPr="00440C76" w:rsidRDefault="00BE2CA7" w:rsidP="002B0590">
            <w:pPr>
              <w:keepNext/>
              <w:spacing w:before="60" w:after="60" w:line="220" w:lineRule="atLeast"/>
              <w:ind w:left="57" w:right="57"/>
              <w:rPr>
                <w:b/>
                <w:sz w:val="18"/>
                <w:szCs w:val="18"/>
                <w:lang w:val="fr-FR"/>
              </w:rPr>
            </w:pPr>
            <w:r w:rsidRPr="00440C76">
              <w:rPr>
                <w:b/>
                <w:i/>
                <w:iCs/>
                <w:sz w:val="18"/>
                <w:szCs w:val="18"/>
                <w:lang w:val="fr-FR"/>
              </w:rPr>
              <w:lastRenderedPageBreak/>
              <w:t>Entretien avec le propriétaire du véhicule</w:t>
            </w:r>
          </w:p>
          <w:p w14:paraId="19E432EB" w14:textId="77777777" w:rsidR="00BE2CA7" w:rsidRPr="00440C76" w:rsidRDefault="00BE2CA7" w:rsidP="002B0590">
            <w:pPr>
              <w:spacing w:before="60" w:after="60" w:line="220" w:lineRule="atLeast"/>
              <w:ind w:left="57" w:right="57"/>
              <w:rPr>
                <w:sz w:val="18"/>
                <w:szCs w:val="18"/>
                <w:lang w:val="fr-FR"/>
              </w:rPr>
            </w:pPr>
            <w:r w:rsidRPr="00440C76">
              <w:rPr>
                <w:i/>
                <w:iCs/>
                <w:sz w:val="18"/>
                <w:szCs w:val="18"/>
                <w:lang w:val="fr-FR"/>
              </w:rPr>
              <w:t>(le propriétaire ne se verra poser que les questions principales et doit ignorer les conséquences des réponses)</w:t>
            </w:r>
          </w:p>
        </w:tc>
        <w:tc>
          <w:tcPr>
            <w:tcW w:w="1114" w:type="dxa"/>
            <w:tcMar>
              <w:left w:w="0" w:type="dxa"/>
              <w:right w:w="0" w:type="dxa"/>
            </w:tcMar>
          </w:tcPr>
          <w:p w14:paraId="62821452" w14:textId="77777777" w:rsidR="00BE2CA7" w:rsidRPr="00440C76" w:rsidRDefault="00BE2CA7" w:rsidP="002B0590">
            <w:pPr>
              <w:spacing w:before="60" w:after="60" w:line="220" w:lineRule="atLeast"/>
              <w:ind w:left="57" w:right="57"/>
              <w:rPr>
                <w:b/>
                <w:i/>
                <w:iCs/>
                <w:sz w:val="18"/>
                <w:szCs w:val="18"/>
                <w:lang w:val="fr-FR"/>
              </w:rPr>
            </w:pPr>
          </w:p>
        </w:tc>
        <w:tc>
          <w:tcPr>
            <w:tcW w:w="1300" w:type="dxa"/>
            <w:tcMar>
              <w:left w:w="0" w:type="dxa"/>
              <w:right w:w="0" w:type="dxa"/>
            </w:tcMar>
          </w:tcPr>
          <w:p w14:paraId="33527B69" w14:textId="77777777" w:rsidR="00BE2CA7" w:rsidRPr="00440C76" w:rsidRDefault="00BE2CA7" w:rsidP="002B0590">
            <w:pPr>
              <w:spacing w:before="60" w:after="60" w:line="220" w:lineRule="atLeast"/>
              <w:ind w:left="57" w:right="57"/>
              <w:rPr>
                <w:b/>
                <w:i/>
                <w:iCs/>
                <w:sz w:val="18"/>
                <w:szCs w:val="18"/>
                <w:lang w:val="fr-FR"/>
              </w:rPr>
            </w:pPr>
          </w:p>
        </w:tc>
        <w:tc>
          <w:tcPr>
            <w:tcW w:w="1579" w:type="dxa"/>
            <w:tcMar>
              <w:left w:w="0" w:type="dxa"/>
              <w:right w:w="0" w:type="dxa"/>
            </w:tcMar>
          </w:tcPr>
          <w:p w14:paraId="7E553B04" w14:textId="77777777" w:rsidR="00BE2CA7" w:rsidRPr="00440C76" w:rsidRDefault="00BE2CA7" w:rsidP="002B0590">
            <w:pPr>
              <w:spacing w:before="60" w:after="60" w:line="220" w:lineRule="atLeast"/>
              <w:ind w:left="57" w:right="57"/>
              <w:rPr>
                <w:b/>
                <w:i/>
                <w:iCs/>
                <w:sz w:val="18"/>
                <w:szCs w:val="18"/>
                <w:lang w:val="fr-FR"/>
              </w:rPr>
            </w:pPr>
          </w:p>
        </w:tc>
      </w:tr>
      <w:tr w:rsidR="00BE2CA7" w:rsidRPr="00440C76" w14:paraId="2A7A0637" w14:textId="77777777" w:rsidTr="002B0590">
        <w:tc>
          <w:tcPr>
            <w:tcW w:w="848" w:type="dxa"/>
            <w:tcMar>
              <w:left w:w="0" w:type="dxa"/>
              <w:right w:w="0" w:type="dxa"/>
            </w:tcMar>
          </w:tcPr>
          <w:p w14:paraId="1424BF5A" w14:textId="77777777" w:rsidR="00BE2CA7" w:rsidRPr="00440C76" w:rsidRDefault="00BE2CA7" w:rsidP="002B0590">
            <w:pPr>
              <w:spacing w:before="60" w:after="60" w:line="220" w:lineRule="atLeast"/>
              <w:ind w:left="57" w:right="57"/>
              <w:rPr>
                <w:sz w:val="18"/>
                <w:szCs w:val="18"/>
                <w:lang w:val="fr-FR"/>
              </w:rPr>
            </w:pPr>
          </w:p>
        </w:tc>
        <w:tc>
          <w:tcPr>
            <w:tcW w:w="4445" w:type="dxa"/>
            <w:tcMar>
              <w:left w:w="0" w:type="dxa"/>
              <w:right w:w="0" w:type="dxa"/>
            </w:tcMar>
          </w:tcPr>
          <w:p w14:paraId="60CDA96C" w14:textId="77777777" w:rsidR="00BE2CA7" w:rsidRPr="00440C76" w:rsidRDefault="00BE2CA7" w:rsidP="002B0590">
            <w:pPr>
              <w:spacing w:before="60" w:after="60" w:line="220" w:lineRule="atLeast"/>
              <w:ind w:left="57" w:right="57"/>
              <w:rPr>
                <w:sz w:val="18"/>
                <w:szCs w:val="18"/>
                <w:lang w:val="fr-FR"/>
              </w:rPr>
            </w:pPr>
          </w:p>
        </w:tc>
        <w:tc>
          <w:tcPr>
            <w:tcW w:w="1114" w:type="dxa"/>
            <w:tcMar>
              <w:left w:w="0" w:type="dxa"/>
              <w:right w:w="0" w:type="dxa"/>
            </w:tcMar>
          </w:tcPr>
          <w:p w14:paraId="4CE98A3F" w14:textId="77777777" w:rsidR="00BE2CA7" w:rsidRPr="00440C76" w:rsidRDefault="00BE2CA7" w:rsidP="002B0590">
            <w:pPr>
              <w:spacing w:before="60" w:after="60" w:line="220" w:lineRule="atLeast"/>
              <w:ind w:left="57" w:right="57"/>
              <w:rPr>
                <w:i/>
                <w:iCs/>
                <w:sz w:val="18"/>
                <w:szCs w:val="18"/>
                <w:lang w:val="fr-FR"/>
              </w:rPr>
            </w:pPr>
          </w:p>
        </w:tc>
        <w:tc>
          <w:tcPr>
            <w:tcW w:w="1300" w:type="dxa"/>
            <w:tcMar>
              <w:left w:w="0" w:type="dxa"/>
              <w:right w:w="0" w:type="dxa"/>
            </w:tcMar>
          </w:tcPr>
          <w:p w14:paraId="36696FF3" w14:textId="77777777" w:rsidR="00BE2CA7" w:rsidRPr="00440C76" w:rsidRDefault="00BE2CA7" w:rsidP="002B0590">
            <w:pPr>
              <w:spacing w:before="60" w:after="60" w:line="220" w:lineRule="atLeast"/>
              <w:ind w:left="57" w:right="57"/>
              <w:rPr>
                <w:i/>
                <w:iCs/>
                <w:sz w:val="18"/>
                <w:szCs w:val="18"/>
                <w:lang w:val="fr-FR"/>
              </w:rPr>
            </w:pPr>
          </w:p>
        </w:tc>
        <w:tc>
          <w:tcPr>
            <w:tcW w:w="1579" w:type="dxa"/>
            <w:tcMar>
              <w:left w:w="0" w:type="dxa"/>
              <w:right w:w="0" w:type="dxa"/>
            </w:tcMar>
          </w:tcPr>
          <w:p w14:paraId="05F887AF" w14:textId="77777777" w:rsidR="00BE2CA7" w:rsidRPr="00440C76" w:rsidRDefault="00BE2CA7" w:rsidP="002B0590">
            <w:pPr>
              <w:spacing w:before="60" w:after="60" w:line="220" w:lineRule="atLeast"/>
              <w:ind w:left="57" w:right="57"/>
              <w:rPr>
                <w:i/>
                <w:iCs/>
                <w:sz w:val="18"/>
                <w:szCs w:val="18"/>
                <w:lang w:val="fr-FR"/>
              </w:rPr>
            </w:pPr>
          </w:p>
        </w:tc>
      </w:tr>
      <w:tr w:rsidR="00BE2CA7" w:rsidRPr="00440C76" w14:paraId="1BC86A4E" w14:textId="77777777" w:rsidTr="002B0590">
        <w:tc>
          <w:tcPr>
            <w:tcW w:w="5293" w:type="dxa"/>
            <w:gridSpan w:val="2"/>
            <w:tcMar>
              <w:left w:w="0" w:type="dxa"/>
              <w:right w:w="0" w:type="dxa"/>
            </w:tcMar>
          </w:tcPr>
          <w:p w14:paraId="264D23F4" w14:textId="77777777" w:rsidR="00BE2CA7" w:rsidRPr="00440C76" w:rsidRDefault="00BE2CA7" w:rsidP="002B0590">
            <w:pPr>
              <w:spacing w:before="60" w:after="60" w:line="220" w:lineRule="atLeast"/>
              <w:ind w:left="57" w:right="57"/>
              <w:rPr>
                <w:sz w:val="18"/>
                <w:szCs w:val="18"/>
                <w:lang w:val="fr-FR"/>
              </w:rPr>
            </w:pPr>
            <w:r w:rsidRPr="00440C76">
              <w:rPr>
                <w:i/>
                <w:iCs/>
                <w:sz w:val="18"/>
                <w:szCs w:val="18"/>
                <w:lang w:val="fr-FR"/>
              </w:rPr>
              <w:t>Nom du propriétaire (disponible uniquement pour l</w:t>
            </w:r>
            <w:r>
              <w:rPr>
                <w:i/>
                <w:iCs/>
                <w:sz w:val="18"/>
                <w:szCs w:val="18"/>
                <w:lang w:val="fr-FR"/>
              </w:rPr>
              <w:t>’</w:t>
            </w:r>
            <w:r w:rsidRPr="00440C76">
              <w:rPr>
                <w:i/>
                <w:iCs/>
                <w:sz w:val="18"/>
                <w:szCs w:val="18"/>
                <w:lang w:val="fr-FR"/>
              </w:rPr>
              <w:t>organisme d</w:t>
            </w:r>
            <w:r>
              <w:rPr>
                <w:i/>
                <w:iCs/>
                <w:sz w:val="18"/>
                <w:szCs w:val="18"/>
                <w:lang w:val="fr-FR"/>
              </w:rPr>
              <w:t>’</w:t>
            </w:r>
            <w:r w:rsidRPr="00440C76">
              <w:rPr>
                <w:i/>
                <w:iCs/>
                <w:sz w:val="18"/>
                <w:szCs w:val="18"/>
                <w:lang w:val="fr-FR"/>
              </w:rPr>
              <w:t>inspection ou le laboratoire ou service technique agréé)</w:t>
            </w:r>
          </w:p>
        </w:tc>
        <w:tc>
          <w:tcPr>
            <w:tcW w:w="1114" w:type="dxa"/>
            <w:tcMar>
              <w:left w:w="0" w:type="dxa"/>
              <w:right w:w="0" w:type="dxa"/>
            </w:tcMar>
          </w:tcPr>
          <w:p w14:paraId="7869156A" w14:textId="77777777" w:rsidR="00BE2CA7" w:rsidRPr="00440C76" w:rsidRDefault="00BE2CA7" w:rsidP="002B0590">
            <w:pPr>
              <w:spacing w:before="60" w:after="60" w:line="220" w:lineRule="atLeast"/>
              <w:ind w:left="57" w:right="57"/>
              <w:rPr>
                <w:i/>
                <w:iCs/>
                <w:sz w:val="18"/>
                <w:szCs w:val="18"/>
                <w:lang w:val="fr-FR"/>
              </w:rPr>
            </w:pPr>
          </w:p>
        </w:tc>
        <w:tc>
          <w:tcPr>
            <w:tcW w:w="1300" w:type="dxa"/>
            <w:tcMar>
              <w:left w:w="0" w:type="dxa"/>
              <w:right w:w="0" w:type="dxa"/>
            </w:tcMar>
          </w:tcPr>
          <w:p w14:paraId="7267722D" w14:textId="77777777" w:rsidR="00BE2CA7" w:rsidRPr="00440C76" w:rsidRDefault="00BE2CA7" w:rsidP="002B0590">
            <w:pPr>
              <w:spacing w:before="60" w:after="60" w:line="220" w:lineRule="atLeast"/>
              <w:ind w:left="57" w:right="57"/>
              <w:rPr>
                <w:i/>
                <w:iCs/>
                <w:sz w:val="18"/>
                <w:szCs w:val="18"/>
                <w:lang w:val="fr-FR"/>
              </w:rPr>
            </w:pPr>
          </w:p>
        </w:tc>
        <w:tc>
          <w:tcPr>
            <w:tcW w:w="1579" w:type="dxa"/>
            <w:tcMar>
              <w:left w:w="0" w:type="dxa"/>
              <w:right w:w="0" w:type="dxa"/>
            </w:tcMar>
          </w:tcPr>
          <w:p w14:paraId="05940D21"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x</w:t>
            </w:r>
          </w:p>
        </w:tc>
      </w:tr>
      <w:tr w:rsidR="00BE2CA7" w:rsidRPr="00440C76" w14:paraId="44836227" w14:textId="77777777" w:rsidTr="002B0590">
        <w:tc>
          <w:tcPr>
            <w:tcW w:w="5293" w:type="dxa"/>
            <w:gridSpan w:val="2"/>
            <w:tcMar>
              <w:left w:w="0" w:type="dxa"/>
              <w:right w:w="0" w:type="dxa"/>
            </w:tcMar>
          </w:tcPr>
          <w:p w14:paraId="72A2F877" w14:textId="77777777" w:rsidR="00BE2CA7" w:rsidRPr="00440C76" w:rsidRDefault="00BE2CA7" w:rsidP="002B0590">
            <w:pPr>
              <w:spacing w:before="60" w:after="60" w:line="220" w:lineRule="atLeast"/>
              <w:ind w:left="57" w:right="57"/>
              <w:rPr>
                <w:sz w:val="18"/>
                <w:szCs w:val="18"/>
                <w:lang w:val="fr-FR"/>
              </w:rPr>
            </w:pPr>
            <w:r w:rsidRPr="00440C76">
              <w:rPr>
                <w:i/>
                <w:iCs/>
                <w:sz w:val="18"/>
                <w:szCs w:val="18"/>
                <w:lang w:val="fr-FR"/>
              </w:rPr>
              <w:t>Coordonnées (adresse et téléphone) (communiquées uniquement à l</w:t>
            </w:r>
            <w:r>
              <w:rPr>
                <w:i/>
                <w:iCs/>
                <w:sz w:val="18"/>
                <w:szCs w:val="18"/>
                <w:lang w:val="fr-FR"/>
              </w:rPr>
              <w:t>’</w:t>
            </w:r>
            <w:r w:rsidRPr="00440C76">
              <w:rPr>
                <w:i/>
                <w:iCs/>
                <w:sz w:val="18"/>
                <w:szCs w:val="18"/>
                <w:lang w:val="fr-FR"/>
              </w:rPr>
              <w:t>organisme d</w:t>
            </w:r>
            <w:r>
              <w:rPr>
                <w:i/>
                <w:iCs/>
                <w:sz w:val="18"/>
                <w:szCs w:val="18"/>
                <w:lang w:val="fr-FR"/>
              </w:rPr>
              <w:t>’</w:t>
            </w:r>
            <w:r w:rsidRPr="00440C76">
              <w:rPr>
                <w:i/>
                <w:iCs/>
                <w:sz w:val="18"/>
                <w:szCs w:val="18"/>
                <w:lang w:val="fr-FR"/>
              </w:rPr>
              <w:t>inspection ou au laboratoire ou service technique agréé)</w:t>
            </w:r>
          </w:p>
        </w:tc>
        <w:tc>
          <w:tcPr>
            <w:tcW w:w="1114" w:type="dxa"/>
            <w:tcMar>
              <w:left w:w="0" w:type="dxa"/>
              <w:right w:w="0" w:type="dxa"/>
            </w:tcMar>
          </w:tcPr>
          <w:p w14:paraId="7122EE08" w14:textId="77777777" w:rsidR="00BE2CA7" w:rsidRPr="00440C76" w:rsidRDefault="00BE2CA7" w:rsidP="002B0590">
            <w:pPr>
              <w:spacing w:before="60" w:after="60" w:line="220" w:lineRule="atLeast"/>
              <w:ind w:left="57" w:right="57"/>
              <w:rPr>
                <w:i/>
                <w:iCs/>
                <w:sz w:val="18"/>
                <w:szCs w:val="18"/>
                <w:lang w:val="fr-FR"/>
              </w:rPr>
            </w:pPr>
          </w:p>
        </w:tc>
        <w:tc>
          <w:tcPr>
            <w:tcW w:w="1300" w:type="dxa"/>
            <w:tcMar>
              <w:left w:w="0" w:type="dxa"/>
              <w:right w:w="0" w:type="dxa"/>
            </w:tcMar>
          </w:tcPr>
          <w:p w14:paraId="64128C09" w14:textId="77777777" w:rsidR="00BE2CA7" w:rsidRPr="00440C76" w:rsidRDefault="00BE2CA7" w:rsidP="002B0590">
            <w:pPr>
              <w:spacing w:before="60" w:after="60" w:line="220" w:lineRule="atLeast"/>
              <w:ind w:left="57" w:right="57"/>
              <w:rPr>
                <w:i/>
                <w:iCs/>
                <w:sz w:val="18"/>
                <w:szCs w:val="18"/>
                <w:lang w:val="fr-FR"/>
              </w:rPr>
            </w:pPr>
          </w:p>
        </w:tc>
        <w:tc>
          <w:tcPr>
            <w:tcW w:w="1579" w:type="dxa"/>
            <w:tcMar>
              <w:left w:w="0" w:type="dxa"/>
              <w:right w:w="0" w:type="dxa"/>
            </w:tcMar>
          </w:tcPr>
          <w:p w14:paraId="36931B19"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x</w:t>
            </w:r>
          </w:p>
        </w:tc>
      </w:tr>
      <w:tr w:rsidR="00BE2CA7" w:rsidRPr="00440C76" w14:paraId="29762267" w14:textId="77777777" w:rsidTr="002B0590">
        <w:tc>
          <w:tcPr>
            <w:tcW w:w="848" w:type="dxa"/>
            <w:tcMar>
              <w:left w:w="0" w:type="dxa"/>
              <w:right w:w="0" w:type="dxa"/>
            </w:tcMar>
          </w:tcPr>
          <w:p w14:paraId="7F59445C" w14:textId="77777777" w:rsidR="00BE2CA7" w:rsidRPr="00440C76" w:rsidRDefault="00BE2CA7" w:rsidP="002B0590">
            <w:pPr>
              <w:spacing w:before="60" w:after="60" w:line="220" w:lineRule="atLeast"/>
              <w:ind w:left="57" w:right="57"/>
              <w:rPr>
                <w:sz w:val="18"/>
                <w:szCs w:val="18"/>
                <w:lang w:val="fr-FR"/>
              </w:rPr>
            </w:pPr>
          </w:p>
        </w:tc>
        <w:tc>
          <w:tcPr>
            <w:tcW w:w="4445" w:type="dxa"/>
            <w:tcMar>
              <w:left w:w="0" w:type="dxa"/>
              <w:right w:w="0" w:type="dxa"/>
            </w:tcMar>
          </w:tcPr>
          <w:p w14:paraId="1EA08798" w14:textId="77777777" w:rsidR="00BE2CA7" w:rsidRPr="00440C76" w:rsidRDefault="00BE2CA7" w:rsidP="002B0590">
            <w:pPr>
              <w:spacing w:before="60" w:after="60" w:line="220" w:lineRule="atLeast"/>
              <w:ind w:left="57" w:right="57"/>
              <w:rPr>
                <w:sz w:val="18"/>
                <w:szCs w:val="18"/>
                <w:lang w:val="fr-FR"/>
              </w:rPr>
            </w:pPr>
          </w:p>
        </w:tc>
        <w:tc>
          <w:tcPr>
            <w:tcW w:w="1114" w:type="dxa"/>
            <w:tcMar>
              <w:left w:w="0" w:type="dxa"/>
              <w:right w:w="0" w:type="dxa"/>
            </w:tcMar>
          </w:tcPr>
          <w:p w14:paraId="0F7E839A" w14:textId="77777777" w:rsidR="00BE2CA7" w:rsidRPr="00440C76" w:rsidRDefault="00BE2CA7" w:rsidP="002B0590">
            <w:pPr>
              <w:spacing w:before="60" w:after="60" w:line="220" w:lineRule="atLeast"/>
              <w:ind w:left="57" w:right="57"/>
              <w:rPr>
                <w:i/>
                <w:iCs/>
                <w:sz w:val="18"/>
                <w:szCs w:val="18"/>
                <w:lang w:val="fr-FR"/>
              </w:rPr>
            </w:pPr>
          </w:p>
        </w:tc>
        <w:tc>
          <w:tcPr>
            <w:tcW w:w="1300" w:type="dxa"/>
            <w:tcMar>
              <w:left w:w="0" w:type="dxa"/>
              <w:right w:w="0" w:type="dxa"/>
            </w:tcMar>
          </w:tcPr>
          <w:p w14:paraId="038B52F6" w14:textId="77777777" w:rsidR="00BE2CA7" w:rsidRPr="00440C76" w:rsidRDefault="00BE2CA7" w:rsidP="002B0590">
            <w:pPr>
              <w:spacing w:before="60" w:after="60" w:line="220" w:lineRule="atLeast"/>
              <w:ind w:left="57" w:right="57"/>
              <w:rPr>
                <w:i/>
                <w:iCs/>
                <w:sz w:val="18"/>
                <w:szCs w:val="18"/>
                <w:lang w:val="fr-FR"/>
              </w:rPr>
            </w:pPr>
          </w:p>
        </w:tc>
        <w:tc>
          <w:tcPr>
            <w:tcW w:w="1579" w:type="dxa"/>
            <w:tcMar>
              <w:left w:w="0" w:type="dxa"/>
              <w:right w:w="0" w:type="dxa"/>
            </w:tcMar>
          </w:tcPr>
          <w:p w14:paraId="12FA5AB2" w14:textId="77777777" w:rsidR="00BE2CA7" w:rsidRPr="00440C76" w:rsidRDefault="00BE2CA7" w:rsidP="002B0590">
            <w:pPr>
              <w:spacing w:before="60" w:after="60" w:line="220" w:lineRule="atLeast"/>
              <w:ind w:left="57" w:right="57"/>
              <w:rPr>
                <w:i/>
                <w:iCs/>
                <w:sz w:val="18"/>
                <w:szCs w:val="18"/>
                <w:lang w:val="fr-FR"/>
              </w:rPr>
            </w:pPr>
          </w:p>
        </w:tc>
      </w:tr>
      <w:tr w:rsidR="00BE2CA7" w:rsidRPr="00440C76" w14:paraId="4C23E708" w14:textId="77777777" w:rsidTr="002B0590">
        <w:tc>
          <w:tcPr>
            <w:tcW w:w="5293" w:type="dxa"/>
            <w:gridSpan w:val="2"/>
            <w:tcMar>
              <w:left w:w="0" w:type="dxa"/>
              <w:right w:w="0" w:type="dxa"/>
            </w:tcMar>
          </w:tcPr>
          <w:p w14:paraId="341284B0" w14:textId="77777777" w:rsidR="00BE2CA7" w:rsidRPr="00440C76" w:rsidRDefault="00BE2CA7" w:rsidP="002B0590">
            <w:pPr>
              <w:spacing w:before="60" w:after="60" w:line="220" w:lineRule="atLeast"/>
              <w:ind w:left="57" w:right="57"/>
              <w:rPr>
                <w:sz w:val="18"/>
                <w:szCs w:val="18"/>
                <w:lang w:val="fr-FR"/>
              </w:rPr>
            </w:pPr>
            <w:r w:rsidRPr="00440C76">
              <w:rPr>
                <w:i/>
                <w:iCs/>
                <w:sz w:val="18"/>
                <w:szCs w:val="18"/>
                <w:lang w:val="fr-FR"/>
              </w:rPr>
              <w:t>Combien de propriétaires le véhicule a-t-il eu ?</w:t>
            </w:r>
          </w:p>
        </w:tc>
        <w:tc>
          <w:tcPr>
            <w:tcW w:w="1114" w:type="dxa"/>
            <w:tcMar>
              <w:left w:w="0" w:type="dxa"/>
              <w:right w:w="0" w:type="dxa"/>
            </w:tcMar>
          </w:tcPr>
          <w:p w14:paraId="4579216A" w14:textId="77777777" w:rsidR="00BE2CA7" w:rsidRPr="00440C76" w:rsidRDefault="00BE2CA7" w:rsidP="002B0590">
            <w:pPr>
              <w:spacing w:before="60" w:after="60" w:line="220" w:lineRule="atLeast"/>
              <w:ind w:left="57" w:right="57"/>
              <w:rPr>
                <w:i/>
                <w:iCs/>
                <w:sz w:val="18"/>
                <w:szCs w:val="18"/>
                <w:lang w:val="fr-FR"/>
              </w:rPr>
            </w:pPr>
          </w:p>
        </w:tc>
        <w:tc>
          <w:tcPr>
            <w:tcW w:w="1300" w:type="dxa"/>
            <w:tcMar>
              <w:left w:w="0" w:type="dxa"/>
              <w:right w:w="0" w:type="dxa"/>
            </w:tcMar>
          </w:tcPr>
          <w:p w14:paraId="5303B24E"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x</w:t>
            </w:r>
          </w:p>
        </w:tc>
        <w:tc>
          <w:tcPr>
            <w:tcW w:w="1579" w:type="dxa"/>
            <w:tcMar>
              <w:left w:w="0" w:type="dxa"/>
              <w:right w:w="0" w:type="dxa"/>
            </w:tcMar>
          </w:tcPr>
          <w:p w14:paraId="4FDC2929" w14:textId="77777777" w:rsidR="00BE2CA7" w:rsidRPr="00440C76" w:rsidRDefault="00BE2CA7" w:rsidP="002B0590">
            <w:pPr>
              <w:spacing w:before="60" w:after="60" w:line="220" w:lineRule="atLeast"/>
              <w:ind w:left="57" w:right="57"/>
              <w:rPr>
                <w:i/>
                <w:iCs/>
                <w:sz w:val="18"/>
                <w:szCs w:val="18"/>
                <w:lang w:val="fr-FR"/>
              </w:rPr>
            </w:pPr>
          </w:p>
        </w:tc>
      </w:tr>
      <w:tr w:rsidR="00BE2CA7" w:rsidRPr="00440C76" w14:paraId="0C9CEC46" w14:textId="77777777" w:rsidTr="002B0590">
        <w:tc>
          <w:tcPr>
            <w:tcW w:w="5293" w:type="dxa"/>
            <w:gridSpan w:val="2"/>
            <w:tcMar>
              <w:left w:w="0" w:type="dxa"/>
              <w:right w:w="0" w:type="dxa"/>
            </w:tcMar>
          </w:tcPr>
          <w:p w14:paraId="1862EF48" w14:textId="77777777" w:rsidR="00BE2CA7" w:rsidRDefault="00BE2CA7" w:rsidP="002B0590">
            <w:pPr>
              <w:spacing w:before="60" w:after="60" w:line="220" w:lineRule="atLeast"/>
              <w:ind w:left="57" w:right="57"/>
              <w:rPr>
                <w:i/>
                <w:iCs/>
                <w:sz w:val="18"/>
                <w:szCs w:val="18"/>
                <w:lang w:val="fr-FR"/>
              </w:rPr>
            </w:pPr>
            <w:r w:rsidRPr="00440C76">
              <w:rPr>
                <w:i/>
                <w:iCs/>
                <w:sz w:val="18"/>
                <w:szCs w:val="18"/>
                <w:lang w:val="fr-FR"/>
              </w:rPr>
              <w:t xml:space="preserve">Le compteur kilométrique a-t-il présenté un dysfonctionnement ? </w:t>
            </w:r>
          </w:p>
          <w:p w14:paraId="26825AAD" w14:textId="77777777" w:rsidR="00BE2CA7" w:rsidRPr="00440C76" w:rsidRDefault="00BE2CA7" w:rsidP="002B0590">
            <w:pPr>
              <w:spacing w:before="60" w:after="60" w:line="220" w:lineRule="atLeast"/>
              <w:ind w:left="57" w:right="57"/>
              <w:rPr>
                <w:sz w:val="18"/>
                <w:szCs w:val="18"/>
                <w:lang w:val="fr-FR"/>
              </w:rPr>
            </w:pPr>
            <w:r w:rsidRPr="00440C76">
              <w:rPr>
                <w:i/>
                <w:iCs/>
                <w:sz w:val="18"/>
                <w:szCs w:val="18"/>
                <w:lang w:val="fr-FR"/>
              </w:rPr>
              <w:t>Dans l</w:t>
            </w:r>
            <w:r>
              <w:rPr>
                <w:i/>
                <w:iCs/>
                <w:sz w:val="18"/>
                <w:szCs w:val="18"/>
                <w:lang w:val="fr-FR"/>
              </w:rPr>
              <w:t>’</w:t>
            </w:r>
            <w:r w:rsidRPr="00440C76">
              <w:rPr>
                <w:i/>
                <w:iCs/>
                <w:sz w:val="18"/>
                <w:szCs w:val="18"/>
                <w:lang w:val="fr-FR"/>
              </w:rPr>
              <w:t>affirmative, le véhicule ne peut pas être sélectionné.</w:t>
            </w:r>
          </w:p>
        </w:tc>
        <w:tc>
          <w:tcPr>
            <w:tcW w:w="1114" w:type="dxa"/>
            <w:tcMar>
              <w:left w:w="0" w:type="dxa"/>
              <w:right w:w="0" w:type="dxa"/>
            </w:tcMar>
          </w:tcPr>
          <w:p w14:paraId="71DD5731" w14:textId="77777777" w:rsidR="00BE2CA7" w:rsidRPr="00440C76" w:rsidRDefault="00BE2CA7" w:rsidP="002B0590">
            <w:pPr>
              <w:spacing w:before="60" w:after="60" w:line="220" w:lineRule="atLeast"/>
              <w:ind w:left="57" w:right="57"/>
              <w:rPr>
                <w:i/>
                <w:iCs/>
                <w:sz w:val="18"/>
                <w:szCs w:val="18"/>
                <w:lang w:val="fr-FR"/>
              </w:rPr>
            </w:pPr>
            <w:r>
              <w:rPr>
                <w:i/>
                <w:iCs/>
                <w:sz w:val="18"/>
                <w:szCs w:val="18"/>
                <w:lang w:val="fr-FR"/>
              </w:rPr>
              <w:t>x</w:t>
            </w:r>
          </w:p>
        </w:tc>
        <w:tc>
          <w:tcPr>
            <w:tcW w:w="1300" w:type="dxa"/>
            <w:tcMar>
              <w:left w:w="0" w:type="dxa"/>
              <w:right w:w="0" w:type="dxa"/>
            </w:tcMar>
          </w:tcPr>
          <w:p w14:paraId="5366E36B" w14:textId="77777777" w:rsidR="00BE2CA7" w:rsidRPr="00440C76" w:rsidRDefault="00BE2CA7" w:rsidP="002B0590">
            <w:pPr>
              <w:spacing w:before="60" w:after="60" w:line="220" w:lineRule="atLeast"/>
              <w:ind w:left="57" w:right="57"/>
              <w:rPr>
                <w:i/>
                <w:iCs/>
                <w:sz w:val="18"/>
                <w:szCs w:val="18"/>
                <w:lang w:val="fr-FR"/>
              </w:rPr>
            </w:pPr>
          </w:p>
        </w:tc>
        <w:tc>
          <w:tcPr>
            <w:tcW w:w="1579" w:type="dxa"/>
            <w:tcMar>
              <w:left w:w="0" w:type="dxa"/>
              <w:right w:w="0" w:type="dxa"/>
            </w:tcMar>
          </w:tcPr>
          <w:p w14:paraId="2D2F5A03" w14:textId="77777777" w:rsidR="00BE2CA7" w:rsidRPr="00440C76" w:rsidRDefault="00BE2CA7" w:rsidP="002B0590">
            <w:pPr>
              <w:spacing w:before="60" w:after="60" w:line="220" w:lineRule="atLeast"/>
              <w:ind w:left="57" w:right="57"/>
              <w:rPr>
                <w:i/>
                <w:iCs/>
                <w:sz w:val="18"/>
                <w:szCs w:val="18"/>
                <w:lang w:val="fr-FR"/>
              </w:rPr>
            </w:pPr>
          </w:p>
        </w:tc>
      </w:tr>
      <w:tr w:rsidR="00BE2CA7" w:rsidRPr="00440C76" w14:paraId="1E37ABA4" w14:textId="77777777" w:rsidTr="002B0590">
        <w:tc>
          <w:tcPr>
            <w:tcW w:w="5293" w:type="dxa"/>
            <w:gridSpan w:val="2"/>
            <w:tcMar>
              <w:left w:w="0" w:type="dxa"/>
              <w:right w:w="0" w:type="dxa"/>
            </w:tcMar>
          </w:tcPr>
          <w:p w14:paraId="7B210255" w14:textId="77777777" w:rsidR="00BE2CA7" w:rsidRPr="00440C76" w:rsidRDefault="00BE2CA7" w:rsidP="002B0590">
            <w:pPr>
              <w:spacing w:before="60" w:after="60" w:line="220" w:lineRule="atLeast"/>
              <w:ind w:left="57" w:right="57"/>
              <w:rPr>
                <w:sz w:val="18"/>
                <w:szCs w:val="18"/>
                <w:lang w:val="fr-FR"/>
              </w:rPr>
            </w:pPr>
            <w:r w:rsidRPr="00440C76">
              <w:rPr>
                <w:i/>
                <w:iCs/>
                <w:sz w:val="18"/>
                <w:szCs w:val="18"/>
                <w:lang w:val="fr-FR"/>
              </w:rPr>
              <w:t>Le véhicule a-t-il été destiné à l</w:t>
            </w:r>
            <w:r>
              <w:rPr>
                <w:i/>
                <w:iCs/>
                <w:sz w:val="18"/>
                <w:szCs w:val="18"/>
                <w:lang w:val="fr-FR"/>
              </w:rPr>
              <w:t>’</w:t>
            </w:r>
            <w:r w:rsidRPr="00440C76">
              <w:rPr>
                <w:i/>
                <w:iCs/>
                <w:sz w:val="18"/>
                <w:szCs w:val="18"/>
                <w:lang w:val="fr-FR"/>
              </w:rPr>
              <w:t>un des usages suivants ?</w:t>
            </w:r>
          </w:p>
        </w:tc>
        <w:tc>
          <w:tcPr>
            <w:tcW w:w="1114" w:type="dxa"/>
            <w:tcMar>
              <w:left w:w="0" w:type="dxa"/>
              <w:right w:w="0" w:type="dxa"/>
            </w:tcMar>
          </w:tcPr>
          <w:p w14:paraId="3C636CF7" w14:textId="77777777" w:rsidR="00BE2CA7" w:rsidRPr="00440C76" w:rsidRDefault="00BE2CA7" w:rsidP="002B0590">
            <w:pPr>
              <w:spacing w:before="60" w:after="60" w:line="220" w:lineRule="atLeast"/>
              <w:ind w:left="57" w:right="57"/>
              <w:rPr>
                <w:i/>
                <w:iCs/>
                <w:sz w:val="18"/>
                <w:szCs w:val="18"/>
                <w:lang w:val="fr-FR"/>
              </w:rPr>
            </w:pPr>
          </w:p>
        </w:tc>
        <w:tc>
          <w:tcPr>
            <w:tcW w:w="1300" w:type="dxa"/>
            <w:tcMar>
              <w:left w:w="0" w:type="dxa"/>
              <w:right w:w="0" w:type="dxa"/>
            </w:tcMar>
          </w:tcPr>
          <w:p w14:paraId="4D5823C2" w14:textId="77777777" w:rsidR="00BE2CA7" w:rsidRPr="00440C76" w:rsidRDefault="00BE2CA7" w:rsidP="002B0590">
            <w:pPr>
              <w:spacing w:before="60" w:after="60" w:line="220" w:lineRule="atLeast"/>
              <w:ind w:left="57" w:right="57"/>
              <w:rPr>
                <w:i/>
                <w:iCs/>
                <w:sz w:val="18"/>
                <w:szCs w:val="18"/>
                <w:lang w:val="fr-FR"/>
              </w:rPr>
            </w:pPr>
          </w:p>
        </w:tc>
        <w:tc>
          <w:tcPr>
            <w:tcW w:w="1579" w:type="dxa"/>
            <w:tcMar>
              <w:left w:w="0" w:type="dxa"/>
              <w:right w:w="0" w:type="dxa"/>
            </w:tcMar>
          </w:tcPr>
          <w:p w14:paraId="4960B61F" w14:textId="77777777" w:rsidR="00BE2CA7" w:rsidRPr="00440C76" w:rsidRDefault="00BE2CA7" w:rsidP="002B0590">
            <w:pPr>
              <w:spacing w:before="60" w:after="60" w:line="220" w:lineRule="atLeast"/>
              <w:ind w:left="57" w:right="57"/>
              <w:rPr>
                <w:i/>
                <w:iCs/>
                <w:sz w:val="18"/>
                <w:szCs w:val="18"/>
                <w:lang w:val="fr-FR"/>
              </w:rPr>
            </w:pPr>
          </w:p>
        </w:tc>
      </w:tr>
      <w:tr w:rsidR="00BE2CA7" w:rsidRPr="00440C76" w14:paraId="6D6231EC" w14:textId="77777777" w:rsidTr="002B0590">
        <w:tc>
          <w:tcPr>
            <w:tcW w:w="5293" w:type="dxa"/>
            <w:gridSpan w:val="2"/>
            <w:tcMar>
              <w:left w:w="0" w:type="dxa"/>
              <w:right w:w="0" w:type="dxa"/>
            </w:tcMar>
          </w:tcPr>
          <w:p w14:paraId="58C06707" w14:textId="77777777" w:rsidR="00BE2CA7" w:rsidRPr="00440C76" w:rsidRDefault="00BE2CA7" w:rsidP="002B0590">
            <w:pPr>
              <w:spacing w:before="60" w:after="60" w:line="220" w:lineRule="atLeast"/>
              <w:ind w:left="57" w:right="57"/>
              <w:jc w:val="right"/>
              <w:rPr>
                <w:sz w:val="18"/>
                <w:szCs w:val="18"/>
                <w:lang w:val="fr-FR"/>
              </w:rPr>
            </w:pPr>
            <w:r w:rsidRPr="00440C76">
              <w:rPr>
                <w:sz w:val="18"/>
                <w:szCs w:val="18"/>
                <w:lang w:val="fr-FR"/>
              </w:rPr>
              <w:t>Voiture d</w:t>
            </w:r>
            <w:r>
              <w:rPr>
                <w:sz w:val="18"/>
                <w:szCs w:val="18"/>
                <w:lang w:val="fr-FR"/>
              </w:rPr>
              <w:t>’</w:t>
            </w:r>
            <w:r w:rsidRPr="00440C76">
              <w:rPr>
                <w:sz w:val="18"/>
                <w:szCs w:val="18"/>
                <w:lang w:val="fr-FR"/>
              </w:rPr>
              <w:t>exposition ?</w:t>
            </w:r>
          </w:p>
        </w:tc>
        <w:tc>
          <w:tcPr>
            <w:tcW w:w="1114" w:type="dxa"/>
            <w:tcMar>
              <w:left w:w="0" w:type="dxa"/>
              <w:right w:w="0" w:type="dxa"/>
            </w:tcMar>
          </w:tcPr>
          <w:p w14:paraId="683D5713" w14:textId="77777777" w:rsidR="00BE2CA7" w:rsidRPr="00440C76" w:rsidRDefault="00BE2CA7" w:rsidP="002B0590">
            <w:pPr>
              <w:spacing w:before="60" w:after="60" w:line="220" w:lineRule="atLeast"/>
              <w:ind w:left="57" w:right="57"/>
              <w:rPr>
                <w:i/>
                <w:iCs/>
                <w:sz w:val="18"/>
                <w:szCs w:val="18"/>
                <w:lang w:val="fr-FR"/>
              </w:rPr>
            </w:pPr>
          </w:p>
        </w:tc>
        <w:tc>
          <w:tcPr>
            <w:tcW w:w="1300" w:type="dxa"/>
            <w:tcMar>
              <w:left w:w="0" w:type="dxa"/>
              <w:right w:w="0" w:type="dxa"/>
            </w:tcMar>
          </w:tcPr>
          <w:p w14:paraId="14426473"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x</w:t>
            </w:r>
          </w:p>
        </w:tc>
        <w:tc>
          <w:tcPr>
            <w:tcW w:w="1579" w:type="dxa"/>
            <w:tcMar>
              <w:left w:w="0" w:type="dxa"/>
              <w:right w:w="0" w:type="dxa"/>
            </w:tcMar>
          </w:tcPr>
          <w:p w14:paraId="52143C82" w14:textId="77777777" w:rsidR="00BE2CA7" w:rsidRPr="00440C76" w:rsidRDefault="00BE2CA7" w:rsidP="002B0590">
            <w:pPr>
              <w:spacing w:before="60" w:after="60" w:line="220" w:lineRule="atLeast"/>
              <w:ind w:left="57" w:right="57"/>
              <w:rPr>
                <w:i/>
                <w:iCs/>
                <w:sz w:val="18"/>
                <w:szCs w:val="18"/>
                <w:lang w:val="fr-FR"/>
              </w:rPr>
            </w:pPr>
          </w:p>
        </w:tc>
      </w:tr>
      <w:tr w:rsidR="00BE2CA7" w:rsidRPr="00440C76" w14:paraId="0F7E95CA" w14:textId="77777777" w:rsidTr="002B0590">
        <w:tc>
          <w:tcPr>
            <w:tcW w:w="5293" w:type="dxa"/>
            <w:gridSpan w:val="2"/>
            <w:tcMar>
              <w:left w:w="0" w:type="dxa"/>
              <w:right w:w="0" w:type="dxa"/>
            </w:tcMar>
          </w:tcPr>
          <w:p w14:paraId="6B221DBF" w14:textId="77777777" w:rsidR="00BE2CA7" w:rsidRPr="00440C76" w:rsidRDefault="00BE2CA7" w:rsidP="002B0590">
            <w:pPr>
              <w:spacing w:before="60" w:after="60" w:line="220" w:lineRule="atLeast"/>
              <w:ind w:left="57" w:right="57"/>
              <w:jc w:val="right"/>
              <w:rPr>
                <w:sz w:val="18"/>
                <w:szCs w:val="18"/>
                <w:lang w:val="fr-FR"/>
              </w:rPr>
            </w:pPr>
            <w:r w:rsidRPr="00440C76">
              <w:rPr>
                <w:sz w:val="18"/>
                <w:szCs w:val="18"/>
                <w:lang w:val="fr-FR"/>
              </w:rPr>
              <w:t>Taxi ?</w:t>
            </w:r>
          </w:p>
        </w:tc>
        <w:tc>
          <w:tcPr>
            <w:tcW w:w="1114" w:type="dxa"/>
            <w:tcMar>
              <w:left w:w="0" w:type="dxa"/>
              <w:right w:w="0" w:type="dxa"/>
            </w:tcMar>
          </w:tcPr>
          <w:p w14:paraId="16DC21B3" w14:textId="77777777" w:rsidR="00BE2CA7" w:rsidRPr="00440C76" w:rsidRDefault="00BE2CA7" w:rsidP="002B0590">
            <w:pPr>
              <w:spacing w:before="60" w:after="60" w:line="220" w:lineRule="atLeast"/>
              <w:ind w:left="57" w:right="57"/>
              <w:rPr>
                <w:i/>
                <w:iCs/>
                <w:sz w:val="18"/>
                <w:szCs w:val="18"/>
                <w:lang w:val="fr-FR"/>
              </w:rPr>
            </w:pPr>
          </w:p>
        </w:tc>
        <w:tc>
          <w:tcPr>
            <w:tcW w:w="1300" w:type="dxa"/>
            <w:tcMar>
              <w:left w:w="0" w:type="dxa"/>
              <w:right w:w="0" w:type="dxa"/>
            </w:tcMar>
          </w:tcPr>
          <w:p w14:paraId="16058681"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x</w:t>
            </w:r>
          </w:p>
        </w:tc>
        <w:tc>
          <w:tcPr>
            <w:tcW w:w="1579" w:type="dxa"/>
            <w:tcMar>
              <w:left w:w="0" w:type="dxa"/>
              <w:right w:w="0" w:type="dxa"/>
            </w:tcMar>
          </w:tcPr>
          <w:p w14:paraId="6D05B85C" w14:textId="77777777" w:rsidR="00BE2CA7" w:rsidRPr="00440C76" w:rsidRDefault="00BE2CA7" w:rsidP="002B0590">
            <w:pPr>
              <w:spacing w:before="60" w:after="60" w:line="220" w:lineRule="atLeast"/>
              <w:ind w:left="57" w:right="57"/>
              <w:rPr>
                <w:i/>
                <w:iCs/>
                <w:sz w:val="18"/>
                <w:szCs w:val="18"/>
                <w:lang w:val="fr-FR"/>
              </w:rPr>
            </w:pPr>
          </w:p>
        </w:tc>
      </w:tr>
      <w:tr w:rsidR="00BE2CA7" w:rsidRPr="00440C76" w14:paraId="068CA249" w14:textId="77777777" w:rsidTr="002B0590">
        <w:tc>
          <w:tcPr>
            <w:tcW w:w="5293" w:type="dxa"/>
            <w:gridSpan w:val="2"/>
            <w:tcMar>
              <w:left w:w="0" w:type="dxa"/>
              <w:right w:w="0" w:type="dxa"/>
            </w:tcMar>
          </w:tcPr>
          <w:p w14:paraId="06451D4F" w14:textId="77777777" w:rsidR="00BE2CA7" w:rsidRPr="00440C76" w:rsidRDefault="00BE2CA7" w:rsidP="002B0590">
            <w:pPr>
              <w:spacing w:before="60" w:after="60" w:line="220" w:lineRule="atLeast"/>
              <w:ind w:left="57" w:right="57"/>
              <w:jc w:val="right"/>
              <w:rPr>
                <w:sz w:val="18"/>
                <w:szCs w:val="18"/>
                <w:lang w:val="fr-FR"/>
              </w:rPr>
            </w:pPr>
            <w:r w:rsidRPr="00440C76">
              <w:rPr>
                <w:sz w:val="18"/>
                <w:szCs w:val="18"/>
                <w:lang w:val="fr-FR"/>
              </w:rPr>
              <w:t>Véhicule de livraison ?</w:t>
            </w:r>
          </w:p>
        </w:tc>
        <w:tc>
          <w:tcPr>
            <w:tcW w:w="1114" w:type="dxa"/>
            <w:tcMar>
              <w:left w:w="0" w:type="dxa"/>
              <w:right w:w="0" w:type="dxa"/>
            </w:tcMar>
          </w:tcPr>
          <w:p w14:paraId="248218A6" w14:textId="77777777" w:rsidR="00BE2CA7" w:rsidRPr="00440C76" w:rsidRDefault="00BE2CA7" w:rsidP="002B0590">
            <w:pPr>
              <w:spacing w:before="60" w:after="60" w:line="220" w:lineRule="atLeast"/>
              <w:ind w:left="57" w:right="57"/>
              <w:rPr>
                <w:i/>
                <w:iCs/>
                <w:sz w:val="18"/>
                <w:szCs w:val="18"/>
                <w:lang w:val="fr-FR"/>
              </w:rPr>
            </w:pPr>
          </w:p>
        </w:tc>
        <w:tc>
          <w:tcPr>
            <w:tcW w:w="1300" w:type="dxa"/>
            <w:tcMar>
              <w:left w:w="0" w:type="dxa"/>
              <w:right w:w="0" w:type="dxa"/>
            </w:tcMar>
          </w:tcPr>
          <w:p w14:paraId="2DF84D95"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x</w:t>
            </w:r>
          </w:p>
        </w:tc>
        <w:tc>
          <w:tcPr>
            <w:tcW w:w="1579" w:type="dxa"/>
            <w:tcMar>
              <w:left w:w="0" w:type="dxa"/>
              <w:right w:w="0" w:type="dxa"/>
            </w:tcMar>
          </w:tcPr>
          <w:p w14:paraId="29C5063A" w14:textId="77777777" w:rsidR="00BE2CA7" w:rsidRPr="00440C76" w:rsidRDefault="00BE2CA7" w:rsidP="002B0590">
            <w:pPr>
              <w:spacing w:before="60" w:after="60" w:line="220" w:lineRule="atLeast"/>
              <w:ind w:left="57" w:right="57"/>
              <w:rPr>
                <w:i/>
                <w:iCs/>
                <w:sz w:val="18"/>
                <w:szCs w:val="18"/>
                <w:lang w:val="fr-FR"/>
              </w:rPr>
            </w:pPr>
          </w:p>
        </w:tc>
      </w:tr>
      <w:tr w:rsidR="00BE2CA7" w:rsidRPr="00440C76" w14:paraId="342952F8" w14:textId="77777777" w:rsidTr="002B0590">
        <w:tc>
          <w:tcPr>
            <w:tcW w:w="5293" w:type="dxa"/>
            <w:gridSpan w:val="2"/>
            <w:tcMar>
              <w:left w:w="0" w:type="dxa"/>
              <w:right w:w="0" w:type="dxa"/>
            </w:tcMar>
          </w:tcPr>
          <w:p w14:paraId="5C3A7B5F" w14:textId="77777777" w:rsidR="00BE2CA7" w:rsidRPr="00440C76" w:rsidRDefault="00BE2CA7" w:rsidP="002B0590">
            <w:pPr>
              <w:spacing w:before="60" w:after="60" w:line="220" w:lineRule="atLeast"/>
              <w:ind w:left="57" w:right="57"/>
              <w:jc w:val="right"/>
              <w:rPr>
                <w:sz w:val="18"/>
                <w:szCs w:val="18"/>
                <w:lang w:val="fr-FR"/>
              </w:rPr>
            </w:pPr>
            <w:r w:rsidRPr="00440C76">
              <w:rPr>
                <w:sz w:val="18"/>
                <w:szCs w:val="18"/>
                <w:lang w:val="fr-FR"/>
              </w:rPr>
              <w:t>Compétition/sports automobiles ?</w:t>
            </w:r>
          </w:p>
        </w:tc>
        <w:tc>
          <w:tcPr>
            <w:tcW w:w="1114" w:type="dxa"/>
            <w:tcMar>
              <w:left w:w="0" w:type="dxa"/>
              <w:right w:w="0" w:type="dxa"/>
            </w:tcMar>
          </w:tcPr>
          <w:p w14:paraId="4A9BD5D6" w14:textId="77777777" w:rsidR="00BE2CA7" w:rsidRPr="00440C76" w:rsidRDefault="00BE2CA7" w:rsidP="002B0590">
            <w:pPr>
              <w:spacing w:before="60" w:after="60" w:line="220" w:lineRule="atLeast"/>
              <w:ind w:left="57" w:right="57"/>
              <w:rPr>
                <w:i/>
                <w:iCs/>
                <w:sz w:val="18"/>
                <w:szCs w:val="18"/>
                <w:lang w:val="fr-FR"/>
              </w:rPr>
            </w:pPr>
            <w:r>
              <w:rPr>
                <w:i/>
                <w:iCs/>
                <w:sz w:val="18"/>
                <w:szCs w:val="18"/>
                <w:lang w:val="fr-FR"/>
              </w:rPr>
              <w:t>x</w:t>
            </w:r>
          </w:p>
        </w:tc>
        <w:tc>
          <w:tcPr>
            <w:tcW w:w="1300" w:type="dxa"/>
            <w:tcMar>
              <w:left w:w="0" w:type="dxa"/>
              <w:right w:w="0" w:type="dxa"/>
            </w:tcMar>
          </w:tcPr>
          <w:p w14:paraId="576742EA" w14:textId="77777777" w:rsidR="00BE2CA7" w:rsidRPr="00440C76" w:rsidRDefault="00BE2CA7" w:rsidP="002B0590">
            <w:pPr>
              <w:spacing w:before="60" w:after="60" w:line="220" w:lineRule="atLeast"/>
              <w:ind w:left="57" w:right="57"/>
              <w:rPr>
                <w:i/>
                <w:iCs/>
                <w:sz w:val="18"/>
                <w:szCs w:val="18"/>
                <w:lang w:val="fr-FR"/>
              </w:rPr>
            </w:pPr>
          </w:p>
        </w:tc>
        <w:tc>
          <w:tcPr>
            <w:tcW w:w="1579" w:type="dxa"/>
            <w:tcMar>
              <w:left w:w="0" w:type="dxa"/>
              <w:right w:w="0" w:type="dxa"/>
            </w:tcMar>
          </w:tcPr>
          <w:p w14:paraId="2F7EF27C" w14:textId="77777777" w:rsidR="00BE2CA7" w:rsidRPr="00440C76" w:rsidRDefault="00BE2CA7" w:rsidP="002B0590">
            <w:pPr>
              <w:spacing w:before="60" w:after="60" w:line="220" w:lineRule="atLeast"/>
              <w:ind w:left="57" w:right="57"/>
              <w:rPr>
                <w:i/>
                <w:iCs/>
                <w:sz w:val="18"/>
                <w:szCs w:val="18"/>
                <w:lang w:val="fr-FR"/>
              </w:rPr>
            </w:pPr>
          </w:p>
        </w:tc>
      </w:tr>
      <w:tr w:rsidR="00BE2CA7" w:rsidRPr="00440C76" w14:paraId="3AA54D8C" w14:textId="77777777" w:rsidTr="002B0590">
        <w:tc>
          <w:tcPr>
            <w:tcW w:w="5293" w:type="dxa"/>
            <w:gridSpan w:val="2"/>
            <w:tcMar>
              <w:left w:w="0" w:type="dxa"/>
              <w:right w:w="0" w:type="dxa"/>
            </w:tcMar>
          </w:tcPr>
          <w:p w14:paraId="3060B85B" w14:textId="77777777" w:rsidR="00BE2CA7" w:rsidRPr="00440C76" w:rsidRDefault="00BE2CA7" w:rsidP="002B0590">
            <w:pPr>
              <w:spacing w:before="60" w:after="60" w:line="220" w:lineRule="atLeast"/>
              <w:ind w:left="57" w:right="57"/>
              <w:jc w:val="right"/>
              <w:rPr>
                <w:sz w:val="18"/>
                <w:szCs w:val="18"/>
                <w:lang w:val="fr-FR"/>
              </w:rPr>
            </w:pPr>
            <w:r w:rsidRPr="00440C76">
              <w:rPr>
                <w:sz w:val="18"/>
                <w:szCs w:val="18"/>
                <w:lang w:val="fr-FR"/>
              </w:rPr>
              <w:t>Voiture de location ?</w:t>
            </w:r>
          </w:p>
        </w:tc>
        <w:tc>
          <w:tcPr>
            <w:tcW w:w="1114" w:type="dxa"/>
            <w:tcMar>
              <w:left w:w="0" w:type="dxa"/>
              <w:right w:w="0" w:type="dxa"/>
            </w:tcMar>
          </w:tcPr>
          <w:p w14:paraId="098D40BF" w14:textId="77777777" w:rsidR="00BE2CA7" w:rsidRPr="00440C76" w:rsidRDefault="00BE2CA7" w:rsidP="002B0590">
            <w:pPr>
              <w:spacing w:before="60" w:after="60" w:line="220" w:lineRule="atLeast"/>
              <w:ind w:left="57" w:right="57"/>
              <w:rPr>
                <w:i/>
                <w:iCs/>
                <w:sz w:val="18"/>
                <w:szCs w:val="18"/>
                <w:lang w:val="fr-FR"/>
              </w:rPr>
            </w:pPr>
          </w:p>
        </w:tc>
        <w:tc>
          <w:tcPr>
            <w:tcW w:w="1300" w:type="dxa"/>
            <w:tcMar>
              <w:left w:w="0" w:type="dxa"/>
              <w:right w:w="0" w:type="dxa"/>
            </w:tcMar>
          </w:tcPr>
          <w:p w14:paraId="0AF99005" w14:textId="77777777" w:rsidR="00BE2CA7" w:rsidRPr="00440C76" w:rsidRDefault="00BE2CA7" w:rsidP="002B0590">
            <w:pPr>
              <w:spacing w:before="60" w:after="60" w:line="220" w:lineRule="atLeast"/>
              <w:ind w:left="57" w:right="57"/>
              <w:rPr>
                <w:i/>
                <w:iCs/>
                <w:sz w:val="18"/>
                <w:szCs w:val="18"/>
                <w:lang w:val="fr-FR"/>
              </w:rPr>
            </w:pPr>
            <w:r>
              <w:rPr>
                <w:i/>
                <w:iCs/>
                <w:sz w:val="18"/>
                <w:szCs w:val="18"/>
                <w:lang w:val="fr-FR"/>
              </w:rPr>
              <w:t>x</w:t>
            </w:r>
          </w:p>
        </w:tc>
        <w:tc>
          <w:tcPr>
            <w:tcW w:w="1579" w:type="dxa"/>
            <w:tcMar>
              <w:left w:w="0" w:type="dxa"/>
              <w:right w:w="0" w:type="dxa"/>
            </w:tcMar>
          </w:tcPr>
          <w:p w14:paraId="2316BEE0" w14:textId="77777777" w:rsidR="00BE2CA7" w:rsidRPr="00440C76" w:rsidRDefault="00BE2CA7" w:rsidP="002B0590">
            <w:pPr>
              <w:spacing w:before="60" w:after="60" w:line="220" w:lineRule="atLeast"/>
              <w:ind w:left="57" w:right="57"/>
              <w:rPr>
                <w:i/>
                <w:iCs/>
                <w:sz w:val="18"/>
                <w:szCs w:val="18"/>
                <w:lang w:val="fr-FR"/>
              </w:rPr>
            </w:pPr>
          </w:p>
        </w:tc>
      </w:tr>
      <w:tr w:rsidR="00BE2CA7" w:rsidRPr="00440C76" w14:paraId="2041CD4D" w14:textId="77777777" w:rsidTr="002B0590">
        <w:tc>
          <w:tcPr>
            <w:tcW w:w="5293" w:type="dxa"/>
            <w:gridSpan w:val="2"/>
            <w:tcMar>
              <w:left w:w="0" w:type="dxa"/>
              <w:right w:w="0" w:type="dxa"/>
            </w:tcMar>
          </w:tcPr>
          <w:p w14:paraId="729CDA35"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Le véhicule a-t-il transporté des charges lourdes au-delà des spécifications du constructeur ?</w:t>
            </w:r>
          </w:p>
          <w:p w14:paraId="066C281B" w14:textId="77777777" w:rsidR="00BE2CA7" w:rsidRPr="00440C76" w:rsidRDefault="00BE2CA7" w:rsidP="002B0590">
            <w:pPr>
              <w:spacing w:before="60" w:after="60" w:line="220" w:lineRule="atLeast"/>
              <w:ind w:left="57" w:right="57"/>
              <w:rPr>
                <w:sz w:val="18"/>
                <w:szCs w:val="18"/>
                <w:lang w:val="fr-FR"/>
              </w:rPr>
            </w:pPr>
            <w:r w:rsidRPr="00440C76">
              <w:rPr>
                <w:i/>
                <w:iCs/>
                <w:sz w:val="18"/>
                <w:szCs w:val="18"/>
                <w:lang w:val="fr-FR"/>
              </w:rPr>
              <w:t>Dans l</w:t>
            </w:r>
            <w:r>
              <w:rPr>
                <w:i/>
                <w:iCs/>
                <w:sz w:val="18"/>
                <w:szCs w:val="18"/>
                <w:lang w:val="fr-FR"/>
              </w:rPr>
              <w:t>’</w:t>
            </w:r>
            <w:r w:rsidRPr="00440C76">
              <w:rPr>
                <w:i/>
                <w:iCs/>
                <w:sz w:val="18"/>
                <w:szCs w:val="18"/>
                <w:lang w:val="fr-FR"/>
              </w:rPr>
              <w:t>affirmative, le véhicule ne peut pas être sélectionné</w:t>
            </w:r>
            <w:r>
              <w:rPr>
                <w:i/>
                <w:iCs/>
                <w:sz w:val="18"/>
                <w:szCs w:val="18"/>
                <w:lang w:val="fr-FR"/>
              </w:rPr>
              <w:t>.</w:t>
            </w:r>
          </w:p>
        </w:tc>
        <w:tc>
          <w:tcPr>
            <w:tcW w:w="1114" w:type="dxa"/>
            <w:tcMar>
              <w:left w:w="0" w:type="dxa"/>
              <w:right w:w="0" w:type="dxa"/>
            </w:tcMar>
          </w:tcPr>
          <w:p w14:paraId="7E4B493B"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x</w:t>
            </w:r>
          </w:p>
        </w:tc>
        <w:tc>
          <w:tcPr>
            <w:tcW w:w="1300" w:type="dxa"/>
            <w:tcMar>
              <w:left w:w="0" w:type="dxa"/>
              <w:right w:w="0" w:type="dxa"/>
            </w:tcMar>
          </w:tcPr>
          <w:p w14:paraId="294549D5" w14:textId="77777777" w:rsidR="00BE2CA7" w:rsidRPr="00440C76" w:rsidRDefault="00BE2CA7" w:rsidP="002B0590">
            <w:pPr>
              <w:spacing w:before="60" w:after="60" w:line="220" w:lineRule="atLeast"/>
              <w:ind w:left="57" w:right="57"/>
              <w:rPr>
                <w:i/>
                <w:iCs/>
                <w:sz w:val="18"/>
                <w:szCs w:val="18"/>
                <w:lang w:val="fr-FR"/>
              </w:rPr>
            </w:pPr>
          </w:p>
        </w:tc>
        <w:tc>
          <w:tcPr>
            <w:tcW w:w="1579" w:type="dxa"/>
            <w:tcMar>
              <w:left w:w="0" w:type="dxa"/>
              <w:right w:w="0" w:type="dxa"/>
            </w:tcMar>
          </w:tcPr>
          <w:p w14:paraId="622E2B59" w14:textId="77777777" w:rsidR="00BE2CA7" w:rsidRPr="00440C76" w:rsidRDefault="00BE2CA7" w:rsidP="002B0590">
            <w:pPr>
              <w:spacing w:before="60" w:after="60" w:line="220" w:lineRule="atLeast"/>
              <w:ind w:left="57" w:right="57"/>
              <w:rPr>
                <w:i/>
                <w:iCs/>
                <w:sz w:val="18"/>
                <w:szCs w:val="18"/>
                <w:lang w:val="fr-FR"/>
              </w:rPr>
            </w:pPr>
          </w:p>
        </w:tc>
      </w:tr>
      <w:tr w:rsidR="00BE2CA7" w:rsidRPr="00440C76" w14:paraId="78588813" w14:textId="77777777" w:rsidTr="002B0590">
        <w:tc>
          <w:tcPr>
            <w:tcW w:w="5293" w:type="dxa"/>
            <w:gridSpan w:val="2"/>
            <w:tcMar>
              <w:left w:w="0" w:type="dxa"/>
              <w:right w:w="0" w:type="dxa"/>
            </w:tcMar>
          </w:tcPr>
          <w:p w14:paraId="176DBFE4" w14:textId="77777777" w:rsidR="00BE2CA7" w:rsidRPr="00440C76" w:rsidRDefault="00BE2CA7" w:rsidP="002B0590">
            <w:pPr>
              <w:spacing w:before="60" w:after="60" w:line="220" w:lineRule="atLeast"/>
              <w:ind w:left="57" w:right="57"/>
              <w:rPr>
                <w:sz w:val="18"/>
                <w:szCs w:val="18"/>
                <w:lang w:val="fr-FR"/>
              </w:rPr>
            </w:pPr>
            <w:r w:rsidRPr="00440C76">
              <w:rPr>
                <w:i/>
                <w:iCs/>
                <w:sz w:val="18"/>
                <w:szCs w:val="18"/>
                <w:lang w:val="fr-FR"/>
              </w:rPr>
              <w:t>Des réparations importantes ont-elles été apportées au moteur ou au véhicule ?</w:t>
            </w:r>
          </w:p>
        </w:tc>
        <w:tc>
          <w:tcPr>
            <w:tcW w:w="1114" w:type="dxa"/>
            <w:tcMar>
              <w:left w:w="0" w:type="dxa"/>
              <w:right w:w="0" w:type="dxa"/>
            </w:tcMar>
          </w:tcPr>
          <w:p w14:paraId="68675B27" w14:textId="77777777" w:rsidR="00BE2CA7" w:rsidRPr="00440C76" w:rsidRDefault="00BE2CA7" w:rsidP="002B0590">
            <w:pPr>
              <w:spacing w:before="60" w:after="60" w:line="220" w:lineRule="atLeast"/>
              <w:ind w:left="57" w:right="57"/>
              <w:rPr>
                <w:i/>
                <w:iCs/>
                <w:sz w:val="18"/>
                <w:szCs w:val="18"/>
                <w:lang w:val="fr-FR"/>
              </w:rPr>
            </w:pPr>
          </w:p>
        </w:tc>
        <w:tc>
          <w:tcPr>
            <w:tcW w:w="1300" w:type="dxa"/>
            <w:tcMar>
              <w:left w:w="0" w:type="dxa"/>
              <w:right w:w="0" w:type="dxa"/>
            </w:tcMar>
          </w:tcPr>
          <w:p w14:paraId="6020D264"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x</w:t>
            </w:r>
          </w:p>
        </w:tc>
        <w:tc>
          <w:tcPr>
            <w:tcW w:w="1579" w:type="dxa"/>
            <w:tcMar>
              <w:left w:w="0" w:type="dxa"/>
              <w:right w:w="0" w:type="dxa"/>
            </w:tcMar>
          </w:tcPr>
          <w:p w14:paraId="66341D65" w14:textId="77777777" w:rsidR="00BE2CA7" w:rsidRPr="00440C76" w:rsidRDefault="00BE2CA7" w:rsidP="002B0590">
            <w:pPr>
              <w:spacing w:before="60" w:after="60" w:line="220" w:lineRule="atLeast"/>
              <w:ind w:left="57" w:right="57"/>
              <w:rPr>
                <w:i/>
                <w:iCs/>
                <w:sz w:val="18"/>
                <w:szCs w:val="18"/>
                <w:lang w:val="fr-FR"/>
              </w:rPr>
            </w:pPr>
          </w:p>
        </w:tc>
      </w:tr>
      <w:tr w:rsidR="00BE2CA7" w:rsidRPr="00440C76" w14:paraId="74AC67FA" w14:textId="77777777" w:rsidTr="002B0590">
        <w:tc>
          <w:tcPr>
            <w:tcW w:w="5293" w:type="dxa"/>
            <w:gridSpan w:val="2"/>
            <w:tcMar>
              <w:left w:w="0" w:type="dxa"/>
              <w:right w:w="0" w:type="dxa"/>
            </w:tcMar>
          </w:tcPr>
          <w:p w14:paraId="77693FAE"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Des réparations non autorisées ont-elles été apportées au moteur ou au véhicule ?</w:t>
            </w:r>
          </w:p>
          <w:p w14:paraId="1BBCDCF1" w14:textId="77777777" w:rsidR="00BE2CA7" w:rsidRPr="00440C76" w:rsidRDefault="00BE2CA7" w:rsidP="002B0590">
            <w:pPr>
              <w:spacing w:before="60" w:after="60" w:line="220" w:lineRule="atLeast"/>
              <w:ind w:left="57" w:right="57"/>
              <w:rPr>
                <w:sz w:val="18"/>
                <w:szCs w:val="18"/>
                <w:lang w:val="fr-FR"/>
              </w:rPr>
            </w:pPr>
            <w:r w:rsidRPr="00440C76">
              <w:rPr>
                <w:i/>
                <w:iCs/>
                <w:sz w:val="18"/>
                <w:szCs w:val="18"/>
                <w:lang w:val="fr-FR"/>
              </w:rPr>
              <w:t>Dans l</w:t>
            </w:r>
            <w:r>
              <w:rPr>
                <w:i/>
                <w:iCs/>
                <w:sz w:val="18"/>
                <w:szCs w:val="18"/>
                <w:lang w:val="fr-FR"/>
              </w:rPr>
              <w:t>’</w:t>
            </w:r>
            <w:r w:rsidRPr="00440C76">
              <w:rPr>
                <w:i/>
                <w:iCs/>
                <w:sz w:val="18"/>
                <w:szCs w:val="18"/>
                <w:lang w:val="fr-FR"/>
              </w:rPr>
              <w:t>affirmative, le véhicule ne peut pas être sélectionné</w:t>
            </w:r>
            <w:r>
              <w:rPr>
                <w:i/>
                <w:iCs/>
                <w:sz w:val="18"/>
                <w:szCs w:val="18"/>
                <w:lang w:val="fr-FR"/>
              </w:rPr>
              <w:t>.</w:t>
            </w:r>
          </w:p>
        </w:tc>
        <w:tc>
          <w:tcPr>
            <w:tcW w:w="1114" w:type="dxa"/>
            <w:tcMar>
              <w:left w:w="0" w:type="dxa"/>
              <w:right w:w="0" w:type="dxa"/>
            </w:tcMar>
          </w:tcPr>
          <w:p w14:paraId="3774BE3A"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x</w:t>
            </w:r>
          </w:p>
        </w:tc>
        <w:tc>
          <w:tcPr>
            <w:tcW w:w="1300" w:type="dxa"/>
            <w:tcMar>
              <w:left w:w="0" w:type="dxa"/>
              <w:right w:w="0" w:type="dxa"/>
            </w:tcMar>
          </w:tcPr>
          <w:p w14:paraId="14B28526" w14:textId="77777777" w:rsidR="00BE2CA7" w:rsidRPr="00440C76" w:rsidRDefault="00BE2CA7" w:rsidP="002B0590">
            <w:pPr>
              <w:spacing w:before="60" w:after="60" w:line="220" w:lineRule="atLeast"/>
              <w:ind w:left="57" w:right="57"/>
              <w:rPr>
                <w:i/>
                <w:iCs/>
                <w:sz w:val="18"/>
                <w:szCs w:val="18"/>
                <w:lang w:val="fr-FR"/>
              </w:rPr>
            </w:pPr>
          </w:p>
        </w:tc>
        <w:tc>
          <w:tcPr>
            <w:tcW w:w="1579" w:type="dxa"/>
            <w:tcMar>
              <w:left w:w="0" w:type="dxa"/>
              <w:right w:w="0" w:type="dxa"/>
            </w:tcMar>
          </w:tcPr>
          <w:p w14:paraId="1FAAC09F" w14:textId="77777777" w:rsidR="00BE2CA7" w:rsidRPr="00440C76" w:rsidRDefault="00BE2CA7" w:rsidP="002B0590">
            <w:pPr>
              <w:spacing w:before="60" w:after="60" w:line="220" w:lineRule="atLeast"/>
              <w:ind w:left="57" w:right="57"/>
              <w:rPr>
                <w:i/>
                <w:iCs/>
                <w:sz w:val="18"/>
                <w:szCs w:val="18"/>
                <w:lang w:val="fr-FR"/>
              </w:rPr>
            </w:pPr>
          </w:p>
        </w:tc>
      </w:tr>
      <w:tr w:rsidR="00BE2CA7" w:rsidRPr="00440C76" w14:paraId="4A456812" w14:textId="77777777" w:rsidTr="002B0590">
        <w:tc>
          <w:tcPr>
            <w:tcW w:w="5293" w:type="dxa"/>
            <w:gridSpan w:val="2"/>
            <w:tcMar>
              <w:left w:w="0" w:type="dxa"/>
              <w:right w:w="0" w:type="dxa"/>
            </w:tcMar>
          </w:tcPr>
          <w:p w14:paraId="151DE852"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Le véhicule a-t-il fait l</w:t>
            </w:r>
            <w:r>
              <w:rPr>
                <w:i/>
                <w:iCs/>
                <w:sz w:val="18"/>
                <w:szCs w:val="18"/>
                <w:lang w:val="fr-FR"/>
              </w:rPr>
              <w:t>’</w:t>
            </w:r>
            <w:r w:rsidRPr="00440C76">
              <w:rPr>
                <w:i/>
                <w:iCs/>
                <w:sz w:val="18"/>
                <w:szCs w:val="18"/>
                <w:lang w:val="fr-FR"/>
              </w:rPr>
              <w:t>objet d</w:t>
            </w:r>
            <w:r>
              <w:rPr>
                <w:i/>
                <w:iCs/>
                <w:sz w:val="18"/>
                <w:szCs w:val="18"/>
                <w:lang w:val="fr-FR"/>
              </w:rPr>
              <w:t>’</w:t>
            </w:r>
            <w:r w:rsidRPr="00440C76">
              <w:rPr>
                <w:i/>
                <w:iCs/>
                <w:sz w:val="18"/>
                <w:szCs w:val="18"/>
                <w:lang w:val="fr-FR"/>
              </w:rPr>
              <w:t>une augmentation ou d</w:t>
            </w:r>
            <w:r>
              <w:rPr>
                <w:i/>
                <w:iCs/>
                <w:sz w:val="18"/>
                <w:szCs w:val="18"/>
                <w:lang w:val="fr-FR"/>
              </w:rPr>
              <w:t>’</w:t>
            </w:r>
            <w:r w:rsidRPr="00440C76">
              <w:rPr>
                <w:i/>
                <w:iCs/>
                <w:sz w:val="18"/>
                <w:szCs w:val="18"/>
                <w:lang w:val="fr-FR"/>
              </w:rPr>
              <w:t>un réglage de la puissance ?</w:t>
            </w:r>
          </w:p>
          <w:p w14:paraId="37664710" w14:textId="77777777" w:rsidR="00BE2CA7" w:rsidRPr="00440C76" w:rsidRDefault="00BE2CA7" w:rsidP="002B0590">
            <w:pPr>
              <w:spacing w:before="60" w:after="60" w:line="220" w:lineRule="atLeast"/>
              <w:ind w:left="57" w:right="57"/>
              <w:rPr>
                <w:sz w:val="18"/>
                <w:szCs w:val="18"/>
                <w:lang w:val="fr-FR"/>
              </w:rPr>
            </w:pPr>
            <w:r w:rsidRPr="00440C76">
              <w:rPr>
                <w:i/>
                <w:iCs/>
                <w:sz w:val="18"/>
                <w:szCs w:val="18"/>
                <w:lang w:val="fr-FR"/>
              </w:rPr>
              <w:t>Dans l</w:t>
            </w:r>
            <w:r>
              <w:rPr>
                <w:i/>
                <w:iCs/>
                <w:sz w:val="18"/>
                <w:szCs w:val="18"/>
                <w:lang w:val="fr-FR"/>
              </w:rPr>
              <w:t>’</w:t>
            </w:r>
            <w:r w:rsidRPr="00440C76">
              <w:rPr>
                <w:i/>
                <w:iCs/>
                <w:sz w:val="18"/>
                <w:szCs w:val="18"/>
                <w:lang w:val="fr-FR"/>
              </w:rPr>
              <w:t>affirmative, le véhicule ne peut pas être sélectionné.</w:t>
            </w:r>
          </w:p>
        </w:tc>
        <w:tc>
          <w:tcPr>
            <w:tcW w:w="1114" w:type="dxa"/>
            <w:tcMar>
              <w:left w:w="0" w:type="dxa"/>
              <w:right w:w="0" w:type="dxa"/>
            </w:tcMar>
          </w:tcPr>
          <w:p w14:paraId="69C11045" w14:textId="77777777" w:rsidR="00BE2CA7" w:rsidRPr="00440C76" w:rsidRDefault="00BE2CA7" w:rsidP="002B0590">
            <w:pPr>
              <w:spacing w:before="60" w:after="60" w:line="220" w:lineRule="atLeast"/>
              <w:ind w:left="57" w:right="57"/>
              <w:rPr>
                <w:i/>
                <w:iCs/>
                <w:sz w:val="18"/>
                <w:szCs w:val="18"/>
                <w:lang w:val="fr-FR"/>
              </w:rPr>
            </w:pPr>
            <w:r>
              <w:rPr>
                <w:i/>
                <w:iCs/>
                <w:sz w:val="18"/>
                <w:szCs w:val="18"/>
                <w:lang w:val="fr-FR"/>
              </w:rPr>
              <w:t>x</w:t>
            </w:r>
          </w:p>
        </w:tc>
        <w:tc>
          <w:tcPr>
            <w:tcW w:w="1300" w:type="dxa"/>
            <w:tcMar>
              <w:left w:w="0" w:type="dxa"/>
              <w:right w:w="0" w:type="dxa"/>
            </w:tcMar>
          </w:tcPr>
          <w:p w14:paraId="2E9A10A4" w14:textId="77777777" w:rsidR="00BE2CA7" w:rsidRPr="00440C76" w:rsidRDefault="00BE2CA7" w:rsidP="002B0590">
            <w:pPr>
              <w:spacing w:before="60" w:after="60" w:line="220" w:lineRule="atLeast"/>
              <w:ind w:left="57" w:right="57"/>
              <w:rPr>
                <w:i/>
                <w:iCs/>
                <w:sz w:val="18"/>
                <w:szCs w:val="18"/>
                <w:lang w:val="fr-FR"/>
              </w:rPr>
            </w:pPr>
          </w:p>
        </w:tc>
        <w:tc>
          <w:tcPr>
            <w:tcW w:w="1579" w:type="dxa"/>
            <w:tcMar>
              <w:left w:w="0" w:type="dxa"/>
              <w:right w:w="0" w:type="dxa"/>
            </w:tcMar>
          </w:tcPr>
          <w:p w14:paraId="677D3ACB" w14:textId="77777777" w:rsidR="00BE2CA7" w:rsidRPr="00440C76" w:rsidRDefault="00BE2CA7" w:rsidP="002B0590">
            <w:pPr>
              <w:spacing w:before="60" w:after="60" w:line="220" w:lineRule="atLeast"/>
              <w:ind w:left="57" w:right="57"/>
              <w:rPr>
                <w:i/>
                <w:iCs/>
                <w:sz w:val="18"/>
                <w:szCs w:val="18"/>
                <w:lang w:val="fr-FR"/>
              </w:rPr>
            </w:pPr>
          </w:p>
        </w:tc>
      </w:tr>
      <w:tr w:rsidR="00BE2CA7" w:rsidRPr="00440C76" w14:paraId="128597E1" w14:textId="77777777" w:rsidTr="002B0590">
        <w:tc>
          <w:tcPr>
            <w:tcW w:w="5293" w:type="dxa"/>
            <w:gridSpan w:val="2"/>
            <w:tcMar>
              <w:left w:w="0" w:type="dxa"/>
              <w:right w:w="0" w:type="dxa"/>
            </w:tcMar>
          </w:tcPr>
          <w:p w14:paraId="63B64AB6"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Une pièce du système de traitement aval des émissions ou du système d</w:t>
            </w:r>
            <w:r>
              <w:rPr>
                <w:i/>
                <w:iCs/>
                <w:sz w:val="18"/>
                <w:szCs w:val="18"/>
                <w:lang w:val="fr-FR"/>
              </w:rPr>
              <w:t>’</w:t>
            </w:r>
            <w:r w:rsidRPr="00440C76">
              <w:rPr>
                <w:i/>
                <w:iCs/>
                <w:sz w:val="18"/>
                <w:szCs w:val="18"/>
                <w:lang w:val="fr-FR"/>
              </w:rPr>
              <w:t>alimentation en carburant a-t-elle été remplacée ? Des pièces d</w:t>
            </w:r>
            <w:r>
              <w:rPr>
                <w:i/>
                <w:iCs/>
                <w:sz w:val="18"/>
                <w:szCs w:val="18"/>
                <w:lang w:val="fr-FR"/>
              </w:rPr>
              <w:t>’</w:t>
            </w:r>
            <w:r w:rsidRPr="00440C76">
              <w:rPr>
                <w:i/>
                <w:iCs/>
                <w:sz w:val="18"/>
                <w:szCs w:val="18"/>
                <w:lang w:val="fr-FR"/>
              </w:rPr>
              <w:t>origine ont-elles été utilisées ?</w:t>
            </w:r>
          </w:p>
          <w:p w14:paraId="635D0F97" w14:textId="77777777" w:rsidR="00BE2CA7" w:rsidRPr="00440C76" w:rsidRDefault="00BE2CA7" w:rsidP="002B0590">
            <w:pPr>
              <w:spacing w:before="60" w:after="60" w:line="220" w:lineRule="atLeast"/>
              <w:ind w:left="57" w:right="57"/>
              <w:rPr>
                <w:sz w:val="18"/>
                <w:szCs w:val="18"/>
                <w:lang w:val="fr-FR"/>
              </w:rPr>
            </w:pPr>
            <w:r w:rsidRPr="00440C76">
              <w:rPr>
                <w:i/>
                <w:iCs/>
                <w:sz w:val="18"/>
                <w:szCs w:val="18"/>
                <w:lang w:val="fr-FR"/>
              </w:rPr>
              <w:t>Si des pièces d</w:t>
            </w:r>
            <w:r>
              <w:rPr>
                <w:i/>
                <w:iCs/>
                <w:sz w:val="18"/>
                <w:szCs w:val="18"/>
                <w:lang w:val="fr-FR"/>
              </w:rPr>
              <w:t>’</w:t>
            </w:r>
            <w:r w:rsidRPr="00440C76">
              <w:rPr>
                <w:i/>
                <w:iCs/>
                <w:sz w:val="18"/>
                <w:szCs w:val="18"/>
                <w:lang w:val="fr-FR"/>
              </w:rPr>
              <w:t>origine n</w:t>
            </w:r>
            <w:r>
              <w:rPr>
                <w:i/>
                <w:iCs/>
                <w:sz w:val="18"/>
                <w:szCs w:val="18"/>
                <w:lang w:val="fr-FR"/>
              </w:rPr>
              <w:t>’</w:t>
            </w:r>
            <w:r w:rsidRPr="00440C76">
              <w:rPr>
                <w:i/>
                <w:iCs/>
                <w:sz w:val="18"/>
                <w:szCs w:val="18"/>
                <w:lang w:val="fr-FR"/>
              </w:rPr>
              <w:t>ont pas été utilisées, le véhicule ne peut pas être sélectionné.</w:t>
            </w:r>
          </w:p>
        </w:tc>
        <w:tc>
          <w:tcPr>
            <w:tcW w:w="1114" w:type="dxa"/>
            <w:tcMar>
              <w:left w:w="0" w:type="dxa"/>
              <w:right w:w="0" w:type="dxa"/>
            </w:tcMar>
          </w:tcPr>
          <w:p w14:paraId="042C0E24" w14:textId="77777777" w:rsidR="00BE2CA7" w:rsidRPr="00440C76" w:rsidRDefault="00BE2CA7" w:rsidP="002B0590">
            <w:pPr>
              <w:spacing w:before="60" w:after="60" w:line="220" w:lineRule="atLeast"/>
              <w:ind w:left="57" w:right="57"/>
              <w:rPr>
                <w:i/>
                <w:iCs/>
                <w:sz w:val="18"/>
                <w:szCs w:val="18"/>
                <w:lang w:val="fr-FR"/>
              </w:rPr>
            </w:pPr>
            <w:r>
              <w:rPr>
                <w:i/>
                <w:iCs/>
                <w:sz w:val="18"/>
                <w:szCs w:val="18"/>
                <w:lang w:val="fr-FR"/>
              </w:rPr>
              <w:t>x</w:t>
            </w:r>
          </w:p>
        </w:tc>
        <w:tc>
          <w:tcPr>
            <w:tcW w:w="1300" w:type="dxa"/>
            <w:tcMar>
              <w:left w:w="0" w:type="dxa"/>
              <w:right w:w="0" w:type="dxa"/>
            </w:tcMar>
          </w:tcPr>
          <w:p w14:paraId="29273F57"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x</w:t>
            </w:r>
          </w:p>
        </w:tc>
        <w:tc>
          <w:tcPr>
            <w:tcW w:w="1579" w:type="dxa"/>
            <w:tcMar>
              <w:left w:w="0" w:type="dxa"/>
              <w:right w:w="0" w:type="dxa"/>
            </w:tcMar>
          </w:tcPr>
          <w:p w14:paraId="61B5B249" w14:textId="77777777" w:rsidR="00BE2CA7" w:rsidRPr="00440C76" w:rsidRDefault="00BE2CA7" w:rsidP="002B0590">
            <w:pPr>
              <w:spacing w:before="60" w:after="60" w:line="220" w:lineRule="atLeast"/>
              <w:ind w:left="57" w:right="57"/>
              <w:rPr>
                <w:i/>
                <w:iCs/>
                <w:sz w:val="18"/>
                <w:szCs w:val="18"/>
                <w:lang w:val="fr-FR"/>
              </w:rPr>
            </w:pPr>
          </w:p>
        </w:tc>
      </w:tr>
      <w:tr w:rsidR="00BE2CA7" w:rsidRPr="00440C76" w14:paraId="119DEE72" w14:textId="77777777" w:rsidTr="002B0590">
        <w:tc>
          <w:tcPr>
            <w:tcW w:w="5293" w:type="dxa"/>
            <w:gridSpan w:val="2"/>
            <w:tcMar>
              <w:left w:w="0" w:type="dxa"/>
              <w:right w:w="0" w:type="dxa"/>
            </w:tcMar>
          </w:tcPr>
          <w:p w14:paraId="2A2041CB"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Une pièce du système de traitement aval des émissions a-t-elle été enlevée de manière permanente ?</w:t>
            </w:r>
          </w:p>
          <w:p w14:paraId="3288E549" w14:textId="77777777" w:rsidR="00BE2CA7" w:rsidRPr="00440C76" w:rsidRDefault="00BE2CA7" w:rsidP="002B0590">
            <w:pPr>
              <w:spacing w:before="60" w:after="60" w:line="220" w:lineRule="atLeast"/>
              <w:ind w:left="57" w:right="57"/>
              <w:rPr>
                <w:sz w:val="18"/>
                <w:szCs w:val="18"/>
                <w:lang w:val="fr-FR"/>
              </w:rPr>
            </w:pPr>
            <w:r w:rsidRPr="00440C76">
              <w:rPr>
                <w:i/>
                <w:iCs/>
                <w:sz w:val="18"/>
                <w:szCs w:val="18"/>
                <w:lang w:val="fr-FR"/>
              </w:rPr>
              <w:t>Dans l</w:t>
            </w:r>
            <w:r>
              <w:rPr>
                <w:i/>
                <w:iCs/>
                <w:sz w:val="18"/>
                <w:szCs w:val="18"/>
                <w:lang w:val="fr-FR"/>
              </w:rPr>
              <w:t>’</w:t>
            </w:r>
            <w:r w:rsidRPr="00440C76">
              <w:rPr>
                <w:i/>
                <w:iCs/>
                <w:sz w:val="18"/>
                <w:szCs w:val="18"/>
                <w:lang w:val="fr-FR"/>
              </w:rPr>
              <w:t>affirmative, le véhicule ne peut pas être sélectionné</w:t>
            </w:r>
            <w:r>
              <w:rPr>
                <w:i/>
                <w:iCs/>
                <w:sz w:val="18"/>
                <w:szCs w:val="18"/>
                <w:lang w:val="fr-FR"/>
              </w:rPr>
              <w:t>.</w:t>
            </w:r>
          </w:p>
        </w:tc>
        <w:tc>
          <w:tcPr>
            <w:tcW w:w="1114" w:type="dxa"/>
            <w:tcMar>
              <w:left w:w="0" w:type="dxa"/>
              <w:right w:w="0" w:type="dxa"/>
            </w:tcMar>
          </w:tcPr>
          <w:p w14:paraId="48D0E182"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x</w:t>
            </w:r>
          </w:p>
        </w:tc>
        <w:tc>
          <w:tcPr>
            <w:tcW w:w="1300" w:type="dxa"/>
            <w:tcMar>
              <w:left w:w="0" w:type="dxa"/>
              <w:right w:w="0" w:type="dxa"/>
            </w:tcMar>
          </w:tcPr>
          <w:p w14:paraId="106816B7" w14:textId="77777777" w:rsidR="00BE2CA7" w:rsidRPr="00440C76" w:rsidRDefault="00BE2CA7" w:rsidP="002B0590">
            <w:pPr>
              <w:spacing w:before="60" w:after="60" w:line="220" w:lineRule="atLeast"/>
              <w:ind w:left="57" w:right="57"/>
              <w:rPr>
                <w:i/>
                <w:iCs/>
                <w:sz w:val="18"/>
                <w:szCs w:val="18"/>
                <w:lang w:val="fr-FR"/>
              </w:rPr>
            </w:pPr>
          </w:p>
        </w:tc>
        <w:tc>
          <w:tcPr>
            <w:tcW w:w="1579" w:type="dxa"/>
            <w:tcMar>
              <w:left w:w="0" w:type="dxa"/>
              <w:right w:w="0" w:type="dxa"/>
            </w:tcMar>
          </w:tcPr>
          <w:p w14:paraId="043C1FD5" w14:textId="77777777" w:rsidR="00BE2CA7" w:rsidRPr="00440C76" w:rsidRDefault="00BE2CA7" w:rsidP="002B0590">
            <w:pPr>
              <w:spacing w:before="60" w:after="60" w:line="220" w:lineRule="atLeast"/>
              <w:ind w:left="57" w:right="57"/>
              <w:rPr>
                <w:i/>
                <w:iCs/>
                <w:sz w:val="18"/>
                <w:szCs w:val="18"/>
                <w:lang w:val="fr-FR"/>
              </w:rPr>
            </w:pPr>
          </w:p>
        </w:tc>
      </w:tr>
      <w:tr w:rsidR="00BE2CA7" w:rsidRPr="00440C76" w14:paraId="4F7170C9" w14:textId="77777777" w:rsidTr="002B0590">
        <w:tc>
          <w:tcPr>
            <w:tcW w:w="5293" w:type="dxa"/>
            <w:gridSpan w:val="2"/>
            <w:tcMar>
              <w:left w:w="0" w:type="dxa"/>
              <w:right w:w="0" w:type="dxa"/>
            </w:tcMar>
          </w:tcPr>
          <w:p w14:paraId="72D14A80"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Des dispositifs non autorisés ont-ils été installés (réducteur d</w:t>
            </w:r>
            <w:r>
              <w:rPr>
                <w:i/>
                <w:iCs/>
                <w:sz w:val="18"/>
                <w:szCs w:val="18"/>
                <w:lang w:val="fr-FR"/>
              </w:rPr>
              <w:t>’</w:t>
            </w:r>
            <w:r w:rsidRPr="00440C76">
              <w:rPr>
                <w:i/>
                <w:iCs/>
                <w:sz w:val="18"/>
                <w:szCs w:val="18"/>
                <w:lang w:val="fr-FR"/>
              </w:rPr>
              <w:t>urée, émulateur, etc.) ?</w:t>
            </w:r>
          </w:p>
          <w:p w14:paraId="62240E74" w14:textId="77777777" w:rsidR="00BE2CA7" w:rsidRPr="00440C76" w:rsidRDefault="00BE2CA7" w:rsidP="002B0590">
            <w:pPr>
              <w:spacing w:before="60" w:after="60" w:line="220" w:lineRule="atLeast"/>
              <w:ind w:left="57" w:right="57"/>
              <w:rPr>
                <w:sz w:val="18"/>
                <w:szCs w:val="18"/>
                <w:lang w:val="fr-FR"/>
              </w:rPr>
            </w:pPr>
            <w:r w:rsidRPr="00440C76">
              <w:rPr>
                <w:i/>
                <w:iCs/>
                <w:sz w:val="18"/>
                <w:szCs w:val="18"/>
                <w:lang w:val="fr-FR"/>
              </w:rPr>
              <w:t>Dans l</w:t>
            </w:r>
            <w:r>
              <w:rPr>
                <w:i/>
                <w:iCs/>
                <w:sz w:val="18"/>
                <w:szCs w:val="18"/>
                <w:lang w:val="fr-FR"/>
              </w:rPr>
              <w:t>’</w:t>
            </w:r>
            <w:r w:rsidRPr="00440C76">
              <w:rPr>
                <w:i/>
                <w:iCs/>
                <w:sz w:val="18"/>
                <w:szCs w:val="18"/>
                <w:lang w:val="fr-FR"/>
              </w:rPr>
              <w:t>affirmative, le véhicule ne peut pas être sélectionné</w:t>
            </w:r>
            <w:r>
              <w:rPr>
                <w:i/>
                <w:iCs/>
                <w:sz w:val="18"/>
                <w:szCs w:val="18"/>
                <w:lang w:val="fr-FR"/>
              </w:rPr>
              <w:t>.</w:t>
            </w:r>
          </w:p>
        </w:tc>
        <w:tc>
          <w:tcPr>
            <w:tcW w:w="1114" w:type="dxa"/>
            <w:tcMar>
              <w:left w:w="0" w:type="dxa"/>
              <w:right w:w="0" w:type="dxa"/>
            </w:tcMar>
          </w:tcPr>
          <w:p w14:paraId="1C4B5F05"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x</w:t>
            </w:r>
          </w:p>
        </w:tc>
        <w:tc>
          <w:tcPr>
            <w:tcW w:w="1300" w:type="dxa"/>
            <w:tcMar>
              <w:left w:w="0" w:type="dxa"/>
              <w:right w:w="0" w:type="dxa"/>
            </w:tcMar>
          </w:tcPr>
          <w:p w14:paraId="1289055B" w14:textId="77777777" w:rsidR="00BE2CA7" w:rsidRPr="00440C76" w:rsidRDefault="00BE2CA7" w:rsidP="002B0590">
            <w:pPr>
              <w:spacing w:before="60" w:after="60" w:line="220" w:lineRule="atLeast"/>
              <w:ind w:left="57" w:right="57"/>
              <w:rPr>
                <w:i/>
                <w:iCs/>
                <w:sz w:val="18"/>
                <w:szCs w:val="18"/>
                <w:lang w:val="fr-FR"/>
              </w:rPr>
            </w:pPr>
          </w:p>
        </w:tc>
        <w:tc>
          <w:tcPr>
            <w:tcW w:w="1579" w:type="dxa"/>
            <w:tcMar>
              <w:left w:w="0" w:type="dxa"/>
              <w:right w:w="0" w:type="dxa"/>
            </w:tcMar>
          </w:tcPr>
          <w:p w14:paraId="2D9F32ED" w14:textId="77777777" w:rsidR="00BE2CA7" w:rsidRPr="00440C76" w:rsidRDefault="00BE2CA7" w:rsidP="002B0590">
            <w:pPr>
              <w:spacing w:before="60" w:after="60" w:line="220" w:lineRule="atLeast"/>
              <w:ind w:left="57" w:right="57"/>
              <w:rPr>
                <w:i/>
                <w:iCs/>
                <w:sz w:val="18"/>
                <w:szCs w:val="18"/>
                <w:lang w:val="fr-FR"/>
              </w:rPr>
            </w:pPr>
          </w:p>
        </w:tc>
      </w:tr>
      <w:tr w:rsidR="00BE2CA7" w:rsidRPr="00440C76" w14:paraId="3AFC4C1A" w14:textId="77777777" w:rsidTr="002B0590">
        <w:tc>
          <w:tcPr>
            <w:tcW w:w="5293" w:type="dxa"/>
            <w:gridSpan w:val="2"/>
            <w:tcMar>
              <w:left w:w="0" w:type="dxa"/>
              <w:right w:w="0" w:type="dxa"/>
            </w:tcMar>
          </w:tcPr>
          <w:p w14:paraId="4E009BD2" w14:textId="77777777" w:rsidR="00BE2CA7" w:rsidRPr="00440C76" w:rsidRDefault="00BE2CA7" w:rsidP="002B0590">
            <w:pPr>
              <w:spacing w:before="60" w:after="60" w:line="220" w:lineRule="atLeast"/>
              <w:ind w:left="57" w:right="57"/>
              <w:rPr>
                <w:sz w:val="18"/>
                <w:szCs w:val="18"/>
                <w:lang w:val="fr-FR"/>
              </w:rPr>
            </w:pPr>
            <w:r w:rsidRPr="00440C76">
              <w:rPr>
                <w:i/>
                <w:iCs/>
                <w:sz w:val="18"/>
                <w:szCs w:val="18"/>
                <w:lang w:val="fr-FR"/>
              </w:rPr>
              <w:t>Le véhicule a-t-il été impliqué dans un accident grave ? Fournir une liste des dommages et des réparations effectuées par la suite</w:t>
            </w:r>
            <w:r>
              <w:rPr>
                <w:i/>
                <w:iCs/>
                <w:sz w:val="18"/>
                <w:szCs w:val="18"/>
                <w:lang w:val="fr-FR"/>
              </w:rPr>
              <w:t>.</w:t>
            </w:r>
          </w:p>
        </w:tc>
        <w:tc>
          <w:tcPr>
            <w:tcW w:w="1114" w:type="dxa"/>
            <w:tcMar>
              <w:left w:w="0" w:type="dxa"/>
              <w:right w:w="0" w:type="dxa"/>
            </w:tcMar>
          </w:tcPr>
          <w:p w14:paraId="0866A81A" w14:textId="77777777" w:rsidR="00BE2CA7" w:rsidRPr="00440C76" w:rsidRDefault="00BE2CA7" w:rsidP="002B0590">
            <w:pPr>
              <w:spacing w:before="60" w:after="60" w:line="220" w:lineRule="atLeast"/>
              <w:ind w:left="57" w:right="57"/>
              <w:rPr>
                <w:i/>
                <w:iCs/>
                <w:sz w:val="18"/>
                <w:szCs w:val="18"/>
                <w:lang w:val="fr-FR"/>
              </w:rPr>
            </w:pPr>
          </w:p>
        </w:tc>
        <w:tc>
          <w:tcPr>
            <w:tcW w:w="1300" w:type="dxa"/>
            <w:tcMar>
              <w:left w:w="0" w:type="dxa"/>
              <w:right w:w="0" w:type="dxa"/>
            </w:tcMar>
          </w:tcPr>
          <w:p w14:paraId="654B94A2"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x</w:t>
            </w:r>
          </w:p>
        </w:tc>
        <w:tc>
          <w:tcPr>
            <w:tcW w:w="1579" w:type="dxa"/>
            <w:tcMar>
              <w:left w:w="0" w:type="dxa"/>
              <w:right w:w="0" w:type="dxa"/>
            </w:tcMar>
          </w:tcPr>
          <w:p w14:paraId="1F91E49E" w14:textId="77777777" w:rsidR="00BE2CA7" w:rsidRPr="00440C76" w:rsidRDefault="00BE2CA7" w:rsidP="002B0590">
            <w:pPr>
              <w:spacing w:before="60" w:after="60" w:line="220" w:lineRule="atLeast"/>
              <w:ind w:left="57" w:right="57"/>
              <w:rPr>
                <w:i/>
                <w:iCs/>
                <w:sz w:val="18"/>
                <w:szCs w:val="18"/>
                <w:lang w:val="fr-FR"/>
              </w:rPr>
            </w:pPr>
          </w:p>
        </w:tc>
      </w:tr>
      <w:tr w:rsidR="00BE2CA7" w:rsidRPr="00440C76" w14:paraId="60373234" w14:textId="77777777" w:rsidTr="002B0590">
        <w:tc>
          <w:tcPr>
            <w:tcW w:w="5293" w:type="dxa"/>
            <w:gridSpan w:val="2"/>
            <w:tcMar>
              <w:left w:w="0" w:type="dxa"/>
              <w:right w:w="0" w:type="dxa"/>
            </w:tcMar>
          </w:tcPr>
          <w:p w14:paraId="7C005EF4"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La voiture a-t-elle été utilisée dans le passé avec un type de carburant non adapté (c</w:t>
            </w:r>
            <w:r>
              <w:rPr>
                <w:i/>
                <w:iCs/>
                <w:sz w:val="18"/>
                <w:szCs w:val="18"/>
                <w:lang w:val="fr-FR"/>
              </w:rPr>
              <w:t>’</w:t>
            </w:r>
            <w:r w:rsidRPr="00440C76">
              <w:rPr>
                <w:i/>
                <w:iCs/>
                <w:sz w:val="18"/>
                <w:szCs w:val="18"/>
                <w:lang w:val="fr-FR"/>
              </w:rPr>
              <w:t>est-à-dire de l</w:t>
            </w:r>
            <w:r>
              <w:rPr>
                <w:i/>
                <w:iCs/>
                <w:sz w:val="18"/>
                <w:szCs w:val="18"/>
                <w:lang w:val="fr-FR"/>
              </w:rPr>
              <w:t>’</w:t>
            </w:r>
            <w:r w:rsidRPr="00440C76">
              <w:rPr>
                <w:i/>
                <w:iCs/>
                <w:sz w:val="18"/>
                <w:szCs w:val="18"/>
                <w:lang w:val="fr-FR"/>
              </w:rPr>
              <w:t>essence au lieu de gazole) ? La voiture a</w:t>
            </w:r>
            <w:r w:rsidRPr="00440C76">
              <w:rPr>
                <w:i/>
                <w:iCs/>
                <w:sz w:val="18"/>
                <w:szCs w:val="18"/>
                <w:lang w:val="fr-FR"/>
              </w:rPr>
              <w:noBreakHyphen/>
              <w:t>t-elle été utilisée avec du carburant non disponible commercialement (marché noir ou mélange de carburant) ?</w:t>
            </w:r>
          </w:p>
          <w:p w14:paraId="3547AADB" w14:textId="77777777" w:rsidR="00BE2CA7" w:rsidRPr="00440C76" w:rsidRDefault="00BE2CA7" w:rsidP="002B0590">
            <w:pPr>
              <w:spacing w:before="60" w:after="60" w:line="220" w:lineRule="atLeast"/>
              <w:ind w:left="57" w:right="57"/>
              <w:rPr>
                <w:sz w:val="18"/>
                <w:szCs w:val="18"/>
                <w:lang w:val="fr-FR"/>
              </w:rPr>
            </w:pPr>
            <w:r w:rsidRPr="00440C76">
              <w:rPr>
                <w:i/>
                <w:iCs/>
                <w:sz w:val="18"/>
                <w:szCs w:val="18"/>
                <w:lang w:val="fr-FR"/>
              </w:rPr>
              <w:t>Dans l</w:t>
            </w:r>
            <w:r>
              <w:rPr>
                <w:i/>
                <w:iCs/>
                <w:sz w:val="18"/>
                <w:szCs w:val="18"/>
                <w:lang w:val="fr-FR"/>
              </w:rPr>
              <w:t>’</w:t>
            </w:r>
            <w:r w:rsidRPr="00440C76">
              <w:rPr>
                <w:i/>
                <w:iCs/>
                <w:sz w:val="18"/>
                <w:szCs w:val="18"/>
                <w:lang w:val="fr-FR"/>
              </w:rPr>
              <w:t>affirmative, le véhicule ne peut pas être sélectionné</w:t>
            </w:r>
            <w:r>
              <w:rPr>
                <w:i/>
                <w:iCs/>
                <w:sz w:val="18"/>
                <w:szCs w:val="18"/>
                <w:lang w:val="fr-FR"/>
              </w:rPr>
              <w:t>.</w:t>
            </w:r>
          </w:p>
        </w:tc>
        <w:tc>
          <w:tcPr>
            <w:tcW w:w="1114" w:type="dxa"/>
            <w:tcMar>
              <w:left w:w="0" w:type="dxa"/>
              <w:right w:w="0" w:type="dxa"/>
            </w:tcMar>
          </w:tcPr>
          <w:p w14:paraId="197262E9"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x</w:t>
            </w:r>
          </w:p>
        </w:tc>
        <w:tc>
          <w:tcPr>
            <w:tcW w:w="1300" w:type="dxa"/>
            <w:tcMar>
              <w:left w:w="0" w:type="dxa"/>
              <w:right w:w="0" w:type="dxa"/>
            </w:tcMar>
          </w:tcPr>
          <w:p w14:paraId="544945D5" w14:textId="77777777" w:rsidR="00BE2CA7" w:rsidRPr="00440C76" w:rsidRDefault="00BE2CA7" w:rsidP="002B0590">
            <w:pPr>
              <w:spacing w:before="60" w:after="60" w:line="220" w:lineRule="atLeast"/>
              <w:ind w:left="57" w:right="57"/>
              <w:rPr>
                <w:i/>
                <w:iCs/>
                <w:sz w:val="18"/>
                <w:szCs w:val="18"/>
                <w:lang w:val="fr-FR"/>
              </w:rPr>
            </w:pPr>
          </w:p>
        </w:tc>
        <w:tc>
          <w:tcPr>
            <w:tcW w:w="1579" w:type="dxa"/>
            <w:tcMar>
              <w:left w:w="0" w:type="dxa"/>
              <w:right w:w="0" w:type="dxa"/>
            </w:tcMar>
          </w:tcPr>
          <w:p w14:paraId="1A08D745" w14:textId="77777777" w:rsidR="00BE2CA7" w:rsidRPr="00440C76" w:rsidRDefault="00BE2CA7" w:rsidP="002B0590">
            <w:pPr>
              <w:spacing w:before="60" w:after="60" w:line="220" w:lineRule="atLeast"/>
              <w:ind w:left="57" w:right="57"/>
              <w:rPr>
                <w:i/>
                <w:iCs/>
                <w:sz w:val="18"/>
                <w:szCs w:val="18"/>
                <w:lang w:val="fr-FR"/>
              </w:rPr>
            </w:pPr>
          </w:p>
        </w:tc>
      </w:tr>
      <w:tr w:rsidR="00BE2CA7" w:rsidRPr="00440C76" w14:paraId="65A07CEC" w14:textId="77777777" w:rsidTr="002B0590">
        <w:tc>
          <w:tcPr>
            <w:tcW w:w="5293" w:type="dxa"/>
            <w:gridSpan w:val="2"/>
            <w:tcMar>
              <w:left w:w="0" w:type="dxa"/>
              <w:right w:w="0" w:type="dxa"/>
            </w:tcMar>
          </w:tcPr>
          <w:p w14:paraId="408DE150"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lastRenderedPageBreak/>
              <w:t>Avez-vous utilisé au cours du dernier mois un déodorant, un vaporisateur pour habitacle, un nettoyant de freins ou toute autre source d</w:t>
            </w:r>
            <w:r>
              <w:rPr>
                <w:i/>
                <w:iCs/>
                <w:sz w:val="18"/>
                <w:szCs w:val="18"/>
                <w:lang w:val="fr-FR"/>
              </w:rPr>
              <w:t>’</w:t>
            </w:r>
            <w:r w:rsidRPr="00440C76">
              <w:rPr>
                <w:i/>
                <w:iCs/>
                <w:sz w:val="18"/>
                <w:szCs w:val="18"/>
                <w:lang w:val="fr-FR"/>
              </w:rPr>
              <w:t>émissions élevées d</w:t>
            </w:r>
            <w:r>
              <w:rPr>
                <w:i/>
                <w:iCs/>
                <w:sz w:val="18"/>
                <w:szCs w:val="18"/>
                <w:lang w:val="fr-FR"/>
              </w:rPr>
              <w:t>’</w:t>
            </w:r>
            <w:r w:rsidRPr="00440C76">
              <w:rPr>
                <w:i/>
                <w:iCs/>
                <w:sz w:val="18"/>
                <w:szCs w:val="18"/>
                <w:lang w:val="fr-FR"/>
              </w:rPr>
              <w:t>hydrocarbures autour du véhicule ?</w:t>
            </w:r>
          </w:p>
          <w:p w14:paraId="1E098D89" w14:textId="77777777" w:rsidR="00BE2CA7" w:rsidRPr="00440C76" w:rsidRDefault="00BE2CA7" w:rsidP="002B0590">
            <w:pPr>
              <w:spacing w:before="60" w:after="60" w:line="220" w:lineRule="atLeast"/>
              <w:ind w:left="57" w:right="57"/>
              <w:rPr>
                <w:sz w:val="18"/>
                <w:szCs w:val="18"/>
                <w:lang w:val="fr-FR"/>
              </w:rPr>
            </w:pPr>
            <w:r w:rsidRPr="00440C76">
              <w:rPr>
                <w:i/>
                <w:iCs/>
                <w:sz w:val="18"/>
                <w:szCs w:val="18"/>
                <w:lang w:val="fr-FR"/>
              </w:rPr>
              <w:t>Dans l</w:t>
            </w:r>
            <w:r>
              <w:rPr>
                <w:i/>
                <w:iCs/>
                <w:sz w:val="18"/>
                <w:szCs w:val="18"/>
                <w:lang w:val="fr-FR"/>
              </w:rPr>
              <w:t>’</w:t>
            </w:r>
            <w:r w:rsidRPr="00440C76">
              <w:rPr>
                <w:i/>
                <w:iCs/>
                <w:sz w:val="18"/>
                <w:szCs w:val="18"/>
                <w:lang w:val="fr-FR"/>
              </w:rPr>
              <w:t>affirmative, le véhicule ne peut pas être sélectionné aux fins des essais d</w:t>
            </w:r>
            <w:r>
              <w:rPr>
                <w:i/>
                <w:iCs/>
                <w:sz w:val="18"/>
                <w:szCs w:val="18"/>
                <w:lang w:val="fr-FR"/>
              </w:rPr>
              <w:t>’</w:t>
            </w:r>
            <w:r w:rsidRPr="00440C76">
              <w:rPr>
                <w:i/>
                <w:iCs/>
                <w:sz w:val="18"/>
                <w:szCs w:val="18"/>
                <w:lang w:val="fr-FR"/>
              </w:rPr>
              <w:t>émissions par évaporation</w:t>
            </w:r>
            <w:r>
              <w:rPr>
                <w:i/>
                <w:iCs/>
                <w:sz w:val="18"/>
                <w:szCs w:val="18"/>
                <w:lang w:val="fr-FR"/>
              </w:rPr>
              <w:t>.</w:t>
            </w:r>
          </w:p>
        </w:tc>
        <w:tc>
          <w:tcPr>
            <w:tcW w:w="1114" w:type="dxa"/>
            <w:tcMar>
              <w:left w:w="0" w:type="dxa"/>
              <w:right w:w="0" w:type="dxa"/>
            </w:tcMar>
          </w:tcPr>
          <w:p w14:paraId="6F878194"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x</w:t>
            </w:r>
          </w:p>
        </w:tc>
        <w:tc>
          <w:tcPr>
            <w:tcW w:w="1300" w:type="dxa"/>
            <w:tcMar>
              <w:left w:w="0" w:type="dxa"/>
              <w:right w:w="0" w:type="dxa"/>
            </w:tcMar>
          </w:tcPr>
          <w:p w14:paraId="3C830F8A" w14:textId="77777777" w:rsidR="00BE2CA7" w:rsidRPr="00440C76" w:rsidRDefault="00BE2CA7" w:rsidP="002B0590">
            <w:pPr>
              <w:spacing w:before="60" w:after="60" w:line="220" w:lineRule="atLeast"/>
              <w:ind w:left="57" w:right="57"/>
              <w:rPr>
                <w:i/>
                <w:iCs/>
                <w:sz w:val="18"/>
                <w:szCs w:val="18"/>
                <w:lang w:val="fr-FR"/>
              </w:rPr>
            </w:pPr>
          </w:p>
        </w:tc>
        <w:tc>
          <w:tcPr>
            <w:tcW w:w="1579" w:type="dxa"/>
            <w:tcMar>
              <w:left w:w="0" w:type="dxa"/>
              <w:right w:w="0" w:type="dxa"/>
            </w:tcMar>
          </w:tcPr>
          <w:p w14:paraId="0AF7F5E1" w14:textId="77777777" w:rsidR="00BE2CA7" w:rsidRPr="00440C76" w:rsidRDefault="00BE2CA7" w:rsidP="002B0590">
            <w:pPr>
              <w:spacing w:before="60" w:after="60" w:line="220" w:lineRule="atLeast"/>
              <w:ind w:left="57" w:right="57"/>
              <w:rPr>
                <w:i/>
                <w:iCs/>
                <w:sz w:val="18"/>
                <w:szCs w:val="18"/>
                <w:lang w:val="fr-FR"/>
              </w:rPr>
            </w:pPr>
          </w:p>
        </w:tc>
      </w:tr>
      <w:tr w:rsidR="00BE2CA7" w:rsidRPr="00440C76" w14:paraId="225715F4" w14:textId="77777777" w:rsidTr="002B0590">
        <w:tc>
          <w:tcPr>
            <w:tcW w:w="5293" w:type="dxa"/>
            <w:gridSpan w:val="2"/>
            <w:tcMar>
              <w:left w:w="0" w:type="dxa"/>
              <w:right w:w="0" w:type="dxa"/>
            </w:tcMar>
          </w:tcPr>
          <w:p w14:paraId="58E54ED0"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De l</w:t>
            </w:r>
            <w:r>
              <w:rPr>
                <w:i/>
                <w:iCs/>
                <w:sz w:val="18"/>
                <w:szCs w:val="18"/>
                <w:lang w:val="fr-FR"/>
              </w:rPr>
              <w:t>’</w:t>
            </w:r>
            <w:r w:rsidRPr="00440C76">
              <w:rPr>
                <w:i/>
                <w:iCs/>
                <w:sz w:val="18"/>
                <w:szCs w:val="18"/>
                <w:lang w:val="fr-FR"/>
              </w:rPr>
              <w:t>essence s</w:t>
            </w:r>
            <w:r>
              <w:rPr>
                <w:i/>
                <w:iCs/>
                <w:sz w:val="18"/>
                <w:szCs w:val="18"/>
                <w:lang w:val="fr-FR"/>
              </w:rPr>
              <w:t>’</w:t>
            </w:r>
            <w:r w:rsidRPr="00440C76">
              <w:rPr>
                <w:i/>
                <w:iCs/>
                <w:sz w:val="18"/>
                <w:szCs w:val="18"/>
                <w:lang w:val="fr-FR"/>
              </w:rPr>
              <w:t>est-elle déversée à l</w:t>
            </w:r>
            <w:r>
              <w:rPr>
                <w:i/>
                <w:iCs/>
                <w:sz w:val="18"/>
                <w:szCs w:val="18"/>
                <w:lang w:val="fr-FR"/>
              </w:rPr>
              <w:t>’</w:t>
            </w:r>
            <w:r w:rsidRPr="00440C76">
              <w:rPr>
                <w:i/>
                <w:iCs/>
                <w:sz w:val="18"/>
                <w:szCs w:val="18"/>
                <w:lang w:val="fr-FR"/>
              </w:rPr>
              <w:t>intérieur ou à l</w:t>
            </w:r>
            <w:r>
              <w:rPr>
                <w:i/>
                <w:iCs/>
                <w:sz w:val="18"/>
                <w:szCs w:val="18"/>
                <w:lang w:val="fr-FR"/>
              </w:rPr>
              <w:t>’</w:t>
            </w:r>
            <w:r w:rsidRPr="00440C76">
              <w:rPr>
                <w:i/>
                <w:iCs/>
                <w:sz w:val="18"/>
                <w:szCs w:val="18"/>
                <w:lang w:val="fr-FR"/>
              </w:rPr>
              <w:t>extérieur du véhicule au cours des 3</w:t>
            </w:r>
            <w:r>
              <w:rPr>
                <w:i/>
                <w:iCs/>
                <w:sz w:val="18"/>
                <w:szCs w:val="18"/>
                <w:lang w:val="fr-FR"/>
              </w:rPr>
              <w:t> </w:t>
            </w:r>
            <w:r w:rsidRPr="00440C76">
              <w:rPr>
                <w:i/>
                <w:iCs/>
                <w:sz w:val="18"/>
                <w:szCs w:val="18"/>
                <w:lang w:val="fr-FR"/>
              </w:rPr>
              <w:t>derniers mois ?</w:t>
            </w:r>
          </w:p>
          <w:p w14:paraId="700D5CAC" w14:textId="77777777" w:rsidR="00BE2CA7" w:rsidRPr="00440C76" w:rsidRDefault="00BE2CA7" w:rsidP="002B0590">
            <w:pPr>
              <w:spacing w:before="60" w:after="60" w:line="220" w:lineRule="atLeast"/>
              <w:ind w:left="57" w:right="57"/>
              <w:rPr>
                <w:sz w:val="18"/>
                <w:szCs w:val="18"/>
                <w:lang w:val="fr-FR"/>
              </w:rPr>
            </w:pPr>
            <w:r w:rsidRPr="00440C76">
              <w:rPr>
                <w:i/>
                <w:iCs/>
                <w:sz w:val="18"/>
                <w:szCs w:val="18"/>
                <w:lang w:val="fr-FR"/>
              </w:rPr>
              <w:t>Dans l</w:t>
            </w:r>
            <w:r>
              <w:rPr>
                <w:i/>
                <w:iCs/>
                <w:sz w:val="18"/>
                <w:szCs w:val="18"/>
                <w:lang w:val="fr-FR"/>
              </w:rPr>
              <w:t>’</w:t>
            </w:r>
            <w:r w:rsidRPr="00440C76">
              <w:rPr>
                <w:i/>
                <w:iCs/>
                <w:sz w:val="18"/>
                <w:szCs w:val="18"/>
                <w:lang w:val="fr-FR"/>
              </w:rPr>
              <w:t>affirmative, le véhicule ne peut pas être sélectionné aux fins des essais d</w:t>
            </w:r>
            <w:r>
              <w:rPr>
                <w:i/>
                <w:iCs/>
                <w:sz w:val="18"/>
                <w:szCs w:val="18"/>
                <w:lang w:val="fr-FR"/>
              </w:rPr>
              <w:t>’</w:t>
            </w:r>
            <w:r w:rsidRPr="00440C76">
              <w:rPr>
                <w:i/>
                <w:iCs/>
                <w:sz w:val="18"/>
                <w:szCs w:val="18"/>
                <w:lang w:val="fr-FR"/>
              </w:rPr>
              <w:t>émissions par évaporation</w:t>
            </w:r>
            <w:r>
              <w:rPr>
                <w:i/>
                <w:iCs/>
                <w:sz w:val="18"/>
                <w:szCs w:val="18"/>
                <w:lang w:val="fr-FR"/>
              </w:rPr>
              <w:t>.</w:t>
            </w:r>
          </w:p>
        </w:tc>
        <w:tc>
          <w:tcPr>
            <w:tcW w:w="1114" w:type="dxa"/>
            <w:tcMar>
              <w:left w:w="0" w:type="dxa"/>
              <w:right w:w="0" w:type="dxa"/>
            </w:tcMar>
          </w:tcPr>
          <w:p w14:paraId="4BA92DE4"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x</w:t>
            </w:r>
          </w:p>
        </w:tc>
        <w:tc>
          <w:tcPr>
            <w:tcW w:w="1300" w:type="dxa"/>
            <w:tcMar>
              <w:left w:w="0" w:type="dxa"/>
              <w:right w:w="0" w:type="dxa"/>
            </w:tcMar>
          </w:tcPr>
          <w:p w14:paraId="345263F6" w14:textId="77777777" w:rsidR="00BE2CA7" w:rsidRPr="00440C76" w:rsidRDefault="00BE2CA7" w:rsidP="002B0590">
            <w:pPr>
              <w:spacing w:before="60" w:after="60" w:line="220" w:lineRule="atLeast"/>
              <w:ind w:left="57" w:right="57"/>
              <w:rPr>
                <w:i/>
                <w:iCs/>
                <w:sz w:val="18"/>
                <w:szCs w:val="18"/>
                <w:lang w:val="fr-FR"/>
              </w:rPr>
            </w:pPr>
          </w:p>
        </w:tc>
        <w:tc>
          <w:tcPr>
            <w:tcW w:w="1579" w:type="dxa"/>
            <w:tcMar>
              <w:left w:w="0" w:type="dxa"/>
              <w:right w:w="0" w:type="dxa"/>
            </w:tcMar>
          </w:tcPr>
          <w:p w14:paraId="57D1AFEE" w14:textId="77777777" w:rsidR="00BE2CA7" w:rsidRPr="00440C76" w:rsidRDefault="00BE2CA7" w:rsidP="002B0590">
            <w:pPr>
              <w:spacing w:before="60" w:after="60" w:line="220" w:lineRule="atLeast"/>
              <w:ind w:left="57" w:right="57"/>
              <w:rPr>
                <w:i/>
                <w:iCs/>
                <w:sz w:val="18"/>
                <w:szCs w:val="18"/>
                <w:lang w:val="fr-FR"/>
              </w:rPr>
            </w:pPr>
          </w:p>
        </w:tc>
      </w:tr>
      <w:tr w:rsidR="00BE2CA7" w:rsidRPr="00440C76" w14:paraId="573F586B" w14:textId="77777777" w:rsidTr="002B0590">
        <w:tc>
          <w:tcPr>
            <w:tcW w:w="5293" w:type="dxa"/>
            <w:gridSpan w:val="2"/>
            <w:tcMar>
              <w:left w:w="0" w:type="dxa"/>
              <w:right w:w="0" w:type="dxa"/>
            </w:tcMar>
          </w:tcPr>
          <w:p w14:paraId="01F1F8FA"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Quelqu</w:t>
            </w:r>
            <w:r>
              <w:rPr>
                <w:i/>
                <w:iCs/>
                <w:sz w:val="18"/>
                <w:szCs w:val="18"/>
                <w:lang w:val="fr-FR"/>
              </w:rPr>
              <w:t>’</w:t>
            </w:r>
            <w:r w:rsidRPr="00440C76">
              <w:rPr>
                <w:i/>
                <w:iCs/>
                <w:sz w:val="18"/>
                <w:szCs w:val="18"/>
                <w:lang w:val="fr-FR"/>
              </w:rPr>
              <w:t>un a-t-il fumé dans la voiture au cours des 12</w:t>
            </w:r>
            <w:r>
              <w:rPr>
                <w:i/>
                <w:iCs/>
                <w:sz w:val="18"/>
                <w:szCs w:val="18"/>
                <w:lang w:val="fr-FR"/>
              </w:rPr>
              <w:t> </w:t>
            </w:r>
            <w:r w:rsidRPr="00440C76">
              <w:rPr>
                <w:i/>
                <w:iCs/>
                <w:sz w:val="18"/>
                <w:szCs w:val="18"/>
                <w:lang w:val="fr-FR"/>
              </w:rPr>
              <w:t>derniers mois ?</w:t>
            </w:r>
          </w:p>
          <w:p w14:paraId="3AE93F4D" w14:textId="77777777" w:rsidR="00BE2CA7" w:rsidRPr="00440C76" w:rsidRDefault="00BE2CA7" w:rsidP="002B0590">
            <w:pPr>
              <w:spacing w:before="60" w:after="60" w:line="220" w:lineRule="atLeast"/>
              <w:ind w:left="57" w:right="57"/>
              <w:rPr>
                <w:sz w:val="18"/>
                <w:szCs w:val="18"/>
                <w:lang w:val="fr-FR"/>
              </w:rPr>
            </w:pPr>
            <w:r w:rsidRPr="00440C76">
              <w:rPr>
                <w:i/>
                <w:iCs/>
                <w:sz w:val="18"/>
                <w:szCs w:val="18"/>
                <w:lang w:val="fr-FR"/>
              </w:rPr>
              <w:t>Dans l</w:t>
            </w:r>
            <w:r>
              <w:rPr>
                <w:i/>
                <w:iCs/>
                <w:sz w:val="18"/>
                <w:szCs w:val="18"/>
                <w:lang w:val="fr-FR"/>
              </w:rPr>
              <w:t>’</w:t>
            </w:r>
            <w:r w:rsidRPr="00440C76">
              <w:rPr>
                <w:i/>
                <w:iCs/>
                <w:sz w:val="18"/>
                <w:szCs w:val="18"/>
                <w:lang w:val="fr-FR"/>
              </w:rPr>
              <w:t>affirmative, le véhicule ne peut pas être sélectionné aux fins des essais d</w:t>
            </w:r>
            <w:r>
              <w:rPr>
                <w:i/>
                <w:iCs/>
                <w:sz w:val="18"/>
                <w:szCs w:val="18"/>
                <w:lang w:val="fr-FR"/>
              </w:rPr>
              <w:t>’</w:t>
            </w:r>
            <w:r w:rsidRPr="00440C76">
              <w:rPr>
                <w:i/>
                <w:iCs/>
                <w:sz w:val="18"/>
                <w:szCs w:val="18"/>
                <w:lang w:val="fr-FR"/>
              </w:rPr>
              <w:t>émissions par évaporation</w:t>
            </w:r>
            <w:r>
              <w:rPr>
                <w:i/>
                <w:iCs/>
                <w:sz w:val="18"/>
                <w:szCs w:val="18"/>
                <w:lang w:val="fr-FR"/>
              </w:rPr>
              <w:t>.</w:t>
            </w:r>
          </w:p>
        </w:tc>
        <w:tc>
          <w:tcPr>
            <w:tcW w:w="1114" w:type="dxa"/>
            <w:tcMar>
              <w:left w:w="0" w:type="dxa"/>
              <w:right w:w="0" w:type="dxa"/>
            </w:tcMar>
          </w:tcPr>
          <w:p w14:paraId="212E3475"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x</w:t>
            </w:r>
          </w:p>
        </w:tc>
        <w:tc>
          <w:tcPr>
            <w:tcW w:w="1300" w:type="dxa"/>
            <w:tcMar>
              <w:left w:w="0" w:type="dxa"/>
              <w:right w:w="0" w:type="dxa"/>
            </w:tcMar>
          </w:tcPr>
          <w:p w14:paraId="049F41ED" w14:textId="77777777" w:rsidR="00BE2CA7" w:rsidRPr="00440C76" w:rsidRDefault="00BE2CA7" w:rsidP="002B0590">
            <w:pPr>
              <w:spacing w:before="60" w:after="60" w:line="220" w:lineRule="atLeast"/>
              <w:ind w:left="57" w:right="57"/>
              <w:rPr>
                <w:i/>
                <w:iCs/>
                <w:sz w:val="18"/>
                <w:szCs w:val="18"/>
                <w:lang w:val="fr-FR"/>
              </w:rPr>
            </w:pPr>
          </w:p>
        </w:tc>
        <w:tc>
          <w:tcPr>
            <w:tcW w:w="1579" w:type="dxa"/>
            <w:tcMar>
              <w:left w:w="0" w:type="dxa"/>
              <w:right w:w="0" w:type="dxa"/>
            </w:tcMar>
          </w:tcPr>
          <w:p w14:paraId="6CB0D745" w14:textId="77777777" w:rsidR="00BE2CA7" w:rsidRPr="00440C76" w:rsidRDefault="00BE2CA7" w:rsidP="002B0590">
            <w:pPr>
              <w:spacing w:before="60" w:after="60" w:line="220" w:lineRule="atLeast"/>
              <w:ind w:left="57" w:right="57"/>
              <w:rPr>
                <w:i/>
                <w:iCs/>
                <w:sz w:val="18"/>
                <w:szCs w:val="18"/>
                <w:lang w:val="fr-FR"/>
              </w:rPr>
            </w:pPr>
          </w:p>
        </w:tc>
      </w:tr>
      <w:tr w:rsidR="00BE2CA7" w:rsidRPr="00440C76" w14:paraId="498BD182" w14:textId="77777777" w:rsidTr="002B0590">
        <w:tc>
          <w:tcPr>
            <w:tcW w:w="5293" w:type="dxa"/>
            <w:gridSpan w:val="2"/>
            <w:tcMar>
              <w:left w:w="0" w:type="dxa"/>
              <w:right w:w="0" w:type="dxa"/>
            </w:tcMar>
          </w:tcPr>
          <w:p w14:paraId="342FDF82"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Avez-vous appliqué à la voiture une protection contre la corrosion, des autocollants, une protection du bas de caisse, ou toute autre source potentielle de composés volatils ?</w:t>
            </w:r>
          </w:p>
          <w:p w14:paraId="2B9E4184" w14:textId="77777777" w:rsidR="00BE2CA7" w:rsidRPr="00440C76" w:rsidRDefault="00BE2CA7" w:rsidP="002B0590">
            <w:pPr>
              <w:spacing w:before="60" w:after="60" w:line="220" w:lineRule="atLeast"/>
              <w:ind w:left="57" w:right="57"/>
              <w:rPr>
                <w:sz w:val="18"/>
                <w:szCs w:val="18"/>
                <w:lang w:val="fr-FR"/>
              </w:rPr>
            </w:pPr>
            <w:r w:rsidRPr="00440C76">
              <w:rPr>
                <w:i/>
                <w:iCs/>
                <w:sz w:val="18"/>
                <w:szCs w:val="18"/>
                <w:lang w:val="fr-FR"/>
              </w:rPr>
              <w:t>Dans l</w:t>
            </w:r>
            <w:r>
              <w:rPr>
                <w:i/>
                <w:iCs/>
                <w:sz w:val="18"/>
                <w:szCs w:val="18"/>
                <w:lang w:val="fr-FR"/>
              </w:rPr>
              <w:t>’</w:t>
            </w:r>
            <w:r w:rsidRPr="00440C76">
              <w:rPr>
                <w:i/>
                <w:iCs/>
                <w:sz w:val="18"/>
                <w:szCs w:val="18"/>
                <w:lang w:val="fr-FR"/>
              </w:rPr>
              <w:t>affirmative, le véhicule ne peut pas être sélectionné aux fins des essais d</w:t>
            </w:r>
            <w:r>
              <w:rPr>
                <w:i/>
                <w:iCs/>
                <w:sz w:val="18"/>
                <w:szCs w:val="18"/>
                <w:lang w:val="fr-FR"/>
              </w:rPr>
              <w:t>’</w:t>
            </w:r>
            <w:r w:rsidRPr="00440C76">
              <w:rPr>
                <w:i/>
                <w:iCs/>
                <w:sz w:val="18"/>
                <w:szCs w:val="18"/>
                <w:lang w:val="fr-FR"/>
              </w:rPr>
              <w:t>émissions par évaporation</w:t>
            </w:r>
            <w:r>
              <w:rPr>
                <w:i/>
                <w:iCs/>
                <w:sz w:val="18"/>
                <w:szCs w:val="18"/>
                <w:lang w:val="fr-FR"/>
              </w:rPr>
              <w:t>.</w:t>
            </w:r>
          </w:p>
        </w:tc>
        <w:tc>
          <w:tcPr>
            <w:tcW w:w="1114" w:type="dxa"/>
            <w:tcMar>
              <w:left w:w="0" w:type="dxa"/>
              <w:right w:w="0" w:type="dxa"/>
            </w:tcMar>
          </w:tcPr>
          <w:p w14:paraId="71441CC6"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x</w:t>
            </w:r>
          </w:p>
        </w:tc>
        <w:tc>
          <w:tcPr>
            <w:tcW w:w="1300" w:type="dxa"/>
            <w:tcMar>
              <w:left w:w="0" w:type="dxa"/>
              <w:right w:w="0" w:type="dxa"/>
            </w:tcMar>
          </w:tcPr>
          <w:p w14:paraId="5D10BE21" w14:textId="77777777" w:rsidR="00BE2CA7" w:rsidRPr="00440C76" w:rsidRDefault="00BE2CA7" w:rsidP="002B0590">
            <w:pPr>
              <w:spacing w:before="60" w:after="60" w:line="220" w:lineRule="atLeast"/>
              <w:ind w:left="57" w:right="57"/>
              <w:rPr>
                <w:i/>
                <w:iCs/>
                <w:sz w:val="18"/>
                <w:szCs w:val="18"/>
                <w:lang w:val="fr-FR"/>
              </w:rPr>
            </w:pPr>
          </w:p>
        </w:tc>
        <w:tc>
          <w:tcPr>
            <w:tcW w:w="1579" w:type="dxa"/>
            <w:tcMar>
              <w:left w:w="0" w:type="dxa"/>
              <w:right w:w="0" w:type="dxa"/>
            </w:tcMar>
          </w:tcPr>
          <w:p w14:paraId="665AEEE6" w14:textId="77777777" w:rsidR="00BE2CA7" w:rsidRPr="00440C76" w:rsidRDefault="00BE2CA7" w:rsidP="002B0590">
            <w:pPr>
              <w:spacing w:before="60" w:after="60" w:line="220" w:lineRule="atLeast"/>
              <w:ind w:left="57" w:right="57"/>
              <w:rPr>
                <w:i/>
                <w:iCs/>
                <w:sz w:val="18"/>
                <w:szCs w:val="18"/>
                <w:lang w:val="fr-FR"/>
              </w:rPr>
            </w:pPr>
          </w:p>
        </w:tc>
      </w:tr>
      <w:tr w:rsidR="00BE2CA7" w:rsidRPr="00440C76" w14:paraId="67E5E609" w14:textId="77777777" w:rsidTr="002B0590">
        <w:tc>
          <w:tcPr>
            <w:tcW w:w="5293" w:type="dxa"/>
            <w:gridSpan w:val="2"/>
            <w:tcMar>
              <w:left w:w="0" w:type="dxa"/>
              <w:right w:w="0" w:type="dxa"/>
            </w:tcMar>
          </w:tcPr>
          <w:p w14:paraId="13F14DE8"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La voiture a-t-elle été repeinte ?</w:t>
            </w:r>
          </w:p>
          <w:p w14:paraId="2B46836A" w14:textId="77777777" w:rsidR="00BE2CA7" w:rsidRPr="00440C76" w:rsidRDefault="00BE2CA7" w:rsidP="002B0590">
            <w:pPr>
              <w:spacing w:before="60" w:after="60" w:line="220" w:lineRule="atLeast"/>
              <w:ind w:left="57" w:right="57"/>
              <w:rPr>
                <w:sz w:val="18"/>
                <w:szCs w:val="18"/>
                <w:lang w:val="fr-FR"/>
              </w:rPr>
            </w:pPr>
            <w:r w:rsidRPr="00440C76">
              <w:rPr>
                <w:i/>
                <w:iCs/>
                <w:sz w:val="18"/>
                <w:szCs w:val="18"/>
                <w:lang w:val="fr-FR"/>
              </w:rPr>
              <w:t>Dans l</w:t>
            </w:r>
            <w:r>
              <w:rPr>
                <w:i/>
                <w:iCs/>
                <w:sz w:val="18"/>
                <w:szCs w:val="18"/>
                <w:lang w:val="fr-FR"/>
              </w:rPr>
              <w:t>’</w:t>
            </w:r>
            <w:r w:rsidRPr="00440C76">
              <w:rPr>
                <w:i/>
                <w:iCs/>
                <w:sz w:val="18"/>
                <w:szCs w:val="18"/>
                <w:lang w:val="fr-FR"/>
              </w:rPr>
              <w:t>affirmative, le véhicule ne peut pas être sélectionné aux fins des essais d</w:t>
            </w:r>
            <w:r>
              <w:rPr>
                <w:i/>
                <w:iCs/>
                <w:sz w:val="18"/>
                <w:szCs w:val="18"/>
                <w:lang w:val="fr-FR"/>
              </w:rPr>
              <w:t>’</w:t>
            </w:r>
            <w:r w:rsidRPr="00440C76">
              <w:rPr>
                <w:i/>
                <w:iCs/>
                <w:sz w:val="18"/>
                <w:szCs w:val="18"/>
                <w:lang w:val="fr-FR"/>
              </w:rPr>
              <w:t>émissions par évaporation</w:t>
            </w:r>
            <w:r>
              <w:rPr>
                <w:i/>
                <w:iCs/>
                <w:sz w:val="18"/>
                <w:szCs w:val="18"/>
                <w:lang w:val="fr-FR"/>
              </w:rPr>
              <w:t>.</w:t>
            </w:r>
          </w:p>
        </w:tc>
        <w:tc>
          <w:tcPr>
            <w:tcW w:w="1114" w:type="dxa"/>
            <w:tcMar>
              <w:left w:w="0" w:type="dxa"/>
              <w:right w:w="0" w:type="dxa"/>
            </w:tcMar>
          </w:tcPr>
          <w:p w14:paraId="4B2C53F2"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x</w:t>
            </w:r>
          </w:p>
        </w:tc>
        <w:tc>
          <w:tcPr>
            <w:tcW w:w="1300" w:type="dxa"/>
            <w:tcMar>
              <w:left w:w="0" w:type="dxa"/>
              <w:right w:w="0" w:type="dxa"/>
            </w:tcMar>
          </w:tcPr>
          <w:p w14:paraId="7E9D4DF7" w14:textId="77777777" w:rsidR="00BE2CA7" w:rsidRPr="00440C76" w:rsidRDefault="00BE2CA7" w:rsidP="002B0590">
            <w:pPr>
              <w:spacing w:before="60" w:after="60" w:line="220" w:lineRule="atLeast"/>
              <w:ind w:left="57" w:right="57"/>
              <w:rPr>
                <w:i/>
                <w:iCs/>
                <w:sz w:val="18"/>
                <w:szCs w:val="18"/>
                <w:lang w:val="fr-FR"/>
              </w:rPr>
            </w:pPr>
          </w:p>
        </w:tc>
        <w:tc>
          <w:tcPr>
            <w:tcW w:w="1579" w:type="dxa"/>
            <w:tcMar>
              <w:left w:w="0" w:type="dxa"/>
              <w:right w:w="0" w:type="dxa"/>
            </w:tcMar>
          </w:tcPr>
          <w:p w14:paraId="73C501E0" w14:textId="77777777" w:rsidR="00BE2CA7" w:rsidRPr="00440C76" w:rsidRDefault="00BE2CA7" w:rsidP="002B0590">
            <w:pPr>
              <w:spacing w:before="60" w:after="60" w:line="220" w:lineRule="atLeast"/>
              <w:ind w:left="57" w:right="57"/>
              <w:rPr>
                <w:i/>
                <w:iCs/>
                <w:sz w:val="18"/>
                <w:szCs w:val="18"/>
                <w:lang w:val="fr-FR"/>
              </w:rPr>
            </w:pPr>
          </w:p>
        </w:tc>
      </w:tr>
      <w:tr w:rsidR="00BE2CA7" w:rsidRPr="00440C76" w14:paraId="6E206FEC" w14:textId="77777777" w:rsidTr="002B0590">
        <w:tc>
          <w:tcPr>
            <w:tcW w:w="5293" w:type="dxa"/>
            <w:gridSpan w:val="2"/>
            <w:tcMar>
              <w:left w:w="0" w:type="dxa"/>
              <w:right w:w="0" w:type="dxa"/>
            </w:tcMar>
          </w:tcPr>
          <w:p w14:paraId="79B6C441" w14:textId="77777777" w:rsidR="00BE2CA7" w:rsidRPr="00440C76" w:rsidRDefault="00BE2CA7" w:rsidP="002B0590">
            <w:pPr>
              <w:spacing w:before="60" w:after="60" w:line="220" w:lineRule="atLeast"/>
              <w:ind w:left="57" w:right="57"/>
              <w:rPr>
                <w:sz w:val="18"/>
                <w:szCs w:val="18"/>
                <w:lang w:val="fr-FR"/>
              </w:rPr>
            </w:pPr>
            <w:r w:rsidRPr="00440C76">
              <w:rPr>
                <w:i/>
                <w:iCs/>
                <w:sz w:val="18"/>
                <w:szCs w:val="18"/>
                <w:lang w:val="fr-FR"/>
              </w:rPr>
              <w:t>Où utilisez-vous le plus souvent votre véhicule ?</w:t>
            </w:r>
          </w:p>
        </w:tc>
        <w:tc>
          <w:tcPr>
            <w:tcW w:w="1114" w:type="dxa"/>
            <w:tcMar>
              <w:left w:w="0" w:type="dxa"/>
              <w:right w:w="0" w:type="dxa"/>
            </w:tcMar>
          </w:tcPr>
          <w:p w14:paraId="7393DB69" w14:textId="77777777" w:rsidR="00BE2CA7" w:rsidRPr="00440C76" w:rsidRDefault="00BE2CA7" w:rsidP="002B0590">
            <w:pPr>
              <w:spacing w:before="60" w:after="60" w:line="220" w:lineRule="atLeast"/>
              <w:ind w:left="57" w:right="57"/>
              <w:rPr>
                <w:i/>
                <w:iCs/>
                <w:sz w:val="18"/>
                <w:szCs w:val="18"/>
                <w:lang w:val="fr-FR"/>
              </w:rPr>
            </w:pPr>
          </w:p>
        </w:tc>
        <w:tc>
          <w:tcPr>
            <w:tcW w:w="1300" w:type="dxa"/>
            <w:tcMar>
              <w:left w:w="0" w:type="dxa"/>
              <w:right w:w="0" w:type="dxa"/>
            </w:tcMar>
          </w:tcPr>
          <w:p w14:paraId="0A553745" w14:textId="77777777" w:rsidR="00BE2CA7" w:rsidRPr="00440C76" w:rsidRDefault="00BE2CA7" w:rsidP="002B0590">
            <w:pPr>
              <w:spacing w:before="60" w:after="60" w:line="220" w:lineRule="atLeast"/>
              <w:ind w:left="57" w:right="57"/>
              <w:rPr>
                <w:i/>
                <w:iCs/>
                <w:sz w:val="18"/>
                <w:szCs w:val="18"/>
                <w:lang w:val="fr-FR"/>
              </w:rPr>
            </w:pPr>
          </w:p>
        </w:tc>
        <w:tc>
          <w:tcPr>
            <w:tcW w:w="1579" w:type="dxa"/>
            <w:tcMar>
              <w:left w:w="0" w:type="dxa"/>
              <w:right w:w="0" w:type="dxa"/>
            </w:tcMar>
          </w:tcPr>
          <w:p w14:paraId="023609BE" w14:textId="77777777" w:rsidR="00BE2CA7" w:rsidRPr="00440C76" w:rsidRDefault="00BE2CA7" w:rsidP="002B0590">
            <w:pPr>
              <w:spacing w:before="60" w:after="60" w:line="220" w:lineRule="atLeast"/>
              <w:ind w:left="57" w:right="57"/>
              <w:rPr>
                <w:i/>
                <w:iCs/>
                <w:sz w:val="18"/>
                <w:szCs w:val="18"/>
                <w:lang w:val="fr-FR"/>
              </w:rPr>
            </w:pPr>
          </w:p>
        </w:tc>
      </w:tr>
      <w:tr w:rsidR="00BE2CA7" w:rsidRPr="00440C76" w14:paraId="3C26239C" w14:textId="77777777" w:rsidTr="002B0590">
        <w:tc>
          <w:tcPr>
            <w:tcW w:w="5293" w:type="dxa"/>
            <w:gridSpan w:val="2"/>
            <w:tcMar>
              <w:left w:w="0" w:type="dxa"/>
              <w:right w:w="0" w:type="dxa"/>
            </w:tcMar>
          </w:tcPr>
          <w:p w14:paraId="6D72AFE3" w14:textId="77777777" w:rsidR="00BE2CA7" w:rsidRPr="00440C76" w:rsidRDefault="00BE2CA7" w:rsidP="002B0590">
            <w:pPr>
              <w:spacing w:before="60" w:after="60" w:line="220" w:lineRule="atLeast"/>
              <w:ind w:left="57" w:right="57"/>
              <w:rPr>
                <w:sz w:val="18"/>
                <w:szCs w:val="18"/>
                <w:lang w:val="fr-FR"/>
              </w:rPr>
            </w:pPr>
            <w:r w:rsidRPr="00440C76">
              <w:rPr>
                <w:sz w:val="18"/>
                <w:szCs w:val="18"/>
                <w:lang w:val="fr-FR"/>
              </w:rPr>
              <w:t>% autoroute</w:t>
            </w:r>
          </w:p>
        </w:tc>
        <w:tc>
          <w:tcPr>
            <w:tcW w:w="1114" w:type="dxa"/>
            <w:tcMar>
              <w:left w:w="0" w:type="dxa"/>
              <w:right w:w="0" w:type="dxa"/>
            </w:tcMar>
          </w:tcPr>
          <w:p w14:paraId="63D291AC" w14:textId="77777777" w:rsidR="00BE2CA7" w:rsidRPr="00440C76" w:rsidRDefault="00BE2CA7" w:rsidP="002B0590">
            <w:pPr>
              <w:spacing w:before="60" w:after="60" w:line="220" w:lineRule="atLeast"/>
              <w:ind w:left="57" w:right="57"/>
              <w:rPr>
                <w:i/>
                <w:iCs/>
                <w:sz w:val="18"/>
                <w:szCs w:val="18"/>
                <w:lang w:val="fr-FR"/>
              </w:rPr>
            </w:pPr>
          </w:p>
        </w:tc>
        <w:tc>
          <w:tcPr>
            <w:tcW w:w="1300" w:type="dxa"/>
            <w:tcMar>
              <w:left w:w="0" w:type="dxa"/>
              <w:right w:w="0" w:type="dxa"/>
            </w:tcMar>
          </w:tcPr>
          <w:p w14:paraId="202B5737"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x</w:t>
            </w:r>
          </w:p>
        </w:tc>
        <w:tc>
          <w:tcPr>
            <w:tcW w:w="1579" w:type="dxa"/>
            <w:tcMar>
              <w:left w:w="0" w:type="dxa"/>
              <w:right w:w="0" w:type="dxa"/>
            </w:tcMar>
          </w:tcPr>
          <w:p w14:paraId="39BDA9C1" w14:textId="77777777" w:rsidR="00BE2CA7" w:rsidRPr="00440C76" w:rsidRDefault="00BE2CA7" w:rsidP="002B0590">
            <w:pPr>
              <w:spacing w:before="60" w:after="60" w:line="220" w:lineRule="atLeast"/>
              <w:ind w:left="57" w:right="57"/>
              <w:rPr>
                <w:i/>
                <w:iCs/>
                <w:sz w:val="18"/>
                <w:szCs w:val="18"/>
                <w:lang w:val="fr-FR"/>
              </w:rPr>
            </w:pPr>
          </w:p>
        </w:tc>
      </w:tr>
      <w:tr w:rsidR="00BE2CA7" w:rsidRPr="00440C76" w14:paraId="02EF4C11" w14:textId="77777777" w:rsidTr="002B0590">
        <w:tc>
          <w:tcPr>
            <w:tcW w:w="5293" w:type="dxa"/>
            <w:gridSpan w:val="2"/>
            <w:tcMar>
              <w:left w:w="0" w:type="dxa"/>
              <w:right w:w="0" w:type="dxa"/>
            </w:tcMar>
          </w:tcPr>
          <w:p w14:paraId="1E30F0FD" w14:textId="77777777" w:rsidR="00BE2CA7" w:rsidRPr="00440C76" w:rsidRDefault="00BE2CA7" w:rsidP="002B0590">
            <w:pPr>
              <w:spacing w:before="60" w:after="60" w:line="220" w:lineRule="atLeast"/>
              <w:ind w:left="57" w:right="57"/>
              <w:rPr>
                <w:sz w:val="18"/>
                <w:szCs w:val="18"/>
                <w:lang w:val="fr-FR"/>
              </w:rPr>
            </w:pPr>
            <w:r w:rsidRPr="00440C76">
              <w:rPr>
                <w:sz w:val="18"/>
                <w:szCs w:val="18"/>
                <w:lang w:val="fr-FR"/>
              </w:rPr>
              <w:t>% hors agglomération</w:t>
            </w:r>
          </w:p>
        </w:tc>
        <w:tc>
          <w:tcPr>
            <w:tcW w:w="1114" w:type="dxa"/>
            <w:tcMar>
              <w:left w:w="0" w:type="dxa"/>
              <w:right w:w="0" w:type="dxa"/>
            </w:tcMar>
          </w:tcPr>
          <w:p w14:paraId="5699E12A" w14:textId="77777777" w:rsidR="00BE2CA7" w:rsidRPr="00440C76" w:rsidRDefault="00BE2CA7" w:rsidP="002B0590">
            <w:pPr>
              <w:spacing w:before="60" w:after="60" w:line="220" w:lineRule="atLeast"/>
              <w:ind w:left="57" w:right="57"/>
              <w:rPr>
                <w:i/>
                <w:iCs/>
                <w:sz w:val="18"/>
                <w:szCs w:val="18"/>
                <w:lang w:val="fr-FR"/>
              </w:rPr>
            </w:pPr>
          </w:p>
        </w:tc>
        <w:tc>
          <w:tcPr>
            <w:tcW w:w="1300" w:type="dxa"/>
            <w:tcMar>
              <w:left w:w="0" w:type="dxa"/>
              <w:right w:w="0" w:type="dxa"/>
            </w:tcMar>
          </w:tcPr>
          <w:p w14:paraId="685FFE7E"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x</w:t>
            </w:r>
          </w:p>
        </w:tc>
        <w:tc>
          <w:tcPr>
            <w:tcW w:w="1579" w:type="dxa"/>
            <w:tcMar>
              <w:left w:w="0" w:type="dxa"/>
              <w:right w:w="0" w:type="dxa"/>
            </w:tcMar>
          </w:tcPr>
          <w:p w14:paraId="45B319BD" w14:textId="77777777" w:rsidR="00BE2CA7" w:rsidRPr="00440C76" w:rsidRDefault="00BE2CA7" w:rsidP="002B0590">
            <w:pPr>
              <w:spacing w:before="60" w:after="60" w:line="220" w:lineRule="atLeast"/>
              <w:ind w:left="57" w:right="57"/>
              <w:rPr>
                <w:i/>
                <w:iCs/>
                <w:sz w:val="18"/>
                <w:szCs w:val="18"/>
                <w:lang w:val="fr-FR"/>
              </w:rPr>
            </w:pPr>
          </w:p>
        </w:tc>
      </w:tr>
      <w:tr w:rsidR="00BE2CA7" w:rsidRPr="00440C76" w14:paraId="6CB96EBE" w14:textId="77777777" w:rsidTr="002B0590">
        <w:tc>
          <w:tcPr>
            <w:tcW w:w="5293" w:type="dxa"/>
            <w:gridSpan w:val="2"/>
            <w:tcMar>
              <w:left w:w="0" w:type="dxa"/>
              <w:right w:w="0" w:type="dxa"/>
            </w:tcMar>
          </w:tcPr>
          <w:p w14:paraId="3145EAF0" w14:textId="77777777" w:rsidR="00BE2CA7" w:rsidRPr="00440C76" w:rsidRDefault="00BE2CA7" w:rsidP="002B0590">
            <w:pPr>
              <w:spacing w:before="60" w:after="60" w:line="220" w:lineRule="atLeast"/>
              <w:ind w:left="57" w:right="57"/>
              <w:rPr>
                <w:sz w:val="18"/>
                <w:szCs w:val="18"/>
                <w:lang w:val="fr-FR"/>
              </w:rPr>
            </w:pPr>
            <w:r w:rsidRPr="00440C76">
              <w:rPr>
                <w:sz w:val="18"/>
                <w:szCs w:val="18"/>
                <w:lang w:val="fr-FR"/>
              </w:rPr>
              <w:t>% agglomération</w:t>
            </w:r>
          </w:p>
        </w:tc>
        <w:tc>
          <w:tcPr>
            <w:tcW w:w="1114" w:type="dxa"/>
            <w:tcMar>
              <w:left w:w="0" w:type="dxa"/>
              <w:right w:w="0" w:type="dxa"/>
            </w:tcMar>
          </w:tcPr>
          <w:p w14:paraId="6252CCF5" w14:textId="77777777" w:rsidR="00BE2CA7" w:rsidRPr="00440C76" w:rsidRDefault="00BE2CA7" w:rsidP="002B0590">
            <w:pPr>
              <w:spacing w:before="60" w:after="60" w:line="220" w:lineRule="atLeast"/>
              <w:ind w:left="57" w:right="57"/>
              <w:rPr>
                <w:i/>
                <w:iCs/>
                <w:sz w:val="18"/>
                <w:szCs w:val="18"/>
                <w:lang w:val="fr-FR"/>
              </w:rPr>
            </w:pPr>
          </w:p>
        </w:tc>
        <w:tc>
          <w:tcPr>
            <w:tcW w:w="1300" w:type="dxa"/>
            <w:tcMar>
              <w:left w:w="0" w:type="dxa"/>
              <w:right w:w="0" w:type="dxa"/>
            </w:tcMar>
          </w:tcPr>
          <w:p w14:paraId="1D8DC6B2"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x</w:t>
            </w:r>
          </w:p>
        </w:tc>
        <w:tc>
          <w:tcPr>
            <w:tcW w:w="1579" w:type="dxa"/>
            <w:tcMar>
              <w:left w:w="0" w:type="dxa"/>
              <w:right w:w="0" w:type="dxa"/>
            </w:tcMar>
          </w:tcPr>
          <w:p w14:paraId="630C5F85" w14:textId="77777777" w:rsidR="00BE2CA7" w:rsidRPr="00440C76" w:rsidRDefault="00BE2CA7" w:rsidP="002B0590">
            <w:pPr>
              <w:spacing w:before="60" w:after="60" w:line="220" w:lineRule="atLeast"/>
              <w:ind w:left="57" w:right="57"/>
              <w:rPr>
                <w:i/>
                <w:iCs/>
                <w:sz w:val="18"/>
                <w:szCs w:val="18"/>
                <w:lang w:val="fr-FR"/>
              </w:rPr>
            </w:pPr>
          </w:p>
        </w:tc>
      </w:tr>
      <w:tr w:rsidR="00BE2CA7" w:rsidRPr="00440C76" w14:paraId="28E53FE4" w14:textId="77777777" w:rsidTr="002B0590">
        <w:tc>
          <w:tcPr>
            <w:tcW w:w="5293" w:type="dxa"/>
            <w:gridSpan w:val="2"/>
            <w:tcMar>
              <w:left w:w="0" w:type="dxa"/>
              <w:right w:w="0" w:type="dxa"/>
            </w:tcMar>
          </w:tcPr>
          <w:p w14:paraId="20DA71C7"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Avez-vous utilisé le véhicule dans une Partie non contractante pendant plus de 10 % du temps de conduite ?</w:t>
            </w:r>
          </w:p>
          <w:p w14:paraId="774B916B" w14:textId="77777777" w:rsidR="00BE2CA7" w:rsidRPr="00440C76" w:rsidRDefault="00BE2CA7" w:rsidP="002B0590">
            <w:pPr>
              <w:spacing w:before="60" w:after="60" w:line="220" w:lineRule="atLeast"/>
              <w:ind w:left="57" w:right="57"/>
              <w:rPr>
                <w:sz w:val="18"/>
                <w:szCs w:val="18"/>
                <w:lang w:val="fr-FR"/>
              </w:rPr>
            </w:pPr>
            <w:r w:rsidRPr="00440C76">
              <w:rPr>
                <w:i/>
                <w:iCs/>
                <w:sz w:val="18"/>
                <w:szCs w:val="18"/>
                <w:lang w:val="fr-FR"/>
              </w:rPr>
              <w:t>Dans l</w:t>
            </w:r>
            <w:r>
              <w:rPr>
                <w:i/>
                <w:iCs/>
                <w:sz w:val="18"/>
                <w:szCs w:val="18"/>
                <w:lang w:val="fr-FR"/>
              </w:rPr>
              <w:t>’</w:t>
            </w:r>
            <w:r w:rsidRPr="00440C76">
              <w:rPr>
                <w:i/>
                <w:iCs/>
                <w:sz w:val="18"/>
                <w:szCs w:val="18"/>
                <w:lang w:val="fr-FR"/>
              </w:rPr>
              <w:t>affirmative, le véhicule ne peut pas être sélectionné</w:t>
            </w:r>
            <w:r>
              <w:rPr>
                <w:i/>
                <w:iCs/>
                <w:sz w:val="18"/>
                <w:szCs w:val="18"/>
                <w:lang w:val="fr-FR"/>
              </w:rPr>
              <w:t>.</w:t>
            </w:r>
          </w:p>
        </w:tc>
        <w:tc>
          <w:tcPr>
            <w:tcW w:w="1114" w:type="dxa"/>
            <w:tcMar>
              <w:left w:w="0" w:type="dxa"/>
              <w:right w:w="0" w:type="dxa"/>
            </w:tcMar>
          </w:tcPr>
          <w:p w14:paraId="2916A391"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x</w:t>
            </w:r>
          </w:p>
        </w:tc>
        <w:tc>
          <w:tcPr>
            <w:tcW w:w="1300" w:type="dxa"/>
            <w:tcMar>
              <w:left w:w="0" w:type="dxa"/>
              <w:right w:w="0" w:type="dxa"/>
            </w:tcMar>
          </w:tcPr>
          <w:p w14:paraId="648DC884"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w:t>
            </w:r>
          </w:p>
        </w:tc>
        <w:tc>
          <w:tcPr>
            <w:tcW w:w="1579" w:type="dxa"/>
            <w:tcMar>
              <w:left w:w="0" w:type="dxa"/>
              <w:right w:w="0" w:type="dxa"/>
            </w:tcMar>
          </w:tcPr>
          <w:p w14:paraId="2E525DCD" w14:textId="77777777" w:rsidR="00BE2CA7" w:rsidRPr="00440C76" w:rsidRDefault="00BE2CA7" w:rsidP="002B0590">
            <w:pPr>
              <w:spacing w:before="60" w:after="60" w:line="220" w:lineRule="atLeast"/>
              <w:ind w:left="57" w:right="57"/>
              <w:rPr>
                <w:i/>
                <w:iCs/>
                <w:sz w:val="18"/>
                <w:szCs w:val="18"/>
                <w:lang w:val="fr-FR"/>
              </w:rPr>
            </w:pPr>
          </w:p>
        </w:tc>
      </w:tr>
      <w:tr w:rsidR="00BE2CA7" w:rsidRPr="00440C76" w14:paraId="409B8ABB" w14:textId="77777777" w:rsidTr="002B0590">
        <w:tc>
          <w:tcPr>
            <w:tcW w:w="5293" w:type="dxa"/>
            <w:gridSpan w:val="2"/>
            <w:tcMar>
              <w:left w:w="0" w:type="dxa"/>
              <w:right w:w="0" w:type="dxa"/>
            </w:tcMar>
          </w:tcPr>
          <w:p w14:paraId="7DD0CD10"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Dans quel pays le véhicule a-t-il été approvisionné en carburant lors des deux derniers ravitaillements ?</w:t>
            </w:r>
          </w:p>
          <w:p w14:paraId="4E57EAB4" w14:textId="77777777" w:rsidR="00BE2CA7" w:rsidRPr="00440C76" w:rsidRDefault="00BE2CA7" w:rsidP="002B0590">
            <w:pPr>
              <w:spacing w:before="60" w:after="60" w:line="220" w:lineRule="atLeast"/>
              <w:ind w:left="57" w:right="57"/>
              <w:rPr>
                <w:sz w:val="18"/>
                <w:szCs w:val="18"/>
                <w:lang w:val="fr-FR"/>
              </w:rPr>
            </w:pPr>
            <w:r w:rsidRPr="00440C76">
              <w:rPr>
                <w:i/>
                <w:iCs/>
                <w:sz w:val="18"/>
                <w:szCs w:val="18"/>
                <w:lang w:val="fr-FR"/>
              </w:rPr>
              <w:t>Si, au cours des deux derniers ravitaillements, le véhicule a été approvisionné en carburant en dehors d</w:t>
            </w:r>
            <w:r>
              <w:rPr>
                <w:i/>
                <w:iCs/>
                <w:sz w:val="18"/>
                <w:szCs w:val="18"/>
                <w:lang w:val="fr-FR"/>
              </w:rPr>
              <w:t>’</w:t>
            </w:r>
            <w:r w:rsidRPr="00440C76">
              <w:rPr>
                <w:i/>
                <w:iCs/>
                <w:sz w:val="18"/>
                <w:szCs w:val="18"/>
                <w:lang w:val="fr-FR"/>
              </w:rPr>
              <w:t>un pays appliquant les normes de carburant, le véhicule ne peut pas être sélectionné</w:t>
            </w:r>
            <w:r>
              <w:rPr>
                <w:i/>
                <w:iCs/>
                <w:sz w:val="18"/>
                <w:szCs w:val="18"/>
                <w:lang w:val="fr-FR"/>
              </w:rPr>
              <w:t>.</w:t>
            </w:r>
          </w:p>
        </w:tc>
        <w:tc>
          <w:tcPr>
            <w:tcW w:w="1114" w:type="dxa"/>
            <w:tcMar>
              <w:left w:w="0" w:type="dxa"/>
              <w:right w:w="0" w:type="dxa"/>
            </w:tcMar>
          </w:tcPr>
          <w:p w14:paraId="1DD3DA07"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x</w:t>
            </w:r>
          </w:p>
        </w:tc>
        <w:tc>
          <w:tcPr>
            <w:tcW w:w="1300" w:type="dxa"/>
            <w:tcMar>
              <w:left w:w="0" w:type="dxa"/>
              <w:right w:w="0" w:type="dxa"/>
            </w:tcMar>
          </w:tcPr>
          <w:p w14:paraId="636001D4" w14:textId="77777777" w:rsidR="00BE2CA7" w:rsidRPr="00440C76" w:rsidRDefault="00BE2CA7" w:rsidP="002B0590">
            <w:pPr>
              <w:spacing w:before="60" w:after="60" w:line="220" w:lineRule="atLeast"/>
              <w:ind w:left="57" w:right="57"/>
              <w:rPr>
                <w:i/>
                <w:iCs/>
                <w:sz w:val="18"/>
                <w:szCs w:val="18"/>
                <w:lang w:val="fr-FR"/>
              </w:rPr>
            </w:pPr>
          </w:p>
        </w:tc>
        <w:tc>
          <w:tcPr>
            <w:tcW w:w="1579" w:type="dxa"/>
            <w:tcMar>
              <w:left w:w="0" w:type="dxa"/>
              <w:right w:w="0" w:type="dxa"/>
            </w:tcMar>
          </w:tcPr>
          <w:p w14:paraId="75330033" w14:textId="77777777" w:rsidR="00BE2CA7" w:rsidRPr="00440C76" w:rsidRDefault="00BE2CA7" w:rsidP="002B0590">
            <w:pPr>
              <w:spacing w:before="60" w:after="60" w:line="220" w:lineRule="atLeast"/>
              <w:ind w:left="57" w:right="57"/>
              <w:rPr>
                <w:i/>
                <w:iCs/>
                <w:sz w:val="18"/>
                <w:szCs w:val="18"/>
                <w:lang w:val="fr-FR"/>
              </w:rPr>
            </w:pPr>
          </w:p>
        </w:tc>
      </w:tr>
      <w:tr w:rsidR="00BE2CA7" w:rsidRPr="00440C76" w14:paraId="34E498FD" w14:textId="77777777" w:rsidTr="002B0590">
        <w:tc>
          <w:tcPr>
            <w:tcW w:w="5293" w:type="dxa"/>
            <w:gridSpan w:val="2"/>
            <w:tcMar>
              <w:left w:w="0" w:type="dxa"/>
              <w:right w:w="0" w:type="dxa"/>
            </w:tcMar>
          </w:tcPr>
          <w:p w14:paraId="2A25F87C"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Un additif pour carburant, non approuvé par le constructeur, a-t-il été utilisé ?</w:t>
            </w:r>
          </w:p>
          <w:p w14:paraId="0DBA6AA4" w14:textId="77777777" w:rsidR="00BE2CA7" w:rsidRPr="00440C76" w:rsidRDefault="00BE2CA7" w:rsidP="002B0590">
            <w:pPr>
              <w:spacing w:before="60" w:after="60" w:line="220" w:lineRule="atLeast"/>
              <w:ind w:left="57" w:right="57"/>
              <w:rPr>
                <w:sz w:val="18"/>
                <w:szCs w:val="18"/>
                <w:lang w:val="fr-FR"/>
              </w:rPr>
            </w:pPr>
            <w:r w:rsidRPr="00440C76">
              <w:rPr>
                <w:i/>
                <w:iCs/>
                <w:sz w:val="18"/>
                <w:szCs w:val="18"/>
                <w:lang w:val="fr-FR"/>
              </w:rPr>
              <w:t>Dans l</w:t>
            </w:r>
            <w:r>
              <w:rPr>
                <w:i/>
                <w:iCs/>
                <w:sz w:val="18"/>
                <w:szCs w:val="18"/>
                <w:lang w:val="fr-FR"/>
              </w:rPr>
              <w:t>’</w:t>
            </w:r>
            <w:r w:rsidRPr="00440C76">
              <w:rPr>
                <w:i/>
                <w:iCs/>
                <w:sz w:val="18"/>
                <w:szCs w:val="18"/>
                <w:lang w:val="fr-FR"/>
              </w:rPr>
              <w:t>affirmative, le véhicule ne peut pas être sélectionné</w:t>
            </w:r>
            <w:r>
              <w:rPr>
                <w:i/>
                <w:iCs/>
                <w:sz w:val="18"/>
                <w:szCs w:val="18"/>
                <w:lang w:val="fr-FR"/>
              </w:rPr>
              <w:t>.</w:t>
            </w:r>
          </w:p>
        </w:tc>
        <w:tc>
          <w:tcPr>
            <w:tcW w:w="1114" w:type="dxa"/>
            <w:tcMar>
              <w:left w:w="0" w:type="dxa"/>
              <w:right w:w="0" w:type="dxa"/>
            </w:tcMar>
          </w:tcPr>
          <w:p w14:paraId="4399D4E5"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x</w:t>
            </w:r>
          </w:p>
        </w:tc>
        <w:tc>
          <w:tcPr>
            <w:tcW w:w="1300" w:type="dxa"/>
            <w:tcMar>
              <w:left w:w="0" w:type="dxa"/>
              <w:right w:w="0" w:type="dxa"/>
            </w:tcMar>
          </w:tcPr>
          <w:p w14:paraId="7F891B52" w14:textId="77777777" w:rsidR="00BE2CA7" w:rsidRPr="00440C76" w:rsidRDefault="00BE2CA7" w:rsidP="002B0590">
            <w:pPr>
              <w:spacing w:before="60" w:after="60" w:line="220" w:lineRule="atLeast"/>
              <w:ind w:left="57" w:right="57"/>
              <w:rPr>
                <w:i/>
                <w:iCs/>
                <w:sz w:val="18"/>
                <w:szCs w:val="18"/>
                <w:lang w:val="fr-FR"/>
              </w:rPr>
            </w:pPr>
          </w:p>
        </w:tc>
        <w:tc>
          <w:tcPr>
            <w:tcW w:w="1579" w:type="dxa"/>
            <w:tcMar>
              <w:left w:w="0" w:type="dxa"/>
              <w:right w:w="0" w:type="dxa"/>
            </w:tcMar>
          </w:tcPr>
          <w:p w14:paraId="49EA1997" w14:textId="77777777" w:rsidR="00BE2CA7" w:rsidRPr="00440C76" w:rsidRDefault="00BE2CA7" w:rsidP="002B0590">
            <w:pPr>
              <w:spacing w:before="60" w:after="60" w:line="220" w:lineRule="atLeast"/>
              <w:ind w:left="57" w:right="57"/>
              <w:rPr>
                <w:i/>
                <w:iCs/>
                <w:sz w:val="18"/>
                <w:szCs w:val="18"/>
                <w:lang w:val="fr-FR"/>
              </w:rPr>
            </w:pPr>
          </w:p>
        </w:tc>
      </w:tr>
      <w:tr w:rsidR="00BE2CA7" w:rsidRPr="00440C76" w14:paraId="286CC3EF" w14:textId="77777777" w:rsidTr="002B0590">
        <w:tc>
          <w:tcPr>
            <w:tcW w:w="5293" w:type="dxa"/>
            <w:gridSpan w:val="2"/>
            <w:tcMar>
              <w:left w:w="0" w:type="dxa"/>
              <w:right w:w="0" w:type="dxa"/>
            </w:tcMar>
          </w:tcPr>
          <w:p w14:paraId="40CDE14D"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Le véhicule a-t-il été entretenu et utilisé conformément aux instructions du constructeur ?</w:t>
            </w:r>
          </w:p>
          <w:p w14:paraId="35491413" w14:textId="77777777" w:rsidR="00BE2CA7" w:rsidRPr="00440C76" w:rsidRDefault="00BE2CA7" w:rsidP="002B0590">
            <w:pPr>
              <w:spacing w:before="60" w:after="60" w:line="220" w:lineRule="atLeast"/>
              <w:ind w:left="57" w:right="57"/>
              <w:rPr>
                <w:sz w:val="18"/>
                <w:szCs w:val="18"/>
                <w:lang w:val="fr-FR"/>
              </w:rPr>
            </w:pPr>
            <w:r w:rsidRPr="00440C76">
              <w:rPr>
                <w:i/>
                <w:iCs/>
                <w:sz w:val="18"/>
                <w:szCs w:val="18"/>
                <w:lang w:val="fr-FR"/>
              </w:rPr>
              <w:t>Si tel n</w:t>
            </w:r>
            <w:r>
              <w:rPr>
                <w:i/>
                <w:iCs/>
                <w:sz w:val="18"/>
                <w:szCs w:val="18"/>
                <w:lang w:val="fr-FR"/>
              </w:rPr>
              <w:t>’</w:t>
            </w:r>
            <w:r w:rsidRPr="00440C76">
              <w:rPr>
                <w:i/>
                <w:iCs/>
                <w:sz w:val="18"/>
                <w:szCs w:val="18"/>
                <w:lang w:val="fr-FR"/>
              </w:rPr>
              <w:t>est pas le cas, le véhicule ne peut pas être sélectionné</w:t>
            </w:r>
            <w:r>
              <w:rPr>
                <w:i/>
                <w:iCs/>
                <w:sz w:val="18"/>
                <w:szCs w:val="18"/>
                <w:lang w:val="fr-FR"/>
              </w:rPr>
              <w:t>.</w:t>
            </w:r>
          </w:p>
        </w:tc>
        <w:tc>
          <w:tcPr>
            <w:tcW w:w="1114" w:type="dxa"/>
            <w:tcMar>
              <w:left w:w="0" w:type="dxa"/>
              <w:right w:w="0" w:type="dxa"/>
            </w:tcMar>
          </w:tcPr>
          <w:p w14:paraId="4F93F338"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x</w:t>
            </w:r>
          </w:p>
        </w:tc>
        <w:tc>
          <w:tcPr>
            <w:tcW w:w="1300" w:type="dxa"/>
            <w:tcMar>
              <w:left w:w="0" w:type="dxa"/>
              <w:right w:w="0" w:type="dxa"/>
            </w:tcMar>
          </w:tcPr>
          <w:p w14:paraId="79E68EC5" w14:textId="77777777" w:rsidR="00BE2CA7" w:rsidRPr="00440C76" w:rsidRDefault="00BE2CA7" w:rsidP="002B0590">
            <w:pPr>
              <w:spacing w:before="60" w:after="60" w:line="220" w:lineRule="atLeast"/>
              <w:ind w:left="57" w:right="57"/>
              <w:rPr>
                <w:i/>
                <w:iCs/>
                <w:sz w:val="18"/>
                <w:szCs w:val="18"/>
                <w:lang w:val="fr-FR"/>
              </w:rPr>
            </w:pPr>
          </w:p>
        </w:tc>
        <w:tc>
          <w:tcPr>
            <w:tcW w:w="1579" w:type="dxa"/>
            <w:tcMar>
              <w:left w:w="0" w:type="dxa"/>
              <w:right w:w="0" w:type="dxa"/>
            </w:tcMar>
          </w:tcPr>
          <w:p w14:paraId="1D001D32" w14:textId="77777777" w:rsidR="00BE2CA7" w:rsidRPr="00440C76" w:rsidRDefault="00BE2CA7" w:rsidP="002B0590">
            <w:pPr>
              <w:spacing w:before="60" w:after="60" w:line="220" w:lineRule="atLeast"/>
              <w:ind w:left="57" w:right="57"/>
              <w:rPr>
                <w:i/>
                <w:iCs/>
                <w:sz w:val="18"/>
                <w:szCs w:val="18"/>
                <w:lang w:val="fr-FR"/>
              </w:rPr>
            </w:pPr>
          </w:p>
        </w:tc>
      </w:tr>
      <w:tr w:rsidR="00BE2CA7" w:rsidRPr="00440C76" w14:paraId="3EA3E59E" w14:textId="77777777" w:rsidTr="002B0590">
        <w:tc>
          <w:tcPr>
            <w:tcW w:w="5293" w:type="dxa"/>
            <w:gridSpan w:val="2"/>
            <w:tcMar>
              <w:left w:w="0" w:type="dxa"/>
              <w:right w:w="0" w:type="dxa"/>
            </w:tcMar>
          </w:tcPr>
          <w:p w14:paraId="6FA56736"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Historique d</w:t>
            </w:r>
            <w:r>
              <w:rPr>
                <w:i/>
                <w:iCs/>
                <w:sz w:val="18"/>
                <w:szCs w:val="18"/>
                <w:lang w:val="fr-FR"/>
              </w:rPr>
              <w:t>’</w:t>
            </w:r>
            <w:r w:rsidRPr="00440C76">
              <w:rPr>
                <w:i/>
                <w:iCs/>
                <w:sz w:val="18"/>
                <w:szCs w:val="18"/>
                <w:lang w:val="fr-FR"/>
              </w:rPr>
              <w:t>entretien et de réparation complet, y compris les retours à l</w:t>
            </w:r>
            <w:r>
              <w:rPr>
                <w:i/>
                <w:iCs/>
                <w:sz w:val="18"/>
                <w:szCs w:val="18"/>
                <w:lang w:val="fr-FR"/>
              </w:rPr>
              <w:t>’</w:t>
            </w:r>
            <w:r w:rsidRPr="00440C76">
              <w:rPr>
                <w:i/>
                <w:iCs/>
                <w:sz w:val="18"/>
                <w:szCs w:val="18"/>
                <w:lang w:val="fr-FR"/>
              </w:rPr>
              <w:t>atelier</w:t>
            </w:r>
          </w:p>
          <w:p w14:paraId="37757615" w14:textId="77777777" w:rsidR="00BE2CA7" w:rsidRPr="00440C76" w:rsidRDefault="00BE2CA7" w:rsidP="002B0590">
            <w:pPr>
              <w:spacing w:before="60" w:after="60" w:line="220" w:lineRule="atLeast"/>
              <w:ind w:left="57" w:right="57"/>
              <w:rPr>
                <w:sz w:val="18"/>
                <w:szCs w:val="18"/>
                <w:lang w:val="fr-FR"/>
              </w:rPr>
            </w:pPr>
            <w:r w:rsidRPr="00440C76">
              <w:rPr>
                <w:i/>
                <w:iCs/>
                <w:sz w:val="18"/>
                <w:szCs w:val="18"/>
                <w:lang w:val="fr-FR"/>
              </w:rPr>
              <w:t>Si la documentation complète ne peut pas être fournie, le véhicule ne peut pas être sélectionné.</w:t>
            </w:r>
          </w:p>
        </w:tc>
        <w:tc>
          <w:tcPr>
            <w:tcW w:w="1114" w:type="dxa"/>
            <w:tcMar>
              <w:left w:w="0" w:type="dxa"/>
              <w:right w:w="0" w:type="dxa"/>
            </w:tcMar>
          </w:tcPr>
          <w:p w14:paraId="303FDA06"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x</w:t>
            </w:r>
          </w:p>
        </w:tc>
        <w:tc>
          <w:tcPr>
            <w:tcW w:w="1300" w:type="dxa"/>
            <w:tcMar>
              <w:left w:w="0" w:type="dxa"/>
              <w:right w:w="0" w:type="dxa"/>
            </w:tcMar>
          </w:tcPr>
          <w:p w14:paraId="1C9BDC38" w14:textId="77777777" w:rsidR="00BE2CA7" w:rsidRPr="00440C76" w:rsidRDefault="00BE2CA7" w:rsidP="002B0590">
            <w:pPr>
              <w:spacing w:before="60" w:after="60" w:line="220" w:lineRule="atLeast"/>
              <w:ind w:left="57" w:right="57"/>
              <w:rPr>
                <w:i/>
                <w:iCs/>
                <w:sz w:val="18"/>
                <w:szCs w:val="18"/>
                <w:lang w:val="fr-FR"/>
              </w:rPr>
            </w:pPr>
          </w:p>
        </w:tc>
        <w:tc>
          <w:tcPr>
            <w:tcW w:w="1579" w:type="dxa"/>
            <w:tcMar>
              <w:left w:w="0" w:type="dxa"/>
              <w:right w:w="0" w:type="dxa"/>
            </w:tcMar>
          </w:tcPr>
          <w:p w14:paraId="225C0120" w14:textId="77777777" w:rsidR="00BE2CA7" w:rsidRPr="00440C76" w:rsidRDefault="00BE2CA7" w:rsidP="002B0590">
            <w:pPr>
              <w:spacing w:before="60" w:after="60" w:line="220" w:lineRule="atLeast"/>
              <w:ind w:left="57" w:right="57"/>
              <w:rPr>
                <w:i/>
                <w:iCs/>
                <w:sz w:val="18"/>
                <w:szCs w:val="18"/>
                <w:lang w:val="fr-FR"/>
              </w:rPr>
            </w:pPr>
          </w:p>
        </w:tc>
      </w:tr>
      <w:tr w:rsidR="00BE2CA7" w:rsidRPr="00440C76" w14:paraId="7BBC6470" w14:textId="77777777" w:rsidTr="002B0590">
        <w:tc>
          <w:tcPr>
            <w:tcW w:w="848" w:type="dxa"/>
            <w:tcMar>
              <w:left w:w="0" w:type="dxa"/>
              <w:right w:w="0" w:type="dxa"/>
            </w:tcMar>
          </w:tcPr>
          <w:p w14:paraId="30ACB2B2" w14:textId="77777777" w:rsidR="00BE2CA7" w:rsidRPr="00440C76" w:rsidRDefault="00BE2CA7" w:rsidP="002B0590">
            <w:pPr>
              <w:spacing w:before="60" w:after="60" w:line="220" w:lineRule="atLeast"/>
              <w:ind w:left="57" w:right="57"/>
              <w:rPr>
                <w:sz w:val="18"/>
                <w:szCs w:val="18"/>
                <w:lang w:val="fr-FR"/>
              </w:rPr>
            </w:pPr>
          </w:p>
        </w:tc>
        <w:tc>
          <w:tcPr>
            <w:tcW w:w="4445" w:type="dxa"/>
            <w:tcMar>
              <w:left w:w="0" w:type="dxa"/>
              <w:right w:w="0" w:type="dxa"/>
            </w:tcMar>
          </w:tcPr>
          <w:p w14:paraId="6C501766" w14:textId="77777777" w:rsidR="00BE2CA7" w:rsidRPr="00440C76" w:rsidRDefault="00BE2CA7" w:rsidP="002B0590">
            <w:pPr>
              <w:spacing w:before="60" w:after="60" w:line="220" w:lineRule="atLeast"/>
              <w:ind w:left="57" w:right="57"/>
              <w:rPr>
                <w:sz w:val="18"/>
                <w:szCs w:val="18"/>
                <w:lang w:val="fr-FR"/>
              </w:rPr>
            </w:pPr>
          </w:p>
        </w:tc>
        <w:tc>
          <w:tcPr>
            <w:tcW w:w="1114" w:type="dxa"/>
            <w:tcMar>
              <w:left w:w="0" w:type="dxa"/>
              <w:right w:w="0" w:type="dxa"/>
            </w:tcMar>
          </w:tcPr>
          <w:p w14:paraId="579EA1DC" w14:textId="77777777" w:rsidR="00BE2CA7" w:rsidRPr="00440C76" w:rsidRDefault="00BE2CA7" w:rsidP="002B0590">
            <w:pPr>
              <w:spacing w:before="60" w:after="60" w:line="220" w:lineRule="atLeast"/>
              <w:ind w:left="57" w:right="57"/>
              <w:rPr>
                <w:i/>
                <w:iCs/>
                <w:sz w:val="18"/>
                <w:szCs w:val="18"/>
                <w:lang w:val="fr-FR"/>
              </w:rPr>
            </w:pPr>
          </w:p>
        </w:tc>
        <w:tc>
          <w:tcPr>
            <w:tcW w:w="1300" w:type="dxa"/>
            <w:tcMar>
              <w:left w:w="0" w:type="dxa"/>
              <w:right w:w="0" w:type="dxa"/>
            </w:tcMar>
          </w:tcPr>
          <w:p w14:paraId="7BB44DDC" w14:textId="77777777" w:rsidR="00BE2CA7" w:rsidRPr="00440C76" w:rsidRDefault="00BE2CA7" w:rsidP="002B0590">
            <w:pPr>
              <w:spacing w:before="60" w:after="60" w:line="220" w:lineRule="atLeast"/>
              <w:ind w:left="57" w:right="57"/>
              <w:rPr>
                <w:i/>
                <w:iCs/>
                <w:sz w:val="18"/>
                <w:szCs w:val="18"/>
                <w:lang w:val="fr-FR"/>
              </w:rPr>
            </w:pPr>
          </w:p>
        </w:tc>
        <w:tc>
          <w:tcPr>
            <w:tcW w:w="1579" w:type="dxa"/>
            <w:tcMar>
              <w:left w:w="0" w:type="dxa"/>
              <w:right w:w="0" w:type="dxa"/>
            </w:tcMar>
          </w:tcPr>
          <w:p w14:paraId="4F1BE210" w14:textId="77777777" w:rsidR="00BE2CA7" w:rsidRPr="00440C76" w:rsidRDefault="00BE2CA7" w:rsidP="002B0590">
            <w:pPr>
              <w:spacing w:before="60" w:after="60" w:line="220" w:lineRule="atLeast"/>
              <w:ind w:left="57" w:right="57"/>
              <w:rPr>
                <w:i/>
                <w:iCs/>
                <w:sz w:val="18"/>
                <w:szCs w:val="18"/>
                <w:lang w:val="fr-FR"/>
              </w:rPr>
            </w:pPr>
          </w:p>
        </w:tc>
      </w:tr>
      <w:tr w:rsidR="00BE2CA7" w:rsidRPr="00440C76" w14:paraId="5331DB9E" w14:textId="77777777" w:rsidTr="002B0590">
        <w:tc>
          <w:tcPr>
            <w:tcW w:w="848" w:type="dxa"/>
            <w:tcMar>
              <w:left w:w="0" w:type="dxa"/>
              <w:right w:w="0" w:type="dxa"/>
            </w:tcMar>
          </w:tcPr>
          <w:p w14:paraId="05661AB9" w14:textId="77777777" w:rsidR="00BE2CA7" w:rsidRPr="00440C76" w:rsidRDefault="00BE2CA7" w:rsidP="002B0590">
            <w:pPr>
              <w:spacing w:before="60" w:after="60" w:line="220" w:lineRule="atLeast"/>
              <w:ind w:left="57" w:right="57"/>
              <w:rPr>
                <w:sz w:val="18"/>
                <w:szCs w:val="18"/>
                <w:lang w:val="fr-FR"/>
              </w:rPr>
            </w:pPr>
          </w:p>
        </w:tc>
        <w:tc>
          <w:tcPr>
            <w:tcW w:w="4445" w:type="dxa"/>
            <w:tcMar>
              <w:left w:w="0" w:type="dxa"/>
              <w:right w:w="0" w:type="dxa"/>
            </w:tcMar>
          </w:tcPr>
          <w:p w14:paraId="391BCC67" w14:textId="77777777" w:rsidR="00BE2CA7" w:rsidRPr="00440C76" w:rsidRDefault="00BE2CA7" w:rsidP="002B0590">
            <w:pPr>
              <w:spacing w:before="60" w:after="60" w:line="220" w:lineRule="atLeast"/>
              <w:ind w:left="57" w:right="57"/>
              <w:rPr>
                <w:sz w:val="18"/>
                <w:szCs w:val="18"/>
                <w:lang w:val="fr-FR"/>
              </w:rPr>
            </w:pPr>
            <w:r w:rsidRPr="00440C76">
              <w:rPr>
                <w:i/>
                <w:iCs/>
                <w:sz w:val="18"/>
                <w:szCs w:val="18"/>
                <w:lang w:val="fr-FR"/>
              </w:rPr>
              <w:t>Examen et entretien du véhicule</w:t>
            </w:r>
          </w:p>
        </w:tc>
        <w:tc>
          <w:tcPr>
            <w:tcW w:w="2414" w:type="dxa"/>
            <w:gridSpan w:val="2"/>
            <w:tcMar>
              <w:left w:w="0" w:type="dxa"/>
              <w:right w:w="0" w:type="dxa"/>
            </w:tcMar>
          </w:tcPr>
          <w:p w14:paraId="7A7D50CC"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x = critères d</w:t>
            </w:r>
            <w:r>
              <w:rPr>
                <w:i/>
                <w:iCs/>
                <w:sz w:val="18"/>
                <w:szCs w:val="18"/>
                <w:lang w:val="fr-FR"/>
              </w:rPr>
              <w:t>’</w:t>
            </w:r>
            <w:r w:rsidRPr="00440C76">
              <w:rPr>
                <w:i/>
                <w:iCs/>
                <w:sz w:val="18"/>
                <w:szCs w:val="18"/>
                <w:lang w:val="fr-FR"/>
              </w:rPr>
              <w:t>exclusion/</w:t>
            </w:r>
            <w:r w:rsidRPr="00440C76">
              <w:rPr>
                <w:i/>
                <w:iCs/>
                <w:sz w:val="18"/>
                <w:szCs w:val="18"/>
                <w:lang w:val="fr-FR"/>
              </w:rPr>
              <w:br/>
              <w:t>F = véhicule défectueux</w:t>
            </w:r>
          </w:p>
        </w:tc>
        <w:tc>
          <w:tcPr>
            <w:tcW w:w="1579" w:type="dxa"/>
            <w:tcMar>
              <w:left w:w="0" w:type="dxa"/>
              <w:right w:w="0" w:type="dxa"/>
            </w:tcMar>
          </w:tcPr>
          <w:p w14:paraId="3491A9F5"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x = vérifié et consigné</w:t>
            </w:r>
          </w:p>
        </w:tc>
      </w:tr>
      <w:tr w:rsidR="00BE2CA7" w:rsidRPr="00440C76" w14:paraId="764CD447" w14:textId="77777777" w:rsidTr="002B0590">
        <w:tc>
          <w:tcPr>
            <w:tcW w:w="848" w:type="dxa"/>
            <w:tcMar>
              <w:left w:w="0" w:type="dxa"/>
              <w:right w:w="0" w:type="dxa"/>
            </w:tcMar>
          </w:tcPr>
          <w:p w14:paraId="3AC31E68" w14:textId="77777777" w:rsidR="00BE2CA7" w:rsidRPr="00440C76" w:rsidRDefault="00BE2CA7" w:rsidP="002B0590">
            <w:pPr>
              <w:spacing w:before="60" w:after="60" w:line="220" w:lineRule="atLeast"/>
              <w:ind w:left="57" w:right="57"/>
              <w:rPr>
                <w:sz w:val="18"/>
                <w:szCs w:val="18"/>
                <w:lang w:val="fr-FR"/>
              </w:rPr>
            </w:pPr>
          </w:p>
        </w:tc>
        <w:tc>
          <w:tcPr>
            <w:tcW w:w="4445" w:type="dxa"/>
            <w:tcMar>
              <w:left w:w="0" w:type="dxa"/>
              <w:right w:w="0" w:type="dxa"/>
            </w:tcMar>
          </w:tcPr>
          <w:p w14:paraId="6A7245BC" w14:textId="77777777" w:rsidR="00BE2CA7" w:rsidRPr="00440C76" w:rsidRDefault="00BE2CA7" w:rsidP="002B0590">
            <w:pPr>
              <w:spacing w:before="60" w:after="60" w:line="220" w:lineRule="atLeast"/>
              <w:ind w:left="57" w:right="57"/>
              <w:rPr>
                <w:sz w:val="18"/>
                <w:szCs w:val="18"/>
                <w:lang w:val="fr-FR"/>
              </w:rPr>
            </w:pPr>
          </w:p>
        </w:tc>
        <w:tc>
          <w:tcPr>
            <w:tcW w:w="1114" w:type="dxa"/>
            <w:tcMar>
              <w:left w:w="0" w:type="dxa"/>
              <w:right w:w="0" w:type="dxa"/>
            </w:tcMar>
          </w:tcPr>
          <w:p w14:paraId="3CEA21DA" w14:textId="77777777" w:rsidR="00BE2CA7" w:rsidRPr="00440C76" w:rsidRDefault="00BE2CA7" w:rsidP="002B0590">
            <w:pPr>
              <w:spacing w:before="60" w:after="60" w:line="220" w:lineRule="atLeast"/>
              <w:ind w:left="57" w:right="57"/>
              <w:rPr>
                <w:i/>
                <w:iCs/>
                <w:sz w:val="18"/>
                <w:szCs w:val="18"/>
                <w:lang w:val="fr-FR"/>
              </w:rPr>
            </w:pPr>
          </w:p>
        </w:tc>
        <w:tc>
          <w:tcPr>
            <w:tcW w:w="1300" w:type="dxa"/>
            <w:tcMar>
              <w:left w:w="0" w:type="dxa"/>
              <w:right w:w="0" w:type="dxa"/>
            </w:tcMar>
          </w:tcPr>
          <w:p w14:paraId="7D2178E4" w14:textId="77777777" w:rsidR="00BE2CA7" w:rsidRPr="00440C76" w:rsidRDefault="00BE2CA7" w:rsidP="002B0590">
            <w:pPr>
              <w:spacing w:before="60" w:after="60" w:line="220" w:lineRule="atLeast"/>
              <w:ind w:left="57" w:right="57"/>
              <w:rPr>
                <w:i/>
                <w:iCs/>
                <w:sz w:val="18"/>
                <w:szCs w:val="18"/>
                <w:lang w:val="fr-FR"/>
              </w:rPr>
            </w:pPr>
          </w:p>
        </w:tc>
        <w:tc>
          <w:tcPr>
            <w:tcW w:w="1579" w:type="dxa"/>
            <w:tcMar>
              <w:left w:w="0" w:type="dxa"/>
              <w:right w:w="0" w:type="dxa"/>
            </w:tcMar>
          </w:tcPr>
          <w:p w14:paraId="0827B4B9" w14:textId="77777777" w:rsidR="00BE2CA7" w:rsidRPr="00440C76" w:rsidRDefault="00BE2CA7" w:rsidP="002B0590">
            <w:pPr>
              <w:spacing w:before="60" w:after="60" w:line="220" w:lineRule="atLeast"/>
              <w:ind w:left="57" w:right="57"/>
              <w:rPr>
                <w:i/>
                <w:iCs/>
                <w:sz w:val="18"/>
                <w:szCs w:val="18"/>
                <w:lang w:val="fr-FR"/>
              </w:rPr>
            </w:pPr>
          </w:p>
        </w:tc>
      </w:tr>
      <w:tr w:rsidR="00BE2CA7" w:rsidRPr="00440C76" w14:paraId="280DEA09" w14:textId="77777777" w:rsidTr="002B0590">
        <w:tc>
          <w:tcPr>
            <w:tcW w:w="848" w:type="dxa"/>
            <w:tcMar>
              <w:left w:w="0" w:type="dxa"/>
              <w:right w:w="0" w:type="dxa"/>
            </w:tcMar>
          </w:tcPr>
          <w:p w14:paraId="7C789509" w14:textId="77777777" w:rsidR="00BE2CA7" w:rsidRPr="00440C76" w:rsidRDefault="00BE2CA7" w:rsidP="002B0590">
            <w:pPr>
              <w:spacing w:before="60" w:after="60" w:line="220" w:lineRule="atLeast"/>
              <w:ind w:left="57" w:right="57"/>
              <w:rPr>
                <w:sz w:val="18"/>
                <w:szCs w:val="18"/>
                <w:lang w:val="fr-FR"/>
              </w:rPr>
            </w:pPr>
            <w:r w:rsidRPr="00440C76">
              <w:rPr>
                <w:sz w:val="18"/>
                <w:szCs w:val="18"/>
                <w:lang w:val="fr-FR"/>
              </w:rPr>
              <w:t>1</w:t>
            </w:r>
          </w:p>
        </w:tc>
        <w:tc>
          <w:tcPr>
            <w:tcW w:w="4445" w:type="dxa"/>
            <w:tcMar>
              <w:left w:w="0" w:type="dxa"/>
              <w:right w:w="0" w:type="dxa"/>
            </w:tcMar>
          </w:tcPr>
          <w:p w14:paraId="38FA742E"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 xml:space="preserve">Niveau du réservoir de carburant (plein/vide) </w:t>
            </w:r>
          </w:p>
          <w:p w14:paraId="7B47D090" w14:textId="77777777" w:rsidR="00BE2CA7" w:rsidRPr="00440C76" w:rsidRDefault="00BE2CA7" w:rsidP="002B0590">
            <w:pPr>
              <w:spacing w:before="60" w:after="60" w:line="220" w:lineRule="atLeast"/>
              <w:ind w:left="57" w:right="57"/>
              <w:rPr>
                <w:sz w:val="18"/>
                <w:szCs w:val="18"/>
                <w:lang w:val="fr-FR"/>
              </w:rPr>
            </w:pPr>
            <w:r w:rsidRPr="00440C76">
              <w:rPr>
                <w:sz w:val="18"/>
                <w:szCs w:val="18"/>
                <w:lang w:val="fr-FR"/>
              </w:rPr>
              <w:t xml:space="preserve">Le témoin de réserve de carburant est-il allumé ? </w:t>
            </w:r>
            <w:r w:rsidRPr="00440C76">
              <w:rPr>
                <w:i/>
                <w:iCs/>
                <w:sz w:val="18"/>
                <w:szCs w:val="18"/>
                <w:lang w:val="fr-FR"/>
              </w:rPr>
              <w:t>Dans l</w:t>
            </w:r>
            <w:r>
              <w:rPr>
                <w:i/>
                <w:iCs/>
                <w:sz w:val="18"/>
                <w:szCs w:val="18"/>
                <w:lang w:val="fr-FR"/>
              </w:rPr>
              <w:t>’</w:t>
            </w:r>
            <w:r w:rsidRPr="00440C76">
              <w:rPr>
                <w:i/>
                <w:iCs/>
                <w:sz w:val="18"/>
                <w:szCs w:val="18"/>
                <w:lang w:val="fr-FR"/>
              </w:rPr>
              <w:t>affirmative, réapprovisionner avant l</w:t>
            </w:r>
            <w:r>
              <w:rPr>
                <w:i/>
                <w:iCs/>
                <w:sz w:val="18"/>
                <w:szCs w:val="18"/>
                <w:lang w:val="fr-FR"/>
              </w:rPr>
              <w:t>’</w:t>
            </w:r>
            <w:r w:rsidRPr="00440C76">
              <w:rPr>
                <w:i/>
                <w:iCs/>
                <w:sz w:val="18"/>
                <w:szCs w:val="18"/>
                <w:lang w:val="fr-FR"/>
              </w:rPr>
              <w:t>essai.</w:t>
            </w:r>
          </w:p>
        </w:tc>
        <w:tc>
          <w:tcPr>
            <w:tcW w:w="1114" w:type="dxa"/>
            <w:tcMar>
              <w:left w:w="0" w:type="dxa"/>
              <w:right w:w="0" w:type="dxa"/>
            </w:tcMar>
          </w:tcPr>
          <w:p w14:paraId="0D192BF0" w14:textId="77777777" w:rsidR="00BE2CA7" w:rsidRPr="00440C76" w:rsidRDefault="00BE2CA7" w:rsidP="002B0590">
            <w:pPr>
              <w:spacing w:before="60" w:after="60" w:line="220" w:lineRule="atLeast"/>
              <w:ind w:left="57" w:right="57"/>
              <w:rPr>
                <w:i/>
                <w:iCs/>
                <w:sz w:val="18"/>
                <w:szCs w:val="18"/>
                <w:lang w:val="fr-FR"/>
              </w:rPr>
            </w:pPr>
          </w:p>
        </w:tc>
        <w:tc>
          <w:tcPr>
            <w:tcW w:w="1300" w:type="dxa"/>
            <w:tcMar>
              <w:left w:w="0" w:type="dxa"/>
              <w:right w:w="0" w:type="dxa"/>
            </w:tcMar>
          </w:tcPr>
          <w:p w14:paraId="19B740F9" w14:textId="77777777" w:rsidR="00BE2CA7" w:rsidRPr="00440C76" w:rsidRDefault="00BE2CA7" w:rsidP="002B0590">
            <w:pPr>
              <w:spacing w:before="60" w:after="60" w:line="220" w:lineRule="atLeast"/>
              <w:ind w:left="57" w:right="57"/>
              <w:rPr>
                <w:i/>
                <w:iCs/>
                <w:sz w:val="18"/>
                <w:szCs w:val="18"/>
                <w:lang w:val="fr-FR"/>
              </w:rPr>
            </w:pPr>
          </w:p>
        </w:tc>
        <w:tc>
          <w:tcPr>
            <w:tcW w:w="1579" w:type="dxa"/>
            <w:tcMar>
              <w:left w:w="0" w:type="dxa"/>
              <w:right w:w="0" w:type="dxa"/>
            </w:tcMar>
          </w:tcPr>
          <w:p w14:paraId="26445F6F"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x</w:t>
            </w:r>
          </w:p>
        </w:tc>
      </w:tr>
      <w:tr w:rsidR="00BE2CA7" w:rsidRPr="00440C76" w14:paraId="687967CA" w14:textId="77777777" w:rsidTr="002B0590">
        <w:tc>
          <w:tcPr>
            <w:tcW w:w="848" w:type="dxa"/>
            <w:tcMar>
              <w:left w:w="0" w:type="dxa"/>
              <w:right w:w="0" w:type="dxa"/>
            </w:tcMar>
          </w:tcPr>
          <w:p w14:paraId="38D82466" w14:textId="77777777" w:rsidR="00BE2CA7" w:rsidRPr="00440C76" w:rsidRDefault="00BE2CA7" w:rsidP="002B0590">
            <w:pPr>
              <w:keepNext/>
              <w:spacing w:before="60" w:after="60" w:line="220" w:lineRule="atLeast"/>
              <w:ind w:left="57" w:right="57"/>
              <w:rPr>
                <w:sz w:val="18"/>
                <w:szCs w:val="18"/>
                <w:lang w:val="fr-FR"/>
              </w:rPr>
            </w:pPr>
            <w:r w:rsidRPr="00440C76">
              <w:rPr>
                <w:sz w:val="18"/>
                <w:szCs w:val="18"/>
                <w:lang w:val="fr-FR"/>
              </w:rPr>
              <w:lastRenderedPageBreak/>
              <w:t>2</w:t>
            </w:r>
          </w:p>
        </w:tc>
        <w:tc>
          <w:tcPr>
            <w:tcW w:w="4445" w:type="dxa"/>
            <w:tcMar>
              <w:left w:w="0" w:type="dxa"/>
              <w:right w:w="0" w:type="dxa"/>
            </w:tcMar>
          </w:tcPr>
          <w:p w14:paraId="56F941AF"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Des témoins lumineux du tableau de bord sont-ils allumés, indiquant un problème au système de traitement aval du véhicule ou de l</w:t>
            </w:r>
            <w:r>
              <w:rPr>
                <w:i/>
                <w:iCs/>
                <w:sz w:val="18"/>
                <w:szCs w:val="18"/>
                <w:lang w:val="fr-FR"/>
              </w:rPr>
              <w:t>’</w:t>
            </w:r>
            <w:r w:rsidRPr="00440C76">
              <w:rPr>
                <w:i/>
                <w:iCs/>
                <w:sz w:val="18"/>
                <w:szCs w:val="18"/>
                <w:lang w:val="fr-FR"/>
              </w:rPr>
              <w:t>échappement qui ne peut pas être résolu par un entretien normal ? (témoin d</w:t>
            </w:r>
            <w:r>
              <w:rPr>
                <w:i/>
                <w:iCs/>
                <w:sz w:val="18"/>
                <w:szCs w:val="18"/>
                <w:lang w:val="fr-FR"/>
              </w:rPr>
              <w:t>’</w:t>
            </w:r>
            <w:r w:rsidRPr="00440C76">
              <w:rPr>
                <w:i/>
                <w:iCs/>
                <w:sz w:val="18"/>
                <w:szCs w:val="18"/>
                <w:lang w:val="fr-FR"/>
              </w:rPr>
              <w:t>erreur, témoin d</w:t>
            </w:r>
            <w:r>
              <w:rPr>
                <w:i/>
                <w:iCs/>
                <w:sz w:val="18"/>
                <w:szCs w:val="18"/>
                <w:lang w:val="fr-FR"/>
              </w:rPr>
              <w:t>’</w:t>
            </w:r>
            <w:r w:rsidRPr="00440C76">
              <w:rPr>
                <w:i/>
                <w:iCs/>
                <w:sz w:val="18"/>
                <w:szCs w:val="18"/>
                <w:lang w:val="fr-FR"/>
              </w:rPr>
              <w:t>entretien, etc. ?)</w:t>
            </w:r>
          </w:p>
          <w:p w14:paraId="3359AE3E" w14:textId="77777777" w:rsidR="00BE2CA7" w:rsidRPr="00440C76" w:rsidRDefault="00BE2CA7" w:rsidP="002B0590">
            <w:pPr>
              <w:spacing w:before="60" w:after="60" w:line="220" w:lineRule="atLeast"/>
              <w:ind w:left="57" w:right="57"/>
              <w:rPr>
                <w:sz w:val="18"/>
                <w:szCs w:val="18"/>
                <w:lang w:val="fr-FR"/>
              </w:rPr>
            </w:pPr>
            <w:r w:rsidRPr="00440C76">
              <w:rPr>
                <w:i/>
                <w:iCs/>
                <w:sz w:val="18"/>
                <w:szCs w:val="18"/>
                <w:lang w:val="fr-FR"/>
              </w:rPr>
              <w:t>Dans l</w:t>
            </w:r>
            <w:r>
              <w:rPr>
                <w:i/>
                <w:iCs/>
                <w:sz w:val="18"/>
                <w:szCs w:val="18"/>
                <w:lang w:val="fr-FR"/>
              </w:rPr>
              <w:t>’</w:t>
            </w:r>
            <w:r w:rsidRPr="00440C76">
              <w:rPr>
                <w:i/>
                <w:iCs/>
                <w:sz w:val="18"/>
                <w:szCs w:val="18"/>
                <w:lang w:val="fr-FR"/>
              </w:rPr>
              <w:t>affirmative, le véhicule ne peut pas être sélectionné</w:t>
            </w:r>
            <w:r>
              <w:rPr>
                <w:i/>
                <w:iCs/>
                <w:sz w:val="18"/>
                <w:szCs w:val="18"/>
                <w:lang w:val="fr-FR"/>
              </w:rPr>
              <w:t>.</w:t>
            </w:r>
          </w:p>
        </w:tc>
        <w:tc>
          <w:tcPr>
            <w:tcW w:w="2414" w:type="dxa"/>
            <w:gridSpan w:val="2"/>
            <w:tcMar>
              <w:left w:w="0" w:type="dxa"/>
              <w:right w:w="0" w:type="dxa"/>
            </w:tcMar>
          </w:tcPr>
          <w:p w14:paraId="127E47EF"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x</w:t>
            </w:r>
          </w:p>
        </w:tc>
        <w:tc>
          <w:tcPr>
            <w:tcW w:w="1579" w:type="dxa"/>
            <w:tcMar>
              <w:left w:w="0" w:type="dxa"/>
              <w:right w:w="0" w:type="dxa"/>
            </w:tcMar>
          </w:tcPr>
          <w:p w14:paraId="119A5346" w14:textId="77777777" w:rsidR="00BE2CA7" w:rsidRPr="00440C76" w:rsidRDefault="00BE2CA7" w:rsidP="002B0590">
            <w:pPr>
              <w:spacing w:before="60" w:after="60" w:line="220" w:lineRule="atLeast"/>
              <w:ind w:left="57" w:right="57"/>
              <w:rPr>
                <w:i/>
                <w:iCs/>
                <w:sz w:val="18"/>
                <w:szCs w:val="18"/>
                <w:lang w:val="fr-FR"/>
              </w:rPr>
            </w:pPr>
          </w:p>
        </w:tc>
      </w:tr>
      <w:tr w:rsidR="00BE2CA7" w:rsidRPr="00440C76" w14:paraId="6FD03ECB" w14:textId="77777777" w:rsidTr="002B0590">
        <w:tc>
          <w:tcPr>
            <w:tcW w:w="848" w:type="dxa"/>
            <w:tcMar>
              <w:left w:w="0" w:type="dxa"/>
              <w:right w:w="0" w:type="dxa"/>
            </w:tcMar>
          </w:tcPr>
          <w:p w14:paraId="148F958A" w14:textId="77777777" w:rsidR="00BE2CA7" w:rsidRPr="00440C76" w:rsidRDefault="00BE2CA7" w:rsidP="002B0590">
            <w:pPr>
              <w:spacing w:before="60" w:after="60" w:line="220" w:lineRule="atLeast"/>
              <w:ind w:left="57" w:right="57"/>
              <w:rPr>
                <w:sz w:val="18"/>
                <w:szCs w:val="18"/>
                <w:lang w:val="fr-FR"/>
              </w:rPr>
            </w:pPr>
            <w:r w:rsidRPr="00440C76">
              <w:rPr>
                <w:sz w:val="18"/>
                <w:szCs w:val="18"/>
                <w:lang w:val="fr-FR"/>
              </w:rPr>
              <w:t>3</w:t>
            </w:r>
          </w:p>
        </w:tc>
        <w:tc>
          <w:tcPr>
            <w:tcW w:w="4445" w:type="dxa"/>
            <w:tcMar>
              <w:left w:w="0" w:type="dxa"/>
              <w:right w:w="0" w:type="dxa"/>
            </w:tcMar>
          </w:tcPr>
          <w:p w14:paraId="63688AD9"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 xml:space="preserve">Le témoin SCR reste-t-il allumé après la mise en marche du moteur ? </w:t>
            </w:r>
          </w:p>
          <w:p w14:paraId="3CA39E1E" w14:textId="77777777" w:rsidR="00BE2CA7" w:rsidRPr="00440C76" w:rsidRDefault="00BE2CA7" w:rsidP="002B0590">
            <w:pPr>
              <w:spacing w:before="60" w:after="60" w:line="220" w:lineRule="atLeast"/>
              <w:ind w:left="57" w:right="57"/>
              <w:rPr>
                <w:sz w:val="18"/>
                <w:szCs w:val="18"/>
                <w:lang w:val="fr-FR"/>
              </w:rPr>
            </w:pPr>
            <w:r w:rsidRPr="00440C76">
              <w:rPr>
                <w:i/>
                <w:iCs/>
                <w:sz w:val="18"/>
                <w:szCs w:val="18"/>
                <w:lang w:val="fr-FR"/>
              </w:rPr>
              <w:t>Dans l</w:t>
            </w:r>
            <w:r>
              <w:rPr>
                <w:i/>
                <w:iCs/>
                <w:sz w:val="18"/>
                <w:szCs w:val="18"/>
                <w:lang w:val="fr-FR"/>
              </w:rPr>
              <w:t>’</w:t>
            </w:r>
            <w:r w:rsidRPr="00440C76">
              <w:rPr>
                <w:i/>
                <w:iCs/>
                <w:sz w:val="18"/>
                <w:szCs w:val="18"/>
                <w:lang w:val="fr-FR"/>
              </w:rPr>
              <w:t>affirmative, il convient d</w:t>
            </w:r>
            <w:r>
              <w:rPr>
                <w:i/>
                <w:iCs/>
                <w:sz w:val="18"/>
                <w:szCs w:val="18"/>
                <w:lang w:val="fr-FR"/>
              </w:rPr>
              <w:t>’</w:t>
            </w:r>
            <w:r w:rsidRPr="00440C76">
              <w:rPr>
                <w:i/>
                <w:iCs/>
                <w:sz w:val="18"/>
                <w:szCs w:val="18"/>
                <w:lang w:val="fr-FR"/>
              </w:rPr>
              <w:t>ajouter de l</w:t>
            </w:r>
            <w:r>
              <w:rPr>
                <w:i/>
                <w:iCs/>
                <w:sz w:val="18"/>
                <w:szCs w:val="18"/>
                <w:lang w:val="fr-FR"/>
              </w:rPr>
              <w:t>’</w:t>
            </w:r>
            <w:r w:rsidRPr="00440C76">
              <w:rPr>
                <w:i/>
                <w:iCs/>
                <w:sz w:val="18"/>
                <w:szCs w:val="18"/>
                <w:lang w:val="fr-FR"/>
              </w:rPr>
              <w:t>AdBlue ou de procéder à la réparation avant d</w:t>
            </w:r>
            <w:r>
              <w:rPr>
                <w:i/>
                <w:iCs/>
                <w:sz w:val="18"/>
                <w:szCs w:val="18"/>
                <w:lang w:val="fr-FR"/>
              </w:rPr>
              <w:t>’</w:t>
            </w:r>
            <w:r w:rsidRPr="00440C76">
              <w:rPr>
                <w:i/>
                <w:iCs/>
                <w:sz w:val="18"/>
                <w:szCs w:val="18"/>
                <w:lang w:val="fr-FR"/>
              </w:rPr>
              <w:t>utiliser le véhicule pour les essais</w:t>
            </w:r>
            <w:r>
              <w:rPr>
                <w:i/>
                <w:iCs/>
                <w:sz w:val="18"/>
                <w:szCs w:val="18"/>
                <w:lang w:val="fr-FR"/>
              </w:rPr>
              <w:t>.</w:t>
            </w:r>
          </w:p>
        </w:tc>
        <w:tc>
          <w:tcPr>
            <w:tcW w:w="2414" w:type="dxa"/>
            <w:gridSpan w:val="2"/>
            <w:tcMar>
              <w:left w:w="0" w:type="dxa"/>
              <w:right w:w="0" w:type="dxa"/>
            </w:tcMar>
          </w:tcPr>
          <w:p w14:paraId="6BF5C554"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x</w:t>
            </w:r>
          </w:p>
        </w:tc>
        <w:tc>
          <w:tcPr>
            <w:tcW w:w="1579" w:type="dxa"/>
            <w:tcMar>
              <w:left w:w="0" w:type="dxa"/>
              <w:right w:w="0" w:type="dxa"/>
            </w:tcMar>
          </w:tcPr>
          <w:p w14:paraId="4EA01EF3" w14:textId="77777777" w:rsidR="00BE2CA7" w:rsidRPr="00440C76" w:rsidRDefault="00BE2CA7" w:rsidP="002B0590">
            <w:pPr>
              <w:spacing w:before="60" w:after="60" w:line="220" w:lineRule="atLeast"/>
              <w:ind w:left="57" w:right="57"/>
              <w:rPr>
                <w:i/>
                <w:iCs/>
                <w:sz w:val="18"/>
                <w:szCs w:val="18"/>
                <w:lang w:val="fr-FR"/>
              </w:rPr>
            </w:pPr>
          </w:p>
        </w:tc>
      </w:tr>
      <w:tr w:rsidR="00BE2CA7" w:rsidRPr="00440C76" w14:paraId="1DB5D875" w14:textId="77777777" w:rsidTr="002B0590">
        <w:tc>
          <w:tcPr>
            <w:tcW w:w="848" w:type="dxa"/>
            <w:tcMar>
              <w:left w:w="0" w:type="dxa"/>
              <w:right w:w="0" w:type="dxa"/>
            </w:tcMar>
          </w:tcPr>
          <w:p w14:paraId="2305EEE1" w14:textId="77777777" w:rsidR="00BE2CA7" w:rsidRPr="00440C76" w:rsidRDefault="00BE2CA7" w:rsidP="002B0590">
            <w:pPr>
              <w:spacing w:before="60" w:after="60" w:line="220" w:lineRule="atLeast"/>
              <w:ind w:left="57" w:right="57"/>
              <w:rPr>
                <w:sz w:val="18"/>
                <w:szCs w:val="18"/>
                <w:lang w:val="fr-FR"/>
              </w:rPr>
            </w:pPr>
            <w:r w:rsidRPr="00440C76">
              <w:rPr>
                <w:sz w:val="18"/>
                <w:szCs w:val="18"/>
                <w:lang w:val="fr-FR"/>
              </w:rPr>
              <w:t>4</w:t>
            </w:r>
          </w:p>
        </w:tc>
        <w:tc>
          <w:tcPr>
            <w:tcW w:w="4445" w:type="dxa"/>
            <w:tcMar>
              <w:left w:w="0" w:type="dxa"/>
              <w:right w:w="0" w:type="dxa"/>
            </w:tcMar>
          </w:tcPr>
          <w:p w14:paraId="35A9EE67"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Inspection visuelle du système d</w:t>
            </w:r>
            <w:r>
              <w:rPr>
                <w:i/>
                <w:iCs/>
                <w:sz w:val="18"/>
                <w:szCs w:val="18"/>
                <w:lang w:val="fr-FR"/>
              </w:rPr>
              <w:t>’</w:t>
            </w:r>
            <w:r w:rsidRPr="00440C76">
              <w:rPr>
                <w:i/>
                <w:iCs/>
                <w:sz w:val="18"/>
                <w:szCs w:val="18"/>
                <w:lang w:val="fr-FR"/>
              </w:rPr>
              <w:t xml:space="preserve">échappement </w:t>
            </w:r>
          </w:p>
          <w:p w14:paraId="532BB5E4" w14:textId="77777777" w:rsidR="00BE2CA7" w:rsidRPr="00440C76" w:rsidRDefault="00BE2CA7" w:rsidP="002B0590">
            <w:pPr>
              <w:spacing w:before="60" w:after="60" w:line="220" w:lineRule="atLeast"/>
              <w:ind w:left="57" w:right="57"/>
              <w:rPr>
                <w:sz w:val="18"/>
                <w:szCs w:val="18"/>
                <w:lang w:val="fr-FR"/>
              </w:rPr>
            </w:pPr>
            <w:r w:rsidRPr="00440C76">
              <w:rPr>
                <w:sz w:val="18"/>
                <w:szCs w:val="18"/>
                <w:lang w:val="fr-FR"/>
              </w:rPr>
              <w:t>Vérifier la présence de fuites entre le collecteur d</w:t>
            </w:r>
            <w:r>
              <w:rPr>
                <w:sz w:val="18"/>
                <w:szCs w:val="18"/>
                <w:lang w:val="fr-FR"/>
              </w:rPr>
              <w:t>’</w:t>
            </w:r>
            <w:r w:rsidRPr="00440C76">
              <w:rPr>
                <w:sz w:val="18"/>
                <w:szCs w:val="18"/>
                <w:lang w:val="fr-FR"/>
              </w:rPr>
              <w:t>échappement et l</w:t>
            </w:r>
            <w:r>
              <w:rPr>
                <w:sz w:val="18"/>
                <w:szCs w:val="18"/>
                <w:lang w:val="fr-FR"/>
              </w:rPr>
              <w:t>’</w:t>
            </w:r>
            <w:r w:rsidRPr="00440C76">
              <w:rPr>
                <w:sz w:val="18"/>
                <w:szCs w:val="18"/>
                <w:lang w:val="fr-FR"/>
              </w:rPr>
              <w:t>extrémité du tuyau d</w:t>
            </w:r>
            <w:r>
              <w:rPr>
                <w:sz w:val="18"/>
                <w:szCs w:val="18"/>
                <w:lang w:val="fr-FR"/>
              </w:rPr>
              <w:t>’</w:t>
            </w:r>
            <w:r w:rsidRPr="00440C76">
              <w:rPr>
                <w:sz w:val="18"/>
                <w:szCs w:val="18"/>
                <w:lang w:val="fr-FR"/>
              </w:rPr>
              <w:t>échappement. Vérifier et documenter (avec photos)</w:t>
            </w:r>
            <w:r>
              <w:rPr>
                <w:sz w:val="18"/>
                <w:szCs w:val="18"/>
                <w:lang w:val="fr-FR"/>
              </w:rPr>
              <w:t>.</w:t>
            </w:r>
          </w:p>
          <w:p w14:paraId="4EEDC8D0" w14:textId="77777777" w:rsidR="00BE2CA7" w:rsidRPr="00440C76" w:rsidRDefault="00BE2CA7" w:rsidP="002B0590">
            <w:pPr>
              <w:spacing w:before="60" w:after="60" w:line="220" w:lineRule="atLeast"/>
              <w:ind w:left="57" w:right="57"/>
              <w:rPr>
                <w:sz w:val="18"/>
                <w:szCs w:val="18"/>
                <w:lang w:val="fr-FR"/>
              </w:rPr>
            </w:pPr>
            <w:r w:rsidRPr="00440C76">
              <w:rPr>
                <w:i/>
                <w:iCs/>
                <w:sz w:val="18"/>
                <w:szCs w:val="18"/>
                <w:lang w:val="fr-FR"/>
              </w:rPr>
              <w:t>En cas de détériorations ou de fuites, le véhicule est déclaré défectueux</w:t>
            </w:r>
            <w:r>
              <w:rPr>
                <w:i/>
                <w:iCs/>
                <w:sz w:val="18"/>
                <w:szCs w:val="18"/>
                <w:lang w:val="fr-FR"/>
              </w:rPr>
              <w:t>.</w:t>
            </w:r>
          </w:p>
        </w:tc>
        <w:tc>
          <w:tcPr>
            <w:tcW w:w="2414" w:type="dxa"/>
            <w:gridSpan w:val="2"/>
            <w:tcMar>
              <w:left w:w="0" w:type="dxa"/>
              <w:right w:w="0" w:type="dxa"/>
            </w:tcMar>
          </w:tcPr>
          <w:p w14:paraId="133DBD5D"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F</w:t>
            </w:r>
          </w:p>
        </w:tc>
        <w:tc>
          <w:tcPr>
            <w:tcW w:w="1579" w:type="dxa"/>
            <w:tcMar>
              <w:left w:w="0" w:type="dxa"/>
              <w:right w:w="0" w:type="dxa"/>
            </w:tcMar>
          </w:tcPr>
          <w:p w14:paraId="42965E8B" w14:textId="77777777" w:rsidR="00BE2CA7" w:rsidRPr="00440C76" w:rsidRDefault="00BE2CA7" w:rsidP="002B0590">
            <w:pPr>
              <w:spacing w:before="60" w:after="60" w:line="220" w:lineRule="atLeast"/>
              <w:ind w:left="57" w:right="57"/>
              <w:rPr>
                <w:i/>
                <w:iCs/>
                <w:sz w:val="18"/>
                <w:szCs w:val="18"/>
                <w:lang w:val="fr-FR"/>
              </w:rPr>
            </w:pPr>
          </w:p>
        </w:tc>
      </w:tr>
      <w:tr w:rsidR="00BE2CA7" w:rsidRPr="00440C76" w14:paraId="77BF493A" w14:textId="77777777" w:rsidTr="002B0590">
        <w:tc>
          <w:tcPr>
            <w:tcW w:w="848" w:type="dxa"/>
            <w:tcMar>
              <w:left w:w="0" w:type="dxa"/>
              <w:right w:w="0" w:type="dxa"/>
            </w:tcMar>
          </w:tcPr>
          <w:p w14:paraId="643DD1CD" w14:textId="77777777" w:rsidR="00BE2CA7" w:rsidRPr="00440C76" w:rsidRDefault="00BE2CA7" w:rsidP="002B0590">
            <w:pPr>
              <w:spacing w:before="60" w:after="60" w:line="220" w:lineRule="atLeast"/>
              <w:ind w:left="57" w:right="57"/>
              <w:rPr>
                <w:sz w:val="18"/>
                <w:szCs w:val="18"/>
                <w:lang w:val="fr-FR"/>
              </w:rPr>
            </w:pPr>
            <w:r w:rsidRPr="00440C76">
              <w:rPr>
                <w:sz w:val="18"/>
                <w:szCs w:val="18"/>
                <w:lang w:val="fr-FR"/>
              </w:rPr>
              <w:t>5</w:t>
            </w:r>
          </w:p>
        </w:tc>
        <w:tc>
          <w:tcPr>
            <w:tcW w:w="4445" w:type="dxa"/>
            <w:tcMar>
              <w:left w:w="0" w:type="dxa"/>
              <w:right w:w="0" w:type="dxa"/>
            </w:tcMar>
          </w:tcPr>
          <w:p w14:paraId="32A68263"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Composants pertinents liés aux gaz d</w:t>
            </w:r>
            <w:r>
              <w:rPr>
                <w:i/>
                <w:iCs/>
                <w:sz w:val="18"/>
                <w:szCs w:val="18"/>
                <w:lang w:val="fr-FR"/>
              </w:rPr>
              <w:t>’</w:t>
            </w:r>
            <w:r w:rsidRPr="00440C76">
              <w:rPr>
                <w:i/>
                <w:iCs/>
                <w:sz w:val="18"/>
                <w:szCs w:val="18"/>
                <w:lang w:val="fr-FR"/>
              </w:rPr>
              <w:t>échappement</w:t>
            </w:r>
          </w:p>
          <w:p w14:paraId="38E4CC6F" w14:textId="77777777" w:rsidR="00BE2CA7" w:rsidRPr="00440C76" w:rsidRDefault="00BE2CA7" w:rsidP="002B0590">
            <w:pPr>
              <w:spacing w:before="60" w:after="60" w:line="220" w:lineRule="atLeast"/>
              <w:ind w:left="57" w:right="57"/>
              <w:rPr>
                <w:sz w:val="18"/>
                <w:szCs w:val="18"/>
                <w:lang w:val="fr-FR"/>
              </w:rPr>
            </w:pPr>
            <w:r w:rsidRPr="00440C76">
              <w:rPr>
                <w:sz w:val="18"/>
                <w:szCs w:val="18"/>
                <w:lang w:val="fr-FR"/>
              </w:rPr>
              <w:t>Vérifier la présence de détériorations et documenter (avec photos) tous les composants pertinents liés aux émissions</w:t>
            </w:r>
            <w:r>
              <w:rPr>
                <w:sz w:val="18"/>
                <w:szCs w:val="18"/>
                <w:lang w:val="fr-FR"/>
              </w:rPr>
              <w:t>.</w:t>
            </w:r>
          </w:p>
          <w:p w14:paraId="3C838834" w14:textId="77777777" w:rsidR="00BE2CA7" w:rsidRPr="00440C76" w:rsidRDefault="00BE2CA7" w:rsidP="002B0590">
            <w:pPr>
              <w:spacing w:before="60" w:after="60" w:line="220" w:lineRule="atLeast"/>
              <w:ind w:left="57" w:right="57"/>
              <w:rPr>
                <w:sz w:val="18"/>
                <w:szCs w:val="18"/>
                <w:lang w:val="fr-FR"/>
              </w:rPr>
            </w:pPr>
            <w:r w:rsidRPr="00440C76">
              <w:rPr>
                <w:i/>
                <w:iCs/>
                <w:sz w:val="18"/>
                <w:szCs w:val="18"/>
                <w:lang w:val="fr-FR"/>
              </w:rPr>
              <w:t>En cas de détériorations, le véhicule est déclaré défectueux.</w:t>
            </w:r>
          </w:p>
        </w:tc>
        <w:tc>
          <w:tcPr>
            <w:tcW w:w="2414" w:type="dxa"/>
            <w:gridSpan w:val="2"/>
            <w:tcMar>
              <w:left w:w="0" w:type="dxa"/>
              <w:right w:w="0" w:type="dxa"/>
            </w:tcMar>
          </w:tcPr>
          <w:p w14:paraId="1D0D107B"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F</w:t>
            </w:r>
          </w:p>
        </w:tc>
        <w:tc>
          <w:tcPr>
            <w:tcW w:w="1579" w:type="dxa"/>
            <w:tcMar>
              <w:left w:w="0" w:type="dxa"/>
              <w:right w:w="0" w:type="dxa"/>
            </w:tcMar>
          </w:tcPr>
          <w:p w14:paraId="193DED24" w14:textId="77777777" w:rsidR="00BE2CA7" w:rsidRPr="00440C76" w:rsidRDefault="00BE2CA7" w:rsidP="002B0590">
            <w:pPr>
              <w:spacing w:before="60" w:after="60" w:line="220" w:lineRule="atLeast"/>
              <w:ind w:left="57" w:right="57"/>
              <w:rPr>
                <w:i/>
                <w:iCs/>
                <w:sz w:val="18"/>
                <w:szCs w:val="18"/>
                <w:lang w:val="fr-FR"/>
              </w:rPr>
            </w:pPr>
          </w:p>
        </w:tc>
      </w:tr>
      <w:tr w:rsidR="00BE2CA7" w:rsidRPr="00440C76" w14:paraId="634C307F" w14:textId="77777777" w:rsidTr="002B0590">
        <w:tc>
          <w:tcPr>
            <w:tcW w:w="848" w:type="dxa"/>
            <w:tcMar>
              <w:left w:w="0" w:type="dxa"/>
              <w:right w:w="0" w:type="dxa"/>
            </w:tcMar>
          </w:tcPr>
          <w:p w14:paraId="00693D65" w14:textId="77777777" w:rsidR="00BE2CA7" w:rsidRPr="00440C76" w:rsidRDefault="00BE2CA7" w:rsidP="002B0590">
            <w:pPr>
              <w:spacing w:before="60" w:after="60" w:line="220" w:lineRule="atLeast"/>
              <w:ind w:left="57" w:right="57"/>
              <w:rPr>
                <w:sz w:val="18"/>
                <w:szCs w:val="18"/>
                <w:lang w:val="fr-FR"/>
              </w:rPr>
            </w:pPr>
            <w:r w:rsidRPr="00440C76">
              <w:rPr>
                <w:sz w:val="18"/>
                <w:szCs w:val="18"/>
                <w:lang w:val="fr-FR"/>
              </w:rPr>
              <w:t>6</w:t>
            </w:r>
          </w:p>
        </w:tc>
        <w:tc>
          <w:tcPr>
            <w:tcW w:w="4445" w:type="dxa"/>
            <w:tcMar>
              <w:left w:w="0" w:type="dxa"/>
              <w:right w:w="0" w:type="dxa"/>
            </w:tcMar>
          </w:tcPr>
          <w:p w14:paraId="606500F7"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Système d</w:t>
            </w:r>
            <w:r>
              <w:rPr>
                <w:i/>
                <w:iCs/>
                <w:sz w:val="18"/>
                <w:szCs w:val="18"/>
                <w:lang w:val="fr-FR"/>
              </w:rPr>
              <w:t>’</w:t>
            </w:r>
            <w:r w:rsidRPr="00440C76">
              <w:rPr>
                <w:i/>
                <w:iCs/>
                <w:sz w:val="18"/>
                <w:szCs w:val="18"/>
                <w:lang w:val="fr-FR"/>
              </w:rPr>
              <w:t>évaporation</w:t>
            </w:r>
          </w:p>
          <w:p w14:paraId="1DE2E331" w14:textId="77777777" w:rsidR="00BE2CA7" w:rsidRPr="00440C76" w:rsidRDefault="00BE2CA7" w:rsidP="002B0590">
            <w:pPr>
              <w:spacing w:before="60" w:after="60" w:line="220" w:lineRule="atLeast"/>
              <w:ind w:left="57" w:right="57"/>
              <w:rPr>
                <w:sz w:val="18"/>
                <w:szCs w:val="18"/>
                <w:lang w:val="fr-FR"/>
              </w:rPr>
            </w:pPr>
            <w:r w:rsidRPr="00440C76">
              <w:rPr>
                <w:sz w:val="18"/>
                <w:szCs w:val="18"/>
                <w:lang w:val="fr-FR"/>
              </w:rPr>
              <w:t>Pressuriser le système d</w:t>
            </w:r>
            <w:r>
              <w:rPr>
                <w:sz w:val="18"/>
                <w:szCs w:val="18"/>
                <w:lang w:val="fr-FR"/>
              </w:rPr>
              <w:t>’</w:t>
            </w:r>
            <w:r w:rsidRPr="00440C76">
              <w:rPr>
                <w:sz w:val="18"/>
                <w:szCs w:val="18"/>
                <w:lang w:val="fr-FR"/>
              </w:rPr>
              <w:t>alimentation en carburant (du côté de la cartouche), vérifier la présence de fuites dans un environnement à température ambiante constante, procéder à un test d</w:t>
            </w:r>
            <w:r>
              <w:rPr>
                <w:sz w:val="18"/>
                <w:szCs w:val="18"/>
                <w:lang w:val="fr-FR"/>
              </w:rPr>
              <w:t>’</w:t>
            </w:r>
            <w:r w:rsidRPr="00440C76">
              <w:rPr>
                <w:sz w:val="18"/>
                <w:szCs w:val="18"/>
                <w:lang w:val="fr-FR"/>
              </w:rPr>
              <w:t>odeur avec FID autour et à l</w:t>
            </w:r>
            <w:r>
              <w:rPr>
                <w:sz w:val="18"/>
                <w:szCs w:val="18"/>
                <w:lang w:val="fr-FR"/>
              </w:rPr>
              <w:t>’</w:t>
            </w:r>
            <w:r w:rsidRPr="00440C76">
              <w:rPr>
                <w:sz w:val="18"/>
                <w:szCs w:val="18"/>
                <w:lang w:val="fr-FR"/>
              </w:rPr>
              <w:t>intérieur du véhicule.</w:t>
            </w:r>
          </w:p>
          <w:p w14:paraId="2432A066" w14:textId="77777777" w:rsidR="00BE2CA7" w:rsidRPr="00440C76" w:rsidRDefault="00BE2CA7" w:rsidP="002B0590">
            <w:pPr>
              <w:spacing w:before="60" w:after="60" w:line="220" w:lineRule="atLeast"/>
              <w:ind w:left="57" w:right="57"/>
              <w:rPr>
                <w:sz w:val="18"/>
                <w:szCs w:val="18"/>
                <w:lang w:val="fr-FR"/>
              </w:rPr>
            </w:pPr>
            <w:r w:rsidRPr="00440C76">
              <w:rPr>
                <w:i/>
                <w:iCs/>
                <w:sz w:val="18"/>
                <w:szCs w:val="18"/>
                <w:lang w:val="fr-FR"/>
              </w:rPr>
              <w:t>Si le test olfactif avec FID échoue, le véhicule est déclaré défectueux.</w:t>
            </w:r>
          </w:p>
        </w:tc>
        <w:tc>
          <w:tcPr>
            <w:tcW w:w="2414" w:type="dxa"/>
            <w:gridSpan w:val="2"/>
            <w:tcMar>
              <w:left w:w="0" w:type="dxa"/>
              <w:right w:w="0" w:type="dxa"/>
            </w:tcMar>
          </w:tcPr>
          <w:p w14:paraId="45403B7A"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F</w:t>
            </w:r>
          </w:p>
        </w:tc>
        <w:tc>
          <w:tcPr>
            <w:tcW w:w="1579" w:type="dxa"/>
            <w:tcMar>
              <w:left w:w="0" w:type="dxa"/>
              <w:right w:w="0" w:type="dxa"/>
            </w:tcMar>
          </w:tcPr>
          <w:p w14:paraId="4C3689AB" w14:textId="77777777" w:rsidR="00BE2CA7" w:rsidRPr="00440C76" w:rsidRDefault="00BE2CA7" w:rsidP="002B0590">
            <w:pPr>
              <w:spacing w:before="60" w:after="60" w:line="220" w:lineRule="atLeast"/>
              <w:ind w:left="57" w:right="57"/>
              <w:rPr>
                <w:i/>
                <w:iCs/>
                <w:sz w:val="18"/>
                <w:szCs w:val="18"/>
                <w:lang w:val="fr-FR"/>
              </w:rPr>
            </w:pPr>
          </w:p>
        </w:tc>
      </w:tr>
      <w:tr w:rsidR="00BE2CA7" w:rsidRPr="00440C76" w14:paraId="50CDE36D" w14:textId="77777777" w:rsidTr="002B0590">
        <w:tc>
          <w:tcPr>
            <w:tcW w:w="848" w:type="dxa"/>
            <w:tcMar>
              <w:left w:w="0" w:type="dxa"/>
              <w:right w:w="0" w:type="dxa"/>
            </w:tcMar>
          </w:tcPr>
          <w:p w14:paraId="7CED6DFF" w14:textId="77777777" w:rsidR="00BE2CA7" w:rsidRPr="00440C76" w:rsidRDefault="00BE2CA7" w:rsidP="002B0590">
            <w:pPr>
              <w:keepNext/>
              <w:spacing w:before="60" w:after="60" w:line="220" w:lineRule="atLeast"/>
              <w:ind w:left="57" w:right="57"/>
              <w:rPr>
                <w:sz w:val="18"/>
                <w:szCs w:val="18"/>
                <w:lang w:val="fr-FR"/>
              </w:rPr>
            </w:pPr>
            <w:r w:rsidRPr="00440C76">
              <w:rPr>
                <w:sz w:val="18"/>
                <w:szCs w:val="18"/>
                <w:lang w:val="fr-FR"/>
              </w:rPr>
              <w:t>7</w:t>
            </w:r>
          </w:p>
        </w:tc>
        <w:tc>
          <w:tcPr>
            <w:tcW w:w="4445" w:type="dxa"/>
            <w:tcMar>
              <w:left w:w="0" w:type="dxa"/>
              <w:right w:w="0" w:type="dxa"/>
            </w:tcMar>
          </w:tcPr>
          <w:p w14:paraId="3BA1C520" w14:textId="77777777" w:rsidR="00BE2CA7" w:rsidRPr="008E441A" w:rsidRDefault="00BE2CA7" w:rsidP="002B0590">
            <w:pPr>
              <w:keepNext/>
              <w:spacing w:before="60" w:after="60" w:line="220" w:lineRule="atLeast"/>
              <w:ind w:left="57" w:right="57"/>
              <w:rPr>
                <w:i/>
                <w:iCs/>
                <w:sz w:val="18"/>
                <w:szCs w:val="18"/>
                <w:lang w:val="fr-FR"/>
              </w:rPr>
            </w:pPr>
            <w:r w:rsidRPr="008E441A">
              <w:rPr>
                <w:i/>
                <w:iCs/>
                <w:sz w:val="18"/>
                <w:szCs w:val="18"/>
                <w:lang w:val="fr-FR"/>
              </w:rPr>
              <w:t xml:space="preserve">Échantillon de carburant </w:t>
            </w:r>
          </w:p>
          <w:p w14:paraId="48142F45" w14:textId="77777777" w:rsidR="00BE2CA7" w:rsidRPr="00440C76" w:rsidRDefault="00BE2CA7" w:rsidP="002B0590">
            <w:pPr>
              <w:keepNext/>
              <w:spacing w:before="60" w:after="60" w:line="220" w:lineRule="atLeast"/>
              <w:ind w:left="57" w:right="57"/>
              <w:rPr>
                <w:sz w:val="18"/>
                <w:szCs w:val="18"/>
                <w:lang w:val="fr-FR"/>
              </w:rPr>
            </w:pPr>
            <w:r w:rsidRPr="00440C76">
              <w:rPr>
                <w:sz w:val="18"/>
                <w:szCs w:val="18"/>
                <w:lang w:val="fr-FR"/>
              </w:rPr>
              <w:t>Prélever un échantillon de carburant dans le réservoir.</w:t>
            </w:r>
          </w:p>
        </w:tc>
        <w:tc>
          <w:tcPr>
            <w:tcW w:w="1114" w:type="dxa"/>
            <w:tcMar>
              <w:left w:w="0" w:type="dxa"/>
              <w:right w:w="0" w:type="dxa"/>
            </w:tcMar>
          </w:tcPr>
          <w:p w14:paraId="49665151" w14:textId="77777777" w:rsidR="00BE2CA7" w:rsidRPr="00440C76" w:rsidRDefault="00BE2CA7" w:rsidP="002B0590">
            <w:pPr>
              <w:keepNext/>
              <w:spacing w:before="60" w:after="60" w:line="220" w:lineRule="atLeast"/>
              <w:ind w:left="57" w:right="57"/>
              <w:rPr>
                <w:i/>
                <w:iCs/>
                <w:sz w:val="18"/>
                <w:szCs w:val="18"/>
                <w:lang w:val="fr-FR"/>
              </w:rPr>
            </w:pPr>
          </w:p>
        </w:tc>
        <w:tc>
          <w:tcPr>
            <w:tcW w:w="1300" w:type="dxa"/>
            <w:tcMar>
              <w:left w:w="0" w:type="dxa"/>
              <w:right w:w="0" w:type="dxa"/>
            </w:tcMar>
          </w:tcPr>
          <w:p w14:paraId="754A75CD" w14:textId="77777777" w:rsidR="00BE2CA7" w:rsidRPr="00440C76" w:rsidRDefault="00BE2CA7" w:rsidP="002B0590">
            <w:pPr>
              <w:keepNext/>
              <w:spacing w:before="60" w:after="60" w:line="220" w:lineRule="atLeast"/>
              <w:ind w:left="57" w:right="57"/>
              <w:rPr>
                <w:i/>
                <w:iCs/>
                <w:sz w:val="18"/>
                <w:szCs w:val="18"/>
                <w:lang w:val="fr-FR"/>
              </w:rPr>
            </w:pPr>
          </w:p>
        </w:tc>
        <w:tc>
          <w:tcPr>
            <w:tcW w:w="1579" w:type="dxa"/>
            <w:tcMar>
              <w:left w:w="0" w:type="dxa"/>
              <w:right w:w="0" w:type="dxa"/>
            </w:tcMar>
          </w:tcPr>
          <w:p w14:paraId="44963075" w14:textId="77777777" w:rsidR="00BE2CA7" w:rsidRPr="00440C76" w:rsidRDefault="00BE2CA7" w:rsidP="002B0590">
            <w:pPr>
              <w:keepNext/>
              <w:spacing w:before="60" w:after="60" w:line="220" w:lineRule="atLeast"/>
              <w:ind w:left="57" w:right="57"/>
              <w:rPr>
                <w:i/>
                <w:iCs/>
                <w:sz w:val="18"/>
                <w:szCs w:val="18"/>
                <w:lang w:val="fr-FR"/>
              </w:rPr>
            </w:pPr>
            <w:r w:rsidRPr="00440C76">
              <w:rPr>
                <w:i/>
                <w:iCs/>
                <w:sz w:val="18"/>
                <w:szCs w:val="18"/>
                <w:lang w:val="fr-FR"/>
              </w:rPr>
              <w:t>x</w:t>
            </w:r>
          </w:p>
        </w:tc>
      </w:tr>
      <w:tr w:rsidR="00BE2CA7" w:rsidRPr="00440C76" w14:paraId="1CB19918" w14:textId="77777777" w:rsidTr="002B0590">
        <w:tc>
          <w:tcPr>
            <w:tcW w:w="848" w:type="dxa"/>
            <w:tcMar>
              <w:left w:w="0" w:type="dxa"/>
              <w:right w:w="0" w:type="dxa"/>
            </w:tcMar>
          </w:tcPr>
          <w:p w14:paraId="059AAE28" w14:textId="77777777" w:rsidR="00BE2CA7" w:rsidRPr="00440C76" w:rsidRDefault="00BE2CA7" w:rsidP="002B0590">
            <w:pPr>
              <w:keepNext/>
              <w:spacing w:before="60" w:after="60" w:line="220" w:lineRule="atLeast"/>
              <w:ind w:left="57" w:right="57"/>
              <w:rPr>
                <w:sz w:val="18"/>
                <w:szCs w:val="18"/>
                <w:lang w:val="fr-FR"/>
              </w:rPr>
            </w:pPr>
            <w:r w:rsidRPr="00440C76">
              <w:rPr>
                <w:sz w:val="18"/>
                <w:szCs w:val="18"/>
                <w:lang w:val="fr-FR"/>
              </w:rPr>
              <w:t>8</w:t>
            </w:r>
          </w:p>
        </w:tc>
        <w:tc>
          <w:tcPr>
            <w:tcW w:w="4445" w:type="dxa"/>
            <w:tcMar>
              <w:left w:w="0" w:type="dxa"/>
              <w:right w:w="0" w:type="dxa"/>
            </w:tcMar>
          </w:tcPr>
          <w:p w14:paraId="1A17FB0B" w14:textId="77777777" w:rsidR="00BE2CA7" w:rsidRPr="00440C76" w:rsidRDefault="00BE2CA7" w:rsidP="002B0590">
            <w:pPr>
              <w:keepNext/>
              <w:spacing w:before="60" w:after="60" w:line="220" w:lineRule="atLeast"/>
              <w:ind w:left="57" w:right="57"/>
              <w:rPr>
                <w:i/>
                <w:iCs/>
                <w:sz w:val="18"/>
                <w:szCs w:val="18"/>
                <w:lang w:val="fr-FR"/>
              </w:rPr>
            </w:pPr>
            <w:r w:rsidRPr="00440C76">
              <w:rPr>
                <w:i/>
                <w:iCs/>
                <w:sz w:val="18"/>
                <w:szCs w:val="18"/>
                <w:lang w:val="fr-FR"/>
              </w:rPr>
              <w:t>Filtre à air et filtre à huile</w:t>
            </w:r>
          </w:p>
          <w:p w14:paraId="2506858D" w14:textId="77777777" w:rsidR="00BE2CA7" w:rsidRPr="00440C76" w:rsidRDefault="00BE2CA7" w:rsidP="002B0590">
            <w:pPr>
              <w:keepNext/>
              <w:spacing w:before="60" w:after="60" w:line="220" w:lineRule="atLeast"/>
              <w:ind w:left="57" w:right="57"/>
              <w:rPr>
                <w:sz w:val="18"/>
                <w:szCs w:val="18"/>
                <w:lang w:val="fr-FR"/>
              </w:rPr>
            </w:pPr>
            <w:r w:rsidRPr="00440C76">
              <w:rPr>
                <w:sz w:val="18"/>
                <w:szCs w:val="18"/>
                <w:lang w:val="fr-FR"/>
              </w:rPr>
              <w:t>Vérifier la présence de contamination et de détériorations et remplacer les filtres en cas de détériorations ou de forte contamination ou s</w:t>
            </w:r>
            <w:r>
              <w:rPr>
                <w:sz w:val="18"/>
                <w:szCs w:val="18"/>
                <w:lang w:val="fr-FR"/>
              </w:rPr>
              <w:t>’</w:t>
            </w:r>
            <w:r w:rsidRPr="00440C76">
              <w:rPr>
                <w:sz w:val="18"/>
                <w:szCs w:val="18"/>
                <w:lang w:val="fr-FR"/>
              </w:rPr>
              <w:t>il reste moins de 800 km avant le remplacement suivant recommandé.</w:t>
            </w:r>
          </w:p>
        </w:tc>
        <w:tc>
          <w:tcPr>
            <w:tcW w:w="1114" w:type="dxa"/>
            <w:tcMar>
              <w:left w:w="0" w:type="dxa"/>
              <w:right w:w="0" w:type="dxa"/>
            </w:tcMar>
          </w:tcPr>
          <w:p w14:paraId="063E40AD" w14:textId="77777777" w:rsidR="00BE2CA7" w:rsidRPr="00440C76" w:rsidRDefault="00BE2CA7" w:rsidP="002B0590">
            <w:pPr>
              <w:keepNext/>
              <w:spacing w:before="60" w:after="60" w:line="220" w:lineRule="atLeast"/>
              <w:ind w:left="57" w:right="57"/>
              <w:rPr>
                <w:i/>
                <w:iCs/>
                <w:sz w:val="18"/>
                <w:szCs w:val="18"/>
                <w:lang w:val="fr-FR"/>
              </w:rPr>
            </w:pPr>
          </w:p>
        </w:tc>
        <w:tc>
          <w:tcPr>
            <w:tcW w:w="1300" w:type="dxa"/>
            <w:tcMar>
              <w:left w:w="0" w:type="dxa"/>
              <w:right w:w="0" w:type="dxa"/>
            </w:tcMar>
          </w:tcPr>
          <w:p w14:paraId="1D43E725" w14:textId="77777777" w:rsidR="00BE2CA7" w:rsidRPr="00440C76" w:rsidRDefault="00BE2CA7" w:rsidP="002B0590">
            <w:pPr>
              <w:keepNext/>
              <w:spacing w:before="60" w:after="60" w:line="220" w:lineRule="atLeast"/>
              <w:ind w:left="57" w:right="57"/>
              <w:rPr>
                <w:i/>
                <w:iCs/>
                <w:sz w:val="18"/>
                <w:szCs w:val="18"/>
                <w:lang w:val="fr-FR"/>
              </w:rPr>
            </w:pPr>
          </w:p>
        </w:tc>
        <w:tc>
          <w:tcPr>
            <w:tcW w:w="1579" w:type="dxa"/>
            <w:tcMar>
              <w:left w:w="0" w:type="dxa"/>
              <w:right w:w="0" w:type="dxa"/>
            </w:tcMar>
          </w:tcPr>
          <w:p w14:paraId="5107360E" w14:textId="77777777" w:rsidR="00BE2CA7" w:rsidRPr="00440C76" w:rsidRDefault="00BE2CA7" w:rsidP="002B0590">
            <w:pPr>
              <w:keepNext/>
              <w:spacing w:before="60" w:after="60" w:line="220" w:lineRule="atLeast"/>
              <w:ind w:left="57" w:right="57"/>
              <w:rPr>
                <w:i/>
                <w:iCs/>
                <w:sz w:val="18"/>
                <w:szCs w:val="18"/>
                <w:lang w:val="fr-FR"/>
              </w:rPr>
            </w:pPr>
            <w:r w:rsidRPr="00440C76">
              <w:rPr>
                <w:i/>
                <w:iCs/>
                <w:sz w:val="18"/>
                <w:szCs w:val="18"/>
                <w:lang w:val="fr-FR"/>
              </w:rPr>
              <w:t>x</w:t>
            </w:r>
          </w:p>
        </w:tc>
      </w:tr>
      <w:tr w:rsidR="00BE2CA7" w:rsidRPr="00440C76" w14:paraId="6166D477" w14:textId="77777777" w:rsidTr="002B0590">
        <w:tc>
          <w:tcPr>
            <w:tcW w:w="848" w:type="dxa"/>
            <w:tcMar>
              <w:left w:w="0" w:type="dxa"/>
              <w:right w:w="0" w:type="dxa"/>
            </w:tcMar>
          </w:tcPr>
          <w:p w14:paraId="644AF7AC" w14:textId="77777777" w:rsidR="00BE2CA7" w:rsidRPr="00440C76" w:rsidRDefault="00BE2CA7" w:rsidP="002B0590">
            <w:pPr>
              <w:spacing w:before="60" w:after="60" w:line="220" w:lineRule="atLeast"/>
              <w:ind w:left="57" w:right="57"/>
              <w:rPr>
                <w:sz w:val="18"/>
                <w:szCs w:val="18"/>
                <w:lang w:val="fr-FR"/>
              </w:rPr>
            </w:pPr>
            <w:r w:rsidRPr="00440C76">
              <w:rPr>
                <w:sz w:val="18"/>
                <w:szCs w:val="18"/>
                <w:lang w:val="fr-FR"/>
              </w:rPr>
              <w:t>9</w:t>
            </w:r>
          </w:p>
        </w:tc>
        <w:tc>
          <w:tcPr>
            <w:tcW w:w="4445" w:type="dxa"/>
            <w:tcMar>
              <w:left w:w="0" w:type="dxa"/>
              <w:right w:w="0" w:type="dxa"/>
            </w:tcMar>
          </w:tcPr>
          <w:p w14:paraId="2B0C660A"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Liquide lave-glace (uniquement pour les essais d</w:t>
            </w:r>
            <w:r>
              <w:rPr>
                <w:i/>
                <w:iCs/>
                <w:sz w:val="18"/>
                <w:szCs w:val="18"/>
                <w:lang w:val="fr-FR"/>
              </w:rPr>
              <w:t>’</w:t>
            </w:r>
            <w:r w:rsidRPr="00440C76">
              <w:rPr>
                <w:i/>
                <w:iCs/>
                <w:sz w:val="18"/>
                <w:szCs w:val="18"/>
                <w:lang w:val="fr-FR"/>
              </w:rPr>
              <w:t>émissions par évaporation)</w:t>
            </w:r>
          </w:p>
          <w:p w14:paraId="15B35E55" w14:textId="77777777" w:rsidR="00BE2CA7" w:rsidRPr="00440C76" w:rsidRDefault="00BE2CA7" w:rsidP="002B0590">
            <w:pPr>
              <w:spacing w:before="60" w:after="60" w:line="220" w:lineRule="atLeast"/>
              <w:ind w:left="57" w:right="57"/>
              <w:rPr>
                <w:sz w:val="18"/>
                <w:szCs w:val="18"/>
                <w:lang w:val="fr-FR"/>
              </w:rPr>
            </w:pPr>
            <w:r w:rsidRPr="00440C76">
              <w:rPr>
                <w:sz w:val="18"/>
                <w:szCs w:val="18"/>
                <w:lang w:val="fr-FR"/>
              </w:rPr>
              <w:t>Vider le réservoir de liquide lave-glace et le remplir d</w:t>
            </w:r>
            <w:r>
              <w:rPr>
                <w:sz w:val="18"/>
                <w:szCs w:val="18"/>
                <w:lang w:val="fr-FR"/>
              </w:rPr>
              <w:t>’</w:t>
            </w:r>
            <w:r w:rsidRPr="00440C76">
              <w:rPr>
                <w:sz w:val="18"/>
                <w:szCs w:val="18"/>
                <w:lang w:val="fr-FR"/>
              </w:rPr>
              <w:t>eau chaude.</w:t>
            </w:r>
          </w:p>
        </w:tc>
        <w:tc>
          <w:tcPr>
            <w:tcW w:w="1114" w:type="dxa"/>
            <w:tcMar>
              <w:left w:w="0" w:type="dxa"/>
              <w:right w:w="0" w:type="dxa"/>
            </w:tcMar>
          </w:tcPr>
          <w:p w14:paraId="1D36AE69" w14:textId="77777777" w:rsidR="00BE2CA7" w:rsidRPr="00440C76" w:rsidRDefault="00BE2CA7" w:rsidP="002B0590">
            <w:pPr>
              <w:spacing w:before="60" w:after="60" w:line="220" w:lineRule="atLeast"/>
              <w:ind w:left="57" w:right="57"/>
              <w:rPr>
                <w:i/>
                <w:iCs/>
                <w:sz w:val="18"/>
                <w:szCs w:val="18"/>
                <w:lang w:val="fr-FR"/>
              </w:rPr>
            </w:pPr>
          </w:p>
        </w:tc>
        <w:tc>
          <w:tcPr>
            <w:tcW w:w="1300" w:type="dxa"/>
            <w:tcMar>
              <w:left w:w="0" w:type="dxa"/>
              <w:right w:w="0" w:type="dxa"/>
            </w:tcMar>
          </w:tcPr>
          <w:p w14:paraId="55CDA937" w14:textId="77777777" w:rsidR="00BE2CA7" w:rsidRPr="00440C76" w:rsidRDefault="00BE2CA7" w:rsidP="002B0590">
            <w:pPr>
              <w:spacing w:before="60" w:after="60" w:line="220" w:lineRule="atLeast"/>
              <w:ind w:left="57" w:right="57"/>
              <w:rPr>
                <w:i/>
                <w:iCs/>
                <w:sz w:val="18"/>
                <w:szCs w:val="18"/>
                <w:lang w:val="fr-FR"/>
              </w:rPr>
            </w:pPr>
          </w:p>
        </w:tc>
        <w:tc>
          <w:tcPr>
            <w:tcW w:w="1579" w:type="dxa"/>
            <w:tcMar>
              <w:left w:w="0" w:type="dxa"/>
              <w:right w:w="0" w:type="dxa"/>
            </w:tcMar>
          </w:tcPr>
          <w:p w14:paraId="4DE1903A"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x</w:t>
            </w:r>
          </w:p>
        </w:tc>
      </w:tr>
      <w:tr w:rsidR="00BE2CA7" w:rsidRPr="00440C76" w14:paraId="2329F222" w14:textId="77777777" w:rsidTr="002B0590">
        <w:tc>
          <w:tcPr>
            <w:tcW w:w="848" w:type="dxa"/>
            <w:tcMar>
              <w:left w:w="0" w:type="dxa"/>
              <w:right w:w="0" w:type="dxa"/>
            </w:tcMar>
          </w:tcPr>
          <w:p w14:paraId="40F1B970" w14:textId="77777777" w:rsidR="00BE2CA7" w:rsidRPr="00440C76" w:rsidRDefault="00BE2CA7" w:rsidP="002B0590">
            <w:pPr>
              <w:spacing w:before="60" w:after="60" w:line="220" w:lineRule="atLeast"/>
              <w:ind w:left="57" w:right="57"/>
              <w:rPr>
                <w:sz w:val="18"/>
                <w:szCs w:val="18"/>
                <w:lang w:val="fr-FR"/>
              </w:rPr>
            </w:pPr>
            <w:r w:rsidRPr="00440C76">
              <w:rPr>
                <w:sz w:val="18"/>
                <w:szCs w:val="18"/>
                <w:lang w:val="fr-FR"/>
              </w:rPr>
              <w:t>10</w:t>
            </w:r>
          </w:p>
        </w:tc>
        <w:tc>
          <w:tcPr>
            <w:tcW w:w="4445" w:type="dxa"/>
            <w:tcMar>
              <w:left w:w="0" w:type="dxa"/>
              <w:right w:w="0" w:type="dxa"/>
            </w:tcMar>
          </w:tcPr>
          <w:p w14:paraId="1463E039"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Roues (avant et arrière)</w:t>
            </w:r>
          </w:p>
          <w:p w14:paraId="569D98B6" w14:textId="77777777" w:rsidR="00BE2CA7" w:rsidRPr="00440C76" w:rsidRDefault="00BE2CA7" w:rsidP="002B0590">
            <w:pPr>
              <w:spacing w:before="60" w:after="60" w:line="220" w:lineRule="atLeast"/>
              <w:ind w:left="57" w:right="57"/>
              <w:rPr>
                <w:sz w:val="18"/>
                <w:szCs w:val="18"/>
                <w:lang w:val="fr-FR"/>
              </w:rPr>
            </w:pPr>
            <w:r w:rsidRPr="00440C76">
              <w:rPr>
                <w:sz w:val="18"/>
                <w:szCs w:val="18"/>
                <w:lang w:val="fr-FR"/>
              </w:rPr>
              <w:t>Vérifier si les roues peuvent tourner librement ou si elles sont bloquées par le frein.</w:t>
            </w:r>
          </w:p>
          <w:p w14:paraId="76F86C2F" w14:textId="77777777" w:rsidR="00BE2CA7" w:rsidRPr="00440C76" w:rsidRDefault="00BE2CA7" w:rsidP="002B0590">
            <w:pPr>
              <w:spacing w:before="60" w:after="60" w:line="220" w:lineRule="atLeast"/>
              <w:ind w:left="57" w:right="57"/>
              <w:rPr>
                <w:sz w:val="18"/>
                <w:szCs w:val="18"/>
                <w:lang w:val="fr-FR"/>
              </w:rPr>
            </w:pPr>
            <w:r w:rsidRPr="00440C76">
              <w:rPr>
                <w:i/>
                <w:iCs/>
                <w:sz w:val="18"/>
                <w:szCs w:val="18"/>
                <w:lang w:val="fr-FR"/>
              </w:rPr>
              <w:t>Si tel n</w:t>
            </w:r>
            <w:r>
              <w:rPr>
                <w:i/>
                <w:iCs/>
                <w:sz w:val="18"/>
                <w:szCs w:val="18"/>
                <w:lang w:val="fr-FR"/>
              </w:rPr>
              <w:t>’</w:t>
            </w:r>
            <w:r w:rsidRPr="00440C76">
              <w:rPr>
                <w:i/>
                <w:iCs/>
                <w:sz w:val="18"/>
                <w:szCs w:val="18"/>
                <w:lang w:val="fr-FR"/>
              </w:rPr>
              <w:t>est pas le cas, le véhicule ne peut pas être sélectionné.</w:t>
            </w:r>
          </w:p>
        </w:tc>
        <w:tc>
          <w:tcPr>
            <w:tcW w:w="2414" w:type="dxa"/>
            <w:gridSpan w:val="2"/>
            <w:tcMar>
              <w:left w:w="0" w:type="dxa"/>
              <w:right w:w="0" w:type="dxa"/>
            </w:tcMar>
          </w:tcPr>
          <w:p w14:paraId="335B40C2"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x</w:t>
            </w:r>
          </w:p>
        </w:tc>
        <w:tc>
          <w:tcPr>
            <w:tcW w:w="1579" w:type="dxa"/>
            <w:tcMar>
              <w:left w:w="0" w:type="dxa"/>
              <w:right w:w="0" w:type="dxa"/>
            </w:tcMar>
          </w:tcPr>
          <w:p w14:paraId="4ED02BB7" w14:textId="77777777" w:rsidR="00BE2CA7" w:rsidRPr="00440C76" w:rsidRDefault="00BE2CA7" w:rsidP="002B0590">
            <w:pPr>
              <w:spacing w:before="60" w:after="60" w:line="220" w:lineRule="atLeast"/>
              <w:ind w:left="57" w:right="57"/>
              <w:rPr>
                <w:i/>
                <w:iCs/>
                <w:sz w:val="18"/>
                <w:szCs w:val="18"/>
                <w:lang w:val="fr-FR"/>
              </w:rPr>
            </w:pPr>
          </w:p>
        </w:tc>
      </w:tr>
      <w:tr w:rsidR="00BE2CA7" w:rsidRPr="00440C76" w14:paraId="189CCCFC" w14:textId="77777777" w:rsidTr="002B0590">
        <w:tc>
          <w:tcPr>
            <w:tcW w:w="848" w:type="dxa"/>
            <w:tcMar>
              <w:left w:w="0" w:type="dxa"/>
              <w:right w:w="0" w:type="dxa"/>
            </w:tcMar>
          </w:tcPr>
          <w:p w14:paraId="1B3AD659" w14:textId="77777777" w:rsidR="00BE2CA7" w:rsidRPr="00440C76" w:rsidRDefault="00BE2CA7" w:rsidP="002B0590">
            <w:pPr>
              <w:spacing w:before="60" w:after="60" w:line="220" w:lineRule="atLeast"/>
              <w:ind w:left="57" w:right="57"/>
              <w:rPr>
                <w:sz w:val="18"/>
                <w:szCs w:val="18"/>
                <w:lang w:val="fr-FR"/>
              </w:rPr>
            </w:pPr>
            <w:r w:rsidRPr="00440C76">
              <w:rPr>
                <w:sz w:val="18"/>
                <w:szCs w:val="18"/>
                <w:lang w:val="fr-FR"/>
              </w:rPr>
              <w:t>11</w:t>
            </w:r>
          </w:p>
        </w:tc>
        <w:tc>
          <w:tcPr>
            <w:tcW w:w="4445" w:type="dxa"/>
            <w:tcMar>
              <w:left w:w="0" w:type="dxa"/>
              <w:right w:w="0" w:type="dxa"/>
            </w:tcMar>
          </w:tcPr>
          <w:p w14:paraId="3B3DDF90"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Pneumatiques (uniquement pour les essais d</w:t>
            </w:r>
            <w:r>
              <w:rPr>
                <w:i/>
                <w:iCs/>
                <w:sz w:val="18"/>
                <w:szCs w:val="18"/>
                <w:lang w:val="fr-FR"/>
              </w:rPr>
              <w:t>’</w:t>
            </w:r>
            <w:r w:rsidRPr="00440C76">
              <w:rPr>
                <w:i/>
                <w:iCs/>
                <w:sz w:val="18"/>
                <w:szCs w:val="18"/>
                <w:lang w:val="fr-FR"/>
              </w:rPr>
              <w:t>émissions par évaporation)</w:t>
            </w:r>
          </w:p>
          <w:p w14:paraId="4FB658E0" w14:textId="77777777" w:rsidR="00BE2CA7" w:rsidRPr="00440C76" w:rsidRDefault="00BE2CA7" w:rsidP="002B0590">
            <w:pPr>
              <w:spacing w:before="60" w:after="60" w:line="220" w:lineRule="atLeast"/>
              <w:ind w:left="57" w:right="57"/>
              <w:rPr>
                <w:sz w:val="18"/>
                <w:szCs w:val="18"/>
                <w:lang w:val="fr-FR"/>
              </w:rPr>
            </w:pPr>
            <w:r w:rsidRPr="00440C76">
              <w:rPr>
                <w:sz w:val="18"/>
                <w:szCs w:val="18"/>
                <w:lang w:val="fr-FR"/>
              </w:rPr>
              <w:t>Enlever la roue de secours, placer des pneumatiques stabilisés si les pneumatiques ont été remplacés moins de 15 000</w:t>
            </w:r>
            <w:r>
              <w:rPr>
                <w:sz w:val="18"/>
                <w:szCs w:val="18"/>
                <w:lang w:val="fr-FR"/>
              </w:rPr>
              <w:t> </w:t>
            </w:r>
            <w:r w:rsidRPr="00440C76">
              <w:rPr>
                <w:sz w:val="18"/>
                <w:szCs w:val="18"/>
                <w:lang w:val="fr-FR"/>
              </w:rPr>
              <w:t>km auparavant. N</w:t>
            </w:r>
            <w:r>
              <w:rPr>
                <w:sz w:val="18"/>
                <w:szCs w:val="18"/>
                <w:lang w:val="fr-FR"/>
              </w:rPr>
              <w:t>’</w:t>
            </w:r>
            <w:r w:rsidRPr="00440C76">
              <w:rPr>
                <w:sz w:val="18"/>
                <w:szCs w:val="18"/>
                <w:lang w:val="fr-FR"/>
              </w:rPr>
              <w:t>utiliser que des pneumatiques d</w:t>
            </w:r>
            <w:r>
              <w:rPr>
                <w:sz w:val="18"/>
                <w:szCs w:val="18"/>
                <w:lang w:val="fr-FR"/>
              </w:rPr>
              <w:t>’</w:t>
            </w:r>
            <w:r w:rsidRPr="00440C76">
              <w:rPr>
                <w:sz w:val="18"/>
                <w:szCs w:val="18"/>
                <w:lang w:val="fr-FR"/>
              </w:rPr>
              <w:t>été et toutes saisons.</w:t>
            </w:r>
          </w:p>
        </w:tc>
        <w:tc>
          <w:tcPr>
            <w:tcW w:w="1114" w:type="dxa"/>
            <w:tcMar>
              <w:left w:w="0" w:type="dxa"/>
              <w:right w:w="0" w:type="dxa"/>
            </w:tcMar>
          </w:tcPr>
          <w:p w14:paraId="217C60BE" w14:textId="77777777" w:rsidR="00BE2CA7" w:rsidRPr="00440C76" w:rsidRDefault="00BE2CA7" w:rsidP="002B0590">
            <w:pPr>
              <w:spacing w:before="60" w:after="60" w:line="220" w:lineRule="atLeast"/>
              <w:ind w:left="57" w:right="57"/>
              <w:rPr>
                <w:i/>
                <w:iCs/>
                <w:sz w:val="18"/>
                <w:szCs w:val="18"/>
                <w:lang w:val="fr-FR"/>
              </w:rPr>
            </w:pPr>
          </w:p>
        </w:tc>
        <w:tc>
          <w:tcPr>
            <w:tcW w:w="1300" w:type="dxa"/>
            <w:tcMar>
              <w:left w:w="0" w:type="dxa"/>
              <w:right w:w="0" w:type="dxa"/>
            </w:tcMar>
          </w:tcPr>
          <w:p w14:paraId="3B982AEC" w14:textId="77777777" w:rsidR="00BE2CA7" w:rsidRPr="00440C76" w:rsidRDefault="00BE2CA7" w:rsidP="002B0590">
            <w:pPr>
              <w:spacing w:before="60" w:after="60" w:line="220" w:lineRule="atLeast"/>
              <w:ind w:left="57" w:right="57"/>
              <w:rPr>
                <w:i/>
                <w:iCs/>
                <w:sz w:val="18"/>
                <w:szCs w:val="18"/>
                <w:lang w:val="fr-FR"/>
              </w:rPr>
            </w:pPr>
          </w:p>
        </w:tc>
        <w:tc>
          <w:tcPr>
            <w:tcW w:w="1579" w:type="dxa"/>
            <w:tcMar>
              <w:left w:w="0" w:type="dxa"/>
              <w:right w:w="0" w:type="dxa"/>
            </w:tcMar>
          </w:tcPr>
          <w:p w14:paraId="57B367AA" w14:textId="77777777" w:rsidR="00BE2CA7" w:rsidRPr="00440C76" w:rsidRDefault="00BE2CA7" w:rsidP="002B0590">
            <w:pPr>
              <w:spacing w:before="60" w:after="60" w:line="220" w:lineRule="atLeast"/>
              <w:ind w:left="57" w:right="57"/>
              <w:rPr>
                <w:i/>
                <w:iCs/>
                <w:sz w:val="18"/>
                <w:szCs w:val="18"/>
                <w:lang w:val="fr-FR"/>
              </w:rPr>
            </w:pPr>
            <w:r>
              <w:rPr>
                <w:i/>
                <w:iCs/>
                <w:sz w:val="18"/>
                <w:szCs w:val="18"/>
                <w:lang w:val="fr-FR"/>
              </w:rPr>
              <w:t>x</w:t>
            </w:r>
          </w:p>
        </w:tc>
      </w:tr>
      <w:tr w:rsidR="00BE2CA7" w:rsidRPr="00440C76" w14:paraId="2F0B12D8" w14:textId="77777777" w:rsidTr="002B0590">
        <w:tc>
          <w:tcPr>
            <w:tcW w:w="848" w:type="dxa"/>
            <w:tcMar>
              <w:left w:w="0" w:type="dxa"/>
              <w:right w:w="0" w:type="dxa"/>
            </w:tcMar>
          </w:tcPr>
          <w:p w14:paraId="5270AC6C" w14:textId="77777777" w:rsidR="00BE2CA7" w:rsidRPr="00440C76" w:rsidRDefault="00BE2CA7" w:rsidP="002B0590">
            <w:pPr>
              <w:spacing w:before="60" w:after="60" w:line="220" w:lineRule="atLeast"/>
              <w:ind w:left="57" w:right="57"/>
              <w:rPr>
                <w:sz w:val="18"/>
                <w:szCs w:val="18"/>
                <w:lang w:val="fr-FR"/>
              </w:rPr>
            </w:pPr>
            <w:r w:rsidRPr="00440C76">
              <w:rPr>
                <w:sz w:val="18"/>
                <w:szCs w:val="18"/>
                <w:lang w:val="fr-FR"/>
              </w:rPr>
              <w:t>12</w:t>
            </w:r>
          </w:p>
        </w:tc>
        <w:tc>
          <w:tcPr>
            <w:tcW w:w="4445" w:type="dxa"/>
            <w:tcMar>
              <w:left w:w="0" w:type="dxa"/>
              <w:right w:w="0" w:type="dxa"/>
            </w:tcMar>
          </w:tcPr>
          <w:p w14:paraId="47939303"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Courroies d</w:t>
            </w:r>
            <w:r>
              <w:rPr>
                <w:i/>
                <w:iCs/>
                <w:sz w:val="18"/>
                <w:szCs w:val="18"/>
                <w:lang w:val="fr-FR"/>
              </w:rPr>
              <w:t>’</w:t>
            </w:r>
            <w:r w:rsidRPr="00440C76">
              <w:rPr>
                <w:i/>
                <w:iCs/>
                <w:sz w:val="18"/>
                <w:szCs w:val="18"/>
                <w:lang w:val="fr-FR"/>
              </w:rPr>
              <w:t>entraînement et couvercle du refroidisseur</w:t>
            </w:r>
          </w:p>
          <w:p w14:paraId="037BA386" w14:textId="77777777" w:rsidR="00BE2CA7" w:rsidRPr="008E441A" w:rsidRDefault="00BE2CA7" w:rsidP="002B0590">
            <w:pPr>
              <w:spacing w:before="60" w:after="60" w:line="220" w:lineRule="atLeast"/>
              <w:ind w:left="57" w:right="57"/>
              <w:rPr>
                <w:i/>
                <w:iCs/>
                <w:sz w:val="18"/>
                <w:szCs w:val="18"/>
                <w:lang w:val="fr-FR"/>
              </w:rPr>
            </w:pPr>
            <w:r w:rsidRPr="008E441A">
              <w:rPr>
                <w:i/>
                <w:iCs/>
                <w:sz w:val="18"/>
                <w:szCs w:val="18"/>
                <w:lang w:val="fr-FR"/>
              </w:rPr>
              <w:t>En cas de détériorations, le véhicule est déclaré défectueux. Documenter avec photos</w:t>
            </w:r>
            <w:r>
              <w:rPr>
                <w:i/>
                <w:iCs/>
                <w:sz w:val="18"/>
                <w:szCs w:val="18"/>
                <w:lang w:val="fr-FR"/>
              </w:rPr>
              <w:t>.</w:t>
            </w:r>
          </w:p>
        </w:tc>
        <w:tc>
          <w:tcPr>
            <w:tcW w:w="2414" w:type="dxa"/>
            <w:gridSpan w:val="2"/>
            <w:tcMar>
              <w:left w:w="0" w:type="dxa"/>
              <w:right w:w="0" w:type="dxa"/>
            </w:tcMar>
          </w:tcPr>
          <w:p w14:paraId="393CFF75"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F</w:t>
            </w:r>
          </w:p>
        </w:tc>
        <w:tc>
          <w:tcPr>
            <w:tcW w:w="1579" w:type="dxa"/>
            <w:tcMar>
              <w:left w:w="0" w:type="dxa"/>
              <w:right w:w="0" w:type="dxa"/>
            </w:tcMar>
          </w:tcPr>
          <w:p w14:paraId="7420F2AF" w14:textId="77777777" w:rsidR="00BE2CA7" w:rsidRPr="00440C76" w:rsidRDefault="00BE2CA7" w:rsidP="002B0590">
            <w:pPr>
              <w:spacing w:before="60" w:after="60" w:line="220" w:lineRule="atLeast"/>
              <w:ind w:left="57" w:right="57"/>
              <w:rPr>
                <w:i/>
                <w:iCs/>
                <w:sz w:val="18"/>
                <w:szCs w:val="18"/>
                <w:lang w:val="fr-FR"/>
              </w:rPr>
            </w:pPr>
          </w:p>
        </w:tc>
      </w:tr>
      <w:tr w:rsidR="00BE2CA7" w:rsidRPr="00440C76" w14:paraId="1FA29D44" w14:textId="77777777" w:rsidTr="002B0590">
        <w:tc>
          <w:tcPr>
            <w:tcW w:w="848" w:type="dxa"/>
            <w:tcMar>
              <w:left w:w="0" w:type="dxa"/>
              <w:right w:w="0" w:type="dxa"/>
            </w:tcMar>
          </w:tcPr>
          <w:p w14:paraId="56DEB844" w14:textId="77777777" w:rsidR="00BE2CA7" w:rsidRPr="00440C76" w:rsidRDefault="00BE2CA7" w:rsidP="002B0590">
            <w:pPr>
              <w:keepNext/>
              <w:spacing w:before="60" w:after="60" w:line="220" w:lineRule="atLeast"/>
              <w:ind w:left="57" w:right="57"/>
              <w:rPr>
                <w:sz w:val="18"/>
                <w:szCs w:val="18"/>
                <w:lang w:val="fr-FR"/>
              </w:rPr>
            </w:pPr>
            <w:r w:rsidRPr="00440C76">
              <w:rPr>
                <w:sz w:val="18"/>
                <w:szCs w:val="18"/>
                <w:lang w:val="fr-FR"/>
              </w:rPr>
              <w:lastRenderedPageBreak/>
              <w:t>13</w:t>
            </w:r>
          </w:p>
        </w:tc>
        <w:tc>
          <w:tcPr>
            <w:tcW w:w="4445" w:type="dxa"/>
            <w:tcMar>
              <w:left w:w="0" w:type="dxa"/>
              <w:right w:w="0" w:type="dxa"/>
            </w:tcMar>
          </w:tcPr>
          <w:p w14:paraId="394FF3B4"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Vérification des niveaux de liquide</w:t>
            </w:r>
          </w:p>
          <w:p w14:paraId="4B45028D" w14:textId="77777777" w:rsidR="00BE2CA7" w:rsidRPr="00440C76" w:rsidRDefault="00BE2CA7" w:rsidP="002B0590">
            <w:pPr>
              <w:spacing w:before="60" w:after="60" w:line="220" w:lineRule="atLeast"/>
              <w:ind w:left="57" w:right="57"/>
              <w:rPr>
                <w:sz w:val="18"/>
                <w:szCs w:val="18"/>
                <w:lang w:val="fr-FR"/>
              </w:rPr>
            </w:pPr>
            <w:r w:rsidRPr="00440C76">
              <w:rPr>
                <w:sz w:val="18"/>
                <w:szCs w:val="18"/>
                <w:lang w:val="fr-FR"/>
              </w:rPr>
              <w:t>Vérifier les niveaux maximum et minimum (huile moteur, liquide de refroidissement) / faire l</w:t>
            </w:r>
            <w:r>
              <w:rPr>
                <w:sz w:val="18"/>
                <w:szCs w:val="18"/>
                <w:lang w:val="fr-FR"/>
              </w:rPr>
              <w:t>’</w:t>
            </w:r>
            <w:r w:rsidRPr="00440C76">
              <w:rPr>
                <w:sz w:val="18"/>
                <w:szCs w:val="18"/>
                <w:lang w:val="fr-FR"/>
              </w:rPr>
              <w:t>appoint si en deçà du minimum.</w:t>
            </w:r>
          </w:p>
        </w:tc>
        <w:tc>
          <w:tcPr>
            <w:tcW w:w="1114" w:type="dxa"/>
            <w:tcMar>
              <w:left w:w="0" w:type="dxa"/>
              <w:right w:w="0" w:type="dxa"/>
            </w:tcMar>
          </w:tcPr>
          <w:p w14:paraId="317FC3F9" w14:textId="77777777" w:rsidR="00BE2CA7" w:rsidRPr="00440C76" w:rsidRDefault="00BE2CA7" w:rsidP="002B0590">
            <w:pPr>
              <w:spacing w:before="60" w:after="60" w:line="220" w:lineRule="atLeast"/>
              <w:ind w:left="57" w:right="57"/>
              <w:rPr>
                <w:i/>
                <w:iCs/>
                <w:sz w:val="18"/>
                <w:szCs w:val="18"/>
                <w:lang w:val="fr-FR"/>
              </w:rPr>
            </w:pPr>
          </w:p>
        </w:tc>
        <w:tc>
          <w:tcPr>
            <w:tcW w:w="1300" w:type="dxa"/>
            <w:tcMar>
              <w:left w:w="0" w:type="dxa"/>
              <w:right w:w="0" w:type="dxa"/>
            </w:tcMar>
          </w:tcPr>
          <w:p w14:paraId="0D8DFEC0" w14:textId="77777777" w:rsidR="00BE2CA7" w:rsidRPr="00440C76" w:rsidRDefault="00BE2CA7" w:rsidP="002B0590">
            <w:pPr>
              <w:spacing w:before="60" w:after="60" w:line="220" w:lineRule="atLeast"/>
              <w:ind w:left="57" w:right="57"/>
              <w:rPr>
                <w:i/>
                <w:iCs/>
                <w:sz w:val="18"/>
                <w:szCs w:val="18"/>
                <w:lang w:val="fr-FR"/>
              </w:rPr>
            </w:pPr>
          </w:p>
        </w:tc>
        <w:tc>
          <w:tcPr>
            <w:tcW w:w="1579" w:type="dxa"/>
            <w:tcMar>
              <w:left w:w="0" w:type="dxa"/>
              <w:right w:w="0" w:type="dxa"/>
            </w:tcMar>
          </w:tcPr>
          <w:p w14:paraId="1B72D6AE"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x</w:t>
            </w:r>
          </w:p>
        </w:tc>
      </w:tr>
      <w:tr w:rsidR="00BE2CA7" w:rsidRPr="00440C76" w14:paraId="4D4CEE9F" w14:textId="77777777" w:rsidTr="002B0590">
        <w:tc>
          <w:tcPr>
            <w:tcW w:w="848" w:type="dxa"/>
            <w:tcMar>
              <w:left w:w="0" w:type="dxa"/>
              <w:right w:w="0" w:type="dxa"/>
            </w:tcMar>
          </w:tcPr>
          <w:p w14:paraId="3C77FB31" w14:textId="77777777" w:rsidR="00BE2CA7" w:rsidRPr="00440C76" w:rsidRDefault="00BE2CA7" w:rsidP="002B0590">
            <w:pPr>
              <w:spacing w:before="60" w:after="60" w:line="220" w:lineRule="atLeast"/>
              <w:ind w:left="57" w:right="57"/>
              <w:rPr>
                <w:sz w:val="18"/>
                <w:szCs w:val="18"/>
                <w:lang w:val="fr-FR"/>
              </w:rPr>
            </w:pPr>
            <w:r w:rsidRPr="00440C76">
              <w:rPr>
                <w:sz w:val="18"/>
                <w:szCs w:val="18"/>
                <w:lang w:val="fr-FR"/>
              </w:rPr>
              <w:t>14</w:t>
            </w:r>
          </w:p>
        </w:tc>
        <w:tc>
          <w:tcPr>
            <w:tcW w:w="4445" w:type="dxa"/>
            <w:tcMar>
              <w:left w:w="0" w:type="dxa"/>
              <w:right w:w="0" w:type="dxa"/>
            </w:tcMar>
          </w:tcPr>
          <w:p w14:paraId="61EC5732"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Trappe du réservoir (uniquement pour les essais d</w:t>
            </w:r>
            <w:r>
              <w:rPr>
                <w:i/>
                <w:iCs/>
                <w:sz w:val="18"/>
                <w:szCs w:val="18"/>
                <w:lang w:val="fr-FR"/>
              </w:rPr>
              <w:t>’</w:t>
            </w:r>
            <w:r w:rsidRPr="00440C76">
              <w:rPr>
                <w:i/>
                <w:iCs/>
                <w:sz w:val="18"/>
                <w:szCs w:val="18"/>
                <w:lang w:val="fr-FR"/>
              </w:rPr>
              <w:t>émissions par évaporation)</w:t>
            </w:r>
          </w:p>
          <w:p w14:paraId="42DA158C" w14:textId="77777777" w:rsidR="00BE2CA7" w:rsidRPr="00440C76" w:rsidRDefault="00BE2CA7" w:rsidP="002B0590">
            <w:pPr>
              <w:spacing w:before="60" w:after="60" w:line="220" w:lineRule="atLeast"/>
              <w:ind w:left="57" w:right="57"/>
              <w:rPr>
                <w:sz w:val="18"/>
                <w:szCs w:val="18"/>
                <w:lang w:val="fr-FR"/>
              </w:rPr>
            </w:pPr>
            <w:r w:rsidRPr="00440C76">
              <w:rPr>
                <w:sz w:val="18"/>
                <w:szCs w:val="18"/>
                <w:lang w:val="fr-FR"/>
              </w:rPr>
              <w:t>Vérifier que la ligne de niveau à l</w:t>
            </w:r>
            <w:r>
              <w:rPr>
                <w:sz w:val="18"/>
                <w:szCs w:val="18"/>
                <w:lang w:val="fr-FR"/>
              </w:rPr>
              <w:t>’</w:t>
            </w:r>
            <w:r w:rsidRPr="00440C76">
              <w:rPr>
                <w:sz w:val="18"/>
                <w:szCs w:val="18"/>
                <w:lang w:val="fr-FR"/>
              </w:rPr>
              <w:t xml:space="preserve">intérieur de la trappe est </w:t>
            </w:r>
            <w:proofErr w:type="spellStart"/>
            <w:r w:rsidRPr="00440C76">
              <w:rPr>
                <w:sz w:val="18"/>
                <w:szCs w:val="18"/>
                <w:lang w:val="fr-FR"/>
              </w:rPr>
              <w:t>complètement</w:t>
            </w:r>
            <w:proofErr w:type="spellEnd"/>
            <w:r w:rsidRPr="00440C76">
              <w:rPr>
                <w:sz w:val="18"/>
                <w:szCs w:val="18"/>
                <w:lang w:val="fr-FR"/>
              </w:rPr>
              <w:t xml:space="preserve"> exempte de résidus ou rincer à l</w:t>
            </w:r>
            <w:r>
              <w:rPr>
                <w:sz w:val="18"/>
                <w:szCs w:val="18"/>
                <w:lang w:val="fr-FR"/>
              </w:rPr>
              <w:t>’</w:t>
            </w:r>
            <w:r w:rsidRPr="00440C76">
              <w:rPr>
                <w:sz w:val="18"/>
                <w:szCs w:val="18"/>
                <w:lang w:val="fr-FR"/>
              </w:rPr>
              <w:t>eau chaude.</w:t>
            </w:r>
          </w:p>
        </w:tc>
        <w:tc>
          <w:tcPr>
            <w:tcW w:w="1114" w:type="dxa"/>
            <w:tcMar>
              <w:left w:w="0" w:type="dxa"/>
              <w:right w:w="0" w:type="dxa"/>
            </w:tcMar>
          </w:tcPr>
          <w:p w14:paraId="4379636A" w14:textId="77777777" w:rsidR="00BE2CA7" w:rsidRPr="00440C76" w:rsidRDefault="00BE2CA7" w:rsidP="002B0590">
            <w:pPr>
              <w:spacing w:before="60" w:after="60" w:line="220" w:lineRule="atLeast"/>
              <w:ind w:left="57" w:right="57"/>
              <w:rPr>
                <w:i/>
                <w:iCs/>
                <w:sz w:val="18"/>
                <w:szCs w:val="18"/>
                <w:lang w:val="fr-FR"/>
              </w:rPr>
            </w:pPr>
          </w:p>
        </w:tc>
        <w:tc>
          <w:tcPr>
            <w:tcW w:w="1300" w:type="dxa"/>
            <w:tcMar>
              <w:left w:w="0" w:type="dxa"/>
              <w:right w:w="0" w:type="dxa"/>
            </w:tcMar>
          </w:tcPr>
          <w:p w14:paraId="22E7C542" w14:textId="77777777" w:rsidR="00BE2CA7" w:rsidRPr="00440C76" w:rsidRDefault="00BE2CA7" w:rsidP="002B0590">
            <w:pPr>
              <w:spacing w:before="60" w:after="60" w:line="220" w:lineRule="atLeast"/>
              <w:ind w:left="57" w:right="57"/>
              <w:rPr>
                <w:i/>
                <w:iCs/>
                <w:sz w:val="18"/>
                <w:szCs w:val="18"/>
                <w:lang w:val="fr-FR"/>
              </w:rPr>
            </w:pPr>
          </w:p>
        </w:tc>
        <w:tc>
          <w:tcPr>
            <w:tcW w:w="1579" w:type="dxa"/>
            <w:tcMar>
              <w:left w:w="0" w:type="dxa"/>
              <w:right w:w="0" w:type="dxa"/>
            </w:tcMar>
          </w:tcPr>
          <w:p w14:paraId="30873019"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x</w:t>
            </w:r>
          </w:p>
        </w:tc>
      </w:tr>
      <w:tr w:rsidR="00BE2CA7" w:rsidRPr="00440C76" w14:paraId="2F0A7AD7" w14:textId="77777777" w:rsidTr="002B0590">
        <w:tc>
          <w:tcPr>
            <w:tcW w:w="848" w:type="dxa"/>
            <w:tcMar>
              <w:left w:w="0" w:type="dxa"/>
              <w:right w:w="0" w:type="dxa"/>
            </w:tcMar>
          </w:tcPr>
          <w:p w14:paraId="1B6B24CD" w14:textId="77777777" w:rsidR="00BE2CA7" w:rsidRPr="00440C76" w:rsidRDefault="00BE2CA7" w:rsidP="002B0590">
            <w:pPr>
              <w:spacing w:before="60" w:after="60" w:line="220" w:lineRule="atLeast"/>
              <w:ind w:left="57" w:right="57"/>
              <w:rPr>
                <w:sz w:val="18"/>
                <w:szCs w:val="18"/>
                <w:lang w:val="fr-FR"/>
              </w:rPr>
            </w:pPr>
            <w:r w:rsidRPr="00440C76">
              <w:rPr>
                <w:sz w:val="18"/>
                <w:szCs w:val="18"/>
                <w:lang w:val="fr-FR"/>
              </w:rPr>
              <w:t>15</w:t>
            </w:r>
          </w:p>
        </w:tc>
        <w:tc>
          <w:tcPr>
            <w:tcW w:w="4445" w:type="dxa"/>
            <w:tcMar>
              <w:left w:w="0" w:type="dxa"/>
              <w:right w:w="0" w:type="dxa"/>
            </w:tcMar>
          </w:tcPr>
          <w:p w14:paraId="786F9A8B"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Flexibles à dépression et câblage électrique</w:t>
            </w:r>
          </w:p>
          <w:p w14:paraId="6C88D109" w14:textId="77777777" w:rsidR="00BE2CA7" w:rsidRPr="00440C76" w:rsidRDefault="00BE2CA7" w:rsidP="002B0590">
            <w:pPr>
              <w:spacing w:before="60" w:after="60" w:line="220" w:lineRule="atLeast"/>
              <w:ind w:left="57" w:right="57"/>
              <w:rPr>
                <w:i/>
                <w:iCs/>
                <w:sz w:val="18"/>
                <w:szCs w:val="18"/>
                <w:lang w:val="fr-FR"/>
              </w:rPr>
            </w:pPr>
            <w:r w:rsidRPr="00440C76">
              <w:rPr>
                <w:sz w:val="18"/>
                <w:szCs w:val="18"/>
                <w:lang w:val="fr-FR"/>
              </w:rPr>
              <w:t>Vérifier l</w:t>
            </w:r>
            <w:r>
              <w:rPr>
                <w:sz w:val="18"/>
                <w:szCs w:val="18"/>
                <w:lang w:val="fr-FR"/>
              </w:rPr>
              <w:t>’</w:t>
            </w:r>
            <w:r w:rsidRPr="00440C76">
              <w:rPr>
                <w:sz w:val="18"/>
                <w:szCs w:val="18"/>
                <w:lang w:val="fr-FR"/>
              </w:rPr>
              <w:t>intégrité de l</w:t>
            </w:r>
            <w:r>
              <w:rPr>
                <w:sz w:val="18"/>
                <w:szCs w:val="18"/>
                <w:lang w:val="fr-FR"/>
              </w:rPr>
              <w:t>’</w:t>
            </w:r>
            <w:r w:rsidRPr="00440C76">
              <w:rPr>
                <w:sz w:val="18"/>
                <w:szCs w:val="18"/>
                <w:lang w:val="fr-FR"/>
              </w:rPr>
              <w:t>ensemble.</w:t>
            </w:r>
            <w:r w:rsidRPr="00440C76">
              <w:rPr>
                <w:i/>
                <w:iCs/>
                <w:sz w:val="18"/>
                <w:szCs w:val="18"/>
                <w:lang w:val="fr-FR"/>
              </w:rPr>
              <w:t xml:space="preserve"> En cas de détériorations, le véhicule est déclaré défectueux.</w:t>
            </w:r>
            <w:r>
              <w:rPr>
                <w:i/>
                <w:iCs/>
                <w:sz w:val="18"/>
                <w:szCs w:val="18"/>
                <w:lang w:val="fr-FR"/>
              </w:rPr>
              <w:t xml:space="preserve"> </w:t>
            </w:r>
            <w:r w:rsidRPr="00440C76">
              <w:rPr>
                <w:i/>
                <w:iCs/>
                <w:sz w:val="18"/>
                <w:szCs w:val="18"/>
                <w:lang w:val="fr-FR"/>
              </w:rPr>
              <w:t>Documenter avec photos</w:t>
            </w:r>
            <w:r>
              <w:rPr>
                <w:i/>
                <w:iCs/>
                <w:sz w:val="18"/>
                <w:szCs w:val="18"/>
                <w:lang w:val="fr-FR"/>
              </w:rPr>
              <w:t>.</w:t>
            </w:r>
          </w:p>
        </w:tc>
        <w:tc>
          <w:tcPr>
            <w:tcW w:w="2414" w:type="dxa"/>
            <w:gridSpan w:val="2"/>
            <w:tcMar>
              <w:left w:w="0" w:type="dxa"/>
              <w:right w:w="0" w:type="dxa"/>
            </w:tcMar>
          </w:tcPr>
          <w:p w14:paraId="57C840ED"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F</w:t>
            </w:r>
          </w:p>
        </w:tc>
        <w:tc>
          <w:tcPr>
            <w:tcW w:w="1579" w:type="dxa"/>
            <w:tcMar>
              <w:left w:w="0" w:type="dxa"/>
              <w:right w:w="0" w:type="dxa"/>
            </w:tcMar>
          </w:tcPr>
          <w:p w14:paraId="386FAB46" w14:textId="77777777" w:rsidR="00BE2CA7" w:rsidRPr="00440C76" w:rsidRDefault="00BE2CA7" w:rsidP="002B0590">
            <w:pPr>
              <w:spacing w:before="60" w:after="60" w:line="220" w:lineRule="atLeast"/>
              <w:ind w:left="57" w:right="57"/>
              <w:rPr>
                <w:i/>
                <w:iCs/>
                <w:sz w:val="18"/>
                <w:szCs w:val="18"/>
                <w:lang w:val="fr-FR"/>
              </w:rPr>
            </w:pPr>
          </w:p>
        </w:tc>
      </w:tr>
      <w:tr w:rsidR="00BE2CA7" w:rsidRPr="00440C76" w14:paraId="05BB6E69" w14:textId="77777777" w:rsidTr="002B0590">
        <w:tc>
          <w:tcPr>
            <w:tcW w:w="848" w:type="dxa"/>
            <w:tcMar>
              <w:left w:w="0" w:type="dxa"/>
              <w:right w:w="0" w:type="dxa"/>
            </w:tcMar>
          </w:tcPr>
          <w:p w14:paraId="40175EDA" w14:textId="77777777" w:rsidR="00BE2CA7" w:rsidRPr="00440C76" w:rsidRDefault="00BE2CA7" w:rsidP="002B0590">
            <w:pPr>
              <w:spacing w:before="60" w:after="60" w:line="220" w:lineRule="atLeast"/>
              <w:ind w:left="57" w:right="57"/>
              <w:rPr>
                <w:sz w:val="18"/>
                <w:szCs w:val="18"/>
                <w:lang w:val="fr-FR"/>
              </w:rPr>
            </w:pPr>
            <w:r w:rsidRPr="00440C76">
              <w:rPr>
                <w:sz w:val="18"/>
                <w:szCs w:val="18"/>
                <w:lang w:val="fr-FR"/>
              </w:rPr>
              <w:t>16</w:t>
            </w:r>
          </w:p>
        </w:tc>
        <w:tc>
          <w:tcPr>
            <w:tcW w:w="4445" w:type="dxa"/>
            <w:tcMar>
              <w:left w:w="0" w:type="dxa"/>
              <w:right w:w="0" w:type="dxa"/>
            </w:tcMar>
          </w:tcPr>
          <w:p w14:paraId="5B9E9561"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Injecteurs/câblage</w:t>
            </w:r>
          </w:p>
          <w:p w14:paraId="6DD58F50" w14:textId="77777777" w:rsidR="00BE2CA7" w:rsidRPr="00440C76" w:rsidRDefault="00BE2CA7" w:rsidP="002B0590">
            <w:pPr>
              <w:spacing w:before="60" w:after="60" w:line="220" w:lineRule="atLeast"/>
              <w:ind w:left="57" w:right="57"/>
              <w:rPr>
                <w:sz w:val="18"/>
                <w:szCs w:val="18"/>
                <w:lang w:val="fr-FR"/>
              </w:rPr>
            </w:pPr>
            <w:r w:rsidRPr="00440C76">
              <w:rPr>
                <w:sz w:val="18"/>
                <w:szCs w:val="18"/>
                <w:lang w:val="fr-FR"/>
              </w:rPr>
              <w:t>Vérifier tous les câbles et les tuyaux de carburant.</w:t>
            </w:r>
            <w:r w:rsidRPr="00440C76">
              <w:rPr>
                <w:i/>
                <w:iCs/>
                <w:sz w:val="18"/>
                <w:szCs w:val="18"/>
                <w:lang w:val="fr-FR"/>
              </w:rPr>
              <w:t xml:space="preserve"> En cas de détériorations, le véhicule est déclaré défectueux. Documenter avec photos</w:t>
            </w:r>
            <w:r>
              <w:rPr>
                <w:i/>
                <w:iCs/>
                <w:sz w:val="18"/>
                <w:szCs w:val="18"/>
                <w:lang w:val="fr-FR"/>
              </w:rPr>
              <w:t>.</w:t>
            </w:r>
          </w:p>
        </w:tc>
        <w:tc>
          <w:tcPr>
            <w:tcW w:w="2414" w:type="dxa"/>
            <w:gridSpan w:val="2"/>
            <w:tcMar>
              <w:left w:w="0" w:type="dxa"/>
              <w:right w:w="0" w:type="dxa"/>
            </w:tcMar>
          </w:tcPr>
          <w:p w14:paraId="34E7F18A"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F</w:t>
            </w:r>
          </w:p>
        </w:tc>
        <w:tc>
          <w:tcPr>
            <w:tcW w:w="1579" w:type="dxa"/>
            <w:tcMar>
              <w:left w:w="0" w:type="dxa"/>
              <w:right w:w="0" w:type="dxa"/>
            </w:tcMar>
          </w:tcPr>
          <w:p w14:paraId="412A102D" w14:textId="77777777" w:rsidR="00BE2CA7" w:rsidRPr="00440C76" w:rsidRDefault="00BE2CA7" w:rsidP="002B0590">
            <w:pPr>
              <w:spacing w:before="60" w:after="60" w:line="220" w:lineRule="atLeast"/>
              <w:ind w:left="57" w:right="57"/>
              <w:rPr>
                <w:i/>
                <w:iCs/>
                <w:sz w:val="18"/>
                <w:szCs w:val="18"/>
                <w:lang w:val="fr-FR"/>
              </w:rPr>
            </w:pPr>
          </w:p>
        </w:tc>
      </w:tr>
      <w:tr w:rsidR="00BE2CA7" w:rsidRPr="00440C76" w14:paraId="3A0FC836" w14:textId="77777777" w:rsidTr="002B0590">
        <w:tc>
          <w:tcPr>
            <w:tcW w:w="848" w:type="dxa"/>
            <w:tcMar>
              <w:left w:w="0" w:type="dxa"/>
              <w:right w:w="0" w:type="dxa"/>
            </w:tcMar>
          </w:tcPr>
          <w:p w14:paraId="02876061" w14:textId="77777777" w:rsidR="00BE2CA7" w:rsidRPr="00440C76" w:rsidRDefault="00BE2CA7" w:rsidP="002B0590">
            <w:pPr>
              <w:spacing w:before="60" w:after="60" w:line="220" w:lineRule="atLeast"/>
              <w:ind w:left="57" w:right="57"/>
              <w:rPr>
                <w:sz w:val="18"/>
                <w:szCs w:val="18"/>
                <w:lang w:val="fr-FR"/>
              </w:rPr>
            </w:pPr>
            <w:r w:rsidRPr="00440C76">
              <w:rPr>
                <w:sz w:val="18"/>
                <w:szCs w:val="18"/>
                <w:lang w:val="fr-FR"/>
              </w:rPr>
              <w:t>17</w:t>
            </w:r>
          </w:p>
        </w:tc>
        <w:tc>
          <w:tcPr>
            <w:tcW w:w="4445" w:type="dxa"/>
            <w:tcMar>
              <w:left w:w="0" w:type="dxa"/>
              <w:right w:w="0" w:type="dxa"/>
            </w:tcMar>
          </w:tcPr>
          <w:p w14:paraId="1E891F7D"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Câble d</w:t>
            </w:r>
            <w:r>
              <w:rPr>
                <w:i/>
                <w:iCs/>
                <w:sz w:val="18"/>
                <w:szCs w:val="18"/>
                <w:lang w:val="fr-FR"/>
              </w:rPr>
              <w:t>’</w:t>
            </w:r>
            <w:r w:rsidRPr="00440C76">
              <w:rPr>
                <w:i/>
                <w:iCs/>
                <w:sz w:val="18"/>
                <w:szCs w:val="18"/>
                <w:lang w:val="fr-FR"/>
              </w:rPr>
              <w:t>allumage (essence)</w:t>
            </w:r>
          </w:p>
          <w:p w14:paraId="0D89C55F" w14:textId="77777777" w:rsidR="00BE2CA7" w:rsidRPr="00440C76" w:rsidRDefault="00BE2CA7" w:rsidP="002B0590">
            <w:pPr>
              <w:spacing w:before="60" w:after="60" w:line="220" w:lineRule="atLeast"/>
              <w:ind w:left="57" w:right="57"/>
              <w:rPr>
                <w:sz w:val="18"/>
                <w:szCs w:val="18"/>
                <w:lang w:val="fr-FR"/>
              </w:rPr>
            </w:pPr>
            <w:r w:rsidRPr="00440C76">
              <w:rPr>
                <w:sz w:val="18"/>
                <w:szCs w:val="18"/>
                <w:lang w:val="fr-FR"/>
              </w:rPr>
              <w:t>Vérifier les bougies, les câbles, etc. En cas de détérioration, les remplacer</w:t>
            </w:r>
            <w:r>
              <w:rPr>
                <w:sz w:val="18"/>
                <w:szCs w:val="18"/>
                <w:lang w:val="fr-FR"/>
              </w:rPr>
              <w:t>.</w:t>
            </w:r>
          </w:p>
        </w:tc>
        <w:tc>
          <w:tcPr>
            <w:tcW w:w="1114" w:type="dxa"/>
            <w:tcMar>
              <w:left w:w="0" w:type="dxa"/>
              <w:right w:w="0" w:type="dxa"/>
            </w:tcMar>
          </w:tcPr>
          <w:p w14:paraId="79659883" w14:textId="77777777" w:rsidR="00BE2CA7" w:rsidRPr="00440C76" w:rsidRDefault="00BE2CA7" w:rsidP="002B0590">
            <w:pPr>
              <w:spacing w:before="60" w:after="60" w:line="220" w:lineRule="atLeast"/>
              <w:ind w:left="57" w:right="57"/>
              <w:rPr>
                <w:i/>
                <w:iCs/>
                <w:sz w:val="18"/>
                <w:szCs w:val="18"/>
                <w:lang w:val="fr-FR"/>
              </w:rPr>
            </w:pPr>
          </w:p>
        </w:tc>
        <w:tc>
          <w:tcPr>
            <w:tcW w:w="1300" w:type="dxa"/>
            <w:tcMar>
              <w:left w:w="0" w:type="dxa"/>
              <w:right w:w="0" w:type="dxa"/>
            </w:tcMar>
          </w:tcPr>
          <w:p w14:paraId="4998D2F9" w14:textId="77777777" w:rsidR="00BE2CA7" w:rsidRPr="00440C76" w:rsidRDefault="00BE2CA7" w:rsidP="002B0590">
            <w:pPr>
              <w:spacing w:before="60" w:after="60" w:line="220" w:lineRule="atLeast"/>
              <w:ind w:left="57" w:right="57"/>
              <w:rPr>
                <w:i/>
                <w:iCs/>
                <w:sz w:val="18"/>
                <w:szCs w:val="18"/>
                <w:lang w:val="fr-FR"/>
              </w:rPr>
            </w:pPr>
          </w:p>
        </w:tc>
        <w:tc>
          <w:tcPr>
            <w:tcW w:w="1579" w:type="dxa"/>
            <w:tcMar>
              <w:left w:w="0" w:type="dxa"/>
              <w:right w:w="0" w:type="dxa"/>
            </w:tcMar>
          </w:tcPr>
          <w:p w14:paraId="06E27E31"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x</w:t>
            </w:r>
          </w:p>
        </w:tc>
      </w:tr>
      <w:tr w:rsidR="00BE2CA7" w:rsidRPr="00440C76" w14:paraId="12BCF89D" w14:textId="77777777" w:rsidTr="002B0590">
        <w:tc>
          <w:tcPr>
            <w:tcW w:w="848" w:type="dxa"/>
            <w:tcMar>
              <w:left w:w="0" w:type="dxa"/>
              <w:right w:w="0" w:type="dxa"/>
            </w:tcMar>
          </w:tcPr>
          <w:p w14:paraId="0A80921E" w14:textId="77777777" w:rsidR="00BE2CA7" w:rsidRPr="00440C76" w:rsidRDefault="00BE2CA7" w:rsidP="002B0590">
            <w:pPr>
              <w:keepNext/>
              <w:keepLines/>
              <w:spacing w:before="60" w:after="60" w:line="220" w:lineRule="atLeast"/>
              <w:ind w:left="57" w:right="57"/>
              <w:rPr>
                <w:sz w:val="18"/>
                <w:szCs w:val="18"/>
                <w:lang w:val="fr-FR"/>
              </w:rPr>
            </w:pPr>
            <w:r w:rsidRPr="00440C76">
              <w:rPr>
                <w:sz w:val="18"/>
                <w:szCs w:val="18"/>
                <w:lang w:val="fr-FR"/>
              </w:rPr>
              <w:t>18</w:t>
            </w:r>
          </w:p>
        </w:tc>
        <w:tc>
          <w:tcPr>
            <w:tcW w:w="4445" w:type="dxa"/>
            <w:tcMar>
              <w:left w:w="0" w:type="dxa"/>
              <w:right w:w="0" w:type="dxa"/>
            </w:tcMar>
          </w:tcPr>
          <w:p w14:paraId="01723BDB" w14:textId="77777777" w:rsidR="00BE2CA7" w:rsidRPr="00440C76" w:rsidRDefault="00BE2CA7" w:rsidP="002B0590">
            <w:pPr>
              <w:keepNext/>
              <w:keepLines/>
              <w:spacing w:before="60" w:after="60" w:line="220" w:lineRule="atLeast"/>
              <w:ind w:left="57" w:right="57"/>
              <w:rPr>
                <w:i/>
                <w:iCs/>
                <w:sz w:val="18"/>
                <w:szCs w:val="18"/>
                <w:lang w:val="fr-FR"/>
              </w:rPr>
            </w:pPr>
            <w:r w:rsidRPr="00440C76">
              <w:rPr>
                <w:i/>
                <w:iCs/>
                <w:sz w:val="18"/>
                <w:szCs w:val="18"/>
                <w:lang w:val="fr-FR"/>
              </w:rPr>
              <w:t>EGR et catalyseur, filtre à particules</w:t>
            </w:r>
          </w:p>
          <w:p w14:paraId="166EE174" w14:textId="77777777" w:rsidR="00BE2CA7" w:rsidRPr="00440C76" w:rsidRDefault="00BE2CA7" w:rsidP="002B0590">
            <w:pPr>
              <w:keepNext/>
              <w:keepLines/>
              <w:spacing w:before="60" w:after="60" w:line="220" w:lineRule="atLeast"/>
              <w:ind w:left="57" w:right="57"/>
              <w:rPr>
                <w:sz w:val="18"/>
                <w:szCs w:val="18"/>
                <w:lang w:val="fr-FR"/>
              </w:rPr>
            </w:pPr>
            <w:r w:rsidRPr="00440C76">
              <w:rPr>
                <w:sz w:val="18"/>
                <w:szCs w:val="18"/>
                <w:lang w:val="fr-FR"/>
              </w:rPr>
              <w:t>Vérifier tous les câbles, les fils et les capteurs.</w:t>
            </w:r>
          </w:p>
          <w:p w14:paraId="36CBEF04" w14:textId="77777777" w:rsidR="00BE2CA7" w:rsidRPr="00440C76" w:rsidRDefault="00BE2CA7" w:rsidP="002B0590">
            <w:pPr>
              <w:keepNext/>
              <w:keepLines/>
              <w:spacing w:before="60" w:after="60" w:line="220" w:lineRule="atLeast"/>
              <w:ind w:left="57" w:right="57"/>
              <w:rPr>
                <w:i/>
                <w:iCs/>
                <w:sz w:val="18"/>
                <w:szCs w:val="18"/>
                <w:lang w:val="fr-FR"/>
              </w:rPr>
            </w:pPr>
            <w:r w:rsidRPr="00440C76">
              <w:rPr>
                <w:i/>
                <w:iCs/>
                <w:sz w:val="18"/>
                <w:szCs w:val="18"/>
                <w:lang w:val="fr-FR"/>
              </w:rPr>
              <w:t>En cas de manipulation, le véhicule ne peut pas être sélectionné.</w:t>
            </w:r>
          </w:p>
          <w:p w14:paraId="489D438F" w14:textId="77777777" w:rsidR="00BE2CA7" w:rsidRPr="00440C76" w:rsidRDefault="00BE2CA7" w:rsidP="002B0590">
            <w:pPr>
              <w:keepNext/>
              <w:keepLines/>
              <w:spacing w:before="60" w:after="60" w:line="220" w:lineRule="atLeast"/>
              <w:ind w:left="57" w:right="57"/>
              <w:rPr>
                <w:sz w:val="18"/>
                <w:szCs w:val="18"/>
                <w:lang w:val="fr-FR"/>
              </w:rPr>
            </w:pPr>
            <w:r w:rsidRPr="00440C76">
              <w:rPr>
                <w:i/>
                <w:iCs/>
                <w:sz w:val="18"/>
                <w:szCs w:val="18"/>
                <w:lang w:val="fr-FR"/>
              </w:rPr>
              <w:t>En cas de détériorations, le véhicule est déclaré défectueux. Documenter avec photos</w:t>
            </w:r>
            <w:r>
              <w:rPr>
                <w:i/>
                <w:iCs/>
                <w:sz w:val="18"/>
                <w:szCs w:val="18"/>
                <w:lang w:val="fr-FR"/>
              </w:rPr>
              <w:t>.</w:t>
            </w:r>
          </w:p>
        </w:tc>
        <w:tc>
          <w:tcPr>
            <w:tcW w:w="2414" w:type="dxa"/>
            <w:gridSpan w:val="2"/>
            <w:tcMar>
              <w:left w:w="0" w:type="dxa"/>
              <w:right w:w="0" w:type="dxa"/>
            </w:tcMar>
          </w:tcPr>
          <w:p w14:paraId="543591AD" w14:textId="77777777" w:rsidR="00BE2CA7" w:rsidRPr="00440C76" w:rsidRDefault="00BE2CA7" w:rsidP="002B0590">
            <w:pPr>
              <w:keepNext/>
              <w:keepLines/>
              <w:spacing w:before="60" w:after="60" w:line="220" w:lineRule="atLeast"/>
              <w:ind w:left="57" w:right="57"/>
              <w:rPr>
                <w:i/>
                <w:iCs/>
                <w:sz w:val="18"/>
                <w:szCs w:val="18"/>
                <w:lang w:val="fr-FR"/>
              </w:rPr>
            </w:pPr>
            <w:r w:rsidRPr="00440C76">
              <w:rPr>
                <w:i/>
                <w:iCs/>
                <w:sz w:val="18"/>
                <w:szCs w:val="18"/>
                <w:lang w:val="fr-FR"/>
              </w:rPr>
              <w:t>x/F</w:t>
            </w:r>
          </w:p>
        </w:tc>
        <w:tc>
          <w:tcPr>
            <w:tcW w:w="1579" w:type="dxa"/>
            <w:tcMar>
              <w:left w:w="0" w:type="dxa"/>
              <w:right w:w="0" w:type="dxa"/>
            </w:tcMar>
          </w:tcPr>
          <w:p w14:paraId="262273B0" w14:textId="77777777" w:rsidR="00BE2CA7" w:rsidRPr="00440C76" w:rsidRDefault="00BE2CA7" w:rsidP="002B0590">
            <w:pPr>
              <w:keepNext/>
              <w:keepLines/>
              <w:spacing w:before="60" w:after="60" w:line="220" w:lineRule="atLeast"/>
              <w:ind w:left="57" w:right="57"/>
              <w:rPr>
                <w:i/>
                <w:iCs/>
                <w:sz w:val="18"/>
                <w:szCs w:val="18"/>
                <w:lang w:val="fr-FR"/>
              </w:rPr>
            </w:pPr>
          </w:p>
        </w:tc>
      </w:tr>
      <w:tr w:rsidR="00BE2CA7" w:rsidRPr="00440C76" w14:paraId="600ED9E4" w14:textId="77777777" w:rsidTr="002B0590">
        <w:tc>
          <w:tcPr>
            <w:tcW w:w="848" w:type="dxa"/>
            <w:tcMar>
              <w:left w:w="0" w:type="dxa"/>
              <w:right w:w="0" w:type="dxa"/>
            </w:tcMar>
          </w:tcPr>
          <w:p w14:paraId="769A520F" w14:textId="77777777" w:rsidR="00BE2CA7" w:rsidRPr="00440C76" w:rsidRDefault="00BE2CA7" w:rsidP="002B0590">
            <w:pPr>
              <w:spacing w:before="60" w:after="60" w:line="220" w:lineRule="atLeast"/>
              <w:ind w:left="57" w:right="57"/>
              <w:rPr>
                <w:sz w:val="18"/>
                <w:szCs w:val="18"/>
                <w:lang w:val="fr-FR"/>
              </w:rPr>
            </w:pPr>
            <w:r w:rsidRPr="00440C76">
              <w:rPr>
                <w:sz w:val="18"/>
                <w:szCs w:val="18"/>
                <w:lang w:val="fr-FR"/>
              </w:rPr>
              <w:t>19</w:t>
            </w:r>
          </w:p>
        </w:tc>
        <w:tc>
          <w:tcPr>
            <w:tcW w:w="4445" w:type="dxa"/>
            <w:tcMar>
              <w:left w:w="0" w:type="dxa"/>
              <w:right w:w="0" w:type="dxa"/>
            </w:tcMar>
          </w:tcPr>
          <w:p w14:paraId="194AFE0A"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Conditions de sécurité</w:t>
            </w:r>
          </w:p>
          <w:p w14:paraId="6D009162" w14:textId="77777777" w:rsidR="00BE2CA7" w:rsidRPr="00440C76" w:rsidRDefault="00BE2CA7" w:rsidP="002B0590">
            <w:pPr>
              <w:spacing w:before="60" w:after="60" w:line="220" w:lineRule="atLeast"/>
              <w:ind w:left="57" w:right="57"/>
              <w:rPr>
                <w:sz w:val="18"/>
                <w:szCs w:val="18"/>
                <w:lang w:val="fr-FR"/>
              </w:rPr>
            </w:pPr>
            <w:r w:rsidRPr="00440C76">
              <w:rPr>
                <w:sz w:val="18"/>
                <w:szCs w:val="18"/>
                <w:lang w:val="fr-FR"/>
              </w:rPr>
              <w:t>Vérifier que les pneumatiques, la carrosserie du véhicule, l</w:t>
            </w:r>
            <w:r>
              <w:rPr>
                <w:sz w:val="18"/>
                <w:szCs w:val="18"/>
                <w:lang w:val="fr-FR"/>
              </w:rPr>
              <w:t>’</w:t>
            </w:r>
            <w:r w:rsidRPr="00440C76">
              <w:rPr>
                <w:sz w:val="18"/>
                <w:szCs w:val="18"/>
                <w:lang w:val="fr-FR"/>
              </w:rPr>
              <w:t>état du système électrique et du système de freinage sont dans de bonnes conditions de sécurité pour les essais et sont conformes aux règles de circulation routière.</w:t>
            </w:r>
          </w:p>
          <w:p w14:paraId="49D64EF1" w14:textId="77777777" w:rsidR="00BE2CA7" w:rsidRPr="00440C76" w:rsidRDefault="00BE2CA7" w:rsidP="002B0590">
            <w:pPr>
              <w:spacing w:before="60" w:after="60" w:line="220" w:lineRule="atLeast"/>
              <w:ind w:left="57" w:right="57"/>
              <w:rPr>
                <w:sz w:val="18"/>
                <w:szCs w:val="18"/>
                <w:lang w:val="fr-FR"/>
              </w:rPr>
            </w:pPr>
            <w:r w:rsidRPr="00440C76">
              <w:rPr>
                <w:i/>
                <w:iCs/>
                <w:sz w:val="18"/>
                <w:szCs w:val="18"/>
                <w:lang w:val="fr-FR"/>
              </w:rPr>
              <w:t>Si tel n</w:t>
            </w:r>
            <w:r>
              <w:rPr>
                <w:i/>
                <w:iCs/>
                <w:sz w:val="18"/>
                <w:szCs w:val="18"/>
                <w:lang w:val="fr-FR"/>
              </w:rPr>
              <w:t>’</w:t>
            </w:r>
            <w:r w:rsidRPr="00440C76">
              <w:rPr>
                <w:i/>
                <w:iCs/>
                <w:sz w:val="18"/>
                <w:szCs w:val="18"/>
                <w:lang w:val="fr-FR"/>
              </w:rPr>
              <w:t>est pas le cas, le véhicule ne peut pas être sélectionné.</w:t>
            </w:r>
          </w:p>
        </w:tc>
        <w:tc>
          <w:tcPr>
            <w:tcW w:w="2414" w:type="dxa"/>
            <w:gridSpan w:val="2"/>
            <w:tcMar>
              <w:left w:w="0" w:type="dxa"/>
              <w:right w:w="0" w:type="dxa"/>
            </w:tcMar>
          </w:tcPr>
          <w:p w14:paraId="3D9F5495"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x</w:t>
            </w:r>
          </w:p>
        </w:tc>
        <w:tc>
          <w:tcPr>
            <w:tcW w:w="1579" w:type="dxa"/>
            <w:tcMar>
              <w:left w:w="0" w:type="dxa"/>
              <w:right w:w="0" w:type="dxa"/>
            </w:tcMar>
          </w:tcPr>
          <w:p w14:paraId="247CBA96" w14:textId="77777777" w:rsidR="00BE2CA7" w:rsidRPr="00440C76" w:rsidRDefault="00BE2CA7" w:rsidP="002B0590">
            <w:pPr>
              <w:spacing w:before="60" w:after="60" w:line="220" w:lineRule="atLeast"/>
              <w:ind w:left="57" w:right="57"/>
              <w:rPr>
                <w:i/>
                <w:iCs/>
                <w:sz w:val="18"/>
                <w:szCs w:val="18"/>
                <w:lang w:val="fr-FR"/>
              </w:rPr>
            </w:pPr>
          </w:p>
        </w:tc>
      </w:tr>
      <w:tr w:rsidR="00BE2CA7" w:rsidRPr="00440C76" w14:paraId="6F932C37" w14:textId="77777777" w:rsidTr="002B0590">
        <w:tc>
          <w:tcPr>
            <w:tcW w:w="848" w:type="dxa"/>
            <w:tcMar>
              <w:left w:w="0" w:type="dxa"/>
              <w:right w:w="0" w:type="dxa"/>
            </w:tcMar>
          </w:tcPr>
          <w:p w14:paraId="34C9F205" w14:textId="77777777" w:rsidR="00BE2CA7" w:rsidRPr="00440C76" w:rsidRDefault="00BE2CA7" w:rsidP="002B0590">
            <w:pPr>
              <w:spacing w:before="60" w:after="60" w:line="220" w:lineRule="atLeast"/>
              <w:ind w:left="57" w:right="57"/>
              <w:rPr>
                <w:sz w:val="18"/>
                <w:szCs w:val="18"/>
                <w:lang w:val="fr-FR"/>
              </w:rPr>
            </w:pPr>
            <w:r w:rsidRPr="00440C76">
              <w:rPr>
                <w:sz w:val="18"/>
                <w:szCs w:val="18"/>
                <w:lang w:val="fr-FR"/>
              </w:rPr>
              <w:t>20</w:t>
            </w:r>
          </w:p>
        </w:tc>
        <w:tc>
          <w:tcPr>
            <w:tcW w:w="4445" w:type="dxa"/>
            <w:tcMar>
              <w:left w:w="0" w:type="dxa"/>
              <w:right w:w="0" w:type="dxa"/>
            </w:tcMar>
          </w:tcPr>
          <w:p w14:paraId="42567CC3"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Semi-remorque</w:t>
            </w:r>
          </w:p>
          <w:p w14:paraId="0AFD219B" w14:textId="77777777" w:rsidR="00BE2CA7" w:rsidRPr="00440C76" w:rsidRDefault="00BE2CA7" w:rsidP="002B0590">
            <w:pPr>
              <w:spacing w:before="60" w:after="60" w:line="220" w:lineRule="atLeast"/>
              <w:ind w:left="57" w:right="57"/>
              <w:rPr>
                <w:sz w:val="18"/>
                <w:szCs w:val="18"/>
                <w:lang w:val="fr-FR"/>
              </w:rPr>
            </w:pPr>
            <w:r w:rsidRPr="00440C76">
              <w:rPr>
                <w:sz w:val="18"/>
                <w:szCs w:val="18"/>
                <w:lang w:val="fr-FR"/>
              </w:rPr>
              <w:t>Au besoin, les câbles électriques nécessaires au raccordement de la semi-remorque sont-ils présents ?</w:t>
            </w:r>
          </w:p>
        </w:tc>
        <w:tc>
          <w:tcPr>
            <w:tcW w:w="1114" w:type="dxa"/>
            <w:tcMar>
              <w:left w:w="0" w:type="dxa"/>
              <w:right w:w="0" w:type="dxa"/>
            </w:tcMar>
          </w:tcPr>
          <w:p w14:paraId="2BFEE5D7" w14:textId="77777777" w:rsidR="00BE2CA7" w:rsidRPr="00440C76" w:rsidRDefault="00BE2CA7" w:rsidP="002B0590">
            <w:pPr>
              <w:spacing w:before="60" w:after="60" w:line="220" w:lineRule="atLeast"/>
              <w:ind w:left="57" w:right="57"/>
              <w:rPr>
                <w:i/>
                <w:iCs/>
                <w:sz w:val="18"/>
                <w:szCs w:val="18"/>
                <w:lang w:val="fr-FR"/>
              </w:rPr>
            </w:pPr>
          </w:p>
        </w:tc>
        <w:tc>
          <w:tcPr>
            <w:tcW w:w="1300" w:type="dxa"/>
            <w:tcMar>
              <w:left w:w="0" w:type="dxa"/>
              <w:right w:w="0" w:type="dxa"/>
            </w:tcMar>
          </w:tcPr>
          <w:p w14:paraId="6CC43B39" w14:textId="77777777" w:rsidR="00BE2CA7" w:rsidRPr="00440C76" w:rsidRDefault="00BE2CA7" w:rsidP="002B0590">
            <w:pPr>
              <w:spacing w:before="60" w:after="60" w:line="220" w:lineRule="atLeast"/>
              <w:ind w:left="57" w:right="57"/>
              <w:rPr>
                <w:i/>
                <w:iCs/>
                <w:sz w:val="18"/>
                <w:szCs w:val="18"/>
                <w:lang w:val="fr-FR"/>
              </w:rPr>
            </w:pPr>
          </w:p>
        </w:tc>
        <w:tc>
          <w:tcPr>
            <w:tcW w:w="1579" w:type="dxa"/>
            <w:tcMar>
              <w:left w:w="0" w:type="dxa"/>
              <w:right w:w="0" w:type="dxa"/>
            </w:tcMar>
          </w:tcPr>
          <w:p w14:paraId="3F20FCE8"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x</w:t>
            </w:r>
          </w:p>
        </w:tc>
      </w:tr>
      <w:tr w:rsidR="00BE2CA7" w:rsidRPr="00440C76" w14:paraId="3EA679FA" w14:textId="77777777" w:rsidTr="002B0590">
        <w:tc>
          <w:tcPr>
            <w:tcW w:w="848" w:type="dxa"/>
            <w:tcMar>
              <w:left w:w="0" w:type="dxa"/>
              <w:right w:w="0" w:type="dxa"/>
            </w:tcMar>
          </w:tcPr>
          <w:p w14:paraId="7C14354F" w14:textId="77777777" w:rsidR="00BE2CA7" w:rsidRPr="00440C76" w:rsidRDefault="00BE2CA7" w:rsidP="002B0590">
            <w:pPr>
              <w:spacing w:before="60" w:after="60" w:line="220" w:lineRule="atLeast"/>
              <w:ind w:left="57" w:right="57"/>
              <w:rPr>
                <w:sz w:val="18"/>
                <w:szCs w:val="18"/>
                <w:lang w:val="fr-FR"/>
              </w:rPr>
            </w:pPr>
            <w:r w:rsidRPr="00440C76">
              <w:rPr>
                <w:sz w:val="18"/>
                <w:szCs w:val="18"/>
                <w:lang w:val="fr-FR"/>
              </w:rPr>
              <w:t>21</w:t>
            </w:r>
          </w:p>
        </w:tc>
        <w:tc>
          <w:tcPr>
            <w:tcW w:w="4445" w:type="dxa"/>
            <w:tcMar>
              <w:left w:w="0" w:type="dxa"/>
              <w:right w:w="0" w:type="dxa"/>
            </w:tcMar>
          </w:tcPr>
          <w:p w14:paraId="2E4E174E"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Modifications aérodynamiques</w:t>
            </w:r>
          </w:p>
          <w:p w14:paraId="04E0CBB4" w14:textId="77777777" w:rsidR="00BE2CA7" w:rsidRPr="00440C76" w:rsidRDefault="00BE2CA7" w:rsidP="002B0590">
            <w:pPr>
              <w:spacing w:before="60" w:after="60" w:line="220" w:lineRule="atLeast"/>
              <w:ind w:left="57" w:right="57"/>
              <w:rPr>
                <w:sz w:val="18"/>
                <w:szCs w:val="18"/>
                <w:lang w:val="fr-FR"/>
              </w:rPr>
            </w:pPr>
            <w:r w:rsidRPr="00440C76">
              <w:rPr>
                <w:sz w:val="18"/>
                <w:szCs w:val="18"/>
                <w:lang w:val="fr-FR"/>
              </w:rPr>
              <w:t>Vérifier qu</w:t>
            </w:r>
            <w:r>
              <w:rPr>
                <w:sz w:val="18"/>
                <w:szCs w:val="18"/>
                <w:lang w:val="fr-FR"/>
              </w:rPr>
              <w:t>’</w:t>
            </w:r>
            <w:r w:rsidRPr="00440C76">
              <w:rPr>
                <w:sz w:val="18"/>
                <w:szCs w:val="18"/>
                <w:lang w:val="fr-FR"/>
              </w:rPr>
              <w:t>il n</w:t>
            </w:r>
            <w:r>
              <w:rPr>
                <w:sz w:val="18"/>
                <w:szCs w:val="18"/>
                <w:lang w:val="fr-FR"/>
              </w:rPr>
              <w:t>’</w:t>
            </w:r>
            <w:r w:rsidRPr="00440C76">
              <w:rPr>
                <w:sz w:val="18"/>
                <w:szCs w:val="18"/>
                <w:lang w:val="fr-FR"/>
              </w:rPr>
              <w:t>existe aucun élément de modification aérodynamique provenant du marché des pièces de rechange qui ne puisse être enlevé avant l</w:t>
            </w:r>
            <w:r>
              <w:rPr>
                <w:sz w:val="18"/>
                <w:szCs w:val="18"/>
                <w:lang w:val="fr-FR"/>
              </w:rPr>
              <w:t>’</w:t>
            </w:r>
            <w:r w:rsidRPr="00440C76">
              <w:rPr>
                <w:sz w:val="18"/>
                <w:szCs w:val="18"/>
                <w:lang w:val="fr-FR"/>
              </w:rPr>
              <w:t>exécution des essais (coffres de toit, barres de chargement, ailerons, etc.) et qu</w:t>
            </w:r>
            <w:r>
              <w:rPr>
                <w:sz w:val="18"/>
                <w:szCs w:val="18"/>
                <w:lang w:val="fr-FR"/>
              </w:rPr>
              <w:t>’</w:t>
            </w:r>
            <w:r w:rsidRPr="00440C76">
              <w:rPr>
                <w:sz w:val="18"/>
                <w:szCs w:val="18"/>
                <w:lang w:val="fr-FR"/>
              </w:rPr>
              <w:t>aucun composant aérodynamique type n</w:t>
            </w:r>
            <w:r>
              <w:rPr>
                <w:sz w:val="18"/>
                <w:szCs w:val="18"/>
                <w:lang w:val="fr-FR"/>
              </w:rPr>
              <w:t>’</w:t>
            </w:r>
            <w:r w:rsidRPr="00440C76">
              <w:rPr>
                <w:sz w:val="18"/>
                <w:szCs w:val="18"/>
                <w:lang w:val="fr-FR"/>
              </w:rPr>
              <w:t>est absent (déflecteurs avant, diffuseurs, séparateurs, etc.).</w:t>
            </w:r>
          </w:p>
          <w:p w14:paraId="3EF36CFE" w14:textId="77777777" w:rsidR="00BE2CA7" w:rsidRPr="00440C76" w:rsidRDefault="00BE2CA7" w:rsidP="002B0590">
            <w:pPr>
              <w:spacing w:before="60" w:after="60" w:line="220" w:lineRule="atLeast"/>
              <w:ind w:left="57" w:right="57"/>
              <w:rPr>
                <w:sz w:val="18"/>
                <w:szCs w:val="18"/>
                <w:lang w:val="fr-FR"/>
              </w:rPr>
            </w:pPr>
            <w:r w:rsidRPr="00440C76">
              <w:rPr>
                <w:i/>
                <w:iCs/>
                <w:sz w:val="18"/>
                <w:szCs w:val="18"/>
                <w:lang w:val="fr-FR"/>
              </w:rPr>
              <w:t>Dans l</w:t>
            </w:r>
            <w:r>
              <w:rPr>
                <w:i/>
                <w:iCs/>
                <w:sz w:val="18"/>
                <w:szCs w:val="18"/>
                <w:lang w:val="fr-FR"/>
              </w:rPr>
              <w:t>’</w:t>
            </w:r>
            <w:r w:rsidRPr="00440C76">
              <w:rPr>
                <w:i/>
                <w:iCs/>
                <w:sz w:val="18"/>
                <w:szCs w:val="18"/>
                <w:lang w:val="fr-FR"/>
              </w:rPr>
              <w:t>affirmative, le véhicule ne peut pas être sélectionné. Documenter avec photos.</w:t>
            </w:r>
          </w:p>
        </w:tc>
        <w:tc>
          <w:tcPr>
            <w:tcW w:w="2414" w:type="dxa"/>
            <w:gridSpan w:val="2"/>
            <w:tcMar>
              <w:left w:w="0" w:type="dxa"/>
              <w:right w:w="0" w:type="dxa"/>
            </w:tcMar>
          </w:tcPr>
          <w:p w14:paraId="1BA91362"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x</w:t>
            </w:r>
          </w:p>
        </w:tc>
        <w:tc>
          <w:tcPr>
            <w:tcW w:w="1579" w:type="dxa"/>
            <w:tcMar>
              <w:left w:w="0" w:type="dxa"/>
              <w:right w:w="0" w:type="dxa"/>
            </w:tcMar>
          </w:tcPr>
          <w:p w14:paraId="4059588A" w14:textId="77777777" w:rsidR="00BE2CA7" w:rsidRPr="00440C76" w:rsidRDefault="00BE2CA7" w:rsidP="002B0590">
            <w:pPr>
              <w:spacing w:before="60" w:after="60" w:line="220" w:lineRule="atLeast"/>
              <w:ind w:left="57" w:right="57"/>
              <w:rPr>
                <w:i/>
                <w:iCs/>
                <w:sz w:val="18"/>
                <w:szCs w:val="18"/>
                <w:lang w:val="fr-FR"/>
              </w:rPr>
            </w:pPr>
          </w:p>
        </w:tc>
      </w:tr>
      <w:tr w:rsidR="00BE2CA7" w:rsidRPr="00440C76" w14:paraId="03F0CB36" w14:textId="77777777" w:rsidTr="002B0590">
        <w:tc>
          <w:tcPr>
            <w:tcW w:w="848" w:type="dxa"/>
            <w:tcMar>
              <w:left w:w="0" w:type="dxa"/>
              <w:right w:w="0" w:type="dxa"/>
            </w:tcMar>
          </w:tcPr>
          <w:p w14:paraId="13A24F7A" w14:textId="77777777" w:rsidR="00BE2CA7" w:rsidRPr="00440C76" w:rsidRDefault="00BE2CA7" w:rsidP="002B0590">
            <w:pPr>
              <w:spacing w:before="60" w:after="60" w:line="220" w:lineRule="atLeast"/>
              <w:ind w:left="57" w:right="57"/>
              <w:rPr>
                <w:sz w:val="18"/>
                <w:szCs w:val="18"/>
                <w:lang w:val="fr-FR"/>
              </w:rPr>
            </w:pPr>
            <w:r w:rsidRPr="00440C76">
              <w:rPr>
                <w:sz w:val="18"/>
                <w:szCs w:val="18"/>
                <w:lang w:val="fr-FR"/>
              </w:rPr>
              <w:t>22</w:t>
            </w:r>
          </w:p>
        </w:tc>
        <w:tc>
          <w:tcPr>
            <w:tcW w:w="4445" w:type="dxa"/>
            <w:tcMar>
              <w:left w:w="0" w:type="dxa"/>
              <w:right w:w="0" w:type="dxa"/>
            </w:tcMar>
          </w:tcPr>
          <w:p w14:paraId="54CFC520" w14:textId="77777777" w:rsidR="00BE2CA7" w:rsidRPr="00440C76" w:rsidRDefault="00BE2CA7" w:rsidP="002B0590">
            <w:pPr>
              <w:spacing w:before="60" w:after="60" w:line="220" w:lineRule="atLeast"/>
              <w:ind w:left="57" w:right="57"/>
              <w:rPr>
                <w:sz w:val="18"/>
                <w:szCs w:val="18"/>
                <w:lang w:val="fr-FR"/>
              </w:rPr>
            </w:pPr>
            <w:r w:rsidRPr="00440C76">
              <w:rPr>
                <w:i/>
                <w:iCs/>
                <w:sz w:val="18"/>
                <w:szCs w:val="18"/>
                <w:lang w:val="fr-FR"/>
              </w:rPr>
              <w:t>Vérifier s</w:t>
            </w:r>
            <w:r>
              <w:rPr>
                <w:i/>
                <w:iCs/>
                <w:sz w:val="18"/>
                <w:szCs w:val="18"/>
                <w:lang w:val="fr-FR"/>
              </w:rPr>
              <w:t>’</w:t>
            </w:r>
            <w:r w:rsidRPr="00440C76">
              <w:rPr>
                <w:i/>
                <w:iCs/>
                <w:sz w:val="18"/>
                <w:szCs w:val="18"/>
                <w:lang w:val="fr-FR"/>
              </w:rPr>
              <w:t>il y a moins de 800</w:t>
            </w:r>
            <w:r>
              <w:rPr>
                <w:i/>
                <w:iCs/>
                <w:sz w:val="18"/>
                <w:szCs w:val="18"/>
                <w:lang w:val="fr-FR"/>
              </w:rPr>
              <w:t> </w:t>
            </w:r>
            <w:r w:rsidRPr="00440C76">
              <w:rPr>
                <w:i/>
                <w:iCs/>
                <w:sz w:val="18"/>
                <w:szCs w:val="18"/>
                <w:lang w:val="fr-FR"/>
              </w:rPr>
              <w:t>km avant le prochain entretien programmé. Dans l</w:t>
            </w:r>
            <w:r>
              <w:rPr>
                <w:i/>
                <w:iCs/>
                <w:sz w:val="18"/>
                <w:szCs w:val="18"/>
                <w:lang w:val="fr-FR"/>
              </w:rPr>
              <w:t>’</w:t>
            </w:r>
            <w:r w:rsidRPr="00440C76">
              <w:rPr>
                <w:i/>
                <w:iCs/>
                <w:sz w:val="18"/>
                <w:szCs w:val="18"/>
                <w:lang w:val="fr-FR"/>
              </w:rPr>
              <w:t>affirmative, effectuer l</w:t>
            </w:r>
            <w:r>
              <w:rPr>
                <w:i/>
                <w:iCs/>
                <w:sz w:val="18"/>
                <w:szCs w:val="18"/>
                <w:lang w:val="fr-FR"/>
              </w:rPr>
              <w:t>’</w:t>
            </w:r>
            <w:r w:rsidRPr="00440C76">
              <w:rPr>
                <w:i/>
                <w:iCs/>
                <w:sz w:val="18"/>
                <w:szCs w:val="18"/>
                <w:lang w:val="fr-FR"/>
              </w:rPr>
              <w:t>entretien du véhicule.</w:t>
            </w:r>
          </w:p>
        </w:tc>
        <w:tc>
          <w:tcPr>
            <w:tcW w:w="1114" w:type="dxa"/>
            <w:tcMar>
              <w:left w:w="0" w:type="dxa"/>
              <w:right w:w="0" w:type="dxa"/>
            </w:tcMar>
          </w:tcPr>
          <w:p w14:paraId="41CA333E" w14:textId="77777777" w:rsidR="00BE2CA7" w:rsidRPr="00440C76" w:rsidRDefault="00BE2CA7" w:rsidP="002B0590">
            <w:pPr>
              <w:spacing w:before="60" w:after="60" w:line="220" w:lineRule="atLeast"/>
              <w:ind w:left="57" w:right="57"/>
              <w:rPr>
                <w:i/>
                <w:iCs/>
                <w:sz w:val="18"/>
                <w:szCs w:val="18"/>
                <w:lang w:val="fr-FR"/>
              </w:rPr>
            </w:pPr>
          </w:p>
        </w:tc>
        <w:tc>
          <w:tcPr>
            <w:tcW w:w="1300" w:type="dxa"/>
            <w:tcMar>
              <w:left w:w="0" w:type="dxa"/>
              <w:right w:w="0" w:type="dxa"/>
            </w:tcMar>
          </w:tcPr>
          <w:p w14:paraId="051CAA78" w14:textId="77777777" w:rsidR="00BE2CA7" w:rsidRPr="00440C76" w:rsidRDefault="00BE2CA7" w:rsidP="002B0590">
            <w:pPr>
              <w:spacing w:before="60" w:after="60" w:line="220" w:lineRule="atLeast"/>
              <w:ind w:left="57" w:right="57"/>
              <w:rPr>
                <w:i/>
                <w:iCs/>
                <w:sz w:val="18"/>
                <w:szCs w:val="18"/>
                <w:lang w:val="fr-FR"/>
              </w:rPr>
            </w:pPr>
          </w:p>
        </w:tc>
        <w:tc>
          <w:tcPr>
            <w:tcW w:w="1579" w:type="dxa"/>
            <w:tcMar>
              <w:left w:w="0" w:type="dxa"/>
              <w:right w:w="0" w:type="dxa"/>
            </w:tcMar>
          </w:tcPr>
          <w:p w14:paraId="37C46202"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x</w:t>
            </w:r>
          </w:p>
        </w:tc>
      </w:tr>
      <w:tr w:rsidR="00BE2CA7" w:rsidRPr="00440C76" w14:paraId="07A33C58" w14:textId="77777777" w:rsidTr="002B0590">
        <w:tc>
          <w:tcPr>
            <w:tcW w:w="848" w:type="dxa"/>
            <w:tcMar>
              <w:left w:w="0" w:type="dxa"/>
              <w:right w:w="0" w:type="dxa"/>
            </w:tcMar>
          </w:tcPr>
          <w:p w14:paraId="47B079FC" w14:textId="77777777" w:rsidR="00BE2CA7" w:rsidRPr="00440C76" w:rsidRDefault="00BE2CA7" w:rsidP="002B0590">
            <w:pPr>
              <w:spacing w:before="60" w:after="60" w:line="220" w:lineRule="atLeast"/>
              <w:ind w:left="57" w:right="57"/>
              <w:rPr>
                <w:sz w:val="18"/>
                <w:szCs w:val="18"/>
                <w:lang w:val="fr-FR"/>
              </w:rPr>
            </w:pPr>
            <w:r w:rsidRPr="00440C76">
              <w:rPr>
                <w:sz w:val="18"/>
                <w:szCs w:val="18"/>
                <w:lang w:val="fr-FR"/>
              </w:rPr>
              <w:t>23</w:t>
            </w:r>
          </w:p>
        </w:tc>
        <w:tc>
          <w:tcPr>
            <w:tcW w:w="4445" w:type="dxa"/>
            <w:tcMar>
              <w:left w:w="0" w:type="dxa"/>
              <w:right w:w="0" w:type="dxa"/>
            </w:tcMar>
          </w:tcPr>
          <w:p w14:paraId="58448832" w14:textId="77777777" w:rsidR="00BE2CA7" w:rsidRPr="00440C76" w:rsidRDefault="00BE2CA7" w:rsidP="002B0590">
            <w:pPr>
              <w:spacing w:before="60" w:after="60" w:line="220" w:lineRule="atLeast"/>
              <w:ind w:left="57" w:right="57"/>
              <w:rPr>
                <w:sz w:val="18"/>
                <w:szCs w:val="18"/>
                <w:lang w:val="fr-FR"/>
              </w:rPr>
            </w:pPr>
            <w:r w:rsidRPr="00440C76">
              <w:rPr>
                <w:i/>
                <w:iCs/>
                <w:sz w:val="18"/>
                <w:szCs w:val="18"/>
                <w:lang w:val="fr-FR"/>
              </w:rPr>
              <w:t>Toutes les vérifications nécessitant des connexions OBD à effectuer avant et/ou après la fin des essais</w:t>
            </w:r>
          </w:p>
        </w:tc>
        <w:tc>
          <w:tcPr>
            <w:tcW w:w="1114" w:type="dxa"/>
            <w:tcMar>
              <w:left w:w="0" w:type="dxa"/>
              <w:right w:w="0" w:type="dxa"/>
            </w:tcMar>
          </w:tcPr>
          <w:p w14:paraId="5829C339" w14:textId="77777777" w:rsidR="00BE2CA7" w:rsidRPr="00440C76" w:rsidRDefault="00BE2CA7" w:rsidP="002B0590">
            <w:pPr>
              <w:spacing w:before="60" w:after="60" w:line="220" w:lineRule="atLeast"/>
              <w:ind w:left="57" w:right="57"/>
              <w:rPr>
                <w:i/>
                <w:iCs/>
                <w:sz w:val="18"/>
                <w:szCs w:val="18"/>
                <w:lang w:val="fr-FR"/>
              </w:rPr>
            </w:pPr>
          </w:p>
        </w:tc>
        <w:tc>
          <w:tcPr>
            <w:tcW w:w="1300" w:type="dxa"/>
            <w:tcMar>
              <w:left w:w="0" w:type="dxa"/>
              <w:right w:w="0" w:type="dxa"/>
            </w:tcMar>
          </w:tcPr>
          <w:p w14:paraId="55335279" w14:textId="77777777" w:rsidR="00BE2CA7" w:rsidRPr="00440C76" w:rsidRDefault="00BE2CA7" w:rsidP="002B0590">
            <w:pPr>
              <w:spacing w:before="60" w:after="60" w:line="220" w:lineRule="atLeast"/>
              <w:ind w:left="57" w:right="57"/>
              <w:rPr>
                <w:i/>
                <w:iCs/>
                <w:sz w:val="18"/>
                <w:szCs w:val="18"/>
                <w:lang w:val="fr-FR"/>
              </w:rPr>
            </w:pPr>
          </w:p>
        </w:tc>
        <w:tc>
          <w:tcPr>
            <w:tcW w:w="1579" w:type="dxa"/>
            <w:tcMar>
              <w:left w:w="0" w:type="dxa"/>
              <w:right w:w="0" w:type="dxa"/>
            </w:tcMar>
          </w:tcPr>
          <w:p w14:paraId="2CEFD3F6" w14:textId="77777777" w:rsidR="00BE2CA7" w:rsidRPr="00440C76" w:rsidRDefault="00BE2CA7" w:rsidP="002B0590">
            <w:pPr>
              <w:spacing w:before="60" w:after="60" w:line="220" w:lineRule="atLeast"/>
              <w:ind w:left="57" w:right="57"/>
              <w:rPr>
                <w:i/>
                <w:iCs/>
                <w:sz w:val="18"/>
                <w:szCs w:val="18"/>
                <w:lang w:val="fr-FR"/>
              </w:rPr>
            </w:pPr>
          </w:p>
        </w:tc>
      </w:tr>
      <w:tr w:rsidR="00BE2CA7" w:rsidRPr="00440C76" w14:paraId="043AE57B" w14:textId="77777777" w:rsidTr="002B0590">
        <w:tc>
          <w:tcPr>
            <w:tcW w:w="848" w:type="dxa"/>
            <w:tcMar>
              <w:left w:w="0" w:type="dxa"/>
              <w:right w:w="0" w:type="dxa"/>
            </w:tcMar>
          </w:tcPr>
          <w:p w14:paraId="1C4EA362" w14:textId="77777777" w:rsidR="00BE2CA7" w:rsidRPr="00440C76" w:rsidRDefault="00BE2CA7" w:rsidP="002B0590">
            <w:pPr>
              <w:spacing w:before="60" w:after="60" w:line="220" w:lineRule="atLeast"/>
              <w:ind w:left="57" w:right="57"/>
              <w:rPr>
                <w:sz w:val="18"/>
                <w:szCs w:val="18"/>
                <w:lang w:val="fr-FR"/>
              </w:rPr>
            </w:pPr>
            <w:r w:rsidRPr="00440C76">
              <w:rPr>
                <w:sz w:val="18"/>
                <w:szCs w:val="18"/>
                <w:lang w:val="fr-FR"/>
              </w:rPr>
              <w:t>24</w:t>
            </w:r>
          </w:p>
        </w:tc>
        <w:tc>
          <w:tcPr>
            <w:tcW w:w="4445" w:type="dxa"/>
            <w:tcMar>
              <w:left w:w="0" w:type="dxa"/>
              <w:right w:w="0" w:type="dxa"/>
            </w:tcMar>
          </w:tcPr>
          <w:p w14:paraId="0FDEAEE9" w14:textId="77777777" w:rsidR="00BE2CA7" w:rsidRPr="00440C76" w:rsidRDefault="00BE2CA7" w:rsidP="002B0590">
            <w:pPr>
              <w:spacing w:before="60" w:after="60" w:line="220" w:lineRule="atLeast"/>
              <w:ind w:left="57" w:right="57"/>
              <w:rPr>
                <w:sz w:val="18"/>
                <w:szCs w:val="18"/>
                <w:lang w:val="fr-FR"/>
              </w:rPr>
            </w:pPr>
            <w:r w:rsidRPr="00440C76">
              <w:rPr>
                <w:i/>
                <w:iCs/>
                <w:sz w:val="18"/>
                <w:szCs w:val="18"/>
                <w:lang w:val="fr-FR"/>
              </w:rPr>
              <w:t>Numéro de pièce, numéro d</w:t>
            </w:r>
            <w:r>
              <w:rPr>
                <w:i/>
                <w:iCs/>
                <w:sz w:val="18"/>
                <w:szCs w:val="18"/>
                <w:lang w:val="fr-FR"/>
              </w:rPr>
              <w:t>’</w:t>
            </w:r>
            <w:r w:rsidRPr="00440C76">
              <w:rPr>
                <w:i/>
                <w:iCs/>
                <w:sz w:val="18"/>
                <w:szCs w:val="18"/>
                <w:lang w:val="fr-FR"/>
              </w:rPr>
              <w:t xml:space="preserve">étalonnage et </w:t>
            </w:r>
            <w:r>
              <w:rPr>
                <w:i/>
                <w:iCs/>
                <w:sz w:val="18"/>
                <w:szCs w:val="18"/>
                <w:lang w:val="fr-FR"/>
              </w:rPr>
              <w:t>sommes</w:t>
            </w:r>
            <w:r w:rsidRPr="00440C76">
              <w:rPr>
                <w:i/>
                <w:iCs/>
                <w:sz w:val="18"/>
                <w:szCs w:val="18"/>
                <w:lang w:val="fr-FR"/>
              </w:rPr>
              <w:t xml:space="preserve"> de contrôle pour le module de commande du groupe motopropulseur</w:t>
            </w:r>
          </w:p>
        </w:tc>
        <w:tc>
          <w:tcPr>
            <w:tcW w:w="1114" w:type="dxa"/>
            <w:tcMar>
              <w:left w:w="0" w:type="dxa"/>
              <w:right w:w="0" w:type="dxa"/>
            </w:tcMar>
          </w:tcPr>
          <w:p w14:paraId="6CE8DEFC" w14:textId="77777777" w:rsidR="00BE2CA7" w:rsidRPr="00440C76" w:rsidRDefault="00BE2CA7" w:rsidP="002B0590">
            <w:pPr>
              <w:spacing w:before="60" w:after="60" w:line="220" w:lineRule="atLeast"/>
              <w:ind w:left="57" w:right="57"/>
              <w:rPr>
                <w:i/>
                <w:iCs/>
                <w:sz w:val="18"/>
                <w:szCs w:val="18"/>
                <w:lang w:val="fr-FR"/>
              </w:rPr>
            </w:pPr>
          </w:p>
        </w:tc>
        <w:tc>
          <w:tcPr>
            <w:tcW w:w="1300" w:type="dxa"/>
            <w:tcMar>
              <w:left w:w="0" w:type="dxa"/>
              <w:right w:w="0" w:type="dxa"/>
            </w:tcMar>
          </w:tcPr>
          <w:p w14:paraId="3CBF482F" w14:textId="77777777" w:rsidR="00BE2CA7" w:rsidRPr="00440C76" w:rsidRDefault="00BE2CA7" w:rsidP="002B0590">
            <w:pPr>
              <w:spacing w:before="60" w:after="60" w:line="220" w:lineRule="atLeast"/>
              <w:ind w:left="57" w:right="57"/>
              <w:rPr>
                <w:i/>
                <w:iCs/>
                <w:sz w:val="18"/>
                <w:szCs w:val="18"/>
                <w:lang w:val="fr-FR"/>
              </w:rPr>
            </w:pPr>
          </w:p>
        </w:tc>
        <w:tc>
          <w:tcPr>
            <w:tcW w:w="1579" w:type="dxa"/>
            <w:tcMar>
              <w:left w:w="0" w:type="dxa"/>
              <w:right w:w="0" w:type="dxa"/>
            </w:tcMar>
          </w:tcPr>
          <w:p w14:paraId="1140F670"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x</w:t>
            </w:r>
          </w:p>
        </w:tc>
      </w:tr>
      <w:tr w:rsidR="00BE2CA7" w:rsidRPr="00440C76" w14:paraId="7158E81C" w14:textId="77777777" w:rsidTr="002B0590">
        <w:tc>
          <w:tcPr>
            <w:tcW w:w="848" w:type="dxa"/>
            <w:tcMar>
              <w:left w:w="0" w:type="dxa"/>
              <w:right w:w="0" w:type="dxa"/>
            </w:tcMar>
          </w:tcPr>
          <w:p w14:paraId="62825B66" w14:textId="77777777" w:rsidR="00BE2CA7" w:rsidRPr="00440C76" w:rsidRDefault="00BE2CA7" w:rsidP="002B0590">
            <w:pPr>
              <w:spacing w:before="60" w:after="60" w:line="220" w:lineRule="atLeast"/>
              <w:ind w:left="57" w:right="57"/>
              <w:rPr>
                <w:sz w:val="18"/>
                <w:szCs w:val="18"/>
                <w:lang w:val="fr-FR"/>
              </w:rPr>
            </w:pPr>
            <w:r w:rsidRPr="00440C76">
              <w:rPr>
                <w:sz w:val="18"/>
                <w:szCs w:val="18"/>
                <w:lang w:val="fr-FR"/>
              </w:rPr>
              <w:t>25</w:t>
            </w:r>
          </w:p>
        </w:tc>
        <w:tc>
          <w:tcPr>
            <w:tcW w:w="4445" w:type="dxa"/>
            <w:tcMar>
              <w:left w:w="0" w:type="dxa"/>
              <w:right w:w="0" w:type="dxa"/>
            </w:tcMar>
          </w:tcPr>
          <w:p w14:paraId="3DF94F57"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Diagnostic OBD (avant ou après les essais d</w:t>
            </w:r>
            <w:r>
              <w:rPr>
                <w:i/>
                <w:iCs/>
                <w:sz w:val="18"/>
                <w:szCs w:val="18"/>
                <w:lang w:val="fr-FR"/>
              </w:rPr>
              <w:t>’</w:t>
            </w:r>
            <w:r w:rsidRPr="00440C76">
              <w:rPr>
                <w:i/>
                <w:iCs/>
                <w:sz w:val="18"/>
                <w:szCs w:val="18"/>
                <w:lang w:val="fr-FR"/>
              </w:rPr>
              <w:t>émissions)</w:t>
            </w:r>
          </w:p>
          <w:p w14:paraId="20659D0A" w14:textId="77777777" w:rsidR="00BE2CA7" w:rsidRPr="00440C76" w:rsidRDefault="00BE2CA7" w:rsidP="002B0590">
            <w:pPr>
              <w:spacing w:before="60" w:after="60" w:line="220" w:lineRule="atLeast"/>
              <w:ind w:left="57" w:right="57"/>
              <w:rPr>
                <w:sz w:val="18"/>
                <w:szCs w:val="18"/>
                <w:lang w:val="fr-FR"/>
              </w:rPr>
            </w:pPr>
            <w:r w:rsidRPr="00440C76">
              <w:rPr>
                <w:sz w:val="18"/>
                <w:szCs w:val="18"/>
                <w:lang w:val="fr-FR"/>
              </w:rPr>
              <w:t>Lire les codes de diagnostic d</w:t>
            </w:r>
            <w:r>
              <w:rPr>
                <w:sz w:val="18"/>
                <w:szCs w:val="18"/>
                <w:lang w:val="fr-FR"/>
              </w:rPr>
              <w:t>’</w:t>
            </w:r>
            <w:r w:rsidRPr="00440C76">
              <w:rPr>
                <w:sz w:val="18"/>
                <w:szCs w:val="18"/>
                <w:lang w:val="fr-FR"/>
              </w:rPr>
              <w:t>anomalie et imprimer un journal des erreurs</w:t>
            </w:r>
            <w:r>
              <w:rPr>
                <w:sz w:val="18"/>
                <w:szCs w:val="18"/>
                <w:lang w:val="fr-FR"/>
              </w:rPr>
              <w:t>.</w:t>
            </w:r>
          </w:p>
        </w:tc>
        <w:tc>
          <w:tcPr>
            <w:tcW w:w="1114" w:type="dxa"/>
            <w:tcMar>
              <w:left w:w="0" w:type="dxa"/>
              <w:right w:w="0" w:type="dxa"/>
            </w:tcMar>
          </w:tcPr>
          <w:p w14:paraId="754659B4" w14:textId="77777777" w:rsidR="00BE2CA7" w:rsidRPr="00440C76" w:rsidRDefault="00BE2CA7" w:rsidP="002B0590">
            <w:pPr>
              <w:spacing w:before="60" w:after="60" w:line="220" w:lineRule="atLeast"/>
              <w:ind w:left="57" w:right="57"/>
              <w:rPr>
                <w:i/>
                <w:iCs/>
                <w:sz w:val="18"/>
                <w:szCs w:val="18"/>
                <w:lang w:val="fr-FR"/>
              </w:rPr>
            </w:pPr>
          </w:p>
        </w:tc>
        <w:tc>
          <w:tcPr>
            <w:tcW w:w="1300" w:type="dxa"/>
            <w:tcMar>
              <w:left w:w="0" w:type="dxa"/>
              <w:right w:w="0" w:type="dxa"/>
            </w:tcMar>
          </w:tcPr>
          <w:p w14:paraId="26EC3CC3" w14:textId="77777777" w:rsidR="00BE2CA7" w:rsidRPr="00440C76" w:rsidRDefault="00BE2CA7" w:rsidP="002B0590">
            <w:pPr>
              <w:spacing w:before="60" w:after="60" w:line="220" w:lineRule="atLeast"/>
              <w:ind w:left="57" w:right="57"/>
              <w:rPr>
                <w:i/>
                <w:iCs/>
                <w:sz w:val="18"/>
                <w:szCs w:val="18"/>
                <w:lang w:val="fr-FR"/>
              </w:rPr>
            </w:pPr>
          </w:p>
        </w:tc>
        <w:tc>
          <w:tcPr>
            <w:tcW w:w="1579" w:type="dxa"/>
            <w:tcMar>
              <w:left w:w="0" w:type="dxa"/>
              <w:right w:w="0" w:type="dxa"/>
            </w:tcMar>
          </w:tcPr>
          <w:p w14:paraId="4FE3CDBF"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x</w:t>
            </w:r>
          </w:p>
        </w:tc>
      </w:tr>
      <w:tr w:rsidR="00BE2CA7" w:rsidRPr="00440C76" w14:paraId="39BEDBD2" w14:textId="77777777" w:rsidTr="002B0590">
        <w:tc>
          <w:tcPr>
            <w:tcW w:w="848" w:type="dxa"/>
            <w:tcMar>
              <w:left w:w="0" w:type="dxa"/>
              <w:right w:w="0" w:type="dxa"/>
            </w:tcMar>
          </w:tcPr>
          <w:p w14:paraId="7ACD5E33" w14:textId="77777777" w:rsidR="00BE2CA7" w:rsidRPr="00440C76" w:rsidRDefault="00BE2CA7" w:rsidP="002B0590">
            <w:pPr>
              <w:spacing w:before="60" w:after="60" w:line="220" w:lineRule="atLeast"/>
              <w:ind w:left="57" w:right="57"/>
              <w:rPr>
                <w:sz w:val="18"/>
                <w:szCs w:val="18"/>
                <w:lang w:val="fr-FR"/>
              </w:rPr>
            </w:pPr>
            <w:r w:rsidRPr="00440C76">
              <w:rPr>
                <w:sz w:val="18"/>
                <w:szCs w:val="18"/>
                <w:lang w:val="fr-FR"/>
              </w:rPr>
              <w:lastRenderedPageBreak/>
              <w:t>26</w:t>
            </w:r>
          </w:p>
        </w:tc>
        <w:tc>
          <w:tcPr>
            <w:tcW w:w="4445" w:type="dxa"/>
            <w:tcMar>
              <w:left w:w="0" w:type="dxa"/>
              <w:right w:w="0" w:type="dxa"/>
            </w:tcMar>
          </w:tcPr>
          <w:p w14:paraId="33A3B740"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Demande d</w:t>
            </w:r>
            <w:r>
              <w:rPr>
                <w:i/>
                <w:iCs/>
                <w:sz w:val="18"/>
                <w:szCs w:val="18"/>
                <w:lang w:val="fr-FR"/>
              </w:rPr>
              <w:t>’</w:t>
            </w:r>
            <w:r w:rsidRPr="00440C76">
              <w:rPr>
                <w:i/>
                <w:iCs/>
                <w:sz w:val="18"/>
                <w:szCs w:val="18"/>
                <w:lang w:val="fr-FR"/>
              </w:rPr>
              <w:t>informations sur le véhicule dans le « mode service</w:t>
            </w:r>
            <w:r>
              <w:rPr>
                <w:i/>
                <w:iCs/>
                <w:sz w:val="18"/>
                <w:szCs w:val="18"/>
                <w:lang w:val="fr-FR"/>
              </w:rPr>
              <w:t> </w:t>
            </w:r>
            <w:r w:rsidRPr="00440C76">
              <w:rPr>
                <w:i/>
                <w:iCs/>
                <w:sz w:val="18"/>
                <w:szCs w:val="18"/>
                <w:lang w:val="fr-FR"/>
              </w:rPr>
              <w:t>09 » du système OBD (avant ou après les essais d</w:t>
            </w:r>
            <w:r>
              <w:rPr>
                <w:i/>
                <w:iCs/>
                <w:sz w:val="18"/>
                <w:szCs w:val="18"/>
                <w:lang w:val="fr-FR"/>
              </w:rPr>
              <w:t>’</w:t>
            </w:r>
            <w:r w:rsidRPr="00440C76">
              <w:rPr>
                <w:i/>
                <w:iCs/>
                <w:sz w:val="18"/>
                <w:szCs w:val="18"/>
                <w:lang w:val="fr-FR"/>
              </w:rPr>
              <w:t>émissions)</w:t>
            </w:r>
          </w:p>
          <w:p w14:paraId="2AB9DB4F" w14:textId="77777777" w:rsidR="00BE2CA7" w:rsidRPr="00440C76" w:rsidRDefault="00BE2CA7" w:rsidP="002B0590">
            <w:pPr>
              <w:spacing w:before="60" w:after="60" w:line="220" w:lineRule="atLeast"/>
              <w:ind w:left="57" w:right="57"/>
              <w:rPr>
                <w:sz w:val="18"/>
                <w:szCs w:val="18"/>
                <w:lang w:val="fr-FR"/>
              </w:rPr>
            </w:pPr>
            <w:r w:rsidRPr="00440C76">
              <w:rPr>
                <w:sz w:val="18"/>
                <w:szCs w:val="18"/>
                <w:lang w:val="fr-FR"/>
              </w:rPr>
              <w:t>Lire le mode service</w:t>
            </w:r>
            <w:r>
              <w:rPr>
                <w:sz w:val="18"/>
                <w:szCs w:val="18"/>
                <w:lang w:val="fr-FR"/>
              </w:rPr>
              <w:t> </w:t>
            </w:r>
            <w:r w:rsidRPr="00440C76">
              <w:rPr>
                <w:sz w:val="18"/>
                <w:szCs w:val="18"/>
                <w:lang w:val="fr-FR"/>
              </w:rPr>
              <w:t>09. Enregistrer les informations</w:t>
            </w:r>
            <w:r>
              <w:rPr>
                <w:sz w:val="18"/>
                <w:szCs w:val="18"/>
                <w:lang w:val="fr-FR"/>
              </w:rPr>
              <w:t>.</w:t>
            </w:r>
          </w:p>
        </w:tc>
        <w:tc>
          <w:tcPr>
            <w:tcW w:w="1114" w:type="dxa"/>
            <w:tcMar>
              <w:left w:w="0" w:type="dxa"/>
              <w:right w:w="0" w:type="dxa"/>
            </w:tcMar>
          </w:tcPr>
          <w:p w14:paraId="371F1CFF" w14:textId="77777777" w:rsidR="00BE2CA7" w:rsidRPr="00440C76" w:rsidRDefault="00BE2CA7" w:rsidP="002B0590">
            <w:pPr>
              <w:spacing w:before="60" w:after="60" w:line="220" w:lineRule="atLeast"/>
              <w:ind w:left="57" w:right="57"/>
              <w:rPr>
                <w:i/>
                <w:iCs/>
                <w:sz w:val="18"/>
                <w:szCs w:val="18"/>
                <w:lang w:val="fr-FR"/>
              </w:rPr>
            </w:pPr>
          </w:p>
        </w:tc>
        <w:tc>
          <w:tcPr>
            <w:tcW w:w="1300" w:type="dxa"/>
            <w:tcMar>
              <w:left w:w="0" w:type="dxa"/>
              <w:right w:w="0" w:type="dxa"/>
            </w:tcMar>
          </w:tcPr>
          <w:p w14:paraId="3FA83E6D" w14:textId="77777777" w:rsidR="00BE2CA7" w:rsidRPr="00440C76" w:rsidRDefault="00BE2CA7" w:rsidP="002B0590">
            <w:pPr>
              <w:spacing w:before="60" w:after="60" w:line="220" w:lineRule="atLeast"/>
              <w:ind w:left="57" w:right="57"/>
              <w:rPr>
                <w:i/>
                <w:iCs/>
                <w:sz w:val="18"/>
                <w:szCs w:val="18"/>
                <w:lang w:val="fr-FR"/>
              </w:rPr>
            </w:pPr>
          </w:p>
        </w:tc>
        <w:tc>
          <w:tcPr>
            <w:tcW w:w="1579" w:type="dxa"/>
            <w:tcMar>
              <w:left w:w="0" w:type="dxa"/>
              <w:right w:w="0" w:type="dxa"/>
            </w:tcMar>
          </w:tcPr>
          <w:p w14:paraId="346FA2A1"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x</w:t>
            </w:r>
          </w:p>
        </w:tc>
      </w:tr>
      <w:tr w:rsidR="00BE2CA7" w:rsidRPr="00440C76" w14:paraId="6A3D109B" w14:textId="77777777" w:rsidTr="002B0590">
        <w:tc>
          <w:tcPr>
            <w:tcW w:w="848" w:type="dxa"/>
            <w:tcMar>
              <w:left w:w="0" w:type="dxa"/>
              <w:right w:w="0" w:type="dxa"/>
            </w:tcMar>
          </w:tcPr>
          <w:p w14:paraId="6A03DF41" w14:textId="77777777" w:rsidR="00BE2CA7" w:rsidRPr="00440C76" w:rsidRDefault="00BE2CA7" w:rsidP="002B0590">
            <w:pPr>
              <w:spacing w:before="60" w:after="60" w:line="220" w:lineRule="atLeast"/>
              <w:ind w:left="57" w:right="57"/>
              <w:rPr>
                <w:sz w:val="18"/>
                <w:szCs w:val="18"/>
                <w:lang w:val="fr-FR"/>
              </w:rPr>
            </w:pPr>
            <w:r w:rsidRPr="00440C76">
              <w:rPr>
                <w:sz w:val="18"/>
                <w:szCs w:val="18"/>
                <w:lang w:val="fr-FR"/>
              </w:rPr>
              <w:t>27</w:t>
            </w:r>
          </w:p>
        </w:tc>
        <w:tc>
          <w:tcPr>
            <w:tcW w:w="4445" w:type="dxa"/>
            <w:tcMar>
              <w:left w:w="0" w:type="dxa"/>
              <w:right w:w="0" w:type="dxa"/>
            </w:tcMar>
          </w:tcPr>
          <w:p w14:paraId="3198A3E5" w14:textId="77777777" w:rsidR="00BE2CA7" w:rsidRPr="00440C76" w:rsidRDefault="00BE2CA7" w:rsidP="002B0590">
            <w:pPr>
              <w:spacing w:before="60" w:after="60" w:line="220" w:lineRule="atLeast"/>
              <w:ind w:left="57" w:right="57"/>
              <w:rPr>
                <w:i/>
                <w:iCs/>
                <w:sz w:val="18"/>
                <w:szCs w:val="18"/>
                <w:lang w:val="fr-FR"/>
              </w:rPr>
            </w:pPr>
            <w:r w:rsidRPr="00440C76">
              <w:rPr>
                <w:i/>
                <w:iCs/>
                <w:sz w:val="18"/>
                <w:szCs w:val="18"/>
                <w:lang w:val="fr-FR"/>
              </w:rPr>
              <w:t>Mode</w:t>
            </w:r>
            <w:r>
              <w:rPr>
                <w:i/>
                <w:iCs/>
                <w:sz w:val="18"/>
                <w:szCs w:val="18"/>
                <w:lang w:val="fr-FR"/>
              </w:rPr>
              <w:t> </w:t>
            </w:r>
            <w:r w:rsidRPr="00440C76">
              <w:rPr>
                <w:i/>
                <w:iCs/>
                <w:sz w:val="18"/>
                <w:szCs w:val="18"/>
                <w:lang w:val="fr-FR"/>
              </w:rPr>
              <w:t>07 du système OBD (avant ou après les essais d</w:t>
            </w:r>
            <w:r>
              <w:rPr>
                <w:i/>
                <w:iCs/>
                <w:sz w:val="18"/>
                <w:szCs w:val="18"/>
                <w:lang w:val="fr-FR"/>
              </w:rPr>
              <w:t>’</w:t>
            </w:r>
            <w:r w:rsidRPr="00440C76">
              <w:rPr>
                <w:i/>
                <w:iCs/>
                <w:sz w:val="18"/>
                <w:szCs w:val="18"/>
                <w:lang w:val="fr-FR"/>
              </w:rPr>
              <w:t>émissions)</w:t>
            </w:r>
          </w:p>
          <w:p w14:paraId="47D45584" w14:textId="77777777" w:rsidR="00BE2CA7" w:rsidRPr="00440C76" w:rsidRDefault="00BE2CA7" w:rsidP="002B0590">
            <w:pPr>
              <w:spacing w:before="60" w:after="60" w:line="220" w:lineRule="atLeast"/>
              <w:ind w:left="57" w:right="57"/>
              <w:rPr>
                <w:sz w:val="18"/>
                <w:szCs w:val="18"/>
                <w:lang w:val="fr-FR"/>
              </w:rPr>
            </w:pPr>
            <w:r w:rsidRPr="00440C76">
              <w:rPr>
                <w:sz w:val="18"/>
                <w:szCs w:val="18"/>
                <w:lang w:val="fr-FR"/>
              </w:rPr>
              <w:t>Lire le mode service</w:t>
            </w:r>
            <w:r>
              <w:rPr>
                <w:sz w:val="18"/>
                <w:szCs w:val="18"/>
                <w:lang w:val="fr-FR"/>
              </w:rPr>
              <w:t> </w:t>
            </w:r>
            <w:r w:rsidRPr="00440C76">
              <w:rPr>
                <w:sz w:val="18"/>
                <w:szCs w:val="18"/>
                <w:lang w:val="fr-FR"/>
              </w:rPr>
              <w:t>07. Enregistrer les informations</w:t>
            </w:r>
            <w:r>
              <w:rPr>
                <w:sz w:val="18"/>
                <w:szCs w:val="18"/>
                <w:lang w:val="fr-FR"/>
              </w:rPr>
              <w:t>.</w:t>
            </w:r>
          </w:p>
        </w:tc>
        <w:tc>
          <w:tcPr>
            <w:tcW w:w="1114" w:type="dxa"/>
            <w:tcMar>
              <w:left w:w="0" w:type="dxa"/>
              <w:right w:w="0" w:type="dxa"/>
            </w:tcMar>
          </w:tcPr>
          <w:p w14:paraId="37E1942D" w14:textId="77777777" w:rsidR="00BE2CA7" w:rsidRPr="00440C76" w:rsidRDefault="00BE2CA7" w:rsidP="002B0590">
            <w:pPr>
              <w:spacing w:before="60" w:after="60" w:line="220" w:lineRule="atLeast"/>
              <w:ind w:left="57" w:right="57"/>
              <w:rPr>
                <w:i/>
                <w:iCs/>
                <w:sz w:val="18"/>
                <w:szCs w:val="18"/>
                <w:lang w:val="fr-FR"/>
              </w:rPr>
            </w:pPr>
          </w:p>
        </w:tc>
        <w:tc>
          <w:tcPr>
            <w:tcW w:w="1300" w:type="dxa"/>
            <w:tcMar>
              <w:left w:w="0" w:type="dxa"/>
              <w:right w:w="0" w:type="dxa"/>
            </w:tcMar>
          </w:tcPr>
          <w:p w14:paraId="63FE596A" w14:textId="77777777" w:rsidR="00BE2CA7" w:rsidRPr="00440C76" w:rsidRDefault="00BE2CA7" w:rsidP="002B0590">
            <w:pPr>
              <w:spacing w:before="60" w:after="60" w:line="220" w:lineRule="atLeast"/>
              <w:ind w:left="57" w:right="57"/>
              <w:rPr>
                <w:i/>
                <w:iCs/>
                <w:sz w:val="18"/>
                <w:szCs w:val="18"/>
                <w:lang w:val="fr-FR"/>
              </w:rPr>
            </w:pPr>
          </w:p>
        </w:tc>
        <w:tc>
          <w:tcPr>
            <w:tcW w:w="1579" w:type="dxa"/>
            <w:tcMar>
              <w:left w:w="0" w:type="dxa"/>
              <w:right w:w="0" w:type="dxa"/>
            </w:tcMar>
          </w:tcPr>
          <w:p w14:paraId="2FB913E5" w14:textId="77777777" w:rsidR="00BE2CA7" w:rsidRPr="00440C76" w:rsidRDefault="00BE2CA7" w:rsidP="002B0590">
            <w:pPr>
              <w:spacing w:before="60" w:after="60" w:line="220" w:lineRule="atLeast"/>
              <w:ind w:left="57" w:right="57"/>
              <w:rPr>
                <w:i/>
                <w:iCs/>
                <w:sz w:val="18"/>
                <w:szCs w:val="18"/>
                <w:lang w:val="fr-FR"/>
              </w:rPr>
            </w:pPr>
          </w:p>
        </w:tc>
      </w:tr>
      <w:tr w:rsidR="00BE2CA7" w:rsidRPr="00440C76" w14:paraId="460E082B" w14:textId="77777777" w:rsidTr="002B0590">
        <w:tc>
          <w:tcPr>
            <w:tcW w:w="848" w:type="dxa"/>
            <w:tcMar>
              <w:left w:w="0" w:type="dxa"/>
              <w:right w:w="0" w:type="dxa"/>
            </w:tcMar>
          </w:tcPr>
          <w:p w14:paraId="43B2F109" w14:textId="77777777" w:rsidR="00BE2CA7" w:rsidRPr="00440C76" w:rsidRDefault="00BE2CA7" w:rsidP="002B0590">
            <w:pPr>
              <w:spacing w:before="60" w:after="60"/>
              <w:ind w:left="57" w:right="57"/>
              <w:rPr>
                <w:sz w:val="18"/>
                <w:szCs w:val="18"/>
                <w:lang w:val="fr-FR"/>
              </w:rPr>
            </w:pPr>
          </w:p>
        </w:tc>
        <w:tc>
          <w:tcPr>
            <w:tcW w:w="4445" w:type="dxa"/>
            <w:tcMar>
              <w:left w:w="0" w:type="dxa"/>
              <w:right w:w="0" w:type="dxa"/>
            </w:tcMar>
          </w:tcPr>
          <w:p w14:paraId="42D5C13C" w14:textId="77777777" w:rsidR="00BE2CA7" w:rsidRPr="00440C76" w:rsidRDefault="00BE2CA7" w:rsidP="002B0590">
            <w:pPr>
              <w:spacing w:before="60" w:after="60"/>
              <w:ind w:left="57" w:right="57"/>
              <w:rPr>
                <w:sz w:val="18"/>
                <w:szCs w:val="18"/>
                <w:lang w:val="fr-FR"/>
              </w:rPr>
            </w:pPr>
          </w:p>
        </w:tc>
        <w:tc>
          <w:tcPr>
            <w:tcW w:w="1114" w:type="dxa"/>
            <w:tcMar>
              <w:left w:w="0" w:type="dxa"/>
              <w:right w:w="0" w:type="dxa"/>
            </w:tcMar>
          </w:tcPr>
          <w:p w14:paraId="1D62E1E8" w14:textId="77777777" w:rsidR="00BE2CA7" w:rsidRPr="00440C76" w:rsidRDefault="00BE2CA7" w:rsidP="002B0590">
            <w:pPr>
              <w:spacing w:before="60" w:after="60"/>
              <w:ind w:left="57" w:right="57"/>
              <w:rPr>
                <w:i/>
                <w:iCs/>
                <w:sz w:val="18"/>
                <w:szCs w:val="18"/>
                <w:lang w:val="fr-FR"/>
              </w:rPr>
            </w:pPr>
          </w:p>
        </w:tc>
        <w:tc>
          <w:tcPr>
            <w:tcW w:w="1300" w:type="dxa"/>
            <w:tcMar>
              <w:left w:w="0" w:type="dxa"/>
              <w:right w:w="0" w:type="dxa"/>
            </w:tcMar>
          </w:tcPr>
          <w:p w14:paraId="75814337" w14:textId="77777777" w:rsidR="00BE2CA7" w:rsidRPr="00440C76" w:rsidRDefault="00BE2CA7" w:rsidP="002B0590">
            <w:pPr>
              <w:spacing w:before="60" w:after="60"/>
              <w:ind w:left="57" w:right="57"/>
              <w:rPr>
                <w:i/>
                <w:iCs/>
                <w:sz w:val="18"/>
                <w:szCs w:val="18"/>
                <w:lang w:val="fr-FR"/>
              </w:rPr>
            </w:pPr>
          </w:p>
        </w:tc>
        <w:tc>
          <w:tcPr>
            <w:tcW w:w="1579" w:type="dxa"/>
            <w:tcMar>
              <w:left w:w="0" w:type="dxa"/>
              <w:right w:w="0" w:type="dxa"/>
            </w:tcMar>
          </w:tcPr>
          <w:p w14:paraId="7AFC8F2F" w14:textId="77777777" w:rsidR="00BE2CA7" w:rsidRPr="00440C76" w:rsidRDefault="00BE2CA7" w:rsidP="002B0590">
            <w:pPr>
              <w:spacing w:before="60" w:after="60"/>
              <w:ind w:left="57" w:right="57"/>
              <w:rPr>
                <w:i/>
                <w:iCs/>
                <w:sz w:val="18"/>
                <w:szCs w:val="18"/>
                <w:lang w:val="fr-FR"/>
              </w:rPr>
            </w:pPr>
          </w:p>
        </w:tc>
      </w:tr>
      <w:tr w:rsidR="00BE2CA7" w:rsidRPr="00440C76" w14:paraId="2D3F6FA5" w14:textId="77777777" w:rsidTr="002B0590">
        <w:tc>
          <w:tcPr>
            <w:tcW w:w="848" w:type="dxa"/>
            <w:tcMar>
              <w:left w:w="0" w:type="dxa"/>
              <w:right w:w="0" w:type="dxa"/>
            </w:tcMar>
          </w:tcPr>
          <w:p w14:paraId="235C2A79" w14:textId="77777777" w:rsidR="00BE2CA7" w:rsidRPr="00440C76" w:rsidRDefault="00BE2CA7" w:rsidP="002B0590">
            <w:pPr>
              <w:spacing w:before="60" w:after="60" w:line="220" w:lineRule="atLeast"/>
              <w:ind w:left="57" w:right="57"/>
              <w:rPr>
                <w:sz w:val="18"/>
                <w:szCs w:val="18"/>
                <w:lang w:val="fr-FR"/>
              </w:rPr>
            </w:pPr>
          </w:p>
        </w:tc>
        <w:tc>
          <w:tcPr>
            <w:tcW w:w="8438" w:type="dxa"/>
            <w:gridSpan w:val="4"/>
            <w:tcMar>
              <w:left w:w="0" w:type="dxa"/>
              <w:right w:w="0" w:type="dxa"/>
            </w:tcMar>
          </w:tcPr>
          <w:p w14:paraId="21D6170F" w14:textId="77777777" w:rsidR="00BE2CA7" w:rsidRPr="00440C76" w:rsidRDefault="00BE2CA7" w:rsidP="002B0590">
            <w:pPr>
              <w:spacing w:before="60" w:after="60" w:line="220" w:lineRule="atLeast"/>
              <w:ind w:left="57" w:right="57"/>
              <w:rPr>
                <w:sz w:val="18"/>
                <w:szCs w:val="18"/>
                <w:lang w:val="fr-FR"/>
              </w:rPr>
            </w:pPr>
            <w:r w:rsidRPr="00440C76">
              <w:rPr>
                <w:i/>
                <w:iCs/>
                <w:sz w:val="18"/>
                <w:szCs w:val="18"/>
                <w:lang w:val="fr-FR"/>
              </w:rPr>
              <w:t>Remarques concernant : les réparations/le remplacement de composants/les numéros de pièces</w:t>
            </w:r>
          </w:p>
        </w:tc>
      </w:tr>
    </w:tbl>
    <w:p w14:paraId="75AAD492" w14:textId="77777777" w:rsidR="00BE2CA7" w:rsidRPr="00440C76" w:rsidRDefault="00BE2CA7" w:rsidP="00BE2CA7">
      <w:pPr>
        <w:pStyle w:val="SingleTxtG"/>
        <w:rPr>
          <w:lang w:val="fr-FR"/>
        </w:rPr>
      </w:pPr>
      <w:r w:rsidRPr="00440C76">
        <w:rPr>
          <w:lang w:val="fr-FR"/>
        </w:rPr>
        <w:br w:type="page"/>
      </w:r>
    </w:p>
    <w:p w14:paraId="35A9D7C1" w14:textId="77777777" w:rsidR="00BE2CA7" w:rsidRPr="00440C76" w:rsidRDefault="00BE2CA7" w:rsidP="00BE2CA7">
      <w:pPr>
        <w:pStyle w:val="HChG"/>
        <w:rPr>
          <w:lang w:val="fr-FR" w:eastAsia="en-GB"/>
        </w:rPr>
      </w:pPr>
      <w:bookmarkStart w:id="36" w:name="_Toc116913998"/>
      <w:bookmarkStart w:id="37" w:name="_Toc116914000"/>
      <w:r w:rsidRPr="00440C76">
        <w:rPr>
          <w:lang w:val="fr-FR" w:eastAsia="en-GB"/>
        </w:rPr>
        <w:lastRenderedPageBreak/>
        <w:t>Annexe</w:t>
      </w:r>
      <w:r>
        <w:rPr>
          <w:lang w:val="fr-FR" w:eastAsia="en-GB"/>
        </w:rPr>
        <w:t> </w:t>
      </w:r>
      <w:r w:rsidRPr="00440C76">
        <w:rPr>
          <w:lang w:val="fr-FR" w:eastAsia="en-GB"/>
        </w:rPr>
        <w:t xml:space="preserve">4 − </w:t>
      </w:r>
      <w:r w:rsidRPr="00D77B18">
        <w:t>Appendice</w:t>
      </w:r>
      <w:r>
        <w:rPr>
          <w:lang w:val="fr-FR" w:eastAsia="en-GB"/>
        </w:rPr>
        <w:t> </w:t>
      </w:r>
      <w:r w:rsidRPr="00440C76">
        <w:rPr>
          <w:lang w:val="fr-FR" w:eastAsia="en-GB"/>
        </w:rPr>
        <w:t>2</w:t>
      </w:r>
      <w:bookmarkEnd w:id="36"/>
    </w:p>
    <w:p w14:paraId="4FC6E48C" w14:textId="77777777" w:rsidR="00BE2CA7" w:rsidRPr="00440C76" w:rsidRDefault="00BE2CA7" w:rsidP="00BE2CA7">
      <w:pPr>
        <w:pStyle w:val="HChG"/>
        <w:rPr>
          <w:lang w:val="fr-FR"/>
        </w:rPr>
      </w:pPr>
      <w:bookmarkStart w:id="38" w:name="_Toc116913999"/>
      <w:r w:rsidRPr="00440C76">
        <w:rPr>
          <w:lang w:val="fr-FR"/>
        </w:rPr>
        <w:tab/>
      </w:r>
      <w:r w:rsidRPr="00440C76">
        <w:rPr>
          <w:lang w:val="fr-FR"/>
        </w:rPr>
        <w:tab/>
      </w:r>
      <w:bookmarkEnd w:id="38"/>
      <w:r w:rsidRPr="00D77B18">
        <w:t>Règles</w:t>
      </w:r>
      <w:r w:rsidRPr="00440C76">
        <w:rPr>
          <w:lang w:val="fr-FR"/>
        </w:rPr>
        <w:t xml:space="preserve"> relatives à l</w:t>
      </w:r>
      <w:r>
        <w:rPr>
          <w:lang w:val="fr-FR"/>
        </w:rPr>
        <w:t>’</w:t>
      </w:r>
      <w:r w:rsidRPr="00440C76">
        <w:rPr>
          <w:lang w:val="fr-FR"/>
        </w:rPr>
        <w:t>exécution des essais du type</w:t>
      </w:r>
      <w:r>
        <w:rPr>
          <w:lang w:val="fr-FR"/>
        </w:rPr>
        <w:t> </w:t>
      </w:r>
      <w:r w:rsidRPr="00440C76">
        <w:rPr>
          <w:lang w:val="fr-FR"/>
        </w:rPr>
        <w:t>4 pendant la vérification de la conformité en service</w:t>
      </w:r>
    </w:p>
    <w:p w14:paraId="1C3ABC1B" w14:textId="77777777" w:rsidR="00BE2CA7" w:rsidRPr="00440C76" w:rsidRDefault="00BE2CA7" w:rsidP="00BE2CA7">
      <w:pPr>
        <w:pStyle w:val="SingleTxtG"/>
        <w:ind w:firstLine="567"/>
        <w:rPr>
          <w:lang w:val="fr-FR"/>
        </w:rPr>
      </w:pPr>
      <w:r w:rsidRPr="00440C76">
        <w:rPr>
          <w:lang w:val="fr-FR"/>
        </w:rPr>
        <w:t>Les essais du type</w:t>
      </w:r>
      <w:r>
        <w:rPr>
          <w:lang w:val="fr-FR"/>
        </w:rPr>
        <w:t> </w:t>
      </w:r>
      <w:r w:rsidRPr="00440C76">
        <w:rPr>
          <w:lang w:val="fr-FR"/>
        </w:rPr>
        <w:t>4 aux fins de la conformité en service doivent être effectués conformément à l</w:t>
      </w:r>
      <w:r>
        <w:rPr>
          <w:lang w:val="fr-FR"/>
        </w:rPr>
        <w:t>’</w:t>
      </w:r>
      <w:r w:rsidRPr="00440C76">
        <w:rPr>
          <w:lang w:val="fr-FR"/>
        </w:rPr>
        <w:t>annexe</w:t>
      </w:r>
      <w:r>
        <w:rPr>
          <w:lang w:val="fr-FR"/>
        </w:rPr>
        <w:t> </w:t>
      </w:r>
      <w:r w:rsidRPr="00440C76">
        <w:rPr>
          <w:lang w:val="fr-FR"/>
        </w:rPr>
        <w:t>C3 du Règlement ONU n</w:t>
      </w:r>
      <w:r w:rsidRPr="00440C76">
        <w:rPr>
          <w:vertAlign w:val="superscript"/>
          <w:lang w:val="fr-FR"/>
        </w:rPr>
        <w:t>o</w:t>
      </w:r>
      <w:r w:rsidRPr="00440C76">
        <w:rPr>
          <w:lang w:val="fr-FR"/>
        </w:rPr>
        <w:t> 154, avec les exceptions suivantes :</w:t>
      </w:r>
    </w:p>
    <w:p w14:paraId="144F2B35" w14:textId="77777777" w:rsidR="00BE2CA7" w:rsidRPr="00440C76" w:rsidRDefault="00BE2CA7" w:rsidP="00BE2CA7">
      <w:pPr>
        <w:pStyle w:val="SingleTxtG"/>
        <w:ind w:firstLine="567"/>
        <w:rPr>
          <w:lang w:val="fr-FR"/>
        </w:rPr>
      </w:pPr>
      <w:r w:rsidRPr="00440C76">
        <w:rPr>
          <w:lang w:val="fr-FR"/>
        </w:rPr>
        <w:t>a)</w:t>
      </w:r>
      <w:r w:rsidRPr="00440C76">
        <w:rPr>
          <w:lang w:val="fr-FR"/>
        </w:rPr>
        <w:tab/>
        <w:t>Les véhicules soumis à des essais du type</w:t>
      </w:r>
      <w:r>
        <w:rPr>
          <w:lang w:val="fr-FR"/>
        </w:rPr>
        <w:t> </w:t>
      </w:r>
      <w:r w:rsidRPr="00440C76">
        <w:rPr>
          <w:lang w:val="fr-FR"/>
        </w:rPr>
        <w:t>4 doivent être âgés d</w:t>
      </w:r>
      <w:r>
        <w:rPr>
          <w:lang w:val="fr-FR"/>
        </w:rPr>
        <w:t>’</w:t>
      </w:r>
      <w:r w:rsidRPr="00440C76">
        <w:rPr>
          <w:lang w:val="fr-FR"/>
        </w:rPr>
        <w:t>au moins 12 mois ;</w:t>
      </w:r>
    </w:p>
    <w:p w14:paraId="3C394A19" w14:textId="77777777" w:rsidR="00BE2CA7" w:rsidRPr="00440C76" w:rsidRDefault="00BE2CA7" w:rsidP="00BE2CA7">
      <w:pPr>
        <w:pStyle w:val="SingleTxtG"/>
        <w:ind w:firstLine="567"/>
        <w:rPr>
          <w:lang w:val="fr-FR"/>
        </w:rPr>
      </w:pPr>
      <w:r w:rsidRPr="00440C76">
        <w:rPr>
          <w:lang w:val="fr-FR"/>
        </w:rPr>
        <w:t>b)</w:t>
      </w:r>
      <w:r w:rsidRPr="00440C76">
        <w:rPr>
          <w:lang w:val="fr-FR"/>
        </w:rPr>
        <w:tab/>
        <w:t xml:space="preserve">Le </w:t>
      </w:r>
      <w:proofErr w:type="spellStart"/>
      <w:r w:rsidRPr="00440C76">
        <w:rPr>
          <w:lang w:val="fr-FR"/>
        </w:rPr>
        <w:t>canister</w:t>
      </w:r>
      <w:proofErr w:type="spellEnd"/>
      <w:r w:rsidRPr="00440C76">
        <w:rPr>
          <w:lang w:val="fr-FR"/>
        </w:rPr>
        <w:t xml:space="preserve"> devant être considéré comme vieilli, la procédure de vieillissement sur banc ne doit pas être suivie ;</w:t>
      </w:r>
    </w:p>
    <w:p w14:paraId="7CDC839C" w14:textId="77777777" w:rsidR="00BE2CA7" w:rsidRPr="00440C76" w:rsidRDefault="00BE2CA7" w:rsidP="00BE2CA7">
      <w:pPr>
        <w:pStyle w:val="SingleTxtG"/>
        <w:ind w:firstLine="567"/>
        <w:rPr>
          <w:lang w:val="fr-FR"/>
        </w:rPr>
      </w:pPr>
      <w:r w:rsidRPr="00440C76">
        <w:rPr>
          <w:lang w:val="fr-FR"/>
        </w:rPr>
        <w:t>c)</w:t>
      </w:r>
      <w:r w:rsidRPr="00440C76">
        <w:rPr>
          <w:lang w:val="fr-FR"/>
        </w:rPr>
        <w:tab/>
        <w:t xml:space="preserve">Le </w:t>
      </w:r>
      <w:proofErr w:type="spellStart"/>
      <w:r w:rsidRPr="00440C76">
        <w:rPr>
          <w:lang w:val="fr-FR"/>
        </w:rPr>
        <w:t>canister</w:t>
      </w:r>
      <w:proofErr w:type="spellEnd"/>
      <w:r w:rsidRPr="00440C76">
        <w:rPr>
          <w:lang w:val="fr-FR"/>
        </w:rPr>
        <w:t xml:space="preserve"> doit être chargé en dehors du véhicule, conformément à la procédure décrite à cet effet à l</w:t>
      </w:r>
      <w:r>
        <w:rPr>
          <w:lang w:val="fr-FR"/>
        </w:rPr>
        <w:t>’</w:t>
      </w:r>
      <w:r w:rsidRPr="00440C76">
        <w:rPr>
          <w:lang w:val="fr-FR"/>
        </w:rPr>
        <w:t>annexe</w:t>
      </w:r>
      <w:r>
        <w:rPr>
          <w:lang w:val="fr-FR"/>
        </w:rPr>
        <w:t> </w:t>
      </w:r>
      <w:r w:rsidRPr="00440C76">
        <w:rPr>
          <w:lang w:val="fr-FR"/>
        </w:rPr>
        <w:t>C3 du Règlement ONU n</w:t>
      </w:r>
      <w:r w:rsidRPr="00440C76">
        <w:rPr>
          <w:vertAlign w:val="superscript"/>
          <w:lang w:val="fr-FR"/>
        </w:rPr>
        <w:t>o</w:t>
      </w:r>
      <w:r w:rsidRPr="00440C76">
        <w:rPr>
          <w:lang w:val="fr-FR"/>
        </w:rPr>
        <w:t> 154 et doit être retiré et monté sur le véhicule conformément aux instructions de réparations du constructeur. Un test d</w:t>
      </w:r>
      <w:r>
        <w:rPr>
          <w:lang w:val="fr-FR"/>
        </w:rPr>
        <w:t>’</w:t>
      </w:r>
      <w:r w:rsidRPr="00440C76">
        <w:rPr>
          <w:lang w:val="fr-FR"/>
        </w:rPr>
        <w:t>odeur (donnant des résultats inférieurs à 100 ppm à 20 °C) doit être effectué à l</w:t>
      </w:r>
      <w:r>
        <w:rPr>
          <w:lang w:val="fr-FR"/>
        </w:rPr>
        <w:t>’</w:t>
      </w:r>
      <w:r w:rsidRPr="00440C76">
        <w:rPr>
          <w:lang w:val="fr-FR"/>
        </w:rPr>
        <w:t>aide d</w:t>
      </w:r>
      <w:r>
        <w:rPr>
          <w:lang w:val="fr-FR"/>
        </w:rPr>
        <w:t>’</w:t>
      </w:r>
      <w:r w:rsidRPr="00440C76">
        <w:rPr>
          <w:lang w:val="fr-FR"/>
        </w:rPr>
        <w:t xml:space="preserve">un détecteur à ionisation de flamme (DIF) aussi près que possible du </w:t>
      </w:r>
      <w:proofErr w:type="spellStart"/>
      <w:r w:rsidRPr="00440C76">
        <w:rPr>
          <w:lang w:val="fr-FR"/>
        </w:rPr>
        <w:t>canister</w:t>
      </w:r>
      <w:proofErr w:type="spellEnd"/>
      <w:r w:rsidRPr="00440C76">
        <w:rPr>
          <w:lang w:val="fr-FR"/>
        </w:rPr>
        <w:t xml:space="preserve"> avant et après la charge afin de confirmer le montage correct de ce dernier ;</w:t>
      </w:r>
    </w:p>
    <w:p w14:paraId="32B1F268" w14:textId="77777777" w:rsidR="00BE2CA7" w:rsidRPr="00440C76" w:rsidRDefault="00BE2CA7" w:rsidP="00BE2CA7">
      <w:pPr>
        <w:pStyle w:val="SingleTxtG"/>
        <w:ind w:firstLine="567"/>
        <w:rPr>
          <w:lang w:val="fr-FR"/>
        </w:rPr>
      </w:pPr>
      <w:r w:rsidRPr="00440C76">
        <w:rPr>
          <w:lang w:val="fr-FR"/>
        </w:rPr>
        <w:t>d)</w:t>
      </w:r>
      <w:r w:rsidRPr="00440C76">
        <w:rPr>
          <w:lang w:val="fr-FR"/>
        </w:rPr>
        <w:tab/>
        <w:t>Le réservoir doit être considéré comme vieilli de manière qu</w:t>
      </w:r>
      <w:r>
        <w:rPr>
          <w:lang w:val="fr-FR"/>
        </w:rPr>
        <w:t>’</w:t>
      </w:r>
      <w:r w:rsidRPr="00440C76">
        <w:rPr>
          <w:lang w:val="fr-FR"/>
        </w:rPr>
        <w:t>aucun facteur de perméabilité ne doive être ajouté dans le calcul du résultat de l</w:t>
      </w:r>
      <w:r>
        <w:rPr>
          <w:lang w:val="fr-FR"/>
        </w:rPr>
        <w:t>’</w:t>
      </w:r>
      <w:r w:rsidRPr="00440C76">
        <w:rPr>
          <w:lang w:val="fr-FR"/>
        </w:rPr>
        <w:t>essai du type</w:t>
      </w:r>
      <w:r>
        <w:rPr>
          <w:lang w:val="fr-FR"/>
        </w:rPr>
        <w:t> </w:t>
      </w:r>
      <w:r w:rsidRPr="00440C76">
        <w:rPr>
          <w:lang w:val="fr-FR"/>
        </w:rPr>
        <w:t>4.</w:t>
      </w:r>
    </w:p>
    <w:p w14:paraId="6FAD47A3" w14:textId="77777777" w:rsidR="00BE2CA7" w:rsidRPr="00440C76" w:rsidRDefault="00BE2CA7" w:rsidP="00BE2CA7">
      <w:pPr>
        <w:pStyle w:val="SingleTxtG"/>
        <w:rPr>
          <w:sz w:val="28"/>
          <w:lang w:val="fr-FR" w:eastAsia="en-GB"/>
        </w:rPr>
      </w:pPr>
      <w:r w:rsidRPr="00440C76">
        <w:rPr>
          <w:lang w:val="fr-FR" w:eastAsia="en-GB"/>
        </w:rPr>
        <w:br w:type="page"/>
      </w:r>
    </w:p>
    <w:p w14:paraId="65A21978" w14:textId="77777777" w:rsidR="00BE2CA7" w:rsidRPr="00D77B18" w:rsidRDefault="00BE2CA7" w:rsidP="00BE2CA7">
      <w:pPr>
        <w:pStyle w:val="HChG"/>
      </w:pPr>
      <w:r w:rsidRPr="00440C76">
        <w:rPr>
          <w:lang w:val="fr-FR" w:eastAsia="en-GB"/>
        </w:rPr>
        <w:lastRenderedPageBreak/>
        <w:t>Annexe</w:t>
      </w:r>
      <w:r>
        <w:rPr>
          <w:lang w:val="fr-FR" w:eastAsia="en-GB"/>
        </w:rPr>
        <w:t> </w:t>
      </w:r>
      <w:r w:rsidRPr="00440C76">
        <w:rPr>
          <w:lang w:val="fr-FR" w:eastAsia="en-GB"/>
        </w:rPr>
        <w:t>4 − Appendice</w:t>
      </w:r>
      <w:r>
        <w:rPr>
          <w:lang w:val="fr-FR" w:eastAsia="en-GB"/>
        </w:rPr>
        <w:t> </w:t>
      </w:r>
      <w:r w:rsidRPr="00440C76">
        <w:rPr>
          <w:lang w:val="fr-FR" w:eastAsia="en-GB"/>
        </w:rPr>
        <w:t>3</w:t>
      </w:r>
      <w:bookmarkEnd w:id="37"/>
    </w:p>
    <w:p w14:paraId="16B8081B" w14:textId="77777777" w:rsidR="00BE2CA7" w:rsidRPr="00440C76" w:rsidRDefault="00BE2CA7" w:rsidP="00BE2CA7">
      <w:pPr>
        <w:pStyle w:val="HChG"/>
        <w:rPr>
          <w:lang w:val="fr-FR"/>
        </w:rPr>
      </w:pPr>
      <w:bookmarkStart w:id="39" w:name="_Toc116914001"/>
      <w:r w:rsidRPr="00440C76">
        <w:rPr>
          <w:lang w:val="fr-FR"/>
        </w:rPr>
        <w:tab/>
      </w:r>
      <w:r w:rsidRPr="00440C76">
        <w:rPr>
          <w:lang w:val="fr-FR"/>
        </w:rPr>
        <w:tab/>
        <w:t>Procès-verbal d</w:t>
      </w:r>
      <w:r>
        <w:rPr>
          <w:lang w:val="fr-FR"/>
        </w:rPr>
        <w:t>’</w:t>
      </w:r>
      <w:r w:rsidRPr="00440C76">
        <w:rPr>
          <w:lang w:val="fr-FR"/>
        </w:rPr>
        <w:t>essai de conformité en service</w:t>
      </w:r>
      <w:bookmarkEnd w:id="39"/>
    </w:p>
    <w:p w14:paraId="2D1BC2C9" w14:textId="77777777" w:rsidR="00BE2CA7" w:rsidRPr="00440C76" w:rsidRDefault="00BE2CA7" w:rsidP="00BE2CA7">
      <w:pPr>
        <w:pStyle w:val="SingleTxtG"/>
        <w:ind w:firstLine="567"/>
        <w:rPr>
          <w:lang w:val="fr-FR"/>
        </w:rPr>
      </w:pPr>
      <w:r w:rsidRPr="00440C76">
        <w:rPr>
          <w:lang w:val="fr-FR"/>
        </w:rPr>
        <w:t>Les informations suivantes doivent figurer dans le procès-verbal détaillé de l</w:t>
      </w:r>
      <w:r>
        <w:rPr>
          <w:lang w:val="fr-FR"/>
        </w:rPr>
        <w:t>’</w:t>
      </w:r>
      <w:r w:rsidRPr="00440C76">
        <w:rPr>
          <w:lang w:val="fr-FR"/>
        </w:rPr>
        <w:t>essai de conformité en service :</w:t>
      </w:r>
    </w:p>
    <w:p w14:paraId="1D0C5DBB" w14:textId="77777777" w:rsidR="00BE2CA7" w:rsidRPr="00440C76" w:rsidRDefault="00BE2CA7" w:rsidP="00BE2CA7">
      <w:pPr>
        <w:pStyle w:val="SingleTxtG"/>
        <w:ind w:left="2268" w:hanging="1134"/>
        <w:rPr>
          <w:lang w:val="fr-FR"/>
        </w:rPr>
      </w:pPr>
      <w:r w:rsidRPr="00440C76">
        <w:rPr>
          <w:lang w:val="fr-FR"/>
        </w:rPr>
        <w:t>1.</w:t>
      </w:r>
      <w:r w:rsidRPr="00440C76">
        <w:rPr>
          <w:lang w:val="fr-FR"/>
        </w:rPr>
        <w:tab/>
        <w:t>La date de l</w:t>
      </w:r>
      <w:r>
        <w:rPr>
          <w:lang w:val="fr-FR"/>
        </w:rPr>
        <w:t>’</w:t>
      </w:r>
      <w:r w:rsidRPr="00440C76">
        <w:rPr>
          <w:lang w:val="fr-FR"/>
        </w:rPr>
        <w:t>essai ;</w:t>
      </w:r>
    </w:p>
    <w:p w14:paraId="7E74980F" w14:textId="77777777" w:rsidR="00BE2CA7" w:rsidRPr="00440C76" w:rsidRDefault="00BE2CA7" w:rsidP="00BE2CA7">
      <w:pPr>
        <w:pStyle w:val="SingleTxtG"/>
        <w:ind w:left="2268" w:hanging="1134"/>
        <w:rPr>
          <w:lang w:val="fr-FR"/>
        </w:rPr>
      </w:pPr>
      <w:r w:rsidRPr="00440C76">
        <w:rPr>
          <w:szCs w:val="18"/>
          <w:lang w:val="fr-FR"/>
        </w:rPr>
        <w:t>2.</w:t>
      </w:r>
      <w:r w:rsidRPr="00440C76">
        <w:rPr>
          <w:szCs w:val="18"/>
          <w:lang w:val="fr-FR"/>
        </w:rPr>
        <w:tab/>
      </w:r>
      <w:r w:rsidRPr="00440C76">
        <w:rPr>
          <w:lang w:val="fr-FR"/>
        </w:rPr>
        <w:t>Le numéro unique du procès-verbal détaillé de l</w:t>
      </w:r>
      <w:r>
        <w:rPr>
          <w:lang w:val="fr-FR"/>
        </w:rPr>
        <w:t>’</w:t>
      </w:r>
      <w:r w:rsidRPr="00440C76">
        <w:rPr>
          <w:lang w:val="fr-FR"/>
        </w:rPr>
        <w:t>essai de conformité en service ;</w:t>
      </w:r>
    </w:p>
    <w:p w14:paraId="59FA8271" w14:textId="77777777" w:rsidR="00BE2CA7" w:rsidRPr="00440C76" w:rsidRDefault="00BE2CA7" w:rsidP="00BE2CA7">
      <w:pPr>
        <w:pStyle w:val="SingleTxtG"/>
        <w:ind w:left="2268" w:hanging="1134"/>
        <w:rPr>
          <w:lang w:val="fr-FR"/>
        </w:rPr>
      </w:pPr>
      <w:r w:rsidRPr="00440C76">
        <w:rPr>
          <w:lang w:val="fr-FR"/>
        </w:rPr>
        <w:t>3.</w:t>
      </w:r>
      <w:r w:rsidRPr="00440C76">
        <w:rPr>
          <w:lang w:val="fr-FR"/>
        </w:rPr>
        <w:tab/>
        <w:t>La date d</w:t>
      </w:r>
      <w:r>
        <w:rPr>
          <w:lang w:val="fr-FR"/>
        </w:rPr>
        <w:t>’</w:t>
      </w:r>
      <w:r w:rsidRPr="00440C76">
        <w:rPr>
          <w:lang w:val="fr-FR"/>
        </w:rPr>
        <w:t>homologation par le représentant dûment accrédité ;</w:t>
      </w:r>
    </w:p>
    <w:p w14:paraId="7A6B00CA" w14:textId="77777777" w:rsidR="00BE2CA7" w:rsidRPr="00440C76" w:rsidRDefault="00BE2CA7" w:rsidP="00BE2CA7">
      <w:pPr>
        <w:pStyle w:val="SingleTxtG"/>
        <w:ind w:left="2268" w:hanging="1134"/>
        <w:rPr>
          <w:lang w:val="fr-FR"/>
        </w:rPr>
      </w:pPr>
      <w:r w:rsidRPr="00440C76">
        <w:rPr>
          <w:lang w:val="fr-FR"/>
        </w:rPr>
        <w:t>4.</w:t>
      </w:r>
      <w:r w:rsidRPr="00440C76">
        <w:rPr>
          <w:lang w:val="fr-FR"/>
        </w:rPr>
        <w:tab/>
        <w:t>La date de transmission à l</w:t>
      </w:r>
      <w:r>
        <w:rPr>
          <w:lang w:val="fr-FR"/>
        </w:rPr>
        <w:t>’</w:t>
      </w:r>
      <w:r w:rsidRPr="00440C76">
        <w:rPr>
          <w:lang w:val="fr-FR"/>
        </w:rPr>
        <w:t>autorité d</w:t>
      </w:r>
      <w:r>
        <w:rPr>
          <w:lang w:val="fr-FR"/>
        </w:rPr>
        <w:t>’</w:t>
      </w:r>
      <w:r w:rsidRPr="00440C76">
        <w:rPr>
          <w:lang w:val="fr-FR"/>
        </w:rPr>
        <w:t>homologation de type ;</w:t>
      </w:r>
    </w:p>
    <w:p w14:paraId="760A3A1E" w14:textId="77777777" w:rsidR="00BE2CA7" w:rsidRPr="00440C76" w:rsidRDefault="00BE2CA7" w:rsidP="00BE2CA7">
      <w:pPr>
        <w:pStyle w:val="SingleTxtG"/>
        <w:ind w:left="2268" w:hanging="1134"/>
        <w:rPr>
          <w:lang w:val="fr-FR"/>
        </w:rPr>
      </w:pPr>
      <w:r w:rsidRPr="00440C76">
        <w:rPr>
          <w:lang w:val="fr-FR"/>
        </w:rPr>
        <w:t>5.</w:t>
      </w:r>
      <w:r w:rsidRPr="00440C76">
        <w:rPr>
          <w:lang w:val="fr-FR"/>
        </w:rPr>
        <w:tab/>
        <w:t>Le nom et l</w:t>
      </w:r>
      <w:r>
        <w:rPr>
          <w:lang w:val="fr-FR"/>
        </w:rPr>
        <w:t>’</w:t>
      </w:r>
      <w:r w:rsidRPr="00440C76">
        <w:rPr>
          <w:lang w:val="fr-FR"/>
        </w:rPr>
        <w:t>adresse du constructeur ;</w:t>
      </w:r>
    </w:p>
    <w:p w14:paraId="0164911B" w14:textId="77777777" w:rsidR="00BE2CA7" w:rsidRPr="00440C76" w:rsidRDefault="00BE2CA7" w:rsidP="00BE2CA7">
      <w:pPr>
        <w:pStyle w:val="SingleTxtG"/>
        <w:ind w:left="2268" w:hanging="1134"/>
        <w:rPr>
          <w:lang w:val="fr-FR"/>
        </w:rPr>
      </w:pPr>
      <w:r w:rsidRPr="00440C76">
        <w:rPr>
          <w:lang w:val="fr-FR"/>
        </w:rPr>
        <w:t>6.</w:t>
      </w:r>
      <w:r w:rsidRPr="00440C76">
        <w:rPr>
          <w:lang w:val="fr-FR"/>
        </w:rPr>
        <w:tab/>
        <w:t>Le nom, l</w:t>
      </w:r>
      <w:r>
        <w:rPr>
          <w:lang w:val="fr-FR"/>
        </w:rPr>
        <w:t>’</w:t>
      </w:r>
      <w:r w:rsidRPr="00440C76">
        <w:rPr>
          <w:lang w:val="fr-FR"/>
        </w:rPr>
        <w:t>adresse, les numéros de téléphone et de télécopieur, ainsi que l</w:t>
      </w:r>
      <w:r>
        <w:rPr>
          <w:lang w:val="fr-FR"/>
        </w:rPr>
        <w:t>’</w:t>
      </w:r>
      <w:r w:rsidRPr="00440C76">
        <w:rPr>
          <w:lang w:val="fr-FR"/>
        </w:rPr>
        <w:t>adresse électronique du laboratoire d</w:t>
      </w:r>
      <w:r>
        <w:rPr>
          <w:lang w:val="fr-FR"/>
        </w:rPr>
        <w:t>’</w:t>
      </w:r>
      <w:r w:rsidRPr="00440C76">
        <w:rPr>
          <w:lang w:val="fr-FR"/>
        </w:rPr>
        <w:t>essai responsable ;</w:t>
      </w:r>
    </w:p>
    <w:p w14:paraId="0A1F6432" w14:textId="77777777" w:rsidR="00BE2CA7" w:rsidRPr="00440C76" w:rsidRDefault="00BE2CA7" w:rsidP="00BE2CA7">
      <w:pPr>
        <w:pStyle w:val="SingleTxtG"/>
        <w:ind w:left="2268" w:hanging="1134"/>
        <w:rPr>
          <w:lang w:val="fr-FR"/>
        </w:rPr>
      </w:pPr>
      <w:r w:rsidRPr="00440C76">
        <w:rPr>
          <w:lang w:val="fr-FR"/>
        </w:rPr>
        <w:t>7.</w:t>
      </w:r>
      <w:r w:rsidRPr="00440C76">
        <w:rPr>
          <w:lang w:val="fr-FR"/>
        </w:rPr>
        <w:tab/>
        <w:t>Le nom du ou des modèles de véhicules inclus dans le plan d</w:t>
      </w:r>
      <w:r>
        <w:rPr>
          <w:lang w:val="fr-FR"/>
        </w:rPr>
        <w:t>’</w:t>
      </w:r>
      <w:r w:rsidRPr="00440C76">
        <w:rPr>
          <w:lang w:val="fr-FR"/>
        </w:rPr>
        <w:t>essais ;</w:t>
      </w:r>
    </w:p>
    <w:p w14:paraId="71538C28" w14:textId="77777777" w:rsidR="00BE2CA7" w:rsidRPr="00440C76" w:rsidRDefault="00BE2CA7" w:rsidP="00BE2CA7">
      <w:pPr>
        <w:pStyle w:val="SingleTxtG"/>
        <w:ind w:left="2268" w:hanging="1134"/>
        <w:rPr>
          <w:lang w:val="fr-FR"/>
        </w:rPr>
      </w:pPr>
      <w:r w:rsidRPr="00440C76">
        <w:rPr>
          <w:lang w:val="fr-FR"/>
        </w:rPr>
        <w:t>8.</w:t>
      </w:r>
      <w:r w:rsidRPr="00440C76">
        <w:rPr>
          <w:lang w:val="fr-FR"/>
        </w:rPr>
        <w:tab/>
        <w:t>Le cas échéant, la liste des types de véhicule visés par les informations du constructeur, c</w:t>
      </w:r>
      <w:r>
        <w:rPr>
          <w:lang w:val="fr-FR"/>
        </w:rPr>
        <w:t>’</w:t>
      </w:r>
      <w:r w:rsidRPr="00440C76">
        <w:rPr>
          <w:lang w:val="fr-FR"/>
        </w:rPr>
        <w:t>est-à-dire, pour les émissions d</w:t>
      </w:r>
      <w:r>
        <w:rPr>
          <w:lang w:val="fr-FR"/>
        </w:rPr>
        <w:t>’</w:t>
      </w:r>
      <w:r w:rsidRPr="00440C76">
        <w:rPr>
          <w:lang w:val="fr-FR"/>
        </w:rPr>
        <w:t>échappement, la famille de conformité en service ;</w:t>
      </w:r>
    </w:p>
    <w:p w14:paraId="2D34D680" w14:textId="77777777" w:rsidR="00BE2CA7" w:rsidRPr="00440C76" w:rsidRDefault="00BE2CA7" w:rsidP="00BE2CA7">
      <w:pPr>
        <w:pStyle w:val="SingleTxtG"/>
        <w:ind w:left="2268" w:hanging="1134"/>
        <w:rPr>
          <w:lang w:val="fr-FR"/>
        </w:rPr>
      </w:pPr>
      <w:r w:rsidRPr="00440C76">
        <w:rPr>
          <w:lang w:val="fr-FR"/>
        </w:rPr>
        <w:t>9.</w:t>
      </w:r>
      <w:r w:rsidRPr="00440C76">
        <w:rPr>
          <w:lang w:val="fr-FR"/>
        </w:rPr>
        <w:tab/>
        <w:t>Les numéros d</w:t>
      </w:r>
      <w:r>
        <w:rPr>
          <w:lang w:val="fr-FR"/>
        </w:rPr>
        <w:t>’</w:t>
      </w:r>
      <w:r w:rsidRPr="00440C76">
        <w:rPr>
          <w:lang w:val="fr-FR"/>
        </w:rPr>
        <w:t>homologation de type des véhicules qui appartiennent à la famille, y compris, le cas échéant, les numéros de toutes les extensions et les corrections locales et/ou les rappels de véhicules en circulation (retours à l</w:t>
      </w:r>
      <w:r>
        <w:rPr>
          <w:lang w:val="fr-FR"/>
        </w:rPr>
        <w:t>’</w:t>
      </w:r>
      <w:r w:rsidRPr="00440C76">
        <w:rPr>
          <w:lang w:val="fr-FR"/>
        </w:rPr>
        <w:t>usine) ;</w:t>
      </w:r>
    </w:p>
    <w:p w14:paraId="5F15C763" w14:textId="77777777" w:rsidR="00BE2CA7" w:rsidRPr="00440C76" w:rsidRDefault="00BE2CA7" w:rsidP="00BE2CA7">
      <w:pPr>
        <w:pStyle w:val="SingleTxtG"/>
        <w:ind w:left="2268" w:hanging="1134"/>
        <w:rPr>
          <w:lang w:val="fr-FR"/>
        </w:rPr>
      </w:pPr>
      <w:r w:rsidRPr="00440C76">
        <w:rPr>
          <w:lang w:val="fr-FR"/>
        </w:rPr>
        <w:t>10.</w:t>
      </w:r>
      <w:r w:rsidRPr="00440C76">
        <w:rPr>
          <w:lang w:val="fr-FR"/>
        </w:rPr>
        <w:tab/>
        <w:t>Les détails des extensions et des corrections locales ou des rappels pour les véhicules visés par les informations du constructeur (si l</w:t>
      </w:r>
      <w:r>
        <w:rPr>
          <w:lang w:val="fr-FR"/>
        </w:rPr>
        <w:t>’</w:t>
      </w:r>
      <w:r w:rsidRPr="00440C76">
        <w:rPr>
          <w:lang w:val="fr-FR"/>
        </w:rPr>
        <w:t>autorité d</w:t>
      </w:r>
      <w:r>
        <w:rPr>
          <w:lang w:val="fr-FR"/>
        </w:rPr>
        <w:t>’</w:t>
      </w:r>
      <w:r w:rsidRPr="00440C76">
        <w:rPr>
          <w:lang w:val="fr-FR"/>
        </w:rPr>
        <w:t>homologation de type en fait la demande) ;</w:t>
      </w:r>
    </w:p>
    <w:p w14:paraId="618F0777" w14:textId="77777777" w:rsidR="00BE2CA7" w:rsidRPr="00440C76" w:rsidRDefault="00BE2CA7" w:rsidP="00BE2CA7">
      <w:pPr>
        <w:pStyle w:val="SingleTxtG"/>
        <w:ind w:left="2268" w:hanging="1134"/>
        <w:rPr>
          <w:lang w:val="fr-FR"/>
        </w:rPr>
      </w:pPr>
      <w:r w:rsidRPr="00440C76">
        <w:rPr>
          <w:lang w:val="fr-FR"/>
        </w:rPr>
        <w:t>11.</w:t>
      </w:r>
      <w:r w:rsidRPr="00440C76">
        <w:rPr>
          <w:lang w:val="fr-FR"/>
        </w:rPr>
        <w:tab/>
        <w:t>La période au cours de laquelle les informations ont été recueillies ;</w:t>
      </w:r>
    </w:p>
    <w:p w14:paraId="471E4CA7" w14:textId="77777777" w:rsidR="00BE2CA7" w:rsidRPr="00440C76" w:rsidRDefault="00BE2CA7" w:rsidP="00BE2CA7">
      <w:pPr>
        <w:pStyle w:val="SingleTxtG"/>
        <w:ind w:left="2268" w:hanging="1134"/>
        <w:rPr>
          <w:szCs w:val="18"/>
          <w:lang w:val="fr-FR"/>
        </w:rPr>
      </w:pPr>
      <w:r w:rsidRPr="00440C76">
        <w:rPr>
          <w:lang w:val="fr-FR"/>
        </w:rPr>
        <w:t>12.</w:t>
      </w:r>
      <w:r w:rsidRPr="00440C76">
        <w:rPr>
          <w:lang w:val="fr-FR"/>
        </w:rPr>
        <w:tab/>
        <w:t>La procédure de vérification de la conformité en service, comprenant, le cas échéant</w:t>
      </w:r>
      <w:r w:rsidRPr="00440C76">
        <w:rPr>
          <w:szCs w:val="18"/>
          <w:lang w:val="fr-FR"/>
        </w:rPr>
        <w:t> :</w:t>
      </w:r>
    </w:p>
    <w:p w14:paraId="706F7623" w14:textId="77777777" w:rsidR="00BE2CA7" w:rsidRPr="00440C76" w:rsidRDefault="00BE2CA7" w:rsidP="00BE2CA7">
      <w:pPr>
        <w:pStyle w:val="SingleTxtG"/>
        <w:ind w:left="2835" w:hanging="567"/>
        <w:rPr>
          <w:lang w:val="fr-FR"/>
        </w:rPr>
      </w:pPr>
      <w:r w:rsidRPr="00440C76">
        <w:rPr>
          <w:lang w:val="fr-FR"/>
        </w:rPr>
        <w:t>a)</w:t>
      </w:r>
      <w:r w:rsidRPr="00440C76">
        <w:rPr>
          <w:lang w:val="fr-FR"/>
        </w:rPr>
        <w:tab/>
        <w:t>La méthode de sélection du véhicule ;</w:t>
      </w:r>
    </w:p>
    <w:p w14:paraId="7F1403E3" w14:textId="77777777" w:rsidR="00BE2CA7" w:rsidRPr="00440C76" w:rsidRDefault="00BE2CA7" w:rsidP="00BE2CA7">
      <w:pPr>
        <w:pStyle w:val="SingleTxtG"/>
        <w:ind w:left="2835" w:hanging="567"/>
        <w:rPr>
          <w:lang w:val="fr-FR"/>
        </w:rPr>
      </w:pPr>
      <w:r w:rsidRPr="00440C76">
        <w:rPr>
          <w:lang w:val="fr-FR"/>
        </w:rPr>
        <w:t>b)</w:t>
      </w:r>
      <w:r w:rsidRPr="00440C76">
        <w:rPr>
          <w:lang w:val="fr-FR"/>
        </w:rPr>
        <w:tab/>
        <w:t>Les critères de sélection et de rejet (ainsi que les réponses au tableau de l</w:t>
      </w:r>
      <w:r>
        <w:rPr>
          <w:lang w:val="fr-FR"/>
        </w:rPr>
        <w:t>’</w:t>
      </w:r>
      <w:r w:rsidRPr="00440C76">
        <w:rPr>
          <w:lang w:val="fr-FR"/>
        </w:rPr>
        <w:t>appendice</w:t>
      </w:r>
      <w:r>
        <w:rPr>
          <w:lang w:val="fr-FR"/>
        </w:rPr>
        <w:t> </w:t>
      </w:r>
      <w:r w:rsidRPr="00440C76">
        <w:rPr>
          <w:lang w:val="fr-FR"/>
        </w:rPr>
        <w:t>1, y compris les photos) ;</w:t>
      </w:r>
    </w:p>
    <w:p w14:paraId="3DE62050" w14:textId="77777777" w:rsidR="00BE2CA7" w:rsidRPr="00440C76" w:rsidRDefault="00BE2CA7" w:rsidP="00BE2CA7">
      <w:pPr>
        <w:pStyle w:val="SingleTxtG"/>
        <w:ind w:left="2835" w:hanging="567"/>
        <w:rPr>
          <w:lang w:val="fr-FR"/>
        </w:rPr>
      </w:pPr>
      <w:r w:rsidRPr="00440C76">
        <w:rPr>
          <w:lang w:val="fr-FR"/>
        </w:rPr>
        <w:t>c)</w:t>
      </w:r>
      <w:r w:rsidRPr="00440C76">
        <w:rPr>
          <w:lang w:val="fr-FR"/>
        </w:rPr>
        <w:tab/>
        <w:t>Les types et les procédures d</w:t>
      </w:r>
      <w:r>
        <w:rPr>
          <w:lang w:val="fr-FR"/>
        </w:rPr>
        <w:t>’</w:t>
      </w:r>
      <w:r w:rsidRPr="00440C76">
        <w:rPr>
          <w:lang w:val="fr-FR"/>
        </w:rPr>
        <w:t>essai utilisés pour le programme ;</w:t>
      </w:r>
    </w:p>
    <w:p w14:paraId="407278DA" w14:textId="77777777" w:rsidR="00BE2CA7" w:rsidRPr="00440C76" w:rsidRDefault="00BE2CA7" w:rsidP="00BE2CA7">
      <w:pPr>
        <w:pStyle w:val="SingleTxtG"/>
        <w:ind w:left="2835" w:hanging="567"/>
        <w:rPr>
          <w:lang w:val="fr-FR"/>
        </w:rPr>
      </w:pPr>
      <w:r w:rsidRPr="00440C76">
        <w:rPr>
          <w:lang w:val="fr-FR"/>
        </w:rPr>
        <w:t>d)</w:t>
      </w:r>
      <w:r w:rsidRPr="00440C76">
        <w:rPr>
          <w:lang w:val="fr-FR"/>
        </w:rPr>
        <w:tab/>
        <w:t>La ou les zones géographiques dans lesquelles le constructeur a recueilli les informations ;</w:t>
      </w:r>
    </w:p>
    <w:p w14:paraId="02930A3B" w14:textId="77777777" w:rsidR="00BE2CA7" w:rsidRPr="00440C76" w:rsidRDefault="00BE2CA7" w:rsidP="00BE2CA7">
      <w:pPr>
        <w:pStyle w:val="SingleTxtG"/>
        <w:ind w:left="2835" w:hanging="567"/>
        <w:rPr>
          <w:lang w:val="fr-FR"/>
        </w:rPr>
      </w:pPr>
      <w:r w:rsidRPr="00440C76">
        <w:rPr>
          <w:lang w:val="fr-FR"/>
        </w:rPr>
        <w:t>e)</w:t>
      </w:r>
      <w:r w:rsidRPr="00440C76">
        <w:rPr>
          <w:lang w:val="fr-FR"/>
        </w:rPr>
        <w:tab/>
        <w:t>Le numéro de lot de l</w:t>
      </w:r>
      <w:r>
        <w:rPr>
          <w:lang w:val="fr-FR"/>
        </w:rPr>
        <w:t>’</w:t>
      </w:r>
      <w:r w:rsidRPr="00440C76">
        <w:rPr>
          <w:lang w:val="fr-FR"/>
        </w:rPr>
        <w:t>échantillon et plan d</w:t>
      </w:r>
      <w:r>
        <w:rPr>
          <w:lang w:val="fr-FR"/>
        </w:rPr>
        <w:t>’</w:t>
      </w:r>
      <w:r w:rsidRPr="00440C76">
        <w:rPr>
          <w:lang w:val="fr-FR"/>
        </w:rPr>
        <w:t>échantillonnage utilisé ;</w:t>
      </w:r>
    </w:p>
    <w:p w14:paraId="5DFC3467" w14:textId="77777777" w:rsidR="00BE2CA7" w:rsidRPr="00440C76" w:rsidRDefault="00BE2CA7" w:rsidP="00BE2CA7">
      <w:pPr>
        <w:pStyle w:val="SingleTxtG"/>
        <w:ind w:left="2268" w:hanging="1134"/>
        <w:rPr>
          <w:szCs w:val="18"/>
          <w:lang w:val="fr-FR"/>
        </w:rPr>
      </w:pPr>
      <w:r w:rsidRPr="00440C76">
        <w:rPr>
          <w:szCs w:val="18"/>
          <w:lang w:val="fr-FR"/>
        </w:rPr>
        <w:t>13.</w:t>
      </w:r>
      <w:r w:rsidRPr="00440C76">
        <w:rPr>
          <w:szCs w:val="18"/>
          <w:lang w:val="fr-FR"/>
        </w:rPr>
        <w:tab/>
      </w:r>
      <w:r w:rsidRPr="00440C76">
        <w:rPr>
          <w:lang w:val="fr-FR"/>
        </w:rPr>
        <w:t>Les</w:t>
      </w:r>
      <w:r w:rsidRPr="00440C76">
        <w:rPr>
          <w:szCs w:val="18"/>
          <w:lang w:val="fr-FR"/>
        </w:rPr>
        <w:t xml:space="preserve"> résultats de la procédure de contrôle de la conformité en service, y compris :</w:t>
      </w:r>
    </w:p>
    <w:p w14:paraId="2F732B63" w14:textId="77777777" w:rsidR="00BE2CA7" w:rsidRPr="00440C76" w:rsidRDefault="00BE2CA7" w:rsidP="00BE2CA7">
      <w:pPr>
        <w:pStyle w:val="SingleTxtG"/>
        <w:ind w:left="2835" w:hanging="567"/>
        <w:rPr>
          <w:szCs w:val="18"/>
          <w:lang w:val="fr-FR"/>
        </w:rPr>
      </w:pPr>
      <w:r w:rsidRPr="00440C76">
        <w:rPr>
          <w:szCs w:val="18"/>
          <w:lang w:val="fr-FR"/>
        </w:rPr>
        <w:t>a)</w:t>
      </w:r>
      <w:r w:rsidRPr="00440C76">
        <w:rPr>
          <w:szCs w:val="18"/>
          <w:lang w:val="fr-FR"/>
        </w:rPr>
        <w:tab/>
      </w:r>
      <w:r w:rsidRPr="00440C76">
        <w:rPr>
          <w:lang w:val="fr-FR"/>
        </w:rPr>
        <w:t>L</w:t>
      </w:r>
      <w:r>
        <w:rPr>
          <w:lang w:val="fr-FR"/>
        </w:rPr>
        <w:t>’</w:t>
      </w:r>
      <w:r w:rsidRPr="00440C76">
        <w:rPr>
          <w:lang w:val="fr-FR"/>
        </w:rPr>
        <w:t>identification</w:t>
      </w:r>
      <w:r w:rsidRPr="00440C76">
        <w:rPr>
          <w:szCs w:val="18"/>
          <w:lang w:val="fr-FR"/>
        </w:rPr>
        <w:t xml:space="preserve"> des véhicules inclus dans le programme (qu</w:t>
      </w:r>
      <w:r>
        <w:rPr>
          <w:szCs w:val="18"/>
          <w:lang w:val="fr-FR"/>
        </w:rPr>
        <w:t>’</w:t>
      </w:r>
      <w:r w:rsidRPr="00440C76">
        <w:rPr>
          <w:szCs w:val="18"/>
          <w:lang w:val="fr-FR"/>
        </w:rPr>
        <w:t>ils aient été ou non soumis aux essais). L</w:t>
      </w:r>
      <w:r>
        <w:rPr>
          <w:szCs w:val="18"/>
          <w:lang w:val="fr-FR"/>
        </w:rPr>
        <w:t>’</w:t>
      </w:r>
      <w:r w:rsidRPr="00440C76">
        <w:rPr>
          <w:szCs w:val="18"/>
          <w:lang w:val="fr-FR"/>
        </w:rPr>
        <w:t>identification doit comprendre le tableau figurant à l</w:t>
      </w:r>
      <w:r>
        <w:rPr>
          <w:szCs w:val="18"/>
          <w:lang w:val="fr-FR"/>
        </w:rPr>
        <w:t>’</w:t>
      </w:r>
      <w:r w:rsidRPr="00440C76">
        <w:rPr>
          <w:szCs w:val="18"/>
          <w:lang w:val="fr-FR"/>
        </w:rPr>
        <w:t>appendice</w:t>
      </w:r>
      <w:r>
        <w:rPr>
          <w:szCs w:val="18"/>
          <w:lang w:val="fr-FR"/>
        </w:rPr>
        <w:t> </w:t>
      </w:r>
      <w:r w:rsidRPr="00440C76">
        <w:rPr>
          <w:szCs w:val="18"/>
          <w:lang w:val="fr-FR"/>
        </w:rPr>
        <w:t>1, sans les éléments confidentiels ;</w:t>
      </w:r>
    </w:p>
    <w:p w14:paraId="705448E2" w14:textId="77777777" w:rsidR="00BE2CA7" w:rsidRPr="00440C76" w:rsidRDefault="00BE2CA7" w:rsidP="00BE2CA7">
      <w:pPr>
        <w:pStyle w:val="SingleTxtG"/>
        <w:keepNext/>
        <w:ind w:left="2835" w:hanging="567"/>
        <w:rPr>
          <w:szCs w:val="18"/>
          <w:lang w:val="fr-FR"/>
        </w:rPr>
      </w:pPr>
      <w:r w:rsidRPr="00440C76">
        <w:rPr>
          <w:szCs w:val="18"/>
          <w:lang w:val="fr-FR"/>
        </w:rPr>
        <w:t>b)</w:t>
      </w:r>
      <w:r w:rsidRPr="00440C76">
        <w:rPr>
          <w:szCs w:val="18"/>
          <w:lang w:val="fr-FR"/>
        </w:rPr>
        <w:tab/>
        <w:t>Les données d</w:t>
      </w:r>
      <w:r>
        <w:rPr>
          <w:szCs w:val="18"/>
          <w:lang w:val="fr-FR"/>
        </w:rPr>
        <w:t>’</w:t>
      </w:r>
      <w:r w:rsidRPr="00440C76">
        <w:rPr>
          <w:szCs w:val="18"/>
          <w:lang w:val="fr-FR"/>
        </w:rPr>
        <w:t>essai pour la mesure des émissions d</w:t>
      </w:r>
      <w:r>
        <w:rPr>
          <w:szCs w:val="18"/>
          <w:lang w:val="fr-FR"/>
        </w:rPr>
        <w:t>’</w:t>
      </w:r>
      <w:r w:rsidRPr="00440C76">
        <w:rPr>
          <w:szCs w:val="18"/>
          <w:lang w:val="fr-FR"/>
        </w:rPr>
        <w:t>échappement :</w:t>
      </w:r>
    </w:p>
    <w:p w14:paraId="6C7CF0B9" w14:textId="77777777" w:rsidR="00BE2CA7" w:rsidRPr="00440C76" w:rsidRDefault="00BE2CA7" w:rsidP="00BE2CA7">
      <w:pPr>
        <w:pStyle w:val="Bullet1G"/>
        <w:numPr>
          <w:ilvl w:val="0"/>
          <w:numId w:val="0"/>
        </w:numPr>
        <w:tabs>
          <w:tab w:val="left" w:pos="1701"/>
        </w:tabs>
        <w:ind w:left="2835" w:hanging="170"/>
        <w:rPr>
          <w:szCs w:val="18"/>
          <w:lang w:val="fr-FR"/>
        </w:rPr>
      </w:pPr>
      <w:r w:rsidRPr="00440C76">
        <w:rPr>
          <w:szCs w:val="18"/>
          <w:lang w:val="fr-FR"/>
        </w:rPr>
        <w:t>•</w:t>
      </w:r>
      <w:r w:rsidRPr="00440C76">
        <w:rPr>
          <w:szCs w:val="18"/>
          <w:lang w:val="fr-FR"/>
        </w:rPr>
        <w:tab/>
        <w:t>Les spécifications du carburant utilisé pour l</w:t>
      </w:r>
      <w:r>
        <w:rPr>
          <w:szCs w:val="18"/>
          <w:lang w:val="fr-FR"/>
        </w:rPr>
        <w:t>’</w:t>
      </w:r>
      <w:r w:rsidRPr="00440C76">
        <w:rPr>
          <w:szCs w:val="18"/>
          <w:lang w:val="fr-FR"/>
        </w:rPr>
        <w:t>essai (par exemple, carburant de référence ou carburant du marché) ;</w:t>
      </w:r>
    </w:p>
    <w:p w14:paraId="102BD555" w14:textId="77777777" w:rsidR="00BE2CA7" w:rsidRPr="00440C76" w:rsidRDefault="00BE2CA7" w:rsidP="00BE2CA7">
      <w:pPr>
        <w:pStyle w:val="Bullet1G"/>
        <w:numPr>
          <w:ilvl w:val="0"/>
          <w:numId w:val="0"/>
        </w:numPr>
        <w:tabs>
          <w:tab w:val="left" w:pos="1701"/>
        </w:tabs>
        <w:ind w:left="2835" w:hanging="170"/>
        <w:rPr>
          <w:szCs w:val="18"/>
          <w:lang w:val="fr-FR"/>
        </w:rPr>
      </w:pPr>
      <w:r w:rsidRPr="00440C76">
        <w:rPr>
          <w:szCs w:val="18"/>
          <w:lang w:val="fr-FR"/>
        </w:rPr>
        <w:t>•</w:t>
      </w:r>
      <w:r w:rsidRPr="00440C76">
        <w:rPr>
          <w:szCs w:val="18"/>
          <w:lang w:val="fr-FR"/>
        </w:rPr>
        <w:tab/>
        <w:t>Les conditions d</w:t>
      </w:r>
      <w:r>
        <w:rPr>
          <w:szCs w:val="18"/>
          <w:lang w:val="fr-FR"/>
        </w:rPr>
        <w:t>’</w:t>
      </w:r>
      <w:r w:rsidRPr="00440C76">
        <w:rPr>
          <w:szCs w:val="18"/>
          <w:lang w:val="fr-FR"/>
        </w:rPr>
        <w:t>essai (température, humidité, masse inertielle du dynamomètre) ;</w:t>
      </w:r>
    </w:p>
    <w:p w14:paraId="7CA3D58C" w14:textId="77777777" w:rsidR="00BE2CA7" w:rsidRPr="00440C76" w:rsidRDefault="00BE2CA7" w:rsidP="00BE2CA7">
      <w:pPr>
        <w:pStyle w:val="Bullet1G"/>
        <w:numPr>
          <w:ilvl w:val="0"/>
          <w:numId w:val="0"/>
        </w:numPr>
        <w:tabs>
          <w:tab w:val="left" w:pos="1701"/>
        </w:tabs>
        <w:ind w:left="2835" w:hanging="170"/>
        <w:rPr>
          <w:szCs w:val="18"/>
          <w:lang w:val="fr-FR"/>
        </w:rPr>
      </w:pPr>
      <w:r w:rsidRPr="00440C76">
        <w:rPr>
          <w:szCs w:val="18"/>
          <w:lang w:val="fr-FR"/>
        </w:rPr>
        <w:t>•</w:t>
      </w:r>
      <w:r w:rsidRPr="00440C76">
        <w:rPr>
          <w:szCs w:val="18"/>
          <w:lang w:val="fr-FR"/>
        </w:rPr>
        <w:tab/>
        <w:t>Les réglages du dynamomètre (par exemple, la résistance à l</w:t>
      </w:r>
      <w:r>
        <w:rPr>
          <w:szCs w:val="18"/>
          <w:lang w:val="fr-FR"/>
        </w:rPr>
        <w:t>’</w:t>
      </w:r>
      <w:r w:rsidRPr="00440C76">
        <w:rPr>
          <w:szCs w:val="18"/>
          <w:lang w:val="fr-FR"/>
        </w:rPr>
        <w:t>avancement sur route, le régime de fonctionnement) ;</w:t>
      </w:r>
    </w:p>
    <w:p w14:paraId="34445A7D" w14:textId="77777777" w:rsidR="00BE2CA7" w:rsidRPr="00440C76" w:rsidRDefault="00BE2CA7" w:rsidP="00BE2CA7">
      <w:pPr>
        <w:pStyle w:val="Bullet1G"/>
        <w:numPr>
          <w:ilvl w:val="0"/>
          <w:numId w:val="0"/>
        </w:numPr>
        <w:tabs>
          <w:tab w:val="left" w:pos="1701"/>
        </w:tabs>
        <w:ind w:left="2835" w:hanging="170"/>
        <w:rPr>
          <w:szCs w:val="18"/>
          <w:lang w:val="fr-FR"/>
        </w:rPr>
      </w:pPr>
      <w:r w:rsidRPr="00440C76">
        <w:rPr>
          <w:szCs w:val="18"/>
          <w:lang w:val="fr-FR"/>
        </w:rPr>
        <w:lastRenderedPageBreak/>
        <w:t>•</w:t>
      </w:r>
      <w:r w:rsidRPr="00440C76">
        <w:rPr>
          <w:szCs w:val="18"/>
          <w:lang w:val="fr-FR"/>
        </w:rPr>
        <w:tab/>
        <w:t>Les résultats de l</w:t>
      </w:r>
      <w:r>
        <w:rPr>
          <w:szCs w:val="18"/>
          <w:lang w:val="fr-FR"/>
        </w:rPr>
        <w:t>’</w:t>
      </w:r>
      <w:r w:rsidRPr="00440C76">
        <w:rPr>
          <w:szCs w:val="18"/>
          <w:lang w:val="fr-FR"/>
        </w:rPr>
        <w:t>essai et le calcul d</w:t>
      </w:r>
      <w:r>
        <w:rPr>
          <w:szCs w:val="18"/>
          <w:lang w:val="fr-FR"/>
        </w:rPr>
        <w:t>’</w:t>
      </w:r>
      <w:r w:rsidRPr="00440C76">
        <w:rPr>
          <w:szCs w:val="18"/>
          <w:lang w:val="fr-FR"/>
        </w:rPr>
        <w:t>acceptation/rejet ;</w:t>
      </w:r>
    </w:p>
    <w:p w14:paraId="3D50465A" w14:textId="77777777" w:rsidR="00BE2CA7" w:rsidRPr="00440C76" w:rsidRDefault="00BE2CA7" w:rsidP="00BE2CA7">
      <w:pPr>
        <w:pStyle w:val="SingleTxtG"/>
        <w:ind w:left="2835" w:hanging="567"/>
        <w:rPr>
          <w:szCs w:val="18"/>
          <w:lang w:val="fr-FR"/>
        </w:rPr>
      </w:pPr>
      <w:r w:rsidRPr="00440C76">
        <w:rPr>
          <w:szCs w:val="18"/>
          <w:lang w:val="fr-FR"/>
        </w:rPr>
        <w:t>c)</w:t>
      </w:r>
      <w:r w:rsidRPr="00440C76">
        <w:rPr>
          <w:szCs w:val="18"/>
          <w:lang w:val="fr-FR"/>
        </w:rPr>
        <w:tab/>
      </w:r>
      <w:r w:rsidRPr="00440C76">
        <w:rPr>
          <w:lang w:val="fr-FR"/>
        </w:rPr>
        <w:t>Les</w:t>
      </w:r>
      <w:r w:rsidRPr="00440C76">
        <w:rPr>
          <w:szCs w:val="18"/>
          <w:lang w:val="fr-FR"/>
        </w:rPr>
        <w:t xml:space="preserve"> données d</w:t>
      </w:r>
      <w:r>
        <w:rPr>
          <w:szCs w:val="18"/>
          <w:lang w:val="fr-FR"/>
        </w:rPr>
        <w:t>’</w:t>
      </w:r>
      <w:r w:rsidRPr="00440C76">
        <w:rPr>
          <w:szCs w:val="18"/>
          <w:lang w:val="fr-FR"/>
        </w:rPr>
        <w:t>essai relatives aux émissions par évaporation :</w:t>
      </w:r>
    </w:p>
    <w:p w14:paraId="4BA7B579" w14:textId="77777777" w:rsidR="00BE2CA7" w:rsidRPr="00440C76" w:rsidRDefault="00BE2CA7" w:rsidP="00BE2CA7">
      <w:pPr>
        <w:pStyle w:val="Bullet1G"/>
        <w:numPr>
          <w:ilvl w:val="0"/>
          <w:numId w:val="0"/>
        </w:numPr>
        <w:tabs>
          <w:tab w:val="left" w:pos="1701"/>
        </w:tabs>
        <w:ind w:left="2835" w:hanging="170"/>
        <w:rPr>
          <w:lang w:val="fr-FR"/>
        </w:rPr>
      </w:pPr>
      <w:r w:rsidRPr="00440C76">
        <w:rPr>
          <w:lang w:val="fr-FR"/>
        </w:rPr>
        <w:t>•</w:t>
      </w:r>
      <w:r w:rsidRPr="00440C76">
        <w:rPr>
          <w:lang w:val="fr-FR"/>
        </w:rPr>
        <w:tab/>
        <w:t>Les spécifications du carburant utilisé pour l</w:t>
      </w:r>
      <w:r>
        <w:rPr>
          <w:lang w:val="fr-FR"/>
        </w:rPr>
        <w:t>’</w:t>
      </w:r>
      <w:r w:rsidRPr="00440C76">
        <w:rPr>
          <w:lang w:val="fr-FR"/>
        </w:rPr>
        <w:t>essai (par exemple, carburant de référence ou carburant du marché) ;</w:t>
      </w:r>
    </w:p>
    <w:p w14:paraId="7BE9C76F" w14:textId="77777777" w:rsidR="00BE2CA7" w:rsidRPr="00440C76" w:rsidRDefault="00BE2CA7" w:rsidP="00BE2CA7">
      <w:pPr>
        <w:pStyle w:val="Bullet1G"/>
        <w:numPr>
          <w:ilvl w:val="0"/>
          <w:numId w:val="0"/>
        </w:numPr>
        <w:tabs>
          <w:tab w:val="left" w:pos="1701"/>
        </w:tabs>
        <w:ind w:left="2835" w:hanging="170"/>
        <w:rPr>
          <w:lang w:val="fr-FR"/>
        </w:rPr>
      </w:pPr>
      <w:r w:rsidRPr="00440C76">
        <w:rPr>
          <w:lang w:val="fr-FR"/>
        </w:rPr>
        <w:t>•</w:t>
      </w:r>
      <w:r w:rsidRPr="00440C76">
        <w:rPr>
          <w:lang w:val="fr-FR"/>
        </w:rPr>
        <w:tab/>
        <w:t>Les conditions d</w:t>
      </w:r>
      <w:r>
        <w:rPr>
          <w:lang w:val="fr-FR"/>
        </w:rPr>
        <w:t>’</w:t>
      </w:r>
      <w:r w:rsidRPr="00440C76">
        <w:rPr>
          <w:lang w:val="fr-FR"/>
        </w:rPr>
        <w:t>essai (température, humidité, masse inertielle du dynamomètre) ;</w:t>
      </w:r>
    </w:p>
    <w:p w14:paraId="5294DD6B" w14:textId="77777777" w:rsidR="00BE2CA7" w:rsidRPr="00440C76" w:rsidRDefault="00BE2CA7" w:rsidP="00BE2CA7">
      <w:pPr>
        <w:pStyle w:val="Bullet1G"/>
        <w:numPr>
          <w:ilvl w:val="0"/>
          <w:numId w:val="0"/>
        </w:numPr>
        <w:tabs>
          <w:tab w:val="left" w:pos="1701"/>
        </w:tabs>
        <w:ind w:left="2835" w:hanging="170"/>
        <w:rPr>
          <w:lang w:val="fr-FR"/>
        </w:rPr>
      </w:pPr>
      <w:r w:rsidRPr="00440C76">
        <w:rPr>
          <w:lang w:val="fr-FR"/>
        </w:rPr>
        <w:t>•</w:t>
      </w:r>
      <w:r w:rsidRPr="00440C76">
        <w:rPr>
          <w:lang w:val="fr-FR"/>
        </w:rPr>
        <w:tab/>
        <w:t>Les réglages du dynamomètre (par exemple, la résistance à l</w:t>
      </w:r>
      <w:r>
        <w:rPr>
          <w:lang w:val="fr-FR"/>
        </w:rPr>
        <w:t>’</w:t>
      </w:r>
      <w:r w:rsidRPr="00440C76">
        <w:rPr>
          <w:lang w:val="fr-FR"/>
        </w:rPr>
        <w:t>avancement sur route, le régime de fonctionnement) ;</w:t>
      </w:r>
    </w:p>
    <w:p w14:paraId="33FF2185" w14:textId="77777777" w:rsidR="00BE2CA7" w:rsidRPr="00440C76" w:rsidRDefault="00BE2CA7" w:rsidP="00BE2CA7">
      <w:pPr>
        <w:pStyle w:val="Bullet1G"/>
        <w:numPr>
          <w:ilvl w:val="0"/>
          <w:numId w:val="0"/>
        </w:numPr>
        <w:tabs>
          <w:tab w:val="left" w:pos="1701"/>
        </w:tabs>
        <w:ind w:left="2835" w:hanging="170"/>
        <w:rPr>
          <w:lang w:val="fr-FR"/>
        </w:rPr>
      </w:pPr>
      <w:r w:rsidRPr="00440C76">
        <w:rPr>
          <w:lang w:val="fr-FR"/>
        </w:rPr>
        <w:t>•</w:t>
      </w:r>
      <w:r w:rsidRPr="00440C76">
        <w:rPr>
          <w:lang w:val="fr-FR"/>
        </w:rPr>
        <w:tab/>
        <w:t>Les résultats de l</w:t>
      </w:r>
      <w:r>
        <w:rPr>
          <w:lang w:val="fr-FR"/>
        </w:rPr>
        <w:t>’</w:t>
      </w:r>
      <w:r w:rsidRPr="00440C76">
        <w:rPr>
          <w:lang w:val="fr-FR"/>
        </w:rPr>
        <w:t>essai et le calcul d</w:t>
      </w:r>
      <w:r>
        <w:rPr>
          <w:lang w:val="fr-FR"/>
        </w:rPr>
        <w:t>’</w:t>
      </w:r>
      <w:r w:rsidRPr="00440C76">
        <w:rPr>
          <w:lang w:val="fr-FR"/>
        </w:rPr>
        <w:t>acceptation/rejet.</w:t>
      </w:r>
    </w:p>
    <w:p w14:paraId="5DB5C860" w14:textId="77777777" w:rsidR="00BE2CA7" w:rsidRPr="00440C76" w:rsidRDefault="00BE2CA7" w:rsidP="00BE2CA7">
      <w:pPr>
        <w:pStyle w:val="SingleTxtG"/>
        <w:rPr>
          <w:lang w:val="fr-FR"/>
        </w:rPr>
      </w:pPr>
      <w:r w:rsidRPr="00440C76">
        <w:rPr>
          <w:lang w:val="fr-FR"/>
        </w:rPr>
        <w:br w:type="page"/>
      </w:r>
    </w:p>
    <w:p w14:paraId="21D4FBA5" w14:textId="77777777" w:rsidR="00BE2CA7" w:rsidRPr="00440C76" w:rsidRDefault="00BE2CA7" w:rsidP="00BE2CA7">
      <w:pPr>
        <w:pStyle w:val="HChG"/>
        <w:rPr>
          <w:lang w:val="fr-FR" w:eastAsia="en-GB"/>
        </w:rPr>
      </w:pPr>
      <w:bookmarkStart w:id="40" w:name="_Toc116914002"/>
      <w:r w:rsidRPr="00440C76">
        <w:rPr>
          <w:lang w:val="fr-FR" w:eastAsia="en-GB"/>
        </w:rPr>
        <w:lastRenderedPageBreak/>
        <w:t>Annexe</w:t>
      </w:r>
      <w:r>
        <w:rPr>
          <w:lang w:val="fr-FR" w:eastAsia="en-GB"/>
        </w:rPr>
        <w:t> </w:t>
      </w:r>
      <w:r w:rsidRPr="00440C76">
        <w:rPr>
          <w:lang w:val="fr-FR" w:eastAsia="en-GB"/>
        </w:rPr>
        <w:t xml:space="preserve">4 − </w:t>
      </w:r>
      <w:r w:rsidRPr="00440C76">
        <w:rPr>
          <w:lang w:val="fr-FR"/>
        </w:rPr>
        <w:t>Appendice</w:t>
      </w:r>
      <w:r>
        <w:rPr>
          <w:lang w:val="fr-FR" w:eastAsia="en-GB"/>
        </w:rPr>
        <w:t> </w:t>
      </w:r>
      <w:r w:rsidRPr="00440C76">
        <w:rPr>
          <w:lang w:val="fr-FR" w:eastAsia="en-GB"/>
        </w:rPr>
        <w:t>4</w:t>
      </w:r>
      <w:bookmarkEnd w:id="40"/>
    </w:p>
    <w:p w14:paraId="02C6AA95" w14:textId="77777777" w:rsidR="00BE2CA7" w:rsidRPr="00440C76" w:rsidRDefault="00BE2CA7" w:rsidP="00BE2CA7">
      <w:pPr>
        <w:pStyle w:val="HChG"/>
        <w:rPr>
          <w:lang w:val="fr-FR"/>
        </w:rPr>
      </w:pPr>
      <w:bookmarkStart w:id="41" w:name="_Toc116914003"/>
      <w:r w:rsidRPr="00440C76">
        <w:rPr>
          <w:lang w:val="fr-FR"/>
        </w:rPr>
        <w:tab/>
      </w:r>
      <w:r w:rsidRPr="00440C76">
        <w:rPr>
          <w:lang w:val="fr-FR"/>
        </w:rPr>
        <w:tab/>
      </w:r>
      <w:bookmarkEnd w:id="41"/>
      <w:r w:rsidRPr="00440C76">
        <w:rPr>
          <w:lang w:val="fr-FR"/>
        </w:rPr>
        <w:t>Rapport annuel de l</w:t>
      </w:r>
      <w:r>
        <w:rPr>
          <w:lang w:val="fr-FR"/>
        </w:rPr>
        <w:t>’</w:t>
      </w:r>
      <w:r w:rsidRPr="00440C76">
        <w:rPr>
          <w:lang w:val="fr-FR"/>
        </w:rPr>
        <w:t>autorité d</w:t>
      </w:r>
      <w:r>
        <w:rPr>
          <w:lang w:val="fr-FR"/>
        </w:rPr>
        <w:t>’</w:t>
      </w:r>
      <w:r w:rsidRPr="00440C76">
        <w:rPr>
          <w:lang w:val="fr-FR"/>
        </w:rPr>
        <w:t xml:space="preserve">homologation de type </w:t>
      </w:r>
      <w:r>
        <w:rPr>
          <w:lang w:val="fr-FR"/>
        </w:rPr>
        <w:br/>
      </w:r>
      <w:r w:rsidRPr="00440C76">
        <w:rPr>
          <w:lang w:val="fr-FR"/>
        </w:rPr>
        <w:t>sur les contrôles de conformité en service</w:t>
      </w:r>
    </w:p>
    <w:p w14:paraId="1A8ACE1A" w14:textId="77777777" w:rsidR="00BE2CA7" w:rsidRPr="00440C76" w:rsidRDefault="00BE2CA7" w:rsidP="00BE2CA7">
      <w:pPr>
        <w:pStyle w:val="H1G"/>
        <w:rPr>
          <w:b w:val="0"/>
          <w:sz w:val="20"/>
          <w:szCs w:val="18"/>
          <w:lang w:val="fr-FR"/>
        </w:rPr>
      </w:pPr>
      <w:r w:rsidRPr="00440C76">
        <w:rPr>
          <w:lang w:val="fr-FR"/>
        </w:rPr>
        <w:tab/>
      </w:r>
      <w:r w:rsidRPr="00440C76">
        <w:rPr>
          <w:lang w:val="fr-FR"/>
        </w:rPr>
        <w:tab/>
        <w:t>Titre</w:t>
      </w:r>
    </w:p>
    <w:p w14:paraId="5A118939" w14:textId="77777777" w:rsidR="00BE2CA7" w:rsidRPr="00440C76" w:rsidRDefault="00BE2CA7" w:rsidP="00BE2CA7">
      <w:pPr>
        <w:pStyle w:val="SingleTxtG"/>
        <w:ind w:left="2268" w:hanging="1134"/>
        <w:rPr>
          <w:lang w:val="fr-FR"/>
        </w:rPr>
      </w:pPr>
      <w:r w:rsidRPr="00440C76">
        <w:rPr>
          <w:lang w:val="fr-FR"/>
        </w:rPr>
        <w:t>A.</w:t>
      </w:r>
      <w:r w:rsidRPr="00440C76">
        <w:rPr>
          <w:lang w:val="fr-FR"/>
        </w:rPr>
        <w:tab/>
        <w:t>Bref aperçu et conclusions principales</w:t>
      </w:r>
    </w:p>
    <w:p w14:paraId="6DCA2F03" w14:textId="77777777" w:rsidR="00BE2CA7" w:rsidRPr="00440C76" w:rsidRDefault="00BE2CA7" w:rsidP="00BE2CA7">
      <w:pPr>
        <w:pStyle w:val="SingleTxtG"/>
        <w:ind w:left="2268" w:hanging="1134"/>
        <w:rPr>
          <w:lang w:val="fr-FR"/>
        </w:rPr>
      </w:pPr>
      <w:r w:rsidRPr="00440C76">
        <w:rPr>
          <w:lang w:val="fr-FR"/>
        </w:rPr>
        <w:t>B.</w:t>
      </w:r>
      <w:r w:rsidRPr="00440C76">
        <w:rPr>
          <w:lang w:val="fr-FR"/>
        </w:rPr>
        <w:tab/>
        <w:t>Activités relatives à la conformité en service menées par le constructeur au cours de l</w:t>
      </w:r>
      <w:r>
        <w:rPr>
          <w:lang w:val="fr-FR"/>
        </w:rPr>
        <w:t>’</w:t>
      </w:r>
      <w:r w:rsidRPr="00440C76">
        <w:rPr>
          <w:lang w:val="fr-FR"/>
        </w:rPr>
        <w:t>année précédente :</w:t>
      </w:r>
    </w:p>
    <w:p w14:paraId="007A8818" w14:textId="77777777" w:rsidR="00BE2CA7" w:rsidRPr="00440C76" w:rsidRDefault="00BE2CA7" w:rsidP="00BE2CA7">
      <w:pPr>
        <w:pStyle w:val="SingleTxtG"/>
        <w:ind w:left="2835" w:hanging="567"/>
        <w:rPr>
          <w:lang w:val="fr-FR"/>
        </w:rPr>
      </w:pPr>
      <w:r w:rsidRPr="00440C76">
        <w:rPr>
          <w:lang w:val="fr-FR"/>
        </w:rPr>
        <w:t>1)</w:t>
      </w:r>
      <w:r w:rsidRPr="00440C76">
        <w:rPr>
          <w:lang w:val="fr-FR"/>
        </w:rPr>
        <w:tab/>
        <w:t>Collecte des informations par le constructeur ;</w:t>
      </w:r>
    </w:p>
    <w:p w14:paraId="77C3B9E3" w14:textId="77777777" w:rsidR="00BE2CA7" w:rsidRPr="00440C76" w:rsidRDefault="00BE2CA7" w:rsidP="00BE2CA7">
      <w:pPr>
        <w:pStyle w:val="SingleTxtG"/>
        <w:ind w:left="2835" w:hanging="567"/>
        <w:rPr>
          <w:lang w:val="fr-FR"/>
        </w:rPr>
      </w:pPr>
      <w:r w:rsidRPr="00440C76">
        <w:rPr>
          <w:lang w:val="fr-FR"/>
        </w:rPr>
        <w:t>2)</w:t>
      </w:r>
      <w:r w:rsidRPr="00440C76">
        <w:rPr>
          <w:lang w:val="fr-FR"/>
        </w:rPr>
        <w:tab/>
      </w:r>
      <w:bookmarkStart w:id="42" w:name="_Hlk158187647"/>
      <w:r w:rsidRPr="00440C76">
        <w:rPr>
          <w:lang w:val="fr-FR"/>
        </w:rPr>
        <w:t>Contrôles de la conformité en service (comprenant la planification et la sélection des familles soumises aux essais, ainsi que les résultats finaux des essais).</w:t>
      </w:r>
      <w:bookmarkEnd w:id="42"/>
    </w:p>
    <w:p w14:paraId="2ABF2A03" w14:textId="77777777" w:rsidR="00BE2CA7" w:rsidRPr="00440C76" w:rsidRDefault="00BE2CA7" w:rsidP="00BE2CA7">
      <w:pPr>
        <w:pStyle w:val="SingleTxtG"/>
        <w:ind w:left="2268" w:hanging="1134"/>
        <w:rPr>
          <w:lang w:val="fr-FR"/>
        </w:rPr>
      </w:pPr>
      <w:r w:rsidRPr="00440C76">
        <w:rPr>
          <w:lang w:val="fr-FR"/>
        </w:rPr>
        <w:t>C.</w:t>
      </w:r>
      <w:r w:rsidRPr="00440C76">
        <w:rPr>
          <w:lang w:val="fr-FR"/>
        </w:rPr>
        <w:tab/>
        <w:t>Activités relatives à la conformité en service menées par les autres acteurs au cours de l</w:t>
      </w:r>
      <w:r>
        <w:rPr>
          <w:lang w:val="fr-FR"/>
        </w:rPr>
        <w:t>’</w:t>
      </w:r>
      <w:r w:rsidRPr="00440C76">
        <w:rPr>
          <w:lang w:val="fr-FR"/>
        </w:rPr>
        <w:t>année précédente :</w:t>
      </w:r>
    </w:p>
    <w:p w14:paraId="02BB6D5D" w14:textId="77777777" w:rsidR="00BE2CA7" w:rsidRPr="00440C76" w:rsidRDefault="00BE2CA7" w:rsidP="00BE2CA7">
      <w:pPr>
        <w:pStyle w:val="SingleTxtG"/>
        <w:ind w:left="2835" w:hanging="567"/>
        <w:rPr>
          <w:lang w:val="fr-FR"/>
        </w:rPr>
      </w:pPr>
      <w:r w:rsidRPr="00440C76">
        <w:rPr>
          <w:lang w:val="fr-FR"/>
        </w:rPr>
        <w:t>3)</w:t>
      </w:r>
      <w:r w:rsidRPr="00440C76">
        <w:rPr>
          <w:lang w:val="fr-FR"/>
        </w:rPr>
        <w:tab/>
        <w:t>Collecte des informations et évaluation des risques ;</w:t>
      </w:r>
    </w:p>
    <w:p w14:paraId="6B5F4C12" w14:textId="77777777" w:rsidR="00BE2CA7" w:rsidRPr="00440C76" w:rsidRDefault="00BE2CA7" w:rsidP="00BE2CA7">
      <w:pPr>
        <w:pStyle w:val="SingleTxtG"/>
        <w:ind w:left="2835" w:hanging="567"/>
        <w:rPr>
          <w:lang w:val="fr-FR"/>
        </w:rPr>
      </w:pPr>
      <w:r w:rsidRPr="00440C76">
        <w:rPr>
          <w:lang w:val="fr-FR"/>
        </w:rPr>
        <w:t>4)</w:t>
      </w:r>
      <w:r w:rsidRPr="00440C76">
        <w:rPr>
          <w:lang w:val="fr-FR"/>
        </w:rPr>
        <w:tab/>
        <w:t>Contrôles de la conformité en service (comprenant la planification et la sélection des familles soumises aux essais, ainsi que les résultats finaux des essais).</w:t>
      </w:r>
    </w:p>
    <w:p w14:paraId="41F62CBA" w14:textId="77777777" w:rsidR="00BE2CA7" w:rsidRPr="00440C76" w:rsidRDefault="00BE2CA7" w:rsidP="00BE2CA7">
      <w:pPr>
        <w:pStyle w:val="SingleTxtG"/>
        <w:ind w:left="2268" w:hanging="1134"/>
        <w:rPr>
          <w:lang w:val="fr-FR"/>
        </w:rPr>
      </w:pPr>
      <w:r w:rsidRPr="00440C76">
        <w:rPr>
          <w:lang w:val="fr-FR"/>
        </w:rPr>
        <w:t>D.</w:t>
      </w:r>
      <w:r w:rsidRPr="00440C76">
        <w:rPr>
          <w:lang w:val="fr-FR"/>
        </w:rPr>
        <w:tab/>
        <w:t>Activités relatives à la conformité en service menées par l</w:t>
      </w:r>
      <w:r>
        <w:rPr>
          <w:lang w:val="fr-FR"/>
        </w:rPr>
        <w:t>’</w:t>
      </w:r>
      <w:r w:rsidRPr="00440C76">
        <w:rPr>
          <w:lang w:val="fr-FR"/>
        </w:rPr>
        <w:t>autorité d</w:t>
      </w:r>
      <w:r>
        <w:rPr>
          <w:lang w:val="fr-FR"/>
        </w:rPr>
        <w:t>’</w:t>
      </w:r>
      <w:r w:rsidRPr="00440C76">
        <w:rPr>
          <w:lang w:val="fr-FR"/>
        </w:rPr>
        <w:t>homologation de type :</w:t>
      </w:r>
    </w:p>
    <w:p w14:paraId="1C1EB26A" w14:textId="77777777" w:rsidR="00BE2CA7" w:rsidRPr="00440C76" w:rsidRDefault="00BE2CA7" w:rsidP="00BE2CA7">
      <w:pPr>
        <w:pStyle w:val="SingleTxtG"/>
        <w:ind w:left="2835" w:hanging="567"/>
        <w:rPr>
          <w:lang w:val="fr-FR"/>
        </w:rPr>
      </w:pPr>
      <w:r w:rsidRPr="00440C76">
        <w:rPr>
          <w:lang w:val="fr-FR"/>
        </w:rPr>
        <w:t>5)</w:t>
      </w:r>
      <w:r w:rsidRPr="00440C76">
        <w:rPr>
          <w:lang w:val="fr-FR"/>
        </w:rPr>
        <w:tab/>
        <w:t>Collecte des informations et évaluation des risques ;</w:t>
      </w:r>
    </w:p>
    <w:p w14:paraId="60AF53FD" w14:textId="77777777" w:rsidR="00BE2CA7" w:rsidRPr="00440C76" w:rsidRDefault="00BE2CA7" w:rsidP="00BE2CA7">
      <w:pPr>
        <w:pStyle w:val="SingleTxtG"/>
        <w:ind w:left="2835" w:hanging="567"/>
        <w:rPr>
          <w:lang w:val="fr-FR"/>
        </w:rPr>
      </w:pPr>
      <w:r w:rsidRPr="00440C76">
        <w:rPr>
          <w:lang w:val="fr-FR"/>
        </w:rPr>
        <w:t>6)</w:t>
      </w:r>
      <w:r w:rsidRPr="00440C76">
        <w:rPr>
          <w:lang w:val="fr-FR"/>
        </w:rPr>
        <w:tab/>
        <w:t>Contrôles de la conformité en service (comprenant la planification et la sélection des familles soumises aux essais, ainsi que les résultats finaux des essais) ;</w:t>
      </w:r>
    </w:p>
    <w:p w14:paraId="4135F5B0" w14:textId="77777777" w:rsidR="00BE2CA7" w:rsidRPr="00440C76" w:rsidRDefault="00BE2CA7" w:rsidP="00BE2CA7">
      <w:pPr>
        <w:pStyle w:val="SingleTxtG"/>
        <w:ind w:left="2835" w:hanging="567"/>
        <w:rPr>
          <w:lang w:val="fr-FR"/>
        </w:rPr>
      </w:pPr>
      <w:r w:rsidRPr="00440C76">
        <w:rPr>
          <w:lang w:val="fr-FR"/>
        </w:rPr>
        <w:t>7)</w:t>
      </w:r>
      <w:r w:rsidRPr="00440C76">
        <w:rPr>
          <w:lang w:val="fr-FR"/>
        </w:rPr>
        <w:tab/>
        <w:t>Enquêtes approfondies ;</w:t>
      </w:r>
    </w:p>
    <w:p w14:paraId="4E1F468A" w14:textId="77777777" w:rsidR="00BE2CA7" w:rsidRPr="00440C76" w:rsidRDefault="00BE2CA7" w:rsidP="00BE2CA7">
      <w:pPr>
        <w:pStyle w:val="SingleTxtG"/>
        <w:ind w:left="2835" w:hanging="567"/>
        <w:rPr>
          <w:lang w:val="fr-FR"/>
        </w:rPr>
      </w:pPr>
      <w:r w:rsidRPr="00440C76">
        <w:rPr>
          <w:lang w:val="fr-FR"/>
        </w:rPr>
        <w:t>8)</w:t>
      </w:r>
      <w:r w:rsidRPr="00440C76">
        <w:rPr>
          <w:lang w:val="fr-FR"/>
        </w:rPr>
        <w:tab/>
        <w:t>Mesures correctives.</w:t>
      </w:r>
    </w:p>
    <w:p w14:paraId="20E201AA" w14:textId="77777777" w:rsidR="00BE2CA7" w:rsidRPr="00440C76" w:rsidRDefault="00BE2CA7" w:rsidP="00BE2CA7">
      <w:pPr>
        <w:pStyle w:val="SingleTxtG"/>
        <w:ind w:left="2268" w:hanging="1134"/>
        <w:rPr>
          <w:lang w:val="fr-FR"/>
        </w:rPr>
      </w:pPr>
      <w:r w:rsidRPr="00440C76">
        <w:rPr>
          <w:lang w:val="fr-FR"/>
        </w:rPr>
        <w:t>E.</w:t>
      </w:r>
      <w:r w:rsidRPr="00440C76">
        <w:rPr>
          <w:lang w:val="fr-FR"/>
        </w:rPr>
        <w:tab/>
        <w:t>Évaluation de la diminution annuelle escomptée des émissions résultant des mesures correctives relatives à la conformité en service</w:t>
      </w:r>
    </w:p>
    <w:p w14:paraId="19668EF5" w14:textId="77777777" w:rsidR="00BE2CA7" w:rsidRPr="00440C76" w:rsidRDefault="00BE2CA7" w:rsidP="00BE2CA7">
      <w:pPr>
        <w:pStyle w:val="SingleTxtG"/>
        <w:ind w:left="2268" w:hanging="1134"/>
        <w:rPr>
          <w:lang w:val="fr-FR"/>
        </w:rPr>
      </w:pPr>
      <w:r w:rsidRPr="00440C76">
        <w:rPr>
          <w:lang w:val="fr-FR"/>
        </w:rPr>
        <w:t>F.</w:t>
      </w:r>
      <w:r w:rsidRPr="00440C76">
        <w:rPr>
          <w:lang w:val="fr-FR"/>
        </w:rPr>
        <w:tab/>
        <w:t>Enseignements tirés (y compris en matière de performance des instruments utilisés)</w:t>
      </w:r>
    </w:p>
    <w:p w14:paraId="0E870953" w14:textId="77777777" w:rsidR="00BE2CA7" w:rsidRPr="00440C76" w:rsidRDefault="00BE2CA7" w:rsidP="00BE2CA7">
      <w:pPr>
        <w:pStyle w:val="SingleTxtG"/>
        <w:ind w:left="2268" w:hanging="1134"/>
        <w:rPr>
          <w:lang w:val="fr-FR"/>
        </w:rPr>
      </w:pPr>
      <w:r w:rsidRPr="00440C76">
        <w:rPr>
          <w:lang w:val="fr-FR"/>
        </w:rPr>
        <w:t>G.</w:t>
      </w:r>
      <w:r w:rsidRPr="00440C76">
        <w:rPr>
          <w:lang w:val="fr-FR"/>
        </w:rPr>
        <w:tab/>
        <w:t>Rapport concernant d</w:t>
      </w:r>
      <w:r>
        <w:rPr>
          <w:lang w:val="fr-FR"/>
        </w:rPr>
        <w:t>’</w:t>
      </w:r>
      <w:r w:rsidRPr="00440C76">
        <w:rPr>
          <w:lang w:val="fr-FR"/>
        </w:rPr>
        <w:t>autres essais non valables</w:t>
      </w:r>
    </w:p>
    <w:p w14:paraId="6D7D7118" w14:textId="77777777" w:rsidR="00BE2CA7" w:rsidRPr="00440C76" w:rsidRDefault="00BE2CA7" w:rsidP="00BE2CA7">
      <w:pPr>
        <w:pStyle w:val="SingleTxtG"/>
        <w:rPr>
          <w:highlight w:val="yellow"/>
          <w:lang w:val="fr-FR"/>
        </w:rPr>
      </w:pPr>
      <w:r w:rsidRPr="00440C76">
        <w:rPr>
          <w:highlight w:val="yellow"/>
          <w:lang w:val="fr-FR"/>
        </w:rPr>
        <w:br w:type="page"/>
      </w:r>
    </w:p>
    <w:p w14:paraId="00688B8D" w14:textId="77777777" w:rsidR="00BE2CA7" w:rsidRPr="00440C76" w:rsidRDefault="00BE2CA7" w:rsidP="00BE2CA7">
      <w:pPr>
        <w:pStyle w:val="HChG"/>
        <w:rPr>
          <w:lang w:val="fr-FR" w:eastAsia="en-GB"/>
        </w:rPr>
      </w:pPr>
      <w:bookmarkStart w:id="43" w:name="_Toc116914004"/>
      <w:r w:rsidRPr="00440C76">
        <w:rPr>
          <w:lang w:val="fr-FR" w:eastAsia="en-GB"/>
        </w:rPr>
        <w:lastRenderedPageBreak/>
        <w:t>Annexe</w:t>
      </w:r>
      <w:r>
        <w:rPr>
          <w:lang w:val="fr-FR" w:eastAsia="en-GB"/>
        </w:rPr>
        <w:t> </w:t>
      </w:r>
      <w:r w:rsidRPr="00440C76">
        <w:rPr>
          <w:lang w:val="fr-FR" w:eastAsia="en-GB"/>
        </w:rPr>
        <w:t>4 − Appendice</w:t>
      </w:r>
      <w:r>
        <w:rPr>
          <w:lang w:val="fr-FR" w:eastAsia="en-GB"/>
        </w:rPr>
        <w:t> </w:t>
      </w:r>
      <w:r w:rsidRPr="00440C76">
        <w:rPr>
          <w:lang w:val="fr-FR" w:eastAsia="en-GB"/>
        </w:rPr>
        <w:t>5</w:t>
      </w:r>
      <w:bookmarkEnd w:id="43"/>
    </w:p>
    <w:p w14:paraId="45BE4E01" w14:textId="77777777" w:rsidR="00BE2CA7" w:rsidRPr="00440C76" w:rsidRDefault="00BE2CA7" w:rsidP="00BE2CA7">
      <w:pPr>
        <w:pStyle w:val="HChG"/>
        <w:rPr>
          <w:lang w:val="fr-FR"/>
        </w:rPr>
      </w:pPr>
      <w:bookmarkStart w:id="44" w:name="_Toc116914005"/>
      <w:r w:rsidRPr="00440C76">
        <w:rPr>
          <w:lang w:val="fr-FR"/>
        </w:rPr>
        <w:tab/>
      </w:r>
      <w:r w:rsidRPr="00440C76">
        <w:rPr>
          <w:lang w:val="fr-FR"/>
        </w:rPr>
        <w:tab/>
      </w:r>
      <w:bookmarkEnd w:id="44"/>
      <w:r w:rsidRPr="00440C76">
        <w:rPr>
          <w:lang w:val="fr-FR"/>
        </w:rPr>
        <w:t>Listes de transparence</w:t>
      </w:r>
    </w:p>
    <w:p w14:paraId="30C35588" w14:textId="77777777" w:rsidR="00BE2CA7" w:rsidRPr="00440C76" w:rsidRDefault="00BE2CA7" w:rsidP="00BE2CA7">
      <w:pPr>
        <w:pStyle w:val="Titre1"/>
        <w:spacing w:after="120"/>
        <w:ind w:left="0"/>
        <w:rPr>
          <w:b/>
          <w:bCs/>
          <w:lang w:val="fr-FR"/>
        </w:rPr>
      </w:pPr>
      <w:r w:rsidRPr="00440C76">
        <w:rPr>
          <w:lang w:val="fr-FR"/>
        </w:rPr>
        <w:t>Tableau</w:t>
      </w:r>
      <w:r>
        <w:rPr>
          <w:lang w:val="fr-FR"/>
        </w:rPr>
        <w:t> </w:t>
      </w:r>
      <w:r w:rsidRPr="00440C76">
        <w:rPr>
          <w:lang w:val="fr-FR"/>
        </w:rPr>
        <w:t>1</w:t>
      </w:r>
      <w:r>
        <w:rPr>
          <w:lang w:val="fr-FR"/>
        </w:rPr>
        <w:br/>
      </w:r>
      <w:r w:rsidRPr="00440C76">
        <w:rPr>
          <w:b/>
          <w:bCs/>
          <w:lang w:val="fr-FR"/>
        </w:rPr>
        <w:t>Listes de transparence</w:t>
      </w:r>
      <w:r>
        <w:rPr>
          <w:b/>
          <w:bCs/>
          <w:lang w:val="fr-FR"/>
        </w:rPr>
        <w:t> </w:t>
      </w:r>
      <w:r w:rsidRPr="00440C76">
        <w:rPr>
          <w:b/>
          <w:bCs/>
          <w:lang w:val="fr-FR"/>
        </w:rPr>
        <w:t>1</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4"/>
        <w:gridCol w:w="2127"/>
        <w:gridCol w:w="1554"/>
        <w:gridCol w:w="997"/>
        <w:gridCol w:w="3816"/>
        <w:gridCol w:w="9"/>
      </w:tblGrid>
      <w:tr w:rsidR="00BE2CA7" w:rsidRPr="00440C76" w14:paraId="56F1DFB6" w14:textId="77777777" w:rsidTr="002B0590">
        <w:trPr>
          <w:tblHeader/>
        </w:trPr>
        <w:tc>
          <w:tcPr>
            <w:tcW w:w="1134" w:type="dxa"/>
            <w:tcBorders>
              <w:bottom w:val="single" w:sz="4" w:space="0" w:color="auto"/>
            </w:tcBorders>
            <w:shd w:val="clear" w:color="auto" w:fill="auto"/>
            <w:vAlign w:val="bottom"/>
          </w:tcPr>
          <w:p w14:paraId="50B50A1D" w14:textId="77777777" w:rsidR="00BE2CA7" w:rsidRPr="00440C76" w:rsidRDefault="00BE2CA7" w:rsidP="002B0590">
            <w:pPr>
              <w:spacing w:before="80" w:after="80" w:line="200" w:lineRule="exact"/>
              <w:ind w:left="57" w:right="57"/>
              <w:rPr>
                <w:i/>
                <w:sz w:val="16"/>
                <w:lang w:val="fr-FR"/>
              </w:rPr>
            </w:pPr>
            <w:r w:rsidRPr="00440C76">
              <w:rPr>
                <w:i/>
                <w:sz w:val="16"/>
                <w:lang w:val="fr-FR"/>
              </w:rPr>
              <w:t>Numéro d</w:t>
            </w:r>
            <w:r>
              <w:rPr>
                <w:i/>
                <w:sz w:val="16"/>
                <w:lang w:val="fr-FR"/>
              </w:rPr>
              <w:t>’</w:t>
            </w:r>
            <w:r w:rsidRPr="00440C76">
              <w:rPr>
                <w:i/>
                <w:sz w:val="16"/>
                <w:lang w:val="fr-FR"/>
              </w:rPr>
              <w:t>identification</w:t>
            </w:r>
          </w:p>
        </w:tc>
        <w:tc>
          <w:tcPr>
            <w:tcW w:w="2127" w:type="dxa"/>
            <w:tcBorders>
              <w:bottom w:val="single" w:sz="4" w:space="0" w:color="auto"/>
            </w:tcBorders>
            <w:shd w:val="clear" w:color="auto" w:fill="auto"/>
            <w:vAlign w:val="bottom"/>
          </w:tcPr>
          <w:p w14:paraId="4C51CDDB" w14:textId="77777777" w:rsidR="00BE2CA7" w:rsidRPr="00440C76" w:rsidRDefault="00BE2CA7" w:rsidP="002B0590">
            <w:pPr>
              <w:spacing w:before="80" w:after="80" w:line="200" w:lineRule="exact"/>
              <w:ind w:left="57" w:right="57"/>
              <w:rPr>
                <w:i/>
                <w:sz w:val="16"/>
                <w:lang w:val="fr-FR"/>
              </w:rPr>
            </w:pPr>
            <w:r w:rsidRPr="00440C76">
              <w:rPr>
                <w:i/>
                <w:sz w:val="16"/>
                <w:lang w:val="fr-FR"/>
              </w:rPr>
              <w:t>Données d</w:t>
            </w:r>
            <w:r>
              <w:rPr>
                <w:i/>
                <w:sz w:val="16"/>
                <w:lang w:val="fr-FR"/>
              </w:rPr>
              <w:t>’</w:t>
            </w:r>
            <w:r w:rsidRPr="00440C76">
              <w:rPr>
                <w:i/>
                <w:sz w:val="16"/>
                <w:lang w:val="fr-FR"/>
              </w:rPr>
              <w:t>entrée</w:t>
            </w:r>
          </w:p>
        </w:tc>
        <w:tc>
          <w:tcPr>
            <w:tcW w:w="1554" w:type="dxa"/>
            <w:tcBorders>
              <w:bottom w:val="single" w:sz="4" w:space="0" w:color="auto"/>
            </w:tcBorders>
            <w:shd w:val="clear" w:color="auto" w:fill="auto"/>
            <w:vAlign w:val="bottom"/>
          </w:tcPr>
          <w:p w14:paraId="795323CC" w14:textId="77777777" w:rsidR="00BE2CA7" w:rsidRPr="00440C76" w:rsidRDefault="00BE2CA7" w:rsidP="002B0590">
            <w:pPr>
              <w:spacing w:before="80" w:after="80" w:line="200" w:lineRule="exact"/>
              <w:ind w:left="57" w:right="57"/>
              <w:rPr>
                <w:i/>
                <w:sz w:val="16"/>
                <w:u w:val="single"/>
                <w:vertAlign w:val="superscript"/>
                <w:lang w:val="fr-FR"/>
              </w:rPr>
            </w:pPr>
            <w:r w:rsidRPr="00440C76">
              <w:rPr>
                <w:i/>
                <w:sz w:val="16"/>
                <w:lang w:val="fr-FR"/>
              </w:rPr>
              <w:t>Type de données</w:t>
            </w:r>
          </w:p>
        </w:tc>
        <w:tc>
          <w:tcPr>
            <w:tcW w:w="997" w:type="dxa"/>
            <w:tcBorders>
              <w:bottom w:val="single" w:sz="4" w:space="0" w:color="auto"/>
            </w:tcBorders>
            <w:shd w:val="clear" w:color="auto" w:fill="auto"/>
            <w:vAlign w:val="bottom"/>
          </w:tcPr>
          <w:p w14:paraId="05912FC4" w14:textId="77777777" w:rsidR="00BE2CA7" w:rsidRPr="00440C76" w:rsidRDefault="00BE2CA7" w:rsidP="002B0590">
            <w:pPr>
              <w:spacing w:before="80" w:after="80" w:line="200" w:lineRule="exact"/>
              <w:ind w:left="57" w:right="57"/>
              <w:rPr>
                <w:i/>
                <w:sz w:val="16"/>
                <w:lang w:val="fr-FR"/>
              </w:rPr>
            </w:pPr>
            <w:r w:rsidRPr="00440C76">
              <w:rPr>
                <w:i/>
                <w:sz w:val="16"/>
                <w:lang w:val="fr-FR"/>
              </w:rPr>
              <w:t>Unité</w:t>
            </w:r>
          </w:p>
        </w:tc>
        <w:tc>
          <w:tcPr>
            <w:tcW w:w="3825" w:type="dxa"/>
            <w:gridSpan w:val="2"/>
            <w:tcBorders>
              <w:bottom w:val="single" w:sz="4" w:space="0" w:color="auto"/>
            </w:tcBorders>
            <w:shd w:val="clear" w:color="auto" w:fill="auto"/>
            <w:vAlign w:val="bottom"/>
          </w:tcPr>
          <w:p w14:paraId="2DE21FFC" w14:textId="77777777" w:rsidR="00BE2CA7" w:rsidRPr="00440C76" w:rsidRDefault="00BE2CA7" w:rsidP="002B0590">
            <w:pPr>
              <w:spacing w:before="80" w:after="80" w:line="200" w:lineRule="exact"/>
              <w:ind w:left="57" w:right="57"/>
              <w:rPr>
                <w:i/>
                <w:sz w:val="16"/>
                <w:lang w:val="fr-FR"/>
              </w:rPr>
            </w:pPr>
            <w:r w:rsidRPr="00440C76">
              <w:rPr>
                <w:i/>
                <w:sz w:val="16"/>
                <w:lang w:val="fr-FR"/>
              </w:rPr>
              <w:t>Description</w:t>
            </w:r>
          </w:p>
        </w:tc>
      </w:tr>
      <w:tr w:rsidR="00BE2CA7" w:rsidRPr="00440C76" w14:paraId="537C6044" w14:textId="77777777" w:rsidTr="002B0590">
        <w:tc>
          <w:tcPr>
            <w:tcW w:w="1134" w:type="dxa"/>
            <w:tcBorders>
              <w:top w:val="single" w:sz="4" w:space="0" w:color="auto"/>
            </w:tcBorders>
            <w:shd w:val="clear" w:color="auto" w:fill="auto"/>
          </w:tcPr>
          <w:p w14:paraId="182028CE" w14:textId="77777777" w:rsidR="00BE2CA7" w:rsidRPr="00440C76" w:rsidRDefault="00BE2CA7" w:rsidP="002B0590">
            <w:pPr>
              <w:spacing w:before="40" w:after="120"/>
              <w:ind w:left="57" w:right="57"/>
              <w:rPr>
                <w:lang w:val="fr-FR"/>
              </w:rPr>
            </w:pPr>
            <w:r w:rsidRPr="00440C76">
              <w:rPr>
                <w:lang w:val="fr-FR"/>
              </w:rPr>
              <w:t>1</w:t>
            </w:r>
          </w:p>
        </w:tc>
        <w:tc>
          <w:tcPr>
            <w:tcW w:w="2127" w:type="dxa"/>
            <w:tcBorders>
              <w:top w:val="single" w:sz="4" w:space="0" w:color="auto"/>
            </w:tcBorders>
            <w:shd w:val="clear" w:color="auto" w:fill="auto"/>
          </w:tcPr>
          <w:p w14:paraId="24CA1897" w14:textId="77777777" w:rsidR="00BE2CA7" w:rsidRPr="00440C76" w:rsidRDefault="00BE2CA7" w:rsidP="002B0590">
            <w:pPr>
              <w:spacing w:before="40" w:after="120"/>
              <w:ind w:left="57" w:right="57"/>
              <w:rPr>
                <w:lang w:val="fr-FR"/>
              </w:rPr>
            </w:pPr>
            <w:r w:rsidRPr="00440C76">
              <w:rPr>
                <w:lang w:val="fr-FR"/>
              </w:rPr>
              <w:t>Numéro d</w:t>
            </w:r>
            <w:r>
              <w:rPr>
                <w:lang w:val="fr-FR"/>
              </w:rPr>
              <w:t>’</w:t>
            </w:r>
            <w:r w:rsidRPr="00440C76">
              <w:rPr>
                <w:lang w:val="fr-FR"/>
              </w:rPr>
              <w:t>homologation de type en ce qui concerne les émissions</w:t>
            </w:r>
          </w:p>
        </w:tc>
        <w:tc>
          <w:tcPr>
            <w:tcW w:w="1554" w:type="dxa"/>
            <w:tcBorders>
              <w:top w:val="single" w:sz="4" w:space="0" w:color="auto"/>
            </w:tcBorders>
            <w:shd w:val="clear" w:color="auto" w:fill="auto"/>
          </w:tcPr>
          <w:p w14:paraId="781E23B5" w14:textId="77777777" w:rsidR="00BE2CA7" w:rsidRPr="00440C76" w:rsidRDefault="00BE2CA7" w:rsidP="002B0590">
            <w:pPr>
              <w:spacing w:before="40" w:after="120"/>
              <w:ind w:left="57" w:right="57"/>
              <w:rPr>
                <w:lang w:val="fr-FR"/>
              </w:rPr>
            </w:pPr>
            <w:r w:rsidRPr="00440C76">
              <w:rPr>
                <w:lang w:val="fr-FR"/>
              </w:rPr>
              <w:t>Texte</w:t>
            </w:r>
          </w:p>
        </w:tc>
        <w:tc>
          <w:tcPr>
            <w:tcW w:w="997" w:type="dxa"/>
            <w:tcBorders>
              <w:top w:val="single" w:sz="4" w:space="0" w:color="auto"/>
            </w:tcBorders>
            <w:shd w:val="clear" w:color="auto" w:fill="auto"/>
          </w:tcPr>
          <w:p w14:paraId="374CC234" w14:textId="77777777" w:rsidR="00BE2CA7" w:rsidRPr="00440C76" w:rsidRDefault="00BE2CA7" w:rsidP="002B0590">
            <w:pPr>
              <w:spacing w:before="40" w:after="120"/>
              <w:ind w:left="57" w:right="57"/>
              <w:rPr>
                <w:lang w:val="fr-FR"/>
              </w:rPr>
            </w:pPr>
            <w:r w:rsidRPr="00440C76">
              <w:rPr>
                <w:lang w:val="fr-FR"/>
              </w:rPr>
              <w:t>-</w:t>
            </w:r>
            <w:r>
              <w:rPr>
                <w:lang w:val="fr-FR"/>
              </w:rPr>
              <w:t>-</w:t>
            </w:r>
          </w:p>
        </w:tc>
        <w:tc>
          <w:tcPr>
            <w:tcW w:w="3825" w:type="dxa"/>
            <w:gridSpan w:val="2"/>
            <w:tcBorders>
              <w:top w:val="single" w:sz="4" w:space="0" w:color="auto"/>
            </w:tcBorders>
            <w:shd w:val="clear" w:color="auto" w:fill="auto"/>
          </w:tcPr>
          <w:p w14:paraId="16C30AA7" w14:textId="77777777" w:rsidR="00BE2CA7" w:rsidRPr="00440C76" w:rsidRDefault="00BE2CA7" w:rsidP="002B0590">
            <w:pPr>
              <w:spacing w:before="40" w:after="120"/>
              <w:ind w:left="57" w:right="57"/>
              <w:rPr>
                <w:lang w:val="fr-FR"/>
              </w:rPr>
            </w:pPr>
            <w:r>
              <w:rPr>
                <w:lang w:val="fr-FR"/>
              </w:rPr>
              <w:t>Numéro d’homologation conformément au Règlement ONU n</w:t>
            </w:r>
            <w:r w:rsidRPr="00096716">
              <w:rPr>
                <w:vertAlign w:val="superscript"/>
                <w:lang w:val="fr-FR"/>
              </w:rPr>
              <w:t>o</w:t>
            </w:r>
            <w:r>
              <w:rPr>
                <w:lang w:val="fr-FR"/>
              </w:rPr>
              <w:t> 154 ; numéro d’homologation conformément au Règlement ONU n</w:t>
            </w:r>
            <w:r w:rsidRPr="00096716">
              <w:rPr>
                <w:vertAlign w:val="superscript"/>
                <w:lang w:val="fr-FR"/>
              </w:rPr>
              <w:t>o</w:t>
            </w:r>
            <w:r>
              <w:rPr>
                <w:lang w:val="fr-FR"/>
              </w:rPr>
              <w:t xml:space="preserve"> [xxx] sur les </w:t>
            </w:r>
            <w:r w:rsidRPr="00973EF9">
              <w:rPr>
                <w:lang w:val="fr-FR"/>
              </w:rPr>
              <w:t>émissions en conditions réelles de conduite</w:t>
            </w:r>
            <w:r w:rsidRPr="00973EF9" w:rsidDel="00B40F4B">
              <w:rPr>
                <w:lang w:val="fr-FR"/>
              </w:rPr>
              <w:t xml:space="preserve"> </w:t>
            </w:r>
            <w:r>
              <w:rPr>
                <w:lang w:val="fr-FR"/>
              </w:rPr>
              <w:t>(le cas échéant)</w:t>
            </w:r>
          </w:p>
        </w:tc>
      </w:tr>
      <w:tr w:rsidR="00BE2CA7" w:rsidRPr="00440C76" w14:paraId="2A84605B" w14:textId="77777777" w:rsidTr="002B0590">
        <w:tc>
          <w:tcPr>
            <w:tcW w:w="1134" w:type="dxa"/>
            <w:shd w:val="clear" w:color="auto" w:fill="auto"/>
          </w:tcPr>
          <w:p w14:paraId="6585E200" w14:textId="77777777" w:rsidR="00BE2CA7" w:rsidRPr="00440C76" w:rsidRDefault="00BE2CA7" w:rsidP="002B0590">
            <w:pPr>
              <w:spacing w:before="40" w:after="120"/>
              <w:ind w:left="57" w:right="57"/>
              <w:rPr>
                <w:lang w:val="fr-FR"/>
              </w:rPr>
            </w:pPr>
            <w:r w:rsidRPr="00440C76">
              <w:rPr>
                <w:lang w:val="fr-FR"/>
              </w:rPr>
              <w:t>1a</w:t>
            </w:r>
          </w:p>
        </w:tc>
        <w:tc>
          <w:tcPr>
            <w:tcW w:w="2127" w:type="dxa"/>
            <w:shd w:val="clear" w:color="auto" w:fill="auto"/>
          </w:tcPr>
          <w:p w14:paraId="5C3BF6E9" w14:textId="77777777" w:rsidR="00BE2CA7" w:rsidRPr="00440C76" w:rsidRDefault="00BE2CA7" w:rsidP="002B0590">
            <w:pPr>
              <w:spacing w:before="40" w:after="120"/>
              <w:ind w:left="57" w:right="57"/>
              <w:rPr>
                <w:lang w:val="fr-FR"/>
              </w:rPr>
            </w:pPr>
            <w:r w:rsidRPr="00440C76">
              <w:rPr>
                <w:lang w:val="fr-FR"/>
              </w:rPr>
              <w:t>Date d</w:t>
            </w:r>
            <w:r>
              <w:rPr>
                <w:lang w:val="fr-FR"/>
              </w:rPr>
              <w:t>’</w:t>
            </w:r>
            <w:r w:rsidRPr="00440C76">
              <w:rPr>
                <w:lang w:val="fr-FR"/>
              </w:rPr>
              <w:t>homologation de type en ce qui concerne les émissions</w:t>
            </w:r>
          </w:p>
        </w:tc>
        <w:tc>
          <w:tcPr>
            <w:tcW w:w="1554" w:type="dxa"/>
            <w:shd w:val="clear" w:color="auto" w:fill="auto"/>
          </w:tcPr>
          <w:p w14:paraId="037C2B7B" w14:textId="77777777" w:rsidR="00BE2CA7" w:rsidRPr="00440C76" w:rsidRDefault="00BE2CA7" w:rsidP="002B0590">
            <w:pPr>
              <w:spacing w:before="40" w:after="120"/>
              <w:ind w:left="57" w:right="57"/>
              <w:rPr>
                <w:lang w:val="fr-FR"/>
              </w:rPr>
            </w:pPr>
            <w:r w:rsidRPr="00440C76">
              <w:rPr>
                <w:lang w:val="fr-FR"/>
              </w:rPr>
              <w:t xml:space="preserve">Date </w:t>
            </w:r>
          </w:p>
        </w:tc>
        <w:tc>
          <w:tcPr>
            <w:tcW w:w="997" w:type="dxa"/>
            <w:shd w:val="clear" w:color="auto" w:fill="auto"/>
          </w:tcPr>
          <w:p w14:paraId="4D9CB133" w14:textId="77777777" w:rsidR="00BE2CA7" w:rsidRPr="00440C76" w:rsidRDefault="00BE2CA7" w:rsidP="002B0590">
            <w:pPr>
              <w:spacing w:before="40" w:after="120"/>
              <w:ind w:left="57" w:right="57"/>
              <w:rPr>
                <w:lang w:val="fr-FR"/>
              </w:rPr>
            </w:pPr>
            <w:r w:rsidRPr="00440C76">
              <w:rPr>
                <w:lang w:val="fr-FR"/>
              </w:rPr>
              <w:t>-</w:t>
            </w:r>
            <w:r>
              <w:rPr>
                <w:lang w:val="fr-FR"/>
              </w:rPr>
              <w:t>-</w:t>
            </w:r>
          </w:p>
        </w:tc>
        <w:tc>
          <w:tcPr>
            <w:tcW w:w="3825" w:type="dxa"/>
            <w:gridSpan w:val="2"/>
            <w:shd w:val="clear" w:color="auto" w:fill="auto"/>
          </w:tcPr>
          <w:p w14:paraId="0F46CF1E" w14:textId="77777777" w:rsidR="00BE2CA7" w:rsidRPr="00440C76" w:rsidRDefault="00BE2CA7" w:rsidP="002B0590">
            <w:pPr>
              <w:spacing w:before="40" w:after="120"/>
              <w:ind w:left="57" w:right="57"/>
              <w:rPr>
                <w:lang w:val="fr-FR"/>
              </w:rPr>
            </w:pPr>
            <w:r w:rsidRPr="00440C76">
              <w:rPr>
                <w:lang w:val="fr-FR"/>
              </w:rPr>
              <w:t>Date d</w:t>
            </w:r>
            <w:r>
              <w:rPr>
                <w:lang w:val="fr-FR"/>
              </w:rPr>
              <w:t>’</w:t>
            </w:r>
            <w:r w:rsidRPr="00440C76">
              <w:rPr>
                <w:lang w:val="fr-FR"/>
              </w:rPr>
              <w:t>homologation de type en ce qui concerne les émissions</w:t>
            </w:r>
          </w:p>
        </w:tc>
      </w:tr>
      <w:tr w:rsidR="00BE2CA7" w:rsidRPr="00440C76" w14:paraId="5990A445" w14:textId="77777777" w:rsidTr="002B0590">
        <w:tc>
          <w:tcPr>
            <w:tcW w:w="1134" w:type="dxa"/>
            <w:shd w:val="clear" w:color="auto" w:fill="auto"/>
          </w:tcPr>
          <w:p w14:paraId="33714E36" w14:textId="77777777" w:rsidR="00BE2CA7" w:rsidRPr="00440C76" w:rsidRDefault="00BE2CA7" w:rsidP="002B0590">
            <w:pPr>
              <w:spacing w:before="40" w:after="120"/>
              <w:ind w:left="57" w:right="57"/>
              <w:rPr>
                <w:lang w:val="fr-FR"/>
              </w:rPr>
            </w:pPr>
            <w:r w:rsidRPr="00440C76">
              <w:rPr>
                <w:lang w:val="fr-FR"/>
              </w:rPr>
              <w:t>2</w:t>
            </w:r>
          </w:p>
        </w:tc>
        <w:tc>
          <w:tcPr>
            <w:tcW w:w="2127" w:type="dxa"/>
            <w:shd w:val="clear" w:color="auto" w:fill="auto"/>
          </w:tcPr>
          <w:p w14:paraId="1CD24E94" w14:textId="77777777" w:rsidR="00BE2CA7" w:rsidRPr="00440C76" w:rsidRDefault="00BE2CA7" w:rsidP="002B0590">
            <w:pPr>
              <w:spacing w:before="40" w:after="120"/>
              <w:ind w:left="57" w:right="57"/>
              <w:rPr>
                <w:u w:val="single"/>
                <w:lang w:val="fr-FR"/>
              </w:rPr>
            </w:pPr>
            <w:r w:rsidRPr="00440C76">
              <w:rPr>
                <w:lang w:val="fr-FR"/>
              </w:rPr>
              <w:t>Identifiant de la famille d</w:t>
            </w:r>
            <w:r>
              <w:rPr>
                <w:lang w:val="fr-FR"/>
              </w:rPr>
              <w:t>’</w:t>
            </w:r>
            <w:r w:rsidRPr="00440C76">
              <w:rPr>
                <w:lang w:val="fr-FR"/>
              </w:rPr>
              <w:t>interpolation</w:t>
            </w:r>
          </w:p>
        </w:tc>
        <w:tc>
          <w:tcPr>
            <w:tcW w:w="1554" w:type="dxa"/>
            <w:shd w:val="clear" w:color="auto" w:fill="auto"/>
          </w:tcPr>
          <w:p w14:paraId="4B1D38E4" w14:textId="77777777" w:rsidR="00BE2CA7" w:rsidRPr="00440C76" w:rsidRDefault="00BE2CA7" w:rsidP="002B0590">
            <w:pPr>
              <w:spacing w:before="40" w:after="120"/>
              <w:ind w:left="57" w:right="57"/>
              <w:rPr>
                <w:lang w:val="fr-FR"/>
              </w:rPr>
            </w:pPr>
            <w:r w:rsidRPr="00440C76">
              <w:rPr>
                <w:lang w:val="fr-FR"/>
              </w:rPr>
              <w:t>Texte</w:t>
            </w:r>
          </w:p>
        </w:tc>
        <w:tc>
          <w:tcPr>
            <w:tcW w:w="997" w:type="dxa"/>
            <w:shd w:val="clear" w:color="auto" w:fill="auto"/>
          </w:tcPr>
          <w:p w14:paraId="3B1C545A" w14:textId="77777777" w:rsidR="00BE2CA7" w:rsidRPr="00440C76" w:rsidRDefault="00BE2CA7" w:rsidP="002B0590">
            <w:pPr>
              <w:spacing w:before="40" w:after="120"/>
              <w:ind w:left="57" w:right="57"/>
              <w:rPr>
                <w:lang w:val="fr-FR"/>
              </w:rPr>
            </w:pPr>
            <w:r w:rsidRPr="00440C76">
              <w:rPr>
                <w:lang w:val="fr-FR"/>
              </w:rPr>
              <w:t>-</w:t>
            </w:r>
            <w:r>
              <w:rPr>
                <w:lang w:val="fr-FR"/>
              </w:rPr>
              <w:t>-</w:t>
            </w:r>
          </w:p>
        </w:tc>
        <w:tc>
          <w:tcPr>
            <w:tcW w:w="3825" w:type="dxa"/>
            <w:gridSpan w:val="2"/>
            <w:shd w:val="clear" w:color="auto" w:fill="auto"/>
          </w:tcPr>
          <w:p w14:paraId="48DCCC26" w14:textId="77777777" w:rsidR="00BE2CA7" w:rsidRPr="00440C76" w:rsidRDefault="00BE2CA7" w:rsidP="002B0590">
            <w:pPr>
              <w:spacing w:before="40" w:after="120"/>
              <w:ind w:left="57" w:right="57"/>
              <w:rPr>
                <w:lang w:val="fr-FR"/>
              </w:rPr>
            </w:pPr>
            <w:r w:rsidRPr="00440C76">
              <w:rPr>
                <w:lang w:val="fr-FR"/>
              </w:rPr>
              <w:t>Comme indiqué dans le Règlement ONU n</w:t>
            </w:r>
            <w:r w:rsidRPr="00440C76">
              <w:rPr>
                <w:vertAlign w:val="superscript"/>
                <w:lang w:val="fr-FR"/>
              </w:rPr>
              <w:t>o</w:t>
            </w:r>
            <w:r w:rsidRPr="00440C76">
              <w:rPr>
                <w:lang w:val="fr-FR"/>
              </w:rPr>
              <w:t> 154, annexe A2, additif à la fiche de communication concernant l</w:t>
            </w:r>
            <w:r>
              <w:rPr>
                <w:lang w:val="fr-FR"/>
              </w:rPr>
              <w:t>’</w:t>
            </w:r>
            <w:r w:rsidRPr="00440C76">
              <w:rPr>
                <w:lang w:val="fr-FR"/>
              </w:rPr>
              <w:t>homologation de type, point</w:t>
            </w:r>
            <w:r>
              <w:rPr>
                <w:lang w:val="fr-FR"/>
              </w:rPr>
              <w:t> </w:t>
            </w:r>
            <w:r w:rsidRPr="00440C76">
              <w:rPr>
                <w:lang w:val="fr-FR"/>
              </w:rPr>
              <w:t>0.1 : identifiant de la famille d</w:t>
            </w:r>
            <w:r>
              <w:rPr>
                <w:lang w:val="fr-FR"/>
              </w:rPr>
              <w:t>’</w:t>
            </w:r>
            <w:r w:rsidRPr="00440C76">
              <w:rPr>
                <w:lang w:val="fr-FR"/>
              </w:rPr>
              <w:t>interpolation, tel que défini au point</w:t>
            </w:r>
            <w:r>
              <w:rPr>
                <w:lang w:val="fr-FR"/>
              </w:rPr>
              <w:t> </w:t>
            </w:r>
            <w:r w:rsidRPr="00440C76">
              <w:rPr>
                <w:lang w:val="fr-FR"/>
              </w:rPr>
              <w:t>6.2.2 du même Règlement</w:t>
            </w:r>
          </w:p>
        </w:tc>
      </w:tr>
      <w:tr w:rsidR="00BE2CA7" w:rsidRPr="00440C76" w14:paraId="65427026" w14:textId="77777777" w:rsidTr="002B0590">
        <w:tc>
          <w:tcPr>
            <w:tcW w:w="1134" w:type="dxa"/>
            <w:shd w:val="clear" w:color="auto" w:fill="auto"/>
          </w:tcPr>
          <w:p w14:paraId="1CFADC6F" w14:textId="77777777" w:rsidR="00BE2CA7" w:rsidRPr="00440C76" w:rsidRDefault="00BE2CA7" w:rsidP="002B0590">
            <w:pPr>
              <w:spacing w:before="40" w:after="120"/>
              <w:ind w:left="57" w:right="57"/>
              <w:rPr>
                <w:lang w:val="fr-FR"/>
              </w:rPr>
            </w:pPr>
            <w:r w:rsidRPr="00440C76">
              <w:rPr>
                <w:lang w:val="fr-FR"/>
              </w:rPr>
              <w:t>5</w:t>
            </w:r>
          </w:p>
        </w:tc>
        <w:tc>
          <w:tcPr>
            <w:tcW w:w="2127" w:type="dxa"/>
            <w:shd w:val="clear" w:color="auto" w:fill="auto"/>
          </w:tcPr>
          <w:p w14:paraId="5EE76158" w14:textId="77777777" w:rsidR="00BE2CA7" w:rsidRPr="00440C76" w:rsidRDefault="00BE2CA7" w:rsidP="002B0590">
            <w:pPr>
              <w:spacing w:before="40" w:after="120"/>
              <w:ind w:left="57" w:right="57"/>
              <w:rPr>
                <w:lang w:val="fr-FR"/>
              </w:rPr>
            </w:pPr>
            <w:r w:rsidRPr="00440C76">
              <w:rPr>
                <w:lang w:val="fr-FR"/>
              </w:rPr>
              <w:t>Identifiant de la</w:t>
            </w:r>
            <w:r w:rsidRPr="00440C76">
              <w:rPr>
                <w:szCs w:val="27"/>
                <w:lang w:val="fr-FR"/>
              </w:rPr>
              <w:t xml:space="preserve"> </w:t>
            </w:r>
            <w:r w:rsidRPr="00440C76">
              <w:rPr>
                <w:lang w:val="fr-FR"/>
              </w:rPr>
              <w:t>famille d</w:t>
            </w:r>
            <w:r>
              <w:rPr>
                <w:lang w:val="fr-FR"/>
              </w:rPr>
              <w:t>’</w:t>
            </w:r>
            <w:r w:rsidRPr="00440C76">
              <w:rPr>
                <w:lang w:val="fr-FR"/>
              </w:rPr>
              <w:t>essai de correction en fonction de la température ambiante (ATCT)</w:t>
            </w:r>
          </w:p>
        </w:tc>
        <w:tc>
          <w:tcPr>
            <w:tcW w:w="1554" w:type="dxa"/>
            <w:shd w:val="clear" w:color="auto" w:fill="auto"/>
          </w:tcPr>
          <w:p w14:paraId="6D8E50B2" w14:textId="77777777" w:rsidR="00BE2CA7" w:rsidRPr="00440C76" w:rsidRDefault="00BE2CA7" w:rsidP="002B0590">
            <w:pPr>
              <w:spacing w:before="40" w:after="120"/>
              <w:ind w:left="57" w:right="57"/>
              <w:rPr>
                <w:lang w:val="fr-FR"/>
              </w:rPr>
            </w:pPr>
            <w:r w:rsidRPr="00440C76">
              <w:rPr>
                <w:lang w:val="fr-FR"/>
              </w:rPr>
              <w:t>Texte</w:t>
            </w:r>
          </w:p>
        </w:tc>
        <w:tc>
          <w:tcPr>
            <w:tcW w:w="997" w:type="dxa"/>
            <w:shd w:val="clear" w:color="auto" w:fill="auto"/>
          </w:tcPr>
          <w:p w14:paraId="07BAB3CE" w14:textId="77777777" w:rsidR="00BE2CA7" w:rsidRPr="00440C76" w:rsidRDefault="00BE2CA7" w:rsidP="002B0590">
            <w:pPr>
              <w:spacing w:before="40" w:after="120"/>
              <w:ind w:left="57" w:right="57"/>
              <w:rPr>
                <w:lang w:val="fr-FR"/>
              </w:rPr>
            </w:pPr>
            <w:r w:rsidRPr="00440C76">
              <w:rPr>
                <w:lang w:val="fr-FR"/>
              </w:rPr>
              <w:t>-</w:t>
            </w:r>
            <w:r>
              <w:rPr>
                <w:lang w:val="fr-FR"/>
              </w:rPr>
              <w:t>-</w:t>
            </w:r>
          </w:p>
        </w:tc>
        <w:tc>
          <w:tcPr>
            <w:tcW w:w="3825" w:type="dxa"/>
            <w:gridSpan w:val="2"/>
            <w:shd w:val="clear" w:color="auto" w:fill="auto"/>
          </w:tcPr>
          <w:p w14:paraId="2090921F" w14:textId="77777777" w:rsidR="00BE2CA7" w:rsidRPr="00440C76" w:rsidRDefault="00BE2CA7" w:rsidP="002B0590">
            <w:pPr>
              <w:spacing w:before="40" w:after="120"/>
              <w:ind w:left="57" w:right="57"/>
              <w:rPr>
                <w:lang w:val="fr-FR"/>
              </w:rPr>
            </w:pPr>
            <w:r w:rsidRPr="00440C76">
              <w:rPr>
                <w:lang w:val="fr-FR"/>
              </w:rPr>
              <w:t>Comme indiqué au paragraphe</w:t>
            </w:r>
            <w:r>
              <w:rPr>
                <w:lang w:val="fr-FR"/>
              </w:rPr>
              <w:t> </w:t>
            </w:r>
            <w:r w:rsidRPr="00440C76">
              <w:rPr>
                <w:lang w:val="fr-FR"/>
              </w:rPr>
              <w:t>0.2.3.2 de l</w:t>
            </w:r>
            <w:r>
              <w:rPr>
                <w:lang w:val="fr-FR"/>
              </w:rPr>
              <w:t>’</w:t>
            </w:r>
            <w:r w:rsidRPr="00440C76">
              <w:rPr>
                <w:lang w:val="fr-FR"/>
              </w:rPr>
              <w:t>annexe</w:t>
            </w:r>
            <w:r>
              <w:rPr>
                <w:lang w:val="fr-FR"/>
              </w:rPr>
              <w:t> </w:t>
            </w:r>
            <w:r w:rsidRPr="00440C76">
              <w:rPr>
                <w:lang w:val="fr-FR"/>
              </w:rPr>
              <w:t>A1 du Règlement ONU n</w:t>
            </w:r>
            <w:r w:rsidRPr="00440C76">
              <w:rPr>
                <w:vertAlign w:val="superscript"/>
                <w:lang w:val="fr-FR"/>
              </w:rPr>
              <w:t>o</w:t>
            </w:r>
            <w:r w:rsidRPr="00440C76">
              <w:rPr>
                <w:lang w:val="fr-FR"/>
              </w:rPr>
              <w:t> 154</w:t>
            </w:r>
          </w:p>
        </w:tc>
      </w:tr>
      <w:tr w:rsidR="00BE2CA7" w:rsidRPr="00440C76" w14:paraId="773B9859" w14:textId="77777777" w:rsidTr="002B0590">
        <w:tc>
          <w:tcPr>
            <w:tcW w:w="1134" w:type="dxa"/>
            <w:shd w:val="clear" w:color="auto" w:fill="auto"/>
          </w:tcPr>
          <w:p w14:paraId="40D5472F" w14:textId="77777777" w:rsidR="00BE2CA7" w:rsidRPr="00440C76" w:rsidRDefault="00BE2CA7" w:rsidP="002B0590">
            <w:pPr>
              <w:spacing w:before="40" w:after="120"/>
              <w:ind w:left="57" w:right="57"/>
              <w:rPr>
                <w:lang w:val="fr-FR"/>
              </w:rPr>
            </w:pPr>
            <w:r w:rsidRPr="00440C76">
              <w:rPr>
                <w:lang w:val="fr-FR"/>
              </w:rPr>
              <w:t>7</w:t>
            </w:r>
          </w:p>
        </w:tc>
        <w:tc>
          <w:tcPr>
            <w:tcW w:w="2127" w:type="dxa"/>
            <w:shd w:val="clear" w:color="auto" w:fill="auto"/>
          </w:tcPr>
          <w:p w14:paraId="5118A6B2" w14:textId="77777777" w:rsidR="00BE2CA7" w:rsidRPr="00440C76" w:rsidRDefault="00BE2CA7" w:rsidP="002B0590">
            <w:pPr>
              <w:spacing w:before="40" w:after="120"/>
              <w:ind w:left="57" w:right="57"/>
              <w:rPr>
                <w:lang w:val="fr-FR"/>
              </w:rPr>
            </w:pPr>
            <w:r w:rsidRPr="00440C76">
              <w:rPr>
                <w:lang w:val="fr-FR"/>
              </w:rPr>
              <w:t>Identifiant de la famille de résistance à l</w:t>
            </w:r>
            <w:r>
              <w:rPr>
                <w:lang w:val="fr-FR"/>
              </w:rPr>
              <w:t>’</w:t>
            </w:r>
            <w:r w:rsidRPr="00440C76">
              <w:rPr>
                <w:lang w:val="fr-FR"/>
              </w:rPr>
              <w:t>avancement sur route du véhicule H ou identifiant de la famille de matrices de résistance à l</w:t>
            </w:r>
            <w:r>
              <w:rPr>
                <w:lang w:val="fr-FR"/>
              </w:rPr>
              <w:t>’</w:t>
            </w:r>
            <w:r w:rsidRPr="00440C76">
              <w:rPr>
                <w:lang w:val="fr-FR"/>
              </w:rPr>
              <w:t xml:space="preserve">avancement sur route </w:t>
            </w:r>
          </w:p>
        </w:tc>
        <w:tc>
          <w:tcPr>
            <w:tcW w:w="1554" w:type="dxa"/>
            <w:shd w:val="clear" w:color="auto" w:fill="auto"/>
          </w:tcPr>
          <w:p w14:paraId="39BFE596" w14:textId="77777777" w:rsidR="00BE2CA7" w:rsidRPr="00440C76" w:rsidRDefault="00BE2CA7" w:rsidP="002B0590">
            <w:pPr>
              <w:spacing w:before="40" w:after="120"/>
              <w:ind w:left="57" w:right="57"/>
              <w:rPr>
                <w:lang w:val="fr-FR"/>
              </w:rPr>
            </w:pPr>
            <w:r w:rsidRPr="00440C76">
              <w:rPr>
                <w:lang w:val="fr-FR"/>
              </w:rPr>
              <w:t>Texte</w:t>
            </w:r>
          </w:p>
        </w:tc>
        <w:tc>
          <w:tcPr>
            <w:tcW w:w="997" w:type="dxa"/>
            <w:shd w:val="clear" w:color="auto" w:fill="auto"/>
          </w:tcPr>
          <w:p w14:paraId="11D78D0D" w14:textId="77777777" w:rsidR="00BE2CA7" w:rsidRPr="00440C76" w:rsidRDefault="00BE2CA7" w:rsidP="002B0590">
            <w:pPr>
              <w:spacing w:before="40" w:after="120"/>
              <w:ind w:left="57" w:right="57"/>
              <w:rPr>
                <w:lang w:val="fr-FR"/>
              </w:rPr>
            </w:pPr>
            <w:r w:rsidRPr="00440C76">
              <w:rPr>
                <w:lang w:val="fr-FR"/>
              </w:rPr>
              <w:t>-</w:t>
            </w:r>
            <w:r>
              <w:rPr>
                <w:lang w:val="fr-FR"/>
              </w:rPr>
              <w:t>-</w:t>
            </w:r>
          </w:p>
        </w:tc>
        <w:tc>
          <w:tcPr>
            <w:tcW w:w="3825" w:type="dxa"/>
            <w:gridSpan w:val="2"/>
            <w:shd w:val="clear" w:color="auto" w:fill="auto"/>
          </w:tcPr>
          <w:p w14:paraId="154AF23C" w14:textId="77777777" w:rsidR="00BE2CA7" w:rsidRPr="00440C76" w:rsidRDefault="00BE2CA7" w:rsidP="002B0590">
            <w:pPr>
              <w:spacing w:before="40" w:after="120"/>
              <w:ind w:left="57" w:right="57"/>
              <w:rPr>
                <w:lang w:val="fr-FR"/>
              </w:rPr>
            </w:pPr>
            <w:r w:rsidRPr="00440C76">
              <w:rPr>
                <w:lang w:val="fr-FR"/>
              </w:rPr>
              <w:t>Comme indiqué au paragraphe</w:t>
            </w:r>
            <w:r>
              <w:rPr>
                <w:lang w:val="fr-FR"/>
              </w:rPr>
              <w:t> </w:t>
            </w:r>
            <w:r w:rsidRPr="00440C76">
              <w:rPr>
                <w:lang w:val="fr-FR"/>
              </w:rPr>
              <w:t>0.2.3.4.1 de l</w:t>
            </w:r>
            <w:r>
              <w:rPr>
                <w:lang w:val="fr-FR"/>
              </w:rPr>
              <w:t>’</w:t>
            </w:r>
            <w:r w:rsidRPr="00440C76">
              <w:rPr>
                <w:lang w:val="fr-FR"/>
              </w:rPr>
              <w:t>annexe</w:t>
            </w:r>
            <w:r>
              <w:rPr>
                <w:lang w:val="fr-FR"/>
              </w:rPr>
              <w:t> </w:t>
            </w:r>
            <w:r w:rsidRPr="00440C76">
              <w:rPr>
                <w:lang w:val="fr-FR"/>
              </w:rPr>
              <w:t>A1 du Règlement ONU n</w:t>
            </w:r>
            <w:r w:rsidRPr="00440C76">
              <w:rPr>
                <w:vertAlign w:val="superscript"/>
                <w:lang w:val="fr-FR"/>
              </w:rPr>
              <w:t>o</w:t>
            </w:r>
            <w:r w:rsidRPr="00440C76">
              <w:rPr>
                <w:lang w:val="fr-FR"/>
              </w:rPr>
              <w:t> 154</w:t>
            </w:r>
          </w:p>
        </w:tc>
      </w:tr>
      <w:tr w:rsidR="00BE2CA7" w:rsidRPr="00440C76" w14:paraId="78A6835E" w14:textId="77777777" w:rsidTr="002B0590">
        <w:tc>
          <w:tcPr>
            <w:tcW w:w="1134" w:type="dxa"/>
            <w:shd w:val="clear" w:color="auto" w:fill="auto"/>
          </w:tcPr>
          <w:p w14:paraId="44508325" w14:textId="77777777" w:rsidR="00BE2CA7" w:rsidRPr="00440C76" w:rsidRDefault="00BE2CA7" w:rsidP="002B0590">
            <w:pPr>
              <w:spacing w:before="40" w:after="120"/>
              <w:ind w:left="57" w:right="57"/>
              <w:rPr>
                <w:lang w:val="fr-FR"/>
              </w:rPr>
            </w:pPr>
            <w:r w:rsidRPr="00440C76">
              <w:rPr>
                <w:lang w:val="fr-FR"/>
              </w:rPr>
              <w:t>7a</w:t>
            </w:r>
          </w:p>
        </w:tc>
        <w:tc>
          <w:tcPr>
            <w:tcW w:w="2127" w:type="dxa"/>
            <w:shd w:val="clear" w:color="auto" w:fill="auto"/>
          </w:tcPr>
          <w:p w14:paraId="5FC4032C" w14:textId="77777777" w:rsidR="00BE2CA7" w:rsidRPr="00440C76" w:rsidRDefault="00BE2CA7" w:rsidP="002B0590">
            <w:pPr>
              <w:spacing w:before="40" w:after="120"/>
              <w:ind w:left="57" w:right="57"/>
              <w:rPr>
                <w:lang w:val="fr-FR"/>
              </w:rPr>
            </w:pPr>
            <w:r w:rsidRPr="00440C76">
              <w:rPr>
                <w:lang w:val="fr-FR"/>
              </w:rPr>
              <w:t>Identifiant de la famille de résistance à l</w:t>
            </w:r>
            <w:r>
              <w:rPr>
                <w:lang w:val="fr-FR"/>
              </w:rPr>
              <w:t>’</w:t>
            </w:r>
            <w:r w:rsidRPr="00440C76">
              <w:rPr>
                <w:lang w:val="fr-FR"/>
              </w:rPr>
              <w:t xml:space="preserve">avancement sur route du véhicule L </w:t>
            </w:r>
            <w:r w:rsidRPr="00440C76">
              <w:rPr>
                <w:lang w:val="fr-FR"/>
              </w:rPr>
              <w:br/>
              <w:t>(le cas échéant)</w:t>
            </w:r>
          </w:p>
        </w:tc>
        <w:tc>
          <w:tcPr>
            <w:tcW w:w="1554" w:type="dxa"/>
            <w:shd w:val="clear" w:color="auto" w:fill="auto"/>
          </w:tcPr>
          <w:p w14:paraId="7DBA9BED" w14:textId="77777777" w:rsidR="00BE2CA7" w:rsidRPr="00440C76" w:rsidRDefault="00BE2CA7" w:rsidP="002B0590">
            <w:pPr>
              <w:spacing w:before="40" w:after="120"/>
              <w:ind w:left="57" w:right="57"/>
              <w:rPr>
                <w:lang w:val="fr-FR"/>
              </w:rPr>
            </w:pPr>
            <w:r w:rsidRPr="00440C76">
              <w:rPr>
                <w:lang w:val="fr-FR"/>
              </w:rPr>
              <w:t>Texte</w:t>
            </w:r>
          </w:p>
        </w:tc>
        <w:tc>
          <w:tcPr>
            <w:tcW w:w="997" w:type="dxa"/>
            <w:shd w:val="clear" w:color="auto" w:fill="auto"/>
          </w:tcPr>
          <w:p w14:paraId="7AFCD758" w14:textId="77777777" w:rsidR="00BE2CA7" w:rsidRPr="00440C76" w:rsidRDefault="00BE2CA7" w:rsidP="002B0590">
            <w:pPr>
              <w:spacing w:before="40" w:after="120"/>
              <w:ind w:left="57" w:right="57"/>
              <w:rPr>
                <w:lang w:val="fr-FR"/>
              </w:rPr>
            </w:pPr>
            <w:r w:rsidRPr="00440C76">
              <w:rPr>
                <w:lang w:val="fr-FR"/>
              </w:rPr>
              <w:t>-</w:t>
            </w:r>
            <w:r>
              <w:rPr>
                <w:lang w:val="fr-FR"/>
              </w:rPr>
              <w:t>-</w:t>
            </w:r>
          </w:p>
        </w:tc>
        <w:tc>
          <w:tcPr>
            <w:tcW w:w="3825" w:type="dxa"/>
            <w:gridSpan w:val="2"/>
            <w:shd w:val="clear" w:color="auto" w:fill="auto"/>
          </w:tcPr>
          <w:p w14:paraId="50DE3BBC" w14:textId="77777777" w:rsidR="00BE2CA7" w:rsidRPr="00440C76" w:rsidRDefault="00BE2CA7" w:rsidP="002B0590">
            <w:pPr>
              <w:spacing w:before="40" w:after="120"/>
              <w:ind w:left="57" w:right="57"/>
              <w:rPr>
                <w:lang w:val="fr-FR"/>
              </w:rPr>
            </w:pPr>
            <w:r w:rsidRPr="00440C76">
              <w:rPr>
                <w:lang w:val="fr-FR"/>
              </w:rPr>
              <w:t>Comme indiqué au paragraphe</w:t>
            </w:r>
            <w:r>
              <w:rPr>
                <w:lang w:val="fr-FR"/>
              </w:rPr>
              <w:t> </w:t>
            </w:r>
            <w:r w:rsidRPr="00440C76">
              <w:rPr>
                <w:lang w:val="fr-FR"/>
              </w:rPr>
              <w:t>0.2.3.4.2 de l</w:t>
            </w:r>
            <w:r>
              <w:rPr>
                <w:lang w:val="fr-FR"/>
              </w:rPr>
              <w:t>’</w:t>
            </w:r>
            <w:r w:rsidRPr="00440C76">
              <w:rPr>
                <w:lang w:val="fr-FR"/>
              </w:rPr>
              <w:t>annexe</w:t>
            </w:r>
            <w:r>
              <w:rPr>
                <w:lang w:val="fr-FR"/>
              </w:rPr>
              <w:t> </w:t>
            </w:r>
            <w:r w:rsidRPr="00440C76">
              <w:rPr>
                <w:lang w:val="fr-FR"/>
              </w:rPr>
              <w:t>A1 du Règlement ONU n</w:t>
            </w:r>
            <w:r w:rsidRPr="00440C76">
              <w:rPr>
                <w:vertAlign w:val="superscript"/>
                <w:lang w:val="fr-FR"/>
              </w:rPr>
              <w:t>o</w:t>
            </w:r>
            <w:r w:rsidRPr="00440C76">
              <w:rPr>
                <w:lang w:val="fr-FR"/>
              </w:rPr>
              <w:t> 154</w:t>
            </w:r>
          </w:p>
        </w:tc>
      </w:tr>
      <w:tr w:rsidR="00BE2CA7" w:rsidRPr="00440C76" w14:paraId="4BD68603" w14:textId="77777777" w:rsidTr="002B0590">
        <w:tc>
          <w:tcPr>
            <w:tcW w:w="1134" w:type="dxa"/>
            <w:shd w:val="clear" w:color="auto" w:fill="auto"/>
          </w:tcPr>
          <w:p w14:paraId="270AB8D1" w14:textId="77777777" w:rsidR="00BE2CA7" w:rsidRPr="00440C76" w:rsidRDefault="00BE2CA7" w:rsidP="002B0590">
            <w:pPr>
              <w:spacing w:before="40" w:after="120"/>
              <w:ind w:left="57" w:right="57"/>
              <w:rPr>
                <w:lang w:val="fr-FR"/>
              </w:rPr>
            </w:pPr>
            <w:r w:rsidRPr="00440C76">
              <w:rPr>
                <w:lang w:val="fr-FR"/>
              </w:rPr>
              <w:t>7b</w:t>
            </w:r>
          </w:p>
        </w:tc>
        <w:tc>
          <w:tcPr>
            <w:tcW w:w="2127" w:type="dxa"/>
            <w:shd w:val="clear" w:color="auto" w:fill="auto"/>
          </w:tcPr>
          <w:p w14:paraId="6160F394" w14:textId="77777777" w:rsidR="00BE2CA7" w:rsidRPr="00440C76" w:rsidRDefault="00BE2CA7" w:rsidP="002B0590">
            <w:pPr>
              <w:spacing w:before="40" w:after="120"/>
              <w:ind w:left="57" w:right="57"/>
              <w:rPr>
                <w:lang w:val="fr-FR"/>
              </w:rPr>
            </w:pPr>
            <w:r w:rsidRPr="00440C76">
              <w:rPr>
                <w:lang w:val="fr-FR"/>
              </w:rPr>
              <w:t>Identifiant de la famille de résistance à l</w:t>
            </w:r>
            <w:r>
              <w:rPr>
                <w:lang w:val="fr-FR"/>
              </w:rPr>
              <w:t>’</w:t>
            </w:r>
            <w:r w:rsidRPr="00440C76">
              <w:rPr>
                <w:lang w:val="fr-FR"/>
              </w:rPr>
              <w:t xml:space="preserve">avancement sur route du véhicule M </w:t>
            </w:r>
            <w:r w:rsidRPr="00440C76">
              <w:rPr>
                <w:lang w:val="fr-FR"/>
              </w:rPr>
              <w:br/>
              <w:t>(le cas échéant)</w:t>
            </w:r>
          </w:p>
        </w:tc>
        <w:tc>
          <w:tcPr>
            <w:tcW w:w="1554" w:type="dxa"/>
            <w:shd w:val="clear" w:color="auto" w:fill="auto"/>
          </w:tcPr>
          <w:p w14:paraId="5F6D63CF" w14:textId="77777777" w:rsidR="00BE2CA7" w:rsidRPr="00440C76" w:rsidRDefault="00BE2CA7" w:rsidP="002B0590">
            <w:pPr>
              <w:spacing w:before="40" w:after="120"/>
              <w:ind w:left="57" w:right="57"/>
              <w:rPr>
                <w:lang w:val="fr-FR"/>
              </w:rPr>
            </w:pPr>
            <w:r w:rsidRPr="00440C76">
              <w:rPr>
                <w:lang w:val="fr-FR"/>
              </w:rPr>
              <w:t>Texte</w:t>
            </w:r>
          </w:p>
        </w:tc>
        <w:tc>
          <w:tcPr>
            <w:tcW w:w="997" w:type="dxa"/>
            <w:shd w:val="clear" w:color="auto" w:fill="auto"/>
          </w:tcPr>
          <w:p w14:paraId="029ADD63" w14:textId="77777777" w:rsidR="00BE2CA7" w:rsidRPr="00440C76" w:rsidRDefault="00BE2CA7" w:rsidP="002B0590">
            <w:pPr>
              <w:spacing w:before="40" w:after="120"/>
              <w:ind w:left="57" w:right="57"/>
              <w:rPr>
                <w:lang w:val="fr-FR"/>
              </w:rPr>
            </w:pPr>
            <w:r w:rsidRPr="00440C76">
              <w:rPr>
                <w:lang w:val="fr-FR"/>
              </w:rPr>
              <w:t>-</w:t>
            </w:r>
            <w:r>
              <w:rPr>
                <w:lang w:val="fr-FR"/>
              </w:rPr>
              <w:t>-</w:t>
            </w:r>
          </w:p>
        </w:tc>
        <w:tc>
          <w:tcPr>
            <w:tcW w:w="3825" w:type="dxa"/>
            <w:gridSpan w:val="2"/>
            <w:shd w:val="clear" w:color="auto" w:fill="auto"/>
          </w:tcPr>
          <w:p w14:paraId="0A2BC2A2" w14:textId="77777777" w:rsidR="00BE2CA7" w:rsidRPr="00440C76" w:rsidRDefault="00BE2CA7" w:rsidP="002B0590">
            <w:pPr>
              <w:spacing w:before="40" w:after="120"/>
              <w:ind w:left="57" w:right="57"/>
              <w:rPr>
                <w:lang w:val="fr-FR"/>
              </w:rPr>
            </w:pPr>
            <w:r w:rsidRPr="00440C76">
              <w:rPr>
                <w:lang w:val="fr-FR"/>
              </w:rPr>
              <w:t>Comme indiqué au point</w:t>
            </w:r>
            <w:r>
              <w:rPr>
                <w:lang w:val="fr-FR"/>
              </w:rPr>
              <w:t> </w:t>
            </w:r>
            <w:r w:rsidRPr="00440C76">
              <w:rPr>
                <w:lang w:val="fr-FR"/>
              </w:rPr>
              <w:t>1.4.2 (Paramètres de résistance à l</w:t>
            </w:r>
            <w:r>
              <w:rPr>
                <w:lang w:val="fr-FR"/>
              </w:rPr>
              <w:t>’</w:t>
            </w:r>
            <w:r w:rsidRPr="00440C76">
              <w:rPr>
                <w:lang w:val="fr-FR"/>
              </w:rPr>
              <w:t>avancement sur route) de l</w:t>
            </w:r>
            <w:r>
              <w:rPr>
                <w:lang w:val="fr-FR"/>
              </w:rPr>
              <w:t>’</w:t>
            </w:r>
            <w:r w:rsidRPr="00440C76">
              <w:rPr>
                <w:lang w:val="fr-FR"/>
              </w:rPr>
              <w:t>appendice</w:t>
            </w:r>
            <w:r>
              <w:rPr>
                <w:lang w:val="fr-FR"/>
              </w:rPr>
              <w:t> </w:t>
            </w:r>
            <w:r w:rsidRPr="00440C76">
              <w:rPr>
                <w:lang w:val="fr-FR"/>
              </w:rPr>
              <w:t>1 de l</w:t>
            </w:r>
            <w:r>
              <w:rPr>
                <w:lang w:val="fr-FR"/>
              </w:rPr>
              <w:t>’</w:t>
            </w:r>
            <w:r w:rsidRPr="00440C76">
              <w:rPr>
                <w:lang w:val="fr-FR"/>
              </w:rPr>
              <w:t>annexe</w:t>
            </w:r>
            <w:r>
              <w:rPr>
                <w:lang w:val="fr-FR"/>
              </w:rPr>
              <w:t> </w:t>
            </w:r>
            <w:r w:rsidRPr="00440C76">
              <w:rPr>
                <w:lang w:val="fr-FR"/>
              </w:rPr>
              <w:t>A1 du Règlement ONU n</w:t>
            </w:r>
            <w:r w:rsidRPr="00440C76">
              <w:rPr>
                <w:vertAlign w:val="superscript"/>
                <w:lang w:val="fr-FR"/>
              </w:rPr>
              <w:t>o</w:t>
            </w:r>
            <w:r w:rsidRPr="00440C76">
              <w:rPr>
                <w:lang w:val="fr-FR"/>
              </w:rPr>
              <w:t xml:space="preserve"> 154 </w:t>
            </w:r>
          </w:p>
        </w:tc>
      </w:tr>
      <w:tr w:rsidR="00BE2CA7" w:rsidRPr="00440C76" w14:paraId="3026EC21" w14:textId="77777777" w:rsidTr="002B0590">
        <w:tc>
          <w:tcPr>
            <w:tcW w:w="1134" w:type="dxa"/>
            <w:shd w:val="clear" w:color="auto" w:fill="auto"/>
          </w:tcPr>
          <w:p w14:paraId="7FE004A8" w14:textId="77777777" w:rsidR="00BE2CA7" w:rsidRPr="00440C76" w:rsidRDefault="00BE2CA7" w:rsidP="002B0590">
            <w:pPr>
              <w:keepNext/>
              <w:spacing w:before="40" w:after="120"/>
              <w:ind w:left="57" w:right="57"/>
              <w:rPr>
                <w:lang w:val="fr-FR"/>
              </w:rPr>
            </w:pPr>
            <w:r w:rsidRPr="00440C76">
              <w:rPr>
                <w:lang w:val="fr-FR"/>
              </w:rPr>
              <w:t>13</w:t>
            </w:r>
          </w:p>
        </w:tc>
        <w:tc>
          <w:tcPr>
            <w:tcW w:w="2127" w:type="dxa"/>
            <w:shd w:val="clear" w:color="auto" w:fill="auto"/>
          </w:tcPr>
          <w:p w14:paraId="501FA14F" w14:textId="77777777" w:rsidR="00BE2CA7" w:rsidRPr="00440C76" w:rsidRDefault="00BE2CA7" w:rsidP="002B0590">
            <w:pPr>
              <w:keepNext/>
              <w:spacing w:before="40" w:after="120"/>
              <w:ind w:left="57" w:right="57"/>
              <w:rPr>
                <w:lang w:val="fr-FR"/>
              </w:rPr>
            </w:pPr>
            <w:r w:rsidRPr="00440C76">
              <w:rPr>
                <w:lang w:val="fr-FR"/>
              </w:rPr>
              <w:t>Roues motrices du véhicule au sein de la famille</w:t>
            </w:r>
          </w:p>
        </w:tc>
        <w:tc>
          <w:tcPr>
            <w:tcW w:w="1554" w:type="dxa"/>
            <w:shd w:val="clear" w:color="auto" w:fill="auto"/>
          </w:tcPr>
          <w:p w14:paraId="687C2C56" w14:textId="77777777" w:rsidR="00BE2CA7" w:rsidRPr="00440C76" w:rsidRDefault="00BE2CA7" w:rsidP="002B0590">
            <w:pPr>
              <w:keepNext/>
              <w:spacing w:before="40" w:after="120"/>
              <w:ind w:left="57" w:right="57"/>
              <w:rPr>
                <w:lang w:val="fr-FR"/>
              </w:rPr>
            </w:pPr>
            <w:r w:rsidRPr="00440C76">
              <w:rPr>
                <w:lang w:val="fr-FR"/>
              </w:rPr>
              <w:t>Énumération (avant, arrière, quatre roues motrices)</w:t>
            </w:r>
          </w:p>
        </w:tc>
        <w:tc>
          <w:tcPr>
            <w:tcW w:w="997" w:type="dxa"/>
            <w:shd w:val="clear" w:color="auto" w:fill="auto"/>
          </w:tcPr>
          <w:p w14:paraId="7EBDDADF" w14:textId="77777777" w:rsidR="00BE2CA7" w:rsidRPr="00440C76" w:rsidRDefault="00BE2CA7" w:rsidP="002B0590">
            <w:pPr>
              <w:keepNext/>
              <w:spacing w:before="40" w:after="120"/>
              <w:ind w:left="57" w:right="57"/>
              <w:rPr>
                <w:lang w:val="fr-FR"/>
              </w:rPr>
            </w:pPr>
            <w:r>
              <w:rPr>
                <w:lang w:val="fr-FR"/>
              </w:rPr>
              <w:t>-</w:t>
            </w:r>
            <w:r w:rsidRPr="00440C76">
              <w:rPr>
                <w:lang w:val="fr-FR"/>
              </w:rPr>
              <w:t>-</w:t>
            </w:r>
          </w:p>
        </w:tc>
        <w:tc>
          <w:tcPr>
            <w:tcW w:w="3825" w:type="dxa"/>
            <w:gridSpan w:val="2"/>
            <w:shd w:val="clear" w:color="auto" w:fill="auto"/>
          </w:tcPr>
          <w:p w14:paraId="548291F9" w14:textId="77777777" w:rsidR="00BE2CA7" w:rsidRPr="00440C76" w:rsidRDefault="00BE2CA7" w:rsidP="002B0590">
            <w:pPr>
              <w:keepNext/>
              <w:spacing w:before="40" w:after="120"/>
              <w:ind w:left="57" w:right="57"/>
              <w:rPr>
                <w:lang w:val="fr-FR"/>
              </w:rPr>
            </w:pPr>
            <w:r w:rsidRPr="00440C76">
              <w:rPr>
                <w:lang w:val="fr-FR"/>
              </w:rPr>
              <w:t>Paragraphe</w:t>
            </w:r>
            <w:r>
              <w:rPr>
                <w:lang w:val="fr-FR"/>
              </w:rPr>
              <w:t> </w:t>
            </w:r>
            <w:r w:rsidRPr="00440C76">
              <w:rPr>
                <w:lang w:val="fr-FR"/>
              </w:rPr>
              <w:t>1.7 de l</w:t>
            </w:r>
            <w:r>
              <w:rPr>
                <w:lang w:val="fr-FR"/>
              </w:rPr>
              <w:t>’</w:t>
            </w:r>
            <w:r w:rsidRPr="00440C76">
              <w:rPr>
                <w:lang w:val="fr-FR"/>
              </w:rPr>
              <w:t>additif à l</w:t>
            </w:r>
            <w:r>
              <w:rPr>
                <w:lang w:val="fr-FR"/>
              </w:rPr>
              <w:t>’</w:t>
            </w:r>
            <w:r w:rsidRPr="00440C76">
              <w:rPr>
                <w:lang w:val="fr-FR"/>
              </w:rPr>
              <w:t>annexe</w:t>
            </w:r>
            <w:r>
              <w:rPr>
                <w:lang w:val="fr-FR"/>
              </w:rPr>
              <w:t> </w:t>
            </w:r>
            <w:r w:rsidRPr="00440C76">
              <w:rPr>
                <w:lang w:val="fr-FR"/>
              </w:rPr>
              <w:t>A2 du Règlement ONU n</w:t>
            </w:r>
            <w:r w:rsidRPr="00440C76">
              <w:rPr>
                <w:vertAlign w:val="superscript"/>
                <w:lang w:val="fr-FR"/>
              </w:rPr>
              <w:t>o</w:t>
            </w:r>
            <w:r w:rsidRPr="00440C76">
              <w:rPr>
                <w:lang w:val="fr-FR"/>
              </w:rPr>
              <w:t> 154</w:t>
            </w:r>
          </w:p>
        </w:tc>
      </w:tr>
      <w:tr w:rsidR="00BE2CA7" w:rsidRPr="00440C76" w14:paraId="0190799C" w14:textId="77777777" w:rsidTr="002B0590">
        <w:tc>
          <w:tcPr>
            <w:tcW w:w="1134" w:type="dxa"/>
            <w:shd w:val="clear" w:color="auto" w:fill="auto"/>
          </w:tcPr>
          <w:p w14:paraId="603D6C54" w14:textId="77777777" w:rsidR="00BE2CA7" w:rsidRPr="00440C76" w:rsidRDefault="00BE2CA7" w:rsidP="002B0590">
            <w:pPr>
              <w:spacing w:before="40" w:after="120"/>
              <w:ind w:left="57" w:right="57"/>
              <w:rPr>
                <w:lang w:val="fr-FR"/>
              </w:rPr>
            </w:pPr>
            <w:r w:rsidRPr="00440C76">
              <w:rPr>
                <w:lang w:val="fr-FR"/>
              </w:rPr>
              <w:t>14</w:t>
            </w:r>
          </w:p>
        </w:tc>
        <w:tc>
          <w:tcPr>
            <w:tcW w:w="2127" w:type="dxa"/>
            <w:shd w:val="clear" w:color="auto" w:fill="auto"/>
          </w:tcPr>
          <w:p w14:paraId="2F71B127" w14:textId="77777777" w:rsidR="00BE2CA7" w:rsidRPr="00440C76" w:rsidRDefault="00BE2CA7" w:rsidP="002B0590">
            <w:pPr>
              <w:spacing w:before="40" w:after="120"/>
              <w:ind w:left="57" w:right="57"/>
              <w:rPr>
                <w:lang w:val="fr-FR"/>
              </w:rPr>
            </w:pPr>
            <w:r w:rsidRPr="00440C76">
              <w:rPr>
                <w:lang w:val="fr-FR"/>
              </w:rPr>
              <w:t>Configuration du banc à rouleaux pendant l</w:t>
            </w:r>
            <w:r>
              <w:rPr>
                <w:lang w:val="fr-FR"/>
              </w:rPr>
              <w:t>’</w:t>
            </w:r>
            <w:r w:rsidRPr="00440C76">
              <w:rPr>
                <w:lang w:val="fr-FR"/>
              </w:rPr>
              <w:t>essai d</w:t>
            </w:r>
            <w:r>
              <w:rPr>
                <w:lang w:val="fr-FR"/>
              </w:rPr>
              <w:t>’</w:t>
            </w:r>
            <w:r w:rsidRPr="00440C76">
              <w:rPr>
                <w:lang w:val="fr-FR"/>
              </w:rPr>
              <w:t>homologation de type</w:t>
            </w:r>
          </w:p>
        </w:tc>
        <w:tc>
          <w:tcPr>
            <w:tcW w:w="1554" w:type="dxa"/>
            <w:shd w:val="clear" w:color="auto" w:fill="auto"/>
          </w:tcPr>
          <w:p w14:paraId="37A5E874" w14:textId="77777777" w:rsidR="00BE2CA7" w:rsidRPr="00440C76" w:rsidRDefault="00BE2CA7" w:rsidP="002B0590">
            <w:pPr>
              <w:spacing w:before="40" w:after="120"/>
              <w:ind w:left="57" w:right="57"/>
              <w:rPr>
                <w:lang w:val="fr-FR"/>
              </w:rPr>
            </w:pPr>
            <w:r w:rsidRPr="00440C76">
              <w:rPr>
                <w:lang w:val="fr-FR"/>
              </w:rPr>
              <w:t>Énumération (un essieu, deux essieux)</w:t>
            </w:r>
          </w:p>
        </w:tc>
        <w:tc>
          <w:tcPr>
            <w:tcW w:w="997" w:type="dxa"/>
            <w:shd w:val="clear" w:color="auto" w:fill="auto"/>
          </w:tcPr>
          <w:p w14:paraId="72D38853" w14:textId="77777777" w:rsidR="00BE2CA7" w:rsidRPr="00440C76" w:rsidRDefault="00BE2CA7" w:rsidP="002B0590">
            <w:pPr>
              <w:spacing w:before="40" w:after="120"/>
              <w:ind w:left="57" w:right="57"/>
              <w:rPr>
                <w:lang w:val="fr-FR"/>
              </w:rPr>
            </w:pPr>
            <w:r>
              <w:rPr>
                <w:lang w:val="fr-FR"/>
              </w:rPr>
              <w:t>-</w:t>
            </w:r>
            <w:r w:rsidRPr="00440C76">
              <w:rPr>
                <w:lang w:val="fr-FR"/>
              </w:rPr>
              <w:t>-</w:t>
            </w:r>
          </w:p>
        </w:tc>
        <w:tc>
          <w:tcPr>
            <w:tcW w:w="3825" w:type="dxa"/>
            <w:gridSpan w:val="2"/>
            <w:shd w:val="clear" w:color="auto" w:fill="auto"/>
          </w:tcPr>
          <w:p w14:paraId="3821BE5B" w14:textId="77777777" w:rsidR="00BE2CA7" w:rsidRPr="00440C76" w:rsidRDefault="00BE2CA7" w:rsidP="002B0590">
            <w:pPr>
              <w:spacing w:before="40" w:after="120"/>
              <w:ind w:left="57" w:right="57"/>
              <w:rPr>
                <w:lang w:val="fr-FR"/>
              </w:rPr>
            </w:pPr>
            <w:r w:rsidRPr="00440C76">
              <w:rPr>
                <w:lang w:val="fr-FR"/>
              </w:rPr>
              <w:t>Comme au paragraphe</w:t>
            </w:r>
            <w:r>
              <w:rPr>
                <w:lang w:val="fr-FR"/>
              </w:rPr>
              <w:t> </w:t>
            </w:r>
            <w:r w:rsidRPr="00440C76">
              <w:rPr>
                <w:lang w:val="fr-FR"/>
              </w:rPr>
              <w:t>2.4.2.4 de l</w:t>
            </w:r>
            <w:r>
              <w:rPr>
                <w:lang w:val="fr-FR"/>
              </w:rPr>
              <w:t>’</w:t>
            </w:r>
            <w:r w:rsidRPr="00440C76">
              <w:rPr>
                <w:lang w:val="fr-FR"/>
              </w:rPr>
              <w:t>annexe</w:t>
            </w:r>
            <w:r>
              <w:rPr>
                <w:lang w:val="fr-FR"/>
              </w:rPr>
              <w:t> </w:t>
            </w:r>
            <w:r w:rsidRPr="00440C76">
              <w:rPr>
                <w:lang w:val="fr-FR"/>
              </w:rPr>
              <w:t>B6 du Règlement ONU n</w:t>
            </w:r>
            <w:r w:rsidRPr="00440C76">
              <w:rPr>
                <w:vertAlign w:val="superscript"/>
                <w:lang w:val="fr-FR"/>
              </w:rPr>
              <w:t>o</w:t>
            </w:r>
            <w:r w:rsidRPr="00440C76">
              <w:rPr>
                <w:lang w:val="fr-FR"/>
              </w:rPr>
              <w:t> 154</w:t>
            </w:r>
          </w:p>
        </w:tc>
      </w:tr>
      <w:tr w:rsidR="00BE2CA7" w:rsidRPr="00440C76" w14:paraId="5A20E99F" w14:textId="77777777" w:rsidTr="002B0590">
        <w:tc>
          <w:tcPr>
            <w:tcW w:w="1134" w:type="dxa"/>
            <w:shd w:val="clear" w:color="auto" w:fill="auto"/>
          </w:tcPr>
          <w:p w14:paraId="1E961344" w14:textId="77777777" w:rsidR="00BE2CA7" w:rsidRPr="00440C76" w:rsidRDefault="00BE2CA7" w:rsidP="002B0590">
            <w:pPr>
              <w:spacing w:before="40" w:after="120"/>
              <w:ind w:left="57" w:right="57"/>
              <w:rPr>
                <w:lang w:val="fr-FR"/>
              </w:rPr>
            </w:pPr>
            <w:r w:rsidRPr="00440C76">
              <w:rPr>
                <w:lang w:val="fr-FR"/>
              </w:rPr>
              <w:lastRenderedPageBreak/>
              <w:t>18</w:t>
            </w:r>
          </w:p>
        </w:tc>
        <w:tc>
          <w:tcPr>
            <w:tcW w:w="2127" w:type="dxa"/>
            <w:shd w:val="clear" w:color="auto" w:fill="auto"/>
          </w:tcPr>
          <w:p w14:paraId="7E6DD704" w14:textId="77777777" w:rsidR="00BE2CA7" w:rsidRPr="00440C76" w:rsidRDefault="00BE2CA7" w:rsidP="002B0590">
            <w:pPr>
              <w:spacing w:before="40" w:after="120"/>
              <w:ind w:left="57" w:right="57"/>
              <w:rPr>
                <w:lang w:val="fr-FR"/>
              </w:rPr>
            </w:pPr>
            <w:r w:rsidRPr="00440C76">
              <w:rPr>
                <w:lang w:val="fr-FR"/>
              </w:rPr>
              <w:t>Mode(s) sélectionnable(s) par le conducteur utilisé(s) pendant les essais d</w:t>
            </w:r>
            <w:r>
              <w:rPr>
                <w:lang w:val="fr-FR"/>
              </w:rPr>
              <w:t>’</w:t>
            </w:r>
            <w:r w:rsidRPr="00440C76">
              <w:rPr>
                <w:lang w:val="fr-FR"/>
              </w:rPr>
              <w:t>homologation de type (véhicules équipés uniquement de moteurs à combustion interne) ou pour l</w:t>
            </w:r>
            <w:r>
              <w:rPr>
                <w:lang w:val="fr-FR"/>
              </w:rPr>
              <w:t>’</w:t>
            </w:r>
            <w:r w:rsidRPr="00440C76">
              <w:rPr>
                <w:lang w:val="fr-FR"/>
              </w:rPr>
              <w:t>essai en mode maintien de la charge (VEH-NRE, VEH-RE, VHPC-NRE)</w:t>
            </w:r>
          </w:p>
        </w:tc>
        <w:tc>
          <w:tcPr>
            <w:tcW w:w="1554" w:type="dxa"/>
            <w:shd w:val="clear" w:color="auto" w:fill="auto"/>
          </w:tcPr>
          <w:p w14:paraId="56DEAC73" w14:textId="77777777" w:rsidR="00BE2CA7" w:rsidRPr="00440C76" w:rsidRDefault="00BE2CA7" w:rsidP="002B0590">
            <w:pPr>
              <w:spacing w:before="40" w:after="120"/>
              <w:ind w:left="57" w:right="57"/>
              <w:rPr>
                <w:lang w:val="fr-FR"/>
              </w:rPr>
            </w:pPr>
            <w:r w:rsidRPr="00440C76">
              <w:rPr>
                <w:lang w:val="fr-FR"/>
              </w:rPr>
              <w:t xml:space="preserve">Formats possibles : </w:t>
            </w:r>
            <w:proofErr w:type="spellStart"/>
            <w:r w:rsidRPr="00440C76">
              <w:rPr>
                <w:lang w:val="fr-FR"/>
              </w:rPr>
              <w:t>pdf</w:t>
            </w:r>
            <w:proofErr w:type="spellEnd"/>
            <w:r w:rsidRPr="00440C76">
              <w:rPr>
                <w:lang w:val="fr-FR"/>
              </w:rPr>
              <w:t>, jpg</w:t>
            </w:r>
            <w:hyperlink r:id="rId17" w:anchor="_ftn3" w:history="1">
              <w:r w:rsidRPr="00440C76">
                <w:rPr>
                  <w:u w:val="single"/>
                  <w:vertAlign w:val="superscript"/>
                  <w:lang w:val="fr-FR"/>
                </w:rPr>
                <w:t>[3]</w:t>
              </w:r>
            </w:hyperlink>
            <w:r w:rsidRPr="00440C76">
              <w:rPr>
                <w:lang w:val="fr-FR"/>
              </w:rPr>
              <w:br/>
              <w:t>Le nom du fichier doit être un UUID</w:t>
            </w:r>
            <w:hyperlink r:id="rId18" w:anchor="_ftn4" w:history="1">
              <w:r w:rsidRPr="00440C76">
                <w:rPr>
                  <w:u w:val="single"/>
                  <w:vertAlign w:val="superscript"/>
                  <w:lang w:val="fr-FR"/>
                </w:rPr>
                <w:t>[4]</w:t>
              </w:r>
            </w:hyperlink>
            <w:r w:rsidRPr="00440C76">
              <w:rPr>
                <w:lang w:val="fr-FR"/>
              </w:rPr>
              <w:t xml:space="preserve"> unique à l</w:t>
            </w:r>
            <w:r>
              <w:rPr>
                <w:lang w:val="fr-FR"/>
              </w:rPr>
              <w:t>’</w:t>
            </w:r>
            <w:r w:rsidRPr="00440C76">
              <w:rPr>
                <w:lang w:val="fr-FR"/>
              </w:rPr>
              <w:t>intérieur du dossier</w:t>
            </w:r>
          </w:p>
        </w:tc>
        <w:tc>
          <w:tcPr>
            <w:tcW w:w="997" w:type="dxa"/>
            <w:shd w:val="clear" w:color="auto" w:fill="auto"/>
          </w:tcPr>
          <w:p w14:paraId="378AA0E7" w14:textId="77777777" w:rsidR="00BE2CA7" w:rsidRPr="00440C76" w:rsidRDefault="00BE2CA7" w:rsidP="002B0590">
            <w:pPr>
              <w:spacing w:before="40" w:after="120"/>
              <w:ind w:left="57" w:right="57"/>
              <w:rPr>
                <w:lang w:val="fr-FR"/>
              </w:rPr>
            </w:pPr>
            <w:r w:rsidRPr="00440C76">
              <w:rPr>
                <w:lang w:val="fr-FR"/>
              </w:rPr>
              <w:t>-</w:t>
            </w:r>
            <w:r>
              <w:rPr>
                <w:lang w:val="fr-FR"/>
              </w:rPr>
              <w:t>-</w:t>
            </w:r>
          </w:p>
        </w:tc>
        <w:tc>
          <w:tcPr>
            <w:tcW w:w="3825" w:type="dxa"/>
            <w:gridSpan w:val="2"/>
            <w:shd w:val="clear" w:color="auto" w:fill="auto"/>
          </w:tcPr>
          <w:p w14:paraId="5C4B91B0" w14:textId="77777777" w:rsidR="00BE2CA7" w:rsidRPr="00440C76" w:rsidRDefault="00BE2CA7" w:rsidP="002B0590">
            <w:pPr>
              <w:spacing w:before="40" w:after="120"/>
              <w:ind w:left="57" w:right="57"/>
              <w:rPr>
                <w:lang w:val="fr-FR"/>
              </w:rPr>
            </w:pPr>
            <w:r w:rsidRPr="00440C76">
              <w:rPr>
                <w:lang w:val="fr-FR"/>
              </w:rPr>
              <w:t>Indiquer et décrire le ou les modes utilisés lors de l</w:t>
            </w:r>
            <w:r>
              <w:rPr>
                <w:lang w:val="fr-FR"/>
              </w:rPr>
              <w:t>’</w:t>
            </w:r>
            <w:r w:rsidRPr="00440C76">
              <w:rPr>
                <w:lang w:val="fr-FR"/>
              </w:rPr>
              <w:t>homologation de type. Dans le cas d</w:t>
            </w:r>
            <w:r>
              <w:rPr>
                <w:lang w:val="fr-FR"/>
              </w:rPr>
              <w:t>’</w:t>
            </w:r>
            <w:r w:rsidRPr="00440C76">
              <w:rPr>
                <w:lang w:val="fr-FR"/>
              </w:rPr>
              <w:t>un mode prépondérant, il n</w:t>
            </w:r>
            <w:r>
              <w:rPr>
                <w:lang w:val="fr-FR"/>
              </w:rPr>
              <w:t>’</w:t>
            </w:r>
            <w:r w:rsidRPr="00440C76">
              <w:rPr>
                <w:lang w:val="fr-FR"/>
              </w:rPr>
              <w:t>y aura qu</w:t>
            </w:r>
            <w:r>
              <w:rPr>
                <w:lang w:val="fr-FR"/>
              </w:rPr>
              <w:t>’</w:t>
            </w:r>
            <w:r w:rsidRPr="00440C76">
              <w:rPr>
                <w:lang w:val="fr-FR"/>
              </w:rPr>
              <w:t>une entrée. Une autre solution consiste à décrire le mode le plus favorable et le mode le plus défavorable. Description des modes à utiliser pour les essais d</w:t>
            </w:r>
            <w:r>
              <w:rPr>
                <w:lang w:val="fr-FR"/>
              </w:rPr>
              <w:t>’</w:t>
            </w:r>
            <w:r w:rsidRPr="00440C76">
              <w:rPr>
                <w:lang w:val="fr-FR"/>
              </w:rPr>
              <w:t>homologation de type. Comme au paragraphe</w:t>
            </w:r>
            <w:r>
              <w:rPr>
                <w:lang w:val="fr-FR"/>
              </w:rPr>
              <w:t> </w:t>
            </w:r>
            <w:r w:rsidRPr="00440C76">
              <w:rPr>
                <w:lang w:val="fr-FR"/>
              </w:rPr>
              <w:t>2.6.6 de l</w:t>
            </w:r>
            <w:r>
              <w:rPr>
                <w:lang w:val="fr-FR"/>
              </w:rPr>
              <w:t>’</w:t>
            </w:r>
            <w:r w:rsidRPr="00440C76">
              <w:rPr>
                <w:lang w:val="fr-FR"/>
              </w:rPr>
              <w:t>annexe</w:t>
            </w:r>
            <w:r>
              <w:rPr>
                <w:lang w:val="fr-FR"/>
              </w:rPr>
              <w:t> </w:t>
            </w:r>
            <w:r w:rsidRPr="00440C76">
              <w:rPr>
                <w:lang w:val="fr-FR"/>
              </w:rPr>
              <w:t>B6 du Règlement ONU n</w:t>
            </w:r>
            <w:r w:rsidRPr="00440C76">
              <w:rPr>
                <w:vertAlign w:val="superscript"/>
                <w:lang w:val="fr-FR"/>
              </w:rPr>
              <w:t>o</w:t>
            </w:r>
            <w:r w:rsidRPr="00440C76">
              <w:rPr>
                <w:lang w:val="fr-FR"/>
              </w:rPr>
              <w:t> 154</w:t>
            </w:r>
          </w:p>
        </w:tc>
      </w:tr>
      <w:tr w:rsidR="00BE2CA7" w:rsidRPr="00440C76" w14:paraId="7302C78C" w14:textId="77777777" w:rsidTr="002B0590">
        <w:tc>
          <w:tcPr>
            <w:tcW w:w="1134" w:type="dxa"/>
            <w:shd w:val="clear" w:color="auto" w:fill="auto"/>
          </w:tcPr>
          <w:p w14:paraId="3BAF6D0D" w14:textId="77777777" w:rsidR="00BE2CA7" w:rsidRPr="00440C76" w:rsidRDefault="00BE2CA7" w:rsidP="002B0590">
            <w:pPr>
              <w:spacing w:before="40" w:after="120"/>
              <w:ind w:left="57" w:right="57"/>
              <w:rPr>
                <w:lang w:val="fr-FR"/>
              </w:rPr>
            </w:pPr>
            <w:r w:rsidRPr="00440C76">
              <w:rPr>
                <w:lang w:val="fr-FR"/>
              </w:rPr>
              <w:t>19</w:t>
            </w:r>
          </w:p>
        </w:tc>
        <w:tc>
          <w:tcPr>
            <w:tcW w:w="2127" w:type="dxa"/>
            <w:shd w:val="clear" w:color="auto" w:fill="auto"/>
          </w:tcPr>
          <w:p w14:paraId="53F761F7" w14:textId="77777777" w:rsidR="00BE2CA7" w:rsidRPr="00440C76" w:rsidRDefault="00BE2CA7" w:rsidP="002B0590">
            <w:pPr>
              <w:spacing w:before="40" w:after="120"/>
              <w:ind w:left="57" w:right="57"/>
              <w:rPr>
                <w:lang w:val="fr-FR"/>
              </w:rPr>
            </w:pPr>
            <w:r w:rsidRPr="00440C76">
              <w:rPr>
                <w:lang w:val="fr-FR"/>
              </w:rPr>
              <w:t>Mode(s) sélectionnable(s) par le conducteur utilisé(s) pendant les essais d</w:t>
            </w:r>
            <w:r>
              <w:rPr>
                <w:lang w:val="fr-FR"/>
              </w:rPr>
              <w:t>’</w:t>
            </w:r>
            <w:r w:rsidRPr="00440C76">
              <w:rPr>
                <w:lang w:val="fr-FR"/>
              </w:rPr>
              <w:t>homologation de type pour l</w:t>
            </w:r>
            <w:r>
              <w:rPr>
                <w:lang w:val="fr-FR"/>
              </w:rPr>
              <w:t>’</w:t>
            </w:r>
            <w:r w:rsidRPr="00440C76">
              <w:rPr>
                <w:lang w:val="fr-FR"/>
              </w:rPr>
              <w:t>essai en mode épuisement de la charge (VEH-RE)</w:t>
            </w:r>
          </w:p>
        </w:tc>
        <w:tc>
          <w:tcPr>
            <w:tcW w:w="1554" w:type="dxa"/>
            <w:shd w:val="clear" w:color="auto" w:fill="auto"/>
          </w:tcPr>
          <w:p w14:paraId="54761D31" w14:textId="77777777" w:rsidR="00BE2CA7" w:rsidRPr="00440C76" w:rsidRDefault="00BE2CA7" w:rsidP="002B0590">
            <w:pPr>
              <w:spacing w:before="40" w:after="120"/>
              <w:ind w:left="57" w:right="57"/>
              <w:rPr>
                <w:lang w:val="fr-FR"/>
              </w:rPr>
            </w:pPr>
            <w:r w:rsidRPr="00440C76">
              <w:rPr>
                <w:lang w:val="fr-FR"/>
              </w:rPr>
              <w:t xml:space="preserve">Formats possibles : </w:t>
            </w:r>
            <w:proofErr w:type="spellStart"/>
            <w:r w:rsidRPr="00440C76">
              <w:rPr>
                <w:lang w:val="fr-FR"/>
              </w:rPr>
              <w:t>pdf</w:t>
            </w:r>
            <w:proofErr w:type="spellEnd"/>
            <w:r w:rsidRPr="00440C76">
              <w:rPr>
                <w:lang w:val="fr-FR"/>
              </w:rPr>
              <w:t>, jpg</w:t>
            </w:r>
            <w:r w:rsidRPr="00440C76">
              <w:rPr>
                <w:vertAlign w:val="superscript"/>
                <w:lang w:val="fr-FR"/>
              </w:rPr>
              <w:t>13</w:t>
            </w:r>
            <w:r w:rsidRPr="00440C76">
              <w:rPr>
                <w:lang w:val="fr-FR"/>
              </w:rPr>
              <w:br/>
              <w:t>Le nom du fichier doit être un UUID</w:t>
            </w:r>
            <w:r w:rsidRPr="00440C76">
              <w:rPr>
                <w:vertAlign w:val="superscript"/>
                <w:lang w:val="fr-FR"/>
              </w:rPr>
              <w:t>14</w:t>
            </w:r>
            <w:r w:rsidRPr="00440C76">
              <w:rPr>
                <w:lang w:val="fr-FR"/>
              </w:rPr>
              <w:t xml:space="preserve"> unique à l</w:t>
            </w:r>
            <w:r>
              <w:rPr>
                <w:lang w:val="fr-FR"/>
              </w:rPr>
              <w:t>’</w:t>
            </w:r>
            <w:r w:rsidRPr="00440C76">
              <w:rPr>
                <w:lang w:val="fr-FR"/>
              </w:rPr>
              <w:t>intérieur du dossier</w:t>
            </w:r>
          </w:p>
        </w:tc>
        <w:tc>
          <w:tcPr>
            <w:tcW w:w="997" w:type="dxa"/>
            <w:shd w:val="clear" w:color="auto" w:fill="auto"/>
          </w:tcPr>
          <w:p w14:paraId="524AC02F" w14:textId="77777777" w:rsidR="00BE2CA7" w:rsidRPr="00440C76" w:rsidRDefault="00BE2CA7" w:rsidP="002B0590">
            <w:pPr>
              <w:spacing w:before="40" w:after="120"/>
              <w:ind w:left="57" w:right="57"/>
              <w:rPr>
                <w:lang w:val="fr-FR"/>
              </w:rPr>
            </w:pPr>
            <w:r w:rsidRPr="00440C76">
              <w:rPr>
                <w:lang w:val="fr-FR"/>
              </w:rPr>
              <w:t>-</w:t>
            </w:r>
            <w:r>
              <w:rPr>
                <w:lang w:val="fr-FR"/>
              </w:rPr>
              <w:t>-</w:t>
            </w:r>
          </w:p>
        </w:tc>
        <w:tc>
          <w:tcPr>
            <w:tcW w:w="3825" w:type="dxa"/>
            <w:gridSpan w:val="2"/>
            <w:shd w:val="clear" w:color="auto" w:fill="auto"/>
          </w:tcPr>
          <w:p w14:paraId="18BBADAF" w14:textId="77777777" w:rsidR="00BE2CA7" w:rsidRPr="00440C76" w:rsidRDefault="00BE2CA7" w:rsidP="002B0590">
            <w:pPr>
              <w:spacing w:before="40" w:after="120"/>
              <w:ind w:left="57" w:right="57"/>
              <w:rPr>
                <w:lang w:val="fr-FR"/>
              </w:rPr>
            </w:pPr>
            <w:r w:rsidRPr="00440C76">
              <w:rPr>
                <w:lang w:val="fr-FR"/>
              </w:rPr>
              <w:t>Indiquer et décrire le ou les modes utilisés lors de l</w:t>
            </w:r>
            <w:r>
              <w:rPr>
                <w:lang w:val="fr-FR"/>
              </w:rPr>
              <w:t>’</w:t>
            </w:r>
            <w:r w:rsidRPr="00440C76">
              <w:rPr>
                <w:lang w:val="fr-FR"/>
              </w:rPr>
              <w:t>homologation de type. Dans le cas d</w:t>
            </w:r>
            <w:r>
              <w:rPr>
                <w:lang w:val="fr-FR"/>
              </w:rPr>
              <w:t>’</w:t>
            </w:r>
            <w:r w:rsidRPr="00440C76">
              <w:rPr>
                <w:lang w:val="fr-FR"/>
              </w:rPr>
              <w:t>un mode prépondérant, il n</w:t>
            </w:r>
            <w:r>
              <w:rPr>
                <w:lang w:val="fr-FR"/>
              </w:rPr>
              <w:t>’</w:t>
            </w:r>
            <w:r w:rsidRPr="00440C76">
              <w:rPr>
                <w:lang w:val="fr-FR"/>
              </w:rPr>
              <w:t>y aura qu</w:t>
            </w:r>
            <w:r>
              <w:rPr>
                <w:lang w:val="fr-FR"/>
              </w:rPr>
              <w:t>’</w:t>
            </w:r>
            <w:r w:rsidRPr="00440C76">
              <w:rPr>
                <w:lang w:val="fr-FR"/>
              </w:rPr>
              <w:t>une entrée. Une autre solution consiste à décrire le mode le plus favorable et le mode le plus défavorable. Description des modes à utiliser pour les essais d</w:t>
            </w:r>
            <w:r>
              <w:rPr>
                <w:lang w:val="fr-FR"/>
              </w:rPr>
              <w:t>’</w:t>
            </w:r>
            <w:r w:rsidRPr="00440C76">
              <w:rPr>
                <w:lang w:val="fr-FR"/>
              </w:rPr>
              <w:t>homologation de type, comme au paragraphe</w:t>
            </w:r>
            <w:r>
              <w:rPr>
                <w:lang w:val="fr-FR"/>
              </w:rPr>
              <w:t> </w:t>
            </w:r>
            <w:r w:rsidRPr="00440C76">
              <w:rPr>
                <w:lang w:val="fr-FR"/>
              </w:rPr>
              <w:t>3.2.3 de l</w:t>
            </w:r>
            <w:r>
              <w:rPr>
                <w:lang w:val="fr-FR"/>
              </w:rPr>
              <w:t>’</w:t>
            </w:r>
            <w:r w:rsidRPr="00440C76">
              <w:rPr>
                <w:lang w:val="fr-FR"/>
              </w:rPr>
              <w:t>annexe</w:t>
            </w:r>
            <w:r>
              <w:rPr>
                <w:lang w:val="fr-FR"/>
              </w:rPr>
              <w:t> </w:t>
            </w:r>
            <w:r w:rsidRPr="00440C76">
              <w:rPr>
                <w:lang w:val="fr-FR"/>
              </w:rPr>
              <w:t>B8 du Règlement ONU n</w:t>
            </w:r>
            <w:r w:rsidRPr="00440C76">
              <w:rPr>
                <w:vertAlign w:val="superscript"/>
                <w:lang w:val="fr-FR"/>
              </w:rPr>
              <w:t>o</w:t>
            </w:r>
            <w:r w:rsidRPr="00440C76">
              <w:rPr>
                <w:lang w:val="fr-FR"/>
              </w:rPr>
              <w:t> 154</w:t>
            </w:r>
            <w:r>
              <w:rPr>
                <w:lang w:val="fr-FR"/>
              </w:rPr>
              <w:t>.</w:t>
            </w:r>
          </w:p>
        </w:tc>
      </w:tr>
      <w:tr w:rsidR="00BE2CA7" w:rsidRPr="00440C76" w14:paraId="13A4A158" w14:textId="77777777" w:rsidTr="002B0590">
        <w:tc>
          <w:tcPr>
            <w:tcW w:w="1134" w:type="dxa"/>
            <w:shd w:val="clear" w:color="auto" w:fill="auto"/>
          </w:tcPr>
          <w:p w14:paraId="4CAE2FCF" w14:textId="77777777" w:rsidR="00BE2CA7" w:rsidRPr="00440C76" w:rsidRDefault="00BE2CA7" w:rsidP="002B0590">
            <w:pPr>
              <w:spacing w:before="40" w:after="120"/>
              <w:ind w:left="57" w:right="57"/>
              <w:rPr>
                <w:lang w:val="fr-FR"/>
              </w:rPr>
            </w:pPr>
            <w:r w:rsidRPr="00440C76">
              <w:rPr>
                <w:lang w:val="fr-FR"/>
              </w:rPr>
              <w:t>20</w:t>
            </w:r>
          </w:p>
        </w:tc>
        <w:tc>
          <w:tcPr>
            <w:tcW w:w="2127" w:type="dxa"/>
            <w:shd w:val="clear" w:color="auto" w:fill="auto"/>
          </w:tcPr>
          <w:p w14:paraId="516CEC0B" w14:textId="77777777" w:rsidR="00BE2CA7" w:rsidRPr="00440C76" w:rsidRDefault="00BE2CA7" w:rsidP="002B0590">
            <w:pPr>
              <w:spacing w:before="40" w:after="120"/>
              <w:ind w:left="57" w:right="57"/>
              <w:rPr>
                <w:lang w:val="fr-FR"/>
              </w:rPr>
            </w:pPr>
            <w:r w:rsidRPr="00440C76">
              <w:rPr>
                <w:lang w:val="fr-FR"/>
              </w:rPr>
              <w:t>Régime de ralenti du moteur pour les véhicules équipés d</w:t>
            </w:r>
            <w:r>
              <w:rPr>
                <w:lang w:val="fr-FR"/>
              </w:rPr>
              <w:t>’</w:t>
            </w:r>
            <w:r w:rsidRPr="00440C76">
              <w:rPr>
                <w:lang w:val="fr-FR"/>
              </w:rPr>
              <w:t>une boîte de vitesses manuelle : carburant</w:t>
            </w:r>
            <w:r>
              <w:rPr>
                <w:lang w:val="fr-FR"/>
              </w:rPr>
              <w:t> </w:t>
            </w:r>
            <w:r w:rsidRPr="00440C76">
              <w:rPr>
                <w:lang w:val="fr-FR"/>
              </w:rPr>
              <w:t>1, carburant</w:t>
            </w:r>
            <w:r>
              <w:rPr>
                <w:lang w:val="fr-FR"/>
              </w:rPr>
              <w:t> </w:t>
            </w:r>
            <w:r w:rsidRPr="00440C76">
              <w:rPr>
                <w:lang w:val="fr-FR"/>
              </w:rPr>
              <w:t xml:space="preserve">2 </w:t>
            </w:r>
            <w:r w:rsidRPr="00440C76">
              <w:rPr>
                <w:lang w:val="fr-FR"/>
              </w:rPr>
              <w:br/>
              <w:t>(le cas échéant)</w:t>
            </w:r>
          </w:p>
        </w:tc>
        <w:tc>
          <w:tcPr>
            <w:tcW w:w="1554" w:type="dxa"/>
            <w:shd w:val="clear" w:color="auto" w:fill="auto"/>
          </w:tcPr>
          <w:p w14:paraId="5AA845A6" w14:textId="77777777" w:rsidR="00BE2CA7" w:rsidRPr="00440C76" w:rsidRDefault="00BE2CA7" w:rsidP="002B0590">
            <w:pPr>
              <w:spacing w:before="40" w:after="120"/>
              <w:ind w:left="57" w:right="57"/>
              <w:rPr>
                <w:lang w:val="fr-FR"/>
              </w:rPr>
            </w:pPr>
            <w:r w:rsidRPr="00440C76">
              <w:rPr>
                <w:lang w:val="fr-FR"/>
              </w:rPr>
              <w:t>Nombre</w:t>
            </w:r>
          </w:p>
        </w:tc>
        <w:tc>
          <w:tcPr>
            <w:tcW w:w="997" w:type="dxa"/>
            <w:shd w:val="clear" w:color="auto" w:fill="auto"/>
          </w:tcPr>
          <w:p w14:paraId="0484E17A" w14:textId="77777777" w:rsidR="00BE2CA7" w:rsidRPr="00440C76" w:rsidRDefault="00BE2CA7" w:rsidP="002B0590">
            <w:pPr>
              <w:spacing w:before="40" w:after="120"/>
              <w:ind w:left="57" w:right="57"/>
              <w:rPr>
                <w:lang w:val="fr-FR"/>
              </w:rPr>
            </w:pPr>
            <w:r w:rsidRPr="00440C76">
              <w:rPr>
                <w:lang w:val="fr-FR"/>
              </w:rPr>
              <w:t>tr/min</w:t>
            </w:r>
          </w:p>
        </w:tc>
        <w:tc>
          <w:tcPr>
            <w:tcW w:w="3825" w:type="dxa"/>
            <w:gridSpan w:val="2"/>
            <w:shd w:val="clear" w:color="auto" w:fill="auto"/>
          </w:tcPr>
          <w:p w14:paraId="78CAB592" w14:textId="77777777" w:rsidR="00BE2CA7" w:rsidRPr="00440C76" w:rsidRDefault="00BE2CA7" w:rsidP="002B0590">
            <w:pPr>
              <w:spacing w:before="40" w:after="120"/>
              <w:ind w:left="57" w:right="57"/>
              <w:rPr>
                <w:lang w:val="fr-FR"/>
              </w:rPr>
            </w:pPr>
            <w:r w:rsidRPr="00440C76">
              <w:rPr>
                <w:lang w:val="fr-FR"/>
              </w:rPr>
              <w:t>Par</w:t>
            </w:r>
            <w:r>
              <w:rPr>
                <w:lang w:val="fr-FR"/>
              </w:rPr>
              <w:t>. </w:t>
            </w:r>
            <w:r w:rsidRPr="00440C76">
              <w:rPr>
                <w:lang w:val="fr-FR"/>
              </w:rPr>
              <w:t>3.2.1.6 de l</w:t>
            </w:r>
            <w:r>
              <w:rPr>
                <w:lang w:val="fr-FR"/>
              </w:rPr>
              <w:t>’</w:t>
            </w:r>
            <w:r w:rsidRPr="00440C76">
              <w:rPr>
                <w:lang w:val="fr-FR"/>
              </w:rPr>
              <w:t>annexe</w:t>
            </w:r>
            <w:r>
              <w:rPr>
                <w:lang w:val="fr-FR"/>
              </w:rPr>
              <w:t> </w:t>
            </w:r>
            <w:r w:rsidRPr="00440C76">
              <w:rPr>
                <w:lang w:val="fr-FR"/>
              </w:rPr>
              <w:t>A1 du Règlement ONU n</w:t>
            </w:r>
            <w:r w:rsidRPr="00440C76">
              <w:rPr>
                <w:vertAlign w:val="superscript"/>
                <w:lang w:val="fr-FR"/>
              </w:rPr>
              <w:t>o</w:t>
            </w:r>
            <w:r w:rsidRPr="00440C76">
              <w:rPr>
                <w:lang w:val="fr-FR"/>
              </w:rPr>
              <w:t> 154</w:t>
            </w:r>
          </w:p>
        </w:tc>
      </w:tr>
      <w:tr w:rsidR="00BE2CA7" w:rsidRPr="00440C76" w14:paraId="105C815B" w14:textId="77777777" w:rsidTr="002B0590">
        <w:tc>
          <w:tcPr>
            <w:tcW w:w="1134" w:type="dxa"/>
            <w:shd w:val="clear" w:color="auto" w:fill="auto"/>
          </w:tcPr>
          <w:p w14:paraId="2DCE77D3" w14:textId="77777777" w:rsidR="00BE2CA7" w:rsidRPr="00440C76" w:rsidRDefault="00BE2CA7" w:rsidP="002B0590">
            <w:pPr>
              <w:spacing w:before="40" w:after="120"/>
              <w:ind w:left="57" w:right="57"/>
              <w:rPr>
                <w:lang w:val="fr-FR"/>
              </w:rPr>
            </w:pPr>
            <w:r w:rsidRPr="00440C76">
              <w:rPr>
                <w:lang w:val="fr-FR"/>
              </w:rPr>
              <w:t>21</w:t>
            </w:r>
          </w:p>
        </w:tc>
        <w:tc>
          <w:tcPr>
            <w:tcW w:w="2127" w:type="dxa"/>
            <w:shd w:val="clear" w:color="auto" w:fill="auto"/>
          </w:tcPr>
          <w:p w14:paraId="64D79EBC" w14:textId="77777777" w:rsidR="00BE2CA7" w:rsidRPr="00440C76" w:rsidRDefault="00BE2CA7" w:rsidP="002B0590">
            <w:pPr>
              <w:spacing w:before="40" w:after="120"/>
              <w:ind w:left="57" w:right="57"/>
              <w:rPr>
                <w:lang w:val="fr-FR"/>
              </w:rPr>
            </w:pPr>
            <w:r w:rsidRPr="00440C76">
              <w:rPr>
                <w:lang w:val="fr-FR"/>
              </w:rPr>
              <w:t>Nombre de rapports pour les véhicules équipés d</w:t>
            </w:r>
            <w:r>
              <w:rPr>
                <w:lang w:val="fr-FR"/>
              </w:rPr>
              <w:t>’</w:t>
            </w:r>
            <w:r w:rsidRPr="00440C76">
              <w:rPr>
                <w:lang w:val="fr-FR"/>
              </w:rPr>
              <w:t>une boîte de vitesses manuelle</w:t>
            </w:r>
          </w:p>
        </w:tc>
        <w:tc>
          <w:tcPr>
            <w:tcW w:w="1554" w:type="dxa"/>
            <w:shd w:val="clear" w:color="auto" w:fill="auto"/>
          </w:tcPr>
          <w:p w14:paraId="3EF17E45" w14:textId="77777777" w:rsidR="00BE2CA7" w:rsidRPr="00440C76" w:rsidRDefault="00BE2CA7" w:rsidP="002B0590">
            <w:pPr>
              <w:spacing w:before="40" w:after="120"/>
              <w:ind w:left="57" w:right="57"/>
              <w:rPr>
                <w:lang w:val="fr-FR"/>
              </w:rPr>
            </w:pPr>
            <w:r w:rsidRPr="00440C76">
              <w:rPr>
                <w:lang w:val="fr-FR"/>
              </w:rPr>
              <w:t>Nombre</w:t>
            </w:r>
          </w:p>
        </w:tc>
        <w:tc>
          <w:tcPr>
            <w:tcW w:w="997" w:type="dxa"/>
            <w:shd w:val="clear" w:color="auto" w:fill="auto"/>
          </w:tcPr>
          <w:p w14:paraId="5185ED17" w14:textId="77777777" w:rsidR="00BE2CA7" w:rsidRPr="00440C76" w:rsidRDefault="00BE2CA7" w:rsidP="002B0590">
            <w:pPr>
              <w:spacing w:before="40" w:after="120"/>
              <w:ind w:left="57" w:right="57"/>
              <w:rPr>
                <w:lang w:val="fr-FR"/>
              </w:rPr>
            </w:pPr>
            <w:r>
              <w:rPr>
                <w:lang w:val="fr-FR"/>
              </w:rPr>
              <w:t>-</w:t>
            </w:r>
            <w:r w:rsidRPr="00440C76">
              <w:rPr>
                <w:lang w:val="fr-FR"/>
              </w:rPr>
              <w:t>-</w:t>
            </w:r>
          </w:p>
        </w:tc>
        <w:tc>
          <w:tcPr>
            <w:tcW w:w="3825" w:type="dxa"/>
            <w:gridSpan w:val="2"/>
            <w:shd w:val="clear" w:color="auto" w:fill="auto"/>
          </w:tcPr>
          <w:p w14:paraId="19E564E6" w14:textId="77777777" w:rsidR="00BE2CA7" w:rsidRPr="00440C76" w:rsidRDefault="00BE2CA7" w:rsidP="002B0590">
            <w:pPr>
              <w:spacing w:before="40" w:after="120"/>
              <w:ind w:left="57" w:right="57"/>
              <w:rPr>
                <w:lang w:val="fr-FR"/>
              </w:rPr>
            </w:pPr>
            <w:r w:rsidRPr="00440C76">
              <w:rPr>
                <w:lang w:val="fr-FR"/>
              </w:rPr>
              <w:t>Par</w:t>
            </w:r>
            <w:r>
              <w:rPr>
                <w:lang w:val="fr-FR"/>
              </w:rPr>
              <w:t>. </w:t>
            </w:r>
            <w:r w:rsidRPr="00440C76">
              <w:rPr>
                <w:lang w:val="fr-FR"/>
              </w:rPr>
              <w:t>1.13.2 de l</w:t>
            </w:r>
            <w:r>
              <w:rPr>
                <w:lang w:val="fr-FR"/>
              </w:rPr>
              <w:t>’</w:t>
            </w:r>
            <w:r w:rsidRPr="00440C76">
              <w:rPr>
                <w:lang w:val="fr-FR"/>
              </w:rPr>
              <w:t>additif à l</w:t>
            </w:r>
            <w:r>
              <w:rPr>
                <w:lang w:val="fr-FR"/>
              </w:rPr>
              <w:t>’</w:t>
            </w:r>
            <w:r w:rsidRPr="00440C76">
              <w:rPr>
                <w:lang w:val="fr-FR"/>
              </w:rPr>
              <w:t>annexe</w:t>
            </w:r>
            <w:r>
              <w:rPr>
                <w:lang w:val="fr-FR"/>
              </w:rPr>
              <w:t> </w:t>
            </w:r>
            <w:r w:rsidRPr="00440C76">
              <w:rPr>
                <w:lang w:val="fr-FR"/>
              </w:rPr>
              <w:t>A2 du Règlement ONU n</w:t>
            </w:r>
            <w:r w:rsidRPr="00440C76">
              <w:rPr>
                <w:vertAlign w:val="superscript"/>
                <w:lang w:val="fr-FR"/>
              </w:rPr>
              <w:t>o</w:t>
            </w:r>
            <w:r w:rsidRPr="00440C76">
              <w:rPr>
                <w:lang w:val="fr-FR"/>
              </w:rPr>
              <w:t> 154</w:t>
            </w:r>
          </w:p>
        </w:tc>
      </w:tr>
      <w:tr w:rsidR="00BE2CA7" w:rsidRPr="00440C76" w14:paraId="32BD34D1" w14:textId="77777777" w:rsidTr="002B0590">
        <w:tc>
          <w:tcPr>
            <w:tcW w:w="1134" w:type="dxa"/>
            <w:shd w:val="clear" w:color="auto" w:fill="auto"/>
          </w:tcPr>
          <w:p w14:paraId="47DB4392" w14:textId="77777777" w:rsidR="00BE2CA7" w:rsidRPr="00440C76" w:rsidRDefault="00BE2CA7" w:rsidP="002B0590">
            <w:pPr>
              <w:keepNext/>
              <w:spacing w:before="40" w:after="120"/>
              <w:ind w:left="57" w:right="57"/>
              <w:rPr>
                <w:lang w:val="fr-FR"/>
              </w:rPr>
            </w:pPr>
            <w:r w:rsidRPr="00440C76">
              <w:rPr>
                <w:lang w:val="fr-FR"/>
              </w:rPr>
              <w:t>23</w:t>
            </w:r>
          </w:p>
        </w:tc>
        <w:tc>
          <w:tcPr>
            <w:tcW w:w="2127" w:type="dxa"/>
            <w:shd w:val="clear" w:color="auto" w:fill="auto"/>
          </w:tcPr>
          <w:p w14:paraId="41BC04C4" w14:textId="77777777" w:rsidR="00BE2CA7" w:rsidRPr="00440C76" w:rsidRDefault="00BE2CA7" w:rsidP="002B0590">
            <w:pPr>
              <w:keepNext/>
              <w:spacing w:before="40" w:after="120"/>
              <w:ind w:left="57" w:right="57"/>
              <w:rPr>
                <w:lang w:val="fr-FR"/>
              </w:rPr>
            </w:pPr>
            <w:r w:rsidRPr="00440C76">
              <w:rPr>
                <w:lang w:val="fr-FR"/>
              </w:rPr>
              <w:t>Dimensions des pneumatiques du véhicule d</w:t>
            </w:r>
            <w:r>
              <w:rPr>
                <w:lang w:val="fr-FR"/>
              </w:rPr>
              <w:t>’</w:t>
            </w:r>
            <w:r w:rsidRPr="00440C76">
              <w:rPr>
                <w:lang w:val="fr-FR"/>
              </w:rPr>
              <w:t>essai, avant/arrière/milieu, pour les véhicules équipés d</w:t>
            </w:r>
            <w:r>
              <w:rPr>
                <w:lang w:val="fr-FR"/>
              </w:rPr>
              <w:t>’</w:t>
            </w:r>
            <w:r w:rsidRPr="00440C76">
              <w:rPr>
                <w:lang w:val="fr-FR"/>
              </w:rPr>
              <w:t>une boîte de vitesses manuelle</w:t>
            </w:r>
          </w:p>
        </w:tc>
        <w:tc>
          <w:tcPr>
            <w:tcW w:w="1554" w:type="dxa"/>
            <w:shd w:val="clear" w:color="auto" w:fill="auto"/>
          </w:tcPr>
          <w:p w14:paraId="650FAD0A" w14:textId="77777777" w:rsidR="00BE2CA7" w:rsidRPr="00440C76" w:rsidRDefault="00BE2CA7" w:rsidP="002B0590">
            <w:pPr>
              <w:keepNext/>
              <w:spacing w:before="40" w:after="120"/>
              <w:ind w:left="57" w:right="57"/>
              <w:rPr>
                <w:lang w:val="fr-FR"/>
              </w:rPr>
            </w:pPr>
            <w:r w:rsidRPr="00440C76">
              <w:rPr>
                <w:lang w:val="fr-FR"/>
              </w:rPr>
              <w:t>Texte</w:t>
            </w:r>
          </w:p>
        </w:tc>
        <w:tc>
          <w:tcPr>
            <w:tcW w:w="997" w:type="dxa"/>
            <w:shd w:val="clear" w:color="auto" w:fill="auto"/>
          </w:tcPr>
          <w:p w14:paraId="256E50AB" w14:textId="77777777" w:rsidR="00BE2CA7" w:rsidRPr="00440C76" w:rsidRDefault="00BE2CA7" w:rsidP="002B0590">
            <w:pPr>
              <w:keepNext/>
              <w:spacing w:before="40" w:after="120"/>
              <w:ind w:left="57" w:right="57"/>
              <w:rPr>
                <w:lang w:val="fr-FR"/>
              </w:rPr>
            </w:pPr>
            <w:r>
              <w:rPr>
                <w:lang w:val="fr-FR"/>
              </w:rPr>
              <w:t>-</w:t>
            </w:r>
            <w:r w:rsidRPr="00440C76">
              <w:rPr>
                <w:lang w:val="fr-FR"/>
              </w:rPr>
              <w:t>-</w:t>
            </w:r>
          </w:p>
        </w:tc>
        <w:tc>
          <w:tcPr>
            <w:tcW w:w="3825" w:type="dxa"/>
            <w:gridSpan w:val="2"/>
            <w:shd w:val="clear" w:color="auto" w:fill="auto"/>
          </w:tcPr>
          <w:p w14:paraId="14198983" w14:textId="77777777" w:rsidR="00BE2CA7" w:rsidRPr="00440C76" w:rsidRDefault="00BE2CA7" w:rsidP="002B0590">
            <w:pPr>
              <w:keepNext/>
              <w:spacing w:before="40" w:after="120"/>
              <w:ind w:left="57" w:right="57"/>
              <w:rPr>
                <w:lang w:val="fr-FR"/>
              </w:rPr>
            </w:pPr>
            <w:r w:rsidRPr="00440C76">
              <w:rPr>
                <w:lang w:val="fr-FR"/>
              </w:rPr>
              <w:t>Par</w:t>
            </w:r>
            <w:r>
              <w:rPr>
                <w:lang w:val="fr-FR"/>
              </w:rPr>
              <w:t>. </w:t>
            </w:r>
            <w:r w:rsidRPr="00440C76">
              <w:rPr>
                <w:lang w:val="fr-FR"/>
              </w:rPr>
              <w:t>1.1.8 de l</w:t>
            </w:r>
            <w:r>
              <w:rPr>
                <w:lang w:val="fr-FR"/>
              </w:rPr>
              <w:t>’</w:t>
            </w:r>
            <w:r w:rsidRPr="00440C76">
              <w:rPr>
                <w:lang w:val="fr-FR"/>
              </w:rPr>
              <w:t>appendice</w:t>
            </w:r>
            <w:r>
              <w:rPr>
                <w:lang w:val="fr-FR"/>
              </w:rPr>
              <w:t> </w:t>
            </w:r>
            <w:r w:rsidRPr="00440C76">
              <w:rPr>
                <w:lang w:val="fr-FR"/>
              </w:rPr>
              <w:t>1 de l</w:t>
            </w:r>
            <w:r>
              <w:rPr>
                <w:lang w:val="fr-FR"/>
              </w:rPr>
              <w:t>’</w:t>
            </w:r>
            <w:r w:rsidRPr="00440C76">
              <w:rPr>
                <w:lang w:val="fr-FR"/>
              </w:rPr>
              <w:t>annexe</w:t>
            </w:r>
            <w:r>
              <w:rPr>
                <w:lang w:val="fr-FR"/>
              </w:rPr>
              <w:t> </w:t>
            </w:r>
            <w:r w:rsidRPr="00440C76">
              <w:rPr>
                <w:lang w:val="fr-FR"/>
              </w:rPr>
              <w:t>A1 du Règlement ONU n</w:t>
            </w:r>
            <w:r w:rsidRPr="00440C76">
              <w:rPr>
                <w:vertAlign w:val="superscript"/>
                <w:lang w:val="fr-FR"/>
              </w:rPr>
              <w:t>o</w:t>
            </w:r>
            <w:r w:rsidRPr="00440C76">
              <w:rPr>
                <w:lang w:val="fr-FR"/>
              </w:rPr>
              <w:t> 154</w:t>
            </w:r>
            <w:r w:rsidRPr="00440C76">
              <w:rPr>
                <w:lang w:val="fr-FR"/>
              </w:rPr>
              <w:br/>
              <w:t>Utiliser 1 pour les dimensions des pneumatiques des roues avant, 2 pour les dimensions des pneumatiques des roues arrière, 3 pour les dimensions des pneumatiques des roues du milieu (le cas échéant)</w:t>
            </w:r>
            <w:r>
              <w:rPr>
                <w:lang w:val="fr-FR"/>
              </w:rPr>
              <w:t>.</w:t>
            </w:r>
          </w:p>
        </w:tc>
      </w:tr>
      <w:tr w:rsidR="00BE2CA7" w:rsidRPr="00440C76" w14:paraId="003D5B0D" w14:textId="77777777" w:rsidTr="002B0590">
        <w:tc>
          <w:tcPr>
            <w:tcW w:w="1134" w:type="dxa"/>
            <w:shd w:val="clear" w:color="auto" w:fill="auto"/>
          </w:tcPr>
          <w:p w14:paraId="1FA001AE" w14:textId="77777777" w:rsidR="00BE2CA7" w:rsidRPr="00440C76" w:rsidRDefault="00BE2CA7" w:rsidP="002B0590">
            <w:pPr>
              <w:spacing w:before="40" w:after="120"/>
              <w:ind w:left="57" w:right="57"/>
              <w:rPr>
                <w:lang w:val="fr-FR"/>
              </w:rPr>
            </w:pPr>
            <w:r w:rsidRPr="00440C76">
              <w:rPr>
                <w:lang w:val="fr-FR"/>
              </w:rPr>
              <w:t>24</w:t>
            </w:r>
            <w:r w:rsidRPr="00440C76">
              <w:rPr>
                <w:lang w:val="fr-FR"/>
              </w:rPr>
              <w:br/>
              <w:t>+</w:t>
            </w:r>
            <w:r w:rsidRPr="00440C76">
              <w:rPr>
                <w:lang w:val="fr-FR"/>
              </w:rPr>
              <w:br/>
              <w:t>25</w:t>
            </w:r>
          </w:p>
        </w:tc>
        <w:tc>
          <w:tcPr>
            <w:tcW w:w="2127" w:type="dxa"/>
            <w:shd w:val="clear" w:color="auto" w:fill="auto"/>
          </w:tcPr>
          <w:p w14:paraId="586D3C30" w14:textId="77777777" w:rsidR="00BE2CA7" w:rsidRPr="00440C76" w:rsidRDefault="00BE2CA7" w:rsidP="002B0590">
            <w:pPr>
              <w:spacing w:before="40" w:after="120"/>
              <w:ind w:left="57" w:right="57"/>
              <w:rPr>
                <w:lang w:val="fr-FR"/>
              </w:rPr>
            </w:pPr>
            <w:r w:rsidRPr="00440C76">
              <w:rPr>
                <w:lang w:val="fr-FR"/>
              </w:rPr>
              <w:t>Courbe de puissance à pleine charge avec marge de sécurité supplémentaire pour les véhicules avec boîte de vitesses manuelle : carburant</w:t>
            </w:r>
            <w:r>
              <w:rPr>
                <w:lang w:val="fr-FR"/>
              </w:rPr>
              <w:t> </w:t>
            </w:r>
            <w:r w:rsidRPr="00440C76">
              <w:rPr>
                <w:lang w:val="fr-FR"/>
              </w:rPr>
              <w:t>1, carburant</w:t>
            </w:r>
            <w:r>
              <w:rPr>
                <w:lang w:val="fr-FR"/>
              </w:rPr>
              <w:t> </w:t>
            </w:r>
            <w:r w:rsidRPr="00440C76">
              <w:rPr>
                <w:lang w:val="fr-FR"/>
              </w:rPr>
              <w:t>2 (le cas échéant)</w:t>
            </w:r>
          </w:p>
        </w:tc>
        <w:tc>
          <w:tcPr>
            <w:tcW w:w="1554" w:type="dxa"/>
            <w:shd w:val="clear" w:color="auto" w:fill="auto"/>
          </w:tcPr>
          <w:p w14:paraId="71AADE51" w14:textId="77777777" w:rsidR="00BE2CA7" w:rsidRPr="00440C76" w:rsidRDefault="00BE2CA7" w:rsidP="002B0590">
            <w:pPr>
              <w:spacing w:before="40" w:after="120"/>
              <w:ind w:left="57" w:right="57"/>
              <w:rPr>
                <w:lang w:val="fr-FR"/>
              </w:rPr>
            </w:pPr>
            <w:r w:rsidRPr="00440C76">
              <w:rPr>
                <w:lang w:val="fr-FR"/>
              </w:rPr>
              <w:t>Valeurs du tableau</w:t>
            </w:r>
          </w:p>
        </w:tc>
        <w:tc>
          <w:tcPr>
            <w:tcW w:w="997" w:type="dxa"/>
            <w:shd w:val="clear" w:color="auto" w:fill="auto"/>
          </w:tcPr>
          <w:p w14:paraId="431FC44F" w14:textId="77777777" w:rsidR="00BE2CA7" w:rsidRPr="00440C76" w:rsidRDefault="00BE2CA7" w:rsidP="002B0590">
            <w:pPr>
              <w:spacing w:before="40" w:after="120"/>
              <w:ind w:left="57" w:right="57"/>
              <w:rPr>
                <w:lang w:val="fr-FR"/>
              </w:rPr>
            </w:pPr>
            <w:r w:rsidRPr="00440C76">
              <w:rPr>
                <w:lang w:val="fr-FR"/>
              </w:rPr>
              <w:t>tr/min ou kW ou %</w:t>
            </w:r>
          </w:p>
        </w:tc>
        <w:tc>
          <w:tcPr>
            <w:tcW w:w="3825" w:type="dxa"/>
            <w:gridSpan w:val="2"/>
            <w:shd w:val="clear" w:color="auto" w:fill="auto"/>
          </w:tcPr>
          <w:p w14:paraId="34BAE058" w14:textId="77777777" w:rsidR="00BE2CA7" w:rsidRPr="00440C76" w:rsidRDefault="00BE2CA7" w:rsidP="002B0590">
            <w:pPr>
              <w:spacing w:before="40" w:after="120"/>
              <w:ind w:left="57" w:right="57"/>
              <w:rPr>
                <w:lang w:val="fr-FR"/>
              </w:rPr>
            </w:pPr>
            <w:r w:rsidRPr="00440C76">
              <w:rPr>
                <w:lang w:val="fr-FR"/>
              </w:rPr>
              <w:t xml:space="preserve">La courbe de puissance à pleine charge sur la plage de régime moteur allant de </w:t>
            </w:r>
            <w:proofErr w:type="spellStart"/>
            <w:r w:rsidRPr="00440C76">
              <w:rPr>
                <w:lang w:val="fr-FR"/>
              </w:rPr>
              <w:t>n</w:t>
            </w:r>
            <w:r w:rsidRPr="00440C76">
              <w:rPr>
                <w:vertAlign w:val="subscript"/>
                <w:lang w:val="fr-FR"/>
              </w:rPr>
              <w:t>idle</w:t>
            </w:r>
            <w:proofErr w:type="spellEnd"/>
            <w:r w:rsidRPr="00440C76">
              <w:rPr>
                <w:lang w:val="fr-FR"/>
              </w:rPr>
              <w:t xml:space="preserve"> à </w:t>
            </w:r>
            <w:proofErr w:type="spellStart"/>
            <w:r w:rsidRPr="00440C76">
              <w:rPr>
                <w:lang w:val="fr-FR"/>
              </w:rPr>
              <w:t>n</w:t>
            </w:r>
            <w:r w:rsidRPr="00440C76">
              <w:rPr>
                <w:vertAlign w:val="subscript"/>
                <w:lang w:val="fr-FR"/>
              </w:rPr>
              <w:t>rated</w:t>
            </w:r>
            <w:proofErr w:type="spellEnd"/>
            <w:r w:rsidRPr="00440C76">
              <w:rPr>
                <w:lang w:val="fr-FR"/>
              </w:rPr>
              <w:t xml:space="preserve"> ou </w:t>
            </w:r>
            <w:proofErr w:type="spellStart"/>
            <w:r w:rsidRPr="00440C76">
              <w:rPr>
                <w:lang w:val="fr-FR"/>
              </w:rPr>
              <w:t>n</w:t>
            </w:r>
            <w:r w:rsidRPr="00440C76">
              <w:rPr>
                <w:vertAlign w:val="subscript"/>
                <w:lang w:val="fr-FR"/>
              </w:rPr>
              <w:t>max</w:t>
            </w:r>
            <w:proofErr w:type="spellEnd"/>
            <w:r w:rsidRPr="00440C76">
              <w:rPr>
                <w:lang w:val="fr-FR"/>
              </w:rPr>
              <w:t xml:space="preserve">, ou </w:t>
            </w:r>
            <w:proofErr w:type="spellStart"/>
            <w:r w:rsidRPr="00440C76">
              <w:rPr>
                <w:lang w:val="fr-FR"/>
              </w:rPr>
              <w:t>ndv</w:t>
            </w:r>
            <w:proofErr w:type="spellEnd"/>
            <w:r w:rsidRPr="00440C76">
              <w:rPr>
                <w:lang w:val="fr-FR"/>
              </w:rPr>
              <w:t>(</w:t>
            </w:r>
            <w:proofErr w:type="spellStart"/>
            <w:r w:rsidRPr="00440C76">
              <w:rPr>
                <w:lang w:val="fr-FR"/>
              </w:rPr>
              <w:t>ngv</w:t>
            </w:r>
            <w:r w:rsidRPr="00440C76">
              <w:rPr>
                <w:vertAlign w:val="subscript"/>
                <w:lang w:val="fr-FR"/>
              </w:rPr>
              <w:t>max</w:t>
            </w:r>
            <w:proofErr w:type="spellEnd"/>
            <w:r w:rsidRPr="00440C76">
              <w:rPr>
                <w:lang w:val="fr-FR"/>
              </w:rPr>
              <w:t xml:space="preserve">) × </w:t>
            </w:r>
            <w:proofErr w:type="spellStart"/>
            <w:r w:rsidRPr="00440C76">
              <w:rPr>
                <w:lang w:val="fr-FR"/>
              </w:rPr>
              <w:t>v</w:t>
            </w:r>
            <w:r w:rsidRPr="00440C76">
              <w:rPr>
                <w:vertAlign w:val="subscript"/>
                <w:lang w:val="fr-FR"/>
              </w:rPr>
              <w:t>max</w:t>
            </w:r>
            <w:proofErr w:type="spellEnd"/>
            <w:r w:rsidRPr="00440C76">
              <w:rPr>
                <w:lang w:val="fr-FR"/>
              </w:rPr>
              <w:t>, la valeur la plus élevée étant retenue avec marge de sécurité supplémentaire (si utilisé pour le calcul des changements de rapport) du paragraphe</w:t>
            </w:r>
            <w:r>
              <w:rPr>
                <w:lang w:val="fr-FR"/>
              </w:rPr>
              <w:t> </w:t>
            </w:r>
            <w:r w:rsidRPr="00440C76">
              <w:rPr>
                <w:lang w:val="fr-FR"/>
              </w:rPr>
              <w:t>1.2.4 de l</w:t>
            </w:r>
            <w:r>
              <w:rPr>
                <w:lang w:val="fr-FR"/>
              </w:rPr>
              <w:t>’</w:t>
            </w:r>
            <w:r w:rsidRPr="00440C76">
              <w:rPr>
                <w:lang w:val="fr-FR"/>
              </w:rPr>
              <w:t>appendice</w:t>
            </w:r>
            <w:r>
              <w:rPr>
                <w:lang w:val="fr-FR"/>
              </w:rPr>
              <w:t> </w:t>
            </w:r>
            <w:r w:rsidRPr="00440C76">
              <w:rPr>
                <w:lang w:val="fr-FR"/>
              </w:rPr>
              <w:t>1 de l</w:t>
            </w:r>
            <w:r>
              <w:rPr>
                <w:lang w:val="fr-FR"/>
              </w:rPr>
              <w:t>’</w:t>
            </w:r>
            <w:r w:rsidRPr="00440C76">
              <w:rPr>
                <w:lang w:val="fr-FR"/>
              </w:rPr>
              <w:t>annexe</w:t>
            </w:r>
            <w:r>
              <w:rPr>
                <w:lang w:val="fr-FR"/>
              </w:rPr>
              <w:t> </w:t>
            </w:r>
            <w:r w:rsidRPr="00440C76">
              <w:rPr>
                <w:lang w:val="fr-FR"/>
              </w:rPr>
              <w:t>A1 du Règlement ONU n</w:t>
            </w:r>
            <w:r w:rsidRPr="00440C76">
              <w:rPr>
                <w:vertAlign w:val="superscript"/>
                <w:lang w:val="fr-FR"/>
              </w:rPr>
              <w:t>o</w:t>
            </w:r>
            <w:r w:rsidRPr="00440C76">
              <w:rPr>
                <w:lang w:val="fr-FR"/>
              </w:rPr>
              <w:t> 154</w:t>
            </w:r>
            <w:r w:rsidRPr="00440C76">
              <w:rPr>
                <w:lang w:val="fr-FR"/>
              </w:rPr>
              <w:br/>
              <w:t>Des exemples de valeurs du tableau peuvent être trouvés dans le tableau</w:t>
            </w:r>
            <w:r>
              <w:rPr>
                <w:lang w:val="fr-FR"/>
              </w:rPr>
              <w:t> </w:t>
            </w:r>
            <w:r w:rsidRPr="00440C76">
              <w:rPr>
                <w:lang w:val="fr-FR"/>
              </w:rPr>
              <w:t>A2/1 de l</w:t>
            </w:r>
            <w:r>
              <w:rPr>
                <w:lang w:val="fr-FR"/>
              </w:rPr>
              <w:t>’</w:t>
            </w:r>
            <w:r w:rsidRPr="00440C76">
              <w:rPr>
                <w:lang w:val="fr-FR"/>
              </w:rPr>
              <w:t>annexe</w:t>
            </w:r>
            <w:r>
              <w:rPr>
                <w:lang w:val="fr-FR"/>
              </w:rPr>
              <w:t> </w:t>
            </w:r>
            <w:r w:rsidRPr="00440C76">
              <w:rPr>
                <w:lang w:val="fr-FR"/>
              </w:rPr>
              <w:t>B2 du Règlement ONU n</w:t>
            </w:r>
            <w:r w:rsidRPr="00440C76">
              <w:rPr>
                <w:vertAlign w:val="superscript"/>
                <w:lang w:val="fr-FR"/>
              </w:rPr>
              <w:t>o</w:t>
            </w:r>
            <w:r w:rsidRPr="00440C76">
              <w:rPr>
                <w:lang w:val="fr-FR"/>
              </w:rPr>
              <w:t> 154.</w:t>
            </w:r>
          </w:p>
        </w:tc>
      </w:tr>
      <w:tr w:rsidR="00BE2CA7" w:rsidRPr="00440C76" w14:paraId="34E04001" w14:textId="77777777" w:rsidTr="002B0590">
        <w:tc>
          <w:tcPr>
            <w:tcW w:w="1134" w:type="dxa"/>
            <w:shd w:val="clear" w:color="auto" w:fill="auto"/>
          </w:tcPr>
          <w:p w14:paraId="4CDAB559" w14:textId="77777777" w:rsidR="00BE2CA7" w:rsidRPr="00440C76" w:rsidRDefault="00BE2CA7" w:rsidP="002B0590">
            <w:pPr>
              <w:spacing w:before="40" w:after="120"/>
              <w:ind w:left="57" w:right="57"/>
              <w:rPr>
                <w:lang w:val="fr-FR"/>
              </w:rPr>
            </w:pPr>
            <w:r w:rsidRPr="00440C76">
              <w:rPr>
                <w:lang w:val="fr-FR"/>
              </w:rPr>
              <w:lastRenderedPageBreak/>
              <w:t>26</w:t>
            </w:r>
          </w:p>
        </w:tc>
        <w:tc>
          <w:tcPr>
            <w:tcW w:w="2127" w:type="dxa"/>
            <w:shd w:val="clear" w:color="auto" w:fill="auto"/>
          </w:tcPr>
          <w:p w14:paraId="7D6BF6F0" w14:textId="77777777" w:rsidR="00BE2CA7" w:rsidRPr="00440C76" w:rsidRDefault="00BE2CA7" w:rsidP="002B0590">
            <w:pPr>
              <w:spacing w:before="40" w:after="120"/>
              <w:ind w:left="57" w:right="57"/>
              <w:rPr>
                <w:lang w:val="fr-FR"/>
              </w:rPr>
            </w:pPr>
            <w:r w:rsidRPr="00440C76">
              <w:rPr>
                <w:lang w:val="fr-FR"/>
              </w:rPr>
              <w:t>Informations supplémentaires pour le calcul des changements de rapport pour les véhicules équipés d</w:t>
            </w:r>
            <w:r>
              <w:rPr>
                <w:lang w:val="fr-FR"/>
              </w:rPr>
              <w:t>’</w:t>
            </w:r>
            <w:r w:rsidRPr="00440C76">
              <w:rPr>
                <w:lang w:val="fr-FR"/>
              </w:rPr>
              <w:t>une boîte de vitesses manuelle : carburant</w:t>
            </w:r>
            <w:r>
              <w:rPr>
                <w:lang w:val="fr-FR"/>
              </w:rPr>
              <w:t> </w:t>
            </w:r>
            <w:r w:rsidRPr="00440C76">
              <w:rPr>
                <w:lang w:val="fr-FR"/>
              </w:rPr>
              <w:t>1, carburant</w:t>
            </w:r>
            <w:r>
              <w:rPr>
                <w:lang w:val="fr-FR"/>
              </w:rPr>
              <w:t> </w:t>
            </w:r>
            <w:r w:rsidRPr="00440C76">
              <w:rPr>
                <w:lang w:val="fr-FR"/>
              </w:rPr>
              <w:t xml:space="preserve">2 </w:t>
            </w:r>
            <w:r w:rsidRPr="00440C76">
              <w:rPr>
                <w:lang w:val="fr-FR"/>
              </w:rPr>
              <w:br/>
              <w:t>(le cas échéant)</w:t>
            </w:r>
          </w:p>
        </w:tc>
        <w:tc>
          <w:tcPr>
            <w:tcW w:w="1554" w:type="dxa"/>
            <w:shd w:val="clear" w:color="auto" w:fill="auto"/>
          </w:tcPr>
          <w:p w14:paraId="31ED5B16" w14:textId="77777777" w:rsidR="00BE2CA7" w:rsidRPr="00440C76" w:rsidRDefault="00BE2CA7" w:rsidP="002B0590">
            <w:pPr>
              <w:spacing w:before="40" w:after="120"/>
              <w:ind w:left="57" w:right="57"/>
              <w:rPr>
                <w:lang w:val="fr-FR"/>
              </w:rPr>
            </w:pPr>
            <w:r w:rsidRPr="00440C76">
              <w:rPr>
                <w:lang w:val="fr-FR"/>
              </w:rPr>
              <w:t>Voir tableau en exemple</w:t>
            </w:r>
          </w:p>
        </w:tc>
        <w:tc>
          <w:tcPr>
            <w:tcW w:w="997" w:type="dxa"/>
            <w:shd w:val="clear" w:color="auto" w:fill="auto"/>
          </w:tcPr>
          <w:p w14:paraId="79CC253E" w14:textId="77777777" w:rsidR="00BE2CA7" w:rsidRPr="00440C76" w:rsidRDefault="00BE2CA7" w:rsidP="002B0590">
            <w:pPr>
              <w:spacing w:before="40" w:after="120"/>
              <w:ind w:left="57" w:right="57"/>
              <w:rPr>
                <w:lang w:val="fr-FR"/>
              </w:rPr>
            </w:pPr>
            <w:r w:rsidRPr="00440C76">
              <w:rPr>
                <w:lang w:val="fr-FR"/>
              </w:rPr>
              <w:t>Voir tableau en exemple</w:t>
            </w:r>
          </w:p>
        </w:tc>
        <w:tc>
          <w:tcPr>
            <w:tcW w:w="3825" w:type="dxa"/>
            <w:gridSpan w:val="2"/>
            <w:shd w:val="clear" w:color="auto" w:fill="auto"/>
          </w:tcPr>
          <w:p w14:paraId="27BDBBF4" w14:textId="77777777" w:rsidR="00BE2CA7" w:rsidRPr="00440C76" w:rsidRDefault="00BE2CA7" w:rsidP="002B0590">
            <w:pPr>
              <w:spacing w:before="40" w:after="120"/>
              <w:ind w:left="57" w:right="57"/>
              <w:rPr>
                <w:lang w:val="fr-FR"/>
              </w:rPr>
            </w:pPr>
            <w:r w:rsidRPr="00440C76">
              <w:rPr>
                <w:lang w:val="fr-FR"/>
              </w:rPr>
              <w:t>Par</w:t>
            </w:r>
            <w:r>
              <w:rPr>
                <w:lang w:val="fr-FR"/>
              </w:rPr>
              <w:t>. </w:t>
            </w:r>
            <w:r w:rsidRPr="00440C76">
              <w:rPr>
                <w:lang w:val="fr-FR"/>
              </w:rPr>
              <w:t>1.2.4 de l</w:t>
            </w:r>
            <w:r>
              <w:rPr>
                <w:lang w:val="fr-FR"/>
              </w:rPr>
              <w:t>’</w:t>
            </w:r>
            <w:r w:rsidRPr="00440C76">
              <w:rPr>
                <w:lang w:val="fr-FR"/>
              </w:rPr>
              <w:t>appendice</w:t>
            </w:r>
            <w:r>
              <w:rPr>
                <w:lang w:val="fr-FR"/>
              </w:rPr>
              <w:t> </w:t>
            </w:r>
            <w:r w:rsidRPr="00440C76">
              <w:rPr>
                <w:lang w:val="fr-FR"/>
              </w:rPr>
              <w:t>1 de l</w:t>
            </w:r>
            <w:r>
              <w:rPr>
                <w:lang w:val="fr-FR"/>
              </w:rPr>
              <w:t>’</w:t>
            </w:r>
            <w:r w:rsidRPr="00440C76">
              <w:rPr>
                <w:lang w:val="fr-FR"/>
              </w:rPr>
              <w:t>annexe</w:t>
            </w:r>
            <w:r>
              <w:rPr>
                <w:lang w:val="fr-FR"/>
              </w:rPr>
              <w:t> </w:t>
            </w:r>
            <w:r w:rsidRPr="00440C76">
              <w:rPr>
                <w:lang w:val="fr-FR"/>
              </w:rPr>
              <w:t>A1 du Règlement ONU n</w:t>
            </w:r>
            <w:r w:rsidRPr="00440C76">
              <w:rPr>
                <w:vertAlign w:val="superscript"/>
                <w:lang w:val="fr-FR"/>
              </w:rPr>
              <w:t>o</w:t>
            </w:r>
            <w:r w:rsidRPr="00440C76">
              <w:rPr>
                <w:lang w:val="fr-FR"/>
              </w:rPr>
              <w:t> 154</w:t>
            </w:r>
          </w:p>
        </w:tc>
      </w:tr>
      <w:tr w:rsidR="00BE2CA7" w:rsidRPr="00440C76" w14:paraId="2BA2CFB8" w14:textId="77777777" w:rsidTr="002B0590">
        <w:tc>
          <w:tcPr>
            <w:tcW w:w="1134" w:type="dxa"/>
            <w:shd w:val="clear" w:color="auto" w:fill="auto"/>
          </w:tcPr>
          <w:p w14:paraId="1A044154" w14:textId="77777777" w:rsidR="00BE2CA7" w:rsidRPr="00440C76" w:rsidRDefault="00BE2CA7" w:rsidP="002B0590">
            <w:pPr>
              <w:spacing w:before="40" w:after="120"/>
              <w:ind w:left="57" w:right="57"/>
              <w:rPr>
                <w:lang w:val="fr-FR"/>
              </w:rPr>
            </w:pPr>
            <w:r w:rsidRPr="00440C76">
              <w:rPr>
                <w:lang w:val="fr-FR"/>
              </w:rPr>
              <w:t>29</w:t>
            </w:r>
          </w:p>
        </w:tc>
        <w:tc>
          <w:tcPr>
            <w:tcW w:w="2127" w:type="dxa"/>
            <w:shd w:val="clear" w:color="auto" w:fill="auto"/>
          </w:tcPr>
          <w:p w14:paraId="304AFAA0" w14:textId="77777777" w:rsidR="00BE2CA7" w:rsidRPr="00440C76" w:rsidRDefault="00BE2CA7" w:rsidP="002B0590">
            <w:pPr>
              <w:spacing w:before="40" w:after="120"/>
              <w:ind w:left="57" w:right="57"/>
              <w:rPr>
                <w:lang w:val="fr-FR"/>
              </w:rPr>
            </w:pPr>
            <w:r w:rsidRPr="00440C76">
              <w:rPr>
                <w:lang w:val="fr-FR"/>
              </w:rPr>
              <w:t>Facteur de correction (FCF) pour la famille ATCT : carburant</w:t>
            </w:r>
            <w:r>
              <w:rPr>
                <w:lang w:val="fr-FR"/>
              </w:rPr>
              <w:t> </w:t>
            </w:r>
            <w:r w:rsidRPr="00440C76">
              <w:rPr>
                <w:lang w:val="fr-FR"/>
              </w:rPr>
              <w:t>1, carburant</w:t>
            </w:r>
            <w:r>
              <w:rPr>
                <w:lang w:val="fr-FR"/>
              </w:rPr>
              <w:t> </w:t>
            </w:r>
            <w:r w:rsidRPr="00440C76">
              <w:rPr>
                <w:lang w:val="fr-FR"/>
              </w:rPr>
              <w:t>2 (le cas échéant)</w:t>
            </w:r>
          </w:p>
        </w:tc>
        <w:tc>
          <w:tcPr>
            <w:tcW w:w="1554" w:type="dxa"/>
            <w:shd w:val="clear" w:color="auto" w:fill="auto"/>
          </w:tcPr>
          <w:p w14:paraId="477D8E10" w14:textId="77777777" w:rsidR="00BE2CA7" w:rsidRPr="00440C76" w:rsidRDefault="00BE2CA7" w:rsidP="002B0590">
            <w:pPr>
              <w:spacing w:before="40" w:after="120"/>
              <w:ind w:left="57" w:right="57"/>
              <w:rPr>
                <w:lang w:val="fr-FR"/>
              </w:rPr>
            </w:pPr>
            <w:r w:rsidRPr="00440C76">
              <w:rPr>
                <w:lang w:val="fr-FR"/>
              </w:rPr>
              <w:t>Nombre</w:t>
            </w:r>
          </w:p>
        </w:tc>
        <w:tc>
          <w:tcPr>
            <w:tcW w:w="997" w:type="dxa"/>
            <w:shd w:val="clear" w:color="auto" w:fill="auto"/>
          </w:tcPr>
          <w:p w14:paraId="36BFCFA8" w14:textId="77777777" w:rsidR="00BE2CA7" w:rsidRPr="00440C76" w:rsidRDefault="00BE2CA7" w:rsidP="002B0590">
            <w:pPr>
              <w:spacing w:before="40" w:after="120"/>
              <w:ind w:left="57" w:right="57"/>
              <w:rPr>
                <w:lang w:val="fr-FR"/>
              </w:rPr>
            </w:pPr>
            <w:r>
              <w:rPr>
                <w:lang w:val="fr-FR"/>
              </w:rPr>
              <w:t>-</w:t>
            </w:r>
            <w:r w:rsidRPr="00440C76">
              <w:rPr>
                <w:lang w:val="fr-FR"/>
              </w:rPr>
              <w:t>-</w:t>
            </w:r>
          </w:p>
        </w:tc>
        <w:tc>
          <w:tcPr>
            <w:tcW w:w="3825" w:type="dxa"/>
            <w:gridSpan w:val="2"/>
            <w:shd w:val="clear" w:color="auto" w:fill="auto"/>
          </w:tcPr>
          <w:p w14:paraId="778E43AF" w14:textId="77777777" w:rsidR="00BE2CA7" w:rsidRPr="00440C76" w:rsidRDefault="00BE2CA7" w:rsidP="002B0590">
            <w:pPr>
              <w:spacing w:before="40" w:after="120"/>
              <w:ind w:left="57" w:right="57"/>
              <w:rPr>
                <w:lang w:val="fr-FR"/>
              </w:rPr>
            </w:pPr>
            <w:r w:rsidRPr="00440C76">
              <w:rPr>
                <w:lang w:val="fr-FR"/>
              </w:rPr>
              <w:t>Une valeur pour chaque carburant dans le cas des véhicules bicarburant et polycarburant. Toujours faire correspondre le carburant</w:t>
            </w:r>
            <w:r>
              <w:rPr>
                <w:lang w:val="fr-FR"/>
              </w:rPr>
              <w:t> </w:t>
            </w:r>
            <w:r w:rsidRPr="00440C76">
              <w:rPr>
                <w:lang w:val="fr-FR"/>
              </w:rPr>
              <w:t>1 avec son FCF et le carburant</w:t>
            </w:r>
            <w:r>
              <w:rPr>
                <w:lang w:val="fr-FR"/>
              </w:rPr>
              <w:t> </w:t>
            </w:r>
            <w:r w:rsidRPr="00440C76">
              <w:rPr>
                <w:lang w:val="fr-FR"/>
              </w:rPr>
              <w:t>2 avec le sien.</w:t>
            </w:r>
          </w:p>
          <w:p w14:paraId="27C780BE" w14:textId="77777777" w:rsidR="00BE2CA7" w:rsidRPr="00440C76" w:rsidRDefault="00BE2CA7" w:rsidP="002B0590">
            <w:pPr>
              <w:spacing w:before="40" w:after="120"/>
              <w:ind w:left="57" w:right="57"/>
              <w:rPr>
                <w:lang w:val="fr-FR"/>
              </w:rPr>
            </w:pPr>
            <w:r w:rsidRPr="00440C76">
              <w:rPr>
                <w:lang w:val="fr-FR"/>
              </w:rPr>
              <w:t>Comme défini au paragraphe</w:t>
            </w:r>
            <w:r>
              <w:rPr>
                <w:lang w:val="fr-FR"/>
              </w:rPr>
              <w:t> </w:t>
            </w:r>
            <w:r w:rsidRPr="00440C76">
              <w:rPr>
                <w:lang w:val="fr-FR"/>
              </w:rPr>
              <w:t>3.8.1 de l</w:t>
            </w:r>
            <w:r>
              <w:rPr>
                <w:lang w:val="fr-FR"/>
              </w:rPr>
              <w:t>’</w:t>
            </w:r>
            <w:r w:rsidRPr="00440C76">
              <w:rPr>
                <w:lang w:val="fr-FR"/>
              </w:rPr>
              <w:t>annexe</w:t>
            </w:r>
            <w:r>
              <w:rPr>
                <w:lang w:val="fr-FR"/>
              </w:rPr>
              <w:t> </w:t>
            </w:r>
            <w:r w:rsidRPr="00440C76">
              <w:rPr>
                <w:lang w:val="fr-FR"/>
              </w:rPr>
              <w:t>B6a du Règlement ONU n</w:t>
            </w:r>
            <w:r w:rsidRPr="00440C76">
              <w:rPr>
                <w:vertAlign w:val="superscript"/>
                <w:lang w:val="fr-FR"/>
              </w:rPr>
              <w:t>o</w:t>
            </w:r>
            <w:r w:rsidRPr="00440C76">
              <w:rPr>
                <w:lang w:val="fr-FR"/>
              </w:rPr>
              <w:t> 154</w:t>
            </w:r>
          </w:p>
        </w:tc>
      </w:tr>
      <w:tr w:rsidR="00BE2CA7" w:rsidRPr="00440C76" w14:paraId="3176C058" w14:textId="77777777" w:rsidTr="002B0590">
        <w:tc>
          <w:tcPr>
            <w:tcW w:w="1134" w:type="dxa"/>
            <w:shd w:val="clear" w:color="auto" w:fill="auto"/>
          </w:tcPr>
          <w:p w14:paraId="20077F64" w14:textId="77777777" w:rsidR="00BE2CA7" w:rsidRPr="00440C76" w:rsidRDefault="00BE2CA7" w:rsidP="002B0590">
            <w:pPr>
              <w:spacing w:before="40" w:after="120"/>
              <w:ind w:left="57" w:right="57"/>
              <w:rPr>
                <w:lang w:val="fr-FR"/>
              </w:rPr>
            </w:pPr>
            <w:r w:rsidRPr="00440C76">
              <w:rPr>
                <w:lang w:val="fr-FR"/>
              </w:rPr>
              <w:t>30a</w:t>
            </w:r>
          </w:p>
        </w:tc>
        <w:tc>
          <w:tcPr>
            <w:tcW w:w="2127" w:type="dxa"/>
            <w:shd w:val="clear" w:color="auto" w:fill="auto"/>
          </w:tcPr>
          <w:p w14:paraId="5AAEE5FC" w14:textId="77777777" w:rsidR="00BE2CA7" w:rsidRPr="00440C76" w:rsidRDefault="00BE2CA7" w:rsidP="002B0590">
            <w:pPr>
              <w:spacing w:before="40" w:after="120"/>
              <w:ind w:left="57" w:right="57"/>
              <w:rPr>
                <w:lang w:val="fr-FR"/>
              </w:rPr>
            </w:pPr>
            <w:r w:rsidRPr="00440C76">
              <w:rPr>
                <w:lang w:val="fr-FR"/>
              </w:rPr>
              <w:t>Facteur(s) Ki additif(s) pour les véhicules équipés de systèmes à régénération périodique</w:t>
            </w:r>
          </w:p>
        </w:tc>
        <w:tc>
          <w:tcPr>
            <w:tcW w:w="1554" w:type="dxa"/>
            <w:shd w:val="clear" w:color="auto" w:fill="auto"/>
          </w:tcPr>
          <w:p w14:paraId="02B9D968" w14:textId="77777777" w:rsidR="00BE2CA7" w:rsidRPr="00440C76" w:rsidRDefault="00BE2CA7" w:rsidP="002B0590">
            <w:pPr>
              <w:spacing w:before="40" w:after="120"/>
              <w:ind w:left="57" w:right="57"/>
              <w:rPr>
                <w:lang w:val="fr-FR"/>
              </w:rPr>
            </w:pPr>
            <w:r w:rsidRPr="00440C76">
              <w:rPr>
                <w:lang w:val="fr-FR"/>
              </w:rPr>
              <w:t>Valeurs du tableau</w:t>
            </w:r>
          </w:p>
        </w:tc>
        <w:tc>
          <w:tcPr>
            <w:tcW w:w="997" w:type="dxa"/>
            <w:shd w:val="clear" w:color="auto" w:fill="auto"/>
          </w:tcPr>
          <w:p w14:paraId="2ED60AA1" w14:textId="77777777" w:rsidR="00BE2CA7" w:rsidRPr="00440C76" w:rsidRDefault="00BE2CA7" w:rsidP="002B0590">
            <w:pPr>
              <w:spacing w:before="40" w:after="120"/>
              <w:ind w:left="57" w:right="57"/>
              <w:rPr>
                <w:lang w:val="fr-FR"/>
              </w:rPr>
            </w:pPr>
            <w:r w:rsidRPr="00440C76">
              <w:rPr>
                <w:lang w:val="fr-FR"/>
              </w:rPr>
              <w:t>g/km pour le CO</w:t>
            </w:r>
            <w:r w:rsidRPr="00440C76">
              <w:rPr>
                <w:vertAlign w:val="subscript"/>
                <w:lang w:val="fr-FR"/>
              </w:rPr>
              <w:t>2</w:t>
            </w:r>
            <w:r w:rsidRPr="00440C76">
              <w:rPr>
                <w:lang w:val="fr-FR"/>
              </w:rPr>
              <w:t>, mg/km pour tout le reste</w:t>
            </w:r>
          </w:p>
        </w:tc>
        <w:tc>
          <w:tcPr>
            <w:tcW w:w="3825" w:type="dxa"/>
            <w:gridSpan w:val="2"/>
            <w:shd w:val="clear" w:color="auto" w:fill="auto"/>
          </w:tcPr>
          <w:p w14:paraId="64627D88" w14:textId="77777777" w:rsidR="00BE2CA7" w:rsidRPr="00440C76" w:rsidRDefault="00BE2CA7" w:rsidP="002B0590">
            <w:pPr>
              <w:spacing w:before="40" w:after="120"/>
              <w:ind w:left="57" w:right="57"/>
              <w:rPr>
                <w:lang w:val="fr-FR"/>
              </w:rPr>
            </w:pPr>
            <w:r w:rsidRPr="00440C76">
              <w:rPr>
                <w:lang w:val="fr-FR"/>
              </w:rPr>
              <w:t>Tableau définissant les valeurs pour CO, NO</w:t>
            </w:r>
            <w:r w:rsidRPr="00440C76">
              <w:rPr>
                <w:vertAlign w:val="subscript"/>
                <w:lang w:val="fr-FR"/>
              </w:rPr>
              <w:t>x</w:t>
            </w:r>
            <w:r w:rsidRPr="00440C76">
              <w:rPr>
                <w:lang w:val="fr-FR"/>
              </w:rPr>
              <w:t>, PM, THC (mg/km), et pour CO</w:t>
            </w:r>
            <w:r w:rsidRPr="00440C76">
              <w:rPr>
                <w:vertAlign w:val="subscript"/>
                <w:lang w:val="fr-FR"/>
              </w:rPr>
              <w:t>2</w:t>
            </w:r>
            <w:r w:rsidRPr="00440C76">
              <w:rPr>
                <w:lang w:val="fr-FR"/>
              </w:rPr>
              <w:t xml:space="preserve"> (g/km). Vide si des facteurs Ki multiplicatifs sont fournis ou pour les véhicules qui n</w:t>
            </w:r>
            <w:r>
              <w:rPr>
                <w:lang w:val="fr-FR"/>
              </w:rPr>
              <w:t>’</w:t>
            </w:r>
            <w:r w:rsidRPr="00440C76">
              <w:rPr>
                <w:lang w:val="fr-FR"/>
              </w:rPr>
              <w:t>ont aucun système à régénération périodique. Par</w:t>
            </w:r>
            <w:r>
              <w:rPr>
                <w:lang w:val="fr-FR"/>
              </w:rPr>
              <w:t>. </w:t>
            </w:r>
            <w:r w:rsidRPr="00440C76">
              <w:rPr>
                <w:lang w:val="fr-FR"/>
              </w:rPr>
              <w:t>2.1.1.1.1 pour les polluants et 2.1.1.2.1 pour le CO</w:t>
            </w:r>
            <w:r w:rsidRPr="00440C76">
              <w:rPr>
                <w:vertAlign w:val="subscript"/>
                <w:lang w:val="fr-FR"/>
              </w:rPr>
              <w:t xml:space="preserve">2 </w:t>
            </w:r>
            <w:r w:rsidRPr="00440C76">
              <w:rPr>
                <w:lang w:val="fr-FR"/>
              </w:rPr>
              <w:t>de l</w:t>
            </w:r>
            <w:r>
              <w:rPr>
                <w:lang w:val="fr-FR"/>
              </w:rPr>
              <w:t>’</w:t>
            </w:r>
            <w:r w:rsidRPr="00440C76">
              <w:rPr>
                <w:lang w:val="fr-FR"/>
              </w:rPr>
              <w:t>appendice 1 de l</w:t>
            </w:r>
            <w:r>
              <w:rPr>
                <w:lang w:val="fr-FR"/>
              </w:rPr>
              <w:t>’</w:t>
            </w:r>
            <w:r w:rsidRPr="00440C76">
              <w:rPr>
                <w:lang w:val="fr-FR"/>
              </w:rPr>
              <w:t>annexe</w:t>
            </w:r>
            <w:r>
              <w:rPr>
                <w:lang w:val="fr-FR"/>
              </w:rPr>
              <w:t> </w:t>
            </w:r>
            <w:r w:rsidRPr="00440C76">
              <w:rPr>
                <w:lang w:val="fr-FR"/>
              </w:rPr>
              <w:t>A1 du Règlement ONU n</w:t>
            </w:r>
            <w:r w:rsidRPr="00440C76">
              <w:rPr>
                <w:vertAlign w:val="superscript"/>
                <w:lang w:val="fr-FR"/>
              </w:rPr>
              <w:t>o</w:t>
            </w:r>
            <w:r w:rsidRPr="00440C76">
              <w:rPr>
                <w:lang w:val="fr-FR"/>
              </w:rPr>
              <w:t> 154</w:t>
            </w:r>
          </w:p>
        </w:tc>
      </w:tr>
      <w:tr w:rsidR="00BE2CA7" w:rsidRPr="00440C76" w14:paraId="39FCBC53" w14:textId="77777777" w:rsidTr="002B0590">
        <w:tc>
          <w:tcPr>
            <w:tcW w:w="1134" w:type="dxa"/>
            <w:shd w:val="clear" w:color="auto" w:fill="auto"/>
          </w:tcPr>
          <w:p w14:paraId="33BDC610" w14:textId="77777777" w:rsidR="00BE2CA7" w:rsidRPr="00440C76" w:rsidRDefault="00BE2CA7" w:rsidP="002B0590">
            <w:pPr>
              <w:keepNext/>
              <w:spacing w:before="40" w:after="120"/>
              <w:ind w:left="57" w:right="57"/>
              <w:rPr>
                <w:lang w:val="fr-FR"/>
              </w:rPr>
            </w:pPr>
            <w:r w:rsidRPr="00440C76">
              <w:rPr>
                <w:lang w:val="fr-FR"/>
              </w:rPr>
              <w:t>30b</w:t>
            </w:r>
          </w:p>
        </w:tc>
        <w:tc>
          <w:tcPr>
            <w:tcW w:w="2127" w:type="dxa"/>
            <w:shd w:val="clear" w:color="auto" w:fill="auto"/>
          </w:tcPr>
          <w:p w14:paraId="12642257" w14:textId="77777777" w:rsidR="00BE2CA7" w:rsidRPr="00440C76" w:rsidRDefault="00BE2CA7" w:rsidP="002B0590">
            <w:pPr>
              <w:keepNext/>
              <w:spacing w:before="40" w:after="120"/>
              <w:ind w:left="57" w:right="57"/>
              <w:rPr>
                <w:lang w:val="fr-FR"/>
              </w:rPr>
            </w:pPr>
            <w:r w:rsidRPr="00440C76">
              <w:rPr>
                <w:lang w:val="fr-FR"/>
              </w:rPr>
              <w:t>Facteur(s) Ki multiplicatif(s) pour les véhicules équipés de systèmes à régénération périodique</w:t>
            </w:r>
          </w:p>
        </w:tc>
        <w:tc>
          <w:tcPr>
            <w:tcW w:w="1554" w:type="dxa"/>
            <w:shd w:val="clear" w:color="auto" w:fill="auto"/>
          </w:tcPr>
          <w:p w14:paraId="268624DF" w14:textId="77777777" w:rsidR="00BE2CA7" w:rsidRPr="00440C76" w:rsidRDefault="00BE2CA7" w:rsidP="002B0590">
            <w:pPr>
              <w:keepNext/>
              <w:spacing w:before="40" w:after="120"/>
              <w:ind w:left="57" w:right="57"/>
              <w:rPr>
                <w:lang w:val="fr-FR"/>
              </w:rPr>
            </w:pPr>
            <w:r w:rsidRPr="00440C76">
              <w:rPr>
                <w:lang w:val="fr-FR"/>
              </w:rPr>
              <w:t>Valeurs du tableau</w:t>
            </w:r>
          </w:p>
        </w:tc>
        <w:tc>
          <w:tcPr>
            <w:tcW w:w="997" w:type="dxa"/>
            <w:shd w:val="clear" w:color="auto" w:fill="auto"/>
          </w:tcPr>
          <w:p w14:paraId="03413A82" w14:textId="77777777" w:rsidR="00BE2CA7" w:rsidRPr="00440C76" w:rsidRDefault="00BE2CA7" w:rsidP="002B0590">
            <w:pPr>
              <w:keepNext/>
              <w:spacing w:before="40" w:after="120"/>
              <w:ind w:left="57" w:right="57"/>
              <w:rPr>
                <w:lang w:val="fr-FR"/>
              </w:rPr>
            </w:pPr>
            <w:r w:rsidRPr="00440C76">
              <w:rPr>
                <w:lang w:val="fr-FR"/>
              </w:rPr>
              <w:t>sans unités</w:t>
            </w:r>
          </w:p>
        </w:tc>
        <w:tc>
          <w:tcPr>
            <w:tcW w:w="3825" w:type="dxa"/>
            <w:gridSpan w:val="2"/>
            <w:shd w:val="clear" w:color="auto" w:fill="auto"/>
          </w:tcPr>
          <w:p w14:paraId="786E493E" w14:textId="77777777" w:rsidR="00BE2CA7" w:rsidRPr="00440C76" w:rsidRDefault="00BE2CA7" w:rsidP="002B0590">
            <w:pPr>
              <w:keepNext/>
              <w:spacing w:before="40" w:after="120"/>
              <w:ind w:left="57" w:right="57"/>
              <w:rPr>
                <w:lang w:val="fr-FR"/>
              </w:rPr>
            </w:pPr>
            <w:r w:rsidRPr="00440C76">
              <w:rPr>
                <w:lang w:val="fr-FR"/>
              </w:rPr>
              <w:t>Tableau définissant les valeurs pour CO, NO</w:t>
            </w:r>
            <w:r w:rsidRPr="00440C76">
              <w:rPr>
                <w:vertAlign w:val="subscript"/>
                <w:lang w:val="fr-FR"/>
              </w:rPr>
              <w:t>x</w:t>
            </w:r>
            <w:r w:rsidRPr="00440C76">
              <w:rPr>
                <w:lang w:val="fr-FR"/>
              </w:rPr>
              <w:t>, PM, THC (mg/km), et pour CO</w:t>
            </w:r>
            <w:r w:rsidRPr="00440C76">
              <w:rPr>
                <w:vertAlign w:val="subscript"/>
                <w:lang w:val="fr-FR"/>
              </w:rPr>
              <w:t>2</w:t>
            </w:r>
            <w:r w:rsidRPr="00440C76">
              <w:rPr>
                <w:lang w:val="fr-FR"/>
              </w:rPr>
              <w:t xml:space="preserve"> (g/km). Vide si des facteurs Ki additifs sont fournis ou pour les véhicules qui n</w:t>
            </w:r>
            <w:r>
              <w:rPr>
                <w:lang w:val="fr-FR"/>
              </w:rPr>
              <w:t>’</w:t>
            </w:r>
            <w:r w:rsidRPr="00440C76">
              <w:rPr>
                <w:lang w:val="fr-FR"/>
              </w:rPr>
              <w:t>ont aucun système à régénération périodique. Par</w:t>
            </w:r>
            <w:r>
              <w:rPr>
                <w:lang w:val="fr-FR"/>
              </w:rPr>
              <w:t>. </w:t>
            </w:r>
            <w:r w:rsidRPr="00440C76">
              <w:rPr>
                <w:lang w:val="fr-FR"/>
              </w:rPr>
              <w:t>2.1.1.1.1 pour les polluants et 2.1.1.2.1 pour le CO</w:t>
            </w:r>
            <w:r w:rsidRPr="00440C76">
              <w:rPr>
                <w:vertAlign w:val="subscript"/>
                <w:lang w:val="fr-FR"/>
              </w:rPr>
              <w:t>2</w:t>
            </w:r>
            <w:r w:rsidRPr="00440C76">
              <w:rPr>
                <w:lang w:val="fr-FR"/>
              </w:rPr>
              <w:t xml:space="preserve"> de l</w:t>
            </w:r>
            <w:r>
              <w:rPr>
                <w:lang w:val="fr-FR"/>
              </w:rPr>
              <w:t>’</w:t>
            </w:r>
            <w:r w:rsidRPr="00440C76">
              <w:rPr>
                <w:lang w:val="fr-FR"/>
              </w:rPr>
              <w:t>appendice</w:t>
            </w:r>
            <w:r>
              <w:rPr>
                <w:lang w:val="fr-FR"/>
              </w:rPr>
              <w:t> </w:t>
            </w:r>
            <w:r w:rsidRPr="00440C76">
              <w:rPr>
                <w:lang w:val="fr-FR"/>
              </w:rPr>
              <w:t>1 de l</w:t>
            </w:r>
            <w:r>
              <w:rPr>
                <w:lang w:val="fr-FR"/>
              </w:rPr>
              <w:t>’</w:t>
            </w:r>
            <w:r w:rsidRPr="00440C76">
              <w:rPr>
                <w:lang w:val="fr-FR"/>
              </w:rPr>
              <w:t>annexe</w:t>
            </w:r>
            <w:r>
              <w:rPr>
                <w:lang w:val="fr-FR"/>
              </w:rPr>
              <w:t> </w:t>
            </w:r>
            <w:r w:rsidRPr="00440C76">
              <w:rPr>
                <w:lang w:val="fr-FR"/>
              </w:rPr>
              <w:t>A1 du Règlement ONU n</w:t>
            </w:r>
            <w:r w:rsidRPr="00440C76">
              <w:rPr>
                <w:vertAlign w:val="superscript"/>
                <w:lang w:val="fr-FR"/>
              </w:rPr>
              <w:t>o</w:t>
            </w:r>
            <w:r w:rsidRPr="00440C76">
              <w:rPr>
                <w:lang w:val="fr-FR"/>
              </w:rPr>
              <w:t> 154</w:t>
            </w:r>
          </w:p>
        </w:tc>
      </w:tr>
      <w:tr w:rsidR="00BE2CA7" w:rsidRPr="00440C76" w14:paraId="76F68896" w14:textId="77777777" w:rsidTr="002B0590">
        <w:tc>
          <w:tcPr>
            <w:tcW w:w="1134" w:type="dxa"/>
            <w:shd w:val="clear" w:color="auto" w:fill="auto"/>
          </w:tcPr>
          <w:p w14:paraId="2FD17CD1" w14:textId="77777777" w:rsidR="00BE2CA7" w:rsidRPr="00440C76" w:rsidRDefault="00BE2CA7" w:rsidP="002B0590">
            <w:pPr>
              <w:spacing w:before="40" w:after="120"/>
              <w:ind w:left="57" w:right="57"/>
              <w:rPr>
                <w:lang w:val="fr-FR"/>
              </w:rPr>
            </w:pPr>
            <w:r w:rsidRPr="00440C76">
              <w:rPr>
                <w:lang w:val="fr-FR"/>
              </w:rPr>
              <w:t>31a</w:t>
            </w:r>
          </w:p>
        </w:tc>
        <w:tc>
          <w:tcPr>
            <w:tcW w:w="2127" w:type="dxa"/>
            <w:shd w:val="clear" w:color="auto" w:fill="auto"/>
          </w:tcPr>
          <w:p w14:paraId="12AE2E67" w14:textId="77777777" w:rsidR="00BE2CA7" w:rsidRPr="00440C76" w:rsidRDefault="00BE2CA7" w:rsidP="002B0590">
            <w:pPr>
              <w:spacing w:before="40" w:after="120"/>
              <w:ind w:left="57" w:right="57"/>
              <w:rPr>
                <w:lang w:val="fr-FR"/>
              </w:rPr>
            </w:pPr>
            <w:r w:rsidRPr="00440C76">
              <w:rPr>
                <w:lang w:val="fr-FR"/>
              </w:rPr>
              <w:t>Facteurs de détérioration (DF) additifs : carburant 1, carburant</w:t>
            </w:r>
            <w:r>
              <w:rPr>
                <w:lang w:val="fr-FR"/>
              </w:rPr>
              <w:t> </w:t>
            </w:r>
            <w:r w:rsidRPr="00440C76">
              <w:rPr>
                <w:lang w:val="fr-FR"/>
              </w:rPr>
              <w:t xml:space="preserve">2 </w:t>
            </w:r>
            <w:r w:rsidRPr="00440C76">
              <w:rPr>
                <w:lang w:val="fr-FR"/>
              </w:rPr>
              <w:br/>
              <w:t>(le cas échéant)</w:t>
            </w:r>
          </w:p>
        </w:tc>
        <w:tc>
          <w:tcPr>
            <w:tcW w:w="1554" w:type="dxa"/>
            <w:shd w:val="clear" w:color="auto" w:fill="auto"/>
          </w:tcPr>
          <w:p w14:paraId="3F36DC0B" w14:textId="77777777" w:rsidR="00BE2CA7" w:rsidRPr="00440C76" w:rsidRDefault="00BE2CA7" w:rsidP="002B0590">
            <w:pPr>
              <w:spacing w:before="40" w:after="120"/>
              <w:ind w:left="57" w:right="57"/>
              <w:rPr>
                <w:lang w:val="fr-FR"/>
              </w:rPr>
            </w:pPr>
            <w:r w:rsidRPr="00440C76">
              <w:rPr>
                <w:lang w:val="fr-FR"/>
              </w:rPr>
              <w:t>Valeurs du tableau</w:t>
            </w:r>
          </w:p>
        </w:tc>
        <w:tc>
          <w:tcPr>
            <w:tcW w:w="997" w:type="dxa"/>
            <w:shd w:val="clear" w:color="auto" w:fill="auto"/>
          </w:tcPr>
          <w:p w14:paraId="36A4556F" w14:textId="77777777" w:rsidR="00BE2CA7" w:rsidRPr="00440C76" w:rsidRDefault="00BE2CA7" w:rsidP="002B0590">
            <w:pPr>
              <w:spacing w:before="40" w:after="120"/>
              <w:ind w:left="57" w:right="57"/>
              <w:rPr>
                <w:lang w:val="fr-FR"/>
              </w:rPr>
            </w:pPr>
            <w:r w:rsidRPr="00440C76">
              <w:rPr>
                <w:lang w:val="fr-FR"/>
              </w:rPr>
              <w:t>mg/km sauf pour PN = #/km</w:t>
            </w:r>
          </w:p>
        </w:tc>
        <w:tc>
          <w:tcPr>
            <w:tcW w:w="3825" w:type="dxa"/>
            <w:gridSpan w:val="2"/>
            <w:shd w:val="clear" w:color="auto" w:fill="auto"/>
          </w:tcPr>
          <w:p w14:paraId="596E4915" w14:textId="77777777" w:rsidR="00BE2CA7" w:rsidRPr="00440C76" w:rsidRDefault="00BE2CA7" w:rsidP="002B0590">
            <w:pPr>
              <w:spacing w:before="40" w:after="120"/>
              <w:ind w:left="57" w:right="57"/>
              <w:rPr>
                <w:lang w:val="fr-FR"/>
              </w:rPr>
            </w:pPr>
            <w:r w:rsidRPr="00440C76">
              <w:rPr>
                <w:lang w:val="fr-FR"/>
              </w:rPr>
              <w:t>Tableau définissant les facteurs de détérioration pour chaque polluant.</w:t>
            </w:r>
            <w:r w:rsidRPr="00440C76">
              <w:rPr>
                <w:lang w:val="fr-FR"/>
              </w:rPr>
              <w:br/>
              <w:t>1. CO, PM, PN, NO</w:t>
            </w:r>
            <w:r w:rsidRPr="00440C76">
              <w:rPr>
                <w:vertAlign w:val="subscript"/>
                <w:lang w:val="fr-FR"/>
              </w:rPr>
              <w:t>x</w:t>
            </w:r>
            <w:r w:rsidRPr="00440C76">
              <w:rPr>
                <w:lang w:val="fr-FR"/>
              </w:rPr>
              <w:t xml:space="preserve">, NMHC et THC pour les véhicules à essence </w:t>
            </w:r>
            <w:proofErr w:type="spellStart"/>
            <w:r w:rsidRPr="00440C76">
              <w:rPr>
                <w:lang w:val="fr-FR"/>
              </w:rPr>
              <w:t>monocarburant</w:t>
            </w:r>
            <w:proofErr w:type="spellEnd"/>
            <w:r w:rsidRPr="00440C76">
              <w:rPr>
                <w:lang w:val="fr-FR"/>
              </w:rPr>
              <w:t xml:space="preserve"> et pour tous les véhicules bicarburant et polycarburant.</w:t>
            </w:r>
            <w:r w:rsidRPr="00440C76">
              <w:rPr>
                <w:lang w:val="fr-FR"/>
              </w:rPr>
              <w:br/>
              <w:t>2. CO, NO</w:t>
            </w:r>
            <w:r w:rsidRPr="00440C76">
              <w:rPr>
                <w:vertAlign w:val="subscript"/>
                <w:lang w:val="fr-FR"/>
              </w:rPr>
              <w:t>x</w:t>
            </w:r>
            <w:r w:rsidRPr="00440C76">
              <w:rPr>
                <w:lang w:val="fr-FR"/>
              </w:rPr>
              <w:t xml:space="preserve">, NMHC et THC pour les véhicules </w:t>
            </w:r>
            <w:proofErr w:type="spellStart"/>
            <w:r w:rsidRPr="00440C76">
              <w:rPr>
                <w:lang w:val="fr-FR"/>
              </w:rPr>
              <w:t>monocarburant</w:t>
            </w:r>
            <w:proofErr w:type="spellEnd"/>
            <w:r w:rsidRPr="00440C76">
              <w:rPr>
                <w:lang w:val="fr-FR"/>
              </w:rPr>
              <w:t xml:space="preserve"> au GPL et au GN.</w:t>
            </w:r>
            <w:r w:rsidRPr="00440C76">
              <w:rPr>
                <w:lang w:val="fr-FR"/>
              </w:rPr>
              <w:br/>
              <w:t>3. NO</w:t>
            </w:r>
            <w:r w:rsidRPr="00440C76">
              <w:rPr>
                <w:vertAlign w:val="subscript"/>
                <w:lang w:val="fr-FR"/>
              </w:rPr>
              <w:t>x</w:t>
            </w:r>
            <w:r w:rsidRPr="00440C76">
              <w:rPr>
                <w:lang w:val="fr-FR"/>
              </w:rPr>
              <w:t xml:space="preserve"> pour les véhicules </w:t>
            </w:r>
            <w:proofErr w:type="spellStart"/>
            <w:r w:rsidRPr="00440C76">
              <w:rPr>
                <w:lang w:val="fr-FR"/>
              </w:rPr>
              <w:t>monocarburant</w:t>
            </w:r>
            <w:proofErr w:type="spellEnd"/>
            <w:r w:rsidRPr="00440C76">
              <w:rPr>
                <w:lang w:val="fr-FR"/>
              </w:rPr>
              <w:t xml:space="preserve"> au H</w:t>
            </w:r>
            <w:r w:rsidRPr="00440C76">
              <w:rPr>
                <w:vertAlign w:val="subscript"/>
                <w:lang w:val="fr-FR"/>
              </w:rPr>
              <w:t>2</w:t>
            </w:r>
            <w:r w:rsidRPr="00440C76">
              <w:rPr>
                <w:lang w:val="fr-FR"/>
              </w:rPr>
              <w:t>.</w:t>
            </w:r>
            <w:r w:rsidRPr="00440C76">
              <w:rPr>
                <w:lang w:val="fr-FR"/>
              </w:rPr>
              <w:br/>
              <w:t>4. NO</w:t>
            </w:r>
            <w:r w:rsidRPr="00440C76">
              <w:rPr>
                <w:vertAlign w:val="subscript"/>
                <w:lang w:val="fr-FR"/>
              </w:rPr>
              <w:t>x</w:t>
            </w:r>
            <w:r w:rsidRPr="00440C76">
              <w:rPr>
                <w:lang w:val="fr-FR"/>
              </w:rPr>
              <w:t xml:space="preserve">, </w:t>
            </w:r>
            <w:proofErr w:type="spellStart"/>
            <w:r w:rsidRPr="00440C76">
              <w:rPr>
                <w:lang w:val="fr-FR"/>
              </w:rPr>
              <w:t>THC+NO</w:t>
            </w:r>
            <w:r w:rsidRPr="00440C76">
              <w:rPr>
                <w:vertAlign w:val="subscript"/>
                <w:lang w:val="fr-FR"/>
              </w:rPr>
              <w:t>x</w:t>
            </w:r>
            <w:proofErr w:type="spellEnd"/>
            <w:r w:rsidRPr="00440C76">
              <w:rPr>
                <w:lang w:val="fr-FR"/>
              </w:rPr>
              <w:t>, CO, PM et PN pour tous les véhicules diesel.</w:t>
            </w:r>
            <w:r w:rsidRPr="00440C76">
              <w:rPr>
                <w:lang w:val="fr-FR"/>
              </w:rPr>
              <w:br/>
              <w:t>5. Vide si des facteurs DF multiplicatifs sont fournis. Par</w:t>
            </w:r>
            <w:r>
              <w:rPr>
                <w:lang w:val="fr-FR"/>
              </w:rPr>
              <w:t>. </w:t>
            </w:r>
            <w:r w:rsidRPr="00440C76">
              <w:rPr>
                <w:lang w:val="fr-FR"/>
              </w:rPr>
              <w:t>2.1.1.1.1</w:t>
            </w:r>
            <w:r>
              <w:rPr>
                <w:lang w:val="fr-FR"/>
              </w:rPr>
              <w:t xml:space="preserve"> </w:t>
            </w:r>
            <w:r w:rsidRPr="00440C76">
              <w:rPr>
                <w:lang w:val="fr-FR"/>
              </w:rPr>
              <w:t>de l</w:t>
            </w:r>
            <w:r>
              <w:rPr>
                <w:lang w:val="fr-FR"/>
              </w:rPr>
              <w:t>’</w:t>
            </w:r>
            <w:r w:rsidRPr="00440C76">
              <w:rPr>
                <w:lang w:val="fr-FR"/>
              </w:rPr>
              <w:t>appendice</w:t>
            </w:r>
            <w:r>
              <w:rPr>
                <w:lang w:val="fr-FR"/>
              </w:rPr>
              <w:t> </w:t>
            </w:r>
            <w:r w:rsidRPr="00440C76">
              <w:rPr>
                <w:lang w:val="fr-FR"/>
              </w:rPr>
              <w:t>1 de l</w:t>
            </w:r>
            <w:r>
              <w:rPr>
                <w:lang w:val="fr-FR"/>
              </w:rPr>
              <w:t>’</w:t>
            </w:r>
            <w:r w:rsidRPr="00440C76">
              <w:rPr>
                <w:lang w:val="fr-FR"/>
              </w:rPr>
              <w:t>annexe</w:t>
            </w:r>
            <w:r>
              <w:rPr>
                <w:lang w:val="fr-FR"/>
              </w:rPr>
              <w:t> </w:t>
            </w:r>
            <w:r w:rsidRPr="00440C76">
              <w:rPr>
                <w:lang w:val="fr-FR"/>
              </w:rPr>
              <w:t>A1 du Règlement ONU n</w:t>
            </w:r>
            <w:r w:rsidRPr="00440C76">
              <w:rPr>
                <w:vertAlign w:val="superscript"/>
                <w:lang w:val="fr-FR"/>
              </w:rPr>
              <w:t>o</w:t>
            </w:r>
            <w:r w:rsidRPr="00440C76">
              <w:rPr>
                <w:lang w:val="fr-FR"/>
              </w:rPr>
              <w:t> 154</w:t>
            </w:r>
            <w:r>
              <w:rPr>
                <w:lang w:val="fr-FR"/>
              </w:rPr>
              <w:t>.</w:t>
            </w:r>
          </w:p>
        </w:tc>
      </w:tr>
      <w:tr w:rsidR="00BE2CA7" w:rsidRPr="00440C76" w14:paraId="0341E809" w14:textId="77777777" w:rsidTr="002B0590">
        <w:tc>
          <w:tcPr>
            <w:tcW w:w="1134" w:type="dxa"/>
            <w:shd w:val="clear" w:color="auto" w:fill="auto"/>
          </w:tcPr>
          <w:p w14:paraId="6AE2DA26" w14:textId="77777777" w:rsidR="00BE2CA7" w:rsidRPr="00440C76" w:rsidRDefault="00BE2CA7" w:rsidP="002B0590">
            <w:pPr>
              <w:spacing w:before="40" w:after="120"/>
              <w:ind w:left="57" w:right="57"/>
              <w:rPr>
                <w:lang w:val="fr-FR"/>
              </w:rPr>
            </w:pPr>
            <w:r w:rsidRPr="00440C76">
              <w:rPr>
                <w:lang w:val="fr-FR"/>
              </w:rPr>
              <w:t>31b</w:t>
            </w:r>
          </w:p>
        </w:tc>
        <w:tc>
          <w:tcPr>
            <w:tcW w:w="2127" w:type="dxa"/>
            <w:shd w:val="clear" w:color="auto" w:fill="auto"/>
          </w:tcPr>
          <w:p w14:paraId="1BD7E728" w14:textId="77777777" w:rsidR="00BE2CA7" w:rsidRPr="00440C76" w:rsidRDefault="00BE2CA7" w:rsidP="002B0590">
            <w:pPr>
              <w:spacing w:before="40" w:after="120"/>
              <w:ind w:left="57" w:right="57"/>
              <w:rPr>
                <w:lang w:val="fr-FR"/>
              </w:rPr>
            </w:pPr>
            <w:r w:rsidRPr="00440C76">
              <w:rPr>
                <w:lang w:val="fr-FR"/>
              </w:rPr>
              <w:t>Facteurs de détérioration (DF) multiplicatifs : carburant</w:t>
            </w:r>
            <w:r>
              <w:rPr>
                <w:lang w:val="fr-FR"/>
              </w:rPr>
              <w:t> </w:t>
            </w:r>
            <w:r w:rsidRPr="00440C76">
              <w:rPr>
                <w:lang w:val="fr-FR"/>
              </w:rPr>
              <w:t>1, carburant</w:t>
            </w:r>
            <w:r>
              <w:rPr>
                <w:lang w:val="fr-FR"/>
              </w:rPr>
              <w:t> </w:t>
            </w:r>
            <w:r w:rsidRPr="00440C76">
              <w:rPr>
                <w:lang w:val="fr-FR"/>
              </w:rPr>
              <w:t>2 (le cas échéant)</w:t>
            </w:r>
          </w:p>
        </w:tc>
        <w:tc>
          <w:tcPr>
            <w:tcW w:w="1554" w:type="dxa"/>
            <w:shd w:val="clear" w:color="auto" w:fill="auto"/>
          </w:tcPr>
          <w:p w14:paraId="44CBAD0B" w14:textId="77777777" w:rsidR="00BE2CA7" w:rsidRPr="00440C76" w:rsidRDefault="00BE2CA7" w:rsidP="002B0590">
            <w:pPr>
              <w:spacing w:before="40" w:after="120"/>
              <w:ind w:left="57" w:right="57"/>
              <w:rPr>
                <w:lang w:val="fr-FR"/>
              </w:rPr>
            </w:pPr>
            <w:r w:rsidRPr="00440C76">
              <w:rPr>
                <w:lang w:val="fr-FR"/>
              </w:rPr>
              <w:t>Valeurs du tableau</w:t>
            </w:r>
          </w:p>
        </w:tc>
        <w:tc>
          <w:tcPr>
            <w:tcW w:w="997" w:type="dxa"/>
            <w:shd w:val="clear" w:color="auto" w:fill="auto"/>
          </w:tcPr>
          <w:p w14:paraId="54BA4BB9" w14:textId="77777777" w:rsidR="00BE2CA7" w:rsidRPr="00440C76" w:rsidRDefault="00BE2CA7" w:rsidP="002B0590">
            <w:pPr>
              <w:spacing w:before="40" w:after="120"/>
              <w:ind w:left="57" w:right="57"/>
              <w:rPr>
                <w:lang w:val="fr-FR"/>
              </w:rPr>
            </w:pPr>
            <w:r w:rsidRPr="00440C76">
              <w:rPr>
                <w:lang w:val="fr-FR"/>
              </w:rPr>
              <w:t>sans unités</w:t>
            </w:r>
          </w:p>
        </w:tc>
        <w:tc>
          <w:tcPr>
            <w:tcW w:w="3825" w:type="dxa"/>
            <w:gridSpan w:val="2"/>
            <w:shd w:val="clear" w:color="auto" w:fill="auto"/>
          </w:tcPr>
          <w:p w14:paraId="09F7D20D" w14:textId="77777777" w:rsidR="00BE2CA7" w:rsidRPr="00440C76" w:rsidRDefault="00BE2CA7" w:rsidP="002B0590">
            <w:pPr>
              <w:spacing w:before="40" w:after="120"/>
              <w:ind w:left="57" w:right="57"/>
              <w:rPr>
                <w:lang w:val="fr-FR"/>
              </w:rPr>
            </w:pPr>
            <w:r w:rsidRPr="00440C76">
              <w:rPr>
                <w:lang w:val="fr-FR"/>
              </w:rPr>
              <w:t>Tableau définissant les facteurs de détérioration pour chaque polluant.</w:t>
            </w:r>
            <w:r w:rsidRPr="00440C76">
              <w:rPr>
                <w:lang w:val="fr-FR"/>
              </w:rPr>
              <w:br/>
              <w:t>1. CO, PM, PN, NO</w:t>
            </w:r>
            <w:r w:rsidRPr="00440C76">
              <w:rPr>
                <w:vertAlign w:val="subscript"/>
                <w:lang w:val="fr-FR"/>
              </w:rPr>
              <w:t>x</w:t>
            </w:r>
            <w:r w:rsidRPr="00440C76">
              <w:rPr>
                <w:lang w:val="fr-FR"/>
              </w:rPr>
              <w:t xml:space="preserve">, NMHC et THC pour les véhicules à essence </w:t>
            </w:r>
            <w:proofErr w:type="spellStart"/>
            <w:r w:rsidRPr="00440C76">
              <w:rPr>
                <w:lang w:val="fr-FR"/>
              </w:rPr>
              <w:t>monocarburant</w:t>
            </w:r>
            <w:proofErr w:type="spellEnd"/>
            <w:r w:rsidRPr="00440C76">
              <w:rPr>
                <w:lang w:val="fr-FR"/>
              </w:rPr>
              <w:t xml:space="preserve"> et pour tous les véhicules bicarburant et polycarburant.</w:t>
            </w:r>
            <w:r w:rsidRPr="00440C76">
              <w:rPr>
                <w:lang w:val="fr-FR"/>
              </w:rPr>
              <w:br/>
            </w:r>
            <w:r w:rsidRPr="00440C76">
              <w:rPr>
                <w:lang w:val="fr-FR"/>
              </w:rPr>
              <w:lastRenderedPageBreak/>
              <w:t>2. CO, NO</w:t>
            </w:r>
            <w:r w:rsidRPr="00440C76">
              <w:rPr>
                <w:vertAlign w:val="subscript"/>
                <w:lang w:val="fr-FR"/>
              </w:rPr>
              <w:t>x</w:t>
            </w:r>
            <w:r w:rsidRPr="00440C76">
              <w:rPr>
                <w:lang w:val="fr-FR"/>
              </w:rPr>
              <w:t xml:space="preserve">, NMHC et THC pour les véhicules </w:t>
            </w:r>
            <w:proofErr w:type="spellStart"/>
            <w:r w:rsidRPr="00440C76">
              <w:rPr>
                <w:lang w:val="fr-FR"/>
              </w:rPr>
              <w:t>monocarburant</w:t>
            </w:r>
            <w:proofErr w:type="spellEnd"/>
            <w:r w:rsidRPr="00440C76">
              <w:rPr>
                <w:lang w:val="fr-FR"/>
              </w:rPr>
              <w:t xml:space="preserve"> au GPL et au GN.</w:t>
            </w:r>
            <w:r w:rsidRPr="00440C76">
              <w:rPr>
                <w:lang w:val="fr-FR"/>
              </w:rPr>
              <w:br/>
              <w:t>3. NO</w:t>
            </w:r>
            <w:r w:rsidRPr="00440C76">
              <w:rPr>
                <w:vertAlign w:val="subscript"/>
                <w:lang w:val="fr-FR"/>
              </w:rPr>
              <w:t>x</w:t>
            </w:r>
            <w:r w:rsidRPr="00440C76">
              <w:rPr>
                <w:lang w:val="fr-FR"/>
              </w:rPr>
              <w:t xml:space="preserve"> pour les véhicules </w:t>
            </w:r>
            <w:proofErr w:type="spellStart"/>
            <w:r w:rsidRPr="00440C76">
              <w:rPr>
                <w:lang w:val="fr-FR"/>
              </w:rPr>
              <w:t>monocarburant</w:t>
            </w:r>
            <w:proofErr w:type="spellEnd"/>
            <w:r w:rsidRPr="00440C76">
              <w:rPr>
                <w:lang w:val="fr-FR"/>
              </w:rPr>
              <w:t xml:space="preserve"> au H</w:t>
            </w:r>
            <w:r w:rsidRPr="00440C76">
              <w:rPr>
                <w:vertAlign w:val="subscript"/>
                <w:lang w:val="fr-FR"/>
              </w:rPr>
              <w:t>2</w:t>
            </w:r>
            <w:r w:rsidRPr="00440C76">
              <w:rPr>
                <w:lang w:val="fr-FR"/>
              </w:rPr>
              <w:t>.</w:t>
            </w:r>
            <w:r w:rsidRPr="00440C76">
              <w:rPr>
                <w:lang w:val="fr-FR"/>
              </w:rPr>
              <w:br/>
              <w:t>4. NO</w:t>
            </w:r>
            <w:r w:rsidRPr="00440C76">
              <w:rPr>
                <w:vertAlign w:val="subscript"/>
                <w:lang w:val="fr-FR"/>
              </w:rPr>
              <w:t>x</w:t>
            </w:r>
            <w:r w:rsidRPr="00440C76">
              <w:rPr>
                <w:lang w:val="fr-FR"/>
              </w:rPr>
              <w:t xml:space="preserve">, </w:t>
            </w:r>
            <w:proofErr w:type="spellStart"/>
            <w:r w:rsidRPr="00440C76">
              <w:rPr>
                <w:lang w:val="fr-FR"/>
              </w:rPr>
              <w:t>THC+NO</w:t>
            </w:r>
            <w:r w:rsidRPr="00440C76">
              <w:rPr>
                <w:vertAlign w:val="subscript"/>
                <w:lang w:val="fr-FR"/>
              </w:rPr>
              <w:t>x</w:t>
            </w:r>
            <w:proofErr w:type="spellEnd"/>
            <w:r w:rsidRPr="00440C76">
              <w:rPr>
                <w:lang w:val="fr-FR"/>
              </w:rPr>
              <w:t>, CO, PM et PN pour tous les véhicules diesel.</w:t>
            </w:r>
            <w:r w:rsidRPr="00440C76">
              <w:rPr>
                <w:lang w:val="fr-FR"/>
              </w:rPr>
              <w:br/>
              <w:t>5. Vide si des facteurs DF additifs sont fournis. Par</w:t>
            </w:r>
            <w:r>
              <w:rPr>
                <w:lang w:val="fr-FR"/>
              </w:rPr>
              <w:t>. </w:t>
            </w:r>
            <w:r w:rsidRPr="00440C76">
              <w:rPr>
                <w:lang w:val="fr-FR"/>
              </w:rPr>
              <w:t>2.1.1.1.1 de l</w:t>
            </w:r>
            <w:r>
              <w:rPr>
                <w:lang w:val="fr-FR"/>
              </w:rPr>
              <w:t>’</w:t>
            </w:r>
            <w:r w:rsidRPr="00440C76">
              <w:rPr>
                <w:lang w:val="fr-FR"/>
              </w:rPr>
              <w:t>appendice</w:t>
            </w:r>
            <w:r>
              <w:rPr>
                <w:lang w:val="fr-FR"/>
              </w:rPr>
              <w:t> </w:t>
            </w:r>
            <w:r w:rsidRPr="00440C76">
              <w:rPr>
                <w:lang w:val="fr-FR"/>
              </w:rPr>
              <w:t>1 de l</w:t>
            </w:r>
            <w:r>
              <w:rPr>
                <w:lang w:val="fr-FR"/>
              </w:rPr>
              <w:t>’</w:t>
            </w:r>
            <w:r w:rsidRPr="00440C76">
              <w:rPr>
                <w:lang w:val="fr-FR"/>
              </w:rPr>
              <w:t>annexe</w:t>
            </w:r>
            <w:r>
              <w:rPr>
                <w:lang w:val="fr-FR"/>
              </w:rPr>
              <w:t> </w:t>
            </w:r>
            <w:r w:rsidRPr="00440C76">
              <w:rPr>
                <w:lang w:val="fr-FR"/>
              </w:rPr>
              <w:t>A1 du Règlement ONU n</w:t>
            </w:r>
            <w:r w:rsidRPr="00440C76">
              <w:rPr>
                <w:vertAlign w:val="superscript"/>
                <w:lang w:val="fr-FR"/>
              </w:rPr>
              <w:t>o</w:t>
            </w:r>
            <w:r w:rsidRPr="00440C76">
              <w:rPr>
                <w:lang w:val="fr-FR"/>
              </w:rPr>
              <w:t> 154</w:t>
            </w:r>
          </w:p>
        </w:tc>
      </w:tr>
      <w:tr w:rsidR="00BE2CA7" w:rsidRPr="00440C76" w14:paraId="0B9A4AA5" w14:textId="77777777" w:rsidTr="002B0590">
        <w:tc>
          <w:tcPr>
            <w:tcW w:w="1134" w:type="dxa"/>
            <w:shd w:val="clear" w:color="auto" w:fill="auto"/>
          </w:tcPr>
          <w:p w14:paraId="126F544C" w14:textId="77777777" w:rsidR="00BE2CA7" w:rsidRPr="00440C76" w:rsidRDefault="00BE2CA7" w:rsidP="002B0590">
            <w:pPr>
              <w:spacing w:before="40" w:after="120"/>
              <w:ind w:left="57" w:right="57"/>
              <w:rPr>
                <w:lang w:val="fr-FR"/>
              </w:rPr>
            </w:pPr>
            <w:r w:rsidRPr="00440C76">
              <w:rPr>
                <w:lang w:val="fr-FR"/>
              </w:rPr>
              <w:lastRenderedPageBreak/>
              <w:t>32</w:t>
            </w:r>
          </w:p>
        </w:tc>
        <w:tc>
          <w:tcPr>
            <w:tcW w:w="2127" w:type="dxa"/>
            <w:shd w:val="clear" w:color="auto" w:fill="auto"/>
          </w:tcPr>
          <w:p w14:paraId="5401B5D6" w14:textId="77777777" w:rsidR="00BE2CA7" w:rsidRPr="00440C76" w:rsidRDefault="00BE2CA7" w:rsidP="002B0590">
            <w:pPr>
              <w:spacing w:before="40" w:after="120"/>
              <w:ind w:left="57" w:right="57"/>
              <w:rPr>
                <w:lang w:val="fr-FR"/>
              </w:rPr>
            </w:pPr>
            <w:r w:rsidRPr="00440C76">
              <w:rPr>
                <w:lang w:val="fr-FR"/>
              </w:rPr>
              <w:t>Tension de la batterie pour tous les SRSEE</w:t>
            </w:r>
          </w:p>
        </w:tc>
        <w:tc>
          <w:tcPr>
            <w:tcW w:w="1554" w:type="dxa"/>
            <w:shd w:val="clear" w:color="auto" w:fill="auto"/>
          </w:tcPr>
          <w:p w14:paraId="60A9B57F" w14:textId="77777777" w:rsidR="00BE2CA7" w:rsidRPr="00440C76" w:rsidRDefault="00BE2CA7" w:rsidP="002B0590">
            <w:pPr>
              <w:spacing w:before="40" w:after="120"/>
              <w:ind w:left="57" w:right="57"/>
              <w:rPr>
                <w:lang w:val="fr-FR"/>
              </w:rPr>
            </w:pPr>
            <w:r w:rsidRPr="00440C76">
              <w:rPr>
                <w:lang w:val="fr-FR"/>
              </w:rPr>
              <w:t>Nombre</w:t>
            </w:r>
          </w:p>
        </w:tc>
        <w:tc>
          <w:tcPr>
            <w:tcW w:w="997" w:type="dxa"/>
            <w:shd w:val="clear" w:color="auto" w:fill="auto"/>
          </w:tcPr>
          <w:p w14:paraId="69A4B269" w14:textId="77777777" w:rsidR="00BE2CA7" w:rsidRPr="00440C76" w:rsidRDefault="00BE2CA7" w:rsidP="002B0590">
            <w:pPr>
              <w:spacing w:before="40" w:after="120"/>
              <w:ind w:left="57" w:right="57"/>
              <w:rPr>
                <w:lang w:val="fr-FR"/>
              </w:rPr>
            </w:pPr>
            <w:r w:rsidRPr="00440C76">
              <w:rPr>
                <w:lang w:val="fr-FR"/>
              </w:rPr>
              <w:t>V</w:t>
            </w:r>
          </w:p>
        </w:tc>
        <w:tc>
          <w:tcPr>
            <w:tcW w:w="3825" w:type="dxa"/>
            <w:gridSpan w:val="2"/>
            <w:shd w:val="clear" w:color="auto" w:fill="auto"/>
          </w:tcPr>
          <w:p w14:paraId="6E5D47D9" w14:textId="77777777" w:rsidR="00BE2CA7" w:rsidRPr="00440C76" w:rsidRDefault="00BE2CA7" w:rsidP="002B0590">
            <w:pPr>
              <w:spacing w:before="40" w:after="120"/>
              <w:ind w:left="57" w:right="57"/>
              <w:rPr>
                <w:lang w:val="fr-FR"/>
              </w:rPr>
            </w:pPr>
            <w:r w:rsidRPr="00440C76">
              <w:rPr>
                <w:lang w:val="fr-FR"/>
              </w:rPr>
              <w:t>Comme défini au paragraphe</w:t>
            </w:r>
            <w:r>
              <w:rPr>
                <w:lang w:val="fr-FR"/>
              </w:rPr>
              <w:t> </w:t>
            </w:r>
            <w:r w:rsidRPr="00440C76">
              <w:rPr>
                <w:lang w:val="fr-FR"/>
              </w:rPr>
              <w:t>4.1 de l</w:t>
            </w:r>
            <w:r>
              <w:rPr>
                <w:lang w:val="fr-FR"/>
              </w:rPr>
              <w:t>’</w:t>
            </w:r>
            <w:r w:rsidRPr="00440C76">
              <w:rPr>
                <w:lang w:val="fr-FR"/>
              </w:rPr>
              <w:t>appendice</w:t>
            </w:r>
            <w:r>
              <w:rPr>
                <w:lang w:val="fr-FR"/>
              </w:rPr>
              <w:t> </w:t>
            </w:r>
            <w:r w:rsidRPr="00440C76">
              <w:rPr>
                <w:lang w:val="fr-FR"/>
              </w:rPr>
              <w:t>2 de l</w:t>
            </w:r>
            <w:r>
              <w:rPr>
                <w:lang w:val="fr-FR"/>
              </w:rPr>
              <w:t>’</w:t>
            </w:r>
            <w:r w:rsidRPr="00440C76">
              <w:rPr>
                <w:lang w:val="fr-FR"/>
              </w:rPr>
              <w:t>annexe</w:t>
            </w:r>
            <w:r>
              <w:rPr>
                <w:lang w:val="fr-FR"/>
              </w:rPr>
              <w:t> </w:t>
            </w:r>
            <w:r w:rsidRPr="00440C76">
              <w:rPr>
                <w:lang w:val="fr-FR"/>
              </w:rPr>
              <w:t>B6 du Règlement ONU n</w:t>
            </w:r>
            <w:r w:rsidRPr="00440C76">
              <w:rPr>
                <w:vertAlign w:val="superscript"/>
                <w:lang w:val="fr-FR"/>
              </w:rPr>
              <w:t>o</w:t>
            </w:r>
            <w:r w:rsidRPr="00440C76">
              <w:rPr>
                <w:lang w:val="fr-FR"/>
              </w:rPr>
              <w:t> 154</w:t>
            </w:r>
            <w:r w:rsidRPr="00440C76">
              <w:rPr>
                <w:lang w:val="fr-FR"/>
              </w:rPr>
              <w:br/>
              <w:t>(DIN EN 60050-482)</w:t>
            </w:r>
          </w:p>
        </w:tc>
      </w:tr>
      <w:tr w:rsidR="00BE2CA7" w:rsidRPr="00440C76" w14:paraId="1A2977EA" w14:textId="77777777" w:rsidTr="002B0590">
        <w:tc>
          <w:tcPr>
            <w:tcW w:w="1134" w:type="dxa"/>
            <w:shd w:val="clear" w:color="auto" w:fill="auto"/>
          </w:tcPr>
          <w:p w14:paraId="392E4454" w14:textId="77777777" w:rsidR="00BE2CA7" w:rsidRPr="00440C76" w:rsidRDefault="00BE2CA7" w:rsidP="002B0590">
            <w:pPr>
              <w:spacing w:before="40" w:after="120"/>
              <w:ind w:left="57" w:right="57"/>
              <w:rPr>
                <w:lang w:val="fr-FR"/>
              </w:rPr>
            </w:pPr>
            <w:r w:rsidRPr="00440C76">
              <w:rPr>
                <w:lang w:val="fr-FR"/>
              </w:rPr>
              <w:t>33</w:t>
            </w:r>
          </w:p>
        </w:tc>
        <w:tc>
          <w:tcPr>
            <w:tcW w:w="2127" w:type="dxa"/>
            <w:shd w:val="clear" w:color="auto" w:fill="auto"/>
          </w:tcPr>
          <w:p w14:paraId="3F0020AF" w14:textId="77777777" w:rsidR="00BE2CA7" w:rsidRPr="00440C76" w:rsidRDefault="00BE2CA7" w:rsidP="002B0590">
            <w:pPr>
              <w:spacing w:before="40" w:after="120"/>
              <w:ind w:left="57" w:right="57"/>
              <w:rPr>
                <w:lang w:val="fr-FR"/>
              </w:rPr>
            </w:pPr>
            <w:r w:rsidRPr="00440C76">
              <w:rPr>
                <w:lang w:val="fr-FR"/>
              </w:rPr>
              <w:t>Coefficient de correction K uniquement pour VEH-NRE et RE</w:t>
            </w:r>
          </w:p>
        </w:tc>
        <w:tc>
          <w:tcPr>
            <w:tcW w:w="1554" w:type="dxa"/>
            <w:shd w:val="clear" w:color="auto" w:fill="auto"/>
          </w:tcPr>
          <w:p w14:paraId="02F2AF12" w14:textId="77777777" w:rsidR="00BE2CA7" w:rsidRPr="00440C76" w:rsidRDefault="00BE2CA7" w:rsidP="002B0590">
            <w:pPr>
              <w:spacing w:before="40" w:after="120"/>
              <w:ind w:left="57" w:right="57"/>
              <w:rPr>
                <w:lang w:val="fr-FR"/>
              </w:rPr>
            </w:pPr>
            <w:r w:rsidRPr="00440C76">
              <w:rPr>
                <w:lang w:val="fr-FR"/>
              </w:rPr>
              <w:t>Tableau</w:t>
            </w:r>
          </w:p>
        </w:tc>
        <w:tc>
          <w:tcPr>
            <w:tcW w:w="997" w:type="dxa"/>
            <w:shd w:val="clear" w:color="auto" w:fill="auto"/>
          </w:tcPr>
          <w:p w14:paraId="333302AF" w14:textId="77777777" w:rsidR="00BE2CA7" w:rsidRPr="00440C76" w:rsidRDefault="00BE2CA7" w:rsidP="002B0590">
            <w:pPr>
              <w:spacing w:before="40" w:after="120"/>
              <w:ind w:left="57" w:right="57"/>
              <w:rPr>
                <w:spacing w:val="-2"/>
                <w:lang w:val="fr-FR"/>
              </w:rPr>
            </w:pPr>
            <w:r w:rsidRPr="00440C76">
              <w:rPr>
                <w:spacing w:val="-2"/>
                <w:lang w:val="fr-FR"/>
              </w:rPr>
              <w:t>(g/km)/ (Wh/km)</w:t>
            </w:r>
          </w:p>
        </w:tc>
        <w:tc>
          <w:tcPr>
            <w:tcW w:w="3825" w:type="dxa"/>
            <w:gridSpan w:val="2"/>
            <w:shd w:val="clear" w:color="auto" w:fill="auto"/>
          </w:tcPr>
          <w:p w14:paraId="46FAAF72" w14:textId="77777777" w:rsidR="00BE2CA7" w:rsidRPr="00440C76" w:rsidRDefault="00BE2CA7" w:rsidP="002B0590">
            <w:pPr>
              <w:spacing w:before="40" w:after="120"/>
              <w:ind w:left="57" w:right="57"/>
              <w:rPr>
                <w:lang w:val="fr-FR"/>
              </w:rPr>
            </w:pPr>
            <w:r w:rsidRPr="00440C76">
              <w:rPr>
                <w:lang w:val="fr-FR"/>
              </w:rPr>
              <w:t>Pour les VEH-NRE et RE, correction des émissions de CO</w:t>
            </w:r>
            <w:r w:rsidRPr="00440C76">
              <w:rPr>
                <w:vertAlign w:val="subscript"/>
                <w:lang w:val="fr-FR"/>
              </w:rPr>
              <w:t>2</w:t>
            </w:r>
            <w:r w:rsidRPr="00440C76">
              <w:rPr>
                <w:lang w:val="fr-FR"/>
              </w:rPr>
              <w:t xml:space="preserve"> en mode maintien de la charge, comme défini au paragraphe</w:t>
            </w:r>
            <w:r>
              <w:rPr>
                <w:lang w:val="fr-FR"/>
              </w:rPr>
              <w:t> </w:t>
            </w:r>
            <w:r w:rsidRPr="00440C76">
              <w:rPr>
                <w:lang w:val="fr-FR"/>
              </w:rPr>
              <w:t>2 de l</w:t>
            </w:r>
            <w:r>
              <w:rPr>
                <w:lang w:val="fr-FR"/>
              </w:rPr>
              <w:t>’</w:t>
            </w:r>
            <w:r w:rsidRPr="00440C76">
              <w:rPr>
                <w:lang w:val="fr-FR"/>
              </w:rPr>
              <w:t>appendice</w:t>
            </w:r>
            <w:r>
              <w:rPr>
                <w:lang w:val="fr-FR"/>
              </w:rPr>
              <w:t> </w:t>
            </w:r>
            <w:r w:rsidRPr="00440C76">
              <w:rPr>
                <w:lang w:val="fr-FR"/>
              </w:rPr>
              <w:t>2 de l</w:t>
            </w:r>
            <w:r>
              <w:rPr>
                <w:lang w:val="fr-FR"/>
              </w:rPr>
              <w:t>’</w:t>
            </w:r>
            <w:r w:rsidRPr="00440C76">
              <w:rPr>
                <w:lang w:val="fr-FR"/>
              </w:rPr>
              <w:t>annexe</w:t>
            </w:r>
            <w:r>
              <w:rPr>
                <w:lang w:val="fr-FR"/>
              </w:rPr>
              <w:t> </w:t>
            </w:r>
            <w:r w:rsidRPr="00440C76">
              <w:rPr>
                <w:lang w:val="fr-FR"/>
              </w:rPr>
              <w:t>B8 du Règlement ONU n</w:t>
            </w:r>
            <w:r w:rsidRPr="00440C76">
              <w:rPr>
                <w:vertAlign w:val="superscript"/>
                <w:lang w:val="fr-FR"/>
              </w:rPr>
              <w:t>o</w:t>
            </w:r>
            <w:r w:rsidRPr="00440C76">
              <w:rPr>
                <w:lang w:val="fr-FR"/>
              </w:rPr>
              <w:t> 154</w:t>
            </w:r>
            <w:r>
              <w:rPr>
                <w:lang w:val="fr-FR"/>
              </w:rPr>
              <w:t>.</w:t>
            </w:r>
          </w:p>
        </w:tc>
      </w:tr>
      <w:tr w:rsidR="00BE2CA7" w:rsidRPr="00440C76" w14:paraId="124AFB48" w14:textId="77777777" w:rsidTr="002B0590">
        <w:trPr>
          <w:gridAfter w:val="1"/>
          <w:wAfter w:w="9" w:type="dxa"/>
        </w:trPr>
        <w:tc>
          <w:tcPr>
            <w:tcW w:w="1134" w:type="dxa"/>
            <w:shd w:val="clear" w:color="auto" w:fill="auto"/>
          </w:tcPr>
          <w:p w14:paraId="43EA1B22" w14:textId="77777777" w:rsidR="00BE2CA7" w:rsidRPr="00440C76" w:rsidRDefault="00BE2CA7" w:rsidP="002B0590">
            <w:pPr>
              <w:spacing w:before="40" w:after="120"/>
              <w:ind w:left="57" w:right="57"/>
              <w:rPr>
                <w:lang w:val="fr-FR"/>
              </w:rPr>
            </w:pPr>
            <w:r w:rsidRPr="00440C76">
              <w:rPr>
                <w:lang w:val="fr-FR"/>
              </w:rPr>
              <w:t>42</w:t>
            </w:r>
          </w:p>
        </w:tc>
        <w:tc>
          <w:tcPr>
            <w:tcW w:w="2127" w:type="dxa"/>
            <w:shd w:val="clear" w:color="auto" w:fill="auto"/>
          </w:tcPr>
          <w:p w14:paraId="071FBA00" w14:textId="77777777" w:rsidR="00BE2CA7" w:rsidRPr="00440C76" w:rsidRDefault="00BE2CA7" w:rsidP="002B0590">
            <w:pPr>
              <w:spacing w:before="40" w:after="120"/>
              <w:ind w:left="57" w:right="57"/>
              <w:rPr>
                <w:lang w:val="fr-FR"/>
              </w:rPr>
            </w:pPr>
            <w:r w:rsidRPr="00440C76">
              <w:rPr>
                <w:lang w:val="fr-FR"/>
              </w:rPr>
              <w:t>Reconnaissance d</w:t>
            </w:r>
            <w:r>
              <w:rPr>
                <w:lang w:val="fr-FR"/>
              </w:rPr>
              <w:t>’</w:t>
            </w:r>
            <w:r w:rsidRPr="00440C76">
              <w:rPr>
                <w:lang w:val="fr-FR"/>
              </w:rPr>
              <w:t>un épisode de régénération</w:t>
            </w:r>
          </w:p>
        </w:tc>
        <w:tc>
          <w:tcPr>
            <w:tcW w:w="1554" w:type="dxa"/>
            <w:shd w:val="clear" w:color="auto" w:fill="auto"/>
          </w:tcPr>
          <w:p w14:paraId="672F52E3" w14:textId="77777777" w:rsidR="00BE2CA7" w:rsidRPr="00440C76" w:rsidRDefault="00BE2CA7" w:rsidP="002B0590">
            <w:pPr>
              <w:spacing w:before="40" w:after="120"/>
              <w:ind w:left="57" w:right="57"/>
              <w:rPr>
                <w:lang w:val="fr-FR"/>
              </w:rPr>
            </w:pPr>
            <w:r w:rsidRPr="00440C76">
              <w:rPr>
                <w:lang w:val="fr-FR"/>
              </w:rPr>
              <w:t xml:space="preserve">Document </w:t>
            </w:r>
            <w:proofErr w:type="spellStart"/>
            <w:r w:rsidRPr="00440C76">
              <w:rPr>
                <w:lang w:val="fr-FR"/>
              </w:rPr>
              <w:t>pdf</w:t>
            </w:r>
            <w:proofErr w:type="spellEnd"/>
            <w:r w:rsidRPr="00440C76">
              <w:rPr>
                <w:lang w:val="fr-FR"/>
              </w:rPr>
              <w:t xml:space="preserve"> ou jpg</w:t>
            </w:r>
            <w:r w:rsidRPr="00440C76">
              <w:rPr>
                <w:vertAlign w:val="superscript"/>
                <w:lang w:val="fr-FR"/>
              </w:rPr>
              <w:t>13</w:t>
            </w:r>
            <w:r w:rsidRPr="00440C76">
              <w:rPr>
                <w:lang w:val="fr-FR"/>
              </w:rPr>
              <w:br/>
              <w:t>Le nom du fichier doit être un UUID</w:t>
            </w:r>
            <w:r w:rsidRPr="00440C76">
              <w:rPr>
                <w:vertAlign w:val="superscript"/>
                <w:lang w:val="fr-FR"/>
              </w:rPr>
              <w:t>14</w:t>
            </w:r>
            <w:r w:rsidRPr="00440C76">
              <w:rPr>
                <w:lang w:val="fr-FR"/>
              </w:rPr>
              <w:t xml:space="preserve"> unique à l</w:t>
            </w:r>
            <w:r>
              <w:rPr>
                <w:lang w:val="fr-FR"/>
              </w:rPr>
              <w:t>’</w:t>
            </w:r>
            <w:r w:rsidRPr="00440C76">
              <w:rPr>
                <w:lang w:val="fr-FR"/>
              </w:rPr>
              <w:t>intérieur du dossier</w:t>
            </w:r>
          </w:p>
        </w:tc>
        <w:tc>
          <w:tcPr>
            <w:tcW w:w="997" w:type="dxa"/>
            <w:shd w:val="clear" w:color="auto" w:fill="auto"/>
          </w:tcPr>
          <w:p w14:paraId="1D8BB3D8" w14:textId="77777777" w:rsidR="00BE2CA7" w:rsidRPr="00440C76" w:rsidRDefault="00BE2CA7" w:rsidP="002B0590">
            <w:pPr>
              <w:spacing w:before="40" w:after="120"/>
              <w:ind w:left="57" w:right="57"/>
              <w:rPr>
                <w:lang w:val="fr-FR"/>
              </w:rPr>
            </w:pPr>
          </w:p>
        </w:tc>
        <w:tc>
          <w:tcPr>
            <w:tcW w:w="3816" w:type="dxa"/>
            <w:shd w:val="clear" w:color="auto" w:fill="auto"/>
          </w:tcPr>
          <w:p w14:paraId="137F3618" w14:textId="77777777" w:rsidR="00BE2CA7" w:rsidRPr="00440C76" w:rsidRDefault="00BE2CA7" w:rsidP="002B0590">
            <w:pPr>
              <w:spacing w:before="40" w:after="120"/>
              <w:ind w:left="57" w:right="57"/>
              <w:rPr>
                <w:lang w:val="fr-FR"/>
              </w:rPr>
            </w:pPr>
            <w:r w:rsidRPr="00440C76">
              <w:rPr>
                <w:lang w:val="fr-FR"/>
              </w:rPr>
              <w:t>Description par le constructeur du véhicule indiquant comment reconnaître qu</w:t>
            </w:r>
            <w:r>
              <w:rPr>
                <w:lang w:val="fr-FR"/>
              </w:rPr>
              <w:t>’</w:t>
            </w:r>
            <w:r w:rsidRPr="00440C76">
              <w:rPr>
                <w:lang w:val="fr-FR"/>
              </w:rPr>
              <w:t>une régénération s</w:t>
            </w:r>
            <w:r>
              <w:rPr>
                <w:lang w:val="fr-FR"/>
              </w:rPr>
              <w:t>’</w:t>
            </w:r>
            <w:r w:rsidRPr="00440C76">
              <w:rPr>
                <w:lang w:val="fr-FR"/>
              </w:rPr>
              <w:t>est produite pendant un essai</w:t>
            </w:r>
          </w:p>
        </w:tc>
      </w:tr>
      <w:tr w:rsidR="00BE2CA7" w:rsidRPr="00440C76" w14:paraId="75E1AA57" w14:textId="77777777" w:rsidTr="002B0590">
        <w:trPr>
          <w:gridAfter w:val="1"/>
          <w:wAfter w:w="9" w:type="dxa"/>
        </w:trPr>
        <w:tc>
          <w:tcPr>
            <w:tcW w:w="1134" w:type="dxa"/>
            <w:shd w:val="clear" w:color="auto" w:fill="auto"/>
          </w:tcPr>
          <w:p w14:paraId="6196B459" w14:textId="77777777" w:rsidR="00BE2CA7" w:rsidRPr="00440C76" w:rsidRDefault="00BE2CA7" w:rsidP="002B0590">
            <w:pPr>
              <w:spacing w:before="40" w:after="120"/>
              <w:ind w:left="57" w:right="57"/>
              <w:rPr>
                <w:lang w:val="fr-FR"/>
              </w:rPr>
            </w:pPr>
            <w:r w:rsidRPr="00440C76">
              <w:rPr>
                <w:lang w:val="fr-FR"/>
              </w:rPr>
              <w:t>43</w:t>
            </w:r>
          </w:p>
        </w:tc>
        <w:tc>
          <w:tcPr>
            <w:tcW w:w="2127" w:type="dxa"/>
            <w:shd w:val="clear" w:color="auto" w:fill="auto"/>
          </w:tcPr>
          <w:p w14:paraId="6D91A733" w14:textId="77777777" w:rsidR="00BE2CA7" w:rsidRPr="00440C76" w:rsidRDefault="00BE2CA7" w:rsidP="002B0590">
            <w:pPr>
              <w:spacing w:before="40" w:after="120"/>
              <w:ind w:left="57" w:right="57"/>
              <w:rPr>
                <w:lang w:val="fr-FR"/>
              </w:rPr>
            </w:pPr>
            <w:r w:rsidRPr="00440C76">
              <w:rPr>
                <w:lang w:val="fr-FR"/>
              </w:rPr>
              <w:t>Exécution d</w:t>
            </w:r>
            <w:r>
              <w:rPr>
                <w:lang w:val="fr-FR"/>
              </w:rPr>
              <w:t>’</w:t>
            </w:r>
            <w:r w:rsidRPr="00440C76">
              <w:rPr>
                <w:lang w:val="fr-FR"/>
              </w:rPr>
              <w:t>une séquence de régénération</w:t>
            </w:r>
          </w:p>
        </w:tc>
        <w:tc>
          <w:tcPr>
            <w:tcW w:w="1554" w:type="dxa"/>
            <w:shd w:val="clear" w:color="auto" w:fill="auto"/>
          </w:tcPr>
          <w:p w14:paraId="07C84CD0" w14:textId="77777777" w:rsidR="00BE2CA7" w:rsidRPr="00440C76" w:rsidRDefault="00BE2CA7" w:rsidP="002B0590">
            <w:pPr>
              <w:spacing w:before="40" w:after="120"/>
              <w:ind w:left="57" w:right="57"/>
              <w:rPr>
                <w:lang w:val="fr-FR"/>
              </w:rPr>
            </w:pPr>
            <w:r w:rsidRPr="00440C76">
              <w:rPr>
                <w:lang w:val="fr-FR"/>
              </w:rPr>
              <w:t xml:space="preserve">Document </w:t>
            </w:r>
            <w:proofErr w:type="spellStart"/>
            <w:r w:rsidRPr="00440C76">
              <w:rPr>
                <w:lang w:val="fr-FR"/>
              </w:rPr>
              <w:t>pdf</w:t>
            </w:r>
            <w:proofErr w:type="spellEnd"/>
            <w:r w:rsidRPr="00440C76">
              <w:rPr>
                <w:lang w:val="fr-FR"/>
              </w:rPr>
              <w:t xml:space="preserve"> ou jpg</w:t>
            </w:r>
            <w:r w:rsidRPr="00440C76">
              <w:rPr>
                <w:vertAlign w:val="superscript"/>
                <w:lang w:val="fr-FR"/>
              </w:rPr>
              <w:t>13</w:t>
            </w:r>
            <w:r w:rsidRPr="00440C76">
              <w:rPr>
                <w:lang w:val="fr-FR"/>
              </w:rPr>
              <w:br/>
              <w:t>Le nom du fichier doit être un UUID</w:t>
            </w:r>
            <w:r w:rsidRPr="00440C76">
              <w:rPr>
                <w:vertAlign w:val="superscript"/>
                <w:lang w:val="fr-FR"/>
              </w:rPr>
              <w:t>14</w:t>
            </w:r>
            <w:r w:rsidRPr="00440C76">
              <w:rPr>
                <w:lang w:val="fr-FR"/>
              </w:rPr>
              <w:t xml:space="preserve"> unique à l</w:t>
            </w:r>
            <w:r>
              <w:rPr>
                <w:lang w:val="fr-FR"/>
              </w:rPr>
              <w:t>’</w:t>
            </w:r>
            <w:r w:rsidRPr="00440C76">
              <w:rPr>
                <w:lang w:val="fr-FR"/>
              </w:rPr>
              <w:t>intérieur du dossier</w:t>
            </w:r>
          </w:p>
        </w:tc>
        <w:tc>
          <w:tcPr>
            <w:tcW w:w="997" w:type="dxa"/>
            <w:shd w:val="clear" w:color="auto" w:fill="auto"/>
          </w:tcPr>
          <w:p w14:paraId="2A376FA7" w14:textId="77777777" w:rsidR="00BE2CA7" w:rsidRPr="00440C76" w:rsidRDefault="00BE2CA7" w:rsidP="002B0590">
            <w:pPr>
              <w:spacing w:before="40" w:after="120"/>
              <w:ind w:left="57" w:right="57"/>
              <w:rPr>
                <w:lang w:val="fr-FR"/>
              </w:rPr>
            </w:pPr>
            <w:r w:rsidRPr="00440C76">
              <w:rPr>
                <w:lang w:val="fr-FR"/>
              </w:rPr>
              <w:t>-</w:t>
            </w:r>
          </w:p>
        </w:tc>
        <w:tc>
          <w:tcPr>
            <w:tcW w:w="3816" w:type="dxa"/>
            <w:shd w:val="clear" w:color="auto" w:fill="auto"/>
          </w:tcPr>
          <w:p w14:paraId="2BC313F7" w14:textId="77777777" w:rsidR="00BE2CA7" w:rsidRPr="00440C76" w:rsidRDefault="00BE2CA7" w:rsidP="002B0590">
            <w:pPr>
              <w:spacing w:before="40" w:after="120"/>
              <w:ind w:left="57" w:right="57"/>
              <w:rPr>
                <w:lang w:val="fr-FR"/>
              </w:rPr>
            </w:pPr>
            <w:r w:rsidRPr="00440C76">
              <w:rPr>
                <w:lang w:val="fr-FR"/>
              </w:rPr>
              <w:t>Description de la procédure d</w:t>
            </w:r>
            <w:r>
              <w:rPr>
                <w:lang w:val="fr-FR"/>
              </w:rPr>
              <w:t>’</w:t>
            </w:r>
            <w:r w:rsidRPr="00440C76">
              <w:rPr>
                <w:lang w:val="fr-FR"/>
              </w:rPr>
              <w:t>exécution d</w:t>
            </w:r>
            <w:r>
              <w:rPr>
                <w:lang w:val="fr-FR"/>
              </w:rPr>
              <w:t>’</w:t>
            </w:r>
            <w:r w:rsidRPr="00440C76">
              <w:rPr>
                <w:lang w:val="fr-FR"/>
              </w:rPr>
              <w:t>une séquence de régénération</w:t>
            </w:r>
          </w:p>
        </w:tc>
      </w:tr>
      <w:tr w:rsidR="00BE2CA7" w:rsidRPr="00440C76" w14:paraId="535D74A5" w14:textId="77777777" w:rsidTr="002B0590">
        <w:trPr>
          <w:gridAfter w:val="1"/>
          <w:wAfter w:w="9" w:type="dxa"/>
        </w:trPr>
        <w:tc>
          <w:tcPr>
            <w:tcW w:w="1134" w:type="dxa"/>
            <w:shd w:val="clear" w:color="auto" w:fill="auto"/>
          </w:tcPr>
          <w:p w14:paraId="6D50D3F9" w14:textId="77777777" w:rsidR="00BE2CA7" w:rsidRPr="00440C76" w:rsidRDefault="00BE2CA7" w:rsidP="002B0590">
            <w:pPr>
              <w:spacing w:before="40" w:after="120"/>
              <w:ind w:left="57" w:right="57"/>
              <w:rPr>
                <w:lang w:val="fr-FR"/>
              </w:rPr>
            </w:pPr>
            <w:r w:rsidRPr="00440C76">
              <w:rPr>
                <w:lang w:val="fr-FR"/>
              </w:rPr>
              <w:t>44a</w:t>
            </w:r>
          </w:p>
        </w:tc>
        <w:tc>
          <w:tcPr>
            <w:tcW w:w="2127" w:type="dxa"/>
            <w:shd w:val="clear" w:color="auto" w:fill="auto"/>
          </w:tcPr>
          <w:p w14:paraId="50E0E7C6" w14:textId="77777777" w:rsidR="00BE2CA7" w:rsidRPr="00440C76" w:rsidRDefault="00BE2CA7" w:rsidP="002B0590">
            <w:pPr>
              <w:spacing w:before="40" w:after="120"/>
              <w:ind w:left="57" w:right="57"/>
              <w:rPr>
                <w:lang w:val="fr-FR"/>
              </w:rPr>
            </w:pPr>
            <w:r w:rsidRPr="00440C76">
              <w:rPr>
                <w:lang w:val="fr-FR"/>
              </w:rPr>
              <w:t>Numéro d</w:t>
            </w:r>
            <w:r>
              <w:rPr>
                <w:lang w:val="fr-FR"/>
              </w:rPr>
              <w:t>’</w:t>
            </w:r>
            <w:r w:rsidRPr="00440C76">
              <w:rPr>
                <w:lang w:val="fr-FR"/>
              </w:rPr>
              <w:t>ordre du cycle de transition pour VL</w:t>
            </w:r>
          </w:p>
        </w:tc>
        <w:tc>
          <w:tcPr>
            <w:tcW w:w="1554" w:type="dxa"/>
            <w:shd w:val="clear" w:color="auto" w:fill="auto"/>
          </w:tcPr>
          <w:p w14:paraId="5F287B8F" w14:textId="77777777" w:rsidR="00BE2CA7" w:rsidRPr="00440C76" w:rsidRDefault="00BE2CA7" w:rsidP="002B0590">
            <w:pPr>
              <w:spacing w:before="40" w:after="120"/>
              <w:ind w:left="57" w:right="57"/>
              <w:rPr>
                <w:lang w:val="fr-FR"/>
              </w:rPr>
            </w:pPr>
            <w:r w:rsidRPr="00440C76">
              <w:rPr>
                <w:lang w:val="fr-FR"/>
              </w:rPr>
              <w:t>Nombre</w:t>
            </w:r>
          </w:p>
        </w:tc>
        <w:tc>
          <w:tcPr>
            <w:tcW w:w="997" w:type="dxa"/>
            <w:shd w:val="clear" w:color="auto" w:fill="auto"/>
          </w:tcPr>
          <w:p w14:paraId="2F18F49E" w14:textId="77777777" w:rsidR="00BE2CA7" w:rsidRPr="00440C76" w:rsidRDefault="00BE2CA7" w:rsidP="002B0590">
            <w:pPr>
              <w:spacing w:before="40" w:after="120"/>
              <w:ind w:left="57" w:right="57"/>
              <w:rPr>
                <w:lang w:val="fr-FR"/>
              </w:rPr>
            </w:pPr>
            <w:r w:rsidRPr="00440C76">
              <w:rPr>
                <w:lang w:val="fr-FR"/>
              </w:rPr>
              <w:t>-</w:t>
            </w:r>
          </w:p>
        </w:tc>
        <w:tc>
          <w:tcPr>
            <w:tcW w:w="3816" w:type="dxa"/>
            <w:shd w:val="clear" w:color="auto" w:fill="auto"/>
          </w:tcPr>
          <w:p w14:paraId="6B6D18CE" w14:textId="77777777" w:rsidR="00BE2CA7" w:rsidRPr="00440C76" w:rsidRDefault="00BE2CA7" w:rsidP="002B0590">
            <w:pPr>
              <w:spacing w:before="40" w:after="120"/>
              <w:ind w:left="57" w:right="57"/>
              <w:rPr>
                <w:lang w:val="fr-FR"/>
              </w:rPr>
            </w:pPr>
            <w:r w:rsidRPr="00440C76">
              <w:rPr>
                <w:lang w:val="fr-FR"/>
              </w:rPr>
              <w:t>Pour les VEH-RE uniquement. Nombre d</w:t>
            </w:r>
            <w:r>
              <w:rPr>
                <w:lang w:val="fr-FR"/>
              </w:rPr>
              <w:t>’</w:t>
            </w:r>
            <w:r w:rsidRPr="00440C76">
              <w:rPr>
                <w:lang w:val="fr-FR"/>
              </w:rPr>
              <w:t>essais en mode épuisement de la charge effectués jusqu</w:t>
            </w:r>
            <w:r>
              <w:rPr>
                <w:lang w:val="fr-FR"/>
              </w:rPr>
              <w:t>’</w:t>
            </w:r>
            <w:r w:rsidRPr="00440C76">
              <w:rPr>
                <w:lang w:val="fr-FR"/>
              </w:rPr>
              <w:t>à ce que le critère de déconnexion soit atteint. Par</w:t>
            </w:r>
            <w:r>
              <w:rPr>
                <w:lang w:val="fr-FR"/>
              </w:rPr>
              <w:t>. </w:t>
            </w:r>
            <w:r w:rsidRPr="00440C76">
              <w:rPr>
                <w:lang w:val="fr-FR"/>
              </w:rPr>
              <w:t>2.1.1.4.1.4 de l</w:t>
            </w:r>
            <w:r>
              <w:rPr>
                <w:lang w:val="fr-FR"/>
              </w:rPr>
              <w:t>’</w:t>
            </w:r>
            <w:r w:rsidRPr="00440C76">
              <w:rPr>
                <w:lang w:val="fr-FR"/>
              </w:rPr>
              <w:t>appendice</w:t>
            </w:r>
            <w:r>
              <w:rPr>
                <w:lang w:val="fr-FR"/>
              </w:rPr>
              <w:t> </w:t>
            </w:r>
            <w:r w:rsidRPr="00440C76">
              <w:rPr>
                <w:lang w:val="fr-FR"/>
              </w:rPr>
              <w:t>1 de l</w:t>
            </w:r>
            <w:r>
              <w:rPr>
                <w:lang w:val="fr-FR"/>
              </w:rPr>
              <w:t>’</w:t>
            </w:r>
            <w:r w:rsidRPr="00440C76">
              <w:rPr>
                <w:lang w:val="fr-FR"/>
              </w:rPr>
              <w:t>annexe</w:t>
            </w:r>
            <w:r>
              <w:rPr>
                <w:lang w:val="fr-FR"/>
              </w:rPr>
              <w:t> </w:t>
            </w:r>
            <w:r w:rsidRPr="00440C76">
              <w:rPr>
                <w:lang w:val="fr-FR"/>
              </w:rPr>
              <w:t>A1 du Règlement ONU n</w:t>
            </w:r>
            <w:r w:rsidRPr="00440C76">
              <w:rPr>
                <w:vertAlign w:val="superscript"/>
                <w:lang w:val="fr-FR"/>
              </w:rPr>
              <w:t>o</w:t>
            </w:r>
            <w:r w:rsidRPr="00440C76">
              <w:rPr>
                <w:lang w:val="fr-FR"/>
              </w:rPr>
              <w:t> 154</w:t>
            </w:r>
          </w:p>
        </w:tc>
      </w:tr>
      <w:tr w:rsidR="00BE2CA7" w:rsidRPr="00440C76" w14:paraId="1CAC6154" w14:textId="77777777" w:rsidTr="002B0590">
        <w:trPr>
          <w:gridAfter w:val="1"/>
          <w:wAfter w:w="9" w:type="dxa"/>
        </w:trPr>
        <w:tc>
          <w:tcPr>
            <w:tcW w:w="1134" w:type="dxa"/>
            <w:shd w:val="clear" w:color="auto" w:fill="auto"/>
          </w:tcPr>
          <w:p w14:paraId="4350C7AA" w14:textId="77777777" w:rsidR="00BE2CA7" w:rsidRPr="00440C76" w:rsidRDefault="00BE2CA7" w:rsidP="002B0590">
            <w:pPr>
              <w:spacing w:before="40" w:after="120"/>
              <w:ind w:left="57" w:right="57"/>
              <w:rPr>
                <w:lang w:val="fr-FR"/>
              </w:rPr>
            </w:pPr>
            <w:r w:rsidRPr="00440C76">
              <w:rPr>
                <w:lang w:val="fr-FR"/>
              </w:rPr>
              <w:t>49</w:t>
            </w:r>
          </w:p>
        </w:tc>
        <w:tc>
          <w:tcPr>
            <w:tcW w:w="2127" w:type="dxa"/>
            <w:shd w:val="clear" w:color="auto" w:fill="auto"/>
          </w:tcPr>
          <w:p w14:paraId="0D08A9EA" w14:textId="77777777" w:rsidR="00BE2CA7" w:rsidRPr="00440C76" w:rsidRDefault="00BE2CA7" w:rsidP="002B0590">
            <w:pPr>
              <w:spacing w:before="40" w:after="120"/>
              <w:ind w:left="57" w:right="57"/>
              <w:rPr>
                <w:lang w:val="fr-FR"/>
              </w:rPr>
            </w:pPr>
            <w:r w:rsidRPr="00440C76">
              <w:rPr>
                <w:lang w:val="fr-FR"/>
              </w:rPr>
              <w:t>Type de propulsion</w:t>
            </w:r>
          </w:p>
        </w:tc>
        <w:tc>
          <w:tcPr>
            <w:tcW w:w="1554" w:type="dxa"/>
            <w:shd w:val="clear" w:color="auto" w:fill="auto"/>
          </w:tcPr>
          <w:p w14:paraId="206B31BA" w14:textId="77777777" w:rsidR="00BE2CA7" w:rsidRPr="00440C76" w:rsidRDefault="00BE2CA7" w:rsidP="002B0590">
            <w:pPr>
              <w:spacing w:before="40" w:after="120"/>
              <w:ind w:left="57" w:right="57"/>
              <w:rPr>
                <w:lang w:val="fr-FR"/>
              </w:rPr>
            </w:pPr>
            <w:r w:rsidRPr="00440C76">
              <w:rPr>
                <w:lang w:val="fr-FR"/>
              </w:rPr>
              <w:t>Énumération : véhicules équipés uniquement de moteurs à combustion interne, VEH</w:t>
            </w:r>
            <w:r>
              <w:rPr>
                <w:lang w:val="fr-FR"/>
              </w:rPr>
              <w:noBreakHyphen/>
            </w:r>
            <w:r w:rsidRPr="00440C76">
              <w:rPr>
                <w:lang w:val="fr-FR"/>
              </w:rPr>
              <w:t>RE, VEH</w:t>
            </w:r>
            <w:r>
              <w:rPr>
                <w:lang w:val="fr-FR"/>
              </w:rPr>
              <w:noBreakHyphen/>
            </w:r>
            <w:r w:rsidRPr="00440C76">
              <w:rPr>
                <w:lang w:val="fr-FR"/>
              </w:rPr>
              <w:t>NRE</w:t>
            </w:r>
          </w:p>
        </w:tc>
        <w:tc>
          <w:tcPr>
            <w:tcW w:w="997" w:type="dxa"/>
            <w:shd w:val="clear" w:color="auto" w:fill="auto"/>
          </w:tcPr>
          <w:p w14:paraId="4B5F7D7E" w14:textId="77777777" w:rsidR="00BE2CA7" w:rsidRPr="00440C76" w:rsidRDefault="00BE2CA7" w:rsidP="002B0590">
            <w:pPr>
              <w:spacing w:before="40" w:after="120"/>
              <w:ind w:left="57" w:right="57"/>
              <w:rPr>
                <w:lang w:val="fr-FR"/>
              </w:rPr>
            </w:pPr>
            <w:r w:rsidRPr="00440C76">
              <w:rPr>
                <w:lang w:val="fr-FR"/>
              </w:rPr>
              <w:t>-</w:t>
            </w:r>
            <w:r>
              <w:rPr>
                <w:lang w:val="fr-FR"/>
              </w:rPr>
              <w:t>-</w:t>
            </w:r>
          </w:p>
        </w:tc>
        <w:tc>
          <w:tcPr>
            <w:tcW w:w="3816" w:type="dxa"/>
            <w:shd w:val="clear" w:color="auto" w:fill="auto"/>
          </w:tcPr>
          <w:p w14:paraId="295E2B35" w14:textId="77777777" w:rsidR="00BE2CA7" w:rsidRPr="00440C76" w:rsidRDefault="00BE2CA7" w:rsidP="002B0590">
            <w:pPr>
              <w:spacing w:before="40" w:after="120"/>
              <w:ind w:left="57" w:right="57"/>
              <w:rPr>
                <w:lang w:val="fr-FR"/>
              </w:rPr>
            </w:pPr>
            <w:r w:rsidRPr="00440C76">
              <w:rPr>
                <w:lang w:val="fr-FR"/>
              </w:rPr>
              <w:t xml:space="preserve">Type </w:t>
            </w:r>
            <w:r>
              <w:rPr>
                <w:lang w:val="fr-FR"/>
              </w:rPr>
              <w:t>de propulsion</w:t>
            </w:r>
            <w:r w:rsidRPr="00440C76">
              <w:rPr>
                <w:lang w:val="fr-FR"/>
              </w:rPr>
              <w:t xml:space="preserve"> </w:t>
            </w:r>
            <w:r>
              <w:rPr>
                <w:lang w:val="fr-FR"/>
              </w:rPr>
              <w:t>comme défini</w:t>
            </w:r>
            <w:r w:rsidRPr="00440C76">
              <w:rPr>
                <w:lang w:val="fr-FR"/>
              </w:rPr>
              <w:t xml:space="preserve"> au paragraphe</w:t>
            </w:r>
            <w:r>
              <w:rPr>
                <w:lang w:val="fr-FR"/>
              </w:rPr>
              <w:t> </w:t>
            </w:r>
            <w:r w:rsidRPr="00440C76">
              <w:rPr>
                <w:lang w:val="fr-FR"/>
              </w:rPr>
              <w:t>6.3.1.2 a) du Règlement ONU n</w:t>
            </w:r>
            <w:r w:rsidRPr="00440C76">
              <w:rPr>
                <w:vertAlign w:val="superscript"/>
                <w:lang w:val="fr-FR"/>
              </w:rPr>
              <w:t>o</w:t>
            </w:r>
            <w:r w:rsidRPr="00440C76">
              <w:rPr>
                <w:lang w:val="fr-FR"/>
              </w:rPr>
              <w:t> [xxx] sur les émissions en conditions réelles de conduite</w:t>
            </w:r>
          </w:p>
        </w:tc>
      </w:tr>
      <w:tr w:rsidR="00BE2CA7" w:rsidRPr="00440C76" w14:paraId="0CD91299" w14:textId="77777777" w:rsidTr="002B0590">
        <w:trPr>
          <w:gridAfter w:val="1"/>
          <w:wAfter w:w="9" w:type="dxa"/>
        </w:trPr>
        <w:tc>
          <w:tcPr>
            <w:tcW w:w="1134" w:type="dxa"/>
            <w:shd w:val="clear" w:color="auto" w:fill="auto"/>
          </w:tcPr>
          <w:p w14:paraId="1C1E9B86" w14:textId="77777777" w:rsidR="00BE2CA7" w:rsidRPr="00440C76" w:rsidRDefault="00BE2CA7" w:rsidP="002B0590">
            <w:pPr>
              <w:keepNext/>
              <w:spacing w:before="40" w:after="120"/>
              <w:ind w:left="57" w:right="57"/>
              <w:rPr>
                <w:lang w:val="fr-FR"/>
              </w:rPr>
            </w:pPr>
            <w:r w:rsidRPr="00440C76">
              <w:rPr>
                <w:lang w:val="fr-FR"/>
              </w:rPr>
              <w:lastRenderedPageBreak/>
              <w:t>50</w:t>
            </w:r>
          </w:p>
        </w:tc>
        <w:tc>
          <w:tcPr>
            <w:tcW w:w="2127" w:type="dxa"/>
            <w:shd w:val="clear" w:color="auto" w:fill="auto"/>
          </w:tcPr>
          <w:p w14:paraId="5D412C82" w14:textId="77777777" w:rsidR="00BE2CA7" w:rsidRPr="00440C76" w:rsidRDefault="00BE2CA7" w:rsidP="002B0590">
            <w:pPr>
              <w:spacing w:before="40" w:after="120"/>
              <w:ind w:left="57" w:right="57"/>
              <w:rPr>
                <w:lang w:val="fr-FR"/>
              </w:rPr>
            </w:pPr>
            <w:r w:rsidRPr="00440C76">
              <w:rPr>
                <w:lang w:val="fr-FR"/>
              </w:rPr>
              <w:t>Type d</w:t>
            </w:r>
            <w:r>
              <w:rPr>
                <w:lang w:val="fr-FR"/>
              </w:rPr>
              <w:t>’</w:t>
            </w:r>
            <w:r w:rsidRPr="00440C76">
              <w:rPr>
                <w:lang w:val="fr-FR"/>
              </w:rPr>
              <w:t>allumage</w:t>
            </w:r>
          </w:p>
        </w:tc>
        <w:tc>
          <w:tcPr>
            <w:tcW w:w="1554" w:type="dxa"/>
            <w:shd w:val="clear" w:color="auto" w:fill="auto"/>
          </w:tcPr>
          <w:p w14:paraId="28556659" w14:textId="77777777" w:rsidR="00BE2CA7" w:rsidRPr="00440C76" w:rsidRDefault="00BE2CA7" w:rsidP="002B0590">
            <w:pPr>
              <w:spacing w:before="40" w:after="120"/>
              <w:ind w:left="57" w:right="57"/>
              <w:rPr>
                <w:lang w:val="fr-FR"/>
              </w:rPr>
            </w:pPr>
            <w:r w:rsidRPr="00440C76">
              <w:rPr>
                <w:lang w:val="fr-FR"/>
              </w:rPr>
              <w:t>Énumération : Allumage commandé, allumage par compression</w:t>
            </w:r>
          </w:p>
        </w:tc>
        <w:tc>
          <w:tcPr>
            <w:tcW w:w="997" w:type="dxa"/>
            <w:shd w:val="clear" w:color="auto" w:fill="auto"/>
          </w:tcPr>
          <w:p w14:paraId="6F44261E" w14:textId="77777777" w:rsidR="00BE2CA7" w:rsidRPr="00440C76" w:rsidRDefault="00BE2CA7" w:rsidP="002B0590">
            <w:pPr>
              <w:spacing w:before="40" w:after="120"/>
              <w:ind w:left="57" w:right="57"/>
              <w:rPr>
                <w:lang w:val="fr-FR"/>
              </w:rPr>
            </w:pPr>
            <w:r w:rsidRPr="00440C76">
              <w:rPr>
                <w:lang w:val="fr-FR"/>
              </w:rPr>
              <w:t>-</w:t>
            </w:r>
            <w:r>
              <w:rPr>
                <w:lang w:val="fr-FR"/>
              </w:rPr>
              <w:t>-</w:t>
            </w:r>
          </w:p>
        </w:tc>
        <w:tc>
          <w:tcPr>
            <w:tcW w:w="3816" w:type="dxa"/>
            <w:shd w:val="clear" w:color="auto" w:fill="auto"/>
          </w:tcPr>
          <w:p w14:paraId="2477392C" w14:textId="77777777" w:rsidR="00BE2CA7" w:rsidRPr="00440C76" w:rsidRDefault="00BE2CA7" w:rsidP="002B0590">
            <w:pPr>
              <w:spacing w:before="40" w:after="120"/>
              <w:ind w:left="57" w:right="57"/>
              <w:rPr>
                <w:lang w:val="fr-FR"/>
              </w:rPr>
            </w:pPr>
            <w:r w:rsidRPr="00440C76">
              <w:rPr>
                <w:lang w:val="fr-FR"/>
              </w:rPr>
              <w:t>Type d</w:t>
            </w:r>
            <w:r>
              <w:rPr>
                <w:lang w:val="fr-FR"/>
              </w:rPr>
              <w:t>’</w:t>
            </w:r>
            <w:r w:rsidRPr="00440C76">
              <w:rPr>
                <w:lang w:val="fr-FR"/>
              </w:rPr>
              <w:t>allumage tel que déclaré au paragraphe</w:t>
            </w:r>
            <w:r>
              <w:rPr>
                <w:lang w:val="fr-FR"/>
              </w:rPr>
              <w:t> </w:t>
            </w:r>
            <w:r w:rsidRPr="00440C76">
              <w:rPr>
                <w:lang w:val="fr-FR"/>
              </w:rPr>
              <w:t>3.2.1.1 de l</w:t>
            </w:r>
            <w:r>
              <w:rPr>
                <w:lang w:val="fr-FR"/>
              </w:rPr>
              <w:t>’</w:t>
            </w:r>
            <w:r w:rsidRPr="00440C76">
              <w:rPr>
                <w:lang w:val="fr-FR"/>
              </w:rPr>
              <w:t>annexe</w:t>
            </w:r>
            <w:r>
              <w:rPr>
                <w:lang w:val="fr-FR"/>
              </w:rPr>
              <w:t> </w:t>
            </w:r>
            <w:r w:rsidRPr="00440C76">
              <w:rPr>
                <w:lang w:val="fr-FR"/>
              </w:rPr>
              <w:t>A1 du Règlement ONU n</w:t>
            </w:r>
            <w:r w:rsidRPr="00440C76">
              <w:rPr>
                <w:vertAlign w:val="superscript"/>
                <w:lang w:val="fr-FR"/>
              </w:rPr>
              <w:t>o</w:t>
            </w:r>
            <w:r w:rsidRPr="00440C76">
              <w:rPr>
                <w:lang w:val="fr-FR"/>
              </w:rPr>
              <w:t> 154</w:t>
            </w:r>
          </w:p>
        </w:tc>
      </w:tr>
      <w:tr w:rsidR="00BE2CA7" w:rsidRPr="00440C76" w14:paraId="5F9BE959" w14:textId="77777777" w:rsidTr="002B0590">
        <w:trPr>
          <w:gridAfter w:val="1"/>
          <w:wAfter w:w="9" w:type="dxa"/>
        </w:trPr>
        <w:tc>
          <w:tcPr>
            <w:tcW w:w="1134" w:type="dxa"/>
            <w:shd w:val="clear" w:color="auto" w:fill="auto"/>
          </w:tcPr>
          <w:p w14:paraId="7EAB213D" w14:textId="77777777" w:rsidR="00BE2CA7" w:rsidRPr="00440C76" w:rsidRDefault="00BE2CA7" w:rsidP="002B0590">
            <w:pPr>
              <w:spacing w:before="40" w:after="120"/>
              <w:ind w:left="57" w:right="57"/>
              <w:rPr>
                <w:lang w:val="fr-FR"/>
              </w:rPr>
            </w:pPr>
            <w:r w:rsidRPr="00440C76">
              <w:rPr>
                <w:lang w:val="fr-FR"/>
              </w:rPr>
              <w:t>51</w:t>
            </w:r>
          </w:p>
        </w:tc>
        <w:tc>
          <w:tcPr>
            <w:tcW w:w="2127" w:type="dxa"/>
            <w:shd w:val="clear" w:color="auto" w:fill="auto"/>
          </w:tcPr>
          <w:p w14:paraId="06272111" w14:textId="77777777" w:rsidR="00BE2CA7" w:rsidRPr="00440C76" w:rsidRDefault="00BE2CA7" w:rsidP="002B0590">
            <w:pPr>
              <w:spacing w:before="40" w:after="120"/>
              <w:ind w:left="57" w:right="57"/>
              <w:rPr>
                <w:spacing w:val="-1"/>
                <w:lang w:val="fr-FR"/>
              </w:rPr>
            </w:pPr>
            <w:r w:rsidRPr="00440C76">
              <w:rPr>
                <w:spacing w:val="-1"/>
                <w:lang w:val="fr-FR"/>
              </w:rPr>
              <w:t>Mode de fonctionnement en ce qui concerne le carburant</w:t>
            </w:r>
          </w:p>
        </w:tc>
        <w:tc>
          <w:tcPr>
            <w:tcW w:w="1554" w:type="dxa"/>
            <w:shd w:val="clear" w:color="auto" w:fill="auto"/>
          </w:tcPr>
          <w:p w14:paraId="262C3F0D" w14:textId="77777777" w:rsidR="00BE2CA7" w:rsidRPr="00440C76" w:rsidRDefault="00BE2CA7" w:rsidP="002B0590">
            <w:pPr>
              <w:spacing w:before="40" w:after="120"/>
              <w:ind w:left="57" w:right="57"/>
              <w:rPr>
                <w:lang w:val="fr-FR"/>
              </w:rPr>
            </w:pPr>
            <w:r w:rsidRPr="00440C76">
              <w:rPr>
                <w:lang w:val="fr-FR"/>
              </w:rPr>
              <w:t>Énumération (</w:t>
            </w:r>
            <w:proofErr w:type="spellStart"/>
            <w:r w:rsidRPr="00440C76">
              <w:rPr>
                <w:lang w:val="fr-FR"/>
              </w:rPr>
              <w:t>monocarburant</w:t>
            </w:r>
            <w:proofErr w:type="spellEnd"/>
            <w:r w:rsidRPr="00440C76">
              <w:rPr>
                <w:lang w:val="fr-FR"/>
              </w:rPr>
              <w:t>, bicarburant, polycarburant)</w:t>
            </w:r>
          </w:p>
        </w:tc>
        <w:tc>
          <w:tcPr>
            <w:tcW w:w="997" w:type="dxa"/>
            <w:shd w:val="clear" w:color="auto" w:fill="auto"/>
          </w:tcPr>
          <w:p w14:paraId="0A7BA034" w14:textId="77777777" w:rsidR="00BE2CA7" w:rsidRPr="00440C76" w:rsidRDefault="00BE2CA7" w:rsidP="002B0590">
            <w:pPr>
              <w:spacing w:before="40" w:after="120"/>
              <w:ind w:left="57" w:right="57"/>
              <w:rPr>
                <w:lang w:val="fr-FR"/>
              </w:rPr>
            </w:pPr>
            <w:r w:rsidRPr="00440C76">
              <w:rPr>
                <w:lang w:val="fr-FR"/>
              </w:rPr>
              <w:t>-</w:t>
            </w:r>
            <w:r>
              <w:rPr>
                <w:lang w:val="fr-FR"/>
              </w:rPr>
              <w:t>-</w:t>
            </w:r>
          </w:p>
        </w:tc>
        <w:tc>
          <w:tcPr>
            <w:tcW w:w="3816" w:type="dxa"/>
            <w:shd w:val="clear" w:color="auto" w:fill="auto"/>
          </w:tcPr>
          <w:p w14:paraId="43BDB37F" w14:textId="77777777" w:rsidR="00BE2CA7" w:rsidRPr="00440C76" w:rsidRDefault="00BE2CA7" w:rsidP="002B0590">
            <w:pPr>
              <w:spacing w:before="40" w:after="120"/>
              <w:ind w:left="57" w:right="57"/>
              <w:rPr>
                <w:lang w:val="fr-FR"/>
              </w:rPr>
            </w:pPr>
            <w:r w:rsidRPr="00440C76">
              <w:rPr>
                <w:lang w:val="fr-FR"/>
              </w:rPr>
              <w:t>Type de carburant du véhicule tel que déclaré au paragraphe</w:t>
            </w:r>
            <w:r>
              <w:rPr>
                <w:lang w:val="fr-FR"/>
              </w:rPr>
              <w:t> </w:t>
            </w:r>
            <w:r w:rsidRPr="00440C76">
              <w:rPr>
                <w:lang w:val="fr-FR"/>
              </w:rPr>
              <w:t>3.2.2.4 de l</w:t>
            </w:r>
            <w:r>
              <w:rPr>
                <w:lang w:val="fr-FR"/>
              </w:rPr>
              <w:t>’</w:t>
            </w:r>
            <w:r w:rsidRPr="00440C76">
              <w:rPr>
                <w:lang w:val="fr-FR"/>
              </w:rPr>
              <w:t>annexe</w:t>
            </w:r>
            <w:r>
              <w:rPr>
                <w:lang w:val="fr-FR"/>
              </w:rPr>
              <w:t> </w:t>
            </w:r>
            <w:r w:rsidRPr="00440C76">
              <w:rPr>
                <w:lang w:val="fr-FR"/>
              </w:rPr>
              <w:t>A1 du Règlement ONU n</w:t>
            </w:r>
            <w:r w:rsidRPr="00440C76">
              <w:rPr>
                <w:vertAlign w:val="superscript"/>
                <w:lang w:val="fr-FR"/>
              </w:rPr>
              <w:t>o</w:t>
            </w:r>
            <w:r w:rsidRPr="00440C76">
              <w:rPr>
                <w:lang w:val="fr-FR"/>
              </w:rPr>
              <w:t> 154</w:t>
            </w:r>
          </w:p>
        </w:tc>
      </w:tr>
      <w:tr w:rsidR="00BE2CA7" w:rsidRPr="00440C76" w14:paraId="5F3A49D6" w14:textId="77777777" w:rsidTr="002B0590">
        <w:trPr>
          <w:gridAfter w:val="1"/>
          <w:wAfter w:w="9" w:type="dxa"/>
        </w:trPr>
        <w:tc>
          <w:tcPr>
            <w:tcW w:w="1134" w:type="dxa"/>
            <w:shd w:val="clear" w:color="auto" w:fill="auto"/>
          </w:tcPr>
          <w:p w14:paraId="7B53EFD8" w14:textId="77777777" w:rsidR="00BE2CA7" w:rsidRPr="00440C76" w:rsidRDefault="00BE2CA7" w:rsidP="002B0590">
            <w:pPr>
              <w:spacing w:before="40" w:after="120"/>
              <w:ind w:left="57" w:right="57"/>
              <w:rPr>
                <w:lang w:val="fr-FR"/>
              </w:rPr>
            </w:pPr>
            <w:r w:rsidRPr="00440C76">
              <w:rPr>
                <w:lang w:val="fr-FR"/>
              </w:rPr>
              <w:t>52</w:t>
            </w:r>
          </w:p>
        </w:tc>
        <w:tc>
          <w:tcPr>
            <w:tcW w:w="2127" w:type="dxa"/>
            <w:shd w:val="clear" w:color="auto" w:fill="auto"/>
          </w:tcPr>
          <w:p w14:paraId="5E251C9D" w14:textId="77777777" w:rsidR="00BE2CA7" w:rsidRPr="00440C76" w:rsidRDefault="00BE2CA7" w:rsidP="002B0590">
            <w:pPr>
              <w:spacing w:before="40" w:after="120"/>
              <w:ind w:left="57" w:right="57"/>
              <w:rPr>
                <w:lang w:val="fr-FR"/>
              </w:rPr>
            </w:pPr>
            <w:r w:rsidRPr="00440C76">
              <w:rPr>
                <w:lang w:val="fr-FR"/>
              </w:rPr>
              <w:t>Type de carburant : carburant</w:t>
            </w:r>
            <w:r>
              <w:rPr>
                <w:lang w:val="fr-FR"/>
              </w:rPr>
              <w:t> </w:t>
            </w:r>
            <w:r w:rsidRPr="00440C76">
              <w:rPr>
                <w:lang w:val="fr-FR"/>
              </w:rPr>
              <w:t>1, carburant</w:t>
            </w:r>
            <w:r>
              <w:rPr>
                <w:lang w:val="fr-FR"/>
              </w:rPr>
              <w:t> </w:t>
            </w:r>
            <w:r w:rsidRPr="00440C76">
              <w:rPr>
                <w:lang w:val="fr-FR"/>
              </w:rPr>
              <w:t>2 (le cas échéant)</w:t>
            </w:r>
          </w:p>
        </w:tc>
        <w:tc>
          <w:tcPr>
            <w:tcW w:w="1554" w:type="dxa"/>
            <w:shd w:val="clear" w:color="auto" w:fill="auto"/>
          </w:tcPr>
          <w:p w14:paraId="50C7A9A5" w14:textId="77777777" w:rsidR="00BE2CA7" w:rsidRPr="00440C76" w:rsidRDefault="00BE2CA7" w:rsidP="002B0590">
            <w:pPr>
              <w:spacing w:before="40" w:after="120"/>
              <w:ind w:left="57" w:right="57"/>
              <w:rPr>
                <w:lang w:val="fr-FR"/>
              </w:rPr>
            </w:pPr>
            <w:r w:rsidRPr="00440C76">
              <w:rPr>
                <w:lang w:val="fr-FR"/>
              </w:rPr>
              <w:t>Énumération (essence, gazole, GPL, GN/</w:t>
            </w:r>
            <w:r>
              <w:rPr>
                <w:lang w:val="fr-FR"/>
              </w:rPr>
              <w:br/>
            </w:r>
            <w:r w:rsidRPr="00440C76">
              <w:rPr>
                <w:lang w:val="fr-FR"/>
              </w:rPr>
              <w:t>biométhane, éthanol (E85), hydrogène)</w:t>
            </w:r>
          </w:p>
        </w:tc>
        <w:tc>
          <w:tcPr>
            <w:tcW w:w="997" w:type="dxa"/>
            <w:shd w:val="clear" w:color="auto" w:fill="auto"/>
          </w:tcPr>
          <w:p w14:paraId="16C40D63" w14:textId="77777777" w:rsidR="00BE2CA7" w:rsidRPr="00440C76" w:rsidRDefault="00BE2CA7" w:rsidP="002B0590">
            <w:pPr>
              <w:spacing w:before="40" w:after="120"/>
              <w:ind w:left="57" w:right="57"/>
              <w:rPr>
                <w:lang w:val="fr-FR"/>
              </w:rPr>
            </w:pPr>
            <w:r>
              <w:rPr>
                <w:lang w:val="fr-FR"/>
              </w:rPr>
              <w:t>-</w:t>
            </w:r>
            <w:r w:rsidRPr="00440C76">
              <w:rPr>
                <w:lang w:val="fr-FR"/>
              </w:rPr>
              <w:t>-</w:t>
            </w:r>
          </w:p>
        </w:tc>
        <w:tc>
          <w:tcPr>
            <w:tcW w:w="3816" w:type="dxa"/>
            <w:shd w:val="clear" w:color="auto" w:fill="auto"/>
          </w:tcPr>
          <w:p w14:paraId="7A425EC3" w14:textId="77777777" w:rsidR="00BE2CA7" w:rsidRPr="00440C76" w:rsidRDefault="00BE2CA7" w:rsidP="002B0590">
            <w:pPr>
              <w:spacing w:before="40" w:after="120"/>
              <w:ind w:left="57" w:right="57"/>
              <w:rPr>
                <w:lang w:val="fr-FR"/>
              </w:rPr>
            </w:pPr>
            <w:r w:rsidRPr="00440C76">
              <w:rPr>
                <w:lang w:val="fr-FR"/>
              </w:rPr>
              <w:t>Type de carburant tel que déclaré au paragraphe</w:t>
            </w:r>
            <w:r>
              <w:rPr>
                <w:lang w:val="fr-FR"/>
              </w:rPr>
              <w:t> </w:t>
            </w:r>
            <w:r w:rsidRPr="00440C76">
              <w:rPr>
                <w:lang w:val="fr-FR"/>
              </w:rPr>
              <w:t>3.2.2.1 de l</w:t>
            </w:r>
            <w:r>
              <w:rPr>
                <w:lang w:val="fr-FR"/>
              </w:rPr>
              <w:t>’</w:t>
            </w:r>
            <w:r w:rsidRPr="00440C76">
              <w:rPr>
                <w:lang w:val="fr-FR"/>
              </w:rPr>
              <w:t>annexe</w:t>
            </w:r>
            <w:r>
              <w:rPr>
                <w:lang w:val="fr-FR"/>
              </w:rPr>
              <w:t> </w:t>
            </w:r>
            <w:r w:rsidRPr="00440C76">
              <w:rPr>
                <w:lang w:val="fr-FR"/>
              </w:rPr>
              <w:t>A1 du Règlement ONU n</w:t>
            </w:r>
            <w:r w:rsidRPr="00440C76">
              <w:rPr>
                <w:vertAlign w:val="superscript"/>
                <w:lang w:val="fr-FR"/>
              </w:rPr>
              <w:t>o</w:t>
            </w:r>
            <w:r w:rsidRPr="00440C76">
              <w:rPr>
                <w:lang w:val="fr-FR"/>
              </w:rPr>
              <w:t> 154. Dans le cas d</w:t>
            </w:r>
            <w:r>
              <w:rPr>
                <w:lang w:val="fr-FR"/>
              </w:rPr>
              <w:t>’</w:t>
            </w:r>
            <w:r w:rsidRPr="00440C76">
              <w:rPr>
                <w:lang w:val="fr-FR"/>
              </w:rPr>
              <w:t>un véhicule bicarburant ou polycarburant, indiquer les deux carburants.</w:t>
            </w:r>
          </w:p>
        </w:tc>
      </w:tr>
      <w:tr w:rsidR="00BE2CA7" w:rsidRPr="00440C76" w14:paraId="68CC4A09" w14:textId="77777777" w:rsidTr="002B0590">
        <w:trPr>
          <w:gridAfter w:val="1"/>
          <w:wAfter w:w="9" w:type="dxa"/>
        </w:trPr>
        <w:tc>
          <w:tcPr>
            <w:tcW w:w="1134" w:type="dxa"/>
            <w:shd w:val="clear" w:color="auto" w:fill="auto"/>
          </w:tcPr>
          <w:p w14:paraId="5A2F7F44" w14:textId="77777777" w:rsidR="00BE2CA7" w:rsidRPr="00440C76" w:rsidRDefault="00BE2CA7" w:rsidP="002B0590">
            <w:pPr>
              <w:spacing w:before="40" w:after="120"/>
              <w:ind w:left="57" w:right="57"/>
              <w:rPr>
                <w:lang w:val="fr-FR"/>
              </w:rPr>
            </w:pPr>
            <w:r w:rsidRPr="00440C76">
              <w:rPr>
                <w:lang w:val="fr-FR"/>
              </w:rPr>
              <w:t>53</w:t>
            </w:r>
          </w:p>
        </w:tc>
        <w:tc>
          <w:tcPr>
            <w:tcW w:w="2127" w:type="dxa"/>
            <w:shd w:val="clear" w:color="auto" w:fill="auto"/>
          </w:tcPr>
          <w:p w14:paraId="6B323C73" w14:textId="77777777" w:rsidR="00BE2CA7" w:rsidRPr="00440C76" w:rsidRDefault="00BE2CA7" w:rsidP="002B0590">
            <w:pPr>
              <w:spacing w:before="40" w:after="120"/>
              <w:ind w:left="57" w:right="57"/>
              <w:rPr>
                <w:lang w:val="fr-FR"/>
              </w:rPr>
            </w:pPr>
            <w:r w:rsidRPr="00440C76">
              <w:rPr>
                <w:lang w:val="fr-FR"/>
              </w:rPr>
              <w:t>Type de transmission</w:t>
            </w:r>
          </w:p>
        </w:tc>
        <w:tc>
          <w:tcPr>
            <w:tcW w:w="1554" w:type="dxa"/>
            <w:shd w:val="clear" w:color="auto" w:fill="auto"/>
          </w:tcPr>
          <w:p w14:paraId="01460570" w14:textId="77777777" w:rsidR="00BE2CA7" w:rsidRPr="00440C76" w:rsidRDefault="00BE2CA7" w:rsidP="002B0590">
            <w:pPr>
              <w:spacing w:before="40" w:after="120"/>
              <w:ind w:left="57" w:right="57"/>
              <w:rPr>
                <w:lang w:val="fr-FR"/>
              </w:rPr>
            </w:pPr>
            <w:r w:rsidRPr="00440C76">
              <w:rPr>
                <w:lang w:val="fr-FR"/>
              </w:rPr>
              <w:t>Énumération (manuelle, automatique, à variation continue)</w:t>
            </w:r>
          </w:p>
        </w:tc>
        <w:tc>
          <w:tcPr>
            <w:tcW w:w="997" w:type="dxa"/>
            <w:shd w:val="clear" w:color="auto" w:fill="auto"/>
          </w:tcPr>
          <w:p w14:paraId="764B3E53" w14:textId="77777777" w:rsidR="00BE2CA7" w:rsidRPr="00440C76" w:rsidRDefault="00BE2CA7" w:rsidP="002B0590">
            <w:pPr>
              <w:spacing w:before="40" w:after="120"/>
              <w:ind w:left="57" w:right="57"/>
              <w:rPr>
                <w:lang w:val="fr-FR"/>
              </w:rPr>
            </w:pPr>
            <w:r w:rsidRPr="00440C76">
              <w:rPr>
                <w:lang w:val="fr-FR"/>
              </w:rPr>
              <w:t>-</w:t>
            </w:r>
            <w:r>
              <w:rPr>
                <w:lang w:val="fr-FR"/>
              </w:rPr>
              <w:t>-</w:t>
            </w:r>
          </w:p>
        </w:tc>
        <w:tc>
          <w:tcPr>
            <w:tcW w:w="3816" w:type="dxa"/>
            <w:shd w:val="clear" w:color="auto" w:fill="auto"/>
          </w:tcPr>
          <w:p w14:paraId="3FA2EF8A" w14:textId="77777777" w:rsidR="00BE2CA7" w:rsidRPr="00440C76" w:rsidRDefault="00BE2CA7" w:rsidP="002B0590">
            <w:pPr>
              <w:spacing w:before="40" w:after="120"/>
              <w:ind w:left="57" w:right="57"/>
              <w:rPr>
                <w:lang w:val="fr-FR"/>
              </w:rPr>
            </w:pPr>
            <w:r w:rsidRPr="00440C76">
              <w:rPr>
                <w:lang w:val="fr-FR"/>
              </w:rPr>
              <w:t>Type de transmission tel que déclaré au paragraphe</w:t>
            </w:r>
            <w:r>
              <w:rPr>
                <w:lang w:val="fr-FR"/>
              </w:rPr>
              <w:t> </w:t>
            </w:r>
            <w:r w:rsidRPr="00440C76">
              <w:rPr>
                <w:lang w:val="fr-FR"/>
              </w:rPr>
              <w:t>4.5.1 de l</w:t>
            </w:r>
            <w:r>
              <w:rPr>
                <w:lang w:val="fr-FR"/>
              </w:rPr>
              <w:t>’</w:t>
            </w:r>
            <w:r w:rsidRPr="00440C76">
              <w:rPr>
                <w:lang w:val="fr-FR"/>
              </w:rPr>
              <w:t>annexe</w:t>
            </w:r>
            <w:r>
              <w:rPr>
                <w:lang w:val="fr-FR"/>
              </w:rPr>
              <w:t> </w:t>
            </w:r>
            <w:r w:rsidRPr="00440C76">
              <w:rPr>
                <w:lang w:val="fr-FR"/>
              </w:rPr>
              <w:t>A1 du Règlement ONU n</w:t>
            </w:r>
            <w:r w:rsidRPr="00440C76">
              <w:rPr>
                <w:vertAlign w:val="superscript"/>
                <w:lang w:val="fr-FR"/>
              </w:rPr>
              <w:t>o</w:t>
            </w:r>
            <w:r w:rsidRPr="00440C76">
              <w:rPr>
                <w:lang w:val="fr-FR"/>
              </w:rPr>
              <w:t> 154</w:t>
            </w:r>
          </w:p>
        </w:tc>
      </w:tr>
      <w:tr w:rsidR="00BE2CA7" w:rsidRPr="00440C76" w14:paraId="2D8D02AA" w14:textId="77777777" w:rsidTr="002B0590">
        <w:trPr>
          <w:gridAfter w:val="1"/>
          <w:wAfter w:w="9" w:type="dxa"/>
        </w:trPr>
        <w:tc>
          <w:tcPr>
            <w:tcW w:w="1134" w:type="dxa"/>
            <w:tcBorders>
              <w:bottom w:val="single" w:sz="4" w:space="0" w:color="auto"/>
            </w:tcBorders>
            <w:shd w:val="clear" w:color="auto" w:fill="auto"/>
          </w:tcPr>
          <w:p w14:paraId="0041315C" w14:textId="77777777" w:rsidR="00BE2CA7" w:rsidRPr="00440C76" w:rsidRDefault="00BE2CA7" w:rsidP="002B0590">
            <w:pPr>
              <w:spacing w:before="40" w:after="120"/>
              <w:ind w:left="57" w:right="57"/>
              <w:rPr>
                <w:lang w:val="fr-FR"/>
              </w:rPr>
            </w:pPr>
            <w:r w:rsidRPr="00440C76">
              <w:rPr>
                <w:lang w:val="fr-FR"/>
              </w:rPr>
              <w:t>54</w:t>
            </w:r>
          </w:p>
        </w:tc>
        <w:tc>
          <w:tcPr>
            <w:tcW w:w="2127" w:type="dxa"/>
            <w:tcBorders>
              <w:bottom w:val="single" w:sz="4" w:space="0" w:color="auto"/>
            </w:tcBorders>
            <w:shd w:val="clear" w:color="auto" w:fill="auto"/>
          </w:tcPr>
          <w:p w14:paraId="600F5416" w14:textId="77777777" w:rsidR="00BE2CA7" w:rsidRPr="00440C76" w:rsidRDefault="00BE2CA7" w:rsidP="002B0590">
            <w:pPr>
              <w:spacing w:before="40" w:after="120"/>
              <w:ind w:left="57" w:right="57"/>
              <w:rPr>
                <w:lang w:val="fr-FR"/>
              </w:rPr>
            </w:pPr>
            <w:r w:rsidRPr="00440C76">
              <w:rPr>
                <w:lang w:val="fr-FR"/>
              </w:rPr>
              <w:t>Cylindrée</w:t>
            </w:r>
          </w:p>
        </w:tc>
        <w:tc>
          <w:tcPr>
            <w:tcW w:w="1554" w:type="dxa"/>
            <w:tcBorders>
              <w:bottom w:val="single" w:sz="4" w:space="0" w:color="auto"/>
            </w:tcBorders>
            <w:shd w:val="clear" w:color="auto" w:fill="auto"/>
          </w:tcPr>
          <w:p w14:paraId="4719BCA4" w14:textId="77777777" w:rsidR="00BE2CA7" w:rsidRPr="00440C76" w:rsidRDefault="00BE2CA7" w:rsidP="002B0590">
            <w:pPr>
              <w:spacing w:before="40" w:after="120"/>
              <w:ind w:left="57" w:right="57"/>
              <w:rPr>
                <w:lang w:val="fr-FR"/>
              </w:rPr>
            </w:pPr>
            <w:r w:rsidRPr="00440C76">
              <w:rPr>
                <w:lang w:val="fr-FR"/>
              </w:rPr>
              <w:t>Nombre</w:t>
            </w:r>
          </w:p>
        </w:tc>
        <w:tc>
          <w:tcPr>
            <w:tcW w:w="997" w:type="dxa"/>
            <w:tcBorders>
              <w:bottom w:val="single" w:sz="4" w:space="0" w:color="auto"/>
            </w:tcBorders>
            <w:shd w:val="clear" w:color="auto" w:fill="auto"/>
          </w:tcPr>
          <w:p w14:paraId="4166AFFA" w14:textId="77777777" w:rsidR="00BE2CA7" w:rsidRPr="00440C76" w:rsidRDefault="00BE2CA7" w:rsidP="002B0590">
            <w:pPr>
              <w:spacing w:before="40" w:after="120"/>
              <w:ind w:left="57" w:right="57"/>
              <w:rPr>
                <w:lang w:val="fr-FR"/>
              </w:rPr>
            </w:pPr>
            <w:r w:rsidRPr="00440C76">
              <w:rPr>
                <w:lang w:val="fr-FR"/>
              </w:rPr>
              <w:t>cm</w:t>
            </w:r>
            <w:r w:rsidRPr="00440C76">
              <w:rPr>
                <w:vertAlign w:val="superscript"/>
                <w:lang w:val="fr-FR"/>
              </w:rPr>
              <w:t>3</w:t>
            </w:r>
          </w:p>
        </w:tc>
        <w:tc>
          <w:tcPr>
            <w:tcW w:w="3816" w:type="dxa"/>
            <w:tcBorders>
              <w:bottom w:val="single" w:sz="4" w:space="0" w:color="auto"/>
            </w:tcBorders>
            <w:shd w:val="clear" w:color="auto" w:fill="auto"/>
          </w:tcPr>
          <w:p w14:paraId="1B79DFD7" w14:textId="77777777" w:rsidR="00BE2CA7" w:rsidRPr="00440C76" w:rsidRDefault="00BE2CA7" w:rsidP="002B0590">
            <w:pPr>
              <w:spacing w:before="40" w:after="120"/>
              <w:ind w:left="57" w:right="57"/>
              <w:rPr>
                <w:lang w:val="fr-FR"/>
              </w:rPr>
            </w:pPr>
            <w:r w:rsidRPr="00440C76">
              <w:rPr>
                <w:lang w:val="fr-FR"/>
              </w:rPr>
              <w:t>Cylindrée du moteur, telle qu</w:t>
            </w:r>
            <w:r>
              <w:rPr>
                <w:lang w:val="fr-FR"/>
              </w:rPr>
              <w:t>’</w:t>
            </w:r>
            <w:r w:rsidRPr="00440C76">
              <w:rPr>
                <w:lang w:val="fr-FR"/>
              </w:rPr>
              <w:t>indiquée au paragraphe</w:t>
            </w:r>
            <w:r>
              <w:rPr>
                <w:lang w:val="fr-FR"/>
              </w:rPr>
              <w:t> </w:t>
            </w:r>
            <w:r w:rsidRPr="00440C76">
              <w:rPr>
                <w:lang w:val="fr-FR"/>
              </w:rPr>
              <w:t>3.2.1.3 de l</w:t>
            </w:r>
            <w:r>
              <w:rPr>
                <w:lang w:val="fr-FR"/>
              </w:rPr>
              <w:t>’</w:t>
            </w:r>
            <w:r w:rsidRPr="00440C76">
              <w:rPr>
                <w:lang w:val="fr-FR"/>
              </w:rPr>
              <w:t>annexe</w:t>
            </w:r>
            <w:r>
              <w:rPr>
                <w:lang w:val="fr-FR"/>
              </w:rPr>
              <w:t> </w:t>
            </w:r>
            <w:r w:rsidRPr="00440C76">
              <w:rPr>
                <w:lang w:val="fr-FR"/>
              </w:rPr>
              <w:t>A1 du Règlement ONU n</w:t>
            </w:r>
            <w:r w:rsidRPr="00440C76">
              <w:rPr>
                <w:vertAlign w:val="superscript"/>
                <w:lang w:val="fr-FR"/>
              </w:rPr>
              <w:t>o</w:t>
            </w:r>
            <w:r w:rsidRPr="00440C76">
              <w:rPr>
                <w:lang w:val="fr-FR"/>
              </w:rPr>
              <w:t> 154</w:t>
            </w:r>
          </w:p>
        </w:tc>
      </w:tr>
      <w:tr w:rsidR="00BE2CA7" w:rsidRPr="00440C76" w14:paraId="2B495A68" w14:textId="77777777" w:rsidTr="002B0590">
        <w:trPr>
          <w:gridAfter w:val="1"/>
          <w:wAfter w:w="9" w:type="dxa"/>
        </w:trPr>
        <w:tc>
          <w:tcPr>
            <w:tcW w:w="1134" w:type="dxa"/>
            <w:tcBorders>
              <w:bottom w:val="single" w:sz="4" w:space="0" w:color="auto"/>
            </w:tcBorders>
            <w:shd w:val="clear" w:color="auto" w:fill="auto"/>
          </w:tcPr>
          <w:p w14:paraId="15ABF925" w14:textId="77777777" w:rsidR="00BE2CA7" w:rsidRPr="00440C76" w:rsidRDefault="00BE2CA7" w:rsidP="002B0590">
            <w:pPr>
              <w:spacing w:before="40" w:after="120"/>
              <w:ind w:left="57" w:right="57"/>
              <w:rPr>
                <w:lang w:val="fr-FR"/>
              </w:rPr>
            </w:pPr>
            <w:r w:rsidRPr="00440C76">
              <w:rPr>
                <w:lang w:val="fr-FR"/>
              </w:rPr>
              <w:t>55</w:t>
            </w:r>
          </w:p>
        </w:tc>
        <w:tc>
          <w:tcPr>
            <w:tcW w:w="2127" w:type="dxa"/>
            <w:tcBorders>
              <w:bottom w:val="single" w:sz="4" w:space="0" w:color="auto"/>
            </w:tcBorders>
            <w:shd w:val="clear" w:color="auto" w:fill="auto"/>
          </w:tcPr>
          <w:p w14:paraId="0181BB90" w14:textId="77777777" w:rsidR="00BE2CA7" w:rsidRPr="00440C76" w:rsidRDefault="00BE2CA7" w:rsidP="002B0590">
            <w:pPr>
              <w:spacing w:before="40" w:after="120"/>
              <w:ind w:left="57" w:right="57"/>
              <w:rPr>
                <w:lang w:val="fr-FR"/>
              </w:rPr>
            </w:pPr>
            <w:r w:rsidRPr="00440C76">
              <w:rPr>
                <w:lang w:val="fr-FR"/>
              </w:rPr>
              <w:t>Méthode d</w:t>
            </w:r>
            <w:r>
              <w:rPr>
                <w:lang w:val="fr-FR"/>
              </w:rPr>
              <w:t>’</w:t>
            </w:r>
            <w:r w:rsidRPr="00440C76">
              <w:rPr>
                <w:lang w:val="fr-FR"/>
              </w:rPr>
              <w:t>alimentation du moteur : carburant</w:t>
            </w:r>
            <w:r>
              <w:rPr>
                <w:lang w:val="fr-FR"/>
              </w:rPr>
              <w:t> </w:t>
            </w:r>
            <w:r w:rsidRPr="00440C76">
              <w:rPr>
                <w:lang w:val="fr-FR"/>
              </w:rPr>
              <w:t>1, carburant</w:t>
            </w:r>
            <w:r>
              <w:rPr>
                <w:lang w:val="fr-FR"/>
              </w:rPr>
              <w:t> </w:t>
            </w:r>
            <w:r w:rsidRPr="00440C76">
              <w:rPr>
                <w:lang w:val="fr-FR"/>
              </w:rPr>
              <w:t>2 (le cas échéant)</w:t>
            </w:r>
          </w:p>
        </w:tc>
        <w:tc>
          <w:tcPr>
            <w:tcW w:w="1554" w:type="dxa"/>
            <w:tcBorders>
              <w:bottom w:val="single" w:sz="4" w:space="0" w:color="auto"/>
            </w:tcBorders>
            <w:shd w:val="clear" w:color="auto" w:fill="auto"/>
          </w:tcPr>
          <w:p w14:paraId="690542D9" w14:textId="77777777" w:rsidR="00BE2CA7" w:rsidRPr="00440C76" w:rsidRDefault="00BE2CA7" w:rsidP="002B0590">
            <w:pPr>
              <w:spacing w:before="40" w:after="120"/>
              <w:ind w:left="57" w:right="57"/>
              <w:rPr>
                <w:lang w:val="fr-FR"/>
              </w:rPr>
            </w:pPr>
            <w:r w:rsidRPr="00440C76">
              <w:rPr>
                <w:lang w:val="fr-FR"/>
              </w:rPr>
              <w:t>Énumération (directe/indirecte/ directe et indirecte)</w:t>
            </w:r>
          </w:p>
        </w:tc>
        <w:tc>
          <w:tcPr>
            <w:tcW w:w="997" w:type="dxa"/>
            <w:tcBorders>
              <w:bottom w:val="single" w:sz="4" w:space="0" w:color="auto"/>
            </w:tcBorders>
            <w:shd w:val="clear" w:color="auto" w:fill="auto"/>
          </w:tcPr>
          <w:p w14:paraId="09E2803D" w14:textId="77777777" w:rsidR="00BE2CA7" w:rsidRPr="00440C76" w:rsidRDefault="00BE2CA7" w:rsidP="002B0590">
            <w:pPr>
              <w:spacing w:before="40" w:after="120"/>
              <w:ind w:left="57" w:right="57"/>
              <w:rPr>
                <w:lang w:val="fr-FR"/>
              </w:rPr>
            </w:pPr>
            <w:r w:rsidRPr="00440C76">
              <w:rPr>
                <w:lang w:val="fr-FR"/>
              </w:rPr>
              <w:t xml:space="preserve"> </w:t>
            </w:r>
          </w:p>
        </w:tc>
        <w:tc>
          <w:tcPr>
            <w:tcW w:w="3816" w:type="dxa"/>
            <w:tcBorders>
              <w:bottom w:val="single" w:sz="4" w:space="0" w:color="auto"/>
            </w:tcBorders>
            <w:shd w:val="clear" w:color="auto" w:fill="auto"/>
          </w:tcPr>
          <w:p w14:paraId="515E5756" w14:textId="77777777" w:rsidR="00BE2CA7" w:rsidRPr="00440C76" w:rsidRDefault="00BE2CA7" w:rsidP="002B0590">
            <w:pPr>
              <w:spacing w:before="40" w:after="120"/>
              <w:ind w:left="57" w:right="57"/>
              <w:rPr>
                <w:lang w:val="fr-FR"/>
              </w:rPr>
            </w:pPr>
            <w:r w:rsidRPr="00440C76">
              <w:rPr>
                <w:lang w:val="fr-FR"/>
              </w:rPr>
              <w:t>Méthode d</w:t>
            </w:r>
            <w:r>
              <w:rPr>
                <w:lang w:val="fr-FR"/>
              </w:rPr>
              <w:t>’</w:t>
            </w:r>
            <w:r w:rsidRPr="00440C76">
              <w:rPr>
                <w:lang w:val="fr-FR"/>
              </w:rPr>
              <w:t>alimentation du moteur telle que déclarée par le constructeur. Par</w:t>
            </w:r>
            <w:r>
              <w:rPr>
                <w:lang w:val="fr-FR"/>
              </w:rPr>
              <w:t>. </w:t>
            </w:r>
            <w:r w:rsidRPr="00440C76">
              <w:rPr>
                <w:lang w:val="fr-FR"/>
              </w:rPr>
              <w:t>1.10.2 de l</w:t>
            </w:r>
            <w:r>
              <w:rPr>
                <w:lang w:val="fr-FR"/>
              </w:rPr>
              <w:t>’</w:t>
            </w:r>
            <w:r w:rsidRPr="00440C76">
              <w:rPr>
                <w:lang w:val="fr-FR"/>
              </w:rPr>
              <w:t>additif à l</w:t>
            </w:r>
            <w:r>
              <w:rPr>
                <w:lang w:val="fr-FR"/>
              </w:rPr>
              <w:t>’</w:t>
            </w:r>
            <w:r w:rsidRPr="00440C76">
              <w:rPr>
                <w:lang w:val="fr-FR"/>
              </w:rPr>
              <w:t>annexe</w:t>
            </w:r>
            <w:r>
              <w:rPr>
                <w:lang w:val="fr-FR"/>
              </w:rPr>
              <w:t> </w:t>
            </w:r>
            <w:r w:rsidRPr="00440C76">
              <w:rPr>
                <w:lang w:val="fr-FR"/>
              </w:rPr>
              <w:t>A2 du Règlement ONU n</w:t>
            </w:r>
            <w:r w:rsidRPr="00440C76">
              <w:rPr>
                <w:vertAlign w:val="superscript"/>
                <w:lang w:val="fr-FR"/>
              </w:rPr>
              <w:t>o</w:t>
            </w:r>
            <w:r w:rsidRPr="00440C76">
              <w:rPr>
                <w:lang w:val="fr-FR"/>
              </w:rPr>
              <w:t> 154</w:t>
            </w:r>
          </w:p>
        </w:tc>
      </w:tr>
    </w:tbl>
    <w:p w14:paraId="381E0B4B" w14:textId="77777777" w:rsidR="00BE2CA7" w:rsidRPr="00440C76" w:rsidRDefault="00BE2CA7" w:rsidP="00BE2CA7">
      <w:pPr>
        <w:pStyle w:val="Titre1"/>
        <w:spacing w:before="240" w:after="120"/>
        <w:ind w:left="0"/>
        <w:rPr>
          <w:b/>
          <w:bCs/>
          <w:lang w:val="fr-FR"/>
        </w:rPr>
      </w:pPr>
      <w:r w:rsidRPr="00440C76">
        <w:rPr>
          <w:lang w:val="fr-FR"/>
        </w:rPr>
        <w:t>Tableau</w:t>
      </w:r>
      <w:r>
        <w:rPr>
          <w:lang w:val="fr-FR"/>
        </w:rPr>
        <w:t> </w:t>
      </w:r>
      <w:r w:rsidRPr="00440C76">
        <w:rPr>
          <w:lang w:val="fr-FR"/>
        </w:rPr>
        <w:t>2</w:t>
      </w:r>
      <w:r>
        <w:rPr>
          <w:lang w:val="fr-FR"/>
        </w:rPr>
        <w:br/>
      </w:r>
      <w:r w:rsidRPr="00440C76">
        <w:rPr>
          <w:b/>
          <w:bCs/>
          <w:lang w:val="fr-FR"/>
        </w:rPr>
        <w:t>Liste de transparence</w:t>
      </w:r>
      <w:r>
        <w:rPr>
          <w:b/>
          <w:bCs/>
          <w:lang w:val="fr-FR"/>
        </w:rPr>
        <w:t> </w:t>
      </w:r>
      <w:r w:rsidRPr="00440C76">
        <w:rPr>
          <w:b/>
          <w:bCs/>
          <w:lang w:val="fr-FR"/>
        </w:rPr>
        <w:t>2</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980"/>
        <w:gridCol w:w="3040"/>
        <w:gridCol w:w="4617"/>
      </w:tblGrid>
      <w:tr w:rsidR="00BE2CA7" w:rsidRPr="00440C76" w14:paraId="449CE67E" w14:textId="77777777" w:rsidTr="002B0590">
        <w:trPr>
          <w:tblHeader/>
        </w:trPr>
        <w:tc>
          <w:tcPr>
            <w:tcW w:w="1980" w:type="dxa"/>
            <w:tcBorders>
              <w:bottom w:val="single" w:sz="4" w:space="0" w:color="auto"/>
            </w:tcBorders>
            <w:shd w:val="clear" w:color="auto" w:fill="auto"/>
            <w:vAlign w:val="bottom"/>
          </w:tcPr>
          <w:p w14:paraId="73A408F8" w14:textId="77777777" w:rsidR="00BE2CA7" w:rsidRPr="00440C76" w:rsidRDefault="00BE2CA7" w:rsidP="002B0590">
            <w:pPr>
              <w:spacing w:before="80" w:after="80" w:line="200" w:lineRule="exact"/>
              <w:ind w:left="57" w:right="57"/>
              <w:rPr>
                <w:i/>
                <w:sz w:val="16"/>
                <w:lang w:val="fr-FR"/>
              </w:rPr>
            </w:pPr>
            <w:r w:rsidRPr="00440C76">
              <w:rPr>
                <w:i/>
                <w:sz w:val="16"/>
                <w:lang w:val="fr-FR"/>
              </w:rPr>
              <w:t>Champ</w:t>
            </w:r>
          </w:p>
        </w:tc>
        <w:tc>
          <w:tcPr>
            <w:tcW w:w="3040" w:type="dxa"/>
            <w:tcBorders>
              <w:bottom w:val="single" w:sz="4" w:space="0" w:color="auto"/>
            </w:tcBorders>
            <w:shd w:val="clear" w:color="auto" w:fill="auto"/>
            <w:vAlign w:val="bottom"/>
          </w:tcPr>
          <w:p w14:paraId="76F9124B" w14:textId="77777777" w:rsidR="00BE2CA7" w:rsidRPr="00440C76" w:rsidRDefault="00BE2CA7" w:rsidP="002B0590">
            <w:pPr>
              <w:spacing w:before="80" w:after="80" w:line="200" w:lineRule="exact"/>
              <w:ind w:left="57" w:right="57"/>
              <w:rPr>
                <w:i/>
                <w:sz w:val="16"/>
                <w:lang w:val="fr-FR"/>
              </w:rPr>
            </w:pPr>
            <w:r w:rsidRPr="00440C76">
              <w:rPr>
                <w:i/>
                <w:sz w:val="16"/>
                <w:lang w:val="fr-FR"/>
              </w:rPr>
              <w:t>Type de données</w:t>
            </w:r>
          </w:p>
        </w:tc>
        <w:tc>
          <w:tcPr>
            <w:tcW w:w="4617" w:type="dxa"/>
            <w:tcBorders>
              <w:bottom w:val="single" w:sz="4" w:space="0" w:color="auto"/>
            </w:tcBorders>
            <w:shd w:val="clear" w:color="auto" w:fill="auto"/>
            <w:vAlign w:val="bottom"/>
          </w:tcPr>
          <w:p w14:paraId="4C3FBF5B" w14:textId="77777777" w:rsidR="00BE2CA7" w:rsidRPr="00440C76" w:rsidRDefault="00BE2CA7" w:rsidP="002B0590">
            <w:pPr>
              <w:spacing w:before="80" w:after="80" w:line="200" w:lineRule="exact"/>
              <w:ind w:left="57" w:right="57"/>
              <w:rPr>
                <w:i/>
                <w:sz w:val="16"/>
                <w:lang w:val="fr-FR"/>
              </w:rPr>
            </w:pPr>
            <w:r w:rsidRPr="00440C76">
              <w:rPr>
                <w:i/>
                <w:sz w:val="16"/>
                <w:lang w:val="fr-FR"/>
              </w:rPr>
              <w:t>Description</w:t>
            </w:r>
          </w:p>
        </w:tc>
      </w:tr>
      <w:tr w:rsidR="00BE2CA7" w:rsidRPr="00440C76" w14:paraId="0986ABF2" w14:textId="77777777" w:rsidTr="002B0590">
        <w:tc>
          <w:tcPr>
            <w:tcW w:w="1980" w:type="dxa"/>
            <w:tcBorders>
              <w:top w:val="single" w:sz="4" w:space="0" w:color="auto"/>
            </w:tcBorders>
            <w:shd w:val="clear" w:color="auto" w:fill="auto"/>
          </w:tcPr>
          <w:p w14:paraId="524340D8" w14:textId="77777777" w:rsidR="00BE2CA7" w:rsidRPr="00440C76" w:rsidRDefault="00BE2CA7" w:rsidP="002B0590">
            <w:pPr>
              <w:spacing w:before="40" w:after="120"/>
              <w:ind w:left="57" w:right="57"/>
              <w:rPr>
                <w:lang w:val="fr-FR"/>
              </w:rPr>
            </w:pPr>
            <w:r w:rsidRPr="00440C76">
              <w:rPr>
                <w:lang w:val="fr-FR"/>
              </w:rPr>
              <w:t>TVV</w:t>
            </w:r>
          </w:p>
        </w:tc>
        <w:tc>
          <w:tcPr>
            <w:tcW w:w="3040" w:type="dxa"/>
            <w:tcBorders>
              <w:top w:val="single" w:sz="4" w:space="0" w:color="auto"/>
            </w:tcBorders>
            <w:shd w:val="clear" w:color="auto" w:fill="auto"/>
          </w:tcPr>
          <w:p w14:paraId="791B8CD6" w14:textId="77777777" w:rsidR="00BE2CA7" w:rsidRPr="00440C76" w:rsidRDefault="00BE2CA7" w:rsidP="002B0590">
            <w:pPr>
              <w:spacing w:before="40" w:after="120"/>
              <w:ind w:left="57" w:right="57"/>
              <w:rPr>
                <w:lang w:val="fr-FR"/>
              </w:rPr>
            </w:pPr>
            <w:r w:rsidRPr="00440C76">
              <w:rPr>
                <w:lang w:val="fr-FR"/>
              </w:rPr>
              <w:t>Texte</w:t>
            </w:r>
          </w:p>
        </w:tc>
        <w:tc>
          <w:tcPr>
            <w:tcW w:w="4617" w:type="dxa"/>
            <w:tcBorders>
              <w:top w:val="single" w:sz="4" w:space="0" w:color="auto"/>
            </w:tcBorders>
            <w:shd w:val="clear" w:color="auto" w:fill="auto"/>
          </w:tcPr>
          <w:p w14:paraId="30F6DCF0" w14:textId="77777777" w:rsidR="00BE2CA7" w:rsidRPr="00440C76" w:rsidRDefault="00BE2CA7" w:rsidP="002B0590">
            <w:pPr>
              <w:spacing w:before="40" w:after="120"/>
              <w:ind w:left="57" w:right="57"/>
              <w:rPr>
                <w:lang w:val="fr-FR"/>
              </w:rPr>
            </w:pPr>
            <w:r w:rsidRPr="00440C76">
              <w:rPr>
                <w:lang w:val="fr-FR"/>
              </w:rPr>
              <w:t>Identifiant unique du type, de la variante, de la version du véhicule</w:t>
            </w:r>
          </w:p>
        </w:tc>
      </w:tr>
      <w:tr w:rsidR="00BE2CA7" w:rsidRPr="00440C76" w14:paraId="0282A249" w14:textId="77777777" w:rsidTr="002B0590">
        <w:tc>
          <w:tcPr>
            <w:tcW w:w="1980" w:type="dxa"/>
            <w:shd w:val="clear" w:color="auto" w:fill="auto"/>
          </w:tcPr>
          <w:p w14:paraId="0E7F24B4" w14:textId="77777777" w:rsidR="00BE2CA7" w:rsidRPr="00440C76" w:rsidRDefault="00BE2CA7" w:rsidP="002B0590">
            <w:pPr>
              <w:spacing w:before="40" w:after="120"/>
              <w:ind w:left="57" w:right="57"/>
              <w:rPr>
                <w:lang w:val="fr-FR"/>
              </w:rPr>
            </w:pPr>
            <w:r w:rsidRPr="00440C76">
              <w:rPr>
                <w:lang w:val="fr-FR"/>
              </w:rPr>
              <w:t>Identifiant de la famille PEMS</w:t>
            </w:r>
          </w:p>
        </w:tc>
        <w:tc>
          <w:tcPr>
            <w:tcW w:w="3040" w:type="dxa"/>
            <w:shd w:val="clear" w:color="auto" w:fill="auto"/>
          </w:tcPr>
          <w:p w14:paraId="3EAFD34D" w14:textId="77777777" w:rsidR="00BE2CA7" w:rsidRPr="00440C76" w:rsidRDefault="00BE2CA7" w:rsidP="002B0590">
            <w:pPr>
              <w:spacing w:before="40" w:after="120"/>
              <w:ind w:left="57" w:right="57"/>
              <w:rPr>
                <w:lang w:val="fr-FR"/>
              </w:rPr>
            </w:pPr>
            <w:r w:rsidRPr="00440C76">
              <w:rPr>
                <w:lang w:val="fr-FR"/>
              </w:rPr>
              <w:t>Texte</w:t>
            </w:r>
          </w:p>
        </w:tc>
        <w:tc>
          <w:tcPr>
            <w:tcW w:w="4617" w:type="dxa"/>
            <w:shd w:val="clear" w:color="auto" w:fill="auto"/>
          </w:tcPr>
          <w:p w14:paraId="7A49F681" w14:textId="77777777" w:rsidR="00BE2CA7" w:rsidRPr="00440C76" w:rsidRDefault="00BE2CA7" w:rsidP="002B0590">
            <w:pPr>
              <w:spacing w:before="40" w:after="120"/>
              <w:ind w:left="57" w:right="57"/>
              <w:rPr>
                <w:lang w:val="fr-FR"/>
              </w:rPr>
            </w:pPr>
            <w:r w:rsidRPr="00440C76">
              <w:rPr>
                <w:bCs/>
                <w:lang w:val="fr-FR"/>
              </w:rPr>
              <w:t>Par</w:t>
            </w:r>
            <w:r>
              <w:rPr>
                <w:bCs/>
                <w:lang w:val="fr-FR"/>
              </w:rPr>
              <w:t>. </w:t>
            </w:r>
            <w:r w:rsidRPr="00440C76">
              <w:rPr>
                <w:bCs/>
                <w:lang w:val="fr-FR"/>
              </w:rPr>
              <w:t xml:space="preserve">6.5.2 du Règlement ONU </w:t>
            </w:r>
            <w:r w:rsidRPr="00440C76">
              <w:rPr>
                <w:lang w:val="fr-FR"/>
              </w:rPr>
              <w:t>n</w:t>
            </w:r>
            <w:r w:rsidRPr="00440C76">
              <w:rPr>
                <w:vertAlign w:val="superscript"/>
                <w:lang w:val="fr-FR"/>
              </w:rPr>
              <w:t>o</w:t>
            </w:r>
            <w:r w:rsidRPr="00440C76">
              <w:rPr>
                <w:lang w:val="fr-FR"/>
              </w:rPr>
              <w:t> </w:t>
            </w:r>
            <w:r w:rsidRPr="00440C76">
              <w:rPr>
                <w:bCs/>
                <w:lang w:val="fr-FR"/>
              </w:rPr>
              <w:t>[xxx] sur les émissions en conditions réelles de conduite</w:t>
            </w:r>
          </w:p>
        </w:tc>
      </w:tr>
      <w:tr w:rsidR="00BE2CA7" w:rsidRPr="00440C76" w14:paraId="7FB6AC6B" w14:textId="77777777" w:rsidTr="002B0590">
        <w:tc>
          <w:tcPr>
            <w:tcW w:w="1980" w:type="dxa"/>
            <w:shd w:val="clear" w:color="auto" w:fill="auto"/>
          </w:tcPr>
          <w:p w14:paraId="689881E4" w14:textId="77777777" w:rsidR="00BE2CA7" w:rsidRPr="00440C76" w:rsidRDefault="00BE2CA7" w:rsidP="002B0590">
            <w:pPr>
              <w:spacing w:before="40" w:after="120"/>
              <w:ind w:left="57" w:right="57"/>
              <w:rPr>
                <w:lang w:val="fr-FR"/>
              </w:rPr>
            </w:pPr>
            <w:r w:rsidRPr="00440C76">
              <w:rPr>
                <w:lang w:val="fr-FR"/>
              </w:rPr>
              <w:t>Marque</w:t>
            </w:r>
          </w:p>
        </w:tc>
        <w:tc>
          <w:tcPr>
            <w:tcW w:w="3040" w:type="dxa"/>
            <w:shd w:val="clear" w:color="auto" w:fill="auto"/>
          </w:tcPr>
          <w:p w14:paraId="3DBBEA96" w14:textId="77777777" w:rsidR="00BE2CA7" w:rsidRPr="00440C76" w:rsidRDefault="00BE2CA7" w:rsidP="002B0590">
            <w:pPr>
              <w:spacing w:before="40" w:after="120"/>
              <w:ind w:left="57" w:right="57"/>
              <w:rPr>
                <w:lang w:val="fr-FR"/>
              </w:rPr>
            </w:pPr>
            <w:r w:rsidRPr="00440C76">
              <w:rPr>
                <w:lang w:val="fr-FR"/>
              </w:rPr>
              <w:t>Texte</w:t>
            </w:r>
          </w:p>
        </w:tc>
        <w:tc>
          <w:tcPr>
            <w:tcW w:w="4617" w:type="dxa"/>
            <w:shd w:val="clear" w:color="auto" w:fill="auto"/>
          </w:tcPr>
          <w:p w14:paraId="6D235667" w14:textId="77777777" w:rsidR="00BE2CA7" w:rsidRPr="00440C76" w:rsidRDefault="00BE2CA7" w:rsidP="002B0590">
            <w:pPr>
              <w:spacing w:before="40" w:after="120"/>
              <w:ind w:left="57" w:right="57"/>
              <w:rPr>
                <w:lang w:val="fr-FR"/>
              </w:rPr>
            </w:pPr>
            <w:r>
              <w:rPr>
                <w:lang w:val="fr-FR"/>
              </w:rPr>
              <w:t>Nom commercial</w:t>
            </w:r>
            <w:r w:rsidRPr="00440C76">
              <w:rPr>
                <w:lang w:val="fr-FR"/>
              </w:rPr>
              <w:t xml:space="preserve"> du constructeur</w:t>
            </w:r>
          </w:p>
        </w:tc>
      </w:tr>
      <w:tr w:rsidR="00BE2CA7" w:rsidRPr="00440C76" w14:paraId="57384AB2" w14:textId="77777777" w:rsidTr="002B0590">
        <w:tc>
          <w:tcPr>
            <w:tcW w:w="1980" w:type="dxa"/>
            <w:shd w:val="clear" w:color="auto" w:fill="auto"/>
          </w:tcPr>
          <w:p w14:paraId="1E018095" w14:textId="77777777" w:rsidR="00BE2CA7" w:rsidRPr="00440C76" w:rsidRDefault="00BE2CA7" w:rsidP="002B0590">
            <w:pPr>
              <w:spacing w:before="40" w:after="120"/>
              <w:ind w:left="57" w:right="57"/>
              <w:rPr>
                <w:lang w:val="fr-FR"/>
              </w:rPr>
            </w:pPr>
            <w:r w:rsidRPr="00440C76">
              <w:rPr>
                <w:lang w:val="fr-FR"/>
              </w:rPr>
              <w:t>Dénomination commerciale</w:t>
            </w:r>
          </w:p>
        </w:tc>
        <w:tc>
          <w:tcPr>
            <w:tcW w:w="3040" w:type="dxa"/>
            <w:shd w:val="clear" w:color="auto" w:fill="auto"/>
          </w:tcPr>
          <w:p w14:paraId="3AAE8369" w14:textId="77777777" w:rsidR="00BE2CA7" w:rsidRPr="00440C76" w:rsidRDefault="00BE2CA7" w:rsidP="002B0590">
            <w:pPr>
              <w:spacing w:before="40" w:after="120"/>
              <w:ind w:left="57" w:right="57"/>
              <w:rPr>
                <w:lang w:val="fr-FR"/>
              </w:rPr>
            </w:pPr>
            <w:r w:rsidRPr="00440C76">
              <w:rPr>
                <w:lang w:val="fr-FR"/>
              </w:rPr>
              <w:t>Texte</w:t>
            </w:r>
          </w:p>
        </w:tc>
        <w:tc>
          <w:tcPr>
            <w:tcW w:w="4617" w:type="dxa"/>
            <w:shd w:val="clear" w:color="auto" w:fill="auto"/>
          </w:tcPr>
          <w:p w14:paraId="53F41E39" w14:textId="77777777" w:rsidR="00BE2CA7" w:rsidRPr="00440C76" w:rsidRDefault="00BE2CA7" w:rsidP="002B0590">
            <w:pPr>
              <w:spacing w:before="40" w:after="120"/>
              <w:ind w:left="57" w:right="57"/>
              <w:rPr>
                <w:lang w:val="fr-FR"/>
              </w:rPr>
            </w:pPr>
            <w:r w:rsidRPr="00440C76">
              <w:rPr>
                <w:lang w:val="fr-FR"/>
              </w:rPr>
              <w:t>Appellations commerciales du TVV</w:t>
            </w:r>
          </w:p>
        </w:tc>
      </w:tr>
      <w:tr w:rsidR="00BE2CA7" w:rsidRPr="00440C76" w14:paraId="40092DBC" w14:textId="77777777" w:rsidTr="002B0590">
        <w:tc>
          <w:tcPr>
            <w:tcW w:w="1980" w:type="dxa"/>
            <w:shd w:val="clear" w:color="auto" w:fill="auto"/>
          </w:tcPr>
          <w:p w14:paraId="25966E46" w14:textId="77777777" w:rsidR="00BE2CA7" w:rsidRPr="00440C76" w:rsidRDefault="00BE2CA7" w:rsidP="002B0590">
            <w:pPr>
              <w:spacing w:before="40" w:after="120"/>
              <w:ind w:left="57" w:right="57"/>
              <w:rPr>
                <w:lang w:val="fr-FR"/>
              </w:rPr>
            </w:pPr>
            <w:r w:rsidRPr="00440C76">
              <w:rPr>
                <w:lang w:val="fr-FR"/>
              </w:rPr>
              <w:t>Autre nom</w:t>
            </w:r>
          </w:p>
        </w:tc>
        <w:tc>
          <w:tcPr>
            <w:tcW w:w="3040" w:type="dxa"/>
            <w:shd w:val="clear" w:color="auto" w:fill="auto"/>
          </w:tcPr>
          <w:p w14:paraId="17114494" w14:textId="77777777" w:rsidR="00BE2CA7" w:rsidRPr="00440C76" w:rsidRDefault="00BE2CA7" w:rsidP="002B0590">
            <w:pPr>
              <w:spacing w:before="40" w:after="120"/>
              <w:ind w:left="57" w:right="57"/>
              <w:rPr>
                <w:lang w:val="fr-FR"/>
              </w:rPr>
            </w:pPr>
            <w:r w:rsidRPr="00440C76">
              <w:rPr>
                <w:lang w:val="fr-FR"/>
              </w:rPr>
              <w:t>Texte</w:t>
            </w:r>
          </w:p>
        </w:tc>
        <w:tc>
          <w:tcPr>
            <w:tcW w:w="4617" w:type="dxa"/>
            <w:shd w:val="clear" w:color="auto" w:fill="auto"/>
          </w:tcPr>
          <w:p w14:paraId="0C80B0BE" w14:textId="77777777" w:rsidR="00BE2CA7" w:rsidRPr="00440C76" w:rsidRDefault="00BE2CA7" w:rsidP="002B0590">
            <w:pPr>
              <w:spacing w:before="40" w:after="120"/>
              <w:ind w:left="57" w:right="57"/>
              <w:rPr>
                <w:lang w:val="fr-FR"/>
              </w:rPr>
            </w:pPr>
            <w:r w:rsidRPr="00440C76">
              <w:rPr>
                <w:lang w:val="fr-FR"/>
              </w:rPr>
              <w:t>Texte libre</w:t>
            </w:r>
          </w:p>
        </w:tc>
      </w:tr>
      <w:tr w:rsidR="00BE2CA7" w:rsidRPr="00440C76" w14:paraId="56BD9211" w14:textId="77777777" w:rsidTr="002B0590">
        <w:tc>
          <w:tcPr>
            <w:tcW w:w="1980" w:type="dxa"/>
            <w:shd w:val="clear" w:color="auto" w:fill="auto"/>
          </w:tcPr>
          <w:p w14:paraId="3B2C4E6D" w14:textId="77777777" w:rsidR="00BE2CA7" w:rsidRPr="00440C76" w:rsidRDefault="00BE2CA7" w:rsidP="002B0590">
            <w:pPr>
              <w:spacing w:before="40" w:after="120"/>
              <w:ind w:left="57" w:right="57"/>
              <w:rPr>
                <w:lang w:val="fr-FR"/>
              </w:rPr>
            </w:pPr>
            <w:r w:rsidRPr="00440C76">
              <w:rPr>
                <w:lang w:val="fr-FR"/>
              </w:rPr>
              <w:t>Catégorie et classe</w:t>
            </w:r>
          </w:p>
        </w:tc>
        <w:tc>
          <w:tcPr>
            <w:tcW w:w="3040" w:type="dxa"/>
            <w:shd w:val="clear" w:color="auto" w:fill="auto"/>
          </w:tcPr>
          <w:p w14:paraId="2DC9903A" w14:textId="77777777" w:rsidR="00BE2CA7" w:rsidRPr="00440C76" w:rsidRDefault="00BE2CA7" w:rsidP="002B0590">
            <w:pPr>
              <w:spacing w:before="40" w:after="120"/>
              <w:ind w:left="57" w:right="57"/>
              <w:rPr>
                <w:lang w:val="fr-FR"/>
              </w:rPr>
            </w:pPr>
            <w:r w:rsidRPr="00440C76">
              <w:rPr>
                <w:lang w:val="fr-FR"/>
              </w:rPr>
              <w:t>Énumération (M</w:t>
            </w:r>
            <w:r w:rsidRPr="00440C76">
              <w:rPr>
                <w:vertAlign w:val="subscript"/>
                <w:lang w:val="fr-FR"/>
              </w:rPr>
              <w:t>1</w:t>
            </w:r>
            <w:r w:rsidRPr="00440C76">
              <w:rPr>
                <w:lang w:val="fr-FR"/>
              </w:rPr>
              <w:t>, N</w:t>
            </w:r>
            <w:r w:rsidRPr="00440C76">
              <w:rPr>
                <w:vertAlign w:val="subscript"/>
                <w:lang w:val="fr-FR"/>
              </w:rPr>
              <w:t>1</w:t>
            </w:r>
            <w:r w:rsidRPr="00440C76">
              <w:rPr>
                <w:lang w:val="fr-FR"/>
              </w:rPr>
              <w:t xml:space="preserve"> classe I, N</w:t>
            </w:r>
            <w:r w:rsidRPr="00440C76">
              <w:rPr>
                <w:vertAlign w:val="subscript"/>
                <w:lang w:val="fr-FR"/>
              </w:rPr>
              <w:t>1</w:t>
            </w:r>
            <w:r w:rsidRPr="00440C76">
              <w:rPr>
                <w:lang w:val="fr-FR"/>
              </w:rPr>
              <w:t xml:space="preserve"> classe</w:t>
            </w:r>
            <w:r>
              <w:rPr>
                <w:lang w:val="fr-FR"/>
              </w:rPr>
              <w:t> </w:t>
            </w:r>
            <w:r w:rsidRPr="00440C76">
              <w:rPr>
                <w:lang w:val="fr-FR"/>
              </w:rPr>
              <w:t>II, N</w:t>
            </w:r>
            <w:r w:rsidRPr="00440C76">
              <w:rPr>
                <w:vertAlign w:val="subscript"/>
                <w:lang w:val="fr-FR"/>
              </w:rPr>
              <w:t>1</w:t>
            </w:r>
            <w:r w:rsidRPr="00440C76">
              <w:rPr>
                <w:lang w:val="fr-FR"/>
              </w:rPr>
              <w:t xml:space="preserve"> classe</w:t>
            </w:r>
            <w:r>
              <w:rPr>
                <w:lang w:val="fr-FR"/>
              </w:rPr>
              <w:t> </w:t>
            </w:r>
            <w:r w:rsidRPr="00440C76">
              <w:rPr>
                <w:lang w:val="fr-FR"/>
              </w:rPr>
              <w:t>III, M</w:t>
            </w:r>
            <w:r w:rsidRPr="00440C76">
              <w:rPr>
                <w:vertAlign w:val="subscript"/>
                <w:lang w:val="fr-FR"/>
              </w:rPr>
              <w:t>2</w:t>
            </w:r>
            <w:r w:rsidRPr="00440C76">
              <w:rPr>
                <w:lang w:val="fr-FR"/>
              </w:rPr>
              <w:t>)</w:t>
            </w:r>
          </w:p>
        </w:tc>
        <w:tc>
          <w:tcPr>
            <w:tcW w:w="4617" w:type="dxa"/>
            <w:shd w:val="clear" w:color="auto" w:fill="auto"/>
          </w:tcPr>
          <w:p w14:paraId="28AED8BD" w14:textId="77777777" w:rsidR="00BE2CA7" w:rsidRPr="00440C76" w:rsidRDefault="00BE2CA7" w:rsidP="002B0590">
            <w:pPr>
              <w:spacing w:before="40" w:after="120"/>
              <w:ind w:left="57" w:right="57"/>
              <w:rPr>
                <w:lang w:val="fr-FR"/>
              </w:rPr>
            </w:pPr>
            <w:r w:rsidRPr="00440C76">
              <w:rPr>
                <w:lang w:val="fr-FR"/>
              </w:rPr>
              <w:t>Catégorie et classe de véhicule</w:t>
            </w:r>
          </w:p>
        </w:tc>
      </w:tr>
      <w:tr w:rsidR="00BE2CA7" w:rsidRPr="00440C76" w14:paraId="2FC8266D" w14:textId="77777777" w:rsidTr="002B0590">
        <w:tc>
          <w:tcPr>
            <w:tcW w:w="1980" w:type="dxa"/>
            <w:shd w:val="clear" w:color="auto" w:fill="auto"/>
          </w:tcPr>
          <w:p w14:paraId="419973FC" w14:textId="77777777" w:rsidR="00BE2CA7" w:rsidRPr="00440C76" w:rsidRDefault="00BE2CA7" w:rsidP="002B0590">
            <w:pPr>
              <w:spacing w:before="40" w:after="120"/>
              <w:ind w:left="57" w:right="57"/>
              <w:rPr>
                <w:lang w:val="fr-FR"/>
              </w:rPr>
            </w:pPr>
            <w:r w:rsidRPr="00440C76">
              <w:rPr>
                <w:lang w:val="fr-FR"/>
              </w:rPr>
              <w:t>Carrosserie</w:t>
            </w:r>
          </w:p>
        </w:tc>
        <w:tc>
          <w:tcPr>
            <w:tcW w:w="3040" w:type="dxa"/>
            <w:shd w:val="clear" w:color="auto" w:fill="auto"/>
          </w:tcPr>
          <w:p w14:paraId="37037446" w14:textId="77777777" w:rsidR="00BE2CA7" w:rsidRPr="00440C76" w:rsidRDefault="00BE2CA7" w:rsidP="002B0590">
            <w:pPr>
              <w:spacing w:before="40" w:after="120"/>
              <w:ind w:left="57" w:right="57"/>
              <w:rPr>
                <w:lang w:val="fr-FR"/>
              </w:rPr>
            </w:pPr>
            <w:r w:rsidRPr="00440C76">
              <w:rPr>
                <w:lang w:val="fr-FR"/>
              </w:rPr>
              <w:t>Énumération</w:t>
            </w:r>
            <w:r w:rsidRPr="00440C76">
              <w:rPr>
                <w:lang w:val="fr-FR"/>
              </w:rPr>
              <w:br/>
              <w:t>(AA limousine,</w:t>
            </w:r>
            <w:r w:rsidRPr="00440C76">
              <w:rPr>
                <w:lang w:val="fr-FR"/>
              </w:rPr>
              <w:br/>
              <w:t>AB Voiture à hayon arrière,</w:t>
            </w:r>
            <w:r w:rsidRPr="00440C76">
              <w:rPr>
                <w:lang w:val="fr-FR"/>
              </w:rPr>
              <w:br/>
              <w:t>AC Break,</w:t>
            </w:r>
            <w:r w:rsidRPr="00440C76">
              <w:rPr>
                <w:lang w:val="fr-FR"/>
              </w:rPr>
              <w:br/>
              <w:t>AD Coupé,</w:t>
            </w:r>
            <w:r w:rsidRPr="00440C76">
              <w:rPr>
                <w:lang w:val="fr-FR"/>
              </w:rPr>
              <w:br/>
              <w:t>AE Cabriolet,</w:t>
            </w:r>
            <w:r w:rsidRPr="00440C76">
              <w:rPr>
                <w:lang w:val="fr-FR"/>
              </w:rPr>
              <w:br/>
            </w:r>
            <w:r w:rsidRPr="00440C76">
              <w:rPr>
                <w:lang w:val="fr-FR"/>
              </w:rPr>
              <w:lastRenderedPageBreak/>
              <w:t>AF Véhicule polyvalent,</w:t>
            </w:r>
            <w:r w:rsidRPr="00440C76">
              <w:rPr>
                <w:lang w:val="fr-FR"/>
              </w:rPr>
              <w:br/>
              <w:t>AG Break utilitaire,</w:t>
            </w:r>
            <w:r w:rsidRPr="00440C76">
              <w:rPr>
                <w:lang w:val="fr-FR"/>
              </w:rPr>
              <w:br/>
              <w:t>BA Camion,</w:t>
            </w:r>
            <w:r w:rsidRPr="00440C76">
              <w:rPr>
                <w:lang w:val="fr-FR"/>
              </w:rPr>
              <w:br/>
              <w:t>BB Camionnette,</w:t>
            </w:r>
            <w:r w:rsidRPr="00440C76">
              <w:rPr>
                <w:lang w:val="fr-FR"/>
              </w:rPr>
              <w:br/>
              <w:t>BC Unité de traction pour semi</w:t>
            </w:r>
            <w:r w:rsidRPr="00440C76">
              <w:rPr>
                <w:lang w:val="fr-FR"/>
              </w:rPr>
              <w:noBreakHyphen/>
              <w:t>remorque,</w:t>
            </w:r>
            <w:r w:rsidRPr="00440C76">
              <w:rPr>
                <w:lang w:val="fr-FR"/>
              </w:rPr>
              <w:br/>
              <w:t>BD Tracteur routier,</w:t>
            </w:r>
            <w:r w:rsidRPr="00440C76">
              <w:rPr>
                <w:lang w:val="fr-FR"/>
              </w:rPr>
              <w:br/>
              <w:t>BE Camion pick-up,</w:t>
            </w:r>
            <w:r w:rsidRPr="00440C76">
              <w:rPr>
                <w:lang w:val="fr-FR"/>
              </w:rPr>
              <w:br/>
            </w:r>
            <w:r w:rsidRPr="00440C76">
              <w:rPr>
                <w:spacing w:val="-2"/>
                <w:lang w:val="fr-FR"/>
              </w:rPr>
              <w:t>BX Châssis-cabine ou châssis</w:t>
            </w:r>
            <w:r w:rsidRPr="00440C76">
              <w:rPr>
                <w:spacing w:val="-2"/>
                <w:lang w:val="fr-FR"/>
              </w:rPr>
              <w:noBreakHyphen/>
              <w:t>capot)</w:t>
            </w:r>
          </w:p>
        </w:tc>
        <w:tc>
          <w:tcPr>
            <w:tcW w:w="4617" w:type="dxa"/>
            <w:shd w:val="clear" w:color="auto" w:fill="auto"/>
          </w:tcPr>
          <w:p w14:paraId="1A906039" w14:textId="77777777" w:rsidR="00BE2CA7" w:rsidRPr="00440C76" w:rsidRDefault="00BE2CA7" w:rsidP="002B0590">
            <w:pPr>
              <w:spacing w:before="40" w:after="120"/>
              <w:ind w:left="57" w:right="57"/>
              <w:rPr>
                <w:lang w:val="fr-FR"/>
              </w:rPr>
            </w:pPr>
            <w:r w:rsidRPr="00440C76">
              <w:rPr>
                <w:lang w:val="fr-FR"/>
              </w:rPr>
              <w:lastRenderedPageBreak/>
              <w:t>Type de carrosserie</w:t>
            </w:r>
          </w:p>
        </w:tc>
      </w:tr>
      <w:tr w:rsidR="00BE2CA7" w:rsidRPr="00440C76" w14:paraId="455666A9" w14:textId="77777777" w:rsidTr="002B0590">
        <w:tc>
          <w:tcPr>
            <w:tcW w:w="1980" w:type="dxa"/>
            <w:shd w:val="clear" w:color="auto" w:fill="auto"/>
          </w:tcPr>
          <w:p w14:paraId="2C76F486" w14:textId="77777777" w:rsidR="00BE2CA7" w:rsidRPr="00440C76" w:rsidRDefault="00BE2CA7" w:rsidP="002B0590">
            <w:pPr>
              <w:spacing w:before="40" w:after="120"/>
              <w:ind w:left="57" w:right="57"/>
              <w:rPr>
                <w:lang w:val="fr-FR"/>
              </w:rPr>
            </w:pPr>
            <w:r w:rsidRPr="00440C76">
              <w:rPr>
                <w:lang w:val="fr-FR"/>
              </w:rPr>
              <w:t>Numéro d</w:t>
            </w:r>
            <w:r>
              <w:rPr>
                <w:lang w:val="fr-FR"/>
              </w:rPr>
              <w:t>’</w:t>
            </w:r>
            <w:r w:rsidRPr="00440C76">
              <w:rPr>
                <w:lang w:val="fr-FR"/>
              </w:rPr>
              <w:t>homologation de type en ce qui concerne les émissions</w:t>
            </w:r>
          </w:p>
        </w:tc>
        <w:tc>
          <w:tcPr>
            <w:tcW w:w="3040" w:type="dxa"/>
            <w:shd w:val="clear" w:color="auto" w:fill="auto"/>
          </w:tcPr>
          <w:p w14:paraId="6A8F72BF" w14:textId="77777777" w:rsidR="00BE2CA7" w:rsidRPr="00440C76" w:rsidRDefault="00BE2CA7" w:rsidP="002B0590">
            <w:pPr>
              <w:spacing w:before="40" w:after="120"/>
              <w:ind w:left="57" w:right="57"/>
              <w:rPr>
                <w:lang w:val="fr-FR"/>
              </w:rPr>
            </w:pPr>
            <w:r w:rsidRPr="00440C76">
              <w:rPr>
                <w:lang w:val="fr-FR"/>
              </w:rPr>
              <w:t>Texte</w:t>
            </w:r>
          </w:p>
        </w:tc>
        <w:tc>
          <w:tcPr>
            <w:tcW w:w="4617" w:type="dxa"/>
            <w:shd w:val="clear" w:color="auto" w:fill="auto"/>
          </w:tcPr>
          <w:p w14:paraId="1C3200D3" w14:textId="77777777" w:rsidR="00BE2CA7" w:rsidRPr="00440C76" w:rsidRDefault="00BE2CA7" w:rsidP="002B0590">
            <w:pPr>
              <w:spacing w:before="40" w:after="120"/>
              <w:ind w:left="57" w:right="57"/>
              <w:rPr>
                <w:lang w:val="fr-FR"/>
              </w:rPr>
            </w:pPr>
            <w:r>
              <w:rPr>
                <w:lang w:val="fr-FR"/>
              </w:rPr>
              <w:t>Numéro d’homologation conformément au Règlement ONU n</w:t>
            </w:r>
            <w:r w:rsidRPr="009868E4">
              <w:rPr>
                <w:vertAlign w:val="superscript"/>
                <w:lang w:val="fr-FR"/>
              </w:rPr>
              <w:t>o</w:t>
            </w:r>
            <w:r>
              <w:rPr>
                <w:lang w:val="fr-FR"/>
              </w:rPr>
              <w:t> 154 ; numéro d’homologation conformément au Règlement ONU n</w:t>
            </w:r>
            <w:r w:rsidRPr="009868E4">
              <w:rPr>
                <w:vertAlign w:val="superscript"/>
                <w:lang w:val="fr-FR"/>
              </w:rPr>
              <w:t>o</w:t>
            </w:r>
            <w:r>
              <w:rPr>
                <w:lang w:val="fr-FR"/>
              </w:rPr>
              <w:t xml:space="preserve"> [xxx] sur les </w:t>
            </w:r>
            <w:r w:rsidRPr="00973EF9">
              <w:rPr>
                <w:lang w:val="fr-FR"/>
              </w:rPr>
              <w:t>émissions en conditions réelles de conduite</w:t>
            </w:r>
            <w:r w:rsidRPr="00973EF9" w:rsidDel="00B40F4B">
              <w:rPr>
                <w:lang w:val="fr-FR"/>
              </w:rPr>
              <w:t xml:space="preserve"> </w:t>
            </w:r>
            <w:r>
              <w:rPr>
                <w:lang w:val="fr-FR"/>
              </w:rPr>
              <w:t>(le cas échéant)</w:t>
            </w:r>
          </w:p>
        </w:tc>
      </w:tr>
      <w:tr w:rsidR="00BE2CA7" w:rsidRPr="00440C76" w14:paraId="7B9F25E4" w14:textId="77777777" w:rsidTr="002B0590">
        <w:tc>
          <w:tcPr>
            <w:tcW w:w="1980" w:type="dxa"/>
            <w:shd w:val="clear" w:color="auto" w:fill="auto"/>
          </w:tcPr>
          <w:p w14:paraId="1EAD2A3A" w14:textId="77777777" w:rsidR="00BE2CA7" w:rsidRPr="00440C76" w:rsidRDefault="00BE2CA7" w:rsidP="002B0590">
            <w:pPr>
              <w:spacing w:before="40" w:after="120"/>
              <w:ind w:left="57" w:right="57"/>
              <w:rPr>
                <w:lang w:val="fr-FR"/>
              </w:rPr>
            </w:pPr>
            <w:r w:rsidRPr="00440C76">
              <w:rPr>
                <w:lang w:val="fr-FR"/>
              </w:rPr>
              <w:t>Numéro d</w:t>
            </w:r>
            <w:r>
              <w:rPr>
                <w:lang w:val="fr-FR"/>
              </w:rPr>
              <w:t>’</w:t>
            </w:r>
            <w:r w:rsidRPr="00440C76">
              <w:rPr>
                <w:lang w:val="fr-FR"/>
              </w:rPr>
              <w:t>homologation de type de l</w:t>
            </w:r>
            <w:r>
              <w:rPr>
                <w:lang w:val="fr-FR"/>
              </w:rPr>
              <w:t>’</w:t>
            </w:r>
            <w:r w:rsidRPr="00440C76">
              <w:rPr>
                <w:lang w:val="fr-FR"/>
              </w:rPr>
              <w:t>ensemble du véhicule (WVTA)</w:t>
            </w:r>
          </w:p>
        </w:tc>
        <w:tc>
          <w:tcPr>
            <w:tcW w:w="3040" w:type="dxa"/>
            <w:shd w:val="clear" w:color="auto" w:fill="auto"/>
          </w:tcPr>
          <w:p w14:paraId="7439BBD3" w14:textId="77777777" w:rsidR="00BE2CA7" w:rsidRPr="00440C76" w:rsidRDefault="00BE2CA7" w:rsidP="002B0590">
            <w:pPr>
              <w:spacing w:before="40" w:after="120"/>
              <w:ind w:left="57" w:right="57"/>
              <w:rPr>
                <w:lang w:val="fr-FR"/>
              </w:rPr>
            </w:pPr>
            <w:r w:rsidRPr="00440C76">
              <w:rPr>
                <w:lang w:val="fr-FR"/>
              </w:rPr>
              <w:t>Texte</w:t>
            </w:r>
          </w:p>
        </w:tc>
        <w:tc>
          <w:tcPr>
            <w:tcW w:w="4617" w:type="dxa"/>
            <w:shd w:val="clear" w:color="auto" w:fill="auto"/>
          </w:tcPr>
          <w:p w14:paraId="65E775CD" w14:textId="77777777" w:rsidR="00BE2CA7" w:rsidRPr="00440C76" w:rsidRDefault="00BE2CA7" w:rsidP="002B0590">
            <w:pPr>
              <w:spacing w:before="40" w:after="120"/>
              <w:ind w:left="57" w:right="57"/>
              <w:rPr>
                <w:lang w:val="fr-FR"/>
              </w:rPr>
            </w:pPr>
            <w:r w:rsidRPr="00440C76">
              <w:rPr>
                <w:lang w:val="fr-FR"/>
              </w:rPr>
              <w:t>Identifiant de l</w:t>
            </w:r>
            <w:r>
              <w:rPr>
                <w:lang w:val="fr-FR"/>
              </w:rPr>
              <w:t>’</w:t>
            </w:r>
            <w:r w:rsidRPr="00440C76">
              <w:rPr>
                <w:lang w:val="fr-FR"/>
              </w:rPr>
              <w:t>homologation de type de l</w:t>
            </w:r>
            <w:r>
              <w:rPr>
                <w:lang w:val="fr-FR"/>
              </w:rPr>
              <w:t>’</w:t>
            </w:r>
            <w:r w:rsidRPr="00440C76">
              <w:rPr>
                <w:lang w:val="fr-FR"/>
              </w:rPr>
              <w:t xml:space="preserve">ensemble du véhicule </w:t>
            </w:r>
          </w:p>
        </w:tc>
      </w:tr>
      <w:tr w:rsidR="00BE2CA7" w:rsidRPr="00440C76" w14:paraId="6855BA4D" w14:textId="77777777" w:rsidTr="002B0590">
        <w:tc>
          <w:tcPr>
            <w:tcW w:w="1980" w:type="dxa"/>
            <w:shd w:val="clear" w:color="auto" w:fill="auto"/>
          </w:tcPr>
          <w:p w14:paraId="237D95AA" w14:textId="77777777" w:rsidR="00BE2CA7" w:rsidRPr="00440C76" w:rsidRDefault="00BE2CA7" w:rsidP="002B0590">
            <w:pPr>
              <w:spacing w:before="40" w:after="120"/>
              <w:ind w:left="57" w:right="57"/>
              <w:rPr>
                <w:lang w:val="fr-FR"/>
              </w:rPr>
            </w:pPr>
            <w:r w:rsidRPr="00440C76">
              <w:rPr>
                <w:lang w:val="fr-FR"/>
              </w:rPr>
              <w:t>Identifiant de la famille d</w:t>
            </w:r>
            <w:r>
              <w:rPr>
                <w:lang w:val="fr-FR"/>
              </w:rPr>
              <w:t>’</w:t>
            </w:r>
            <w:r w:rsidRPr="00440C76">
              <w:rPr>
                <w:lang w:val="fr-FR"/>
              </w:rPr>
              <w:t>émissions par évaporation</w:t>
            </w:r>
          </w:p>
        </w:tc>
        <w:tc>
          <w:tcPr>
            <w:tcW w:w="3040" w:type="dxa"/>
            <w:shd w:val="clear" w:color="auto" w:fill="auto"/>
          </w:tcPr>
          <w:p w14:paraId="23E35BB9" w14:textId="77777777" w:rsidR="00BE2CA7" w:rsidRPr="00440C76" w:rsidRDefault="00BE2CA7" w:rsidP="002B0590">
            <w:pPr>
              <w:spacing w:before="40" w:after="120"/>
              <w:ind w:left="57" w:right="57"/>
              <w:rPr>
                <w:lang w:val="fr-FR"/>
              </w:rPr>
            </w:pPr>
            <w:r w:rsidRPr="00440C76">
              <w:rPr>
                <w:lang w:val="fr-FR"/>
              </w:rPr>
              <w:t>Texte</w:t>
            </w:r>
          </w:p>
        </w:tc>
        <w:tc>
          <w:tcPr>
            <w:tcW w:w="4617" w:type="dxa"/>
            <w:shd w:val="clear" w:color="auto" w:fill="auto"/>
          </w:tcPr>
          <w:p w14:paraId="64428E30" w14:textId="77777777" w:rsidR="00BE2CA7" w:rsidRPr="00440C76" w:rsidRDefault="00BE2CA7" w:rsidP="002B0590">
            <w:pPr>
              <w:spacing w:before="40" w:after="120"/>
              <w:ind w:left="57" w:right="57"/>
              <w:rPr>
                <w:lang w:val="fr-FR"/>
              </w:rPr>
            </w:pPr>
            <w:r w:rsidRPr="00440C76">
              <w:rPr>
                <w:lang w:val="fr-FR"/>
              </w:rPr>
              <w:t xml:space="preserve">Comme indiqué au </w:t>
            </w:r>
            <w:r w:rsidRPr="00440C76">
              <w:rPr>
                <w:bCs/>
                <w:lang w:val="fr-FR"/>
              </w:rPr>
              <w:t>paragraphe</w:t>
            </w:r>
            <w:r>
              <w:rPr>
                <w:bCs/>
                <w:lang w:val="fr-FR"/>
              </w:rPr>
              <w:t> </w:t>
            </w:r>
            <w:r w:rsidRPr="00440C76">
              <w:rPr>
                <w:bCs/>
                <w:lang w:val="fr-FR"/>
              </w:rPr>
              <w:t>0.2.3.7 de l</w:t>
            </w:r>
            <w:r>
              <w:rPr>
                <w:bCs/>
                <w:lang w:val="fr-FR"/>
              </w:rPr>
              <w:t>’</w:t>
            </w:r>
            <w:r w:rsidRPr="00440C76">
              <w:rPr>
                <w:bCs/>
                <w:lang w:val="fr-FR"/>
              </w:rPr>
              <w:t>appendice</w:t>
            </w:r>
            <w:r>
              <w:rPr>
                <w:bCs/>
                <w:lang w:val="fr-FR"/>
              </w:rPr>
              <w:t> </w:t>
            </w:r>
            <w:r w:rsidRPr="00440C76">
              <w:rPr>
                <w:bCs/>
                <w:lang w:val="fr-FR"/>
              </w:rPr>
              <w:t>1 de l</w:t>
            </w:r>
            <w:r>
              <w:rPr>
                <w:bCs/>
                <w:lang w:val="fr-FR"/>
              </w:rPr>
              <w:t>’</w:t>
            </w:r>
            <w:r w:rsidRPr="00440C76">
              <w:rPr>
                <w:bCs/>
                <w:lang w:val="fr-FR"/>
              </w:rPr>
              <w:t>annexe</w:t>
            </w:r>
            <w:r>
              <w:rPr>
                <w:bCs/>
                <w:lang w:val="fr-FR"/>
              </w:rPr>
              <w:t> </w:t>
            </w:r>
            <w:r w:rsidRPr="00440C76">
              <w:rPr>
                <w:bCs/>
                <w:lang w:val="fr-FR"/>
              </w:rPr>
              <w:t xml:space="preserve">A1 du Règlement ONU </w:t>
            </w:r>
            <w:r w:rsidRPr="00440C76">
              <w:rPr>
                <w:lang w:val="fr-FR"/>
              </w:rPr>
              <w:t>n</w:t>
            </w:r>
            <w:r w:rsidRPr="00440C76">
              <w:rPr>
                <w:vertAlign w:val="superscript"/>
                <w:lang w:val="fr-FR"/>
              </w:rPr>
              <w:t>o</w:t>
            </w:r>
            <w:r w:rsidRPr="00440C76">
              <w:rPr>
                <w:lang w:val="fr-FR"/>
              </w:rPr>
              <w:t> </w:t>
            </w:r>
            <w:r w:rsidRPr="00440C76">
              <w:rPr>
                <w:bCs/>
                <w:lang w:val="fr-FR"/>
              </w:rPr>
              <w:t>154</w:t>
            </w:r>
          </w:p>
        </w:tc>
      </w:tr>
      <w:tr w:rsidR="00BE2CA7" w:rsidRPr="00440C76" w14:paraId="5C5987E8" w14:textId="77777777" w:rsidTr="002B0590">
        <w:tc>
          <w:tcPr>
            <w:tcW w:w="1980" w:type="dxa"/>
            <w:shd w:val="clear" w:color="auto" w:fill="auto"/>
          </w:tcPr>
          <w:p w14:paraId="3BD90745" w14:textId="77777777" w:rsidR="00BE2CA7" w:rsidRPr="00440C76" w:rsidRDefault="00BE2CA7" w:rsidP="002B0590">
            <w:pPr>
              <w:spacing w:before="40" w:after="120"/>
              <w:ind w:left="57" w:right="57"/>
              <w:rPr>
                <w:lang w:val="fr-FR"/>
              </w:rPr>
            </w:pPr>
            <w:r w:rsidRPr="00440C76">
              <w:rPr>
                <w:lang w:val="fr-FR"/>
              </w:rPr>
              <w:t>Puissance nominale du moteur carburant</w:t>
            </w:r>
            <w:r>
              <w:rPr>
                <w:lang w:val="fr-FR"/>
              </w:rPr>
              <w:t> </w:t>
            </w:r>
            <w:r w:rsidRPr="00440C76">
              <w:rPr>
                <w:lang w:val="fr-FR"/>
              </w:rPr>
              <w:t>1, carburant</w:t>
            </w:r>
            <w:r>
              <w:rPr>
                <w:lang w:val="fr-FR"/>
              </w:rPr>
              <w:t> </w:t>
            </w:r>
            <w:r w:rsidRPr="00440C76">
              <w:rPr>
                <w:lang w:val="fr-FR"/>
              </w:rPr>
              <w:t xml:space="preserve">2 </w:t>
            </w:r>
            <w:r w:rsidRPr="00440C76">
              <w:rPr>
                <w:lang w:val="fr-FR"/>
              </w:rPr>
              <w:br/>
              <w:t>(le cas échéant)</w:t>
            </w:r>
          </w:p>
        </w:tc>
        <w:tc>
          <w:tcPr>
            <w:tcW w:w="3040" w:type="dxa"/>
            <w:shd w:val="clear" w:color="auto" w:fill="auto"/>
          </w:tcPr>
          <w:p w14:paraId="0FF8C01B" w14:textId="77777777" w:rsidR="00BE2CA7" w:rsidRPr="00440C76" w:rsidRDefault="00BE2CA7" w:rsidP="002B0590">
            <w:pPr>
              <w:spacing w:before="40" w:after="120"/>
              <w:ind w:left="57" w:right="57"/>
              <w:rPr>
                <w:lang w:val="fr-FR"/>
              </w:rPr>
            </w:pPr>
            <w:r w:rsidRPr="00440C76">
              <w:rPr>
                <w:lang w:val="fr-FR"/>
              </w:rPr>
              <w:t>Nombre</w:t>
            </w:r>
          </w:p>
        </w:tc>
        <w:tc>
          <w:tcPr>
            <w:tcW w:w="4617" w:type="dxa"/>
            <w:shd w:val="clear" w:color="auto" w:fill="auto"/>
          </w:tcPr>
          <w:p w14:paraId="54EE7DB6" w14:textId="77777777" w:rsidR="00BE2CA7" w:rsidRPr="00440C76" w:rsidRDefault="00BE2CA7" w:rsidP="002B0590">
            <w:pPr>
              <w:spacing w:before="40" w:after="120"/>
              <w:ind w:left="57" w:right="57"/>
              <w:rPr>
                <w:lang w:val="fr-FR"/>
              </w:rPr>
            </w:pPr>
            <w:r w:rsidRPr="00440C76">
              <w:rPr>
                <w:bCs/>
                <w:lang w:val="fr-FR"/>
              </w:rPr>
              <w:t>Par</w:t>
            </w:r>
            <w:r>
              <w:rPr>
                <w:bCs/>
                <w:lang w:val="fr-FR"/>
              </w:rPr>
              <w:t>. </w:t>
            </w:r>
            <w:r w:rsidRPr="00440C76">
              <w:rPr>
                <w:bCs/>
                <w:lang w:val="fr-FR"/>
              </w:rPr>
              <w:t>3.2.1.8 de l</w:t>
            </w:r>
            <w:r>
              <w:rPr>
                <w:bCs/>
                <w:lang w:val="fr-FR"/>
              </w:rPr>
              <w:t>’</w:t>
            </w:r>
            <w:r w:rsidRPr="00440C76">
              <w:rPr>
                <w:bCs/>
                <w:lang w:val="fr-FR"/>
              </w:rPr>
              <w:t>annexe</w:t>
            </w:r>
            <w:r>
              <w:rPr>
                <w:bCs/>
                <w:lang w:val="fr-FR"/>
              </w:rPr>
              <w:t> </w:t>
            </w:r>
            <w:r w:rsidRPr="00440C76">
              <w:rPr>
                <w:bCs/>
                <w:lang w:val="fr-FR"/>
              </w:rPr>
              <w:t xml:space="preserve">A1 du Règlement ONU </w:t>
            </w:r>
            <w:r w:rsidRPr="00440C76">
              <w:rPr>
                <w:lang w:val="fr-FR"/>
              </w:rPr>
              <w:t>n</w:t>
            </w:r>
            <w:r w:rsidRPr="00440C76">
              <w:rPr>
                <w:vertAlign w:val="superscript"/>
                <w:lang w:val="fr-FR"/>
              </w:rPr>
              <w:t>o</w:t>
            </w:r>
            <w:r w:rsidRPr="00440C76">
              <w:rPr>
                <w:lang w:val="fr-FR"/>
              </w:rPr>
              <w:t> </w:t>
            </w:r>
            <w:r w:rsidRPr="00440C76">
              <w:rPr>
                <w:bCs/>
                <w:lang w:val="fr-FR"/>
              </w:rPr>
              <w:t>154</w:t>
            </w:r>
          </w:p>
        </w:tc>
      </w:tr>
      <w:tr w:rsidR="00BE2CA7" w:rsidRPr="00440C76" w14:paraId="3FDECA6C" w14:textId="77777777" w:rsidTr="002B0590">
        <w:tc>
          <w:tcPr>
            <w:tcW w:w="1980" w:type="dxa"/>
            <w:shd w:val="clear" w:color="auto" w:fill="auto"/>
          </w:tcPr>
          <w:p w14:paraId="71BFB27C" w14:textId="77777777" w:rsidR="00BE2CA7" w:rsidRPr="00440C76" w:rsidRDefault="00BE2CA7" w:rsidP="002B0590">
            <w:pPr>
              <w:spacing w:before="40" w:after="120"/>
              <w:ind w:left="57" w:right="57"/>
              <w:rPr>
                <w:lang w:val="fr-FR"/>
              </w:rPr>
            </w:pPr>
            <w:r w:rsidRPr="00440C76">
              <w:rPr>
                <w:lang w:val="fr-FR"/>
              </w:rPr>
              <w:t>Pneumatiques jumelés</w:t>
            </w:r>
          </w:p>
        </w:tc>
        <w:tc>
          <w:tcPr>
            <w:tcW w:w="3040" w:type="dxa"/>
            <w:shd w:val="clear" w:color="auto" w:fill="auto"/>
          </w:tcPr>
          <w:p w14:paraId="622F2BC4" w14:textId="77777777" w:rsidR="00BE2CA7" w:rsidRPr="00440C76" w:rsidRDefault="00BE2CA7" w:rsidP="002B0590">
            <w:pPr>
              <w:spacing w:before="40" w:after="120"/>
              <w:ind w:left="57" w:right="57"/>
              <w:rPr>
                <w:lang w:val="fr-FR"/>
              </w:rPr>
            </w:pPr>
            <w:r w:rsidRPr="00440C76">
              <w:rPr>
                <w:lang w:val="fr-FR"/>
              </w:rPr>
              <w:t>Oui/Non</w:t>
            </w:r>
          </w:p>
        </w:tc>
        <w:tc>
          <w:tcPr>
            <w:tcW w:w="4617" w:type="dxa"/>
            <w:shd w:val="clear" w:color="auto" w:fill="auto"/>
          </w:tcPr>
          <w:p w14:paraId="46AEED9F" w14:textId="77777777" w:rsidR="00BE2CA7" w:rsidRPr="00440C76" w:rsidRDefault="00BE2CA7" w:rsidP="002B0590">
            <w:pPr>
              <w:spacing w:before="40" w:after="120"/>
              <w:ind w:left="57" w:right="57"/>
              <w:rPr>
                <w:lang w:val="fr-FR"/>
              </w:rPr>
            </w:pPr>
            <w:r w:rsidRPr="00440C76">
              <w:rPr>
                <w:lang w:val="fr-FR"/>
              </w:rPr>
              <w:t>Déclaré par le constructeur</w:t>
            </w:r>
          </w:p>
        </w:tc>
      </w:tr>
      <w:tr w:rsidR="00BE2CA7" w:rsidRPr="00440C76" w14:paraId="4967503E" w14:textId="77777777" w:rsidTr="002B0590">
        <w:tc>
          <w:tcPr>
            <w:tcW w:w="1980" w:type="dxa"/>
            <w:shd w:val="clear" w:color="auto" w:fill="auto"/>
          </w:tcPr>
          <w:p w14:paraId="61086D05" w14:textId="77777777" w:rsidR="00BE2CA7" w:rsidRPr="00440C76" w:rsidRDefault="00BE2CA7" w:rsidP="002B0590">
            <w:pPr>
              <w:spacing w:before="40" w:after="120"/>
              <w:ind w:left="57" w:right="57"/>
              <w:rPr>
                <w:lang w:val="fr-FR"/>
              </w:rPr>
            </w:pPr>
            <w:r w:rsidRPr="00440C76">
              <w:rPr>
                <w:lang w:val="fr-FR"/>
              </w:rPr>
              <w:t>Capacités des réservoirs de carburant (valeurs discrètes)</w:t>
            </w:r>
          </w:p>
        </w:tc>
        <w:tc>
          <w:tcPr>
            <w:tcW w:w="3040" w:type="dxa"/>
            <w:shd w:val="clear" w:color="auto" w:fill="auto"/>
          </w:tcPr>
          <w:p w14:paraId="1B4B4637" w14:textId="77777777" w:rsidR="00BE2CA7" w:rsidRPr="00440C76" w:rsidRDefault="00BE2CA7" w:rsidP="002B0590">
            <w:pPr>
              <w:spacing w:before="40" w:after="120"/>
              <w:ind w:left="57" w:right="57"/>
              <w:rPr>
                <w:lang w:val="fr-FR"/>
              </w:rPr>
            </w:pPr>
            <w:r w:rsidRPr="00440C76">
              <w:rPr>
                <w:lang w:val="fr-FR"/>
              </w:rPr>
              <w:t>Nombre</w:t>
            </w:r>
          </w:p>
        </w:tc>
        <w:tc>
          <w:tcPr>
            <w:tcW w:w="4617" w:type="dxa"/>
            <w:shd w:val="clear" w:color="auto" w:fill="auto"/>
          </w:tcPr>
          <w:p w14:paraId="31D166F3" w14:textId="77777777" w:rsidR="00BE2CA7" w:rsidRPr="00440C76" w:rsidRDefault="00BE2CA7" w:rsidP="002B0590">
            <w:pPr>
              <w:spacing w:before="40" w:after="120"/>
              <w:ind w:left="57" w:right="57"/>
              <w:rPr>
                <w:lang w:val="fr-FR"/>
              </w:rPr>
            </w:pPr>
            <w:r w:rsidRPr="00440C76">
              <w:rPr>
                <w:lang w:val="fr-FR"/>
              </w:rPr>
              <w:t>Capacité(s) du ou des réservoirs de carburant</w:t>
            </w:r>
          </w:p>
        </w:tc>
      </w:tr>
      <w:tr w:rsidR="00BE2CA7" w:rsidRPr="00440C76" w14:paraId="1CC362F8" w14:textId="77777777" w:rsidTr="002B0590">
        <w:tc>
          <w:tcPr>
            <w:tcW w:w="1980" w:type="dxa"/>
            <w:tcBorders>
              <w:bottom w:val="single" w:sz="4" w:space="0" w:color="auto"/>
            </w:tcBorders>
            <w:shd w:val="clear" w:color="auto" w:fill="auto"/>
          </w:tcPr>
          <w:p w14:paraId="1B7E3DCE" w14:textId="77777777" w:rsidR="00BE2CA7" w:rsidRPr="00440C76" w:rsidRDefault="00BE2CA7" w:rsidP="002B0590">
            <w:pPr>
              <w:spacing w:before="40" w:after="120"/>
              <w:ind w:left="57" w:right="57"/>
              <w:rPr>
                <w:lang w:val="fr-FR"/>
              </w:rPr>
            </w:pPr>
            <w:r w:rsidRPr="00440C76">
              <w:rPr>
                <w:lang w:val="fr-FR"/>
              </w:rPr>
              <w:t>Réservoir scellé</w:t>
            </w:r>
          </w:p>
        </w:tc>
        <w:tc>
          <w:tcPr>
            <w:tcW w:w="3040" w:type="dxa"/>
            <w:tcBorders>
              <w:bottom w:val="single" w:sz="4" w:space="0" w:color="auto"/>
            </w:tcBorders>
            <w:shd w:val="clear" w:color="auto" w:fill="auto"/>
          </w:tcPr>
          <w:p w14:paraId="5515D529" w14:textId="77777777" w:rsidR="00BE2CA7" w:rsidRPr="00440C76" w:rsidRDefault="00BE2CA7" w:rsidP="002B0590">
            <w:pPr>
              <w:spacing w:before="40" w:after="120"/>
              <w:ind w:left="57" w:right="57"/>
              <w:rPr>
                <w:lang w:val="fr-FR"/>
              </w:rPr>
            </w:pPr>
            <w:r w:rsidRPr="00440C76">
              <w:rPr>
                <w:lang w:val="fr-FR"/>
              </w:rPr>
              <w:t>Oui/Non</w:t>
            </w:r>
          </w:p>
        </w:tc>
        <w:tc>
          <w:tcPr>
            <w:tcW w:w="4617" w:type="dxa"/>
            <w:tcBorders>
              <w:bottom w:val="single" w:sz="4" w:space="0" w:color="auto"/>
            </w:tcBorders>
            <w:shd w:val="clear" w:color="auto" w:fill="auto"/>
          </w:tcPr>
          <w:p w14:paraId="419F711E" w14:textId="77777777" w:rsidR="00BE2CA7" w:rsidRPr="00440C76" w:rsidRDefault="00BE2CA7" w:rsidP="002B0590">
            <w:pPr>
              <w:spacing w:before="40" w:after="120"/>
              <w:ind w:left="57" w:right="57"/>
              <w:rPr>
                <w:lang w:val="fr-FR"/>
              </w:rPr>
            </w:pPr>
            <w:r w:rsidRPr="00440C76">
              <w:rPr>
                <w:lang w:val="fr-FR"/>
              </w:rPr>
              <w:t>Par</w:t>
            </w:r>
            <w:r>
              <w:rPr>
                <w:lang w:val="fr-FR"/>
              </w:rPr>
              <w:t>. </w:t>
            </w:r>
            <w:r w:rsidRPr="00440C76">
              <w:rPr>
                <w:lang w:val="fr-FR"/>
              </w:rPr>
              <w:t>3.2.12.2.5.5.3 de l</w:t>
            </w:r>
            <w:r>
              <w:rPr>
                <w:lang w:val="fr-FR"/>
              </w:rPr>
              <w:t>’</w:t>
            </w:r>
            <w:r w:rsidRPr="00440C76">
              <w:rPr>
                <w:lang w:val="fr-FR"/>
              </w:rPr>
              <w:t>annexe</w:t>
            </w:r>
            <w:r>
              <w:rPr>
                <w:lang w:val="fr-FR"/>
              </w:rPr>
              <w:t> </w:t>
            </w:r>
            <w:r w:rsidRPr="00440C76">
              <w:rPr>
                <w:lang w:val="fr-FR"/>
              </w:rPr>
              <w:t xml:space="preserve">A1 </w:t>
            </w:r>
            <w:r>
              <w:rPr>
                <w:lang w:val="fr-FR"/>
              </w:rPr>
              <w:t>d</w:t>
            </w:r>
            <w:r w:rsidRPr="00440C76">
              <w:rPr>
                <w:lang w:val="fr-FR"/>
              </w:rPr>
              <w:t>u Règlement ONU n</w:t>
            </w:r>
            <w:r w:rsidRPr="00440C76">
              <w:rPr>
                <w:vertAlign w:val="superscript"/>
                <w:lang w:val="fr-FR"/>
              </w:rPr>
              <w:t>o</w:t>
            </w:r>
            <w:r w:rsidRPr="00440C76">
              <w:rPr>
                <w:lang w:val="fr-FR"/>
              </w:rPr>
              <w:t> 154</w:t>
            </w:r>
          </w:p>
        </w:tc>
      </w:tr>
      <w:tr w:rsidR="00BE2CA7" w:rsidRPr="00440C76" w14:paraId="12AA4859" w14:textId="77777777" w:rsidTr="002B0590">
        <w:tc>
          <w:tcPr>
            <w:tcW w:w="1980" w:type="dxa"/>
            <w:tcBorders>
              <w:bottom w:val="single" w:sz="4" w:space="0" w:color="auto"/>
            </w:tcBorders>
            <w:shd w:val="clear" w:color="auto" w:fill="auto"/>
          </w:tcPr>
          <w:p w14:paraId="0EB87A1F" w14:textId="77777777" w:rsidR="00BE2CA7" w:rsidRPr="00440C76" w:rsidRDefault="00BE2CA7" w:rsidP="002B0590">
            <w:pPr>
              <w:spacing w:before="40" w:after="120"/>
              <w:ind w:left="57" w:right="57"/>
              <w:rPr>
                <w:lang w:val="fr-FR"/>
              </w:rPr>
            </w:pPr>
            <w:r w:rsidRPr="00440C76">
              <w:rPr>
                <w:lang w:val="fr-FR"/>
              </w:rPr>
              <w:t>WMI utilisé dans la présente combinaison WVTA+TVV</w:t>
            </w:r>
          </w:p>
        </w:tc>
        <w:tc>
          <w:tcPr>
            <w:tcW w:w="3040" w:type="dxa"/>
            <w:tcBorders>
              <w:bottom w:val="single" w:sz="4" w:space="0" w:color="auto"/>
            </w:tcBorders>
            <w:shd w:val="clear" w:color="auto" w:fill="auto"/>
          </w:tcPr>
          <w:p w14:paraId="5631A950" w14:textId="77777777" w:rsidR="00BE2CA7" w:rsidRPr="00440C76" w:rsidRDefault="00BE2CA7" w:rsidP="002B0590">
            <w:pPr>
              <w:spacing w:before="40" w:after="120"/>
              <w:ind w:left="57" w:right="57"/>
              <w:rPr>
                <w:lang w:val="fr-FR"/>
              </w:rPr>
            </w:pPr>
            <w:r w:rsidRPr="00440C76">
              <w:rPr>
                <w:lang w:val="fr-FR"/>
              </w:rPr>
              <w:t>Texte</w:t>
            </w:r>
          </w:p>
        </w:tc>
        <w:tc>
          <w:tcPr>
            <w:tcW w:w="4617" w:type="dxa"/>
            <w:tcBorders>
              <w:bottom w:val="single" w:sz="4" w:space="0" w:color="auto"/>
            </w:tcBorders>
            <w:shd w:val="clear" w:color="auto" w:fill="auto"/>
          </w:tcPr>
          <w:p w14:paraId="4A3948CA" w14:textId="77777777" w:rsidR="00BE2CA7" w:rsidRPr="00440C76" w:rsidRDefault="00BE2CA7" w:rsidP="002B0590">
            <w:pPr>
              <w:spacing w:before="40" w:after="120"/>
              <w:ind w:left="57" w:right="57"/>
              <w:rPr>
                <w:lang w:val="fr-FR"/>
              </w:rPr>
            </w:pPr>
            <w:r w:rsidRPr="00440C76">
              <w:rPr>
                <w:lang w:val="fr-FR"/>
              </w:rPr>
              <w:t>Déclaré par le constructeur (ISO</w:t>
            </w:r>
            <w:r>
              <w:rPr>
                <w:lang w:val="fr-FR"/>
              </w:rPr>
              <w:t> </w:t>
            </w:r>
            <w:r w:rsidRPr="00440C76">
              <w:rPr>
                <w:lang w:val="fr-FR"/>
              </w:rPr>
              <w:t>3779)</w:t>
            </w:r>
          </w:p>
        </w:tc>
      </w:tr>
    </w:tbl>
    <w:p w14:paraId="29A64571" w14:textId="77777777" w:rsidR="00BE2CA7" w:rsidRPr="00440C76" w:rsidRDefault="00BE2CA7" w:rsidP="00BE2CA7">
      <w:pPr>
        <w:pStyle w:val="SingleTxtG"/>
        <w:rPr>
          <w:lang w:val="fr-FR"/>
        </w:rPr>
      </w:pPr>
      <w:r w:rsidRPr="00440C76">
        <w:rPr>
          <w:lang w:val="fr-FR"/>
        </w:rPr>
        <w:br w:type="page"/>
      </w:r>
    </w:p>
    <w:p w14:paraId="6AC2C1FC" w14:textId="77777777" w:rsidR="00BE2CA7" w:rsidRPr="00440C76" w:rsidRDefault="00BE2CA7" w:rsidP="00BE2CA7">
      <w:pPr>
        <w:pStyle w:val="HChG"/>
        <w:rPr>
          <w:lang w:val="fr-FR"/>
        </w:rPr>
      </w:pPr>
      <w:r w:rsidRPr="00440C76">
        <w:rPr>
          <w:lang w:val="fr-FR"/>
        </w:rPr>
        <w:lastRenderedPageBreak/>
        <w:t>Annexe</w:t>
      </w:r>
      <w:r>
        <w:rPr>
          <w:lang w:val="fr-FR"/>
        </w:rPr>
        <w:t> </w:t>
      </w:r>
      <w:r w:rsidRPr="00440C76">
        <w:rPr>
          <w:lang w:val="fr-FR"/>
        </w:rPr>
        <w:t>5</w:t>
      </w:r>
    </w:p>
    <w:p w14:paraId="4C98DAC1" w14:textId="77777777" w:rsidR="00BE2CA7" w:rsidRPr="00440C76" w:rsidRDefault="00BE2CA7" w:rsidP="00BE2CA7">
      <w:pPr>
        <w:pStyle w:val="HChG"/>
        <w:spacing w:after="200"/>
        <w:rPr>
          <w:lang w:val="fr-FR"/>
        </w:rPr>
      </w:pPr>
      <w:r w:rsidRPr="00440C76">
        <w:rPr>
          <w:lang w:val="fr-FR"/>
        </w:rPr>
        <w:tab/>
      </w:r>
      <w:r w:rsidRPr="00440C76">
        <w:rPr>
          <w:lang w:val="fr-FR"/>
        </w:rPr>
        <w:tab/>
        <w:t>Essai du type</w:t>
      </w:r>
      <w:r>
        <w:rPr>
          <w:lang w:val="fr-FR"/>
        </w:rPr>
        <w:t> </w:t>
      </w:r>
      <w:r w:rsidRPr="00440C76">
        <w:rPr>
          <w:lang w:val="fr-FR"/>
        </w:rPr>
        <w:t>2</w:t>
      </w:r>
    </w:p>
    <w:p w14:paraId="1F0D01C5" w14:textId="77777777" w:rsidR="00BE2CA7" w:rsidRPr="00440C76" w:rsidRDefault="00BE2CA7" w:rsidP="00BE2CA7">
      <w:pPr>
        <w:pStyle w:val="SingleTxtG"/>
        <w:rPr>
          <w:lang w:val="fr-FR"/>
        </w:rPr>
      </w:pPr>
      <w:r w:rsidRPr="00440C76">
        <w:rPr>
          <w:lang w:val="fr-FR"/>
        </w:rPr>
        <w:t>(Contrôle des émissions de monoxyde de carbone au régime de ralenti)</w:t>
      </w:r>
    </w:p>
    <w:p w14:paraId="5109AC5F" w14:textId="77777777" w:rsidR="00BE2CA7" w:rsidRPr="00440C76" w:rsidRDefault="00BE2CA7" w:rsidP="00BE2CA7">
      <w:pPr>
        <w:pStyle w:val="SingleTxtG"/>
        <w:ind w:left="2268" w:hanging="1134"/>
        <w:rPr>
          <w:lang w:val="fr-FR"/>
        </w:rPr>
      </w:pPr>
      <w:r w:rsidRPr="00440C76">
        <w:rPr>
          <w:lang w:val="fr-FR"/>
        </w:rPr>
        <w:t>1.</w:t>
      </w:r>
      <w:r w:rsidRPr="00440C76">
        <w:rPr>
          <w:lang w:val="fr-FR"/>
        </w:rPr>
        <w:tab/>
        <w:t>Introduction</w:t>
      </w:r>
    </w:p>
    <w:p w14:paraId="7B268F20" w14:textId="77777777" w:rsidR="00BE2CA7" w:rsidRPr="00440C76" w:rsidRDefault="00BE2CA7" w:rsidP="00BE2CA7">
      <w:pPr>
        <w:pStyle w:val="SingleTxtG"/>
        <w:ind w:left="2268"/>
        <w:rPr>
          <w:lang w:val="fr-FR"/>
        </w:rPr>
      </w:pPr>
      <w:r w:rsidRPr="00440C76">
        <w:rPr>
          <w:lang w:val="fr-FR"/>
        </w:rPr>
        <w:t>La présente annexe décrit la méthode à suivre pour conduire l</w:t>
      </w:r>
      <w:r>
        <w:rPr>
          <w:lang w:val="fr-FR"/>
        </w:rPr>
        <w:t>’</w:t>
      </w:r>
      <w:r w:rsidRPr="00440C76">
        <w:rPr>
          <w:lang w:val="fr-FR"/>
        </w:rPr>
        <w:t>essai du type</w:t>
      </w:r>
      <w:r>
        <w:rPr>
          <w:lang w:val="fr-FR"/>
        </w:rPr>
        <w:t> </w:t>
      </w:r>
      <w:r w:rsidRPr="00440C76">
        <w:rPr>
          <w:lang w:val="fr-FR"/>
        </w:rPr>
        <w:t>2 défini au paragraphe</w:t>
      </w:r>
      <w:r>
        <w:rPr>
          <w:lang w:val="fr-FR"/>
        </w:rPr>
        <w:t> </w:t>
      </w:r>
      <w:r w:rsidRPr="00440C76">
        <w:rPr>
          <w:lang w:val="fr-FR"/>
        </w:rPr>
        <w:t>5.3.2 du présent Règlement.</w:t>
      </w:r>
    </w:p>
    <w:p w14:paraId="114DBDEE" w14:textId="77777777" w:rsidR="00BE2CA7" w:rsidRPr="00440C76" w:rsidRDefault="00BE2CA7" w:rsidP="00BE2CA7">
      <w:pPr>
        <w:pStyle w:val="SingleTxtG"/>
        <w:ind w:left="2268" w:hanging="1134"/>
        <w:rPr>
          <w:lang w:val="fr-FR"/>
        </w:rPr>
      </w:pPr>
      <w:r w:rsidRPr="00440C76">
        <w:rPr>
          <w:lang w:val="fr-FR"/>
        </w:rPr>
        <w:t>2.</w:t>
      </w:r>
      <w:r w:rsidRPr="00440C76">
        <w:rPr>
          <w:lang w:val="fr-FR"/>
        </w:rPr>
        <w:tab/>
        <w:t>Conditions de mesure</w:t>
      </w:r>
    </w:p>
    <w:p w14:paraId="6E7C1E50" w14:textId="77777777" w:rsidR="00BE2CA7" w:rsidRPr="00440C76" w:rsidRDefault="00BE2CA7" w:rsidP="00BE2CA7">
      <w:pPr>
        <w:pStyle w:val="SingleTxtG"/>
        <w:ind w:left="2268" w:hanging="1134"/>
        <w:rPr>
          <w:lang w:val="fr-FR"/>
        </w:rPr>
      </w:pPr>
      <w:r w:rsidRPr="00440C76">
        <w:rPr>
          <w:lang w:val="fr-FR"/>
        </w:rPr>
        <w:t>2.1</w:t>
      </w:r>
      <w:r w:rsidRPr="00440C76">
        <w:rPr>
          <w:lang w:val="fr-FR"/>
        </w:rPr>
        <w:tab/>
        <w:t>Le carburant est le carburant de référence tel qu</w:t>
      </w:r>
      <w:r>
        <w:rPr>
          <w:lang w:val="fr-FR"/>
        </w:rPr>
        <w:t>’</w:t>
      </w:r>
      <w:r w:rsidRPr="00440C76">
        <w:rPr>
          <w:lang w:val="fr-FR"/>
        </w:rPr>
        <w:t>indiqué aux annexes</w:t>
      </w:r>
      <w:r>
        <w:rPr>
          <w:lang w:val="fr-FR"/>
        </w:rPr>
        <w:t> </w:t>
      </w:r>
      <w:r w:rsidRPr="00440C76">
        <w:rPr>
          <w:lang w:val="fr-FR"/>
        </w:rPr>
        <w:t>10 et 10a du présent Règlement.</w:t>
      </w:r>
    </w:p>
    <w:p w14:paraId="2AA3CE83" w14:textId="77777777" w:rsidR="00BE2CA7" w:rsidRPr="00440C76" w:rsidRDefault="00BE2CA7" w:rsidP="00BE2CA7">
      <w:pPr>
        <w:pStyle w:val="SingleTxtG"/>
        <w:ind w:left="2268" w:hanging="1134"/>
        <w:rPr>
          <w:lang w:val="fr-FR"/>
        </w:rPr>
      </w:pPr>
      <w:r w:rsidRPr="00440C76">
        <w:rPr>
          <w:lang w:val="fr-FR"/>
        </w:rPr>
        <w:t>2.2</w:t>
      </w:r>
      <w:r w:rsidRPr="00440C76">
        <w:rPr>
          <w:lang w:val="fr-FR"/>
        </w:rPr>
        <w:tab/>
        <w:t>Pendant l</w:t>
      </w:r>
      <w:r>
        <w:rPr>
          <w:lang w:val="fr-FR"/>
        </w:rPr>
        <w:t>’</w:t>
      </w:r>
      <w:r w:rsidRPr="00440C76">
        <w:rPr>
          <w:lang w:val="fr-FR"/>
        </w:rPr>
        <w:t>essai, la température ambiante doit être comprise entre 293 et 303 K (20 °C et 30 °C). Le moteur est échauffé jusqu</w:t>
      </w:r>
      <w:r>
        <w:rPr>
          <w:lang w:val="fr-FR"/>
        </w:rPr>
        <w:t>’</w:t>
      </w:r>
      <w:r w:rsidRPr="00440C76">
        <w:rPr>
          <w:lang w:val="fr-FR"/>
        </w:rPr>
        <w:t>à ce que les températures des fluides de refroidissement et de lubrification ainsi que la pression du lubrifiant aient atteint leur point d</w:t>
      </w:r>
      <w:r>
        <w:rPr>
          <w:lang w:val="fr-FR"/>
        </w:rPr>
        <w:t>’</w:t>
      </w:r>
      <w:r w:rsidRPr="00440C76">
        <w:rPr>
          <w:lang w:val="fr-FR"/>
        </w:rPr>
        <w:t>équilibre.</w:t>
      </w:r>
    </w:p>
    <w:p w14:paraId="69363D59" w14:textId="77777777" w:rsidR="00BE2CA7" w:rsidRPr="00440C76" w:rsidRDefault="00BE2CA7" w:rsidP="00BE2CA7">
      <w:pPr>
        <w:pStyle w:val="SingleTxtG"/>
        <w:ind w:left="2268" w:hanging="1134"/>
        <w:rPr>
          <w:lang w:val="fr-FR"/>
        </w:rPr>
      </w:pPr>
      <w:r w:rsidRPr="00440C76">
        <w:rPr>
          <w:lang w:val="fr-FR"/>
        </w:rPr>
        <w:t>2.2.1</w:t>
      </w:r>
      <w:r w:rsidRPr="00440C76">
        <w:rPr>
          <w:lang w:val="fr-FR"/>
        </w:rPr>
        <w:tab/>
        <w:t>Les véhicules qui fonctionnent soit à l</w:t>
      </w:r>
      <w:r>
        <w:rPr>
          <w:lang w:val="fr-FR"/>
        </w:rPr>
        <w:t>’</w:t>
      </w:r>
      <w:r w:rsidRPr="00440C76">
        <w:rPr>
          <w:lang w:val="fr-FR"/>
        </w:rPr>
        <w:t>essence soit au GPL ou au GN/biométhane doivent être soumis à l</w:t>
      </w:r>
      <w:r>
        <w:rPr>
          <w:lang w:val="fr-FR"/>
        </w:rPr>
        <w:t>’</w:t>
      </w:r>
      <w:r w:rsidRPr="00440C76">
        <w:rPr>
          <w:lang w:val="fr-FR"/>
        </w:rPr>
        <w:t>essai avec le (ou les) carburant(s) de référence utilisé(s) pour l</w:t>
      </w:r>
      <w:r>
        <w:rPr>
          <w:lang w:val="fr-FR"/>
        </w:rPr>
        <w:t>’</w:t>
      </w:r>
      <w:r w:rsidRPr="00440C76">
        <w:rPr>
          <w:lang w:val="fr-FR"/>
        </w:rPr>
        <w:t>essai du type</w:t>
      </w:r>
      <w:r>
        <w:rPr>
          <w:lang w:val="fr-FR"/>
        </w:rPr>
        <w:t> </w:t>
      </w:r>
      <w:r w:rsidRPr="00440C76">
        <w:rPr>
          <w:lang w:val="fr-FR"/>
        </w:rPr>
        <w:t>1, comme indiqué dans le Règlement ONU n</w:t>
      </w:r>
      <w:r w:rsidRPr="00440C76">
        <w:rPr>
          <w:vertAlign w:val="superscript"/>
          <w:lang w:val="fr-FR"/>
        </w:rPr>
        <w:t>o</w:t>
      </w:r>
      <w:r w:rsidRPr="00440C76">
        <w:rPr>
          <w:lang w:val="fr-FR"/>
        </w:rPr>
        <w:t> 154.</w:t>
      </w:r>
    </w:p>
    <w:p w14:paraId="60DC5D4A" w14:textId="77777777" w:rsidR="00BE2CA7" w:rsidRPr="00440C76" w:rsidRDefault="00BE2CA7" w:rsidP="00BE2CA7">
      <w:pPr>
        <w:pStyle w:val="SingleTxtG"/>
        <w:ind w:left="2268" w:hanging="1134"/>
        <w:rPr>
          <w:lang w:val="fr-FR"/>
        </w:rPr>
      </w:pPr>
      <w:r w:rsidRPr="00440C76">
        <w:rPr>
          <w:lang w:val="fr-FR"/>
        </w:rPr>
        <w:t>2.3</w:t>
      </w:r>
      <w:r w:rsidRPr="00440C76">
        <w:rPr>
          <w:lang w:val="fr-FR"/>
        </w:rPr>
        <w:tab/>
        <w:t>Pour les véhicules à boîte de vitesses à commande manuelle ou semi</w:t>
      </w:r>
      <w:r w:rsidRPr="00440C76">
        <w:rPr>
          <w:lang w:val="fr-FR"/>
        </w:rPr>
        <w:noBreakHyphen/>
        <w:t>automatique, l</w:t>
      </w:r>
      <w:r>
        <w:rPr>
          <w:lang w:val="fr-FR"/>
        </w:rPr>
        <w:t>’</w:t>
      </w:r>
      <w:r w:rsidRPr="00440C76">
        <w:rPr>
          <w:lang w:val="fr-FR"/>
        </w:rPr>
        <w:t>essai doit être effectué en position boîte au point mort, embrayage embrayé.</w:t>
      </w:r>
    </w:p>
    <w:p w14:paraId="00F3D78C" w14:textId="77777777" w:rsidR="00BE2CA7" w:rsidRPr="00440C76" w:rsidRDefault="00BE2CA7" w:rsidP="00BE2CA7">
      <w:pPr>
        <w:pStyle w:val="SingleTxtG"/>
        <w:ind w:left="2268" w:hanging="1134"/>
        <w:rPr>
          <w:lang w:val="fr-FR"/>
        </w:rPr>
      </w:pPr>
      <w:r w:rsidRPr="00440C76">
        <w:rPr>
          <w:lang w:val="fr-FR"/>
        </w:rPr>
        <w:t>2.4</w:t>
      </w:r>
      <w:r w:rsidRPr="00440C76">
        <w:rPr>
          <w:lang w:val="fr-FR"/>
        </w:rPr>
        <w:tab/>
        <w:t>Pour les véhicules à transmission automatique, l</w:t>
      </w:r>
      <w:r>
        <w:rPr>
          <w:lang w:val="fr-FR"/>
        </w:rPr>
        <w:t>’</w:t>
      </w:r>
      <w:r w:rsidRPr="00440C76">
        <w:rPr>
          <w:lang w:val="fr-FR"/>
        </w:rPr>
        <w:t>essai doit être effectué avec le sélecteur en position « point mort » ou « stationnement ».</w:t>
      </w:r>
    </w:p>
    <w:p w14:paraId="25A0CC69" w14:textId="77777777" w:rsidR="00BE2CA7" w:rsidRPr="00440C76" w:rsidRDefault="00BE2CA7" w:rsidP="00BE2CA7">
      <w:pPr>
        <w:pStyle w:val="SingleTxtG"/>
        <w:ind w:left="2268" w:hanging="1134"/>
        <w:rPr>
          <w:lang w:val="fr-FR"/>
        </w:rPr>
      </w:pPr>
      <w:r w:rsidRPr="00440C76">
        <w:rPr>
          <w:lang w:val="fr-FR"/>
        </w:rPr>
        <w:t>2.5</w:t>
      </w:r>
      <w:r w:rsidRPr="00440C76">
        <w:rPr>
          <w:lang w:val="fr-FR"/>
        </w:rPr>
        <w:tab/>
        <w:t>Organes de réglage du ralenti</w:t>
      </w:r>
    </w:p>
    <w:p w14:paraId="24CE949D" w14:textId="77777777" w:rsidR="00BE2CA7" w:rsidRPr="00440C76" w:rsidRDefault="00BE2CA7" w:rsidP="00BE2CA7">
      <w:pPr>
        <w:pStyle w:val="SingleTxtG"/>
        <w:ind w:left="2268" w:hanging="1134"/>
        <w:rPr>
          <w:lang w:val="fr-FR"/>
        </w:rPr>
      </w:pPr>
      <w:r w:rsidRPr="00440C76">
        <w:rPr>
          <w:lang w:val="fr-FR"/>
        </w:rPr>
        <w:t>2.5.1</w:t>
      </w:r>
      <w:r w:rsidRPr="00440C76">
        <w:rPr>
          <w:lang w:val="fr-FR"/>
        </w:rPr>
        <w:tab/>
        <w:t>Définition</w:t>
      </w:r>
    </w:p>
    <w:p w14:paraId="2428206B" w14:textId="77777777" w:rsidR="00BE2CA7" w:rsidRPr="00440C76" w:rsidRDefault="00BE2CA7" w:rsidP="00BE2CA7">
      <w:pPr>
        <w:pStyle w:val="SingleTxtG"/>
        <w:ind w:left="2268"/>
        <w:rPr>
          <w:lang w:val="fr-FR"/>
        </w:rPr>
      </w:pPr>
      <w:r w:rsidRPr="00440C76">
        <w:rPr>
          <w:lang w:val="fr-FR"/>
        </w:rPr>
        <w:t>Au sens du présent Règlement, on entend par « </w:t>
      </w:r>
      <w:r w:rsidRPr="00440C76">
        <w:rPr>
          <w:i/>
          <w:lang w:val="fr-FR"/>
        </w:rPr>
        <w:t>organes de réglage du ralenti</w:t>
      </w:r>
      <w:r w:rsidRPr="00440C76">
        <w:rPr>
          <w:lang w:val="fr-FR"/>
        </w:rPr>
        <w:t> », les organes permettant de modifier les conditions de marche au ralenti du moteur et susceptibles d</w:t>
      </w:r>
      <w:r>
        <w:rPr>
          <w:lang w:val="fr-FR"/>
        </w:rPr>
        <w:t>’</w:t>
      </w:r>
      <w:r w:rsidRPr="00440C76">
        <w:rPr>
          <w:lang w:val="fr-FR"/>
        </w:rPr>
        <w:t>être manœuvrés aisément par un opérateur n</w:t>
      </w:r>
      <w:r>
        <w:rPr>
          <w:lang w:val="fr-FR"/>
        </w:rPr>
        <w:t>’</w:t>
      </w:r>
      <w:r w:rsidRPr="00440C76">
        <w:rPr>
          <w:lang w:val="fr-FR"/>
        </w:rPr>
        <w:t>utilisant que les outils énumérés au paragraphe</w:t>
      </w:r>
      <w:r>
        <w:rPr>
          <w:lang w:val="fr-FR"/>
        </w:rPr>
        <w:t> </w:t>
      </w:r>
      <w:r w:rsidRPr="00440C76">
        <w:rPr>
          <w:lang w:val="fr-FR"/>
        </w:rPr>
        <w:t>2.5.1.1 de la présente annexe. Ne sont donc pas considérés, en particulier, comme organes de réglage, les dispositifs de calibrage des débits de carburant et d</w:t>
      </w:r>
      <w:r>
        <w:rPr>
          <w:lang w:val="fr-FR"/>
        </w:rPr>
        <w:t>’</w:t>
      </w:r>
      <w:r w:rsidRPr="00440C76">
        <w:rPr>
          <w:lang w:val="fr-FR"/>
        </w:rPr>
        <w:t>air, pour autant que leur manœuvre nécessite l</w:t>
      </w:r>
      <w:r>
        <w:rPr>
          <w:lang w:val="fr-FR"/>
        </w:rPr>
        <w:t>’</w:t>
      </w:r>
      <w:r w:rsidRPr="00440C76">
        <w:rPr>
          <w:lang w:val="fr-FR"/>
        </w:rPr>
        <w:t>enlèvement des témoins de blocage, qui interdisent normalement toute intervention autre que celle d</w:t>
      </w:r>
      <w:r>
        <w:rPr>
          <w:lang w:val="fr-FR"/>
        </w:rPr>
        <w:t>’</w:t>
      </w:r>
      <w:r w:rsidRPr="00440C76">
        <w:rPr>
          <w:lang w:val="fr-FR"/>
        </w:rPr>
        <w:t>un opérateur professionnel.</w:t>
      </w:r>
    </w:p>
    <w:p w14:paraId="32706EBE" w14:textId="77777777" w:rsidR="00BE2CA7" w:rsidRPr="00440C76" w:rsidRDefault="00BE2CA7" w:rsidP="00BE2CA7">
      <w:pPr>
        <w:pStyle w:val="SingleTxtG"/>
        <w:ind w:left="2268" w:hanging="1134"/>
        <w:rPr>
          <w:lang w:val="fr-FR"/>
        </w:rPr>
      </w:pPr>
      <w:r w:rsidRPr="00440C76">
        <w:rPr>
          <w:lang w:val="fr-FR"/>
        </w:rPr>
        <w:t>2.5.1.1</w:t>
      </w:r>
      <w:r w:rsidRPr="00440C76">
        <w:rPr>
          <w:lang w:val="fr-FR"/>
        </w:rPr>
        <w:tab/>
        <w:t>Outils pouvant être utilisés pour la manœuvre des organes de réglage du ralenti : tournevis (ordinaire ou cruciforme), clefs (à œil, plate ou réglable), pinces, clefs Allen.</w:t>
      </w:r>
    </w:p>
    <w:p w14:paraId="1E554442" w14:textId="77777777" w:rsidR="00BE2CA7" w:rsidRPr="00440C76" w:rsidRDefault="00BE2CA7" w:rsidP="00BE2CA7">
      <w:pPr>
        <w:pStyle w:val="SingleTxtG"/>
        <w:ind w:left="2268" w:hanging="1134"/>
        <w:rPr>
          <w:lang w:val="fr-FR"/>
        </w:rPr>
      </w:pPr>
      <w:r w:rsidRPr="00440C76">
        <w:rPr>
          <w:lang w:val="fr-FR"/>
        </w:rPr>
        <w:t>2.5.2</w:t>
      </w:r>
      <w:r w:rsidRPr="00440C76">
        <w:rPr>
          <w:lang w:val="fr-FR"/>
        </w:rPr>
        <w:tab/>
        <w:t>Détermination des points de mesure</w:t>
      </w:r>
    </w:p>
    <w:p w14:paraId="48284FE9" w14:textId="77777777" w:rsidR="00BE2CA7" w:rsidRPr="00440C76" w:rsidRDefault="00BE2CA7" w:rsidP="00BE2CA7">
      <w:pPr>
        <w:pStyle w:val="SingleTxtG"/>
        <w:ind w:left="2268" w:hanging="1134"/>
        <w:rPr>
          <w:lang w:val="fr-FR"/>
        </w:rPr>
      </w:pPr>
      <w:r w:rsidRPr="00440C76">
        <w:rPr>
          <w:lang w:val="fr-FR"/>
        </w:rPr>
        <w:t>2.5.2.1</w:t>
      </w:r>
      <w:r w:rsidRPr="00440C76">
        <w:rPr>
          <w:lang w:val="fr-FR"/>
        </w:rPr>
        <w:tab/>
        <w:t>On procède en premier lieu à une mesure dans les conditions de réglage fixées par le fabricant.</w:t>
      </w:r>
    </w:p>
    <w:p w14:paraId="4D8E7B1E" w14:textId="77777777" w:rsidR="00BE2CA7" w:rsidRPr="00440C76" w:rsidRDefault="00BE2CA7" w:rsidP="00BE2CA7">
      <w:pPr>
        <w:pStyle w:val="SingleTxtG"/>
        <w:ind w:left="2268" w:hanging="1134"/>
        <w:rPr>
          <w:lang w:val="fr-FR"/>
        </w:rPr>
      </w:pPr>
      <w:r w:rsidRPr="00440C76">
        <w:rPr>
          <w:lang w:val="fr-FR"/>
        </w:rPr>
        <w:t>2.5.2.2</w:t>
      </w:r>
      <w:r w:rsidRPr="00440C76">
        <w:rPr>
          <w:lang w:val="fr-FR"/>
        </w:rPr>
        <w:tab/>
        <w:t>Pour chaque organe de réglage dont la position peut varier de façon continue, on doit déterminer des positions caractéristiques en nombre suffisant.</w:t>
      </w:r>
    </w:p>
    <w:p w14:paraId="6E160B68" w14:textId="77777777" w:rsidR="00BE2CA7" w:rsidRPr="00440C76" w:rsidRDefault="00BE2CA7" w:rsidP="00BE2CA7">
      <w:pPr>
        <w:pStyle w:val="SingleTxtG"/>
        <w:ind w:left="2268" w:hanging="1134"/>
        <w:rPr>
          <w:lang w:val="fr-FR"/>
        </w:rPr>
      </w:pPr>
      <w:r w:rsidRPr="00440C76">
        <w:rPr>
          <w:lang w:val="fr-FR"/>
        </w:rPr>
        <w:t>2.5.2.3</w:t>
      </w:r>
      <w:r w:rsidRPr="00440C76">
        <w:rPr>
          <w:lang w:val="fr-FR"/>
        </w:rPr>
        <w:tab/>
        <w:t>La mesure de la teneur en monoxyde de carbone des gaz d</w:t>
      </w:r>
      <w:r>
        <w:rPr>
          <w:lang w:val="fr-FR"/>
        </w:rPr>
        <w:t>’</w:t>
      </w:r>
      <w:r w:rsidRPr="00440C76">
        <w:rPr>
          <w:lang w:val="fr-FR"/>
        </w:rPr>
        <w:t>échappement doit être effectuée pour toutes les dispositions possibles des organes de réglage mais, pour les organes dont la position peut varier de façon continue, seules les positions définies au paragraphe</w:t>
      </w:r>
      <w:r>
        <w:rPr>
          <w:lang w:val="fr-FR"/>
        </w:rPr>
        <w:t> </w:t>
      </w:r>
      <w:r w:rsidRPr="00440C76">
        <w:rPr>
          <w:lang w:val="fr-FR"/>
        </w:rPr>
        <w:t>2.5.2.2 ci-dessus doivent être retenues.</w:t>
      </w:r>
    </w:p>
    <w:p w14:paraId="5EC088FE" w14:textId="77777777" w:rsidR="00BE2CA7" w:rsidRPr="00440C76" w:rsidRDefault="00BE2CA7" w:rsidP="00BE2CA7">
      <w:pPr>
        <w:pStyle w:val="SingleTxtG"/>
        <w:keepNext/>
        <w:ind w:left="2268" w:hanging="1134"/>
        <w:rPr>
          <w:lang w:val="fr-FR"/>
        </w:rPr>
      </w:pPr>
      <w:r w:rsidRPr="00440C76">
        <w:rPr>
          <w:lang w:val="fr-FR"/>
        </w:rPr>
        <w:lastRenderedPageBreak/>
        <w:t>2.5.2.4</w:t>
      </w:r>
      <w:r w:rsidRPr="00440C76">
        <w:rPr>
          <w:lang w:val="fr-FR"/>
        </w:rPr>
        <w:tab/>
        <w:t>L</w:t>
      </w:r>
      <w:r>
        <w:rPr>
          <w:lang w:val="fr-FR"/>
        </w:rPr>
        <w:t>’</w:t>
      </w:r>
      <w:r w:rsidRPr="00440C76">
        <w:rPr>
          <w:lang w:val="fr-FR"/>
        </w:rPr>
        <w:t>essai du type</w:t>
      </w:r>
      <w:r>
        <w:rPr>
          <w:lang w:val="fr-FR"/>
        </w:rPr>
        <w:t> </w:t>
      </w:r>
      <w:r w:rsidRPr="00440C76">
        <w:rPr>
          <w:lang w:val="fr-FR"/>
        </w:rPr>
        <w:t>2 doit être considéré comme satisfaisant si l</w:t>
      </w:r>
      <w:r>
        <w:rPr>
          <w:lang w:val="fr-FR"/>
        </w:rPr>
        <w:t>’</w:t>
      </w:r>
      <w:r w:rsidRPr="00440C76">
        <w:rPr>
          <w:lang w:val="fr-FR"/>
        </w:rPr>
        <w:t>une ou l</w:t>
      </w:r>
      <w:r>
        <w:rPr>
          <w:lang w:val="fr-FR"/>
        </w:rPr>
        <w:t>’</w:t>
      </w:r>
      <w:r w:rsidRPr="00440C76">
        <w:rPr>
          <w:lang w:val="fr-FR"/>
        </w:rPr>
        <w:t>autre des conditions ci-dessous est remplie :</w:t>
      </w:r>
    </w:p>
    <w:p w14:paraId="1B546DFD" w14:textId="77777777" w:rsidR="00BE2CA7" w:rsidRPr="00440C76" w:rsidRDefault="00BE2CA7" w:rsidP="00BE2CA7">
      <w:pPr>
        <w:pStyle w:val="SingleTxtG"/>
        <w:ind w:left="2268" w:hanging="1134"/>
        <w:rPr>
          <w:lang w:val="fr-FR"/>
        </w:rPr>
      </w:pPr>
      <w:r w:rsidRPr="00440C76">
        <w:rPr>
          <w:lang w:val="fr-FR"/>
        </w:rPr>
        <w:t>2.5.2.4.1</w:t>
      </w:r>
      <w:r w:rsidRPr="00440C76">
        <w:rPr>
          <w:lang w:val="fr-FR"/>
        </w:rPr>
        <w:tab/>
        <w:t>Aucune des valeurs mesurées conformément aux dispositions du paragraphe</w:t>
      </w:r>
      <w:r>
        <w:rPr>
          <w:lang w:val="fr-FR"/>
        </w:rPr>
        <w:t> </w:t>
      </w:r>
      <w:r w:rsidRPr="00440C76">
        <w:rPr>
          <w:lang w:val="fr-FR"/>
        </w:rPr>
        <w:t>2.5.2.3 ci-dessus ne dépasse la valeur limite définie au paragraphe</w:t>
      </w:r>
      <w:r>
        <w:rPr>
          <w:lang w:val="fr-FR"/>
        </w:rPr>
        <w:t> </w:t>
      </w:r>
      <w:r w:rsidRPr="00440C76">
        <w:rPr>
          <w:lang w:val="fr-FR"/>
        </w:rPr>
        <w:t>5.3.2.2 du présent Règlement ;</w:t>
      </w:r>
    </w:p>
    <w:p w14:paraId="110C441A" w14:textId="77777777" w:rsidR="00BE2CA7" w:rsidRPr="00440C76" w:rsidRDefault="00BE2CA7" w:rsidP="00BE2CA7">
      <w:pPr>
        <w:pStyle w:val="SingleTxtG"/>
        <w:ind w:left="2268" w:hanging="1134"/>
        <w:rPr>
          <w:lang w:val="fr-FR"/>
        </w:rPr>
      </w:pPr>
      <w:r w:rsidRPr="00440C76">
        <w:rPr>
          <w:lang w:val="fr-FR"/>
        </w:rPr>
        <w:t>2.5.2.4.2</w:t>
      </w:r>
      <w:r w:rsidRPr="00440C76">
        <w:rPr>
          <w:lang w:val="fr-FR"/>
        </w:rPr>
        <w:tab/>
        <w:t>La teneur maximale obtenue, lorsqu</w:t>
      </w:r>
      <w:r>
        <w:rPr>
          <w:lang w:val="fr-FR"/>
        </w:rPr>
        <w:t>’</w:t>
      </w:r>
      <w:r w:rsidRPr="00440C76">
        <w:rPr>
          <w:lang w:val="fr-FR"/>
        </w:rPr>
        <w:t>on fait varier de façon continue la position d</w:t>
      </w:r>
      <w:r>
        <w:rPr>
          <w:lang w:val="fr-FR"/>
        </w:rPr>
        <w:t>’</w:t>
      </w:r>
      <w:r w:rsidRPr="00440C76">
        <w:rPr>
          <w:lang w:val="fr-FR"/>
        </w:rPr>
        <w:t>un des organes de réglage, les autres organes étant maintenus fixes, ne dépasse pas la valeur limite, cette condition étant satisfaite pour les différentes configurations des organes de réglage autres que celui dont on a fait varier de façon continue la position.</w:t>
      </w:r>
    </w:p>
    <w:p w14:paraId="1E9D4DF9" w14:textId="77777777" w:rsidR="00BE2CA7" w:rsidRPr="00440C76" w:rsidRDefault="00BE2CA7" w:rsidP="00BE2CA7">
      <w:pPr>
        <w:pStyle w:val="SingleTxtG"/>
        <w:ind w:left="2268" w:hanging="1134"/>
        <w:rPr>
          <w:lang w:val="fr-FR"/>
        </w:rPr>
      </w:pPr>
      <w:r w:rsidRPr="00440C76">
        <w:rPr>
          <w:lang w:val="fr-FR"/>
        </w:rPr>
        <w:t>2.5.2.5</w:t>
      </w:r>
      <w:r w:rsidRPr="00440C76">
        <w:rPr>
          <w:lang w:val="fr-FR"/>
        </w:rPr>
        <w:tab/>
        <w:t>Les positions possibles des organes de réglage sont limitées :</w:t>
      </w:r>
    </w:p>
    <w:p w14:paraId="13C50999" w14:textId="77777777" w:rsidR="00BE2CA7" w:rsidRPr="00440C76" w:rsidRDefault="00BE2CA7" w:rsidP="00BE2CA7">
      <w:pPr>
        <w:pStyle w:val="SingleTxtG"/>
        <w:ind w:left="2268" w:hanging="1134"/>
        <w:rPr>
          <w:lang w:val="fr-FR"/>
        </w:rPr>
      </w:pPr>
      <w:r w:rsidRPr="00440C76">
        <w:rPr>
          <w:lang w:val="fr-FR"/>
        </w:rPr>
        <w:t>2.5.2.5.1</w:t>
      </w:r>
      <w:r w:rsidRPr="00440C76">
        <w:rPr>
          <w:lang w:val="fr-FR"/>
        </w:rPr>
        <w:tab/>
        <w:t>D</w:t>
      </w:r>
      <w:r>
        <w:rPr>
          <w:lang w:val="fr-FR"/>
        </w:rPr>
        <w:t>’</w:t>
      </w:r>
      <w:r w:rsidRPr="00440C76">
        <w:rPr>
          <w:lang w:val="fr-FR"/>
        </w:rPr>
        <w:t>un côté, par la plus grande des deux valeurs suivantes : la plus basse vitesse de rotation à laquelle le moteur peut tourner au ralenti, la vitesse de rotation recommandée par le constructeur moins 100 tr/min ;</w:t>
      </w:r>
    </w:p>
    <w:p w14:paraId="090DF8A5" w14:textId="77777777" w:rsidR="00BE2CA7" w:rsidRPr="00440C76" w:rsidRDefault="00BE2CA7" w:rsidP="00BE2CA7">
      <w:pPr>
        <w:pStyle w:val="SingleTxtG"/>
        <w:ind w:left="2268" w:hanging="1134"/>
        <w:rPr>
          <w:lang w:val="fr-FR"/>
        </w:rPr>
      </w:pPr>
      <w:r w:rsidRPr="00440C76">
        <w:rPr>
          <w:lang w:val="fr-FR"/>
        </w:rPr>
        <w:t>2.5.2.5.2</w:t>
      </w:r>
      <w:r w:rsidRPr="00440C76">
        <w:rPr>
          <w:lang w:val="fr-FR"/>
        </w:rPr>
        <w:tab/>
        <w:t>De l</w:t>
      </w:r>
      <w:r>
        <w:rPr>
          <w:lang w:val="fr-FR"/>
        </w:rPr>
        <w:t>’</w:t>
      </w:r>
      <w:r w:rsidRPr="00440C76">
        <w:rPr>
          <w:lang w:val="fr-FR"/>
        </w:rPr>
        <w:t>autre côté, par la plus petite des trois valeurs suivantes :</w:t>
      </w:r>
    </w:p>
    <w:p w14:paraId="78087F0C" w14:textId="77777777" w:rsidR="00BE2CA7" w:rsidRPr="00440C76" w:rsidRDefault="00BE2CA7" w:rsidP="00BE2CA7">
      <w:pPr>
        <w:pStyle w:val="SingleTxtG"/>
        <w:ind w:left="2268"/>
        <w:rPr>
          <w:lang w:val="fr-FR"/>
        </w:rPr>
      </w:pPr>
      <w:r w:rsidRPr="00440C76">
        <w:rPr>
          <w:lang w:val="fr-FR"/>
        </w:rPr>
        <w:t>La plus grande vitesse de rotation à laquelle on peut faire tourner le moteur en agissant sur les organes de réglage du ralenti ;</w:t>
      </w:r>
    </w:p>
    <w:p w14:paraId="78FED688" w14:textId="77777777" w:rsidR="00BE2CA7" w:rsidRPr="00440C76" w:rsidRDefault="00BE2CA7" w:rsidP="00BE2CA7">
      <w:pPr>
        <w:pStyle w:val="SingleTxtG"/>
        <w:ind w:left="2268"/>
        <w:rPr>
          <w:lang w:val="fr-FR"/>
        </w:rPr>
      </w:pPr>
      <w:r w:rsidRPr="00440C76">
        <w:rPr>
          <w:lang w:val="fr-FR"/>
        </w:rPr>
        <w:t>La vitesse de rotation recommandée par le constructeur plus 250 tr/min ;</w:t>
      </w:r>
    </w:p>
    <w:p w14:paraId="63792441" w14:textId="77777777" w:rsidR="00BE2CA7" w:rsidRPr="00440C76" w:rsidRDefault="00BE2CA7" w:rsidP="00BE2CA7">
      <w:pPr>
        <w:pStyle w:val="SingleTxtG"/>
        <w:ind w:left="2268"/>
        <w:rPr>
          <w:lang w:val="fr-FR"/>
        </w:rPr>
      </w:pPr>
      <w:r w:rsidRPr="00440C76">
        <w:rPr>
          <w:lang w:val="fr-FR"/>
        </w:rPr>
        <w:t>La vitesse de conjonction des embrayages automatiques.</w:t>
      </w:r>
    </w:p>
    <w:p w14:paraId="3970AD67" w14:textId="77777777" w:rsidR="00BE2CA7" w:rsidRPr="00440C76" w:rsidRDefault="00BE2CA7" w:rsidP="00BE2CA7">
      <w:pPr>
        <w:pStyle w:val="SingleTxtG"/>
        <w:ind w:left="2268" w:hanging="1134"/>
        <w:rPr>
          <w:lang w:val="fr-FR"/>
        </w:rPr>
      </w:pPr>
      <w:r w:rsidRPr="00440C76">
        <w:rPr>
          <w:lang w:val="fr-FR"/>
        </w:rPr>
        <w:t>2.5.2.6</w:t>
      </w:r>
      <w:r w:rsidRPr="00440C76">
        <w:rPr>
          <w:lang w:val="fr-FR"/>
        </w:rPr>
        <w:tab/>
        <w:t>En outre, les positions de réglage incompatibles avec le fonctionnement correct du moteur ne doivent pas être retenues comme point de mesure. En particulier, lorsque le moteur est équipé de plusieurs carburateurs, tous les carburateurs doivent être dans la même position de réglage.</w:t>
      </w:r>
    </w:p>
    <w:p w14:paraId="32B90F73" w14:textId="77777777" w:rsidR="00BE2CA7" w:rsidRPr="00440C76" w:rsidRDefault="00BE2CA7" w:rsidP="00BE2CA7">
      <w:pPr>
        <w:pStyle w:val="SingleTxtG"/>
        <w:ind w:left="2268" w:hanging="1134"/>
        <w:rPr>
          <w:lang w:val="fr-FR"/>
        </w:rPr>
      </w:pPr>
      <w:r w:rsidRPr="00440C76">
        <w:rPr>
          <w:lang w:val="fr-FR"/>
        </w:rPr>
        <w:t>2.6</w:t>
      </w:r>
      <w:r w:rsidRPr="00440C76">
        <w:rPr>
          <w:lang w:val="fr-FR"/>
        </w:rPr>
        <w:tab/>
        <w:t>Prescriptions supplémentaires relatives aux véhicules électriques hybrides</w:t>
      </w:r>
    </w:p>
    <w:p w14:paraId="0092901D" w14:textId="77777777" w:rsidR="00BE2CA7" w:rsidRPr="00440C76" w:rsidRDefault="00BE2CA7" w:rsidP="00BE2CA7">
      <w:pPr>
        <w:pStyle w:val="SingleTxtG"/>
        <w:ind w:left="2268"/>
        <w:rPr>
          <w:lang w:val="fr-FR"/>
        </w:rPr>
      </w:pPr>
      <w:r w:rsidRPr="00440C76">
        <w:rPr>
          <w:lang w:val="fr-FR"/>
        </w:rPr>
        <w:t>Le véhicule doit être soumis aux essais alors que leur moteur thermique fonctionne. Le constructeur doit définir un « mode de service » rendant possible l</w:t>
      </w:r>
      <w:r>
        <w:rPr>
          <w:lang w:val="fr-FR"/>
        </w:rPr>
        <w:t>’</w:t>
      </w:r>
      <w:r w:rsidRPr="00440C76">
        <w:rPr>
          <w:lang w:val="fr-FR"/>
        </w:rPr>
        <w:t>exécution de cet essai.</w:t>
      </w:r>
    </w:p>
    <w:p w14:paraId="11AF5A24" w14:textId="77777777" w:rsidR="00BE2CA7" w:rsidRPr="00440C76" w:rsidRDefault="00BE2CA7" w:rsidP="00BE2CA7">
      <w:pPr>
        <w:pStyle w:val="SingleTxtG"/>
        <w:ind w:left="2268"/>
        <w:rPr>
          <w:lang w:val="fr-FR"/>
        </w:rPr>
      </w:pPr>
      <w:r w:rsidRPr="00440C76">
        <w:rPr>
          <w:lang w:val="fr-FR"/>
        </w:rPr>
        <w:t>Si nécessaire, on doit appliquer le mode opératoire spécial défini au paragraphe</w:t>
      </w:r>
      <w:r>
        <w:rPr>
          <w:lang w:val="fr-FR"/>
        </w:rPr>
        <w:t> </w:t>
      </w:r>
      <w:r w:rsidRPr="00440C76">
        <w:rPr>
          <w:lang w:val="fr-FR"/>
        </w:rPr>
        <w:t>5.1.6 du présent Règlement.</w:t>
      </w:r>
    </w:p>
    <w:p w14:paraId="0F21D400" w14:textId="77777777" w:rsidR="00BE2CA7" w:rsidRPr="00440C76" w:rsidRDefault="00BE2CA7" w:rsidP="00BE2CA7">
      <w:pPr>
        <w:pStyle w:val="SingleTxtG"/>
        <w:keepNext/>
        <w:ind w:left="2268" w:hanging="1134"/>
        <w:jc w:val="left"/>
        <w:rPr>
          <w:lang w:val="fr-FR"/>
        </w:rPr>
      </w:pPr>
      <w:r w:rsidRPr="00440C76">
        <w:rPr>
          <w:lang w:val="fr-FR"/>
        </w:rPr>
        <w:t>3.</w:t>
      </w:r>
      <w:r w:rsidRPr="00440C76">
        <w:rPr>
          <w:lang w:val="fr-FR"/>
        </w:rPr>
        <w:tab/>
        <w:t>Prélèvement des gaz</w:t>
      </w:r>
    </w:p>
    <w:p w14:paraId="1FCEB677" w14:textId="77777777" w:rsidR="00BE2CA7" w:rsidRPr="00440C76" w:rsidRDefault="00BE2CA7" w:rsidP="00BE2CA7">
      <w:pPr>
        <w:pStyle w:val="SingleTxtG"/>
        <w:ind w:left="2268" w:hanging="1134"/>
        <w:rPr>
          <w:lang w:val="fr-FR"/>
        </w:rPr>
      </w:pPr>
      <w:r w:rsidRPr="00440C76">
        <w:rPr>
          <w:lang w:val="fr-FR"/>
        </w:rPr>
        <w:t>3.1</w:t>
      </w:r>
      <w:r w:rsidRPr="00440C76">
        <w:rPr>
          <w:lang w:val="fr-FR"/>
        </w:rPr>
        <w:tab/>
        <w:t>La sonde de prélèvement doit être placée à une profondeur minimale de 300 mm ou dans le tuyau d</w:t>
      </w:r>
      <w:r>
        <w:rPr>
          <w:lang w:val="fr-FR"/>
        </w:rPr>
        <w:t>’</w:t>
      </w:r>
      <w:r w:rsidRPr="00440C76">
        <w:rPr>
          <w:lang w:val="fr-FR"/>
        </w:rPr>
        <w:t>échappement raccordant l</w:t>
      </w:r>
      <w:r>
        <w:rPr>
          <w:lang w:val="fr-FR"/>
        </w:rPr>
        <w:t>’</w:t>
      </w:r>
      <w:r w:rsidRPr="00440C76">
        <w:rPr>
          <w:lang w:val="fr-FR"/>
        </w:rPr>
        <w:t>échappement du véhicule au sac et le plus près possible de l</w:t>
      </w:r>
      <w:r>
        <w:rPr>
          <w:lang w:val="fr-FR"/>
        </w:rPr>
        <w:t>’</w:t>
      </w:r>
      <w:r w:rsidRPr="00440C76">
        <w:rPr>
          <w:lang w:val="fr-FR"/>
        </w:rPr>
        <w:t>échappement.</w:t>
      </w:r>
    </w:p>
    <w:p w14:paraId="583AC6BD" w14:textId="77777777" w:rsidR="00BE2CA7" w:rsidRPr="00440C76" w:rsidRDefault="00BE2CA7" w:rsidP="00BE2CA7">
      <w:pPr>
        <w:pStyle w:val="SingleTxtG"/>
        <w:ind w:left="2268" w:hanging="1134"/>
        <w:rPr>
          <w:lang w:val="fr-FR"/>
        </w:rPr>
      </w:pPr>
      <w:r w:rsidRPr="00440C76">
        <w:rPr>
          <w:lang w:val="fr-FR"/>
        </w:rPr>
        <w:t>3.2</w:t>
      </w:r>
      <w:r w:rsidRPr="00440C76">
        <w:rPr>
          <w:lang w:val="fr-FR"/>
        </w:rPr>
        <w:tab/>
        <w:t>La concentration de CO (C</w:t>
      </w:r>
      <w:r w:rsidRPr="00440C76">
        <w:rPr>
          <w:vertAlign w:val="subscript"/>
          <w:lang w:val="fr-FR"/>
        </w:rPr>
        <w:t>CO</w:t>
      </w:r>
      <w:r w:rsidRPr="00440C76">
        <w:rPr>
          <w:lang w:val="fr-FR"/>
        </w:rPr>
        <w:t>) et de CO</w:t>
      </w:r>
      <w:r w:rsidRPr="00440C76">
        <w:rPr>
          <w:vertAlign w:val="subscript"/>
          <w:lang w:val="fr-FR"/>
        </w:rPr>
        <w:t>2</w:t>
      </w:r>
      <w:r w:rsidRPr="00440C76">
        <w:rPr>
          <w:lang w:val="fr-FR"/>
        </w:rPr>
        <w:t xml:space="preserve"> (C</w:t>
      </w:r>
      <w:r w:rsidRPr="00440C76">
        <w:rPr>
          <w:vertAlign w:val="subscript"/>
          <w:lang w:val="fr-FR"/>
        </w:rPr>
        <w:t>CO2</w:t>
      </w:r>
      <w:r w:rsidRPr="00440C76">
        <w:rPr>
          <w:lang w:val="fr-FR"/>
        </w:rPr>
        <w:t>) doit être déterminée d</w:t>
      </w:r>
      <w:r>
        <w:rPr>
          <w:lang w:val="fr-FR"/>
        </w:rPr>
        <w:t>’</w:t>
      </w:r>
      <w:r w:rsidRPr="00440C76">
        <w:rPr>
          <w:lang w:val="fr-FR"/>
        </w:rPr>
        <w:t>après les valeurs affichées ou enregistrées par l</w:t>
      </w:r>
      <w:r>
        <w:rPr>
          <w:lang w:val="fr-FR"/>
        </w:rPr>
        <w:t>’</w:t>
      </w:r>
      <w:r w:rsidRPr="00440C76">
        <w:rPr>
          <w:lang w:val="fr-FR"/>
        </w:rPr>
        <w:t>appareil de mesure, compte tenu des courbes d</w:t>
      </w:r>
      <w:r>
        <w:rPr>
          <w:lang w:val="fr-FR"/>
        </w:rPr>
        <w:t>’</w:t>
      </w:r>
      <w:r w:rsidRPr="00440C76">
        <w:rPr>
          <w:lang w:val="fr-FR"/>
        </w:rPr>
        <w:t>étalonnage applicables.</w:t>
      </w:r>
    </w:p>
    <w:p w14:paraId="61E71823" w14:textId="77777777" w:rsidR="00BE2CA7" w:rsidRPr="00440C76" w:rsidRDefault="00BE2CA7" w:rsidP="00BE2CA7">
      <w:pPr>
        <w:pStyle w:val="SingleTxtG"/>
        <w:ind w:left="2268" w:hanging="1134"/>
        <w:rPr>
          <w:lang w:val="fr-FR" w:eastAsia="en-GB"/>
        </w:rPr>
      </w:pPr>
      <w:r w:rsidRPr="00440C76">
        <w:rPr>
          <w:lang w:val="fr-FR"/>
        </w:rPr>
        <w:t>3.3</w:t>
      </w:r>
      <w:r w:rsidRPr="00440C76">
        <w:rPr>
          <w:lang w:val="fr-FR"/>
        </w:rPr>
        <w:tab/>
        <w:t>La concentration corrigée de monoxyde de carbone dans le cas d</w:t>
      </w:r>
      <w:r>
        <w:rPr>
          <w:lang w:val="fr-FR"/>
        </w:rPr>
        <w:t>’</w:t>
      </w:r>
      <w:r w:rsidRPr="00440C76">
        <w:rPr>
          <w:lang w:val="fr-FR"/>
        </w:rPr>
        <w:t>un moteur à quatre temps est donnée par la formule :</w:t>
      </w:r>
    </w:p>
    <w:p w14:paraId="7995E634" w14:textId="77777777" w:rsidR="00BE2CA7" w:rsidRPr="00440C76" w:rsidRDefault="00BE2CA7" w:rsidP="00BE2CA7">
      <w:pPr>
        <w:pStyle w:val="SingleTxtG"/>
        <w:ind w:left="2268"/>
        <w:rPr>
          <w:iCs/>
          <w:lang w:val="fr-FR"/>
        </w:rPr>
      </w:pPr>
      <m:oMath>
        <m:sSub>
          <m:sSubPr>
            <m:ctrlPr>
              <w:rPr>
                <w:rFonts w:ascii="Cambria Math" w:hAnsi="Cambria Math"/>
                <w:iCs/>
                <w:lang w:val="fr-FR"/>
              </w:rPr>
            </m:ctrlPr>
          </m:sSubPr>
          <m:e>
            <m:r>
              <m:rPr>
                <m:sty m:val="p"/>
              </m:rPr>
              <w:rPr>
                <w:rFonts w:ascii="Cambria Math"/>
                <w:lang w:val="fr-FR"/>
              </w:rPr>
              <m:t>C</m:t>
            </m:r>
          </m:e>
          <m:sub>
            <m:r>
              <m:rPr>
                <m:sty m:val="p"/>
              </m:rPr>
              <w:rPr>
                <w:rFonts w:ascii="Cambria Math"/>
                <w:lang w:val="fr-FR"/>
              </w:rPr>
              <m:t>CO</m:t>
            </m:r>
            <m:r>
              <m:rPr>
                <m:sty m:val="p"/>
              </m:rPr>
              <w:rPr>
                <w:rFonts w:ascii="Cambria Math"/>
                <w:lang w:val="fr-FR"/>
              </w:rPr>
              <m:t> </m:t>
            </m:r>
            <m:r>
              <m:rPr>
                <m:sty m:val="p"/>
              </m:rPr>
              <w:rPr>
                <w:rFonts w:ascii="Cambria Math"/>
                <w:lang w:val="fr-FR"/>
              </w:rPr>
              <m:t>corr</m:t>
            </m:r>
          </m:sub>
        </m:sSub>
        <m:r>
          <m:rPr>
            <m:sty m:val="p"/>
          </m:rPr>
          <w:rPr>
            <w:rFonts w:ascii="Cambria Math"/>
            <w:lang w:val="fr-FR"/>
          </w:rPr>
          <m:t> </m:t>
        </m:r>
        <m:r>
          <m:rPr>
            <m:sty m:val="p"/>
          </m:rPr>
          <w:rPr>
            <w:rFonts w:ascii="Cambria Math"/>
            <w:lang w:val="fr-FR"/>
          </w:rPr>
          <m:t>=</m:t>
        </m:r>
        <m:r>
          <m:rPr>
            <m:sty m:val="p"/>
          </m:rPr>
          <w:rPr>
            <w:rFonts w:ascii="Cambria Math"/>
            <w:lang w:val="fr-FR"/>
          </w:rPr>
          <m:t> </m:t>
        </m:r>
        <m:sSub>
          <m:sSubPr>
            <m:ctrlPr>
              <w:rPr>
                <w:rFonts w:ascii="Cambria Math" w:hAnsi="Cambria Math"/>
                <w:iCs/>
                <w:lang w:val="fr-FR"/>
              </w:rPr>
            </m:ctrlPr>
          </m:sSubPr>
          <m:e>
            <m:r>
              <m:rPr>
                <m:sty m:val="p"/>
              </m:rPr>
              <w:rPr>
                <w:rFonts w:ascii="Cambria Math"/>
                <w:lang w:val="fr-FR"/>
              </w:rPr>
              <m:t>C</m:t>
            </m:r>
          </m:e>
          <m:sub>
            <m:r>
              <m:rPr>
                <m:sty m:val="p"/>
              </m:rPr>
              <w:rPr>
                <w:rFonts w:ascii="Cambria Math"/>
                <w:lang w:val="fr-FR"/>
              </w:rPr>
              <m:t>CO</m:t>
            </m:r>
          </m:sub>
        </m:sSub>
        <m:r>
          <m:rPr>
            <m:sty m:val="p"/>
          </m:rPr>
          <w:rPr>
            <w:rFonts w:ascii="Cambria Math"/>
            <w:lang w:val="fr-FR"/>
          </w:rPr>
          <m:t> </m:t>
        </m:r>
        <m:f>
          <m:fPr>
            <m:ctrlPr>
              <w:rPr>
                <w:rFonts w:ascii="Cambria Math" w:hAnsi="Cambria Math"/>
                <w:iCs/>
                <w:lang w:val="fr-FR"/>
              </w:rPr>
            </m:ctrlPr>
          </m:fPr>
          <m:num>
            <m:r>
              <m:rPr>
                <m:sty m:val="p"/>
              </m:rPr>
              <w:rPr>
                <w:rFonts w:ascii="Cambria Math"/>
                <w:lang w:val="fr-FR"/>
              </w:rPr>
              <m:t>15</m:t>
            </m:r>
          </m:num>
          <m:den>
            <m:sSub>
              <m:sSubPr>
                <m:ctrlPr>
                  <w:rPr>
                    <w:rFonts w:ascii="Cambria Math" w:hAnsi="Cambria Math"/>
                    <w:iCs/>
                    <w:lang w:val="fr-FR"/>
                  </w:rPr>
                </m:ctrlPr>
              </m:sSubPr>
              <m:e>
                <m:r>
                  <m:rPr>
                    <m:sty m:val="p"/>
                  </m:rPr>
                  <w:rPr>
                    <w:rFonts w:ascii="Cambria Math"/>
                    <w:lang w:val="fr-FR"/>
                  </w:rPr>
                  <m:t>C</m:t>
                </m:r>
              </m:e>
              <m:sub>
                <m:r>
                  <m:rPr>
                    <m:sty m:val="p"/>
                  </m:rPr>
                  <w:rPr>
                    <w:rFonts w:ascii="Cambria Math"/>
                    <w:lang w:val="fr-FR"/>
                  </w:rPr>
                  <m:t>CO</m:t>
                </m:r>
              </m:sub>
            </m:sSub>
            <m:r>
              <m:rPr>
                <m:sty m:val="p"/>
              </m:rPr>
              <w:rPr>
                <w:rFonts w:ascii="Cambria Math"/>
                <w:lang w:val="fr-FR"/>
              </w:rPr>
              <m:t> </m:t>
            </m:r>
            <m:r>
              <m:rPr>
                <m:sty m:val="p"/>
              </m:rPr>
              <w:rPr>
                <w:rFonts w:ascii="Cambria Math"/>
                <w:lang w:val="fr-FR"/>
              </w:rPr>
              <m:t>+</m:t>
            </m:r>
            <m:r>
              <m:rPr>
                <m:sty m:val="p"/>
              </m:rPr>
              <w:rPr>
                <w:rFonts w:ascii="Cambria Math"/>
                <w:lang w:val="fr-FR"/>
              </w:rPr>
              <m:t> </m:t>
            </m:r>
            <m:sSub>
              <m:sSubPr>
                <m:ctrlPr>
                  <w:rPr>
                    <w:rFonts w:ascii="Cambria Math" w:hAnsi="Cambria Math"/>
                    <w:iCs/>
                    <w:lang w:val="fr-FR"/>
                  </w:rPr>
                </m:ctrlPr>
              </m:sSubPr>
              <m:e>
                <m:r>
                  <m:rPr>
                    <m:sty m:val="p"/>
                  </m:rPr>
                  <w:rPr>
                    <w:rFonts w:ascii="Cambria Math"/>
                    <w:lang w:val="fr-FR"/>
                  </w:rPr>
                  <m:t>C</m:t>
                </m:r>
              </m:e>
              <m:sub>
                <m:r>
                  <m:rPr>
                    <m:sty m:val="p"/>
                  </m:rPr>
                  <w:rPr>
                    <w:rFonts w:ascii="Cambria Math"/>
                    <w:lang w:val="fr-FR"/>
                  </w:rPr>
                  <m:t>CO2</m:t>
                </m:r>
              </m:sub>
            </m:sSub>
          </m:den>
        </m:f>
        <m:r>
          <m:rPr>
            <m:sty m:val="p"/>
          </m:rPr>
          <w:rPr>
            <w:rFonts w:ascii="Cambria Math"/>
            <w:lang w:val="fr-FR"/>
          </w:rPr>
          <m:t> </m:t>
        </m:r>
      </m:oMath>
      <w:r w:rsidRPr="00440C76">
        <w:rPr>
          <w:iCs/>
          <w:lang w:val="fr-FR"/>
        </w:rPr>
        <w:t>(% vol.)</w:t>
      </w:r>
    </w:p>
    <w:p w14:paraId="06AD63E3" w14:textId="77777777" w:rsidR="00BE2CA7" w:rsidRPr="00440C76" w:rsidRDefault="00BE2CA7" w:rsidP="00BE2CA7">
      <w:pPr>
        <w:pStyle w:val="SingleTxtG"/>
        <w:keepNext/>
        <w:keepLines/>
        <w:ind w:left="2268" w:hanging="1134"/>
        <w:rPr>
          <w:lang w:val="fr-FR"/>
        </w:rPr>
      </w:pPr>
      <w:r w:rsidRPr="00440C76">
        <w:rPr>
          <w:lang w:val="fr-FR"/>
        </w:rPr>
        <w:t>3.4</w:t>
      </w:r>
      <w:r w:rsidRPr="00440C76">
        <w:rPr>
          <w:lang w:val="fr-FR"/>
        </w:rPr>
        <w:tab/>
        <w:t>Il n</w:t>
      </w:r>
      <w:r>
        <w:rPr>
          <w:lang w:val="fr-FR"/>
        </w:rPr>
        <w:t>’</w:t>
      </w:r>
      <w:r w:rsidRPr="00440C76">
        <w:rPr>
          <w:lang w:val="fr-FR"/>
        </w:rPr>
        <w:t>est pas nécessaire de corriger la concentration de C</w:t>
      </w:r>
      <w:r w:rsidRPr="00440C76">
        <w:rPr>
          <w:vertAlign w:val="subscript"/>
          <w:lang w:val="fr-FR"/>
        </w:rPr>
        <w:t>CO</w:t>
      </w:r>
      <w:r w:rsidRPr="00440C76">
        <w:rPr>
          <w:lang w:val="fr-FR"/>
        </w:rPr>
        <w:t xml:space="preserve"> (par.</w:t>
      </w:r>
      <w:r>
        <w:rPr>
          <w:lang w:val="fr-FR"/>
        </w:rPr>
        <w:t xml:space="preserve"> </w:t>
      </w:r>
      <w:r w:rsidRPr="00440C76">
        <w:rPr>
          <w:lang w:val="fr-FR"/>
        </w:rPr>
        <w:t>3.2 de la présente annexe) déterminée selon les formules données dans le paragraphe 3.3 de la présente annexe si la valeur totale des concentrations mesurées (C</w:t>
      </w:r>
      <w:r w:rsidRPr="00440C76">
        <w:rPr>
          <w:vertAlign w:val="subscript"/>
          <w:lang w:val="fr-FR"/>
        </w:rPr>
        <w:t>CO</w:t>
      </w:r>
      <w:r w:rsidRPr="00440C76">
        <w:rPr>
          <w:lang w:val="fr-FR"/>
        </w:rPr>
        <w:t> + C</w:t>
      </w:r>
      <w:r w:rsidRPr="00440C76">
        <w:rPr>
          <w:vertAlign w:val="subscript"/>
          <w:lang w:val="fr-FR"/>
        </w:rPr>
        <w:t>CO2</w:t>
      </w:r>
      <w:r w:rsidRPr="00440C76">
        <w:rPr>
          <w:lang w:val="fr-FR"/>
        </w:rPr>
        <w:t>) pour les moteurs à quatre temps est d</w:t>
      </w:r>
      <w:r>
        <w:rPr>
          <w:lang w:val="fr-FR"/>
        </w:rPr>
        <w:t>’</w:t>
      </w:r>
      <w:r w:rsidRPr="00440C76">
        <w:rPr>
          <w:lang w:val="fr-FR"/>
        </w:rPr>
        <w:t>au moins :</w:t>
      </w:r>
    </w:p>
    <w:p w14:paraId="44DDACD8" w14:textId="77777777" w:rsidR="00BE2CA7" w:rsidRPr="00440C76" w:rsidRDefault="00BE2CA7" w:rsidP="00BE2CA7">
      <w:pPr>
        <w:pStyle w:val="SingleTxtG"/>
        <w:tabs>
          <w:tab w:val="left" w:pos="5103"/>
        </w:tabs>
        <w:ind w:left="2835" w:hanging="567"/>
        <w:rPr>
          <w:lang w:val="fr-FR"/>
        </w:rPr>
      </w:pPr>
      <w:r w:rsidRPr="00440C76">
        <w:rPr>
          <w:lang w:val="fr-FR"/>
        </w:rPr>
        <w:t>a)</w:t>
      </w:r>
      <w:r w:rsidRPr="00440C76">
        <w:rPr>
          <w:lang w:val="fr-FR"/>
        </w:rPr>
        <w:tab/>
        <w:t>Pour l</w:t>
      </w:r>
      <w:r>
        <w:rPr>
          <w:lang w:val="fr-FR"/>
        </w:rPr>
        <w:t>’</w:t>
      </w:r>
      <w:r w:rsidRPr="00440C76">
        <w:rPr>
          <w:lang w:val="fr-FR"/>
        </w:rPr>
        <w:t>essence :</w:t>
      </w:r>
      <w:r w:rsidRPr="00440C76">
        <w:rPr>
          <w:lang w:val="fr-FR"/>
        </w:rPr>
        <w:tab/>
        <w:t>15 % ;</w:t>
      </w:r>
    </w:p>
    <w:p w14:paraId="073CA8D9" w14:textId="77777777" w:rsidR="00BE2CA7" w:rsidRPr="00440C76" w:rsidRDefault="00BE2CA7" w:rsidP="00BE2CA7">
      <w:pPr>
        <w:pStyle w:val="SingleTxtG"/>
        <w:tabs>
          <w:tab w:val="left" w:pos="5103"/>
        </w:tabs>
        <w:ind w:left="2835" w:hanging="567"/>
        <w:rPr>
          <w:lang w:val="fr-FR"/>
        </w:rPr>
      </w:pPr>
      <w:r w:rsidRPr="00440C76">
        <w:rPr>
          <w:lang w:val="fr-FR"/>
        </w:rPr>
        <w:t>b)</w:t>
      </w:r>
      <w:r w:rsidRPr="00440C76">
        <w:rPr>
          <w:lang w:val="fr-FR"/>
        </w:rPr>
        <w:tab/>
        <w:t>Pour le GPL :</w:t>
      </w:r>
      <w:r w:rsidRPr="00440C76">
        <w:rPr>
          <w:lang w:val="fr-FR"/>
        </w:rPr>
        <w:tab/>
        <w:t>13,5 % ;</w:t>
      </w:r>
    </w:p>
    <w:p w14:paraId="3D264029" w14:textId="77777777" w:rsidR="00BE2CA7" w:rsidRPr="00440C76" w:rsidRDefault="00BE2CA7" w:rsidP="00BE2CA7">
      <w:pPr>
        <w:pStyle w:val="SingleTxtG"/>
        <w:tabs>
          <w:tab w:val="left" w:pos="5103"/>
        </w:tabs>
        <w:ind w:left="2835" w:hanging="567"/>
        <w:rPr>
          <w:lang w:val="fr-FR"/>
        </w:rPr>
      </w:pPr>
      <w:r w:rsidRPr="00440C76">
        <w:rPr>
          <w:lang w:val="fr-FR"/>
        </w:rPr>
        <w:t>c)</w:t>
      </w:r>
      <w:r w:rsidRPr="00440C76">
        <w:rPr>
          <w:lang w:val="fr-FR"/>
        </w:rPr>
        <w:tab/>
        <w:t>Pour le GN/biométhane :</w:t>
      </w:r>
      <w:r w:rsidRPr="00440C76">
        <w:rPr>
          <w:lang w:val="fr-FR"/>
        </w:rPr>
        <w:tab/>
        <w:t>11,5 %.</w:t>
      </w:r>
    </w:p>
    <w:p w14:paraId="7F7828A0" w14:textId="77777777" w:rsidR="00BE2CA7" w:rsidRPr="00440C76" w:rsidRDefault="00BE2CA7" w:rsidP="00BE2CA7">
      <w:pPr>
        <w:pStyle w:val="SingleTxtG"/>
        <w:rPr>
          <w:lang w:val="fr-FR"/>
        </w:rPr>
      </w:pPr>
      <w:r w:rsidRPr="00440C76">
        <w:rPr>
          <w:lang w:val="fr-FR"/>
        </w:rPr>
        <w:br w:type="page"/>
      </w:r>
    </w:p>
    <w:p w14:paraId="3FBB8A1F" w14:textId="77777777" w:rsidR="00BE2CA7" w:rsidRPr="00440C76" w:rsidRDefault="00BE2CA7" w:rsidP="00BE2CA7">
      <w:pPr>
        <w:pStyle w:val="HChG"/>
        <w:rPr>
          <w:lang w:val="fr-FR"/>
        </w:rPr>
      </w:pPr>
      <w:r w:rsidRPr="00440C76">
        <w:rPr>
          <w:lang w:val="fr-FR"/>
        </w:rPr>
        <w:lastRenderedPageBreak/>
        <w:t>Annexe</w:t>
      </w:r>
      <w:r>
        <w:rPr>
          <w:lang w:val="fr-FR"/>
        </w:rPr>
        <w:t> </w:t>
      </w:r>
      <w:r w:rsidRPr="00440C76">
        <w:rPr>
          <w:lang w:val="fr-FR"/>
        </w:rPr>
        <w:t>6</w:t>
      </w:r>
    </w:p>
    <w:p w14:paraId="18AE94D1" w14:textId="77777777" w:rsidR="00BE2CA7" w:rsidRPr="00440C76" w:rsidRDefault="00BE2CA7" w:rsidP="00BE2CA7">
      <w:pPr>
        <w:pStyle w:val="HChG"/>
        <w:rPr>
          <w:lang w:val="fr-FR"/>
        </w:rPr>
      </w:pPr>
      <w:r w:rsidRPr="00440C76">
        <w:rPr>
          <w:lang w:val="fr-FR"/>
        </w:rPr>
        <w:tab/>
      </w:r>
      <w:r w:rsidRPr="00440C76">
        <w:rPr>
          <w:lang w:val="fr-FR"/>
        </w:rPr>
        <w:tab/>
        <w:t>Essai du type</w:t>
      </w:r>
      <w:r>
        <w:rPr>
          <w:lang w:val="fr-FR"/>
        </w:rPr>
        <w:t> </w:t>
      </w:r>
      <w:r w:rsidRPr="00440C76">
        <w:rPr>
          <w:lang w:val="fr-FR"/>
        </w:rPr>
        <w:t>3</w:t>
      </w:r>
    </w:p>
    <w:p w14:paraId="7C8FC953" w14:textId="77777777" w:rsidR="00BE2CA7" w:rsidRPr="00440C76" w:rsidRDefault="00BE2CA7" w:rsidP="00BE2CA7">
      <w:pPr>
        <w:pStyle w:val="SingleTxtG"/>
        <w:rPr>
          <w:lang w:val="fr-FR"/>
        </w:rPr>
      </w:pPr>
      <w:r w:rsidRPr="00440C76">
        <w:rPr>
          <w:lang w:val="fr-FR"/>
        </w:rPr>
        <w:t>(Contrôle des émissions de gaz de carter)</w:t>
      </w:r>
    </w:p>
    <w:p w14:paraId="332B6638" w14:textId="77777777" w:rsidR="00BE2CA7" w:rsidRPr="00440C76" w:rsidRDefault="00BE2CA7" w:rsidP="00BE2CA7">
      <w:pPr>
        <w:pStyle w:val="SingleTxtG"/>
        <w:ind w:left="2268" w:hanging="1134"/>
        <w:rPr>
          <w:lang w:val="fr-FR"/>
        </w:rPr>
      </w:pPr>
      <w:r w:rsidRPr="00440C76">
        <w:rPr>
          <w:lang w:val="fr-FR"/>
        </w:rPr>
        <w:t>1.</w:t>
      </w:r>
      <w:r w:rsidRPr="00440C76">
        <w:rPr>
          <w:lang w:val="fr-FR"/>
        </w:rPr>
        <w:tab/>
        <w:t>Introduction</w:t>
      </w:r>
    </w:p>
    <w:p w14:paraId="22FD4FEE" w14:textId="77777777" w:rsidR="00BE2CA7" w:rsidRPr="00440C76" w:rsidRDefault="00BE2CA7" w:rsidP="00BE2CA7">
      <w:pPr>
        <w:pStyle w:val="SingleTxtG"/>
        <w:ind w:left="2268"/>
        <w:rPr>
          <w:lang w:val="fr-FR"/>
        </w:rPr>
      </w:pPr>
      <w:r w:rsidRPr="00440C76">
        <w:rPr>
          <w:lang w:val="fr-FR"/>
        </w:rPr>
        <w:t>La présente annexe décrit la méthode à suivre pour conduire l</w:t>
      </w:r>
      <w:r>
        <w:rPr>
          <w:lang w:val="fr-FR"/>
        </w:rPr>
        <w:t>’</w:t>
      </w:r>
      <w:r w:rsidRPr="00440C76">
        <w:rPr>
          <w:lang w:val="fr-FR"/>
        </w:rPr>
        <w:t>essai du type</w:t>
      </w:r>
      <w:r>
        <w:rPr>
          <w:lang w:val="fr-FR"/>
        </w:rPr>
        <w:t> 3</w:t>
      </w:r>
      <w:r w:rsidRPr="00440C76">
        <w:rPr>
          <w:lang w:val="fr-FR"/>
        </w:rPr>
        <w:t xml:space="preserve"> défini au paragraphe</w:t>
      </w:r>
      <w:r>
        <w:rPr>
          <w:lang w:val="fr-FR"/>
        </w:rPr>
        <w:t> </w:t>
      </w:r>
      <w:r w:rsidRPr="00440C76">
        <w:rPr>
          <w:lang w:val="fr-FR"/>
        </w:rPr>
        <w:t>5.3.3 du présent Règlement.</w:t>
      </w:r>
    </w:p>
    <w:p w14:paraId="6AF03247" w14:textId="77777777" w:rsidR="00BE2CA7" w:rsidRPr="00440C76" w:rsidRDefault="00BE2CA7" w:rsidP="00BE2CA7">
      <w:pPr>
        <w:pStyle w:val="SingleTxtG"/>
        <w:ind w:left="2268" w:hanging="1134"/>
        <w:rPr>
          <w:lang w:val="fr-FR"/>
        </w:rPr>
      </w:pPr>
      <w:r w:rsidRPr="00440C76">
        <w:rPr>
          <w:lang w:val="fr-FR"/>
        </w:rPr>
        <w:t>2.</w:t>
      </w:r>
      <w:r w:rsidRPr="00440C76">
        <w:rPr>
          <w:lang w:val="fr-FR"/>
        </w:rPr>
        <w:tab/>
        <w:t>Prescriptions générales</w:t>
      </w:r>
    </w:p>
    <w:p w14:paraId="1BC5BF50" w14:textId="77777777" w:rsidR="00BE2CA7" w:rsidRPr="00440C76" w:rsidRDefault="00BE2CA7" w:rsidP="00BE2CA7">
      <w:pPr>
        <w:pStyle w:val="SingleTxtG"/>
        <w:ind w:left="2268" w:hanging="1134"/>
        <w:rPr>
          <w:lang w:val="fr-FR"/>
        </w:rPr>
      </w:pPr>
      <w:r w:rsidRPr="00440C76">
        <w:rPr>
          <w:lang w:val="fr-FR"/>
        </w:rPr>
        <w:t>2.1</w:t>
      </w:r>
      <w:r w:rsidRPr="00440C76">
        <w:rPr>
          <w:lang w:val="fr-FR"/>
        </w:rPr>
        <w:tab/>
        <w:t>L</w:t>
      </w:r>
      <w:r>
        <w:rPr>
          <w:lang w:val="fr-FR"/>
        </w:rPr>
        <w:t>’</w:t>
      </w:r>
      <w:r w:rsidRPr="00440C76">
        <w:rPr>
          <w:lang w:val="fr-FR"/>
        </w:rPr>
        <w:t>essai du type</w:t>
      </w:r>
      <w:r>
        <w:rPr>
          <w:lang w:val="fr-FR"/>
        </w:rPr>
        <w:t> </w:t>
      </w:r>
      <w:r w:rsidRPr="00440C76">
        <w:rPr>
          <w:lang w:val="fr-FR"/>
        </w:rPr>
        <w:t>3 doit être exécuté sur le véhicule équipé d</w:t>
      </w:r>
      <w:r>
        <w:rPr>
          <w:lang w:val="fr-FR"/>
        </w:rPr>
        <w:t>’</w:t>
      </w:r>
      <w:r w:rsidRPr="00440C76">
        <w:rPr>
          <w:lang w:val="fr-FR"/>
        </w:rPr>
        <w:t>un moteur à allumage commandé qui a été soumis aux essais du type</w:t>
      </w:r>
      <w:r>
        <w:rPr>
          <w:lang w:val="fr-FR"/>
        </w:rPr>
        <w:t> </w:t>
      </w:r>
      <w:r w:rsidRPr="00440C76">
        <w:rPr>
          <w:lang w:val="fr-FR"/>
        </w:rPr>
        <w:t>1, tel que décrit dans le Règlement ONU n</w:t>
      </w:r>
      <w:r w:rsidRPr="00440C76">
        <w:rPr>
          <w:vertAlign w:val="superscript"/>
          <w:lang w:val="fr-FR"/>
        </w:rPr>
        <w:t>o</w:t>
      </w:r>
      <w:r w:rsidRPr="00440C76">
        <w:rPr>
          <w:lang w:val="fr-FR"/>
        </w:rPr>
        <w:t> 154, et du type</w:t>
      </w:r>
      <w:r>
        <w:rPr>
          <w:lang w:val="fr-FR"/>
        </w:rPr>
        <w:t> </w:t>
      </w:r>
      <w:r w:rsidRPr="00440C76">
        <w:rPr>
          <w:lang w:val="fr-FR"/>
        </w:rPr>
        <w:t>2, selon le cas.</w:t>
      </w:r>
    </w:p>
    <w:p w14:paraId="0C491ABC" w14:textId="77777777" w:rsidR="00BE2CA7" w:rsidRPr="00440C76" w:rsidRDefault="00BE2CA7" w:rsidP="00BE2CA7">
      <w:pPr>
        <w:pStyle w:val="SingleTxtG"/>
        <w:ind w:left="2268" w:hanging="1134"/>
        <w:rPr>
          <w:lang w:val="fr-FR"/>
        </w:rPr>
      </w:pPr>
      <w:r w:rsidRPr="00440C76">
        <w:rPr>
          <w:lang w:val="fr-FR"/>
        </w:rPr>
        <w:t>2.2</w:t>
      </w:r>
      <w:r w:rsidRPr="00440C76">
        <w:rPr>
          <w:lang w:val="fr-FR"/>
        </w:rPr>
        <w:tab/>
        <w:t>Les moteurs, y compris les moteurs étanches, doivent être soumis à l</w:t>
      </w:r>
      <w:r>
        <w:rPr>
          <w:lang w:val="fr-FR"/>
        </w:rPr>
        <w:t>’</w:t>
      </w:r>
      <w:r w:rsidRPr="00440C76">
        <w:rPr>
          <w:lang w:val="fr-FR"/>
        </w:rPr>
        <w:t>essai, à l</w:t>
      </w:r>
      <w:r>
        <w:rPr>
          <w:lang w:val="fr-FR"/>
        </w:rPr>
        <w:t>’</w:t>
      </w:r>
      <w:r w:rsidRPr="00440C76">
        <w:rPr>
          <w:lang w:val="fr-FR"/>
        </w:rPr>
        <w:t>exception de ceux dont la conception est telle qu</w:t>
      </w:r>
      <w:r>
        <w:rPr>
          <w:lang w:val="fr-FR"/>
        </w:rPr>
        <w:t>’</w:t>
      </w:r>
      <w:r w:rsidRPr="00440C76">
        <w:rPr>
          <w:lang w:val="fr-FR"/>
        </w:rPr>
        <w:t>une fuite, même légère, peut entraîner des vices de fonctionnement inacceptables (moteurs flat-twin, par exemple).</w:t>
      </w:r>
    </w:p>
    <w:p w14:paraId="6B935A63" w14:textId="77777777" w:rsidR="00BE2CA7" w:rsidRPr="00440C76" w:rsidRDefault="00BE2CA7" w:rsidP="00BE2CA7">
      <w:pPr>
        <w:pStyle w:val="SingleTxtG"/>
        <w:ind w:left="2268" w:hanging="1134"/>
        <w:rPr>
          <w:lang w:val="fr-FR"/>
        </w:rPr>
      </w:pPr>
      <w:r w:rsidRPr="00440C76">
        <w:rPr>
          <w:lang w:val="fr-FR"/>
        </w:rPr>
        <w:t>2.3</w:t>
      </w:r>
      <w:r w:rsidRPr="00440C76">
        <w:rPr>
          <w:lang w:val="fr-FR"/>
        </w:rPr>
        <w:tab/>
        <w:t>Les coefficients de résistance à l</w:t>
      </w:r>
      <w:r>
        <w:rPr>
          <w:lang w:val="fr-FR"/>
        </w:rPr>
        <w:t>’</w:t>
      </w:r>
      <w:r w:rsidRPr="00440C76">
        <w:rPr>
          <w:lang w:val="fr-FR"/>
        </w:rPr>
        <w:t>avancement sur route qui doivent être utilisés sont ceux qui correspondent aux véhicules L. S</w:t>
      </w:r>
      <w:r>
        <w:rPr>
          <w:lang w:val="fr-FR"/>
        </w:rPr>
        <w:t>’</w:t>
      </w:r>
      <w:r w:rsidRPr="00440C76">
        <w:rPr>
          <w:lang w:val="fr-FR"/>
        </w:rPr>
        <w:t>il n</w:t>
      </w:r>
      <w:r>
        <w:rPr>
          <w:lang w:val="fr-FR"/>
        </w:rPr>
        <w:t>’</w:t>
      </w:r>
      <w:r w:rsidRPr="00440C76">
        <w:rPr>
          <w:lang w:val="fr-FR"/>
        </w:rPr>
        <w:t>existe pas de coefficient pour les véhicules L, il faut utiliser le coefficient de résistance à l</w:t>
      </w:r>
      <w:r>
        <w:rPr>
          <w:lang w:val="fr-FR"/>
        </w:rPr>
        <w:t>’</w:t>
      </w:r>
      <w:r w:rsidRPr="00440C76">
        <w:rPr>
          <w:lang w:val="fr-FR"/>
        </w:rPr>
        <w:t>avancement sur route pour les véhicules H. Dans ce cas, le véhicule H doit être défini conformément au paragraphe</w:t>
      </w:r>
      <w:r>
        <w:rPr>
          <w:lang w:val="fr-FR"/>
        </w:rPr>
        <w:t> </w:t>
      </w:r>
      <w:r w:rsidRPr="00440C76">
        <w:rPr>
          <w:lang w:val="fr-FR"/>
        </w:rPr>
        <w:t>4.2.1.1.1 de l</w:t>
      </w:r>
      <w:r>
        <w:rPr>
          <w:lang w:val="fr-FR"/>
        </w:rPr>
        <w:t>’</w:t>
      </w:r>
      <w:r w:rsidRPr="00440C76">
        <w:rPr>
          <w:lang w:val="fr-FR"/>
        </w:rPr>
        <w:t>annexe</w:t>
      </w:r>
      <w:r>
        <w:rPr>
          <w:lang w:val="fr-FR"/>
        </w:rPr>
        <w:t> </w:t>
      </w:r>
      <w:r w:rsidRPr="00440C76">
        <w:rPr>
          <w:lang w:val="fr-FR"/>
        </w:rPr>
        <w:t>B4 du Règlement ONU n</w:t>
      </w:r>
      <w:r w:rsidRPr="00440C76">
        <w:rPr>
          <w:vertAlign w:val="superscript"/>
          <w:lang w:val="fr-FR"/>
        </w:rPr>
        <w:t>o</w:t>
      </w:r>
      <w:r w:rsidRPr="00440C76">
        <w:rPr>
          <w:lang w:val="fr-FR"/>
        </w:rPr>
        <w:t> 154. Si la méthode d</w:t>
      </w:r>
      <w:r>
        <w:rPr>
          <w:lang w:val="fr-FR"/>
        </w:rPr>
        <w:t>’</w:t>
      </w:r>
      <w:r w:rsidRPr="00440C76">
        <w:rPr>
          <w:lang w:val="fr-FR"/>
        </w:rPr>
        <w:t>interpolation est utilisée, les véhicules L et H doivent être spécifiés conformément au paragraphe</w:t>
      </w:r>
      <w:r>
        <w:rPr>
          <w:lang w:val="fr-FR"/>
        </w:rPr>
        <w:t> </w:t>
      </w:r>
      <w:r w:rsidRPr="00440C76">
        <w:rPr>
          <w:lang w:val="fr-FR"/>
        </w:rPr>
        <w:t>4.2.1.1.2 de l</w:t>
      </w:r>
      <w:r>
        <w:rPr>
          <w:lang w:val="fr-FR"/>
        </w:rPr>
        <w:t>’</w:t>
      </w:r>
      <w:r w:rsidRPr="00440C76">
        <w:rPr>
          <w:lang w:val="fr-FR"/>
        </w:rPr>
        <w:t>annexe</w:t>
      </w:r>
      <w:r>
        <w:rPr>
          <w:lang w:val="fr-FR"/>
        </w:rPr>
        <w:t> </w:t>
      </w:r>
      <w:r w:rsidRPr="00440C76">
        <w:rPr>
          <w:lang w:val="fr-FR"/>
        </w:rPr>
        <w:t>B4 du Règlement ONU n</w:t>
      </w:r>
      <w:r w:rsidRPr="00440C76">
        <w:rPr>
          <w:vertAlign w:val="superscript"/>
          <w:lang w:val="fr-FR"/>
        </w:rPr>
        <w:t>o</w:t>
      </w:r>
      <w:r w:rsidRPr="00440C76">
        <w:rPr>
          <w:lang w:val="fr-FR"/>
        </w:rPr>
        <w:t> 154. Le constructeur peut aussi choisir d</w:t>
      </w:r>
      <w:r>
        <w:rPr>
          <w:lang w:val="fr-FR"/>
        </w:rPr>
        <w:t>’</w:t>
      </w:r>
      <w:r w:rsidRPr="00440C76">
        <w:rPr>
          <w:lang w:val="fr-FR"/>
        </w:rPr>
        <w:t>utiliser les résistances à l</w:t>
      </w:r>
      <w:r>
        <w:rPr>
          <w:lang w:val="fr-FR"/>
        </w:rPr>
        <w:t>’</w:t>
      </w:r>
      <w:r w:rsidRPr="00440C76">
        <w:rPr>
          <w:lang w:val="fr-FR"/>
        </w:rPr>
        <w:t>avancement sur route qui ont été déterminées conformément aux dispositions de l</w:t>
      </w:r>
      <w:r>
        <w:rPr>
          <w:lang w:val="fr-FR"/>
        </w:rPr>
        <w:t>’</w:t>
      </w:r>
      <w:r w:rsidRPr="00440C76">
        <w:rPr>
          <w:lang w:val="fr-FR"/>
        </w:rPr>
        <w:t>appendice</w:t>
      </w:r>
      <w:r>
        <w:rPr>
          <w:lang w:val="fr-FR"/>
        </w:rPr>
        <w:t> </w:t>
      </w:r>
      <w:r w:rsidRPr="00440C76">
        <w:rPr>
          <w:lang w:val="fr-FR"/>
        </w:rPr>
        <w:t>7a ou de l</w:t>
      </w:r>
      <w:r>
        <w:rPr>
          <w:lang w:val="fr-FR"/>
        </w:rPr>
        <w:t>’</w:t>
      </w:r>
      <w:r w:rsidRPr="00440C76">
        <w:rPr>
          <w:lang w:val="fr-FR"/>
        </w:rPr>
        <w:t>appendice 7b de l</w:t>
      </w:r>
      <w:r>
        <w:rPr>
          <w:lang w:val="fr-FR"/>
        </w:rPr>
        <w:t>’</w:t>
      </w:r>
      <w:r w:rsidRPr="00440C76">
        <w:rPr>
          <w:lang w:val="fr-FR"/>
        </w:rPr>
        <w:t>annexe</w:t>
      </w:r>
      <w:r>
        <w:rPr>
          <w:lang w:val="fr-FR"/>
        </w:rPr>
        <w:t> </w:t>
      </w:r>
      <w:r w:rsidRPr="00440C76">
        <w:rPr>
          <w:lang w:val="fr-FR"/>
        </w:rPr>
        <w:t>4a de la série 07 d</w:t>
      </w:r>
      <w:r>
        <w:rPr>
          <w:lang w:val="fr-FR"/>
        </w:rPr>
        <w:t>’</w:t>
      </w:r>
      <w:r w:rsidRPr="00440C76">
        <w:rPr>
          <w:lang w:val="fr-FR"/>
        </w:rPr>
        <w:t>amendements au Règlement ONU n</w:t>
      </w:r>
      <w:r w:rsidRPr="00440C76">
        <w:rPr>
          <w:vertAlign w:val="superscript"/>
          <w:lang w:val="fr-FR"/>
        </w:rPr>
        <w:t>o</w:t>
      </w:r>
      <w:r w:rsidRPr="00440C76">
        <w:rPr>
          <w:lang w:val="fr-FR"/>
        </w:rPr>
        <w:t> 83 pour un véhicule appartenant à la famille d</w:t>
      </w:r>
      <w:r>
        <w:rPr>
          <w:lang w:val="fr-FR"/>
        </w:rPr>
        <w:t>’</w:t>
      </w:r>
      <w:r w:rsidRPr="00440C76">
        <w:rPr>
          <w:lang w:val="fr-FR"/>
        </w:rPr>
        <w:t>interpolation.</w:t>
      </w:r>
    </w:p>
    <w:p w14:paraId="0EFF7BBB" w14:textId="77777777" w:rsidR="00BE2CA7" w:rsidRPr="00440C76" w:rsidRDefault="00BE2CA7" w:rsidP="00BE2CA7">
      <w:pPr>
        <w:pStyle w:val="SingleTxtG"/>
        <w:ind w:left="2268" w:hanging="1134"/>
        <w:rPr>
          <w:lang w:val="fr-FR"/>
        </w:rPr>
      </w:pPr>
      <w:r w:rsidRPr="00440C76">
        <w:rPr>
          <w:lang w:val="fr-FR"/>
        </w:rPr>
        <w:t>3.</w:t>
      </w:r>
      <w:r w:rsidRPr="00440C76">
        <w:rPr>
          <w:lang w:val="fr-FR"/>
        </w:rPr>
        <w:tab/>
        <w:t>Conditions d</w:t>
      </w:r>
      <w:r>
        <w:rPr>
          <w:lang w:val="fr-FR"/>
        </w:rPr>
        <w:t>’</w:t>
      </w:r>
      <w:r w:rsidRPr="00440C76">
        <w:rPr>
          <w:lang w:val="fr-FR"/>
        </w:rPr>
        <w:t>essais</w:t>
      </w:r>
    </w:p>
    <w:p w14:paraId="7A3A80D5" w14:textId="77777777" w:rsidR="00BE2CA7" w:rsidRPr="00440C76" w:rsidRDefault="00BE2CA7" w:rsidP="00BE2CA7">
      <w:pPr>
        <w:pStyle w:val="SingleTxtG"/>
        <w:ind w:left="2268" w:hanging="1134"/>
        <w:rPr>
          <w:lang w:val="fr-FR"/>
        </w:rPr>
      </w:pPr>
      <w:r w:rsidRPr="00440C76">
        <w:rPr>
          <w:lang w:val="fr-FR"/>
        </w:rPr>
        <w:t>3.1</w:t>
      </w:r>
      <w:r w:rsidRPr="00440C76">
        <w:rPr>
          <w:lang w:val="fr-FR"/>
        </w:rPr>
        <w:tab/>
        <w:t>Le ralenti doit être réglé conformément aux recommandations du constructeur.</w:t>
      </w:r>
    </w:p>
    <w:p w14:paraId="316D6BA8" w14:textId="77777777" w:rsidR="00BE2CA7" w:rsidRPr="00440C76" w:rsidRDefault="00BE2CA7" w:rsidP="00BE2CA7">
      <w:pPr>
        <w:pStyle w:val="SingleTxtG"/>
        <w:ind w:left="2268" w:hanging="1134"/>
        <w:rPr>
          <w:lang w:val="fr-FR"/>
        </w:rPr>
      </w:pPr>
      <w:r w:rsidRPr="00440C76">
        <w:rPr>
          <w:lang w:val="fr-FR"/>
        </w:rPr>
        <w:t>3.2</w:t>
      </w:r>
      <w:r w:rsidRPr="00440C76">
        <w:rPr>
          <w:lang w:val="fr-FR"/>
        </w:rPr>
        <w:tab/>
        <w:t>Les mesures doivent être effectuées dans les trois conditions de fonctionnement suivantes du moteur :</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4"/>
        <w:gridCol w:w="4613"/>
      </w:tblGrid>
      <w:tr w:rsidR="00BE2CA7" w:rsidRPr="00440C76" w14:paraId="74780DB6" w14:textId="77777777" w:rsidTr="002B0590">
        <w:tc>
          <w:tcPr>
            <w:tcW w:w="1624" w:type="dxa"/>
            <w:vAlign w:val="bottom"/>
          </w:tcPr>
          <w:p w14:paraId="4DC7E4AC" w14:textId="77777777" w:rsidR="00BE2CA7" w:rsidRPr="00440C76" w:rsidRDefault="00BE2CA7" w:rsidP="002B0590">
            <w:pPr>
              <w:spacing w:before="60" w:after="60" w:line="200" w:lineRule="exact"/>
              <w:ind w:left="57" w:right="57"/>
              <w:rPr>
                <w:i/>
                <w:sz w:val="16"/>
                <w:szCs w:val="16"/>
                <w:lang w:val="fr-FR"/>
              </w:rPr>
            </w:pPr>
            <w:r w:rsidRPr="00440C76">
              <w:rPr>
                <w:i/>
                <w:sz w:val="16"/>
                <w:szCs w:val="16"/>
                <w:lang w:val="fr-FR"/>
              </w:rPr>
              <w:t>Numéro de condition</w:t>
            </w:r>
          </w:p>
        </w:tc>
        <w:tc>
          <w:tcPr>
            <w:tcW w:w="4613" w:type="dxa"/>
            <w:vAlign w:val="bottom"/>
          </w:tcPr>
          <w:p w14:paraId="089C6FC2" w14:textId="77777777" w:rsidR="00BE2CA7" w:rsidRPr="00440C76" w:rsidRDefault="00BE2CA7" w:rsidP="002B0590">
            <w:pPr>
              <w:spacing w:before="60" w:after="60" w:line="200" w:lineRule="exact"/>
              <w:ind w:left="57" w:right="57"/>
              <w:rPr>
                <w:i/>
                <w:sz w:val="16"/>
                <w:szCs w:val="16"/>
                <w:lang w:val="fr-FR"/>
              </w:rPr>
            </w:pPr>
            <w:r w:rsidRPr="00440C76">
              <w:rPr>
                <w:i/>
                <w:sz w:val="16"/>
                <w:szCs w:val="16"/>
                <w:lang w:val="fr-FR"/>
              </w:rPr>
              <w:t>Vitesse du véhicule (km/h)</w:t>
            </w:r>
          </w:p>
        </w:tc>
      </w:tr>
      <w:tr w:rsidR="00BE2CA7" w:rsidRPr="00440C76" w14:paraId="026959F4" w14:textId="77777777" w:rsidTr="002B0590">
        <w:tc>
          <w:tcPr>
            <w:tcW w:w="1624" w:type="dxa"/>
          </w:tcPr>
          <w:p w14:paraId="3CB2EDB6" w14:textId="77777777" w:rsidR="00BE2CA7" w:rsidRPr="00440C76" w:rsidRDefault="00BE2CA7" w:rsidP="002B0590">
            <w:pPr>
              <w:spacing w:before="60" w:after="60"/>
              <w:ind w:left="57" w:right="57"/>
              <w:rPr>
                <w:lang w:val="fr-FR"/>
              </w:rPr>
            </w:pPr>
            <w:r w:rsidRPr="00440C76">
              <w:rPr>
                <w:lang w:val="fr-FR"/>
              </w:rPr>
              <w:t>1</w:t>
            </w:r>
          </w:p>
        </w:tc>
        <w:tc>
          <w:tcPr>
            <w:tcW w:w="4613" w:type="dxa"/>
          </w:tcPr>
          <w:p w14:paraId="37563CDA" w14:textId="77777777" w:rsidR="00BE2CA7" w:rsidRPr="00440C76" w:rsidRDefault="00BE2CA7" w:rsidP="002B0590">
            <w:pPr>
              <w:spacing w:before="60" w:after="60"/>
              <w:ind w:left="57" w:right="57"/>
              <w:rPr>
                <w:lang w:val="fr-FR"/>
              </w:rPr>
            </w:pPr>
            <w:r w:rsidRPr="00440C76">
              <w:rPr>
                <w:lang w:val="fr-FR"/>
              </w:rPr>
              <w:t>Ralenti à vide</w:t>
            </w:r>
          </w:p>
        </w:tc>
      </w:tr>
      <w:tr w:rsidR="00BE2CA7" w:rsidRPr="00440C76" w14:paraId="686F37E8" w14:textId="77777777" w:rsidTr="002B0590">
        <w:tc>
          <w:tcPr>
            <w:tcW w:w="1624" w:type="dxa"/>
          </w:tcPr>
          <w:p w14:paraId="1EACA88E" w14:textId="77777777" w:rsidR="00BE2CA7" w:rsidRPr="00440C76" w:rsidRDefault="00BE2CA7" w:rsidP="002B0590">
            <w:pPr>
              <w:spacing w:before="60" w:after="60"/>
              <w:ind w:left="57" w:right="57"/>
              <w:rPr>
                <w:lang w:val="fr-FR"/>
              </w:rPr>
            </w:pPr>
            <w:r w:rsidRPr="00440C76">
              <w:rPr>
                <w:lang w:val="fr-FR"/>
              </w:rPr>
              <w:t>2</w:t>
            </w:r>
          </w:p>
        </w:tc>
        <w:tc>
          <w:tcPr>
            <w:tcW w:w="4613" w:type="dxa"/>
          </w:tcPr>
          <w:p w14:paraId="60CB0AEE" w14:textId="77777777" w:rsidR="00BE2CA7" w:rsidRPr="00440C76" w:rsidRDefault="00BE2CA7" w:rsidP="002B0590">
            <w:pPr>
              <w:spacing w:before="60" w:after="60"/>
              <w:ind w:left="57" w:right="57"/>
              <w:rPr>
                <w:lang w:val="fr-FR"/>
              </w:rPr>
            </w:pPr>
            <w:r w:rsidRPr="00440C76">
              <w:rPr>
                <w:lang w:val="fr-FR"/>
              </w:rPr>
              <w:t xml:space="preserve">50 </w:t>
            </w:r>
            <w:r w:rsidRPr="00440C76">
              <w:rPr>
                <w:lang w:val="fr-FR"/>
              </w:rPr>
              <w:sym w:font="Symbol" w:char="F0B1"/>
            </w:r>
            <w:r>
              <w:rPr>
                <w:lang w:val="fr-FR"/>
              </w:rPr>
              <w:t xml:space="preserve"> </w:t>
            </w:r>
            <w:r w:rsidRPr="00440C76">
              <w:rPr>
                <w:lang w:val="fr-FR"/>
              </w:rPr>
              <w:t>2 (troisième rapport ou « drive »)</w:t>
            </w:r>
          </w:p>
        </w:tc>
      </w:tr>
      <w:tr w:rsidR="00BE2CA7" w:rsidRPr="00440C76" w14:paraId="6AC9C2C0" w14:textId="77777777" w:rsidTr="002B0590">
        <w:tc>
          <w:tcPr>
            <w:tcW w:w="1624" w:type="dxa"/>
          </w:tcPr>
          <w:p w14:paraId="0DC0AB42" w14:textId="77777777" w:rsidR="00BE2CA7" w:rsidRPr="00440C76" w:rsidRDefault="00BE2CA7" w:rsidP="002B0590">
            <w:pPr>
              <w:spacing w:before="60" w:after="60"/>
              <w:ind w:left="57" w:right="57"/>
              <w:rPr>
                <w:lang w:val="fr-FR"/>
              </w:rPr>
            </w:pPr>
            <w:r w:rsidRPr="00440C76">
              <w:rPr>
                <w:lang w:val="fr-FR"/>
              </w:rPr>
              <w:t>3</w:t>
            </w:r>
          </w:p>
        </w:tc>
        <w:tc>
          <w:tcPr>
            <w:tcW w:w="4613" w:type="dxa"/>
          </w:tcPr>
          <w:p w14:paraId="3376ACA3" w14:textId="77777777" w:rsidR="00BE2CA7" w:rsidRPr="00440C76" w:rsidRDefault="00BE2CA7" w:rsidP="002B0590">
            <w:pPr>
              <w:spacing w:before="60" w:after="60"/>
              <w:ind w:left="57" w:right="57"/>
              <w:rPr>
                <w:lang w:val="fr-FR"/>
              </w:rPr>
            </w:pPr>
            <w:r w:rsidRPr="00440C76">
              <w:rPr>
                <w:lang w:val="fr-FR"/>
              </w:rPr>
              <w:t xml:space="preserve">50 </w:t>
            </w:r>
            <w:r w:rsidRPr="00440C76">
              <w:rPr>
                <w:lang w:val="fr-FR"/>
              </w:rPr>
              <w:sym w:font="Symbol" w:char="F0B1"/>
            </w:r>
            <w:r>
              <w:rPr>
                <w:lang w:val="fr-FR"/>
              </w:rPr>
              <w:t xml:space="preserve"> </w:t>
            </w:r>
            <w:r w:rsidRPr="00440C76">
              <w:rPr>
                <w:lang w:val="fr-FR"/>
              </w:rPr>
              <w:t>2 (troisième rapport ou « drive »)</w:t>
            </w:r>
          </w:p>
        </w:tc>
      </w:tr>
    </w:tbl>
    <w:p w14:paraId="59414246" w14:textId="77777777" w:rsidR="00BE2CA7" w:rsidRPr="00440C76" w:rsidRDefault="00BE2CA7" w:rsidP="00BE2CA7">
      <w:pPr>
        <w:pStyle w:val="SingleTxtG"/>
        <w:spacing w:after="0" w:line="240" w:lineRule="auto"/>
        <w:rPr>
          <w:lang w:val="fr-FR"/>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4"/>
        <w:gridCol w:w="4613"/>
      </w:tblGrid>
      <w:tr w:rsidR="00BE2CA7" w:rsidRPr="00440C76" w14:paraId="7750A56E" w14:textId="77777777" w:rsidTr="002B0590">
        <w:tc>
          <w:tcPr>
            <w:tcW w:w="1624" w:type="dxa"/>
            <w:vAlign w:val="bottom"/>
          </w:tcPr>
          <w:p w14:paraId="37986174" w14:textId="77777777" w:rsidR="00BE2CA7" w:rsidRPr="00440C76" w:rsidRDefault="00BE2CA7" w:rsidP="002B0590">
            <w:pPr>
              <w:spacing w:before="60" w:after="60" w:line="200" w:lineRule="exact"/>
              <w:ind w:left="57" w:right="57"/>
              <w:rPr>
                <w:i/>
                <w:sz w:val="16"/>
                <w:szCs w:val="16"/>
                <w:lang w:val="fr-FR"/>
              </w:rPr>
            </w:pPr>
            <w:r w:rsidRPr="00440C76">
              <w:rPr>
                <w:i/>
                <w:sz w:val="16"/>
                <w:szCs w:val="16"/>
                <w:lang w:val="fr-FR"/>
              </w:rPr>
              <w:t>Numéro de condition</w:t>
            </w:r>
          </w:p>
        </w:tc>
        <w:tc>
          <w:tcPr>
            <w:tcW w:w="4613" w:type="dxa"/>
            <w:vAlign w:val="bottom"/>
          </w:tcPr>
          <w:p w14:paraId="6BDF79CD" w14:textId="77777777" w:rsidR="00BE2CA7" w:rsidRPr="00440C76" w:rsidRDefault="00BE2CA7" w:rsidP="002B0590">
            <w:pPr>
              <w:spacing w:before="60" w:after="60" w:line="200" w:lineRule="exact"/>
              <w:ind w:left="57" w:right="57"/>
              <w:rPr>
                <w:i/>
                <w:sz w:val="16"/>
                <w:szCs w:val="16"/>
                <w:lang w:val="fr-FR"/>
              </w:rPr>
            </w:pPr>
            <w:r w:rsidRPr="00440C76">
              <w:rPr>
                <w:i/>
                <w:sz w:val="16"/>
                <w:szCs w:val="16"/>
                <w:lang w:val="fr-FR"/>
              </w:rPr>
              <w:t>Puissance absorbée par le banc</w:t>
            </w:r>
          </w:p>
        </w:tc>
      </w:tr>
      <w:tr w:rsidR="00BE2CA7" w:rsidRPr="00440C76" w14:paraId="77859B82" w14:textId="77777777" w:rsidTr="002B0590">
        <w:tc>
          <w:tcPr>
            <w:tcW w:w="1624" w:type="dxa"/>
          </w:tcPr>
          <w:p w14:paraId="6BE765D1" w14:textId="77777777" w:rsidR="00BE2CA7" w:rsidRPr="00440C76" w:rsidRDefault="00BE2CA7" w:rsidP="002B0590">
            <w:pPr>
              <w:spacing w:before="60" w:after="60"/>
              <w:ind w:left="57" w:right="57"/>
              <w:rPr>
                <w:lang w:val="fr-FR"/>
              </w:rPr>
            </w:pPr>
            <w:r w:rsidRPr="00440C76">
              <w:rPr>
                <w:lang w:val="fr-FR"/>
              </w:rPr>
              <w:t>1</w:t>
            </w:r>
          </w:p>
        </w:tc>
        <w:tc>
          <w:tcPr>
            <w:tcW w:w="4613" w:type="dxa"/>
          </w:tcPr>
          <w:p w14:paraId="273A02AE" w14:textId="77777777" w:rsidR="00BE2CA7" w:rsidRPr="00440C76" w:rsidRDefault="00BE2CA7" w:rsidP="002B0590">
            <w:pPr>
              <w:spacing w:before="60" w:after="60"/>
              <w:ind w:left="57" w:right="57"/>
              <w:rPr>
                <w:lang w:val="fr-FR"/>
              </w:rPr>
            </w:pPr>
            <w:r w:rsidRPr="00440C76">
              <w:rPr>
                <w:lang w:val="fr-FR"/>
              </w:rPr>
              <w:t>Nulle</w:t>
            </w:r>
          </w:p>
        </w:tc>
      </w:tr>
      <w:tr w:rsidR="00BE2CA7" w:rsidRPr="00440C76" w14:paraId="661A67A0" w14:textId="77777777" w:rsidTr="002B0590">
        <w:tc>
          <w:tcPr>
            <w:tcW w:w="1624" w:type="dxa"/>
          </w:tcPr>
          <w:p w14:paraId="5BABC34F" w14:textId="77777777" w:rsidR="00BE2CA7" w:rsidRPr="00440C76" w:rsidRDefault="00BE2CA7" w:rsidP="002B0590">
            <w:pPr>
              <w:spacing w:before="60" w:after="60"/>
              <w:ind w:left="57" w:right="57"/>
              <w:rPr>
                <w:lang w:val="fr-FR"/>
              </w:rPr>
            </w:pPr>
            <w:r w:rsidRPr="00440C76">
              <w:rPr>
                <w:lang w:val="fr-FR"/>
              </w:rPr>
              <w:t>2</w:t>
            </w:r>
          </w:p>
        </w:tc>
        <w:tc>
          <w:tcPr>
            <w:tcW w:w="4613" w:type="dxa"/>
          </w:tcPr>
          <w:p w14:paraId="67709BEB" w14:textId="77777777" w:rsidR="00BE2CA7" w:rsidRPr="00440C76" w:rsidRDefault="00BE2CA7" w:rsidP="002B0590">
            <w:pPr>
              <w:spacing w:before="60" w:after="60"/>
              <w:ind w:left="57" w:right="57"/>
              <w:rPr>
                <w:lang w:val="fr-FR"/>
              </w:rPr>
            </w:pPr>
            <w:r w:rsidRPr="00440C76">
              <w:rPr>
                <w:lang w:val="fr-FR"/>
              </w:rPr>
              <w:t>Correspond au réglage pour l</w:t>
            </w:r>
            <w:r>
              <w:rPr>
                <w:lang w:val="fr-FR"/>
              </w:rPr>
              <w:t>’</w:t>
            </w:r>
            <w:r w:rsidRPr="00440C76">
              <w:rPr>
                <w:lang w:val="fr-FR"/>
              </w:rPr>
              <w:t>essai de type</w:t>
            </w:r>
            <w:r>
              <w:rPr>
                <w:lang w:val="fr-FR"/>
              </w:rPr>
              <w:t> </w:t>
            </w:r>
            <w:r w:rsidRPr="00440C76">
              <w:rPr>
                <w:lang w:val="fr-FR"/>
              </w:rPr>
              <w:t>1, tel que décrit dans le Règlement ONU n</w:t>
            </w:r>
            <w:r w:rsidRPr="00440C76">
              <w:rPr>
                <w:vertAlign w:val="superscript"/>
                <w:lang w:val="fr-FR"/>
              </w:rPr>
              <w:t>o</w:t>
            </w:r>
            <w:r w:rsidRPr="00440C76">
              <w:rPr>
                <w:lang w:val="fr-FR"/>
              </w:rPr>
              <w:t> 154, à 50 km/h</w:t>
            </w:r>
          </w:p>
        </w:tc>
      </w:tr>
      <w:tr w:rsidR="00BE2CA7" w:rsidRPr="00440C76" w14:paraId="0AE050BB" w14:textId="77777777" w:rsidTr="002B0590">
        <w:tc>
          <w:tcPr>
            <w:tcW w:w="1624" w:type="dxa"/>
          </w:tcPr>
          <w:p w14:paraId="1E065C7D" w14:textId="77777777" w:rsidR="00BE2CA7" w:rsidRPr="00440C76" w:rsidRDefault="00BE2CA7" w:rsidP="002B0590">
            <w:pPr>
              <w:spacing w:before="60" w:after="60"/>
              <w:ind w:left="57" w:right="57"/>
              <w:rPr>
                <w:lang w:val="fr-FR"/>
              </w:rPr>
            </w:pPr>
            <w:r w:rsidRPr="00440C76">
              <w:rPr>
                <w:lang w:val="fr-FR"/>
              </w:rPr>
              <w:t>3</w:t>
            </w:r>
          </w:p>
        </w:tc>
        <w:tc>
          <w:tcPr>
            <w:tcW w:w="4613" w:type="dxa"/>
          </w:tcPr>
          <w:p w14:paraId="7516E872" w14:textId="77777777" w:rsidR="00BE2CA7" w:rsidRPr="00440C76" w:rsidRDefault="00BE2CA7" w:rsidP="002B0590">
            <w:pPr>
              <w:spacing w:before="60" w:after="60"/>
              <w:ind w:left="57" w:right="57"/>
              <w:rPr>
                <w:lang w:val="fr-FR"/>
              </w:rPr>
            </w:pPr>
            <w:r w:rsidRPr="00440C76">
              <w:rPr>
                <w:lang w:val="fr-FR"/>
              </w:rPr>
              <w:t>Condition n</w:t>
            </w:r>
            <w:r w:rsidRPr="00440C76">
              <w:rPr>
                <w:vertAlign w:val="superscript"/>
                <w:lang w:val="fr-FR"/>
              </w:rPr>
              <w:t>o</w:t>
            </w:r>
            <w:r w:rsidRPr="00440C76">
              <w:rPr>
                <w:lang w:val="fr-FR"/>
              </w:rPr>
              <w:t> 2 multipliée par 1,7</w:t>
            </w:r>
          </w:p>
        </w:tc>
      </w:tr>
    </w:tbl>
    <w:p w14:paraId="5A85DE63" w14:textId="77777777" w:rsidR="00BE2CA7" w:rsidRPr="00440C76" w:rsidRDefault="00BE2CA7" w:rsidP="00C16E7D">
      <w:pPr>
        <w:pStyle w:val="SingleTxtG"/>
        <w:keepNext/>
        <w:spacing w:before="120"/>
        <w:ind w:left="2268" w:hanging="1134"/>
        <w:rPr>
          <w:lang w:val="fr-FR"/>
        </w:rPr>
      </w:pPr>
      <w:r w:rsidRPr="00440C76">
        <w:rPr>
          <w:lang w:val="fr-FR"/>
        </w:rPr>
        <w:t>3.3</w:t>
      </w:r>
      <w:r w:rsidRPr="00440C76">
        <w:rPr>
          <w:lang w:val="fr-FR"/>
        </w:rPr>
        <w:tab/>
      </w:r>
      <w:r w:rsidRPr="00440C76">
        <w:rPr>
          <w:lang w:val="fr-FR"/>
        </w:rPr>
        <w:tab/>
        <w:t>Prescriptions supplémentaires relatives aux véhicules électriques hybrides</w:t>
      </w:r>
    </w:p>
    <w:p w14:paraId="5CB16E9B" w14:textId="77777777" w:rsidR="00BE2CA7" w:rsidRPr="00440C76" w:rsidRDefault="00BE2CA7" w:rsidP="00BE2CA7">
      <w:pPr>
        <w:pStyle w:val="SingleTxtG"/>
        <w:ind w:left="2268" w:hanging="1134"/>
        <w:rPr>
          <w:lang w:val="fr-FR"/>
        </w:rPr>
      </w:pPr>
      <w:r w:rsidRPr="00440C76">
        <w:rPr>
          <w:lang w:val="fr-FR"/>
        </w:rPr>
        <w:t>3.3.1</w:t>
      </w:r>
      <w:r w:rsidRPr="00440C76">
        <w:rPr>
          <w:lang w:val="fr-FR"/>
        </w:rPr>
        <w:tab/>
        <w:t>Le véhicule doit être soumis aux essais alors que leur moteur thermique fonctionne. Le constructeur doit définir un « mode de service » rendant possible l</w:t>
      </w:r>
      <w:r>
        <w:rPr>
          <w:lang w:val="fr-FR"/>
        </w:rPr>
        <w:t>’</w:t>
      </w:r>
      <w:r w:rsidRPr="00440C76">
        <w:rPr>
          <w:lang w:val="fr-FR"/>
        </w:rPr>
        <w:t>exécution de cet essai.</w:t>
      </w:r>
    </w:p>
    <w:p w14:paraId="1DED06B4" w14:textId="77777777" w:rsidR="00BE2CA7" w:rsidRPr="00440C76" w:rsidRDefault="00BE2CA7" w:rsidP="00BE2CA7">
      <w:pPr>
        <w:pStyle w:val="SingleTxtG"/>
        <w:ind w:left="2268" w:hanging="1134"/>
        <w:rPr>
          <w:lang w:val="fr-FR"/>
        </w:rPr>
      </w:pPr>
      <w:r w:rsidRPr="00440C76">
        <w:rPr>
          <w:lang w:val="fr-FR"/>
        </w:rPr>
        <w:lastRenderedPageBreak/>
        <w:t>3.3.2</w:t>
      </w:r>
      <w:r w:rsidRPr="00440C76">
        <w:rPr>
          <w:lang w:val="fr-FR"/>
        </w:rPr>
        <w:tab/>
        <w:t>Les essais ne doivent être effectués que pour les conditions</w:t>
      </w:r>
      <w:r>
        <w:rPr>
          <w:lang w:val="fr-FR"/>
        </w:rPr>
        <w:t> </w:t>
      </w:r>
      <w:r w:rsidRPr="00440C76">
        <w:rPr>
          <w:lang w:val="fr-FR"/>
        </w:rPr>
        <w:t>1 et 2 du paragraphe</w:t>
      </w:r>
      <w:r>
        <w:rPr>
          <w:lang w:val="fr-FR"/>
        </w:rPr>
        <w:t> </w:t>
      </w:r>
      <w:r w:rsidRPr="00440C76">
        <w:rPr>
          <w:lang w:val="fr-FR"/>
        </w:rPr>
        <w:t>3.2. Si, pour une raison quelconque, il n</w:t>
      </w:r>
      <w:r>
        <w:rPr>
          <w:lang w:val="fr-FR"/>
        </w:rPr>
        <w:t>’</w:t>
      </w:r>
      <w:r w:rsidRPr="00440C76">
        <w:rPr>
          <w:lang w:val="fr-FR"/>
        </w:rPr>
        <w:t>est pas possible d</w:t>
      </w:r>
      <w:r>
        <w:rPr>
          <w:lang w:val="fr-FR"/>
        </w:rPr>
        <w:t>’</w:t>
      </w:r>
      <w:r w:rsidRPr="00440C76">
        <w:rPr>
          <w:lang w:val="fr-FR"/>
        </w:rPr>
        <w:t>effectuer un essai pour la condition</w:t>
      </w:r>
      <w:r>
        <w:rPr>
          <w:lang w:val="fr-FR"/>
        </w:rPr>
        <w:t> </w:t>
      </w:r>
      <w:r w:rsidRPr="00440C76">
        <w:rPr>
          <w:lang w:val="fr-FR"/>
        </w:rPr>
        <w:t>2, on doit procéder à un autre essai à une autre vitesse constante (avec le moteur thermique fonctionnant en charge).</w:t>
      </w:r>
    </w:p>
    <w:p w14:paraId="2926EB6D" w14:textId="77777777" w:rsidR="00BE2CA7" w:rsidRPr="00440C76" w:rsidRDefault="00BE2CA7" w:rsidP="00BE2CA7">
      <w:pPr>
        <w:pStyle w:val="SingleTxtG"/>
        <w:ind w:left="2268" w:hanging="1134"/>
        <w:rPr>
          <w:lang w:val="fr-FR"/>
        </w:rPr>
      </w:pPr>
      <w:r w:rsidRPr="00440C76">
        <w:rPr>
          <w:lang w:val="fr-FR"/>
        </w:rPr>
        <w:t>4.</w:t>
      </w:r>
      <w:r w:rsidRPr="00440C76">
        <w:rPr>
          <w:lang w:val="fr-FR"/>
        </w:rPr>
        <w:tab/>
        <w:t>Méthode d</w:t>
      </w:r>
      <w:r>
        <w:rPr>
          <w:lang w:val="fr-FR"/>
        </w:rPr>
        <w:t>’</w:t>
      </w:r>
      <w:r w:rsidRPr="00440C76">
        <w:rPr>
          <w:lang w:val="fr-FR"/>
        </w:rPr>
        <w:t>essai</w:t>
      </w:r>
    </w:p>
    <w:p w14:paraId="55228BBD" w14:textId="77777777" w:rsidR="00BE2CA7" w:rsidRPr="00440C76" w:rsidRDefault="00BE2CA7" w:rsidP="00BE2CA7">
      <w:pPr>
        <w:pStyle w:val="SingleTxtG"/>
        <w:ind w:left="2268" w:hanging="1134"/>
        <w:rPr>
          <w:lang w:val="fr-FR"/>
        </w:rPr>
      </w:pPr>
      <w:r w:rsidRPr="00440C76">
        <w:rPr>
          <w:lang w:val="fr-FR"/>
        </w:rPr>
        <w:t>4.1</w:t>
      </w:r>
      <w:r w:rsidRPr="00440C76">
        <w:rPr>
          <w:lang w:val="fr-FR"/>
        </w:rPr>
        <w:tab/>
        <w:t>Dans les conditions de fonctionnement définies au paragraphe</w:t>
      </w:r>
      <w:r>
        <w:rPr>
          <w:lang w:val="fr-FR"/>
        </w:rPr>
        <w:t> </w:t>
      </w:r>
      <w:r w:rsidRPr="00440C76">
        <w:rPr>
          <w:lang w:val="fr-FR"/>
        </w:rPr>
        <w:t xml:space="preserve">3.2 de la présente annexe, on doit vérifier que le système de </w:t>
      </w:r>
      <w:proofErr w:type="spellStart"/>
      <w:r w:rsidRPr="00440C76">
        <w:rPr>
          <w:lang w:val="fr-FR"/>
        </w:rPr>
        <w:t>réaspiration</w:t>
      </w:r>
      <w:proofErr w:type="spellEnd"/>
      <w:r w:rsidRPr="00440C76">
        <w:rPr>
          <w:lang w:val="fr-FR"/>
        </w:rPr>
        <w:t xml:space="preserve"> des gaz de carter remplit efficacement sa fonction.</w:t>
      </w:r>
    </w:p>
    <w:p w14:paraId="2957B504" w14:textId="77777777" w:rsidR="00BE2CA7" w:rsidRPr="00440C76" w:rsidRDefault="00BE2CA7" w:rsidP="00BE2CA7">
      <w:pPr>
        <w:pStyle w:val="SingleTxtG"/>
        <w:ind w:left="2268" w:hanging="1134"/>
        <w:rPr>
          <w:lang w:val="fr-FR"/>
        </w:rPr>
      </w:pPr>
      <w:r w:rsidRPr="00440C76">
        <w:rPr>
          <w:lang w:val="fr-FR"/>
        </w:rPr>
        <w:t>5.</w:t>
      </w:r>
      <w:r w:rsidRPr="00440C76">
        <w:rPr>
          <w:lang w:val="fr-FR"/>
        </w:rPr>
        <w:tab/>
        <w:t xml:space="preserve">Méthode de contrôle du fonctionnement du système de </w:t>
      </w:r>
      <w:proofErr w:type="spellStart"/>
      <w:r w:rsidRPr="00440C76">
        <w:rPr>
          <w:lang w:val="fr-FR"/>
        </w:rPr>
        <w:t>réaspiration</w:t>
      </w:r>
      <w:proofErr w:type="spellEnd"/>
      <w:r w:rsidRPr="00440C76">
        <w:rPr>
          <w:lang w:val="fr-FR"/>
        </w:rPr>
        <w:t xml:space="preserve"> des gaz de carter</w:t>
      </w:r>
    </w:p>
    <w:p w14:paraId="24C82EC0" w14:textId="77777777" w:rsidR="00BE2CA7" w:rsidRPr="00440C76" w:rsidRDefault="00BE2CA7" w:rsidP="00BE2CA7">
      <w:pPr>
        <w:pStyle w:val="SingleTxtG"/>
        <w:ind w:left="2268" w:hanging="1134"/>
        <w:rPr>
          <w:lang w:val="fr-FR"/>
        </w:rPr>
      </w:pPr>
      <w:r w:rsidRPr="00440C76">
        <w:rPr>
          <w:lang w:val="fr-FR"/>
        </w:rPr>
        <w:t>5.1</w:t>
      </w:r>
      <w:r w:rsidRPr="00440C76">
        <w:rPr>
          <w:lang w:val="fr-FR"/>
        </w:rPr>
        <w:tab/>
        <w:t>Tous les orifices du moteur doivent être laissés dans l</w:t>
      </w:r>
      <w:r>
        <w:rPr>
          <w:lang w:val="fr-FR"/>
        </w:rPr>
        <w:t>’</w:t>
      </w:r>
      <w:r w:rsidRPr="00440C76">
        <w:rPr>
          <w:lang w:val="fr-FR"/>
        </w:rPr>
        <w:t>état où ils sont.</w:t>
      </w:r>
    </w:p>
    <w:p w14:paraId="2EB63C7D" w14:textId="77777777" w:rsidR="00BE2CA7" w:rsidRPr="00440C76" w:rsidRDefault="00BE2CA7" w:rsidP="00BE2CA7">
      <w:pPr>
        <w:pStyle w:val="SingleTxtG"/>
        <w:ind w:left="2268" w:hanging="1134"/>
        <w:rPr>
          <w:lang w:val="fr-FR"/>
        </w:rPr>
      </w:pPr>
      <w:r w:rsidRPr="00440C76">
        <w:rPr>
          <w:lang w:val="fr-FR"/>
        </w:rPr>
        <w:t>5.2</w:t>
      </w:r>
      <w:r w:rsidRPr="00440C76">
        <w:rPr>
          <w:lang w:val="fr-FR"/>
        </w:rPr>
        <w:tab/>
        <w:t xml:space="preserve">La pression dans le carter doit être mesurée en un point approprié. </w:t>
      </w:r>
      <w:r>
        <w:rPr>
          <w:lang w:val="fr-FR"/>
        </w:rPr>
        <w:t>Il est recommandé de</w:t>
      </w:r>
      <w:r w:rsidRPr="00440C76">
        <w:rPr>
          <w:lang w:val="fr-FR"/>
        </w:rPr>
        <w:t xml:space="preserve"> la mesurer</w:t>
      </w:r>
      <w:r>
        <w:rPr>
          <w:lang w:val="fr-FR"/>
        </w:rPr>
        <w:t xml:space="preserve"> </w:t>
      </w:r>
      <w:r w:rsidRPr="00440C76">
        <w:rPr>
          <w:lang w:val="fr-FR"/>
        </w:rPr>
        <w:t>par le trou de jauge</w:t>
      </w:r>
      <w:r>
        <w:rPr>
          <w:lang w:val="fr-FR"/>
        </w:rPr>
        <w:t>, si possible</w:t>
      </w:r>
      <w:r w:rsidRPr="00440C76">
        <w:rPr>
          <w:lang w:val="fr-FR"/>
        </w:rPr>
        <w:t>.</w:t>
      </w:r>
    </w:p>
    <w:p w14:paraId="203B5EDB" w14:textId="77777777" w:rsidR="00BE2CA7" w:rsidRPr="00440C76" w:rsidRDefault="00BE2CA7" w:rsidP="00BE2CA7">
      <w:pPr>
        <w:pStyle w:val="SingleTxtG"/>
        <w:ind w:left="2268" w:hanging="1134"/>
        <w:rPr>
          <w:lang w:val="fr-FR"/>
        </w:rPr>
      </w:pPr>
      <w:r w:rsidRPr="00440C76">
        <w:rPr>
          <w:lang w:val="fr-FR"/>
        </w:rPr>
        <w:t>5.3</w:t>
      </w:r>
      <w:r w:rsidRPr="00440C76">
        <w:rPr>
          <w:lang w:val="fr-FR"/>
        </w:rPr>
        <w:tab/>
        <w:t>Le véhicule est jugé conforme si dans toutes les conditions de mesure définies au paragraphe</w:t>
      </w:r>
      <w:r>
        <w:rPr>
          <w:lang w:val="fr-FR"/>
        </w:rPr>
        <w:t> </w:t>
      </w:r>
      <w:r w:rsidRPr="00440C76">
        <w:rPr>
          <w:lang w:val="fr-FR"/>
        </w:rPr>
        <w:t>3.2 de la présente annexe, la pression mesurée dans le carter ne dépasse pas la valeur de la pression atmosphérique au moment de la mesure.</w:t>
      </w:r>
    </w:p>
    <w:p w14:paraId="20B2AA10" w14:textId="77777777" w:rsidR="00BE2CA7" w:rsidRPr="00440C76" w:rsidRDefault="00BE2CA7" w:rsidP="00BE2CA7">
      <w:pPr>
        <w:pStyle w:val="SingleTxtG"/>
        <w:ind w:left="2268" w:hanging="1134"/>
        <w:rPr>
          <w:lang w:val="fr-FR"/>
        </w:rPr>
      </w:pPr>
      <w:r w:rsidRPr="00440C76">
        <w:rPr>
          <w:lang w:val="fr-FR"/>
        </w:rPr>
        <w:t>5.4</w:t>
      </w:r>
      <w:r w:rsidRPr="00440C76">
        <w:rPr>
          <w:lang w:val="fr-FR"/>
        </w:rPr>
        <w:tab/>
        <w:t>Pour l</w:t>
      </w:r>
      <w:r>
        <w:rPr>
          <w:lang w:val="fr-FR"/>
        </w:rPr>
        <w:t>’</w:t>
      </w:r>
      <w:r w:rsidRPr="00440C76">
        <w:rPr>
          <w:lang w:val="fr-FR"/>
        </w:rPr>
        <w:t>essai exécuté selon la méthode décrite ci-dessus, la pression dans le collecteur d</w:t>
      </w:r>
      <w:r>
        <w:rPr>
          <w:lang w:val="fr-FR"/>
        </w:rPr>
        <w:t>’</w:t>
      </w:r>
      <w:r w:rsidRPr="00440C76">
        <w:rPr>
          <w:lang w:val="fr-FR"/>
        </w:rPr>
        <w:t>admission doit être mesurée à 1 kPa près.</w:t>
      </w:r>
    </w:p>
    <w:p w14:paraId="0132EBA0" w14:textId="77777777" w:rsidR="00BE2CA7" w:rsidRPr="00440C76" w:rsidRDefault="00BE2CA7" w:rsidP="00BE2CA7">
      <w:pPr>
        <w:pStyle w:val="SingleTxtG"/>
        <w:ind w:left="2268" w:hanging="1134"/>
        <w:rPr>
          <w:lang w:val="fr-FR"/>
        </w:rPr>
      </w:pPr>
      <w:r w:rsidRPr="00440C76">
        <w:rPr>
          <w:lang w:val="fr-FR"/>
        </w:rPr>
        <w:t>5.5</w:t>
      </w:r>
      <w:r w:rsidRPr="00440C76">
        <w:rPr>
          <w:lang w:val="fr-FR"/>
        </w:rPr>
        <w:tab/>
        <w:t>La vitesse du véhicule, mesurée sur le banc dynamométrique, doit être déterminée à 2 km/h près.</w:t>
      </w:r>
    </w:p>
    <w:p w14:paraId="19861B5D" w14:textId="77777777" w:rsidR="00BE2CA7" w:rsidRPr="00440C76" w:rsidRDefault="00BE2CA7" w:rsidP="00BE2CA7">
      <w:pPr>
        <w:pStyle w:val="SingleTxtG"/>
        <w:ind w:left="2268" w:hanging="1134"/>
        <w:rPr>
          <w:lang w:val="fr-FR"/>
        </w:rPr>
      </w:pPr>
      <w:r w:rsidRPr="00440C76">
        <w:rPr>
          <w:lang w:val="fr-FR"/>
        </w:rPr>
        <w:t>5.6</w:t>
      </w:r>
      <w:r w:rsidRPr="00440C76">
        <w:rPr>
          <w:lang w:val="fr-FR"/>
        </w:rPr>
        <w:tab/>
        <w:t>La pression mesurée dans le carter doit être déterminée à 0,01 kPa près.</w:t>
      </w:r>
    </w:p>
    <w:p w14:paraId="48D48824" w14:textId="77777777" w:rsidR="00BE2CA7" w:rsidRPr="00440C76" w:rsidRDefault="00BE2CA7" w:rsidP="00BE2CA7">
      <w:pPr>
        <w:pStyle w:val="SingleTxtG"/>
        <w:ind w:left="2268" w:hanging="1134"/>
        <w:rPr>
          <w:lang w:val="fr-FR"/>
        </w:rPr>
      </w:pPr>
      <w:r w:rsidRPr="00440C76">
        <w:rPr>
          <w:lang w:val="fr-FR"/>
        </w:rPr>
        <w:t>5.7</w:t>
      </w:r>
      <w:r w:rsidRPr="00440C76">
        <w:rPr>
          <w:lang w:val="fr-FR"/>
        </w:rPr>
        <w:tab/>
        <w:t>Si, pour une des conditions de mesure définies au paragraphe</w:t>
      </w:r>
      <w:r>
        <w:rPr>
          <w:lang w:val="fr-FR"/>
        </w:rPr>
        <w:t> </w:t>
      </w:r>
      <w:r w:rsidRPr="00440C76">
        <w:rPr>
          <w:lang w:val="fr-FR"/>
        </w:rPr>
        <w:t>3.2 de la présente annexe, la pression mesurée dans le carter dépasse la pression atmosphérique, on procède, si le constructeur le demande, à l</w:t>
      </w:r>
      <w:r>
        <w:rPr>
          <w:lang w:val="fr-FR"/>
        </w:rPr>
        <w:t>’</w:t>
      </w:r>
      <w:r w:rsidRPr="00440C76">
        <w:rPr>
          <w:lang w:val="fr-FR"/>
        </w:rPr>
        <w:t>essai complémentaire défini au paragraphe</w:t>
      </w:r>
      <w:r>
        <w:rPr>
          <w:lang w:val="fr-FR"/>
        </w:rPr>
        <w:t> </w:t>
      </w:r>
      <w:r w:rsidRPr="00440C76">
        <w:rPr>
          <w:lang w:val="fr-FR"/>
        </w:rPr>
        <w:t>6 de la présente annexe.</w:t>
      </w:r>
    </w:p>
    <w:p w14:paraId="1C77ABC1" w14:textId="77777777" w:rsidR="00BE2CA7" w:rsidRPr="00440C76" w:rsidRDefault="00BE2CA7" w:rsidP="00BE2CA7">
      <w:pPr>
        <w:pStyle w:val="SingleTxtG"/>
        <w:ind w:left="2268" w:hanging="1134"/>
        <w:rPr>
          <w:lang w:val="fr-FR"/>
        </w:rPr>
      </w:pPr>
      <w:r w:rsidRPr="00440C76">
        <w:rPr>
          <w:lang w:val="fr-FR"/>
        </w:rPr>
        <w:t>6.</w:t>
      </w:r>
      <w:r w:rsidRPr="00440C76">
        <w:rPr>
          <w:lang w:val="fr-FR"/>
        </w:rPr>
        <w:tab/>
        <w:t>Méthode d</w:t>
      </w:r>
      <w:r>
        <w:rPr>
          <w:lang w:val="fr-FR"/>
        </w:rPr>
        <w:t>’</w:t>
      </w:r>
      <w:r w:rsidRPr="00440C76">
        <w:rPr>
          <w:lang w:val="fr-FR"/>
        </w:rPr>
        <w:t>essai complémentaire</w:t>
      </w:r>
    </w:p>
    <w:p w14:paraId="3604BEAA" w14:textId="77777777" w:rsidR="00BE2CA7" w:rsidRPr="00440C76" w:rsidRDefault="00BE2CA7" w:rsidP="00BE2CA7">
      <w:pPr>
        <w:pStyle w:val="SingleTxtG"/>
        <w:ind w:left="2268" w:hanging="1134"/>
        <w:rPr>
          <w:lang w:val="fr-FR"/>
        </w:rPr>
      </w:pPr>
      <w:r w:rsidRPr="00440C76">
        <w:rPr>
          <w:lang w:val="fr-FR"/>
        </w:rPr>
        <w:t>6.1</w:t>
      </w:r>
      <w:r w:rsidRPr="00440C76">
        <w:rPr>
          <w:lang w:val="fr-FR"/>
        </w:rPr>
        <w:tab/>
        <w:t>Les orifices du moteur doivent être laissés en l</w:t>
      </w:r>
      <w:r>
        <w:rPr>
          <w:lang w:val="fr-FR"/>
        </w:rPr>
        <w:t>’</w:t>
      </w:r>
      <w:r w:rsidRPr="00440C76">
        <w:rPr>
          <w:lang w:val="fr-FR"/>
        </w:rPr>
        <w:t>état où on les trouve.</w:t>
      </w:r>
    </w:p>
    <w:p w14:paraId="6F135865" w14:textId="77777777" w:rsidR="00BE2CA7" w:rsidRPr="00440C76" w:rsidRDefault="00BE2CA7" w:rsidP="00BE2CA7">
      <w:pPr>
        <w:pStyle w:val="SingleTxtG"/>
        <w:ind w:left="2268" w:hanging="1134"/>
        <w:rPr>
          <w:lang w:val="fr-FR"/>
        </w:rPr>
      </w:pPr>
      <w:r w:rsidRPr="00440C76">
        <w:rPr>
          <w:lang w:val="fr-FR"/>
        </w:rPr>
        <w:t>6.2</w:t>
      </w:r>
      <w:r w:rsidRPr="00440C76">
        <w:rPr>
          <w:lang w:val="fr-FR"/>
        </w:rPr>
        <w:tab/>
        <w:t>Un sac souple, imperméable aux gaz de carter et ayant une capacité d</w:t>
      </w:r>
      <w:r>
        <w:rPr>
          <w:lang w:val="fr-FR"/>
        </w:rPr>
        <w:t>’</w:t>
      </w:r>
      <w:r w:rsidRPr="00440C76">
        <w:rPr>
          <w:lang w:val="fr-FR"/>
        </w:rPr>
        <w:t>environ 5 l doit être raccordé à l</w:t>
      </w:r>
      <w:r>
        <w:rPr>
          <w:lang w:val="fr-FR"/>
        </w:rPr>
        <w:t>’</w:t>
      </w:r>
      <w:r w:rsidRPr="00440C76">
        <w:rPr>
          <w:lang w:val="fr-FR"/>
        </w:rPr>
        <w:t>orifice de la jauge à huile. Ce sac doit être vide avant chaque mesure.</w:t>
      </w:r>
    </w:p>
    <w:p w14:paraId="54331652" w14:textId="77777777" w:rsidR="00BE2CA7" w:rsidRPr="00440C76" w:rsidRDefault="00BE2CA7" w:rsidP="00BE2CA7">
      <w:pPr>
        <w:pStyle w:val="SingleTxtG"/>
        <w:ind w:left="2268" w:hanging="1134"/>
        <w:rPr>
          <w:lang w:val="fr-FR"/>
        </w:rPr>
      </w:pPr>
      <w:r w:rsidRPr="00440C76">
        <w:rPr>
          <w:lang w:val="fr-FR"/>
        </w:rPr>
        <w:t>6.3</w:t>
      </w:r>
      <w:r w:rsidRPr="00440C76">
        <w:rPr>
          <w:lang w:val="fr-FR"/>
        </w:rPr>
        <w:tab/>
        <w:t>Avant chaque mesure, le sac doit être obturé. Il doit être mis en communication avec le carter pendant 5 min pour chaque condition de mesure prescrite au paragraphe</w:t>
      </w:r>
      <w:r>
        <w:rPr>
          <w:lang w:val="fr-FR"/>
        </w:rPr>
        <w:t> </w:t>
      </w:r>
      <w:r w:rsidRPr="00440C76">
        <w:rPr>
          <w:lang w:val="fr-FR"/>
        </w:rPr>
        <w:t>3.2 de la présente annexe.</w:t>
      </w:r>
    </w:p>
    <w:p w14:paraId="46EC3CE7" w14:textId="77777777" w:rsidR="00BE2CA7" w:rsidRPr="00440C76" w:rsidRDefault="00BE2CA7" w:rsidP="00BE2CA7">
      <w:pPr>
        <w:pStyle w:val="SingleTxtG"/>
        <w:ind w:left="2268" w:hanging="1134"/>
        <w:rPr>
          <w:lang w:val="fr-FR"/>
        </w:rPr>
      </w:pPr>
      <w:r w:rsidRPr="00440C76">
        <w:rPr>
          <w:lang w:val="fr-FR"/>
        </w:rPr>
        <w:t>6.4</w:t>
      </w:r>
      <w:r w:rsidRPr="00440C76">
        <w:rPr>
          <w:lang w:val="fr-FR"/>
        </w:rPr>
        <w:tab/>
        <w:t>Le véhicule est considéré comme satisfaisant si, pour toutes les conditions de mesure prescrites au paragraphe</w:t>
      </w:r>
      <w:r>
        <w:rPr>
          <w:lang w:val="fr-FR"/>
        </w:rPr>
        <w:t> </w:t>
      </w:r>
      <w:r w:rsidRPr="00440C76">
        <w:rPr>
          <w:lang w:val="fr-FR"/>
        </w:rPr>
        <w:t>3.2 de la présente annexe, aucun gonflement visible du sac ne se produit.</w:t>
      </w:r>
    </w:p>
    <w:p w14:paraId="6FE94015" w14:textId="77777777" w:rsidR="00BE2CA7" w:rsidRPr="00440C76" w:rsidRDefault="00BE2CA7" w:rsidP="00BE2CA7">
      <w:pPr>
        <w:pStyle w:val="SingleTxtG"/>
        <w:ind w:left="2268" w:hanging="1134"/>
        <w:rPr>
          <w:lang w:val="fr-FR"/>
        </w:rPr>
      </w:pPr>
      <w:r w:rsidRPr="00440C76">
        <w:rPr>
          <w:lang w:val="fr-FR"/>
        </w:rPr>
        <w:t>6.5</w:t>
      </w:r>
      <w:r w:rsidRPr="00440C76">
        <w:rPr>
          <w:lang w:val="fr-FR"/>
        </w:rPr>
        <w:tab/>
        <w:t>Remarque</w:t>
      </w:r>
    </w:p>
    <w:p w14:paraId="624C617C" w14:textId="77777777" w:rsidR="00BE2CA7" w:rsidRPr="00440C76" w:rsidRDefault="00BE2CA7" w:rsidP="00BE2CA7">
      <w:pPr>
        <w:pStyle w:val="SingleTxtG"/>
        <w:ind w:left="2268" w:hanging="1134"/>
        <w:rPr>
          <w:lang w:val="fr-FR"/>
        </w:rPr>
      </w:pPr>
      <w:r w:rsidRPr="00440C76">
        <w:rPr>
          <w:lang w:val="fr-FR"/>
        </w:rPr>
        <w:t>6.5.1</w:t>
      </w:r>
      <w:r w:rsidRPr="00440C76">
        <w:rPr>
          <w:lang w:val="fr-FR"/>
        </w:rPr>
        <w:tab/>
        <w:t>Si l</w:t>
      </w:r>
      <w:r>
        <w:rPr>
          <w:lang w:val="fr-FR"/>
        </w:rPr>
        <w:t>’</w:t>
      </w:r>
      <w:r w:rsidRPr="00440C76">
        <w:rPr>
          <w:lang w:val="fr-FR"/>
        </w:rPr>
        <w:t>architecture du moteur est telle qu</w:t>
      </w:r>
      <w:r>
        <w:rPr>
          <w:lang w:val="fr-FR"/>
        </w:rPr>
        <w:t>’</w:t>
      </w:r>
      <w:r w:rsidRPr="00440C76">
        <w:rPr>
          <w:lang w:val="fr-FR"/>
        </w:rPr>
        <w:t>il n</w:t>
      </w:r>
      <w:r>
        <w:rPr>
          <w:lang w:val="fr-FR"/>
        </w:rPr>
        <w:t>’</w:t>
      </w:r>
      <w:r w:rsidRPr="00440C76">
        <w:rPr>
          <w:lang w:val="fr-FR"/>
        </w:rPr>
        <w:t>est pas possible de réaliser l</w:t>
      </w:r>
      <w:r>
        <w:rPr>
          <w:lang w:val="fr-FR"/>
        </w:rPr>
        <w:t>’</w:t>
      </w:r>
      <w:r w:rsidRPr="00440C76">
        <w:rPr>
          <w:lang w:val="fr-FR"/>
        </w:rPr>
        <w:t>essai suivant la méthode prescrite aux paragraphes</w:t>
      </w:r>
      <w:r>
        <w:rPr>
          <w:lang w:val="fr-FR"/>
        </w:rPr>
        <w:t> </w:t>
      </w:r>
      <w:r w:rsidRPr="00440C76">
        <w:rPr>
          <w:lang w:val="fr-FR"/>
        </w:rPr>
        <w:t>6.1 à 6.4 de la présente annexe, les mesures doivent être effectuées suivant cette même méthode, mais avec les modifications suivantes :</w:t>
      </w:r>
    </w:p>
    <w:p w14:paraId="2744B5A1" w14:textId="77777777" w:rsidR="00BE2CA7" w:rsidRPr="00440C76" w:rsidRDefault="00BE2CA7" w:rsidP="00BE2CA7">
      <w:pPr>
        <w:pStyle w:val="SingleTxtG"/>
        <w:ind w:left="2268" w:hanging="1134"/>
        <w:rPr>
          <w:lang w:val="fr-FR"/>
        </w:rPr>
      </w:pPr>
      <w:r w:rsidRPr="00440C76">
        <w:rPr>
          <w:lang w:val="fr-FR"/>
        </w:rPr>
        <w:t>6.5.2</w:t>
      </w:r>
      <w:r w:rsidRPr="00440C76">
        <w:rPr>
          <w:lang w:val="fr-FR"/>
        </w:rPr>
        <w:tab/>
        <w:t>Avant l</w:t>
      </w:r>
      <w:r>
        <w:rPr>
          <w:lang w:val="fr-FR"/>
        </w:rPr>
        <w:t>’</w:t>
      </w:r>
      <w:r w:rsidRPr="00440C76">
        <w:rPr>
          <w:lang w:val="fr-FR"/>
        </w:rPr>
        <w:t>essai, tous les orifices autres que celui nécessaire à la récupération des gaz doivent être obturés ;</w:t>
      </w:r>
    </w:p>
    <w:p w14:paraId="11F8A454" w14:textId="77777777" w:rsidR="00BE2CA7" w:rsidRPr="00440C76" w:rsidRDefault="00BE2CA7" w:rsidP="00BE2CA7">
      <w:pPr>
        <w:pStyle w:val="SingleTxtG"/>
        <w:ind w:left="2268" w:hanging="1134"/>
        <w:rPr>
          <w:lang w:val="fr-FR"/>
        </w:rPr>
      </w:pPr>
      <w:r w:rsidRPr="00440C76">
        <w:rPr>
          <w:lang w:val="fr-FR"/>
        </w:rPr>
        <w:t>6.5.3</w:t>
      </w:r>
      <w:r w:rsidRPr="00440C76">
        <w:rPr>
          <w:lang w:val="fr-FR"/>
        </w:rPr>
        <w:tab/>
        <w:t>Le sac doit être placé sur une prise appropriée n</w:t>
      </w:r>
      <w:r>
        <w:rPr>
          <w:lang w:val="fr-FR"/>
        </w:rPr>
        <w:t>’</w:t>
      </w:r>
      <w:r w:rsidRPr="00440C76">
        <w:rPr>
          <w:lang w:val="fr-FR"/>
        </w:rPr>
        <w:t xml:space="preserve">introduisant pas de perte de charge supplémentaire et installée sur le circuit de </w:t>
      </w:r>
      <w:proofErr w:type="spellStart"/>
      <w:r w:rsidRPr="00440C76">
        <w:rPr>
          <w:lang w:val="fr-FR"/>
        </w:rPr>
        <w:t>réaspiration</w:t>
      </w:r>
      <w:proofErr w:type="spellEnd"/>
      <w:r w:rsidRPr="00440C76">
        <w:rPr>
          <w:lang w:val="fr-FR"/>
        </w:rPr>
        <w:t xml:space="preserve"> du dispositif, directement sur l</w:t>
      </w:r>
      <w:r>
        <w:rPr>
          <w:lang w:val="fr-FR"/>
        </w:rPr>
        <w:t>’</w:t>
      </w:r>
      <w:r w:rsidRPr="00440C76">
        <w:rPr>
          <w:lang w:val="fr-FR"/>
        </w:rPr>
        <w:t>orifice de branchement du moteur (voir le diagramme ci</w:t>
      </w:r>
      <w:r w:rsidRPr="00440C76">
        <w:rPr>
          <w:lang w:val="fr-FR"/>
        </w:rPr>
        <w:noBreakHyphen/>
        <w:t>dessous).</w:t>
      </w:r>
    </w:p>
    <w:p w14:paraId="0AC4DEE5" w14:textId="77777777" w:rsidR="00BE2CA7" w:rsidRDefault="00BE2CA7" w:rsidP="00BE2CA7">
      <w:pPr>
        <w:pStyle w:val="H23G"/>
        <w:rPr>
          <w:lang w:val="fr-FR"/>
        </w:rPr>
      </w:pPr>
      <w:r>
        <w:rPr>
          <w:lang w:val="fr-FR"/>
        </w:rPr>
        <w:lastRenderedPageBreak/>
        <w:tab/>
      </w:r>
      <w:r>
        <w:rPr>
          <w:lang w:val="fr-FR"/>
        </w:rPr>
        <w:tab/>
      </w:r>
      <w:r w:rsidRPr="00440C76">
        <w:rPr>
          <w:lang w:val="fr-FR"/>
        </w:rPr>
        <w:t>Essai du type</w:t>
      </w:r>
      <w:r>
        <w:rPr>
          <w:lang w:val="fr-FR"/>
        </w:rPr>
        <w:t> </w:t>
      </w:r>
      <w:r w:rsidRPr="00440C76">
        <w:rPr>
          <w:lang w:val="fr-FR"/>
        </w:rPr>
        <w:t>3</w:t>
      </w:r>
    </w:p>
    <w:p w14:paraId="3DA7A965" w14:textId="77777777" w:rsidR="00BE2CA7" w:rsidRPr="00F72B1B" w:rsidRDefault="00BE2CA7" w:rsidP="00BE2CA7">
      <w:pPr>
        <w:ind w:left="1134"/>
        <w:rPr>
          <w:lang w:val="fr-FR"/>
        </w:rPr>
      </w:pPr>
      <w:r>
        <w:rPr>
          <w:noProof/>
        </w:rPr>
        <w:drawing>
          <wp:inline distT="0" distB="0" distL="0" distR="0" wp14:anchorId="5FC1F75E" wp14:editId="442D5597">
            <wp:extent cx="5398992" cy="4988373"/>
            <wp:effectExtent l="0" t="0" r="0" b="3175"/>
            <wp:docPr id="1076418688" name="Image 1076418688" descr="Une image contenant diagramme, Dessin technique, Plan, croqui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6418688" name="Image 1076418688" descr="Une image contenant diagramme, Dessin technique, Plan, croquis&#10;&#10;Description générée automatiquement"/>
                    <pic:cNvPicPr/>
                  </pic:nvPicPr>
                  <pic:blipFill rotWithShape="1">
                    <a:blip r:embed="rId19"/>
                    <a:srcRect t="426"/>
                    <a:stretch/>
                  </pic:blipFill>
                  <pic:spPr bwMode="auto">
                    <a:xfrm>
                      <a:off x="0" y="0"/>
                      <a:ext cx="5400000" cy="4989304"/>
                    </a:xfrm>
                    <a:prstGeom prst="rect">
                      <a:avLst/>
                    </a:prstGeom>
                    <a:ln>
                      <a:noFill/>
                    </a:ln>
                    <a:extLst>
                      <a:ext uri="{53640926-AAD7-44D8-BBD7-CCE9431645EC}">
                        <a14:shadowObscured xmlns:a14="http://schemas.microsoft.com/office/drawing/2010/main"/>
                      </a:ext>
                    </a:extLst>
                  </pic:spPr>
                </pic:pic>
              </a:graphicData>
            </a:graphic>
          </wp:inline>
        </w:drawing>
      </w:r>
    </w:p>
    <w:p w14:paraId="641A55FD" w14:textId="77777777" w:rsidR="00BE2CA7" w:rsidRPr="00440C76" w:rsidRDefault="00BE2CA7" w:rsidP="00BE2CA7">
      <w:pPr>
        <w:pStyle w:val="SingleTxtG"/>
        <w:rPr>
          <w:lang w:val="fr-FR"/>
        </w:rPr>
      </w:pPr>
      <w:bookmarkStart w:id="45" w:name="_MON_1448960664"/>
      <w:bookmarkStart w:id="46" w:name="_MON_1448968346"/>
      <w:bookmarkStart w:id="47" w:name="_MON_1433074645"/>
      <w:bookmarkStart w:id="48" w:name="_MON_1433074704"/>
      <w:bookmarkStart w:id="49" w:name="_MON_1433075145"/>
      <w:bookmarkStart w:id="50" w:name="_MON_1433075165"/>
      <w:bookmarkStart w:id="51" w:name="_MON_1433077061"/>
      <w:bookmarkStart w:id="52" w:name="_MON_1433083242"/>
      <w:bookmarkEnd w:id="45"/>
      <w:bookmarkEnd w:id="46"/>
      <w:bookmarkEnd w:id="47"/>
      <w:bookmarkEnd w:id="48"/>
      <w:bookmarkEnd w:id="49"/>
      <w:bookmarkEnd w:id="50"/>
      <w:bookmarkEnd w:id="51"/>
      <w:bookmarkEnd w:id="52"/>
      <w:r w:rsidRPr="00440C76">
        <w:rPr>
          <w:lang w:val="fr-FR"/>
        </w:rPr>
        <w:br w:type="page"/>
      </w:r>
    </w:p>
    <w:p w14:paraId="6161C3FE" w14:textId="77777777" w:rsidR="00BE2CA7" w:rsidRPr="00440C76" w:rsidRDefault="00BE2CA7" w:rsidP="00BE2CA7">
      <w:pPr>
        <w:pStyle w:val="HChG"/>
        <w:rPr>
          <w:lang w:val="fr-FR"/>
        </w:rPr>
      </w:pPr>
      <w:r w:rsidRPr="00440C76">
        <w:rPr>
          <w:lang w:val="fr-FR"/>
        </w:rPr>
        <w:lastRenderedPageBreak/>
        <w:t>Annexe</w:t>
      </w:r>
      <w:r>
        <w:rPr>
          <w:lang w:val="fr-FR"/>
        </w:rPr>
        <w:t> </w:t>
      </w:r>
      <w:r w:rsidRPr="00440C76">
        <w:rPr>
          <w:lang w:val="fr-FR"/>
        </w:rPr>
        <w:t>7</w:t>
      </w:r>
    </w:p>
    <w:p w14:paraId="7EA8D57D" w14:textId="77777777" w:rsidR="00BE2CA7" w:rsidRPr="00440C76" w:rsidRDefault="00BE2CA7" w:rsidP="00BE2CA7">
      <w:pPr>
        <w:pStyle w:val="HChG"/>
        <w:rPr>
          <w:lang w:val="fr-FR"/>
        </w:rPr>
      </w:pPr>
      <w:r w:rsidRPr="00440C76">
        <w:rPr>
          <w:lang w:val="fr-FR"/>
        </w:rPr>
        <w:tab/>
      </w:r>
      <w:r w:rsidRPr="00440C76">
        <w:rPr>
          <w:lang w:val="fr-FR"/>
        </w:rPr>
        <w:tab/>
        <w:t>Réservée</w:t>
      </w:r>
    </w:p>
    <w:p w14:paraId="2E132408" w14:textId="77777777" w:rsidR="00BE2CA7" w:rsidRPr="00440C76" w:rsidRDefault="00BE2CA7" w:rsidP="00BE2CA7">
      <w:pPr>
        <w:pStyle w:val="SingleTxtG"/>
        <w:rPr>
          <w:lang w:val="fr-FR"/>
        </w:rPr>
      </w:pPr>
      <w:r w:rsidRPr="00440C76">
        <w:rPr>
          <w:lang w:val="fr-FR"/>
        </w:rPr>
        <w:br w:type="page"/>
      </w:r>
    </w:p>
    <w:p w14:paraId="2F5A180E" w14:textId="77777777" w:rsidR="00BE2CA7" w:rsidRPr="00440C76" w:rsidRDefault="00BE2CA7" w:rsidP="00BE2CA7">
      <w:pPr>
        <w:pStyle w:val="HChG"/>
        <w:rPr>
          <w:lang w:val="fr-FR"/>
        </w:rPr>
      </w:pPr>
      <w:r w:rsidRPr="00440C76">
        <w:rPr>
          <w:lang w:val="fr-FR"/>
        </w:rPr>
        <w:lastRenderedPageBreak/>
        <w:t>Annexe</w:t>
      </w:r>
      <w:r>
        <w:rPr>
          <w:lang w:val="fr-FR"/>
        </w:rPr>
        <w:t> </w:t>
      </w:r>
      <w:r w:rsidRPr="00440C76">
        <w:rPr>
          <w:lang w:val="fr-FR"/>
        </w:rPr>
        <w:t>8</w:t>
      </w:r>
    </w:p>
    <w:p w14:paraId="2E59A010" w14:textId="77777777" w:rsidR="00BE2CA7" w:rsidRPr="00440C76" w:rsidRDefault="00BE2CA7" w:rsidP="00BE2CA7">
      <w:pPr>
        <w:pStyle w:val="HChG"/>
        <w:rPr>
          <w:lang w:val="fr-FR"/>
        </w:rPr>
      </w:pPr>
      <w:r w:rsidRPr="00440C76">
        <w:rPr>
          <w:lang w:val="fr-FR"/>
        </w:rPr>
        <w:tab/>
      </w:r>
      <w:r w:rsidRPr="00440C76">
        <w:rPr>
          <w:lang w:val="fr-FR"/>
        </w:rPr>
        <w:tab/>
        <w:t>Essai du type</w:t>
      </w:r>
      <w:r>
        <w:rPr>
          <w:lang w:val="fr-FR"/>
        </w:rPr>
        <w:t> </w:t>
      </w:r>
      <w:r w:rsidRPr="00440C76">
        <w:rPr>
          <w:lang w:val="fr-FR"/>
        </w:rPr>
        <w:t>6</w:t>
      </w:r>
    </w:p>
    <w:p w14:paraId="3F5E4A86" w14:textId="77777777" w:rsidR="00BE2CA7" w:rsidRPr="00440C76" w:rsidRDefault="00BE2CA7" w:rsidP="00BE2CA7">
      <w:pPr>
        <w:pStyle w:val="SingleTxtG"/>
        <w:rPr>
          <w:lang w:val="fr-FR"/>
        </w:rPr>
      </w:pPr>
      <w:r w:rsidRPr="00440C76">
        <w:rPr>
          <w:lang w:val="fr-FR"/>
        </w:rPr>
        <w:t>(Vérification des émissions moyennes à l</w:t>
      </w:r>
      <w:r>
        <w:rPr>
          <w:lang w:val="fr-FR"/>
        </w:rPr>
        <w:t>’</w:t>
      </w:r>
      <w:r w:rsidRPr="00440C76">
        <w:rPr>
          <w:lang w:val="fr-FR"/>
        </w:rPr>
        <w:t>échappement, à basse température ambiante, de monoxyde de carbone et d</w:t>
      </w:r>
      <w:r>
        <w:rPr>
          <w:lang w:val="fr-FR"/>
        </w:rPr>
        <w:t>’</w:t>
      </w:r>
      <w:r w:rsidRPr="00440C76">
        <w:rPr>
          <w:lang w:val="fr-FR"/>
        </w:rPr>
        <w:t>hydrocarbure après démarrage à froid)</w:t>
      </w:r>
    </w:p>
    <w:p w14:paraId="1F5DBFD0" w14:textId="77777777" w:rsidR="00BE2CA7" w:rsidRPr="00440C76" w:rsidRDefault="00BE2CA7" w:rsidP="00BE2CA7">
      <w:pPr>
        <w:pStyle w:val="SingleTxtG"/>
        <w:ind w:left="2268" w:hanging="1134"/>
        <w:rPr>
          <w:lang w:val="fr-FR"/>
        </w:rPr>
      </w:pPr>
      <w:r w:rsidRPr="00440C76">
        <w:rPr>
          <w:lang w:val="fr-FR"/>
        </w:rPr>
        <w:t>1.</w:t>
      </w:r>
      <w:r w:rsidRPr="00440C76">
        <w:rPr>
          <w:lang w:val="fr-FR"/>
        </w:rPr>
        <w:tab/>
        <w:t>Introduction</w:t>
      </w:r>
    </w:p>
    <w:p w14:paraId="6A944CD3" w14:textId="77777777" w:rsidR="00BE2CA7" w:rsidRPr="00440C76" w:rsidRDefault="00BE2CA7" w:rsidP="00BE2CA7">
      <w:pPr>
        <w:pStyle w:val="SingleTxtG"/>
        <w:ind w:left="2268"/>
        <w:rPr>
          <w:lang w:val="fr-FR"/>
        </w:rPr>
      </w:pPr>
      <w:r w:rsidRPr="00440C76">
        <w:rPr>
          <w:lang w:val="fr-FR"/>
        </w:rPr>
        <w:t>La présente annexe n</w:t>
      </w:r>
      <w:r>
        <w:rPr>
          <w:lang w:val="fr-FR"/>
        </w:rPr>
        <w:t>’</w:t>
      </w:r>
      <w:r w:rsidRPr="00440C76">
        <w:rPr>
          <w:lang w:val="fr-FR"/>
        </w:rPr>
        <w:t>est applicable qu</w:t>
      </w:r>
      <w:r>
        <w:rPr>
          <w:lang w:val="fr-FR"/>
        </w:rPr>
        <w:t>’</w:t>
      </w:r>
      <w:r w:rsidRPr="00440C76">
        <w:rPr>
          <w:lang w:val="fr-FR"/>
        </w:rPr>
        <w:t>aux véhicules équipés d</w:t>
      </w:r>
      <w:r>
        <w:rPr>
          <w:lang w:val="fr-FR"/>
        </w:rPr>
        <w:t>’</w:t>
      </w:r>
      <w:r w:rsidRPr="00440C76">
        <w:rPr>
          <w:lang w:val="fr-FR"/>
        </w:rPr>
        <w:t>un moteur à allumage commandé. Elle décrit l</w:t>
      </w:r>
      <w:r>
        <w:rPr>
          <w:lang w:val="fr-FR"/>
        </w:rPr>
        <w:t>’</w:t>
      </w:r>
      <w:r w:rsidRPr="00440C76">
        <w:rPr>
          <w:lang w:val="fr-FR"/>
        </w:rPr>
        <w:t>appareillage nécessaire et la méthode à suivre pour réaliser l</w:t>
      </w:r>
      <w:r>
        <w:rPr>
          <w:lang w:val="fr-FR"/>
        </w:rPr>
        <w:t>’</w:t>
      </w:r>
      <w:r w:rsidRPr="00440C76">
        <w:rPr>
          <w:lang w:val="fr-FR"/>
        </w:rPr>
        <w:t>essai du type</w:t>
      </w:r>
      <w:r>
        <w:rPr>
          <w:lang w:val="fr-FR"/>
        </w:rPr>
        <w:t> </w:t>
      </w:r>
      <w:r w:rsidRPr="00440C76">
        <w:rPr>
          <w:lang w:val="fr-FR"/>
        </w:rPr>
        <w:t>6 défini au paragraphe</w:t>
      </w:r>
      <w:r>
        <w:rPr>
          <w:lang w:val="fr-FR"/>
        </w:rPr>
        <w:t> </w:t>
      </w:r>
      <w:r w:rsidRPr="00440C76">
        <w:rPr>
          <w:lang w:val="fr-FR"/>
        </w:rPr>
        <w:t>5.3.5 du présent Règlement pour vérifier les émissions de monoxyde de carbone et d</w:t>
      </w:r>
      <w:r>
        <w:rPr>
          <w:lang w:val="fr-FR"/>
        </w:rPr>
        <w:t>’</w:t>
      </w:r>
      <w:r w:rsidRPr="00440C76">
        <w:rPr>
          <w:lang w:val="fr-FR"/>
        </w:rPr>
        <w:t>hydrocarbures à basse température ambiante. Les points abordés dans la présente annexe sont les suivants :</w:t>
      </w:r>
    </w:p>
    <w:p w14:paraId="565438AE" w14:textId="77777777" w:rsidR="00BE2CA7" w:rsidRPr="00440C76" w:rsidRDefault="00BE2CA7" w:rsidP="00BE2CA7">
      <w:pPr>
        <w:pStyle w:val="SingleTxtG"/>
        <w:ind w:left="2835" w:hanging="567"/>
        <w:rPr>
          <w:lang w:val="fr-FR"/>
        </w:rPr>
      </w:pPr>
      <w:r w:rsidRPr="00440C76">
        <w:rPr>
          <w:lang w:val="fr-FR"/>
        </w:rPr>
        <w:t>a)</w:t>
      </w:r>
      <w:r w:rsidRPr="00440C76">
        <w:rPr>
          <w:lang w:val="fr-FR"/>
        </w:rPr>
        <w:tab/>
        <w:t>Matériel nécessaire ;</w:t>
      </w:r>
    </w:p>
    <w:p w14:paraId="780F58FA" w14:textId="77777777" w:rsidR="00BE2CA7" w:rsidRPr="00440C76" w:rsidRDefault="00BE2CA7" w:rsidP="00BE2CA7">
      <w:pPr>
        <w:pStyle w:val="SingleTxtG"/>
        <w:ind w:left="2835" w:hanging="567"/>
        <w:rPr>
          <w:lang w:val="fr-FR"/>
        </w:rPr>
      </w:pPr>
      <w:r w:rsidRPr="00440C76">
        <w:rPr>
          <w:lang w:val="fr-FR"/>
        </w:rPr>
        <w:t>b)</w:t>
      </w:r>
      <w:r w:rsidRPr="00440C76">
        <w:rPr>
          <w:lang w:val="fr-FR"/>
        </w:rPr>
        <w:tab/>
        <w:t>Conditions d</w:t>
      </w:r>
      <w:r>
        <w:rPr>
          <w:lang w:val="fr-FR"/>
        </w:rPr>
        <w:t>’</w:t>
      </w:r>
      <w:r w:rsidRPr="00440C76">
        <w:rPr>
          <w:lang w:val="fr-FR"/>
        </w:rPr>
        <w:t>essai ;</w:t>
      </w:r>
    </w:p>
    <w:p w14:paraId="7FD572FE" w14:textId="77777777" w:rsidR="00BE2CA7" w:rsidRPr="00440C76" w:rsidRDefault="00BE2CA7" w:rsidP="00BE2CA7">
      <w:pPr>
        <w:pStyle w:val="SingleTxtG"/>
        <w:ind w:left="2835" w:hanging="567"/>
        <w:rPr>
          <w:lang w:val="fr-FR"/>
        </w:rPr>
      </w:pPr>
      <w:r w:rsidRPr="00440C76">
        <w:rPr>
          <w:lang w:val="fr-FR"/>
        </w:rPr>
        <w:t>c)</w:t>
      </w:r>
      <w:r w:rsidRPr="00440C76">
        <w:rPr>
          <w:lang w:val="fr-FR"/>
        </w:rPr>
        <w:tab/>
        <w:t>Procédures d</w:t>
      </w:r>
      <w:r>
        <w:rPr>
          <w:lang w:val="fr-FR"/>
        </w:rPr>
        <w:t>’</w:t>
      </w:r>
      <w:r w:rsidRPr="00440C76">
        <w:rPr>
          <w:lang w:val="fr-FR"/>
        </w:rPr>
        <w:t>essai et prescriptions relatives aux données.</w:t>
      </w:r>
    </w:p>
    <w:p w14:paraId="3AA963FF" w14:textId="77777777" w:rsidR="00BE2CA7" w:rsidRPr="00440C76" w:rsidRDefault="00BE2CA7" w:rsidP="00BE2CA7">
      <w:pPr>
        <w:pStyle w:val="SingleTxtG"/>
        <w:ind w:left="2268" w:hanging="1134"/>
        <w:rPr>
          <w:lang w:val="fr-FR"/>
        </w:rPr>
      </w:pPr>
      <w:r w:rsidRPr="00440C76">
        <w:rPr>
          <w:lang w:val="fr-FR"/>
        </w:rPr>
        <w:t>2.</w:t>
      </w:r>
      <w:r w:rsidRPr="00440C76">
        <w:rPr>
          <w:lang w:val="fr-FR"/>
        </w:rPr>
        <w:tab/>
        <w:t>Matériel d</w:t>
      </w:r>
      <w:r>
        <w:rPr>
          <w:lang w:val="fr-FR"/>
        </w:rPr>
        <w:t>’</w:t>
      </w:r>
      <w:r w:rsidRPr="00440C76">
        <w:rPr>
          <w:lang w:val="fr-FR"/>
        </w:rPr>
        <w:t>essai</w:t>
      </w:r>
    </w:p>
    <w:p w14:paraId="0F6E12DE" w14:textId="77777777" w:rsidR="00BE2CA7" w:rsidRPr="00440C76" w:rsidRDefault="00BE2CA7" w:rsidP="00BE2CA7">
      <w:pPr>
        <w:pStyle w:val="SingleTxtG"/>
        <w:ind w:left="2268" w:hanging="1134"/>
        <w:rPr>
          <w:lang w:val="fr-FR"/>
        </w:rPr>
      </w:pPr>
      <w:r w:rsidRPr="00440C76">
        <w:rPr>
          <w:lang w:val="fr-FR"/>
        </w:rPr>
        <w:t>2.1</w:t>
      </w:r>
      <w:r w:rsidRPr="00440C76">
        <w:rPr>
          <w:lang w:val="fr-FR"/>
        </w:rPr>
        <w:tab/>
        <w:t>Résumé</w:t>
      </w:r>
    </w:p>
    <w:p w14:paraId="0CD69157" w14:textId="77777777" w:rsidR="00BE2CA7" w:rsidRPr="00440C76" w:rsidRDefault="00BE2CA7" w:rsidP="00BE2CA7">
      <w:pPr>
        <w:pStyle w:val="SingleTxtG"/>
        <w:ind w:left="2268" w:hanging="1134"/>
        <w:rPr>
          <w:lang w:val="fr-FR"/>
        </w:rPr>
      </w:pPr>
      <w:r w:rsidRPr="00440C76">
        <w:rPr>
          <w:lang w:val="fr-FR"/>
        </w:rPr>
        <w:t>2.1.1</w:t>
      </w:r>
      <w:r w:rsidRPr="00440C76">
        <w:rPr>
          <w:lang w:val="fr-FR"/>
        </w:rPr>
        <w:tab/>
        <w:t>Le présent chapitre concerne le matériel nécessaire pour les essais d</w:t>
      </w:r>
      <w:r>
        <w:rPr>
          <w:lang w:val="fr-FR"/>
        </w:rPr>
        <w:t>’</w:t>
      </w:r>
      <w:r w:rsidRPr="00440C76">
        <w:rPr>
          <w:lang w:val="fr-FR"/>
        </w:rPr>
        <w:t>émissions de gaz d</w:t>
      </w:r>
      <w:r>
        <w:rPr>
          <w:lang w:val="fr-FR"/>
        </w:rPr>
        <w:t>’</w:t>
      </w:r>
      <w:r w:rsidRPr="00440C76">
        <w:rPr>
          <w:lang w:val="fr-FR"/>
        </w:rPr>
        <w:t>échappement à basse température ambiante effectués sur les véhicules équipés d</w:t>
      </w:r>
      <w:r>
        <w:rPr>
          <w:lang w:val="fr-FR"/>
        </w:rPr>
        <w:t>’</w:t>
      </w:r>
      <w:r w:rsidRPr="00440C76">
        <w:rPr>
          <w:lang w:val="fr-FR"/>
        </w:rPr>
        <w:t>un moteur à allumage commandé. Le matériel nécessaire et les spécifications correspondent aux exigences applicables à l</w:t>
      </w:r>
      <w:r>
        <w:rPr>
          <w:lang w:val="fr-FR"/>
        </w:rPr>
        <w:t>’</w:t>
      </w:r>
      <w:r w:rsidRPr="00440C76">
        <w:rPr>
          <w:lang w:val="fr-FR"/>
        </w:rPr>
        <w:t>essai de type</w:t>
      </w:r>
      <w:r>
        <w:rPr>
          <w:lang w:val="fr-FR"/>
        </w:rPr>
        <w:t> </w:t>
      </w:r>
      <w:r w:rsidRPr="00440C76">
        <w:rPr>
          <w:lang w:val="fr-FR"/>
        </w:rPr>
        <w:t>1 (fondé sur le cycle d</w:t>
      </w:r>
      <w:r>
        <w:rPr>
          <w:lang w:val="fr-FR"/>
        </w:rPr>
        <w:t>’</w:t>
      </w:r>
      <w:r w:rsidRPr="00440C76">
        <w:rPr>
          <w:lang w:val="fr-FR"/>
        </w:rPr>
        <w:t>essai NEDC) décrit à l</w:t>
      </w:r>
      <w:r>
        <w:rPr>
          <w:lang w:val="fr-FR"/>
        </w:rPr>
        <w:t>’</w:t>
      </w:r>
      <w:r w:rsidRPr="00440C76">
        <w:rPr>
          <w:lang w:val="fr-FR"/>
        </w:rPr>
        <w:t>annexe</w:t>
      </w:r>
      <w:r>
        <w:rPr>
          <w:lang w:val="fr-FR"/>
        </w:rPr>
        <w:t> </w:t>
      </w:r>
      <w:r w:rsidRPr="00440C76">
        <w:rPr>
          <w:lang w:val="fr-FR"/>
        </w:rPr>
        <w:t>4a de la série</w:t>
      </w:r>
      <w:r>
        <w:rPr>
          <w:lang w:val="fr-FR"/>
        </w:rPr>
        <w:t> </w:t>
      </w:r>
      <w:r w:rsidRPr="00440C76">
        <w:rPr>
          <w:lang w:val="fr-FR"/>
        </w:rPr>
        <w:t>07 d</w:t>
      </w:r>
      <w:r>
        <w:rPr>
          <w:lang w:val="fr-FR"/>
        </w:rPr>
        <w:t>’</w:t>
      </w:r>
      <w:r w:rsidRPr="00440C76">
        <w:rPr>
          <w:lang w:val="fr-FR"/>
        </w:rPr>
        <w:t>amendements au présent Règlement et dans ses appendices, lorsque des exigences spécifiques à l</w:t>
      </w:r>
      <w:r>
        <w:rPr>
          <w:lang w:val="fr-FR"/>
        </w:rPr>
        <w:t>’</w:t>
      </w:r>
      <w:r w:rsidRPr="00440C76">
        <w:rPr>
          <w:lang w:val="fr-FR"/>
        </w:rPr>
        <w:t>essai de type</w:t>
      </w:r>
      <w:r>
        <w:rPr>
          <w:lang w:val="fr-FR"/>
        </w:rPr>
        <w:t> </w:t>
      </w:r>
      <w:r w:rsidRPr="00440C76">
        <w:rPr>
          <w:lang w:val="fr-FR"/>
        </w:rPr>
        <w:t>6 ne sont pas prévues. Les tolérances applicables aux essais de type</w:t>
      </w:r>
      <w:r>
        <w:rPr>
          <w:lang w:val="fr-FR"/>
        </w:rPr>
        <w:t> </w:t>
      </w:r>
      <w:r w:rsidRPr="00440C76">
        <w:rPr>
          <w:lang w:val="fr-FR"/>
        </w:rPr>
        <w:t>6 à basse température ambiante sont celles définies aux paragraphes</w:t>
      </w:r>
      <w:r>
        <w:rPr>
          <w:lang w:val="fr-FR"/>
        </w:rPr>
        <w:t> </w:t>
      </w:r>
      <w:r w:rsidRPr="00440C76">
        <w:rPr>
          <w:lang w:val="fr-FR"/>
        </w:rPr>
        <w:t>2.2 à 2.6 ci-dessous.</w:t>
      </w:r>
    </w:p>
    <w:p w14:paraId="1E925D0C" w14:textId="77777777" w:rsidR="00BE2CA7" w:rsidRPr="00440C76" w:rsidRDefault="00BE2CA7" w:rsidP="00BE2CA7">
      <w:pPr>
        <w:pStyle w:val="SingleTxtG"/>
        <w:ind w:left="2268" w:hanging="1134"/>
        <w:rPr>
          <w:lang w:val="fr-FR"/>
        </w:rPr>
      </w:pPr>
      <w:r w:rsidRPr="00440C76">
        <w:rPr>
          <w:lang w:val="fr-FR"/>
        </w:rPr>
        <w:t>2.2</w:t>
      </w:r>
      <w:r w:rsidRPr="00440C76">
        <w:rPr>
          <w:lang w:val="fr-FR"/>
        </w:rPr>
        <w:tab/>
        <w:t>Banc à rouleaux</w:t>
      </w:r>
    </w:p>
    <w:p w14:paraId="70084FCD" w14:textId="77777777" w:rsidR="00BE2CA7" w:rsidRPr="00440C76" w:rsidRDefault="00BE2CA7" w:rsidP="00BE2CA7">
      <w:pPr>
        <w:pStyle w:val="SingleTxtG"/>
        <w:ind w:left="2268" w:hanging="1134"/>
        <w:rPr>
          <w:lang w:val="fr-FR"/>
        </w:rPr>
      </w:pPr>
      <w:r w:rsidRPr="00440C76">
        <w:rPr>
          <w:lang w:val="fr-FR"/>
        </w:rPr>
        <w:t>2.2.1</w:t>
      </w:r>
      <w:r w:rsidRPr="00440C76">
        <w:rPr>
          <w:lang w:val="fr-FR"/>
        </w:rPr>
        <w:tab/>
        <w:t>Les prescriptions de l</w:t>
      </w:r>
      <w:r>
        <w:rPr>
          <w:lang w:val="fr-FR"/>
        </w:rPr>
        <w:t>’</w:t>
      </w:r>
      <w:r w:rsidRPr="00440C76">
        <w:rPr>
          <w:lang w:val="fr-FR"/>
        </w:rPr>
        <w:t>appendice</w:t>
      </w:r>
      <w:r>
        <w:rPr>
          <w:lang w:val="fr-FR"/>
        </w:rPr>
        <w:t> </w:t>
      </w:r>
      <w:r w:rsidRPr="00440C76">
        <w:rPr>
          <w:lang w:val="fr-FR"/>
        </w:rPr>
        <w:t>1 de l</w:t>
      </w:r>
      <w:r>
        <w:rPr>
          <w:lang w:val="fr-FR"/>
        </w:rPr>
        <w:t>’</w:t>
      </w:r>
      <w:r w:rsidRPr="00440C76">
        <w:rPr>
          <w:lang w:val="fr-FR"/>
        </w:rPr>
        <w:t>annexe</w:t>
      </w:r>
      <w:r>
        <w:rPr>
          <w:lang w:val="fr-FR"/>
        </w:rPr>
        <w:t> </w:t>
      </w:r>
      <w:r w:rsidRPr="00440C76">
        <w:rPr>
          <w:lang w:val="fr-FR"/>
        </w:rPr>
        <w:t>4a de la série</w:t>
      </w:r>
      <w:r>
        <w:rPr>
          <w:lang w:val="fr-FR"/>
        </w:rPr>
        <w:t> </w:t>
      </w:r>
      <w:r w:rsidRPr="00440C76">
        <w:rPr>
          <w:lang w:val="fr-FR"/>
        </w:rPr>
        <w:t>07 d</w:t>
      </w:r>
      <w:r>
        <w:rPr>
          <w:lang w:val="fr-FR"/>
        </w:rPr>
        <w:t>’</w:t>
      </w:r>
      <w:r w:rsidRPr="00440C76">
        <w:rPr>
          <w:lang w:val="fr-FR"/>
        </w:rPr>
        <w:t>amendements au présent Règlement s</w:t>
      </w:r>
      <w:r>
        <w:rPr>
          <w:lang w:val="fr-FR"/>
        </w:rPr>
        <w:t>’</w:t>
      </w:r>
      <w:r w:rsidRPr="00440C76">
        <w:rPr>
          <w:lang w:val="fr-FR"/>
        </w:rPr>
        <w:t>appliquent. Le banc à rouleaux doit être réglé pour simuler le fonctionnement d</w:t>
      </w:r>
      <w:r>
        <w:rPr>
          <w:lang w:val="fr-FR"/>
        </w:rPr>
        <w:t>’</w:t>
      </w:r>
      <w:r w:rsidRPr="00440C76">
        <w:rPr>
          <w:lang w:val="fr-FR"/>
        </w:rPr>
        <w:t>un véhicule sur route à 266 K (</w:t>
      </w:r>
      <w:r>
        <w:rPr>
          <w:lang w:val="fr-FR"/>
        </w:rPr>
        <w:noBreakHyphen/>
      </w:r>
      <w:r w:rsidRPr="00440C76">
        <w:rPr>
          <w:lang w:val="fr-FR"/>
        </w:rPr>
        <w:t>7 °C). Ce réglage peut être basé sur une détermination de la courbe de résistance à l</w:t>
      </w:r>
      <w:r>
        <w:rPr>
          <w:lang w:val="fr-FR"/>
        </w:rPr>
        <w:t>’</w:t>
      </w:r>
      <w:r w:rsidRPr="00440C76">
        <w:rPr>
          <w:lang w:val="fr-FR"/>
        </w:rPr>
        <w:t>avancement sur route à 266 K (</w:t>
      </w:r>
      <w:r w:rsidRPr="00440C76">
        <w:rPr>
          <w:lang w:val="fr-FR"/>
        </w:rPr>
        <w:noBreakHyphen/>
        <w:t>7 °C). À défaut, la résistance à l</w:t>
      </w:r>
      <w:r>
        <w:rPr>
          <w:lang w:val="fr-FR"/>
        </w:rPr>
        <w:t>’</w:t>
      </w:r>
      <w:r w:rsidRPr="00440C76">
        <w:rPr>
          <w:lang w:val="fr-FR"/>
        </w:rPr>
        <w:t>avancement déterminée conformément à l</w:t>
      </w:r>
      <w:r>
        <w:rPr>
          <w:lang w:val="fr-FR"/>
        </w:rPr>
        <w:t>’</w:t>
      </w:r>
      <w:r w:rsidRPr="00440C76">
        <w:rPr>
          <w:lang w:val="fr-FR"/>
        </w:rPr>
        <w:t>appendice</w:t>
      </w:r>
      <w:r>
        <w:rPr>
          <w:lang w:val="fr-FR"/>
        </w:rPr>
        <w:t> </w:t>
      </w:r>
      <w:r w:rsidRPr="00440C76">
        <w:rPr>
          <w:lang w:val="fr-FR"/>
        </w:rPr>
        <w:t>7 de l</w:t>
      </w:r>
      <w:r>
        <w:rPr>
          <w:lang w:val="fr-FR"/>
        </w:rPr>
        <w:t>’</w:t>
      </w:r>
      <w:r w:rsidRPr="00440C76">
        <w:rPr>
          <w:lang w:val="fr-FR"/>
        </w:rPr>
        <w:t>annexe</w:t>
      </w:r>
      <w:r>
        <w:rPr>
          <w:lang w:val="fr-FR"/>
        </w:rPr>
        <w:t> </w:t>
      </w:r>
      <w:r w:rsidRPr="00440C76">
        <w:rPr>
          <w:lang w:val="fr-FR"/>
        </w:rPr>
        <w:t>4a de la série</w:t>
      </w:r>
      <w:r>
        <w:rPr>
          <w:lang w:val="fr-FR"/>
        </w:rPr>
        <w:t> </w:t>
      </w:r>
      <w:r w:rsidRPr="00440C76">
        <w:rPr>
          <w:lang w:val="fr-FR"/>
        </w:rPr>
        <w:t>07 d</w:t>
      </w:r>
      <w:r>
        <w:rPr>
          <w:lang w:val="fr-FR"/>
        </w:rPr>
        <w:t>’</w:t>
      </w:r>
      <w:r w:rsidRPr="00440C76">
        <w:rPr>
          <w:lang w:val="fr-FR"/>
        </w:rPr>
        <w:t>amendements au présent Règlement peut être ajustée pour une diminution de 10 % de la décélération en roue libre. Le service technique peut approuver l</w:t>
      </w:r>
      <w:r>
        <w:rPr>
          <w:lang w:val="fr-FR"/>
        </w:rPr>
        <w:t>’</w:t>
      </w:r>
      <w:r w:rsidRPr="00440C76">
        <w:rPr>
          <w:lang w:val="fr-FR"/>
        </w:rPr>
        <w:t>utilisation d</w:t>
      </w:r>
      <w:r>
        <w:rPr>
          <w:lang w:val="fr-FR"/>
        </w:rPr>
        <w:t>’</w:t>
      </w:r>
      <w:r w:rsidRPr="00440C76">
        <w:rPr>
          <w:lang w:val="fr-FR"/>
        </w:rPr>
        <w:t>autres méthodes de détermination de la résistance à l</w:t>
      </w:r>
      <w:r>
        <w:rPr>
          <w:lang w:val="fr-FR"/>
        </w:rPr>
        <w:t>’</w:t>
      </w:r>
      <w:r w:rsidRPr="00440C76">
        <w:rPr>
          <w:lang w:val="fr-FR"/>
        </w:rPr>
        <w:t>avancement.</w:t>
      </w:r>
    </w:p>
    <w:p w14:paraId="09EA5F64" w14:textId="77777777" w:rsidR="00BE2CA7" w:rsidRPr="00440C76" w:rsidRDefault="00BE2CA7" w:rsidP="00BE2CA7">
      <w:pPr>
        <w:pStyle w:val="SingleTxtG"/>
        <w:ind w:left="2268" w:hanging="1134"/>
        <w:rPr>
          <w:lang w:val="fr-FR"/>
        </w:rPr>
      </w:pPr>
      <w:r w:rsidRPr="00440C76">
        <w:rPr>
          <w:lang w:val="fr-FR"/>
        </w:rPr>
        <w:t>2.2.2</w:t>
      </w:r>
      <w:r w:rsidRPr="00440C76">
        <w:rPr>
          <w:lang w:val="fr-FR"/>
        </w:rPr>
        <w:tab/>
        <w:t>L</w:t>
      </w:r>
      <w:r>
        <w:rPr>
          <w:lang w:val="fr-FR"/>
        </w:rPr>
        <w:t>’</w:t>
      </w:r>
      <w:r w:rsidRPr="00440C76">
        <w:rPr>
          <w:lang w:val="fr-FR"/>
        </w:rPr>
        <w:t>étalonnage du banc doit être effectué en appliquant les dispositions de l</w:t>
      </w:r>
      <w:r>
        <w:rPr>
          <w:lang w:val="fr-FR"/>
        </w:rPr>
        <w:t>’</w:t>
      </w:r>
      <w:r w:rsidRPr="00440C76">
        <w:rPr>
          <w:lang w:val="fr-FR"/>
        </w:rPr>
        <w:t>appendice 1 de l</w:t>
      </w:r>
      <w:r>
        <w:rPr>
          <w:lang w:val="fr-FR"/>
        </w:rPr>
        <w:t>’</w:t>
      </w:r>
      <w:r w:rsidRPr="00440C76">
        <w:rPr>
          <w:lang w:val="fr-FR"/>
        </w:rPr>
        <w:t>annexe</w:t>
      </w:r>
      <w:r>
        <w:rPr>
          <w:lang w:val="fr-FR"/>
        </w:rPr>
        <w:t> </w:t>
      </w:r>
      <w:r w:rsidRPr="00440C76">
        <w:rPr>
          <w:lang w:val="fr-FR"/>
        </w:rPr>
        <w:t>4a de la série</w:t>
      </w:r>
      <w:r>
        <w:rPr>
          <w:lang w:val="fr-FR"/>
        </w:rPr>
        <w:t> </w:t>
      </w:r>
      <w:r w:rsidRPr="00440C76">
        <w:rPr>
          <w:lang w:val="fr-FR"/>
        </w:rPr>
        <w:t>07 d</w:t>
      </w:r>
      <w:r>
        <w:rPr>
          <w:lang w:val="fr-FR"/>
        </w:rPr>
        <w:t>’</w:t>
      </w:r>
      <w:r w:rsidRPr="00440C76">
        <w:rPr>
          <w:lang w:val="fr-FR"/>
        </w:rPr>
        <w:t>amendements au présent Règlement.</w:t>
      </w:r>
    </w:p>
    <w:p w14:paraId="7F5A32CD" w14:textId="77777777" w:rsidR="00BE2CA7" w:rsidRPr="00440C76" w:rsidRDefault="00BE2CA7" w:rsidP="00BE2CA7">
      <w:pPr>
        <w:pStyle w:val="SingleTxtG"/>
        <w:ind w:left="2268" w:hanging="1134"/>
        <w:rPr>
          <w:lang w:val="fr-FR"/>
        </w:rPr>
      </w:pPr>
      <w:r w:rsidRPr="00440C76">
        <w:rPr>
          <w:lang w:val="fr-FR"/>
        </w:rPr>
        <w:t>2.3</w:t>
      </w:r>
      <w:r w:rsidRPr="00440C76">
        <w:rPr>
          <w:lang w:val="fr-FR"/>
        </w:rPr>
        <w:tab/>
        <w:t>Système d</w:t>
      </w:r>
      <w:r>
        <w:rPr>
          <w:lang w:val="fr-FR"/>
        </w:rPr>
        <w:t>’</w:t>
      </w:r>
      <w:r w:rsidRPr="00440C76">
        <w:rPr>
          <w:lang w:val="fr-FR"/>
        </w:rPr>
        <w:t>échantillonnage</w:t>
      </w:r>
    </w:p>
    <w:p w14:paraId="425BDA82" w14:textId="77777777" w:rsidR="00BE2CA7" w:rsidRPr="00440C76" w:rsidRDefault="00BE2CA7" w:rsidP="00BE2CA7">
      <w:pPr>
        <w:pStyle w:val="SingleTxtG"/>
        <w:ind w:left="2268" w:hanging="1134"/>
        <w:rPr>
          <w:lang w:val="fr-FR"/>
        </w:rPr>
      </w:pPr>
      <w:r w:rsidRPr="00440C76">
        <w:rPr>
          <w:lang w:val="fr-FR"/>
        </w:rPr>
        <w:t>2.3.1</w:t>
      </w:r>
      <w:r w:rsidRPr="00440C76">
        <w:rPr>
          <w:lang w:val="fr-FR"/>
        </w:rPr>
        <w:tab/>
        <w:t>Les dispositions de l</w:t>
      </w:r>
      <w:r>
        <w:rPr>
          <w:lang w:val="fr-FR"/>
        </w:rPr>
        <w:t>’</w:t>
      </w:r>
      <w:r w:rsidRPr="00440C76">
        <w:rPr>
          <w:lang w:val="fr-FR"/>
        </w:rPr>
        <w:t>appendice</w:t>
      </w:r>
      <w:r>
        <w:rPr>
          <w:lang w:val="fr-FR"/>
        </w:rPr>
        <w:t> </w:t>
      </w:r>
      <w:r w:rsidRPr="00440C76">
        <w:rPr>
          <w:lang w:val="fr-FR"/>
        </w:rPr>
        <w:t>2 et de l</w:t>
      </w:r>
      <w:r>
        <w:rPr>
          <w:lang w:val="fr-FR"/>
        </w:rPr>
        <w:t>’</w:t>
      </w:r>
      <w:r w:rsidRPr="00440C76">
        <w:rPr>
          <w:lang w:val="fr-FR"/>
        </w:rPr>
        <w:t>appendice</w:t>
      </w:r>
      <w:r>
        <w:rPr>
          <w:lang w:val="fr-FR"/>
        </w:rPr>
        <w:t> </w:t>
      </w:r>
      <w:r w:rsidRPr="00440C76">
        <w:rPr>
          <w:lang w:val="fr-FR"/>
        </w:rPr>
        <w:t>3 de l</w:t>
      </w:r>
      <w:r>
        <w:rPr>
          <w:lang w:val="fr-FR"/>
        </w:rPr>
        <w:t>’</w:t>
      </w:r>
      <w:r w:rsidRPr="00440C76">
        <w:rPr>
          <w:lang w:val="fr-FR"/>
        </w:rPr>
        <w:t>annexe</w:t>
      </w:r>
      <w:r>
        <w:rPr>
          <w:lang w:val="fr-FR"/>
        </w:rPr>
        <w:t> </w:t>
      </w:r>
      <w:r w:rsidRPr="00440C76">
        <w:rPr>
          <w:lang w:val="fr-FR"/>
        </w:rPr>
        <w:t>4a de la série 07 d</w:t>
      </w:r>
      <w:r>
        <w:rPr>
          <w:lang w:val="fr-FR"/>
        </w:rPr>
        <w:t>’</w:t>
      </w:r>
      <w:r w:rsidRPr="00440C76">
        <w:rPr>
          <w:lang w:val="fr-FR"/>
        </w:rPr>
        <w:t>amendements au présent Règlement sont applicables.</w:t>
      </w:r>
    </w:p>
    <w:p w14:paraId="58DA86C4" w14:textId="77777777" w:rsidR="00BE2CA7" w:rsidRPr="00440C76" w:rsidRDefault="00BE2CA7" w:rsidP="00BE2CA7">
      <w:pPr>
        <w:pStyle w:val="SingleTxtG"/>
        <w:keepNext/>
        <w:ind w:left="2268" w:hanging="1134"/>
        <w:rPr>
          <w:lang w:val="fr-FR"/>
        </w:rPr>
      </w:pPr>
      <w:r w:rsidRPr="00440C76">
        <w:rPr>
          <w:lang w:val="fr-FR"/>
        </w:rPr>
        <w:t>2.4</w:t>
      </w:r>
      <w:r w:rsidRPr="00440C76">
        <w:rPr>
          <w:lang w:val="fr-FR"/>
        </w:rPr>
        <w:tab/>
        <w:t>Appareillage d</w:t>
      </w:r>
      <w:r>
        <w:rPr>
          <w:lang w:val="fr-FR"/>
        </w:rPr>
        <w:t>’</w:t>
      </w:r>
      <w:r w:rsidRPr="00440C76">
        <w:rPr>
          <w:lang w:val="fr-FR"/>
        </w:rPr>
        <w:t>analyse</w:t>
      </w:r>
    </w:p>
    <w:p w14:paraId="5270E95D" w14:textId="77777777" w:rsidR="00BE2CA7" w:rsidRPr="00440C76" w:rsidRDefault="00BE2CA7" w:rsidP="00BE2CA7">
      <w:pPr>
        <w:pStyle w:val="SingleTxtG"/>
        <w:ind w:left="2268" w:hanging="1134"/>
        <w:rPr>
          <w:lang w:val="fr-FR"/>
        </w:rPr>
      </w:pPr>
      <w:r w:rsidRPr="00440C76">
        <w:rPr>
          <w:lang w:val="fr-FR"/>
        </w:rPr>
        <w:t>2.4.1</w:t>
      </w:r>
      <w:r w:rsidRPr="00440C76">
        <w:rPr>
          <w:lang w:val="fr-FR"/>
        </w:rPr>
        <w:tab/>
        <w:t>Les dispositions de l</w:t>
      </w:r>
      <w:r>
        <w:rPr>
          <w:lang w:val="fr-FR"/>
        </w:rPr>
        <w:t>’</w:t>
      </w:r>
      <w:r w:rsidRPr="00440C76">
        <w:rPr>
          <w:lang w:val="fr-FR"/>
        </w:rPr>
        <w:t>appendice</w:t>
      </w:r>
      <w:r>
        <w:rPr>
          <w:lang w:val="fr-FR"/>
        </w:rPr>
        <w:t> </w:t>
      </w:r>
      <w:r w:rsidRPr="00440C76">
        <w:rPr>
          <w:lang w:val="fr-FR"/>
        </w:rPr>
        <w:t>3 de l</w:t>
      </w:r>
      <w:r>
        <w:rPr>
          <w:lang w:val="fr-FR"/>
        </w:rPr>
        <w:t>’</w:t>
      </w:r>
      <w:r w:rsidRPr="00440C76">
        <w:rPr>
          <w:lang w:val="fr-FR"/>
        </w:rPr>
        <w:t>annexe</w:t>
      </w:r>
      <w:r>
        <w:rPr>
          <w:lang w:val="fr-FR"/>
        </w:rPr>
        <w:t> </w:t>
      </w:r>
      <w:r w:rsidRPr="00440C76">
        <w:rPr>
          <w:lang w:val="fr-FR"/>
        </w:rPr>
        <w:t>4a de la série</w:t>
      </w:r>
      <w:r>
        <w:rPr>
          <w:lang w:val="fr-FR"/>
        </w:rPr>
        <w:t> </w:t>
      </w:r>
      <w:r w:rsidRPr="00440C76">
        <w:rPr>
          <w:lang w:val="fr-FR"/>
        </w:rPr>
        <w:t>07 d</w:t>
      </w:r>
      <w:r>
        <w:rPr>
          <w:lang w:val="fr-FR"/>
        </w:rPr>
        <w:t>’</w:t>
      </w:r>
      <w:r w:rsidRPr="00440C76">
        <w:rPr>
          <w:lang w:val="fr-FR"/>
        </w:rPr>
        <w:t>amendements au présent Règlement s</w:t>
      </w:r>
      <w:r>
        <w:rPr>
          <w:lang w:val="fr-FR"/>
        </w:rPr>
        <w:t>’</w:t>
      </w:r>
      <w:r w:rsidRPr="00440C76">
        <w:rPr>
          <w:lang w:val="fr-FR"/>
        </w:rPr>
        <w:t>appliquent, mais seulement pour les essais concernant le monoxyde et le dioxyde de carbone et les hydrocarbures totaux.</w:t>
      </w:r>
    </w:p>
    <w:p w14:paraId="50B57EA8" w14:textId="77777777" w:rsidR="00BE2CA7" w:rsidRPr="00440C76" w:rsidRDefault="00BE2CA7" w:rsidP="00BE2CA7">
      <w:pPr>
        <w:pStyle w:val="SingleTxtG"/>
        <w:ind w:left="2268" w:hanging="1134"/>
        <w:rPr>
          <w:lang w:val="fr-FR"/>
        </w:rPr>
      </w:pPr>
      <w:r w:rsidRPr="00440C76">
        <w:rPr>
          <w:lang w:val="fr-FR"/>
        </w:rPr>
        <w:t>2.4.2</w:t>
      </w:r>
      <w:r w:rsidRPr="00440C76">
        <w:rPr>
          <w:lang w:val="fr-FR"/>
        </w:rPr>
        <w:tab/>
        <w:t>L</w:t>
      </w:r>
      <w:r>
        <w:rPr>
          <w:lang w:val="fr-FR"/>
        </w:rPr>
        <w:t>’</w:t>
      </w:r>
      <w:r w:rsidRPr="00440C76">
        <w:rPr>
          <w:lang w:val="fr-FR"/>
        </w:rPr>
        <w:t>étalonnage de l</w:t>
      </w:r>
      <w:r>
        <w:rPr>
          <w:lang w:val="fr-FR"/>
        </w:rPr>
        <w:t>’</w:t>
      </w:r>
      <w:r w:rsidRPr="00440C76">
        <w:rPr>
          <w:lang w:val="fr-FR"/>
        </w:rPr>
        <w:t>appareillage d</w:t>
      </w:r>
      <w:r>
        <w:rPr>
          <w:lang w:val="fr-FR"/>
        </w:rPr>
        <w:t>’</w:t>
      </w:r>
      <w:r w:rsidRPr="00440C76">
        <w:rPr>
          <w:lang w:val="fr-FR"/>
        </w:rPr>
        <w:t>analyse doit se faire selon les dispositions de l</w:t>
      </w:r>
      <w:r>
        <w:rPr>
          <w:lang w:val="fr-FR"/>
        </w:rPr>
        <w:t>’</w:t>
      </w:r>
      <w:r w:rsidRPr="00440C76">
        <w:rPr>
          <w:lang w:val="fr-FR"/>
        </w:rPr>
        <w:t>annexe</w:t>
      </w:r>
      <w:r>
        <w:rPr>
          <w:lang w:val="fr-FR"/>
        </w:rPr>
        <w:t> </w:t>
      </w:r>
      <w:r w:rsidRPr="00440C76">
        <w:rPr>
          <w:lang w:val="fr-FR"/>
        </w:rPr>
        <w:t>4a de la série</w:t>
      </w:r>
      <w:r>
        <w:rPr>
          <w:lang w:val="fr-FR"/>
        </w:rPr>
        <w:t> </w:t>
      </w:r>
      <w:r w:rsidRPr="00440C76">
        <w:rPr>
          <w:lang w:val="fr-FR"/>
        </w:rPr>
        <w:t>07 d</w:t>
      </w:r>
      <w:r>
        <w:rPr>
          <w:lang w:val="fr-FR"/>
        </w:rPr>
        <w:t>’</w:t>
      </w:r>
      <w:r w:rsidRPr="00440C76">
        <w:rPr>
          <w:lang w:val="fr-FR"/>
        </w:rPr>
        <w:t>amendements au présent Règlement.</w:t>
      </w:r>
    </w:p>
    <w:p w14:paraId="5DC8E61F" w14:textId="77777777" w:rsidR="00BE2CA7" w:rsidRPr="00440C76" w:rsidRDefault="00BE2CA7" w:rsidP="00BE2CA7">
      <w:pPr>
        <w:pStyle w:val="SingleTxtG"/>
        <w:ind w:left="2268" w:hanging="1134"/>
        <w:rPr>
          <w:lang w:val="fr-FR"/>
        </w:rPr>
      </w:pPr>
      <w:r w:rsidRPr="00440C76">
        <w:rPr>
          <w:lang w:val="fr-FR"/>
        </w:rPr>
        <w:lastRenderedPageBreak/>
        <w:t>2.5</w:t>
      </w:r>
      <w:r w:rsidRPr="00440C76">
        <w:rPr>
          <w:lang w:val="fr-FR"/>
        </w:rPr>
        <w:tab/>
        <w:t>Gaz</w:t>
      </w:r>
    </w:p>
    <w:p w14:paraId="7F310D19" w14:textId="77777777" w:rsidR="00BE2CA7" w:rsidRPr="00440C76" w:rsidRDefault="00BE2CA7" w:rsidP="00BE2CA7">
      <w:pPr>
        <w:pStyle w:val="SingleTxtG"/>
        <w:ind w:left="2268" w:hanging="1134"/>
        <w:rPr>
          <w:lang w:val="fr-FR"/>
        </w:rPr>
      </w:pPr>
      <w:r w:rsidRPr="00440C76">
        <w:rPr>
          <w:lang w:val="fr-FR"/>
        </w:rPr>
        <w:t>2.5.1</w:t>
      </w:r>
      <w:r w:rsidRPr="00440C76">
        <w:rPr>
          <w:lang w:val="fr-FR"/>
        </w:rPr>
        <w:tab/>
        <w:t>Les dispositions du paragraphe</w:t>
      </w:r>
      <w:r>
        <w:rPr>
          <w:lang w:val="fr-FR"/>
        </w:rPr>
        <w:t> </w:t>
      </w:r>
      <w:r w:rsidRPr="00440C76">
        <w:rPr>
          <w:lang w:val="fr-FR"/>
        </w:rPr>
        <w:t>3 de l</w:t>
      </w:r>
      <w:r>
        <w:rPr>
          <w:lang w:val="fr-FR"/>
        </w:rPr>
        <w:t>’</w:t>
      </w:r>
      <w:r w:rsidRPr="00440C76">
        <w:rPr>
          <w:lang w:val="fr-FR"/>
        </w:rPr>
        <w:t>appendice</w:t>
      </w:r>
      <w:r>
        <w:rPr>
          <w:lang w:val="fr-FR"/>
        </w:rPr>
        <w:t> </w:t>
      </w:r>
      <w:r w:rsidRPr="00440C76">
        <w:rPr>
          <w:lang w:val="fr-FR"/>
        </w:rPr>
        <w:t>3 de l</w:t>
      </w:r>
      <w:r>
        <w:rPr>
          <w:lang w:val="fr-FR"/>
        </w:rPr>
        <w:t>’</w:t>
      </w:r>
      <w:r w:rsidRPr="00440C76">
        <w:rPr>
          <w:lang w:val="fr-FR"/>
        </w:rPr>
        <w:t>annexe</w:t>
      </w:r>
      <w:r>
        <w:rPr>
          <w:lang w:val="fr-FR"/>
        </w:rPr>
        <w:t> </w:t>
      </w:r>
      <w:r w:rsidRPr="00440C76">
        <w:rPr>
          <w:lang w:val="fr-FR"/>
        </w:rPr>
        <w:t>4a de la série 07 d</w:t>
      </w:r>
      <w:r>
        <w:rPr>
          <w:lang w:val="fr-FR"/>
        </w:rPr>
        <w:t>’</w:t>
      </w:r>
      <w:r w:rsidRPr="00440C76">
        <w:rPr>
          <w:lang w:val="fr-FR"/>
        </w:rPr>
        <w:t>amendements au présent Règlement s</w:t>
      </w:r>
      <w:r>
        <w:rPr>
          <w:lang w:val="fr-FR"/>
        </w:rPr>
        <w:t>’</w:t>
      </w:r>
      <w:r w:rsidRPr="00440C76">
        <w:rPr>
          <w:lang w:val="fr-FR"/>
        </w:rPr>
        <w:t>appliquent lorsqu</w:t>
      </w:r>
      <w:r>
        <w:rPr>
          <w:lang w:val="fr-FR"/>
        </w:rPr>
        <w:t>’</w:t>
      </w:r>
      <w:r w:rsidRPr="00440C76">
        <w:rPr>
          <w:lang w:val="fr-FR"/>
        </w:rPr>
        <w:t>elles sont pertinentes.</w:t>
      </w:r>
    </w:p>
    <w:p w14:paraId="17D0701F" w14:textId="77777777" w:rsidR="00BE2CA7" w:rsidRPr="00440C76" w:rsidRDefault="00BE2CA7" w:rsidP="00BE2CA7">
      <w:pPr>
        <w:pStyle w:val="SingleTxtG"/>
        <w:ind w:left="2268" w:hanging="1134"/>
        <w:rPr>
          <w:lang w:val="fr-FR"/>
        </w:rPr>
      </w:pPr>
      <w:r w:rsidRPr="00440C76">
        <w:rPr>
          <w:lang w:val="fr-FR"/>
        </w:rPr>
        <w:t>2.6</w:t>
      </w:r>
      <w:r w:rsidRPr="00440C76">
        <w:rPr>
          <w:lang w:val="fr-FR"/>
        </w:rPr>
        <w:tab/>
        <w:t>Appareillage supplémentaire</w:t>
      </w:r>
    </w:p>
    <w:p w14:paraId="326A0870" w14:textId="77777777" w:rsidR="00BE2CA7" w:rsidRPr="00440C76" w:rsidRDefault="00BE2CA7" w:rsidP="00BE2CA7">
      <w:pPr>
        <w:pStyle w:val="SingleTxtG"/>
        <w:ind w:left="2268" w:hanging="1134"/>
        <w:rPr>
          <w:lang w:val="fr-FR"/>
        </w:rPr>
      </w:pPr>
      <w:r w:rsidRPr="00440C76">
        <w:rPr>
          <w:lang w:val="fr-FR"/>
        </w:rPr>
        <w:t>2.6.1</w:t>
      </w:r>
      <w:r w:rsidRPr="00440C76">
        <w:rPr>
          <w:lang w:val="fr-FR"/>
        </w:rPr>
        <w:tab/>
        <w:t>Les dispositions énoncées au paragraphe</w:t>
      </w:r>
      <w:r>
        <w:rPr>
          <w:lang w:val="fr-FR"/>
        </w:rPr>
        <w:t> </w:t>
      </w:r>
      <w:r w:rsidRPr="00440C76">
        <w:rPr>
          <w:lang w:val="fr-FR"/>
        </w:rPr>
        <w:t>4.6 de l</w:t>
      </w:r>
      <w:r>
        <w:rPr>
          <w:lang w:val="fr-FR"/>
        </w:rPr>
        <w:t>’</w:t>
      </w:r>
      <w:r w:rsidRPr="00440C76">
        <w:rPr>
          <w:lang w:val="fr-FR"/>
        </w:rPr>
        <w:t>annexe</w:t>
      </w:r>
      <w:r>
        <w:rPr>
          <w:lang w:val="fr-FR"/>
        </w:rPr>
        <w:t> </w:t>
      </w:r>
      <w:r w:rsidRPr="00440C76">
        <w:rPr>
          <w:lang w:val="fr-FR"/>
        </w:rPr>
        <w:t>4a de la série</w:t>
      </w:r>
      <w:r>
        <w:rPr>
          <w:lang w:val="fr-FR"/>
        </w:rPr>
        <w:t> </w:t>
      </w:r>
      <w:r w:rsidRPr="00440C76">
        <w:rPr>
          <w:lang w:val="fr-FR"/>
        </w:rPr>
        <w:t>07 d</w:t>
      </w:r>
      <w:r>
        <w:rPr>
          <w:lang w:val="fr-FR"/>
        </w:rPr>
        <w:t>’</w:t>
      </w:r>
      <w:r w:rsidRPr="00440C76">
        <w:rPr>
          <w:lang w:val="fr-FR"/>
        </w:rPr>
        <w:t>amendements au présent Règlement sont applicables aux appareils utilisés pour mesurer le volume, la température, la pression et l</w:t>
      </w:r>
      <w:r>
        <w:rPr>
          <w:lang w:val="fr-FR"/>
        </w:rPr>
        <w:t>’</w:t>
      </w:r>
      <w:r w:rsidRPr="00440C76">
        <w:rPr>
          <w:lang w:val="fr-FR"/>
        </w:rPr>
        <w:t>humidité.</w:t>
      </w:r>
    </w:p>
    <w:p w14:paraId="28D28CDA" w14:textId="77777777" w:rsidR="00BE2CA7" w:rsidRPr="00440C76" w:rsidRDefault="00BE2CA7" w:rsidP="00BE2CA7">
      <w:pPr>
        <w:pStyle w:val="SingleTxtG"/>
        <w:ind w:left="2268" w:hanging="1134"/>
        <w:rPr>
          <w:lang w:val="fr-FR"/>
        </w:rPr>
      </w:pPr>
      <w:r w:rsidRPr="00440C76">
        <w:rPr>
          <w:lang w:val="fr-FR"/>
        </w:rPr>
        <w:t>3.</w:t>
      </w:r>
      <w:r w:rsidRPr="00440C76">
        <w:rPr>
          <w:lang w:val="fr-FR"/>
        </w:rPr>
        <w:tab/>
        <w:t>Déroulement de l</w:t>
      </w:r>
      <w:r>
        <w:rPr>
          <w:lang w:val="fr-FR"/>
        </w:rPr>
        <w:t>’</w:t>
      </w:r>
      <w:r w:rsidRPr="00440C76">
        <w:rPr>
          <w:lang w:val="fr-FR"/>
        </w:rPr>
        <w:t>essai et carburant</w:t>
      </w:r>
    </w:p>
    <w:p w14:paraId="30724AB5" w14:textId="77777777" w:rsidR="00BE2CA7" w:rsidRPr="00440C76" w:rsidRDefault="00BE2CA7" w:rsidP="00BE2CA7">
      <w:pPr>
        <w:pStyle w:val="SingleTxtG"/>
        <w:ind w:left="2268" w:hanging="1134"/>
        <w:rPr>
          <w:lang w:val="fr-FR"/>
        </w:rPr>
      </w:pPr>
      <w:r w:rsidRPr="00440C76">
        <w:rPr>
          <w:lang w:val="fr-FR"/>
        </w:rPr>
        <w:t>3.1</w:t>
      </w:r>
      <w:r w:rsidRPr="00440C76">
        <w:rPr>
          <w:lang w:val="fr-FR"/>
        </w:rPr>
        <w:tab/>
        <w:t>Conditions générales</w:t>
      </w:r>
    </w:p>
    <w:p w14:paraId="2BA8CE7B" w14:textId="77777777" w:rsidR="00BE2CA7" w:rsidRPr="00440C76" w:rsidRDefault="00BE2CA7" w:rsidP="00BE2CA7">
      <w:pPr>
        <w:pStyle w:val="SingleTxtG"/>
        <w:ind w:left="2268" w:hanging="1134"/>
        <w:rPr>
          <w:lang w:val="fr-FR"/>
        </w:rPr>
      </w:pPr>
      <w:r w:rsidRPr="00440C76">
        <w:rPr>
          <w:lang w:val="fr-FR"/>
        </w:rPr>
        <w:t>3.1.1</w:t>
      </w:r>
      <w:r w:rsidRPr="00440C76">
        <w:rPr>
          <w:lang w:val="fr-FR"/>
        </w:rPr>
        <w:tab/>
        <w:t>Le déroulement de l</w:t>
      </w:r>
      <w:r>
        <w:rPr>
          <w:lang w:val="fr-FR"/>
        </w:rPr>
        <w:t>’</w:t>
      </w:r>
      <w:r w:rsidRPr="00440C76">
        <w:rPr>
          <w:lang w:val="fr-FR"/>
        </w:rPr>
        <w:t>essai illustré par la figure</w:t>
      </w:r>
      <w:r>
        <w:rPr>
          <w:lang w:val="fr-FR"/>
        </w:rPr>
        <w:t> </w:t>
      </w:r>
      <w:r w:rsidRPr="00440C76">
        <w:rPr>
          <w:lang w:val="fr-FR"/>
        </w:rPr>
        <w:t>A8/1 montre les étapes des procédures de l</w:t>
      </w:r>
      <w:r>
        <w:rPr>
          <w:lang w:val="fr-FR"/>
        </w:rPr>
        <w:t>’</w:t>
      </w:r>
      <w:r w:rsidRPr="00440C76">
        <w:rPr>
          <w:lang w:val="fr-FR"/>
        </w:rPr>
        <w:t>essai de type</w:t>
      </w:r>
      <w:r>
        <w:rPr>
          <w:lang w:val="fr-FR"/>
        </w:rPr>
        <w:t> </w:t>
      </w:r>
      <w:r w:rsidRPr="00440C76">
        <w:rPr>
          <w:lang w:val="fr-FR"/>
        </w:rPr>
        <w:t xml:space="preserve">6. Le véhicule est soumis à des niveaux de température ambiante dont la moyenne est de 266 K (-7 °C) </w:t>
      </w:r>
      <w:r w:rsidRPr="00440C76">
        <w:rPr>
          <w:lang w:val="fr-FR"/>
        </w:rPr>
        <w:sym w:font="Symbol" w:char="F0B1"/>
      </w:r>
      <w:r w:rsidRPr="00440C76">
        <w:rPr>
          <w:lang w:val="fr-FR"/>
        </w:rPr>
        <w:t>3 K et qui ne sont ni inférieurs à 260 K (-13 °C) ni supérieurs à 272 K (-1 °C).</w:t>
      </w:r>
    </w:p>
    <w:p w14:paraId="06061E87" w14:textId="77777777" w:rsidR="00BE2CA7" w:rsidRPr="00440C76" w:rsidRDefault="00BE2CA7" w:rsidP="00BE2CA7">
      <w:pPr>
        <w:pStyle w:val="SingleTxtG"/>
        <w:ind w:left="2268"/>
        <w:rPr>
          <w:lang w:val="fr-FR"/>
        </w:rPr>
      </w:pPr>
      <w:r w:rsidRPr="00440C76">
        <w:rPr>
          <w:lang w:val="fr-FR"/>
        </w:rPr>
        <w:tab/>
        <w:t>La température ne peut descendre au-dessous de 263 K (-10 °C), ni dépasser 269 K (-4 °C) pendant plus de 3 min consécutives.</w:t>
      </w:r>
    </w:p>
    <w:p w14:paraId="33CDCC5A" w14:textId="77777777" w:rsidR="00BE2CA7" w:rsidRPr="00440C76" w:rsidRDefault="00BE2CA7" w:rsidP="00BE2CA7">
      <w:pPr>
        <w:pStyle w:val="SingleTxtG"/>
        <w:ind w:left="2268" w:hanging="1134"/>
        <w:rPr>
          <w:lang w:val="fr-FR"/>
        </w:rPr>
      </w:pPr>
      <w:r w:rsidRPr="00440C76">
        <w:rPr>
          <w:lang w:val="fr-FR"/>
        </w:rPr>
        <w:t>3.1.2</w:t>
      </w:r>
      <w:r w:rsidRPr="00440C76">
        <w:rPr>
          <w:lang w:val="fr-FR"/>
        </w:rPr>
        <w:tab/>
        <w:t>La température de la chambre d</w:t>
      </w:r>
      <w:r>
        <w:rPr>
          <w:lang w:val="fr-FR"/>
        </w:rPr>
        <w:t>’</w:t>
      </w:r>
      <w:r w:rsidRPr="00440C76">
        <w:rPr>
          <w:lang w:val="fr-FR"/>
        </w:rPr>
        <w:t>essai, contrôlée durant l</w:t>
      </w:r>
      <w:r>
        <w:rPr>
          <w:lang w:val="fr-FR"/>
        </w:rPr>
        <w:t>’</w:t>
      </w:r>
      <w:r w:rsidRPr="00440C76">
        <w:rPr>
          <w:lang w:val="fr-FR"/>
        </w:rPr>
        <w:t>essai, est mesurée à la sortie du ventilateur de refroidissement (par.</w:t>
      </w:r>
      <w:r>
        <w:rPr>
          <w:lang w:val="fr-FR"/>
        </w:rPr>
        <w:t> </w:t>
      </w:r>
      <w:r w:rsidRPr="00440C76">
        <w:rPr>
          <w:lang w:val="fr-FR"/>
        </w:rPr>
        <w:t>5.2.1 de la présente annexe). La température ambiante notée est la moyenne arithmétique des températures de la chambre d</w:t>
      </w:r>
      <w:r>
        <w:rPr>
          <w:lang w:val="fr-FR"/>
        </w:rPr>
        <w:t>’</w:t>
      </w:r>
      <w:r w:rsidRPr="00440C76">
        <w:rPr>
          <w:lang w:val="fr-FR"/>
        </w:rPr>
        <w:t>essai mesurées à intervalles constants de 1 min au maximum.</w:t>
      </w:r>
    </w:p>
    <w:p w14:paraId="79257215" w14:textId="77777777" w:rsidR="00BE2CA7" w:rsidRPr="00440C76" w:rsidRDefault="00BE2CA7" w:rsidP="00BE2CA7">
      <w:pPr>
        <w:pStyle w:val="SingleTxtG"/>
        <w:ind w:left="2268" w:hanging="1134"/>
        <w:rPr>
          <w:lang w:val="fr-FR"/>
        </w:rPr>
      </w:pPr>
      <w:r w:rsidRPr="00440C76">
        <w:rPr>
          <w:lang w:val="fr-FR"/>
        </w:rPr>
        <w:t>3.2</w:t>
      </w:r>
      <w:r w:rsidRPr="00440C76">
        <w:rPr>
          <w:lang w:val="fr-FR"/>
        </w:rPr>
        <w:tab/>
        <w:t>Méthode d</w:t>
      </w:r>
      <w:r>
        <w:rPr>
          <w:lang w:val="fr-FR"/>
        </w:rPr>
        <w:t>’</w:t>
      </w:r>
      <w:r w:rsidRPr="00440C76">
        <w:rPr>
          <w:lang w:val="fr-FR"/>
        </w:rPr>
        <w:t>essai</w:t>
      </w:r>
    </w:p>
    <w:p w14:paraId="2C968438" w14:textId="77777777" w:rsidR="00BE2CA7" w:rsidRPr="00440C76" w:rsidRDefault="00BE2CA7" w:rsidP="00BE2CA7">
      <w:pPr>
        <w:pStyle w:val="SingleTxtG"/>
        <w:ind w:left="2268"/>
        <w:rPr>
          <w:lang w:val="fr-FR"/>
        </w:rPr>
      </w:pPr>
      <w:r w:rsidRPr="00440C76">
        <w:rPr>
          <w:lang w:val="fr-FR"/>
        </w:rPr>
        <w:t>Le cycle de conduite urbain (première partie), selon la figure</w:t>
      </w:r>
      <w:r>
        <w:rPr>
          <w:lang w:val="fr-FR"/>
        </w:rPr>
        <w:t> </w:t>
      </w:r>
      <w:r w:rsidRPr="00440C76">
        <w:rPr>
          <w:lang w:val="fr-FR"/>
        </w:rPr>
        <w:t>A4a/1 de l</w:t>
      </w:r>
      <w:r>
        <w:rPr>
          <w:lang w:val="fr-FR"/>
        </w:rPr>
        <w:t>’</w:t>
      </w:r>
      <w:r w:rsidRPr="00440C76">
        <w:rPr>
          <w:lang w:val="fr-FR"/>
        </w:rPr>
        <w:t>annexe 4a de la série</w:t>
      </w:r>
      <w:r>
        <w:rPr>
          <w:lang w:val="fr-FR"/>
        </w:rPr>
        <w:t> </w:t>
      </w:r>
      <w:r w:rsidRPr="00440C76">
        <w:rPr>
          <w:lang w:val="fr-FR"/>
        </w:rPr>
        <w:t>07 d</w:t>
      </w:r>
      <w:r>
        <w:rPr>
          <w:lang w:val="fr-FR"/>
        </w:rPr>
        <w:t>’</w:t>
      </w:r>
      <w:r w:rsidRPr="00440C76">
        <w:rPr>
          <w:lang w:val="fr-FR"/>
        </w:rPr>
        <w:t>amendements au présent Règlement se compose de quatre cycles élémentaires urbains formant ensemble un cycle complet de première partie.</w:t>
      </w:r>
    </w:p>
    <w:p w14:paraId="255B2419" w14:textId="77777777" w:rsidR="00BE2CA7" w:rsidRPr="00440C76" w:rsidRDefault="00BE2CA7" w:rsidP="00BE2CA7">
      <w:pPr>
        <w:pStyle w:val="SingleTxtG"/>
        <w:ind w:left="2268" w:hanging="1134"/>
        <w:rPr>
          <w:lang w:val="fr-FR"/>
        </w:rPr>
      </w:pPr>
      <w:r w:rsidRPr="00440C76">
        <w:rPr>
          <w:lang w:val="fr-FR"/>
        </w:rPr>
        <w:t>3.2.1</w:t>
      </w:r>
      <w:r w:rsidRPr="00440C76">
        <w:rPr>
          <w:lang w:val="fr-FR"/>
        </w:rPr>
        <w:tab/>
        <w:t>Le démarrage du moteur, le commencement des prélèvements et l</w:t>
      </w:r>
      <w:r>
        <w:rPr>
          <w:lang w:val="fr-FR"/>
        </w:rPr>
        <w:t>’</w:t>
      </w:r>
      <w:r w:rsidRPr="00440C76">
        <w:rPr>
          <w:lang w:val="fr-FR"/>
        </w:rPr>
        <w:t>exécution du premier cycle sont effectués conformément au tableau</w:t>
      </w:r>
      <w:r>
        <w:rPr>
          <w:lang w:val="fr-FR"/>
        </w:rPr>
        <w:t> </w:t>
      </w:r>
      <w:r w:rsidRPr="00440C76">
        <w:rPr>
          <w:lang w:val="fr-FR"/>
        </w:rPr>
        <w:t>A4a/1 et à la figure</w:t>
      </w:r>
      <w:r>
        <w:rPr>
          <w:lang w:val="fr-FR"/>
        </w:rPr>
        <w:t> </w:t>
      </w:r>
      <w:r w:rsidRPr="00440C76">
        <w:rPr>
          <w:lang w:val="fr-FR"/>
        </w:rPr>
        <w:t>A4a/1 de l</w:t>
      </w:r>
      <w:r>
        <w:rPr>
          <w:lang w:val="fr-FR"/>
        </w:rPr>
        <w:t>’</w:t>
      </w:r>
      <w:r w:rsidRPr="00440C76">
        <w:rPr>
          <w:lang w:val="fr-FR"/>
        </w:rPr>
        <w:t>annexe</w:t>
      </w:r>
      <w:r>
        <w:rPr>
          <w:lang w:val="fr-FR"/>
        </w:rPr>
        <w:t> </w:t>
      </w:r>
      <w:r w:rsidRPr="00440C76">
        <w:rPr>
          <w:lang w:val="fr-FR"/>
        </w:rPr>
        <w:t>4a de la série</w:t>
      </w:r>
      <w:r>
        <w:rPr>
          <w:lang w:val="fr-FR"/>
        </w:rPr>
        <w:t> </w:t>
      </w:r>
      <w:r w:rsidRPr="00440C76">
        <w:rPr>
          <w:lang w:val="fr-FR"/>
        </w:rPr>
        <w:t>07 d</w:t>
      </w:r>
      <w:r>
        <w:rPr>
          <w:lang w:val="fr-FR"/>
        </w:rPr>
        <w:t>’</w:t>
      </w:r>
      <w:r w:rsidRPr="00440C76">
        <w:rPr>
          <w:lang w:val="fr-FR"/>
        </w:rPr>
        <w:t>amendements au présent Règlement.</w:t>
      </w:r>
    </w:p>
    <w:p w14:paraId="34849F0F" w14:textId="77777777" w:rsidR="00BE2CA7" w:rsidRPr="00440C76" w:rsidRDefault="00BE2CA7" w:rsidP="00BE2CA7">
      <w:pPr>
        <w:pStyle w:val="SingleTxtG"/>
        <w:ind w:left="2268" w:hanging="1134"/>
        <w:rPr>
          <w:lang w:val="fr-FR"/>
        </w:rPr>
      </w:pPr>
      <w:r w:rsidRPr="00440C76">
        <w:rPr>
          <w:lang w:val="fr-FR"/>
        </w:rPr>
        <w:t>3.3</w:t>
      </w:r>
      <w:r w:rsidRPr="00440C76">
        <w:rPr>
          <w:lang w:val="fr-FR"/>
        </w:rPr>
        <w:tab/>
        <w:t>Préparation de l</w:t>
      </w:r>
      <w:r>
        <w:rPr>
          <w:lang w:val="fr-FR"/>
        </w:rPr>
        <w:t>’</w:t>
      </w:r>
      <w:r w:rsidRPr="00440C76">
        <w:rPr>
          <w:lang w:val="fr-FR"/>
        </w:rPr>
        <w:t>essai</w:t>
      </w:r>
    </w:p>
    <w:p w14:paraId="5ED6E354" w14:textId="77777777" w:rsidR="00BE2CA7" w:rsidRPr="00440C76" w:rsidRDefault="00BE2CA7" w:rsidP="00BE2CA7">
      <w:pPr>
        <w:pStyle w:val="SingleTxtG"/>
        <w:ind w:left="2268" w:hanging="1134"/>
        <w:rPr>
          <w:u w:val="single"/>
          <w:lang w:val="fr-FR"/>
        </w:rPr>
      </w:pPr>
      <w:r w:rsidRPr="00440C76">
        <w:rPr>
          <w:lang w:val="fr-FR"/>
        </w:rPr>
        <w:t>3.3.1</w:t>
      </w:r>
      <w:r w:rsidRPr="00440C76">
        <w:rPr>
          <w:lang w:val="fr-FR"/>
        </w:rPr>
        <w:tab/>
        <w:t>Les dispositions prévues au paragraphe</w:t>
      </w:r>
      <w:r>
        <w:rPr>
          <w:lang w:val="fr-FR"/>
        </w:rPr>
        <w:t> </w:t>
      </w:r>
      <w:r w:rsidRPr="00440C76">
        <w:rPr>
          <w:lang w:val="fr-FR"/>
        </w:rPr>
        <w:t>3.2 de l</w:t>
      </w:r>
      <w:r>
        <w:rPr>
          <w:lang w:val="fr-FR"/>
        </w:rPr>
        <w:t>’</w:t>
      </w:r>
      <w:r w:rsidRPr="00440C76">
        <w:rPr>
          <w:lang w:val="fr-FR"/>
        </w:rPr>
        <w:t>annexe</w:t>
      </w:r>
      <w:r>
        <w:rPr>
          <w:lang w:val="fr-FR"/>
        </w:rPr>
        <w:t> </w:t>
      </w:r>
      <w:r w:rsidRPr="00440C76">
        <w:rPr>
          <w:lang w:val="fr-FR"/>
        </w:rPr>
        <w:t>4a de la série</w:t>
      </w:r>
      <w:r>
        <w:rPr>
          <w:lang w:val="fr-FR"/>
        </w:rPr>
        <w:t> </w:t>
      </w:r>
      <w:r w:rsidRPr="00440C76">
        <w:rPr>
          <w:lang w:val="fr-FR"/>
        </w:rPr>
        <w:t>07 d</w:t>
      </w:r>
      <w:r>
        <w:rPr>
          <w:lang w:val="fr-FR"/>
        </w:rPr>
        <w:t>’</w:t>
      </w:r>
      <w:r w:rsidRPr="00440C76">
        <w:rPr>
          <w:lang w:val="fr-FR"/>
        </w:rPr>
        <w:t>amendements au présent Règlement sont applicables en ce qui concerne le véhicule d</w:t>
      </w:r>
      <w:r>
        <w:rPr>
          <w:lang w:val="fr-FR"/>
        </w:rPr>
        <w:t>’</w:t>
      </w:r>
      <w:r w:rsidRPr="00440C76">
        <w:rPr>
          <w:lang w:val="fr-FR"/>
        </w:rPr>
        <w:t>essai. Le réglage de l</w:t>
      </w:r>
      <w:r>
        <w:rPr>
          <w:lang w:val="fr-FR"/>
        </w:rPr>
        <w:t>’</w:t>
      </w:r>
      <w:r w:rsidRPr="00440C76">
        <w:rPr>
          <w:lang w:val="fr-FR"/>
        </w:rPr>
        <w:t>inertie équivalente sur le banc à rouleaux doit être effectué conformément aux dispositions du paragraphe</w:t>
      </w:r>
      <w:r>
        <w:rPr>
          <w:lang w:val="fr-FR"/>
        </w:rPr>
        <w:t> </w:t>
      </w:r>
      <w:r w:rsidRPr="00440C76">
        <w:rPr>
          <w:lang w:val="fr-FR"/>
        </w:rPr>
        <w:t>6.2.1 de l</w:t>
      </w:r>
      <w:r>
        <w:rPr>
          <w:lang w:val="fr-FR"/>
        </w:rPr>
        <w:t>’</w:t>
      </w:r>
      <w:r w:rsidRPr="00440C76">
        <w:rPr>
          <w:lang w:val="fr-FR"/>
        </w:rPr>
        <w:t>annexe 4a de la série</w:t>
      </w:r>
      <w:r>
        <w:rPr>
          <w:lang w:val="fr-FR"/>
        </w:rPr>
        <w:t> </w:t>
      </w:r>
      <w:r w:rsidRPr="00440C76">
        <w:rPr>
          <w:lang w:val="fr-FR"/>
        </w:rPr>
        <w:t>07 d</w:t>
      </w:r>
      <w:r>
        <w:rPr>
          <w:lang w:val="fr-FR"/>
        </w:rPr>
        <w:t>’</w:t>
      </w:r>
      <w:r w:rsidRPr="00440C76">
        <w:rPr>
          <w:lang w:val="fr-FR"/>
        </w:rPr>
        <w:t>amendements au présent Règlement.</w:t>
      </w:r>
    </w:p>
    <w:p w14:paraId="74DC0865" w14:textId="77777777" w:rsidR="00BE2CA7" w:rsidRPr="00440C76" w:rsidRDefault="00BE2CA7" w:rsidP="00BE2CA7">
      <w:pPr>
        <w:pStyle w:val="Titre1"/>
        <w:spacing w:after="120"/>
        <w:rPr>
          <w:b/>
          <w:bCs/>
          <w:lang w:val="fr-FR"/>
        </w:rPr>
      </w:pPr>
      <w:r w:rsidRPr="00440C76">
        <w:rPr>
          <w:lang w:val="fr-FR"/>
        </w:rPr>
        <w:lastRenderedPageBreak/>
        <w:t>Figure</w:t>
      </w:r>
      <w:r>
        <w:rPr>
          <w:lang w:val="fr-FR"/>
        </w:rPr>
        <w:t> </w:t>
      </w:r>
      <w:r w:rsidRPr="00440C76">
        <w:rPr>
          <w:lang w:val="fr-FR"/>
        </w:rPr>
        <w:t>A8/1</w:t>
      </w:r>
      <w:r>
        <w:rPr>
          <w:lang w:val="fr-FR"/>
        </w:rPr>
        <w:br/>
      </w:r>
      <w:r w:rsidRPr="00440C76">
        <w:rPr>
          <w:b/>
          <w:bCs/>
          <w:lang w:val="fr-FR"/>
        </w:rPr>
        <w:t>Procédure d</w:t>
      </w:r>
      <w:r>
        <w:rPr>
          <w:b/>
          <w:bCs/>
          <w:lang w:val="fr-FR"/>
        </w:rPr>
        <w:t>’</w:t>
      </w:r>
      <w:r w:rsidRPr="00440C76">
        <w:rPr>
          <w:b/>
          <w:bCs/>
          <w:lang w:val="fr-FR"/>
        </w:rPr>
        <w:t>essai à basse température ambiante</w:t>
      </w:r>
    </w:p>
    <w:bookmarkStart w:id="53" w:name="_MON_1448961284"/>
    <w:bookmarkStart w:id="54" w:name="_MON_1448968349"/>
    <w:bookmarkEnd w:id="53"/>
    <w:bookmarkEnd w:id="54"/>
    <w:bookmarkStart w:id="55" w:name="_MON_1448343422"/>
    <w:bookmarkEnd w:id="55"/>
    <w:p w14:paraId="383B06B3" w14:textId="77777777" w:rsidR="00BE2CA7" w:rsidRPr="00440C76" w:rsidRDefault="00BE2CA7" w:rsidP="00C16E7D">
      <w:pPr>
        <w:pStyle w:val="SingleTxtG"/>
        <w:spacing w:after="240" w:line="240" w:lineRule="auto"/>
        <w:rPr>
          <w:lang w:val="fr-FR"/>
        </w:rPr>
      </w:pPr>
      <w:r w:rsidRPr="00440C76">
        <w:rPr>
          <w:lang w:val="fr-FR"/>
        </w:rPr>
        <w:object w:dxaOrig="6870" w:dyaOrig="7425" w14:anchorId="020F5A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81.2pt;height:361.2pt" o:ole="">
            <v:imagedata r:id="rId20" o:title="" croptop="500f" cropbottom="500f" cropleft="10174f" cropright="2091f"/>
          </v:shape>
          <o:OLEObject Type="Embed" ProgID="Word.Picture.8" ShapeID="_x0000_i1025" DrawAspect="Content" ObjectID="_1779101605" r:id="rId21"/>
        </w:object>
      </w:r>
    </w:p>
    <w:p w14:paraId="4B7CCC2E" w14:textId="77777777" w:rsidR="00BE2CA7" w:rsidRPr="00440C76" w:rsidRDefault="00BE2CA7" w:rsidP="00BE2CA7">
      <w:pPr>
        <w:pStyle w:val="SingleTxtG"/>
        <w:spacing w:before="240"/>
        <w:ind w:left="2268" w:hanging="1134"/>
        <w:rPr>
          <w:lang w:val="fr-FR"/>
        </w:rPr>
      </w:pPr>
      <w:r w:rsidRPr="00440C76">
        <w:rPr>
          <w:lang w:val="fr-FR"/>
        </w:rPr>
        <w:t>3.4</w:t>
      </w:r>
      <w:r w:rsidRPr="00440C76">
        <w:rPr>
          <w:lang w:val="fr-FR"/>
        </w:rPr>
        <w:tab/>
        <w:t>Carburant d</w:t>
      </w:r>
      <w:r>
        <w:rPr>
          <w:lang w:val="fr-FR"/>
        </w:rPr>
        <w:t>’</w:t>
      </w:r>
      <w:r w:rsidRPr="00440C76">
        <w:rPr>
          <w:lang w:val="fr-FR"/>
        </w:rPr>
        <w:t>essai</w:t>
      </w:r>
    </w:p>
    <w:p w14:paraId="0DB1E1AC" w14:textId="77777777" w:rsidR="00BE2CA7" w:rsidRPr="00440C76" w:rsidRDefault="00BE2CA7" w:rsidP="00BE2CA7">
      <w:pPr>
        <w:pStyle w:val="SingleTxtG"/>
        <w:ind w:left="2268" w:hanging="1134"/>
        <w:rPr>
          <w:lang w:val="fr-FR"/>
        </w:rPr>
      </w:pPr>
      <w:r w:rsidRPr="00440C76">
        <w:rPr>
          <w:lang w:val="fr-FR"/>
        </w:rPr>
        <w:t>3.4.1</w:t>
      </w:r>
      <w:r w:rsidRPr="00440C76">
        <w:rPr>
          <w:lang w:val="fr-FR"/>
        </w:rPr>
        <w:tab/>
        <w:t>Le carburant d</w:t>
      </w:r>
      <w:r>
        <w:rPr>
          <w:lang w:val="fr-FR"/>
        </w:rPr>
        <w:t>’</w:t>
      </w:r>
      <w:r w:rsidRPr="00440C76">
        <w:rPr>
          <w:lang w:val="fr-FR"/>
        </w:rPr>
        <w:t>essai doit satisfaire aux prescriptions figurant au paragraphe</w:t>
      </w:r>
      <w:r>
        <w:rPr>
          <w:lang w:val="fr-FR"/>
        </w:rPr>
        <w:t> </w:t>
      </w:r>
      <w:r w:rsidRPr="00440C76">
        <w:rPr>
          <w:lang w:val="fr-FR"/>
        </w:rPr>
        <w:t>2 de l</w:t>
      </w:r>
      <w:r>
        <w:rPr>
          <w:lang w:val="fr-FR"/>
        </w:rPr>
        <w:t>’</w:t>
      </w:r>
      <w:r w:rsidRPr="00440C76">
        <w:rPr>
          <w:lang w:val="fr-FR"/>
        </w:rPr>
        <w:t>annexe</w:t>
      </w:r>
      <w:r>
        <w:rPr>
          <w:lang w:val="fr-FR"/>
        </w:rPr>
        <w:t> </w:t>
      </w:r>
      <w:r w:rsidRPr="00440C76">
        <w:rPr>
          <w:lang w:val="fr-FR"/>
        </w:rPr>
        <w:t>10 du présent Règlement.</w:t>
      </w:r>
    </w:p>
    <w:p w14:paraId="7C2B389B" w14:textId="77777777" w:rsidR="00BE2CA7" w:rsidRPr="00440C76" w:rsidRDefault="00BE2CA7" w:rsidP="00BE2CA7">
      <w:pPr>
        <w:pStyle w:val="SingleTxtG"/>
        <w:ind w:left="2268" w:hanging="1134"/>
        <w:rPr>
          <w:lang w:val="fr-FR"/>
        </w:rPr>
      </w:pPr>
      <w:r w:rsidRPr="00440C76">
        <w:rPr>
          <w:lang w:val="fr-FR"/>
        </w:rPr>
        <w:t>3.5</w:t>
      </w:r>
      <w:r w:rsidRPr="00440C76">
        <w:rPr>
          <w:lang w:val="fr-FR"/>
        </w:rPr>
        <w:tab/>
        <w:t>Les coefficients de résistance à l</w:t>
      </w:r>
      <w:r>
        <w:rPr>
          <w:lang w:val="fr-FR"/>
        </w:rPr>
        <w:t>’</w:t>
      </w:r>
      <w:r w:rsidRPr="00440C76">
        <w:rPr>
          <w:lang w:val="fr-FR"/>
        </w:rPr>
        <w:t>avancement sur route qui doivent être utilisés sont ceux qui correspondent aux véhicules L. S</w:t>
      </w:r>
      <w:r>
        <w:rPr>
          <w:lang w:val="fr-FR"/>
        </w:rPr>
        <w:t>’</w:t>
      </w:r>
      <w:r w:rsidRPr="00440C76">
        <w:rPr>
          <w:lang w:val="fr-FR"/>
        </w:rPr>
        <w:t>il n</w:t>
      </w:r>
      <w:r>
        <w:rPr>
          <w:lang w:val="fr-FR"/>
        </w:rPr>
        <w:t>’</w:t>
      </w:r>
      <w:r w:rsidRPr="00440C76">
        <w:rPr>
          <w:lang w:val="fr-FR"/>
        </w:rPr>
        <w:t>existe pas de coefficient pour les véhicules L, il faut utiliser le coefficient de résistance à l</w:t>
      </w:r>
      <w:r>
        <w:rPr>
          <w:lang w:val="fr-FR"/>
        </w:rPr>
        <w:t>’</w:t>
      </w:r>
      <w:r w:rsidRPr="00440C76">
        <w:rPr>
          <w:lang w:val="fr-FR"/>
        </w:rPr>
        <w:t>avancement sur route pour les véhicules H. Dans ce cas, le véhicule H doit être défini conformément au paragraphe</w:t>
      </w:r>
      <w:r>
        <w:rPr>
          <w:lang w:val="fr-FR"/>
        </w:rPr>
        <w:t> </w:t>
      </w:r>
      <w:r w:rsidRPr="00440C76">
        <w:rPr>
          <w:lang w:val="fr-FR"/>
        </w:rPr>
        <w:t>4.2.1.1.1 de l</w:t>
      </w:r>
      <w:r>
        <w:rPr>
          <w:lang w:val="fr-FR"/>
        </w:rPr>
        <w:t>’</w:t>
      </w:r>
      <w:r w:rsidRPr="00440C76">
        <w:rPr>
          <w:lang w:val="fr-FR"/>
        </w:rPr>
        <w:t>annexe</w:t>
      </w:r>
      <w:r>
        <w:rPr>
          <w:lang w:val="fr-FR"/>
        </w:rPr>
        <w:t> </w:t>
      </w:r>
      <w:r w:rsidRPr="00440C76">
        <w:rPr>
          <w:lang w:val="fr-FR"/>
        </w:rPr>
        <w:t>B4 du Règlement ONU n</w:t>
      </w:r>
      <w:r w:rsidRPr="00440C76">
        <w:rPr>
          <w:vertAlign w:val="superscript"/>
          <w:lang w:val="fr-FR"/>
        </w:rPr>
        <w:t>o</w:t>
      </w:r>
      <w:r w:rsidRPr="00440C76">
        <w:rPr>
          <w:lang w:val="fr-FR"/>
        </w:rPr>
        <w:t> 154. Si la méthode d</w:t>
      </w:r>
      <w:r>
        <w:rPr>
          <w:lang w:val="fr-FR"/>
        </w:rPr>
        <w:t>’</w:t>
      </w:r>
      <w:r w:rsidRPr="00440C76">
        <w:rPr>
          <w:lang w:val="fr-FR"/>
        </w:rPr>
        <w:t>interpolation est utilisée, les véhicules L et H doivent être spécifiés conformément au paragraphe</w:t>
      </w:r>
      <w:r>
        <w:rPr>
          <w:lang w:val="fr-FR"/>
        </w:rPr>
        <w:t> </w:t>
      </w:r>
      <w:r w:rsidRPr="00440C76">
        <w:rPr>
          <w:lang w:val="fr-FR"/>
        </w:rPr>
        <w:t>4.2.1.1.2 de l</w:t>
      </w:r>
      <w:r>
        <w:rPr>
          <w:lang w:val="fr-FR"/>
        </w:rPr>
        <w:t>’</w:t>
      </w:r>
      <w:r w:rsidRPr="00440C76">
        <w:rPr>
          <w:lang w:val="fr-FR"/>
        </w:rPr>
        <w:t>annexe</w:t>
      </w:r>
      <w:r>
        <w:rPr>
          <w:lang w:val="fr-FR"/>
        </w:rPr>
        <w:t> </w:t>
      </w:r>
      <w:r w:rsidRPr="00440C76">
        <w:rPr>
          <w:lang w:val="fr-FR"/>
        </w:rPr>
        <w:t>B4 du Règlement ONU n</w:t>
      </w:r>
      <w:r w:rsidRPr="00440C76">
        <w:rPr>
          <w:vertAlign w:val="superscript"/>
          <w:lang w:val="fr-FR"/>
        </w:rPr>
        <w:t>o</w:t>
      </w:r>
      <w:r w:rsidRPr="00440C76">
        <w:rPr>
          <w:lang w:val="fr-FR"/>
        </w:rPr>
        <w:t> 154. Le banc à rouleaux doit être réglé pour simuler le fonctionnement d</w:t>
      </w:r>
      <w:r>
        <w:rPr>
          <w:lang w:val="fr-FR"/>
        </w:rPr>
        <w:t>’</w:t>
      </w:r>
      <w:r w:rsidRPr="00440C76">
        <w:rPr>
          <w:lang w:val="fr-FR"/>
        </w:rPr>
        <w:t>un véhicule sur route à -7 °C. Ce réglage peut être fondé sur une détermination de la courbe de résistance à l</w:t>
      </w:r>
      <w:r>
        <w:rPr>
          <w:lang w:val="fr-FR"/>
        </w:rPr>
        <w:t>’</w:t>
      </w:r>
      <w:r w:rsidRPr="00440C76">
        <w:rPr>
          <w:lang w:val="fr-FR"/>
        </w:rPr>
        <w:t>avancement sur route à -7 °C. À défaut, la résistance à l</w:t>
      </w:r>
      <w:r>
        <w:rPr>
          <w:lang w:val="fr-FR"/>
        </w:rPr>
        <w:t>’</w:t>
      </w:r>
      <w:r w:rsidRPr="00440C76">
        <w:rPr>
          <w:lang w:val="fr-FR"/>
        </w:rPr>
        <w:t>avancement déterminée peut être ajustée pour une diminution de 10 % de la décélération en roue libre. Le service technique peut approuver l</w:t>
      </w:r>
      <w:r>
        <w:rPr>
          <w:lang w:val="fr-FR"/>
        </w:rPr>
        <w:t>’</w:t>
      </w:r>
      <w:r w:rsidRPr="00440C76">
        <w:rPr>
          <w:lang w:val="fr-FR"/>
        </w:rPr>
        <w:t>utilisation d</w:t>
      </w:r>
      <w:r>
        <w:rPr>
          <w:lang w:val="fr-FR"/>
        </w:rPr>
        <w:t>’</w:t>
      </w:r>
      <w:r w:rsidRPr="00440C76">
        <w:rPr>
          <w:lang w:val="fr-FR"/>
        </w:rPr>
        <w:t>autres méthodes de détermination de la résistance à l</w:t>
      </w:r>
      <w:r>
        <w:rPr>
          <w:lang w:val="fr-FR"/>
        </w:rPr>
        <w:t>’</w:t>
      </w:r>
      <w:r w:rsidRPr="00440C76">
        <w:rPr>
          <w:lang w:val="fr-FR"/>
        </w:rPr>
        <w:t>avancement.</w:t>
      </w:r>
    </w:p>
    <w:p w14:paraId="21278A32" w14:textId="77777777" w:rsidR="00BE2CA7" w:rsidRPr="00440C76" w:rsidRDefault="00BE2CA7" w:rsidP="00BE2CA7">
      <w:pPr>
        <w:pStyle w:val="SingleTxtG"/>
        <w:keepNext/>
        <w:ind w:left="2268" w:hanging="1134"/>
        <w:rPr>
          <w:lang w:val="fr-FR"/>
        </w:rPr>
      </w:pPr>
      <w:r w:rsidRPr="00440C76">
        <w:rPr>
          <w:lang w:val="fr-FR"/>
        </w:rPr>
        <w:t>4.</w:t>
      </w:r>
      <w:r w:rsidRPr="00440C76">
        <w:rPr>
          <w:lang w:val="fr-FR"/>
        </w:rPr>
        <w:tab/>
      </w:r>
      <w:proofErr w:type="spellStart"/>
      <w:r w:rsidRPr="00440C76">
        <w:rPr>
          <w:lang w:val="fr-FR"/>
        </w:rPr>
        <w:t>Préconditionnement</w:t>
      </w:r>
      <w:proofErr w:type="spellEnd"/>
      <w:r w:rsidRPr="00440C76">
        <w:rPr>
          <w:lang w:val="fr-FR"/>
        </w:rPr>
        <w:t xml:space="preserve"> du véhicule</w:t>
      </w:r>
    </w:p>
    <w:p w14:paraId="04ED6B9F" w14:textId="77777777" w:rsidR="00BE2CA7" w:rsidRPr="00440C76" w:rsidRDefault="00BE2CA7" w:rsidP="00BE2CA7">
      <w:pPr>
        <w:pStyle w:val="SingleTxtG"/>
        <w:ind w:left="2268" w:hanging="1134"/>
        <w:rPr>
          <w:lang w:val="fr-FR"/>
        </w:rPr>
      </w:pPr>
      <w:r w:rsidRPr="00440C76">
        <w:rPr>
          <w:lang w:val="fr-FR"/>
        </w:rPr>
        <w:t>4.1</w:t>
      </w:r>
      <w:r w:rsidRPr="00440C76">
        <w:rPr>
          <w:lang w:val="fr-FR"/>
        </w:rPr>
        <w:tab/>
        <w:t>Résumé</w:t>
      </w:r>
    </w:p>
    <w:p w14:paraId="234662DE" w14:textId="77777777" w:rsidR="00BE2CA7" w:rsidRPr="00440C76" w:rsidRDefault="00BE2CA7" w:rsidP="00BE2CA7">
      <w:pPr>
        <w:pStyle w:val="SingleTxtG"/>
        <w:ind w:left="2268" w:hanging="1134"/>
        <w:rPr>
          <w:lang w:val="fr-FR"/>
        </w:rPr>
      </w:pPr>
      <w:r w:rsidRPr="00440C76">
        <w:rPr>
          <w:lang w:val="fr-FR"/>
        </w:rPr>
        <w:t>4.1.1</w:t>
      </w:r>
      <w:r w:rsidRPr="00440C76">
        <w:rPr>
          <w:lang w:val="fr-FR"/>
        </w:rPr>
        <w:tab/>
        <w:t>Pour que la reproductibilité des essais d</w:t>
      </w:r>
      <w:r>
        <w:rPr>
          <w:lang w:val="fr-FR"/>
        </w:rPr>
        <w:t>’</w:t>
      </w:r>
      <w:r w:rsidRPr="00440C76">
        <w:rPr>
          <w:lang w:val="fr-FR"/>
        </w:rPr>
        <w:t>émissions soit assurée, le véhicule d</w:t>
      </w:r>
      <w:r>
        <w:rPr>
          <w:lang w:val="fr-FR"/>
        </w:rPr>
        <w:t>’</w:t>
      </w:r>
      <w:r w:rsidRPr="00440C76">
        <w:rPr>
          <w:lang w:val="fr-FR"/>
        </w:rPr>
        <w:t xml:space="preserve">essai doit être conditionné de manière uniforme. Le conditionnement consiste en un cycle de conduite préparatoire sur le banc à rouleaux, suivi par </w:t>
      </w:r>
      <w:r w:rsidRPr="00440C76">
        <w:rPr>
          <w:lang w:val="fr-FR"/>
        </w:rPr>
        <w:lastRenderedPageBreak/>
        <w:t>un temps d</w:t>
      </w:r>
      <w:r>
        <w:rPr>
          <w:lang w:val="fr-FR"/>
        </w:rPr>
        <w:t>’</w:t>
      </w:r>
      <w:r w:rsidRPr="00440C76">
        <w:rPr>
          <w:lang w:val="fr-FR"/>
        </w:rPr>
        <w:t>imprégnation avant l</w:t>
      </w:r>
      <w:r>
        <w:rPr>
          <w:lang w:val="fr-FR"/>
        </w:rPr>
        <w:t>’</w:t>
      </w:r>
      <w:r w:rsidRPr="00440C76">
        <w:rPr>
          <w:lang w:val="fr-FR"/>
        </w:rPr>
        <w:t>essai d</w:t>
      </w:r>
      <w:r>
        <w:rPr>
          <w:lang w:val="fr-FR"/>
        </w:rPr>
        <w:t>’</w:t>
      </w:r>
      <w:r w:rsidRPr="00440C76">
        <w:rPr>
          <w:lang w:val="fr-FR"/>
        </w:rPr>
        <w:t>émissions décrit au paragraphe</w:t>
      </w:r>
      <w:r>
        <w:rPr>
          <w:lang w:val="fr-FR"/>
        </w:rPr>
        <w:t> </w:t>
      </w:r>
      <w:r w:rsidRPr="00440C76">
        <w:rPr>
          <w:lang w:val="fr-FR"/>
        </w:rPr>
        <w:t>4.3 de la présente annexe.</w:t>
      </w:r>
    </w:p>
    <w:p w14:paraId="5E4BA9A6" w14:textId="77777777" w:rsidR="00BE2CA7" w:rsidRPr="00440C76" w:rsidRDefault="00BE2CA7" w:rsidP="00BE2CA7">
      <w:pPr>
        <w:pStyle w:val="SingleTxtG"/>
        <w:ind w:left="2268" w:hanging="1134"/>
        <w:rPr>
          <w:lang w:val="fr-FR"/>
        </w:rPr>
      </w:pPr>
      <w:r w:rsidRPr="00440C76">
        <w:rPr>
          <w:lang w:val="fr-FR"/>
        </w:rPr>
        <w:t>4.2</w:t>
      </w:r>
      <w:r w:rsidRPr="00440C76">
        <w:rPr>
          <w:lang w:val="fr-FR"/>
        </w:rPr>
        <w:tab/>
      </w:r>
      <w:proofErr w:type="spellStart"/>
      <w:r w:rsidRPr="00440C76">
        <w:rPr>
          <w:lang w:val="fr-FR"/>
        </w:rPr>
        <w:t>Préconditionnement</w:t>
      </w:r>
      <w:proofErr w:type="spellEnd"/>
    </w:p>
    <w:p w14:paraId="17B83EB1" w14:textId="77777777" w:rsidR="00BE2CA7" w:rsidRPr="00440C76" w:rsidRDefault="00BE2CA7" w:rsidP="00BE2CA7">
      <w:pPr>
        <w:pStyle w:val="SingleTxtG"/>
        <w:ind w:left="2268" w:hanging="1134"/>
        <w:rPr>
          <w:lang w:val="fr-FR"/>
        </w:rPr>
      </w:pPr>
      <w:r w:rsidRPr="00440C76">
        <w:rPr>
          <w:lang w:val="fr-FR"/>
        </w:rPr>
        <w:t>4.2.1</w:t>
      </w:r>
      <w:r w:rsidRPr="00440C76">
        <w:rPr>
          <w:lang w:val="fr-FR"/>
        </w:rPr>
        <w:tab/>
        <w:t>Le ou les réservoirs de carburant doivent être remplis avec le carburant d</w:t>
      </w:r>
      <w:r>
        <w:rPr>
          <w:lang w:val="fr-FR"/>
        </w:rPr>
        <w:t>’</w:t>
      </w:r>
      <w:r w:rsidRPr="00440C76">
        <w:rPr>
          <w:lang w:val="fr-FR"/>
        </w:rPr>
        <w:t>essai indiqué. Si le carburant présent dans le ou les réservoirs ne répond pas aux spécifications énoncées au paragraphe</w:t>
      </w:r>
      <w:r>
        <w:rPr>
          <w:lang w:val="fr-FR"/>
        </w:rPr>
        <w:t> </w:t>
      </w:r>
      <w:r w:rsidRPr="00440C76">
        <w:rPr>
          <w:lang w:val="fr-FR"/>
        </w:rPr>
        <w:t>3.4.1 de la présente annexe, il convient de vidanger le réservoir avant le remplissage. Le carburant d</w:t>
      </w:r>
      <w:r>
        <w:rPr>
          <w:lang w:val="fr-FR"/>
        </w:rPr>
        <w:t>’</w:t>
      </w:r>
      <w:r w:rsidRPr="00440C76">
        <w:rPr>
          <w:lang w:val="fr-FR"/>
        </w:rPr>
        <w:t>essai doit être à une température inférieure ou égale à 289 K (+16 °C). Pour les opérations décrites ci-dessus, le système de contrôle des émissions par évaporation ne doit être ni anormalement purgé ni anormalement chargé.</w:t>
      </w:r>
    </w:p>
    <w:p w14:paraId="1249C9AC" w14:textId="77777777" w:rsidR="00BE2CA7" w:rsidRPr="00440C76" w:rsidRDefault="00BE2CA7" w:rsidP="00BE2CA7">
      <w:pPr>
        <w:pStyle w:val="SingleTxtG"/>
        <w:ind w:left="2268" w:hanging="1134"/>
        <w:rPr>
          <w:lang w:val="fr-FR"/>
        </w:rPr>
      </w:pPr>
      <w:r w:rsidRPr="00440C76">
        <w:rPr>
          <w:lang w:val="fr-FR"/>
        </w:rPr>
        <w:t>4.2.2</w:t>
      </w:r>
      <w:r w:rsidRPr="00440C76">
        <w:rPr>
          <w:lang w:val="fr-FR"/>
        </w:rPr>
        <w:tab/>
        <w:t>Le véhicule doit être amené à la chambre d</w:t>
      </w:r>
      <w:r>
        <w:rPr>
          <w:lang w:val="fr-FR"/>
        </w:rPr>
        <w:t>’</w:t>
      </w:r>
      <w:r w:rsidRPr="00440C76">
        <w:rPr>
          <w:lang w:val="fr-FR"/>
        </w:rPr>
        <w:t>essai et placé sur le banc à rouleaux.</w:t>
      </w:r>
    </w:p>
    <w:p w14:paraId="33CA75E5" w14:textId="77777777" w:rsidR="00BE2CA7" w:rsidRPr="00440C76" w:rsidRDefault="00BE2CA7" w:rsidP="00BE2CA7">
      <w:pPr>
        <w:pStyle w:val="SingleTxtG"/>
        <w:ind w:left="2268" w:hanging="1134"/>
        <w:rPr>
          <w:lang w:val="fr-FR"/>
        </w:rPr>
      </w:pPr>
      <w:r w:rsidRPr="00440C76">
        <w:rPr>
          <w:lang w:val="fr-FR"/>
        </w:rPr>
        <w:t>4.2.3</w:t>
      </w:r>
      <w:r w:rsidRPr="00440C76">
        <w:rPr>
          <w:lang w:val="fr-FR"/>
        </w:rPr>
        <w:tab/>
        <w:t xml:space="preserve">Le </w:t>
      </w:r>
      <w:proofErr w:type="spellStart"/>
      <w:r w:rsidRPr="00440C76">
        <w:rPr>
          <w:lang w:val="fr-FR"/>
        </w:rPr>
        <w:t>préconditionnement</w:t>
      </w:r>
      <w:proofErr w:type="spellEnd"/>
      <w:r w:rsidRPr="00440C76">
        <w:rPr>
          <w:lang w:val="fr-FR"/>
        </w:rPr>
        <w:t xml:space="preserve"> se compose d</w:t>
      </w:r>
      <w:r>
        <w:rPr>
          <w:lang w:val="fr-FR"/>
        </w:rPr>
        <w:t>’</w:t>
      </w:r>
      <w:r w:rsidRPr="00440C76">
        <w:rPr>
          <w:lang w:val="fr-FR"/>
        </w:rPr>
        <w:t>un cycle de conduite complet, première partie et seconde partie, conformément aux tableaux</w:t>
      </w:r>
      <w:r>
        <w:rPr>
          <w:lang w:val="fr-FR"/>
        </w:rPr>
        <w:t> </w:t>
      </w:r>
      <w:r w:rsidRPr="00440C76">
        <w:rPr>
          <w:lang w:val="fr-FR"/>
        </w:rPr>
        <w:t>A4a/1 et A4a/2 et à la figure</w:t>
      </w:r>
      <w:r>
        <w:rPr>
          <w:lang w:val="fr-FR"/>
        </w:rPr>
        <w:t> </w:t>
      </w:r>
      <w:r w:rsidRPr="00440C76">
        <w:rPr>
          <w:lang w:val="fr-FR"/>
        </w:rPr>
        <w:t>A4a/1 de l</w:t>
      </w:r>
      <w:r>
        <w:rPr>
          <w:lang w:val="fr-FR"/>
        </w:rPr>
        <w:t>’</w:t>
      </w:r>
      <w:r w:rsidRPr="00440C76">
        <w:rPr>
          <w:lang w:val="fr-FR"/>
        </w:rPr>
        <w:t>annexe</w:t>
      </w:r>
      <w:r>
        <w:rPr>
          <w:lang w:val="fr-FR"/>
        </w:rPr>
        <w:t> </w:t>
      </w:r>
      <w:r w:rsidRPr="00440C76">
        <w:rPr>
          <w:lang w:val="fr-FR"/>
        </w:rPr>
        <w:t>4a de la série</w:t>
      </w:r>
      <w:r>
        <w:rPr>
          <w:lang w:val="fr-FR"/>
        </w:rPr>
        <w:t> </w:t>
      </w:r>
      <w:r w:rsidRPr="00440C76">
        <w:rPr>
          <w:lang w:val="fr-FR"/>
        </w:rPr>
        <w:t>07 d</w:t>
      </w:r>
      <w:r>
        <w:rPr>
          <w:lang w:val="fr-FR"/>
        </w:rPr>
        <w:t>’</w:t>
      </w:r>
      <w:r w:rsidRPr="00440C76">
        <w:rPr>
          <w:lang w:val="fr-FR"/>
        </w:rPr>
        <w:t>amendements au présent Règlement. À la demande du fabricant, les véhicules équipés d</w:t>
      </w:r>
      <w:r>
        <w:rPr>
          <w:lang w:val="fr-FR"/>
        </w:rPr>
        <w:t>’</w:t>
      </w:r>
      <w:r w:rsidRPr="00440C76">
        <w:rPr>
          <w:lang w:val="fr-FR"/>
        </w:rPr>
        <w:t xml:space="preserve">un moteur à allumage commandé peuvent être </w:t>
      </w:r>
      <w:proofErr w:type="spellStart"/>
      <w:r w:rsidRPr="00440C76">
        <w:rPr>
          <w:lang w:val="fr-FR"/>
        </w:rPr>
        <w:t>préconditionnés</w:t>
      </w:r>
      <w:proofErr w:type="spellEnd"/>
      <w:r w:rsidRPr="00440C76">
        <w:rPr>
          <w:lang w:val="fr-FR"/>
        </w:rPr>
        <w:t xml:space="preserve"> par un cycle de conduite de première partie et deux cycles de conduite de seconde partie.</w:t>
      </w:r>
    </w:p>
    <w:p w14:paraId="7919A4AF" w14:textId="77777777" w:rsidR="00BE2CA7" w:rsidRPr="00440C76" w:rsidRDefault="00BE2CA7" w:rsidP="00BE2CA7">
      <w:pPr>
        <w:pStyle w:val="SingleTxtG"/>
        <w:ind w:left="2268" w:hanging="1134"/>
        <w:rPr>
          <w:lang w:val="fr-FR"/>
        </w:rPr>
      </w:pPr>
      <w:r w:rsidRPr="00440C76">
        <w:rPr>
          <w:lang w:val="fr-FR"/>
        </w:rPr>
        <w:t>4.2.4</w:t>
      </w:r>
      <w:r w:rsidRPr="00440C76">
        <w:rPr>
          <w:lang w:val="fr-FR"/>
        </w:rPr>
        <w:tab/>
        <w:t xml:space="preserve">Pendant le </w:t>
      </w:r>
      <w:proofErr w:type="spellStart"/>
      <w:r w:rsidRPr="00440C76">
        <w:rPr>
          <w:lang w:val="fr-FR"/>
        </w:rPr>
        <w:t>préconditionnement</w:t>
      </w:r>
      <w:proofErr w:type="spellEnd"/>
      <w:r w:rsidRPr="00440C76">
        <w:rPr>
          <w:lang w:val="fr-FR"/>
        </w:rPr>
        <w:t>, la température de la chambre d</w:t>
      </w:r>
      <w:r>
        <w:rPr>
          <w:lang w:val="fr-FR"/>
        </w:rPr>
        <w:t>’</w:t>
      </w:r>
      <w:r w:rsidRPr="00440C76">
        <w:rPr>
          <w:lang w:val="fr-FR"/>
        </w:rPr>
        <w:t>essai doit rester assez constante et ne doit pas être supérieure à 303 K (30 °C).</w:t>
      </w:r>
    </w:p>
    <w:p w14:paraId="67CFCD40" w14:textId="77777777" w:rsidR="00BE2CA7" w:rsidRPr="00440C76" w:rsidRDefault="00BE2CA7" w:rsidP="00BE2CA7">
      <w:pPr>
        <w:pStyle w:val="SingleTxtG"/>
        <w:ind w:left="2268" w:hanging="1134"/>
        <w:rPr>
          <w:lang w:val="fr-FR"/>
        </w:rPr>
      </w:pPr>
      <w:r w:rsidRPr="00440C76">
        <w:rPr>
          <w:lang w:val="fr-FR"/>
        </w:rPr>
        <w:t>4.2.5</w:t>
      </w:r>
      <w:r w:rsidRPr="00440C76">
        <w:rPr>
          <w:lang w:val="fr-FR"/>
        </w:rPr>
        <w:tab/>
        <w:t>La pression des pneus des roues motrices doit être réglée conformément aux dispositions du paragraphe</w:t>
      </w:r>
      <w:r>
        <w:rPr>
          <w:lang w:val="fr-FR"/>
        </w:rPr>
        <w:t> </w:t>
      </w:r>
      <w:r w:rsidRPr="00440C76">
        <w:rPr>
          <w:lang w:val="fr-FR"/>
        </w:rPr>
        <w:t>6.2.3 de l</w:t>
      </w:r>
      <w:r>
        <w:rPr>
          <w:lang w:val="fr-FR"/>
        </w:rPr>
        <w:t>’</w:t>
      </w:r>
      <w:r w:rsidRPr="00440C76">
        <w:rPr>
          <w:lang w:val="fr-FR"/>
        </w:rPr>
        <w:t>annexe</w:t>
      </w:r>
      <w:r>
        <w:rPr>
          <w:lang w:val="fr-FR"/>
        </w:rPr>
        <w:t> </w:t>
      </w:r>
      <w:r w:rsidRPr="00440C76">
        <w:rPr>
          <w:lang w:val="fr-FR"/>
        </w:rPr>
        <w:t>4a de la série</w:t>
      </w:r>
      <w:r>
        <w:rPr>
          <w:lang w:val="fr-FR"/>
        </w:rPr>
        <w:t> </w:t>
      </w:r>
      <w:r w:rsidRPr="00440C76">
        <w:rPr>
          <w:lang w:val="fr-FR"/>
        </w:rPr>
        <w:t>07 d</w:t>
      </w:r>
      <w:r>
        <w:rPr>
          <w:lang w:val="fr-FR"/>
        </w:rPr>
        <w:t>’</w:t>
      </w:r>
      <w:r w:rsidRPr="00440C76">
        <w:rPr>
          <w:lang w:val="fr-FR"/>
        </w:rPr>
        <w:t>amendements au présent Règlement.</w:t>
      </w:r>
    </w:p>
    <w:p w14:paraId="2A01FDDF" w14:textId="77777777" w:rsidR="00BE2CA7" w:rsidRPr="00440C76" w:rsidRDefault="00BE2CA7" w:rsidP="00BE2CA7">
      <w:pPr>
        <w:pStyle w:val="SingleTxtG"/>
        <w:ind w:left="2268" w:hanging="1134"/>
        <w:rPr>
          <w:lang w:val="fr-FR"/>
        </w:rPr>
      </w:pPr>
      <w:r w:rsidRPr="00440C76">
        <w:rPr>
          <w:lang w:val="fr-FR"/>
        </w:rPr>
        <w:t>4.2.6</w:t>
      </w:r>
      <w:r w:rsidRPr="00440C76">
        <w:rPr>
          <w:lang w:val="fr-FR"/>
        </w:rPr>
        <w:tab/>
        <w:t xml:space="preserve">Dans les 10 min suivant la fin du </w:t>
      </w:r>
      <w:proofErr w:type="spellStart"/>
      <w:r w:rsidRPr="00440C76">
        <w:rPr>
          <w:lang w:val="fr-FR"/>
        </w:rPr>
        <w:t>préconditionnement</w:t>
      </w:r>
      <w:proofErr w:type="spellEnd"/>
      <w:r w:rsidRPr="00440C76">
        <w:rPr>
          <w:lang w:val="fr-FR"/>
        </w:rPr>
        <w:t>, le moteur du véhicule doit être éteint.</w:t>
      </w:r>
    </w:p>
    <w:p w14:paraId="297523E3" w14:textId="77777777" w:rsidR="00BE2CA7" w:rsidRPr="00440C76" w:rsidRDefault="00BE2CA7" w:rsidP="00BE2CA7">
      <w:pPr>
        <w:pStyle w:val="SingleTxtG"/>
        <w:ind w:left="2268" w:hanging="1134"/>
        <w:rPr>
          <w:lang w:val="fr-FR"/>
        </w:rPr>
      </w:pPr>
      <w:r w:rsidRPr="00440C76">
        <w:rPr>
          <w:lang w:val="fr-FR"/>
        </w:rPr>
        <w:t>4.2.7</w:t>
      </w:r>
      <w:r w:rsidRPr="00440C76">
        <w:rPr>
          <w:lang w:val="fr-FR"/>
        </w:rPr>
        <w:tab/>
        <w:t>Si le fabricant le demande et avec l</w:t>
      </w:r>
      <w:r>
        <w:rPr>
          <w:lang w:val="fr-FR"/>
        </w:rPr>
        <w:t>’</w:t>
      </w:r>
      <w:r w:rsidRPr="00440C76">
        <w:rPr>
          <w:lang w:val="fr-FR"/>
        </w:rPr>
        <w:t xml:space="preserve">accord du service technique, un </w:t>
      </w:r>
      <w:proofErr w:type="spellStart"/>
      <w:r w:rsidRPr="00440C76">
        <w:rPr>
          <w:lang w:val="fr-FR"/>
        </w:rPr>
        <w:t>préconditionnement</w:t>
      </w:r>
      <w:proofErr w:type="spellEnd"/>
      <w:r w:rsidRPr="00440C76">
        <w:rPr>
          <w:lang w:val="fr-FR"/>
        </w:rPr>
        <w:t xml:space="preserve"> supplémentaire peut être autorisé à titre exceptionnel. Le service technique peut aussi décider de procéder à d</w:t>
      </w:r>
      <w:r>
        <w:rPr>
          <w:lang w:val="fr-FR"/>
        </w:rPr>
        <w:t>’</w:t>
      </w:r>
      <w:r w:rsidRPr="00440C76">
        <w:rPr>
          <w:lang w:val="fr-FR"/>
        </w:rPr>
        <w:t xml:space="preserve">autres opérations de </w:t>
      </w:r>
      <w:proofErr w:type="spellStart"/>
      <w:r w:rsidRPr="00440C76">
        <w:rPr>
          <w:lang w:val="fr-FR"/>
        </w:rPr>
        <w:t>préconditionnement</w:t>
      </w:r>
      <w:proofErr w:type="spellEnd"/>
      <w:r w:rsidRPr="00440C76">
        <w:rPr>
          <w:lang w:val="fr-FR"/>
        </w:rPr>
        <w:t xml:space="preserve"> du véhicule, consistant en un ou plusieurs modules supplémentaires de conduite du cycle urbain (première partie) décrit au tableau</w:t>
      </w:r>
      <w:r>
        <w:rPr>
          <w:lang w:val="fr-FR"/>
        </w:rPr>
        <w:t> </w:t>
      </w:r>
      <w:r w:rsidRPr="00440C76">
        <w:rPr>
          <w:lang w:val="fr-FR"/>
        </w:rPr>
        <w:t>A4a/1 et à la figure</w:t>
      </w:r>
      <w:r>
        <w:rPr>
          <w:lang w:val="fr-FR"/>
        </w:rPr>
        <w:t> </w:t>
      </w:r>
      <w:r w:rsidRPr="00440C76">
        <w:rPr>
          <w:lang w:val="fr-FR"/>
        </w:rPr>
        <w:t>A4a/1 de l</w:t>
      </w:r>
      <w:r>
        <w:rPr>
          <w:lang w:val="fr-FR"/>
        </w:rPr>
        <w:t>’</w:t>
      </w:r>
      <w:r w:rsidRPr="00440C76">
        <w:rPr>
          <w:lang w:val="fr-FR"/>
        </w:rPr>
        <w:t>annexe</w:t>
      </w:r>
      <w:r>
        <w:rPr>
          <w:lang w:val="fr-FR"/>
        </w:rPr>
        <w:t> </w:t>
      </w:r>
      <w:r w:rsidRPr="00440C76">
        <w:rPr>
          <w:lang w:val="fr-FR"/>
        </w:rPr>
        <w:t>4a de la série</w:t>
      </w:r>
      <w:r>
        <w:rPr>
          <w:lang w:val="fr-FR"/>
        </w:rPr>
        <w:t> </w:t>
      </w:r>
      <w:r w:rsidRPr="00440C76">
        <w:rPr>
          <w:lang w:val="fr-FR"/>
        </w:rPr>
        <w:t>07 d</w:t>
      </w:r>
      <w:r>
        <w:rPr>
          <w:lang w:val="fr-FR"/>
        </w:rPr>
        <w:t>’</w:t>
      </w:r>
      <w:r w:rsidRPr="00440C76">
        <w:rPr>
          <w:lang w:val="fr-FR"/>
        </w:rPr>
        <w:t>amendements au présent Règlement. Le procès-verbal d</w:t>
      </w:r>
      <w:r>
        <w:rPr>
          <w:lang w:val="fr-FR"/>
        </w:rPr>
        <w:t>’</w:t>
      </w:r>
      <w:r w:rsidRPr="00440C76">
        <w:rPr>
          <w:lang w:val="fr-FR"/>
        </w:rPr>
        <w:t xml:space="preserve">essai doit indiquer quelles opérations supplémentaires de </w:t>
      </w:r>
      <w:proofErr w:type="spellStart"/>
      <w:r w:rsidRPr="00440C76">
        <w:rPr>
          <w:lang w:val="fr-FR"/>
        </w:rPr>
        <w:t>préconditionnement</w:t>
      </w:r>
      <w:proofErr w:type="spellEnd"/>
      <w:r w:rsidRPr="00440C76">
        <w:rPr>
          <w:lang w:val="fr-FR"/>
        </w:rPr>
        <w:t xml:space="preserve"> ont été utilisées.</w:t>
      </w:r>
    </w:p>
    <w:p w14:paraId="0DEE8712" w14:textId="77777777" w:rsidR="00BE2CA7" w:rsidRPr="00440C76" w:rsidRDefault="00BE2CA7" w:rsidP="00BE2CA7">
      <w:pPr>
        <w:pStyle w:val="SingleTxtG"/>
        <w:ind w:left="2268" w:hanging="1134"/>
        <w:rPr>
          <w:lang w:val="fr-FR"/>
        </w:rPr>
      </w:pPr>
      <w:r w:rsidRPr="00440C76">
        <w:rPr>
          <w:lang w:val="fr-FR"/>
        </w:rPr>
        <w:t>4.3</w:t>
      </w:r>
      <w:r w:rsidRPr="00440C76">
        <w:rPr>
          <w:lang w:val="fr-FR"/>
        </w:rPr>
        <w:tab/>
        <w:t>Méthodes d</w:t>
      </w:r>
      <w:r>
        <w:rPr>
          <w:lang w:val="fr-FR"/>
        </w:rPr>
        <w:t>’</w:t>
      </w:r>
      <w:r w:rsidRPr="00440C76">
        <w:rPr>
          <w:lang w:val="fr-FR"/>
        </w:rPr>
        <w:t>imprégnation</w:t>
      </w:r>
    </w:p>
    <w:p w14:paraId="12C07B95" w14:textId="77777777" w:rsidR="00BE2CA7" w:rsidRPr="00440C76" w:rsidRDefault="00BE2CA7" w:rsidP="00BE2CA7">
      <w:pPr>
        <w:pStyle w:val="SingleTxtG"/>
        <w:ind w:left="2268" w:hanging="1134"/>
        <w:rPr>
          <w:lang w:val="fr-FR"/>
        </w:rPr>
      </w:pPr>
      <w:r w:rsidRPr="00440C76">
        <w:rPr>
          <w:lang w:val="fr-FR"/>
        </w:rPr>
        <w:t>4.3.1</w:t>
      </w:r>
      <w:r w:rsidRPr="00440C76">
        <w:rPr>
          <w:lang w:val="fr-FR"/>
        </w:rPr>
        <w:tab/>
        <w:t>L</w:t>
      </w:r>
      <w:r>
        <w:rPr>
          <w:lang w:val="fr-FR"/>
        </w:rPr>
        <w:t>’</w:t>
      </w:r>
      <w:r w:rsidRPr="00440C76">
        <w:rPr>
          <w:lang w:val="fr-FR"/>
        </w:rPr>
        <w:t>une des deux méthodes décrites ci-après, au choix du constructeur, doit être utilisée pour stabiliser le véhicule avant l</w:t>
      </w:r>
      <w:r>
        <w:rPr>
          <w:lang w:val="fr-FR"/>
        </w:rPr>
        <w:t>’</w:t>
      </w:r>
      <w:r w:rsidRPr="00440C76">
        <w:rPr>
          <w:lang w:val="fr-FR"/>
        </w:rPr>
        <w:t>essai d</w:t>
      </w:r>
      <w:r>
        <w:rPr>
          <w:lang w:val="fr-FR"/>
        </w:rPr>
        <w:t>’</w:t>
      </w:r>
      <w:r w:rsidRPr="00440C76">
        <w:rPr>
          <w:lang w:val="fr-FR"/>
        </w:rPr>
        <w:t>émissions.</w:t>
      </w:r>
    </w:p>
    <w:p w14:paraId="7D51C5E3" w14:textId="77777777" w:rsidR="00BE2CA7" w:rsidRPr="00440C76" w:rsidRDefault="00BE2CA7" w:rsidP="00BE2CA7">
      <w:pPr>
        <w:pStyle w:val="SingleTxtG"/>
        <w:keepNext/>
        <w:ind w:left="2268" w:hanging="1134"/>
        <w:rPr>
          <w:lang w:val="fr-FR"/>
        </w:rPr>
      </w:pPr>
      <w:r w:rsidRPr="00440C76">
        <w:rPr>
          <w:lang w:val="fr-FR"/>
        </w:rPr>
        <w:t>4.3.2</w:t>
      </w:r>
      <w:r w:rsidRPr="00440C76">
        <w:rPr>
          <w:lang w:val="fr-FR"/>
        </w:rPr>
        <w:tab/>
        <w:t>Méthode classiques</w:t>
      </w:r>
    </w:p>
    <w:p w14:paraId="45218F99" w14:textId="77777777" w:rsidR="00BE2CA7" w:rsidRPr="00440C76" w:rsidRDefault="00BE2CA7" w:rsidP="00BE2CA7">
      <w:pPr>
        <w:pStyle w:val="SingleTxtG"/>
        <w:keepNext/>
        <w:spacing w:after="100"/>
        <w:ind w:left="2268"/>
        <w:rPr>
          <w:lang w:val="fr-FR"/>
        </w:rPr>
      </w:pPr>
      <w:r w:rsidRPr="00440C76">
        <w:rPr>
          <w:lang w:val="fr-FR"/>
        </w:rPr>
        <w:t>Le véhicule doit être entreposé pendant une durée de 12 h au moins et de 36 h au plus avant l</w:t>
      </w:r>
      <w:r>
        <w:rPr>
          <w:lang w:val="fr-FR"/>
        </w:rPr>
        <w:t>’</w:t>
      </w:r>
      <w:r w:rsidRPr="00440C76">
        <w:rPr>
          <w:lang w:val="fr-FR"/>
        </w:rPr>
        <w:t>essai des émissions à l</w:t>
      </w:r>
      <w:r>
        <w:rPr>
          <w:lang w:val="fr-FR"/>
        </w:rPr>
        <w:t>’</w:t>
      </w:r>
      <w:r w:rsidRPr="00440C76">
        <w:rPr>
          <w:lang w:val="fr-FR"/>
        </w:rPr>
        <w:t>échappement à basse température ambiante. La température ambiante (thermomètre sec) pendant cette durée est maintenue à une moyenne de :</w:t>
      </w:r>
    </w:p>
    <w:p w14:paraId="338EBD6B" w14:textId="77777777" w:rsidR="00BE2CA7" w:rsidRPr="00440C76" w:rsidRDefault="00BE2CA7" w:rsidP="00BE2CA7">
      <w:pPr>
        <w:pStyle w:val="SingleTxtG"/>
        <w:ind w:left="2268"/>
        <w:rPr>
          <w:lang w:val="fr-FR"/>
        </w:rPr>
      </w:pPr>
      <w:r w:rsidRPr="00440C76">
        <w:rPr>
          <w:lang w:val="fr-FR"/>
        </w:rPr>
        <w:t xml:space="preserve">266 K (-7 °C) </w:t>
      </w:r>
      <w:r w:rsidRPr="00440C76">
        <w:rPr>
          <w:lang w:val="fr-FR"/>
        </w:rPr>
        <w:sym w:font="Symbol" w:char="F0B1"/>
      </w:r>
      <w:r w:rsidRPr="00440C76">
        <w:rPr>
          <w:lang w:val="fr-FR"/>
        </w:rPr>
        <w:t>3 K calculée sur chaque heure de cette durée, et elle ne peut être inférieure à 260 K (-13 °C) ni supérieure à 272 K (-1 °C). En outre, la température ne peut descendre au-dessous de 263 K (-10 °C) ni dépasser 269 K (-4 °C) pendant plus de 3 min consécutives.</w:t>
      </w:r>
    </w:p>
    <w:p w14:paraId="06058DBD" w14:textId="77777777" w:rsidR="00BE2CA7" w:rsidRPr="00440C76" w:rsidRDefault="00BE2CA7" w:rsidP="00BE2CA7">
      <w:pPr>
        <w:pStyle w:val="SingleTxtG"/>
        <w:ind w:left="2268" w:hanging="1134"/>
        <w:rPr>
          <w:lang w:val="fr-FR"/>
        </w:rPr>
      </w:pPr>
      <w:r w:rsidRPr="00440C76">
        <w:rPr>
          <w:lang w:val="fr-FR"/>
        </w:rPr>
        <w:t>4.3.3</w:t>
      </w:r>
      <w:r w:rsidRPr="00440C76">
        <w:rPr>
          <w:lang w:val="fr-FR"/>
        </w:rPr>
        <w:tab/>
        <w:t>Méthode forcée</w:t>
      </w:r>
    </w:p>
    <w:p w14:paraId="1E1B334D" w14:textId="77777777" w:rsidR="00BE2CA7" w:rsidRPr="00440C76" w:rsidRDefault="00BE2CA7" w:rsidP="00BE2CA7">
      <w:pPr>
        <w:pStyle w:val="SingleTxtG"/>
        <w:ind w:left="2268"/>
        <w:rPr>
          <w:lang w:val="fr-FR"/>
        </w:rPr>
      </w:pPr>
      <w:r w:rsidRPr="00440C76">
        <w:rPr>
          <w:lang w:val="fr-FR"/>
        </w:rPr>
        <w:t>Le véhicule doit être entreposé pendant 36 h au maximum avant l</w:t>
      </w:r>
      <w:r>
        <w:rPr>
          <w:lang w:val="fr-FR"/>
        </w:rPr>
        <w:t>’</w:t>
      </w:r>
      <w:r w:rsidRPr="00440C76">
        <w:rPr>
          <w:lang w:val="fr-FR"/>
        </w:rPr>
        <w:t>essai des émissions à l</w:t>
      </w:r>
      <w:r>
        <w:rPr>
          <w:lang w:val="fr-FR"/>
        </w:rPr>
        <w:t>’</w:t>
      </w:r>
      <w:r w:rsidRPr="00440C76">
        <w:rPr>
          <w:lang w:val="fr-FR"/>
        </w:rPr>
        <w:t>échappement à basse température ambiante.</w:t>
      </w:r>
    </w:p>
    <w:p w14:paraId="148BC7D3" w14:textId="77777777" w:rsidR="00BE2CA7" w:rsidRPr="00440C76" w:rsidRDefault="00BE2CA7" w:rsidP="00BE2CA7">
      <w:pPr>
        <w:pStyle w:val="SingleTxtG"/>
        <w:ind w:left="2268" w:hanging="1134"/>
        <w:rPr>
          <w:lang w:val="fr-FR"/>
        </w:rPr>
      </w:pPr>
      <w:r w:rsidRPr="00440C76">
        <w:rPr>
          <w:lang w:val="fr-FR"/>
        </w:rPr>
        <w:t>4.3.3.1</w:t>
      </w:r>
      <w:r w:rsidRPr="00440C76">
        <w:rPr>
          <w:lang w:val="fr-FR"/>
        </w:rPr>
        <w:tab/>
        <w:t>Le véhicule ne peut être entreposé à une température ambiante supérieure à 303 K (30 °C) pendant cette période.</w:t>
      </w:r>
    </w:p>
    <w:p w14:paraId="517D9BA1" w14:textId="77777777" w:rsidR="00BE2CA7" w:rsidRPr="00440C76" w:rsidRDefault="00BE2CA7" w:rsidP="00BE2CA7">
      <w:pPr>
        <w:pStyle w:val="SingleTxtG"/>
        <w:ind w:left="2268" w:hanging="1134"/>
        <w:rPr>
          <w:lang w:val="fr-FR"/>
        </w:rPr>
      </w:pPr>
      <w:r w:rsidRPr="00440C76">
        <w:rPr>
          <w:lang w:val="fr-FR"/>
        </w:rPr>
        <w:t>4.3.3.2</w:t>
      </w:r>
      <w:r w:rsidRPr="00440C76">
        <w:rPr>
          <w:lang w:val="fr-FR"/>
        </w:rPr>
        <w:tab/>
        <w:t>Le refroidissement du véhicule peut être effectué par refroidissement forcé du véhicule jusqu</w:t>
      </w:r>
      <w:r>
        <w:rPr>
          <w:lang w:val="fr-FR"/>
        </w:rPr>
        <w:t>’</w:t>
      </w:r>
      <w:r w:rsidRPr="00440C76">
        <w:rPr>
          <w:lang w:val="fr-FR"/>
        </w:rPr>
        <w:t>à la température de l</w:t>
      </w:r>
      <w:r>
        <w:rPr>
          <w:lang w:val="fr-FR"/>
        </w:rPr>
        <w:t>’</w:t>
      </w:r>
      <w:r w:rsidRPr="00440C76">
        <w:rPr>
          <w:lang w:val="fr-FR"/>
        </w:rPr>
        <w:t xml:space="preserve">essai. Si le refroidissement est accéléré </w:t>
      </w:r>
      <w:r w:rsidRPr="00440C76">
        <w:rPr>
          <w:lang w:val="fr-FR"/>
        </w:rPr>
        <w:lastRenderedPageBreak/>
        <w:t>par des ventilateurs, ils doivent être placés en position verticale de manière à diriger le refroidissement maximal sur le train et le moteur et non sur le carter. Aucun ventilateur ne doit être placé au-dessous du véhicule.</w:t>
      </w:r>
    </w:p>
    <w:p w14:paraId="5AC84F3F" w14:textId="77777777" w:rsidR="00BE2CA7" w:rsidRPr="00440C76" w:rsidRDefault="00BE2CA7" w:rsidP="00BE2CA7">
      <w:pPr>
        <w:pStyle w:val="SingleTxtG"/>
        <w:ind w:left="2268" w:hanging="1134"/>
        <w:rPr>
          <w:lang w:val="fr-FR"/>
        </w:rPr>
      </w:pPr>
      <w:r w:rsidRPr="00440C76">
        <w:rPr>
          <w:lang w:val="fr-FR"/>
        </w:rPr>
        <w:t>4.3.3.3</w:t>
      </w:r>
      <w:r w:rsidRPr="00440C76">
        <w:rPr>
          <w:lang w:val="fr-FR"/>
        </w:rPr>
        <w:tab/>
      </w:r>
      <w:r w:rsidRPr="00440C76">
        <w:rPr>
          <w:spacing w:val="-1"/>
          <w:lang w:val="fr-FR"/>
        </w:rPr>
        <w:t>La température ambiante ne doit être vérifiée de manière rigoureuse qu</w:t>
      </w:r>
      <w:r>
        <w:rPr>
          <w:spacing w:val="-1"/>
          <w:lang w:val="fr-FR"/>
        </w:rPr>
        <w:t>’</w:t>
      </w:r>
      <w:r w:rsidRPr="00440C76">
        <w:rPr>
          <w:spacing w:val="-1"/>
          <w:lang w:val="fr-FR"/>
        </w:rPr>
        <w:t xml:space="preserve">après le </w:t>
      </w:r>
      <w:r w:rsidRPr="00440C76">
        <w:rPr>
          <w:lang w:val="fr-FR"/>
        </w:rPr>
        <w:t>refroidissement</w:t>
      </w:r>
      <w:r w:rsidRPr="00440C76">
        <w:rPr>
          <w:spacing w:val="-1"/>
          <w:lang w:val="fr-FR"/>
        </w:rPr>
        <w:t xml:space="preserve"> du véhicule à une température de 266 K (-7 °C) </w:t>
      </w:r>
      <w:r w:rsidRPr="00440C76">
        <w:rPr>
          <w:spacing w:val="-1"/>
          <w:lang w:val="fr-FR"/>
        </w:rPr>
        <w:sym w:font="Symbol" w:char="F0B1"/>
      </w:r>
      <w:r>
        <w:rPr>
          <w:spacing w:val="-1"/>
          <w:lang w:val="fr-FR"/>
        </w:rPr>
        <w:t xml:space="preserve"> </w:t>
      </w:r>
      <w:r w:rsidRPr="00440C76">
        <w:rPr>
          <w:spacing w:val="-1"/>
          <w:lang w:val="fr-FR"/>
        </w:rPr>
        <w:t>2 K, telle que définie par la mesure de la température représentative de l</w:t>
      </w:r>
      <w:r>
        <w:rPr>
          <w:spacing w:val="-1"/>
          <w:lang w:val="fr-FR"/>
        </w:rPr>
        <w:t>’</w:t>
      </w:r>
      <w:r w:rsidRPr="00440C76">
        <w:rPr>
          <w:spacing w:val="-1"/>
          <w:lang w:val="fr-FR"/>
        </w:rPr>
        <w:t>huile moteur.</w:t>
      </w:r>
    </w:p>
    <w:p w14:paraId="519502F8" w14:textId="77777777" w:rsidR="00BE2CA7" w:rsidRPr="00440C76" w:rsidRDefault="00BE2CA7" w:rsidP="00BE2CA7">
      <w:pPr>
        <w:pStyle w:val="SingleTxtG"/>
        <w:ind w:left="2268"/>
        <w:rPr>
          <w:lang w:val="fr-FR"/>
        </w:rPr>
      </w:pPr>
      <w:r w:rsidRPr="00440C76">
        <w:rPr>
          <w:lang w:val="fr-FR"/>
        </w:rPr>
        <w:t>La température représentative de l</w:t>
      </w:r>
      <w:r>
        <w:rPr>
          <w:lang w:val="fr-FR"/>
        </w:rPr>
        <w:t>’</w:t>
      </w:r>
      <w:r w:rsidRPr="00440C76">
        <w:rPr>
          <w:lang w:val="fr-FR"/>
        </w:rPr>
        <w:t>huile moteur est la température de l</w:t>
      </w:r>
      <w:r>
        <w:rPr>
          <w:lang w:val="fr-FR"/>
        </w:rPr>
        <w:t>’</w:t>
      </w:r>
      <w:r w:rsidRPr="00440C76">
        <w:rPr>
          <w:lang w:val="fr-FR"/>
        </w:rPr>
        <w:t>huile mesurée près du centre du carter et non en surface ou au fond du carter. Si la mesure est réalisée en plusieurs endroits différents dans l</w:t>
      </w:r>
      <w:r>
        <w:rPr>
          <w:lang w:val="fr-FR"/>
        </w:rPr>
        <w:t>’</w:t>
      </w:r>
      <w:r w:rsidRPr="00440C76">
        <w:rPr>
          <w:lang w:val="fr-FR"/>
        </w:rPr>
        <w:t>huile, toutes les mesures doivent satisfaire aux prescriptions relatives à la température.</w:t>
      </w:r>
    </w:p>
    <w:p w14:paraId="5C9FD130" w14:textId="77777777" w:rsidR="00BE2CA7" w:rsidRPr="00440C76" w:rsidRDefault="00BE2CA7" w:rsidP="00BE2CA7">
      <w:pPr>
        <w:pStyle w:val="SingleTxtG"/>
        <w:ind w:left="2268" w:hanging="1134"/>
        <w:rPr>
          <w:lang w:val="fr-FR"/>
        </w:rPr>
      </w:pPr>
      <w:r w:rsidRPr="00440C76">
        <w:rPr>
          <w:lang w:val="fr-FR"/>
        </w:rPr>
        <w:t>4.3.3.4</w:t>
      </w:r>
      <w:r w:rsidRPr="00440C76">
        <w:rPr>
          <w:lang w:val="fr-FR"/>
        </w:rPr>
        <w:tab/>
        <w:t xml:space="preserve">Le véhicule doit être entreposé pendant 1 h au moins après avoir été refroidi à une température de 266 K (-7 °C) </w:t>
      </w:r>
      <w:r w:rsidRPr="00440C76">
        <w:rPr>
          <w:lang w:val="fr-FR"/>
        </w:rPr>
        <w:sym w:font="Symbol" w:char="F0B1"/>
      </w:r>
      <w:r>
        <w:rPr>
          <w:lang w:val="fr-FR"/>
        </w:rPr>
        <w:t xml:space="preserve"> </w:t>
      </w:r>
      <w:r w:rsidRPr="00440C76">
        <w:rPr>
          <w:lang w:val="fr-FR"/>
        </w:rPr>
        <w:t>2 K, avant le contrôle des émissions à l</w:t>
      </w:r>
      <w:r>
        <w:rPr>
          <w:lang w:val="fr-FR"/>
        </w:rPr>
        <w:t>’</w:t>
      </w:r>
      <w:r w:rsidRPr="00440C76">
        <w:rPr>
          <w:lang w:val="fr-FR"/>
        </w:rPr>
        <w:t>échappement à basse température ambiante. Au cours de cette période, la température ambiante (thermomètre sec) doit être en moyenne de 266 K (</w:t>
      </w:r>
      <w:r w:rsidRPr="00440C76">
        <w:rPr>
          <w:lang w:val="fr-FR"/>
        </w:rPr>
        <w:noBreakHyphen/>
        <w:t>7 °C) </w:t>
      </w:r>
      <w:r w:rsidRPr="00440C76">
        <w:rPr>
          <w:lang w:val="fr-FR"/>
        </w:rPr>
        <w:sym w:font="Symbol" w:char="F0B1"/>
      </w:r>
      <w:r>
        <w:rPr>
          <w:lang w:val="fr-FR"/>
        </w:rPr>
        <w:t xml:space="preserve"> </w:t>
      </w:r>
      <w:r w:rsidRPr="00440C76">
        <w:rPr>
          <w:lang w:val="fr-FR"/>
        </w:rPr>
        <w:t>3 K et ne doit être ni inférieure à 260 K (-13 °C) ni supérieure à 272 K (-1 °C).</w:t>
      </w:r>
    </w:p>
    <w:p w14:paraId="7A290A42" w14:textId="77777777" w:rsidR="00BE2CA7" w:rsidRPr="00440C76" w:rsidRDefault="00BE2CA7" w:rsidP="00BE2CA7">
      <w:pPr>
        <w:pStyle w:val="SingleTxtG"/>
        <w:ind w:left="2268"/>
        <w:rPr>
          <w:lang w:val="fr-FR"/>
        </w:rPr>
      </w:pPr>
      <w:r w:rsidRPr="00440C76">
        <w:rPr>
          <w:lang w:val="fr-FR"/>
        </w:rPr>
        <w:t>En outre, la température ne doit être ni supérieure à 269 K (-4 °C) ni inférieure à 263 K (-10 °C) pendant plus de 3 min consécutives.</w:t>
      </w:r>
    </w:p>
    <w:p w14:paraId="137B6E6E" w14:textId="77777777" w:rsidR="00BE2CA7" w:rsidRPr="00440C76" w:rsidRDefault="00BE2CA7" w:rsidP="00BE2CA7">
      <w:pPr>
        <w:pStyle w:val="SingleTxtG"/>
        <w:ind w:left="2268" w:hanging="1134"/>
        <w:rPr>
          <w:lang w:val="fr-FR"/>
        </w:rPr>
      </w:pPr>
      <w:r w:rsidRPr="00440C76">
        <w:rPr>
          <w:lang w:val="fr-FR"/>
        </w:rPr>
        <w:t>4.3.4</w:t>
      </w:r>
      <w:r w:rsidRPr="00440C76">
        <w:rPr>
          <w:lang w:val="fr-FR"/>
        </w:rPr>
        <w:tab/>
        <w:t>Si le véhicule est stabilisé à 266 K (-7 °C), dans un environnement différent puis transite dans un environnement plus chaud pour entrer dans la chambre d</w:t>
      </w:r>
      <w:r>
        <w:rPr>
          <w:lang w:val="fr-FR"/>
        </w:rPr>
        <w:t>’</w:t>
      </w:r>
      <w:r w:rsidRPr="00440C76">
        <w:rPr>
          <w:lang w:val="fr-FR"/>
        </w:rPr>
        <w:t>essai, il doit être restabilisé en chambre d</w:t>
      </w:r>
      <w:r>
        <w:rPr>
          <w:lang w:val="fr-FR"/>
        </w:rPr>
        <w:t>’</w:t>
      </w:r>
      <w:r w:rsidRPr="00440C76">
        <w:rPr>
          <w:lang w:val="fr-FR"/>
        </w:rPr>
        <w:t>essai pendant une période au moins égale à six fois la période au cours de laquelle il a été exposé à une température supérieure. La température ambiante (thermomètre sec) au cours de cette période doit être en moyenne de 266 K (-7 °C) </w:t>
      </w:r>
      <w:r w:rsidRPr="00440C76">
        <w:rPr>
          <w:lang w:val="fr-FR"/>
        </w:rPr>
        <w:sym w:font="Symbol" w:char="F0B1"/>
      </w:r>
      <w:r>
        <w:rPr>
          <w:lang w:val="fr-FR"/>
        </w:rPr>
        <w:t xml:space="preserve"> </w:t>
      </w:r>
      <w:r w:rsidRPr="00440C76">
        <w:rPr>
          <w:lang w:val="fr-FR"/>
        </w:rPr>
        <w:t>3 K et ne doit être ni inférieure à 260 K (-13 °C) ni supérieure à 272 K (-1 °C).</w:t>
      </w:r>
    </w:p>
    <w:p w14:paraId="01482D88" w14:textId="77777777" w:rsidR="00BE2CA7" w:rsidRPr="00440C76" w:rsidRDefault="00BE2CA7" w:rsidP="00BE2CA7">
      <w:pPr>
        <w:pStyle w:val="SingleTxtG"/>
        <w:ind w:left="2268"/>
        <w:rPr>
          <w:lang w:val="fr-FR"/>
        </w:rPr>
      </w:pPr>
      <w:r w:rsidRPr="00440C76">
        <w:rPr>
          <w:lang w:val="fr-FR"/>
        </w:rPr>
        <w:t>En outre, la température ne doit pas être supérieure à 269 K (-4 °C) ou inférieure à 263 K (-10 °C) pendant plus de 3 min consécutives.</w:t>
      </w:r>
    </w:p>
    <w:p w14:paraId="49077D64" w14:textId="77777777" w:rsidR="00BE2CA7" w:rsidRPr="00440C76" w:rsidRDefault="00BE2CA7" w:rsidP="00BE2CA7">
      <w:pPr>
        <w:pStyle w:val="SingleTxtG"/>
        <w:ind w:left="2268" w:hanging="1134"/>
        <w:rPr>
          <w:lang w:val="fr-FR"/>
        </w:rPr>
      </w:pPr>
      <w:r w:rsidRPr="00440C76">
        <w:rPr>
          <w:lang w:val="fr-FR"/>
        </w:rPr>
        <w:t>5.</w:t>
      </w:r>
      <w:r w:rsidRPr="00440C76">
        <w:rPr>
          <w:lang w:val="fr-FR"/>
        </w:rPr>
        <w:tab/>
        <w:t>Mode opératoire pour l</w:t>
      </w:r>
      <w:r>
        <w:rPr>
          <w:lang w:val="fr-FR"/>
        </w:rPr>
        <w:t>’</w:t>
      </w:r>
      <w:r w:rsidRPr="00440C76">
        <w:rPr>
          <w:lang w:val="fr-FR"/>
        </w:rPr>
        <w:t>essai au banc</w:t>
      </w:r>
    </w:p>
    <w:p w14:paraId="3F624E01" w14:textId="77777777" w:rsidR="00BE2CA7" w:rsidRPr="00440C76" w:rsidRDefault="00BE2CA7" w:rsidP="00BE2CA7">
      <w:pPr>
        <w:pStyle w:val="SingleTxtG"/>
        <w:ind w:left="2268" w:hanging="1134"/>
        <w:rPr>
          <w:lang w:val="fr-FR"/>
        </w:rPr>
      </w:pPr>
      <w:r w:rsidRPr="00440C76">
        <w:rPr>
          <w:lang w:val="fr-FR"/>
        </w:rPr>
        <w:t>5.1</w:t>
      </w:r>
      <w:r w:rsidRPr="00440C76">
        <w:rPr>
          <w:lang w:val="fr-FR"/>
        </w:rPr>
        <w:tab/>
        <w:t>Résumé</w:t>
      </w:r>
    </w:p>
    <w:p w14:paraId="39575827" w14:textId="77777777" w:rsidR="00BE2CA7" w:rsidRPr="00440C76" w:rsidRDefault="00BE2CA7" w:rsidP="00BE2CA7">
      <w:pPr>
        <w:pStyle w:val="SingleTxtG"/>
        <w:ind w:left="2268" w:hanging="1134"/>
        <w:rPr>
          <w:lang w:val="fr-FR"/>
        </w:rPr>
      </w:pPr>
      <w:r w:rsidRPr="00440C76">
        <w:rPr>
          <w:lang w:val="fr-FR"/>
        </w:rPr>
        <w:t>5.1.1</w:t>
      </w:r>
      <w:r w:rsidRPr="00440C76">
        <w:rPr>
          <w:lang w:val="fr-FR"/>
        </w:rPr>
        <w:tab/>
        <w:t>La mesure des émissions est réalisée pendant un essai consistant en un cycle (première partie) (tableau</w:t>
      </w:r>
      <w:r>
        <w:rPr>
          <w:lang w:val="fr-FR"/>
        </w:rPr>
        <w:t> </w:t>
      </w:r>
      <w:r w:rsidRPr="00440C76">
        <w:rPr>
          <w:lang w:val="fr-FR"/>
        </w:rPr>
        <w:t>A4a/1 et fig.</w:t>
      </w:r>
      <w:r>
        <w:rPr>
          <w:lang w:val="fr-FR"/>
        </w:rPr>
        <w:t> </w:t>
      </w:r>
      <w:r w:rsidRPr="00440C76">
        <w:rPr>
          <w:lang w:val="fr-FR"/>
        </w:rPr>
        <w:t>A4a/1 de l</w:t>
      </w:r>
      <w:r>
        <w:rPr>
          <w:lang w:val="fr-FR"/>
        </w:rPr>
        <w:t>’</w:t>
      </w:r>
      <w:r w:rsidRPr="00440C76">
        <w:rPr>
          <w:lang w:val="fr-FR"/>
        </w:rPr>
        <w:t>annexe</w:t>
      </w:r>
      <w:r>
        <w:rPr>
          <w:lang w:val="fr-FR"/>
        </w:rPr>
        <w:t> </w:t>
      </w:r>
      <w:r w:rsidRPr="00440C76">
        <w:rPr>
          <w:lang w:val="fr-FR"/>
        </w:rPr>
        <w:t>4a de la série</w:t>
      </w:r>
      <w:r>
        <w:rPr>
          <w:lang w:val="fr-FR"/>
        </w:rPr>
        <w:t> </w:t>
      </w:r>
      <w:r w:rsidRPr="00440C76">
        <w:rPr>
          <w:lang w:val="fr-FR"/>
        </w:rPr>
        <w:t>07 d</w:t>
      </w:r>
      <w:r>
        <w:rPr>
          <w:lang w:val="fr-FR"/>
        </w:rPr>
        <w:t>’</w:t>
      </w:r>
      <w:r w:rsidRPr="00440C76">
        <w:rPr>
          <w:lang w:val="fr-FR"/>
        </w:rPr>
        <w:t>amendements au présent Règlement). Démarrage du moteur, prélèvement immédiat des gaz, fonctionnement pendant la première partie du cycle et arrêt du moteur constituent un essai complet à basse température, d</w:t>
      </w:r>
      <w:r>
        <w:rPr>
          <w:lang w:val="fr-FR"/>
        </w:rPr>
        <w:t>’</w:t>
      </w:r>
      <w:r w:rsidRPr="00440C76">
        <w:rPr>
          <w:lang w:val="fr-FR"/>
        </w:rPr>
        <w:t>une durée totale de 780 s. Les gaz d</w:t>
      </w:r>
      <w:r>
        <w:rPr>
          <w:lang w:val="fr-FR"/>
        </w:rPr>
        <w:t>’</w:t>
      </w:r>
      <w:r w:rsidRPr="00440C76">
        <w:rPr>
          <w:lang w:val="fr-FR"/>
        </w:rPr>
        <w:t>échappement sont dilués avec de l</w:t>
      </w:r>
      <w:r>
        <w:rPr>
          <w:lang w:val="fr-FR"/>
        </w:rPr>
        <w:t>’</w:t>
      </w:r>
      <w:r w:rsidRPr="00440C76">
        <w:rPr>
          <w:lang w:val="fr-FR"/>
        </w:rPr>
        <w:t>air ambiant et un échantillon proportionnel continu est prélevé pour analyse. Les gaz prélevés dans les sacs sont analysés pour déterminer la quantité de monoxyde de carbone, de dioxyde de carbone et d</w:t>
      </w:r>
      <w:r>
        <w:rPr>
          <w:lang w:val="fr-FR"/>
        </w:rPr>
        <w:t>’</w:t>
      </w:r>
      <w:r w:rsidRPr="00440C76">
        <w:rPr>
          <w:lang w:val="fr-FR"/>
        </w:rPr>
        <w:t>hydrocarbures. Un échantillon parallèle de l</w:t>
      </w:r>
      <w:r>
        <w:rPr>
          <w:lang w:val="fr-FR"/>
        </w:rPr>
        <w:t>’</w:t>
      </w:r>
      <w:r w:rsidRPr="00440C76">
        <w:rPr>
          <w:lang w:val="fr-FR"/>
        </w:rPr>
        <w:t>air dilué est analysé pour mesurer le monoxyde de carbone, les hydrocarbures totaux et le dioxyde de carbone.</w:t>
      </w:r>
    </w:p>
    <w:p w14:paraId="66DD9733" w14:textId="77777777" w:rsidR="00BE2CA7" w:rsidRPr="00440C76" w:rsidRDefault="00BE2CA7" w:rsidP="00BE2CA7">
      <w:pPr>
        <w:pStyle w:val="SingleTxtG"/>
        <w:ind w:left="2268" w:hanging="1134"/>
        <w:rPr>
          <w:lang w:val="fr-FR"/>
        </w:rPr>
      </w:pPr>
      <w:r w:rsidRPr="00440C76">
        <w:rPr>
          <w:lang w:val="fr-FR"/>
        </w:rPr>
        <w:t>5.2</w:t>
      </w:r>
      <w:r w:rsidRPr="00440C76">
        <w:rPr>
          <w:lang w:val="fr-FR"/>
        </w:rPr>
        <w:tab/>
        <w:t>Fonctionnement du banc à rouleaux</w:t>
      </w:r>
    </w:p>
    <w:p w14:paraId="5DFE60DC" w14:textId="77777777" w:rsidR="00BE2CA7" w:rsidRPr="00440C76" w:rsidRDefault="00BE2CA7" w:rsidP="00BE2CA7">
      <w:pPr>
        <w:pStyle w:val="SingleTxtG"/>
        <w:ind w:left="2268" w:hanging="1134"/>
        <w:rPr>
          <w:lang w:val="fr-FR"/>
        </w:rPr>
      </w:pPr>
      <w:r w:rsidRPr="00440C76">
        <w:rPr>
          <w:lang w:val="fr-FR"/>
        </w:rPr>
        <w:t>5.2.1</w:t>
      </w:r>
      <w:r w:rsidRPr="00440C76">
        <w:rPr>
          <w:lang w:val="fr-FR"/>
        </w:rPr>
        <w:tab/>
        <w:t>Ventilateur de refroidissement</w:t>
      </w:r>
    </w:p>
    <w:p w14:paraId="02D6AFE4" w14:textId="77777777" w:rsidR="00BE2CA7" w:rsidRPr="00440C76" w:rsidRDefault="00BE2CA7" w:rsidP="00BE2CA7">
      <w:pPr>
        <w:pStyle w:val="SingleTxtG"/>
        <w:ind w:left="2268" w:hanging="1134"/>
        <w:rPr>
          <w:lang w:val="fr-FR"/>
        </w:rPr>
      </w:pPr>
      <w:r w:rsidRPr="00440C76">
        <w:rPr>
          <w:lang w:val="fr-FR"/>
        </w:rPr>
        <w:t>5.2.1.1</w:t>
      </w:r>
      <w:r w:rsidRPr="00440C76">
        <w:rPr>
          <w:lang w:val="fr-FR"/>
        </w:rPr>
        <w:tab/>
        <w:t>Un ventilateur de refroidissement est installé de façon à diriger l</w:t>
      </w:r>
      <w:r>
        <w:rPr>
          <w:lang w:val="fr-FR"/>
        </w:rPr>
        <w:t>’</w:t>
      </w:r>
      <w:r w:rsidRPr="00440C76">
        <w:rPr>
          <w:lang w:val="fr-FR"/>
        </w:rPr>
        <w:t>air de refroidissement vers le radiateur (refroidissement de l</w:t>
      </w:r>
      <w:r>
        <w:rPr>
          <w:lang w:val="fr-FR"/>
        </w:rPr>
        <w:t>’</w:t>
      </w:r>
      <w:r w:rsidRPr="00440C76">
        <w:rPr>
          <w:lang w:val="fr-FR"/>
        </w:rPr>
        <w:t>eau) ou vers la prise d</w:t>
      </w:r>
      <w:r>
        <w:rPr>
          <w:lang w:val="fr-FR"/>
        </w:rPr>
        <w:t>’</w:t>
      </w:r>
      <w:r w:rsidRPr="00440C76">
        <w:rPr>
          <w:lang w:val="fr-FR"/>
        </w:rPr>
        <w:t>air (refroidissement de l</w:t>
      </w:r>
      <w:r>
        <w:rPr>
          <w:lang w:val="fr-FR"/>
        </w:rPr>
        <w:t>’</w:t>
      </w:r>
      <w:r w:rsidRPr="00440C76">
        <w:rPr>
          <w:lang w:val="fr-FR"/>
        </w:rPr>
        <w:t>air) et vers le véhicule.</w:t>
      </w:r>
    </w:p>
    <w:p w14:paraId="01267AC0" w14:textId="77777777" w:rsidR="00BE2CA7" w:rsidRPr="00440C76" w:rsidRDefault="00BE2CA7" w:rsidP="00BE2CA7">
      <w:pPr>
        <w:pStyle w:val="SingleTxtG"/>
        <w:ind w:left="2268" w:hanging="1134"/>
        <w:rPr>
          <w:lang w:val="fr-FR"/>
        </w:rPr>
      </w:pPr>
      <w:r w:rsidRPr="00440C76">
        <w:rPr>
          <w:lang w:val="fr-FR"/>
        </w:rPr>
        <w:t>5.2.1.2</w:t>
      </w:r>
      <w:r w:rsidRPr="00440C76">
        <w:rPr>
          <w:lang w:val="fr-FR"/>
        </w:rPr>
        <w:tab/>
        <w:t>Dans le cas de véhicules équipés d</w:t>
      </w:r>
      <w:r>
        <w:rPr>
          <w:lang w:val="fr-FR"/>
        </w:rPr>
        <w:t>’</w:t>
      </w:r>
      <w:r w:rsidRPr="00440C76">
        <w:rPr>
          <w:lang w:val="fr-FR"/>
        </w:rPr>
        <w:t>un moteur à l</w:t>
      </w:r>
      <w:r>
        <w:rPr>
          <w:lang w:val="fr-FR"/>
        </w:rPr>
        <w:t>’</w:t>
      </w:r>
      <w:r w:rsidRPr="00440C76">
        <w:rPr>
          <w:lang w:val="fr-FR"/>
        </w:rPr>
        <w:t>avant, le ventilateur est installé devant le véhicule à moins de 300 </w:t>
      </w:r>
      <w:proofErr w:type="spellStart"/>
      <w:r w:rsidRPr="00440C76">
        <w:rPr>
          <w:lang w:val="fr-FR"/>
        </w:rPr>
        <w:t>mm.</w:t>
      </w:r>
      <w:proofErr w:type="spellEnd"/>
      <w:r w:rsidRPr="00440C76">
        <w:rPr>
          <w:lang w:val="fr-FR"/>
        </w:rPr>
        <w:t xml:space="preserve"> Dans le cas de véhicules équipés d</w:t>
      </w:r>
      <w:r>
        <w:rPr>
          <w:lang w:val="fr-FR"/>
        </w:rPr>
        <w:t>’</w:t>
      </w:r>
      <w:r w:rsidRPr="00440C76">
        <w:rPr>
          <w:lang w:val="fr-FR"/>
        </w:rPr>
        <w:t>un moteur à l</w:t>
      </w:r>
      <w:r>
        <w:rPr>
          <w:lang w:val="fr-FR"/>
        </w:rPr>
        <w:t>’</w:t>
      </w:r>
      <w:r w:rsidRPr="00440C76">
        <w:rPr>
          <w:lang w:val="fr-FR"/>
        </w:rPr>
        <w:t>arrière ou si la prescription susmentionnée est impossible à appliquer, le ventilateur est placé dans une position permettant d</w:t>
      </w:r>
      <w:r>
        <w:rPr>
          <w:lang w:val="fr-FR"/>
        </w:rPr>
        <w:t>’</w:t>
      </w:r>
      <w:r w:rsidRPr="00440C76">
        <w:rPr>
          <w:lang w:val="fr-FR"/>
        </w:rPr>
        <w:t>envoyer suffisamment d</w:t>
      </w:r>
      <w:r>
        <w:rPr>
          <w:lang w:val="fr-FR"/>
        </w:rPr>
        <w:t>’</w:t>
      </w:r>
      <w:r w:rsidRPr="00440C76">
        <w:rPr>
          <w:lang w:val="fr-FR"/>
        </w:rPr>
        <w:t>air pour refroidir le véhicule.</w:t>
      </w:r>
    </w:p>
    <w:p w14:paraId="3C3FBEB7" w14:textId="77777777" w:rsidR="00BE2CA7" w:rsidRPr="00440C76" w:rsidRDefault="00BE2CA7" w:rsidP="00BE2CA7">
      <w:pPr>
        <w:pStyle w:val="SingleTxtG"/>
        <w:ind w:left="2268" w:hanging="1134"/>
        <w:rPr>
          <w:lang w:val="fr-FR"/>
        </w:rPr>
      </w:pPr>
      <w:r w:rsidRPr="00440C76">
        <w:rPr>
          <w:lang w:val="fr-FR"/>
        </w:rPr>
        <w:t>5.2.1.3</w:t>
      </w:r>
      <w:r w:rsidRPr="00440C76">
        <w:rPr>
          <w:lang w:val="fr-FR"/>
        </w:rPr>
        <w:tab/>
        <w:t>La vitesse du ventilateur doit être telle que, dans la fourchette de fonctionnement de 10 km/h à au moins 50 km/h, la vitesse linéaire de l</w:t>
      </w:r>
      <w:r>
        <w:rPr>
          <w:lang w:val="fr-FR"/>
        </w:rPr>
        <w:t>’</w:t>
      </w:r>
      <w:r w:rsidRPr="00440C76">
        <w:rPr>
          <w:lang w:val="fr-FR"/>
        </w:rPr>
        <w:t xml:space="preserve">air à la </w:t>
      </w:r>
      <w:r w:rsidRPr="00440C76">
        <w:rPr>
          <w:lang w:val="fr-FR"/>
        </w:rPr>
        <w:lastRenderedPageBreak/>
        <w:t>sortie soufflante soit, à 5 km/h près, égale à la vitesse correspondante des rouleaux. Pour le choix final de la soufflerie, on retiendra les caractéristiques suivantes :</w:t>
      </w:r>
    </w:p>
    <w:p w14:paraId="74844E55" w14:textId="77777777" w:rsidR="00BE2CA7" w:rsidRPr="00440C76" w:rsidRDefault="00BE2CA7" w:rsidP="00BE2CA7">
      <w:pPr>
        <w:pStyle w:val="SingleTxtG"/>
        <w:ind w:left="2835" w:hanging="567"/>
        <w:rPr>
          <w:lang w:val="fr-FR"/>
        </w:rPr>
      </w:pPr>
      <w:r w:rsidRPr="00440C76">
        <w:rPr>
          <w:lang w:val="fr-FR"/>
        </w:rPr>
        <w:t>a)</w:t>
      </w:r>
      <w:r w:rsidRPr="00440C76">
        <w:rPr>
          <w:lang w:val="fr-FR"/>
        </w:rPr>
        <w:tab/>
        <w:t>Surface : au moins 0,2 m</w:t>
      </w:r>
      <w:r w:rsidRPr="00440C76">
        <w:rPr>
          <w:vertAlign w:val="superscript"/>
          <w:lang w:val="fr-FR"/>
        </w:rPr>
        <w:t>2</w:t>
      </w:r>
      <w:r w:rsidRPr="00440C76">
        <w:rPr>
          <w:lang w:val="fr-FR"/>
        </w:rPr>
        <w:t> ;</w:t>
      </w:r>
    </w:p>
    <w:p w14:paraId="12BE1A81" w14:textId="77777777" w:rsidR="00BE2CA7" w:rsidRPr="00440C76" w:rsidRDefault="00BE2CA7" w:rsidP="00BE2CA7">
      <w:pPr>
        <w:pStyle w:val="SingleTxtG"/>
        <w:ind w:left="2835" w:hanging="567"/>
        <w:rPr>
          <w:lang w:val="fr-FR"/>
        </w:rPr>
      </w:pPr>
      <w:r w:rsidRPr="00440C76">
        <w:rPr>
          <w:lang w:val="fr-FR"/>
        </w:rPr>
        <w:t>b)</w:t>
      </w:r>
      <w:r w:rsidRPr="00440C76">
        <w:rPr>
          <w:lang w:val="fr-FR"/>
        </w:rPr>
        <w:tab/>
        <w:t>Hauteur du bord inférieur par rapport au sol : environ 20 cm.</w:t>
      </w:r>
    </w:p>
    <w:p w14:paraId="220B71A6" w14:textId="77777777" w:rsidR="00BE2CA7" w:rsidRPr="00440C76" w:rsidRDefault="00BE2CA7" w:rsidP="00BE2CA7">
      <w:pPr>
        <w:pStyle w:val="SingleTxtG"/>
        <w:ind w:left="2268"/>
        <w:rPr>
          <w:lang w:val="fr-FR"/>
        </w:rPr>
      </w:pPr>
      <w:r w:rsidRPr="00440C76">
        <w:rPr>
          <w:lang w:val="fr-FR"/>
        </w:rPr>
        <w:tab/>
        <w:t>Une autre possibilité consiste à fixer une vitesse du ventilateur d</w:t>
      </w:r>
      <w:r>
        <w:rPr>
          <w:lang w:val="fr-FR"/>
        </w:rPr>
        <w:t>’</w:t>
      </w:r>
      <w:r w:rsidRPr="00440C76">
        <w:rPr>
          <w:lang w:val="fr-FR"/>
        </w:rPr>
        <w:t>au moins 6 m/s (21,6 km/h). À la demande du fabricant, la hauteur du ventilateur de refroidissement peut être modifiée pour des véhicules spéciaux (par exemple fourgons, véhicules tout-terrain).</w:t>
      </w:r>
    </w:p>
    <w:p w14:paraId="2C13BC48" w14:textId="77777777" w:rsidR="00BE2CA7" w:rsidRPr="00440C76" w:rsidRDefault="00BE2CA7" w:rsidP="00BE2CA7">
      <w:pPr>
        <w:pStyle w:val="SingleTxtG"/>
        <w:ind w:left="2268" w:hanging="1134"/>
        <w:rPr>
          <w:lang w:val="fr-FR"/>
        </w:rPr>
      </w:pPr>
      <w:r w:rsidRPr="00440C76">
        <w:rPr>
          <w:lang w:val="fr-FR"/>
        </w:rPr>
        <w:t>5.2.1.4</w:t>
      </w:r>
      <w:r w:rsidRPr="00440C76">
        <w:rPr>
          <w:lang w:val="fr-FR"/>
        </w:rPr>
        <w:tab/>
        <w:t>La vitesse du véhicule doit être mesurée d</w:t>
      </w:r>
      <w:r>
        <w:rPr>
          <w:lang w:val="fr-FR"/>
        </w:rPr>
        <w:t>’</w:t>
      </w:r>
      <w:r w:rsidRPr="00440C76">
        <w:rPr>
          <w:lang w:val="fr-FR"/>
        </w:rPr>
        <w:t>après la vitesse de rotation du ou des rouleaux du banc d</w:t>
      </w:r>
      <w:r>
        <w:rPr>
          <w:lang w:val="fr-FR"/>
        </w:rPr>
        <w:t>’</w:t>
      </w:r>
      <w:r w:rsidRPr="00440C76">
        <w:rPr>
          <w:lang w:val="fr-FR"/>
        </w:rPr>
        <w:t>essai (par.</w:t>
      </w:r>
      <w:r>
        <w:rPr>
          <w:lang w:val="fr-FR"/>
        </w:rPr>
        <w:t xml:space="preserve"> </w:t>
      </w:r>
      <w:r w:rsidRPr="00440C76">
        <w:rPr>
          <w:lang w:val="fr-FR"/>
        </w:rPr>
        <w:t>1.2.6 de l</w:t>
      </w:r>
      <w:r>
        <w:rPr>
          <w:lang w:val="fr-FR"/>
        </w:rPr>
        <w:t>’</w:t>
      </w:r>
      <w:r w:rsidRPr="00440C76">
        <w:rPr>
          <w:lang w:val="fr-FR"/>
        </w:rPr>
        <w:t>appendice</w:t>
      </w:r>
      <w:r>
        <w:rPr>
          <w:lang w:val="fr-FR"/>
        </w:rPr>
        <w:t> </w:t>
      </w:r>
      <w:r w:rsidRPr="00440C76">
        <w:rPr>
          <w:lang w:val="fr-FR"/>
        </w:rPr>
        <w:t>1 de l</w:t>
      </w:r>
      <w:r>
        <w:rPr>
          <w:lang w:val="fr-FR"/>
        </w:rPr>
        <w:t>’</w:t>
      </w:r>
      <w:r w:rsidRPr="00440C76">
        <w:rPr>
          <w:lang w:val="fr-FR"/>
        </w:rPr>
        <w:t>annexe</w:t>
      </w:r>
      <w:r>
        <w:rPr>
          <w:lang w:val="fr-FR"/>
        </w:rPr>
        <w:t> </w:t>
      </w:r>
      <w:r w:rsidRPr="00440C76">
        <w:rPr>
          <w:lang w:val="fr-FR"/>
        </w:rPr>
        <w:t>4a de la série</w:t>
      </w:r>
      <w:r>
        <w:rPr>
          <w:lang w:val="fr-FR"/>
        </w:rPr>
        <w:t> </w:t>
      </w:r>
      <w:r w:rsidRPr="00440C76">
        <w:rPr>
          <w:lang w:val="fr-FR"/>
        </w:rPr>
        <w:t>07 d</w:t>
      </w:r>
      <w:r>
        <w:rPr>
          <w:lang w:val="fr-FR"/>
        </w:rPr>
        <w:t>’</w:t>
      </w:r>
      <w:r w:rsidRPr="00440C76">
        <w:rPr>
          <w:lang w:val="fr-FR"/>
        </w:rPr>
        <w:t>amendements au présent Règlement).</w:t>
      </w:r>
    </w:p>
    <w:p w14:paraId="0C2ADADE" w14:textId="77777777" w:rsidR="00BE2CA7" w:rsidRPr="00440C76" w:rsidRDefault="00BE2CA7" w:rsidP="00BE2CA7">
      <w:pPr>
        <w:pStyle w:val="SingleTxtG"/>
        <w:ind w:left="2268" w:hanging="1134"/>
        <w:rPr>
          <w:lang w:val="fr-FR"/>
        </w:rPr>
      </w:pPr>
      <w:r w:rsidRPr="00440C76">
        <w:rPr>
          <w:lang w:val="fr-FR"/>
        </w:rPr>
        <w:t>5.2.2</w:t>
      </w:r>
      <w:r w:rsidRPr="00440C76">
        <w:rPr>
          <w:lang w:val="fr-FR"/>
        </w:rPr>
        <w:tab/>
        <w:t>Réservé</w:t>
      </w:r>
    </w:p>
    <w:p w14:paraId="631B3FC7" w14:textId="77777777" w:rsidR="00BE2CA7" w:rsidRPr="00440C76" w:rsidRDefault="00BE2CA7" w:rsidP="00BE2CA7">
      <w:pPr>
        <w:pStyle w:val="SingleTxtG"/>
        <w:ind w:left="2268" w:hanging="1134"/>
        <w:rPr>
          <w:lang w:val="fr-FR"/>
        </w:rPr>
      </w:pPr>
      <w:r w:rsidRPr="00440C76">
        <w:rPr>
          <w:lang w:val="fr-FR"/>
        </w:rPr>
        <w:t>5.2.3</w:t>
      </w:r>
      <w:r w:rsidRPr="00440C76">
        <w:rPr>
          <w:lang w:val="fr-FR"/>
        </w:rPr>
        <w:tab/>
        <w:t>Des cycles d</w:t>
      </w:r>
      <w:r>
        <w:rPr>
          <w:lang w:val="fr-FR"/>
        </w:rPr>
        <w:t>’</w:t>
      </w:r>
      <w:r w:rsidRPr="00440C76">
        <w:rPr>
          <w:lang w:val="fr-FR"/>
        </w:rPr>
        <w:t>essai préliminaires peuvent, au besoin, être réalisés pour déterminer la meilleure manière d</w:t>
      </w:r>
      <w:r>
        <w:rPr>
          <w:lang w:val="fr-FR"/>
        </w:rPr>
        <w:t>’</w:t>
      </w:r>
      <w:r w:rsidRPr="00440C76">
        <w:rPr>
          <w:lang w:val="fr-FR"/>
        </w:rPr>
        <w:t>agir sur les commandes d</w:t>
      </w:r>
      <w:r>
        <w:rPr>
          <w:lang w:val="fr-FR"/>
        </w:rPr>
        <w:t>’</w:t>
      </w:r>
      <w:r w:rsidRPr="00440C76">
        <w:rPr>
          <w:lang w:val="fr-FR"/>
        </w:rPr>
        <w:t>accélération et de freinage pour obtenir un cycle proche du cycle théorique dans les limites prescrites, ou pour permettre le réglage du système de prélèvement. Ce type de conduite doit être réalisé avant la phase « DÉBUT » indiquée à la figure A8/1.</w:t>
      </w:r>
    </w:p>
    <w:p w14:paraId="276A99EC" w14:textId="77777777" w:rsidR="00BE2CA7" w:rsidRPr="00440C76" w:rsidRDefault="00BE2CA7" w:rsidP="00BE2CA7">
      <w:pPr>
        <w:pStyle w:val="SingleTxtG"/>
        <w:ind w:left="2268" w:hanging="1134"/>
        <w:rPr>
          <w:lang w:val="fr-FR"/>
        </w:rPr>
      </w:pPr>
      <w:r w:rsidRPr="00D34A46">
        <w:rPr>
          <w:lang w:val="fr-FR"/>
        </w:rPr>
        <w:t>5.2.4</w:t>
      </w:r>
      <w:r w:rsidRPr="00D34A46">
        <w:rPr>
          <w:lang w:val="fr-FR"/>
        </w:rPr>
        <w:tab/>
        <w:t>L’humidité de l’air doit être maintenue à un niveau suffisamment faible pour éviter toute condensation sur les rouleaux du banc d’essai.</w:t>
      </w:r>
    </w:p>
    <w:p w14:paraId="3F9FCA67" w14:textId="77777777" w:rsidR="00BE2CA7" w:rsidRPr="00440C76" w:rsidRDefault="00BE2CA7" w:rsidP="00BE2CA7">
      <w:pPr>
        <w:pStyle w:val="SingleTxtG"/>
        <w:ind w:left="2268" w:hanging="1134"/>
        <w:rPr>
          <w:spacing w:val="-2"/>
          <w:lang w:val="fr-FR"/>
        </w:rPr>
      </w:pPr>
      <w:r w:rsidRPr="00440C76">
        <w:rPr>
          <w:lang w:val="fr-FR"/>
        </w:rPr>
        <w:t>5.2.5</w:t>
      </w:r>
      <w:r w:rsidRPr="00440C76">
        <w:rPr>
          <w:lang w:val="fr-FR"/>
        </w:rPr>
        <w:tab/>
      </w:r>
      <w:r w:rsidRPr="00440C76">
        <w:rPr>
          <w:spacing w:val="-2"/>
          <w:lang w:val="fr-FR"/>
        </w:rPr>
        <w:t xml:space="preserve">Le banc à rouleaux doit être </w:t>
      </w:r>
      <w:proofErr w:type="spellStart"/>
      <w:r w:rsidRPr="00440C76">
        <w:rPr>
          <w:spacing w:val="-2"/>
          <w:lang w:val="fr-FR"/>
        </w:rPr>
        <w:t>complètement</w:t>
      </w:r>
      <w:proofErr w:type="spellEnd"/>
      <w:r w:rsidRPr="00440C76">
        <w:rPr>
          <w:spacing w:val="-2"/>
          <w:lang w:val="fr-FR"/>
        </w:rPr>
        <w:t xml:space="preserve"> chauffé, conformément aux instructions du constructeur du banc d</w:t>
      </w:r>
      <w:r>
        <w:rPr>
          <w:spacing w:val="-2"/>
          <w:lang w:val="fr-FR"/>
        </w:rPr>
        <w:t>’</w:t>
      </w:r>
      <w:r w:rsidRPr="00440C76">
        <w:rPr>
          <w:spacing w:val="-2"/>
          <w:lang w:val="fr-FR"/>
        </w:rPr>
        <w:t>essai, et des procédures et méthodes de contrôle doivent être utilisées pour garantir la stabilité de l</w:t>
      </w:r>
      <w:r>
        <w:rPr>
          <w:spacing w:val="-2"/>
          <w:lang w:val="fr-FR"/>
        </w:rPr>
        <w:t>’</w:t>
      </w:r>
      <w:r w:rsidRPr="00440C76">
        <w:rPr>
          <w:spacing w:val="-2"/>
          <w:lang w:val="fr-FR"/>
        </w:rPr>
        <w:t>adhérence résiduelle.</w:t>
      </w:r>
    </w:p>
    <w:p w14:paraId="702498D2" w14:textId="77777777" w:rsidR="00BE2CA7" w:rsidRPr="00440C76" w:rsidRDefault="00BE2CA7" w:rsidP="00BE2CA7">
      <w:pPr>
        <w:pStyle w:val="SingleTxtG"/>
        <w:ind w:left="2268" w:hanging="1134"/>
        <w:rPr>
          <w:lang w:val="fr-FR"/>
        </w:rPr>
      </w:pPr>
      <w:r w:rsidRPr="00440C76">
        <w:rPr>
          <w:lang w:val="fr-FR"/>
        </w:rPr>
        <w:t>5.2.6</w:t>
      </w:r>
      <w:r w:rsidRPr="00440C76">
        <w:rPr>
          <w:lang w:val="fr-FR"/>
        </w:rPr>
        <w:tab/>
        <w:t>L</w:t>
      </w:r>
      <w:r>
        <w:rPr>
          <w:lang w:val="fr-FR"/>
        </w:rPr>
        <w:t>’</w:t>
      </w:r>
      <w:r w:rsidRPr="00440C76">
        <w:rPr>
          <w:lang w:val="fr-FR"/>
        </w:rPr>
        <w:t>intervalle de temps entre l</w:t>
      </w:r>
      <w:r>
        <w:rPr>
          <w:lang w:val="fr-FR"/>
        </w:rPr>
        <w:t>’</w:t>
      </w:r>
      <w:r w:rsidRPr="00440C76">
        <w:rPr>
          <w:lang w:val="fr-FR"/>
        </w:rPr>
        <w:t>échauffement du banc à rouleaux et le commencement du contrôle des gaz d</w:t>
      </w:r>
      <w:r>
        <w:rPr>
          <w:lang w:val="fr-FR"/>
        </w:rPr>
        <w:t>’</w:t>
      </w:r>
      <w:r w:rsidRPr="00440C76">
        <w:rPr>
          <w:lang w:val="fr-FR"/>
        </w:rPr>
        <w:t>échappement ne doit pas être supérieur à 10 min si le banc d</w:t>
      </w:r>
      <w:r>
        <w:rPr>
          <w:lang w:val="fr-FR"/>
        </w:rPr>
        <w:t>’</w:t>
      </w:r>
      <w:r w:rsidRPr="00440C76">
        <w:rPr>
          <w:lang w:val="fr-FR"/>
        </w:rPr>
        <w:t>essai n</w:t>
      </w:r>
      <w:r>
        <w:rPr>
          <w:lang w:val="fr-FR"/>
        </w:rPr>
        <w:t>’</w:t>
      </w:r>
      <w:r w:rsidRPr="00440C76">
        <w:rPr>
          <w:lang w:val="fr-FR"/>
        </w:rPr>
        <w:t>est pas doté d</w:t>
      </w:r>
      <w:r>
        <w:rPr>
          <w:lang w:val="fr-FR"/>
        </w:rPr>
        <w:t>’</w:t>
      </w:r>
      <w:r w:rsidRPr="00440C76">
        <w:rPr>
          <w:lang w:val="fr-FR"/>
        </w:rPr>
        <w:t>un dispositif de chauffage indépendant. Si le banc d</w:t>
      </w:r>
      <w:r>
        <w:rPr>
          <w:lang w:val="fr-FR"/>
        </w:rPr>
        <w:t>’</w:t>
      </w:r>
      <w:r w:rsidRPr="00440C76">
        <w:rPr>
          <w:lang w:val="fr-FR"/>
        </w:rPr>
        <w:t>essai est doté d</w:t>
      </w:r>
      <w:r>
        <w:rPr>
          <w:lang w:val="fr-FR"/>
        </w:rPr>
        <w:t>’</w:t>
      </w:r>
      <w:r w:rsidRPr="00440C76">
        <w:rPr>
          <w:lang w:val="fr-FR"/>
        </w:rPr>
        <w:t>un dispositif de chauffage indépendant, le contrôle des émissions ne doit pas commencer plus de 20 min après 1</w:t>
      </w:r>
      <w:r>
        <w:rPr>
          <w:lang w:val="fr-FR"/>
        </w:rPr>
        <w:t>’</w:t>
      </w:r>
      <w:r w:rsidRPr="00440C76">
        <w:rPr>
          <w:lang w:val="fr-FR"/>
        </w:rPr>
        <w:t>échauffement du banc d</w:t>
      </w:r>
      <w:r>
        <w:rPr>
          <w:lang w:val="fr-FR"/>
        </w:rPr>
        <w:t>’</w:t>
      </w:r>
      <w:r w:rsidRPr="00440C76">
        <w:rPr>
          <w:lang w:val="fr-FR"/>
        </w:rPr>
        <w:t>essai.</w:t>
      </w:r>
    </w:p>
    <w:p w14:paraId="4707B476" w14:textId="77777777" w:rsidR="00BE2CA7" w:rsidRPr="00440C76" w:rsidRDefault="00BE2CA7" w:rsidP="00BE2CA7">
      <w:pPr>
        <w:pStyle w:val="SingleTxtG"/>
        <w:ind w:left="2268" w:hanging="1134"/>
        <w:rPr>
          <w:lang w:val="fr-FR"/>
        </w:rPr>
      </w:pPr>
      <w:r w:rsidRPr="00440C76">
        <w:rPr>
          <w:lang w:val="fr-FR"/>
        </w:rPr>
        <w:t>5.2.7</w:t>
      </w:r>
      <w:r w:rsidRPr="00440C76">
        <w:rPr>
          <w:lang w:val="fr-FR"/>
        </w:rPr>
        <w:tab/>
        <w:t>Si la puissance du banc à rouleaux doit faire l</w:t>
      </w:r>
      <w:r>
        <w:rPr>
          <w:lang w:val="fr-FR"/>
        </w:rPr>
        <w:t>’</w:t>
      </w:r>
      <w:r w:rsidRPr="00440C76">
        <w:rPr>
          <w:lang w:val="fr-FR"/>
        </w:rPr>
        <w:t>objet d</w:t>
      </w:r>
      <w:r>
        <w:rPr>
          <w:lang w:val="fr-FR"/>
        </w:rPr>
        <w:t>’</w:t>
      </w:r>
      <w:r w:rsidRPr="00440C76">
        <w:rPr>
          <w:lang w:val="fr-FR"/>
        </w:rPr>
        <w:t>un réglage manuel, celui</w:t>
      </w:r>
      <w:r w:rsidRPr="00440C76">
        <w:rPr>
          <w:lang w:val="fr-FR"/>
        </w:rPr>
        <w:noBreakHyphen/>
        <w:t>ci doit intervenir dans l</w:t>
      </w:r>
      <w:r>
        <w:rPr>
          <w:lang w:val="fr-FR"/>
        </w:rPr>
        <w:t>’</w:t>
      </w:r>
      <w:r w:rsidRPr="00440C76">
        <w:rPr>
          <w:lang w:val="fr-FR"/>
        </w:rPr>
        <w:t>heure qui précède le contrôle des gaz d</w:t>
      </w:r>
      <w:r>
        <w:rPr>
          <w:lang w:val="fr-FR"/>
        </w:rPr>
        <w:t>’</w:t>
      </w:r>
      <w:r w:rsidRPr="00440C76">
        <w:rPr>
          <w:lang w:val="fr-FR"/>
        </w:rPr>
        <w:t>échappement. Le véhicule d</w:t>
      </w:r>
      <w:r>
        <w:rPr>
          <w:lang w:val="fr-FR"/>
        </w:rPr>
        <w:t>’</w:t>
      </w:r>
      <w:r w:rsidRPr="00440C76">
        <w:rPr>
          <w:lang w:val="fr-FR"/>
        </w:rPr>
        <w:t>essai ne doit pas être utilisé pour effectuer ce réglage. Les bancs à rouleaux dotés d</w:t>
      </w:r>
      <w:r>
        <w:rPr>
          <w:lang w:val="fr-FR"/>
        </w:rPr>
        <w:t>’</w:t>
      </w:r>
      <w:r w:rsidRPr="00440C76">
        <w:rPr>
          <w:lang w:val="fr-FR"/>
        </w:rPr>
        <w:t>un contrôle automatique des réglages présélectionnés peuvent être réglés à tout moment avant le début de l</w:t>
      </w:r>
      <w:r>
        <w:rPr>
          <w:lang w:val="fr-FR"/>
        </w:rPr>
        <w:t>’</w:t>
      </w:r>
      <w:r w:rsidRPr="00440C76">
        <w:rPr>
          <w:lang w:val="fr-FR"/>
        </w:rPr>
        <w:t>essai.</w:t>
      </w:r>
    </w:p>
    <w:p w14:paraId="0DA2FC98" w14:textId="77777777" w:rsidR="00BE2CA7" w:rsidRPr="00440C76" w:rsidRDefault="00BE2CA7" w:rsidP="00BE2CA7">
      <w:pPr>
        <w:pStyle w:val="SingleTxtG"/>
        <w:ind w:left="2268" w:hanging="1134"/>
        <w:rPr>
          <w:lang w:val="fr-FR"/>
        </w:rPr>
      </w:pPr>
      <w:r w:rsidRPr="00440C76">
        <w:rPr>
          <w:lang w:val="fr-FR"/>
        </w:rPr>
        <w:t>5.2.8</w:t>
      </w:r>
      <w:r w:rsidRPr="00440C76">
        <w:rPr>
          <w:lang w:val="fr-FR"/>
        </w:rPr>
        <w:tab/>
        <w:t>Avant le commencement du cycle de conduite pour le contrôle des émissions à l</w:t>
      </w:r>
      <w:r>
        <w:rPr>
          <w:lang w:val="fr-FR"/>
        </w:rPr>
        <w:t>’</w:t>
      </w:r>
      <w:r w:rsidRPr="00440C76">
        <w:rPr>
          <w:lang w:val="fr-FR"/>
        </w:rPr>
        <w:t>échappement, la température de la chambre d</w:t>
      </w:r>
      <w:r>
        <w:rPr>
          <w:lang w:val="fr-FR"/>
        </w:rPr>
        <w:t>’</w:t>
      </w:r>
      <w:r w:rsidRPr="00440C76">
        <w:rPr>
          <w:lang w:val="fr-FR"/>
        </w:rPr>
        <w:t>essai doit être de 266 K (</w:t>
      </w:r>
      <w:r w:rsidRPr="00440C76">
        <w:rPr>
          <w:lang w:val="fr-FR"/>
        </w:rPr>
        <w:noBreakHyphen/>
        <w:t xml:space="preserve">7 °C) </w:t>
      </w:r>
      <w:r w:rsidRPr="00440C76">
        <w:rPr>
          <w:lang w:val="fr-FR"/>
        </w:rPr>
        <w:sym w:font="Symbol" w:char="F0B1"/>
      </w:r>
      <w:r>
        <w:rPr>
          <w:lang w:val="fr-FR"/>
        </w:rPr>
        <w:t xml:space="preserve"> </w:t>
      </w:r>
      <w:r w:rsidRPr="00440C76">
        <w:rPr>
          <w:lang w:val="fr-FR"/>
        </w:rPr>
        <w:t>2 K, mesurée dans le courant d</w:t>
      </w:r>
      <w:r>
        <w:rPr>
          <w:lang w:val="fr-FR"/>
        </w:rPr>
        <w:t>’</w:t>
      </w:r>
      <w:r w:rsidRPr="00440C76">
        <w:rPr>
          <w:lang w:val="fr-FR"/>
        </w:rPr>
        <w:t>air produit par le ventilateur à une distance maximale de 1,5 m du véhicule.</w:t>
      </w:r>
    </w:p>
    <w:p w14:paraId="40C11202" w14:textId="77777777" w:rsidR="00BE2CA7" w:rsidRPr="00440C76" w:rsidRDefault="00BE2CA7" w:rsidP="00BE2CA7">
      <w:pPr>
        <w:pStyle w:val="SingleTxtG"/>
        <w:ind w:left="2268" w:hanging="1134"/>
        <w:rPr>
          <w:lang w:val="fr-FR"/>
        </w:rPr>
      </w:pPr>
      <w:r w:rsidRPr="00440C76">
        <w:rPr>
          <w:lang w:val="fr-FR"/>
        </w:rPr>
        <w:t>5.2.9</w:t>
      </w:r>
      <w:r w:rsidRPr="00440C76">
        <w:rPr>
          <w:lang w:val="fr-FR"/>
        </w:rPr>
        <w:tab/>
        <w:t>Au cours du fonctionnement du véhicule, le chauffage et le dégivrage doivent être coupés.</w:t>
      </w:r>
    </w:p>
    <w:p w14:paraId="49DCB8CF" w14:textId="77777777" w:rsidR="00BE2CA7" w:rsidRPr="00440C76" w:rsidRDefault="00BE2CA7" w:rsidP="00BE2CA7">
      <w:pPr>
        <w:pStyle w:val="SingleTxtG"/>
        <w:ind w:left="2268" w:hanging="1134"/>
        <w:rPr>
          <w:lang w:val="fr-FR"/>
        </w:rPr>
      </w:pPr>
      <w:r w:rsidRPr="00440C76">
        <w:rPr>
          <w:lang w:val="fr-FR"/>
        </w:rPr>
        <w:t>5.2.10</w:t>
      </w:r>
      <w:r w:rsidRPr="00440C76">
        <w:rPr>
          <w:lang w:val="fr-FR"/>
        </w:rPr>
        <w:tab/>
        <w:t>La distance totale parcourue ou le nombre de tours de rouleaux mesurés doivent être notés.</w:t>
      </w:r>
    </w:p>
    <w:p w14:paraId="33AAAE1F" w14:textId="77777777" w:rsidR="00BE2CA7" w:rsidRPr="00440C76" w:rsidRDefault="00BE2CA7" w:rsidP="00BE2CA7">
      <w:pPr>
        <w:pStyle w:val="SingleTxtG"/>
        <w:ind w:left="2268" w:hanging="1134"/>
        <w:rPr>
          <w:lang w:val="fr-FR"/>
        </w:rPr>
      </w:pPr>
      <w:r w:rsidRPr="00440C76">
        <w:rPr>
          <w:lang w:val="fr-FR"/>
        </w:rPr>
        <w:t>5.2.11</w:t>
      </w:r>
      <w:r w:rsidRPr="00440C76">
        <w:rPr>
          <w:lang w:val="fr-FR"/>
        </w:rPr>
        <w:tab/>
        <w:t>Les véhicules à quatre roues motrices doivent être soumis à l</w:t>
      </w:r>
      <w:r>
        <w:rPr>
          <w:lang w:val="fr-FR"/>
        </w:rPr>
        <w:t>’</w:t>
      </w:r>
      <w:r w:rsidRPr="00440C76">
        <w:rPr>
          <w:lang w:val="fr-FR"/>
        </w:rPr>
        <w:t>essai avec deux roues motrices. La résistance totale pour le réglage du banc d</w:t>
      </w:r>
      <w:r>
        <w:rPr>
          <w:lang w:val="fr-FR"/>
        </w:rPr>
        <w:t>’</w:t>
      </w:r>
      <w:r w:rsidRPr="00440C76">
        <w:rPr>
          <w:lang w:val="fr-FR"/>
        </w:rPr>
        <w:t>essai est déterminée lorsque le véhicule se trouve dans son état de fonctionnement initialement prévu.</w:t>
      </w:r>
      <w:r>
        <w:rPr>
          <w:lang w:val="fr-FR"/>
        </w:rPr>
        <w:t xml:space="preserve"> À la demande du constructeur, les véhicules à quatre roues motrices doivent être soumis à l’essai dans leur mode de fonctionnement principal. </w:t>
      </w:r>
    </w:p>
    <w:p w14:paraId="35E6BBB2" w14:textId="77777777" w:rsidR="00BE2CA7" w:rsidRPr="00440C76" w:rsidRDefault="00BE2CA7" w:rsidP="00BE2CA7">
      <w:pPr>
        <w:pStyle w:val="SingleTxtG"/>
        <w:ind w:left="2268" w:hanging="1134"/>
        <w:rPr>
          <w:lang w:val="fr-FR"/>
        </w:rPr>
      </w:pPr>
      <w:r w:rsidRPr="00440C76">
        <w:rPr>
          <w:lang w:val="fr-FR"/>
        </w:rPr>
        <w:t>5.3</w:t>
      </w:r>
      <w:r w:rsidRPr="00440C76">
        <w:rPr>
          <w:lang w:val="fr-FR"/>
        </w:rPr>
        <w:tab/>
        <w:t>Conduite de l</w:t>
      </w:r>
      <w:r>
        <w:rPr>
          <w:lang w:val="fr-FR"/>
        </w:rPr>
        <w:t>’</w:t>
      </w:r>
      <w:r w:rsidRPr="00440C76">
        <w:rPr>
          <w:lang w:val="fr-FR"/>
        </w:rPr>
        <w:t>essai</w:t>
      </w:r>
    </w:p>
    <w:p w14:paraId="6FBB6CBC" w14:textId="77777777" w:rsidR="00BE2CA7" w:rsidRPr="00440C76" w:rsidRDefault="00BE2CA7" w:rsidP="00BE2CA7">
      <w:pPr>
        <w:pStyle w:val="SingleTxtG"/>
        <w:ind w:left="2268" w:hanging="1134"/>
        <w:rPr>
          <w:spacing w:val="-1"/>
          <w:lang w:val="fr-FR"/>
        </w:rPr>
      </w:pPr>
      <w:r w:rsidRPr="00440C76">
        <w:rPr>
          <w:lang w:val="fr-FR"/>
        </w:rPr>
        <w:t>5.3.1</w:t>
      </w:r>
      <w:r w:rsidRPr="00440C76">
        <w:rPr>
          <w:lang w:val="fr-FR"/>
        </w:rPr>
        <w:tab/>
      </w:r>
      <w:r w:rsidRPr="00440C76">
        <w:rPr>
          <w:spacing w:val="-1"/>
          <w:lang w:val="fr-FR"/>
        </w:rPr>
        <w:t>Les dispositions du paragraphe</w:t>
      </w:r>
      <w:r>
        <w:rPr>
          <w:spacing w:val="-1"/>
          <w:lang w:val="fr-FR"/>
        </w:rPr>
        <w:t> </w:t>
      </w:r>
      <w:r w:rsidRPr="00440C76">
        <w:rPr>
          <w:spacing w:val="-1"/>
          <w:lang w:val="fr-FR"/>
        </w:rPr>
        <w:t>6.4 de l</w:t>
      </w:r>
      <w:r>
        <w:rPr>
          <w:spacing w:val="-1"/>
          <w:lang w:val="fr-FR"/>
        </w:rPr>
        <w:t>’</w:t>
      </w:r>
      <w:r w:rsidRPr="00440C76">
        <w:rPr>
          <w:spacing w:val="-1"/>
          <w:lang w:val="fr-FR"/>
        </w:rPr>
        <w:t>annexe</w:t>
      </w:r>
      <w:r>
        <w:rPr>
          <w:spacing w:val="-1"/>
          <w:lang w:val="fr-FR"/>
        </w:rPr>
        <w:t> </w:t>
      </w:r>
      <w:r w:rsidRPr="00440C76">
        <w:rPr>
          <w:spacing w:val="-1"/>
          <w:lang w:val="fr-FR"/>
        </w:rPr>
        <w:t>4a de la série</w:t>
      </w:r>
      <w:r>
        <w:rPr>
          <w:spacing w:val="-1"/>
          <w:lang w:val="fr-FR"/>
        </w:rPr>
        <w:t> </w:t>
      </w:r>
      <w:r w:rsidRPr="00440C76">
        <w:rPr>
          <w:spacing w:val="-1"/>
          <w:lang w:val="fr-FR"/>
        </w:rPr>
        <w:t>07 d</w:t>
      </w:r>
      <w:r>
        <w:rPr>
          <w:spacing w:val="-1"/>
          <w:lang w:val="fr-FR"/>
        </w:rPr>
        <w:t>’</w:t>
      </w:r>
      <w:r w:rsidRPr="00440C76">
        <w:rPr>
          <w:spacing w:val="-1"/>
          <w:lang w:val="fr-FR"/>
        </w:rPr>
        <w:t>amendements au présent Règlement, à l</w:t>
      </w:r>
      <w:r>
        <w:rPr>
          <w:spacing w:val="-1"/>
          <w:lang w:val="fr-FR"/>
        </w:rPr>
        <w:t>’</w:t>
      </w:r>
      <w:r w:rsidRPr="00440C76">
        <w:rPr>
          <w:spacing w:val="-1"/>
          <w:lang w:val="fr-FR"/>
        </w:rPr>
        <w:t>exclusion du paragraphe</w:t>
      </w:r>
      <w:r>
        <w:rPr>
          <w:spacing w:val="-1"/>
          <w:lang w:val="fr-FR"/>
        </w:rPr>
        <w:t> </w:t>
      </w:r>
      <w:r w:rsidRPr="00440C76">
        <w:rPr>
          <w:spacing w:val="-1"/>
          <w:lang w:val="fr-FR"/>
        </w:rPr>
        <w:t xml:space="preserve">6.4.1.2, sont </w:t>
      </w:r>
      <w:r w:rsidRPr="00440C76">
        <w:rPr>
          <w:spacing w:val="-1"/>
          <w:lang w:val="fr-FR"/>
        </w:rPr>
        <w:lastRenderedPageBreak/>
        <w:t>applicables au démarrage du moteur, à la conduite de l</w:t>
      </w:r>
      <w:r>
        <w:rPr>
          <w:spacing w:val="-1"/>
          <w:lang w:val="fr-FR"/>
        </w:rPr>
        <w:t>’</w:t>
      </w:r>
      <w:r w:rsidRPr="00440C76">
        <w:rPr>
          <w:spacing w:val="-1"/>
          <w:lang w:val="fr-FR"/>
        </w:rPr>
        <w:t>essai et au prélèvement des gaz. Le prélèvement des gaz commence avant ou au début de la phase de démarrage du moteur et s</w:t>
      </w:r>
      <w:r>
        <w:rPr>
          <w:spacing w:val="-1"/>
          <w:lang w:val="fr-FR"/>
        </w:rPr>
        <w:t>’</w:t>
      </w:r>
      <w:r w:rsidRPr="00440C76">
        <w:rPr>
          <w:spacing w:val="-1"/>
          <w:lang w:val="fr-FR"/>
        </w:rPr>
        <w:t>achève à la fin de la dernière période de ralenti du dernier cycle élémentaire de la première partie (cycle urbain) après 780 s.</w:t>
      </w:r>
    </w:p>
    <w:p w14:paraId="044756AC" w14:textId="77777777" w:rsidR="00BE2CA7" w:rsidRPr="00440C76" w:rsidRDefault="00BE2CA7" w:rsidP="00BE2CA7">
      <w:pPr>
        <w:pStyle w:val="SingleTxtG"/>
        <w:ind w:left="2268"/>
        <w:rPr>
          <w:lang w:val="fr-FR"/>
        </w:rPr>
      </w:pPr>
      <w:r w:rsidRPr="00440C76">
        <w:rPr>
          <w:lang w:val="fr-FR"/>
        </w:rPr>
        <w:t>Le premier cycle de conduite commence par une période de 11 s de ralenti suivant immédiatement le démarrage du moteur.</w:t>
      </w:r>
    </w:p>
    <w:p w14:paraId="3FD4A707" w14:textId="77777777" w:rsidR="00BE2CA7" w:rsidRPr="00440C76" w:rsidRDefault="00BE2CA7" w:rsidP="00BE2CA7">
      <w:pPr>
        <w:pStyle w:val="SingleTxtG"/>
        <w:ind w:left="2268" w:hanging="1134"/>
        <w:rPr>
          <w:lang w:val="fr-FR"/>
        </w:rPr>
      </w:pPr>
      <w:r w:rsidRPr="00440C76">
        <w:rPr>
          <w:lang w:val="fr-FR"/>
        </w:rPr>
        <w:t>5.3.2</w:t>
      </w:r>
      <w:r w:rsidRPr="00440C76">
        <w:rPr>
          <w:lang w:val="fr-FR"/>
        </w:rPr>
        <w:tab/>
        <w:t>Les dispositions du paragraphe</w:t>
      </w:r>
      <w:r>
        <w:rPr>
          <w:lang w:val="fr-FR"/>
        </w:rPr>
        <w:t> </w:t>
      </w:r>
      <w:r w:rsidRPr="00440C76">
        <w:rPr>
          <w:lang w:val="fr-FR"/>
        </w:rPr>
        <w:t>6.5 de l</w:t>
      </w:r>
      <w:r>
        <w:rPr>
          <w:lang w:val="fr-FR"/>
        </w:rPr>
        <w:t>’</w:t>
      </w:r>
      <w:r w:rsidRPr="00440C76">
        <w:rPr>
          <w:lang w:val="fr-FR"/>
        </w:rPr>
        <w:t>annexe</w:t>
      </w:r>
      <w:r>
        <w:rPr>
          <w:lang w:val="fr-FR"/>
        </w:rPr>
        <w:t> </w:t>
      </w:r>
      <w:r w:rsidRPr="00440C76">
        <w:rPr>
          <w:lang w:val="fr-FR"/>
        </w:rPr>
        <w:t>4a de la série</w:t>
      </w:r>
      <w:r>
        <w:rPr>
          <w:lang w:val="fr-FR"/>
        </w:rPr>
        <w:t> </w:t>
      </w:r>
      <w:r w:rsidRPr="00440C76">
        <w:rPr>
          <w:lang w:val="fr-FR"/>
        </w:rPr>
        <w:t>07 d</w:t>
      </w:r>
      <w:r>
        <w:rPr>
          <w:lang w:val="fr-FR"/>
        </w:rPr>
        <w:t>’</w:t>
      </w:r>
      <w:r w:rsidRPr="00440C76">
        <w:rPr>
          <w:lang w:val="fr-FR"/>
        </w:rPr>
        <w:t>amendements au présent Règlement, à l</w:t>
      </w:r>
      <w:r>
        <w:rPr>
          <w:lang w:val="fr-FR"/>
        </w:rPr>
        <w:t>’</w:t>
      </w:r>
      <w:r w:rsidRPr="00440C76">
        <w:rPr>
          <w:lang w:val="fr-FR"/>
        </w:rPr>
        <w:t>exclusion du paragraphe</w:t>
      </w:r>
      <w:r>
        <w:rPr>
          <w:lang w:val="fr-FR"/>
        </w:rPr>
        <w:t> </w:t>
      </w:r>
      <w:r w:rsidRPr="00440C76">
        <w:rPr>
          <w:lang w:val="fr-FR"/>
        </w:rPr>
        <w:t>6.5.2, sont applicables à 1</w:t>
      </w:r>
      <w:r>
        <w:rPr>
          <w:lang w:val="fr-FR"/>
        </w:rPr>
        <w:t>’</w:t>
      </w:r>
      <w:r w:rsidRPr="00440C76">
        <w:rPr>
          <w:lang w:val="fr-FR"/>
        </w:rPr>
        <w:t>analyse des échantillons de gaz. Au cours de l</w:t>
      </w:r>
      <w:r>
        <w:rPr>
          <w:lang w:val="fr-FR"/>
        </w:rPr>
        <w:t>’</w:t>
      </w:r>
      <w:r w:rsidRPr="00440C76">
        <w:rPr>
          <w:lang w:val="fr-FR"/>
        </w:rPr>
        <w:t>analyse des gaz, le service technique doit veiller à empêcher la condensation de vapeur d</w:t>
      </w:r>
      <w:r>
        <w:rPr>
          <w:lang w:val="fr-FR"/>
        </w:rPr>
        <w:t>’</w:t>
      </w:r>
      <w:r w:rsidRPr="00440C76">
        <w:rPr>
          <w:lang w:val="fr-FR"/>
        </w:rPr>
        <w:t>eau dans les sacs d</w:t>
      </w:r>
      <w:r>
        <w:rPr>
          <w:lang w:val="fr-FR"/>
        </w:rPr>
        <w:t>’</w:t>
      </w:r>
      <w:r w:rsidRPr="00440C76">
        <w:rPr>
          <w:lang w:val="fr-FR"/>
        </w:rPr>
        <w:t>échantillon de gaz.</w:t>
      </w:r>
    </w:p>
    <w:p w14:paraId="5C188744" w14:textId="77777777" w:rsidR="00BE2CA7" w:rsidRPr="00440C76" w:rsidRDefault="00BE2CA7" w:rsidP="00BE2CA7">
      <w:pPr>
        <w:pStyle w:val="SingleTxtG"/>
        <w:ind w:left="2268" w:hanging="1134"/>
        <w:rPr>
          <w:lang w:val="fr-FR"/>
        </w:rPr>
      </w:pPr>
      <w:r w:rsidRPr="00440C76">
        <w:rPr>
          <w:lang w:val="fr-FR"/>
        </w:rPr>
        <w:t>5.3.3</w:t>
      </w:r>
      <w:r w:rsidRPr="00440C76">
        <w:rPr>
          <w:lang w:val="fr-FR"/>
        </w:rPr>
        <w:tab/>
        <w:t>Les dispositions du paragraphe</w:t>
      </w:r>
      <w:r>
        <w:rPr>
          <w:lang w:val="fr-FR"/>
        </w:rPr>
        <w:t> </w:t>
      </w:r>
      <w:r w:rsidRPr="00440C76">
        <w:rPr>
          <w:lang w:val="fr-FR"/>
        </w:rPr>
        <w:t>6.6 de l</w:t>
      </w:r>
      <w:r>
        <w:rPr>
          <w:lang w:val="fr-FR"/>
        </w:rPr>
        <w:t>’</w:t>
      </w:r>
      <w:r w:rsidRPr="00440C76">
        <w:rPr>
          <w:lang w:val="fr-FR"/>
        </w:rPr>
        <w:t>annexe</w:t>
      </w:r>
      <w:r>
        <w:rPr>
          <w:lang w:val="fr-FR"/>
        </w:rPr>
        <w:t> </w:t>
      </w:r>
      <w:r w:rsidRPr="00440C76">
        <w:rPr>
          <w:lang w:val="fr-FR"/>
        </w:rPr>
        <w:t>4a de la série</w:t>
      </w:r>
      <w:r>
        <w:rPr>
          <w:lang w:val="fr-FR"/>
        </w:rPr>
        <w:t> </w:t>
      </w:r>
      <w:r w:rsidRPr="00440C76">
        <w:rPr>
          <w:lang w:val="fr-FR"/>
        </w:rPr>
        <w:t>07 d</w:t>
      </w:r>
      <w:r>
        <w:rPr>
          <w:lang w:val="fr-FR"/>
        </w:rPr>
        <w:t>’</w:t>
      </w:r>
      <w:r w:rsidRPr="00440C76">
        <w:rPr>
          <w:lang w:val="fr-FR"/>
        </w:rPr>
        <w:t>amendements au présent Règlement s</w:t>
      </w:r>
      <w:r>
        <w:rPr>
          <w:lang w:val="fr-FR"/>
        </w:rPr>
        <w:t>’</w:t>
      </w:r>
      <w:r w:rsidRPr="00440C76">
        <w:rPr>
          <w:lang w:val="fr-FR"/>
        </w:rPr>
        <w:t>appliquent au calcul de la masse des émissions.</w:t>
      </w:r>
    </w:p>
    <w:p w14:paraId="340A1FBC" w14:textId="77777777" w:rsidR="00BE2CA7" w:rsidRPr="00440C76" w:rsidRDefault="00BE2CA7" w:rsidP="00BE2CA7">
      <w:pPr>
        <w:pStyle w:val="SingleTxtG"/>
        <w:ind w:left="2268" w:hanging="1134"/>
        <w:rPr>
          <w:lang w:val="fr-FR"/>
        </w:rPr>
      </w:pPr>
      <w:r w:rsidRPr="00440C76">
        <w:rPr>
          <w:lang w:val="fr-FR"/>
        </w:rPr>
        <w:t>5.4</w:t>
      </w:r>
      <w:r w:rsidRPr="00440C76">
        <w:rPr>
          <w:lang w:val="fr-FR"/>
        </w:rPr>
        <w:tab/>
        <w:t>Prescriptions supplémentaires relatives aux véhicules électriques hybrides</w:t>
      </w:r>
    </w:p>
    <w:p w14:paraId="03703595" w14:textId="77777777" w:rsidR="00BE2CA7" w:rsidRPr="00440C76" w:rsidRDefault="00BE2CA7" w:rsidP="00BE2CA7">
      <w:pPr>
        <w:pStyle w:val="SingleTxtG"/>
        <w:ind w:left="2268" w:hanging="1134"/>
        <w:rPr>
          <w:lang w:val="fr-FR"/>
        </w:rPr>
      </w:pPr>
      <w:r w:rsidRPr="00440C76">
        <w:rPr>
          <w:lang w:val="fr-FR"/>
        </w:rPr>
        <w:t>5.4.1</w:t>
      </w:r>
      <w:r w:rsidRPr="00440C76">
        <w:rPr>
          <w:lang w:val="fr-FR"/>
        </w:rPr>
        <w:tab/>
        <w:t>Pour les véhicules OVC, les mesures des émissions de polluants doivent être effectuées dans les mêmes conditions que celles spécifiées pour la condition B de l</w:t>
      </w:r>
      <w:r>
        <w:rPr>
          <w:lang w:val="fr-FR"/>
        </w:rPr>
        <w:t>’</w:t>
      </w:r>
      <w:r w:rsidRPr="00440C76">
        <w:rPr>
          <w:lang w:val="fr-FR"/>
        </w:rPr>
        <w:t>essai du type</w:t>
      </w:r>
      <w:r>
        <w:rPr>
          <w:lang w:val="fr-FR"/>
        </w:rPr>
        <w:t> </w:t>
      </w:r>
      <w:r w:rsidRPr="00440C76">
        <w:rPr>
          <w:lang w:val="fr-FR"/>
        </w:rPr>
        <w:t>1 (fondé sur le cycle d</w:t>
      </w:r>
      <w:r>
        <w:rPr>
          <w:lang w:val="fr-FR"/>
        </w:rPr>
        <w:t>’</w:t>
      </w:r>
      <w:r w:rsidRPr="00440C76">
        <w:rPr>
          <w:lang w:val="fr-FR"/>
        </w:rPr>
        <w:t>essai NEDC) (par.</w:t>
      </w:r>
      <w:r>
        <w:rPr>
          <w:lang w:val="fr-FR"/>
        </w:rPr>
        <w:t xml:space="preserve"> </w:t>
      </w:r>
      <w:r w:rsidRPr="00440C76">
        <w:rPr>
          <w:lang w:val="fr-FR"/>
        </w:rPr>
        <w:t>3.1.3 et 3.2.3 de l</w:t>
      </w:r>
      <w:r>
        <w:rPr>
          <w:lang w:val="fr-FR"/>
        </w:rPr>
        <w:t>’</w:t>
      </w:r>
      <w:r w:rsidRPr="00440C76">
        <w:rPr>
          <w:lang w:val="fr-FR"/>
        </w:rPr>
        <w:t>annexe</w:t>
      </w:r>
      <w:r>
        <w:rPr>
          <w:lang w:val="fr-FR"/>
        </w:rPr>
        <w:t> </w:t>
      </w:r>
      <w:r w:rsidRPr="00440C76">
        <w:rPr>
          <w:lang w:val="fr-FR"/>
        </w:rPr>
        <w:t>14 de la série</w:t>
      </w:r>
      <w:r>
        <w:rPr>
          <w:lang w:val="fr-FR"/>
        </w:rPr>
        <w:t> </w:t>
      </w:r>
      <w:r w:rsidRPr="00440C76">
        <w:rPr>
          <w:lang w:val="fr-FR"/>
        </w:rPr>
        <w:t>07 d</w:t>
      </w:r>
      <w:r>
        <w:rPr>
          <w:lang w:val="fr-FR"/>
        </w:rPr>
        <w:t>’</w:t>
      </w:r>
      <w:r w:rsidRPr="00440C76">
        <w:rPr>
          <w:lang w:val="fr-FR"/>
        </w:rPr>
        <w:t>amendements au présent Règlement).</w:t>
      </w:r>
    </w:p>
    <w:p w14:paraId="02C45725" w14:textId="77777777" w:rsidR="00BE2CA7" w:rsidRPr="00440C76" w:rsidRDefault="00BE2CA7" w:rsidP="00BE2CA7">
      <w:pPr>
        <w:pStyle w:val="SingleTxtG"/>
        <w:ind w:left="2268" w:hanging="1134"/>
        <w:rPr>
          <w:lang w:val="fr-FR"/>
        </w:rPr>
      </w:pPr>
      <w:r w:rsidRPr="00440C76">
        <w:rPr>
          <w:lang w:val="fr-FR"/>
        </w:rPr>
        <w:t>5.4.2</w:t>
      </w:r>
      <w:r w:rsidRPr="00440C76">
        <w:rPr>
          <w:lang w:val="fr-FR"/>
        </w:rPr>
        <w:tab/>
        <w:t>Pour les véhicules NOVC, les mesures des émissions de polluants doivent être effectuées dans les mêmes conditions que dans l</w:t>
      </w:r>
      <w:r>
        <w:rPr>
          <w:lang w:val="fr-FR"/>
        </w:rPr>
        <w:t>’</w:t>
      </w:r>
      <w:r w:rsidRPr="00440C76">
        <w:rPr>
          <w:lang w:val="fr-FR"/>
        </w:rPr>
        <w:t>essai du type</w:t>
      </w:r>
      <w:r>
        <w:rPr>
          <w:lang w:val="fr-FR"/>
        </w:rPr>
        <w:t> </w:t>
      </w:r>
      <w:r w:rsidRPr="00440C76">
        <w:rPr>
          <w:lang w:val="fr-FR"/>
        </w:rPr>
        <w:t>1 (fondé sur le cycle d</w:t>
      </w:r>
      <w:r>
        <w:rPr>
          <w:lang w:val="fr-FR"/>
        </w:rPr>
        <w:t>’</w:t>
      </w:r>
      <w:r w:rsidRPr="00440C76">
        <w:rPr>
          <w:lang w:val="fr-FR"/>
        </w:rPr>
        <w:t>essai NEDC), tel que défini à l</w:t>
      </w:r>
      <w:r>
        <w:rPr>
          <w:lang w:val="fr-FR"/>
        </w:rPr>
        <w:t>’</w:t>
      </w:r>
      <w:r w:rsidRPr="00440C76">
        <w:rPr>
          <w:lang w:val="fr-FR"/>
        </w:rPr>
        <w:t>annexe</w:t>
      </w:r>
      <w:r>
        <w:rPr>
          <w:lang w:val="fr-FR"/>
        </w:rPr>
        <w:t> </w:t>
      </w:r>
      <w:r w:rsidRPr="00440C76">
        <w:rPr>
          <w:lang w:val="fr-FR"/>
        </w:rPr>
        <w:t>4a de la série</w:t>
      </w:r>
      <w:r>
        <w:rPr>
          <w:lang w:val="fr-FR"/>
        </w:rPr>
        <w:t> </w:t>
      </w:r>
      <w:r w:rsidRPr="00440C76">
        <w:rPr>
          <w:lang w:val="fr-FR"/>
        </w:rPr>
        <w:t>07 d</w:t>
      </w:r>
      <w:r>
        <w:rPr>
          <w:lang w:val="fr-FR"/>
        </w:rPr>
        <w:t>’</w:t>
      </w:r>
      <w:r w:rsidRPr="00440C76">
        <w:rPr>
          <w:lang w:val="fr-FR"/>
        </w:rPr>
        <w:t>amendements au présent Règlement.</w:t>
      </w:r>
    </w:p>
    <w:p w14:paraId="414FDAE4" w14:textId="77777777" w:rsidR="00BE2CA7" w:rsidRPr="00440C76" w:rsidRDefault="00BE2CA7" w:rsidP="00BE2CA7">
      <w:pPr>
        <w:pStyle w:val="SingleTxtG"/>
        <w:keepNext/>
        <w:ind w:left="2268" w:hanging="1134"/>
        <w:rPr>
          <w:lang w:val="fr-FR"/>
        </w:rPr>
      </w:pPr>
      <w:r w:rsidRPr="00440C76">
        <w:rPr>
          <w:lang w:val="fr-FR"/>
        </w:rPr>
        <w:t>6.</w:t>
      </w:r>
      <w:r w:rsidRPr="00440C76">
        <w:rPr>
          <w:lang w:val="fr-FR"/>
        </w:rPr>
        <w:tab/>
        <w:t>Autres prescriptions</w:t>
      </w:r>
    </w:p>
    <w:p w14:paraId="2F8D3C5E" w14:textId="77777777" w:rsidR="00BE2CA7" w:rsidRPr="00440C76" w:rsidRDefault="00BE2CA7" w:rsidP="00BE2CA7">
      <w:pPr>
        <w:pStyle w:val="SingleTxtG"/>
        <w:ind w:left="2268" w:hanging="1134"/>
        <w:rPr>
          <w:lang w:val="fr-FR"/>
        </w:rPr>
      </w:pPr>
      <w:r w:rsidRPr="00440C76">
        <w:rPr>
          <w:lang w:val="fr-FR"/>
        </w:rPr>
        <w:t>6.1</w:t>
      </w:r>
      <w:r w:rsidRPr="00440C76">
        <w:rPr>
          <w:lang w:val="fr-FR"/>
        </w:rPr>
        <w:tab/>
        <w:t>Stratégie irrationnelle de réduction des émissions</w:t>
      </w:r>
    </w:p>
    <w:p w14:paraId="58519CF7" w14:textId="77777777" w:rsidR="00BE2CA7" w:rsidRPr="00440C76" w:rsidRDefault="00BE2CA7" w:rsidP="00BE2CA7">
      <w:pPr>
        <w:pStyle w:val="SingleTxtG"/>
        <w:ind w:left="2268" w:hanging="1134"/>
        <w:rPr>
          <w:lang w:val="fr-FR"/>
        </w:rPr>
      </w:pPr>
      <w:r w:rsidRPr="00440C76">
        <w:rPr>
          <w:lang w:val="fr-FR"/>
        </w:rPr>
        <w:t>6.1.1</w:t>
      </w:r>
      <w:r w:rsidRPr="00440C76">
        <w:rPr>
          <w:lang w:val="fr-FR"/>
        </w:rPr>
        <w:tab/>
        <w:t>Toute stratégie irrationnelle de réduction des émissions qui entraîne une diminution de l</w:t>
      </w:r>
      <w:r>
        <w:rPr>
          <w:lang w:val="fr-FR"/>
        </w:rPr>
        <w:t>’</w:t>
      </w:r>
      <w:r w:rsidRPr="00440C76">
        <w:rPr>
          <w:lang w:val="fr-FR"/>
        </w:rPr>
        <w:t>efficacité du système de contrôle des émissions dans des conditions normales d</w:t>
      </w:r>
      <w:r>
        <w:rPr>
          <w:lang w:val="fr-FR"/>
        </w:rPr>
        <w:t>’</w:t>
      </w:r>
      <w:r w:rsidRPr="00440C76">
        <w:rPr>
          <w:lang w:val="fr-FR"/>
        </w:rPr>
        <w:t>utilisation à basses températures et qui n</w:t>
      </w:r>
      <w:r>
        <w:rPr>
          <w:lang w:val="fr-FR"/>
        </w:rPr>
        <w:t>’</w:t>
      </w:r>
      <w:r w:rsidRPr="00440C76">
        <w:rPr>
          <w:lang w:val="fr-FR"/>
        </w:rPr>
        <w:t>est pas couverte par l</w:t>
      </w:r>
      <w:r>
        <w:rPr>
          <w:lang w:val="fr-FR"/>
        </w:rPr>
        <w:t>’</w:t>
      </w:r>
      <w:r w:rsidRPr="00440C76">
        <w:rPr>
          <w:lang w:val="fr-FR"/>
        </w:rPr>
        <w:t>essai normalisé de contrôle des émissions, peut être considérée comme un dispositif d</w:t>
      </w:r>
      <w:r>
        <w:rPr>
          <w:lang w:val="fr-FR"/>
        </w:rPr>
        <w:t>’</w:t>
      </w:r>
      <w:r w:rsidRPr="00440C76">
        <w:rPr>
          <w:lang w:val="fr-FR"/>
        </w:rPr>
        <w:t>invalidation.</w:t>
      </w:r>
    </w:p>
    <w:p w14:paraId="4DFFA01F" w14:textId="77777777" w:rsidR="00BE2CA7" w:rsidRPr="00440C76" w:rsidRDefault="00BE2CA7" w:rsidP="00BE2CA7">
      <w:pPr>
        <w:pStyle w:val="SingleTxtG"/>
        <w:rPr>
          <w:lang w:val="fr-FR"/>
        </w:rPr>
      </w:pPr>
      <w:r w:rsidRPr="00440C76">
        <w:rPr>
          <w:lang w:val="fr-FR"/>
        </w:rPr>
        <w:br w:type="page"/>
      </w:r>
    </w:p>
    <w:p w14:paraId="62AEB0C8" w14:textId="77777777" w:rsidR="00BE2CA7" w:rsidRPr="00440C76" w:rsidRDefault="00BE2CA7" w:rsidP="00BE2CA7">
      <w:pPr>
        <w:pStyle w:val="HChG"/>
        <w:rPr>
          <w:lang w:val="fr-FR"/>
        </w:rPr>
      </w:pPr>
      <w:r w:rsidRPr="00440C76">
        <w:rPr>
          <w:lang w:val="fr-FR"/>
        </w:rPr>
        <w:lastRenderedPageBreak/>
        <w:t>Annexe</w:t>
      </w:r>
      <w:r>
        <w:rPr>
          <w:lang w:val="fr-FR"/>
        </w:rPr>
        <w:t> </w:t>
      </w:r>
      <w:r w:rsidRPr="00440C76">
        <w:rPr>
          <w:lang w:val="fr-FR"/>
        </w:rPr>
        <w:t>9</w:t>
      </w:r>
    </w:p>
    <w:p w14:paraId="62C0DB98" w14:textId="77777777" w:rsidR="00BE2CA7" w:rsidRPr="00440C76" w:rsidRDefault="00BE2CA7" w:rsidP="00BE2CA7">
      <w:pPr>
        <w:pStyle w:val="HChG"/>
        <w:rPr>
          <w:lang w:val="fr-FR"/>
        </w:rPr>
      </w:pPr>
      <w:r w:rsidRPr="00440C76">
        <w:rPr>
          <w:lang w:val="fr-FR"/>
        </w:rPr>
        <w:tab/>
      </w:r>
      <w:r w:rsidRPr="00440C76">
        <w:rPr>
          <w:lang w:val="fr-FR"/>
        </w:rPr>
        <w:tab/>
        <w:t>Réservée</w:t>
      </w:r>
    </w:p>
    <w:p w14:paraId="1BB5487D" w14:textId="77777777" w:rsidR="00BE2CA7" w:rsidRPr="00440C76" w:rsidRDefault="00BE2CA7" w:rsidP="00BE2CA7">
      <w:pPr>
        <w:pStyle w:val="SingleTxtG"/>
        <w:rPr>
          <w:lang w:val="fr-FR"/>
        </w:rPr>
      </w:pPr>
      <w:r w:rsidRPr="00440C76">
        <w:rPr>
          <w:lang w:val="fr-FR"/>
        </w:rPr>
        <w:br w:type="page"/>
      </w:r>
    </w:p>
    <w:p w14:paraId="14AA96F7" w14:textId="77777777" w:rsidR="00BE2CA7" w:rsidRPr="00440C76" w:rsidRDefault="00BE2CA7" w:rsidP="00BE2CA7">
      <w:pPr>
        <w:pStyle w:val="HChG"/>
        <w:rPr>
          <w:lang w:val="fr-FR"/>
        </w:rPr>
      </w:pPr>
      <w:r w:rsidRPr="00440C76">
        <w:rPr>
          <w:lang w:val="fr-FR"/>
        </w:rPr>
        <w:lastRenderedPageBreak/>
        <w:t>Annexe</w:t>
      </w:r>
      <w:r>
        <w:rPr>
          <w:lang w:val="fr-FR"/>
        </w:rPr>
        <w:t> </w:t>
      </w:r>
      <w:r w:rsidRPr="00440C76">
        <w:rPr>
          <w:lang w:val="fr-FR"/>
        </w:rPr>
        <w:t>10</w:t>
      </w:r>
    </w:p>
    <w:p w14:paraId="6F6E3401" w14:textId="77777777" w:rsidR="00BE2CA7" w:rsidRPr="00440C76" w:rsidRDefault="00BE2CA7" w:rsidP="00BE2CA7">
      <w:pPr>
        <w:pStyle w:val="HChG"/>
        <w:rPr>
          <w:lang w:val="fr-FR"/>
        </w:rPr>
      </w:pPr>
      <w:r w:rsidRPr="00440C76">
        <w:rPr>
          <w:lang w:val="fr-FR"/>
        </w:rPr>
        <w:tab/>
      </w:r>
      <w:r w:rsidRPr="00440C76">
        <w:rPr>
          <w:lang w:val="fr-FR"/>
        </w:rPr>
        <w:tab/>
        <w:t>Spécifications des carburants de référence</w:t>
      </w:r>
    </w:p>
    <w:p w14:paraId="71CE05FE" w14:textId="77777777" w:rsidR="00BE2CA7" w:rsidRPr="00440C76" w:rsidRDefault="00BE2CA7" w:rsidP="00BE2CA7">
      <w:pPr>
        <w:pStyle w:val="SingleTxtG"/>
        <w:keepNext/>
        <w:ind w:left="2268" w:hanging="1134"/>
        <w:rPr>
          <w:lang w:val="fr-FR"/>
        </w:rPr>
      </w:pPr>
      <w:r w:rsidRPr="00440C76">
        <w:rPr>
          <w:lang w:val="fr-FR"/>
        </w:rPr>
        <w:t>1.</w:t>
      </w:r>
      <w:r w:rsidRPr="00440C76">
        <w:rPr>
          <w:lang w:val="fr-FR"/>
        </w:rPr>
        <w:tab/>
        <w:t>Spécifications des carburants de référence à utiliser pour l</w:t>
      </w:r>
      <w:r>
        <w:rPr>
          <w:lang w:val="fr-FR"/>
        </w:rPr>
        <w:t>’</w:t>
      </w:r>
      <w:r w:rsidRPr="00440C76">
        <w:rPr>
          <w:lang w:val="fr-FR"/>
        </w:rPr>
        <w:t>essai de véhicules en fonction des valeurs limites d</w:t>
      </w:r>
      <w:r>
        <w:rPr>
          <w:lang w:val="fr-FR"/>
        </w:rPr>
        <w:t>’</w:t>
      </w:r>
      <w:r w:rsidRPr="00440C76">
        <w:rPr>
          <w:lang w:val="fr-FR"/>
        </w:rPr>
        <w:t>émission</w:t>
      </w:r>
    </w:p>
    <w:p w14:paraId="07C8D664" w14:textId="77777777" w:rsidR="00BE2CA7" w:rsidRPr="00440C76" w:rsidRDefault="00BE2CA7" w:rsidP="00BE2CA7">
      <w:pPr>
        <w:pStyle w:val="SingleTxtG"/>
        <w:ind w:left="2268" w:hanging="1134"/>
        <w:rPr>
          <w:lang w:val="fr-FR"/>
        </w:rPr>
      </w:pPr>
      <w:r w:rsidRPr="00440C76">
        <w:rPr>
          <w:lang w:val="fr-FR"/>
        </w:rPr>
        <w:t>1.1</w:t>
      </w:r>
      <w:r w:rsidRPr="00440C76">
        <w:rPr>
          <w:lang w:val="fr-FR"/>
        </w:rPr>
        <w:tab/>
        <w:t>Les spécifications des carburants de référence à utiliser sont celles énoncées à l</w:t>
      </w:r>
      <w:r>
        <w:rPr>
          <w:lang w:val="fr-FR"/>
        </w:rPr>
        <w:t>’</w:t>
      </w:r>
      <w:r w:rsidRPr="00440C76">
        <w:rPr>
          <w:lang w:val="fr-FR"/>
        </w:rPr>
        <w:t>annexe</w:t>
      </w:r>
      <w:r>
        <w:rPr>
          <w:lang w:val="fr-FR"/>
        </w:rPr>
        <w:t> </w:t>
      </w:r>
      <w:r w:rsidRPr="00440C76">
        <w:rPr>
          <w:lang w:val="fr-FR"/>
        </w:rPr>
        <w:t>B3 du Règlement ONU n</w:t>
      </w:r>
      <w:r w:rsidRPr="00440C76">
        <w:rPr>
          <w:vertAlign w:val="superscript"/>
          <w:lang w:val="fr-FR"/>
        </w:rPr>
        <w:t>o</w:t>
      </w:r>
      <w:r w:rsidRPr="00440C76">
        <w:rPr>
          <w:lang w:val="fr-FR"/>
        </w:rPr>
        <w:t> 154.</w:t>
      </w:r>
    </w:p>
    <w:p w14:paraId="3ED56A35" w14:textId="77777777" w:rsidR="00BE2CA7" w:rsidRPr="00440C76" w:rsidRDefault="00BE2CA7" w:rsidP="00BE2CA7">
      <w:pPr>
        <w:pStyle w:val="SingleTxtG"/>
        <w:ind w:left="2268" w:hanging="1134"/>
        <w:rPr>
          <w:lang w:val="fr-FR"/>
        </w:rPr>
      </w:pPr>
      <w:r w:rsidRPr="00440C76">
        <w:rPr>
          <w:lang w:val="fr-FR"/>
        </w:rPr>
        <w:t>2.</w:t>
      </w:r>
      <w:r w:rsidRPr="00440C76">
        <w:rPr>
          <w:lang w:val="fr-FR"/>
        </w:rPr>
        <w:tab/>
      </w:r>
      <w:r w:rsidRPr="00440C76">
        <w:rPr>
          <w:lang w:val="fr-FR"/>
        </w:rPr>
        <w:tab/>
        <w:t>Spécifications du carburant de référence prescrit pour les essais à basse température des véhicules à moteur à allumage commandé</w:t>
      </w:r>
      <w:r w:rsidRPr="00440C76">
        <w:rPr>
          <w:sz w:val="18"/>
          <w:szCs w:val="18"/>
          <w:lang w:val="fr-FR"/>
        </w:rPr>
        <w:t xml:space="preserve"> − </w:t>
      </w:r>
      <w:r w:rsidRPr="00440C76">
        <w:rPr>
          <w:lang w:val="fr-FR"/>
        </w:rPr>
        <w:t>Essai du type</w:t>
      </w:r>
      <w:r>
        <w:rPr>
          <w:lang w:val="fr-FR"/>
        </w:rPr>
        <w:t> </w:t>
      </w:r>
      <w:r w:rsidRPr="00440C76">
        <w:rPr>
          <w:lang w:val="fr-FR"/>
        </w:rPr>
        <w:t>6</w:t>
      </w:r>
    </w:p>
    <w:p w14:paraId="1C584FB8" w14:textId="77777777" w:rsidR="00BE2CA7" w:rsidRPr="00440C76" w:rsidRDefault="00BE2CA7" w:rsidP="00BE2CA7">
      <w:pPr>
        <w:pStyle w:val="H23G"/>
        <w:rPr>
          <w:lang w:val="fr-FR"/>
        </w:rPr>
      </w:pPr>
      <w:r w:rsidRPr="00440C76">
        <w:rPr>
          <w:lang w:val="fr-FR"/>
        </w:rPr>
        <w:t>Type : Essence (E10)</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37"/>
        <w:gridCol w:w="1128"/>
        <w:gridCol w:w="1319"/>
        <w:gridCol w:w="1320"/>
        <w:gridCol w:w="2233"/>
      </w:tblGrid>
      <w:tr w:rsidR="00BE2CA7" w:rsidRPr="00440C76" w14:paraId="5B769252" w14:textId="77777777" w:rsidTr="002B0590">
        <w:trPr>
          <w:trHeight w:val="280"/>
          <w:tblHeader/>
        </w:trPr>
        <w:tc>
          <w:tcPr>
            <w:tcW w:w="3638" w:type="dxa"/>
            <w:vMerge w:val="restart"/>
            <w:vAlign w:val="bottom"/>
          </w:tcPr>
          <w:p w14:paraId="02F6FEDE" w14:textId="77777777" w:rsidR="00BE2CA7" w:rsidRPr="00440C76" w:rsidRDefault="00BE2CA7" w:rsidP="002B0590">
            <w:pPr>
              <w:spacing w:before="40" w:after="40" w:line="200" w:lineRule="atLeast"/>
              <w:ind w:left="57" w:right="57"/>
              <w:rPr>
                <w:i/>
                <w:sz w:val="16"/>
                <w:szCs w:val="16"/>
                <w:lang w:val="fr-FR"/>
              </w:rPr>
            </w:pPr>
            <w:r w:rsidRPr="00440C76">
              <w:rPr>
                <w:i/>
                <w:sz w:val="16"/>
                <w:szCs w:val="16"/>
                <w:lang w:val="fr-FR"/>
              </w:rPr>
              <w:t>Paramètre</w:t>
            </w:r>
          </w:p>
        </w:tc>
        <w:tc>
          <w:tcPr>
            <w:tcW w:w="1128" w:type="dxa"/>
            <w:vMerge w:val="restart"/>
            <w:vAlign w:val="bottom"/>
          </w:tcPr>
          <w:p w14:paraId="589C46E4" w14:textId="77777777" w:rsidR="00BE2CA7" w:rsidRPr="00440C76" w:rsidRDefault="00BE2CA7" w:rsidP="002B0590">
            <w:pPr>
              <w:spacing w:before="40" w:after="40" w:line="200" w:lineRule="atLeast"/>
              <w:ind w:left="57" w:right="57"/>
              <w:jc w:val="center"/>
              <w:rPr>
                <w:i/>
                <w:sz w:val="16"/>
                <w:szCs w:val="16"/>
                <w:lang w:val="fr-FR"/>
              </w:rPr>
            </w:pPr>
            <w:r w:rsidRPr="00440C76">
              <w:rPr>
                <w:i/>
                <w:sz w:val="16"/>
                <w:szCs w:val="16"/>
                <w:lang w:val="fr-FR"/>
              </w:rPr>
              <w:t>Unité</w:t>
            </w:r>
          </w:p>
        </w:tc>
        <w:tc>
          <w:tcPr>
            <w:tcW w:w="2639" w:type="dxa"/>
            <w:gridSpan w:val="2"/>
            <w:vAlign w:val="bottom"/>
          </w:tcPr>
          <w:p w14:paraId="7E58742A" w14:textId="77777777" w:rsidR="00BE2CA7" w:rsidRPr="00440C76" w:rsidRDefault="00BE2CA7" w:rsidP="002B0590">
            <w:pPr>
              <w:spacing w:before="40" w:after="40" w:line="200" w:lineRule="atLeast"/>
              <w:ind w:left="57" w:right="57"/>
              <w:jc w:val="center"/>
              <w:rPr>
                <w:bCs/>
                <w:i/>
                <w:sz w:val="16"/>
                <w:szCs w:val="16"/>
                <w:lang w:val="fr-FR"/>
              </w:rPr>
            </w:pPr>
            <w:r w:rsidRPr="00440C76">
              <w:rPr>
                <w:bCs/>
                <w:i/>
                <w:sz w:val="16"/>
                <w:szCs w:val="16"/>
                <w:lang w:val="fr-FR"/>
              </w:rPr>
              <w:t>Limites</w:t>
            </w:r>
            <w:r w:rsidRPr="00440C76">
              <w:rPr>
                <w:bCs/>
                <w:sz w:val="16"/>
                <w:szCs w:val="16"/>
                <w:vertAlign w:val="superscript"/>
                <w:lang w:val="fr-FR"/>
              </w:rPr>
              <w:t>1</w:t>
            </w:r>
          </w:p>
        </w:tc>
        <w:tc>
          <w:tcPr>
            <w:tcW w:w="2234" w:type="dxa"/>
            <w:vMerge w:val="restart"/>
            <w:vAlign w:val="bottom"/>
          </w:tcPr>
          <w:p w14:paraId="226D7036" w14:textId="77777777" w:rsidR="00BE2CA7" w:rsidRPr="00440C76" w:rsidRDefault="00BE2CA7" w:rsidP="002B0590">
            <w:pPr>
              <w:spacing w:before="40" w:after="40" w:line="200" w:lineRule="atLeast"/>
              <w:ind w:left="57" w:right="57"/>
              <w:rPr>
                <w:bCs/>
                <w:i/>
                <w:iCs/>
                <w:sz w:val="16"/>
                <w:szCs w:val="16"/>
                <w:lang w:val="fr-FR"/>
              </w:rPr>
            </w:pPr>
            <w:r w:rsidRPr="00440C76">
              <w:rPr>
                <w:bCs/>
                <w:i/>
                <w:sz w:val="16"/>
                <w:szCs w:val="16"/>
                <w:lang w:val="fr-FR"/>
              </w:rPr>
              <w:t>Méthode d</w:t>
            </w:r>
            <w:r>
              <w:rPr>
                <w:bCs/>
                <w:i/>
                <w:sz w:val="16"/>
                <w:szCs w:val="16"/>
                <w:lang w:val="fr-FR"/>
              </w:rPr>
              <w:t>’</w:t>
            </w:r>
            <w:r w:rsidRPr="00440C76">
              <w:rPr>
                <w:bCs/>
                <w:i/>
                <w:sz w:val="16"/>
                <w:szCs w:val="16"/>
                <w:lang w:val="fr-FR"/>
              </w:rPr>
              <w:t>essai</w:t>
            </w:r>
          </w:p>
        </w:tc>
      </w:tr>
      <w:tr w:rsidR="00BE2CA7" w:rsidRPr="00440C76" w14:paraId="6E93F790" w14:textId="77777777" w:rsidTr="002B0590">
        <w:trPr>
          <w:trHeight w:val="280"/>
          <w:tblHeader/>
        </w:trPr>
        <w:tc>
          <w:tcPr>
            <w:tcW w:w="3638" w:type="dxa"/>
            <w:vMerge/>
            <w:vAlign w:val="center"/>
          </w:tcPr>
          <w:p w14:paraId="6ED8314C" w14:textId="77777777" w:rsidR="00BE2CA7" w:rsidRPr="00440C76" w:rsidRDefault="00BE2CA7" w:rsidP="002B0590">
            <w:pPr>
              <w:spacing w:before="40" w:after="40" w:line="200" w:lineRule="atLeast"/>
              <w:ind w:left="57" w:right="57"/>
              <w:jc w:val="center"/>
              <w:rPr>
                <w:i/>
                <w:sz w:val="16"/>
                <w:szCs w:val="16"/>
                <w:lang w:val="fr-FR"/>
              </w:rPr>
            </w:pPr>
          </w:p>
        </w:tc>
        <w:tc>
          <w:tcPr>
            <w:tcW w:w="1128" w:type="dxa"/>
            <w:vMerge/>
            <w:vAlign w:val="center"/>
          </w:tcPr>
          <w:p w14:paraId="76E824D2" w14:textId="77777777" w:rsidR="00BE2CA7" w:rsidRPr="00440C76" w:rsidRDefault="00BE2CA7" w:rsidP="002B0590">
            <w:pPr>
              <w:spacing w:before="40" w:after="40" w:line="200" w:lineRule="atLeast"/>
              <w:ind w:left="57" w:right="57"/>
              <w:jc w:val="center"/>
              <w:rPr>
                <w:i/>
                <w:sz w:val="16"/>
                <w:szCs w:val="16"/>
                <w:lang w:val="fr-FR"/>
              </w:rPr>
            </w:pPr>
          </w:p>
        </w:tc>
        <w:tc>
          <w:tcPr>
            <w:tcW w:w="1319" w:type="dxa"/>
            <w:vAlign w:val="bottom"/>
          </w:tcPr>
          <w:p w14:paraId="42D98200" w14:textId="77777777" w:rsidR="00BE2CA7" w:rsidRPr="00440C76" w:rsidRDefault="00BE2CA7" w:rsidP="002B0590">
            <w:pPr>
              <w:spacing w:before="40" w:after="40" w:line="200" w:lineRule="atLeast"/>
              <w:ind w:left="57" w:right="57"/>
              <w:jc w:val="center"/>
              <w:rPr>
                <w:bCs/>
                <w:i/>
                <w:sz w:val="16"/>
                <w:szCs w:val="16"/>
                <w:lang w:val="fr-FR"/>
              </w:rPr>
            </w:pPr>
            <w:r w:rsidRPr="00440C76">
              <w:rPr>
                <w:bCs/>
                <w:i/>
                <w:sz w:val="16"/>
                <w:szCs w:val="16"/>
                <w:lang w:val="fr-FR"/>
              </w:rPr>
              <w:t>Minimale</w:t>
            </w:r>
          </w:p>
        </w:tc>
        <w:tc>
          <w:tcPr>
            <w:tcW w:w="1320" w:type="dxa"/>
            <w:vAlign w:val="bottom"/>
          </w:tcPr>
          <w:p w14:paraId="2D5D21A1" w14:textId="77777777" w:rsidR="00BE2CA7" w:rsidRPr="00440C76" w:rsidRDefault="00BE2CA7" w:rsidP="002B0590">
            <w:pPr>
              <w:spacing w:before="40" w:after="40" w:line="200" w:lineRule="atLeast"/>
              <w:ind w:left="57" w:right="57"/>
              <w:jc w:val="center"/>
              <w:rPr>
                <w:bCs/>
                <w:i/>
                <w:sz w:val="16"/>
                <w:szCs w:val="16"/>
                <w:lang w:val="fr-FR"/>
              </w:rPr>
            </w:pPr>
            <w:r w:rsidRPr="00440C76">
              <w:rPr>
                <w:bCs/>
                <w:i/>
                <w:sz w:val="16"/>
                <w:szCs w:val="16"/>
                <w:lang w:val="fr-FR"/>
              </w:rPr>
              <w:t>Maximale</w:t>
            </w:r>
          </w:p>
        </w:tc>
        <w:tc>
          <w:tcPr>
            <w:tcW w:w="2234" w:type="dxa"/>
            <w:vMerge/>
            <w:vAlign w:val="center"/>
          </w:tcPr>
          <w:p w14:paraId="68DFD8FB" w14:textId="77777777" w:rsidR="00BE2CA7" w:rsidRPr="00440C76" w:rsidRDefault="00BE2CA7" w:rsidP="002B0590">
            <w:pPr>
              <w:spacing w:before="40" w:after="40" w:line="200" w:lineRule="atLeast"/>
              <w:ind w:left="57" w:right="57"/>
              <w:jc w:val="center"/>
              <w:rPr>
                <w:b/>
                <w:bCs/>
                <w:i/>
                <w:iCs/>
                <w:sz w:val="16"/>
                <w:szCs w:val="16"/>
                <w:lang w:val="fr-FR"/>
              </w:rPr>
            </w:pPr>
          </w:p>
        </w:tc>
      </w:tr>
      <w:tr w:rsidR="00BE2CA7" w:rsidRPr="00440C76" w14:paraId="4C62A538" w14:textId="77777777" w:rsidTr="002B0590">
        <w:trPr>
          <w:trHeight w:val="163"/>
        </w:trPr>
        <w:tc>
          <w:tcPr>
            <w:tcW w:w="3638" w:type="dxa"/>
          </w:tcPr>
          <w:p w14:paraId="3D8D3C1C" w14:textId="77777777" w:rsidR="00BE2CA7" w:rsidRPr="00440C76" w:rsidRDefault="00BE2CA7" w:rsidP="002B0590">
            <w:pPr>
              <w:spacing w:before="60" w:after="60" w:line="220" w:lineRule="atLeast"/>
              <w:ind w:left="57" w:right="57"/>
              <w:rPr>
                <w:sz w:val="18"/>
                <w:szCs w:val="18"/>
                <w:lang w:val="fr-FR"/>
              </w:rPr>
            </w:pPr>
            <w:r w:rsidRPr="00440C76">
              <w:rPr>
                <w:sz w:val="18"/>
                <w:szCs w:val="18"/>
                <w:lang w:val="fr-FR"/>
              </w:rPr>
              <w:t>Indice d</w:t>
            </w:r>
            <w:r>
              <w:rPr>
                <w:sz w:val="18"/>
                <w:szCs w:val="18"/>
                <w:lang w:val="fr-FR"/>
              </w:rPr>
              <w:t>’</w:t>
            </w:r>
            <w:r w:rsidRPr="00440C76">
              <w:rPr>
                <w:sz w:val="18"/>
                <w:szCs w:val="18"/>
                <w:lang w:val="fr-FR"/>
              </w:rPr>
              <w:t>octane recherche (IOR)</w:t>
            </w:r>
            <w:r w:rsidRPr="0047626D">
              <w:rPr>
                <w:i/>
                <w:iCs/>
                <w:sz w:val="18"/>
                <w:szCs w:val="18"/>
                <w:vertAlign w:val="superscript"/>
                <w:lang w:val="fr-FR"/>
              </w:rPr>
              <w:t>2</w:t>
            </w:r>
          </w:p>
        </w:tc>
        <w:tc>
          <w:tcPr>
            <w:tcW w:w="1128" w:type="dxa"/>
          </w:tcPr>
          <w:p w14:paraId="6E47CE1E" w14:textId="77777777" w:rsidR="00BE2CA7" w:rsidRPr="00440C76" w:rsidRDefault="00BE2CA7" w:rsidP="002B0590">
            <w:pPr>
              <w:spacing w:before="60" w:after="60" w:line="220" w:lineRule="atLeast"/>
              <w:ind w:left="57" w:right="57"/>
              <w:jc w:val="center"/>
              <w:rPr>
                <w:sz w:val="18"/>
                <w:szCs w:val="18"/>
                <w:lang w:val="fr-FR"/>
              </w:rPr>
            </w:pPr>
          </w:p>
        </w:tc>
        <w:tc>
          <w:tcPr>
            <w:tcW w:w="1319" w:type="dxa"/>
          </w:tcPr>
          <w:p w14:paraId="53BB4DD5" w14:textId="77777777" w:rsidR="00BE2CA7" w:rsidRPr="00440C76" w:rsidRDefault="00BE2CA7" w:rsidP="002B0590">
            <w:pPr>
              <w:spacing w:before="60" w:after="60" w:line="220" w:lineRule="atLeast"/>
              <w:ind w:left="57" w:right="57"/>
              <w:jc w:val="center"/>
              <w:rPr>
                <w:bCs/>
                <w:sz w:val="18"/>
                <w:szCs w:val="18"/>
                <w:lang w:val="fr-FR"/>
              </w:rPr>
            </w:pPr>
            <w:r w:rsidRPr="00440C76">
              <w:rPr>
                <w:bCs/>
                <w:sz w:val="18"/>
                <w:szCs w:val="18"/>
                <w:lang w:val="fr-FR"/>
              </w:rPr>
              <w:t>95,0</w:t>
            </w:r>
          </w:p>
        </w:tc>
        <w:tc>
          <w:tcPr>
            <w:tcW w:w="1320" w:type="dxa"/>
          </w:tcPr>
          <w:p w14:paraId="53A5C4D0" w14:textId="77777777" w:rsidR="00BE2CA7" w:rsidRPr="00440C76" w:rsidRDefault="00BE2CA7" w:rsidP="002B0590">
            <w:pPr>
              <w:spacing w:before="60" w:after="60" w:line="220" w:lineRule="atLeast"/>
              <w:ind w:left="57" w:right="57"/>
              <w:jc w:val="center"/>
              <w:rPr>
                <w:bCs/>
                <w:sz w:val="18"/>
                <w:szCs w:val="18"/>
                <w:lang w:val="fr-FR"/>
              </w:rPr>
            </w:pPr>
            <w:r w:rsidRPr="00440C76">
              <w:rPr>
                <w:bCs/>
                <w:sz w:val="18"/>
                <w:szCs w:val="18"/>
                <w:lang w:val="fr-FR"/>
              </w:rPr>
              <w:t>98,0</w:t>
            </w:r>
          </w:p>
        </w:tc>
        <w:tc>
          <w:tcPr>
            <w:tcW w:w="2234" w:type="dxa"/>
          </w:tcPr>
          <w:p w14:paraId="197C30A3" w14:textId="77777777" w:rsidR="00BE2CA7" w:rsidRPr="00440C76" w:rsidRDefault="00BE2CA7" w:rsidP="002B0590">
            <w:pPr>
              <w:spacing w:before="60" w:after="60" w:line="220" w:lineRule="atLeast"/>
              <w:ind w:left="57" w:right="57"/>
              <w:rPr>
                <w:bCs/>
                <w:sz w:val="18"/>
                <w:szCs w:val="18"/>
                <w:lang w:val="fr-FR"/>
              </w:rPr>
            </w:pPr>
            <w:r w:rsidRPr="00440C76">
              <w:rPr>
                <w:bCs/>
                <w:sz w:val="18"/>
                <w:szCs w:val="18"/>
                <w:lang w:val="fr-FR"/>
              </w:rPr>
              <w:t>EN ISO</w:t>
            </w:r>
            <w:r>
              <w:rPr>
                <w:bCs/>
                <w:sz w:val="18"/>
                <w:szCs w:val="18"/>
                <w:lang w:val="fr-FR"/>
              </w:rPr>
              <w:t> </w:t>
            </w:r>
            <w:r w:rsidRPr="00440C76">
              <w:rPr>
                <w:bCs/>
                <w:sz w:val="18"/>
                <w:szCs w:val="18"/>
                <w:lang w:val="fr-FR"/>
              </w:rPr>
              <w:t>5164</w:t>
            </w:r>
          </w:p>
        </w:tc>
      </w:tr>
      <w:tr w:rsidR="00BE2CA7" w:rsidRPr="00440C76" w14:paraId="2E79F40E" w14:textId="77777777" w:rsidTr="002B0590">
        <w:trPr>
          <w:trHeight w:val="85"/>
        </w:trPr>
        <w:tc>
          <w:tcPr>
            <w:tcW w:w="3638" w:type="dxa"/>
          </w:tcPr>
          <w:p w14:paraId="7F694489" w14:textId="77777777" w:rsidR="00BE2CA7" w:rsidRPr="00440C76" w:rsidRDefault="00BE2CA7" w:rsidP="002B0590">
            <w:pPr>
              <w:spacing w:before="60" w:after="60" w:line="220" w:lineRule="atLeast"/>
              <w:ind w:left="57" w:right="57"/>
              <w:rPr>
                <w:sz w:val="18"/>
                <w:szCs w:val="18"/>
                <w:lang w:val="fr-FR"/>
              </w:rPr>
            </w:pPr>
            <w:r w:rsidRPr="00440C76">
              <w:rPr>
                <w:sz w:val="18"/>
                <w:szCs w:val="18"/>
                <w:lang w:val="fr-FR"/>
              </w:rPr>
              <w:t>Indice d</w:t>
            </w:r>
            <w:r>
              <w:rPr>
                <w:sz w:val="18"/>
                <w:szCs w:val="18"/>
                <w:lang w:val="fr-FR"/>
              </w:rPr>
              <w:t>’</w:t>
            </w:r>
            <w:r w:rsidRPr="00440C76">
              <w:rPr>
                <w:sz w:val="18"/>
                <w:szCs w:val="18"/>
                <w:lang w:val="fr-FR"/>
              </w:rPr>
              <w:t>octane moteur (IOM)</w:t>
            </w:r>
            <w:r w:rsidRPr="00440C76">
              <w:rPr>
                <w:i/>
                <w:iCs/>
                <w:sz w:val="16"/>
                <w:szCs w:val="16"/>
                <w:vertAlign w:val="superscript"/>
                <w:lang w:val="fr-FR"/>
              </w:rPr>
              <w:t>2</w:t>
            </w:r>
          </w:p>
        </w:tc>
        <w:tc>
          <w:tcPr>
            <w:tcW w:w="1128" w:type="dxa"/>
          </w:tcPr>
          <w:p w14:paraId="04772AE4" w14:textId="77777777" w:rsidR="00BE2CA7" w:rsidRPr="00440C76" w:rsidRDefault="00BE2CA7" w:rsidP="002B0590">
            <w:pPr>
              <w:spacing w:before="60" w:after="60" w:line="220" w:lineRule="atLeast"/>
              <w:ind w:left="57" w:right="57"/>
              <w:jc w:val="center"/>
              <w:rPr>
                <w:sz w:val="18"/>
                <w:szCs w:val="18"/>
                <w:lang w:val="fr-FR"/>
              </w:rPr>
            </w:pPr>
          </w:p>
        </w:tc>
        <w:tc>
          <w:tcPr>
            <w:tcW w:w="1319" w:type="dxa"/>
          </w:tcPr>
          <w:p w14:paraId="6AB52EB0" w14:textId="77777777" w:rsidR="00BE2CA7" w:rsidRPr="00440C76" w:rsidRDefault="00BE2CA7" w:rsidP="002B0590">
            <w:pPr>
              <w:spacing w:before="60" w:after="60" w:line="220" w:lineRule="atLeast"/>
              <w:ind w:left="57" w:right="57"/>
              <w:jc w:val="center"/>
              <w:rPr>
                <w:bCs/>
                <w:sz w:val="18"/>
                <w:szCs w:val="18"/>
                <w:lang w:val="fr-FR"/>
              </w:rPr>
            </w:pPr>
            <w:r w:rsidRPr="00440C76">
              <w:rPr>
                <w:bCs/>
                <w:sz w:val="18"/>
                <w:szCs w:val="18"/>
                <w:lang w:val="fr-FR"/>
              </w:rPr>
              <w:t>85,0</w:t>
            </w:r>
          </w:p>
        </w:tc>
        <w:tc>
          <w:tcPr>
            <w:tcW w:w="1320" w:type="dxa"/>
          </w:tcPr>
          <w:p w14:paraId="43CD092D" w14:textId="77777777" w:rsidR="00BE2CA7" w:rsidRPr="00440C76" w:rsidRDefault="00BE2CA7" w:rsidP="002B0590">
            <w:pPr>
              <w:spacing w:before="60" w:after="60" w:line="220" w:lineRule="atLeast"/>
              <w:ind w:left="57" w:right="57"/>
              <w:jc w:val="center"/>
              <w:rPr>
                <w:bCs/>
                <w:sz w:val="18"/>
                <w:szCs w:val="18"/>
                <w:lang w:val="fr-FR"/>
              </w:rPr>
            </w:pPr>
            <w:r w:rsidRPr="00440C76">
              <w:rPr>
                <w:bCs/>
                <w:sz w:val="18"/>
                <w:szCs w:val="18"/>
                <w:lang w:val="fr-FR"/>
              </w:rPr>
              <w:t>89,0</w:t>
            </w:r>
          </w:p>
        </w:tc>
        <w:tc>
          <w:tcPr>
            <w:tcW w:w="2234" w:type="dxa"/>
          </w:tcPr>
          <w:p w14:paraId="2BE5EB20" w14:textId="77777777" w:rsidR="00BE2CA7" w:rsidRPr="00440C76" w:rsidRDefault="00BE2CA7" w:rsidP="002B0590">
            <w:pPr>
              <w:spacing w:before="60" w:after="60" w:line="220" w:lineRule="atLeast"/>
              <w:ind w:left="57" w:right="57"/>
              <w:rPr>
                <w:bCs/>
                <w:sz w:val="18"/>
                <w:szCs w:val="18"/>
                <w:lang w:val="fr-FR"/>
              </w:rPr>
            </w:pPr>
            <w:r w:rsidRPr="00440C76">
              <w:rPr>
                <w:bCs/>
                <w:sz w:val="18"/>
                <w:szCs w:val="18"/>
                <w:lang w:val="fr-FR"/>
              </w:rPr>
              <w:t>EN ISO</w:t>
            </w:r>
            <w:r>
              <w:rPr>
                <w:bCs/>
                <w:sz w:val="18"/>
                <w:szCs w:val="18"/>
                <w:lang w:val="fr-FR"/>
              </w:rPr>
              <w:t> </w:t>
            </w:r>
            <w:r w:rsidRPr="00440C76">
              <w:rPr>
                <w:bCs/>
                <w:sz w:val="18"/>
                <w:szCs w:val="18"/>
                <w:lang w:val="fr-FR"/>
              </w:rPr>
              <w:t>5163</w:t>
            </w:r>
          </w:p>
        </w:tc>
      </w:tr>
      <w:tr w:rsidR="00BE2CA7" w:rsidRPr="00440C76" w14:paraId="3470DD0B" w14:textId="77777777" w:rsidTr="002B0590">
        <w:trPr>
          <w:trHeight w:val="141"/>
        </w:trPr>
        <w:tc>
          <w:tcPr>
            <w:tcW w:w="3638" w:type="dxa"/>
          </w:tcPr>
          <w:p w14:paraId="1794973A" w14:textId="77777777" w:rsidR="00BE2CA7" w:rsidRPr="00440C76" w:rsidRDefault="00BE2CA7" w:rsidP="002B0590">
            <w:pPr>
              <w:spacing w:before="60" w:after="60" w:line="220" w:lineRule="atLeast"/>
              <w:ind w:left="57" w:right="57"/>
              <w:rPr>
                <w:sz w:val="18"/>
                <w:szCs w:val="18"/>
                <w:lang w:val="fr-FR"/>
              </w:rPr>
            </w:pPr>
            <w:r w:rsidRPr="00440C76">
              <w:rPr>
                <w:sz w:val="18"/>
                <w:szCs w:val="18"/>
                <w:lang w:val="fr-FR"/>
              </w:rPr>
              <w:t>Densité à 15</w:t>
            </w:r>
            <w:r>
              <w:rPr>
                <w:sz w:val="18"/>
                <w:szCs w:val="18"/>
                <w:lang w:val="fr-FR"/>
              </w:rPr>
              <w:t> </w:t>
            </w:r>
            <w:r w:rsidRPr="00440C76">
              <w:rPr>
                <w:sz w:val="18"/>
                <w:szCs w:val="18"/>
                <w:lang w:val="fr-FR"/>
              </w:rPr>
              <w:t>°C</w:t>
            </w:r>
          </w:p>
        </w:tc>
        <w:tc>
          <w:tcPr>
            <w:tcW w:w="1128" w:type="dxa"/>
          </w:tcPr>
          <w:p w14:paraId="3A7A5341" w14:textId="77777777" w:rsidR="00BE2CA7" w:rsidRPr="00440C76" w:rsidRDefault="00BE2CA7" w:rsidP="002B0590">
            <w:pPr>
              <w:spacing w:before="60" w:after="60" w:line="220" w:lineRule="atLeast"/>
              <w:ind w:left="57" w:right="57"/>
              <w:jc w:val="center"/>
              <w:rPr>
                <w:sz w:val="18"/>
                <w:szCs w:val="18"/>
                <w:lang w:val="fr-FR"/>
              </w:rPr>
            </w:pPr>
            <w:r w:rsidRPr="00440C76">
              <w:rPr>
                <w:sz w:val="18"/>
                <w:szCs w:val="18"/>
                <w:lang w:val="fr-FR"/>
              </w:rPr>
              <w:t>kg/m</w:t>
            </w:r>
            <w:r w:rsidRPr="00440C76">
              <w:rPr>
                <w:sz w:val="18"/>
                <w:szCs w:val="18"/>
                <w:vertAlign w:val="superscript"/>
                <w:lang w:val="fr-FR"/>
              </w:rPr>
              <w:t>3</w:t>
            </w:r>
          </w:p>
        </w:tc>
        <w:tc>
          <w:tcPr>
            <w:tcW w:w="1319" w:type="dxa"/>
          </w:tcPr>
          <w:p w14:paraId="01D8AD86" w14:textId="77777777" w:rsidR="00BE2CA7" w:rsidRPr="00440C76" w:rsidRDefault="00BE2CA7" w:rsidP="002B0590">
            <w:pPr>
              <w:spacing w:before="60" w:after="60" w:line="220" w:lineRule="atLeast"/>
              <w:ind w:left="57" w:right="57"/>
              <w:jc w:val="center"/>
              <w:rPr>
                <w:bCs/>
                <w:sz w:val="18"/>
                <w:szCs w:val="18"/>
                <w:lang w:val="fr-FR"/>
              </w:rPr>
            </w:pPr>
            <w:r w:rsidRPr="00440C76">
              <w:rPr>
                <w:bCs/>
                <w:sz w:val="18"/>
                <w:szCs w:val="18"/>
                <w:lang w:val="fr-FR"/>
              </w:rPr>
              <w:t>743,0</w:t>
            </w:r>
          </w:p>
        </w:tc>
        <w:tc>
          <w:tcPr>
            <w:tcW w:w="1320" w:type="dxa"/>
          </w:tcPr>
          <w:p w14:paraId="7085970A" w14:textId="77777777" w:rsidR="00BE2CA7" w:rsidRPr="00440C76" w:rsidRDefault="00BE2CA7" w:rsidP="002B0590">
            <w:pPr>
              <w:spacing w:before="60" w:after="60" w:line="220" w:lineRule="atLeast"/>
              <w:ind w:left="57" w:right="57"/>
              <w:jc w:val="center"/>
              <w:rPr>
                <w:bCs/>
                <w:sz w:val="18"/>
                <w:szCs w:val="18"/>
                <w:lang w:val="fr-FR"/>
              </w:rPr>
            </w:pPr>
            <w:r w:rsidRPr="00440C76">
              <w:rPr>
                <w:bCs/>
                <w:sz w:val="18"/>
                <w:szCs w:val="18"/>
                <w:lang w:val="fr-FR"/>
              </w:rPr>
              <w:t>756,0</w:t>
            </w:r>
          </w:p>
        </w:tc>
        <w:tc>
          <w:tcPr>
            <w:tcW w:w="2234" w:type="dxa"/>
          </w:tcPr>
          <w:p w14:paraId="50003EAA" w14:textId="77777777" w:rsidR="00BE2CA7" w:rsidRPr="00440C76" w:rsidRDefault="00BE2CA7" w:rsidP="002B0590">
            <w:pPr>
              <w:spacing w:before="60" w:after="60" w:line="220" w:lineRule="atLeast"/>
              <w:ind w:left="57" w:right="57"/>
              <w:rPr>
                <w:bCs/>
                <w:sz w:val="18"/>
                <w:szCs w:val="18"/>
                <w:lang w:val="fr-FR"/>
              </w:rPr>
            </w:pPr>
            <w:r w:rsidRPr="00440C76">
              <w:rPr>
                <w:bCs/>
                <w:sz w:val="18"/>
                <w:szCs w:val="18"/>
                <w:lang w:val="fr-FR"/>
              </w:rPr>
              <w:t>EN ISO</w:t>
            </w:r>
            <w:r>
              <w:rPr>
                <w:bCs/>
                <w:sz w:val="18"/>
                <w:szCs w:val="18"/>
                <w:lang w:val="fr-FR"/>
              </w:rPr>
              <w:t> </w:t>
            </w:r>
            <w:r w:rsidRPr="00440C76">
              <w:rPr>
                <w:bCs/>
                <w:sz w:val="18"/>
                <w:szCs w:val="18"/>
                <w:lang w:val="fr-FR"/>
              </w:rPr>
              <w:t>12185</w:t>
            </w:r>
          </w:p>
        </w:tc>
      </w:tr>
      <w:tr w:rsidR="00BE2CA7" w:rsidRPr="00440C76" w14:paraId="6E68F312" w14:textId="77777777" w:rsidTr="002B0590">
        <w:trPr>
          <w:trHeight w:val="85"/>
        </w:trPr>
        <w:tc>
          <w:tcPr>
            <w:tcW w:w="3638" w:type="dxa"/>
          </w:tcPr>
          <w:p w14:paraId="68DCCE4D" w14:textId="77777777" w:rsidR="00BE2CA7" w:rsidRPr="00440C76" w:rsidRDefault="00BE2CA7" w:rsidP="002B0590">
            <w:pPr>
              <w:spacing w:before="60" w:after="60" w:line="220" w:lineRule="atLeast"/>
              <w:ind w:left="57" w:right="57"/>
              <w:rPr>
                <w:sz w:val="18"/>
                <w:szCs w:val="18"/>
                <w:lang w:val="fr-FR"/>
              </w:rPr>
            </w:pPr>
            <w:r w:rsidRPr="00440C76">
              <w:rPr>
                <w:sz w:val="18"/>
                <w:szCs w:val="18"/>
                <w:lang w:val="fr-FR"/>
              </w:rPr>
              <w:t>Pression de vapeur (DVPE)</w:t>
            </w:r>
          </w:p>
        </w:tc>
        <w:tc>
          <w:tcPr>
            <w:tcW w:w="1128" w:type="dxa"/>
          </w:tcPr>
          <w:p w14:paraId="79E361F8" w14:textId="77777777" w:rsidR="00BE2CA7" w:rsidRPr="00440C76" w:rsidRDefault="00BE2CA7" w:rsidP="002B0590">
            <w:pPr>
              <w:spacing w:before="60" w:after="60" w:line="220" w:lineRule="atLeast"/>
              <w:ind w:left="57" w:right="57"/>
              <w:jc w:val="center"/>
              <w:rPr>
                <w:sz w:val="18"/>
                <w:szCs w:val="18"/>
                <w:lang w:val="fr-FR"/>
              </w:rPr>
            </w:pPr>
            <w:r w:rsidRPr="00440C76">
              <w:rPr>
                <w:sz w:val="18"/>
                <w:szCs w:val="18"/>
                <w:lang w:val="fr-FR"/>
              </w:rPr>
              <w:t>kPa</w:t>
            </w:r>
          </w:p>
        </w:tc>
        <w:tc>
          <w:tcPr>
            <w:tcW w:w="1319" w:type="dxa"/>
          </w:tcPr>
          <w:p w14:paraId="23326CEB" w14:textId="77777777" w:rsidR="00BE2CA7" w:rsidRPr="00440C76" w:rsidRDefault="00BE2CA7" w:rsidP="002B0590">
            <w:pPr>
              <w:spacing w:before="60" w:after="60" w:line="220" w:lineRule="atLeast"/>
              <w:ind w:left="57" w:right="57"/>
              <w:jc w:val="center"/>
              <w:rPr>
                <w:bCs/>
                <w:sz w:val="18"/>
                <w:szCs w:val="18"/>
                <w:lang w:val="fr-FR"/>
              </w:rPr>
            </w:pPr>
            <w:r w:rsidRPr="00440C76">
              <w:rPr>
                <w:bCs/>
                <w:sz w:val="18"/>
                <w:szCs w:val="18"/>
                <w:lang w:val="fr-FR"/>
              </w:rPr>
              <w:t>56,0</w:t>
            </w:r>
          </w:p>
        </w:tc>
        <w:tc>
          <w:tcPr>
            <w:tcW w:w="1320" w:type="dxa"/>
          </w:tcPr>
          <w:p w14:paraId="608936BB" w14:textId="77777777" w:rsidR="00BE2CA7" w:rsidRPr="00440C76" w:rsidRDefault="00BE2CA7" w:rsidP="002B0590">
            <w:pPr>
              <w:spacing w:before="60" w:after="60" w:line="220" w:lineRule="atLeast"/>
              <w:ind w:left="57" w:right="57"/>
              <w:jc w:val="center"/>
              <w:rPr>
                <w:bCs/>
                <w:sz w:val="18"/>
                <w:szCs w:val="18"/>
                <w:lang w:val="fr-FR"/>
              </w:rPr>
            </w:pPr>
            <w:r w:rsidRPr="00440C76">
              <w:rPr>
                <w:bCs/>
                <w:sz w:val="18"/>
                <w:szCs w:val="18"/>
                <w:lang w:val="fr-FR"/>
              </w:rPr>
              <w:t>95,0</w:t>
            </w:r>
          </w:p>
        </w:tc>
        <w:tc>
          <w:tcPr>
            <w:tcW w:w="2234" w:type="dxa"/>
          </w:tcPr>
          <w:p w14:paraId="0B058917" w14:textId="77777777" w:rsidR="00BE2CA7" w:rsidRPr="00440C76" w:rsidRDefault="00BE2CA7" w:rsidP="002B0590">
            <w:pPr>
              <w:spacing w:before="60" w:after="60" w:line="220" w:lineRule="atLeast"/>
              <w:ind w:left="57" w:right="57"/>
              <w:rPr>
                <w:bCs/>
                <w:sz w:val="18"/>
                <w:szCs w:val="18"/>
                <w:lang w:val="fr-FR"/>
              </w:rPr>
            </w:pPr>
            <w:r w:rsidRPr="00440C76">
              <w:rPr>
                <w:bCs/>
                <w:sz w:val="18"/>
                <w:szCs w:val="18"/>
                <w:lang w:val="fr-FR"/>
              </w:rPr>
              <w:t xml:space="preserve">EN 13016-1 </w:t>
            </w:r>
          </w:p>
        </w:tc>
      </w:tr>
      <w:tr w:rsidR="00BE2CA7" w:rsidRPr="00440C76" w14:paraId="6EA887E7" w14:textId="77777777" w:rsidTr="002B0590">
        <w:trPr>
          <w:trHeight w:val="416"/>
        </w:trPr>
        <w:tc>
          <w:tcPr>
            <w:tcW w:w="3638" w:type="dxa"/>
          </w:tcPr>
          <w:p w14:paraId="4B41F0D3" w14:textId="77777777" w:rsidR="00BE2CA7" w:rsidRPr="00440C76" w:rsidRDefault="00BE2CA7" w:rsidP="002B0590">
            <w:pPr>
              <w:spacing w:before="60" w:after="60" w:line="220" w:lineRule="atLeast"/>
              <w:ind w:left="57" w:right="57"/>
              <w:rPr>
                <w:sz w:val="18"/>
                <w:szCs w:val="18"/>
                <w:lang w:val="fr-FR"/>
              </w:rPr>
            </w:pPr>
            <w:r w:rsidRPr="00440C76">
              <w:rPr>
                <w:sz w:val="18"/>
                <w:szCs w:val="18"/>
                <w:lang w:val="fr-FR"/>
              </w:rPr>
              <w:t>Teneur en eau</w:t>
            </w:r>
          </w:p>
        </w:tc>
        <w:tc>
          <w:tcPr>
            <w:tcW w:w="1128" w:type="dxa"/>
          </w:tcPr>
          <w:p w14:paraId="3BC0AF16" w14:textId="77777777" w:rsidR="00BE2CA7" w:rsidRPr="00440C76" w:rsidRDefault="00BE2CA7" w:rsidP="002B0590">
            <w:pPr>
              <w:spacing w:before="60" w:after="60" w:line="220" w:lineRule="atLeast"/>
              <w:ind w:left="57" w:right="57"/>
              <w:jc w:val="center"/>
              <w:rPr>
                <w:sz w:val="18"/>
                <w:szCs w:val="18"/>
                <w:lang w:val="fr-FR"/>
              </w:rPr>
            </w:pPr>
          </w:p>
        </w:tc>
        <w:tc>
          <w:tcPr>
            <w:tcW w:w="2639" w:type="dxa"/>
            <w:gridSpan w:val="2"/>
            <w:tcMar>
              <w:left w:w="28" w:type="dxa"/>
              <w:right w:w="28" w:type="dxa"/>
            </w:tcMar>
            <w:vAlign w:val="center"/>
          </w:tcPr>
          <w:p w14:paraId="6A09B010" w14:textId="77777777" w:rsidR="00BE2CA7" w:rsidRPr="00440C76" w:rsidRDefault="00BE2CA7" w:rsidP="002B0590">
            <w:pPr>
              <w:spacing w:before="60" w:after="60" w:line="220" w:lineRule="atLeast"/>
              <w:ind w:left="57" w:right="57"/>
              <w:jc w:val="center"/>
              <w:rPr>
                <w:bCs/>
                <w:spacing w:val="-2"/>
                <w:sz w:val="18"/>
                <w:szCs w:val="18"/>
                <w:lang w:val="fr-FR"/>
              </w:rPr>
            </w:pPr>
            <w:r w:rsidRPr="00440C76">
              <w:rPr>
                <w:bCs/>
                <w:spacing w:val="-2"/>
                <w:sz w:val="18"/>
                <w:szCs w:val="18"/>
                <w:lang w:val="fr-FR"/>
              </w:rPr>
              <w:t>Max</w:t>
            </w:r>
            <w:r>
              <w:rPr>
                <w:bCs/>
                <w:spacing w:val="-2"/>
                <w:sz w:val="18"/>
                <w:szCs w:val="18"/>
                <w:lang w:val="fr-FR"/>
              </w:rPr>
              <w:t> </w:t>
            </w:r>
            <w:r w:rsidRPr="00440C76">
              <w:rPr>
                <w:bCs/>
                <w:spacing w:val="-2"/>
                <w:sz w:val="18"/>
                <w:szCs w:val="18"/>
                <w:lang w:val="fr-FR"/>
              </w:rPr>
              <w:t>0,05</w:t>
            </w:r>
            <w:r w:rsidRPr="00440C76">
              <w:rPr>
                <w:bCs/>
                <w:spacing w:val="-2"/>
                <w:sz w:val="18"/>
                <w:szCs w:val="18"/>
                <w:lang w:val="fr-FR"/>
              </w:rPr>
              <w:br/>
              <w:t>Aspect à -7</w:t>
            </w:r>
            <w:r>
              <w:rPr>
                <w:bCs/>
                <w:spacing w:val="-2"/>
                <w:sz w:val="18"/>
                <w:szCs w:val="18"/>
                <w:lang w:val="fr-FR"/>
              </w:rPr>
              <w:t> </w:t>
            </w:r>
            <w:r w:rsidRPr="00440C76">
              <w:rPr>
                <w:bCs/>
                <w:spacing w:val="-2"/>
                <w:sz w:val="18"/>
                <w:szCs w:val="18"/>
                <w:lang w:val="fr-FR"/>
              </w:rPr>
              <w:t>°C : claire et brillante</w:t>
            </w:r>
          </w:p>
        </w:tc>
        <w:tc>
          <w:tcPr>
            <w:tcW w:w="2234" w:type="dxa"/>
            <w:vAlign w:val="center"/>
          </w:tcPr>
          <w:p w14:paraId="10B4442F" w14:textId="77777777" w:rsidR="00BE2CA7" w:rsidRPr="00440C76" w:rsidRDefault="00BE2CA7" w:rsidP="002B0590">
            <w:pPr>
              <w:spacing w:before="60" w:after="60" w:line="220" w:lineRule="atLeast"/>
              <w:ind w:left="57" w:right="57"/>
              <w:rPr>
                <w:bCs/>
                <w:sz w:val="18"/>
                <w:szCs w:val="18"/>
                <w:lang w:val="fr-FR"/>
              </w:rPr>
            </w:pPr>
            <w:r w:rsidRPr="00440C76">
              <w:rPr>
                <w:bCs/>
                <w:sz w:val="18"/>
                <w:szCs w:val="18"/>
                <w:lang w:val="fr-FR"/>
              </w:rPr>
              <w:t>EN 12937</w:t>
            </w:r>
          </w:p>
        </w:tc>
      </w:tr>
      <w:tr w:rsidR="00BE2CA7" w:rsidRPr="00440C76" w14:paraId="43548B68" w14:textId="77777777" w:rsidTr="002B0590">
        <w:trPr>
          <w:trHeight w:val="123"/>
        </w:trPr>
        <w:tc>
          <w:tcPr>
            <w:tcW w:w="3638" w:type="dxa"/>
          </w:tcPr>
          <w:p w14:paraId="52729809" w14:textId="77777777" w:rsidR="00BE2CA7" w:rsidRPr="00440C76" w:rsidRDefault="00BE2CA7" w:rsidP="002B0590">
            <w:pPr>
              <w:spacing w:before="60" w:after="60" w:line="220" w:lineRule="atLeast"/>
              <w:ind w:left="57" w:right="57"/>
              <w:rPr>
                <w:sz w:val="18"/>
                <w:szCs w:val="18"/>
                <w:lang w:val="fr-FR"/>
              </w:rPr>
            </w:pPr>
            <w:r w:rsidRPr="00440C76">
              <w:rPr>
                <w:sz w:val="18"/>
                <w:szCs w:val="18"/>
                <w:lang w:val="fr-FR"/>
              </w:rPr>
              <w:t>Distillation :</w:t>
            </w:r>
          </w:p>
        </w:tc>
        <w:tc>
          <w:tcPr>
            <w:tcW w:w="1128" w:type="dxa"/>
          </w:tcPr>
          <w:p w14:paraId="113F797F" w14:textId="77777777" w:rsidR="00BE2CA7" w:rsidRPr="00440C76" w:rsidRDefault="00BE2CA7" w:rsidP="002B0590">
            <w:pPr>
              <w:spacing w:before="60" w:after="60" w:line="220" w:lineRule="atLeast"/>
              <w:ind w:left="57" w:right="57"/>
              <w:jc w:val="center"/>
              <w:rPr>
                <w:sz w:val="18"/>
                <w:szCs w:val="18"/>
                <w:lang w:val="fr-FR"/>
              </w:rPr>
            </w:pPr>
          </w:p>
        </w:tc>
        <w:tc>
          <w:tcPr>
            <w:tcW w:w="1319" w:type="dxa"/>
          </w:tcPr>
          <w:p w14:paraId="4B24CA03" w14:textId="77777777" w:rsidR="00BE2CA7" w:rsidRPr="00440C76" w:rsidRDefault="00BE2CA7" w:rsidP="002B0590">
            <w:pPr>
              <w:spacing w:before="60" w:after="60" w:line="220" w:lineRule="atLeast"/>
              <w:ind w:left="57" w:right="57"/>
              <w:jc w:val="center"/>
              <w:rPr>
                <w:bCs/>
                <w:sz w:val="18"/>
                <w:szCs w:val="18"/>
                <w:lang w:val="fr-FR"/>
              </w:rPr>
            </w:pPr>
          </w:p>
        </w:tc>
        <w:tc>
          <w:tcPr>
            <w:tcW w:w="1320" w:type="dxa"/>
          </w:tcPr>
          <w:p w14:paraId="5D66BCDD" w14:textId="77777777" w:rsidR="00BE2CA7" w:rsidRPr="00440C76" w:rsidRDefault="00BE2CA7" w:rsidP="002B0590">
            <w:pPr>
              <w:spacing w:before="60" w:after="60" w:line="220" w:lineRule="atLeast"/>
              <w:ind w:left="57" w:right="57"/>
              <w:jc w:val="center"/>
              <w:rPr>
                <w:bCs/>
                <w:sz w:val="18"/>
                <w:szCs w:val="18"/>
                <w:lang w:val="fr-FR"/>
              </w:rPr>
            </w:pPr>
          </w:p>
        </w:tc>
        <w:tc>
          <w:tcPr>
            <w:tcW w:w="2234" w:type="dxa"/>
          </w:tcPr>
          <w:p w14:paraId="49685A14" w14:textId="77777777" w:rsidR="00BE2CA7" w:rsidRPr="00440C76" w:rsidRDefault="00BE2CA7" w:rsidP="002B0590">
            <w:pPr>
              <w:spacing w:before="60" w:after="60" w:line="220" w:lineRule="atLeast"/>
              <w:ind w:left="57" w:right="57"/>
              <w:rPr>
                <w:bCs/>
                <w:sz w:val="18"/>
                <w:szCs w:val="18"/>
                <w:lang w:val="fr-FR"/>
              </w:rPr>
            </w:pPr>
          </w:p>
        </w:tc>
      </w:tr>
      <w:tr w:rsidR="00BE2CA7" w:rsidRPr="00440C76" w14:paraId="25748E81" w14:textId="77777777" w:rsidTr="002B0590">
        <w:trPr>
          <w:trHeight w:val="95"/>
        </w:trPr>
        <w:tc>
          <w:tcPr>
            <w:tcW w:w="3638" w:type="dxa"/>
          </w:tcPr>
          <w:p w14:paraId="1D74DBF7" w14:textId="77777777" w:rsidR="00BE2CA7" w:rsidRPr="00440C76" w:rsidRDefault="00BE2CA7" w:rsidP="002B0590">
            <w:pPr>
              <w:tabs>
                <w:tab w:val="left" w:pos="284"/>
              </w:tabs>
              <w:kinsoku/>
              <w:overflowPunct/>
              <w:autoSpaceDE/>
              <w:autoSpaceDN/>
              <w:adjustRightInd/>
              <w:snapToGrid/>
              <w:spacing w:before="60" w:after="60" w:line="220" w:lineRule="atLeast"/>
              <w:ind w:left="341" w:right="57" w:hanging="284"/>
              <w:rPr>
                <w:sz w:val="18"/>
                <w:szCs w:val="18"/>
                <w:lang w:val="fr-FR"/>
              </w:rPr>
            </w:pPr>
            <w:r w:rsidRPr="00440C76">
              <w:rPr>
                <w:sz w:val="18"/>
                <w:szCs w:val="18"/>
                <w:lang w:val="fr-FR"/>
              </w:rPr>
              <w:t>•</w:t>
            </w:r>
            <w:r w:rsidRPr="00440C76">
              <w:rPr>
                <w:sz w:val="18"/>
                <w:szCs w:val="18"/>
                <w:lang w:val="fr-FR"/>
              </w:rPr>
              <w:tab/>
              <w:t>Évaporé à 70 °C</w:t>
            </w:r>
          </w:p>
        </w:tc>
        <w:tc>
          <w:tcPr>
            <w:tcW w:w="1128" w:type="dxa"/>
          </w:tcPr>
          <w:p w14:paraId="27275BA3" w14:textId="77777777" w:rsidR="00BE2CA7" w:rsidRPr="00440C76" w:rsidRDefault="00BE2CA7" w:rsidP="002B0590">
            <w:pPr>
              <w:spacing w:before="60" w:after="60" w:line="220" w:lineRule="atLeast"/>
              <w:ind w:left="57" w:right="57"/>
              <w:jc w:val="center"/>
              <w:rPr>
                <w:sz w:val="18"/>
                <w:szCs w:val="18"/>
                <w:lang w:val="fr-FR"/>
              </w:rPr>
            </w:pPr>
            <w:r w:rsidRPr="00440C76">
              <w:rPr>
                <w:sz w:val="18"/>
                <w:szCs w:val="18"/>
                <w:lang w:val="fr-FR"/>
              </w:rPr>
              <w:t>% v/v</w:t>
            </w:r>
          </w:p>
        </w:tc>
        <w:tc>
          <w:tcPr>
            <w:tcW w:w="1319" w:type="dxa"/>
          </w:tcPr>
          <w:p w14:paraId="2BF34BF1" w14:textId="77777777" w:rsidR="00BE2CA7" w:rsidRPr="00440C76" w:rsidRDefault="00BE2CA7" w:rsidP="002B0590">
            <w:pPr>
              <w:spacing w:before="60" w:after="60" w:line="220" w:lineRule="atLeast"/>
              <w:ind w:left="57" w:right="57"/>
              <w:jc w:val="center"/>
              <w:rPr>
                <w:bCs/>
                <w:strike/>
                <w:sz w:val="18"/>
                <w:szCs w:val="18"/>
                <w:lang w:val="fr-FR"/>
              </w:rPr>
            </w:pPr>
            <w:r w:rsidRPr="00440C76">
              <w:rPr>
                <w:bCs/>
                <w:sz w:val="18"/>
                <w:szCs w:val="18"/>
                <w:lang w:val="fr-FR"/>
              </w:rPr>
              <w:t>34,0</w:t>
            </w:r>
          </w:p>
        </w:tc>
        <w:tc>
          <w:tcPr>
            <w:tcW w:w="1320" w:type="dxa"/>
          </w:tcPr>
          <w:p w14:paraId="2FB51A38" w14:textId="77777777" w:rsidR="00BE2CA7" w:rsidRPr="00440C76" w:rsidRDefault="00BE2CA7" w:rsidP="002B0590">
            <w:pPr>
              <w:spacing w:before="60" w:after="60" w:line="220" w:lineRule="atLeast"/>
              <w:ind w:left="57" w:right="57"/>
              <w:jc w:val="center"/>
              <w:rPr>
                <w:bCs/>
                <w:strike/>
                <w:sz w:val="18"/>
                <w:szCs w:val="18"/>
                <w:lang w:val="fr-FR"/>
              </w:rPr>
            </w:pPr>
            <w:r w:rsidRPr="00440C76">
              <w:rPr>
                <w:bCs/>
                <w:sz w:val="18"/>
                <w:szCs w:val="18"/>
                <w:lang w:val="fr-FR"/>
              </w:rPr>
              <w:t>46,0</w:t>
            </w:r>
          </w:p>
        </w:tc>
        <w:tc>
          <w:tcPr>
            <w:tcW w:w="2234" w:type="dxa"/>
          </w:tcPr>
          <w:p w14:paraId="51BB9CA0" w14:textId="77777777" w:rsidR="00BE2CA7" w:rsidRPr="00440C76" w:rsidRDefault="00BE2CA7" w:rsidP="002B0590">
            <w:pPr>
              <w:spacing w:before="60" w:after="60" w:line="220" w:lineRule="atLeast"/>
              <w:ind w:left="57" w:right="57"/>
              <w:rPr>
                <w:bCs/>
                <w:sz w:val="18"/>
                <w:szCs w:val="18"/>
                <w:lang w:val="fr-FR"/>
              </w:rPr>
            </w:pPr>
            <w:r w:rsidRPr="00440C76">
              <w:rPr>
                <w:bCs/>
                <w:sz w:val="18"/>
                <w:szCs w:val="18"/>
                <w:lang w:val="fr-FR"/>
              </w:rPr>
              <w:t>EN ISO</w:t>
            </w:r>
            <w:r>
              <w:rPr>
                <w:bCs/>
                <w:sz w:val="18"/>
                <w:szCs w:val="18"/>
                <w:lang w:val="fr-FR"/>
              </w:rPr>
              <w:t> </w:t>
            </w:r>
            <w:r w:rsidRPr="00440C76">
              <w:rPr>
                <w:bCs/>
                <w:sz w:val="18"/>
                <w:szCs w:val="18"/>
                <w:lang w:val="fr-FR"/>
              </w:rPr>
              <w:t>3405</w:t>
            </w:r>
          </w:p>
        </w:tc>
      </w:tr>
      <w:tr w:rsidR="00BE2CA7" w:rsidRPr="00440C76" w14:paraId="1138D556" w14:textId="77777777" w:rsidTr="002B0590">
        <w:trPr>
          <w:trHeight w:val="85"/>
        </w:trPr>
        <w:tc>
          <w:tcPr>
            <w:tcW w:w="3638" w:type="dxa"/>
          </w:tcPr>
          <w:p w14:paraId="038B9F51" w14:textId="77777777" w:rsidR="00BE2CA7" w:rsidRPr="00440C76" w:rsidRDefault="00BE2CA7" w:rsidP="002B0590">
            <w:pPr>
              <w:tabs>
                <w:tab w:val="left" w:pos="284"/>
              </w:tabs>
              <w:kinsoku/>
              <w:overflowPunct/>
              <w:autoSpaceDE/>
              <w:autoSpaceDN/>
              <w:adjustRightInd/>
              <w:snapToGrid/>
              <w:spacing w:before="60" w:after="60" w:line="220" w:lineRule="atLeast"/>
              <w:ind w:left="341" w:right="57" w:hanging="284"/>
              <w:rPr>
                <w:sz w:val="18"/>
                <w:szCs w:val="18"/>
                <w:lang w:val="fr-FR"/>
              </w:rPr>
            </w:pPr>
            <w:r w:rsidRPr="00440C76">
              <w:rPr>
                <w:sz w:val="18"/>
                <w:szCs w:val="18"/>
                <w:lang w:val="fr-FR"/>
              </w:rPr>
              <w:t>•</w:t>
            </w:r>
            <w:r w:rsidRPr="00440C76">
              <w:rPr>
                <w:sz w:val="18"/>
                <w:szCs w:val="18"/>
                <w:lang w:val="fr-FR"/>
              </w:rPr>
              <w:tab/>
              <w:t>Évaporé à 100 °C</w:t>
            </w:r>
          </w:p>
        </w:tc>
        <w:tc>
          <w:tcPr>
            <w:tcW w:w="1128" w:type="dxa"/>
          </w:tcPr>
          <w:p w14:paraId="1E6B9F99" w14:textId="77777777" w:rsidR="00BE2CA7" w:rsidRPr="00440C76" w:rsidRDefault="00BE2CA7" w:rsidP="002B0590">
            <w:pPr>
              <w:spacing w:before="60" w:after="60" w:line="220" w:lineRule="atLeast"/>
              <w:ind w:left="57" w:right="57"/>
              <w:jc w:val="center"/>
              <w:rPr>
                <w:sz w:val="18"/>
                <w:szCs w:val="18"/>
                <w:lang w:val="fr-FR"/>
              </w:rPr>
            </w:pPr>
            <w:r w:rsidRPr="00440C76">
              <w:rPr>
                <w:sz w:val="18"/>
                <w:szCs w:val="18"/>
                <w:lang w:val="fr-FR"/>
              </w:rPr>
              <w:t>% v/v</w:t>
            </w:r>
          </w:p>
        </w:tc>
        <w:tc>
          <w:tcPr>
            <w:tcW w:w="1319" w:type="dxa"/>
          </w:tcPr>
          <w:p w14:paraId="21D67AC3" w14:textId="77777777" w:rsidR="00BE2CA7" w:rsidRPr="00440C76" w:rsidRDefault="00BE2CA7" w:rsidP="002B0590">
            <w:pPr>
              <w:spacing w:before="60" w:after="60" w:line="220" w:lineRule="atLeast"/>
              <w:ind w:left="57" w:right="57"/>
              <w:jc w:val="center"/>
              <w:rPr>
                <w:bCs/>
                <w:sz w:val="18"/>
                <w:szCs w:val="18"/>
                <w:lang w:val="fr-FR"/>
              </w:rPr>
            </w:pPr>
            <w:r w:rsidRPr="00440C76">
              <w:rPr>
                <w:bCs/>
                <w:sz w:val="18"/>
                <w:szCs w:val="18"/>
                <w:lang w:val="fr-FR"/>
              </w:rPr>
              <w:t>54,0</w:t>
            </w:r>
          </w:p>
        </w:tc>
        <w:tc>
          <w:tcPr>
            <w:tcW w:w="1320" w:type="dxa"/>
          </w:tcPr>
          <w:p w14:paraId="3C305DF0" w14:textId="77777777" w:rsidR="00BE2CA7" w:rsidRPr="00440C76" w:rsidRDefault="00BE2CA7" w:rsidP="002B0590">
            <w:pPr>
              <w:spacing w:before="60" w:after="60" w:line="220" w:lineRule="atLeast"/>
              <w:ind w:left="57" w:right="57"/>
              <w:jc w:val="center"/>
              <w:rPr>
                <w:bCs/>
                <w:sz w:val="18"/>
                <w:szCs w:val="18"/>
                <w:lang w:val="fr-FR"/>
              </w:rPr>
            </w:pPr>
            <w:r w:rsidRPr="00440C76">
              <w:rPr>
                <w:bCs/>
                <w:sz w:val="18"/>
                <w:szCs w:val="18"/>
                <w:lang w:val="fr-FR"/>
              </w:rPr>
              <w:t>62,0</w:t>
            </w:r>
          </w:p>
        </w:tc>
        <w:tc>
          <w:tcPr>
            <w:tcW w:w="2234" w:type="dxa"/>
          </w:tcPr>
          <w:p w14:paraId="26908486" w14:textId="77777777" w:rsidR="00BE2CA7" w:rsidRPr="00440C76" w:rsidRDefault="00BE2CA7" w:rsidP="002B0590">
            <w:pPr>
              <w:spacing w:before="60" w:after="60" w:line="220" w:lineRule="atLeast"/>
              <w:ind w:left="57" w:right="57"/>
              <w:rPr>
                <w:bCs/>
                <w:sz w:val="18"/>
                <w:szCs w:val="18"/>
                <w:lang w:val="fr-FR"/>
              </w:rPr>
            </w:pPr>
            <w:r w:rsidRPr="00440C76">
              <w:rPr>
                <w:bCs/>
                <w:sz w:val="18"/>
                <w:szCs w:val="18"/>
                <w:lang w:val="fr-FR"/>
              </w:rPr>
              <w:t>EN ISO</w:t>
            </w:r>
            <w:r>
              <w:rPr>
                <w:bCs/>
                <w:sz w:val="18"/>
                <w:szCs w:val="18"/>
                <w:lang w:val="fr-FR"/>
              </w:rPr>
              <w:t> </w:t>
            </w:r>
            <w:r w:rsidRPr="00440C76">
              <w:rPr>
                <w:bCs/>
                <w:sz w:val="18"/>
                <w:szCs w:val="18"/>
                <w:lang w:val="fr-FR"/>
              </w:rPr>
              <w:t>3405</w:t>
            </w:r>
          </w:p>
        </w:tc>
      </w:tr>
      <w:tr w:rsidR="00BE2CA7" w:rsidRPr="00440C76" w14:paraId="1F421C0D" w14:textId="77777777" w:rsidTr="002B0590">
        <w:trPr>
          <w:trHeight w:val="85"/>
        </w:trPr>
        <w:tc>
          <w:tcPr>
            <w:tcW w:w="3638" w:type="dxa"/>
          </w:tcPr>
          <w:p w14:paraId="4C5CF0C0" w14:textId="77777777" w:rsidR="00BE2CA7" w:rsidRPr="00440C76" w:rsidRDefault="00BE2CA7" w:rsidP="002B0590">
            <w:pPr>
              <w:tabs>
                <w:tab w:val="left" w:pos="284"/>
              </w:tabs>
              <w:kinsoku/>
              <w:overflowPunct/>
              <w:autoSpaceDE/>
              <w:autoSpaceDN/>
              <w:adjustRightInd/>
              <w:snapToGrid/>
              <w:spacing w:before="60" w:after="60" w:line="220" w:lineRule="atLeast"/>
              <w:ind w:left="341" w:right="57" w:hanging="284"/>
              <w:rPr>
                <w:sz w:val="18"/>
                <w:szCs w:val="18"/>
                <w:lang w:val="fr-FR"/>
              </w:rPr>
            </w:pPr>
            <w:r w:rsidRPr="00440C76">
              <w:rPr>
                <w:sz w:val="18"/>
                <w:szCs w:val="18"/>
                <w:lang w:val="fr-FR"/>
              </w:rPr>
              <w:t>•</w:t>
            </w:r>
            <w:r w:rsidRPr="00440C76">
              <w:rPr>
                <w:sz w:val="18"/>
                <w:szCs w:val="18"/>
                <w:lang w:val="fr-FR"/>
              </w:rPr>
              <w:tab/>
              <w:t>Évaporé à 150 °C</w:t>
            </w:r>
          </w:p>
        </w:tc>
        <w:tc>
          <w:tcPr>
            <w:tcW w:w="1128" w:type="dxa"/>
          </w:tcPr>
          <w:p w14:paraId="248CCB8B" w14:textId="77777777" w:rsidR="00BE2CA7" w:rsidRPr="00440C76" w:rsidRDefault="00BE2CA7" w:rsidP="002B0590">
            <w:pPr>
              <w:spacing w:before="60" w:after="60" w:line="220" w:lineRule="atLeast"/>
              <w:ind w:left="57" w:right="57"/>
              <w:jc w:val="center"/>
              <w:rPr>
                <w:sz w:val="18"/>
                <w:szCs w:val="18"/>
                <w:lang w:val="fr-FR"/>
              </w:rPr>
            </w:pPr>
            <w:r w:rsidRPr="00440C76">
              <w:rPr>
                <w:sz w:val="18"/>
                <w:szCs w:val="18"/>
                <w:lang w:val="fr-FR"/>
              </w:rPr>
              <w:t>% v/v</w:t>
            </w:r>
          </w:p>
        </w:tc>
        <w:tc>
          <w:tcPr>
            <w:tcW w:w="1319" w:type="dxa"/>
          </w:tcPr>
          <w:p w14:paraId="48696C83" w14:textId="77777777" w:rsidR="00BE2CA7" w:rsidRPr="00440C76" w:rsidRDefault="00BE2CA7" w:rsidP="002B0590">
            <w:pPr>
              <w:spacing w:before="60" w:after="60" w:line="220" w:lineRule="atLeast"/>
              <w:ind w:left="57" w:right="57"/>
              <w:jc w:val="center"/>
              <w:rPr>
                <w:bCs/>
                <w:strike/>
                <w:sz w:val="18"/>
                <w:szCs w:val="18"/>
                <w:lang w:val="fr-FR"/>
              </w:rPr>
            </w:pPr>
            <w:r w:rsidRPr="00440C76">
              <w:rPr>
                <w:bCs/>
                <w:sz w:val="18"/>
                <w:szCs w:val="18"/>
                <w:lang w:val="fr-FR"/>
              </w:rPr>
              <w:t>86,0</w:t>
            </w:r>
          </w:p>
        </w:tc>
        <w:tc>
          <w:tcPr>
            <w:tcW w:w="1320" w:type="dxa"/>
          </w:tcPr>
          <w:p w14:paraId="0F74AF57" w14:textId="77777777" w:rsidR="00BE2CA7" w:rsidRPr="00440C76" w:rsidRDefault="00BE2CA7" w:rsidP="002B0590">
            <w:pPr>
              <w:spacing w:before="60" w:after="60" w:line="220" w:lineRule="atLeast"/>
              <w:ind w:left="57" w:right="57"/>
              <w:jc w:val="center"/>
              <w:rPr>
                <w:bCs/>
                <w:strike/>
                <w:sz w:val="18"/>
                <w:szCs w:val="18"/>
                <w:lang w:val="fr-FR"/>
              </w:rPr>
            </w:pPr>
            <w:r w:rsidRPr="00440C76">
              <w:rPr>
                <w:bCs/>
                <w:sz w:val="18"/>
                <w:szCs w:val="18"/>
                <w:lang w:val="fr-FR"/>
              </w:rPr>
              <w:t>94,0</w:t>
            </w:r>
          </w:p>
        </w:tc>
        <w:tc>
          <w:tcPr>
            <w:tcW w:w="2234" w:type="dxa"/>
          </w:tcPr>
          <w:p w14:paraId="0A77569B" w14:textId="77777777" w:rsidR="00BE2CA7" w:rsidRPr="00440C76" w:rsidRDefault="00BE2CA7" w:rsidP="002B0590">
            <w:pPr>
              <w:spacing w:before="60" w:after="60" w:line="220" w:lineRule="atLeast"/>
              <w:ind w:left="57" w:right="57"/>
              <w:rPr>
                <w:bCs/>
                <w:sz w:val="18"/>
                <w:szCs w:val="18"/>
                <w:lang w:val="fr-FR"/>
              </w:rPr>
            </w:pPr>
            <w:r w:rsidRPr="00440C76">
              <w:rPr>
                <w:bCs/>
                <w:sz w:val="18"/>
                <w:szCs w:val="18"/>
                <w:lang w:val="fr-FR"/>
              </w:rPr>
              <w:t>EN ISO</w:t>
            </w:r>
            <w:r>
              <w:rPr>
                <w:bCs/>
                <w:sz w:val="18"/>
                <w:szCs w:val="18"/>
                <w:lang w:val="fr-FR"/>
              </w:rPr>
              <w:t> </w:t>
            </w:r>
            <w:r w:rsidRPr="00440C76">
              <w:rPr>
                <w:bCs/>
                <w:sz w:val="18"/>
                <w:szCs w:val="18"/>
                <w:lang w:val="fr-FR"/>
              </w:rPr>
              <w:t>3405</w:t>
            </w:r>
          </w:p>
        </w:tc>
      </w:tr>
      <w:tr w:rsidR="00BE2CA7" w:rsidRPr="00440C76" w14:paraId="7146DE4E" w14:textId="77777777" w:rsidTr="002B0590">
        <w:trPr>
          <w:trHeight w:val="85"/>
        </w:trPr>
        <w:tc>
          <w:tcPr>
            <w:tcW w:w="3638" w:type="dxa"/>
          </w:tcPr>
          <w:p w14:paraId="463AEADA" w14:textId="77777777" w:rsidR="00BE2CA7" w:rsidRPr="00440C76" w:rsidRDefault="00BE2CA7" w:rsidP="002B0590">
            <w:pPr>
              <w:tabs>
                <w:tab w:val="left" w:pos="284"/>
              </w:tabs>
              <w:kinsoku/>
              <w:overflowPunct/>
              <w:autoSpaceDE/>
              <w:autoSpaceDN/>
              <w:adjustRightInd/>
              <w:snapToGrid/>
              <w:spacing w:before="60" w:after="60" w:line="220" w:lineRule="atLeast"/>
              <w:ind w:left="341" w:right="57" w:hanging="284"/>
              <w:rPr>
                <w:sz w:val="18"/>
                <w:szCs w:val="18"/>
                <w:lang w:val="fr-FR"/>
              </w:rPr>
            </w:pPr>
            <w:r w:rsidRPr="00440C76">
              <w:rPr>
                <w:sz w:val="18"/>
                <w:szCs w:val="18"/>
                <w:lang w:val="fr-FR"/>
              </w:rPr>
              <w:t>•</w:t>
            </w:r>
            <w:r w:rsidRPr="00440C76">
              <w:rPr>
                <w:sz w:val="18"/>
                <w:szCs w:val="18"/>
                <w:lang w:val="fr-FR"/>
              </w:rPr>
              <w:tab/>
              <w:t>Point d</w:t>
            </w:r>
            <w:r>
              <w:rPr>
                <w:sz w:val="18"/>
                <w:szCs w:val="18"/>
                <w:lang w:val="fr-FR"/>
              </w:rPr>
              <w:t>’</w:t>
            </w:r>
            <w:r w:rsidRPr="00440C76">
              <w:rPr>
                <w:sz w:val="18"/>
                <w:szCs w:val="18"/>
                <w:lang w:val="fr-FR"/>
              </w:rPr>
              <w:t>ébullition final</w:t>
            </w:r>
          </w:p>
        </w:tc>
        <w:tc>
          <w:tcPr>
            <w:tcW w:w="1128" w:type="dxa"/>
          </w:tcPr>
          <w:p w14:paraId="5D5075A6" w14:textId="77777777" w:rsidR="00BE2CA7" w:rsidRPr="00440C76" w:rsidRDefault="00BE2CA7" w:rsidP="002B0590">
            <w:pPr>
              <w:spacing w:before="60" w:after="60" w:line="220" w:lineRule="atLeast"/>
              <w:ind w:left="57" w:right="57"/>
              <w:jc w:val="center"/>
              <w:rPr>
                <w:sz w:val="18"/>
                <w:szCs w:val="18"/>
                <w:lang w:val="fr-FR"/>
              </w:rPr>
            </w:pPr>
            <w:r w:rsidRPr="00440C76">
              <w:rPr>
                <w:sz w:val="18"/>
                <w:szCs w:val="18"/>
                <w:lang w:val="fr-FR"/>
              </w:rPr>
              <w:t>°C</w:t>
            </w:r>
          </w:p>
        </w:tc>
        <w:tc>
          <w:tcPr>
            <w:tcW w:w="1319" w:type="dxa"/>
          </w:tcPr>
          <w:p w14:paraId="72BE53F1" w14:textId="77777777" w:rsidR="00BE2CA7" w:rsidRPr="00440C76" w:rsidRDefault="00BE2CA7" w:rsidP="002B0590">
            <w:pPr>
              <w:spacing w:before="60" w:after="60" w:line="220" w:lineRule="atLeast"/>
              <w:ind w:left="57" w:right="57"/>
              <w:jc w:val="center"/>
              <w:rPr>
                <w:bCs/>
                <w:strike/>
                <w:sz w:val="18"/>
                <w:szCs w:val="18"/>
                <w:lang w:val="fr-FR"/>
              </w:rPr>
            </w:pPr>
            <w:r w:rsidRPr="00440C76">
              <w:rPr>
                <w:bCs/>
                <w:sz w:val="18"/>
                <w:szCs w:val="18"/>
                <w:lang w:val="fr-FR"/>
              </w:rPr>
              <w:t>170</w:t>
            </w:r>
          </w:p>
        </w:tc>
        <w:tc>
          <w:tcPr>
            <w:tcW w:w="1320" w:type="dxa"/>
          </w:tcPr>
          <w:p w14:paraId="0AA7414F" w14:textId="77777777" w:rsidR="00BE2CA7" w:rsidRPr="00440C76" w:rsidRDefault="00BE2CA7" w:rsidP="002B0590">
            <w:pPr>
              <w:spacing w:before="60" w:after="60" w:line="220" w:lineRule="atLeast"/>
              <w:ind w:left="57" w:right="57"/>
              <w:jc w:val="center"/>
              <w:rPr>
                <w:bCs/>
                <w:strike/>
                <w:sz w:val="18"/>
                <w:szCs w:val="18"/>
                <w:lang w:val="fr-FR"/>
              </w:rPr>
            </w:pPr>
            <w:r w:rsidRPr="00440C76">
              <w:rPr>
                <w:bCs/>
                <w:sz w:val="18"/>
                <w:szCs w:val="18"/>
                <w:lang w:val="fr-FR"/>
              </w:rPr>
              <w:t>195</w:t>
            </w:r>
          </w:p>
        </w:tc>
        <w:tc>
          <w:tcPr>
            <w:tcW w:w="2234" w:type="dxa"/>
          </w:tcPr>
          <w:p w14:paraId="4D8137CF" w14:textId="77777777" w:rsidR="00BE2CA7" w:rsidRPr="00440C76" w:rsidRDefault="00BE2CA7" w:rsidP="002B0590">
            <w:pPr>
              <w:spacing w:before="60" w:after="60" w:line="220" w:lineRule="atLeast"/>
              <w:ind w:left="57" w:right="57"/>
              <w:rPr>
                <w:bCs/>
                <w:sz w:val="18"/>
                <w:szCs w:val="18"/>
                <w:lang w:val="fr-FR"/>
              </w:rPr>
            </w:pPr>
            <w:r w:rsidRPr="00440C76">
              <w:rPr>
                <w:bCs/>
                <w:sz w:val="18"/>
                <w:szCs w:val="18"/>
                <w:lang w:val="fr-FR"/>
              </w:rPr>
              <w:t>EN ISO</w:t>
            </w:r>
            <w:r>
              <w:rPr>
                <w:bCs/>
                <w:sz w:val="18"/>
                <w:szCs w:val="18"/>
                <w:lang w:val="fr-FR"/>
              </w:rPr>
              <w:t> </w:t>
            </w:r>
            <w:r w:rsidRPr="00440C76">
              <w:rPr>
                <w:bCs/>
                <w:sz w:val="18"/>
                <w:szCs w:val="18"/>
                <w:lang w:val="fr-FR"/>
              </w:rPr>
              <w:t>3405</w:t>
            </w:r>
          </w:p>
        </w:tc>
      </w:tr>
      <w:tr w:rsidR="00BE2CA7" w:rsidRPr="00440C76" w14:paraId="7DCA8BB0" w14:textId="77777777" w:rsidTr="002B0590">
        <w:trPr>
          <w:trHeight w:val="85"/>
        </w:trPr>
        <w:tc>
          <w:tcPr>
            <w:tcW w:w="3638" w:type="dxa"/>
          </w:tcPr>
          <w:p w14:paraId="46CB5BEF" w14:textId="77777777" w:rsidR="00BE2CA7" w:rsidRPr="00440C76" w:rsidRDefault="00BE2CA7" w:rsidP="002B0590">
            <w:pPr>
              <w:spacing w:before="60" w:after="60" w:line="220" w:lineRule="atLeast"/>
              <w:ind w:left="57" w:right="57"/>
              <w:rPr>
                <w:sz w:val="18"/>
                <w:szCs w:val="18"/>
                <w:lang w:val="fr-FR"/>
              </w:rPr>
            </w:pPr>
            <w:r w:rsidRPr="00440C76">
              <w:rPr>
                <w:sz w:val="18"/>
                <w:szCs w:val="18"/>
                <w:lang w:val="fr-FR"/>
              </w:rPr>
              <w:t>Résidus</w:t>
            </w:r>
          </w:p>
        </w:tc>
        <w:tc>
          <w:tcPr>
            <w:tcW w:w="1128" w:type="dxa"/>
          </w:tcPr>
          <w:p w14:paraId="0292B492" w14:textId="77777777" w:rsidR="00BE2CA7" w:rsidRPr="00440C76" w:rsidRDefault="00BE2CA7" w:rsidP="002B0590">
            <w:pPr>
              <w:spacing w:before="60" w:after="60" w:line="220" w:lineRule="atLeast"/>
              <w:ind w:left="57" w:right="57"/>
              <w:jc w:val="center"/>
              <w:rPr>
                <w:sz w:val="18"/>
                <w:szCs w:val="18"/>
                <w:lang w:val="fr-FR"/>
              </w:rPr>
            </w:pPr>
            <w:r w:rsidRPr="00440C76">
              <w:rPr>
                <w:sz w:val="18"/>
                <w:szCs w:val="18"/>
                <w:lang w:val="fr-FR"/>
              </w:rPr>
              <w:t>% v/v</w:t>
            </w:r>
          </w:p>
        </w:tc>
        <w:tc>
          <w:tcPr>
            <w:tcW w:w="1319" w:type="dxa"/>
          </w:tcPr>
          <w:p w14:paraId="51260939" w14:textId="77777777" w:rsidR="00BE2CA7" w:rsidRPr="00440C76" w:rsidRDefault="00BE2CA7" w:rsidP="002B0590">
            <w:pPr>
              <w:spacing w:before="60" w:after="60" w:line="220" w:lineRule="atLeast"/>
              <w:ind w:left="57" w:right="57"/>
              <w:jc w:val="center"/>
              <w:rPr>
                <w:bCs/>
                <w:sz w:val="18"/>
                <w:szCs w:val="18"/>
                <w:lang w:val="fr-FR"/>
              </w:rPr>
            </w:pPr>
            <w:r w:rsidRPr="00440C76">
              <w:rPr>
                <w:bCs/>
                <w:sz w:val="18"/>
                <w:szCs w:val="18"/>
                <w:lang w:val="fr-FR"/>
              </w:rPr>
              <w:t>-</w:t>
            </w:r>
          </w:p>
        </w:tc>
        <w:tc>
          <w:tcPr>
            <w:tcW w:w="1320" w:type="dxa"/>
          </w:tcPr>
          <w:p w14:paraId="3B3CB4CA" w14:textId="77777777" w:rsidR="00BE2CA7" w:rsidRPr="00440C76" w:rsidRDefault="00BE2CA7" w:rsidP="002B0590">
            <w:pPr>
              <w:spacing w:before="60" w:after="60" w:line="220" w:lineRule="atLeast"/>
              <w:ind w:left="57" w:right="57"/>
              <w:jc w:val="center"/>
              <w:rPr>
                <w:bCs/>
                <w:sz w:val="18"/>
                <w:szCs w:val="18"/>
                <w:lang w:val="fr-FR"/>
              </w:rPr>
            </w:pPr>
            <w:r w:rsidRPr="00440C76">
              <w:rPr>
                <w:bCs/>
                <w:sz w:val="18"/>
                <w:szCs w:val="18"/>
                <w:lang w:val="fr-FR"/>
              </w:rPr>
              <w:t>2,0</w:t>
            </w:r>
          </w:p>
        </w:tc>
        <w:tc>
          <w:tcPr>
            <w:tcW w:w="2234" w:type="dxa"/>
          </w:tcPr>
          <w:p w14:paraId="22F07523" w14:textId="77777777" w:rsidR="00BE2CA7" w:rsidRPr="00440C76" w:rsidRDefault="00BE2CA7" w:rsidP="002B0590">
            <w:pPr>
              <w:spacing w:before="60" w:after="60" w:line="220" w:lineRule="atLeast"/>
              <w:ind w:left="57" w:right="57"/>
              <w:rPr>
                <w:bCs/>
                <w:sz w:val="18"/>
                <w:szCs w:val="18"/>
                <w:lang w:val="fr-FR"/>
              </w:rPr>
            </w:pPr>
            <w:r w:rsidRPr="00440C76">
              <w:rPr>
                <w:bCs/>
                <w:sz w:val="18"/>
                <w:szCs w:val="18"/>
                <w:lang w:val="fr-FR"/>
              </w:rPr>
              <w:t>EN ISO</w:t>
            </w:r>
            <w:r>
              <w:rPr>
                <w:bCs/>
                <w:sz w:val="18"/>
                <w:szCs w:val="18"/>
                <w:lang w:val="fr-FR"/>
              </w:rPr>
              <w:t> </w:t>
            </w:r>
            <w:r w:rsidRPr="00440C76">
              <w:rPr>
                <w:bCs/>
                <w:sz w:val="18"/>
                <w:szCs w:val="18"/>
                <w:lang w:val="fr-FR"/>
              </w:rPr>
              <w:t>3405</w:t>
            </w:r>
          </w:p>
        </w:tc>
      </w:tr>
      <w:tr w:rsidR="00BE2CA7" w:rsidRPr="00440C76" w14:paraId="14C761E9" w14:textId="77777777" w:rsidTr="002B0590">
        <w:trPr>
          <w:trHeight w:val="114"/>
        </w:trPr>
        <w:tc>
          <w:tcPr>
            <w:tcW w:w="3638" w:type="dxa"/>
          </w:tcPr>
          <w:p w14:paraId="5E5DE62E" w14:textId="77777777" w:rsidR="00BE2CA7" w:rsidRPr="00440C76" w:rsidRDefault="00BE2CA7" w:rsidP="002B0590">
            <w:pPr>
              <w:spacing w:before="60" w:after="60" w:line="220" w:lineRule="atLeast"/>
              <w:ind w:left="57" w:right="57"/>
              <w:rPr>
                <w:sz w:val="18"/>
                <w:szCs w:val="18"/>
                <w:lang w:val="fr-FR"/>
              </w:rPr>
            </w:pPr>
            <w:r w:rsidRPr="00440C76">
              <w:rPr>
                <w:sz w:val="18"/>
                <w:szCs w:val="18"/>
                <w:lang w:val="fr-FR"/>
              </w:rPr>
              <w:t>Analyse des hydrocarbures :</w:t>
            </w:r>
          </w:p>
        </w:tc>
        <w:tc>
          <w:tcPr>
            <w:tcW w:w="1128" w:type="dxa"/>
          </w:tcPr>
          <w:p w14:paraId="53546DAB" w14:textId="77777777" w:rsidR="00BE2CA7" w:rsidRPr="00440C76" w:rsidRDefault="00BE2CA7" w:rsidP="002B0590">
            <w:pPr>
              <w:spacing w:before="60" w:after="60" w:line="220" w:lineRule="atLeast"/>
              <w:ind w:left="57" w:right="57"/>
              <w:jc w:val="center"/>
              <w:rPr>
                <w:sz w:val="18"/>
                <w:szCs w:val="18"/>
                <w:lang w:val="fr-FR"/>
              </w:rPr>
            </w:pPr>
          </w:p>
        </w:tc>
        <w:tc>
          <w:tcPr>
            <w:tcW w:w="1319" w:type="dxa"/>
          </w:tcPr>
          <w:p w14:paraId="690015BB" w14:textId="77777777" w:rsidR="00BE2CA7" w:rsidRPr="00440C76" w:rsidRDefault="00BE2CA7" w:rsidP="002B0590">
            <w:pPr>
              <w:spacing w:before="60" w:after="60" w:line="220" w:lineRule="atLeast"/>
              <w:ind w:left="57" w:right="57"/>
              <w:jc w:val="center"/>
              <w:rPr>
                <w:bCs/>
                <w:sz w:val="18"/>
                <w:szCs w:val="18"/>
                <w:lang w:val="fr-FR"/>
              </w:rPr>
            </w:pPr>
          </w:p>
        </w:tc>
        <w:tc>
          <w:tcPr>
            <w:tcW w:w="1320" w:type="dxa"/>
          </w:tcPr>
          <w:p w14:paraId="434E9441" w14:textId="77777777" w:rsidR="00BE2CA7" w:rsidRPr="00440C76" w:rsidRDefault="00BE2CA7" w:rsidP="002B0590">
            <w:pPr>
              <w:spacing w:before="60" w:after="60" w:line="220" w:lineRule="atLeast"/>
              <w:ind w:left="57" w:right="57"/>
              <w:jc w:val="center"/>
              <w:rPr>
                <w:bCs/>
                <w:sz w:val="18"/>
                <w:szCs w:val="18"/>
                <w:lang w:val="fr-FR"/>
              </w:rPr>
            </w:pPr>
          </w:p>
        </w:tc>
        <w:tc>
          <w:tcPr>
            <w:tcW w:w="2234" w:type="dxa"/>
          </w:tcPr>
          <w:p w14:paraId="389A5BFA" w14:textId="77777777" w:rsidR="00BE2CA7" w:rsidRPr="00440C76" w:rsidRDefault="00BE2CA7" w:rsidP="002B0590">
            <w:pPr>
              <w:spacing w:before="60" w:after="60" w:line="220" w:lineRule="atLeast"/>
              <w:ind w:left="57" w:right="57"/>
              <w:rPr>
                <w:bCs/>
                <w:sz w:val="18"/>
                <w:szCs w:val="18"/>
                <w:lang w:val="fr-FR"/>
              </w:rPr>
            </w:pPr>
          </w:p>
        </w:tc>
      </w:tr>
      <w:tr w:rsidR="00BE2CA7" w:rsidRPr="00440C76" w14:paraId="58CD082A" w14:textId="77777777" w:rsidTr="002B0590">
        <w:trPr>
          <w:trHeight w:val="95"/>
        </w:trPr>
        <w:tc>
          <w:tcPr>
            <w:tcW w:w="3638" w:type="dxa"/>
          </w:tcPr>
          <w:p w14:paraId="4003E430" w14:textId="77777777" w:rsidR="00BE2CA7" w:rsidRPr="00440C76" w:rsidRDefault="00BE2CA7" w:rsidP="002B0590">
            <w:pPr>
              <w:tabs>
                <w:tab w:val="left" w:pos="284"/>
              </w:tabs>
              <w:kinsoku/>
              <w:overflowPunct/>
              <w:autoSpaceDE/>
              <w:autoSpaceDN/>
              <w:adjustRightInd/>
              <w:snapToGrid/>
              <w:spacing w:before="60" w:after="60" w:line="220" w:lineRule="atLeast"/>
              <w:ind w:left="341" w:right="57" w:hanging="284"/>
              <w:rPr>
                <w:sz w:val="18"/>
                <w:szCs w:val="18"/>
                <w:lang w:val="fr-FR"/>
              </w:rPr>
            </w:pPr>
            <w:r w:rsidRPr="00440C76">
              <w:rPr>
                <w:sz w:val="18"/>
                <w:szCs w:val="18"/>
                <w:lang w:val="fr-FR"/>
              </w:rPr>
              <w:t>•</w:t>
            </w:r>
            <w:r w:rsidRPr="00440C76">
              <w:rPr>
                <w:sz w:val="18"/>
                <w:szCs w:val="18"/>
                <w:lang w:val="fr-FR"/>
              </w:rPr>
              <w:tab/>
              <w:t>Oléfines</w:t>
            </w:r>
          </w:p>
        </w:tc>
        <w:tc>
          <w:tcPr>
            <w:tcW w:w="1128" w:type="dxa"/>
          </w:tcPr>
          <w:p w14:paraId="7055D648" w14:textId="77777777" w:rsidR="00BE2CA7" w:rsidRPr="00440C76" w:rsidRDefault="00BE2CA7" w:rsidP="002B0590">
            <w:pPr>
              <w:spacing w:before="60" w:after="60" w:line="220" w:lineRule="atLeast"/>
              <w:ind w:left="57" w:right="57"/>
              <w:jc w:val="center"/>
              <w:rPr>
                <w:sz w:val="18"/>
                <w:szCs w:val="18"/>
                <w:lang w:val="fr-FR"/>
              </w:rPr>
            </w:pPr>
            <w:r w:rsidRPr="00440C76">
              <w:rPr>
                <w:sz w:val="18"/>
                <w:szCs w:val="18"/>
                <w:lang w:val="fr-FR"/>
              </w:rPr>
              <w:t>% v/v</w:t>
            </w:r>
          </w:p>
        </w:tc>
        <w:tc>
          <w:tcPr>
            <w:tcW w:w="1319" w:type="dxa"/>
          </w:tcPr>
          <w:p w14:paraId="280A87FC" w14:textId="77777777" w:rsidR="00BE2CA7" w:rsidRPr="00440C76" w:rsidRDefault="00BE2CA7" w:rsidP="002B0590">
            <w:pPr>
              <w:spacing w:before="60" w:after="60" w:line="220" w:lineRule="atLeast"/>
              <w:ind w:left="57" w:right="57"/>
              <w:jc w:val="center"/>
              <w:rPr>
                <w:bCs/>
                <w:sz w:val="18"/>
                <w:szCs w:val="18"/>
                <w:lang w:val="fr-FR"/>
              </w:rPr>
            </w:pPr>
            <w:r w:rsidRPr="00440C76">
              <w:rPr>
                <w:bCs/>
                <w:sz w:val="18"/>
                <w:szCs w:val="18"/>
                <w:lang w:val="fr-FR"/>
              </w:rPr>
              <w:t>6,0</w:t>
            </w:r>
          </w:p>
        </w:tc>
        <w:tc>
          <w:tcPr>
            <w:tcW w:w="1320" w:type="dxa"/>
          </w:tcPr>
          <w:p w14:paraId="370FA3E4" w14:textId="77777777" w:rsidR="00BE2CA7" w:rsidRPr="00440C76" w:rsidRDefault="00BE2CA7" w:rsidP="002B0590">
            <w:pPr>
              <w:spacing w:before="60" w:after="60" w:line="220" w:lineRule="atLeast"/>
              <w:ind w:left="57" w:right="57"/>
              <w:jc w:val="center"/>
              <w:rPr>
                <w:bCs/>
                <w:sz w:val="18"/>
                <w:szCs w:val="18"/>
                <w:lang w:val="fr-FR"/>
              </w:rPr>
            </w:pPr>
            <w:r w:rsidRPr="00440C76">
              <w:rPr>
                <w:bCs/>
                <w:sz w:val="18"/>
                <w:szCs w:val="18"/>
                <w:lang w:val="fr-FR"/>
              </w:rPr>
              <w:t xml:space="preserve">13,0 </w:t>
            </w:r>
          </w:p>
        </w:tc>
        <w:tc>
          <w:tcPr>
            <w:tcW w:w="2234" w:type="dxa"/>
          </w:tcPr>
          <w:p w14:paraId="6E0F3765" w14:textId="77777777" w:rsidR="00BE2CA7" w:rsidRPr="00440C76" w:rsidRDefault="00BE2CA7" w:rsidP="002B0590">
            <w:pPr>
              <w:spacing w:before="60" w:after="60" w:line="220" w:lineRule="atLeast"/>
              <w:ind w:left="57" w:right="57"/>
              <w:rPr>
                <w:bCs/>
                <w:sz w:val="18"/>
                <w:szCs w:val="18"/>
                <w:lang w:val="fr-FR"/>
              </w:rPr>
            </w:pPr>
            <w:r w:rsidRPr="00440C76">
              <w:rPr>
                <w:bCs/>
                <w:sz w:val="18"/>
                <w:szCs w:val="18"/>
                <w:lang w:val="fr-FR"/>
              </w:rPr>
              <w:t>EN 22854</w:t>
            </w:r>
          </w:p>
        </w:tc>
      </w:tr>
      <w:tr w:rsidR="00BE2CA7" w:rsidRPr="00440C76" w14:paraId="5F0299B9" w14:textId="77777777" w:rsidTr="002B0590">
        <w:trPr>
          <w:trHeight w:val="85"/>
        </w:trPr>
        <w:tc>
          <w:tcPr>
            <w:tcW w:w="3638" w:type="dxa"/>
          </w:tcPr>
          <w:p w14:paraId="4CBF1171" w14:textId="77777777" w:rsidR="00BE2CA7" w:rsidRPr="00440C76" w:rsidRDefault="00BE2CA7" w:rsidP="002B0590">
            <w:pPr>
              <w:tabs>
                <w:tab w:val="left" w:pos="284"/>
              </w:tabs>
              <w:kinsoku/>
              <w:overflowPunct/>
              <w:autoSpaceDE/>
              <w:autoSpaceDN/>
              <w:adjustRightInd/>
              <w:snapToGrid/>
              <w:spacing w:before="60" w:after="60" w:line="220" w:lineRule="atLeast"/>
              <w:ind w:left="341" w:right="57" w:hanging="284"/>
              <w:rPr>
                <w:sz w:val="18"/>
                <w:szCs w:val="18"/>
                <w:lang w:val="fr-FR"/>
              </w:rPr>
            </w:pPr>
            <w:r w:rsidRPr="00440C76">
              <w:rPr>
                <w:sz w:val="18"/>
                <w:szCs w:val="18"/>
                <w:lang w:val="fr-FR"/>
              </w:rPr>
              <w:t>•</w:t>
            </w:r>
            <w:r w:rsidRPr="00440C76">
              <w:rPr>
                <w:sz w:val="18"/>
                <w:szCs w:val="18"/>
                <w:lang w:val="fr-FR"/>
              </w:rPr>
              <w:tab/>
              <w:t>Aromatiques</w:t>
            </w:r>
          </w:p>
        </w:tc>
        <w:tc>
          <w:tcPr>
            <w:tcW w:w="1128" w:type="dxa"/>
          </w:tcPr>
          <w:p w14:paraId="590D0240" w14:textId="77777777" w:rsidR="00BE2CA7" w:rsidRPr="00440C76" w:rsidRDefault="00BE2CA7" w:rsidP="002B0590">
            <w:pPr>
              <w:spacing w:before="60" w:after="60" w:line="220" w:lineRule="atLeast"/>
              <w:ind w:left="57" w:right="57"/>
              <w:jc w:val="center"/>
              <w:rPr>
                <w:sz w:val="18"/>
                <w:szCs w:val="18"/>
                <w:lang w:val="fr-FR"/>
              </w:rPr>
            </w:pPr>
            <w:r w:rsidRPr="00440C76">
              <w:rPr>
                <w:sz w:val="18"/>
                <w:szCs w:val="18"/>
                <w:lang w:val="fr-FR"/>
              </w:rPr>
              <w:t>% v/v</w:t>
            </w:r>
          </w:p>
        </w:tc>
        <w:tc>
          <w:tcPr>
            <w:tcW w:w="1319" w:type="dxa"/>
          </w:tcPr>
          <w:p w14:paraId="631C4829" w14:textId="77777777" w:rsidR="00BE2CA7" w:rsidRPr="00440C76" w:rsidRDefault="00BE2CA7" w:rsidP="002B0590">
            <w:pPr>
              <w:spacing w:before="60" w:after="60" w:line="220" w:lineRule="atLeast"/>
              <w:ind w:left="57" w:right="57"/>
              <w:jc w:val="center"/>
              <w:rPr>
                <w:bCs/>
                <w:strike/>
                <w:sz w:val="18"/>
                <w:szCs w:val="18"/>
                <w:lang w:val="fr-FR"/>
              </w:rPr>
            </w:pPr>
            <w:r w:rsidRPr="00440C76">
              <w:rPr>
                <w:bCs/>
                <w:sz w:val="18"/>
                <w:szCs w:val="18"/>
                <w:lang w:val="fr-FR"/>
              </w:rPr>
              <w:t>25,0</w:t>
            </w:r>
          </w:p>
        </w:tc>
        <w:tc>
          <w:tcPr>
            <w:tcW w:w="1320" w:type="dxa"/>
          </w:tcPr>
          <w:p w14:paraId="4F0930D9" w14:textId="77777777" w:rsidR="00BE2CA7" w:rsidRPr="00440C76" w:rsidRDefault="00BE2CA7" w:rsidP="002B0590">
            <w:pPr>
              <w:spacing w:before="60" w:after="60" w:line="220" w:lineRule="atLeast"/>
              <w:ind w:left="57" w:right="57"/>
              <w:jc w:val="center"/>
              <w:rPr>
                <w:bCs/>
                <w:strike/>
                <w:sz w:val="18"/>
                <w:szCs w:val="18"/>
                <w:lang w:val="fr-FR"/>
              </w:rPr>
            </w:pPr>
            <w:r w:rsidRPr="00440C76">
              <w:rPr>
                <w:bCs/>
                <w:sz w:val="18"/>
                <w:szCs w:val="18"/>
                <w:lang w:val="fr-FR"/>
              </w:rPr>
              <w:t>32,0</w:t>
            </w:r>
          </w:p>
        </w:tc>
        <w:tc>
          <w:tcPr>
            <w:tcW w:w="2234" w:type="dxa"/>
          </w:tcPr>
          <w:p w14:paraId="2EA3DA83" w14:textId="77777777" w:rsidR="00BE2CA7" w:rsidRPr="00440C76" w:rsidRDefault="00BE2CA7" w:rsidP="002B0590">
            <w:pPr>
              <w:spacing w:before="60" w:after="60" w:line="220" w:lineRule="atLeast"/>
              <w:ind w:left="57" w:right="57"/>
              <w:rPr>
                <w:bCs/>
                <w:sz w:val="18"/>
                <w:szCs w:val="18"/>
                <w:lang w:val="fr-FR"/>
              </w:rPr>
            </w:pPr>
            <w:r w:rsidRPr="00440C76">
              <w:rPr>
                <w:bCs/>
                <w:sz w:val="18"/>
                <w:szCs w:val="18"/>
                <w:lang w:val="fr-FR"/>
              </w:rPr>
              <w:t>EN 22854</w:t>
            </w:r>
          </w:p>
        </w:tc>
      </w:tr>
      <w:tr w:rsidR="00BE2CA7" w:rsidRPr="00440C76" w14:paraId="2E47CBAC" w14:textId="77777777" w:rsidTr="002B0590">
        <w:trPr>
          <w:trHeight w:val="85"/>
        </w:trPr>
        <w:tc>
          <w:tcPr>
            <w:tcW w:w="3638" w:type="dxa"/>
          </w:tcPr>
          <w:p w14:paraId="01D028A6" w14:textId="77777777" w:rsidR="00BE2CA7" w:rsidRPr="00440C76" w:rsidRDefault="00BE2CA7" w:rsidP="002B0590">
            <w:pPr>
              <w:tabs>
                <w:tab w:val="left" w:pos="284"/>
              </w:tabs>
              <w:kinsoku/>
              <w:overflowPunct/>
              <w:autoSpaceDE/>
              <w:autoSpaceDN/>
              <w:adjustRightInd/>
              <w:snapToGrid/>
              <w:spacing w:before="60" w:after="60" w:line="220" w:lineRule="atLeast"/>
              <w:ind w:left="341" w:right="57" w:hanging="284"/>
              <w:rPr>
                <w:sz w:val="18"/>
                <w:szCs w:val="18"/>
                <w:lang w:val="fr-FR"/>
              </w:rPr>
            </w:pPr>
            <w:r w:rsidRPr="00440C76">
              <w:rPr>
                <w:sz w:val="18"/>
                <w:szCs w:val="18"/>
                <w:lang w:val="fr-FR"/>
              </w:rPr>
              <w:t>•</w:t>
            </w:r>
            <w:r w:rsidRPr="00440C76">
              <w:rPr>
                <w:sz w:val="18"/>
                <w:szCs w:val="18"/>
                <w:lang w:val="fr-FR"/>
              </w:rPr>
              <w:tab/>
              <w:t>Benzène</w:t>
            </w:r>
          </w:p>
        </w:tc>
        <w:tc>
          <w:tcPr>
            <w:tcW w:w="1128" w:type="dxa"/>
          </w:tcPr>
          <w:p w14:paraId="29B42500" w14:textId="77777777" w:rsidR="00BE2CA7" w:rsidRPr="00440C76" w:rsidRDefault="00BE2CA7" w:rsidP="002B0590">
            <w:pPr>
              <w:keepNext/>
              <w:spacing w:before="60" w:after="60" w:line="220" w:lineRule="atLeast"/>
              <w:ind w:left="57" w:right="57"/>
              <w:jc w:val="center"/>
              <w:rPr>
                <w:sz w:val="18"/>
                <w:szCs w:val="18"/>
                <w:lang w:val="fr-FR"/>
              </w:rPr>
            </w:pPr>
            <w:r w:rsidRPr="00440C76">
              <w:rPr>
                <w:sz w:val="18"/>
                <w:szCs w:val="18"/>
                <w:lang w:val="fr-FR"/>
              </w:rPr>
              <w:t>% v/v</w:t>
            </w:r>
          </w:p>
        </w:tc>
        <w:tc>
          <w:tcPr>
            <w:tcW w:w="1319" w:type="dxa"/>
          </w:tcPr>
          <w:p w14:paraId="7EFC296B" w14:textId="77777777" w:rsidR="00BE2CA7" w:rsidRPr="00440C76" w:rsidRDefault="00BE2CA7" w:rsidP="002B0590">
            <w:pPr>
              <w:keepNext/>
              <w:spacing w:before="60" w:after="60" w:line="220" w:lineRule="atLeast"/>
              <w:ind w:left="57" w:right="57"/>
              <w:jc w:val="center"/>
              <w:rPr>
                <w:bCs/>
                <w:iCs/>
                <w:strike/>
                <w:sz w:val="18"/>
                <w:szCs w:val="18"/>
                <w:lang w:val="fr-FR"/>
              </w:rPr>
            </w:pPr>
            <w:r w:rsidRPr="00440C76">
              <w:rPr>
                <w:bCs/>
                <w:iCs/>
                <w:sz w:val="18"/>
                <w:szCs w:val="18"/>
                <w:lang w:val="fr-FR"/>
              </w:rPr>
              <w:t>-</w:t>
            </w:r>
          </w:p>
        </w:tc>
        <w:tc>
          <w:tcPr>
            <w:tcW w:w="1320" w:type="dxa"/>
          </w:tcPr>
          <w:p w14:paraId="2ACDFC76" w14:textId="77777777" w:rsidR="00BE2CA7" w:rsidRPr="00440C76" w:rsidRDefault="00BE2CA7" w:rsidP="002B0590">
            <w:pPr>
              <w:keepNext/>
              <w:spacing w:before="60" w:after="60" w:line="220" w:lineRule="atLeast"/>
              <w:ind w:left="57" w:right="57"/>
              <w:jc w:val="center"/>
              <w:rPr>
                <w:bCs/>
                <w:strike/>
                <w:sz w:val="18"/>
                <w:szCs w:val="18"/>
                <w:lang w:val="fr-FR"/>
              </w:rPr>
            </w:pPr>
            <w:r w:rsidRPr="00440C76">
              <w:rPr>
                <w:bCs/>
                <w:sz w:val="18"/>
                <w:szCs w:val="18"/>
                <w:lang w:val="fr-FR"/>
              </w:rPr>
              <w:t>1,00</w:t>
            </w:r>
          </w:p>
        </w:tc>
        <w:tc>
          <w:tcPr>
            <w:tcW w:w="2234" w:type="dxa"/>
          </w:tcPr>
          <w:p w14:paraId="3B5B07D2" w14:textId="77777777" w:rsidR="00BE2CA7" w:rsidRPr="00440C76" w:rsidRDefault="00BE2CA7" w:rsidP="002B0590">
            <w:pPr>
              <w:keepNext/>
              <w:spacing w:before="60" w:after="60" w:line="220" w:lineRule="atLeast"/>
              <w:ind w:left="57" w:right="57"/>
              <w:rPr>
                <w:bCs/>
                <w:sz w:val="18"/>
                <w:szCs w:val="18"/>
                <w:lang w:val="fr-FR"/>
              </w:rPr>
            </w:pPr>
            <w:r w:rsidRPr="00440C76">
              <w:rPr>
                <w:bCs/>
                <w:sz w:val="18"/>
                <w:szCs w:val="18"/>
                <w:lang w:val="fr-FR"/>
              </w:rPr>
              <w:t>EN 22854</w:t>
            </w:r>
            <w:r w:rsidRPr="00440C76">
              <w:rPr>
                <w:bCs/>
                <w:sz w:val="18"/>
                <w:szCs w:val="18"/>
                <w:lang w:val="fr-FR"/>
              </w:rPr>
              <w:br/>
              <w:t>EN 238</w:t>
            </w:r>
          </w:p>
        </w:tc>
      </w:tr>
      <w:tr w:rsidR="00BE2CA7" w:rsidRPr="00440C76" w14:paraId="44A5E33A" w14:textId="77777777" w:rsidTr="002B0590">
        <w:trPr>
          <w:trHeight w:val="85"/>
        </w:trPr>
        <w:tc>
          <w:tcPr>
            <w:tcW w:w="3638" w:type="dxa"/>
          </w:tcPr>
          <w:p w14:paraId="135D4ACC" w14:textId="77777777" w:rsidR="00BE2CA7" w:rsidRPr="00440C76" w:rsidRDefault="00BE2CA7" w:rsidP="002B0590">
            <w:pPr>
              <w:tabs>
                <w:tab w:val="left" w:pos="284"/>
              </w:tabs>
              <w:kinsoku/>
              <w:overflowPunct/>
              <w:autoSpaceDE/>
              <w:autoSpaceDN/>
              <w:adjustRightInd/>
              <w:snapToGrid/>
              <w:spacing w:before="60" w:after="60" w:line="220" w:lineRule="atLeast"/>
              <w:ind w:left="341" w:right="57" w:hanging="284"/>
              <w:rPr>
                <w:sz w:val="18"/>
                <w:szCs w:val="18"/>
                <w:lang w:val="fr-FR"/>
              </w:rPr>
            </w:pPr>
            <w:r w:rsidRPr="00440C76">
              <w:rPr>
                <w:sz w:val="18"/>
                <w:szCs w:val="18"/>
                <w:lang w:val="fr-FR"/>
              </w:rPr>
              <w:t>•</w:t>
            </w:r>
            <w:r w:rsidRPr="00440C76">
              <w:rPr>
                <w:sz w:val="18"/>
                <w:szCs w:val="18"/>
                <w:lang w:val="fr-FR"/>
              </w:rPr>
              <w:tab/>
              <w:t>Saturés</w:t>
            </w:r>
          </w:p>
        </w:tc>
        <w:tc>
          <w:tcPr>
            <w:tcW w:w="1128" w:type="dxa"/>
          </w:tcPr>
          <w:p w14:paraId="7D0B2842" w14:textId="77777777" w:rsidR="00BE2CA7" w:rsidRPr="00440C76" w:rsidRDefault="00BE2CA7" w:rsidP="002B0590">
            <w:pPr>
              <w:spacing w:before="60" w:after="60" w:line="220" w:lineRule="atLeast"/>
              <w:ind w:left="57" w:right="57"/>
              <w:jc w:val="center"/>
              <w:rPr>
                <w:sz w:val="18"/>
                <w:szCs w:val="18"/>
                <w:lang w:val="fr-FR"/>
              </w:rPr>
            </w:pPr>
            <w:r w:rsidRPr="00440C76">
              <w:rPr>
                <w:sz w:val="18"/>
                <w:szCs w:val="18"/>
                <w:lang w:val="fr-FR"/>
              </w:rPr>
              <w:t>% v/v</w:t>
            </w:r>
          </w:p>
        </w:tc>
        <w:tc>
          <w:tcPr>
            <w:tcW w:w="2639" w:type="dxa"/>
            <w:gridSpan w:val="2"/>
          </w:tcPr>
          <w:p w14:paraId="30145600" w14:textId="77777777" w:rsidR="00BE2CA7" w:rsidRPr="00440C76" w:rsidRDefault="00BE2CA7" w:rsidP="002B0590">
            <w:pPr>
              <w:spacing w:before="60" w:after="60" w:line="220" w:lineRule="atLeast"/>
              <w:ind w:left="57" w:right="57"/>
              <w:jc w:val="center"/>
              <w:rPr>
                <w:bCs/>
                <w:sz w:val="18"/>
                <w:szCs w:val="18"/>
                <w:lang w:val="fr-FR"/>
              </w:rPr>
            </w:pPr>
            <w:r w:rsidRPr="00440C76">
              <w:rPr>
                <w:sz w:val="18"/>
                <w:szCs w:val="18"/>
                <w:lang w:val="fr-FR"/>
              </w:rPr>
              <w:t>Valeur déclarée</w:t>
            </w:r>
          </w:p>
        </w:tc>
        <w:tc>
          <w:tcPr>
            <w:tcW w:w="2234" w:type="dxa"/>
          </w:tcPr>
          <w:p w14:paraId="173418BE" w14:textId="77777777" w:rsidR="00BE2CA7" w:rsidRPr="00440C76" w:rsidRDefault="00BE2CA7" w:rsidP="002B0590">
            <w:pPr>
              <w:spacing w:before="60" w:after="60" w:line="220" w:lineRule="atLeast"/>
              <w:ind w:left="57" w:right="57"/>
              <w:rPr>
                <w:bCs/>
                <w:sz w:val="18"/>
                <w:szCs w:val="18"/>
                <w:lang w:val="fr-FR"/>
              </w:rPr>
            </w:pPr>
            <w:r w:rsidRPr="00440C76">
              <w:rPr>
                <w:bCs/>
                <w:sz w:val="18"/>
                <w:szCs w:val="18"/>
                <w:lang w:val="fr-FR"/>
              </w:rPr>
              <w:t>EN 22854</w:t>
            </w:r>
          </w:p>
        </w:tc>
      </w:tr>
      <w:tr w:rsidR="00BE2CA7" w:rsidRPr="00440C76" w14:paraId="3EF40E18" w14:textId="77777777" w:rsidTr="002B0590">
        <w:trPr>
          <w:trHeight w:val="106"/>
        </w:trPr>
        <w:tc>
          <w:tcPr>
            <w:tcW w:w="3638" w:type="dxa"/>
          </w:tcPr>
          <w:p w14:paraId="2B0AF65F" w14:textId="77777777" w:rsidR="00BE2CA7" w:rsidRPr="00440C76" w:rsidRDefault="00BE2CA7" w:rsidP="002B0590">
            <w:pPr>
              <w:spacing w:before="60" w:after="60" w:line="220" w:lineRule="atLeast"/>
              <w:ind w:left="57" w:right="57"/>
              <w:rPr>
                <w:sz w:val="18"/>
                <w:szCs w:val="18"/>
                <w:lang w:val="fr-FR"/>
              </w:rPr>
            </w:pPr>
            <w:r w:rsidRPr="00440C76">
              <w:rPr>
                <w:sz w:val="18"/>
                <w:szCs w:val="18"/>
                <w:lang w:val="fr-FR"/>
              </w:rPr>
              <w:t>Rapport carbone/hydrogène</w:t>
            </w:r>
          </w:p>
        </w:tc>
        <w:tc>
          <w:tcPr>
            <w:tcW w:w="1128" w:type="dxa"/>
          </w:tcPr>
          <w:p w14:paraId="5E9A6D3B" w14:textId="77777777" w:rsidR="00BE2CA7" w:rsidRPr="00440C76" w:rsidRDefault="00BE2CA7" w:rsidP="002B0590">
            <w:pPr>
              <w:spacing w:before="60" w:after="60" w:line="220" w:lineRule="atLeast"/>
              <w:ind w:left="57" w:right="57"/>
              <w:jc w:val="center"/>
              <w:rPr>
                <w:sz w:val="18"/>
                <w:szCs w:val="18"/>
                <w:lang w:val="fr-FR"/>
              </w:rPr>
            </w:pPr>
          </w:p>
        </w:tc>
        <w:tc>
          <w:tcPr>
            <w:tcW w:w="2639" w:type="dxa"/>
            <w:gridSpan w:val="2"/>
          </w:tcPr>
          <w:p w14:paraId="655D5EA7" w14:textId="77777777" w:rsidR="00BE2CA7" w:rsidRPr="00440C76" w:rsidRDefault="00BE2CA7" w:rsidP="002B0590">
            <w:pPr>
              <w:spacing w:before="60" w:after="60" w:line="220" w:lineRule="atLeast"/>
              <w:ind w:left="57" w:right="57"/>
              <w:jc w:val="center"/>
              <w:rPr>
                <w:bCs/>
                <w:sz w:val="18"/>
                <w:szCs w:val="18"/>
                <w:lang w:val="fr-FR"/>
              </w:rPr>
            </w:pPr>
            <w:r w:rsidRPr="00440C76">
              <w:rPr>
                <w:sz w:val="18"/>
                <w:szCs w:val="18"/>
                <w:lang w:val="fr-FR"/>
              </w:rPr>
              <w:t>Valeur déclarée</w:t>
            </w:r>
          </w:p>
        </w:tc>
        <w:tc>
          <w:tcPr>
            <w:tcW w:w="2234" w:type="dxa"/>
          </w:tcPr>
          <w:p w14:paraId="4A050DED" w14:textId="77777777" w:rsidR="00BE2CA7" w:rsidRPr="00440C76" w:rsidRDefault="00BE2CA7" w:rsidP="002B0590">
            <w:pPr>
              <w:spacing w:before="60" w:after="60" w:line="220" w:lineRule="atLeast"/>
              <w:ind w:left="57" w:right="57"/>
              <w:rPr>
                <w:bCs/>
                <w:sz w:val="18"/>
                <w:szCs w:val="18"/>
                <w:lang w:val="fr-FR"/>
              </w:rPr>
            </w:pPr>
          </w:p>
        </w:tc>
      </w:tr>
      <w:tr w:rsidR="00BE2CA7" w:rsidRPr="00440C76" w14:paraId="0E3059FA" w14:textId="77777777" w:rsidTr="002B0590">
        <w:trPr>
          <w:trHeight w:val="85"/>
        </w:trPr>
        <w:tc>
          <w:tcPr>
            <w:tcW w:w="3638" w:type="dxa"/>
          </w:tcPr>
          <w:p w14:paraId="33CD961F" w14:textId="77777777" w:rsidR="00BE2CA7" w:rsidRPr="00440C76" w:rsidRDefault="00BE2CA7" w:rsidP="002B0590">
            <w:pPr>
              <w:spacing w:before="60" w:after="60" w:line="220" w:lineRule="atLeast"/>
              <w:ind w:left="57" w:right="57"/>
              <w:rPr>
                <w:sz w:val="18"/>
                <w:szCs w:val="18"/>
                <w:lang w:val="fr-FR"/>
              </w:rPr>
            </w:pPr>
            <w:r w:rsidRPr="00440C76">
              <w:rPr>
                <w:sz w:val="18"/>
                <w:szCs w:val="18"/>
                <w:lang w:val="fr-FR"/>
              </w:rPr>
              <w:t>Rapport carbone/oxygène</w:t>
            </w:r>
          </w:p>
        </w:tc>
        <w:tc>
          <w:tcPr>
            <w:tcW w:w="1128" w:type="dxa"/>
          </w:tcPr>
          <w:p w14:paraId="7104F036" w14:textId="77777777" w:rsidR="00BE2CA7" w:rsidRPr="00440C76" w:rsidRDefault="00BE2CA7" w:rsidP="002B0590">
            <w:pPr>
              <w:spacing w:before="60" w:after="60" w:line="220" w:lineRule="atLeast"/>
              <w:ind w:left="57" w:right="57"/>
              <w:jc w:val="center"/>
              <w:rPr>
                <w:sz w:val="18"/>
                <w:szCs w:val="18"/>
                <w:lang w:val="fr-FR"/>
              </w:rPr>
            </w:pPr>
          </w:p>
        </w:tc>
        <w:tc>
          <w:tcPr>
            <w:tcW w:w="2639" w:type="dxa"/>
            <w:gridSpan w:val="2"/>
          </w:tcPr>
          <w:p w14:paraId="6580365C" w14:textId="77777777" w:rsidR="00BE2CA7" w:rsidRPr="00440C76" w:rsidRDefault="00BE2CA7" w:rsidP="002B0590">
            <w:pPr>
              <w:spacing w:before="60" w:after="60" w:line="220" w:lineRule="atLeast"/>
              <w:ind w:left="57" w:right="57"/>
              <w:jc w:val="center"/>
              <w:rPr>
                <w:bCs/>
                <w:sz w:val="18"/>
                <w:szCs w:val="18"/>
                <w:lang w:val="fr-FR"/>
              </w:rPr>
            </w:pPr>
            <w:r w:rsidRPr="00440C76">
              <w:rPr>
                <w:sz w:val="18"/>
                <w:szCs w:val="18"/>
                <w:lang w:val="fr-FR"/>
              </w:rPr>
              <w:t>Valeur déclarée</w:t>
            </w:r>
          </w:p>
        </w:tc>
        <w:tc>
          <w:tcPr>
            <w:tcW w:w="2234" w:type="dxa"/>
          </w:tcPr>
          <w:p w14:paraId="02B2533F" w14:textId="77777777" w:rsidR="00BE2CA7" w:rsidRPr="00440C76" w:rsidRDefault="00BE2CA7" w:rsidP="002B0590">
            <w:pPr>
              <w:spacing w:before="60" w:after="60" w:line="220" w:lineRule="atLeast"/>
              <w:ind w:left="57" w:right="57"/>
              <w:rPr>
                <w:bCs/>
                <w:sz w:val="18"/>
                <w:szCs w:val="18"/>
                <w:lang w:val="fr-FR"/>
              </w:rPr>
            </w:pPr>
          </w:p>
        </w:tc>
      </w:tr>
      <w:tr w:rsidR="00BE2CA7" w:rsidRPr="00440C76" w14:paraId="4613E8EE" w14:textId="77777777" w:rsidTr="002B0590">
        <w:trPr>
          <w:trHeight w:val="98"/>
        </w:trPr>
        <w:tc>
          <w:tcPr>
            <w:tcW w:w="3638" w:type="dxa"/>
          </w:tcPr>
          <w:p w14:paraId="6FF8873D" w14:textId="77777777" w:rsidR="00BE2CA7" w:rsidRPr="00440C76" w:rsidRDefault="00BE2CA7" w:rsidP="002B0590">
            <w:pPr>
              <w:spacing w:before="60" w:after="60" w:line="220" w:lineRule="atLeast"/>
              <w:ind w:left="57" w:right="57"/>
              <w:rPr>
                <w:sz w:val="18"/>
                <w:szCs w:val="18"/>
                <w:lang w:val="fr-FR"/>
              </w:rPr>
            </w:pPr>
            <w:r w:rsidRPr="00440C76">
              <w:rPr>
                <w:sz w:val="18"/>
                <w:szCs w:val="18"/>
                <w:lang w:val="fr-FR"/>
              </w:rPr>
              <w:t>Période d</w:t>
            </w:r>
            <w:r>
              <w:rPr>
                <w:sz w:val="18"/>
                <w:szCs w:val="18"/>
                <w:lang w:val="fr-FR"/>
              </w:rPr>
              <w:t>’</w:t>
            </w:r>
            <w:r w:rsidRPr="00440C76">
              <w:rPr>
                <w:sz w:val="18"/>
                <w:szCs w:val="18"/>
                <w:lang w:val="fr-FR"/>
              </w:rPr>
              <w:t>induction</w:t>
            </w:r>
            <w:r w:rsidRPr="0047626D">
              <w:rPr>
                <w:i/>
                <w:sz w:val="18"/>
                <w:szCs w:val="18"/>
                <w:vertAlign w:val="superscript"/>
                <w:lang w:val="fr-FR"/>
              </w:rPr>
              <w:t>3</w:t>
            </w:r>
          </w:p>
        </w:tc>
        <w:tc>
          <w:tcPr>
            <w:tcW w:w="1128" w:type="dxa"/>
          </w:tcPr>
          <w:p w14:paraId="2C692194" w14:textId="77777777" w:rsidR="00BE2CA7" w:rsidRPr="00440C76" w:rsidRDefault="00BE2CA7" w:rsidP="002B0590">
            <w:pPr>
              <w:spacing w:before="60" w:after="60" w:line="220" w:lineRule="atLeast"/>
              <w:ind w:left="57" w:right="57"/>
              <w:jc w:val="center"/>
              <w:rPr>
                <w:sz w:val="18"/>
                <w:szCs w:val="18"/>
                <w:lang w:val="fr-FR"/>
              </w:rPr>
            </w:pPr>
            <w:r w:rsidRPr="00440C76">
              <w:rPr>
                <w:sz w:val="18"/>
                <w:szCs w:val="18"/>
                <w:lang w:val="fr-FR"/>
              </w:rPr>
              <w:t>min</w:t>
            </w:r>
          </w:p>
        </w:tc>
        <w:tc>
          <w:tcPr>
            <w:tcW w:w="1319" w:type="dxa"/>
          </w:tcPr>
          <w:p w14:paraId="5839EC54" w14:textId="77777777" w:rsidR="00BE2CA7" w:rsidRPr="00440C76" w:rsidRDefault="00BE2CA7" w:rsidP="002B0590">
            <w:pPr>
              <w:spacing w:before="60" w:after="60" w:line="220" w:lineRule="atLeast"/>
              <w:ind w:left="57" w:right="57"/>
              <w:jc w:val="center"/>
              <w:rPr>
                <w:bCs/>
                <w:sz w:val="18"/>
                <w:szCs w:val="18"/>
                <w:lang w:val="fr-FR"/>
              </w:rPr>
            </w:pPr>
            <w:r w:rsidRPr="00440C76">
              <w:rPr>
                <w:bCs/>
                <w:sz w:val="18"/>
                <w:szCs w:val="18"/>
                <w:lang w:val="fr-FR"/>
              </w:rPr>
              <w:t>480</w:t>
            </w:r>
          </w:p>
        </w:tc>
        <w:tc>
          <w:tcPr>
            <w:tcW w:w="1320" w:type="dxa"/>
          </w:tcPr>
          <w:p w14:paraId="412C29E2" w14:textId="77777777" w:rsidR="00BE2CA7" w:rsidRPr="00440C76" w:rsidRDefault="00BE2CA7" w:rsidP="002B0590">
            <w:pPr>
              <w:spacing w:before="60" w:after="60" w:line="220" w:lineRule="atLeast"/>
              <w:ind w:left="57" w:right="57"/>
              <w:jc w:val="center"/>
              <w:rPr>
                <w:bCs/>
                <w:sz w:val="18"/>
                <w:szCs w:val="18"/>
                <w:lang w:val="fr-FR"/>
              </w:rPr>
            </w:pPr>
            <w:r w:rsidRPr="00440C76">
              <w:rPr>
                <w:bCs/>
                <w:sz w:val="18"/>
                <w:szCs w:val="18"/>
                <w:lang w:val="fr-FR"/>
              </w:rPr>
              <w:t>-</w:t>
            </w:r>
          </w:p>
        </w:tc>
        <w:tc>
          <w:tcPr>
            <w:tcW w:w="2234" w:type="dxa"/>
          </w:tcPr>
          <w:p w14:paraId="564F94FF" w14:textId="77777777" w:rsidR="00BE2CA7" w:rsidRPr="00440C76" w:rsidRDefault="00BE2CA7" w:rsidP="002B0590">
            <w:pPr>
              <w:spacing w:before="60" w:after="60" w:line="220" w:lineRule="atLeast"/>
              <w:ind w:left="57" w:right="57"/>
              <w:rPr>
                <w:bCs/>
                <w:sz w:val="18"/>
                <w:szCs w:val="18"/>
                <w:lang w:val="fr-FR"/>
              </w:rPr>
            </w:pPr>
            <w:r w:rsidRPr="00440C76">
              <w:rPr>
                <w:bCs/>
                <w:sz w:val="18"/>
                <w:szCs w:val="18"/>
                <w:lang w:val="fr-FR"/>
              </w:rPr>
              <w:t>EN ISO</w:t>
            </w:r>
            <w:r>
              <w:rPr>
                <w:bCs/>
                <w:sz w:val="18"/>
                <w:szCs w:val="18"/>
                <w:lang w:val="fr-FR"/>
              </w:rPr>
              <w:t> </w:t>
            </w:r>
            <w:r w:rsidRPr="00440C76">
              <w:rPr>
                <w:bCs/>
                <w:sz w:val="18"/>
                <w:szCs w:val="18"/>
                <w:lang w:val="fr-FR"/>
              </w:rPr>
              <w:t>7536</w:t>
            </w:r>
          </w:p>
        </w:tc>
      </w:tr>
      <w:tr w:rsidR="00BE2CA7" w:rsidRPr="00440C76" w14:paraId="7EA20E79" w14:textId="77777777" w:rsidTr="002B0590">
        <w:trPr>
          <w:trHeight w:val="85"/>
        </w:trPr>
        <w:tc>
          <w:tcPr>
            <w:tcW w:w="3638" w:type="dxa"/>
          </w:tcPr>
          <w:p w14:paraId="04DBDAB1" w14:textId="77777777" w:rsidR="00BE2CA7" w:rsidRPr="00440C76" w:rsidRDefault="00BE2CA7" w:rsidP="002B0590">
            <w:pPr>
              <w:spacing w:before="60" w:after="60" w:line="220" w:lineRule="atLeast"/>
              <w:ind w:left="57" w:right="57"/>
              <w:rPr>
                <w:sz w:val="18"/>
                <w:szCs w:val="18"/>
                <w:lang w:val="fr-FR"/>
              </w:rPr>
            </w:pPr>
            <w:r w:rsidRPr="00440C76">
              <w:rPr>
                <w:sz w:val="18"/>
                <w:szCs w:val="18"/>
                <w:lang w:val="fr-FR"/>
              </w:rPr>
              <w:t>Teneur en oxygène</w:t>
            </w:r>
            <w:r w:rsidRPr="0047626D">
              <w:rPr>
                <w:i/>
                <w:sz w:val="18"/>
                <w:szCs w:val="18"/>
                <w:vertAlign w:val="superscript"/>
                <w:lang w:val="fr-FR"/>
              </w:rPr>
              <w:t>4</w:t>
            </w:r>
          </w:p>
        </w:tc>
        <w:tc>
          <w:tcPr>
            <w:tcW w:w="1128" w:type="dxa"/>
          </w:tcPr>
          <w:p w14:paraId="01615ED1" w14:textId="77777777" w:rsidR="00BE2CA7" w:rsidRPr="00440C76" w:rsidRDefault="00BE2CA7" w:rsidP="002B0590">
            <w:pPr>
              <w:spacing w:before="60" w:after="60" w:line="220" w:lineRule="atLeast"/>
              <w:ind w:left="57" w:right="57"/>
              <w:jc w:val="center"/>
              <w:rPr>
                <w:sz w:val="18"/>
                <w:szCs w:val="18"/>
                <w:lang w:val="fr-FR"/>
              </w:rPr>
            </w:pPr>
            <w:r w:rsidRPr="00440C76">
              <w:rPr>
                <w:sz w:val="18"/>
                <w:szCs w:val="18"/>
                <w:lang w:val="fr-FR"/>
              </w:rPr>
              <w:t>% m/m</w:t>
            </w:r>
          </w:p>
        </w:tc>
        <w:tc>
          <w:tcPr>
            <w:tcW w:w="1319" w:type="dxa"/>
          </w:tcPr>
          <w:p w14:paraId="0F7F3957" w14:textId="77777777" w:rsidR="00BE2CA7" w:rsidRPr="00440C76" w:rsidRDefault="00BE2CA7" w:rsidP="002B0590">
            <w:pPr>
              <w:spacing w:before="60" w:after="60" w:line="220" w:lineRule="atLeast"/>
              <w:ind w:left="57" w:right="57"/>
              <w:jc w:val="center"/>
              <w:rPr>
                <w:sz w:val="18"/>
                <w:szCs w:val="18"/>
                <w:lang w:val="fr-FR"/>
              </w:rPr>
            </w:pPr>
            <w:r w:rsidRPr="00440C76">
              <w:rPr>
                <w:sz w:val="18"/>
                <w:szCs w:val="18"/>
                <w:lang w:val="fr-FR"/>
              </w:rPr>
              <w:t>3,3</w:t>
            </w:r>
          </w:p>
        </w:tc>
        <w:tc>
          <w:tcPr>
            <w:tcW w:w="1320" w:type="dxa"/>
          </w:tcPr>
          <w:p w14:paraId="1EC7880A" w14:textId="77777777" w:rsidR="00BE2CA7" w:rsidRPr="00440C76" w:rsidRDefault="00BE2CA7" w:rsidP="002B0590">
            <w:pPr>
              <w:spacing w:before="60" w:after="60" w:line="220" w:lineRule="atLeast"/>
              <w:ind w:left="57" w:right="57"/>
              <w:jc w:val="center"/>
              <w:rPr>
                <w:sz w:val="18"/>
                <w:szCs w:val="18"/>
                <w:lang w:val="fr-FR"/>
              </w:rPr>
            </w:pPr>
            <w:r w:rsidRPr="00440C76">
              <w:rPr>
                <w:sz w:val="18"/>
                <w:szCs w:val="18"/>
                <w:lang w:val="fr-FR"/>
              </w:rPr>
              <w:t>3,7</w:t>
            </w:r>
          </w:p>
        </w:tc>
        <w:tc>
          <w:tcPr>
            <w:tcW w:w="2234" w:type="dxa"/>
          </w:tcPr>
          <w:p w14:paraId="67BAA6E8" w14:textId="77777777" w:rsidR="00BE2CA7" w:rsidRPr="00440C76" w:rsidRDefault="00BE2CA7" w:rsidP="002B0590">
            <w:pPr>
              <w:spacing w:before="60" w:after="60" w:line="220" w:lineRule="atLeast"/>
              <w:ind w:left="57" w:right="57"/>
              <w:rPr>
                <w:bCs/>
                <w:sz w:val="18"/>
                <w:szCs w:val="18"/>
                <w:lang w:val="fr-FR"/>
              </w:rPr>
            </w:pPr>
            <w:r w:rsidRPr="00440C76">
              <w:rPr>
                <w:bCs/>
                <w:sz w:val="18"/>
                <w:szCs w:val="18"/>
                <w:lang w:val="fr-FR"/>
              </w:rPr>
              <w:t>EN 22854</w:t>
            </w:r>
          </w:p>
        </w:tc>
      </w:tr>
      <w:tr w:rsidR="00BE2CA7" w:rsidRPr="00440C76" w14:paraId="534FFB60" w14:textId="77777777" w:rsidTr="002B0590">
        <w:trPr>
          <w:trHeight w:val="218"/>
        </w:trPr>
        <w:tc>
          <w:tcPr>
            <w:tcW w:w="3638" w:type="dxa"/>
          </w:tcPr>
          <w:p w14:paraId="2A12279A" w14:textId="77777777" w:rsidR="00BE2CA7" w:rsidRPr="00440C76" w:rsidRDefault="00BE2CA7" w:rsidP="002B0590">
            <w:pPr>
              <w:spacing w:before="60" w:after="60" w:line="220" w:lineRule="atLeast"/>
              <w:ind w:left="57" w:right="57"/>
              <w:rPr>
                <w:sz w:val="18"/>
                <w:szCs w:val="18"/>
                <w:lang w:val="fr-FR"/>
              </w:rPr>
            </w:pPr>
            <w:r w:rsidRPr="00440C76">
              <w:rPr>
                <w:sz w:val="18"/>
                <w:szCs w:val="18"/>
                <w:lang w:val="fr-FR"/>
              </w:rPr>
              <w:t xml:space="preserve">Gomme lavée avec un solvant </w:t>
            </w:r>
            <w:r w:rsidRPr="00440C76">
              <w:rPr>
                <w:sz w:val="18"/>
                <w:szCs w:val="18"/>
                <w:lang w:val="fr-FR"/>
              </w:rPr>
              <w:br/>
              <w:t>(teneur en gomme actuelle)</w:t>
            </w:r>
          </w:p>
        </w:tc>
        <w:tc>
          <w:tcPr>
            <w:tcW w:w="1128" w:type="dxa"/>
          </w:tcPr>
          <w:p w14:paraId="15860B4D" w14:textId="77777777" w:rsidR="00BE2CA7" w:rsidRPr="00440C76" w:rsidRDefault="00BE2CA7" w:rsidP="002B0590">
            <w:pPr>
              <w:spacing w:before="60" w:after="60" w:line="220" w:lineRule="atLeast"/>
              <w:ind w:left="57" w:right="57"/>
              <w:jc w:val="center"/>
              <w:rPr>
                <w:sz w:val="18"/>
                <w:szCs w:val="18"/>
                <w:lang w:val="fr-FR"/>
              </w:rPr>
            </w:pPr>
            <w:r w:rsidRPr="00440C76">
              <w:rPr>
                <w:sz w:val="18"/>
                <w:szCs w:val="18"/>
                <w:lang w:val="fr-FR"/>
              </w:rPr>
              <w:t>mg/100ml</w:t>
            </w:r>
          </w:p>
        </w:tc>
        <w:tc>
          <w:tcPr>
            <w:tcW w:w="1319" w:type="dxa"/>
          </w:tcPr>
          <w:p w14:paraId="526C3FF8" w14:textId="77777777" w:rsidR="00BE2CA7" w:rsidRPr="00440C76" w:rsidRDefault="00BE2CA7" w:rsidP="002B0590">
            <w:pPr>
              <w:spacing w:before="60" w:after="60" w:line="220" w:lineRule="atLeast"/>
              <w:ind w:left="57" w:right="57"/>
              <w:jc w:val="center"/>
              <w:rPr>
                <w:bCs/>
                <w:sz w:val="18"/>
                <w:szCs w:val="18"/>
                <w:lang w:val="fr-FR"/>
              </w:rPr>
            </w:pPr>
            <w:r w:rsidRPr="00440C76">
              <w:rPr>
                <w:bCs/>
                <w:sz w:val="18"/>
                <w:szCs w:val="18"/>
                <w:lang w:val="fr-FR"/>
              </w:rPr>
              <w:t>-</w:t>
            </w:r>
          </w:p>
        </w:tc>
        <w:tc>
          <w:tcPr>
            <w:tcW w:w="1320" w:type="dxa"/>
          </w:tcPr>
          <w:p w14:paraId="1DDEF360" w14:textId="77777777" w:rsidR="00BE2CA7" w:rsidRPr="00440C76" w:rsidRDefault="00BE2CA7" w:rsidP="002B0590">
            <w:pPr>
              <w:spacing w:before="60" w:after="60" w:line="220" w:lineRule="atLeast"/>
              <w:ind w:left="57" w:right="57"/>
              <w:jc w:val="center"/>
              <w:rPr>
                <w:bCs/>
                <w:sz w:val="18"/>
                <w:szCs w:val="18"/>
                <w:lang w:val="fr-FR"/>
              </w:rPr>
            </w:pPr>
            <w:r w:rsidRPr="00440C76">
              <w:rPr>
                <w:bCs/>
                <w:sz w:val="18"/>
                <w:szCs w:val="18"/>
                <w:lang w:val="fr-FR"/>
              </w:rPr>
              <w:t>4</w:t>
            </w:r>
          </w:p>
        </w:tc>
        <w:tc>
          <w:tcPr>
            <w:tcW w:w="2234" w:type="dxa"/>
          </w:tcPr>
          <w:p w14:paraId="0D2B5B08" w14:textId="77777777" w:rsidR="00BE2CA7" w:rsidRPr="00440C76" w:rsidRDefault="00BE2CA7" w:rsidP="002B0590">
            <w:pPr>
              <w:spacing w:before="60" w:after="60" w:line="220" w:lineRule="atLeast"/>
              <w:ind w:left="57" w:right="57"/>
              <w:rPr>
                <w:bCs/>
                <w:sz w:val="18"/>
                <w:szCs w:val="18"/>
                <w:lang w:val="fr-FR"/>
              </w:rPr>
            </w:pPr>
            <w:r w:rsidRPr="00440C76">
              <w:rPr>
                <w:bCs/>
                <w:sz w:val="18"/>
                <w:szCs w:val="18"/>
                <w:lang w:val="fr-FR"/>
              </w:rPr>
              <w:t>EN ISO</w:t>
            </w:r>
            <w:r>
              <w:rPr>
                <w:bCs/>
                <w:sz w:val="18"/>
                <w:szCs w:val="18"/>
                <w:lang w:val="fr-FR"/>
              </w:rPr>
              <w:t> </w:t>
            </w:r>
            <w:r w:rsidRPr="00440C76">
              <w:rPr>
                <w:bCs/>
                <w:sz w:val="18"/>
                <w:szCs w:val="18"/>
                <w:lang w:val="fr-FR"/>
              </w:rPr>
              <w:t>6246</w:t>
            </w:r>
          </w:p>
        </w:tc>
      </w:tr>
      <w:tr w:rsidR="00BE2CA7" w:rsidRPr="00440C76" w14:paraId="5067AB52" w14:textId="77777777" w:rsidTr="002B0590">
        <w:trPr>
          <w:trHeight w:val="96"/>
        </w:trPr>
        <w:tc>
          <w:tcPr>
            <w:tcW w:w="3638" w:type="dxa"/>
          </w:tcPr>
          <w:p w14:paraId="3E6B77EE" w14:textId="77777777" w:rsidR="00BE2CA7" w:rsidRPr="00440C76" w:rsidRDefault="00BE2CA7" w:rsidP="002B0590">
            <w:pPr>
              <w:spacing w:before="60" w:after="60" w:line="220" w:lineRule="atLeast"/>
              <w:ind w:left="57" w:right="57"/>
              <w:rPr>
                <w:sz w:val="18"/>
                <w:szCs w:val="18"/>
                <w:lang w:val="fr-FR"/>
              </w:rPr>
            </w:pPr>
            <w:r w:rsidRPr="00440C76">
              <w:rPr>
                <w:sz w:val="18"/>
                <w:szCs w:val="18"/>
                <w:lang w:val="fr-FR"/>
              </w:rPr>
              <w:t>Teneur en soufre</w:t>
            </w:r>
            <w:r w:rsidRPr="0047626D">
              <w:rPr>
                <w:i/>
                <w:sz w:val="18"/>
                <w:szCs w:val="18"/>
                <w:vertAlign w:val="superscript"/>
                <w:lang w:val="fr-FR"/>
              </w:rPr>
              <w:t>5</w:t>
            </w:r>
          </w:p>
        </w:tc>
        <w:tc>
          <w:tcPr>
            <w:tcW w:w="1128" w:type="dxa"/>
          </w:tcPr>
          <w:p w14:paraId="3BE4A813" w14:textId="77777777" w:rsidR="00BE2CA7" w:rsidRPr="00440C76" w:rsidRDefault="00BE2CA7" w:rsidP="002B0590">
            <w:pPr>
              <w:spacing w:before="60" w:after="60" w:line="220" w:lineRule="atLeast"/>
              <w:ind w:left="57" w:right="57"/>
              <w:jc w:val="center"/>
              <w:rPr>
                <w:sz w:val="18"/>
                <w:szCs w:val="18"/>
                <w:lang w:val="fr-FR"/>
              </w:rPr>
            </w:pPr>
            <w:r w:rsidRPr="00440C76">
              <w:rPr>
                <w:sz w:val="18"/>
                <w:szCs w:val="18"/>
                <w:lang w:val="fr-FR"/>
              </w:rPr>
              <w:t>mg/kg</w:t>
            </w:r>
          </w:p>
        </w:tc>
        <w:tc>
          <w:tcPr>
            <w:tcW w:w="1319" w:type="dxa"/>
          </w:tcPr>
          <w:p w14:paraId="4E10A6BC" w14:textId="77777777" w:rsidR="00BE2CA7" w:rsidRPr="00440C76" w:rsidRDefault="00BE2CA7" w:rsidP="002B0590">
            <w:pPr>
              <w:spacing w:before="60" w:after="60" w:line="220" w:lineRule="atLeast"/>
              <w:ind w:left="57" w:right="57"/>
              <w:jc w:val="center"/>
              <w:rPr>
                <w:bCs/>
                <w:sz w:val="18"/>
                <w:szCs w:val="18"/>
                <w:lang w:val="fr-FR"/>
              </w:rPr>
            </w:pPr>
            <w:r w:rsidRPr="00440C76">
              <w:rPr>
                <w:bCs/>
                <w:sz w:val="18"/>
                <w:szCs w:val="18"/>
                <w:lang w:val="fr-FR"/>
              </w:rPr>
              <w:t>-</w:t>
            </w:r>
          </w:p>
        </w:tc>
        <w:tc>
          <w:tcPr>
            <w:tcW w:w="1320" w:type="dxa"/>
          </w:tcPr>
          <w:p w14:paraId="6FD95F39" w14:textId="77777777" w:rsidR="00BE2CA7" w:rsidRPr="00440C76" w:rsidRDefault="00BE2CA7" w:rsidP="002B0590">
            <w:pPr>
              <w:spacing w:before="60" w:after="60" w:line="220" w:lineRule="atLeast"/>
              <w:ind w:left="57" w:right="57"/>
              <w:jc w:val="center"/>
              <w:rPr>
                <w:bCs/>
                <w:sz w:val="18"/>
                <w:szCs w:val="18"/>
                <w:lang w:val="fr-FR"/>
              </w:rPr>
            </w:pPr>
            <w:r w:rsidRPr="00440C76">
              <w:rPr>
                <w:bCs/>
                <w:sz w:val="18"/>
                <w:szCs w:val="18"/>
                <w:lang w:val="fr-FR"/>
              </w:rPr>
              <w:t>10</w:t>
            </w:r>
          </w:p>
        </w:tc>
        <w:tc>
          <w:tcPr>
            <w:tcW w:w="2234" w:type="dxa"/>
          </w:tcPr>
          <w:p w14:paraId="01270140" w14:textId="77777777" w:rsidR="00BE2CA7" w:rsidRPr="00440C76" w:rsidRDefault="00BE2CA7" w:rsidP="002B0590">
            <w:pPr>
              <w:spacing w:before="60" w:after="60" w:line="220" w:lineRule="atLeast"/>
              <w:ind w:left="57" w:right="57"/>
              <w:rPr>
                <w:bCs/>
                <w:sz w:val="18"/>
                <w:szCs w:val="18"/>
                <w:lang w:val="fr-FR"/>
              </w:rPr>
            </w:pPr>
            <w:r w:rsidRPr="00440C76">
              <w:rPr>
                <w:bCs/>
                <w:sz w:val="18"/>
                <w:szCs w:val="18"/>
                <w:lang w:val="fr-FR"/>
              </w:rPr>
              <w:t>EN ISO</w:t>
            </w:r>
            <w:r>
              <w:rPr>
                <w:bCs/>
                <w:sz w:val="18"/>
                <w:szCs w:val="18"/>
                <w:lang w:val="fr-FR"/>
              </w:rPr>
              <w:t> </w:t>
            </w:r>
            <w:r w:rsidRPr="00440C76">
              <w:rPr>
                <w:bCs/>
                <w:sz w:val="18"/>
                <w:szCs w:val="18"/>
                <w:lang w:val="fr-FR"/>
              </w:rPr>
              <w:t>20846</w:t>
            </w:r>
            <w:r w:rsidRPr="00440C76">
              <w:rPr>
                <w:bCs/>
                <w:sz w:val="18"/>
                <w:szCs w:val="18"/>
                <w:lang w:val="fr-FR"/>
              </w:rPr>
              <w:br/>
              <w:t>EN ISO</w:t>
            </w:r>
            <w:r>
              <w:rPr>
                <w:bCs/>
                <w:sz w:val="18"/>
                <w:szCs w:val="18"/>
                <w:lang w:val="fr-FR"/>
              </w:rPr>
              <w:t> </w:t>
            </w:r>
            <w:r w:rsidRPr="00440C76">
              <w:rPr>
                <w:bCs/>
                <w:sz w:val="18"/>
                <w:szCs w:val="18"/>
                <w:lang w:val="fr-FR"/>
              </w:rPr>
              <w:t>20884</w:t>
            </w:r>
          </w:p>
        </w:tc>
      </w:tr>
      <w:tr w:rsidR="00BE2CA7" w:rsidRPr="00440C76" w14:paraId="1229920B" w14:textId="77777777" w:rsidTr="002B0590">
        <w:trPr>
          <w:trHeight w:val="85"/>
        </w:trPr>
        <w:tc>
          <w:tcPr>
            <w:tcW w:w="3638" w:type="dxa"/>
          </w:tcPr>
          <w:p w14:paraId="34245609" w14:textId="77777777" w:rsidR="00BE2CA7" w:rsidRPr="00440C76" w:rsidRDefault="00BE2CA7" w:rsidP="002B0590">
            <w:pPr>
              <w:spacing w:before="60" w:after="60" w:line="220" w:lineRule="atLeast"/>
              <w:ind w:left="57" w:right="57"/>
              <w:rPr>
                <w:sz w:val="18"/>
                <w:szCs w:val="18"/>
                <w:lang w:val="fr-FR"/>
              </w:rPr>
            </w:pPr>
            <w:r w:rsidRPr="00440C76">
              <w:rPr>
                <w:sz w:val="18"/>
                <w:szCs w:val="18"/>
                <w:lang w:val="fr-FR"/>
              </w:rPr>
              <w:t>Corrosion du cuivre 3 h, 50 °C</w:t>
            </w:r>
          </w:p>
        </w:tc>
        <w:tc>
          <w:tcPr>
            <w:tcW w:w="1128" w:type="dxa"/>
          </w:tcPr>
          <w:p w14:paraId="71057620" w14:textId="77777777" w:rsidR="00BE2CA7" w:rsidRPr="00440C76" w:rsidRDefault="00BE2CA7" w:rsidP="002B0590">
            <w:pPr>
              <w:spacing w:before="60" w:after="60" w:line="220" w:lineRule="atLeast"/>
              <w:ind w:left="57" w:right="57"/>
              <w:jc w:val="center"/>
              <w:rPr>
                <w:sz w:val="18"/>
                <w:szCs w:val="18"/>
                <w:lang w:val="fr-FR"/>
              </w:rPr>
            </w:pPr>
          </w:p>
        </w:tc>
        <w:tc>
          <w:tcPr>
            <w:tcW w:w="1319" w:type="dxa"/>
          </w:tcPr>
          <w:p w14:paraId="7991A82D" w14:textId="77777777" w:rsidR="00BE2CA7" w:rsidRPr="00440C76" w:rsidRDefault="00BE2CA7" w:rsidP="002B0590">
            <w:pPr>
              <w:spacing w:before="60" w:after="60" w:line="220" w:lineRule="atLeast"/>
              <w:ind w:left="57" w:right="57"/>
              <w:jc w:val="center"/>
              <w:rPr>
                <w:bCs/>
                <w:sz w:val="18"/>
                <w:szCs w:val="18"/>
                <w:lang w:val="fr-FR"/>
              </w:rPr>
            </w:pPr>
            <w:r w:rsidRPr="00440C76">
              <w:rPr>
                <w:bCs/>
                <w:sz w:val="18"/>
                <w:szCs w:val="18"/>
                <w:lang w:val="fr-FR"/>
              </w:rPr>
              <w:t>-</w:t>
            </w:r>
          </w:p>
        </w:tc>
        <w:tc>
          <w:tcPr>
            <w:tcW w:w="1320" w:type="dxa"/>
          </w:tcPr>
          <w:p w14:paraId="63EDBE9B" w14:textId="77777777" w:rsidR="00BE2CA7" w:rsidRPr="00440C76" w:rsidRDefault="00BE2CA7" w:rsidP="002B0590">
            <w:pPr>
              <w:spacing w:before="60" w:after="60" w:line="220" w:lineRule="atLeast"/>
              <w:ind w:left="57" w:right="57"/>
              <w:jc w:val="center"/>
              <w:rPr>
                <w:bCs/>
                <w:sz w:val="18"/>
                <w:szCs w:val="18"/>
                <w:lang w:val="fr-FR"/>
              </w:rPr>
            </w:pPr>
            <w:r w:rsidRPr="00440C76">
              <w:rPr>
                <w:bCs/>
                <w:sz w:val="18"/>
                <w:szCs w:val="18"/>
                <w:lang w:val="fr-FR"/>
              </w:rPr>
              <w:t>Classe</w:t>
            </w:r>
            <w:r>
              <w:rPr>
                <w:bCs/>
                <w:sz w:val="18"/>
                <w:szCs w:val="18"/>
                <w:lang w:val="fr-FR"/>
              </w:rPr>
              <w:t> </w:t>
            </w:r>
            <w:r w:rsidRPr="00440C76">
              <w:rPr>
                <w:bCs/>
                <w:sz w:val="18"/>
                <w:szCs w:val="18"/>
                <w:lang w:val="fr-FR"/>
              </w:rPr>
              <w:t>1</w:t>
            </w:r>
          </w:p>
        </w:tc>
        <w:tc>
          <w:tcPr>
            <w:tcW w:w="2234" w:type="dxa"/>
          </w:tcPr>
          <w:p w14:paraId="32B62EAE" w14:textId="77777777" w:rsidR="00BE2CA7" w:rsidRPr="00440C76" w:rsidRDefault="00BE2CA7" w:rsidP="002B0590">
            <w:pPr>
              <w:spacing w:before="60" w:after="60" w:line="220" w:lineRule="atLeast"/>
              <w:ind w:left="57" w:right="57"/>
              <w:rPr>
                <w:bCs/>
                <w:sz w:val="18"/>
                <w:szCs w:val="18"/>
                <w:lang w:val="fr-FR"/>
              </w:rPr>
            </w:pPr>
            <w:r w:rsidRPr="00440C76">
              <w:rPr>
                <w:bCs/>
                <w:sz w:val="18"/>
                <w:szCs w:val="18"/>
                <w:lang w:val="fr-FR"/>
              </w:rPr>
              <w:t>EN ISO</w:t>
            </w:r>
            <w:r>
              <w:rPr>
                <w:bCs/>
                <w:sz w:val="18"/>
                <w:szCs w:val="18"/>
                <w:lang w:val="fr-FR"/>
              </w:rPr>
              <w:t> </w:t>
            </w:r>
            <w:r w:rsidRPr="00440C76">
              <w:rPr>
                <w:bCs/>
                <w:sz w:val="18"/>
                <w:szCs w:val="18"/>
                <w:lang w:val="fr-FR"/>
              </w:rPr>
              <w:t>2160</w:t>
            </w:r>
          </w:p>
        </w:tc>
      </w:tr>
      <w:tr w:rsidR="00BE2CA7" w:rsidRPr="00440C76" w14:paraId="22FF8B59" w14:textId="77777777" w:rsidTr="002B0590">
        <w:trPr>
          <w:trHeight w:val="85"/>
        </w:trPr>
        <w:tc>
          <w:tcPr>
            <w:tcW w:w="3638" w:type="dxa"/>
          </w:tcPr>
          <w:p w14:paraId="5FD478C0" w14:textId="77777777" w:rsidR="00BE2CA7" w:rsidRPr="00440C76" w:rsidRDefault="00BE2CA7" w:rsidP="002B0590">
            <w:pPr>
              <w:spacing w:before="60" w:after="60" w:line="220" w:lineRule="atLeast"/>
              <w:ind w:left="57" w:right="57"/>
              <w:rPr>
                <w:sz w:val="18"/>
                <w:szCs w:val="18"/>
                <w:lang w:val="fr-FR"/>
              </w:rPr>
            </w:pPr>
            <w:r w:rsidRPr="00440C76">
              <w:rPr>
                <w:sz w:val="18"/>
                <w:szCs w:val="18"/>
                <w:lang w:val="fr-FR"/>
              </w:rPr>
              <w:t>Teneur en plomb</w:t>
            </w:r>
          </w:p>
        </w:tc>
        <w:tc>
          <w:tcPr>
            <w:tcW w:w="1128" w:type="dxa"/>
          </w:tcPr>
          <w:p w14:paraId="752945E6" w14:textId="77777777" w:rsidR="00BE2CA7" w:rsidRPr="00440C76" w:rsidRDefault="00BE2CA7" w:rsidP="002B0590">
            <w:pPr>
              <w:spacing w:before="60" w:after="60" w:line="220" w:lineRule="atLeast"/>
              <w:ind w:left="57" w:right="57"/>
              <w:jc w:val="center"/>
              <w:rPr>
                <w:sz w:val="18"/>
                <w:szCs w:val="18"/>
                <w:lang w:val="fr-FR"/>
              </w:rPr>
            </w:pPr>
            <w:r w:rsidRPr="00440C76">
              <w:rPr>
                <w:sz w:val="18"/>
                <w:szCs w:val="18"/>
                <w:lang w:val="fr-FR"/>
              </w:rPr>
              <w:t>mg/l</w:t>
            </w:r>
          </w:p>
        </w:tc>
        <w:tc>
          <w:tcPr>
            <w:tcW w:w="1319" w:type="dxa"/>
          </w:tcPr>
          <w:p w14:paraId="4B6B74D3" w14:textId="77777777" w:rsidR="00BE2CA7" w:rsidRPr="00440C76" w:rsidRDefault="00BE2CA7" w:rsidP="002B0590">
            <w:pPr>
              <w:spacing w:before="60" w:after="60" w:line="220" w:lineRule="atLeast"/>
              <w:ind w:left="57" w:right="57"/>
              <w:jc w:val="center"/>
              <w:rPr>
                <w:bCs/>
                <w:sz w:val="18"/>
                <w:szCs w:val="18"/>
                <w:lang w:val="fr-FR"/>
              </w:rPr>
            </w:pPr>
            <w:r w:rsidRPr="00440C76">
              <w:rPr>
                <w:bCs/>
                <w:sz w:val="18"/>
                <w:szCs w:val="18"/>
                <w:lang w:val="fr-FR"/>
              </w:rPr>
              <w:t>-</w:t>
            </w:r>
          </w:p>
        </w:tc>
        <w:tc>
          <w:tcPr>
            <w:tcW w:w="1320" w:type="dxa"/>
          </w:tcPr>
          <w:p w14:paraId="746DAE9F" w14:textId="77777777" w:rsidR="00BE2CA7" w:rsidRPr="00440C76" w:rsidRDefault="00BE2CA7" w:rsidP="002B0590">
            <w:pPr>
              <w:spacing w:before="60" w:after="60" w:line="220" w:lineRule="atLeast"/>
              <w:ind w:left="57" w:right="57"/>
              <w:jc w:val="center"/>
              <w:rPr>
                <w:bCs/>
                <w:sz w:val="18"/>
                <w:szCs w:val="18"/>
                <w:lang w:val="fr-FR"/>
              </w:rPr>
            </w:pPr>
            <w:r w:rsidRPr="00440C76">
              <w:rPr>
                <w:bCs/>
                <w:sz w:val="18"/>
                <w:szCs w:val="18"/>
                <w:lang w:val="fr-FR"/>
              </w:rPr>
              <w:t>5</w:t>
            </w:r>
          </w:p>
        </w:tc>
        <w:tc>
          <w:tcPr>
            <w:tcW w:w="2234" w:type="dxa"/>
          </w:tcPr>
          <w:p w14:paraId="2ED10026" w14:textId="77777777" w:rsidR="00BE2CA7" w:rsidRPr="00440C76" w:rsidRDefault="00BE2CA7" w:rsidP="002B0590">
            <w:pPr>
              <w:spacing w:before="60" w:after="60" w:line="220" w:lineRule="atLeast"/>
              <w:ind w:left="57" w:right="57"/>
              <w:rPr>
                <w:bCs/>
                <w:sz w:val="18"/>
                <w:szCs w:val="18"/>
                <w:lang w:val="fr-FR"/>
              </w:rPr>
            </w:pPr>
            <w:r w:rsidRPr="00440C76">
              <w:rPr>
                <w:bCs/>
                <w:sz w:val="18"/>
                <w:szCs w:val="18"/>
                <w:lang w:val="fr-FR"/>
              </w:rPr>
              <w:t>EN 237</w:t>
            </w:r>
          </w:p>
        </w:tc>
      </w:tr>
      <w:tr w:rsidR="00BE2CA7" w:rsidRPr="00440C76" w14:paraId="54A69A9C" w14:textId="77777777" w:rsidTr="002B0590">
        <w:trPr>
          <w:trHeight w:val="85"/>
        </w:trPr>
        <w:tc>
          <w:tcPr>
            <w:tcW w:w="3638" w:type="dxa"/>
          </w:tcPr>
          <w:p w14:paraId="40918B21" w14:textId="77777777" w:rsidR="00BE2CA7" w:rsidRPr="00440C76" w:rsidRDefault="00BE2CA7" w:rsidP="002B0590">
            <w:pPr>
              <w:spacing w:before="60" w:after="60" w:line="220" w:lineRule="atLeast"/>
              <w:ind w:left="57" w:right="57"/>
              <w:rPr>
                <w:sz w:val="18"/>
                <w:szCs w:val="18"/>
                <w:lang w:val="fr-FR"/>
              </w:rPr>
            </w:pPr>
            <w:r w:rsidRPr="00440C76">
              <w:rPr>
                <w:sz w:val="18"/>
                <w:szCs w:val="18"/>
                <w:lang w:val="fr-FR"/>
              </w:rPr>
              <w:t>Teneur en phosphore</w:t>
            </w:r>
            <w:r w:rsidRPr="0047626D">
              <w:rPr>
                <w:i/>
                <w:sz w:val="18"/>
                <w:szCs w:val="18"/>
                <w:vertAlign w:val="superscript"/>
                <w:lang w:val="fr-FR"/>
              </w:rPr>
              <w:t>6</w:t>
            </w:r>
          </w:p>
        </w:tc>
        <w:tc>
          <w:tcPr>
            <w:tcW w:w="1128" w:type="dxa"/>
          </w:tcPr>
          <w:p w14:paraId="2A935ADD" w14:textId="77777777" w:rsidR="00BE2CA7" w:rsidRPr="00440C76" w:rsidRDefault="00BE2CA7" w:rsidP="002B0590">
            <w:pPr>
              <w:spacing w:before="60" w:after="60" w:line="220" w:lineRule="atLeast"/>
              <w:ind w:left="57" w:right="57"/>
              <w:jc w:val="center"/>
              <w:rPr>
                <w:sz w:val="18"/>
                <w:szCs w:val="18"/>
                <w:lang w:val="fr-FR"/>
              </w:rPr>
            </w:pPr>
            <w:r w:rsidRPr="00440C76">
              <w:rPr>
                <w:sz w:val="18"/>
                <w:szCs w:val="18"/>
                <w:lang w:val="fr-FR"/>
              </w:rPr>
              <w:t>mg/l</w:t>
            </w:r>
          </w:p>
        </w:tc>
        <w:tc>
          <w:tcPr>
            <w:tcW w:w="1319" w:type="dxa"/>
          </w:tcPr>
          <w:p w14:paraId="72119D02" w14:textId="77777777" w:rsidR="00BE2CA7" w:rsidRPr="00440C76" w:rsidRDefault="00BE2CA7" w:rsidP="002B0590">
            <w:pPr>
              <w:spacing w:before="60" w:after="60" w:line="220" w:lineRule="atLeast"/>
              <w:ind w:left="57" w:right="57"/>
              <w:jc w:val="center"/>
              <w:rPr>
                <w:bCs/>
                <w:sz w:val="18"/>
                <w:szCs w:val="18"/>
                <w:lang w:val="fr-FR"/>
              </w:rPr>
            </w:pPr>
            <w:r w:rsidRPr="00440C76">
              <w:rPr>
                <w:bCs/>
                <w:sz w:val="18"/>
                <w:szCs w:val="18"/>
                <w:lang w:val="fr-FR"/>
              </w:rPr>
              <w:t>-</w:t>
            </w:r>
          </w:p>
        </w:tc>
        <w:tc>
          <w:tcPr>
            <w:tcW w:w="1320" w:type="dxa"/>
          </w:tcPr>
          <w:p w14:paraId="28C155EE" w14:textId="77777777" w:rsidR="00BE2CA7" w:rsidRPr="00440C76" w:rsidRDefault="00BE2CA7" w:rsidP="002B0590">
            <w:pPr>
              <w:spacing w:before="60" w:after="60" w:line="220" w:lineRule="atLeast"/>
              <w:ind w:left="57" w:right="57"/>
              <w:jc w:val="center"/>
              <w:rPr>
                <w:bCs/>
                <w:sz w:val="18"/>
                <w:szCs w:val="18"/>
                <w:lang w:val="fr-FR"/>
              </w:rPr>
            </w:pPr>
            <w:r w:rsidRPr="00440C76">
              <w:rPr>
                <w:bCs/>
                <w:sz w:val="18"/>
                <w:szCs w:val="18"/>
                <w:lang w:val="fr-FR"/>
              </w:rPr>
              <w:t>1,3</w:t>
            </w:r>
          </w:p>
        </w:tc>
        <w:tc>
          <w:tcPr>
            <w:tcW w:w="2234" w:type="dxa"/>
          </w:tcPr>
          <w:p w14:paraId="1C0A5D36" w14:textId="77777777" w:rsidR="00BE2CA7" w:rsidRPr="00440C76" w:rsidRDefault="00BE2CA7" w:rsidP="002B0590">
            <w:pPr>
              <w:spacing w:before="60" w:after="60" w:line="220" w:lineRule="atLeast"/>
              <w:ind w:left="57" w:right="57"/>
              <w:rPr>
                <w:bCs/>
                <w:sz w:val="18"/>
                <w:szCs w:val="18"/>
                <w:lang w:val="fr-FR"/>
              </w:rPr>
            </w:pPr>
            <w:r w:rsidRPr="00440C76">
              <w:rPr>
                <w:bCs/>
                <w:sz w:val="18"/>
                <w:szCs w:val="18"/>
                <w:lang w:val="fr-FR"/>
              </w:rPr>
              <w:t>ASTM D 3231</w:t>
            </w:r>
          </w:p>
        </w:tc>
      </w:tr>
      <w:tr w:rsidR="00BE2CA7" w:rsidRPr="00440C76" w14:paraId="2CF60BC5" w14:textId="77777777" w:rsidTr="002B0590">
        <w:trPr>
          <w:trHeight w:val="85"/>
        </w:trPr>
        <w:tc>
          <w:tcPr>
            <w:tcW w:w="3638" w:type="dxa"/>
          </w:tcPr>
          <w:p w14:paraId="16864324" w14:textId="77777777" w:rsidR="00BE2CA7" w:rsidRPr="00440C76" w:rsidRDefault="00BE2CA7" w:rsidP="002B0590">
            <w:pPr>
              <w:spacing w:before="60" w:after="60" w:line="220" w:lineRule="atLeast"/>
              <w:ind w:left="57" w:right="57"/>
              <w:rPr>
                <w:sz w:val="18"/>
                <w:szCs w:val="18"/>
                <w:lang w:val="fr-FR"/>
              </w:rPr>
            </w:pPr>
            <w:r w:rsidRPr="00440C76">
              <w:rPr>
                <w:sz w:val="18"/>
                <w:szCs w:val="18"/>
                <w:lang w:val="fr-FR"/>
              </w:rPr>
              <w:t>Éthanol</w:t>
            </w:r>
            <w:r w:rsidRPr="0047626D">
              <w:rPr>
                <w:i/>
                <w:sz w:val="18"/>
                <w:szCs w:val="18"/>
                <w:vertAlign w:val="superscript"/>
                <w:lang w:val="fr-FR"/>
              </w:rPr>
              <w:t>4</w:t>
            </w:r>
          </w:p>
        </w:tc>
        <w:tc>
          <w:tcPr>
            <w:tcW w:w="1128" w:type="dxa"/>
          </w:tcPr>
          <w:p w14:paraId="37CA8835" w14:textId="77777777" w:rsidR="00BE2CA7" w:rsidRPr="00440C76" w:rsidRDefault="00BE2CA7" w:rsidP="002B0590">
            <w:pPr>
              <w:spacing w:before="60" w:after="60" w:line="220" w:lineRule="atLeast"/>
              <w:ind w:left="57" w:right="57"/>
              <w:jc w:val="center"/>
              <w:rPr>
                <w:sz w:val="18"/>
                <w:szCs w:val="18"/>
                <w:lang w:val="fr-FR"/>
              </w:rPr>
            </w:pPr>
            <w:r w:rsidRPr="00440C76">
              <w:rPr>
                <w:sz w:val="18"/>
                <w:szCs w:val="18"/>
                <w:lang w:val="fr-FR"/>
              </w:rPr>
              <w:t>% v/v</w:t>
            </w:r>
          </w:p>
        </w:tc>
        <w:tc>
          <w:tcPr>
            <w:tcW w:w="1319" w:type="dxa"/>
          </w:tcPr>
          <w:p w14:paraId="6FD821B5" w14:textId="77777777" w:rsidR="00BE2CA7" w:rsidRPr="00440C76" w:rsidRDefault="00BE2CA7" w:rsidP="002B0590">
            <w:pPr>
              <w:spacing w:before="60" w:after="60" w:line="220" w:lineRule="atLeast"/>
              <w:ind w:left="57" w:right="57"/>
              <w:jc w:val="center"/>
              <w:rPr>
                <w:bCs/>
                <w:strike/>
                <w:sz w:val="18"/>
                <w:szCs w:val="18"/>
                <w:lang w:val="fr-FR"/>
              </w:rPr>
            </w:pPr>
            <w:r w:rsidRPr="00440C76">
              <w:rPr>
                <w:bCs/>
                <w:sz w:val="18"/>
                <w:szCs w:val="18"/>
                <w:lang w:val="fr-FR"/>
              </w:rPr>
              <w:t>9,0</w:t>
            </w:r>
          </w:p>
        </w:tc>
        <w:tc>
          <w:tcPr>
            <w:tcW w:w="1320" w:type="dxa"/>
          </w:tcPr>
          <w:p w14:paraId="51920F65" w14:textId="77777777" w:rsidR="00BE2CA7" w:rsidRPr="00440C76" w:rsidRDefault="00BE2CA7" w:rsidP="002B0590">
            <w:pPr>
              <w:spacing w:before="60" w:after="60" w:line="220" w:lineRule="atLeast"/>
              <w:ind w:left="57" w:right="57"/>
              <w:jc w:val="center"/>
              <w:rPr>
                <w:bCs/>
                <w:sz w:val="18"/>
                <w:szCs w:val="18"/>
                <w:lang w:val="fr-FR"/>
              </w:rPr>
            </w:pPr>
            <w:r w:rsidRPr="00440C76">
              <w:rPr>
                <w:bCs/>
                <w:sz w:val="18"/>
                <w:szCs w:val="18"/>
                <w:lang w:val="fr-FR"/>
              </w:rPr>
              <w:t>10,0</w:t>
            </w:r>
          </w:p>
        </w:tc>
        <w:tc>
          <w:tcPr>
            <w:tcW w:w="2234" w:type="dxa"/>
          </w:tcPr>
          <w:p w14:paraId="6B656C3B" w14:textId="77777777" w:rsidR="00BE2CA7" w:rsidRPr="00440C76" w:rsidRDefault="00BE2CA7" w:rsidP="002B0590">
            <w:pPr>
              <w:spacing w:before="60" w:after="60" w:line="220" w:lineRule="atLeast"/>
              <w:ind w:left="57" w:right="57"/>
              <w:rPr>
                <w:bCs/>
                <w:sz w:val="18"/>
                <w:szCs w:val="18"/>
                <w:lang w:val="fr-FR"/>
              </w:rPr>
            </w:pPr>
            <w:r w:rsidRPr="00440C76">
              <w:rPr>
                <w:bCs/>
                <w:sz w:val="18"/>
                <w:szCs w:val="18"/>
                <w:lang w:val="fr-FR"/>
              </w:rPr>
              <w:t>EN 22854</w:t>
            </w:r>
          </w:p>
        </w:tc>
      </w:tr>
    </w:tbl>
    <w:p w14:paraId="762E539D" w14:textId="77777777" w:rsidR="00BE2CA7" w:rsidRPr="00440C76" w:rsidRDefault="00BE2CA7" w:rsidP="00BE2CA7">
      <w:pPr>
        <w:pStyle w:val="SingleTxtG"/>
        <w:spacing w:before="120" w:after="0" w:line="220" w:lineRule="atLeast"/>
        <w:ind w:left="0" w:right="0" w:firstLine="170"/>
        <w:jc w:val="left"/>
        <w:rPr>
          <w:sz w:val="18"/>
          <w:szCs w:val="18"/>
          <w:lang w:val="fr-FR"/>
        </w:rPr>
      </w:pPr>
      <w:r w:rsidRPr="00440C76">
        <w:rPr>
          <w:i/>
          <w:iCs/>
          <w:sz w:val="18"/>
          <w:szCs w:val="18"/>
          <w:vertAlign w:val="superscript"/>
          <w:lang w:val="fr-FR"/>
        </w:rPr>
        <w:lastRenderedPageBreak/>
        <w:t>1</w:t>
      </w:r>
      <w:r w:rsidRPr="00440C76">
        <w:rPr>
          <w:sz w:val="18"/>
          <w:szCs w:val="18"/>
          <w:lang w:val="fr-FR"/>
        </w:rPr>
        <w:t xml:space="preserve"> </w:t>
      </w:r>
      <w:r>
        <w:rPr>
          <w:sz w:val="18"/>
          <w:szCs w:val="18"/>
          <w:lang w:val="fr-FR"/>
        </w:rPr>
        <w:t xml:space="preserve"> </w:t>
      </w:r>
      <w:r w:rsidRPr="00440C76">
        <w:rPr>
          <w:sz w:val="18"/>
          <w:szCs w:val="18"/>
          <w:lang w:val="fr-FR"/>
        </w:rPr>
        <w:t>Les valeurs mentionnées dans les spécifications sont des « valeurs vraies ». Les valeurs limites ont été déterminées conformément à la norme ISO</w:t>
      </w:r>
      <w:r>
        <w:rPr>
          <w:sz w:val="18"/>
          <w:szCs w:val="18"/>
          <w:lang w:val="fr-FR"/>
        </w:rPr>
        <w:t> </w:t>
      </w:r>
      <w:r w:rsidRPr="00440C76">
        <w:rPr>
          <w:sz w:val="18"/>
          <w:szCs w:val="18"/>
          <w:lang w:val="fr-FR"/>
        </w:rPr>
        <w:t>4259 intitulée « Produits pétroliers − Détermination et application des valeurs de fidélité relatives aux méthodes d</w:t>
      </w:r>
      <w:r>
        <w:rPr>
          <w:sz w:val="18"/>
          <w:szCs w:val="18"/>
          <w:lang w:val="fr-FR"/>
        </w:rPr>
        <w:t>’</w:t>
      </w:r>
      <w:r w:rsidRPr="00440C76">
        <w:rPr>
          <w:sz w:val="18"/>
          <w:szCs w:val="18"/>
          <w:lang w:val="fr-FR"/>
        </w:rPr>
        <w:t>essai ». Pour la fixation d</w:t>
      </w:r>
      <w:r>
        <w:rPr>
          <w:sz w:val="18"/>
          <w:szCs w:val="18"/>
          <w:lang w:val="fr-FR"/>
        </w:rPr>
        <w:t>’</w:t>
      </w:r>
      <w:r w:rsidRPr="00440C76">
        <w:rPr>
          <w:sz w:val="18"/>
          <w:szCs w:val="18"/>
          <w:lang w:val="fr-FR"/>
        </w:rPr>
        <w:t>un minimum, une différence minimale de 2R par rapport à la valeur zéro a été prise en compte ; pour la fixation d</w:t>
      </w:r>
      <w:r>
        <w:rPr>
          <w:sz w:val="18"/>
          <w:szCs w:val="18"/>
          <w:lang w:val="fr-FR"/>
        </w:rPr>
        <w:t>’</w:t>
      </w:r>
      <w:r w:rsidRPr="00440C76">
        <w:rPr>
          <w:sz w:val="18"/>
          <w:szCs w:val="18"/>
          <w:lang w:val="fr-FR"/>
        </w:rPr>
        <w:t>un maximum et d</w:t>
      </w:r>
      <w:r>
        <w:rPr>
          <w:sz w:val="18"/>
          <w:szCs w:val="18"/>
          <w:lang w:val="fr-FR"/>
        </w:rPr>
        <w:t>’</w:t>
      </w:r>
      <w:r w:rsidRPr="00440C76">
        <w:rPr>
          <w:sz w:val="18"/>
          <w:szCs w:val="18"/>
          <w:lang w:val="fr-FR"/>
        </w:rPr>
        <w:t>un minimum, la différence minimale entre ces valeurs est de 4R (R = reproductibilité).</w:t>
      </w:r>
      <w:r w:rsidRPr="00440C76">
        <w:rPr>
          <w:sz w:val="18"/>
          <w:szCs w:val="18"/>
          <w:vertAlign w:val="superscript"/>
          <w:lang w:val="fr-FR"/>
        </w:rPr>
        <w:t xml:space="preserve"> </w:t>
      </w:r>
      <w:r w:rsidRPr="00440C76">
        <w:rPr>
          <w:sz w:val="18"/>
          <w:szCs w:val="18"/>
          <w:lang w:val="fr-FR"/>
        </w:rPr>
        <w:t>Malgré cette mesure, qui est nécessaire pour des raisons techniques, le fabricant de carburant doit viser la valeur zéro lorsque la valeur maximale indiquée est de 2R ou la valeur moyenne lorsqu</w:t>
      </w:r>
      <w:r>
        <w:rPr>
          <w:sz w:val="18"/>
          <w:szCs w:val="18"/>
          <w:lang w:val="fr-FR"/>
        </w:rPr>
        <w:t>’</w:t>
      </w:r>
      <w:r w:rsidRPr="00440C76">
        <w:rPr>
          <w:sz w:val="18"/>
          <w:szCs w:val="18"/>
          <w:lang w:val="fr-FR"/>
        </w:rPr>
        <w:t>il existe un minimum et un maximum. Au cas où il est nécessaire de vérifier le respect des spécifications pour un carburant, les dispositions de la norme ISO 4259 doivent être appliquées.</w:t>
      </w:r>
    </w:p>
    <w:p w14:paraId="6A4AA013" w14:textId="77777777" w:rsidR="00BE2CA7" w:rsidRPr="00440C76" w:rsidRDefault="00BE2CA7" w:rsidP="00BE2CA7">
      <w:pPr>
        <w:pStyle w:val="SingleTxtG"/>
        <w:spacing w:after="0" w:line="220" w:lineRule="atLeast"/>
        <w:ind w:left="0" w:right="0" w:firstLine="170"/>
        <w:jc w:val="left"/>
        <w:rPr>
          <w:sz w:val="18"/>
          <w:szCs w:val="18"/>
          <w:lang w:val="fr-FR"/>
        </w:rPr>
      </w:pPr>
      <w:r w:rsidRPr="00440C76">
        <w:rPr>
          <w:i/>
          <w:sz w:val="18"/>
          <w:szCs w:val="18"/>
          <w:vertAlign w:val="superscript"/>
          <w:lang w:val="fr-FR"/>
        </w:rPr>
        <w:t>2</w:t>
      </w:r>
      <w:r w:rsidRPr="00440C76">
        <w:rPr>
          <w:sz w:val="18"/>
          <w:szCs w:val="18"/>
          <w:lang w:val="fr-FR"/>
        </w:rPr>
        <w:t xml:space="preserve"> </w:t>
      </w:r>
      <w:r>
        <w:rPr>
          <w:sz w:val="18"/>
          <w:szCs w:val="18"/>
          <w:lang w:val="fr-FR"/>
        </w:rPr>
        <w:t xml:space="preserve"> </w:t>
      </w:r>
      <w:r w:rsidRPr="00440C76">
        <w:rPr>
          <w:sz w:val="18"/>
          <w:szCs w:val="18"/>
          <w:lang w:val="fr-FR"/>
        </w:rPr>
        <w:t>Un facteur de correction de 0,2 pour IOR et IOM doit être soustrait pour le calcul du résultat final conformément à la spécification EN 228:2008.</w:t>
      </w:r>
    </w:p>
    <w:p w14:paraId="4BEBE46D" w14:textId="77777777" w:rsidR="00BE2CA7" w:rsidRPr="00440C76" w:rsidRDefault="00BE2CA7" w:rsidP="00BE2CA7">
      <w:pPr>
        <w:pStyle w:val="SingleTxtG"/>
        <w:spacing w:after="0" w:line="220" w:lineRule="atLeast"/>
        <w:ind w:left="0" w:right="0" w:firstLine="170"/>
        <w:jc w:val="left"/>
        <w:rPr>
          <w:strike/>
          <w:sz w:val="18"/>
          <w:szCs w:val="18"/>
          <w:lang w:val="fr-FR"/>
        </w:rPr>
      </w:pPr>
      <w:r w:rsidRPr="00440C76">
        <w:rPr>
          <w:i/>
          <w:sz w:val="18"/>
          <w:szCs w:val="18"/>
          <w:vertAlign w:val="superscript"/>
          <w:lang w:val="fr-FR"/>
        </w:rPr>
        <w:t>3</w:t>
      </w:r>
      <w:r w:rsidRPr="00440C76">
        <w:rPr>
          <w:sz w:val="18"/>
          <w:szCs w:val="18"/>
          <w:lang w:val="fr-FR"/>
        </w:rPr>
        <w:t xml:space="preserve"> </w:t>
      </w:r>
      <w:r>
        <w:rPr>
          <w:sz w:val="18"/>
          <w:szCs w:val="18"/>
          <w:lang w:val="fr-FR"/>
        </w:rPr>
        <w:t xml:space="preserve"> </w:t>
      </w:r>
      <w:r w:rsidRPr="00440C76">
        <w:rPr>
          <w:sz w:val="18"/>
          <w:szCs w:val="18"/>
          <w:lang w:val="fr-FR"/>
        </w:rPr>
        <w:t>Le carburant peut contenir des additifs antioxydants et des inhibiteurs de catalyse métallique normalement utilisés pour stabiliser les flux d</w:t>
      </w:r>
      <w:r>
        <w:rPr>
          <w:sz w:val="18"/>
          <w:szCs w:val="18"/>
          <w:lang w:val="fr-FR"/>
        </w:rPr>
        <w:t>’</w:t>
      </w:r>
      <w:r w:rsidRPr="00440C76">
        <w:rPr>
          <w:sz w:val="18"/>
          <w:szCs w:val="18"/>
          <w:lang w:val="fr-FR"/>
        </w:rPr>
        <w:t>essence en raffinerie ; il ne faut cependant pas y ajouter d</w:t>
      </w:r>
      <w:r>
        <w:rPr>
          <w:sz w:val="18"/>
          <w:szCs w:val="18"/>
          <w:lang w:val="fr-FR"/>
        </w:rPr>
        <w:t>’</w:t>
      </w:r>
      <w:r w:rsidRPr="00440C76">
        <w:rPr>
          <w:sz w:val="18"/>
          <w:szCs w:val="18"/>
          <w:lang w:val="fr-FR"/>
        </w:rPr>
        <w:t>additifs détergents ou dispersants ni d</w:t>
      </w:r>
      <w:r>
        <w:rPr>
          <w:sz w:val="18"/>
          <w:szCs w:val="18"/>
          <w:lang w:val="fr-FR"/>
        </w:rPr>
        <w:t>’</w:t>
      </w:r>
      <w:r w:rsidRPr="00440C76">
        <w:rPr>
          <w:sz w:val="18"/>
          <w:szCs w:val="18"/>
          <w:lang w:val="fr-FR"/>
        </w:rPr>
        <w:t xml:space="preserve">huiles </w:t>
      </w:r>
      <w:proofErr w:type="spellStart"/>
      <w:r w:rsidRPr="00440C76">
        <w:rPr>
          <w:sz w:val="18"/>
          <w:szCs w:val="18"/>
          <w:lang w:val="fr-FR"/>
        </w:rPr>
        <w:t>solvantes</w:t>
      </w:r>
      <w:proofErr w:type="spellEnd"/>
      <w:r w:rsidRPr="00440C76">
        <w:rPr>
          <w:sz w:val="18"/>
          <w:szCs w:val="18"/>
          <w:lang w:val="fr-FR"/>
        </w:rPr>
        <w:t>.</w:t>
      </w:r>
    </w:p>
    <w:p w14:paraId="33A6F62D" w14:textId="77777777" w:rsidR="00BE2CA7" w:rsidRPr="00440C76" w:rsidRDefault="00BE2CA7" w:rsidP="00BE2CA7">
      <w:pPr>
        <w:pStyle w:val="SingleTxtG"/>
        <w:spacing w:after="0" w:line="220" w:lineRule="atLeast"/>
        <w:ind w:left="0" w:right="0" w:firstLine="170"/>
        <w:jc w:val="left"/>
        <w:rPr>
          <w:bCs/>
          <w:sz w:val="18"/>
          <w:szCs w:val="18"/>
          <w:lang w:val="fr-FR"/>
        </w:rPr>
      </w:pPr>
      <w:r w:rsidRPr="00440C76">
        <w:rPr>
          <w:bCs/>
          <w:i/>
          <w:sz w:val="18"/>
          <w:szCs w:val="18"/>
          <w:vertAlign w:val="superscript"/>
          <w:lang w:val="fr-FR"/>
        </w:rPr>
        <w:t>4</w:t>
      </w:r>
      <w:r w:rsidRPr="00440C76">
        <w:rPr>
          <w:bCs/>
          <w:sz w:val="18"/>
          <w:szCs w:val="18"/>
          <w:lang w:val="fr-FR"/>
        </w:rPr>
        <w:t xml:space="preserve"> </w:t>
      </w:r>
      <w:r>
        <w:rPr>
          <w:bCs/>
          <w:sz w:val="18"/>
          <w:szCs w:val="18"/>
          <w:lang w:val="fr-FR"/>
        </w:rPr>
        <w:t xml:space="preserve"> </w:t>
      </w:r>
      <w:r w:rsidRPr="00440C76">
        <w:rPr>
          <w:sz w:val="18"/>
          <w:szCs w:val="18"/>
          <w:lang w:val="fr-FR"/>
        </w:rPr>
        <w:t>Le seul oxygénant pouvant être ajouté délibérément au carburant de référence est l</w:t>
      </w:r>
      <w:r>
        <w:rPr>
          <w:sz w:val="18"/>
          <w:szCs w:val="18"/>
          <w:lang w:val="fr-FR"/>
        </w:rPr>
        <w:t>’</w:t>
      </w:r>
      <w:r w:rsidRPr="00440C76">
        <w:rPr>
          <w:sz w:val="18"/>
          <w:szCs w:val="18"/>
          <w:lang w:val="fr-FR"/>
        </w:rPr>
        <w:t>éthanol conforme à la spécification EN 15376</w:t>
      </w:r>
      <w:r w:rsidRPr="00440C76">
        <w:rPr>
          <w:bCs/>
          <w:sz w:val="18"/>
          <w:szCs w:val="18"/>
          <w:lang w:val="fr-FR"/>
        </w:rPr>
        <w:t>.</w:t>
      </w:r>
    </w:p>
    <w:p w14:paraId="273EE840" w14:textId="77777777" w:rsidR="00BE2CA7" w:rsidRPr="00440C76" w:rsidRDefault="00BE2CA7" w:rsidP="00BE2CA7">
      <w:pPr>
        <w:pStyle w:val="SingleTxtG"/>
        <w:spacing w:after="0" w:line="220" w:lineRule="atLeast"/>
        <w:ind w:left="0" w:right="0" w:firstLine="170"/>
        <w:jc w:val="left"/>
        <w:rPr>
          <w:sz w:val="18"/>
          <w:szCs w:val="18"/>
          <w:lang w:val="fr-FR"/>
        </w:rPr>
      </w:pPr>
      <w:r w:rsidRPr="00440C76">
        <w:rPr>
          <w:i/>
          <w:sz w:val="18"/>
          <w:szCs w:val="18"/>
          <w:vertAlign w:val="superscript"/>
          <w:lang w:val="fr-FR"/>
        </w:rPr>
        <w:t>5</w:t>
      </w:r>
      <w:r w:rsidRPr="00440C76">
        <w:rPr>
          <w:sz w:val="18"/>
          <w:szCs w:val="18"/>
          <w:lang w:val="fr-FR"/>
        </w:rPr>
        <w:t xml:space="preserve"> </w:t>
      </w:r>
      <w:r>
        <w:rPr>
          <w:sz w:val="18"/>
          <w:szCs w:val="18"/>
          <w:lang w:val="fr-FR"/>
        </w:rPr>
        <w:t xml:space="preserve"> </w:t>
      </w:r>
      <w:r w:rsidRPr="00440C76">
        <w:rPr>
          <w:sz w:val="18"/>
          <w:szCs w:val="18"/>
          <w:lang w:val="fr-FR"/>
        </w:rPr>
        <w:t>Il convient de communiquer la teneur en soufre effective du carburant utilisé pour les essais du type</w:t>
      </w:r>
      <w:r>
        <w:rPr>
          <w:sz w:val="18"/>
          <w:szCs w:val="18"/>
          <w:lang w:val="fr-FR"/>
        </w:rPr>
        <w:t> </w:t>
      </w:r>
      <w:r w:rsidRPr="00440C76">
        <w:rPr>
          <w:sz w:val="18"/>
          <w:szCs w:val="18"/>
          <w:lang w:val="fr-FR"/>
        </w:rPr>
        <w:t>6.</w:t>
      </w:r>
    </w:p>
    <w:p w14:paraId="3360B92A" w14:textId="77777777" w:rsidR="00BE2CA7" w:rsidRPr="00440C76" w:rsidRDefault="00BE2CA7" w:rsidP="00BE2CA7">
      <w:pPr>
        <w:pStyle w:val="SingleTxtG"/>
        <w:spacing w:after="0" w:line="220" w:lineRule="atLeast"/>
        <w:ind w:left="0" w:right="0" w:firstLine="170"/>
        <w:jc w:val="left"/>
        <w:rPr>
          <w:sz w:val="18"/>
          <w:szCs w:val="18"/>
          <w:lang w:val="fr-FR"/>
        </w:rPr>
      </w:pPr>
      <w:r w:rsidRPr="00440C76">
        <w:rPr>
          <w:i/>
          <w:sz w:val="18"/>
          <w:szCs w:val="18"/>
          <w:vertAlign w:val="superscript"/>
          <w:lang w:val="fr-FR"/>
        </w:rPr>
        <w:t>6</w:t>
      </w:r>
      <w:r w:rsidRPr="00440C76">
        <w:rPr>
          <w:sz w:val="18"/>
          <w:szCs w:val="18"/>
          <w:lang w:val="fr-FR"/>
        </w:rPr>
        <w:t xml:space="preserve"> </w:t>
      </w:r>
      <w:r>
        <w:rPr>
          <w:sz w:val="18"/>
          <w:szCs w:val="18"/>
          <w:lang w:val="fr-FR"/>
        </w:rPr>
        <w:t xml:space="preserve"> </w:t>
      </w:r>
      <w:r w:rsidRPr="00440C76">
        <w:rPr>
          <w:sz w:val="18"/>
          <w:szCs w:val="18"/>
          <w:lang w:val="fr-FR"/>
        </w:rPr>
        <w:t>Aucun composant contenant du phosphore, du fer, du manganèse ou du plomb ne doit être ajouté délibérément au carburant de référence.</w:t>
      </w:r>
    </w:p>
    <w:p w14:paraId="20AC58E6" w14:textId="77777777" w:rsidR="00BE2CA7" w:rsidRPr="00440C76" w:rsidRDefault="00BE2CA7" w:rsidP="00BE2CA7">
      <w:pPr>
        <w:pStyle w:val="SingleTxtG"/>
        <w:rPr>
          <w:lang w:val="fr-FR"/>
        </w:rPr>
      </w:pPr>
      <w:r w:rsidRPr="00440C76">
        <w:rPr>
          <w:lang w:val="fr-FR"/>
        </w:rPr>
        <w:br w:type="page"/>
      </w:r>
    </w:p>
    <w:p w14:paraId="0EDB44D4" w14:textId="77777777" w:rsidR="00BE2CA7" w:rsidRPr="00440C76" w:rsidRDefault="00BE2CA7" w:rsidP="00BE2CA7">
      <w:pPr>
        <w:pStyle w:val="H23G"/>
        <w:rPr>
          <w:lang w:val="fr-FR"/>
        </w:rPr>
      </w:pPr>
      <w:r w:rsidRPr="00440C76">
        <w:rPr>
          <w:lang w:val="fr-FR"/>
        </w:rPr>
        <w:lastRenderedPageBreak/>
        <w:t>Type : Éthanol (E75)</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640"/>
        <w:gridCol w:w="1122"/>
        <w:gridCol w:w="1317"/>
        <w:gridCol w:w="1317"/>
        <w:gridCol w:w="2241"/>
      </w:tblGrid>
      <w:tr w:rsidR="00BE2CA7" w:rsidRPr="00440C76" w14:paraId="6F8D2237" w14:textId="77777777" w:rsidTr="002B0590">
        <w:trPr>
          <w:tblHeader/>
          <w:jc w:val="center"/>
        </w:trPr>
        <w:tc>
          <w:tcPr>
            <w:tcW w:w="3642" w:type="dxa"/>
            <w:vMerge w:val="restart"/>
            <w:vAlign w:val="bottom"/>
          </w:tcPr>
          <w:p w14:paraId="0CEC2141" w14:textId="77777777" w:rsidR="00BE2CA7" w:rsidRPr="00440C76" w:rsidRDefault="00BE2CA7" w:rsidP="002B0590">
            <w:pPr>
              <w:spacing w:before="60" w:after="60" w:line="200" w:lineRule="exact"/>
              <w:ind w:left="57" w:right="57"/>
              <w:rPr>
                <w:i/>
                <w:sz w:val="16"/>
                <w:szCs w:val="16"/>
                <w:lang w:val="fr-FR"/>
              </w:rPr>
            </w:pPr>
            <w:r w:rsidRPr="00440C76">
              <w:rPr>
                <w:bCs/>
                <w:i/>
                <w:sz w:val="16"/>
                <w:szCs w:val="16"/>
                <w:lang w:val="fr-FR"/>
              </w:rPr>
              <w:t>Paramètre</w:t>
            </w:r>
          </w:p>
        </w:tc>
        <w:tc>
          <w:tcPr>
            <w:tcW w:w="1122" w:type="dxa"/>
            <w:vMerge w:val="restart"/>
            <w:shd w:val="clear" w:color="auto" w:fill="FFFFFF"/>
            <w:vAlign w:val="bottom"/>
          </w:tcPr>
          <w:p w14:paraId="59C482D8" w14:textId="77777777" w:rsidR="00BE2CA7" w:rsidRPr="00440C76" w:rsidRDefault="00BE2CA7" w:rsidP="002B0590">
            <w:pPr>
              <w:spacing w:before="60" w:after="60" w:line="200" w:lineRule="exact"/>
              <w:ind w:left="57" w:right="57"/>
              <w:jc w:val="center"/>
              <w:rPr>
                <w:bCs/>
                <w:i/>
                <w:sz w:val="16"/>
                <w:szCs w:val="16"/>
                <w:lang w:val="fr-FR"/>
              </w:rPr>
            </w:pPr>
            <w:r w:rsidRPr="00440C76">
              <w:rPr>
                <w:bCs/>
                <w:i/>
                <w:sz w:val="16"/>
                <w:szCs w:val="16"/>
                <w:lang w:val="fr-FR"/>
              </w:rPr>
              <w:t>Unité</w:t>
            </w:r>
          </w:p>
        </w:tc>
        <w:tc>
          <w:tcPr>
            <w:tcW w:w="2634" w:type="dxa"/>
            <w:gridSpan w:val="2"/>
            <w:shd w:val="clear" w:color="auto" w:fill="FFFFFF"/>
            <w:vAlign w:val="bottom"/>
          </w:tcPr>
          <w:p w14:paraId="62DC7634" w14:textId="77777777" w:rsidR="00BE2CA7" w:rsidRPr="00440C76" w:rsidRDefault="00BE2CA7" w:rsidP="002B0590">
            <w:pPr>
              <w:spacing w:before="60" w:after="60" w:line="200" w:lineRule="exact"/>
              <w:ind w:left="57" w:right="57"/>
              <w:jc w:val="center"/>
              <w:rPr>
                <w:i/>
                <w:sz w:val="16"/>
                <w:szCs w:val="16"/>
                <w:lang w:val="fr-FR"/>
              </w:rPr>
            </w:pPr>
            <w:r w:rsidRPr="00440C76">
              <w:rPr>
                <w:i/>
                <w:sz w:val="16"/>
                <w:szCs w:val="16"/>
                <w:lang w:val="fr-FR"/>
              </w:rPr>
              <w:t>Limites</w:t>
            </w:r>
            <w:r w:rsidRPr="00440C76">
              <w:rPr>
                <w:sz w:val="16"/>
                <w:szCs w:val="16"/>
                <w:vertAlign w:val="superscript"/>
                <w:lang w:val="fr-FR"/>
              </w:rPr>
              <w:t>1</w:t>
            </w:r>
          </w:p>
        </w:tc>
        <w:tc>
          <w:tcPr>
            <w:tcW w:w="2241" w:type="dxa"/>
            <w:vMerge w:val="restart"/>
            <w:shd w:val="clear" w:color="auto" w:fill="FFFFFF"/>
            <w:vAlign w:val="bottom"/>
          </w:tcPr>
          <w:p w14:paraId="3EAF8BA6" w14:textId="77777777" w:rsidR="00BE2CA7" w:rsidRPr="00440C76" w:rsidRDefault="00BE2CA7" w:rsidP="002B0590">
            <w:pPr>
              <w:spacing w:before="40" w:after="40" w:line="200" w:lineRule="atLeast"/>
              <w:ind w:left="57" w:right="57"/>
              <w:rPr>
                <w:i/>
                <w:sz w:val="16"/>
                <w:szCs w:val="16"/>
                <w:lang w:val="fr-FR"/>
              </w:rPr>
            </w:pPr>
            <w:r w:rsidRPr="00440C76">
              <w:rPr>
                <w:bCs/>
                <w:i/>
                <w:sz w:val="16"/>
                <w:szCs w:val="16"/>
                <w:lang w:val="fr-FR"/>
              </w:rPr>
              <w:t>Méthode d</w:t>
            </w:r>
            <w:r>
              <w:rPr>
                <w:bCs/>
                <w:i/>
                <w:sz w:val="16"/>
                <w:szCs w:val="16"/>
                <w:lang w:val="fr-FR"/>
              </w:rPr>
              <w:t>’</w:t>
            </w:r>
            <w:r w:rsidRPr="00440C76">
              <w:rPr>
                <w:bCs/>
                <w:i/>
                <w:sz w:val="16"/>
                <w:szCs w:val="16"/>
                <w:lang w:val="fr-FR"/>
              </w:rPr>
              <w:t>essai</w:t>
            </w:r>
            <w:r w:rsidRPr="00440C76">
              <w:rPr>
                <w:bCs/>
                <w:iCs/>
                <w:sz w:val="16"/>
                <w:szCs w:val="16"/>
                <w:vertAlign w:val="superscript"/>
                <w:lang w:val="fr-FR"/>
              </w:rPr>
              <w:t>2</w:t>
            </w:r>
          </w:p>
        </w:tc>
      </w:tr>
      <w:tr w:rsidR="00BE2CA7" w:rsidRPr="00440C76" w14:paraId="5C76FD98" w14:textId="77777777" w:rsidTr="002B0590">
        <w:trPr>
          <w:tblHeader/>
          <w:jc w:val="center"/>
        </w:trPr>
        <w:tc>
          <w:tcPr>
            <w:tcW w:w="3642" w:type="dxa"/>
            <w:vMerge/>
            <w:shd w:val="clear" w:color="auto" w:fill="FFFFFF"/>
            <w:vAlign w:val="center"/>
          </w:tcPr>
          <w:p w14:paraId="146679B1" w14:textId="77777777" w:rsidR="00BE2CA7" w:rsidRPr="00440C76" w:rsidRDefault="00BE2CA7" w:rsidP="002B0590">
            <w:pPr>
              <w:spacing w:before="60" w:after="60" w:line="200" w:lineRule="exact"/>
              <w:ind w:left="57" w:right="57"/>
              <w:jc w:val="center"/>
              <w:rPr>
                <w:i/>
                <w:sz w:val="16"/>
                <w:szCs w:val="16"/>
                <w:lang w:val="fr-FR"/>
              </w:rPr>
            </w:pPr>
          </w:p>
        </w:tc>
        <w:tc>
          <w:tcPr>
            <w:tcW w:w="1122" w:type="dxa"/>
            <w:vMerge/>
            <w:shd w:val="clear" w:color="auto" w:fill="FFFFFF"/>
            <w:vAlign w:val="center"/>
          </w:tcPr>
          <w:p w14:paraId="3A572962" w14:textId="77777777" w:rsidR="00BE2CA7" w:rsidRPr="00440C76" w:rsidRDefault="00BE2CA7" w:rsidP="002B0590">
            <w:pPr>
              <w:spacing w:before="60" w:after="60" w:line="200" w:lineRule="exact"/>
              <w:ind w:left="57" w:right="57" w:hanging="1134"/>
              <w:jc w:val="center"/>
              <w:rPr>
                <w:bCs/>
                <w:i/>
                <w:sz w:val="16"/>
                <w:szCs w:val="16"/>
                <w:lang w:val="fr-FR"/>
              </w:rPr>
            </w:pPr>
          </w:p>
        </w:tc>
        <w:tc>
          <w:tcPr>
            <w:tcW w:w="1317" w:type="dxa"/>
            <w:shd w:val="clear" w:color="auto" w:fill="FFFFFF"/>
            <w:vAlign w:val="center"/>
          </w:tcPr>
          <w:p w14:paraId="3CDB6347" w14:textId="77777777" w:rsidR="00BE2CA7" w:rsidRPr="00440C76" w:rsidRDefault="00BE2CA7" w:rsidP="002B0590">
            <w:pPr>
              <w:spacing w:before="60" w:after="60" w:line="200" w:lineRule="exact"/>
              <w:ind w:left="57" w:right="57"/>
              <w:jc w:val="center"/>
              <w:rPr>
                <w:bCs/>
                <w:i/>
                <w:sz w:val="16"/>
                <w:szCs w:val="16"/>
                <w:lang w:val="fr-FR"/>
              </w:rPr>
            </w:pPr>
            <w:r w:rsidRPr="00440C76">
              <w:rPr>
                <w:bCs/>
                <w:i/>
                <w:sz w:val="16"/>
                <w:szCs w:val="16"/>
                <w:lang w:val="fr-FR"/>
              </w:rPr>
              <w:t>Minimale</w:t>
            </w:r>
          </w:p>
        </w:tc>
        <w:tc>
          <w:tcPr>
            <w:tcW w:w="1317" w:type="dxa"/>
            <w:shd w:val="clear" w:color="auto" w:fill="FFFFFF"/>
            <w:vAlign w:val="center"/>
          </w:tcPr>
          <w:p w14:paraId="477C69FE" w14:textId="77777777" w:rsidR="00BE2CA7" w:rsidRPr="00440C76" w:rsidRDefault="00BE2CA7" w:rsidP="002B0590">
            <w:pPr>
              <w:spacing w:before="60" w:after="60" w:line="200" w:lineRule="exact"/>
              <w:ind w:left="57" w:right="57"/>
              <w:jc w:val="center"/>
              <w:rPr>
                <w:i/>
                <w:sz w:val="16"/>
                <w:szCs w:val="16"/>
                <w:lang w:val="fr-FR"/>
              </w:rPr>
            </w:pPr>
            <w:r w:rsidRPr="00440C76">
              <w:rPr>
                <w:bCs/>
                <w:i/>
                <w:sz w:val="16"/>
                <w:szCs w:val="16"/>
                <w:lang w:val="fr-FR"/>
              </w:rPr>
              <w:t>Maximale</w:t>
            </w:r>
          </w:p>
        </w:tc>
        <w:tc>
          <w:tcPr>
            <w:tcW w:w="2241" w:type="dxa"/>
            <w:vMerge/>
            <w:shd w:val="clear" w:color="auto" w:fill="FFFFFF"/>
            <w:vAlign w:val="center"/>
          </w:tcPr>
          <w:p w14:paraId="0AFB0EE4" w14:textId="77777777" w:rsidR="00BE2CA7" w:rsidRPr="00440C76" w:rsidRDefault="00BE2CA7" w:rsidP="002B0590">
            <w:pPr>
              <w:spacing w:before="60" w:after="60" w:line="200" w:lineRule="exact"/>
              <w:ind w:left="57" w:right="57" w:hanging="1134"/>
              <w:jc w:val="center"/>
              <w:rPr>
                <w:sz w:val="16"/>
                <w:szCs w:val="16"/>
                <w:lang w:val="fr-FR"/>
              </w:rPr>
            </w:pPr>
          </w:p>
        </w:tc>
      </w:tr>
      <w:tr w:rsidR="00BE2CA7" w:rsidRPr="00440C76" w14:paraId="0C835705" w14:textId="77777777" w:rsidTr="002B0590">
        <w:trPr>
          <w:jc w:val="center"/>
        </w:trPr>
        <w:tc>
          <w:tcPr>
            <w:tcW w:w="3642" w:type="dxa"/>
            <w:shd w:val="clear" w:color="auto" w:fill="FFFFFF"/>
          </w:tcPr>
          <w:p w14:paraId="5BEB95F8" w14:textId="77777777" w:rsidR="00BE2CA7" w:rsidRPr="00440C76" w:rsidRDefault="00BE2CA7" w:rsidP="002B0590">
            <w:pPr>
              <w:spacing w:before="60" w:after="60" w:line="220" w:lineRule="atLeast"/>
              <w:ind w:left="57" w:right="57"/>
              <w:rPr>
                <w:sz w:val="18"/>
                <w:szCs w:val="18"/>
                <w:lang w:val="fr-FR"/>
              </w:rPr>
            </w:pPr>
            <w:r w:rsidRPr="00440C76">
              <w:rPr>
                <w:sz w:val="18"/>
                <w:szCs w:val="18"/>
                <w:lang w:val="fr-FR"/>
              </w:rPr>
              <w:t>Indice d</w:t>
            </w:r>
            <w:r>
              <w:rPr>
                <w:sz w:val="18"/>
                <w:szCs w:val="18"/>
                <w:lang w:val="fr-FR"/>
              </w:rPr>
              <w:t>’</w:t>
            </w:r>
            <w:r w:rsidRPr="00440C76">
              <w:rPr>
                <w:sz w:val="18"/>
                <w:szCs w:val="18"/>
                <w:lang w:val="fr-FR"/>
              </w:rPr>
              <w:t>octane recherche (IOR)</w:t>
            </w:r>
          </w:p>
        </w:tc>
        <w:tc>
          <w:tcPr>
            <w:tcW w:w="1122" w:type="dxa"/>
            <w:shd w:val="clear" w:color="auto" w:fill="FFFFFF"/>
          </w:tcPr>
          <w:p w14:paraId="77E53E8E" w14:textId="77777777" w:rsidR="00BE2CA7" w:rsidRPr="00440C76" w:rsidRDefault="00BE2CA7" w:rsidP="002B0590">
            <w:pPr>
              <w:spacing w:before="60" w:after="60" w:line="220" w:lineRule="atLeast"/>
              <w:ind w:left="57" w:right="57"/>
              <w:jc w:val="center"/>
              <w:rPr>
                <w:bCs/>
                <w:sz w:val="18"/>
                <w:szCs w:val="18"/>
                <w:lang w:val="fr-FR"/>
              </w:rPr>
            </w:pPr>
          </w:p>
        </w:tc>
        <w:tc>
          <w:tcPr>
            <w:tcW w:w="1317" w:type="dxa"/>
            <w:shd w:val="clear" w:color="auto" w:fill="FFFFFF"/>
          </w:tcPr>
          <w:p w14:paraId="309DCA45" w14:textId="77777777" w:rsidR="00BE2CA7" w:rsidRPr="00440C76" w:rsidRDefault="00BE2CA7" w:rsidP="002B0590">
            <w:pPr>
              <w:spacing w:before="60" w:after="60" w:line="220" w:lineRule="atLeast"/>
              <w:ind w:left="57" w:right="57"/>
              <w:jc w:val="center"/>
              <w:rPr>
                <w:bCs/>
                <w:sz w:val="18"/>
                <w:szCs w:val="18"/>
                <w:lang w:val="fr-FR"/>
              </w:rPr>
            </w:pPr>
            <w:r w:rsidRPr="00440C76">
              <w:rPr>
                <w:sz w:val="18"/>
                <w:szCs w:val="18"/>
                <w:lang w:val="fr-FR"/>
              </w:rPr>
              <w:t>95</w:t>
            </w:r>
          </w:p>
        </w:tc>
        <w:tc>
          <w:tcPr>
            <w:tcW w:w="1317" w:type="dxa"/>
            <w:shd w:val="clear" w:color="auto" w:fill="FFFFFF"/>
          </w:tcPr>
          <w:p w14:paraId="30657622" w14:textId="77777777" w:rsidR="00BE2CA7" w:rsidRPr="00440C76" w:rsidRDefault="00BE2CA7" w:rsidP="002B0590">
            <w:pPr>
              <w:spacing w:before="60" w:after="60" w:line="220" w:lineRule="atLeast"/>
              <w:ind w:left="57" w:right="57"/>
              <w:jc w:val="center"/>
              <w:rPr>
                <w:sz w:val="18"/>
                <w:szCs w:val="18"/>
                <w:lang w:val="fr-FR"/>
              </w:rPr>
            </w:pPr>
            <w:r w:rsidRPr="00440C76">
              <w:rPr>
                <w:sz w:val="18"/>
                <w:szCs w:val="18"/>
                <w:lang w:val="fr-FR"/>
              </w:rPr>
              <w:t>-</w:t>
            </w:r>
          </w:p>
        </w:tc>
        <w:tc>
          <w:tcPr>
            <w:tcW w:w="2241" w:type="dxa"/>
            <w:shd w:val="clear" w:color="auto" w:fill="FFFFFF"/>
          </w:tcPr>
          <w:p w14:paraId="3F71D19D" w14:textId="77777777" w:rsidR="00BE2CA7" w:rsidRPr="00440C76" w:rsidRDefault="00BE2CA7" w:rsidP="002B0590">
            <w:pPr>
              <w:spacing w:before="60" w:after="60" w:line="220" w:lineRule="atLeast"/>
              <w:ind w:left="57" w:right="57"/>
              <w:rPr>
                <w:sz w:val="18"/>
                <w:szCs w:val="18"/>
                <w:lang w:val="fr-FR"/>
              </w:rPr>
            </w:pPr>
            <w:r w:rsidRPr="00440C76">
              <w:rPr>
                <w:sz w:val="18"/>
                <w:szCs w:val="18"/>
                <w:lang w:val="fr-FR"/>
              </w:rPr>
              <w:t>EN ISO</w:t>
            </w:r>
            <w:r>
              <w:rPr>
                <w:sz w:val="18"/>
                <w:szCs w:val="18"/>
                <w:lang w:val="fr-FR"/>
              </w:rPr>
              <w:t> </w:t>
            </w:r>
            <w:r w:rsidRPr="00440C76">
              <w:rPr>
                <w:sz w:val="18"/>
                <w:szCs w:val="18"/>
                <w:lang w:val="fr-FR"/>
              </w:rPr>
              <w:t>5164</w:t>
            </w:r>
          </w:p>
        </w:tc>
      </w:tr>
      <w:tr w:rsidR="00BE2CA7" w:rsidRPr="00440C76" w14:paraId="313215D6" w14:textId="77777777" w:rsidTr="002B0590">
        <w:trPr>
          <w:jc w:val="center"/>
        </w:trPr>
        <w:tc>
          <w:tcPr>
            <w:tcW w:w="3642" w:type="dxa"/>
            <w:shd w:val="clear" w:color="auto" w:fill="FFFFFF"/>
          </w:tcPr>
          <w:p w14:paraId="25AE0C45" w14:textId="77777777" w:rsidR="00BE2CA7" w:rsidRPr="00440C76" w:rsidRDefault="00BE2CA7" w:rsidP="002B0590">
            <w:pPr>
              <w:spacing w:before="60" w:after="60" w:line="220" w:lineRule="atLeast"/>
              <w:ind w:left="57" w:right="57"/>
              <w:rPr>
                <w:sz w:val="18"/>
                <w:szCs w:val="18"/>
                <w:lang w:val="fr-FR"/>
              </w:rPr>
            </w:pPr>
            <w:r w:rsidRPr="00440C76">
              <w:rPr>
                <w:sz w:val="18"/>
                <w:szCs w:val="18"/>
                <w:lang w:val="fr-FR"/>
              </w:rPr>
              <w:t>Indice d</w:t>
            </w:r>
            <w:r>
              <w:rPr>
                <w:sz w:val="18"/>
                <w:szCs w:val="18"/>
                <w:lang w:val="fr-FR"/>
              </w:rPr>
              <w:t>’</w:t>
            </w:r>
            <w:r w:rsidRPr="00440C76">
              <w:rPr>
                <w:sz w:val="18"/>
                <w:szCs w:val="18"/>
                <w:lang w:val="fr-FR"/>
              </w:rPr>
              <w:t>octane moteur (IOM)</w:t>
            </w:r>
          </w:p>
        </w:tc>
        <w:tc>
          <w:tcPr>
            <w:tcW w:w="1122" w:type="dxa"/>
            <w:shd w:val="clear" w:color="auto" w:fill="FFFFFF"/>
          </w:tcPr>
          <w:p w14:paraId="21198869" w14:textId="77777777" w:rsidR="00BE2CA7" w:rsidRPr="00440C76" w:rsidRDefault="00BE2CA7" w:rsidP="002B0590">
            <w:pPr>
              <w:spacing w:before="60" w:after="60" w:line="220" w:lineRule="atLeast"/>
              <w:ind w:left="57" w:right="57"/>
              <w:jc w:val="center"/>
              <w:rPr>
                <w:sz w:val="18"/>
                <w:szCs w:val="18"/>
                <w:lang w:val="fr-FR"/>
              </w:rPr>
            </w:pPr>
          </w:p>
        </w:tc>
        <w:tc>
          <w:tcPr>
            <w:tcW w:w="1317" w:type="dxa"/>
            <w:shd w:val="clear" w:color="auto" w:fill="FFFFFF"/>
          </w:tcPr>
          <w:p w14:paraId="6B92F9B6" w14:textId="77777777" w:rsidR="00BE2CA7" w:rsidRPr="00440C76" w:rsidRDefault="00BE2CA7" w:rsidP="002B0590">
            <w:pPr>
              <w:spacing w:before="60" w:after="60" w:line="220" w:lineRule="atLeast"/>
              <w:ind w:left="57" w:right="57"/>
              <w:jc w:val="center"/>
              <w:rPr>
                <w:bCs/>
                <w:sz w:val="18"/>
                <w:szCs w:val="18"/>
                <w:lang w:val="fr-FR"/>
              </w:rPr>
            </w:pPr>
            <w:r w:rsidRPr="00440C76">
              <w:rPr>
                <w:sz w:val="18"/>
                <w:szCs w:val="18"/>
                <w:lang w:val="fr-FR"/>
              </w:rPr>
              <w:t>85</w:t>
            </w:r>
          </w:p>
        </w:tc>
        <w:tc>
          <w:tcPr>
            <w:tcW w:w="1317" w:type="dxa"/>
            <w:shd w:val="clear" w:color="auto" w:fill="FFFFFF"/>
          </w:tcPr>
          <w:p w14:paraId="0082A598" w14:textId="77777777" w:rsidR="00BE2CA7" w:rsidRPr="00440C76" w:rsidRDefault="00BE2CA7" w:rsidP="002B0590">
            <w:pPr>
              <w:spacing w:before="60" w:after="60" w:line="220" w:lineRule="atLeast"/>
              <w:ind w:left="57" w:right="57"/>
              <w:jc w:val="center"/>
              <w:rPr>
                <w:sz w:val="18"/>
                <w:szCs w:val="18"/>
                <w:lang w:val="fr-FR"/>
              </w:rPr>
            </w:pPr>
            <w:r w:rsidRPr="00440C76">
              <w:rPr>
                <w:sz w:val="18"/>
                <w:szCs w:val="18"/>
                <w:lang w:val="fr-FR"/>
              </w:rPr>
              <w:t>-</w:t>
            </w:r>
          </w:p>
        </w:tc>
        <w:tc>
          <w:tcPr>
            <w:tcW w:w="2241" w:type="dxa"/>
            <w:shd w:val="clear" w:color="auto" w:fill="FFFFFF"/>
          </w:tcPr>
          <w:p w14:paraId="2F17700B" w14:textId="77777777" w:rsidR="00BE2CA7" w:rsidRPr="00440C76" w:rsidRDefault="00BE2CA7" w:rsidP="002B0590">
            <w:pPr>
              <w:spacing w:before="60" w:after="60" w:line="220" w:lineRule="atLeast"/>
              <w:ind w:left="57" w:right="57"/>
              <w:rPr>
                <w:sz w:val="18"/>
                <w:szCs w:val="18"/>
                <w:lang w:val="fr-FR"/>
              </w:rPr>
            </w:pPr>
            <w:r w:rsidRPr="00440C76">
              <w:rPr>
                <w:sz w:val="18"/>
                <w:szCs w:val="18"/>
                <w:lang w:val="fr-FR"/>
              </w:rPr>
              <w:t>EN ISO</w:t>
            </w:r>
            <w:r>
              <w:rPr>
                <w:sz w:val="18"/>
                <w:szCs w:val="18"/>
                <w:lang w:val="fr-FR"/>
              </w:rPr>
              <w:t> </w:t>
            </w:r>
            <w:r w:rsidRPr="00440C76">
              <w:rPr>
                <w:sz w:val="18"/>
                <w:szCs w:val="18"/>
                <w:lang w:val="fr-FR"/>
              </w:rPr>
              <w:t>5163</w:t>
            </w:r>
          </w:p>
        </w:tc>
      </w:tr>
      <w:tr w:rsidR="00BE2CA7" w:rsidRPr="00440C76" w14:paraId="3D18A3C8" w14:textId="77777777" w:rsidTr="002B0590">
        <w:trPr>
          <w:jc w:val="center"/>
        </w:trPr>
        <w:tc>
          <w:tcPr>
            <w:tcW w:w="3642" w:type="dxa"/>
            <w:shd w:val="clear" w:color="auto" w:fill="FFFFFF"/>
          </w:tcPr>
          <w:p w14:paraId="697C8ECA" w14:textId="77777777" w:rsidR="00BE2CA7" w:rsidRPr="00440C76" w:rsidRDefault="00BE2CA7" w:rsidP="002B0590">
            <w:pPr>
              <w:spacing w:before="60" w:after="60" w:line="220" w:lineRule="atLeast"/>
              <w:ind w:left="57" w:right="57"/>
              <w:rPr>
                <w:sz w:val="18"/>
                <w:szCs w:val="18"/>
                <w:lang w:val="fr-FR"/>
              </w:rPr>
            </w:pPr>
            <w:r w:rsidRPr="00440C76">
              <w:rPr>
                <w:sz w:val="18"/>
                <w:szCs w:val="18"/>
                <w:lang w:val="fr-FR"/>
              </w:rPr>
              <w:t>Densité à 15</w:t>
            </w:r>
            <w:r>
              <w:rPr>
                <w:sz w:val="18"/>
                <w:szCs w:val="18"/>
                <w:lang w:val="fr-FR"/>
              </w:rPr>
              <w:t> </w:t>
            </w:r>
            <w:r w:rsidRPr="00440C76">
              <w:rPr>
                <w:sz w:val="18"/>
                <w:szCs w:val="18"/>
                <w:lang w:val="fr-FR"/>
              </w:rPr>
              <w:t>°C</w:t>
            </w:r>
          </w:p>
        </w:tc>
        <w:tc>
          <w:tcPr>
            <w:tcW w:w="1122" w:type="dxa"/>
            <w:shd w:val="clear" w:color="auto" w:fill="FFFFFF"/>
          </w:tcPr>
          <w:p w14:paraId="6A7ECDFC" w14:textId="77777777" w:rsidR="00BE2CA7" w:rsidRPr="00440C76" w:rsidRDefault="00BE2CA7" w:rsidP="002B0590">
            <w:pPr>
              <w:spacing w:before="60" w:after="60" w:line="220" w:lineRule="atLeast"/>
              <w:ind w:left="57" w:right="57"/>
              <w:jc w:val="center"/>
              <w:rPr>
                <w:sz w:val="18"/>
                <w:szCs w:val="18"/>
                <w:lang w:val="fr-FR"/>
              </w:rPr>
            </w:pPr>
            <w:r w:rsidRPr="00440C76">
              <w:rPr>
                <w:sz w:val="18"/>
                <w:szCs w:val="18"/>
                <w:lang w:val="fr-FR"/>
              </w:rPr>
              <w:t>kg/m</w:t>
            </w:r>
            <w:r w:rsidRPr="00440C76">
              <w:rPr>
                <w:sz w:val="18"/>
                <w:szCs w:val="18"/>
                <w:vertAlign w:val="superscript"/>
                <w:lang w:val="fr-FR"/>
              </w:rPr>
              <w:t>3</w:t>
            </w:r>
          </w:p>
        </w:tc>
        <w:tc>
          <w:tcPr>
            <w:tcW w:w="2634" w:type="dxa"/>
            <w:gridSpan w:val="2"/>
            <w:shd w:val="clear" w:color="auto" w:fill="FFFFFF"/>
          </w:tcPr>
          <w:p w14:paraId="1DB1229A" w14:textId="77777777" w:rsidR="00BE2CA7" w:rsidRPr="00440C76" w:rsidRDefault="00BE2CA7" w:rsidP="002B0590">
            <w:pPr>
              <w:spacing w:before="60" w:after="60" w:line="220" w:lineRule="atLeast"/>
              <w:ind w:left="57" w:right="57"/>
              <w:jc w:val="center"/>
              <w:rPr>
                <w:sz w:val="18"/>
                <w:szCs w:val="18"/>
                <w:lang w:val="fr-FR"/>
              </w:rPr>
            </w:pPr>
            <w:r w:rsidRPr="00440C76">
              <w:rPr>
                <w:sz w:val="18"/>
                <w:szCs w:val="18"/>
                <w:lang w:val="fr-FR"/>
              </w:rPr>
              <w:t>Valeur déclarée</w:t>
            </w:r>
          </w:p>
        </w:tc>
        <w:tc>
          <w:tcPr>
            <w:tcW w:w="2241" w:type="dxa"/>
            <w:shd w:val="clear" w:color="auto" w:fill="FFFFFF"/>
          </w:tcPr>
          <w:p w14:paraId="2F89308F" w14:textId="77777777" w:rsidR="00BE2CA7" w:rsidRPr="00440C76" w:rsidRDefault="00BE2CA7" w:rsidP="002B0590">
            <w:pPr>
              <w:spacing w:before="60" w:after="60" w:line="220" w:lineRule="atLeast"/>
              <w:ind w:left="57" w:right="57"/>
              <w:rPr>
                <w:sz w:val="18"/>
                <w:szCs w:val="18"/>
                <w:lang w:val="fr-FR"/>
              </w:rPr>
            </w:pPr>
            <w:r w:rsidRPr="00440C76">
              <w:rPr>
                <w:sz w:val="18"/>
                <w:szCs w:val="18"/>
                <w:lang w:val="fr-FR"/>
              </w:rPr>
              <w:t>EN ISO</w:t>
            </w:r>
            <w:r>
              <w:rPr>
                <w:sz w:val="18"/>
                <w:szCs w:val="18"/>
                <w:lang w:val="fr-FR"/>
              </w:rPr>
              <w:t> </w:t>
            </w:r>
            <w:r w:rsidRPr="00440C76">
              <w:rPr>
                <w:sz w:val="18"/>
                <w:szCs w:val="18"/>
                <w:lang w:val="fr-FR"/>
              </w:rPr>
              <w:t>12185</w:t>
            </w:r>
          </w:p>
        </w:tc>
      </w:tr>
      <w:tr w:rsidR="00BE2CA7" w:rsidRPr="00440C76" w14:paraId="54775223" w14:textId="77777777" w:rsidTr="002B0590">
        <w:trPr>
          <w:jc w:val="center"/>
        </w:trPr>
        <w:tc>
          <w:tcPr>
            <w:tcW w:w="3642" w:type="dxa"/>
            <w:shd w:val="clear" w:color="auto" w:fill="FFFFFF"/>
          </w:tcPr>
          <w:p w14:paraId="75501495" w14:textId="77777777" w:rsidR="00BE2CA7" w:rsidRPr="00440C76" w:rsidRDefault="00BE2CA7" w:rsidP="002B0590">
            <w:pPr>
              <w:spacing w:before="60" w:after="60" w:line="220" w:lineRule="atLeast"/>
              <w:ind w:left="57" w:right="57"/>
              <w:rPr>
                <w:sz w:val="18"/>
                <w:szCs w:val="18"/>
                <w:lang w:val="fr-FR"/>
              </w:rPr>
            </w:pPr>
            <w:r w:rsidRPr="00440C76">
              <w:rPr>
                <w:sz w:val="18"/>
                <w:szCs w:val="18"/>
                <w:lang w:val="fr-FR"/>
              </w:rPr>
              <w:t>Pression de vapeur Reid</w:t>
            </w:r>
          </w:p>
        </w:tc>
        <w:tc>
          <w:tcPr>
            <w:tcW w:w="1122" w:type="dxa"/>
            <w:shd w:val="clear" w:color="auto" w:fill="FFFFFF"/>
          </w:tcPr>
          <w:p w14:paraId="1C328BAC" w14:textId="77777777" w:rsidR="00BE2CA7" w:rsidRPr="00440C76" w:rsidRDefault="00BE2CA7" w:rsidP="002B0590">
            <w:pPr>
              <w:spacing w:before="60" w:after="60" w:line="220" w:lineRule="atLeast"/>
              <w:ind w:left="57" w:right="57"/>
              <w:jc w:val="center"/>
              <w:rPr>
                <w:sz w:val="18"/>
                <w:szCs w:val="18"/>
                <w:lang w:val="fr-FR"/>
              </w:rPr>
            </w:pPr>
            <w:r w:rsidRPr="00440C76">
              <w:rPr>
                <w:sz w:val="18"/>
                <w:szCs w:val="18"/>
                <w:lang w:val="fr-FR"/>
              </w:rPr>
              <w:t>kPa</w:t>
            </w:r>
          </w:p>
        </w:tc>
        <w:tc>
          <w:tcPr>
            <w:tcW w:w="1317" w:type="dxa"/>
            <w:shd w:val="clear" w:color="auto" w:fill="FFFFFF"/>
          </w:tcPr>
          <w:p w14:paraId="5A24FC8E" w14:textId="77777777" w:rsidR="00BE2CA7" w:rsidRPr="00440C76" w:rsidRDefault="00BE2CA7" w:rsidP="002B0590">
            <w:pPr>
              <w:spacing w:before="60" w:after="60" w:line="220" w:lineRule="atLeast"/>
              <w:ind w:left="57" w:right="57"/>
              <w:jc w:val="center"/>
              <w:rPr>
                <w:sz w:val="18"/>
                <w:szCs w:val="18"/>
                <w:lang w:val="fr-FR"/>
              </w:rPr>
            </w:pPr>
            <w:r w:rsidRPr="00440C76">
              <w:rPr>
                <w:sz w:val="18"/>
                <w:szCs w:val="18"/>
                <w:lang w:val="fr-FR"/>
              </w:rPr>
              <w:t>50</w:t>
            </w:r>
          </w:p>
        </w:tc>
        <w:tc>
          <w:tcPr>
            <w:tcW w:w="1317" w:type="dxa"/>
            <w:shd w:val="clear" w:color="auto" w:fill="FFFFFF"/>
          </w:tcPr>
          <w:p w14:paraId="57F9C0D5" w14:textId="77777777" w:rsidR="00BE2CA7" w:rsidRPr="00440C76" w:rsidRDefault="00BE2CA7" w:rsidP="002B0590">
            <w:pPr>
              <w:spacing w:before="60" w:after="60" w:line="220" w:lineRule="atLeast"/>
              <w:ind w:left="57" w:right="57"/>
              <w:jc w:val="center"/>
              <w:rPr>
                <w:sz w:val="18"/>
                <w:szCs w:val="18"/>
                <w:lang w:val="fr-FR"/>
              </w:rPr>
            </w:pPr>
            <w:r w:rsidRPr="00440C76">
              <w:rPr>
                <w:sz w:val="18"/>
                <w:szCs w:val="18"/>
                <w:lang w:val="fr-FR"/>
              </w:rPr>
              <w:t>60</w:t>
            </w:r>
          </w:p>
        </w:tc>
        <w:tc>
          <w:tcPr>
            <w:tcW w:w="2241" w:type="dxa"/>
            <w:shd w:val="clear" w:color="auto" w:fill="FFFFFF"/>
          </w:tcPr>
          <w:p w14:paraId="23677EC7" w14:textId="77777777" w:rsidR="00BE2CA7" w:rsidRPr="00440C76" w:rsidRDefault="00BE2CA7" w:rsidP="002B0590">
            <w:pPr>
              <w:spacing w:before="60" w:after="60" w:line="220" w:lineRule="atLeast"/>
              <w:ind w:left="57" w:right="57"/>
              <w:rPr>
                <w:sz w:val="18"/>
                <w:szCs w:val="18"/>
                <w:lang w:val="fr-FR"/>
              </w:rPr>
            </w:pPr>
            <w:r w:rsidRPr="00440C76">
              <w:rPr>
                <w:sz w:val="18"/>
                <w:szCs w:val="18"/>
                <w:lang w:val="fr-FR"/>
              </w:rPr>
              <w:t>EN ISO</w:t>
            </w:r>
            <w:r>
              <w:rPr>
                <w:sz w:val="18"/>
                <w:szCs w:val="18"/>
                <w:lang w:val="fr-FR"/>
              </w:rPr>
              <w:t> </w:t>
            </w:r>
            <w:r w:rsidRPr="00440C76">
              <w:rPr>
                <w:sz w:val="18"/>
                <w:szCs w:val="18"/>
                <w:lang w:val="fr-FR"/>
              </w:rPr>
              <w:t>1 30 16-1 (DVPE)</w:t>
            </w:r>
          </w:p>
        </w:tc>
      </w:tr>
      <w:tr w:rsidR="00BE2CA7" w:rsidRPr="00440C76" w14:paraId="5AB1F2F1" w14:textId="77777777" w:rsidTr="002B0590">
        <w:trPr>
          <w:jc w:val="center"/>
        </w:trPr>
        <w:tc>
          <w:tcPr>
            <w:tcW w:w="3642" w:type="dxa"/>
            <w:shd w:val="clear" w:color="auto" w:fill="FFFFFF"/>
          </w:tcPr>
          <w:p w14:paraId="0096EB40" w14:textId="77777777" w:rsidR="00BE2CA7" w:rsidRPr="00440C76" w:rsidRDefault="00BE2CA7" w:rsidP="002B0590">
            <w:pPr>
              <w:spacing w:before="60" w:after="60" w:line="220" w:lineRule="atLeast"/>
              <w:ind w:left="57" w:right="57"/>
              <w:rPr>
                <w:sz w:val="18"/>
                <w:szCs w:val="18"/>
                <w:lang w:val="fr-FR"/>
              </w:rPr>
            </w:pPr>
            <w:r w:rsidRPr="00440C76">
              <w:rPr>
                <w:sz w:val="18"/>
                <w:szCs w:val="18"/>
                <w:lang w:val="fr-FR"/>
              </w:rPr>
              <w:t>Teneur en soufre</w:t>
            </w:r>
            <w:r w:rsidRPr="0080019B">
              <w:rPr>
                <w:i/>
                <w:sz w:val="18"/>
                <w:szCs w:val="18"/>
                <w:vertAlign w:val="superscript"/>
                <w:lang w:val="fr-FR"/>
              </w:rPr>
              <w:t>3,</w:t>
            </w:r>
            <w:r w:rsidRPr="0080019B">
              <w:rPr>
                <w:i/>
                <w:sz w:val="18"/>
                <w:szCs w:val="18"/>
                <w:lang w:val="fr-FR"/>
              </w:rPr>
              <w:t xml:space="preserve"> </w:t>
            </w:r>
            <w:r w:rsidRPr="0080019B">
              <w:rPr>
                <w:i/>
                <w:sz w:val="18"/>
                <w:szCs w:val="18"/>
                <w:vertAlign w:val="superscript"/>
                <w:lang w:val="fr-FR"/>
              </w:rPr>
              <w:t>4</w:t>
            </w:r>
          </w:p>
        </w:tc>
        <w:tc>
          <w:tcPr>
            <w:tcW w:w="1122" w:type="dxa"/>
            <w:shd w:val="clear" w:color="auto" w:fill="FFFFFF"/>
          </w:tcPr>
          <w:p w14:paraId="38CBA442" w14:textId="77777777" w:rsidR="00BE2CA7" w:rsidRPr="00440C76" w:rsidRDefault="00BE2CA7" w:rsidP="002B0590">
            <w:pPr>
              <w:spacing w:before="60" w:after="60" w:line="220" w:lineRule="atLeast"/>
              <w:ind w:left="57" w:right="57"/>
              <w:jc w:val="center"/>
              <w:rPr>
                <w:sz w:val="18"/>
                <w:szCs w:val="18"/>
                <w:lang w:val="fr-FR"/>
              </w:rPr>
            </w:pPr>
            <w:r w:rsidRPr="00440C76">
              <w:rPr>
                <w:sz w:val="18"/>
                <w:szCs w:val="18"/>
                <w:lang w:val="fr-FR"/>
              </w:rPr>
              <w:t>mg/kg</w:t>
            </w:r>
          </w:p>
        </w:tc>
        <w:tc>
          <w:tcPr>
            <w:tcW w:w="1317" w:type="dxa"/>
            <w:shd w:val="clear" w:color="auto" w:fill="FFFFFF"/>
          </w:tcPr>
          <w:p w14:paraId="1BBCFB5C" w14:textId="77777777" w:rsidR="00BE2CA7" w:rsidRPr="00440C76" w:rsidRDefault="00BE2CA7" w:rsidP="002B0590">
            <w:pPr>
              <w:spacing w:before="60" w:after="60" w:line="220" w:lineRule="atLeast"/>
              <w:ind w:left="57" w:right="57"/>
              <w:jc w:val="center"/>
              <w:rPr>
                <w:sz w:val="18"/>
                <w:szCs w:val="18"/>
                <w:lang w:val="fr-FR"/>
              </w:rPr>
            </w:pPr>
            <w:r w:rsidRPr="00440C76">
              <w:rPr>
                <w:sz w:val="18"/>
                <w:szCs w:val="18"/>
                <w:lang w:val="fr-FR"/>
              </w:rPr>
              <w:t>-</w:t>
            </w:r>
          </w:p>
        </w:tc>
        <w:tc>
          <w:tcPr>
            <w:tcW w:w="1317" w:type="dxa"/>
            <w:shd w:val="clear" w:color="auto" w:fill="FFFFFF"/>
          </w:tcPr>
          <w:p w14:paraId="3C03C9B8" w14:textId="77777777" w:rsidR="00BE2CA7" w:rsidRPr="00440C76" w:rsidRDefault="00BE2CA7" w:rsidP="002B0590">
            <w:pPr>
              <w:spacing w:before="60" w:after="60" w:line="220" w:lineRule="atLeast"/>
              <w:ind w:left="57" w:right="57"/>
              <w:jc w:val="center"/>
              <w:rPr>
                <w:sz w:val="18"/>
                <w:szCs w:val="18"/>
                <w:lang w:val="fr-FR"/>
              </w:rPr>
            </w:pPr>
            <w:r w:rsidRPr="00440C76">
              <w:rPr>
                <w:sz w:val="18"/>
                <w:szCs w:val="18"/>
                <w:lang w:val="fr-FR"/>
              </w:rPr>
              <w:t>10</w:t>
            </w:r>
          </w:p>
        </w:tc>
        <w:tc>
          <w:tcPr>
            <w:tcW w:w="2241" w:type="dxa"/>
            <w:shd w:val="clear" w:color="auto" w:fill="FFFFFF"/>
          </w:tcPr>
          <w:p w14:paraId="785E74C0" w14:textId="77777777" w:rsidR="00BE2CA7" w:rsidRPr="00440C76" w:rsidRDefault="00BE2CA7" w:rsidP="002B0590">
            <w:pPr>
              <w:spacing w:before="60" w:after="60" w:line="220" w:lineRule="atLeast"/>
              <w:ind w:left="57" w:right="57"/>
              <w:rPr>
                <w:sz w:val="18"/>
                <w:szCs w:val="18"/>
                <w:lang w:val="fr-FR"/>
              </w:rPr>
            </w:pPr>
            <w:r w:rsidRPr="00440C76">
              <w:rPr>
                <w:sz w:val="18"/>
                <w:szCs w:val="18"/>
                <w:lang w:val="fr-FR"/>
              </w:rPr>
              <w:t>EN ISO</w:t>
            </w:r>
            <w:r>
              <w:rPr>
                <w:sz w:val="18"/>
                <w:szCs w:val="18"/>
                <w:lang w:val="fr-FR"/>
              </w:rPr>
              <w:t> </w:t>
            </w:r>
            <w:r w:rsidRPr="00440C76">
              <w:rPr>
                <w:sz w:val="18"/>
                <w:szCs w:val="18"/>
                <w:lang w:val="fr-FR"/>
              </w:rPr>
              <w:t>20846</w:t>
            </w:r>
            <w:r w:rsidRPr="00440C76">
              <w:rPr>
                <w:sz w:val="18"/>
                <w:szCs w:val="18"/>
                <w:lang w:val="fr-FR"/>
              </w:rPr>
              <w:br/>
              <w:t>EN ISO</w:t>
            </w:r>
            <w:r>
              <w:rPr>
                <w:sz w:val="18"/>
                <w:szCs w:val="18"/>
                <w:lang w:val="fr-FR"/>
              </w:rPr>
              <w:t> </w:t>
            </w:r>
            <w:r w:rsidRPr="00440C76">
              <w:rPr>
                <w:sz w:val="18"/>
                <w:szCs w:val="18"/>
                <w:lang w:val="fr-FR"/>
              </w:rPr>
              <w:t>20884</w:t>
            </w:r>
          </w:p>
        </w:tc>
      </w:tr>
      <w:tr w:rsidR="00BE2CA7" w:rsidRPr="00440C76" w14:paraId="11C61700" w14:textId="77777777" w:rsidTr="002B0590">
        <w:trPr>
          <w:jc w:val="center"/>
        </w:trPr>
        <w:tc>
          <w:tcPr>
            <w:tcW w:w="3642" w:type="dxa"/>
            <w:shd w:val="clear" w:color="auto" w:fill="FFFFFF"/>
          </w:tcPr>
          <w:p w14:paraId="77C1F7DD" w14:textId="77777777" w:rsidR="00BE2CA7" w:rsidRPr="00440C76" w:rsidRDefault="00BE2CA7" w:rsidP="002B0590">
            <w:pPr>
              <w:spacing w:before="60" w:after="60" w:line="220" w:lineRule="atLeast"/>
              <w:ind w:left="57" w:right="57"/>
              <w:rPr>
                <w:sz w:val="18"/>
                <w:szCs w:val="18"/>
                <w:lang w:val="fr-FR"/>
              </w:rPr>
            </w:pPr>
            <w:r w:rsidRPr="00440C76">
              <w:rPr>
                <w:sz w:val="18"/>
                <w:szCs w:val="18"/>
                <w:lang w:val="fr-FR"/>
              </w:rPr>
              <w:t>Stabilité à l</w:t>
            </w:r>
            <w:r>
              <w:rPr>
                <w:sz w:val="18"/>
                <w:szCs w:val="18"/>
                <w:lang w:val="fr-FR"/>
              </w:rPr>
              <w:t>’</w:t>
            </w:r>
            <w:r w:rsidRPr="00440C76">
              <w:rPr>
                <w:sz w:val="18"/>
                <w:szCs w:val="18"/>
                <w:lang w:val="fr-FR"/>
              </w:rPr>
              <w:t>oxydation</w:t>
            </w:r>
          </w:p>
        </w:tc>
        <w:tc>
          <w:tcPr>
            <w:tcW w:w="1122" w:type="dxa"/>
            <w:shd w:val="clear" w:color="auto" w:fill="FFFFFF"/>
          </w:tcPr>
          <w:p w14:paraId="674EE433" w14:textId="77777777" w:rsidR="00BE2CA7" w:rsidRPr="00440C76" w:rsidRDefault="00BE2CA7" w:rsidP="002B0590">
            <w:pPr>
              <w:spacing w:before="60" w:after="60" w:line="220" w:lineRule="atLeast"/>
              <w:ind w:left="57" w:right="57"/>
              <w:jc w:val="center"/>
              <w:rPr>
                <w:sz w:val="18"/>
                <w:szCs w:val="18"/>
                <w:lang w:val="fr-FR"/>
              </w:rPr>
            </w:pPr>
            <w:r w:rsidRPr="00440C76">
              <w:rPr>
                <w:sz w:val="18"/>
                <w:szCs w:val="18"/>
                <w:lang w:val="fr-FR"/>
              </w:rPr>
              <w:t>min</w:t>
            </w:r>
          </w:p>
        </w:tc>
        <w:tc>
          <w:tcPr>
            <w:tcW w:w="1317" w:type="dxa"/>
            <w:shd w:val="clear" w:color="auto" w:fill="FFFFFF"/>
          </w:tcPr>
          <w:p w14:paraId="58956FBD" w14:textId="77777777" w:rsidR="00BE2CA7" w:rsidRPr="00440C76" w:rsidRDefault="00BE2CA7" w:rsidP="002B0590">
            <w:pPr>
              <w:spacing w:before="60" w:after="60" w:line="220" w:lineRule="atLeast"/>
              <w:ind w:left="57" w:right="57"/>
              <w:jc w:val="center"/>
              <w:rPr>
                <w:sz w:val="18"/>
                <w:szCs w:val="18"/>
                <w:lang w:val="fr-FR"/>
              </w:rPr>
            </w:pPr>
            <w:r w:rsidRPr="00440C76">
              <w:rPr>
                <w:sz w:val="18"/>
                <w:szCs w:val="18"/>
                <w:lang w:val="fr-FR"/>
              </w:rPr>
              <w:t>360</w:t>
            </w:r>
          </w:p>
        </w:tc>
        <w:tc>
          <w:tcPr>
            <w:tcW w:w="1317" w:type="dxa"/>
            <w:shd w:val="clear" w:color="auto" w:fill="FFFFFF"/>
          </w:tcPr>
          <w:p w14:paraId="77EC7F1F" w14:textId="77777777" w:rsidR="00BE2CA7" w:rsidRPr="00440C76" w:rsidRDefault="00BE2CA7" w:rsidP="002B0590">
            <w:pPr>
              <w:spacing w:before="60" w:after="60" w:line="220" w:lineRule="atLeast"/>
              <w:ind w:left="57" w:right="57"/>
              <w:jc w:val="center"/>
              <w:rPr>
                <w:sz w:val="18"/>
                <w:szCs w:val="18"/>
                <w:lang w:val="fr-FR"/>
              </w:rPr>
            </w:pPr>
            <w:r w:rsidRPr="00440C76">
              <w:rPr>
                <w:sz w:val="18"/>
                <w:szCs w:val="18"/>
                <w:lang w:val="fr-FR"/>
              </w:rPr>
              <w:t>-</w:t>
            </w:r>
          </w:p>
        </w:tc>
        <w:tc>
          <w:tcPr>
            <w:tcW w:w="2241" w:type="dxa"/>
            <w:shd w:val="clear" w:color="auto" w:fill="FFFFFF"/>
          </w:tcPr>
          <w:p w14:paraId="46D5C3D2" w14:textId="77777777" w:rsidR="00BE2CA7" w:rsidRPr="00440C76" w:rsidRDefault="00BE2CA7" w:rsidP="002B0590">
            <w:pPr>
              <w:spacing w:before="60" w:after="60" w:line="220" w:lineRule="atLeast"/>
              <w:ind w:left="57" w:right="57"/>
              <w:rPr>
                <w:sz w:val="18"/>
                <w:szCs w:val="18"/>
                <w:lang w:val="fr-FR"/>
              </w:rPr>
            </w:pPr>
            <w:r w:rsidRPr="00440C76">
              <w:rPr>
                <w:sz w:val="18"/>
                <w:szCs w:val="18"/>
                <w:lang w:val="fr-FR"/>
              </w:rPr>
              <w:t>EN ISO</w:t>
            </w:r>
            <w:r>
              <w:rPr>
                <w:sz w:val="18"/>
                <w:szCs w:val="18"/>
                <w:lang w:val="fr-FR"/>
              </w:rPr>
              <w:t> </w:t>
            </w:r>
            <w:r w:rsidRPr="00440C76">
              <w:rPr>
                <w:sz w:val="18"/>
                <w:szCs w:val="18"/>
                <w:lang w:val="fr-FR"/>
              </w:rPr>
              <w:t>7536</w:t>
            </w:r>
          </w:p>
        </w:tc>
      </w:tr>
      <w:tr w:rsidR="00BE2CA7" w:rsidRPr="00440C76" w14:paraId="3D6B874B" w14:textId="77777777" w:rsidTr="002B0590">
        <w:trPr>
          <w:jc w:val="center"/>
        </w:trPr>
        <w:tc>
          <w:tcPr>
            <w:tcW w:w="3642" w:type="dxa"/>
            <w:shd w:val="clear" w:color="auto" w:fill="FFFFFF"/>
          </w:tcPr>
          <w:p w14:paraId="776D07F4" w14:textId="77777777" w:rsidR="00BE2CA7" w:rsidRPr="00440C76" w:rsidRDefault="00BE2CA7" w:rsidP="002B0590">
            <w:pPr>
              <w:spacing w:before="60" w:after="60" w:line="220" w:lineRule="atLeast"/>
              <w:ind w:left="57" w:right="57"/>
              <w:rPr>
                <w:sz w:val="18"/>
                <w:szCs w:val="18"/>
                <w:lang w:val="fr-FR"/>
              </w:rPr>
            </w:pPr>
            <w:r w:rsidRPr="00440C76">
              <w:rPr>
                <w:sz w:val="18"/>
                <w:szCs w:val="18"/>
                <w:lang w:val="fr-FR"/>
              </w:rPr>
              <w:t xml:space="preserve">Gomme actuelle </w:t>
            </w:r>
            <w:r w:rsidRPr="00440C76">
              <w:rPr>
                <w:sz w:val="18"/>
                <w:szCs w:val="18"/>
                <w:lang w:val="fr-FR"/>
              </w:rPr>
              <w:br/>
              <w:t>(nettoyage avec un solvant)</w:t>
            </w:r>
          </w:p>
        </w:tc>
        <w:tc>
          <w:tcPr>
            <w:tcW w:w="1122" w:type="dxa"/>
            <w:shd w:val="clear" w:color="auto" w:fill="FFFFFF"/>
          </w:tcPr>
          <w:p w14:paraId="2CD71B3F" w14:textId="77777777" w:rsidR="00BE2CA7" w:rsidRPr="00440C76" w:rsidRDefault="00BE2CA7" w:rsidP="002B0590">
            <w:pPr>
              <w:spacing w:before="60" w:after="60" w:line="220" w:lineRule="atLeast"/>
              <w:ind w:left="57" w:right="57"/>
              <w:jc w:val="center"/>
              <w:rPr>
                <w:sz w:val="18"/>
                <w:szCs w:val="18"/>
                <w:lang w:val="fr-FR"/>
              </w:rPr>
            </w:pPr>
            <w:r w:rsidRPr="00440C76">
              <w:rPr>
                <w:sz w:val="18"/>
                <w:szCs w:val="18"/>
                <w:lang w:val="fr-FR"/>
              </w:rPr>
              <w:t>mg/100 ml</w:t>
            </w:r>
          </w:p>
        </w:tc>
        <w:tc>
          <w:tcPr>
            <w:tcW w:w="1317" w:type="dxa"/>
            <w:shd w:val="clear" w:color="auto" w:fill="FFFFFF"/>
          </w:tcPr>
          <w:p w14:paraId="533D0040" w14:textId="77777777" w:rsidR="00BE2CA7" w:rsidRPr="00440C76" w:rsidRDefault="00BE2CA7" w:rsidP="002B0590">
            <w:pPr>
              <w:spacing w:before="60" w:after="60" w:line="220" w:lineRule="atLeast"/>
              <w:ind w:left="57" w:right="57"/>
              <w:jc w:val="center"/>
              <w:rPr>
                <w:sz w:val="18"/>
                <w:szCs w:val="18"/>
                <w:lang w:val="fr-FR"/>
              </w:rPr>
            </w:pPr>
            <w:r w:rsidRPr="00440C76">
              <w:rPr>
                <w:sz w:val="18"/>
                <w:szCs w:val="18"/>
                <w:lang w:val="fr-FR"/>
              </w:rPr>
              <w:t>-</w:t>
            </w:r>
          </w:p>
        </w:tc>
        <w:tc>
          <w:tcPr>
            <w:tcW w:w="1317" w:type="dxa"/>
            <w:shd w:val="clear" w:color="auto" w:fill="FFFFFF"/>
          </w:tcPr>
          <w:p w14:paraId="663F7236" w14:textId="77777777" w:rsidR="00BE2CA7" w:rsidRPr="00440C76" w:rsidRDefault="00BE2CA7" w:rsidP="002B0590">
            <w:pPr>
              <w:spacing w:before="60" w:after="60" w:line="220" w:lineRule="atLeast"/>
              <w:ind w:left="57" w:right="57"/>
              <w:jc w:val="center"/>
              <w:rPr>
                <w:sz w:val="18"/>
                <w:szCs w:val="18"/>
                <w:lang w:val="fr-FR"/>
              </w:rPr>
            </w:pPr>
            <w:r w:rsidRPr="00440C76">
              <w:rPr>
                <w:sz w:val="18"/>
                <w:szCs w:val="18"/>
                <w:lang w:val="fr-FR"/>
              </w:rPr>
              <w:t>4</w:t>
            </w:r>
          </w:p>
        </w:tc>
        <w:tc>
          <w:tcPr>
            <w:tcW w:w="2241" w:type="dxa"/>
            <w:shd w:val="clear" w:color="auto" w:fill="FFFFFF"/>
          </w:tcPr>
          <w:p w14:paraId="2B0D6F17" w14:textId="77777777" w:rsidR="00BE2CA7" w:rsidRPr="00440C76" w:rsidRDefault="00BE2CA7" w:rsidP="002B0590">
            <w:pPr>
              <w:spacing w:before="60" w:after="60" w:line="220" w:lineRule="atLeast"/>
              <w:ind w:left="57" w:right="57"/>
              <w:rPr>
                <w:sz w:val="18"/>
                <w:szCs w:val="18"/>
                <w:lang w:val="fr-FR"/>
              </w:rPr>
            </w:pPr>
            <w:r w:rsidRPr="00440C76">
              <w:rPr>
                <w:sz w:val="18"/>
                <w:szCs w:val="18"/>
                <w:lang w:val="fr-FR"/>
              </w:rPr>
              <w:t>EN ISO</w:t>
            </w:r>
            <w:r>
              <w:rPr>
                <w:sz w:val="18"/>
                <w:szCs w:val="18"/>
                <w:lang w:val="fr-FR"/>
              </w:rPr>
              <w:t> </w:t>
            </w:r>
            <w:r w:rsidRPr="00440C76">
              <w:rPr>
                <w:sz w:val="18"/>
                <w:szCs w:val="18"/>
                <w:lang w:val="fr-FR"/>
              </w:rPr>
              <w:t>6246</w:t>
            </w:r>
          </w:p>
        </w:tc>
      </w:tr>
      <w:tr w:rsidR="00BE2CA7" w:rsidRPr="00440C76" w14:paraId="7175AF23" w14:textId="77777777" w:rsidTr="002B0590">
        <w:trPr>
          <w:jc w:val="center"/>
        </w:trPr>
        <w:tc>
          <w:tcPr>
            <w:tcW w:w="3642" w:type="dxa"/>
            <w:shd w:val="clear" w:color="auto" w:fill="FFFFFF"/>
          </w:tcPr>
          <w:p w14:paraId="61321C17" w14:textId="77777777" w:rsidR="00BE2CA7" w:rsidRPr="00440C76" w:rsidRDefault="00BE2CA7" w:rsidP="002B0590">
            <w:pPr>
              <w:spacing w:before="60" w:after="60" w:line="220" w:lineRule="atLeast"/>
              <w:ind w:left="57" w:right="57"/>
              <w:rPr>
                <w:sz w:val="18"/>
                <w:szCs w:val="18"/>
                <w:lang w:val="fr-FR"/>
              </w:rPr>
            </w:pPr>
            <w:r w:rsidRPr="00440C76">
              <w:rPr>
                <w:sz w:val="18"/>
                <w:szCs w:val="18"/>
                <w:lang w:val="fr-FR"/>
              </w:rPr>
              <w:t>L</w:t>
            </w:r>
            <w:r>
              <w:rPr>
                <w:sz w:val="18"/>
                <w:szCs w:val="18"/>
                <w:lang w:val="fr-FR"/>
              </w:rPr>
              <w:t>’</w:t>
            </w:r>
            <w:r w:rsidRPr="00440C76">
              <w:rPr>
                <w:sz w:val="18"/>
                <w:szCs w:val="18"/>
                <w:lang w:val="fr-FR"/>
              </w:rPr>
              <w:t>apparence est déterminée à température ambiante ou à la température de 15</w:t>
            </w:r>
            <w:r>
              <w:rPr>
                <w:sz w:val="18"/>
                <w:szCs w:val="18"/>
                <w:lang w:val="fr-FR"/>
              </w:rPr>
              <w:t> </w:t>
            </w:r>
            <w:r w:rsidRPr="00440C76">
              <w:rPr>
                <w:sz w:val="18"/>
                <w:szCs w:val="18"/>
                <w:lang w:val="fr-FR"/>
              </w:rPr>
              <w:t>°C si celle-ci est supérieure</w:t>
            </w:r>
          </w:p>
        </w:tc>
        <w:tc>
          <w:tcPr>
            <w:tcW w:w="1122" w:type="dxa"/>
            <w:shd w:val="clear" w:color="auto" w:fill="FFFFFF"/>
          </w:tcPr>
          <w:p w14:paraId="5A6C8202" w14:textId="77777777" w:rsidR="00BE2CA7" w:rsidRPr="00440C76" w:rsidRDefault="00BE2CA7" w:rsidP="002B0590">
            <w:pPr>
              <w:spacing w:before="60" w:after="60" w:line="220" w:lineRule="atLeast"/>
              <w:ind w:left="57" w:right="57"/>
              <w:jc w:val="center"/>
              <w:rPr>
                <w:sz w:val="18"/>
                <w:szCs w:val="18"/>
                <w:lang w:val="fr-FR"/>
              </w:rPr>
            </w:pPr>
          </w:p>
        </w:tc>
        <w:tc>
          <w:tcPr>
            <w:tcW w:w="2634" w:type="dxa"/>
            <w:gridSpan w:val="2"/>
            <w:shd w:val="clear" w:color="auto" w:fill="FFFFFF"/>
            <w:tcMar>
              <w:left w:w="28" w:type="dxa"/>
              <w:right w:w="28" w:type="dxa"/>
            </w:tcMar>
          </w:tcPr>
          <w:p w14:paraId="0FC476E6" w14:textId="77777777" w:rsidR="00BE2CA7" w:rsidRPr="00440C76" w:rsidRDefault="00BE2CA7" w:rsidP="002B0590">
            <w:pPr>
              <w:spacing w:before="60" w:after="60" w:line="220" w:lineRule="atLeast"/>
              <w:ind w:left="57" w:right="57"/>
              <w:jc w:val="center"/>
              <w:rPr>
                <w:sz w:val="18"/>
                <w:szCs w:val="18"/>
                <w:lang w:val="fr-FR"/>
              </w:rPr>
            </w:pPr>
            <w:r w:rsidRPr="00440C76">
              <w:rPr>
                <w:sz w:val="18"/>
                <w:szCs w:val="18"/>
                <w:lang w:val="fr-FR"/>
              </w:rPr>
              <w:t>Limpide et brillant, visiblement non contaminé par des matières en suspension ou des précipitations</w:t>
            </w:r>
          </w:p>
        </w:tc>
        <w:tc>
          <w:tcPr>
            <w:tcW w:w="2241" w:type="dxa"/>
            <w:shd w:val="clear" w:color="auto" w:fill="FFFFFF"/>
          </w:tcPr>
          <w:p w14:paraId="7F1205CE" w14:textId="77777777" w:rsidR="00BE2CA7" w:rsidRPr="00440C76" w:rsidRDefault="00BE2CA7" w:rsidP="002B0590">
            <w:pPr>
              <w:spacing w:before="60" w:after="60" w:line="220" w:lineRule="atLeast"/>
              <w:ind w:left="57" w:right="57"/>
              <w:rPr>
                <w:sz w:val="18"/>
                <w:szCs w:val="18"/>
                <w:lang w:val="fr-FR"/>
              </w:rPr>
            </w:pPr>
            <w:r w:rsidRPr="00440C76">
              <w:rPr>
                <w:sz w:val="18"/>
                <w:szCs w:val="18"/>
                <w:lang w:val="fr-FR"/>
              </w:rPr>
              <w:t>Inspection visuelle</w:t>
            </w:r>
          </w:p>
        </w:tc>
      </w:tr>
      <w:tr w:rsidR="00BE2CA7" w:rsidRPr="00440C76" w14:paraId="569971A5" w14:textId="77777777" w:rsidTr="002B0590">
        <w:trPr>
          <w:jc w:val="center"/>
        </w:trPr>
        <w:tc>
          <w:tcPr>
            <w:tcW w:w="3642" w:type="dxa"/>
            <w:shd w:val="clear" w:color="auto" w:fill="FFFFFF"/>
          </w:tcPr>
          <w:p w14:paraId="4ACCC2EE" w14:textId="77777777" w:rsidR="00BE2CA7" w:rsidRPr="00440C76" w:rsidRDefault="00BE2CA7" w:rsidP="002B0590">
            <w:pPr>
              <w:spacing w:before="60" w:after="60" w:line="220" w:lineRule="atLeast"/>
              <w:ind w:left="57" w:right="57"/>
              <w:rPr>
                <w:sz w:val="18"/>
                <w:szCs w:val="18"/>
                <w:vertAlign w:val="superscript"/>
                <w:lang w:val="fr-FR"/>
              </w:rPr>
            </w:pPr>
            <w:r w:rsidRPr="00440C76">
              <w:rPr>
                <w:sz w:val="18"/>
                <w:szCs w:val="18"/>
                <w:lang w:val="fr-FR"/>
              </w:rPr>
              <w:t>Éthanol et alcool</w:t>
            </w:r>
            <w:r>
              <w:rPr>
                <w:sz w:val="18"/>
                <w:szCs w:val="18"/>
                <w:lang w:val="fr-FR"/>
              </w:rPr>
              <w:t> </w:t>
            </w:r>
            <w:r w:rsidRPr="00440C76">
              <w:rPr>
                <w:sz w:val="18"/>
                <w:szCs w:val="18"/>
                <w:lang w:val="fr-FR"/>
              </w:rPr>
              <w:t>supérieurs</w:t>
            </w:r>
            <w:r w:rsidRPr="0080019B">
              <w:rPr>
                <w:i/>
                <w:sz w:val="18"/>
                <w:szCs w:val="18"/>
                <w:vertAlign w:val="superscript"/>
                <w:lang w:val="fr-FR"/>
              </w:rPr>
              <w:t>7</w:t>
            </w:r>
          </w:p>
        </w:tc>
        <w:tc>
          <w:tcPr>
            <w:tcW w:w="1122" w:type="dxa"/>
            <w:shd w:val="clear" w:color="auto" w:fill="FFFFFF"/>
          </w:tcPr>
          <w:p w14:paraId="2C5F0FFC" w14:textId="77777777" w:rsidR="00BE2CA7" w:rsidRPr="00440C76" w:rsidRDefault="00BE2CA7" w:rsidP="002B0590">
            <w:pPr>
              <w:spacing w:before="60" w:after="60" w:line="220" w:lineRule="atLeast"/>
              <w:ind w:left="57" w:right="57"/>
              <w:jc w:val="center"/>
              <w:rPr>
                <w:sz w:val="18"/>
                <w:szCs w:val="18"/>
                <w:lang w:val="fr-FR"/>
              </w:rPr>
            </w:pPr>
            <w:r w:rsidRPr="00440C76">
              <w:rPr>
                <w:sz w:val="18"/>
                <w:szCs w:val="18"/>
                <w:lang w:val="fr-FR"/>
              </w:rPr>
              <w:t>% (v/v)</w:t>
            </w:r>
          </w:p>
        </w:tc>
        <w:tc>
          <w:tcPr>
            <w:tcW w:w="1317" w:type="dxa"/>
            <w:shd w:val="clear" w:color="auto" w:fill="FFFFFF"/>
          </w:tcPr>
          <w:p w14:paraId="55F5031F" w14:textId="77777777" w:rsidR="00BE2CA7" w:rsidRPr="00440C76" w:rsidRDefault="00BE2CA7" w:rsidP="002B0590">
            <w:pPr>
              <w:spacing w:before="60" w:after="60" w:line="220" w:lineRule="atLeast"/>
              <w:ind w:left="57" w:right="57"/>
              <w:jc w:val="center"/>
              <w:rPr>
                <w:sz w:val="18"/>
                <w:szCs w:val="18"/>
                <w:lang w:val="fr-FR"/>
              </w:rPr>
            </w:pPr>
            <w:r w:rsidRPr="00440C76">
              <w:rPr>
                <w:sz w:val="18"/>
                <w:szCs w:val="18"/>
                <w:lang w:val="fr-FR"/>
              </w:rPr>
              <w:t>70</w:t>
            </w:r>
          </w:p>
        </w:tc>
        <w:tc>
          <w:tcPr>
            <w:tcW w:w="1317" w:type="dxa"/>
            <w:shd w:val="clear" w:color="auto" w:fill="FFFFFF"/>
          </w:tcPr>
          <w:p w14:paraId="3385AE87" w14:textId="77777777" w:rsidR="00BE2CA7" w:rsidRPr="00440C76" w:rsidRDefault="00BE2CA7" w:rsidP="002B0590">
            <w:pPr>
              <w:spacing w:before="60" w:after="60" w:line="220" w:lineRule="atLeast"/>
              <w:ind w:left="57" w:right="57"/>
              <w:jc w:val="center"/>
              <w:rPr>
                <w:sz w:val="18"/>
                <w:szCs w:val="18"/>
                <w:lang w:val="fr-FR"/>
              </w:rPr>
            </w:pPr>
            <w:r w:rsidRPr="00440C76">
              <w:rPr>
                <w:sz w:val="18"/>
                <w:szCs w:val="18"/>
                <w:lang w:val="fr-FR"/>
              </w:rPr>
              <w:t>80</w:t>
            </w:r>
          </w:p>
        </w:tc>
        <w:tc>
          <w:tcPr>
            <w:tcW w:w="2241" w:type="dxa"/>
            <w:shd w:val="clear" w:color="auto" w:fill="FFFFFF"/>
          </w:tcPr>
          <w:p w14:paraId="2A854AF5" w14:textId="77777777" w:rsidR="00BE2CA7" w:rsidRPr="00440C76" w:rsidRDefault="00BE2CA7" w:rsidP="002B0590">
            <w:pPr>
              <w:spacing w:before="60" w:after="60" w:line="220" w:lineRule="atLeast"/>
              <w:ind w:left="57" w:right="57"/>
              <w:rPr>
                <w:sz w:val="18"/>
                <w:szCs w:val="18"/>
                <w:lang w:val="fr-FR"/>
              </w:rPr>
            </w:pPr>
            <w:r w:rsidRPr="00440C76">
              <w:rPr>
                <w:sz w:val="18"/>
                <w:szCs w:val="18"/>
                <w:lang w:val="fr-FR"/>
              </w:rPr>
              <w:t>EN 1601</w:t>
            </w:r>
            <w:r w:rsidRPr="00440C76">
              <w:rPr>
                <w:sz w:val="18"/>
                <w:szCs w:val="18"/>
                <w:lang w:val="fr-FR"/>
              </w:rPr>
              <w:br/>
              <w:t>EN 13132</w:t>
            </w:r>
            <w:r w:rsidRPr="00440C76">
              <w:rPr>
                <w:sz w:val="18"/>
                <w:szCs w:val="18"/>
                <w:lang w:val="fr-FR"/>
              </w:rPr>
              <w:br/>
              <w:t>EN 1451 7</w:t>
            </w:r>
          </w:p>
        </w:tc>
      </w:tr>
      <w:tr w:rsidR="00BE2CA7" w:rsidRPr="00440C76" w14:paraId="670D9CBD" w14:textId="77777777" w:rsidTr="002B0590">
        <w:trPr>
          <w:jc w:val="center"/>
        </w:trPr>
        <w:tc>
          <w:tcPr>
            <w:tcW w:w="3642" w:type="dxa"/>
            <w:shd w:val="clear" w:color="auto" w:fill="FFFFFF"/>
          </w:tcPr>
          <w:p w14:paraId="57A99C35" w14:textId="77777777" w:rsidR="00BE2CA7" w:rsidRPr="00440C76" w:rsidRDefault="00BE2CA7" w:rsidP="002B0590">
            <w:pPr>
              <w:spacing w:before="60" w:after="60" w:line="220" w:lineRule="atLeast"/>
              <w:ind w:left="57" w:right="57"/>
              <w:rPr>
                <w:sz w:val="18"/>
                <w:szCs w:val="18"/>
                <w:lang w:val="fr-FR"/>
              </w:rPr>
            </w:pPr>
            <w:r w:rsidRPr="00440C76">
              <w:rPr>
                <w:sz w:val="18"/>
                <w:szCs w:val="18"/>
                <w:lang w:val="fr-FR"/>
              </w:rPr>
              <w:t>Alcools supérieurs (C</w:t>
            </w:r>
            <w:r w:rsidRPr="00440C76">
              <w:rPr>
                <w:sz w:val="18"/>
                <w:szCs w:val="18"/>
                <w:vertAlign w:val="subscript"/>
                <w:lang w:val="fr-FR"/>
              </w:rPr>
              <w:t>3</w:t>
            </w:r>
            <w:r w:rsidRPr="00440C76">
              <w:rPr>
                <w:sz w:val="18"/>
                <w:szCs w:val="18"/>
                <w:lang w:val="fr-FR"/>
              </w:rPr>
              <w:t xml:space="preserve"> - C</w:t>
            </w:r>
            <w:r w:rsidRPr="00440C76">
              <w:rPr>
                <w:sz w:val="18"/>
                <w:szCs w:val="18"/>
                <w:vertAlign w:val="subscript"/>
                <w:lang w:val="fr-FR"/>
              </w:rPr>
              <w:t>8</w:t>
            </w:r>
            <w:r w:rsidRPr="00440C76">
              <w:rPr>
                <w:sz w:val="18"/>
                <w:szCs w:val="18"/>
                <w:lang w:val="fr-FR"/>
              </w:rPr>
              <w:t>)</w:t>
            </w:r>
          </w:p>
        </w:tc>
        <w:tc>
          <w:tcPr>
            <w:tcW w:w="1122" w:type="dxa"/>
            <w:shd w:val="clear" w:color="auto" w:fill="FFFFFF"/>
          </w:tcPr>
          <w:p w14:paraId="20DA9238" w14:textId="77777777" w:rsidR="00BE2CA7" w:rsidRPr="00440C76" w:rsidRDefault="00BE2CA7" w:rsidP="002B0590">
            <w:pPr>
              <w:spacing w:before="60" w:after="60" w:line="220" w:lineRule="atLeast"/>
              <w:ind w:left="57" w:right="57"/>
              <w:jc w:val="center"/>
              <w:rPr>
                <w:sz w:val="18"/>
                <w:szCs w:val="18"/>
                <w:lang w:val="fr-FR"/>
              </w:rPr>
            </w:pPr>
            <w:r w:rsidRPr="00440C76">
              <w:rPr>
                <w:sz w:val="18"/>
                <w:szCs w:val="18"/>
                <w:lang w:val="fr-FR"/>
              </w:rPr>
              <w:t>% (v/v)</w:t>
            </w:r>
          </w:p>
        </w:tc>
        <w:tc>
          <w:tcPr>
            <w:tcW w:w="1317" w:type="dxa"/>
            <w:shd w:val="clear" w:color="auto" w:fill="FFFFFF"/>
          </w:tcPr>
          <w:p w14:paraId="7C283692" w14:textId="77777777" w:rsidR="00BE2CA7" w:rsidRPr="00440C76" w:rsidRDefault="00BE2CA7" w:rsidP="002B0590">
            <w:pPr>
              <w:spacing w:before="60" w:after="60" w:line="220" w:lineRule="atLeast"/>
              <w:ind w:left="57" w:right="57"/>
              <w:jc w:val="center"/>
              <w:rPr>
                <w:sz w:val="18"/>
                <w:szCs w:val="18"/>
                <w:lang w:val="fr-FR"/>
              </w:rPr>
            </w:pPr>
            <w:r w:rsidRPr="00440C76">
              <w:rPr>
                <w:sz w:val="18"/>
                <w:szCs w:val="18"/>
                <w:lang w:val="fr-FR"/>
              </w:rPr>
              <w:t>-</w:t>
            </w:r>
          </w:p>
        </w:tc>
        <w:tc>
          <w:tcPr>
            <w:tcW w:w="1317" w:type="dxa"/>
            <w:shd w:val="clear" w:color="auto" w:fill="FFFFFF"/>
          </w:tcPr>
          <w:p w14:paraId="2DC28324" w14:textId="77777777" w:rsidR="00BE2CA7" w:rsidRPr="00440C76" w:rsidRDefault="00BE2CA7" w:rsidP="002B0590">
            <w:pPr>
              <w:spacing w:before="60" w:after="60" w:line="220" w:lineRule="atLeast"/>
              <w:ind w:left="57" w:right="57"/>
              <w:jc w:val="center"/>
              <w:rPr>
                <w:sz w:val="18"/>
                <w:szCs w:val="18"/>
                <w:lang w:val="fr-FR"/>
              </w:rPr>
            </w:pPr>
            <w:r w:rsidRPr="00440C76">
              <w:rPr>
                <w:sz w:val="18"/>
                <w:szCs w:val="18"/>
                <w:lang w:val="fr-FR"/>
              </w:rPr>
              <w:t>2</w:t>
            </w:r>
          </w:p>
        </w:tc>
        <w:tc>
          <w:tcPr>
            <w:tcW w:w="2241" w:type="dxa"/>
            <w:shd w:val="clear" w:color="auto" w:fill="FFFFFF"/>
          </w:tcPr>
          <w:p w14:paraId="1A2DB88C" w14:textId="77777777" w:rsidR="00BE2CA7" w:rsidRPr="00440C76" w:rsidRDefault="00BE2CA7" w:rsidP="002B0590">
            <w:pPr>
              <w:spacing w:before="60" w:after="60" w:line="220" w:lineRule="atLeast"/>
              <w:ind w:left="57" w:right="57"/>
              <w:rPr>
                <w:sz w:val="18"/>
                <w:szCs w:val="18"/>
                <w:lang w:val="fr-FR"/>
              </w:rPr>
            </w:pPr>
          </w:p>
        </w:tc>
      </w:tr>
      <w:tr w:rsidR="00BE2CA7" w:rsidRPr="00440C76" w14:paraId="3B7BDEDE" w14:textId="77777777" w:rsidTr="002B0590">
        <w:trPr>
          <w:jc w:val="center"/>
        </w:trPr>
        <w:tc>
          <w:tcPr>
            <w:tcW w:w="3642" w:type="dxa"/>
            <w:shd w:val="clear" w:color="auto" w:fill="FFFFFF"/>
          </w:tcPr>
          <w:p w14:paraId="1042DC40" w14:textId="77777777" w:rsidR="00BE2CA7" w:rsidRPr="00440C76" w:rsidRDefault="00BE2CA7" w:rsidP="002B0590">
            <w:pPr>
              <w:spacing w:before="60" w:after="60" w:line="220" w:lineRule="atLeast"/>
              <w:ind w:left="57" w:right="57"/>
              <w:rPr>
                <w:sz w:val="18"/>
                <w:szCs w:val="18"/>
                <w:lang w:val="fr-FR"/>
              </w:rPr>
            </w:pPr>
            <w:r w:rsidRPr="00440C76">
              <w:rPr>
                <w:sz w:val="18"/>
                <w:szCs w:val="18"/>
                <w:lang w:val="fr-FR"/>
              </w:rPr>
              <w:t>Méthanol</w:t>
            </w:r>
          </w:p>
        </w:tc>
        <w:tc>
          <w:tcPr>
            <w:tcW w:w="1122" w:type="dxa"/>
            <w:shd w:val="clear" w:color="auto" w:fill="FFFFFF"/>
          </w:tcPr>
          <w:p w14:paraId="700831B4" w14:textId="77777777" w:rsidR="00BE2CA7" w:rsidRPr="00440C76" w:rsidRDefault="00BE2CA7" w:rsidP="002B0590">
            <w:pPr>
              <w:spacing w:before="60" w:after="60" w:line="220" w:lineRule="atLeast"/>
              <w:ind w:left="57" w:right="57"/>
              <w:jc w:val="center"/>
              <w:rPr>
                <w:sz w:val="18"/>
                <w:szCs w:val="18"/>
                <w:lang w:val="fr-FR"/>
              </w:rPr>
            </w:pPr>
          </w:p>
        </w:tc>
        <w:tc>
          <w:tcPr>
            <w:tcW w:w="1317" w:type="dxa"/>
            <w:shd w:val="clear" w:color="auto" w:fill="FFFFFF"/>
          </w:tcPr>
          <w:p w14:paraId="0567B7E9" w14:textId="77777777" w:rsidR="00BE2CA7" w:rsidRPr="00440C76" w:rsidRDefault="00BE2CA7" w:rsidP="002B0590">
            <w:pPr>
              <w:spacing w:before="60" w:after="60" w:line="220" w:lineRule="atLeast"/>
              <w:ind w:left="57" w:right="57"/>
              <w:jc w:val="center"/>
              <w:rPr>
                <w:sz w:val="18"/>
                <w:szCs w:val="18"/>
                <w:lang w:val="fr-FR"/>
              </w:rPr>
            </w:pPr>
            <w:r w:rsidRPr="00440C76">
              <w:rPr>
                <w:sz w:val="18"/>
                <w:szCs w:val="18"/>
                <w:lang w:val="fr-FR"/>
              </w:rPr>
              <w:t>-</w:t>
            </w:r>
          </w:p>
        </w:tc>
        <w:tc>
          <w:tcPr>
            <w:tcW w:w="1317" w:type="dxa"/>
            <w:shd w:val="clear" w:color="auto" w:fill="auto"/>
          </w:tcPr>
          <w:p w14:paraId="7707204F" w14:textId="77777777" w:rsidR="00BE2CA7" w:rsidRPr="00440C76" w:rsidRDefault="00BE2CA7" w:rsidP="002B0590">
            <w:pPr>
              <w:spacing w:before="60" w:after="60" w:line="220" w:lineRule="atLeast"/>
              <w:ind w:left="57" w:right="57"/>
              <w:jc w:val="center"/>
              <w:rPr>
                <w:sz w:val="18"/>
                <w:szCs w:val="18"/>
                <w:lang w:val="fr-FR"/>
              </w:rPr>
            </w:pPr>
            <w:r w:rsidRPr="00440C76">
              <w:rPr>
                <w:sz w:val="18"/>
                <w:szCs w:val="18"/>
                <w:lang w:val="fr-FR"/>
              </w:rPr>
              <w:t>0,5</w:t>
            </w:r>
          </w:p>
        </w:tc>
        <w:tc>
          <w:tcPr>
            <w:tcW w:w="2241" w:type="dxa"/>
            <w:shd w:val="clear" w:color="auto" w:fill="FFFFFF"/>
          </w:tcPr>
          <w:p w14:paraId="676F7F84" w14:textId="77777777" w:rsidR="00BE2CA7" w:rsidRPr="00440C76" w:rsidRDefault="00BE2CA7" w:rsidP="002B0590">
            <w:pPr>
              <w:spacing w:before="60" w:after="60" w:line="220" w:lineRule="atLeast"/>
              <w:ind w:left="57" w:right="57"/>
              <w:rPr>
                <w:sz w:val="18"/>
                <w:szCs w:val="18"/>
                <w:lang w:val="fr-FR"/>
              </w:rPr>
            </w:pPr>
          </w:p>
        </w:tc>
      </w:tr>
      <w:tr w:rsidR="00BE2CA7" w:rsidRPr="00440C76" w14:paraId="0B732C62" w14:textId="77777777" w:rsidTr="002B0590">
        <w:trPr>
          <w:jc w:val="center"/>
        </w:trPr>
        <w:tc>
          <w:tcPr>
            <w:tcW w:w="3642" w:type="dxa"/>
            <w:shd w:val="clear" w:color="auto" w:fill="FFFFFF"/>
          </w:tcPr>
          <w:p w14:paraId="1A21C46A" w14:textId="77777777" w:rsidR="00BE2CA7" w:rsidRPr="00440C76" w:rsidRDefault="00BE2CA7" w:rsidP="002B0590">
            <w:pPr>
              <w:spacing w:before="60" w:after="60" w:line="220" w:lineRule="atLeast"/>
              <w:ind w:left="57" w:right="57"/>
              <w:rPr>
                <w:sz w:val="18"/>
                <w:szCs w:val="18"/>
                <w:lang w:val="fr-FR"/>
              </w:rPr>
            </w:pPr>
            <w:r w:rsidRPr="00440C76">
              <w:rPr>
                <w:sz w:val="18"/>
                <w:szCs w:val="18"/>
                <w:lang w:val="fr-FR"/>
              </w:rPr>
              <w:t>Essence</w:t>
            </w:r>
            <w:r w:rsidRPr="0080019B">
              <w:rPr>
                <w:i/>
                <w:sz w:val="18"/>
                <w:szCs w:val="18"/>
                <w:vertAlign w:val="superscript"/>
                <w:lang w:val="fr-FR"/>
              </w:rPr>
              <w:t>5</w:t>
            </w:r>
          </w:p>
        </w:tc>
        <w:tc>
          <w:tcPr>
            <w:tcW w:w="1122" w:type="dxa"/>
            <w:shd w:val="clear" w:color="auto" w:fill="FFFFFF"/>
          </w:tcPr>
          <w:p w14:paraId="1C78E137" w14:textId="77777777" w:rsidR="00BE2CA7" w:rsidRPr="00440C76" w:rsidRDefault="00BE2CA7" w:rsidP="002B0590">
            <w:pPr>
              <w:spacing w:before="60" w:after="60" w:line="220" w:lineRule="atLeast"/>
              <w:ind w:left="57" w:right="57"/>
              <w:jc w:val="center"/>
              <w:rPr>
                <w:sz w:val="18"/>
                <w:szCs w:val="18"/>
                <w:lang w:val="fr-FR"/>
              </w:rPr>
            </w:pPr>
            <w:r w:rsidRPr="00440C76">
              <w:rPr>
                <w:sz w:val="18"/>
                <w:szCs w:val="18"/>
                <w:lang w:val="fr-FR"/>
              </w:rPr>
              <w:t>% (v/v)</w:t>
            </w:r>
          </w:p>
        </w:tc>
        <w:tc>
          <w:tcPr>
            <w:tcW w:w="2634" w:type="dxa"/>
            <w:gridSpan w:val="2"/>
            <w:shd w:val="clear" w:color="auto" w:fill="auto"/>
          </w:tcPr>
          <w:p w14:paraId="6464B220" w14:textId="77777777" w:rsidR="00BE2CA7" w:rsidRPr="00440C76" w:rsidRDefault="00BE2CA7" w:rsidP="002B0590">
            <w:pPr>
              <w:spacing w:before="60" w:after="60" w:line="220" w:lineRule="atLeast"/>
              <w:ind w:left="57" w:right="57"/>
              <w:jc w:val="center"/>
              <w:rPr>
                <w:sz w:val="18"/>
                <w:szCs w:val="18"/>
                <w:lang w:val="fr-FR"/>
              </w:rPr>
            </w:pPr>
            <w:r w:rsidRPr="00440C76">
              <w:rPr>
                <w:sz w:val="18"/>
                <w:szCs w:val="18"/>
                <w:lang w:val="fr-FR"/>
              </w:rPr>
              <w:t>Reste</w:t>
            </w:r>
          </w:p>
        </w:tc>
        <w:tc>
          <w:tcPr>
            <w:tcW w:w="2241" w:type="dxa"/>
            <w:shd w:val="clear" w:color="auto" w:fill="FFFFFF"/>
          </w:tcPr>
          <w:p w14:paraId="061269D8" w14:textId="77777777" w:rsidR="00BE2CA7" w:rsidRPr="00440C76" w:rsidRDefault="00BE2CA7" w:rsidP="002B0590">
            <w:pPr>
              <w:spacing w:before="60" w:after="60" w:line="220" w:lineRule="atLeast"/>
              <w:ind w:left="57" w:right="57"/>
              <w:rPr>
                <w:sz w:val="18"/>
                <w:szCs w:val="18"/>
                <w:lang w:val="fr-FR"/>
              </w:rPr>
            </w:pPr>
            <w:r w:rsidRPr="00440C76">
              <w:rPr>
                <w:sz w:val="18"/>
                <w:szCs w:val="18"/>
                <w:lang w:val="fr-FR"/>
              </w:rPr>
              <w:t>EN 228</w:t>
            </w:r>
          </w:p>
        </w:tc>
      </w:tr>
      <w:tr w:rsidR="00BE2CA7" w:rsidRPr="00440C76" w14:paraId="7D88B13B" w14:textId="77777777" w:rsidTr="002B0590">
        <w:trPr>
          <w:jc w:val="center"/>
        </w:trPr>
        <w:tc>
          <w:tcPr>
            <w:tcW w:w="3642" w:type="dxa"/>
            <w:shd w:val="clear" w:color="auto" w:fill="FFFFFF"/>
          </w:tcPr>
          <w:p w14:paraId="5C7A65D2" w14:textId="77777777" w:rsidR="00BE2CA7" w:rsidRPr="00440C76" w:rsidRDefault="00BE2CA7" w:rsidP="002B0590">
            <w:pPr>
              <w:spacing w:before="60" w:after="60" w:line="220" w:lineRule="atLeast"/>
              <w:ind w:left="57" w:right="57"/>
              <w:rPr>
                <w:sz w:val="18"/>
                <w:szCs w:val="18"/>
                <w:lang w:val="fr-FR"/>
              </w:rPr>
            </w:pPr>
            <w:r w:rsidRPr="00440C76">
              <w:rPr>
                <w:sz w:val="18"/>
                <w:szCs w:val="18"/>
                <w:lang w:val="fr-FR"/>
              </w:rPr>
              <w:t>Phosphore</w:t>
            </w:r>
          </w:p>
        </w:tc>
        <w:tc>
          <w:tcPr>
            <w:tcW w:w="1122" w:type="dxa"/>
            <w:shd w:val="clear" w:color="auto" w:fill="FFFFFF"/>
          </w:tcPr>
          <w:p w14:paraId="5EA1084C" w14:textId="77777777" w:rsidR="00BE2CA7" w:rsidRPr="00440C76" w:rsidRDefault="00BE2CA7" w:rsidP="002B0590">
            <w:pPr>
              <w:spacing w:before="60" w:after="60" w:line="220" w:lineRule="atLeast"/>
              <w:ind w:left="57" w:right="57"/>
              <w:jc w:val="center"/>
              <w:rPr>
                <w:sz w:val="18"/>
                <w:szCs w:val="18"/>
                <w:lang w:val="fr-FR"/>
              </w:rPr>
            </w:pPr>
            <w:r w:rsidRPr="00440C76">
              <w:rPr>
                <w:sz w:val="18"/>
                <w:szCs w:val="18"/>
                <w:lang w:val="fr-FR"/>
              </w:rPr>
              <w:t>mg/l</w:t>
            </w:r>
          </w:p>
        </w:tc>
        <w:tc>
          <w:tcPr>
            <w:tcW w:w="2634" w:type="dxa"/>
            <w:gridSpan w:val="2"/>
            <w:shd w:val="clear" w:color="auto" w:fill="auto"/>
          </w:tcPr>
          <w:p w14:paraId="62C831BC" w14:textId="77777777" w:rsidR="00BE2CA7" w:rsidRPr="00440C76" w:rsidRDefault="00BE2CA7" w:rsidP="002B0590">
            <w:pPr>
              <w:spacing w:before="60" w:after="60" w:line="220" w:lineRule="atLeast"/>
              <w:ind w:left="57" w:right="57"/>
              <w:jc w:val="center"/>
              <w:rPr>
                <w:sz w:val="18"/>
                <w:szCs w:val="18"/>
                <w:lang w:val="fr-FR"/>
              </w:rPr>
            </w:pPr>
            <w:r w:rsidRPr="00440C76">
              <w:rPr>
                <w:sz w:val="18"/>
                <w:szCs w:val="18"/>
                <w:lang w:val="fr-FR"/>
              </w:rPr>
              <w:t>0,3</w:t>
            </w:r>
            <w:r w:rsidRPr="00440C76">
              <w:rPr>
                <w:i/>
                <w:sz w:val="18"/>
                <w:szCs w:val="18"/>
                <w:vertAlign w:val="superscript"/>
                <w:lang w:val="fr-FR"/>
              </w:rPr>
              <w:t>6</w:t>
            </w:r>
          </w:p>
        </w:tc>
        <w:tc>
          <w:tcPr>
            <w:tcW w:w="2241" w:type="dxa"/>
            <w:shd w:val="clear" w:color="auto" w:fill="FFFFFF"/>
          </w:tcPr>
          <w:p w14:paraId="3528E93E" w14:textId="77777777" w:rsidR="00BE2CA7" w:rsidRPr="00440C76" w:rsidRDefault="00BE2CA7" w:rsidP="002B0590">
            <w:pPr>
              <w:spacing w:before="60" w:after="60" w:line="220" w:lineRule="atLeast"/>
              <w:ind w:left="57" w:right="57"/>
              <w:rPr>
                <w:sz w:val="18"/>
                <w:szCs w:val="18"/>
                <w:lang w:val="fr-FR"/>
              </w:rPr>
            </w:pPr>
            <w:r w:rsidRPr="00440C76">
              <w:rPr>
                <w:sz w:val="18"/>
                <w:szCs w:val="18"/>
                <w:lang w:val="fr-FR"/>
              </w:rPr>
              <w:t xml:space="preserve">EN 15487 </w:t>
            </w:r>
            <w:r w:rsidRPr="00440C76">
              <w:rPr>
                <w:sz w:val="18"/>
                <w:szCs w:val="18"/>
                <w:lang w:val="fr-FR"/>
              </w:rPr>
              <w:br/>
              <w:t>ASTM D 3231</w:t>
            </w:r>
          </w:p>
        </w:tc>
      </w:tr>
      <w:tr w:rsidR="00BE2CA7" w:rsidRPr="00440C76" w14:paraId="2BE4165E" w14:textId="77777777" w:rsidTr="002B0590">
        <w:trPr>
          <w:jc w:val="center"/>
        </w:trPr>
        <w:tc>
          <w:tcPr>
            <w:tcW w:w="3642" w:type="dxa"/>
            <w:shd w:val="clear" w:color="auto" w:fill="FFFFFF"/>
          </w:tcPr>
          <w:p w14:paraId="0004301B" w14:textId="77777777" w:rsidR="00BE2CA7" w:rsidRPr="00440C76" w:rsidRDefault="00BE2CA7" w:rsidP="002B0590">
            <w:pPr>
              <w:spacing w:before="60" w:after="60" w:line="220" w:lineRule="atLeast"/>
              <w:ind w:left="57" w:right="57"/>
              <w:rPr>
                <w:sz w:val="18"/>
                <w:szCs w:val="18"/>
                <w:lang w:val="fr-FR"/>
              </w:rPr>
            </w:pPr>
            <w:r w:rsidRPr="00440C76">
              <w:rPr>
                <w:sz w:val="18"/>
                <w:szCs w:val="18"/>
                <w:lang w:val="fr-FR"/>
              </w:rPr>
              <w:t>Teneur en eau</w:t>
            </w:r>
          </w:p>
        </w:tc>
        <w:tc>
          <w:tcPr>
            <w:tcW w:w="1122" w:type="dxa"/>
            <w:shd w:val="clear" w:color="auto" w:fill="FFFFFF"/>
          </w:tcPr>
          <w:p w14:paraId="3BB61F1A" w14:textId="77777777" w:rsidR="00BE2CA7" w:rsidRPr="00440C76" w:rsidRDefault="00BE2CA7" w:rsidP="002B0590">
            <w:pPr>
              <w:spacing w:before="60" w:after="60" w:line="220" w:lineRule="atLeast"/>
              <w:ind w:left="57" w:right="57"/>
              <w:jc w:val="center"/>
              <w:rPr>
                <w:sz w:val="18"/>
                <w:szCs w:val="18"/>
                <w:lang w:val="fr-FR"/>
              </w:rPr>
            </w:pPr>
            <w:r w:rsidRPr="00440C76">
              <w:rPr>
                <w:sz w:val="18"/>
                <w:szCs w:val="18"/>
                <w:lang w:val="fr-FR"/>
              </w:rPr>
              <w:t>% (v/v)</w:t>
            </w:r>
          </w:p>
        </w:tc>
        <w:tc>
          <w:tcPr>
            <w:tcW w:w="1317" w:type="dxa"/>
            <w:shd w:val="clear" w:color="auto" w:fill="FFFFFF"/>
          </w:tcPr>
          <w:p w14:paraId="54D3F120" w14:textId="77777777" w:rsidR="00BE2CA7" w:rsidRPr="00440C76" w:rsidRDefault="00BE2CA7" w:rsidP="002B0590">
            <w:pPr>
              <w:spacing w:before="60" w:after="60" w:line="220" w:lineRule="atLeast"/>
              <w:ind w:left="57" w:right="57"/>
              <w:jc w:val="center"/>
              <w:rPr>
                <w:sz w:val="18"/>
                <w:szCs w:val="18"/>
                <w:lang w:val="fr-FR"/>
              </w:rPr>
            </w:pPr>
            <w:r w:rsidRPr="00440C76">
              <w:rPr>
                <w:sz w:val="18"/>
                <w:szCs w:val="18"/>
                <w:lang w:val="fr-FR"/>
              </w:rPr>
              <w:t>-</w:t>
            </w:r>
          </w:p>
        </w:tc>
        <w:tc>
          <w:tcPr>
            <w:tcW w:w="1317" w:type="dxa"/>
            <w:shd w:val="clear" w:color="auto" w:fill="auto"/>
          </w:tcPr>
          <w:p w14:paraId="61D647AB" w14:textId="77777777" w:rsidR="00BE2CA7" w:rsidRPr="00440C76" w:rsidRDefault="00BE2CA7" w:rsidP="002B0590">
            <w:pPr>
              <w:spacing w:before="60" w:after="60" w:line="220" w:lineRule="atLeast"/>
              <w:ind w:left="57" w:right="57"/>
              <w:jc w:val="center"/>
              <w:rPr>
                <w:sz w:val="18"/>
                <w:szCs w:val="18"/>
                <w:lang w:val="fr-FR"/>
              </w:rPr>
            </w:pPr>
            <w:r w:rsidRPr="00440C76">
              <w:rPr>
                <w:sz w:val="18"/>
                <w:szCs w:val="18"/>
                <w:lang w:val="fr-FR"/>
              </w:rPr>
              <w:t>0,3</w:t>
            </w:r>
          </w:p>
        </w:tc>
        <w:tc>
          <w:tcPr>
            <w:tcW w:w="2241" w:type="dxa"/>
            <w:shd w:val="clear" w:color="auto" w:fill="FFFFFF"/>
          </w:tcPr>
          <w:p w14:paraId="74884C4D" w14:textId="77777777" w:rsidR="00BE2CA7" w:rsidRPr="00440C76" w:rsidRDefault="00BE2CA7" w:rsidP="002B0590">
            <w:pPr>
              <w:spacing w:before="60" w:after="60" w:line="220" w:lineRule="atLeast"/>
              <w:ind w:left="57" w:right="57"/>
              <w:rPr>
                <w:sz w:val="18"/>
                <w:szCs w:val="18"/>
                <w:lang w:val="fr-FR"/>
              </w:rPr>
            </w:pPr>
            <w:r w:rsidRPr="00440C76">
              <w:rPr>
                <w:sz w:val="18"/>
                <w:szCs w:val="18"/>
                <w:lang w:val="fr-FR"/>
              </w:rPr>
              <w:t>ASTM E 1064</w:t>
            </w:r>
            <w:r w:rsidRPr="00440C76">
              <w:rPr>
                <w:sz w:val="18"/>
                <w:szCs w:val="18"/>
                <w:lang w:val="fr-FR"/>
              </w:rPr>
              <w:br/>
              <w:t>EN 15 489</w:t>
            </w:r>
          </w:p>
        </w:tc>
      </w:tr>
      <w:tr w:rsidR="00BE2CA7" w:rsidRPr="00440C76" w14:paraId="1365F20D" w14:textId="77777777" w:rsidTr="002B0590">
        <w:trPr>
          <w:jc w:val="center"/>
        </w:trPr>
        <w:tc>
          <w:tcPr>
            <w:tcW w:w="3642" w:type="dxa"/>
            <w:shd w:val="clear" w:color="auto" w:fill="FFFFFF"/>
          </w:tcPr>
          <w:p w14:paraId="683AD94E" w14:textId="77777777" w:rsidR="00BE2CA7" w:rsidRPr="00440C76" w:rsidRDefault="00BE2CA7" w:rsidP="002B0590">
            <w:pPr>
              <w:spacing w:before="60" w:after="60" w:line="220" w:lineRule="atLeast"/>
              <w:ind w:left="57" w:right="57"/>
              <w:rPr>
                <w:sz w:val="18"/>
                <w:szCs w:val="18"/>
                <w:lang w:val="fr-FR"/>
              </w:rPr>
            </w:pPr>
            <w:r w:rsidRPr="00440C76">
              <w:rPr>
                <w:sz w:val="18"/>
                <w:szCs w:val="18"/>
                <w:lang w:val="fr-FR"/>
              </w:rPr>
              <w:t>Teneur en chlorures inorganiques</w:t>
            </w:r>
          </w:p>
        </w:tc>
        <w:tc>
          <w:tcPr>
            <w:tcW w:w="1122" w:type="dxa"/>
            <w:shd w:val="clear" w:color="auto" w:fill="FFFFFF"/>
          </w:tcPr>
          <w:p w14:paraId="34AF7847" w14:textId="77777777" w:rsidR="00BE2CA7" w:rsidRPr="00440C76" w:rsidRDefault="00BE2CA7" w:rsidP="002B0590">
            <w:pPr>
              <w:spacing w:before="60" w:after="60" w:line="220" w:lineRule="atLeast"/>
              <w:ind w:left="57" w:right="57"/>
              <w:jc w:val="center"/>
              <w:rPr>
                <w:sz w:val="18"/>
                <w:szCs w:val="18"/>
                <w:lang w:val="fr-FR"/>
              </w:rPr>
            </w:pPr>
            <w:r w:rsidRPr="00440C76">
              <w:rPr>
                <w:sz w:val="18"/>
                <w:szCs w:val="18"/>
                <w:lang w:val="fr-FR"/>
              </w:rPr>
              <w:t>mg/1</w:t>
            </w:r>
          </w:p>
        </w:tc>
        <w:tc>
          <w:tcPr>
            <w:tcW w:w="1317" w:type="dxa"/>
            <w:shd w:val="clear" w:color="auto" w:fill="FFFFFF"/>
          </w:tcPr>
          <w:p w14:paraId="4AA607B2" w14:textId="77777777" w:rsidR="00BE2CA7" w:rsidRPr="00440C76" w:rsidRDefault="00BE2CA7" w:rsidP="002B0590">
            <w:pPr>
              <w:spacing w:before="60" w:after="60" w:line="220" w:lineRule="atLeast"/>
              <w:ind w:left="57" w:right="57"/>
              <w:jc w:val="center"/>
              <w:rPr>
                <w:sz w:val="18"/>
                <w:szCs w:val="18"/>
                <w:lang w:val="fr-FR"/>
              </w:rPr>
            </w:pPr>
            <w:r w:rsidRPr="00440C76">
              <w:rPr>
                <w:sz w:val="18"/>
                <w:szCs w:val="18"/>
                <w:lang w:val="fr-FR"/>
              </w:rPr>
              <w:t>-</w:t>
            </w:r>
          </w:p>
        </w:tc>
        <w:tc>
          <w:tcPr>
            <w:tcW w:w="1317" w:type="dxa"/>
            <w:shd w:val="clear" w:color="auto" w:fill="auto"/>
          </w:tcPr>
          <w:p w14:paraId="5E821194" w14:textId="77777777" w:rsidR="00BE2CA7" w:rsidRPr="00440C76" w:rsidRDefault="00BE2CA7" w:rsidP="002B0590">
            <w:pPr>
              <w:spacing w:before="60" w:after="60" w:line="220" w:lineRule="atLeast"/>
              <w:ind w:left="57" w:right="57"/>
              <w:jc w:val="center"/>
              <w:rPr>
                <w:sz w:val="18"/>
                <w:szCs w:val="18"/>
                <w:lang w:val="fr-FR"/>
              </w:rPr>
            </w:pPr>
            <w:r w:rsidRPr="00440C76">
              <w:rPr>
                <w:sz w:val="18"/>
                <w:szCs w:val="18"/>
                <w:lang w:val="fr-FR"/>
              </w:rPr>
              <w:t>1</w:t>
            </w:r>
          </w:p>
        </w:tc>
        <w:tc>
          <w:tcPr>
            <w:tcW w:w="2241" w:type="dxa"/>
            <w:shd w:val="clear" w:color="auto" w:fill="FFFFFF"/>
          </w:tcPr>
          <w:p w14:paraId="3EE93368" w14:textId="77777777" w:rsidR="00BE2CA7" w:rsidRPr="00440C76" w:rsidRDefault="00BE2CA7" w:rsidP="002B0590">
            <w:pPr>
              <w:spacing w:before="60" w:after="60" w:line="220" w:lineRule="atLeast"/>
              <w:ind w:left="57" w:right="57"/>
              <w:rPr>
                <w:sz w:val="18"/>
                <w:szCs w:val="18"/>
                <w:lang w:val="fr-FR"/>
              </w:rPr>
            </w:pPr>
            <w:r w:rsidRPr="00440C76">
              <w:rPr>
                <w:sz w:val="18"/>
                <w:szCs w:val="18"/>
                <w:lang w:val="fr-FR"/>
              </w:rPr>
              <w:t>ISO</w:t>
            </w:r>
            <w:r>
              <w:rPr>
                <w:sz w:val="18"/>
                <w:szCs w:val="18"/>
                <w:lang w:val="fr-FR"/>
              </w:rPr>
              <w:t> </w:t>
            </w:r>
            <w:r w:rsidRPr="00440C76">
              <w:rPr>
                <w:sz w:val="18"/>
                <w:szCs w:val="18"/>
                <w:lang w:val="fr-FR"/>
              </w:rPr>
              <w:t>6227 − EN 15492</w:t>
            </w:r>
          </w:p>
        </w:tc>
      </w:tr>
      <w:tr w:rsidR="00BE2CA7" w:rsidRPr="00440C76" w14:paraId="69D2846C" w14:textId="77777777" w:rsidTr="002B0590">
        <w:trPr>
          <w:jc w:val="center"/>
        </w:trPr>
        <w:tc>
          <w:tcPr>
            <w:tcW w:w="3642" w:type="dxa"/>
            <w:shd w:val="clear" w:color="auto" w:fill="FFFFFF"/>
          </w:tcPr>
          <w:p w14:paraId="4903AB52" w14:textId="77777777" w:rsidR="00BE2CA7" w:rsidRPr="00440C76" w:rsidRDefault="00BE2CA7" w:rsidP="002B0590">
            <w:pPr>
              <w:spacing w:before="60" w:after="60" w:line="220" w:lineRule="atLeast"/>
              <w:ind w:left="57" w:right="57"/>
              <w:rPr>
                <w:sz w:val="18"/>
                <w:szCs w:val="18"/>
                <w:lang w:val="fr-FR"/>
              </w:rPr>
            </w:pPr>
            <w:proofErr w:type="spellStart"/>
            <w:r w:rsidRPr="00440C76">
              <w:rPr>
                <w:sz w:val="18"/>
                <w:szCs w:val="18"/>
                <w:lang w:val="fr-FR"/>
              </w:rPr>
              <w:t>pHe</w:t>
            </w:r>
            <w:proofErr w:type="spellEnd"/>
          </w:p>
        </w:tc>
        <w:tc>
          <w:tcPr>
            <w:tcW w:w="1122" w:type="dxa"/>
            <w:shd w:val="clear" w:color="auto" w:fill="FFFFFF"/>
          </w:tcPr>
          <w:p w14:paraId="2CD05762" w14:textId="77777777" w:rsidR="00BE2CA7" w:rsidRPr="00440C76" w:rsidRDefault="00BE2CA7" w:rsidP="002B0590">
            <w:pPr>
              <w:spacing w:before="60" w:after="60" w:line="220" w:lineRule="atLeast"/>
              <w:ind w:left="57" w:right="57"/>
              <w:jc w:val="center"/>
              <w:rPr>
                <w:sz w:val="18"/>
                <w:szCs w:val="18"/>
                <w:lang w:val="fr-FR"/>
              </w:rPr>
            </w:pPr>
          </w:p>
        </w:tc>
        <w:tc>
          <w:tcPr>
            <w:tcW w:w="1317" w:type="dxa"/>
            <w:shd w:val="clear" w:color="auto" w:fill="FFFFFF"/>
          </w:tcPr>
          <w:p w14:paraId="4FB52856" w14:textId="77777777" w:rsidR="00BE2CA7" w:rsidRPr="00440C76" w:rsidRDefault="00BE2CA7" w:rsidP="002B0590">
            <w:pPr>
              <w:spacing w:before="60" w:after="60" w:line="220" w:lineRule="atLeast"/>
              <w:ind w:left="57" w:right="57"/>
              <w:jc w:val="center"/>
              <w:rPr>
                <w:sz w:val="18"/>
                <w:szCs w:val="18"/>
                <w:lang w:val="fr-FR"/>
              </w:rPr>
            </w:pPr>
            <w:r w:rsidRPr="00440C76">
              <w:rPr>
                <w:sz w:val="18"/>
                <w:szCs w:val="18"/>
                <w:lang w:val="fr-FR"/>
              </w:rPr>
              <w:t>6,5</w:t>
            </w:r>
          </w:p>
        </w:tc>
        <w:tc>
          <w:tcPr>
            <w:tcW w:w="1317" w:type="dxa"/>
            <w:shd w:val="clear" w:color="auto" w:fill="auto"/>
          </w:tcPr>
          <w:p w14:paraId="73D94DFF" w14:textId="77777777" w:rsidR="00BE2CA7" w:rsidRPr="00440C76" w:rsidRDefault="00BE2CA7" w:rsidP="002B0590">
            <w:pPr>
              <w:spacing w:before="60" w:after="60" w:line="220" w:lineRule="atLeast"/>
              <w:ind w:left="57" w:right="57"/>
              <w:jc w:val="center"/>
              <w:rPr>
                <w:sz w:val="18"/>
                <w:szCs w:val="18"/>
                <w:lang w:val="fr-FR"/>
              </w:rPr>
            </w:pPr>
            <w:r w:rsidRPr="00440C76">
              <w:rPr>
                <w:sz w:val="18"/>
                <w:szCs w:val="18"/>
                <w:lang w:val="fr-FR"/>
              </w:rPr>
              <w:t>9</w:t>
            </w:r>
          </w:p>
        </w:tc>
        <w:tc>
          <w:tcPr>
            <w:tcW w:w="2241" w:type="dxa"/>
            <w:shd w:val="clear" w:color="auto" w:fill="FFFFFF"/>
          </w:tcPr>
          <w:p w14:paraId="729218E9" w14:textId="77777777" w:rsidR="00BE2CA7" w:rsidRPr="00440C76" w:rsidRDefault="00BE2CA7" w:rsidP="002B0590">
            <w:pPr>
              <w:spacing w:before="60" w:after="60" w:line="220" w:lineRule="atLeast"/>
              <w:ind w:left="57" w:right="57"/>
              <w:rPr>
                <w:sz w:val="18"/>
                <w:szCs w:val="18"/>
                <w:lang w:val="fr-FR"/>
              </w:rPr>
            </w:pPr>
            <w:r w:rsidRPr="00440C76">
              <w:rPr>
                <w:sz w:val="18"/>
                <w:szCs w:val="18"/>
                <w:lang w:val="fr-FR"/>
              </w:rPr>
              <w:t>ASTM D 6423</w:t>
            </w:r>
            <w:r w:rsidRPr="00440C76">
              <w:rPr>
                <w:sz w:val="18"/>
                <w:szCs w:val="18"/>
                <w:lang w:val="fr-FR"/>
              </w:rPr>
              <w:br/>
              <w:t>EN 15490</w:t>
            </w:r>
          </w:p>
        </w:tc>
      </w:tr>
      <w:tr w:rsidR="00BE2CA7" w:rsidRPr="00440C76" w14:paraId="41EFC3A2" w14:textId="77777777" w:rsidTr="002B0590">
        <w:trPr>
          <w:jc w:val="center"/>
        </w:trPr>
        <w:tc>
          <w:tcPr>
            <w:tcW w:w="3642" w:type="dxa"/>
            <w:shd w:val="clear" w:color="auto" w:fill="FFFFFF"/>
          </w:tcPr>
          <w:p w14:paraId="4C2F2516" w14:textId="77777777" w:rsidR="00BE2CA7" w:rsidRPr="00440C76" w:rsidRDefault="00BE2CA7" w:rsidP="002B0590">
            <w:pPr>
              <w:spacing w:before="60" w:after="60" w:line="220" w:lineRule="atLeast"/>
              <w:ind w:left="57" w:right="57"/>
              <w:rPr>
                <w:sz w:val="18"/>
                <w:szCs w:val="18"/>
                <w:lang w:val="fr-FR"/>
              </w:rPr>
            </w:pPr>
            <w:r w:rsidRPr="00440C76">
              <w:rPr>
                <w:sz w:val="18"/>
                <w:szCs w:val="18"/>
                <w:lang w:val="fr-FR"/>
              </w:rPr>
              <w:t>Corrosion sur lame de cuivre</w:t>
            </w:r>
            <w:r w:rsidRPr="00440C76">
              <w:rPr>
                <w:sz w:val="18"/>
                <w:szCs w:val="18"/>
                <w:lang w:val="fr-FR"/>
              </w:rPr>
              <w:br/>
              <w:t>(3 h à 50 °C)</w:t>
            </w:r>
          </w:p>
        </w:tc>
        <w:tc>
          <w:tcPr>
            <w:tcW w:w="1122" w:type="dxa"/>
            <w:shd w:val="clear" w:color="auto" w:fill="FFFFFF"/>
          </w:tcPr>
          <w:p w14:paraId="47AE8E84" w14:textId="77777777" w:rsidR="00BE2CA7" w:rsidRPr="00440C76" w:rsidRDefault="00BE2CA7" w:rsidP="002B0590">
            <w:pPr>
              <w:spacing w:before="60" w:after="60" w:line="220" w:lineRule="atLeast"/>
              <w:ind w:left="57" w:right="57"/>
              <w:jc w:val="center"/>
              <w:rPr>
                <w:sz w:val="18"/>
                <w:szCs w:val="18"/>
                <w:lang w:val="fr-FR"/>
              </w:rPr>
            </w:pPr>
            <w:r w:rsidRPr="00440C76">
              <w:rPr>
                <w:sz w:val="18"/>
                <w:szCs w:val="18"/>
                <w:lang w:val="fr-FR"/>
              </w:rPr>
              <w:t>Évaluation</w:t>
            </w:r>
          </w:p>
        </w:tc>
        <w:tc>
          <w:tcPr>
            <w:tcW w:w="1317" w:type="dxa"/>
            <w:shd w:val="clear" w:color="auto" w:fill="FFFFFF"/>
          </w:tcPr>
          <w:p w14:paraId="0E9E2969" w14:textId="77777777" w:rsidR="00BE2CA7" w:rsidRPr="00440C76" w:rsidRDefault="00BE2CA7" w:rsidP="002B0590">
            <w:pPr>
              <w:spacing w:before="60" w:after="60" w:line="220" w:lineRule="atLeast"/>
              <w:ind w:left="57" w:right="57"/>
              <w:jc w:val="center"/>
              <w:rPr>
                <w:sz w:val="18"/>
                <w:szCs w:val="18"/>
                <w:lang w:val="fr-FR"/>
              </w:rPr>
            </w:pPr>
            <w:r w:rsidRPr="00440C76">
              <w:rPr>
                <w:sz w:val="18"/>
                <w:szCs w:val="18"/>
                <w:lang w:val="fr-FR"/>
              </w:rPr>
              <w:t>Classe I</w:t>
            </w:r>
          </w:p>
        </w:tc>
        <w:tc>
          <w:tcPr>
            <w:tcW w:w="1317" w:type="dxa"/>
            <w:shd w:val="clear" w:color="auto" w:fill="auto"/>
          </w:tcPr>
          <w:p w14:paraId="64A7513F" w14:textId="77777777" w:rsidR="00BE2CA7" w:rsidRPr="00440C76" w:rsidRDefault="00BE2CA7" w:rsidP="002B0590">
            <w:pPr>
              <w:spacing w:before="60" w:after="60" w:line="220" w:lineRule="atLeast"/>
              <w:ind w:left="57" w:right="57"/>
              <w:jc w:val="center"/>
              <w:rPr>
                <w:sz w:val="18"/>
                <w:szCs w:val="18"/>
                <w:lang w:val="fr-FR"/>
              </w:rPr>
            </w:pPr>
          </w:p>
        </w:tc>
        <w:tc>
          <w:tcPr>
            <w:tcW w:w="2241" w:type="dxa"/>
            <w:shd w:val="clear" w:color="auto" w:fill="FFFFFF"/>
          </w:tcPr>
          <w:p w14:paraId="01E4CF42" w14:textId="77777777" w:rsidR="00BE2CA7" w:rsidRPr="00440C76" w:rsidRDefault="00BE2CA7" w:rsidP="002B0590">
            <w:pPr>
              <w:spacing w:before="60" w:after="60" w:line="220" w:lineRule="atLeast"/>
              <w:ind w:left="57" w:right="57"/>
              <w:rPr>
                <w:sz w:val="18"/>
                <w:szCs w:val="18"/>
                <w:lang w:val="fr-FR"/>
              </w:rPr>
            </w:pPr>
            <w:r w:rsidRPr="00440C76">
              <w:rPr>
                <w:sz w:val="18"/>
                <w:szCs w:val="18"/>
                <w:lang w:val="fr-FR"/>
              </w:rPr>
              <w:t>EN ISO</w:t>
            </w:r>
            <w:r>
              <w:rPr>
                <w:sz w:val="18"/>
                <w:szCs w:val="18"/>
                <w:lang w:val="fr-FR"/>
              </w:rPr>
              <w:t> </w:t>
            </w:r>
            <w:r w:rsidRPr="00440C76">
              <w:rPr>
                <w:sz w:val="18"/>
                <w:szCs w:val="18"/>
                <w:lang w:val="fr-FR"/>
              </w:rPr>
              <w:t>2160</w:t>
            </w:r>
          </w:p>
        </w:tc>
      </w:tr>
      <w:tr w:rsidR="00BE2CA7" w:rsidRPr="00440C76" w14:paraId="418205CD" w14:textId="77777777" w:rsidTr="002B0590">
        <w:trPr>
          <w:jc w:val="center"/>
        </w:trPr>
        <w:tc>
          <w:tcPr>
            <w:tcW w:w="3642" w:type="dxa"/>
            <w:vMerge w:val="restart"/>
            <w:shd w:val="clear" w:color="auto" w:fill="FFFFFF"/>
          </w:tcPr>
          <w:p w14:paraId="26310196" w14:textId="77777777" w:rsidR="00BE2CA7" w:rsidRPr="00440C76" w:rsidRDefault="00BE2CA7" w:rsidP="002B0590">
            <w:pPr>
              <w:spacing w:before="60" w:after="60" w:line="220" w:lineRule="atLeast"/>
              <w:ind w:left="57" w:right="57"/>
              <w:rPr>
                <w:sz w:val="18"/>
                <w:szCs w:val="18"/>
                <w:lang w:val="fr-FR"/>
              </w:rPr>
            </w:pPr>
            <w:r w:rsidRPr="00440C76">
              <w:rPr>
                <w:sz w:val="18"/>
                <w:szCs w:val="18"/>
                <w:lang w:val="fr-FR"/>
              </w:rPr>
              <w:t>Acidité (acide acétique</w:t>
            </w:r>
            <w:r>
              <w:rPr>
                <w:sz w:val="18"/>
                <w:szCs w:val="18"/>
                <w:lang w:val="fr-FR"/>
              </w:rPr>
              <w:t> </w:t>
            </w:r>
            <w:r w:rsidRPr="00440C76">
              <w:rPr>
                <w:sz w:val="18"/>
                <w:szCs w:val="18"/>
                <w:lang w:val="fr-FR"/>
              </w:rPr>
              <w:t>CH</w:t>
            </w:r>
            <w:r w:rsidRPr="00440C76">
              <w:rPr>
                <w:sz w:val="18"/>
                <w:szCs w:val="18"/>
                <w:vertAlign w:val="subscript"/>
                <w:lang w:val="fr-FR"/>
              </w:rPr>
              <w:t>3</w:t>
            </w:r>
            <w:r w:rsidRPr="00440C76">
              <w:rPr>
                <w:sz w:val="18"/>
                <w:szCs w:val="18"/>
                <w:lang w:val="fr-FR"/>
              </w:rPr>
              <w:t>COOH)</w:t>
            </w:r>
          </w:p>
        </w:tc>
        <w:tc>
          <w:tcPr>
            <w:tcW w:w="1122" w:type="dxa"/>
            <w:shd w:val="clear" w:color="auto" w:fill="FFFFFF"/>
          </w:tcPr>
          <w:p w14:paraId="411698E8" w14:textId="77777777" w:rsidR="00BE2CA7" w:rsidRPr="00440C76" w:rsidRDefault="00BE2CA7" w:rsidP="002B0590">
            <w:pPr>
              <w:spacing w:before="60" w:after="60" w:line="220" w:lineRule="atLeast"/>
              <w:ind w:left="57" w:right="57"/>
              <w:jc w:val="center"/>
              <w:rPr>
                <w:sz w:val="18"/>
                <w:szCs w:val="18"/>
                <w:lang w:val="fr-FR"/>
              </w:rPr>
            </w:pPr>
            <w:r w:rsidRPr="00440C76">
              <w:rPr>
                <w:sz w:val="18"/>
                <w:szCs w:val="18"/>
                <w:lang w:val="fr-FR"/>
              </w:rPr>
              <w:t>% (m/m)</w:t>
            </w:r>
          </w:p>
        </w:tc>
        <w:tc>
          <w:tcPr>
            <w:tcW w:w="1317" w:type="dxa"/>
            <w:shd w:val="clear" w:color="auto" w:fill="FFFFFF"/>
          </w:tcPr>
          <w:p w14:paraId="1AF4C5B7" w14:textId="77777777" w:rsidR="00BE2CA7" w:rsidRPr="00440C76" w:rsidRDefault="00BE2CA7" w:rsidP="002B0590">
            <w:pPr>
              <w:spacing w:before="60" w:after="60" w:line="220" w:lineRule="atLeast"/>
              <w:ind w:left="57" w:right="57"/>
              <w:jc w:val="center"/>
              <w:rPr>
                <w:sz w:val="18"/>
                <w:szCs w:val="18"/>
                <w:lang w:val="fr-FR"/>
              </w:rPr>
            </w:pPr>
          </w:p>
        </w:tc>
        <w:tc>
          <w:tcPr>
            <w:tcW w:w="1317" w:type="dxa"/>
            <w:shd w:val="clear" w:color="auto" w:fill="auto"/>
          </w:tcPr>
          <w:p w14:paraId="3B51B142" w14:textId="77777777" w:rsidR="00BE2CA7" w:rsidRPr="00440C76" w:rsidRDefault="00BE2CA7" w:rsidP="002B0590">
            <w:pPr>
              <w:spacing w:before="60" w:after="60" w:line="220" w:lineRule="atLeast"/>
              <w:ind w:left="57" w:right="57"/>
              <w:jc w:val="center"/>
              <w:rPr>
                <w:sz w:val="18"/>
                <w:szCs w:val="18"/>
                <w:lang w:val="fr-FR"/>
              </w:rPr>
            </w:pPr>
            <w:r w:rsidRPr="00440C76">
              <w:rPr>
                <w:sz w:val="18"/>
                <w:szCs w:val="18"/>
                <w:lang w:val="fr-FR"/>
              </w:rPr>
              <w:t>0,005</w:t>
            </w:r>
          </w:p>
        </w:tc>
        <w:tc>
          <w:tcPr>
            <w:tcW w:w="2241" w:type="dxa"/>
            <w:vMerge w:val="restart"/>
            <w:shd w:val="clear" w:color="auto" w:fill="FFFFFF"/>
          </w:tcPr>
          <w:p w14:paraId="4809F829" w14:textId="77777777" w:rsidR="00BE2CA7" w:rsidRPr="00440C76" w:rsidRDefault="00BE2CA7" w:rsidP="002B0590">
            <w:pPr>
              <w:spacing w:before="60" w:after="60" w:line="220" w:lineRule="atLeast"/>
              <w:ind w:left="57" w:right="57"/>
              <w:rPr>
                <w:sz w:val="18"/>
                <w:szCs w:val="18"/>
                <w:lang w:val="fr-FR"/>
              </w:rPr>
            </w:pPr>
            <w:r w:rsidRPr="00440C76">
              <w:rPr>
                <w:sz w:val="18"/>
                <w:szCs w:val="18"/>
                <w:lang w:val="fr-FR"/>
              </w:rPr>
              <w:t>ASTM</w:t>
            </w:r>
            <w:r>
              <w:rPr>
                <w:sz w:val="18"/>
                <w:szCs w:val="18"/>
                <w:lang w:val="fr-FR"/>
              </w:rPr>
              <w:t> </w:t>
            </w:r>
            <w:r w:rsidRPr="00440C76">
              <w:rPr>
                <w:sz w:val="18"/>
                <w:szCs w:val="18"/>
                <w:lang w:val="fr-FR"/>
              </w:rPr>
              <w:t>0161 3</w:t>
            </w:r>
            <w:r w:rsidRPr="00440C76">
              <w:rPr>
                <w:sz w:val="18"/>
                <w:szCs w:val="18"/>
                <w:lang w:val="fr-FR"/>
              </w:rPr>
              <w:br/>
              <w:t>EN 15491</w:t>
            </w:r>
          </w:p>
        </w:tc>
      </w:tr>
      <w:tr w:rsidR="00BE2CA7" w:rsidRPr="00440C76" w14:paraId="3B5A5DB3" w14:textId="77777777" w:rsidTr="002B0590">
        <w:trPr>
          <w:jc w:val="center"/>
        </w:trPr>
        <w:tc>
          <w:tcPr>
            <w:tcW w:w="3642" w:type="dxa"/>
            <w:vMerge/>
            <w:shd w:val="clear" w:color="auto" w:fill="FFFFFF"/>
          </w:tcPr>
          <w:p w14:paraId="34255933" w14:textId="77777777" w:rsidR="00BE2CA7" w:rsidRPr="00440C76" w:rsidRDefault="00BE2CA7" w:rsidP="002B0590">
            <w:pPr>
              <w:spacing w:before="60" w:after="60" w:line="220" w:lineRule="atLeast"/>
              <w:ind w:left="57" w:right="57"/>
              <w:rPr>
                <w:sz w:val="18"/>
                <w:szCs w:val="18"/>
                <w:lang w:val="fr-FR"/>
              </w:rPr>
            </w:pPr>
          </w:p>
        </w:tc>
        <w:tc>
          <w:tcPr>
            <w:tcW w:w="1122" w:type="dxa"/>
            <w:shd w:val="clear" w:color="auto" w:fill="FFFFFF"/>
          </w:tcPr>
          <w:p w14:paraId="17DBB732" w14:textId="77777777" w:rsidR="00BE2CA7" w:rsidRPr="00440C76" w:rsidRDefault="00BE2CA7" w:rsidP="002B0590">
            <w:pPr>
              <w:spacing w:before="60" w:after="60" w:line="220" w:lineRule="atLeast"/>
              <w:ind w:left="57" w:right="57"/>
              <w:jc w:val="center"/>
              <w:rPr>
                <w:sz w:val="18"/>
                <w:szCs w:val="18"/>
                <w:lang w:val="fr-FR"/>
              </w:rPr>
            </w:pPr>
            <w:r w:rsidRPr="00440C76">
              <w:rPr>
                <w:sz w:val="18"/>
                <w:szCs w:val="18"/>
                <w:lang w:val="fr-FR"/>
              </w:rPr>
              <w:t>mg/1</w:t>
            </w:r>
          </w:p>
        </w:tc>
        <w:tc>
          <w:tcPr>
            <w:tcW w:w="1317" w:type="dxa"/>
            <w:shd w:val="clear" w:color="auto" w:fill="FFFFFF"/>
          </w:tcPr>
          <w:p w14:paraId="630FBF72" w14:textId="77777777" w:rsidR="00BE2CA7" w:rsidRPr="00440C76" w:rsidRDefault="00BE2CA7" w:rsidP="002B0590">
            <w:pPr>
              <w:spacing w:before="60" w:after="60" w:line="220" w:lineRule="atLeast"/>
              <w:ind w:left="57" w:right="57"/>
              <w:jc w:val="center"/>
              <w:rPr>
                <w:sz w:val="18"/>
                <w:szCs w:val="18"/>
                <w:lang w:val="fr-FR"/>
              </w:rPr>
            </w:pPr>
          </w:p>
        </w:tc>
        <w:tc>
          <w:tcPr>
            <w:tcW w:w="1317" w:type="dxa"/>
            <w:shd w:val="clear" w:color="auto" w:fill="FFFFFF"/>
          </w:tcPr>
          <w:p w14:paraId="6E3060C9" w14:textId="77777777" w:rsidR="00BE2CA7" w:rsidRPr="00440C76" w:rsidRDefault="00BE2CA7" w:rsidP="002B0590">
            <w:pPr>
              <w:spacing w:before="60" w:after="60" w:line="220" w:lineRule="atLeast"/>
              <w:ind w:left="57" w:right="57"/>
              <w:jc w:val="center"/>
              <w:rPr>
                <w:sz w:val="18"/>
                <w:szCs w:val="18"/>
                <w:lang w:val="fr-FR"/>
              </w:rPr>
            </w:pPr>
            <w:r w:rsidRPr="00440C76">
              <w:rPr>
                <w:sz w:val="18"/>
                <w:szCs w:val="18"/>
                <w:lang w:val="fr-FR"/>
              </w:rPr>
              <w:t>40</w:t>
            </w:r>
          </w:p>
        </w:tc>
        <w:tc>
          <w:tcPr>
            <w:tcW w:w="2241" w:type="dxa"/>
            <w:vMerge/>
            <w:shd w:val="clear" w:color="auto" w:fill="FFFFFF"/>
          </w:tcPr>
          <w:p w14:paraId="50FE0032" w14:textId="77777777" w:rsidR="00BE2CA7" w:rsidRPr="00440C76" w:rsidRDefault="00BE2CA7" w:rsidP="002B0590">
            <w:pPr>
              <w:spacing w:before="60" w:after="60" w:line="220" w:lineRule="atLeast"/>
              <w:ind w:left="57" w:right="57"/>
              <w:rPr>
                <w:sz w:val="18"/>
                <w:szCs w:val="18"/>
                <w:lang w:val="fr-FR"/>
              </w:rPr>
            </w:pPr>
          </w:p>
        </w:tc>
      </w:tr>
      <w:tr w:rsidR="00BE2CA7" w:rsidRPr="00440C76" w14:paraId="38AA06D2" w14:textId="77777777" w:rsidTr="002B0590">
        <w:trPr>
          <w:jc w:val="center"/>
        </w:trPr>
        <w:tc>
          <w:tcPr>
            <w:tcW w:w="3642" w:type="dxa"/>
            <w:shd w:val="clear" w:color="auto" w:fill="FFFFFF"/>
          </w:tcPr>
          <w:p w14:paraId="14C96636" w14:textId="77777777" w:rsidR="00BE2CA7" w:rsidRPr="00440C76" w:rsidRDefault="00BE2CA7" w:rsidP="002B0590">
            <w:pPr>
              <w:spacing w:before="60" w:after="60" w:line="220" w:lineRule="atLeast"/>
              <w:ind w:left="57" w:right="57"/>
              <w:rPr>
                <w:sz w:val="18"/>
                <w:szCs w:val="18"/>
                <w:lang w:val="fr-FR"/>
              </w:rPr>
            </w:pPr>
            <w:r w:rsidRPr="00440C76">
              <w:rPr>
                <w:sz w:val="18"/>
                <w:szCs w:val="18"/>
                <w:lang w:val="fr-FR"/>
              </w:rPr>
              <w:t>Rapport carbone/hydrogène</w:t>
            </w:r>
          </w:p>
        </w:tc>
        <w:tc>
          <w:tcPr>
            <w:tcW w:w="1122" w:type="dxa"/>
            <w:shd w:val="clear" w:color="auto" w:fill="FFFFFF"/>
          </w:tcPr>
          <w:p w14:paraId="0D62D25A" w14:textId="77777777" w:rsidR="00BE2CA7" w:rsidRPr="00440C76" w:rsidRDefault="00BE2CA7" w:rsidP="002B0590">
            <w:pPr>
              <w:spacing w:before="60" w:after="60" w:line="220" w:lineRule="atLeast"/>
              <w:ind w:left="57" w:right="57"/>
              <w:jc w:val="center"/>
              <w:rPr>
                <w:sz w:val="18"/>
                <w:szCs w:val="18"/>
                <w:lang w:val="fr-FR"/>
              </w:rPr>
            </w:pPr>
          </w:p>
        </w:tc>
        <w:tc>
          <w:tcPr>
            <w:tcW w:w="2634" w:type="dxa"/>
            <w:gridSpan w:val="2"/>
            <w:shd w:val="clear" w:color="auto" w:fill="FFFFFF"/>
          </w:tcPr>
          <w:p w14:paraId="232C8B08" w14:textId="77777777" w:rsidR="00BE2CA7" w:rsidRPr="00440C76" w:rsidRDefault="00BE2CA7" w:rsidP="002B0590">
            <w:pPr>
              <w:spacing w:before="60" w:after="60" w:line="220" w:lineRule="atLeast"/>
              <w:ind w:left="57" w:right="57"/>
              <w:jc w:val="center"/>
              <w:rPr>
                <w:sz w:val="18"/>
                <w:szCs w:val="18"/>
                <w:lang w:val="fr-FR"/>
              </w:rPr>
            </w:pPr>
            <w:r w:rsidRPr="00440C76">
              <w:rPr>
                <w:sz w:val="18"/>
                <w:szCs w:val="18"/>
                <w:lang w:val="fr-FR"/>
              </w:rPr>
              <w:t>Valeur déclarée</w:t>
            </w:r>
          </w:p>
        </w:tc>
        <w:tc>
          <w:tcPr>
            <w:tcW w:w="2241" w:type="dxa"/>
            <w:shd w:val="clear" w:color="auto" w:fill="FFFFFF"/>
          </w:tcPr>
          <w:p w14:paraId="7EDE7E8E" w14:textId="77777777" w:rsidR="00BE2CA7" w:rsidRPr="00440C76" w:rsidRDefault="00BE2CA7" w:rsidP="002B0590">
            <w:pPr>
              <w:spacing w:before="60" w:after="60" w:line="220" w:lineRule="atLeast"/>
              <w:ind w:left="57" w:right="57"/>
              <w:rPr>
                <w:sz w:val="18"/>
                <w:szCs w:val="18"/>
                <w:lang w:val="fr-FR"/>
              </w:rPr>
            </w:pPr>
          </w:p>
        </w:tc>
      </w:tr>
      <w:tr w:rsidR="00BE2CA7" w:rsidRPr="00440C76" w14:paraId="7ADF453B" w14:textId="77777777" w:rsidTr="002B0590">
        <w:trPr>
          <w:jc w:val="center"/>
        </w:trPr>
        <w:tc>
          <w:tcPr>
            <w:tcW w:w="3642" w:type="dxa"/>
            <w:shd w:val="clear" w:color="auto" w:fill="FFFFFF"/>
          </w:tcPr>
          <w:p w14:paraId="6DD47C3B" w14:textId="77777777" w:rsidR="00BE2CA7" w:rsidRPr="00440C76" w:rsidRDefault="00BE2CA7" w:rsidP="002B0590">
            <w:pPr>
              <w:spacing w:before="60" w:after="60" w:line="220" w:lineRule="atLeast"/>
              <w:ind w:left="57" w:right="57"/>
              <w:rPr>
                <w:sz w:val="18"/>
                <w:szCs w:val="18"/>
                <w:lang w:val="fr-FR"/>
              </w:rPr>
            </w:pPr>
            <w:r w:rsidRPr="00440C76">
              <w:rPr>
                <w:sz w:val="18"/>
                <w:szCs w:val="18"/>
                <w:lang w:val="fr-FR"/>
              </w:rPr>
              <w:t>Rapport carbone/oxygène</w:t>
            </w:r>
          </w:p>
        </w:tc>
        <w:tc>
          <w:tcPr>
            <w:tcW w:w="1122" w:type="dxa"/>
            <w:shd w:val="clear" w:color="auto" w:fill="FFFFFF"/>
          </w:tcPr>
          <w:p w14:paraId="0BAECA63" w14:textId="77777777" w:rsidR="00BE2CA7" w:rsidRPr="00440C76" w:rsidRDefault="00BE2CA7" w:rsidP="002B0590">
            <w:pPr>
              <w:spacing w:before="60" w:after="60" w:line="220" w:lineRule="atLeast"/>
              <w:ind w:left="57" w:right="57"/>
              <w:jc w:val="center"/>
              <w:rPr>
                <w:sz w:val="18"/>
                <w:szCs w:val="18"/>
                <w:lang w:val="fr-FR"/>
              </w:rPr>
            </w:pPr>
          </w:p>
        </w:tc>
        <w:tc>
          <w:tcPr>
            <w:tcW w:w="2634" w:type="dxa"/>
            <w:gridSpan w:val="2"/>
            <w:shd w:val="clear" w:color="auto" w:fill="FFFFFF"/>
          </w:tcPr>
          <w:p w14:paraId="4B97019E" w14:textId="77777777" w:rsidR="00BE2CA7" w:rsidRPr="00440C76" w:rsidRDefault="00BE2CA7" w:rsidP="002B0590">
            <w:pPr>
              <w:spacing w:before="60" w:after="60" w:line="220" w:lineRule="atLeast"/>
              <w:ind w:left="57" w:right="57"/>
              <w:jc w:val="center"/>
              <w:rPr>
                <w:sz w:val="18"/>
                <w:szCs w:val="18"/>
                <w:lang w:val="fr-FR"/>
              </w:rPr>
            </w:pPr>
            <w:r w:rsidRPr="00440C76">
              <w:rPr>
                <w:sz w:val="18"/>
                <w:szCs w:val="18"/>
                <w:lang w:val="fr-FR"/>
              </w:rPr>
              <w:t>Valeur déclarée</w:t>
            </w:r>
          </w:p>
        </w:tc>
        <w:tc>
          <w:tcPr>
            <w:tcW w:w="2241" w:type="dxa"/>
            <w:shd w:val="clear" w:color="auto" w:fill="FFFFFF"/>
          </w:tcPr>
          <w:p w14:paraId="7B25F970" w14:textId="77777777" w:rsidR="00BE2CA7" w:rsidRPr="00440C76" w:rsidRDefault="00BE2CA7" w:rsidP="002B0590">
            <w:pPr>
              <w:spacing w:before="60" w:after="60" w:line="220" w:lineRule="atLeast"/>
              <w:ind w:left="57" w:right="57"/>
              <w:rPr>
                <w:sz w:val="18"/>
                <w:szCs w:val="18"/>
                <w:lang w:val="fr-FR"/>
              </w:rPr>
            </w:pPr>
          </w:p>
        </w:tc>
      </w:tr>
    </w:tbl>
    <w:p w14:paraId="626FD8E6" w14:textId="77777777" w:rsidR="00BE2CA7" w:rsidRPr="00440C76" w:rsidRDefault="00BE2CA7" w:rsidP="00BE2CA7">
      <w:pPr>
        <w:pStyle w:val="SingleTxtG"/>
        <w:spacing w:before="120" w:after="0" w:line="220" w:lineRule="atLeast"/>
        <w:ind w:left="0" w:right="0" w:firstLine="170"/>
        <w:jc w:val="left"/>
        <w:rPr>
          <w:spacing w:val="-1"/>
          <w:sz w:val="18"/>
          <w:szCs w:val="18"/>
          <w:lang w:val="fr-FR"/>
        </w:rPr>
      </w:pPr>
      <w:r w:rsidRPr="00440C76">
        <w:rPr>
          <w:i/>
          <w:sz w:val="18"/>
          <w:szCs w:val="18"/>
          <w:vertAlign w:val="superscript"/>
          <w:lang w:val="fr-FR"/>
        </w:rPr>
        <w:t>1</w:t>
      </w:r>
      <w:r w:rsidRPr="00440C76">
        <w:rPr>
          <w:sz w:val="18"/>
          <w:szCs w:val="18"/>
          <w:lang w:val="fr-FR"/>
        </w:rPr>
        <w:t xml:space="preserve"> </w:t>
      </w:r>
      <w:r>
        <w:rPr>
          <w:sz w:val="18"/>
          <w:szCs w:val="18"/>
          <w:lang w:val="fr-FR"/>
        </w:rPr>
        <w:t xml:space="preserve"> </w:t>
      </w:r>
      <w:r w:rsidRPr="00440C76">
        <w:rPr>
          <w:spacing w:val="-1"/>
          <w:sz w:val="18"/>
          <w:szCs w:val="18"/>
          <w:lang w:val="fr-FR"/>
        </w:rPr>
        <w:t xml:space="preserve">Les valeurs mentionnées dans les spécifications sont des </w:t>
      </w:r>
      <w:r w:rsidRPr="00440C76">
        <w:rPr>
          <w:spacing w:val="-1"/>
          <w:lang w:val="fr-FR"/>
        </w:rPr>
        <w:t>« </w:t>
      </w:r>
      <w:r w:rsidRPr="00440C76">
        <w:rPr>
          <w:spacing w:val="-1"/>
          <w:sz w:val="18"/>
          <w:szCs w:val="18"/>
          <w:lang w:val="fr-FR"/>
        </w:rPr>
        <w:t>valeurs vraies</w:t>
      </w:r>
      <w:r w:rsidRPr="00440C76">
        <w:rPr>
          <w:spacing w:val="-1"/>
          <w:lang w:val="fr-FR"/>
        </w:rPr>
        <w:t> »</w:t>
      </w:r>
      <w:r w:rsidRPr="00440C76">
        <w:rPr>
          <w:spacing w:val="-1"/>
          <w:sz w:val="18"/>
          <w:szCs w:val="18"/>
          <w:lang w:val="fr-FR"/>
        </w:rPr>
        <w:t>. Les valeurs limites ont été déterminées conformément à la norme ISO</w:t>
      </w:r>
      <w:r>
        <w:rPr>
          <w:spacing w:val="-1"/>
          <w:sz w:val="18"/>
          <w:szCs w:val="18"/>
          <w:lang w:val="fr-FR"/>
        </w:rPr>
        <w:t> </w:t>
      </w:r>
      <w:r w:rsidRPr="00440C76">
        <w:rPr>
          <w:spacing w:val="-1"/>
          <w:sz w:val="18"/>
          <w:szCs w:val="18"/>
          <w:lang w:val="fr-FR"/>
        </w:rPr>
        <w:t xml:space="preserve">4259 intitulée </w:t>
      </w:r>
      <w:r w:rsidRPr="00440C76">
        <w:rPr>
          <w:spacing w:val="-1"/>
          <w:lang w:val="fr-FR"/>
        </w:rPr>
        <w:t>« </w:t>
      </w:r>
      <w:r w:rsidRPr="00440C76">
        <w:rPr>
          <w:spacing w:val="-1"/>
          <w:sz w:val="18"/>
          <w:szCs w:val="18"/>
          <w:lang w:val="fr-FR"/>
        </w:rPr>
        <w:t>Produits pétroliers − Détermination et application des valeurs de fidélité relatives aux méthodes d</w:t>
      </w:r>
      <w:r>
        <w:rPr>
          <w:spacing w:val="-1"/>
          <w:sz w:val="18"/>
          <w:szCs w:val="18"/>
          <w:lang w:val="fr-FR"/>
        </w:rPr>
        <w:t>’</w:t>
      </w:r>
      <w:r w:rsidRPr="00440C76">
        <w:rPr>
          <w:spacing w:val="-1"/>
          <w:sz w:val="18"/>
          <w:szCs w:val="18"/>
          <w:lang w:val="fr-FR"/>
        </w:rPr>
        <w:t>essai</w:t>
      </w:r>
      <w:r w:rsidRPr="00440C76">
        <w:rPr>
          <w:spacing w:val="-1"/>
          <w:lang w:val="fr-FR"/>
        </w:rPr>
        <w:t> »</w:t>
      </w:r>
      <w:r w:rsidRPr="00440C76">
        <w:rPr>
          <w:spacing w:val="-1"/>
          <w:sz w:val="18"/>
          <w:szCs w:val="18"/>
          <w:lang w:val="fr-FR"/>
        </w:rPr>
        <w:t>. Pour la fixation d</w:t>
      </w:r>
      <w:r>
        <w:rPr>
          <w:spacing w:val="-1"/>
          <w:sz w:val="18"/>
          <w:szCs w:val="18"/>
          <w:lang w:val="fr-FR"/>
        </w:rPr>
        <w:t>’</w:t>
      </w:r>
      <w:r w:rsidRPr="00440C76">
        <w:rPr>
          <w:spacing w:val="-1"/>
          <w:sz w:val="18"/>
          <w:szCs w:val="18"/>
          <w:lang w:val="fr-FR"/>
        </w:rPr>
        <w:t>un minimum, une différence minimale de 2R par rapport à la valeur zéro a été prise en compte ; pour la fixation d</w:t>
      </w:r>
      <w:r>
        <w:rPr>
          <w:spacing w:val="-1"/>
          <w:sz w:val="18"/>
          <w:szCs w:val="18"/>
          <w:lang w:val="fr-FR"/>
        </w:rPr>
        <w:t>’</w:t>
      </w:r>
      <w:r w:rsidRPr="00440C76">
        <w:rPr>
          <w:spacing w:val="-1"/>
          <w:sz w:val="18"/>
          <w:szCs w:val="18"/>
          <w:lang w:val="fr-FR"/>
        </w:rPr>
        <w:t>un maximum et d</w:t>
      </w:r>
      <w:r>
        <w:rPr>
          <w:spacing w:val="-1"/>
          <w:sz w:val="18"/>
          <w:szCs w:val="18"/>
          <w:lang w:val="fr-FR"/>
        </w:rPr>
        <w:t>’</w:t>
      </w:r>
      <w:r w:rsidRPr="00440C76">
        <w:rPr>
          <w:spacing w:val="-1"/>
          <w:sz w:val="18"/>
          <w:szCs w:val="18"/>
          <w:lang w:val="fr-FR"/>
        </w:rPr>
        <w:t>un minimum, la différence minimale entre ces valeurs a été de 4R (R = reproductibilité). Malgré cette mesure, qui est nécessaire pour des raisons techniques, le fabricant de carburant doit viser la valeur zéro lorsque la valeur maximale indiquée est de 2R ou la valeur moyenne lorsqu</w:t>
      </w:r>
      <w:r>
        <w:rPr>
          <w:spacing w:val="-1"/>
          <w:sz w:val="18"/>
          <w:szCs w:val="18"/>
          <w:lang w:val="fr-FR"/>
        </w:rPr>
        <w:t>’</w:t>
      </w:r>
      <w:r w:rsidRPr="00440C76">
        <w:rPr>
          <w:spacing w:val="-1"/>
          <w:sz w:val="18"/>
          <w:szCs w:val="18"/>
          <w:lang w:val="fr-FR"/>
        </w:rPr>
        <w:t>il existe un minimum et un maximum. Au cas où il serait nécessaire de vérifier le respect des spécifications pour un carburant, les dispositions de la norme ISO 4259 devraient être appliquées.</w:t>
      </w:r>
    </w:p>
    <w:p w14:paraId="77E0E21E" w14:textId="77777777" w:rsidR="00BE2CA7" w:rsidRPr="00440C76" w:rsidRDefault="00BE2CA7" w:rsidP="00BE2CA7">
      <w:pPr>
        <w:pStyle w:val="SingleTxtG"/>
        <w:spacing w:after="0" w:line="220" w:lineRule="atLeast"/>
        <w:ind w:left="0" w:right="0" w:firstLine="170"/>
        <w:jc w:val="left"/>
        <w:rPr>
          <w:sz w:val="18"/>
          <w:szCs w:val="18"/>
          <w:lang w:val="fr-FR"/>
        </w:rPr>
      </w:pPr>
      <w:r w:rsidRPr="00440C76">
        <w:rPr>
          <w:i/>
          <w:sz w:val="18"/>
          <w:szCs w:val="18"/>
          <w:vertAlign w:val="superscript"/>
          <w:lang w:val="fr-FR"/>
        </w:rPr>
        <w:t>2</w:t>
      </w:r>
      <w:r w:rsidRPr="00440C76">
        <w:rPr>
          <w:sz w:val="18"/>
          <w:szCs w:val="18"/>
          <w:lang w:val="fr-FR"/>
        </w:rPr>
        <w:t xml:space="preserve"> </w:t>
      </w:r>
      <w:r>
        <w:rPr>
          <w:sz w:val="18"/>
          <w:szCs w:val="18"/>
          <w:lang w:val="fr-FR"/>
        </w:rPr>
        <w:t xml:space="preserve"> </w:t>
      </w:r>
      <w:r w:rsidRPr="00440C76">
        <w:rPr>
          <w:sz w:val="18"/>
          <w:szCs w:val="18"/>
          <w:lang w:val="fr-FR"/>
        </w:rPr>
        <w:t>En cas de différend, il convient de recourir aux procédures de règlement des différends et d</w:t>
      </w:r>
      <w:r>
        <w:rPr>
          <w:sz w:val="18"/>
          <w:szCs w:val="18"/>
          <w:lang w:val="fr-FR"/>
        </w:rPr>
        <w:t>’</w:t>
      </w:r>
      <w:r w:rsidRPr="00440C76">
        <w:rPr>
          <w:sz w:val="18"/>
          <w:szCs w:val="18"/>
          <w:lang w:val="fr-FR"/>
        </w:rPr>
        <w:t>interprétation des résultats basées sur la précision de la méthode d</w:t>
      </w:r>
      <w:r>
        <w:rPr>
          <w:sz w:val="18"/>
          <w:szCs w:val="18"/>
          <w:lang w:val="fr-FR"/>
        </w:rPr>
        <w:t>’</w:t>
      </w:r>
      <w:r w:rsidRPr="00440C76">
        <w:rPr>
          <w:sz w:val="18"/>
          <w:szCs w:val="18"/>
          <w:lang w:val="fr-FR"/>
        </w:rPr>
        <w:t>essai, décrites dans EN ISO 4259.</w:t>
      </w:r>
    </w:p>
    <w:p w14:paraId="094F8EB0" w14:textId="77777777" w:rsidR="00BE2CA7" w:rsidRPr="00440C76" w:rsidRDefault="00BE2CA7" w:rsidP="00BE2CA7">
      <w:pPr>
        <w:pStyle w:val="SingleTxtG"/>
        <w:spacing w:after="0" w:line="220" w:lineRule="atLeast"/>
        <w:ind w:left="0" w:right="0" w:firstLine="170"/>
        <w:jc w:val="left"/>
        <w:rPr>
          <w:sz w:val="18"/>
          <w:szCs w:val="18"/>
          <w:lang w:val="fr-FR"/>
        </w:rPr>
      </w:pPr>
      <w:r w:rsidRPr="00440C76">
        <w:rPr>
          <w:i/>
          <w:sz w:val="18"/>
          <w:szCs w:val="18"/>
          <w:vertAlign w:val="superscript"/>
          <w:lang w:val="fr-FR"/>
        </w:rPr>
        <w:t>3</w:t>
      </w:r>
      <w:r w:rsidRPr="00440C76">
        <w:rPr>
          <w:sz w:val="18"/>
          <w:szCs w:val="18"/>
          <w:lang w:val="fr-FR"/>
        </w:rPr>
        <w:t xml:space="preserve"> </w:t>
      </w:r>
      <w:r>
        <w:rPr>
          <w:sz w:val="18"/>
          <w:szCs w:val="18"/>
          <w:lang w:val="fr-FR"/>
        </w:rPr>
        <w:t xml:space="preserve"> </w:t>
      </w:r>
      <w:r w:rsidRPr="00440C76">
        <w:rPr>
          <w:sz w:val="18"/>
          <w:szCs w:val="18"/>
          <w:lang w:val="fr-FR"/>
        </w:rPr>
        <w:t>En cas de différend national concernant la teneur en soufre, les normes EN ISO 20846 ou EN ISO 20884 sont invoquées de manière similaire à la référence figurant dans l</w:t>
      </w:r>
      <w:r>
        <w:rPr>
          <w:sz w:val="18"/>
          <w:szCs w:val="18"/>
          <w:lang w:val="fr-FR"/>
        </w:rPr>
        <w:t>’</w:t>
      </w:r>
      <w:r w:rsidRPr="00440C76">
        <w:rPr>
          <w:sz w:val="18"/>
          <w:szCs w:val="18"/>
          <w:lang w:val="fr-FR"/>
        </w:rPr>
        <w:t>annexe de la norme EN 228.</w:t>
      </w:r>
    </w:p>
    <w:p w14:paraId="4C21BE18" w14:textId="77777777" w:rsidR="00BE2CA7" w:rsidRPr="00440C76" w:rsidRDefault="00BE2CA7" w:rsidP="00BE2CA7">
      <w:pPr>
        <w:pStyle w:val="SingleTxtG"/>
        <w:spacing w:after="0" w:line="220" w:lineRule="atLeast"/>
        <w:ind w:left="0" w:right="0" w:firstLine="170"/>
        <w:jc w:val="left"/>
        <w:rPr>
          <w:sz w:val="18"/>
          <w:szCs w:val="18"/>
          <w:lang w:val="fr-FR"/>
        </w:rPr>
      </w:pPr>
      <w:r w:rsidRPr="00440C76">
        <w:rPr>
          <w:i/>
          <w:sz w:val="18"/>
          <w:szCs w:val="18"/>
          <w:vertAlign w:val="superscript"/>
          <w:lang w:val="fr-FR"/>
        </w:rPr>
        <w:t>4</w:t>
      </w:r>
      <w:r w:rsidRPr="00440C76">
        <w:rPr>
          <w:sz w:val="18"/>
          <w:szCs w:val="18"/>
          <w:lang w:val="fr-FR"/>
        </w:rPr>
        <w:t xml:space="preserve"> </w:t>
      </w:r>
      <w:r>
        <w:rPr>
          <w:sz w:val="18"/>
          <w:szCs w:val="18"/>
          <w:lang w:val="fr-FR"/>
        </w:rPr>
        <w:t xml:space="preserve"> </w:t>
      </w:r>
      <w:r w:rsidRPr="00440C76">
        <w:rPr>
          <w:sz w:val="18"/>
          <w:szCs w:val="18"/>
          <w:lang w:val="fr-FR"/>
        </w:rPr>
        <w:t>Il convient de communiquer la teneur en soufre effective du carburant utilisé pour les essais du type</w:t>
      </w:r>
      <w:r>
        <w:rPr>
          <w:sz w:val="18"/>
          <w:szCs w:val="18"/>
          <w:lang w:val="fr-FR"/>
        </w:rPr>
        <w:t> </w:t>
      </w:r>
      <w:r w:rsidRPr="00440C76">
        <w:rPr>
          <w:sz w:val="18"/>
          <w:szCs w:val="18"/>
          <w:lang w:val="fr-FR"/>
        </w:rPr>
        <w:t>6.</w:t>
      </w:r>
    </w:p>
    <w:p w14:paraId="4586757C" w14:textId="77777777" w:rsidR="00BE2CA7" w:rsidRPr="00440C76" w:rsidRDefault="00BE2CA7" w:rsidP="00BE2CA7">
      <w:pPr>
        <w:pStyle w:val="SingleTxtG"/>
        <w:spacing w:after="0" w:line="220" w:lineRule="atLeast"/>
        <w:ind w:left="0" w:right="0" w:firstLine="170"/>
        <w:jc w:val="left"/>
        <w:rPr>
          <w:sz w:val="18"/>
          <w:szCs w:val="18"/>
          <w:lang w:val="fr-FR"/>
        </w:rPr>
      </w:pPr>
      <w:r w:rsidRPr="00440C76">
        <w:rPr>
          <w:i/>
          <w:sz w:val="18"/>
          <w:szCs w:val="18"/>
          <w:vertAlign w:val="superscript"/>
          <w:lang w:val="fr-FR"/>
        </w:rPr>
        <w:t>5</w:t>
      </w:r>
      <w:r w:rsidRPr="00440C76">
        <w:rPr>
          <w:sz w:val="18"/>
          <w:szCs w:val="18"/>
          <w:lang w:val="fr-FR"/>
        </w:rPr>
        <w:t xml:space="preserve"> </w:t>
      </w:r>
      <w:r>
        <w:rPr>
          <w:sz w:val="18"/>
          <w:szCs w:val="18"/>
          <w:lang w:val="fr-FR"/>
        </w:rPr>
        <w:t xml:space="preserve"> </w:t>
      </w:r>
      <w:r w:rsidRPr="00440C76">
        <w:rPr>
          <w:sz w:val="18"/>
          <w:szCs w:val="18"/>
          <w:lang w:val="fr-FR"/>
        </w:rPr>
        <w:t>La teneur en essence sans plomb peut être déterminée comme égale à 100 moins la somme des teneurs en pourcentage d</w:t>
      </w:r>
      <w:r>
        <w:rPr>
          <w:sz w:val="18"/>
          <w:szCs w:val="18"/>
          <w:lang w:val="fr-FR"/>
        </w:rPr>
        <w:t>’</w:t>
      </w:r>
      <w:r w:rsidRPr="00440C76">
        <w:rPr>
          <w:sz w:val="18"/>
          <w:szCs w:val="18"/>
          <w:lang w:val="fr-FR"/>
        </w:rPr>
        <w:t>eau et d</w:t>
      </w:r>
      <w:r>
        <w:rPr>
          <w:sz w:val="18"/>
          <w:szCs w:val="18"/>
          <w:lang w:val="fr-FR"/>
        </w:rPr>
        <w:t>’</w:t>
      </w:r>
      <w:r w:rsidRPr="00440C76">
        <w:rPr>
          <w:sz w:val="18"/>
          <w:szCs w:val="18"/>
          <w:lang w:val="fr-FR"/>
        </w:rPr>
        <w:t>alcools.</w:t>
      </w:r>
    </w:p>
    <w:p w14:paraId="5255FCEC" w14:textId="77777777" w:rsidR="00BE2CA7" w:rsidRPr="00440C76" w:rsidRDefault="00BE2CA7" w:rsidP="00BE2CA7">
      <w:pPr>
        <w:pStyle w:val="SingleTxtG"/>
        <w:spacing w:after="0" w:line="220" w:lineRule="atLeast"/>
        <w:ind w:left="0" w:right="0" w:firstLine="170"/>
        <w:jc w:val="left"/>
        <w:rPr>
          <w:sz w:val="18"/>
          <w:szCs w:val="18"/>
          <w:lang w:val="fr-FR"/>
        </w:rPr>
      </w:pPr>
      <w:r w:rsidRPr="00440C76">
        <w:rPr>
          <w:i/>
          <w:sz w:val="18"/>
          <w:szCs w:val="18"/>
          <w:vertAlign w:val="superscript"/>
          <w:lang w:val="fr-FR"/>
        </w:rPr>
        <w:lastRenderedPageBreak/>
        <w:t>6</w:t>
      </w:r>
      <w:r w:rsidRPr="00440C76">
        <w:rPr>
          <w:sz w:val="18"/>
          <w:szCs w:val="18"/>
          <w:lang w:val="fr-FR"/>
        </w:rPr>
        <w:t xml:space="preserve"> </w:t>
      </w:r>
      <w:r>
        <w:rPr>
          <w:sz w:val="18"/>
          <w:szCs w:val="18"/>
          <w:lang w:val="fr-FR"/>
        </w:rPr>
        <w:t xml:space="preserve"> </w:t>
      </w:r>
      <w:r w:rsidRPr="00440C76">
        <w:rPr>
          <w:sz w:val="18"/>
          <w:szCs w:val="18"/>
          <w:lang w:val="fr-FR"/>
        </w:rPr>
        <w:t>Aucun composant contenant du phosphore, du fer, du manganèse ou du plomb ne doit être ajouté délibérément au carburant de référence.</w:t>
      </w:r>
    </w:p>
    <w:p w14:paraId="47D4D2A2" w14:textId="77777777" w:rsidR="00BE2CA7" w:rsidRPr="00440C76" w:rsidRDefault="00BE2CA7" w:rsidP="00BE2CA7">
      <w:pPr>
        <w:pStyle w:val="SingleTxtG"/>
        <w:spacing w:after="0" w:line="220" w:lineRule="atLeast"/>
        <w:ind w:left="0" w:right="0" w:firstLine="170"/>
        <w:jc w:val="left"/>
        <w:rPr>
          <w:sz w:val="18"/>
          <w:szCs w:val="18"/>
          <w:lang w:val="fr-FR"/>
        </w:rPr>
      </w:pPr>
      <w:r w:rsidRPr="00440C76">
        <w:rPr>
          <w:i/>
          <w:sz w:val="18"/>
          <w:szCs w:val="18"/>
          <w:vertAlign w:val="superscript"/>
          <w:lang w:val="fr-FR"/>
        </w:rPr>
        <w:t>7</w:t>
      </w:r>
      <w:r w:rsidRPr="00440C76">
        <w:rPr>
          <w:sz w:val="18"/>
          <w:szCs w:val="18"/>
          <w:lang w:val="fr-FR"/>
        </w:rPr>
        <w:t xml:space="preserve"> </w:t>
      </w:r>
      <w:r>
        <w:rPr>
          <w:sz w:val="18"/>
          <w:szCs w:val="18"/>
          <w:lang w:val="fr-FR"/>
        </w:rPr>
        <w:t xml:space="preserve"> </w:t>
      </w:r>
      <w:r w:rsidRPr="00440C76">
        <w:rPr>
          <w:sz w:val="18"/>
          <w:szCs w:val="18"/>
          <w:lang w:val="fr-FR"/>
        </w:rPr>
        <w:t>Le seul oxygénant pouvant être ajouté délibérément au carburant de référence est l</w:t>
      </w:r>
      <w:r>
        <w:rPr>
          <w:sz w:val="18"/>
          <w:szCs w:val="18"/>
          <w:lang w:val="fr-FR"/>
        </w:rPr>
        <w:t>’</w:t>
      </w:r>
      <w:r w:rsidRPr="00440C76">
        <w:rPr>
          <w:sz w:val="18"/>
          <w:szCs w:val="18"/>
          <w:lang w:val="fr-FR"/>
        </w:rPr>
        <w:t>éthanol conforme à la spécification EN 15376.</w:t>
      </w:r>
    </w:p>
    <w:p w14:paraId="4AA17614" w14:textId="77777777" w:rsidR="00BE2CA7" w:rsidRPr="00440C76" w:rsidRDefault="00BE2CA7" w:rsidP="00BE2CA7">
      <w:pPr>
        <w:pStyle w:val="SingleTxtG"/>
        <w:rPr>
          <w:lang w:val="fr-FR"/>
        </w:rPr>
      </w:pPr>
      <w:r w:rsidRPr="00440C76">
        <w:rPr>
          <w:lang w:val="fr-FR"/>
        </w:rPr>
        <w:br w:type="page"/>
      </w:r>
    </w:p>
    <w:p w14:paraId="2F3BC651" w14:textId="77777777" w:rsidR="00BE2CA7" w:rsidRPr="00440C76" w:rsidRDefault="00BE2CA7" w:rsidP="00BE2CA7">
      <w:pPr>
        <w:pStyle w:val="HChG"/>
        <w:rPr>
          <w:lang w:val="fr-FR"/>
        </w:rPr>
      </w:pPr>
      <w:r w:rsidRPr="00440C76">
        <w:rPr>
          <w:lang w:val="fr-FR"/>
        </w:rPr>
        <w:lastRenderedPageBreak/>
        <w:t>Annexe</w:t>
      </w:r>
      <w:r>
        <w:rPr>
          <w:lang w:val="fr-FR"/>
        </w:rPr>
        <w:t> </w:t>
      </w:r>
      <w:r w:rsidRPr="00440C76">
        <w:rPr>
          <w:lang w:val="fr-FR"/>
        </w:rPr>
        <w:t>10a</w:t>
      </w:r>
    </w:p>
    <w:p w14:paraId="2333DE3B" w14:textId="77777777" w:rsidR="00BE2CA7" w:rsidRPr="00440C76" w:rsidRDefault="00BE2CA7" w:rsidP="00BE2CA7">
      <w:pPr>
        <w:pStyle w:val="HChG"/>
        <w:rPr>
          <w:lang w:val="fr-FR"/>
        </w:rPr>
      </w:pPr>
      <w:r w:rsidRPr="00440C76">
        <w:rPr>
          <w:lang w:val="fr-FR"/>
        </w:rPr>
        <w:tab/>
      </w:r>
      <w:r w:rsidRPr="00440C76">
        <w:rPr>
          <w:lang w:val="fr-FR"/>
        </w:rPr>
        <w:tab/>
        <w:t>Spécifications des carburants gazeux de référence</w:t>
      </w:r>
    </w:p>
    <w:p w14:paraId="17E137E1" w14:textId="77777777" w:rsidR="00BE2CA7" w:rsidRPr="00440C76" w:rsidRDefault="00BE2CA7" w:rsidP="00BE2CA7">
      <w:pPr>
        <w:pStyle w:val="SingleTxtG"/>
        <w:keepNext/>
        <w:ind w:left="2268" w:hanging="1134"/>
        <w:rPr>
          <w:lang w:val="fr-FR"/>
        </w:rPr>
      </w:pPr>
      <w:r w:rsidRPr="00440C76">
        <w:rPr>
          <w:lang w:val="fr-FR"/>
        </w:rPr>
        <w:t>1.</w:t>
      </w:r>
      <w:r w:rsidRPr="00440C76">
        <w:rPr>
          <w:lang w:val="fr-FR"/>
        </w:rPr>
        <w:tab/>
        <w:t>Spécifications des carburants gazeux de référence</w:t>
      </w:r>
    </w:p>
    <w:p w14:paraId="3629804A" w14:textId="77777777" w:rsidR="00BE2CA7" w:rsidRPr="00440C76" w:rsidRDefault="00BE2CA7" w:rsidP="00BE2CA7">
      <w:pPr>
        <w:pStyle w:val="SingleTxtG"/>
        <w:ind w:left="2268" w:hanging="1134"/>
        <w:rPr>
          <w:lang w:val="fr-FR"/>
        </w:rPr>
      </w:pPr>
      <w:r w:rsidRPr="00440C76">
        <w:rPr>
          <w:lang w:val="fr-FR"/>
        </w:rPr>
        <w:t>1.1</w:t>
      </w:r>
      <w:r w:rsidRPr="00440C76">
        <w:rPr>
          <w:lang w:val="fr-FR"/>
        </w:rPr>
        <w:tab/>
        <w:t>Les spécifications des carburants gazeux de référence à utiliser sont celles énoncées à l</w:t>
      </w:r>
      <w:r>
        <w:rPr>
          <w:lang w:val="fr-FR"/>
        </w:rPr>
        <w:t>’</w:t>
      </w:r>
      <w:r w:rsidRPr="00440C76">
        <w:rPr>
          <w:lang w:val="fr-FR"/>
        </w:rPr>
        <w:t>annexe</w:t>
      </w:r>
      <w:r>
        <w:rPr>
          <w:lang w:val="fr-FR"/>
        </w:rPr>
        <w:t> </w:t>
      </w:r>
      <w:r w:rsidRPr="00440C76">
        <w:rPr>
          <w:lang w:val="fr-FR"/>
        </w:rPr>
        <w:t>B3 du Règlement ONU n</w:t>
      </w:r>
      <w:r w:rsidRPr="00440C76">
        <w:rPr>
          <w:vertAlign w:val="superscript"/>
          <w:lang w:val="fr-FR"/>
        </w:rPr>
        <w:t>o</w:t>
      </w:r>
      <w:r w:rsidRPr="00440C76">
        <w:rPr>
          <w:lang w:val="fr-FR"/>
        </w:rPr>
        <w:t> 154.</w:t>
      </w:r>
    </w:p>
    <w:p w14:paraId="712B70A5" w14:textId="77777777" w:rsidR="00BE2CA7" w:rsidRPr="00440C76" w:rsidRDefault="00BE2CA7" w:rsidP="00BE2CA7">
      <w:pPr>
        <w:pStyle w:val="SingleTxtG"/>
        <w:rPr>
          <w:lang w:val="fr-FR"/>
        </w:rPr>
      </w:pPr>
      <w:r w:rsidRPr="00440C76">
        <w:rPr>
          <w:lang w:val="fr-FR"/>
        </w:rPr>
        <w:br w:type="page"/>
      </w:r>
    </w:p>
    <w:p w14:paraId="2A8D5B03" w14:textId="77777777" w:rsidR="00BE2CA7" w:rsidRPr="00440C76" w:rsidRDefault="00BE2CA7" w:rsidP="00BE2CA7">
      <w:pPr>
        <w:pStyle w:val="HChG"/>
        <w:rPr>
          <w:lang w:val="fr-FR"/>
        </w:rPr>
      </w:pPr>
      <w:r w:rsidRPr="00440C76">
        <w:rPr>
          <w:lang w:val="fr-FR"/>
        </w:rPr>
        <w:lastRenderedPageBreak/>
        <w:t>Annexe</w:t>
      </w:r>
      <w:r>
        <w:rPr>
          <w:lang w:val="fr-FR"/>
        </w:rPr>
        <w:t> </w:t>
      </w:r>
      <w:r w:rsidRPr="00440C76">
        <w:rPr>
          <w:lang w:val="fr-FR"/>
        </w:rPr>
        <w:t>11</w:t>
      </w:r>
    </w:p>
    <w:p w14:paraId="0BE93951" w14:textId="77777777" w:rsidR="00BE2CA7" w:rsidRPr="00440C76" w:rsidRDefault="00BE2CA7" w:rsidP="00BE2CA7">
      <w:pPr>
        <w:pStyle w:val="HChG"/>
        <w:rPr>
          <w:lang w:val="fr-FR"/>
        </w:rPr>
      </w:pPr>
      <w:r w:rsidRPr="00440C76">
        <w:rPr>
          <w:lang w:val="fr-FR"/>
        </w:rPr>
        <w:tab/>
      </w:r>
      <w:r w:rsidRPr="00440C76">
        <w:rPr>
          <w:lang w:val="fr-FR"/>
        </w:rPr>
        <w:tab/>
        <w:t>Système d</w:t>
      </w:r>
      <w:r>
        <w:rPr>
          <w:lang w:val="fr-FR"/>
        </w:rPr>
        <w:t>’</w:t>
      </w:r>
      <w:r w:rsidRPr="00440C76">
        <w:rPr>
          <w:lang w:val="fr-FR"/>
        </w:rPr>
        <w:t>autodiagnostic (OBD) − prescriptions relatives aux performances en service</w:t>
      </w:r>
    </w:p>
    <w:p w14:paraId="0D4886E2" w14:textId="77777777" w:rsidR="00BE2CA7" w:rsidRPr="00440C76" w:rsidRDefault="00BE2CA7" w:rsidP="00BE2CA7">
      <w:pPr>
        <w:pStyle w:val="SingleTxtG"/>
        <w:ind w:left="2268" w:hanging="1134"/>
        <w:rPr>
          <w:lang w:val="fr-FR"/>
        </w:rPr>
      </w:pPr>
      <w:r w:rsidRPr="00440C76">
        <w:rPr>
          <w:lang w:val="fr-FR"/>
        </w:rPr>
        <w:t>1.</w:t>
      </w:r>
      <w:r w:rsidRPr="00440C76">
        <w:rPr>
          <w:lang w:val="fr-FR"/>
        </w:rPr>
        <w:tab/>
        <w:t>Outre les prescriptions de l</w:t>
      </w:r>
      <w:r>
        <w:rPr>
          <w:lang w:val="fr-FR"/>
        </w:rPr>
        <w:t>’</w:t>
      </w:r>
      <w:r w:rsidRPr="00440C76">
        <w:rPr>
          <w:lang w:val="fr-FR"/>
        </w:rPr>
        <w:t>annexe</w:t>
      </w:r>
      <w:r>
        <w:rPr>
          <w:lang w:val="fr-FR"/>
        </w:rPr>
        <w:t> </w:t>
      </w:r>
      <w:r w:rsidRPr="00440C76">
        <w:rPr>
          <w:lang w:val="fr-FR"/>
        </w:rPr>
        <w:t>C5 du Règlement ONU n</w:t>
      </w:r>
      <w:r w:rsidRPr="00440C76">
        <w:rPr>
          <w:vertAlign w:val="superscript"/>
          <w:lang w:val="fr-FR"/>
        </w:rPr>
        <w:t>o</w:t>
      </w:r>
      <w:r w:rsidRPr="00440C76">
        <w:rPr>
          <w:lang w:val="fr-FR"/>
        </w:rPr>
        <w:t> 154, les prescriptions en matière de performances en service (IUPR) énoncées aux paragraphes</w:t>
      </w:r>
      <w:r>
        <w:rPr>
          <w:lang w:val="fr-FR"/>
        </w:rPr>
        <w:t> </w:t>
      </w:r>
      <w:r w:rsidRPr="00440C76">
        <w:rPr>
          <w:lang w:val="fr-FR"/>
        </w:rPr>
        <w:t>1.1 à 1.3 s</w:t>
      </w:r>
      <w:r>
        <w:rPr>
          <w:lang w:val="fr-FR"/>
        </w:rPr>
        <w:t>’</w:t>
      </w:r>
      <w:r w:rsidRPr="00440C76">
        <w:rPr>
          <w:lang w:val="fr-FR"/>
        </w:rPr>
        <w:t>appliquent.</w:t>
      </w:r>
    </w:p>
    <w:p w14:paraId="326B5741" w14:textId="77777777" w:rsidR="00BE2CA7" w:rsidRPr="00440C76" w:rsidRDefault="00BE2CA7" w:rsidP="00BE2CA7">
      <w:pPr>
        <w:pStyle w:val="SingleTxtG"/>
        <w:ind w:left="2268" w:hanging="1134"/>
        <w:rPr>
          <w:lang w:val="fr-FR"/>
        </w:rPr>
      </w:pPr>
      <w:r w:rsidRPr="00440C76">
        <w:rPr>
          <w:lang w:val="fr-FR"/>
        </w:rPr>
        <w:t>1.1</w:t>
      </w:r>
      <w:r w:rsidRPr="00440C76">
        <w:rPr>
          <w:lang w:val="fr-FR"/>
        </w:rPr>
        <w:tab/>
        <w:t>Le constructeur doit démontrer à l</w:t>
      </w:r>
      <w:r>
        <w:rPr>
          <w:lang w:val="fr-FR"/>
        </w:rPr>
        <w:t>’</w:t>
      </w:r>
      <w:r w:rsidRPr="00440C76">
        <w:rPr>
          <w:lang w:val="fr-FR"/>
        </w:rPr>
        <w:t>autorité d</w:t>
      </w:r>
      <w:r>
        <w:rPr>
          <w:lang w:val="fr-FR"/>
        </w:rPr>
        <w:t>’</w:t>
      </w:r>
      <w:r w:rsidRPr="00440C76">
        <w:rPr>
          <w:lang w:val="fr-FR"/>
        </w:rPr>
        <w:t>homologation de type, et, sur demande, à l</w:t>
      </w:r>
      <w:r>
        <w:rPr>
          <w:lang w:val="fr-FR"/>
        </w:rPr>
        <w:t>’</w:t>
      </w:r>
      <w:r w:rsidRPr="00440C76">
        <w:rPr>
          <w:lang w:val="fr-FR"/>
        </w:rPr>
        <w:t>autorité régionale, que ces conditions statistiques sont remplies pour l</w:t>
      </w:r>
      <w:r>
        <w:rPr>
          <w:lang w:val="fr-FR"/>
        </w:rPr>
        <w:t>’</w:t>
      </w:r>
      <w:r w:rsidRPr="00440C76">
        <w:rPr>
          <w:lang w:val="fr-FR"/>
        </w:rPr>
        <w:t>ensemble des surveillances devant être déclarées par le système OBD conformément au paragraphe</w:t>
      </w:r>
      <w:r>
        <w:rPr>
          <w:lang w:val="fr-FR"/>
        </w:rPr>
        <w:t> </w:t>
      </w:r>
      <w:r w:rsidRPr="00440C76">
        <w:rPr>
          <w:lang w:val="fr-FR"/>
        </w:rPr>
        <w:t>7.6 de l</w:t>
      </w:r>
      <w:r>
        <w:rPr>
          <w:lang w:val="fr-FR"/>
        </w:rPr>
        <w:t>’</w:t>
      </w:r>
      <w:r w:rsidRPr="00440C76">
        <w:rPr>
          <w:lang w:val="fr-FR"/>
        </w:rPr>
        <w:t>appendice</w:t>
      </w:r>
      <w:r>
        <w:rPr>
          <w:lang w:val="fr-FR"/>
        </w:rPr>
        <w:t> </w:t>
      </w:r>
      <w:r w:rsidRPr="00440C76">
        <w:rPr>
          <w:lang w:val="fr-FR"/>
        </w:rPr>
        <w:t>1 de l</w:t>
      </w:r>
      <w:r>
        <w:rPr>
          <w:lang w:val="fr-FR"/>
        </w:rPr>
        <w:t>’</w:t>
      </w:r>
      <w:r w:rsidRPr="00440C76">
        <w:rPr>
          <w:lang w:val="fr-FR"/>
        </w:rPr>
        <w:t>annexe</w:t>
      </w:r>
      <w:r>
        <w:rPr>
          <w:lang w:val="fr-FR"/>
        </w:rPr>
        <w:t> </w:t>
      </w:r>
      <w:r w:rsidRPr="00440C76">
        <w:rPr>
          <w:lang w:val="fr-FR"/>
        </w:rPr>
        <w:t>C5 du Règlement ONU n</w:t>
      </w:r>
      <w:r w:rsidRPr="00440C76">
        <w:rPr>
          <w:vertAlign w:val="superscript"/>
          <w:lang w:val="fr-FR"/>
        </w:rPr>
        <w:t>o</w:t>
      </w:r>
      <w:r w:rsidRPr="00440C76">
        <w:rPr>
          <w:lang w:val="fr-FR"/>
        </w:rPr>
        <w:t> 154 au plus tard 18 mois après la mise sur le marché du premier type de véhicule pourvu d</w:t>
      </w:r>
      <w:r>
        <w:rPr>
          <w:lang w:val="fr-FR"/>
        </w:rPr>
        <w:t>’</w:t>
      </w:r>
      <w:r w:rsidRPr="00440C76">
        <w:rPr>
          <w:lang w:val="fr-FR"/>
        </w:rPr>
        <w:t>un IUPR au sein d</w:t>
      </w:r>
      <w:r>
        <w:rPr>
          <w:lang w:val="fr-FR"/>
        </w:rPr>
        <w:t>’</w:t>
      </w:r>
      <w:r w:rsidRPr="00440C76">
        <w:rPr>
          <w:lang w:val="fr-FR"/>
        </w:rPr>
        <w:t>une famille d</w:t>
      </w:r>
      <w:r>
        <w:rPr>
          <w:lang w:val="fr-FR"/>
        </w:rPr>
        <w:t>’</w:t>
      </w:r>
      <w:r w:rsidRPr="00440C76">
        <w:rPr>
          <w:lang w:val="fr-FR"/>
        </w:rPr>
        <w:t>OBD et tous les 18 mois par la suite.</w:t>
      </w:r>
    </w:p>
    <w:p w14:paraId="5AFF3992" w14:textId="77777777" w:rsidR="00BE2CA7" w:rsidRPr="00440C76" w:rsidRDefault="00BE2CA7" w:rsidP="00BE2CA7">
      <w:pPr>
        <w:pStyle w:val="SingleTxtG"/>
        <w:spacing w:after="100"/>
        <w:ind w:left="2268" w:hanging="1134"/>
        <w:rPr>
          <w:spacing w:val="-1"/>
          <w:lang w:val="fr-FR"/>
        </w:rPr>
      </w:pPr>
      <w:r w:rsidRPr="00440C76">
        <w:rPr>
          <w:lang w:val="fr-FR"/>
        </w:rPr>
        <w:t>1.2</w:t>
      </w:r>
      <w:r w:rsidRPr="00440C76">
        <w:rPr>
          <w:lang w:val="fr-FR"/>
        </w:rPr>
        <w:tab/>
      </w:r>
      <w:r w:rsidRPr="00440C76">
        <w:rPr>
          <w:spacing w:val="-1"/>
          <w:lang w:val="fr-FR"/>
        </w:rPr>
        <w:t>Pour l</w:t>
      </w:r>
      <w:r>
        <w:rPr>
          <w:spacing w:val="-1"/>
          <w:lang w:val="fr-FR"/>
        </w:rPr>
        <w:t>’</w:t>
      </w:r>
      <w:r w:rsidRPr="00440C76">
        <w:rPr>
          <w:spacing w:val="-1"/>
          <w:lang w:val="fr-FR"/>
        </w:rPr>
        <w:t>ensemble de l</w:t>
      </w:r>
      <w:r>
        <w:rPr>
          <w:spacing w:val="-1"/>
          <w:lang w:val="fr-FR"/>
        </w:rPr>
        <w:t>’</w:t>
      </w:r>
      <w:r w:rsidRPr="00440C76">
        <w:rPr>
          <w:spacing w:val="-1"/>
          <w:lang w:val="fr-FR"/>
        </w:rPr>
        <w:t>échantillon d</w:t>
      </w:r>
      <w:r>
        <w:rPr>
          <w:spacing w:val="-1"/>
          <w:lang w:val="fr-FR"/>
        </w:rPr>
        <w:t>’</w:t>
      </w:r>
      <w:r w:rsidRPr="00440C76">
        <w:rPr>
          <w:spacing w:val="-1"/>
          <w:lang w:val="fr-FR"/>
        </w:rPr>
        <w:t>essai de véhicules, le constructeur doit déclarer aux autorités compétentes l</w:t>
      </w:r>
      <w:r>
        <w:rPr>
          <w:spacing w:val="-1"/>
          <w:lang w:val="fr-FR"/>
        </w:rPr>
        <w:t>’</w:t>
      </w:r>
      <w:r w:rsidRPr="00440C76">
        <w:rPr>
          <w:spacing w:val="-1"/>
          <w:lang w:val="fr-FR"/>
        </w:rPr>
        <w:t>ensemble des données relatives à la réalisation en service devant être relevées par le système OBD conformément au paragraphe</w:t>
      </w:r>
      <w:r>
        <w:rPr>
          <w:spacing w:val="-1"/>
          <w:lang w:val="fr-FR"/>
        </w:rPr>
        <w:t> </w:t>
      </w:r>
      <w:r w:rsidRPr="00440C76">
        <w:rPr>
          <w:spacing w:val="-1"/>
          <w:lang w:val="fr-FR"/>
        </w:rPr>
        <w:t>7.6 de l</w:t>
      </w:r>
      <w:r>
        <w:rPr>
          <w:spacing w:val="-1"/>
          <w:lang w:val="fr-FR"/>
        </w:rPr>
        <w:t>’</w:t>
      </w:r>
      <w:r w:rsidRPr="00440C76">
        <w:rPr>
          <w:spacing w:val="-1"/>
          <w:lang w:val="fr-FR"/>
        </w:rPr>
        <w:t>appendice</w:t>
      </w:r>
      <w:r>
        <w:rPr>
          <w:spacing w:val="-1"/>
          <w:lang w:val="fr-FR"/>
        </w:rPr>
        <w:t> </w:t>
      </w:r>
      <w:r w:rsidRPr="00440C76">
        <w:rPr>
          <w:spacing w:val="-1"/>
          <w:lang w:val="fr-FR"/>
        </w:rPr>
        <w:t>1 de l</w:t>
      </w:r>
      <w:r>
        <w:rPr>
          <w:spacing w:val="-1"/>
          <w:lang w:val="fr-FR"/>
        </w:rPr>
        <w:t>’</w:t>
      </w:r>
      <w:r w:rsidRPr="00440C76">
        <w:rPr>
          <w:spacing w:val="-1"/>
          <w:lang w:val="fr-FR"/>
        </w:rPr>
        <w:t>annexe</w:t>
      </w:r>
      <w:r>
        <w:rPr>
          <w:spacing w:val="-1"/>
          <w:lang w:val="fr-FR"/>
        </w:rPr>
        <w:t> </w:t>
      </w:r>
      <w:r w:rsidRPr="00440C76">
        <w:rPr>
          <w:spacing w:val="-1"/>
          <w:lang w:val="fr-FR"/>
        </w:rPr>
        <w:t>C5 du Règlement ONU n</w:t>
      </w:r>
      <w:r w:rsidRPr="00440C76">
        <w:rPr>
          <w:spacing w:val="-1"/>
          <w:vertAlign w:val="superscript"/>
          <w:lang w:val="fr-FR"/>
        </w:rPr>
        <w:t>o</w:t>
      </w:r>
      <w:r w:rsidRPr="00440C76">
        <w:rPr>
          <w:spacing w:val="-1"/>
          <w:lang w:val="fr-FR"/>
        </w:rPr>
        <w:t> 154, avec l</w:t>
      </w:r>
      <w:r>
        <w:rPr>
          <w:spacing w:val="-1"/>
          <w:lang w:val="fr-FR"/>
        </w:rPr>
        <w:t>’</w:t>
      </w:r>
      <w:r w:rsidRPr="00440C76">
        <w:rPr>
          <w:spacing w:val="-1"/>
          <w:lang w:val="fr-FR"/>
        </w:rPr>
        <w:t>identification du véhicule soumis aux essais et la méthode utilisée pour sélectionner les véhicules dans le parc. Sur demande, l</w:t>
      </w:r>
      <w:r>
        <w:rPr>
          <w:spacing w:val="-1"/>
          <w:lang w:val="fr-FR"/>
        </w:rPr>
        <w:t>’</w:t>
      </w:r>
      <w:r w:rsidRPr="00440C76">
        <w:rPr>
          <w:spacing w:val="-1"/>
          <w:lang w:val="fr-FR"/>
        </w:rPr>
        <w:t>autorité d</w:t>
      </w:r>
      <w:r>
        <w:rPr>
          <w:spacing w:val="-1"/>
          <w:lang w:val="fr-FR"/>
        </w:rPr>
        <w:t>’</w:t>
      </w:r>
      <w:r w:rsidRPr="00440C76">
        <w:rPr>
          <w:spacing w:val="-1"/>
          <w:lang w:val="fr-FR"/>
        </w:rPr>
        <w:t>homologation de type doit mettre ces données et les résultats de l</w:t>
      </w:r>
      <w:r>
        <w:rPr>
          <w:spacing w:val="-1"/>
          <w:lang w:val="fr-FR"/>
        </w:rPr>
        <w:t>’</w:t>
      </w:r>
      <w:r w:rsidRPr="00440C76">
        <w:rPr>
          <w:spacing w:val="-1"/>
          <w:lang w:val="fr-FR"/>
        </w:rPr>
        <w:t>évaluation statistique à la disposition de l</w:t>
      </w:r>
      <w:r>
        <w:rPr>
          <w:spacing w:val="-1"/>
          <w:lang w:val="fr-FR"/>
        </w:rPr>
        <w:t>’</w:t>
      </w:r>
      <w:r w:rsidRPr="00440C76">
        <w:rPr>
          <w:spacing w:val="-1"/>
          <w:lang w:val="fr-FR"/>
        </w:rPr>
        <w:t>autorité régionale et des autres autorités d</w:t>
      </w:r>
      <w:r>
        <w:rPr>
          <w:spacing w:val="-1"/>
          <w:lang w:val="fr-FR"/>
        </w:rPr>
        <w:t>’</w:t>
      </w:r>
      <w:r w:rsidRPr="00440C76">
        <w:rPr>
          <w:spacing w:val="-1"/>
          <w:lang w:val="fr-FR"/>
        </w:rPr>
        <w:t>homologation.</w:t>
      </w:r>
    </w:p>
    <w:p w14:paraId="2EE9E277" w14:textId="0C507188" w:rsidR="00BE2CA7" w:rsidRDefault="00BE2CA7" w:rsidP="00BE2CA7">
      <w:pPr>
        <w:pStyle w:val="SingleTxtG"/>
        <w:spacing w:after="100"/>
        <w:ind w:left="2268" w:hanging="1134"/>
        <w:rPr>
          <w:lang w:val="fr-FR"/>
        </w:rPr>
      </w:pPr>
      <w:r w:rsidRPr="00440C76">
        <w:rPr>
          <w:lang w:val="fr-FR"/>
        </w:rPr>
        <w:t>1.3</w:t>
      </w:r>
      <w:r w:rsidRPr="00440C76">
        <w:rPr>
          <w:lang w:val="fr-FR"/>
        </w:rPr>
        <w:tab/>
        <w:t>Les autorités publiques et leurs mandataires peuvent poursuivre d</w:t>
      </w:r>
      <w:r>
        <w:rPr>
          <w:lang w:val="fr-FR"/>
        </w:rPr>
        <w:t>’</w:t>
      </w:r>
      <w:r w:rsidRPr="00440C76">
        <w:rPr>
          <w:lang w:val="fr-FR"/>
        </w:rPr>
        <w:t xml:space="preserve">autres essais sur les véhicules ou recueillir les </w:t>
      </w:r>
      <w:r w:rsidRPr="00BE2CA7">
        <w:rPr>
          <w:spacing w:val="-1"/>
          <w:lang w:val="fr-FR"/>
        </w:rPr>
        <w:t>données</w:t>
      </w:r>
      <w:r w:rsidRPr="00440C76">
        <w:rPr>
          <w:lang w:val="fr-FR"/>
        </w:rPr>
        <w:t xml:space="preserve"> appropriées enregistrées par les véhicules pour vérifier le respect des prescriptions de la présente annexe.</w:t>
      </w:r>
    </w:p>
    <w:p w14:paraId="71E8AF2C" w14:textId="206227BF" w:rsidR="00BE2CA7" w:rsidRPr="00BE2CA7" w:rsidRDefault="00BE2CA7" w:rsidP="00BE2CA7">
      <w:pPr>
        <w:pStyle w:val="SingleTxtG"/>
        <w:spacing w:before="240" w:after="0"/>
        <w:jc w:val="center"/>
        <w:rPr>
          <w:u w:val="single"/>
        </w:rPr>
      </w:pPr>
      <w:r>
        <w:rPr>
          <w:u w:val="single"/>
        </w:rPr>
        <w:tab/>
      </w:r>
      <w:r>
        <w:rPr>
          <w:u w:val="single"/>
        </w:rPr>
        <w:tab/>
      </w:r>
      <w:r>
        <w:rPr>
          <w:u w:val="single"/>
        </w:rPr>
        <w:tab/>
      </w:r>
      <w:r>
        <w:rPr>
          <w:u w:val="single"/>
        </w:rPr>
        <w:tab/>
      </w:r>
    </w:p>
    <w:sectPr w:rsidR="00BE2CA7" w:rsidRPr="00BE2CA7" w:rsidSect="00BE2CA7">
      <w:footnotePr>
        <w:numRestart w:val="eachSect"/>
      </w:footnotePr>
      <w:endnotePr>
        <w:numFmt w:val="decimal"/>
      </w:endnotePr>
      <w:pgSz w:w="11907" w:h="16840" w:code="9"/>
      <w:pgMar w:top="1417"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12F577" w14:textId="77777777" w:rsidR="00AC2C1B" w:rsidRDefault="00AC2C1B"/>
  </w:endnote>
  <w:endnote w:type="continuationSeparator" w:id="0">
    <w:p w14:paraId="1BECB479" w14:textId="77777777" w:rsidR="00AC2C1B" w:rsidRDefault="00AC2C1B">
      <w:pPr>
        <w:pStyle w:val="Pieddepage"/>
      </w:pPr>
    </w:p>
  </w:endnote>
  <w:endnote w:type="continuationNotice" w:id="1">
    <w:p w14:paraId="03D71B8D" w14:textId="77777777" w:rsidR="00AC2C1B" w:rsidRPr="00C451B9" w:rsidRDefault="00AC2C1B"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Gras">
    <w:altName w:val="Times New Roman"/>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36CE67" w14:textId="77777777" w:rsidR="00BE2CA7" w:rsidRPr="00BE2CA7" w:rsidRDefault="00BE2CA7" w:rsidP="00BE2CA7">
    <w:pPr>
      <w:pStyle w:val="Pieddepage"/>
      <w:tabs>
        <w:tab w:val="right" w:pos="9638"/>
      </w:tabs>
    </w:pPr>
    <w:r w:rsidRPr="00BE2CA7">
      <w:rPr>
        <w:b/>
        <w:sz w:val="18"/>
      </w:rPr>
      <w:fldChar w:fldCharType="begin"/>
    </w:r>
    <w:r w:rsidRPr="00BE2CA7">
      <w:rPr>
        <w:b/>
        <w:sz w:val="18"/>
      </w:rPr>
      <w:instrText xml:space="preserve"> PAGE  \* MERGEFORMAT </w:instrText>
    </w:r>
    <w:r w:rsidRPr="00BE2CA7">
      <w:rPr>
        <w:b/>
        <w:sz w:val="18"/>
      </w:rPr>
      <w:fldChar w:fldCharType="separate"/>
    </w:r>
    <w:r w:rsidRPr="00BE2CA7">
      <w:rPr>
        <w:b/>
        <w:noProof/>
        <w:sz w:val="18"/>
      </w:rPr>
      <w:t>2</w:t>
    </w:r>
    <w:r w:rsidRPr="00BE2CA7">
      <w:rPr>
        <w:b/>
        <w:sz w:val="18"/>
      </w:rPr>
      <w:fldChar w:fldCharType="end"/>
    </w:r>
    <w:r>
      <w:rPr>
        <w:b/>
        <w:sz w:val="18"/>
      </w:rPr>
      <w:tab/>
    </w:r>
    <w:r>
      <w:t>GE.24-02637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C930B0" w14:textId="77777777" w:rsidR="00BE2CA7" w:rsidRPr="00BE2CA7" w:rsidRDefault="00BE2CA7" w:rsidP="00BE2CA7">
    <w:pPr>
      <w:pStyle w:val="Pieddepage"/>
      <w:tabs>
        <w:tab w:val="right" w:pos="9638"/>
      </w:tabs>
      <w:rPr>
        <w:b/>
        <w:sz w:val="18"/>
      </w:rPr>
    </w:pPr>
    <w:r>
      <w:t>GE.24-02637</w:t>
    </w:r>
    <w:r>
      <w:tab/>
    </w:r>
    <w:r w:rsidRPr="00BE2CA7">
      <w:rPr>
        <w:b/>
        <w:sz w:val="18"/>
      </w:rPr>
      <w:fldChar w:fldCharType="begin"/>
    </w:r>
    <w:r w:rsidRPr="00BE2CA7">
      <w:rPr>
        <w:b/>
        <w:sz w:val="18"/>
      </w:rPr>
      <w:instrText xml:space="preserve"> PAGE  \* MERGEFORMAT </w:instrText>
    </w:r>
    <w:r w:rsidRPr="00BE2CA7">
      <w:rPr>
        <w:b/>
        <w:sz w:val="18"/>
      </w:rPr>
      <w:fldChar w:fldCharType="separate"/>
    </w:r>
    <w:r w:rsidRPr="00BE2CA7">
      <w:rPr>
        <w:b/>
        <w:noProof/>
        <w:sz w:val="18"/>
      </w:rPr>
      <w:t>3</w:t>
    </w:r>
    <w:r w:rsidRPr="00BE2CA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1C166B" w14:textId="50701F17" w:rsidR="00467F2C" w:rsidRPr="00BE2CA7" w:rsidRDefault="00BE2CA7" w:rsidP="00BE2CA7">
    <w:pPr>
      <w:pStyle w:val="Pieddepage"/>
      <w:spacing w:before="120"/>
      <w:rPr>
        <w:sz w:val="20"/>
      </w:rPr>
    </w:pPr>
    <w:r>
      <w:rPr>
        <w:sz w:val="20"/>
      </w:rPr>
      <w:t>GE.</w:t>
    </w:r>
    <w:r w:rsidR="00467F2C">
      <w:rPr>
        <w:noProof/>
        <w:lang w:eastAsia="fr-CH"/>
      </w:rPr>
      <w:drawing>
        <wp:anchor distT="0" distB="0" distL="114300" distR="114300" simplePos="0" relativeHeight="251659264" behindDoc="0" locked="0" layoutInCell="1" allowOverlap="1" wp14:anchorId="04528D0B" wp14:editId="6DF99158">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24-02637  (F)</w:t>
    </w:r>
    <w:r>
      <w:rPr>
        <w:noProof/>
        <w:sz w:val="20"/>
      </w:rPr>
      <w:drawing>
        <wp:anchor distT="0" distB="0" distL="114300" distR="114300" simplePos="0" relativeHeight="251660288" behindDoc="0" locked="0" layoutInCell="1" allowOverlap="1" wp14:anchorId="101E436C" wp14:editId="740D3476">
          <wp:simplePos x="0" y="0"/>
          <wp:positionH relativeFrom="margin">
            <wp:posOffset>5489575</wp:posOffset>
          </wp:positionH>
          <wp:positionV relativeFrom="margin">
            <wp:posOffset>8891905</wp:posOffset>
          </wp:positionV>
          <wp:extent cx="628650" cy="6286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030624    050624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677B66" w14:textId="77777777" w:rsidR="00AC2C1B" w:rsidRPr="00D27D5E" w:rsidRDefault="00AC2C1B" w:rsidP="00D27D5E">
      <w:pPr>
        <w:tabs>
          <w:tab w:val="right" w:pos="2155"/>
        </w:tabs>
        <w:spacing w:after="80"/>
        <w:ind w:left="680"/>
        <w:rPr>
          <w:u w:val="single"/>
        </w:rPr>
      </w:pPr>
      <w:r>
        <w:rPr>
          <w:u w:val="single"/>
        </w:rPr>
        <w:tab/>
      </w:r>
    </w:p>
  </w:footnote>
  <w:footnote w:type="continuationSeparator" w:id="0">
    <w:p w14:paraId="02877897" w14:textId="77777777" w:rsidR="00AC2C1B" w:rsidRPr="00D171D4" w:rsidRDefault="00AC2C1B" w:rsidP="00D171D4">
      <w:pPr>
        <w:tabs>
          <w:tab w:val="right" w:pos="2155"/>
        </w:tabs>
        <w:spacing w:after="80"/>
        <w:ind w:left="680"/>
        <w:rPr>
          <w:u w:val="single"/>
        </w:rPr>
      </w:pPr>
      <w:r w:rsidRPr="00D171D4">
        <w:rPr>
          <w:u w:val="single"/>
        </w:rPr>
        <w:tab/>
      </w:r>
    </w:p>
  </w:footnote>
  <w:footnote w:type="continuationNotice" w:id="1">
    <w:p w14:paraId="3B5CA193" w14:textId="77777777" w:rsidR="00AC2C1B" w:rsidRPr="00C451B9" w:rsidRDefault="00AC2C1B" w:rsidP="00C451B9">
      <w:pPr>
        <w:spacing w:line="240" w:lineRule="auto"/>
        <w:rPr>
          <w:sz w:val="2"/>
          <w:szCs w:val="2"/>
        </w:rPr>
      </w:pPr>
    </w:p>
  </w:footnote>
  <w:footnote w:id="2">
    <w:p w14:paraId="78EFA553" w14:textId="3675CEA4" w:rsidR="00BE2CA7" w:rsidRPr="00C21146" w:rsidRDefault="00BE2CA7" w:rsidP="00BE2CA7">
      <w:pPr>
        <w:pStyle w:val="Notedebasdepage"/>
      </w:pPr>
      <w:r w:rsidRPr="006B5762">
        <w:tab/>
      </w:r>
      <w:r w:rsidRPr="00C21146">
        <w:rPr>
          <w:rStyle w:val="Appelnotedebasdep"/>
          <w:sz w:val="20"/>
          <w:vertAlign w:val="baseline"/>
        </w:rPr>
        <w:t>*</w:t>
      </w:r>
      <w:r w:rsidRPr="00C21146">
        <w:rPr>
          <w:sz w:val="20"/>
        </w:rPr>
        <w:tab/>
      </w:r>
      <w:r w:rsidRPr="00C21146">
        <w:rPr>
          <w:lang w:val="fr-FR"/>
        </w:rPr>
        <w:t>Anciens titres de l</w:t>
      </w:r>
      <w:r w:rsidR="003B3965" w:rsidRPr="00C21146">
        <w:rPr>
          <w:lang w:val="fr-FR"/>
        </w:rPr>
        <w:t>’</w:t>
      </w:r>
      <w:r w:rsidRPr="00C21146">
        <w:rPr>
          <w:lang w:val="fr-FR"/>
        </w:rPr>
        <w:t>Accord :</w:t>
      </w:r>
    </w:p>
    <w:p w14:paraId="1CA65E49" w14:textId="64583991" w:rsidR="00BE2CA7" w:rsidRPr="00C21146" w:rsidRDefault="00BE2CA7" w:rsidP="00BE2CA7">
      <w:pPr>
        <w:pStyle w:val="Notedebasdepage"/>
        <w:rPr>
          <w:sz w:val="20"/>
        </w:rPr>
      </w:pPr>
      <w:r w:rsidRPr="00C21146">
        <w:tab/>
      </w:r>
      <w:r w:rsidRPr="00C21146">
        <w:tab/>
        <w:t>Accord concernant l</w:t>
      </w:r>
      <w:r w:rsidR="003B3965" w:rsidRPr="00C21146">
        <w:t>’</w:t>
      </w:r>
      <w:r w:rsidRPr="00C21146">
        <w:t>adoption de conditions uniformes d</w:t>
      </w:r>
      <w:r w:rsidR="003B3965" w:rsidRPr="00C21146">
        <w:t>’</w:t>
      </w:r>
      <w:r w:rsidRPr="00C21146">
        <w:t>homologation et la reconnaissance réciproque de l</w:t>
      </w:r>
      <w:r w:rsidR="003B3965" w:rsidRPr="00C21146">
        <w:t>’</w:t>
      </w:r>
      <w:r w:rsidRPr="00C21146">
        <w:t>homologation des équipements et pièces de véhicules à moteur, en date, à Genève, du</w:t>
      </w:r>
      <w:r w:rsidR="00C21146">
        <w:t> </w:t>
      </w:r>
      <w:r w:rsidRPr="00C21146">
        <w:t>20 mars 1958 (version originale) ;</w:t>
      </w:r>
    </w:p>
    <w:p w14:paraId="357BD72F" w14:textId="53F886F9" w:rsidR="00BE2CA7" w:rsidRPr="00C21146" w:rsidRDefault="00BE2CA7" w:rsidP="00BE2CA7">
      <w:pPr>
        <w:pStyle w:val="Notedebasdepage"/>
      </w:pPr>
      <w:r w:rsidRPr="00C21146">
        <w:tab/>
      </w:r>
      <w:r w:rsidRPr="00C21146">
        <w:tab/>
      </w:r>
      <w:r w:rsidRPr="00C21146">
        <w:rPr>
          <w:lang w:val="fr-FR"/>
        </w:rPr>
        <w:t>Accord concernant l</w:t>
      </w:r>
      <w:r w:rsidR="003B3965" w:rsidRPr="00C21146">
        <w:rPr>
          <w:lang w:val="fr-FR"/>
        </w:rPr>
        <w:t>’</w:t>
      </w:r>
      <w:r w:rsidRPr="00C21146">
        <w:rPr>
          <w:lang w:val="fr-FR"/>
        </w:rPr>
        <w:t>adoption de prescriptions techniques uniformes applicables aux véhicules à</w:t>
      </w:r>
      <w:r w:rsidR="00C21146">
        <w:rPr>
          <w:lang w:val="fr-FR"/>
        </w:rPr>
        <w:t> </w:t>
      </w:r>
      <w:r w:rsidRPr="00C21146">
        <w:rPr>
          <w:lang w:val="fr-FR"/>
        </w:rPr>
        <w:t>roues, aux équipements et aux pièces susceptibles d</w:t>
      </w:r>
      <w:r w:rsidR="003B3965" w:rsidRPr="00C21146">
        <w:rPr>
          <w:lang w:val="fr-FR"/>
        </w:rPr>
        <w:t>’</w:t>
      </w:r>
      <w:r w:rsidRPr="00C21146">
        <w:rPr>
          <w:lang w:val="fr-FR"/>
        </w:rPr>
        <w:t>être montés ou utilisés sur un véhicule à roues et les conditions de reconnaissance réciproque des homologations délivrées conformément à</w:t>
      </w:r>
      <w:r w:rsidR="00C21146">
        <w:rPr>
          <w:lang w:val="fr-FR"/>
        </w:rPr>
        <w:t xml:space="preserve"> </w:t>
      </w:r>
      <w:r w:rsidRPr="00C21146">
        <w:rPr>
          <w:lang w:val="fr-FR"/>
        </w:rPr>
        <w:t>ces</w:t>
      </w:r>
      <w:r w:rsidR="00C21146">
        <w:rPr>
          <w:lang w:val="fr-FR"/>
        </w:rPr>
        <w:t xml:space="preserve"> </w:t>
      </w:r>
      <w:r w:rsidRPr="00C21146">
        <w:rPr>
          <w:lang w:val="fr-FR"/>
        </w:rPr>
        <w:t>prescriptions, en date, à Genève, du 5 octobre 1995 (Révision 2).</w:t>
      </w:r>
    </w:p>
  </w:footnote>
  <w:footnote w:id="3">
    <w:p w14:paraId="4CE27FB7" w14:textId="6D5BB18D" w:rsidR="00BE2CA7" w:rsidRPr="00440C76" w:rsidRDefault="00BE2CA7" w:rsidP="00BE2CA7">
      <w:pPr>
        <w:pStyle w:val="Notedebasdepage"/>
        <w:rPr>
          <w:lang w:val="fr-FR"/>
        </w:rPr>
      </w:pPr>
      <w:r w:rsidRPr="00532CF0">
        <w:tab/>
      </w:r>
      <w:r w:rsidRPr="00977679">
        <w:rPr>
          <w:rStyle w:val="Appelnotedebasdep"/>
        </w:rPr>
        <w:footnoteRef/>
      </w:r>
      <w:r w:rsidRPr="00440C76">
        <w:rPr>
          <w:lang w:val="fr-FR"/>
        </w:rPr>
        <w:tab/>
        <w:t>Selon les définitions de la Résolution d</w:t>
      </w:r>
      <w:r w:rsidR="003B3965">
        <w:rPr>
          <w:lang w:val="fr-FR"/>
        </w:rPr>
        <w:t>’</w:t>
      </w:r>
      <w:r w:rsidRPr="00440C76">
        <w:rPr>
          <w:lang w:val="fr-FR"/>
        </w:rPr>
        <w:t>ensemble sur la construction des véhicules (R.E.3), document</w:t>
      </w:r>
      <w:r>
        <w:rPr>
          <w:lang w:val="fr-FR"/>
        </w:rPr>
        <w:t> </w:t>
      </w:r>
      <w:r w:rsidRPr="00440C76">
        <w:rPr>
          <w:lang w:val="fr-FR"/>
        </w:rPr>
        <w:t>ECE/TRANS/WP.29/78/Rev.6, par.</w:t>
      </w:r>
      <w:r>
        <w:rPr>
          <w:lang w:val="fr-FR"/>
        </w:rPr>
        <w:t xml:space="preserve"> </w:t>
      </w:r>
      <w:r w:rsidRPr="00440C76">
        <w:rPr>
          <w:lang w:val="fr-FR"/>
        </w:rPr>
        <w:t>2</w:t>
      </w:r>
      <w:r w:rsidRPr="00440C76">
        <w:rPr>
          <w:szCs w:val="18"/>
          <w:lang w:val="fr-FR"/>
        </w:rPr>
        <w:t xml:space="preserve"> − </w:t>
      </w:r>
      <w:hyperlink r:id="rId1" w:history="1">
        <w:r w:rsidRPr="00617FA9">
          <w:rPr>
            <w:rStyle w:val="Lienhypertexte"/>
            <w:lang w:val="fr-FR"/>
          </w:rPr>
          <w:t>www.unece.org/transport/vehicle-regulations/wp29/resolutions</w:t>
        </w:r>
      </w:hyperlink>
      <w:r w:rsidRPr="00440C76">
        <w:rPr>
          <w:lang w:val="fr-FR"/>
        </w:rPr>
        <w:t>.</w:t>
      </w:r>
    </w:p>
  </w:footnote>
  <w:footnote w:id="4">
    <w:p w14:paraId="284A6ABF" w14:textId="38C6EAC1" w:rsidR="00BE2CA7" w:rsidRPr="00440C76" w:rsidRDefault="00BE2CA7" w:rsidP="00BE2CA7">
      <w:pPr>
        <w:pStyle w:val="Notedebasdepage"/>
        <w:rPr>
          <w:lang w:val="fr-FR"/>
        </w:rPr>
      </w:pPr>
      <w:r w:rsidRPr="00440C76">
        <w:rPr>
          <w:lang w:val="fr-FR"/>
        </w:rPr>
        <w:tab/>
      </w:r>
      <w:r w:rsidRPr="00977679">
        <w:rPr>
          <w:rStyle w:val="Appelnotedebasdep"/>
        </w:rPr>
        <w:footnoteRef/>
      </w:r>
      <w:r w:rsidRPr="00440C76">
        <w:rPr>
          <w:lang w:val="fr-FR"/>
        </w:rPr>
        <w:tab/>
        <w:t>La liste des numéros distinctifs des Parties contractantes à l</w:t>
      </w:r>
      <w:r w:rsidR="003B3965">
        <w:rPr>
          <w:lang w:val="fr-FR"/>
        </w:rPr>
        <w:t>’</w:t>
      </w:r>
      <w:r w:rsidRPr="00440C76">
        <w:rPr>
          <w:lang w:val="fr-FR"/>
        </w:rPr>
        <w:t>Accord de 1958 est reproduite à l</w:t>
      </w:r>
      <w:r w:rsidR="003B3965">
        <w:rPr>
          <w:lang w:val="fr-FR"/>
        </w:rPr>
        <w:t>’</w:t>
      </w:r>
      <w:r w:rsidRPr="00440C76">
        <w:rPr>
          <w:lang w:val="fr-FR"/>
        </w:rPr>
        <w:t>annexe 3 de la Résolution d</w:t>
      </w:r>
      <w:r w:rsidR="003B3965">
        <w:rPr>
          <w:lang w:val="fr-FR"/>
        </w:rPr>
        <w:t>’</w:t>
      </w:r>
      <w:r w:rsidRPr="00440C76">
        <w:rPr>
          <w:lang w:val="fr-FR"/>
        </w:rPr>
        <w:t>ensemble sur la construction des véhicules (R.E.3), document</w:t>
      </w:r>
      <w:r>
        <w:rPr>
          <w:lang w:val="fr-FR"/>
        </w:rPr>
        <w:t> </w:t>
      </w:r>
      <w:r w:rsidRPr="00440C76">
        <w:rPr>
          <w:lang w:val="fr-FR"/>
        </w:rPr>
        <w:t xml:space="preserve">ECE/TRANS/WP.29/78/Rev.6 </w:t>
      </w:r>
      <w:r w:rsidR="003B3965">
        <w:rPr>
          <w:lang w:val="fr-FR"/>
        </w:rPr>
        <w:t>−</w:t>
      </w:r>
      <w:r w:rsidRPr="00440C76">
        <w:rPr>
          <w:lang w:val="fr-FR"/>
        </w:rPr>
        <w:t xml:space="preserve"> annexe</w:t>
      </w:r>
      <w:r>
        <w:rPr>
          <w:lang w:val="fr-FR"/>
        </w:rPr>
        <w:t> </w:t>
      </w:r>
      <w:r w:rsidRPr="00440C76">
        <w:rPr>
          <w:lang w:val="fr-FR"/>
        </w:rPr>
        <w:t xml:space="preserve">3, </w:t>
      </w:r>
      <w:hyperlink r:id="rId2" w:history="1">
        <w:r w:rsidRPr="00617FA9">
          <w:rPr>
            <w:rStyle w:val="Lienhypertexte"/>
            <w:lang w:val="fr-FR"/>
          </w:rPr>
          <w:t>www.unece.org/transport/vehicle-regulations/wp29/resolutions</w:t>
        </w:r>
      </w:hyperlink>
      <w:r w:rsidRPr="00440C76">
        <w:rPr>
          <w:lang w:val="fr-FR"/>
        </w:rPr>
        <w:t>.</w:t>
      </w:r>
    </w:p>
  </w:footnote>
  <w:footnote w:id="5">
    <w:p w14:paraId="49EDDE01" w14:textId="2558A0E0" w:rsidR="00BE2CA7" w:rsidRPr="00440C76" w:rsidRDefault="00BE2CA7" w:rsidP="00BE2CA7">
      <w:pPr>
        <w:pStyle w:val="Notedebasdepage"/>
        <w:rPr>
          <w:lang w:val="fr-FR"/>
        </w:rPr>
      </w:pPr>
      <w:r w:rsidRPr="00440C76">
        <w:rPr>
          <w:lang w:val="fr-FR"/>
        </w:rPr>
        <w:tab/>
      </w:r>
      <w:r w:rsidRPr="00977679">
        <w:rPr>
          <w:rStyle w:val="Appelnotedebasdep"/>
        </w:rPr>
        <w:footnoteRef/>
      </w:r>
      <w:r w:rsidRPr="00440C76">
        <w:rPr>
          <w:lang w:val="fr-FR"/>
        </w:rPr>
        <w:tab/>
        <w:t>Cette communication doit se faire au moyen de l</w:t>
      </w:r>
      <w:r w:rsidR="003B3965">
        <w:rPr>
          <w:lang w:val="fr-FR"/>
        </w:rPr>
        <w:t>’</w:t>
      </w:r>
      <w:r w:rsidRPr="00440C76">
        <w:rPr>
          <w:lang w:val="fr-FR"/>
        </w:rPr>
        <w:t>application</w:t>
      </w:r>
      <w:r>
        <w:rPr>
          <w:lang w:val="fr-FR"/>
        </w:rPr>
        <w:t> </w:t>
      </w:r>
      <w:r w:rsidRPr="00440C76">
        <w:rPr>
          <w:lang w:val="fr-FR"/>
        </w:rPr>
        <w:t>« 343-app » disponible à l</w:t>
      </w:r>
      <w:r w:rsidR="003B3965">
        <w:rPr>
          <w:lang w:val="fr-FR"/>
        </w:rPr>
        <w:t>’</w:t>
      </w:r>
      <w:r w:rsidRPr="00440C76">
        <w:rPr>
          <w:lang w:val="fr-FR"/>
        </w:rPr>
        <w:t xml:space="preserve">adresse suivante : </w:t>
      </w:r>
      <w:hyperlink r:id="rId3" w:history="1">
        <w:r w:rsidRPr="00617FA9">
          <w:rPr>
            <w:rStyle w:val="Lienhypertexte"/>
            <w:lang w:val="fr-FR"/>
          </w:rPr>
          <w:t>https://apps.unece.org/WP29_application</w:t>
        </w:r>
      </w:hyperlink>
      <w:r w:rsidRPr="00440C76">
        <w:rPr>
          <w:lang w:val="fr-FR"/>
        </w:rPr>
        <w:t>.</w:t>
      </w:r>
    </w:p>
  </w:footnote>
  <w:footnote w:id="6">
    <w:p w14:paraId="78FED681" w14:textId="27489C67" w:rsidR="00BE2CA7" w:rsidRPr="00A318C3" w:rsidRDefault="00BE2CA7" w:rsidP="00BE2CA7">
      <w:pPr>
        <w:pStyle w:val="Notedebasdepage"/>
        <w:rPr>
          <w:lang w:val="fr-FR"/>
        </w:rPr>
      </w:pPr>
      <w:r w:rsidRPr="00A318C3">
        <w:rPr>
          <w:lang w:val="fr-FR"/>
        </w:rPr>
        <w:tab/>
      </w:r>
      <w:r w:rsidRPr="00977679">
        <w:rPr>
          <w:rStyle w:val="Appelnotedebasdep"/>
        </w:rPr>
        <w:footnoteRef/>
      </w:r>
      <w:r w:rsidRPr="00A318C3">
        <w:rPr>
          <w:lang w:val="fr-FR"/>
        </w:rPr>
        <w:tab/>
        <w:t>Si le moyen d</w:t>
      </w:r>
      <w:r w:rsidR="003B3965">
        <w:rPr>
          <w:lang w:val="fr-FR"/>
        </w:rPr>
        <w:t>’</w:t>
      </w:r>
      <w:r w:rsidRPr="00A318C3">
        <w:rPr>
          <w:lang w:val="fr-FR"/>
        </w:rPr>
        <w:t>identification du type contient des caractères n</w:t>
      </w:r>
      <w:r w:rsidR="003B3965">
        <w:rPr>
          <w:lang w:val="fr-FR"/>
        </w:rPr>
        <w:t>’</w:t>
      </w:r>
      <w:r w:rsidRPr="00A318C3">
        <w:rPr>
          <w:lang w:val="fr-FR"/>
        </w:rPr>
        <w:t>intéressant pas la description des types de véhicules, de composants ou d</w:t>
      </w:r>
      <w:r w:rsidR="003B3965">
        <w:rPr>
          <w:lang w:val="fr-FR"/>
        </w:rPr>
        <w:t>’</w:t>
      </w:r>
      <w:r w:rsidRPr="00A318C3">
        <w:rPr>
          <w:lang w:val="fr-FR"/>
        </w:rPr>
        <w:t>entités techniques couverts par la présente fiche de renseignement, il importe de les indiquer dans la documentation au moyen du symbole «</w:t>
      </w:r>
      <w:r>
        <w:rPr>
          <w:lang w:val="fr-FR"/>
        </w:rPr>
        <w:t> </w:t>
      </w:r>
      <w:r w:rsidRPr="00A318C3">
        <w:rPr>
          <w:lang w:val="fr-FR"/>
        </w:rPr>
        <w:t>?</w:t>
      </w:r>
      <w:r>
        <w:rPr>
          <w:lang w:val="fr-FR"/>
        </w:rPr>
        <w:t> </w:t>
      </w:r>
      <w:r w:rsidRPr="00A318C3">
        <w:rPr>
          <w:lang w:val="fr-FR"/>
        </w:rPr>
        <w:t>» (par exemple ABC??123??).</w:t>
      </w:r>
    </w:p>
  </w:footnote>
  <w:footnote w:id="7">
    <w:p w14:paraId="63781517" w14:textId="7B93CA24" w:rsidR="00BE2CA7" w:rsidRPr="00A318C3" w:rsidRDefault="00BE2CA7" w:rsidP="00BE2CA7">
      <w:pPr>
        <w:pStyle w:val="Notedebasdepage"/>
        <w:rPr>
          <w:lang w:val="fr-FR"/>
        </w:rPr>
      </w:pPr>
      <w:r w:rsidRPr="00A318C3">
        <w:rPr>
          <w:lang w:val="fr-FR"/>
        </w:rPr>
        <w:tab/>
      </w:r>
      <w:r w:rsidRPr="00977679">
        <w:rPr>
          <w:rStyle w:val="Appelnotedebasdep"/>
        </w:rPr>
        <w:footnoteRef/>
      </w:r>
      <w:r w:rsidRPr="00A318C3">
        <w:rPr>
          <w:lang w:val="fr-FR"/>
        </w:rPr>
        <w:tab/>
        <w:t>Selon les définitions figurant dans la Résolution d</w:t>
      </w:r>
      <w:r w:rsidR="003B3965">
        <w:rPr>
          <w:lang w:val="fr-FR"/>
        </w:rPr>
        <w:t>’</w:t>
      </w:r>
      <w:r w:rsidRPr="00A318C3">
        <w:rPr>
          <w:lang w:val="fr-FR"/>
        </w:rPr>
        <w:t>ensemble sur la construction des véhicules (R.E.3),</w:t>
      </w:r>
      <w:r>
        <w:rPr>
          <w:lang w:val="fr-FR"/>
        </w:rPr>
        <w:t xml:space="preserve"> </w:t>
      </w:r>
      <w:r w:rsidRPr="00A318C3">
        <w:rPr>
          <w:lang w:val="fr-FR"/>
        </w:rPr>
        <w:t>document</w:t>
      </w:r>
      <w:r>
        <w:rPr>
          <w:lang w:val="fr-FR"/>
        </w:rPr>
        <w:t> </w:t>
      </w:r>
      <w:r w:rsidRPr="00A318C3">
        <w:rPr>
          <w:lang w:val="fr-FR"/>
        </w:rPr>
        <w:t xml:space="preserve">ECE/TRANS/WP.29/78/Rev.3, par. 2. </w:t>
      </w:r>
      <w:r>
        <w:rPr>
          <w:rStyle w:val="Lienhypertexte"/>
          <w:lang w:val="fr-FR"/>
        </w:rPr>
        <w:t>(</w:t>
      </w:r>
      <w:hyperlink r:id="rId4" w:history="1">
        <w:r w:rsidR="00B14DC2" w:rsidRPr="003F3609">
          <w:rPr>
            <w:rStyle w:val="Lienhypertexte"/>
            <w:lang w:val="fr-FR"/>
          </w:rPr>
          <w:t>https://unece.org/transport/vehicle-regulations/</w:t>
        </w:r>
        <w:r w:rsidR="00B14DC2" w:rsidRPr="003F3609">
          <w:rPr>
            <w:rStyle w:val="Lienhypertexte"/>
            <w:lang w:val="fr-FR"/>
          </w:rPr>
          <w:t xml:space="preserve"> </w:t>
        </w:r>
        <w:r w:rsidR="00B14DC2" w:rsidRPr="003F3609">
          <w:rPr>
            <w:rStyle w:val="Lienhypertexte"/>
            <w:lang w:val="fr-FR"/>
          </w:rPr>
          <w:t>wp29/resolutions</w:t>
        </w:r>
      </w:hyperlink>
      <w:r>
        <w:rPr>
          <w:rStyle w:val="Lienhypertexte"/>
          <w:lang w:val="fr-FR"/>
        </w:rPr>
        <w:t>)</w:t>
      </w:r>
      <w:r w:rsidRPr="00A318C3">
        <w:rPr>
          <w:lang w:val="fr-FR"/>
        </w:rPr>
        <w:t>.</w:t>
      </w:r>
    </w:p>
  </w:footnote>
  <w:footnote w:id="8">
    <w:p w14:paraId="10CDECE6" w14:textId="77777777" w:rsidR="00BE2CA7" w:rsidRPr="00A318C3" w:rsidRDefault="00BE2CA7" w:rsidP="00BE2CA7">
      <w:pPr>
        <w:pStyle w:val="Notedebasdepage"/>
        <w:rPr>
          <w:lang w:val="fr-FR"/>
        </w:rPr>
      </w:pPr>
      <w:r w:rsidRPr="00A318C3">
        <w:rPr>
          <w:lang w:val="fr-FR"/>
        </w:rPr>
        <w:tab/>
      </w:r>
      <w:r w:rsidRPr="00977679">
        <w:rPr>
          <w:rStyle w:val="Appelnotedebasdep"/>
        </w:rPr>
        <w:footnoteRef/>
      </w:r>
      <w:r w:rsidRPr="00A318C3">
        <w:rPr>
          <w:lang w:val="fr-FR"/>
        </w:rPr>
        <w:tab/>
        <w:t>Pour un modèle comportant une version avec une cabine normale et une version avec couchette, donner les dimensions et masses dans les deux cas.</w:t>
      </w:r>
    </w:p>
  </w:footnote>
  <w:footnote w:id="9">
    <w:p w14:paraId="4705E95A" w14:textId="7384C9CC" w:rsidR="00BE2CA7" w:rsidRPr="00A318C3" w:rsidRDefault="00BE2CA7" w:rsidP="00BE2CA7">
      <w:pPr>
        <w:pStyle w:val="Notedebasdepage"/>
        <w:rPr>
          <w:lang w:val="fr-FR"/>
        </w:rPr>
      </w:pPr>
      <w:r w:rsidRPr="00A318C3">
        <w:rPr>
          <w:lang w:val="fr-FR"/>
        </w:rPr>
        <w:tab/>
      </w:r>
      <w:r w:rsidRPr="00977679">
        <w:rPr>
          <w:rStyle w:val="Appelnotedebasdep"/>
        </w:rPr>
        <w:footnoteRef/>
      </w:r>
      <w:r w:rsidRPr="00A318C3">
        <w:rPr>
          <w:lang w:val="fr-FR"/>
        </w:rPr>
        <w:tab/>
        <w:t>La masse du conducteur et, le cas échéant</w:t>
      </w:r>
      <w:r>
        <w:rPr>
          <w:lang w:val="fr-FR"/>
        </w:rPr>
        <w:t>,</w:t>
      </w:r>
      <w:r w:rsidRPr="00A318C3">
        <w:rPr>
          <w:lang w:val="fr-FR"/>
        </w:rPr>
        <w:t xml:space="preserve"> du convoyeur, est évaluée à 75</w:t>
      </w:r>
      <w:r>
        <w:rPr>
          <w:lang w:val="fr-FR"/>
        </w:rPr>
        <w:t> </w:t>
      </w:r>
      <w:r w:rsidRPr="00A318C3">
        <w:rPr>
          <w:lang w:val="fr-FR"/>
        </w:rPr>
        <w:t>kg (répartie comme suit</w:t>
      </w:r>
      <w:r>
        <w:rPr>
          <w:lang w:val="fr-FR"/>
        </w:rPr>
        <w:t> </w:t>
      </w:r>
      <w:r w:rsidRPr="00A318C3">
        <w:rPr>
          <w:lang w:val="fr-FR"/>
        </w:rPr>
        <w:t>: 68</w:t>
      </w:r>
      <w:r>
        <w:rPr>
          <w:lang w:val="fr-FR"/>
        </w:rPr>
        <w:t> </w:t>
      </w:r>
      <w:r w:rsidRPr="00A318C3">
        <w:rPr>
          <w:lang w:val="fr-FR"/>
        </w:rPr>
        <w:t>kg pour la masse de l</w:t>
      </w:r>
      <w:r w:rsidR="003B3965">
        <w:rPr>
          <w:lang w:val="fr-FR"/>
        </w:rPr>
        <w:t>’</w:t>
      </w:r>
      <w:r w:rsidRPr="00A318C3">
        <w:rPr>
          <w:lang w:val="fr-FR"/>
        </w:rPr>
        <w:t>occupant et 7</w:t>
      </w:r>
      <w:r>
        <w:rPr>
          <w:lang w:val="fr-FR"/>
        </w:rPr>
        <w:t> </w:t>
      </w:r>
      <w:r w:rsidRPr="00A318C3">
        <w:rPr>
          <w:lang w:val="fr-FR"/>
        </w:rPr>
        <w:t>kg pour la masse des bagages, conformément à la norme ISO</w:t>
      </w:r>
      <w:r>
        <w:rPr>
          <w:lang w:val="fr-FR"/>
        </w:rPr>
        <w:t> </w:t>
      </w:r>
      <w:r w:rsidRPr="00A318C3">
        <w:rPr>
          <w:lang w:val="fr-FR"/>
        </w:rPr>
        <w:t>2416</w:t>
      </w:r>
      <w:r>
        <w:rPr>
          <w:lang w:val="fr-FR"/>
        </w:rPr>
        <w:t> </w:t>
      </w:r>
      <w:r w:rsidRPr="00A318C3">
        <w:rPr>
          <w:lang w:val="fr-FR"/>
        </w:rPr>
        <w:t>: 1992). Le réservoir est rempli à 90</w:t>
      </w:r>
      <w:r>
        <w:rPr>
          <w:lang w:val="fr-FR"/>
        </w:rPr>
        <w:t> </w:t>
      </w:r>
      <w:r w:rsidRPr="00A318C3">
        <w:rPr>
          <w:lang w:val="fr-FR"/>
        </w:rPr>
        <w:t>% et les autres dispositifs contenant des liquides (excepté ceux destinés aux eaux usées) à 100</w:t>
      </w:r>
      <w:r>
        <w:rPr>
          <w:lang w:val="fr-FR"/>
        </w:rPr>
        <w:t> </w:t>
      </w:r>
      <w:r w:rsidRPr="00A318C3">
        <w:rPr>
          <w:lang w:val="fr-FR"/>
        </w:rPr>
        <w:t>% de la capacité déclarée par le constructeur.</w:t>
      </w:r>
    </w:p>
  </w:footnote>
  <w:footnote w:id="10">
    <w:p w14:paraId="48D60B92" w14:textId="241BF9CE" w:rsidR="00BE2CA7" w:rsidRPr="00A318C3" w:rsidRDefault="00BE2CA7" w:rsidP="00BE2CA7">
      <w:pPr>
        <w:pStyle w:val="Notedebasdepage"/>
        <w:rPr>
          <w:lang w:val="fr-FR"/>
        </w:rPr>
      </w:pPr>
      <w:r w:rsidRPr="00A318C3">
        <w:rPr>
          <w:lang w:val="fr-FR"/>
        </w:rPr>
        <w:tab/>
      </w:r>
      <w:r w:rsidRPr="00977679">
        <w:rPr>
          <w:rStyle w:val="Appelnotedebasdep"/>
        </w:rPr>
        <w:footnoteRef/>
      </w:r>
      <w:r w:rsidRPr="00A318C3">
        <w:rPr>
          <w:lang w:val="fr-FR"/>
        </w:rPr>
        <w:tab/>
      </w:r>
      <w:r>
        <w:rPr>
          <w:lang w:val="fr-FR"/>
        </w:rPr>
        <w:t>P</w:t>
      </w:r>
      <w:r w:rsidRPr="003373CC">
        <w:rPr>
          <w:lang w:val="fr-FR"/>
        </w:rPr>
        <w:t>our les remorques ou semi-remorques et pour les véhicules attelés à une remorque ou à une semi</w:t>
      </w:r>
      <w:r>
        <w:rPr>
          <w:lang w:val="fr-FR"/>
        </w:rPr>
        <w:noBreakHyphen/>
      </w:r>
      <w:r w:rsidRPr="003373CC">
        <w:rPr>
          <w:lang w:val="fr-FR"/>
        </w:rPr>
        <w:t>remorque exerçant une pression verticale notable sur le dispositif d</w:t>
      </w:r>
      <w:r w:rsidR="003B3965">
        <w:rPr>
          <w:lang w:val="fr-FR"/>
        </w:rPr>
        <w:t>’</w:t>
      </w:r>
      <w:r w:rsidRPr="003373CC">
        <w:rPr>
          <w:lang w:val="fr-FR"/>
        </w:rPr>
        <w:t>attelage ou sur la sellette d</w:t>
      </w:r>
      <w:r w:rsidR="003B3965">
        <w:rPr>
          <w:lang w:val="fr-FR"/>
        </w:rPr>
        <w:t>’</w:t>
      </w:r>
      <w:r w:rsidRPr="003373CC">
        <w:rPr>
          <w:lang w:val="fr-FR"/>
        </w:rPr>
        <w:t>attelage, cette valeur, divisée par la valeur normale de la gravité, est incluse dans la masse maximale techniquement admissible</w:t>
      </w:r>
      <w:r w:rsidRPr="00A318C3">
        <w:rPr>
          <w:lang w:val="fr-FR"/>
        </w:rPr>
        <w:t>.</w:t>
      </w:r>
    </w:p>
  </w:footnote>
  <w:footnote w:id="11">
    <w:p w14:paraId="5686ACC4" w14:textId="77777777" w:rsidR="00BE2CA7" w:rsidRPr="00A318C3" w:rsidRDefault="00BE2CA7" w:rsidP="00BE2CA7">
      <w:pPr>
        <w:pStyle w:val="Notedebasdepage"/>
        <w:rPr>
          <w:lang w:val="fr-FR"/>
        </w:rPr>
      </w:pPr>
      <w:r w:rsidRPr="00A318C3">
        <w:rPr>
          <w:lang w:val="fr-FR"/>
        </w:rPr>
        <w:tab/>
      </w:r>
      <w:r w:rsidRPr="00977679">
        <w:rPr>
          <w:rStyle w:val="Appelnotedebasdep"/>
        </w:rPr>
        <w:footnoteRef/>
      </w:r>
      <w:r w:rsidRPr="00A318C3">
        <w:rPr>
          <w:lang w:val="fr-FR"/>
        </w:rPr>
        <w:tab/>
      </w:r>
      <w:r w:rsidRPr="00BF3399">
        <w:rPr>
          <w:szCs w:val="18"/>
          <w:lang w:val="fr-FR"/>
        </w:rPr>
        <w:t>Indiquer les valeurs maximale et minimale pour chaque variante</w:t>
      </w:r>
      <w:r w:rsidRPr="00A318C3">
        <w:rPr>
          <w:szCs w:val="18"/>
          <w:lang w:val="fr-FR"/>
        </w:rPr>
        <w:t>.</w:t>
      </w:r>
    </w:p>
  </w:footnote>
  <w:footnote w:id="12">
    <w:p w14:paraId="079EB50C" w14:textId="77777777" w:rsidR="00BE2CA7" w:rsidRPr="00A318C3" w:rsidRDefault="00BE2CA7" w:rsidP="00BE2CA7">
      <w:pPr>
        <w:pStyle w:val="Notedebasdepage"/>
        <w:rPr>
          <w:lang w:val="fr-FR"/>
        </w:rPr>
      </w:pPr>
      <w:r w:rsidRPr="00A318C3">
        <w:rPr>
          <w:lang w:val="fr-FR"/>
        </w:rPr>
        <w:tab/>
      </w:r>
      <w:r w:rsidRPr="00977679">
        <w:rPr>
          <w:rStyle w:val="Appelnotedebasdep"/>
        </w:rPr>
        <w:footnoteRef/>
      </w:r>
      <w:r w:rsidRPr="00A318C3">
        <w:rPr>
          <w:lang w:val="fr-FR"/>
        </w:rPr>
        <w:tab/>
        <w:t xml:space="preserve">Pour les moteurs et les systèmes non classiques, des renseignements équivalents à ceux </w:t>
      </w:r>
      <w:r>
        <w:rPr>
          <w:lang w:val="fr-FR"/>
        </w:rPr>
        <w:t xml:space="preserve">indiqués ici </w:t>
      </w:r>
      <w:r w:rsidRPr="00A318C3">
        <w:rPr>
          <w:lang w:val="fr-FR"/>
        </w:rPr>
        <w:t>doivent être fournis par le constructeur.</w:t>
      </w:r>
    </w:p>
  </w:footnote>
  <w:footnote w:id="13">
    <w:p w14:paraId="6E9438AA" w14:textId="5184E2A7" w:rsidR="00BE2CA7" w:rsidRPr="00A318C3" w:rsidRDefault="00BE2CA7" w:rsidP="00BE2CA7">
      <w:pPr>
        <w:pStyle w:val="Notedebasdepage"/>
        <w:rPr>
          <w:lang w:val="fr-FR"/>
        </w:rPr>
      </w:pPr>
      <w:r w:rsidRPr="00A318C3">
        <w:rPr>
          <w:lang w:val="fr-FR"/>
        </w:rPr>
        <w:tab/>
      </w:r>
      <w:r w:rsidRPr="00977679">
        <w:rPr>
          <w:rStyle w:val="Appelnotedebasdep"/>
        </w:rPr>
        <w:footnoteRef/>
      </w:r>
      <w:r w:rsidRPr="00A318C3">
        <w:rPr>
          <w:lang w:val="fr-FR"/>
        </w:rPr>
        <w:tab/>
      </w:r>
      <w:r>
        <w:rPr>
          <w:lang w:val="fr-FR"/>
        </w:rPr>
        <w:t xml:space="preserve">Les véhicules </w:t>
      </w:r>
      <w:proofErr w:type="spellStart"/>
      <w:r>
        <w:rPr>
          <w:lang w:val="fr-FR"/>
        </w:rPr>
        <w:t>monocarburant</w:t>
      </w:r>
      <w:proofErr w:type="spellEnd"/>
      <w:r w:rsidRPr="00A318C3">
        <w:rPr>
          <w:lang w:val="fr-FR"/>
        </w:rPr>
        <w:t xml:space="preserve"> </w:t>
      </w:r>
      <w:r>
        <w:rPr>
          <w:lang w:val="fr-FR"/>
        </w:rPr>
        <w:t xml:space="preserve">à gaz </w:t>
      </w:r>
      <w:r w:rsidRPr="00A318C3">
        <w:rPr>
          <w:lang w:val="fr-FR"/>
        </w:rPr>
        <w:t>sont considérés pour l</w:t>
      </w:r>
      <w:r w:rsidR="003B3965">
        <w:rPr>
          <w:lang w:val="fr-FR"/>
        </w:rPr>
        <w:t>’</w:t>
      </w:r>
      <w:r w:rsidRPr="00A318C3">
        <w:rPr>
          <w:lang w:val="fr-FR"/>
        </w:rPr>
        <w:t xml:space="preserve">essai comme </w:t>
      </w:r>
      <w:r w:rsidRPr="00E354CA">
        <w:rPr>
          <w:lang w:val="fr-FR"/>
        </w:rPr>
        <w:t>des véhicules qui ne peuvent fonctionner qu</w:t>
      </w:r>
      <w:r w:rsidR="003B3965">
        <w:rPr>
          <w:lang w:val="fr-FR"/>
        </w:rPr>
        <w:t>’</w:t>
      </w:r>
      <w:r w:rsidRPr="00E354CA">
        <w:rPr>
          <w:lang w:val="fr-FR"/>
        </w:rPr>
        <w:t>avec un carburant gazeux</w:t>
      </w:r>
      <w:r w:rsidRPr="00A318C3">
        <w:rPr>
          <w:lang w:val="fr-FR"/>
        </w:rPr>
        <w:t>.</w:t>
      </w:r>
    </w:p>
  </w:footnote>
  <w:footnote w:id="14">
    <w:p w14:paraId="474ED183" w14:textId="77777777" w:rsidR="00BE2CA7" w:rsidRPr="00A318C3" w:rsidRDefault="00BE2CA7" w:rsidP="00BE2CA7">
      <w:pPr>
        <w:pStyle w:val="Notedebasdepage"/>
        <w:rPr>
          <w:lang w:val="fr-FR"/>
        </w:rPr>
      </w:pPr>
      <w:r>
        <w:tab/>
      </w:r>
      <w:r w:rsidRPr="00977679">
        <w:rPr>
          <w:rStyle w:val="Appelnotedebasdep"/>
        </w:rPr>
        <w:footnoteRef/>
      </w:r>
      <w:r w:rsidRPr="00A318C3">
        <w:rPr>
          <w:lang w:val="fr-FR"/>
        </w:rPr>
        <w:tab/>
        <w:t>Biffer les mentions inutiles.</w:t>
      </w:r>
    </w:p>
  </w:footnote>
  <w:footnote w:id="15">
    <w:p w14:paraId="35C85CE4" w14:textId="77777777" w:rsidR="00BE2CA7" w:rsidRPr="00A318C3" w:rsidRDefault="00BE2CA7" w:rsidP="00BE2CA7">
      <w:pPr>
        <w:pStyle w:val="Notedebasdepage"/>
        <w:rPr>
          <w:lang w:val="fr-FR"/>
        </w:rPr>
      </w:pPr>
      <w:r w:rsidRPr="00A318C3">
        <w:rPr>
          <w:lang w:val="fr-FR"/>
        </w:rPr>
        <w:tab/>
      </w:r>
      <w:r w:rsidRPr="00977679">
        <w:rPr>
          <w:rStyle w:val="Appelnotedebasdep"/>
        </w:rPr>
        <w:footnoteRef/>
      </w:r>
      <w:r w:rsidRPr="00A318C3">
        <w:rPr>
          <w:lang w:val="fr-FR"/>
        </w:rPr>
        <w:tab/>
        <w:t>Les renseignements spécifiés doivent être communiqués pour toutes les variantes prévues.</w:t>
      </w:r>
    </w:p>
  </w:footnote>
  <w:footnote w:id="16">
    <w:p w14:paraId="62A0698C" w14:textId="619B88B1" w:rsidR="00BE2CA7" w:rsidRPr="00A318C3" w:rsidRDefault="00BE2CA7" w:rsidP="00BE2CA7">
      <w:pPr>
        <w:pStyle w:val="Notedebasdepage"/>
        <w:rPr>
          <w:lang w:val="fr-FR"/>
        </w:rPr>
      </w:pPr>
      <w:r w:rsidRPr="00A318C3">
        <w:rPr>
          <w:lang w:val="fr-FR"/>
        </w:rPr>
        <w:tab/>
      </w:r>
      <w:r w:rsidRPr="00977679">
        <w:rPr>
          <w:rStyle w:val="Appelnotedebasdep"/>
        </w:rPr>
        <w:footnoteRef/>
      </w:r>
      <w:r w:rsidRPr="00A318C3">
        <w:rPr>
          <w:lang w:val="fr-FR"/>
        </w:rPr>
        <w:tab/>
        <w:t>Préciser l</w:t>
      </w:r>
      <w:r w:rsidR="003B3965">
        <w:rPr>
          <w:lang w:val="fr-FR"/>
        </w:rPr>
        <w:t>’</w:t>
      </w:r>
      <w:r w:rsidRPr="00A318C3">
        <w:rPr>
          <w:lang w:val="fr-FR"/>
        </w:rPr>
        <w:t>une ou l</w:t>
      </w:r>
      <w:r w:rsidR="003B3965">
        <w:rPr>
          <w:lang w:val="fr-FR"/>
        </w:rPr>
        <w:t>’</w:t>
      </w:r>
      <w:r w:rsidRPr="00A318C3">
        <w:rPr>
          <w:lang w:val="fr-FR"/>
        </w:rPr>
        <w:t>autre.</w:t>
      </w:r>
    </w:p>
  </w:footnote>
  <w:footnote w:id="17">
    <w:p w14:paraId="3EFE0E14" w14:textId="5CF16CD1" w:rsidR="00BE2CA7" w:rsidRPr="00A318C3" w:rsidRDefault="00BE2CA7" w:rsidP="00BE2CA7">
      <w:pPr>
        <w:pStyle w:val="Notedebasdepage"/>
        <w:rPr>
          <w:lang w:val="fr-FR"/>
        </w:rPr>
      </w:pPr>
      <w:r>
        <w:rPr>
          <w:lang w:val="fr-FR"/>
        </w:rPr>
        <w:tab/>
      </w:r>
      <w:r w:rsidRPr="00977679">
        <w:rPr>
          <w:rStyle w:val="Appelnotedebasdep"/>
        </w:rPr>
        <w:footnoteRef/>
      </w:r>
      <w:r w:rsidRPr="00A318C3">
        <w:rPr>
          <w:lang w:val="fr-FR"/>
        </w:rPr>
        <w:tab/>
      </w:r>
      <w:r w:rsidRPr="002D411F">
        <w:rPr>
          <w:lang w:val="fr-FR"/>
        </w:rPr>
        <w:t>Biffer les mentions inutiles (il peut arriver que rien ne doive être biffé, lorsqu</w:t>
      </w:r>
      <w:r w:rsidR="003B3965" w:rsidRPr="002D411F">
        <w:rPr>
          <w:lang w:val="fr-FR"/>
        </w:rPr>
        <w:t>’</w:t>
      </w:r>
      <w:r w:rsidRPr="002D411F">
        <w:rPr>
          <w:lang w:val="fr-FR"/>
        </w:rPr>
        <w:t>il y a plus d</w:t>
      </w:r>
      <w:r w:rsidR="003B3965" w:rsidRPr="002D411F">
        <w:rPr>
          <w:lang w:val="fr-FR"/>
        </w:rPr>
        <w:t>’</w:t>
      </w:r>
      <w:r w:rsidRPr="002D411F">
        <w:rPr>
          <w:lang w:val="fr-FR"/>
        </w:rPr>
        <w:t>une réponse possible).</w:t>
      </w:r>
    </w:p>
  </w:footnote>
  <w:footnote w:id="18">
    <w:p w14:paraId="336EF686" w14:textId="77777777" w:rsidR="00BE2CA7" w:rsidRPr="00440C76" w:rsidRDefault="00BE2CA7" w:rsidP="00BE2CA7">
      <w:pPr>
        <w:pStyle w:val="Notedebasdepage"/>
        <w:rPr>
          <w:lang w:val="fr-FR"/>
        </w:rPr>
      </w:pPr>
      <w:r w:rsidRPr="00F70D73">
        <w:rPr>
          <w:lang w:val="fr-FR"/>
        </w:rPr>
        <w:tab/>
      </w:r>
      <w:r w:rsidRPr="00977679">
        <w:rPr>
          <w:rStyle w:val="Appelnotedebasdep"/>
        </w:rPr>
        <w:footnoteRef/>
      </w:r>
      <w:r w:rsidRPr="00440C76">
        <w:rPr>
          <w:lang w:val="fr-FR"/>
        </w:rPr>
        <w:tab/>
        <w:t>Document</w:t>
      </w:r>
      <w:r>
        <w:rPr>
          <w:lang w:val="fr-FR"/>
        </w:rPr>
        <w:t> </w:t>
      </w:r>
      <w:r w:rsidRPr="00440C76">
        <w:rPr>
          <w:lang w:val="fr-FR"/>
        </w:rPr>
        <w:t>ECE/TRANS/WP.19/1121</w:t>
      </w:r>
      <w:r w:rsidRPr="00440C76">
        <w:rPr>
          <w:lang w:val="fr-FR"/>
        </w:rPr>
        <w:br/>
      </w:r>
      <w:hyperlink r:id="rId5" w:history="1">
        <w:r w:rsidRPr="00440C76">
          <w:rPr>
            <w:rStyle w:val="Lienhypertexte"/>
            <w:lang w:val="fr-FR"/>
          </w:rPr>
          <w:t>https://unece.org/fileadmin/DAM/trans/main/wp29/wp29resolutions/ECE-TRANS-WP29-1121e.pdf</w:t>
        </w:r>
      </w:hyperlink>
      <w:r w:rsidRPr="00440C76">
        <w:rPr>
          <w:lang w:val="fr-FR"/>
        </w:rPr>
        <w:t>.</w:t>
      </w:r>
    </w:p>
  </w:footnote>
  <w:footnote w:id="19">
    <w:p w14:paraId="316A51F4" w14:textId="46F91321" w:rsidR="00BE2CA7" w:rsidRPr="00A318C3" w:rsidRDefault="00BE2CA7" w:rsidP="00BE2CA7">
      <w:pPr>
        <w:pStyle w:val="Notedebasdepage"/>
        <w:rPr>
          <w:lang w:val="fr-FR"/>
        </w:rPr>
      </w:pPr>
      <w:r w:rsidRPr="00493C42">
        <w:rPr>
          <w:lang w:val="fr-FR"/>
        </w:rPr>
        <w:tab/>
      </w:r>
      <w:r w:rsidRPr="00A318C3">
        <w:rPr>
          <w:vertAlign w:val="superscript"/>
          <w:lang w:val="fr-FR"/>
        </w:rPr>
        <w:t>1</w:t>
      </w:r>
      <w:r w:rsidRPr="00A318C3">
        <w:rPr>
          <w:vertAlign w:val="superscript"/>
          <w:lang w:val="fr-FR"/>
        </w:rPr>
        <w:tab/>
      </w:r>
      <w:r w:rsidRPr="00A318C3">
        <w:rPr>
          <w:lang w:val="fr-FR"/>
        </w:rPr>
        <w:t>Numéro distinctif du pays qui a délivré/étendu/refusé/retiré l</w:t>
      </w:r>
      <w:r w:rsidR="003B3965">
        <w:rPr>
          <w:lang w:val="fr-FR"/>
        </w:rPr>
        <w:t>’</w:t>
      </w:r>
      <w:r w:rsidRPr="00A318C3">
        <w:rPr>
          <w:lang w:val="fr-FR"/>
        </w:rPr>
        <w:t>homologation (voir les dispositions du Règlement relatives à l</w:t>
      </w:r>
      <w:r w:rsidR="003B3965">
        <w:rPr>
          <w:lang w:val="fr-FR"/>
        </w:rPr>
        <w:t>’</w:t>
      </w:r>
      <w:r w:rsidRPr="00A318C3">
        <w:rPr>
          <w:lang w:val="fr-FR"/>
        </w:rPr>
        <w:t>homologation).</w:t>
      </w:r>
    </w:p>
    <w:p w14:paraId="56D6C02D" w14:textId="77777777" w:rsidR="00BE2CA7" w:rsidRPr="00A318C3" w:rsidRDefault="00BE2CA7" w:rsidP="00BE2CA7">
      <w:pPr>
        <w:pStyle w:val="Notedebasdepage"/>
        <w:rPr>
          <w:lang w:val="fr-FR"/>
        </w:rPr>
      </w:pPr>
      <w:r w:rsidRPr="00A318C3">
        <w:rPr>
          <w:lang w:val="fr-FR"/>
        </w:rPr>
        <w:tab/>
      </w:r>
      <w:r w:rsidRPr="00A318C3">
        <w:rPr>
          <w:rStyle w:val="Appelnotedebasdep"/>
          <w:lang w:val="fr-FR"/>
        </w:rPr>
        <w:t>2</w:t>
      </w:r>
      <w:r w:rsidRPr="00A318C3">
        <w:rPr>
          <w:lang w:val="fr-FR"/>
        </w:rPr>
        <w:tab/>
        <w:t xml:space="preserve">Biffer </w:t>
      </w:r>
      <w:r>
        <w:rPr>
          <w:lang w:val="fr-FR"/>
        </w:rPr>
        <w:t>les mentions inutiles</w:t>
      </w:r>
      <w:r w:rsidRPr="00A318C3">
        <w:rPr>
          <w:lang w:val="fr-FR"/>
        </w:rPr>
        <w:t>.</w:t>
      </w:r>
    </w:p>
  </w:footnote>
  <w:footnote w:id="20">
    <w:p w14:paraId="07976394" w14:textId="2D594498" w:rsidR="00BE2CA7" w:rsidRPr="00A318C3" w:rsidRDefault="00BE2CA7" w:rsidP="00BE2CA7">
      <w:pPr>
        <w:pStyle w:val="Notedebasdepage"/>
        <w:rPr>
          <w:lang w:val="fr-FR"/>
        </w:rPr>
      </w:pPr>
      <w:r w:rsidRPr="00A318C3">
        <w:rPr>
          <w:rStyle w:val="Appelnotedebasdep"/>
          <w:lang w:val="fr-FR"/>
        </w:rPr>
        <w:tab/>
        <w:t>3</w:t>
      </w:r>
      <w:r w:rsidRPr="00A318C3">
        <w:rPr>
          <w:lang w:val="fr-FR"/>
        </w:rPr>
        <w:tab/>
        <w:t>Si le moyen d</w:t>
      </w:r>
      <w:r w:rsidR="003B3965">
        <w:rPr>
          <w:lang w:val="fr-FR"/>
        </w:rPr>
        <w:t>’</w:t>
      </w:r>
      <w:r w:rsidRPr="00A318C3">
        <w:rPr>
          <w:lang w:val="fr-FR"/>
        </w:rPr>
        <w:t>identification du type contient des caractères n</w:t>
      </w:r>
      <w:r w:rsidR="003B3965">
        <w:rPr>
          <w:lang w:val="fr-FR"/>
        </w:rPr>
        <w:t>’</w:t>
      </w:r>
      <w:r w:rsidRPr="00A318C3">
        <w:rPr>
          <w:lang w:val="fr-FR"/>
        </w:rPr>
        <w:t>intéressant pas la description des types de véhicules, de composants ou d</w:t>
      </w:r>
      <w:r w:rsidR="003B3965">
        <w:rPr>
          <w:lang w:val="fr-FR"/>
        </w:rPr>
        <w:t>’</w:t>
      </w:r>
      <w:r w:rsidRPr="00A318C3">
        <w:rPr>
          <w:lang w:val="fr-FR"/>
        </w:rPr>
        <w:t>entités techniques couverts par la présente fiche de renseignement, il importe de les indiquer dans la documentation au moyen du symbole «</w:t>
      </w:r>
      <w:r>
        <w:rPr>
          <w:lang w:val="fr-FR"/>
        </w:rPr>
        <w:t> </w:t>
      </w:r>
      <w:r w:rsidRPr="00A318C3">
        <w:rPr>
          <w:lang w:val="fr-FR"/>
        </w:rPr>
        <w:t>?</w:t>
      </w:r>
      <w:r>
        <w:rPr>
          <w:lang w:val="fr-FR"/>
        </w:rPr>
        <w:t> </w:t>
      </w:r>
      <w:r w:rsidRPr="00A318C3">
        <w:rPr>
          <w:lang w:val="fr-FR"/>
        </w:rPr>
        <w:t>» (par exemple ABC?? 123??).</w:t>
      </w:r>
    </w:p>
  </w:footnote>
  <w:footnote w:id="21">
    <w:p w14:paraId="55D3E773" w14:textId="3396E7F8" w:rsidR="00BE2CA7" w:rsidRPr="00A318C3" w:rsidRDefault="00BE2CA7" w:rsidP="00BE2CA7">
      <w:pPr>
        <w:pStyle w:val="Notedebasdepage"/>
        <w:rPr>
          <w:lang w:val="fr-FR"/>
        </w:rPr>
      </w:pPr>
      <w:r w:rsidRPr="00A318C3">
        <w:rPr>
          <w:lang w:val="fr-FR"/>
        </w:rPr>
        <w:tab/>
      </w:r>
      <w:r w:rsidRPr="00A318C3">
        <w:rPr>
          <w:rStyle w:val="Appelnotedebasdep"/>
          <w:lang w:val="fr-FR"/>
        </w:rPr>
        <w:t>4</w:t>
      </w:r>
      <w:r w:rsidRPr="00A318C3">
        <w:rPr>
          <w:lang w:val="fr-FR"/>
        </w:rPr>
        <w:tab/>
        <w:t>Selon les définitions de la Résolution d</w:t>
      </w:r>
      <w:r w:rsidR="003B3965">
        <w:rPr>
          <w:lang w:val="fr-FR"/>
        </w:rPr>
        <w:t>’</w:t>
      </w:r>
      <w:r w:rsidRPr="00A318C3">
        <w:rPr>
          <w:lang w:val="fr-FR"/>
        </w:rPr>
        <w:t>ensemble sur la construction des véhicules (R.E.3), document</w:t>
      </w:r>
      <w:r>
        <w:rPr>
          <w:lang w:val="fr-FR"/>
        </w:rPr>
        <w:t> </w:t>
      </w:r>
      <w:r w:rsidRPr="00A318C3">
        <w:rPr>
          <w:lang w:val="fr-FR"/>
        </w:rPr>
        <w:t xml:space="preserve">ECE/TRANS/WP.29/78/Rev.3, par. 2. </w:t>
      </w:r>
      <w:r>
        <w:rPr>
          <w:lang w:val="fr-FR"/>
        </w:rPr>
        <w:t>(</w:t>
      </w:r>
      <w:hyperlink r:id="rId6" w:history="1">
        <w:r w:rsidR="002D411F" w:rsidRPr="003F3609">
          <w:rPr>
            <w:rStyle w:val="Lienhypertexte"/>
            <w:lang w:val="fr-FR"/>
          </w:rPr>
          <w:t>https://unece.org/transport/vehicle-regulations/</w:t>
        </w:r>
        <w:r w:rsidR="002D411F" w:rsidRPr="003F3609">
          <w:rPr>
            <w:rStyle w:val="Lienhypertexte"/>
            <w:lang w:val="fr-FR"/>
          </w:rPr>
          <w:t xml:space="preserve"> </w:t>
        </w:r>
        <w:r w:rsidR="002D411F" w:rsidRPr="003F3609">
          <w:rPr>
            <w:rStyle w:val="Lienhypertexte"/>
            <w:lang w:val="fr-FR"/>
          </w:rPr>
          <w:t>wp29/resolutions</w:t>
        </w:r>
      </w:hyperlink>
      <w:r>
        <w:rPr>
          <w:lang w:val="fr-FR"/>
        </w:rPr>
        <w:t>)</w:t>
      </w:r>
      <w:r w:rsidRPr="00A318C3">
        <w:rPr>
          <w:lang w:val="fr-FR"/>
        </w:rPr>
        <w:t>.</w:t>
      </w:r>
    </w:p>
  </w:footnote>
  <w:footnote w:id="22">
    <w:p w14:paraId="6BFAA0BF" w14:textId="1E10760A" w:rsidR="00BE2CA7" w:rsidRPr="00A318C3" w:rsidRDefault="00BE2CA7" w:rsidP="00BE2CA7">
      <w:pPr>
        <w:pStyle w:val="Notedebasdepage"/>
        <w:rPr>
          <w:lang w:val="fr-FR"/>
        </w:rPr>
      </w:pPr>
      <w:r>
        <w:tab/>
      </w:r>
      <w:r w:rsidRPr="00977679">
        <w:rPr>
          <w:rStyle w:val="Appelnotedebasdep"/>
        </w:rPr>
        <w:footnoteRef/>
      </w:r>
      <w:r w:rsidRPr="00A318C3">
        <w:rPr>
          <w:lang w:val="fr-FR"/>
        </w:rPr>
        <w:tab/>
      </w:r>
      <w:r w:rsidRPr="00A318C3">
        <w:rPr>
          <w:lang w:val="fr-FR"/>
        </w:rPr>
        <w:tab/>
        <w:t>Dans le cas des véhicules équipés d</w:t>
      </w:r>
      <w:r w:rsidR="003B3965">
        <w:rPr>
          <w:lang w:val="fr-FR"/>
        </w:rPr>
        <w:t>’</w:t>
      </w:r>
      <w:r w:rsidRPr="00A318C3">
        <w:rPr>
          <w:lang w:val="fr-FR"/>
        </w:rPr>
        <w:t xml:space="preserve">une boîte de vitesses automatique, donner tous les renseignements techniques utiles. </w:t>
      </w:r>
    </w:p>
  </w:footnote>
  <w:footnote w:id="23">
    <w:p w14:paraId="08F5B028" w14:textId="595CF3BF" w:rsidR="00BE2CA7" w:rsidRPr="00A318C3" w:rsidRDefault="00BE2CA7" w:rsidP="00BE2CA7">
      <w:pPr>
        <w:pStyle w:val="Notedebasdepage"/>
        <w:rPr>
          <w:lang w:val="fr-FR"/>
        </w:rPr>
      </w:pPr>
      <w:r w:rsidRPr="00A318C3">
        <w:rPr>
          <w:lang w:val="fr-FR"/>
        </w:rPr>
        <w:tab/>
      </w:r>
      <w:r w:rsidRPr="00977679">
        <w:rPr>
          <w:rStyle w:val="Appelnotedebasdep"/>
        </w:rPr>
        <w:footnoteRef/>
      </w:r>
      <w:r w:rsidRPr="00A318C3">
        <w:rPr>
          <w:lang w:val="fr-FR"/>
        </w:rPr>
        <w:tab/>
        <w:t>Valeurs de l</w:t>
      </w:r>
      <w:r w:rsidR="003B3965">
        <w:rPr>
          <w:lang w:val="fr-FR"/>
        </w:rPr>
        <w:t>’</w:t>
      </w:r>
      <w:r w:rsidRPr="00A318C3">
        <w:rPr>
          <w:lang w:val="fr-FR"/>
        </w:rPr>
        <w:t xml:space="preserve">opacité des fumées mesurées conformément aux prescriptions </w:t>
      </w:r>
      <w:r>
        <w:rPr>
          <w:lang w:val="fr-FR"/>
        </w:rPr>
        <w:t>du Règlement ONU n</w:t>
      </w:r>
      <w:r w:rsidRPr="002B6A5C">
        <w:rPr>
          <w:vertAlign w:val="superscript"/>
          <w:lang w:val="fr-FR"/>
        </w:rPr>
        <w:t>o</w:t>
      </w:r>
      <w:r>
        <w:rPr>
          <w:lang w:val="fr-FR"/>
        </w:rPr>
        <w:t> 24</w:t>
      </w:r>
      <w:r w:rsidRPr="00A318C3">
        <w:rPr>
          <w:lang w:val="fr-FR"/>
        </w:rPr>
        <w:t xml:space="preserve">. </w:t>
      </w:r>
    </w:p>
  </w:footnote>
  <w:footnote w:id="24">
    <w:p w14:paraId="1EFBDF02" w14:textId="77777777" w:rsidR="00BE2CA7" w:rsidRPr="00440C76" w:rsidRDefault="00BE2CA7" w:rsidP="00BE2CA7">
      <w:pPr>
        <w:pStyle w:val="Notedebasdepage"/>
        <w:rPr>
          <w:lang w:val="fr-FR"/>
        </w:rPr>
      </w:pPr>
      <w:r w:rsidRPr="00B47094">
        <w:rPr>
          <w:lang w:val="fr-FR"/>
        </w:rPr>
        <w:tab/>
      </w:r>
      <w:r w:rsidRPr="00977679">
        <w:rPr>
          <w:rStyle w:val="Appelnotedebasdep"/>
        </w:rPr>
        <w:footnoteRef/>
      </w:r>
      <w:r w:rsidRPr="00440C76">
        <w:rPr>
          <w:lang w:val="fr-FR"/>
        </w:rPr>
        <w:tab/>
        <w:t>Numéro du pays selon la note de bas de page figurant au paragraphe</w:t>
      </w:r>
      <w:r>
        <w:rPr>
          <w:lang w:val="fr-FR"/>
        </w:rPr>
        <w:t> </w:t>
      </w:r>
      <w:r w:rsidRPr="00440C76">
        <w:rPr>
          <w:lang w:val="fr-FR"/>
        </w:rPr>
        <w:t>4.4.1 du présent Règlement.</w:t>
      </w:r>
    </w:p>
  </w:footnote>
  <w:footnote w:id="25">
    <w:p w14:paraId="3FA709B9" w14:textId="77777777" w:rsidR="00BE2CA7" w:rsidRPr="00440C76" w:rsidRDefault="00BE2CA7" w:rsidP="00BE2CA7">
      <w:pPr>
        <w:pStyle w:val="Notedebasdepage"/>
        <w:rPr>
          <w:lang w:val="fr-FR"/>
        </w:rPr>
      </w:pPr>
      <w:r w:rsidRPr="00440C76">
        <w:rPr>
          <w:lang w:val="fr-FR"/>
        </w:rPr>
        <w:tab/>
      </w:r>
      <w:r w:rsidRPr="00977679">
        <w:rPr>
          <w:rStyle w:val="Appelnotedebasdep"/>
        </w:rPr>
        <w:footnoteRef/>
      </w:r>
      <w:r w:rsidRPr="00440C76">
        <w:rPr>
          <w:lang w:val="fr-FR"/>
        </w:rPr>
        <w:tab/>
        <w:t>Selon le tableau</w:t>
      </w:r>
      <w:r>
        <w:rPr>
          <w:lang w:val="fr-FR"/>
        </w:rPr>
        <w:t> </w:t>
      </w:r>
      <w:r w:rsidRPr="00440C76">
        <w:rPr>
          <w:lang w:val="fr-FR"/>
        </w:rPr>
        <w:t>A3/1 de la présente annexe.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AEA7DA" w14:textId="77777777" w:rsidR="00BE2CA7" w:rsidRPr="00BE2CA7" w:rsidRDefault="00BE2CA7">
    <w:pPr>
      <w:pStyle w:val="En-tte"/>
      <w:rPr>
        <w:lang w:val="en-US"/>
      </w:rPr>
    </w:pPr>
    <w:r>
      <w:fldChar w:fldCharType="begin"/>
    </w:r>
    <w:r w:rsidRPr="00BE2CA7">
      <w:rPr>
        <w:lang w:val="en-US"/>
      </w:rPr>
      <w:instrText xml:space="preserve"> TITLE  \* MERGEFORMAT </w:instrText>
    </w:r>
    <w:r>
      <w:fldChar w:fldCharType="separate"/>
    </w:r>
    <w:r w:rsidRPr="00BE2CA7">
      <w:rPr>
        <w:lang w:val="en-US"/>
      </w:rPr>
      <w:t>E/ECE/324/Rev.1/Add.82/Rev.5/Amend.17</w:t>
    </w:r>
    <w:r>
      <w:fldChar w:fldCharType="end"/>
    </w:r>
    <w:r w:rsidRPr="00BE2CA7">
      <w:rPr>
        <w:lang w:val="en-US"/>
      </w:rPr>
      <w:br/>
    </w:r>
    <w:r>
      <w:fldChar w:fldCharType="begin"/>
    </w:r>
    <w:r w:rsidRPr="00BE2CA7">
      <w:rPr>
        <w:lang w:val="en-US"/>
      </w:rPr>
      <w:instrText xml:space="preserve"> KEYWORDS  \* MERGEFORMAT </w:instrText>
    </w:r>
    <w:r>
      <w:fldChar w:fldCharType="separate"/>
    </w:r>
    <w:r w:rsidRPr="00BE2CA7">
      <w:rPr>
        <w:lang w:val="en-US"/>
      </w:rPr>
      <w:t>E/ECE/TRANS/505/Rev.1/Add.82/Rev.5/Amend.17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FFD31C" w14:textId="77777777" w:rsidR="00BE2CA7" w:rsidRPr="00BE2CA7" w:rsidRDefault="00BE2CA7" w:rsidP="00BE2CA7">
    <w:pPr>
      <w:pStyle w:val="En-tte"/>
      <w:jc w:val="right"/>
      <w:rPr>
        <w:lang w:val="en-US"/>
      </w:rPr>
    </w:pPr>
    <w:r>
      <w:fldChar w:fldCharType="begin"/>
    </w:r>
    <w:r w:rsidRPr="00BE2CA7">
      <w:rPr>
        <w:lang w:val="en-US"/>
      </w:rPr>
      <w:instrText xml:space="preserve"> TITLE  \* MERGEFORMAT </w:instrText>
    </w:r>
    <w:r>
      <w:fldChar w:fldCharType="separate"/>
    </w:r>
    <w:r w:rsidRPr="00BE2CA7">
      <w:rPr>
        <w:lang w:val="en-US"/>
      </w:rPr>
      <w:t>E/ECE/324/Rev.1/Add.82/Rev.5/Amend.17</w:t>
    </w:r>
    <w:r>
      <w:fldChar w:fldCharType="end"/>
    </w:r>
    <w:r w:rsidRPr="00BE2CA7">
      <w:rPr>
        <w:lang w:val="en-US"/>
      </w:rPr>
      <w:br/>
    </w:r>
    <w:r>
      <w:fldChar w:fldCharType="begin"/>
    </w:r>
    <w:r w:rsidRPr="00BE2CA7">
      <w:rPr>
        <w:lang w:val="en-US"/>
      </w:rPr>
      <w:instrText xml:space="preserve"> KEYWORDS  \* MERGEFORMAT </w:instrText>
    </w:r>
    <w:r>
      <w:fldChar w:fldCharType="separate"/>
    </w:r>
    <w:r w:rsidRPr="00BE2CA7">
      <w:rPr>
        <w:lang w:val="en-US"/>
      </w:rPr>
      <w:t>E/ECE/TRANS/505/Rev.1/Add.82/Rev.5/Amend.17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0FC230E8"/>
    <w:multiLevelType w:val="multilevel"/>
    <w:tmpl w:val="FE664746"/>
    <w:lvl w:ilvl="0">
      <w:numFmt w:val="decimal"/>
      <w:lvlText w:val="%1"/>
      <w:lvlJc w:val="left"/>
      <w:pPr>
        <w:ind w:left="555" w:hanging="555"/>
      </w:pPr>
      <w:rPr>
        <w:rFonts w:hint="default"/>
        <w:b w:val="0"/>
      </w:rPr>
    </w:lvl>
    <w:lvl w:ilvl="1">
      <w:start w:val="9"/>
      <w:numFmt w:val="decimal"/>
      <w:lvlText w:val="%1.%2"/>
      <w:lvlJc w:val="left"/>
      <w:pPr>
        <w:ind w:left="1689" w:hanging="555"/>
      </w:pPr>
      <w:rPr>
        <w:rFonts w:hint="default"/>
        <w:b w:val="0"/>
        <w:lang w:val="fr-FR"/>
      </w:rPr>
    </w:lvl>
    <w:lvl w:ilvl="2">
      <w:start w:val="1"/>
      <w:numFmt w:val="decimal"/>
      <w:lvlText w:val="%1.%2.%3"/>
      <w:lvlJc w:val="left"/>
      <w:pPr>
        <w:ind w:left="2988" w:hanging="720"/>
      </w:pPr>
      <w:rPr>
        <w:rFonts w:hint="default"/>
        <w:b w:val="0"/>
      </w:rPr>
    </w:lvl>
    <w:lvl w:ilvl="3">
      <w:start w:val="1"/>
      <w:numFmt w:val="decimal"/>
      <w:lvlText w:val="%1.%2.%3.%4"/>
      <w:lvlJc w:val="left"/>
      <w:pPr>
        <w:ind w:left="4122" w:hanging="720"/>
      </w:pPr>
      <w:rPr>
        <w:rFonts w:hint="default"/>
        <w:b w:val="0"/>
      </w:rPr>
    </w:lvl>
    <w:lvl w:ilvl="4">
      <w:start w:val="1"/>
      <w:numFmt w:val="decimal"/>
      <w:lvlText w:val="%1.%2.%3.%4.%5"/>
      <w:lvlJc w:val="left"/>
      <w:pPr>
        <w:ind w:left="5256" w:hanging="720"/>
      </w:pPr>
      <w:rPr>
        <w:rFonts w:hint="default"/>
        <w:b w:val="0"/>
      </w:rPr>
    </w:lvl>
    <w:lvl w:ilvl="5">
      <w:start w:val="1"/>
      <w:numFmt w:val="decimal"/>
      <w:lvlText w:val="%1.%2.%3.%4.%5.%6"/>
      <w:lvlJc w:val="left"/>
      <w:pPr>
        <w:ind w:left="6750" w:hanging="1080"/>
      </w:pPr>
      <w:rPr>
        <w:rFonts w:hint="default"/>
        <w:b w:val="0"/>
      </w:rPr>
    </w:lvl>
    <w:lvl w:ilvl="6">
      <w:start w:val="1"/>
      <w:numFmt w:val="decimal"/>
      <w:lvlText w:val="%1.%2.%3.%4.%5.%6.%7"/>
      <w:lvlJc w:val="left"/>
      <w:pPr>
        <w:ind w:left="7884" w:hanging="1080"/>
      </w:pPr>
      <w:rPr>
        <w:rFonts w:hint="default"/>
        <w:b w:val="0"/>
      </w:rPr>
    </w:lvl>
    <w:lvl w:ilvl="7">
      <w:start w:val="1"/>
      <w:numFmt w:val="decimal"/>
      <w:lvlText w:val="%1.%2.%3.%4.%5.%6.%7.%8"/>
      <w:lvlJc w:val="left"/>
      <w:pPr>
        <w:ind w:left="9378" w:hanging="1440"/>
      </w:pPr>
      <w:rPr>
        <w:rFonts w:hint="default"/>
        <w:b w:val="0"/>
      </w:rPr>
    </w:lvl>
    <w:lvl w:ilvl="8">
      <w:start w:val="1"/>
      <w:numFmt w:val="decimal"/>
      <w:lvlText w:val="%1.%2.%3.%4.%5.%6.%7.%8.%9"/>
      <w:lvlJc w:val="left"/>
      <w:pPr>
        <w:ind w:left="10512" w:hanging="1440"/>
      </w:pPr>
      <w:rPr>
        <w:rFonts w:hint="default"/>
        <w:b w:val="0"/>
      </w:rPr>
    </w:lvl>
  </w:abstractNum>
  <w:abstractNum w:abstractNumId="12" w15:restartNumberingAfterBreak="0">
    <w:nsid w:val="144B3647"/>
    <w:multiLevelType w:val="hybridMultilevel"/>
    <w:tmpl w:val="BD7CF040"/>
    <w:lvl w:ilvl="0" w:tplc="F926C5E0">
      <w:start w:val="1"/>
      <w:numFmt w:val="lowerLetter"/>
      <w:lvlText w:val="%1)"/>
      <w:lvlJc w:val="left"/>
      <w:pPr>
        <w:ind w:left="1689" w:hanging="555"/>
      </w:pPr>
      <w:rPr>
        <w:rFonts w:hint="default"/>
      </w:rPr>
    </w:lvl>
    <w:lvl w:ilvl="1" w:tplc="280C0019" w:tentative="1">
      <w:start w:val="1"/>
      <w:numFmt w:val="lowerLetter"/>
      <w:lvlText w:val="%2."/>
      <w:lvlJc w:val="left"/>
      <w:pPr>
        <w:ind w:left="2214" w:hanging="360"/>
      </w:pPr>
    </w:lvl>
    <w:lvl w:ilvl="2" w:tplc="280C001B" w:tentative="1">
      <w:start w:val="1"/>
      <w:numFmt w:val="lowerRoman"/>
      <w:lvlText w:val="%3."/>
      <w:lvlJc w:val="right"/>
      <w:pPr>
        <w:ind w:left="2934" w:hanging="180"/>
      </w:pPr>
    </w:lvl>
    <w:lvl w:ilvl="3" w:tplc="280C000F" w:tentative="1">
      <w:start w:val="1"/>
      <w:numFmt w:val="decimal"/>
      <w:lvlText w:val="%4."/>
      <w:lvlJc w:val="left"/>
      <w:pPr>
        <w:ind w:left="3654" w:hanging="360"/>
      </w:pPr>
    </w:lvl>
    <w:lvl w:ilvl="4" w:tplc="280C0019" w:tentative="1">
      <w:start w:val="1"/>
      <w:numFmt w:val="lowerLetter"/>
      <w:lvlText w:val="%5."/>
      <w:lvlJc w:val="left"/>
      <w:pPr>
        <w:ind w:left="4374" w:hanging="360"/>
      </w:pPr>
    </w:lvl>
    <w:lvl w:ilvl="5" w:tplc="280C001B" w:tentative="1">
      <w:start w:val="1"/>
      <w:numFmt w:val="lowerRoman"/>
      <w:lvlText w:val="%6."/>
      <w:lvlJc w:val="right"/>
      <w:pPr>
        <w:ind w:left="5094" w:hanging="180"/>
      </w:pPr>
    </w:lvl>
    <w:lvl w:ilvl="6" w:tplc="280C000F" w:tentative="1">
      <w:start w:val="1"/>
      <w:numFmt w:val="decimal"/>
      <w:lvlText w:val="%7."/>
      <w:lvlJc w:val="left"/>
      <w:pPr>
        <w:ind w:left="5814" w:hanging="360"/>
      </w:pPr>
    </w:lvl>
    <w:lvl w:ilvl="7" w:tplc="280C0019" w:tentative="1">
      <w:start w:val="1"/>
      <w:numFmt w:val="lowerLetter"/>
      <w:lvlText w:val="%8."/>
      <w:lvlJc w:val="left"/>
      <w:pPr>
        <w:ind w:left="6534" w:hanging="360"/>
      </w:pPr>
    </w:lvl>
    <w:lvl w:ilvl="8" w:tplc="280C001B" w:tentative="1">
      <w:start w:val="1"/>
      <w:numFmt w:val="lowerRoman"/>
      <w:lvlText w:val="%9."/>
      <w:lvlJc w:val="right"/>
      <w:pPr>
        <w:ind w:left="7254" w:hanging="180"/>
      </w:pPr>
    </w:lvl>
  </w:abstractNum>
  <w:abstractNum w:abstractNumId="13" w15:restartNumberingAfterBreak="0">
    <w:nsid w:val="14855F1F"/>
    <w:multiLevelType w:val="multilevel"/>
    <w:tmpl w:val="9528932E"/>
    <w:lvl w:ilvl="0">
      <w:start w:val="1"/>
      <w:numFmt w:val="decimal"/>
      <w:lvlText w:val="%1"/>
      <w:lvlJc w:val="left"/>
      <w:pPr>
        <w:ind w:left="1494" w:hanging="360"/>
      </w:pPr>
      <w:rPr>
        <w:rFonts w:hint="default"/>
        <w:b/>
      </w:rPr>
    </w:lvl>
    <w:lvl w:ilvl="1">
      <w:start w:val="1"/>
      <w:numFmt w:val="decimal"/>
      <w:isLgl/>
      <w:lvlText w:val="%1.%2"/>
      <w:lvlJc w:val="left"/>
      <w:pPr>
        <w:ind w:left="1539" w:hanging="40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1854" w:hanging="72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14" w15:restartNumberingAfterBreak="0">
    <w:nsid w:val="15290303"/>
    <w:multiLevelType w:val="hybridMultilevel"/>
    <w:tmpl w:val="83EC70B8"/>
    <w:lvl w:ilvl="0" w:tplc="73C4C376">
      <w:start w:val="1"/>
      <w:numFmt w:val="bullet"/>
      <w:lvlText w:val="•"/>
      <w:lvlJc w:val="left"/>
      <w:pPr>
        <w:tabs>
          <w:tab w:val="num" w:pos="284"/>
        </w:tabs>
        <w:ind w:left="284" w:hanging="284"/>
      </w:pPr>
      <w:rPr>
        <w:rFonts w:ascii="Times New Roman" w:hAnsi="Times New Roman" w:cs="Times New Roman" w:hint="default"/>
      </w:rPr>
    </w:lvl>
    <w:lvl w:ilvl="1" w:tplc="FFFFFFFF" w:tentative="1">
      <w:start w:val="1"/>
      <w:numFmt w:val="bullet"/>
      <w:lvlText w:val="o"/>
      <w:lvlJc w:val="left"/>
      <w:pPr>
        <w:tabs>
          <w:tab w:val="num" w:pos="1373"/>
        </w:tabs>
        <w:ind w:left="1373" w:hanging="360"/>
      </w:pPr>
      <w:rPr>
        <w:rFonts w:ascii="Courier New" w:hAnsi="Courier New" w:cs="Courier New" w:hint="default"/>
      </w:rPr>
    </w:lvl>
    <w:lvl w:ilvl="2" w:tplc="FFFFFFFF" w:tentative="1">
      <w:start w:val="1"/>
      <w:numFmt w:val="bullet"/>
      <w:lvlText w:val=""/>
      <w:lvlJc w:val="left"/>
      <w:pPr>
        <w:tabs>
          <w:tab w:val="num" w:pos="2093"/>
        </w:tabs>
        <w:ind w:left="2093" w:hanging="360"/>
      </w:pPr>
      <w:rPr>
        <w:rFonts w:ascii="Wingdings" w:hAnsi="Wingdings" w:hint="default"/>
      </w:rPr>
    </w:lvl>
    <w:lvl w:ilvl="3" w:tplc="FFFFFFFF" w:tentative="1">
      <w:start w:val="1"/>
      <w:numFmt w:val="bullet"/>
      <w:lvlText w:val=""/>
      <w:lvlJc w:val="left"/>
      <w:pPr>
        <w:tabs>
          <w:tab w:val="num" w:pos="2813"/>
        </w:tabs>
        <w:ind w:left="2813" w:hanging="360"/>
      </w:pPr>
      <w:rPr>
        <w:rFonts w:ascii="Symbol" w:hAnsi="Symbol" w:hint="default"/>
      </w:rPr>
    </w:lvl>
    <w:lvl w:ilvl="4" w:tplc="FFFFFFFF" w:tentative="1">
      <w:start w:val="1"/>
      <w:numFmt w:val="bullet"/>
      <w:lvlText w:val="o"/>
      <w:lvlJc w:val="left"/>
      <w:pPr>
        <w:tabs>
          <w:tab w:val="num" w:pos="3533"/>
        </w:tabs>
        <w:ind w:left="3533" w:hanging="360"/>
      </w:pPr>
      <w:rPr>
        <w:rFonts w:ascii="Courier New" w:hAnsi="Courier New" w:cs="Courier New" w:hint="default"/>
      </w:rPr>
    </w:lvl>
    <w:lvl w:ilvl="5" w:tplc="FFFFFFFF" w:tentative="1">
      <w:start w:val="1"/>
      <w:numFmt w:val="bullet"/>
      <w:lvlText w:val=""/>
      <w:lvlJc w:val="left"/>
      <w:pPr>
        <w:tabs>
          <w:tab w:val="num" w:pos="4253"/>
        </w:tabs>
        <w:ind w:left="4253" w:hanging="360"/>
      </w:pPr>
      <w:rPr>
        <w:rFonts w:ascii="Wingdings" w:hAnsi="Wingdings" w:hint="default"/>
      </w:rPr>
    </w:lvl>
    <w:lvl w:ilvl="6" w:tplc="FFFFFFFF" w:tentative="1">
      <w:start w:val="1"/>
      <w:numFmt w:val="bullet"/>
      <w:lvlText w:val=""/>
      <w:lvlJc w:val="left"/>
      <w:pPr>
        <w:tabs>
          <w:tab w:val="num" w:pos="4973"/>
        </w:tabs>
        <w:ind w:left="4973" w:hanging="360"/>
      </w:pPr>
      <w:rPr>
        <w:rFonts w:ascii="Symbol" w:hAnsi="Symbol" w:hint="default"/>
      </w:rPr>
    </w:lvl>
    <w:lvl w:ilvl="7" w:tplc="FFFFFFFF" w:tentative="1">
      <w:start w:val="1"/>
      <w:numFmt w:val="bullet"/>
      <w:lvlText w:val="o"/>
      <w:lvlJc w:val="left"/>
      <w:pPr>
        <w:tabs>
          <w:tab w:val="num" w:pos="5693"/>
        </w:tabs>
        <w:ind w:left="5693" w:hanging="360"/>
      </w:pPr>
      <w:rPr>
        <w:rFonts w:ascii="Courier New" w:hAnsi="Courier New" w:cs="Courier New" w:hint="default"/>
      </w:rPr>
    </w:lvl>
    <w:lvl w:ilvl="8" w:tplc="FFFFFFFF" w:tentative="1">
      <w:start w:val="1"/>
      <w:numFmt w:val="bullet"/>
      <w:lvlText w:val=""/>
      <w:lvlJc w:val="left"/>
      <w:pPr>
        <w:tabs>
          <w:tab w:val="num" w:pos="6413"/>
        </w:tabs>
        <w:ind w:left="6413" w:hanging="360"/>
      </w:pPr>
      <w:rPr>
        <w:rFonts w:ascii="Wingdings" w:hAnsi="Wingdings" w:hint="default"/>
      </w:rPr>
    </w:lvl>
  </w:abstractNum>
  <w:abstractNum w:abstractNumId="15" w15:restartNumberingAfterBreak="0">
    <w:nsid w:val="1F605DB9"/>
    <w:multiLevelType w:val="hybridMultilevel"/>
    <w:tmpl w:val="4484ED4E"/>
    <w:lvl w:ilvl="0" w:tplc="B15A3AC0">
      <w:start w:val="1"/>
      <w:numFmt w:val="lowerLetter"/>
      <w:lvlText w:val="%1)"/>
      <w:lvlJc w:val="left"/>
      <w:pPr>
        <w:ind w:left="3762" w:hanging="360"/>
      </w:pPr>
      <w:rPr>
        <w:rFonts w:hint="default"/>
      </w:rPr>
    </w:lvl>
    <w:lvl w:ilvl="1" w:tplc="280C0019" w:tentative="1">
      <w:start w:val="1"/>
      <w:numFmt w:val="lowerLetter"/>
      <w:lvlText w:val="%2."/>
      <w:lvlJc w:val="left"/>
      <w:pPr>
        <w:ind w:left="4482" w:hanging="360"/>
      </w:pPr>
    </w:lvl>
    <w:lvl w:ilvl="2" w:tplc="280C001B" w:tentative="1">
      <w:start w:val="1"/>
      <w:numFmt w:val="lowerRoman"/>
      <w:lvlText w:val="%3."/>
      <w:lvlJc w:val="right"/>
      <w:pPr>
        <w:ind w:left="5202" w:hanging="180"/>
      </w:pPr>
    </w:lvl>
    <w:lvl w:ilvl="3" w:tplc="280C000F" w:tentative="1">
      <w:start w:val="1"/>
      <w:numFmt w:val="decimal"/>
      <w:lvlText w:val="%4."/>
      <w:lvlJc w:val="left"/>
      <w:pPr>
        <w:ind w:left="5922" w:hanging="360"/>
      </w:pPr>
    </w:lvl>
    <w:lvl w:ilvl="4" w:tplc="280C0019" w:tentative="1">
      <w:start w:val="1"/>
      <w:numFmt w:val="lowerLetter"/>
      <w:lvlText w:val="%5."/>
      <w:lvlJc w:val="left"/>
      <w:pPr>
        <w:ind w:left="6642" w:hanging="360"/>
      </w:pPr>
    </w:lvl>
    <w:lvl w:ilvl="5" w:tplc="280C001B" w:tentative="1">
      <w:start w:val="1"/>
      <w:numFmt w:val="lowerRoman"/>
      <w:lvlText w:val="%6."/>
      <w:lvlJc w:val="right"/>
      <w:pPr>
        <w:ind w:left="7362" w:hanging="180"/>
      </w:pPr>
    </w:lvl>
    <w:lvl w:ilvl="6" w:tplc="280C000F" w:tentative="1">
      <w:start w:val="1"/>
      <w:numFmt w:val="decimal"/>
      <w:lvlText w:val="%7."/>
      <w:lvlJc w:val="left"/>
      <w:pPr>
        <w:ind w:left="8082" w:hanging="360"/>
      </w:pPr>
    </w:lvl>
    <w:lvl w:ilvl="7" w:tplc="280C0019" w:tentative="1">
      <w:start w:val="1"/>
      <w:numFmt w:val="lowerLetter"/>
      <w:lvlText w:val="%8."/>
      <w:lvlJc w:val="left"/>
      <w:pPr>
        <w:ind w:left="8802" w:hanging="360"/>
      </w:pPr>
    </w:lvl>
    <w:lvl w:ilvl="8" w:tplc="280C001B" w:tentative="1">
      <w:start w:val="1"/>
      <w:numFmt w:val="lowerRoman"/>
      <w:lvlText w:val="%9."/>
      <w:lvlJc w:val="right"/>
      <w:pPr>
        <w:ind w:left="9522" w:hanging="180"/>
      </w:pPr>
    </w:lvl>
  </w:abstractNum>
  <w:abstractNum w:abstractNumId="16" w15:restartNumberingAfterBreak="0">
    <w:nsid w:val="259B6026"/>
    <w:multiLevelType w:val="hybridMultilevel"/>
    <w:tmpl w:val="A36A92C8"/>
    <w:lvl w:ilvl="0" w:tplc="01161164">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28D22E04"/>
    <w:multiLevelType w:val="multilevel"/>
    <w:tmpl w:val="28A48B0C"/>
    <w:lvl w:ilvl="0">
      <w:numFmt w:val="decimal"/>
      <w:lvlText w:val="%1"/>
      <w:lvlJc w:val="left"/>
      <w:pPr>
        <w:ind w:left="1125" w:hanging="1125"/>
      </w:pPr>
      <w:rPr>
        <w:rFonts w:hint="default"/>
        <w:b w:val="0"/>
      </w:rPr>
    </w:lvl>
    <w:lvl w:ilvl="1">
      <w:start w:val="9"/>
      <w:numFmt w:val="decimal"/>
      <w:lvlText w:val="%1.%2"/>
      <w:lvlJc w:val="left"/>
      <w:pPr>
        <w:ind w:left="1692" w:hanging="1125"/>
      </w:pPr>
      <w:rPr>
        <w:rFonts w:hint="default"/>
        <w:b w:val="0"/>
      </w:rPr>
    </w:lvl>
    <w:lvl w:ilvl="2">
      <w:start w:val="1"/>
      <w:numFmt w:val="decimal"/>
      <w:lvlText w:val="%1.%2.%3"/>
      <w:lvlJc w:val="left"/>
      <w:pPr>
        <w:ind w:left="2259" w:hanging="1125"/>
      </w:pPr>
      <w:rPr>
        <w:rFonts w:hint="default"/>
        <w:b w:val="0"/>
      </w:rPr>
    </w:lvl>
    <w:lvl w:ilvl="3">
      <w:start w:val="1"/>
      <w:numFmt w:val="decimal"/>
      <w:lvlText w:val="%1.%2.%3.%4"/>
      <w:lvlJc w:val="left"/>
      <w:pPr>
        <w:ind w:left="2826" w:hanging="1125"/>
      </w:pPr>
      <w:rPr>
        <w:rFonts w:hint="default"/>
        <w:b w:val="0"/>
      </w:rPr>
    </w:lvl>
    <w:lvl w:ilvl="4">
      <w:start w:val="1"/>
      <w:numFmt w:val="decimal"/>
      <w:lvlText w:val="%1.%2.%3.%4.%5"/>
      <w:lvlJc w:val="left"/>
      <w:pPr>
        <w:ind w:left="3393" w:hanging="1125"/>
      </w:pPr>
      <w:rPr>
        <w:rFonts w:hint="default"/>
        <w:b w:val="0"/>
      </w:rPr>
    </w:lvl>
    <w:lvl w:ilvl="5">
      <w:start w:val="1"/>
      <w:numFmt w:val="decimal"/>
      <w:lvlText w:val="%1.%2.%3.%4.%5.%6"/>
      <w:lvlJc w:val="left"/>
      <w:pPr>
        <w:ind w:left="3960" w:hanging="1125"/>
      </w:pPr>
      <w:rPr>
        <w:rFonts w:hint="default"/>
        <w:b w:val="0"/>
      </w:rPr>
    </w:lvl>
    <w:lvl w:ilvl="6">
      <w:start w:val="1"/>
      <w:numFmt w:val="decimal"/>
      <w:lvlText w:val="%1.%2.%3.%4.%5.%6.%7"/>
      <w:lvlJc w:val="left"/>
      <w:pPr>
        <w:ind w:left="4527" w:hanging="1125"/>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5976" w:hanging="1440"/>
      </w:pPr>
      <w:rPr>
        <w:rFonts w:hint="default"/>
        <w:b w:val="0"/>
      </w:rPr>
    </w:lvl>
  </w:abstractNum>
  <w:abstractNum w:abstractNumId="18" w15:restartNumberingAfterBreak="0">
    <w:nsid w:val="2AB81851"/>
    <w:multiLevelType w:val="hybridMultilevel"/>
    <w:tmpl w:val="180247DA"/>
    <w:lvl w:ilvl="0" w:tplc="2B689C24">
      <w:start w:val="1"/>
      <w:numFmt w:val="bullet"/>
      <w:lvlText w:val="–"/>
      <w:lvlJc w:val="left"/>
      <w:pPr>
        <w:tabs>
          <w:tab w:val="num" w:pos="2552"/>
        </w:tabs>
        <w:ind w:left="2552" w:hanging="284"/>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3530AC"/>
    <w:multiLevelType w:val="hybridMultilevel"/>
    <w:tmpl w:val="CBA4E9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3E45157D"/>
    <w:multiLevelType w:val="singleLevel"/>
    <w:tmpl w:val="FFFFFFFF"/>
    <w:lvl w:ilvl="0">
      <w:start w:val="1"/>
      <w:numFmt w:val="bullet"/>
      <w:lvlText w:val="–"/>
      <w:legacy w:legacy="1" w:legacySpace="0" w:legacyIndent="283"/>
      <w:lvlJc w:val="left"/>
      <w:pPr>
        <w:ind w:left="1134" w:hanging="283"/>
      </w:pPr>
    </w:lvl>
  </w:abstractNum>
  <w:abstractNum w:abstractNumId="22" w15:restartNumberingAfterBreak="0">
    <w:nsid w:val="5FE46838"/>
    <w:multiLevelType w:val="hybridMultilevel"/>
    <w:tmpl w:val="F87675D0"/>
    <w:lvl w:ilvl="0" w:tplc="A3F21166">
      <w:start w:val="1"/>
      <w:numFmt w:val="bullet"/>
      <w:lvlText w:val="•"/>
      <w:lvlJc w:val="left"/>
      <w:pPr>
        <w:tabs>
          <w:tab w:val="num" w:pos="170"/>
        </w:tabs>
        <w:ind w:left="170" w:firstLine="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74A8206B"/>
    <w:multiLevelType w:val="hybridMultilevel"/>
    <w:tmpl w:val="10D06E32"/>
    <w:lvl w:ilvl="0" w:tplc="866C4742">
      <w:start w:val="1"/>
      <w:numFmt w:val="lowerRoman"/>
      <w:lvlText w:val="%1)"/>
      <w:lvlJc w:val="left"/>
      <w:pPr>
        <w:ind w:left="2409" w:hanging="720"/>
      </w:pPr>
      <w:rPr>
        <w:rFonts w:hint="default"/>
      </w:rPr>
    </w:lvl>
    <w:lvl w:ilvl="1" w:tplc="280C0019" w:tentative="1">
      <w:start w:val="1"/>
      <w:numFmt w:val="lowerLetter"/>
      <w:lvlText w:val="%2."/>
      <w:lvlJc w:val="left"/>
      <w:pPr>
        <w:ind w:left="2769" w:hanging="360"/>
      </w:pPr>
    </w:lvl>
    <w:lvl w:ilvl="2" w:tplc="280C001B" w:tentative="1">
      <w:start w:val="1"/>
      <w:numFmt w:val="lowerRoman"/>
      <w:lvlText w:val="%3."/>
      <w:lvlJc w:val="right"/>
      <w:pPr>
        <w:ind w:left="3489" w:hanging="180"/>
      </w:pPr>
    </w:lvl>
    <w:lvl w:ilvl="3" w:tplc="280C000F" w:tentative="1">
      <w:start w:val="1"/>
      <w:numFmt w:val="decimal"/>
      <w:lvlText w:val="%4."/>
      <w:lvlJc w:val="left"/>
      <w:pPr>
        <w:ind w:left="4209" w:hanging="360"/>
      </w:pPr>
    </w:lvl>
    <w:lvl w:ilvl="4" w:tplc="280C0019" w:tentative="1">
      <w:start w:val="1"/>
      <w:numFmt w:val="lowerLetter"/>
      <w:lvlText w:val="%5."/>
      <w:lvlJc w:val="left"/>
      <w:pPr>
        <w:ind w:left="4929" w:hanging="360"/>
      </w:pPr>
    </w:lvl>
    <w:lvl w:ilvl="5" w:tplc="280C001B" w:tentative="1">
      <w:start w:val="1"/>
      <w:numFmt w:val="lowerRoman"/>
      <w:lvlText w:val="%6."/>
      <w:lvlJc w:val="right"/>
      <w:pPr>
        <w:ind w:left="5649" w:hanging="180"/>
      </w:pPr>
    </w:lvl>
    <w:lvl w:ilvl="6" w:tplc="280C000F" w:tentative="1">
      <w:start w:val="1"/>
      <w:numFmt w:val="decimal"/>
      <w:lvlText w:val="%7."/>
      <w:lvlJc w:val="left"/>
      <w:pPr>
        <w:ind w:left="6369" w:hanging="360"/>
      </w:pPr>
    </w:lvl>
    <w:lvl w:ilvl="7" w:tplc="280C0019" w:tentative="1">
      <w:start w:val="1"/>
      <w:numFmt w:val="lowerLetter"/>
      <w:lvlText w:val="%8."/>
      <w:lvlJc w:val="left"/>
      <w:pPr>
        <w:ind w:left="7089" w:hanging="360"/>
      </w:pPr>
    </w:lvl>
    <w:lvl w:ilvl="8" w:tplc="280C001B" w:tentative="1">
      <w:start w:val="1"/>
      <w:numFmt w:val="lowerRoman"/>
      <w:lvlText w:val="%9."/>
      <w:lvlJc w:val="right"/>
      <w:pPr>
        <w:ind w:left="7809" w:hanging="180"/>
      </w:pPr>
    </w:lvl>
  </w:abstractNum>
  <w:abstractNum w:abstractNumId="25" w15:restartNumberingAfterBreak="0">
    <w:nsid w:val="75E223DA"/>
    <w:multiLevelType w:val="hybridMultilevel"/>
    <w:tmpl w:val="5B7ACB42"/>
    <w:lvl w:ilvl="0" w:tplc="3A60C988">
      <w:numFmt w:val="decimal"/>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num w:numId="1" w16cid:durableId="173736326">
    <w:abstractNumId w:val="23"/>
  </w:num>
  <w:num w:numId="2" w16cid:durableId="831869209">
    <w:abstractNumId w:val="20"/>
  </w:num>
  <w:num w:numId="3" w16cid:durableId="279606460">
    <w:abstractNumId w:val="10"/>
  </w:num>
  <w:num w:numId="4" w16cid:durableId="1853374090">
    <w:abstractNumId w:val="23"/>
  </w:num>
  <w:num w:numId="5" w16cid:durableId="1592858748">
    <w:abstractNumId w:val="20"/>
  </w:num>
  <w:num w:numId="6" w16cid:durableId="1332681311">
    <w:abstractNumId w:val="10"/>
  </w:num>
  <w:num w:numId="7" w16cid:durableId="2113208501">
    <w:abstractNumId w:val="8"/>
  </w:num>
  <w:num w:numId="8" w16cid:durableId="1156800698">
    <w:abstractNumId w:val="3"/>
  </w:num>
  <w:num w:numId="9" w16cid:durableId="1878275410">
    <w:abstractNumId w:val="2"/>
  </w:num>
  <w:num w:numId="10" w16cid:durableId="706292084">
    <w:abstractNumId w:val="1"/>
  </w:num>
  <w:num w:numId="11" w16cid:durableId="684138530">
    <w:abstractNumId w:val="0"/>
  </w:num>
  <w:num w:numId="12" w16cid:durableId="1117791973">
    <w:abstractNumId w:val="9"/>
  </w:num>
  <w:num w:numId="13" w16cid:durableId="196625285">
    <w:abstractNumId w:val="7"/>
  </w:num>
  <w:num w:numId="14" w16cid:durableId="559289763">
    <w:abstractNumId w:val="6"/>
  </w:num>
  <w:num w:numId="15" w16cid:durableId="1452672148">
    <w:abstractNumId w:val="5"/>
  </w:num>
  <w:num w:numId="16" w16cid:durableId="1705402817">
    <w:abstractNumId w:val="4"/>
  </w:num>
  <w:num w:numId="17" w16cid:durableId="665943422">
    <w:abstractNumId w:val="22"/>
  </w:num>
  <w:num w:numId="18" w16cid:durableId="725835755">
    <w:abstractNumId w:val="18"/>
  </w:num>
  <w:num w:numId="19" w16cid:durableId="2048681746">
    <w:abstractNumId w:val="14"/>
  </w:num>
  <w:num w:numId="20" w16cid:durableId="1887182362">
    <w:abstractNumId w:val="15"/>
  </w:num>
  <w:num w:numId="21" w16cid:durableId="90974613">
    <w:abstractNumId w:val="12"/>
  </w:num>
  <w:num w:numId="22" w16cid:durableId="78647806">
    <w:abstractNumId w:val="24"/>
  </w:num>
  <w:num w:numId="23" w16cid:durableId="1725106325">
    <w:abstractNumId w:val="21"/>
  </w:num>
  <w:num w:numId="24" w16cid:durableId="1655180999">
    <w:abstractNumId w:val="25"/>
  </w:num>
  <w:num w:numId="25" w16cid:durableId="620889166">
    <w:abstractNumId w:val="16"/>
  </w:num>
  <w:num w:numId="26" w16cid:durableId="1724215252">
    <w:abstractNumId w:val="19"/>
  </w:num>
  <w:num w:numId="27" w16cid:durableId="1464276721">
    <w:abstractNumId w:val="11"/>
  </w:num>
  <w:num w:numId="28" w16cid:durableId="1165584122">
    <w:abstractNumId w:val="17"/>
  </w:num>
  <w:num w:numId="29" w16cid:durableId="1339304892">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activeWritingStyle w:appName="MSWord" w:lang="en-GB" w:vendorID="64" w:dllVersion="5" w:nlCheck="1" w:checkStyle="1"/>
  <w:activeWritingStyle w:appName="MSWord" w:lang="fr-CH"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C1B"/>
    <w:rsid w:val="0001470D"/>
    <w:rsid w:val="00016165"/>
    <w:rsid w:val="00016AC5"/>
    <w:rsid w:val="00017DA7"/>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43F40"/>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D411F"/>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396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17C8B"/>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C4489"/>
    <w:rsid w:val="007D2668"/>
    <w:rsid w:val="007D3119"/>
    <w:rsid w:val="007F1867"/>
    <w:rsid w:val="007F1EC4"/>
    <w:rsid w:val="007F55CB"/>
    <w:rsid w:val="007F768E"/>
    <w:rsid w:val="008007A5"/>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0A9D"/>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2437"/>
    <w:rsid w:val="00A45E90"/>
    <w:rsid w:val="00A4770F"/>
    <w:rsid w:val="00A50D6B"/>
    <w:rsid w:val="00A51050"/>
    <w:rsid w:val="00A56945"/>
    <w:rsid w:val="00A57027"/>
    <w:rsid w:val="00A5750C"/>
    <w:rsid w:val="00A72C35"/>
    <w:rsid w:val="00A752BB"/>
    <w:rsid w:val="00A81F93"/>
    <w:rsid w:val="00A84FCF"/>
    <w:rsid w:val="00A9247E"/>
    <w:rsid w:val="00AA0DCA"/>
    <w:rsid w:val="00AA7796"/>
    <w:rsid w:val="00AC2C1B"/>
    <w:rsid w:val="00AC67A1"/>
    <w:rsid w:val="00AC7977"/>
    <w:rsid w:val="00AC7E56"/>
    <w:rsid w:val="00AE2617"/>
    <w:rsid w:val="00AE352C"/>
    <w:rsid w:val="00AE39A5"/>
    <w:rsid w:val="00AE79AC"/>
    <w:rsid w:val="00B01AAD"/>
    <w:rsid w:val="00B101DB"/>
    <w:rsid w:val="00B13E4F"/>
    <w:rsid w:val="00B14DC2"/>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E2CA7"/>
    <w:rsid w:val="00BF0556"/>
    <w:rsid w:val="00BF1C7D"/>
    <w:rsid w:val="00BF37EE"/>
    <w:rsid w:val="00BF3FEB"/>
    <w:rsid w:val="00C024A1"/>
    <w:rsid w:val="00C02C42"/>
    <w:rsid w:val="00C10FB1"/>
    <w:rsid w:val="00C11282"/>
    <w:rsid w:val="00C14108"/>
    <w:rsid w:val="00C16E7D"/>
    <w:rsid w:val="00C21146"/>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3BE4"/>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B7EFA"/>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466A6"/>
    <w:rsid w:val="00F515AD"/>
    <w:rsid w:val="00F57DD7"/>
    <w:rsid w:val="00F636AD"/>
    <w:rsid w:val="00F66827"/>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A49DF92"/>
  <w15:docId w15:val="{DEE5F368-BF04-4812-9509-8073333D5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qFormat/>
    <w:rsid w:val="0048687D"/>
    <w:pPr>
      <w:outlineLvl w:val="1"/>
    </w:pPr>
  </w:style>
  <w:style w:type="paragraph" w:styleId="Titre3">
    <w:name w:val="heading 3"/>
    <w:basedOn w:val="Normal"/>
    <w:next w:val="Normal"/>
    <w:link w:val="Titre3Car"/>
    <w:qFormat/>
    <w:rsid w:val="0048687D"/>
    <w:pPr>
      <w:outlineLvl w:val="2"/>
    </w:pPr>
  </w:style>
  <w:style w:type="paragraph" w:styleId="Titre4">
    <w:name w:val="heading 4"/>
    <w:basedOn w:val="Normal"/>
    <w:next w:val="Normal"/>
    <w:link w:val="Titre4Car"/>
    <w:qFormat/>
    <w:rsid w:val="0048687D"/>
    <w:pPr>
      <w:outlineLvl w:val="3"/>
    </w:pPr>
  </w:style>
  <w:style w:type="paragraph" w:styleId="Titre5">
    <w:name w:val="heading 5"/>
    <w:basedOn w:val="Normal"/>
    <w:next w:val="Normal"/>
    <w:link w:val="Titre5Car"/>
    <w:qFormat/>
    <w:rsid w:val="0048687D"/>
    <w:pPr>
      <w:outlineLvl w:val="4"/>
    </w:pPr>
  </w:style>
  <w:style w:type="paragraph" w:styleId="Titre6">
    <w:name w:val="heading 6"/>
    <w:basedOn w:val="Normal"/>
    <w:next w:val="Normal"/>
    <w:link w:val="Titre6Car"/>
    <w:qFormat/>
    <w:rsid w:val="0048687D"/>
    <w:pPr>
      <w:outlineLvl w:val="5"/>
    </w:pPr>
  </w:style>
  <w:style w:type="paragraph" w:styleId="Titre7">
    <w:name w:val="heading 7"/>
    <w:basedOn w:val="Normal"/>
    <w:next w:val="Normal"/>
    <w:link w:val="Titre7Car"/>
    <w:qFormat/>
    <w:rsid w:val="0048687D"/>
    <w:pPr>
      <w:outlineLvl w:val="6"/>
    </w:pPr>
  </w:style>
  <w:style w:type="paragraph" w:styleId="Titre8">
    <w:name w:val="heading 8"/>
    <w:basedOn w:val="Normal"/>
    <w:next w:val="Normal"/>
    <w:link w:val="Titre8Car"/>
    <w:qFormat/>
    <w:rsid w:val="0048687D"/>
    <w:pPr>
      <w:outlineLvl w:val="7"/>
    </w:pPr>
  </w:style>
  <w:style w:type="paragraph" w:styleId="Titre9">
    <w:name w:val="heading 9"/>
    <w:basedOn w:val="Normal"/>
    <w:next w:val="Normal"/>
    <w:link w:val="Titre9Car"/>
    <w:qFormat/>
    <w:rsid w:val="0048687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F66827"/>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PP,Footnote Text Char,5_G_6,5_GR,-E Fußnotentext,footnote text,Fußnotentext Ursprung,Footnote Text Char Char Char Char,Footnote Text1,Footnote Text Char Char Char,Fußnotentext Char1,Fußnotentext Char Char,Fußnotentext Char2,Fußn"/>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Footnote Reference),-E Fußnotenzeichen,BVI fnr, BVI fnr,Footnote symbol,Footnote,Footnote Reference Superscript,SUPERS,4_GR,Fußnotenzeichen"/>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link w:val="H1GChar"/>
    <w:qFormat/>
    <w:rsid w:val="0048687D"/>
    <w:pPr>
      <w:keepNext/>
      <w:keepLines/>
      <w:tabs>
        <w:tab w:val="right" w:pos="851"/>
      </w:tabs>
      <w:spacing w:before="360" w:after="240" w:line="270" w:lineRule="exact"/>
      <w:ind w:left="1134" w:right="1134" w:hanging="1134"/>
      <w:outlineLvl w:val="2"/>
    </w:pPr>
    <w:rPr>
      <w:b/>
      <w:sz w:val="24"/>
    </w:rPr>
  </w:style>
  <w:style w:type="paragraph" w:customStyle="1" w:styleId="HChG">
    <w:name w:val="_ H _Ch_G"/>
    <w:basedOn w:val="Normal"/>
    <w:next w:val="Normal"/>
    <w:link w:val="HChGChar"/>
    <w:qFormat/>
    <w:rsid w:val="0048687D"/>
    <w:pPr>
      <w:keepNext/>
      <w:keepLines/>
      <w:tabs>
        <w:tab w:val="right" w:pos="851"/>
      </w:tabs>
      <w:spacing w:before="360" w:after="240" w:line="300" w:lineRule="exact"/>
      <w:ind w:left="1134" w:right="1134" w:hanging="1134"/>
      <w:outlineLvl w:val="1"/>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outlineLvl w:val="0"/>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outlineLvl w:val="5"/>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F66827"/>
    <w:rPr>
      <w:rFonts w:eastAsiaTheme="minorHAnsi"/>
      <w:lang w:val="fr-CH"/>
    </w:rPr>
  </w:style>
  <w:style w:type="character" w:styleId="Lienhypertexte">
    <w:name w:val="Hyperlink"/>
    <w:rsid w:val="0048687D"/>
    <w:rPr>
      <w:color w:val="0000FF"/>
      <w:u w:val="none"/>
    </w:rPr>
  </w:style>
  <w:style w:type="character" w:styleId="Lienhypertextesuivivisit">
    <w:name w:val="FollowedHyperlink"/>
    <w:rsid w:val="0048687D"/>
    <w:rPr>
      <w:color w:val="0000FF"/>
      <w:u w:val="none"/>
    </w:rPr>
  </w:style>
  <w:style w:type="paragraph" w:customStyle="1" w:styleId="ParNoG">
    <w:name w:val="_ParNo_G"/>
    <w:basedOn w:val="Normal"/>
    <w:qFormat/>
    <w:rsid w:val="00F66827"/>
    <w:pPr>
      <w:numPr>
        <w:numId w:val="6"/>
      </w:numPr>
      <w:tabs>
        <w:tab w:val="clear" w:pos="1701"/>
      </w:tabs>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PP Car,Footnote Text Char Car,5_G_6 Car,5_GR Car,-E Fußnotentext Car,footnote text Car,Fußnotentext Ursprung Car,Footnote Text Char Char Char Char Car,Footnote Text1 Car,Footnote Text Char Char Char Car,Fußn Car"/>
    <w:link w:val="Notedebasdepage"/>
    <w:qFormat/>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rsid w:val="00755D4F"/>
    <w:rPr>
      <w:rFonts w:eastAsiaTheme="minorHAnsi"/>
      <w:lang w:val="fr-CH"/>
    </w:rPr>
  </w:style>
  <w:style w:type="character" w:customStyle="1" w:styleId="Titre3Car">
    <w:name w:val="Titre 3 Car"/>
    <w:link w:val="Titre3"/>
    <w:rsid w:val="00755D4F"/>
    <w:rPr>
      <w:rFonts w:eastAsiaTheme="minorHAnsi"/>
      <w:lang w:val="fr-CH"/>
    </w:rPr>
  </w:style>
  <w:style w:type="character" w:customStyle="1" w:styleId="Titre4Car">
    <w:name w:val="Titre 4 Car"/>
    <w:link w:val="Titre4"/>
    <w:rsid w:val="00755D4F"/>
    <w:rPr>
      <w:rFonts w:eastAsiaTheme="minorHAnsi"/>
      <w:lang w:val="fr-CH"/>
    </w:rPr>
  </w:style>
  <w:style w:type="character" w:customStyle="1" w:styleId="Titre5Car">
    <w:name w:val="Titre 5 Car"/>
    <w:link w:val="Titre5"/>
    <w:rsid w:val="00755D4F"/>
    <w:rPr>
      <w:rFonts w:eastAsiaTheme="minorHAnsi"/>
      <w:lang w:val="fr-CH"/>
    </w:rPr>
  </w:style>
  <w:style w:type="character" w:customStyle="1" w:styleId="Titre6Car">
    <w:name w:val="Titre 6 Car"/>
    <w:link w:val="Titre6"/>
    <w:rsid w:val="00755D4F"/>
    <w:rPr>
      <w:rFonts w:eastAsiaTheme="minorHAnsi"/>
      <w:lang w:val="fr-CH"/>
    </w:rPr>
  </w:style>
  <w:style w:type="character" w:customStyle="1" w:styleId="Titre7Car">
    <w:name w:val="Titre 7 Car"/>
    <w:link w:val="Titre7"/>
    <w:rsid w:val="00755D4F"/>
    <w:rPr>
      <w:rFonts w:eastAsiaTheme="minorHAnsi"/>
      <w:lang w:val="fr-CH"/>
    </w:rPr>
  </w:style>
  <w:style w:type="character" w:customStyle="1" w:styleId="Titre8Car">
    <w:name w:val="Titre 8 Car"/>
    <w:link w:val="Titre8"/>
    <w:rsid w:val="00755D4F"/>
    <w:rPr>
      <w:rFonts w:eastAsiaTheme="minorHAnsi"/>
      <w:lang w:val="fr-CH"/>
    </w:rPr>
  </w:style>
  <w:style w:type="character" w:customStyle="1" w:styleId="Titre9Car">
    <w:name w:val="Titre 9 Car"/>
    <w:link w:val="Titre9"/>
    <w:rsid w:val="00755D4F"/>
    <w:rPr>
      <w:rFonts w:eastAsiaTheme="minorHAnsi"/>
      <w:lang w:val="fr-CH"/>
    </w:rPr>
  </w:style>
  <w:style w:type="paragraph" w:styleId="Textedebulles">
    <w:name w:val="Balloon Text"/>
    <w:basedOn w:val="Normal"/>
    <w:link w:val="TextedebullesCar"/>
    <w:uiPriority w:val="99"/>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5D4F"/>
    <w:rPr>
      <w:rFonts w:ascii="Tahoma" w:eastAsiaTheme="minorHAnsi" w:hAnsi="Tahoma" w:cs="Tahoma"/>
      <w:sz w:val="16"/>
      <w:szCs w:val="16"/>
      <w:lang w:val="fr-CH"/>
    </w:rPr>
  </w:style>
  <w:style w:type="paragraph" w:styleId="Corpsdetexte">
    <w:name w:val="Body Text"/>
    <w:basedOn w:val="Normal"/>
    <w:link w:val="CorpsdetexteCar"/>
    <w:qFormat/>
    <w:rsid w:val="00BE2CA7"/>
    <w:pPr>
      <w:suppressAutoHyphens w:val="0"/>
      <w:kinsoku/>
      <w:overflowPunct/>
      <w:autoSpaceDE/>
      <w:autoSpaceDN/>
      <w:adjustRightInd/>
      <w:snapToGrid/>
      <w:spacing w:after="120" w:line="240" w:lineRule="auto"/>
    </w:pPr>
    <w:rPr>
      <w:rFonts w:eastAsia="Times New Roman"/>
      <w:sz w:val="24"/>
      <w:lang w:val="en-GB"/>
    </w:rPr>
  </w:style>
  <w:style w:type="character" w:customStyle="1" w:styleId="CorpsdetexteCar">
    <w:name w:val="Corps de texte Car"/>
    <w:basedOn w:val="Policepardfaut"/>
    <w:link w:val="Corpsdetexte"/>
    <w:rsid w:val="00BE2CA7"/>
    <w:rPr>
      <w:sz w:val="24"/>
      <w:lang w:val="en-GB"/>
    </w:rPr>
  </w:style>
  <w:style w:type="character" w:customStyle="1" w:styleId="H1GChar">
    <w:name w:val="_ H_1_G Char"/>
    <w:link w:val="H1G"/>
    <w:rsid w:val="00BE2CA7"/>
    <w:rPr>
      <w:rFonts w:eastAsiaTheme="minorHAnsi"/>
      <w:b/>
      <w:sz w:val="24"/>
      <w:lang w:val="fr-CH"/>
    </w:rPr>
  </w:style>
  <w:style w:type="paragraph" w:styleId="Retraitcorpsdetexte2">
    <w:name w:val="Body Text Indent 2"/>
    <w:basedOn w:val="Normal"/>
    <w:link w:val="Retraitcorpsdetexte2Car"/>
    <w:unhideWhenUsed/>
    <w:rsid w:val="00BE2CA7"/>
    <w:pPr>
      <w:spacing w:after="120" w:line="480" w:lineRule="auto"/>
      <w:ind w:left="283"/>
    </w:pPr>
  </w:style>
  <w:style w:type="character" w:customStyle="1" w:styleId="Retraitcorpsdetexte2Car">
    <w:name w:val="Retrait corps de texte 2 Car"/>
    <w:basedOn w:val="Policepardfaut"/>
    <w:link w:val="Retraitcorpsdetexte2"/>
    <w:rsid w:val="00BE2CA7"/>
    <w:rPr>
      <w:rFonts w:eastAsiaTheme="minorHAnsi"/>
      <w:lang w:val="fr-CH"/>
    </w:rPr>
  </w:style>
  <w:style w:type="character" w:customStyle="1" w:styleId="HChGChar">
    <w:name w:val="_ H _Ch_G Char"/>
    <w:link w:val="HChG"/>
    <w:rsid w:val="00BE2CA7"/>
    <w:rPr>
      <w:rFonts w:eastAsiaTheme="minorHAnsi"/>
      <w:b/>
      <w:sz w:val="28"/>
      <w:lang w:val="fr-CH"/>
    </w:rPr>
  </w:style>
  <w:style w:type="paragraph" w:styleId="Rvision">
    <w:name w:val="Revision"/>
    <w:hidden/>
    <w:uiPriority w:val="99"/>
    <w:semiHidden/>
    <w:rsid w:val="00BE2CA7"/>
    <w:rPr>
      <w:rFonts w:eastAsia="Calibri"/>
      <w:lang w:val="fr-CH"/>
    </w:rPr>
  </w:style>
  <w:style w:type="character" w:styleId="Mentionnonrsolue">
    <w:name w:val="Unresolved Mention"/>
    <w:basedOn w:val="Policepardfaut"/>
    <w:uiPriority w:val="99"/>
    <w:semiHidden/>
    <w:unhideWhenUsed/>
    <w:rsid w:val="00BE2CA7"/>
    <w:rPr>
      <w:color w:val="605E5C"/>
      <w:shd w:val="clear" w:color="auto" w:fill="E1DFDD"/>
    </w:rPr>
  </w:style>
  <w:style w:type="character" w:styleId="Marquedecommentaire">
    <w:name w:val="annotation reference"/>
    <w:basedOn w:val="Policepardfaut"/>
    <w:uiPriority w:val="99"/>
    <w:semiHidden/>
    <w:unhideWhenUsed/>
    <w:rsid w:val="00BE2CA7"/>
    <w:rPr>
      <w:sz w:val="16"/>
      <w:szCs w:val="16"/>
    </w:rPr>
  </w:style>
  <w:style w:type="paragraph" w:styleId="Commentaire">
    <w:name w:val="annotation text"/>
    <w:basedOn w:val="Normal"/>
    <w:link w:val="CommentaireCar"/>
    <w:uiPriority w:val="99"/>
    <w:unhideWhenUsed/>
    <w:rsid w:val="00BE2CA7"/>
    <w:pPr>
      <w:spacing w:line="240" w:lineRule="auto"/>
    </w:pPr>
  </w:style>
  <w:style w:type="character" w:customStyle="1" w:styleId="CommentaireCar">
    <w:name w:val="Commentaire Car"/>
    <w:basedOn w:val="Policepardfaut"/>
    <w:link w:val="Commentaire"/>
    <w:uiPriority w:val="99"/>
    <w:rsid w:val="00BE2CA7"/>
    <w:rPr>
      <w:rFonts w:eastAsiaTheme="minorHAnsi"/>
      <w:lang w:val="fr-CH"/>
    </w:rPr>
  </w:style>
  <w:style w:type="paragraph" w:styleId="Objetducommentaire">
    <w:name w:val="annotation subject"/>
    <w:basedOn w:val="Commentaire"/>
    <w:next w:val="Commentaire"/>
    <w:link w:val="ObjetducommentaireCar"/>
    <w:uiPriority w:val="99"/>
    <w:semiHidden/>
    <w:unhideWhenUsed/>
    <w:rsid w:val="00BE2CA7"/>
    <w:rPr>
      <w:b/>
      <w:bCs/>
    </w:rPr>
  </w:style>
  <w:style w:type="character" w:customStyle="1" w:styleId="ObjetducommentaireCar">
    <w:name w:val="Objet du commentaire Car"/>
    <w:basedOn w:val="CommentaireCar"/>
    <w:link w:val="Objetducommentaire"/>
    <w:uiPriority w:val="99"/>
    <w:semiHidden/>
    <w:rsid w:val="00BE2CA7"/>
    <w:rPr>
      <w:rFonts w:eastAsiaTheme="minorHAnsi"/>
      <w:b/>
      <w:bCs/>
      <w:lang w:val="fr-CH"/>
    </w:rPr>
  </w:style>
  <w:style w:type="character" w:customStyle="1" w:styleId="cf01">
    <w:name w:val="cf01"/>
    <w:basedOn w:val="Policepardfaut"/>
    <w:rsid w:val="00BE2CA7"/>
    <w:rPr>
      <w:rFonts w:ascii="Segoe UI" w:hAnsi="Segoe UI" w:cs="Segoe UI" w:hint="default"/>
      <w:color w:val="007BFF"/>
      <w:sz w:val="18"/>
      <w:szCs w:val="18"/>
      <w:shd w:val="clear" w:color="auto" w:fill="FFFFFF"/>
    </w:rPr>
  </w:style>
  <w:style w:type="paragraph" w:customStyle="1" w:styleId="Point0">
    <w:name w:val="Point 0"/>
    <w:basedOn w:val="Normal"/>
    <w:rsid w:val="00BE2CA7"/>
    <w:pPr>
      <w:suppressAutoHyphens w:val="0"/>
      <w:kinsoku/>
      <w:overflowPunct/>
      <w:autoSpaceDE/>
      <w:autoSpaceDN/>
      <w:adjustRightInd/>
      <w:snapToGrid/>
      <w:spacing w:before="120" w:after="120" w:line="240" w:lineRule="auto"/>
      <w:ind w:left="850" w:hanging="850"/>
      <w:jc w:val="both"/>
    </w:pPr>
    <w:rPr>
      <w:rFonts w:eastAsia="Times New Roman"/>
      <w:sz w:val="24"/>
      <w:lang w:val="en-GB" w:eastAsia="en-GB"/>
    </w:rPr>
  </w:style>
  <w:style w:type="paragraph" w:customStyle="1" w:styleId="ManualNumPar1">
    <w:name w:val="Manual NumPar 1"/>
    <w:basedOn w:val="Normal"/>
    <w:next w:val="Normal"/>
    <w:rsid w:val="00BE2CA7"/>
    <w:pPr>
      <w:suppressAutoHyphens w:val="0"/>
      <w:kinsoku/>
      <w:overflowPunct/>
      <w:autoSpaceDE/>
      <w:autoSpaceDN/>
      <w:adjustRightInd/>
      <w:snapToGrid/>
      <w:spacing w:before="120" w:after="120" w:line="240" w:lineRule="auto"/>
      <w:ind w:left="851" w:hanging="851"/>
      <w:jc w:val="both"/>
    </w:pPr>
    <w:rPr>
      <w:rFonts w:eastAsia="Times New Roman"/>
      <w:sz w:val="24"/>
      <w:lang w:val="en-GB"/>
    </w:rPr>
  </w:style>
  <w:style w:type="character" w:customStyle="1" w:styleId="ui-provider">
    <w:name w:val="ui-provider"/>
    <w:basedOn w:val="Policepardfaut"/>
    <w:rsid w:val="00BE2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hyperlink" Target="https://euc-word-edit.officeapps.live.com/we/wordeditorframe.aspx?ui=en-us&amp;rs=en-us&amp;wopisrc=https%3A%2F%2Feceuropaeu.sharepoint.com%2Fteams%2FGRP-Changesto1151%2F_vti_bin%2Fwopi.ashx%2Ffiles%2Fd16e78a1b63c4bb6ab4f6480fbd4c091&amp;wdenableroaming=1&amp;mscc=1&amp;hid=-1578&amp;uiembed=1&amp;uih=teams&amp;uihit=files&amp;hhdr=1&amp;dchat=1&amp;sc=%7B%22pmo%22%3A%22https%3A%2F%2Fteams.microsoft.com%22%2C%22pmshare%22%3Atrue%2C%22surl%22%3A%22%22%2C%22curl%22%3A%22%22%2C%22vurl%22%3A%22%22%2C%22eurl%22%3A%22https%3A%2F%2Fteams.microsoft.com%2Ffiles%2Fapps%2Fcom.microsoft.teams.files%2Ffiles%2F3309738466%2Fopen%3Fagent%3Dpostmessage%26objectUrl%3Dhttps%253A%252F%252Feceuropaeu.sharepoint.com%252Fteams%252FGRP-Changesto1151%252FShared%2520Documents%252FGeneral%252FMain%2520plus%2520Annex%2520II%2520WLTP3%2520Amending%2520act.docx%26fileId%3Dd16e78a1-b63c-4bb6-ab4f-6480fbd4c091%26fileType%3Ddocx%26ctx%3Dfiles%26scenarioId%3D1578%26locale%3Den-us%26theme%3Ddefault%26version%3D21062906900%26setting%3Dring.id%3Ageneral%26setting%3DcreatedTime%3A1632461786704%22%7D&amp;wdorigin=TEAMS-ELECTRON.teams.files&amp;wdhostclicktime=1632461786582&amp;jsapi=1&amp;jsapiver=v1&amp;newsession=1&amp;corrid=e93a9d15-dcd9-41d7-b50f-69129423a793&amp;usid=e93a9d15-dcd9-41d7-b50f-69129423a793&amp;sftc=1&amp;sams=1&amp;accloop=1&amp;sdr=6&amp;scnd=1&amp;hbcv=1&amp;htv=1&amp;hodflp=1&amp;instantedit=1&amp;wopicomplete=1&amp;wdredirectionreason=Unified_SingleFlush&amp;rct=Medium&amp;ctp=LeastProtected" TargetMode="External"/><Relationship Id="rId3" Type="http://schemas.openxmlformats.org/officeDocument/2006/relationships/settings" Target="settings.xml"/><Relationship Id="rId21" Type="http://schemas.openxmlformats.org/officeDocument/2006/relationships/oleObject" Target="embeddings/oleObject1.bin"/><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yperlink" Target="https://euc-word-edit.officeapps.live.com/we/wordeditorframe.aspx?ui=en-us&amp;rs=en-us&amp;wopisrc=https%3A%2F%2Feceuropaeu.sharepoint.com%2Fteams%2FGRP-Changesto1151%2F_vti_bin%2Fwopi.ashx%2Ffiles%2Fd16e78a1b63c4bb6ab4f6480fbd4c091&amp;wdenableroaming=1&amp;mscc=1&amp;hid=-1578&amp;uiembed=1&amp;uih=teams&amp;uihit=files&amp;hhdr=1&amp;dchat=1&amp;sc=%7B%22pmo%22%3A%22https%3A%2F%2Fteams.microsoft.com%22%2C%22pmshare%22%3Atrue%2C%22surl%22%3A%22%22%2C%22curl%22%3A%22%22%2C%22vurl%22%3A%22%22%2C%22eurl%22%3A%22https%3A%2F%2Fteams.microsoft.com%2Ffiles%2Fapps%2Fcom.microsoft.teams.files%2Ffiles%2F3309738466%2Fopen%3Fagent%3Dpostmessage%26objectUrl%3Dhttps%253A%252F%252Feceuropaeu.sharepoint.com%252Fteams%252FGRP-Changesto1151%252FShared%2520Documents%252FGeneral%252FMain%2520plus%2520Annex%2520II%2520WLTP3%2520Amending%2520act.docx%26fileId%3Dd16e78a1-b63c-4bb6-ab4f-6480fbd4c091%26fileType%3Ddocx%26ctx%3Dfiles%26scenarioId%3D1578%26locale%3Den-us%26theme%3Ddefault%26version%3D21062906900%26setting%3Dring.id%3Ageneral%26setting%3DcreatedTime%3A1632461786704%22%7D&amp;wdorigin=TEAMS-ELECTRON.teams.files&amp;wdhostclicktime=1632461786582&amp;jsapi=1&amp;jsapiver=v1&amp;newsession=1&amp;corrid=e93a9d15-dcd9-41d7-b50f-69129423a793&amp;usid=e93a9d15-dcd9-41d7-b50f-69129423a793&amp;sftc=1&amp;sams=1&amp;accloop=1&amp;sdr=6&amp;scnd=1&amp;hbcv=1&amp;htv=1&amp;hodflp=1&amp;instantedit=1&amp;wopicomplete=1&amp;wdredirectionreason=Unified_SingleFlush&amp;rct=Medium&amp;ctp=LeastProtected"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9.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5.png"/><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apps.unece.org/WP29_application" TargetMode="External"/><Relationship Id="rId2" Type="http://schemas.openxmlformats.org/officeDocument/2006/relationships/hyperlink" Target="http://www.unece.org/transport/vehicle-regulations/wp29/resolutions" TargetMode="External"/><Relationship Id="rId1" Type="http://schemas.openxmlformats.org/officeDocument/2006/relationships/hyperlink" Target="http://www.unece.org/transport/vehicle-regulations/wp29/resolutions" TargetMode="External"/><Relationship Id="rId6" Type="http://schemas.openxmlformats.org/officeDocument/2006/relationships/hyperlink" Target="https://unece.org/transport/vehicle-regulations/%20wp29/resolutions" TargetMode="External"/><Relationship Id="rId5" Type="http://schemas.openxmlformats.org/officeDocument/2006/relationships/hyperlink" Target="https://unece.org/fileadmin/DAM/trans/main/wp29/wp29resolutions/ECE-TRANS-WP29-1121e.pdf" TargetMode="External"/><Relationship Id="rId4" Type="http://schemas.openxmlformats.org/officeDocument/2006/relationships/hyperlink" Target="https://unece.org/transport/vehicle-regulations/%20wp29/resolu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89C485-F8B6-4AFE-8081-8E988630A5EF}"/>
</file>

<file path=customXml/itemProps2.xml><?xml version="1.0" encoding="utf-8"?>
<ds:datastoreItem xmlns:ds="http://schemas.openxmlformats.org/officeDocument/2006/customXml" ds:itemID="{B49F6DCD-8504-4B3F-9F6E-0259D769C830}"/>
</file>

<file path=docProps/app.xml><?xml version="1.0" encoding="utf-8"?>
<Properties xmlns="http://schemas.openxmlformats.org/officeDocument/2006/extended-properties" xmlns:vt="http://schemas.openxmlformats.org/officeDocument/2006/docPropsVTypes">
  <Template>E_ECE_324.dotm</Template>
  <TotalTime>2</TotalTime>
  <Pages>92</Pages>
  <Words>25143</Words>
  <Characters>163435</Characters>
  <Application>Microsoft Office Word</Application>
  <DocSecurity>0</DocSecurity>
  <Lines>16343</Lines>
  <Paragraphs>11092</Paragraphs>
  <ScaleCrop>false</ScaleCrop>
  <HeadingPairs>
    <vt:vector size="2" baseType="variant">
      <vt:variant>
        <vt:lpstr>Titre</vt:lpstr>
      </vt:variant>
      <vt:variant>
        <vt:i4>1</vt:i4>
      </vt:variant>
    </vt:vector>
  </HeadingPairs>
  <TitlesOfParts>
    <vt:vector size="1" baseType="lpstr">
      <vt:lpstr>E/ECE/324/Rev.1/Add.82/Rev.5/Amend.17</vt:lpstr>
    </vt:vector>
  </TitlesOfParts>
  <Company>CSD</Company>
  <LinksUpToDate>false</LinksUpToDate>
  <CharactersWithSpaces>177486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E/ECE/324/Rev.1/Add.82/Rev.5/Amend.17</dc:title>
  <dc:subject/>
  <dc:creator>Corinne ROBERT</dc:creator>
  <cp:keywords>E/ECE/TRANS/505/Rev.1/Add.82/Rev.5/Amend.17</cp:keywords>
  <cp:lastModifiedBy>Corinne ROBERT</cp:lastModifiedBy>
  <cp:revision>2</cp:revision>
  <cp:lastPrinted>2008-11-04T15:54:00Z</cp:lastPrinted>
  <dcterms:created xsi:type="dcterms:W3CDTF">2024-06-05T12:06:00Z</dcterms:created>
  <dcterms:modified xsi:type="dcterms:W3CDTF">2024-06-05T12:06:00Z</dcterms:modified>
</cp:coreProperties>
</file>