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8544A5" w:rsidRPr="008544A5" w14:paraId="3C32BF82" w14:textId="77777777" w:rsidTr="00620BC1">
        <w:trPr>
          <w:cantSplit/>
          <w:trHeight w:hRule="exact" w:val="851"/>
        </w:trPr>
        <w:tc>
          <w:tcPr>
            <w:tcW w:w="9639" w:type="dxa"/>
            <w:gridSpan w:val="3"/>
            <w:tcBorders>
              <w:bottom w:val="single" w:sz="4" w:space="0" w:color="auto"/>
            </w:tcBorders>
            <w:vAlign w:val="bottom"/>
          </w:tcPr>
          <w:p w14:paraId="32E2A723" w14:textId="555D6A2C" w:rsidR="00F91325" w:rsidRPr="008544A5" w:rsidRDefault="00F91325" w:rsidP="00620BC1">
            <w:pPr>
              <w:jc w:val="right"/>
            </w:pPr>
            <w:r w:rsidRPr="008544A5">
              <w:rPr>
                <w:sz w:val="40"/>
              </w:rPr>
              <w:t>E</w:t>
            </w:r>
            <w:r w:rsidRPr="008544A5">
              <w:t>/ECE/324/Rev.1/Add.16/Rev.7/Amend.1−</w:t>
            </w:r>
            <w:r w:rsidRPr="008544A5">
              <w:rPr>
                <w:sz w:val="40"/>
              </w:rPr>
              <w:t>E</w:t>
            </w:r>
            <w:r w:rsidRPr="008544A5">
              <w:t>/ECE/TRANS/505/Rev.1/Add.16/Rev.7/Amend.1</w:t>
            </w:r>
          </w:p>
        </w:tc>
      </w:tr>
      <w:tr w:rsidR="008544A5" w:rsidRPr="008544A5" w14:paraId="42C85F19" w14:textId="77777777" w:rsidTr="00620BC1">
        <w:trPr>
          <w:cantSplit/>
          <w:trHeight w:hRule="exact" w:val="2035"/>
        </w:trPr>
        <w:tc>
          <w:tcPr>
            <w:tcW w:w="1276" w:type="dxa"/>
            <w:tcBorders>
              <w:top w:val="single" w:sz="4" w:space="0" w:color="auto"/>
              <w:bottom w:val="single" w:sz="12" w:space="0" w:color="auto"/>
            </w:tcBorders>
          </w:tcPr>
          <w:p w14:paraId="01E9B73F" w14:textId="77777777" w:rsidR="00F91325" w:rsidRPr="008544A5" w:rsidRDefault="00F91325" w:rsidP="00620BC1">
            <w:pPr>
              <w:spacing w:before="120"/>
            </w:pPr>
          </w:p>
        </w:tc>
        <w:tc>
          <w:tcPr>
            <w:tcW w:w="5528" w:type="dxa"/>
            <w:tcBorders>
              <w:top w:val="single" w:sz="4" w:space="0" w:color="auto"/>
              <w:bottom w:val="single" w:sz="12" w:space="0" w:color="auto"/>
            </w:tcBorders>
          </w:tcPr>
          <w:p w14:paraId="7E279744" w14:textId="77777777" w:rsidR="00F91325" w:rsidRPr="008544A5" w:rsidRDefault="00F91325" w:rsidP="00620BC1">
            <w:pPr>
              <w:spacing w:before="120"/>
            </w:pPr>
          </w:p>
        </w:tc>
        <w:tc>
          <w:tcPr>
            <w:tcW w:w="2835" w:type="dxa"/>
            <w:tcBorders>
              <w:top w:val="single" w:sz="4" w:space="0" w:color="auto"/>
              <w:bottom w:val="single" w:sz="12" w:space="0" w:color="auto"/>
            </w:tcBorders>
          </w:tcPr>
          <w:p w14:paraId="4FE3126D" w14:textId="77777777" w:rsidR="00F91325" w:rsidRPr="008544A5" w:rsidRDefault="00F91325" w:rsidP="00620BC1">
            <w:pPr>
              <w:spacing w:line="240" w:lineRule="exact"/>
            </w:pPr>
          </w:p>
          <w:p w14:paraId="5546C0C7" w14:textId="77777777" w:rsidR="00F91325" w:rsidRPr="008544A5" w:rsidRDefault="00F91325" w:rsidP="00620BC1">
            <w:pPr>
              <w:spacing w:line="240" w:lineRule="exact"/>
            </w:pPr>
          </w:p>
          <w:p w14:paraId="165E82B0" w14:textId="131927C1" w:rsidR="00F91325" w:rsidRPr="008544A5" w:rsidRDefault="00E9664D" w:rsidP="00620BC1">
            <w:pPr>
              <w:spacing w:line="240" w:lineRule="exact"/>
            </w:pPr>
            <w:r>
              <w:t>29</w:t>
            </w:r>
            <w:r w:rsidR="00F91325" w:rsidRPr="008544A5">
              <w:t xml:space="preserve"> July 2024</w:t>
            </w:r>
          </w:p>
        </w:tc>
      </w:tr>
    </w:tbl>
    <w:p w14:paraId="1BF50EA9" w14:textId="77777777" w:rsidR="00F91325" w:rsidRPr="008544A5" w:rsidRDefault="00F91325" w:rsidP="00F91325">
      <w:pPr>
        <w:pStyle w:val="HChG"/>
        <w:ind w:right="754"/>
      </w:pPr>
      <w:r w:rsidRPr="008544A5">
        <w:tab/>
      </w:r>
      <w:r w:rsidRPr="008544A5">
        <w:tab/>
        <w:t>Agreement</w:t>
      </w:r>
    </w:p>
    <w:p w14:paraId="2340354D" w14:textId="77777777" w:rsidR="00F91325" w:rsidRPr="008544A5" w:rsidRDefault="00F91325" w:rsidP="00F91325">
      <w:pPr>
        <w:pStyle w:val="H1G"/>
        <w:ind w:right="754"/>
      </w:pPr>
      <w:r w:rsidRPr="008544A5">
        <w:tab/>
      </w:r>
      <w:r w:rsidRPr="008544A5">
        <w:tab/>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8544A5">
        <w:rPr>
          <w:rStyle w:val="FootnoteReference"/>
          <w:sz w:val="20"/>
        </w:rPr>
        <w:footnoteReference w:customMarkFollows="1" w:id="2"/>
        <w:t>*</w:t>
      </w:r>
    </w:p>
    <w:p w14:paraId="71497E85" w14:textId="77777777" w:rsidR="00F91325" w:rsidRPr="008544A5" w:rsidRDefault="00F91325" w:rsidP="00F91325">
      <w:pPr>
        <w:pStyle w:val="SingleTxtG"/>
        <w:ind w:right="754"/>
      </w:pPr>
      <w:r w:rsidRPr="008544A5">
        <w:t>(Revision 3, including the amendments which entered into force on 14 September 2017)</w:t>
      </w:r>
    </w:p>
    <w:p w14:paraId="2B87B352" w14:textId="77777777" w:rsidR="00F91325" w:rsidRPr="008544A5" w:rsidRDefault="00F91325" w:rsidP="00F91325">
      <w:pPr>
        <w:jc w:val="center"/>
      </w:pPr>
      <w:r w:rsidRPr="008544A5">
        <w:t>_________</w:t>
      </w:r>
    </w:p>
    <w:p w14:paraId="0FF72623" w14:textId="77777777" w:rsidR="00F91325" w:rsidRPr="008544A5" w:rsidRDefault="00F91325" w:rsidP="00F91325">
      <w:pPr>
        <w:pStyle w:val="HChG"/>
        <w:spacing w:before="200" w:after="0"/>
        <w:ind w:right="754"/>
      </w:pPr>
      <w:r w:rsidRPr="008544A5">
        <w:tab/>
      </w:r>
      <w:r w:rsidRPr="008544A5">
        <w:tab/>
        <w:t>Addendum 16: UN Regulation No. 17</w:t>
      </w:r>
    </w:p>
    <w:p w14:paraId="177EBBEC" w14:textId="168B0F2E" w:rsidR="00F91325" w:rsidRPr="008544A5" w:rsidRDefault="00F91325" w:rsidP="00F91325">
      <w:pPr>
        <w:pStyle w:val="H1G"/>
        <w:spacing w:before="300"/>
        <w:ind w:right="754"/>
      </w:pPr>
      <w:r w:rsidRPr="008544A5">
        <w:tab/>
      </w:r>
      <w:r w:rsidRPr="008544A5">
        <w:tab/>
        <w:t>Revision 7 – Amendment 1</w:t>
      </w:r>
    </w:p>
    <w:p w14:paraId="281F0C95" w14:textId="43DEDF74" w:rsidR="00F91325" w:rsidRPr="008544A5" w:rsidRDefault="00F91325" w:rsidP="00F91325">
      <w:pPr>
        <w:pStyle w:val="SingleTxtG"/>
        <w:spacing w:after="360"/>
        <w:ind w:left="1125"/>
        <w:jc w:val="left"/>
        <w:rPr>
          <w:spacing w:val="-2"/>
        </w:rPr>
      </w:pPr>
      <w:r w:rsidRPr="008544A5">
        <w:rPr>
          <w:spacing w:val="-2"/>
        </w:rPr>
        <w:t>11 series of amendments – Date of entry into force: 15 June 2024</w:t>
      </w:r>
    </w:p>
    <w:p w14:paraId="4A326900" w14:textId="77777777" w:rsidR="00F91325" w:rsidRPr="008544A5" w:rsidRDefault="00F91325" w:rsidP="00F91325">
      <w:pPr>
        <w:pStyle w:val="HChG"/>
      </w:pPr>
      <w:r w:rsidRPr="008544A5">
        <w:tab/>
      </w:r>
      <w:r w:rsidRPr="008544A5">
        <w:tab/>
        <w:t>Uniform provisions concerning the approval of vehicles with regard to the seats, their anchorages and any head restraints</w:t>
      </w:r>
    </w:p>
    <w:p w14:paraId="0AF2F9AC" w14:textId="77777777" w:rsidR="00F91325" w:rsidRPr="008544A5" w:rsidRDefault="00F91325" w:rsidP="00F91325">
      <w:pPr>
        <w:ind w:left="1170"/>
        <w:rPr>
          <w:lang w:eastAsia="en-GB"/>
        </w:rPr>
      </w:pPr>
      <w:r w:rsidRPr="008544A5">
        <w:rPr>
          <w:spacing w:val="-4"/>
          <w:lang w:eastAsia="en-GB"/>
        </w:rPr>
        <w:t>This document is meant purely as documentation tool. The authentic and legal binding text is:</w:t>
      </w:r>
      <w:r w:rsidRPr="008544A5">
        <w:rPr>
          <w:lang w:eastAsia="en-GB"/>
        </w:rPr>
        <w:t xml:space="preserve"> </w:t>
      </w:r>
    </w:p>
    <w:p w14:paraId="2660F8B4" w14:textId="4FF801A5" w:rsidR="00F91325" w:rsidRPr="008544A5" w:rsidRDefault="00F91325" w:rsidP="00F91325">
      <w:pPr>
        <w:ind w:left="1170"/>
      </w:pPr>
      <w:r w:rsidRPr="008544A5">
        <w:rPr>
          <w:lang w:eastAsia="en-GB"/>
        </w:rPr>
        <w:t xml:space="preserve">- </w:t>
      </w:r>
      <w:r w:rsidRPr="008544A5">
        <w:rPr>
          <w:spacing w:val="-6"/>
          <w:lang w:eastAsia="en-GB"/>
        </w:rPr>
        <w:t>ECE/TRANS/WP.29/2023/106</w:t>
      </w:r>
    </w:p>
    <w:p w14:paraId="7131D439" w14:textId="77777777" w:rsidR="00F91325" w:rsidRPr="008544A5" w:rsidRDefault="00F91325" w:rsidP="00F91325">
      <w:pPr>
        <w:spacing w:line="240" w:lineRule="auto"/>
        <w:jc w:val="center"/>
        <w:rPr>
          <w:b/>
        </w:rPr>
      </w:pPr>
      <w:r w:rsidRPr="008544A5">
        <w:rPr>
          <w:b/>
          <w:bCs/>
          <w:noProof/>
          <w:sz w:val="22"/>
        </w:rPr>
        <w:drawing>
          <wp:anchor distT="0" distB="137160" distL="114300" distR="114300" simplePos="0" relativeHeight="251664384" behindDoc="0" locked="0" layoutInCell="1" allowOverlap="1" wp14:anchorId="7A44D0D6" wp14:editId="3D0C9D60">
            <wp:simplePos x="0" y="0"/>
            <wp:positionH relativeFrom="column">
              <wp:posOffset>2628900</wp:posOffset>
            </wp:positionH>
            <wp:positionV relativeFrom="paragraph">
              <wp:posOffset>283210</wp:posOffset>
            </wp:positionV>
            <wp:extent cx="914400" cy="766445"/>
            <wp:effectExtent l="0" t="0" r="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28A0092B-C50C-407E-A947-70E740481C1C}">
                          <a14:useLocalDpi xmlns:a14="http://schemas.microsoft.com/office/drawing/2010/main" val="0"/>
                        </a:ext>
                      </a:extLst>
                    </a:blip>
                    <a:srcRect l="-7603" r="-7603"/>
                    <a:stretch>
                      <a:fillRect/>
                    </a:stretch>
                  </pic:blipFill>
                  <pic:spPr bwMode="auto">
                    <a:xfrm>
                      <a:off x="0" y="0"/>
                      <a:ext cx="914400" cy="766445"/>
                    </a:xfrm>
                    <a:prstGeom prst="rect">
                      <a:avLst/>
                    </a:prstGeom>
                    <a:noFill/>
                  </pic:spPr>
                </pic:pic>
              </a:graphicData>
            </a:graphic>
            <wp14:sizeRelH relativeFrom="page">
              <wp14:pctWidth>0</wp14:pctWidth>
            </wp14:sizeRelH>
            <wp14:sizeRelV relativeFrom="page">
              <wp14:pctHeight>0</wp14:pctHeight>
            </wp14:sizeRelV>
          </wp:anchor>
        </w:drawing>
      </w:r>
      <w:r w:rsidRPr="008544A5">
        <w:rPr>
          <w:b/>
        </w:rPr>
        <w:t>_________</w:t>
      </w:r>
    </w:p>
    <w:p w14:paraId="1FA78FD0" w14:textId="77777777" w:rsidR="00F91325" w:rsidRPr="008544A5" w:rsidRDefault="00F91325" w:rsidP="00F91325">
      <w:pPr>
        <w:jc w:val="center"/>
        <w:rPr>
          <w:b/>
          <w:bCs/>
        </w:rPr>
      </w:pPr>
      <w:r w:rsidRPr="008544A5">
        <w:rPr>
          <w:b/>
          <w:bCs/>
        </w:rPr>
        <w:t>UNITED NATIONS</w:t>
      </w:r>
    </w:p>
    <w:p w14:paraId="4182A003" w14:textId="77777777" w:rsidR="00B52F3B" w:rsidRPr="008544A5" w:rsidRDefault="00B52F3B" w:rsidP="00B52F3B">
      <w:pPr>
        <w:pStyle w:val="SingleTxtG"/>
        <w:ind w:firstLine="567"/>
        <w:rPr>
          <w:szCs w:val="24"/>
        </w:rPr>
      </w:pPr>
    </w:p>
    <w:p w14:paraId="4B415ACC" w14:textId="77777777" w:rsidR="00B52F3B" w:rsidRPr="00E9664D" w:rsidRDefault="00B52F3B" w:rsidP="00B52F3B">
      <w:pPr>
        <w:suppressAutoHyphens w:val="0"/>
        <w:spacing w:line="240" w:lineRule="auto"/>
      </w:pPr>
      <w:r w:rsidRPr="00BA0E51">
        <w:rPr>
          <w:color w:val="FF0000"/>
        </w:rPr>
        <w:br w:type="page"/>
      </w:r>
    </w:p>
    <w:p w14:paraId="260A9C9E" w14:textId="303E2733" w:rsidR="00481F73" w:rsidRDefault="000C635E" w:rsidP="005B5438">
      <w:pPr>
        <w:pStyle w:val="FootnoteText"/>
        <w:widowControl w:val="0"/>
        <w:spacing w:before="120" w:after="120"/>
        <w:ind w:left="1138" w:right="1138" w:hanging="1138"/>
      </w:pPr>
      <w:r>
        <w:rPr>
          <w:i/>
          <w:lang w:eastAsia="ja-JP"/>
        </w:rPr>
        <w:lastRenderedPageBreak/>
        <w:tab/>
      </w:r>
      <w:r>
        <w:rPr>
          <w:i/>
          <w:lang w:eastAsia="ja-JP"/>
        </w:rPr>
        <w:tab/>
        <w:t xml:space="preserve">Reference to </w:t>
      </w:r>
      <w:r w:rsidRPr="000C635E">
        <w:rPr>
          <w:i/>
          <w:iCs/>
        </w:rPr>
        <w:t>Consolidated Resolution on the Construction of Vehicles (R.E.3.)</w:t>
      </w:r>
      <w:r>
        <w:t>,</w:t>
      </w:r>
      <w:r w:rsidRPr="00481F73">
        <w:rPr>
          <w:i/>
          <w:iCs/>
        </w:rPr>
        <w:t xml:space="preserve"> </w:t>
      </w:r>
      <w:r w:rsidR="00044C6C" w:rsidRPr="00481F73">
        <w:rPr>
          <w:i/>
          <w:iCs/>
        </w:rPr>
        <w:t xml:space="preserve">in all the text of the </w:t>
      </w:r>
      <w:r w:rsidR="005B5438">
        <w:rPr>
          <w:i/>
          <w:iCs/>
        </w:rPr>
        <w:t xml:space="preserve">UN </w:t>
      </w:r>
      <w:r w:rsidR="00044C6C" w:rsidRPr="00481F73">
        <w:rPr>
          <w:i/>
          <w:iCs/>
        </w:rPr>
        <w:t>Regulation</w:t>
      </w:r>
      <w:r w:rsidR="00044C6C">
        <w:t>, amend to read:</w:t>
      </w:r>
    </w:p>
    <w:p w14:paraId="6753FAC1" w14:textId="38B3C9C0" w:rsidR="00481F73" w:rsidRDefault="005B5438" w:rsidP="00481F73">
      <w:pPr>
        <w:pStyle w:val="FootnoteText"/>
        <w:widowControl w:val="0"/>
      </w:pPr>
      <w:r>
        <w:tab/>
      </w:r>
      <w:r>
        <w:tab/>
        <w:t>"</w:t>
      </w:r>
      <w:r w:rsidR="00481F73">
        <w:t xml:space="preserve">As defined in the Consolidated Resolution on the Construction of Vehicles (R.E.3.), document ECE/TRANS/WP.29/78/Rev.7, </w:t>
      </w:r>
      <w:r w:rsidR="006D4B2A">
        <w:t>…</w:t>
      </w:r>
      <w:r w:rsidR="00481F73">
        <w:t xml:space="preserve"> - </w:t>
      </w:r>
      <w:r w:rsidR="00313F34" w:rsidRPr="00313F34">
        <w:t>https://unece.org/transport/standards/transport/vehicle-regulations-wp29/resolutions</w:t>
      </w:r>
      <w:r>
        <w:rPr>
          <w:rStyle w:val="Hyperlink"/>
        </w:rPr>
        <w:t>"</w:t>
      </w:r>
    </w:p>
    <w:p w14:paraId="466C887E" w14:textId="2AF13736" w:rsidR="00B52F3B" w:rsidRPr="007F1EFA" w:rsidRDefault="00B52F3B" w:rsidP="00B52F3B">
      <w:pPr>
        <w:spacing w:before="100" w:beforeAutospacing="1" w:after="120"/>
        <w:ind w:left="2268" w:right="1134" w:hanging="1134"/>
        <w:jc w:val="both"/>
        <w:rPr>
          <w:lang w:eastAsia="en-US"/>
        </w:rPr>
      </w:pPr>
      <w:r w:rsidRPr="007F1EFA">
        <w:rPr>
          <w:i/>
          <w:lang w:eastAsia="ja-JP"/>
        </w:rPr>
        <w:t xml:space="preserve">Paragraph 1, </w:t>
      </w:r>
      <w:r w:rsidRPr="007F1EFA">
        <w:rPr>
          <w:iCs/>
          <w:lang w:eastAsia="ja-JP"/>
        </w:rPr>
        <w:t>amend to read:</w:t>
      </w:r>
    </w:p>
    <w:p w14:paraId="4CBD2F87" w14:textId="77777777" w:rsidR="00B52F3B" w:rsidRPr="007F1EFA" w:rsidRDefault="00B52F3B" w:rsidP="00B52F3B">
      <w:pPr>
        <w:pStyle w:val="HChG"/>
        <w:keepNext w:val="0"/>
        <w:keepLines w:val="0"/>
      </w:pPr>
      <w:r w:rsidRPr="007F1EFA">
        <w:tab/>
      </w:r>
      <w:r w:rsidRPr="007F1EFA">
        <w:tab/>
        <w:t>"1.</w:t>
      </w:r>
      <w:r w:rsidRPr="007F1EFA">
        <w:tab/>
      </w:r>
      <w:r w:rsidRPr="007F1EFA">
        <w:tab/>
        <w:t>Scope</w:t>
      </w:r>
    </w:p>
    <w:p w14:paraId="10D51B26" w14:textId="77777777" w:rsidR="00B52F3B" w:rsidRPr="005A04E9" w:rsidRDefault="00B52F3B" w:rsidP="00B52F3B">
      <w:pPr>
        <w:pStyle w:val="para"/>
        <w:rPr>
          <w:lang w:val="en-GB"/>
        </w:rPr>
      </w:pPr>
      <w:r w:rsidRPr="005A04E9">
        <w:rPr>
          <w:lang w:val="en-GB"/>
        </w:rPr>
        <w:tab/>
        <w:t>This Regulation applies to:</w:t>
      </w:r>
    </w:p>
    <w:p w14:paraId="5A7F30C2" w14:textId="77777777" w:rsidR="00B52F3B" w:rsidRPr="007F1EFA" w:rsidRDefault="00B52F3B" w:rsidP="00B52F3B">
      <w:pPr>
        <w:pStyle w:val="a"/>
        <w:rPr>
          <w:lang w:val="en-GB"/>
        </w:rPr>
      </w:pPr>
      <w:r w:rsidRPr="007F1EFA">
        <w:rPr>
          <w:lang w:val="en-GB"/>
        </w:rPr>
        <w:t>(a)</w:t>
      </w:r>
      <w:r w:rsidRPr="007F1EFA">
        <w:rPr>
          <w:lang w:val="en-GB"/>
        </w:rPr>
        <w:tab/>
        <w:t>Vehicles of categories M</w:t>
      </w:r>
      <w:r w:rsidRPr="007F1EFA">
        <w:rPr>
          <w:vertAlign w:val="subscript"/>
          <w:lang w:val="en-GB"/>
        </w:rPr>
        <w:t>1</w:t>
      </w:r>
      <w:r w:rsidRPr="007F1EFA">
        <w:rPr>
          <w:lang w:val="en-GB"/>
        </w:rPr>
        <w:t xml:space="preserve"> and N</w:t>
      </w:r>
      <w:r w:rsidRPr="007F1EFA">
        <w:rPr>
          <w:rStyle w:val="FootnoteReference"/>
          <w:lang w:val="en-GB"/>
        </w:rPr>
        <w:footnoteReference w:id="3"/>
      </w:r>
      <w:r w:rsidRPr="007F1EFA">
        <w:rPr>
          <w:lang w:val="en-GB"/>
        </w:rPr>
        <w:t xml:space="preserve"> with regard to the strength of seats and their anchorages and with regard to their head restraints;</w:t>
      </w:r>
    </w:p>
    <w:p w14:paraId="5C7E65E8" w14:textId="77777777" w:rsidR="00B52F3B" w:rsidRPr="007F1EFA" w:rsidRDefault="00B52F3B" w:rsidP="00B52F3B">
      <w:pPr>
        <w:pStyle w:val="a"/>
        <w:rPr>
          <w:lang w:val="en-GB"/>
        </w:rPr>
      </w:pPr>
      <w:r w:rsidRPr="007F1EFA">
        <w:rPr>
          <w:lang w:val="en-GB"/>
        </w:rPr>
        <w:t>(b)</w:t>
      </w:r>
      <w:r w:rsidRPr="007F1EFA">
        <w:rPr>
          <w:lang w:val="en-GB"/>
        </w:rPr>
        <w:tab/>
        <w:t>Vehicles of categories M</w:t>
      </w:r>
      <w:r w:rsidRPr="007F1EFA">
        <w:rPr>
          <w:vertAlign w:val="subscript"/>
          <w:lang w:val="en-GB"/>
        </w:rPr>
        <w:t>2</w:t>
      </w:r>
      <w:r w:rsidRPr="007F1EFA">
        <w:rPr>
          <w:lang w:val="en-GB"/>
        </w:rPr>
        <w:t xml:space="preserve"> and M</w:t>
      </w:r>
      <w:r w:rsidRPr="007F1EFA">
        <w:rPr>
          <w:vertAlign w:val="subscript"/>
          <w:lang w:val="en-GB"/>
        </w:rPr>
        <w:t>3</w:t>
      </w:r>
      <w:r w:rsidRPr="007F1EFA">
        <w:rPr>
          <w:vertAlign w:val="superscript"/>
          <w:lang w:val="en-GB"/>
        </w:rPr>
        <w:t>1</w:t>
      </w:r>
      <w:r w:rsidRPr="007F1EFA">
        <w:rPr>
          <w:lang w:val="en-GB"/>
        </w:rPr>
        <w:t xml:space="preserve"> with regard to seats not covered by Regulation No. 80, in respect of the strength of seats and their anchorages, and in respect of their head restraints;</w:t>
      </w:r>
    </w:p>
    <w:p w14:paraId="7818508A" w14:textId="77777777" w:rsidR="00B52F3B" w:rsidRPr="007F1EFA" w:rsidRDefault="00B52F3B" w:rsidP="00B52F3B">
      <w:pPr>
        <w:pStyle w:val="a"/>
        <w:rPr>
          <w:lang w:val="en-GB"/>
        </w:rPr>
      </w:pPr>
      <w:r w:rsidRPr="007F1EFA">
        <w:rPr>
          <w:lang w:val="en-GB"/>
        </w:rPr>
        <w:t>(c)</w:t>
      </w:r>
      <w:r w:rsidRPr="007F1EFA">
        <w:rPr>
          <w:lang w:val="en-GB"/>
        </w:rPr>
        <w:tab/>
        <w:t>Vehicles of category M</w:t>
      </w:r>
      <w:r w:rsidRPr="007F1EFA">
        <w:rPr>
          <w:vertAlign w:val="subscript"/>
          <w:lang w:val="en-GB"/>
        </w:rPr>
        <w:t>1</w:t>
      </w:r>
      <w:r w:rsidRPr="007F1EFA">
        <w:rPr>
          <w:lang w:val="en-GB"/>
        </w:rPr>
        <w:t xml:space="preserve"> with regard to the design of the rear parts of seat backs and the design of devices intended to protect the occupants from the danger resulting from the displacement of luggage in a frontal impact.</w:t>
      </w:r>
    </w:p>
    <w:p w14:paraId="57D6C77A" w14:textId="77777777" w:rsidR="00B52F3B" w:rsidRPr="005A04E9" w:rsidRDefault="00B52F3B" w:rsidP="00B52F3B">
      <w:pPr>
        <w:pStyle w:val="para"/>
        <w:rPr>
          <w:lang w:val="en-GB"/>
        </w:rPr>
      </w:pPr>
      <w:r w:rsidRPr="005A04E9">
        <w:rPr>
          <w:lang w:val="en-GB"/>
        </w:rPr>
        <w:tab/>
        <w:t>It does not apply to vehicles with regard to side-facing or rearward-facing seats, or to any head restraint fitted to these seats, with the exception vehicles of category M</w:t>
      </w:r>
      <w:r w:rsidRPr="005A04E9">
        <w:rPr>
          <w:vertAlign w:val="subscript"/>
          <w:lang w:val="en-GB"/>
        </w:rPr>
        <w:t>2</w:t>
      </w:r>
      <w:r w:rsidRPr="005A04E9">
        <w:rPr>
          <w:lang w:val="en-GB"/>
        </w:rPr>
        <w:t xml:space="preserve"> and M</w:t>
      </w:r>
      <w:r w:rsidRPr="005A04E9">
        <w:rPr>
          <w:vertAlign w:val="subscript"/>
          <w:lang w:val="en-GB"/>
        </w:rPr>
        <w:t>3</w:t>
      </w:r>
      <w:r w:rsidRPr="005A04E9">
        <w:rPr>
          <w:lang w:val="en-GB"/>
        </w:rPr>
        <w:t xml:space="preserve"> of classes A and I, subject to the provisions of paragraph 5.1.1.</w:t>
      </w:r>
    </w:p>
    <w:p w14:paraId="65AF6B36" w14:textId="77777777" w:rsidR="00B52F3B" w:rsidRPr="00444ABF" w:rsidRDefault="00B52F3B" w:rsidP="00B52F3B">
      <w:pPr>
        <w:widowControl w:val="0"/>
        <w:spacing w:after="120"/>
        <w:ind w:left="2268" w:right="1134"/>
        <w:jc w:val="both"/>
        <w:rPr>
          <w:bCs/>
          <w:lang w:eastAsia="en-US"/>
        </w:rPr>
      </w:pPr>
      <w:r w:rsidRPr="00444ABF">
        <w:rPr>
          <w:bCs/>
          <w:lang w:eastAsia="en-US"/>
        </w:rPr>
        <w:t>Vehicles of other categories may also be approved under this Regulation, in respect of the strength of seats and their anchorages, and in respect of their head restraints."</w:t>
      </w:r>
    </w:p>
    <w:p w14:paraId="15B0D2EF" w14:textId="77777777" w:rsidR="00B52F3B" w:rsidRPr="007F1EFA" w:rsidRDefault="00B52F3B" w:rsidP="00B52F3B">
      <w:pPr>
        <w:spacing w:before="100" w:beforeAutospacing="1" w:after="120"/>
        <w:ind w:left="2268" w:right="1134" w:hanging="1134"/>
        <w:jc w:val="both"/>
        <w:rPr>
          <w:lang w:eastAsia="en-US"/>
        </w:rPr>
      </w:pPr>
      <w:r w:rsidRPr="007F1EFA">
        <w:rPr>
          <w:i/>
          <w:lang w:eastAsia="ja-JP"/>
        </w:rPr>
        <w:t>Paragraphs 5.4. to 5.4.2</w:t>
      </w:r>
      <w:r w:rsidRPr="007F1EFA">
        <w:rPr>
          <w:iCs/>
          <w:lang w:eastAsia="ja-JP"/>
        </w:rPr>
        <w:t>., amend to read:</w:t>
      </w:r>
    </w:p>
    <w:p w14:paraId="3B98C5E9" w14:textId="77777777" w:rsidR="00B52F3B" w:rsidRPr="007F1EFA" w:rsidRDefault="00B52F3B" w:rsidP="00B52F3B">
      <w:pPr>
        <w:widowControl w:val="0"/>
        <w:spacing w:after="120"/>
        <w:ind w:left="2268" w:right="1134" w:hanging="1134"/>
        <w:jc w:val="both"/>
        <w:rPr>
          <w:lang w:eastAsia="en-US"/>
        </w:rPr>
      </w:pPr>
      <w:r w:rsidRPr="007F1EFA">
        <w:rPr>
          <w:lang w:eastAsia="en-US"/>
        </w:rPr>
        <w:t xml:space="preserve">"5.4. </w:t>
      </w:r>
      <w:r w:rsidRPr="007F1EFA">
        <w:rPr>
          <w:lang w:eastAsia="en-US"/>
        </w:rPr>
        <w:tab/>
        <w:t>Mounting of head restraints</w:t>
      </w:r>
    </w:p>
    <w:p w14:paraId="6EED4020" w14:textId="77777777" w:rsidR="00B52F3B" w:rsidRPr="007F1EFA" w:rsidRDefault="00B52F3B" w:rsidP="00B52F3B">
      <w:pPr>
        <w:widowControl w:val="0"/>
        <w:spacing w:after="120"/>
        <w:ind w:left="2268" w:right="1134" w:hanging="1134"/>
        <w:jc w:val="both"/>
        <w:rPr>
          <w:lang w:eastAsia="en-US"/>
        </w:rPr>
      </w:pPr>
      <w:r w:rsidRPr="007F1EFA">
        <w:rPr>
          <w:lang w:eastAsia="en-US"/>
        </w:rPr>
        <w:t xml:space="preserve">5.4.1. </w:t>
      </w:r>
      <w:r w:rsidRPr="007F1EFA">
        <w:rPr>
          <w:lang w:eastAsia="en-US"/>
        </w:rPr>
        <w:tab/>
        <w:t>A head restraint shall be mounted on every outboard front seat in every vehicle of category M</w:t>
      </w:r>
      <w:r w:rsidRPr="007F1EFA">
        <w:rPr>
          <w:vertAlign w:val="subscript"/>
          <w:lang w:eastAsia="en-US"/>
        </w:rPr>
        <w:t>1</w:t>
      </w:r>
      <w:r w:rsidRPr="007F1EFA">
        <w:rPr>
          <w:lang w:eastAsia="en-US"/>
        </w:rPr>
        <w:t xml:space="preserve">. </w:t>
      </w:r>
    </w:p>
    <w:p w14:paraId="1EC20C94" w14:textId="77777777" w:rsidR="00B52F3B" w:rsidRPr="007F1EFA" w:rsidRDefault="00B52F3B" w:rsidP="00B52F3B">
      <w:pPr>
        <w:widowControl w:val="0"/>
        <w:spacing w:after="120"/>
        <w:ind w:left="2268" w:right="1134" w:hanging="1134"/>
        <w:jc w:val="both"/>
        <w:rPr>
          <w:lang w:eastAsia="en-US"/>
        </w:rPr>
      </w:pPr>
      <w:r w:rsidRPr="007F1EFA">
        <w:rPr>
          <w:lang w:eastAsia="en-US"/>
        </w:rPr>
        <w:t xml:space="preserve">5.4.2. </w:t>
      </w:r>
      <w:r w:rsidRPr="007F1EFA">
        <w:rPr>
          <w:lang w:eastAsia="en-US"/>
        </w:rPr>
        <w:tab/>
        <w:t>A head restraint shall be mounted on every outboard front seat in every vehicle of category M</w:t>
      </w:r>
      <w:r w:rsidRPr="007F1EFA">
        <w:rPr>
          <w:vertAlign w:val="subscript"/>
          <w:lang w:eastAsia="en-US"/>
        </w:rPr>
        <w:t>2</w:t>
      </w:r>
      <w:r w:rsidRPr="007F1EFA">
        <w:rPr>
          <w:lang w:eastAsia="en-US"/>
        </w:rPr>
        <w:t xml:space="preserve"> with a maximum mass not exceeding 3500 kg and of category N</w:t>
      </w:r>
      <w:r w:rsidRPr="007F1EFA">
        <w:rPr>
          <w:vertAlign w:val="subscript"/>
          <w:lang w:eastAsia="en-US"/>
        </w:rPr>
        <w:t>1</w:t>
      </w:r>
      <w:r w:rsidRPr="007F1EFA">
        <w:rPr>
          <w:lang w:eastAsia="en-US"/>
        </w:rPr>
        <w:t>; head restraints mounted in such vehicles shall comply with the requirements of Regulation No. 25, as amended by 04 series of amendments."</w:t>
      </w:r>
    </w:p>
    <w:p w14:paraId="15695479" w14:textId="77777777" w:rsidR="00B52F3B" w:rsidRPr="00444ABF" w:rsidRDefault="00B52F3B" w:rsidP="00B52F3B">
      <w:pPr>
        <w:widowControl w:val="0"/>
        <w:spacing w:after="120"/>
        <w:ind w:left="2268" w:right="1134"/>
        <w:jc w:val="both"/>
        <w:rPr>
          <w:bCs/>
          <w:strike/>
          <w:lang w:eastAsia="en-US"/>
        </w:rPr>
      </w:pPr>
      <w:r w:rsidRPr="00444ABF">
        <w:rPr>
          <w:bCs/>
          <w:lang w:eastAsia="en-US"/>
        </w:rPr>
        <w:t>Alternatively, seats fitted with head restraints in these categories of vehicles may comply with the requirements of this Regulation."</w:t>
      </w:r>
    </w:p>
    <w:p w14:paraId="04DA5D1C" w14:textId="77777777" w:rsidR="00B52F3B" w:rsidRPr="007F1EFA" w:rsidRDefault="00B52F3B" w:rsidP="00B52F3B">
      <w:pPr>
        <w:widowControl w:val="0"/>
        <w:spacing w:after="120"/>
        <w:ind w:left="1701" w:right="1134" w:hanging="567"/>
        <w:jc w:val="both"/>
        <w:rPr>
          <w:iCs/>
          <w:lang w:eastAsia="en-US"/>
        </w:rPr>
      </w:pPr>
      <w:r w:rsidRPr="007F1EFA">
        <w:rPr>
          <w:i/>
          <w:lang w:eastAsia="en-US"/>
        </w:rPr>
        <w:t>Insert a new paragraph 5.4.3</w:t>
      </w:r>
      <w:r w:rsidRPr="007F1EFA">
        <w:rPr>
          <w:iCs/>
          <w:lang w:eastAsia="en-US"/>
        </w:rPr>
        <w:t>., to read:</w:t>
      </w:r>
    </w:p>
    <w:p w14:paraId="4832A2A9" w14:textId="77777777" w:rsidR="00B52F3B" w:rsidRPr="00444ABF" w:rsidRDefault="00B52F3B" w:rsidP="00B52F3B">
      <w:pPr>
        <w:widowControl w:val="0"/>
        <w:spacing w:after="120"/>
        <w:ind w:left="2268" w:right="1134" w:hanging="1134"/>
        <w:jc w:val="both"/>
        <w:rPr>
          <w:bCs/>
          <w:lang w:eastAsia="en-US"/>
        </w:rPr>
      </w:pPr>
      <w:r w:rsidRPr="00444ABF">
        <w:rPr>
          <w:bCs/>
          <w:lang w:eastAsia="en-US"/>
        </w:rPr>
        <w:t>"5.4.3.</w:t>
      </w:r>
      <w:r w:rsidRPr="00444ABF">
        <w:rPr>
          <w:bCs/>
          <w:lang w:eastAsia="en-US"/>
        </w:rPr>
        <w:tab/>
        <w:t>Notwithstanding paragraphs 5.4.1. and 5.4.2. above, all forward-facing seats fitted with a head restraint or intended to be fitted with a head restraint in other seating positions and in other categories of vehicles covered by the scope of this UN Regulation shall comply with the requirements of this Regulation."</w:t>
      </w:r>
    </w:p>
    <w:p w14:paraId="5996FCAB" w14:textId="77777777" w:rsidR="00B52F3B" w:rsidRPr="007F1EFA" w:rsidRDefault="00B52F3B" w:rsidP="00B52F3B">
      <w:pPr>
        <w:spacing w:before="100" w:beforeAutospacing="1" w:after="120"/>
        <w:ind w:left="2268" w:right="1134" w:hanging="1134"/>
        <w:jc w:val="both"/>
        <w:rPr>
          <w:iCs/>
          <w:lang w:eastAsia="en-US"/>
        </w:rPr>
      </w:pPr>
      <w:r w:rsidRPr="007F1EFA">
        <w:rPr>
          <w:i/>
          <w:lang w:eastAsia="ja-JP"/>
        </w:rPr>
        <w:t xml:space="preserve">Paragraph 5.7.4., </w:t>
      </w:r>
      <w:r w:rsidRPr="007F1EFA">
        <w:rPr>
          <w:iCs/>
          <w:lang w:eastAsia="ja-JP"/>
        </w:rPr>
        <w:t>amend to read:</w:t>
      </w:r>
    </w:p>
    <w:p w14:paraId="10680CB5" w14:textId="77777777" w:rsidR="00B52F3B" w:rsidRPr="00444ABF" w:rsidRDefault="00B52F3B" w:rsidP="00B52F3B">
      <w:pPr>
        <w:widowControl w:val="0"/>
        <w:spacing w:after="120"/>
        <w:ind w:left="2268" w:right="1134" w:hanging="1134"/>
        <w:jc w:val="both"/>
        <w:rPr>
          <w:lang w:eastAsia="en-US"/>
        </w:rPr>
      </w:pPr>
      <w:r w:rsidRPr="00444ABF">
        <w:rPr>
          <w:lang w:eastAsia="en-US"/>
        </w:rPr>
        <w:t>"5.7.4.</w:t>
      </w:r>
      <w:r w:rsidRPr="00444ABF">
        <w:rPr>
          <w:lang w:eastAsia="en-US"/>
        </w:rPr>
        <w:tab/>
        <w:t>Head restraint height retention</w:t>
      </w:r>
    </w:p>
    <w:p w14:paraId="02BC3467" w14:textId="77777777" w:rsidR="00B52F3B" w:rsidRPr="00444ABF" w:rsidRDefault="00B52F3B" w:rsidP="00B52F3B">
      <w:pPr>
        <w:widowControl w:val="0"/>
        <w:spacing w:after="120"/>
        <w:ind w:left="2268" w:right="1134"/>
        <w:jc w:val="both"/>
        <w:rPr>
          <w:strike/>
          <w:lang w:eastAsia="en-US"/>
        </w:rPr>
      </w:pPr>
      <w:r w:rsidRPr="00444ABF">
        <w:rPr>
          <w:lang w:eastAsia="en-US"/>
        </w:rPr>
        <w:t xml:space="preserve">When tested in accordance with Annex 13, the mechanism of the adjustable </w:t>
      </w:r>
      <w:r w:rsidRPr="00444ABF">
        <w:rPr>
          <w:lang w:eastAsia="en-US"/>
        </w:rPr>
        <w:lastRenderedPageBreak/>
        <w:t>head restraint or any head restraint f</w:t>
      </w:r>
      <w:r w:rsidRPr="00444ABF">
        <w:rPr>
          <w:rStyle w:val="ui-provider"/>
        </w:rPr>
        <w:t>ulfilling one of the additional requirements described under paragraph 5.8.4.</w:t>
      </w:r>
      <w:r w:rsidRPr="00444ABF">
        <w:rPr>
          <w:lang w:eastAsia="en-US"/>
        </w:rPr>
        <w:t xml:space="preserve"> shall not fail in such a way as to allow downward movement of the head restraint by more than 25 mm."</w:t>
      </w:r>
    </w:p>
    <w:p w14:paraId="09331330" w14:textId="77777777" w:rsidR="00B52F3B" w:rsidRPr="00444ABF" w:rsidRDefault="00B52F3B" w:rsidP="00B52F3B">
      <w:pPr>
        <w:widowControl w:val="0"/>
        <w:spacing w:after="120"/>
        <w:ind w:left="1701" w:right="1134" w:hanging="567"/>
        <w:jc w:val="both"/>
        <w:rPr>
          <w:i/>
          <w:lang w:eastAsia="en-US"/>
        </w:rPr>
      </w:pPr>
      <w:r w:rsidRPr="00444ABF">
        <w:rPr>
          <w:i/>
          <w:lang w:eastAsia="en-US"/>
        </w:rPr>
        <w:t>Insert new paragraphs 13.14. to 13.14.5</w:t>
      </w:r>
      <w:r w:rsidRPr="00444ABF">
        <w:rPr>
          <w:iCs/>
          <w:lang w:eastAsia="en-US"/>
        </w:rPr>
        <w:t>., to read:</w:t>
      </w:r>
    </w:p>
    <w:p w14:paraId="55981574" w14:textId="77777777" w:rsidR="00B52F3B" w:rsidRPr="00B70FA6" w:rsidRDefault="00B52F3B" w:rsidP="00B52F3B">
      <w:pPr>
        <w:widowControl w:val="0"/>
        <w:spacing w:after="120"/>
        <w:ind w:left="2268" w:right="1134" w:hanging="1134"/>
        <w:jc w:val="both"/>
        <w:rPr>
          <w:bCs/>
          <w:lang w:eastAsia="en-US"/>
        </w:rPr>
      </w:pPr>
      <w:r w:rsidRPr="00444ABF">
        <w:rPr>
          <w:lang w:eastAsia="en-US"/>
        </w:rPr>
        <w:t xml:space="preserve">"13.14. </w:t>
      </w:r>
      <w:r w:rsidRPr="00444ABF">
        <w:rPr>
          <w:lang w:eastAsia="en-US"/>
        </w:rPr>
        <w:tab/>
        <w:t xml:space="preserve">As from the official date of entry into force of the 11 series of amendments, </w:t>
      </w:r>
      <w:r w:rsidRPr="00B70FA6">
        <w:rPr>
          <w:bCs/>
          <w:lang w:eastAsia="en-US"/>
        </w:rPr>
        <w:t>no</w:t>
      </w:r>
      <w:r>
        <w:rPr>
          <w:bCs/>
          <w:lang w:eastAsia="en-US"/>
        </w:rPr>
        <w:t xml:space="preserve"> </w:t>
      </w:r>
      <w:r w:rsidRPr="00B70FA6">
        <w:rPr>
          <w:bCs/>
          <w:lang w:eastAsia="en-US"/>
        </w:rPr>
        <w:t>Contracting Party applying this Regulation shall refuse to grant or refuse to accept UN type approvals under this Regulation as amended by the 11 series of amendments.</w:t>
      </w:r>
    </w:p>
    <w:p w14:paraId="467BD496" w14:textId="77777777" w:rsidR="00B52F3B" w:rsidRPr="00B70FA6" w:rsidRDefault="00B52F3B" w:rsidP="00B52F3B">
      <w:pPr>
        <w:widowControl w:val="0"/>
        <w:spacing w:after="120"/>
        <w:ind w:left="2268" w:right="1134" w:hanging="1134"/>
        <w:jc w:val="both"/>
        <w:rPr>
          <w:bCs/>
          <w:lang w:eastAsia="en-US"/>
        </w:rPr>
      </w:pPr>
      <w:r w:rsidRPr="00B70FA6">
        <w:rPr>
          <w:bCs/>
          <w:lang w:eastAsia="en-US"/>
        </w:rPr>
        <w:t>13.14.1.</w:t>
      </w:r>
      <w:r w:rsidRPr="00B70FA6">
        <w:rPr>
          <w:bCs/>
          <w:lang w:eastAsia="en-US"/>
        </w:rPr>
        <w:tab/>
        <w:t>As from 1 September 2026, Contracting Parties applying this Regulation shall not be obliged to accept UN type approvals to the preceding series of amendments that were first issued on or after 1 September 2026.</w:t>
      </w:r>
    </w:p>
    <w:p w14:paraId="17976958" w14:textId="77777777" w:rsidR="00B52F3B" w:rsidRPr="00B70FA6" w:rsidRDefault="00B52F3B" w:rsidP="00B52F3B">
      <w:pPr>
        <w:widowControl w:val="0"/>
        <w:spacing w:after="120"/>
        <w:ind w:left="2268" w:right="1134" w:hanging="1134"/>
        <w:jc w:val="both"/>
        <w:rPr>
          <w:bCs/>
          <w:lang w:eastAsia="en-US"/>
        </w:rPr>
      </w:pPr>
      <w:r w:rsidRPr="00B70FA6">
        <w:rPr>
          <w:bCs/>
          <w:lang w:eastAsia="en-US"/>
        </w:rPr>
        <w:t>13.14.2.</w:t>
      </w:r>
      <w:r w:rsidRPr="00B70FA6">
        <w:rPr>
          <w:bCs/>
          <w:lang w:eastAsia="en-US"/>
        </w:rPr>
        <w:tab/>
        <w:t>Until 1 September 2028, Contracting Parties applying this Regulation shall accept UN type approvals to the preceding series of amendments that were first issued before 1 September 2026.</w:t>
      </w:r>
    </w:p>
    <w:p w14:paraId="26B10932" w14:textId="77777777" w:rsidR="00B52F3B" w:rsidRPr="00B70FA6" w:rsidRDefault="00B52F3B" w:rsidP="00B52F3B">
      <w:pPr>
        <w:widowControl w:val="0"/>
        <w:spacing w:after="120"/>
        <w:ind w:left="2268" w:right="1134" w:hanging="1134"/>
        <w:jc w:val="both"/>
        <w:rPr>
          <w:bCs/>
          <w:lang w:eastAsia="en-US"/>
        </w:rPr>
      </w:pPr>
      <w:r w:rsidRPr="00B70FA6">
        <w:rPr>
          <w:bCs/>
          <w:lang w:eastAsia="en-US"/>
        </w:rPr>
        <w:t>13.14.3.</w:t>
      </w:r>
      <w:r w:rsidRPr="00B70FA6">
        <w:rPr>
          <w:bCs/>
          <w:lang w:eastAsia="en-US"/>
        </w:rPr>
        <w:tab/>
        <w:t>As from 1 September 2028, Contracting Parties applying this Regulation shall not be obliged to accept type approvals issued to the preceding series of amendments to this Regulation.</w:t>
      </w:r>
    </w:p>
    <w:p w14:paraId="70BA8DCA" w14:textId="77777777" w:rsidR="00B52F3B" w:rsidRPr="00B70FA6" w:rsidRDefault="00B52F3B" w:rsidP="00B52F3B">
      <w:pPr>
        <w:widowControl w:val="0"/>
        <w:spacing w:after="120"/>
        <w:ind w:left="2268" w:right="1134" w:hanging="1134"/>
        <w:jc w:val="both"/>
        <w:rPr>
          <w:bCs/>
          <w:lang w:eastAsia="en-US"/>
        </w:rPr>
      </w:pPr>
      <w:r w:rsidRPr="00B70FA6">
        <w:rPr>
          <w:bCs/>
          <w:lang w:eastAsia="en-US"/>
        </w:rPr>
        <w:t>13.14.4.</w:t>
      </w:r>
      <w:r w:rsidRPr="00B70FA6">
        <w:rPr>
          <w:bCs/>
          <w:lang w:eastAsia="en-US"/>
        </w:rPr>
        <w:tab/>
        <w:t>Notwithstanding paragraph 13.14.3., Contracting Parties applying the Regulation shall continue to accept UN type approvals to the preceding series of amendments to the Regulation, for vehicles which are not affected by the changes introduced by the 11 series of amendments.</w:t>
      </w:r>
    </w:p>
    <w:p w14:paraId="3FDE7B4A" w14:textId="77777777" w:rsidR="00B52F3B" w:rsidRPr="00B70FA6" w:rsidRDefault="00B52F3B" w:rsidP="00B52F3B">
      <w:pPr>
        <w:widowControl w:val="0"/>
        <w:spacing w:after="120"/>
        <w:ind w:left="2268" w:right="1134" w:hanging="1134"/>
        <w:jc w:val="both"/>
        <w:rPr>
          <w:bCs/>
          <w:lang w:eastAsia="en-US"/>
        </w:rPr>
      </w:pPr>
      <w:r w:rsidRPr="00B70FA6">
        <w:rPr>
          <w:bCs/>
          <w:lang w:eastAsia="en-US"/>
        </w:rPr>
        <w:t>13.14.5.</w:t>
      </w:r>
      <w:r w:rsidRPr="00B70FA6">
        <w:rPr>
          <w:bCs/>
          <w:lang w:eastAsia="en-US"/>
        </w:rPr>
        <w:tab/>
        <w:t>Contracting Parties applying this Regulation shall not refuse to grant UN type approvals according to any preceding series of amendments to this Regulation or extensions thereof."</w:t>
      </w:r>
    </w:p>
    <w:p w14:paraId="552C97EE" w14:textId="77777777" w:rsidR="00B52F3B" w:rsidRPr="007F1EFA" w:rsidRDefault="00B52F3B" w:rsidP="00B52F3B">
      <w:pPr>
        <w:spacing w:after="120"/>
        <w:ind w:left="2268" w:right="1134" w:hanging="1134"/>
        <w:jc w:val="both"/>
        <w:rPr>
          <w:lang w:eastAsia="en-US"/>
        </w:rPr>
      </w:pPr>
      <w:r w:rsidRPr="007F1EFA">
        <w:rPr>
          <w:i/>
          <w:lang w:eastAsia="ja-JP"/>
        </w:rPr>
        <w:t xml:space="preserve">Paragraph 4.2., </w:t>
      </w:r>
      <w:r w:rsidRPr="007F1EFA">
        <w:rPr>
          <w:iCs/>
          <w:lang w:eastAsia="ja-JP"/>
        </w:rPr>
        <w:t>amend to read:</w:t>
      </w:r>
    </w:p>
    <w:p w14:paraId="2ACD5B55" w14:textId="1FACFBC4" w:rsidR="00B52F3B" w:rsidRPr="00B70FA6" w:rsidRDefault="00B52F3B" w:rsidP="00B52F3B">
      <w:pPr>
        <w:widowControl w:val="0"/>
        <w:spacing w:after="120"/>
        <w:ind w:left="1843" w:right="1134" w:hanging="709"/>
        <w:jc w:val="both"/>
      </w:pPr>
      <w:r w:rsidRPr="00B70FA6">
        <w:t>"4.2.</w:t>
      </w:r>
      <w:r w:rsidRPr="00B70FA6">
        <w:tab/>
      </w:r>
      <w:r w:rsidRPr="00B70FA6">
        <w:rPr>
          <w:lang w:eastAsia="en-US"/>
        </w:rPr>
        <w:t>An approval number shall be assigned to each type approved in accordance with Schedule 4 of the Agreement (E/ECE/TRANS/505/Rev.3 and Amend.1).</w:t>
      </w:r>
    </w:p>
    <w:p w14:paraId="23358580" w14:textId="77777777" w:rsidR="00B52F3B" w:rsidRPr="007F1EFA" w:rsidRDefault="00B52F3B" w:rsidP="00B52F3B">
      <w:pPr>
        <w:widowControl w:val="0"/>
        <w:spacing w:after="120"/>
        <w:ind w:left="1843" w:right="1134"/>
        <w:jc w:val="both"/>
        <w:rPr>
          <w:b/>
          <w:lang w:eastAsia="en-US"/>
        </w:rPr>
      </w:pPr>
      <w:r w:rsidRPr="007F1EFA">
        <w:t>The same Contracting Party may not assign the same number either to the same vehicle type equipped with other types of seats or head restraints or with seats anchored differently on the vehicle (this applies both to seats with and to those without head restraints) or to another vehicle type."</w:t>
      </w:r>
    </w:p>
    <w:p w14:paraId="00037216" w14:textId="77777777" w:rsidR="00B52F3B" w:rsidRPr="007F1EFA" w:rsidRDefault="00B52F3B" w:rsidP="00B52F3B">
      <w:pPr>
        <w:spacing w:before="100" w:beforeAutospacing="1" w:after="120"/>
        <w:ind w:left="1843" w:right="1134" w:hanging="709"/>
        <w:jc w:val="both"/>
        <w:rPr>
          <w:i/>
          <w:lang w:eastAsia="ja-JP"/>
        </w:rPr>
      </w:pPr>
      <w:r w:rsidRPr="007F1EFA">
        <w:rPr>
          <w:i/>
          <w:lang w:eastAsia="ja-JP"/>
        </w:rPr>
        <w:t xml:space="preserve">Annex 2, </w:t>
      </w:r>
      <w:r w:rsidRPr="007F1EFA">
        <w:rPr>
          <w:iCs/>
          <w:lang w:eastAsia="ja-JP"/>
        </w:rPr>
        <w:t>amend to read:</w:t>
      </w:r>
    </w:p>
    <w:p w14:paraId="1F3C68CC" w14:textId="77777777" w:rsidR="00B52F3B" w:rsidRPr="007F1EFA" w:rsidRDefault="00B52F3B" w:rsidP="00B52F3B">
      <w:pPr>
        <w:pStyle w:val="HChG"/>
        <w:ind w:firstLine="0"/>
      </w:pPr>
      <w:r>
        <w:t>"</w:t>
      </w:r>
      <w:r w:rsidRPr="007F1EFA">
        <w:t>Annex 2</w:t>
      </w:r>
    </w:p>
    <w:p w14:paraId="6B8D136E" w14:textId="77777777" w:rsidR="00B52F3B" w:rsidRPr="007F1EFA" w:rsidRDefault="00B52F3B" w:rsidP="00B52F3B">
      <w:pPr>
        <w:pStyle w:val="HChG"/>
        <w:ind w:firstLine="0"/>
      </w:pPr>
      <w:r w:rsidRPr="007F1EFA">
        <w:t xml:space="preserve">Arrangements of the </w:t>
      </w:r>
      <w:r>
        <w:t>A</w:t>
      </w:r>
      <w:r w:rsidRPr="007F1EFA">
        <w:t xml:space="preserve">pproval </w:t>
      </w:r>
      <w:r>
        <w:t>M</w:t>
      </w:r>
      <w:r w:rsidRPr="007F1EFA">
        <w:t>ark</w:t>
      </w:r>
    </w:p>
    <w:p w14:paraId="1E2F48E7" w14:textId="77777777" w:rsidR="00B52F3B" w:rsidRPr="007F1EFA" w:rsidRDefault="00B52F3B" w:rsidP="00B52F3B">
      <w:pPr>
        <w:pStyle w:val="SingleTxtG"/>
        <w:spacing w:after="0"/>
      </w:pPr>
      <w:r w:rsidRPr="007F1EFA">
        <w:t>Model A</w:t>
      </w:r>
    </w:p>
    <w:p w14:paraId="170C9160" w14:textId="77777777" w:rsidR="00B52F3B" w:rsidRPr="007F1EFA" w:rsidRDefault="00B52F3B" w:rsidP="00B52F3B">
      <w:pPr>
        <w:pStyle w:val="SingleTxtG"/>
        <w:spacing w:after="0"/>
      </w:pPr>
      <w:r w:rsidRPr="007F1EFA">
        <w:t>(see paragraphs 4.4., 4.4.1., 4.4.2. and 4.4.3. of this Regulation)</w:t>
      </w:r>
    </w:p>
    <w:p w14:paraId="5831BFFA" w14:textId="77777777" w:rsidR="00B52F3B" w:rsidRPr="00B70FA6" w:rsidRDefault="00B52F3B" w:rsidP="00B52F3B">
      <w:pPr>
        <w:pStyle w:val="Heading1"/>
        <w:spacing w:after="240"/>
        <w:rPr>
          <w:bCs/>
        </w:rPr>
      </w:pPr>
      <w:r w:rsidRPr="00B70FA6">
        <w:rPr>
          <w:bCs/>
        </w:rPr>
        <w:t>Vehicle with at least one seat fitted or capable of being fitted with a head restraint</w:t>
      </w:r>
    </w:p>
    <w:p w14:paraId="079ECB31" w14:textId="77777777" w:rsidR="00B52F3B" w:rsidRPr="007F1EFA" w:rsidRDefault="00B52F3B" w:rsidP="00B52F3B">
      <w:pPr>
        <w:tabs>
          <w:tab w:val="left" w:pos="7100"/>
        </w:tabs>
        <w:ind w:left="851"/>
        <w:jc w:val="center"/>
      </w:pPr>
      <w:r w:rsidRPr="007F1EFA">
        <w:rPr>
          <w:noProof/>
          <w:lang w:eastAsia="de-DE"/>
        </w:rPr>
        <mc:AlternateContent>
          <mc:Choice Requires="wps">
            <w:drawing>
              <wp:anchor distT="0" distB="0" distL="114300" distR="114300" simplePos="0" relativeHeight="251660288" behindDoc="0" locked="0" layoutInCell="1" allowOverlap="1" wp14:anchorId="1EF9A3DD" wp14:editId="6A102AED">
                <wp:simplePos x="0" y="0"/>
                <wp:positionH relativeFrom="column">
                  <wp:posOffset>2809875</wp:posOffset>
                </wp:positionH>
                <wp:positionV relativeFrom="paragraph">
                  <wp:posOffset>308538</wp:posOffset>
                </wp:positionV>
                <wp:extent cx="2401426" cy="457200"/>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426"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68BE6" w14:textId="77777777" w:rsidR="00B52F3B" w:rsidRPr="00A12D25" w:rsidRDefault="00B52F3B" w:rsidP="00B52F3B">
                            <w:pPr>
                              <w:rPr>
                                <w:rFonts w:ascii="Arial" w:hAnsi="Arial" w:cs="Arial"/>
                                <w:b/>
                                <w:sz w:val="44"/>
                                <w:szCs w:val="44"/>
                              </w:rPr>
                            </w:pPr>
                            <w:r w:rsidRPr="00A12D25">
                              <w:rPr>
                                <w:rFonts w:ascii="Arial" w:hAnsi="Arial" w:cs="Arial"/>
                                <w:b/>
                                <w:sz w:val="44"/>
                                <w:szCs w:val="44"/>
                              </w:rPr>
                              <w:t>17R</w:t>
                            </w:r>
                            <w:r>
                              <w:rPr>
                                <w:rFonts w:ascii="Arial" w:hAnsi="Arial" w:cs="Arial"/>
                                <w:b/>
                                <w:sz w:val="44"/>
                                <w:szCs w:val="44"/>
                              </w:rPr>
                              <w:t>A</w:t>
                            </w:r>
                            <w:r w:rsidRPr="00A12D25">
                              <w:rPr>
                                <w:rFonts w:ascii="Arial" w:hAnsi="Arial" w:cs="Arial"/>
                                <w:b/>
                                <w:sz w:val="44"/>
                                <w:szCs w:val="44"/>
                              </w:rPr>
                              <w:t xml:space="preserve"> - 112439</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1EF9A3DD" id="_x0000_t202" coordsize="21600,21600" o:spt="202" path="m,l,21600r21600,l21600,xe">
                <v:stroke joinstyle="miter"/>
                <v:path gradientshapeok="t" o:connecttype="rect"/>
              </v:shapetype>
              <v:shape id="Text Box 21" o:spid="_x0000_s1026" type="#_x0000_t202" style="position:absolute;left:0;text-align:left;margin-left:221.25pt;margin-top:24.3pt;width:189.1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" stroked="f">
                <v:textbox>
                  <w:txbxContent>
                    <w:p w14:paraId="76C68BE6" w14:textId="77777777" w:rsidR="00B52F3B" w:rsidRPr="00A12D25" w:rsidRDefault="00B52F3B" w:rsidP="00B52F3B">
                      <w:pPr>
                        <w:rPr>
                          <w:rFonts w:ascii="Arial" w:hAnsi="Arial" w:cs="Arial"/>
                          <w:b/>
                          <w:sz w:val="44"/>
                          <w:szCs w:val="44"/>
                        </w:rPr>
                      </w:pPr>
                      <w:r w:rsidRPr="00A12D25">
                        <w:rPr>
                          <w:rFonts w:ascii="Arial" w:hAnsi="Arial" w:cs="Arial"/>
                          <w:b/>
                          <w:sz w:val="44"/>
                          <w:szCs w:val="44"/>
                        </w:rPr>
                        <w:t>17R</w:t>
                      </w:r>
                      <w:r>
                        <w:rPr>
                          <w:rFonts w:ascii="Arial" w:hAnsi="Arial" w:cs="Arial"/>
                          <w:b/>
                          <w:sz w:val="44"/>
                          <w:szCs w:val="44"/>
                        </w:rPr>
                        <w:t>A</w:t>
                      </w:r>
                      <w:r w:rsidRPr="00A12D25">
                        <w:rPr>
                          <w:rFonts w:ascii="Arial" w:hAnsi="Arial" w:cs="Arial"/>
                          <w:b/>
                          <w:sz w:val="44"/>
                          <w:szCs w:val="44"/>
                        </w:rPr>
                        <w:t xml:space="preserve"> - 112439</w:t>
                      </w:r>
                    </w:p>
                  </w:txbxContent>
                </v:textbox>
              </v:shape>
            </w:pict>
          </mc:Fallback>
        </mc:AlternateContent>
      </w:r>
      <w:r w:rsidRPr="007F1EFA">
        <w:rPr>
          <w:noProof/>
          <w:lang w:eastAsia="de-DE"/>
        </w:rPr>
        <w:drawing>
          <wp:inline distT="0" distB="0" distL="0" distR="0" wp14:anchorId="094BB78B" wp14:editId="38CD031F">
            <wp:extent cx="4641215" cy="955040"/>
            <wp:effectExtent l="0" t="0" r="698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1215" cy="955040"/>
                    </a:xfrm>
                    <a:prstGeom prst="rect">
                      <a:avLst/>
                    </a:prstGeom>
                    <a:noFill/>
                    <a:ln>
                      <a:noFill/>
                    </a:ln>
                  </pic:spPr>
                </pic:pic>
              </a:graphicData>
            </a:graphic>
          </wp:inline>
        </w:drawing>
      </w:r>
    </w:p>
    <w:p w14:paraId="71E5C375" w14:textId="77777777" w:rsidR="00B52F3B" w:rsidRPr="007F1EFA" w:rsidRDefault="00B52F3B" w:rsidP="00B52F3B">
      <w:pPr>
        <w:tabs>
          <w:tab w:val="left" w:pos="6946"/>
        </w:tabs>
        <w:spacing w:before="20"/>
        <w:ind w:left="1134" w:right="1134"/>
        <w:jc w:val="center"/>
      </w:pPr>
      <w:r w:rsidRPr="007F1EFA">
        <w:tab/>
        <w:t>a = 8 mm min.</w:t>
      </w:r>
    </w:p>
    <w:p w14:paraId="1688433C" w14:textId="77777777" w:rsidR="00B52F3B" w:rsidRPr="007F1EFA" w:rsidRDefault="00B52F3B" w:rsidP="00B52F3B">
      <w:pPr>
        <w:pStyle w:val="SingleTxtG"/>
      </w:pPr>
      <w:r w:rsidRPr="007F1EFA">
        <w:tab/>
      </w:r>
      <w:r w:rsidRPr="007F1EFA">
        <w:tab/>
        <w:t xml:space="preserve">The above approval mark when affixed to a vehicle shows that the vehicle type concerned, with regard to the strength of the seats fitted or capable of being fitted with head restraints and with regard to characteristics of the head restraints, has been approved in the </w:t>
      </w:r>
      <w:r w:rsidRPr="007F1EFA">
        <w:lastRenderedPageBreak/>
        <w:t>Netherlands (E 4) pursuant to UN Regulation No. 17, under the approval number</w:t>
      </w:r>
      <w:r w:rsidRPr="00ED6428">
        <w:t xml:space="preserve"> 112439. </w:t>
      </w:r>
      <w:r w:rsidRPr="007F1EFA">
        <w:t xml:space="preserve">The first two digits of the approval number indicate that the Regulation already contained the </w:t>
      </w:r>
      <w:r w:rsidRPr="007F1EFA">
        <w:rPr>
          <w:strike/>
        </w:rPr>
        <w:t>10</w:t>
      </w:r>
      <w:r w:rsidRPr="007F1EFA">
        <w:rPr>
          <w:b/>
        </w:rPr>
        <w:t>11</w:t>
      </w:r>
      <w:r w:rsidRPr="007F1EFA">
        <w:t> series of amendments at the time of approval. The above approval mark also shows that the vehicle type was approved pursuant to UN Regulation No. 17 with regard to the strength of any seats on the vehicle which are not fitted or capable of being fitted with head restraints.</w:t>
      </w:r>
    </w:p>
    <w:p w14:paraId="048825A6" w14:textId="77777777" w:rsidR="00B52F3B" w:rsidRPr="007F1EFA" w:rsidRDefault="00B52F3B" w:rsidP="00B52F3B">
      <w:pPr>
        <w:pStyle w:val="SingleTxtG"/>
        <w:spacing w:before="240" w:after="0"/>
      </w:pPr>
      <w:r w:rsidRPr="007F1EFA">
        <w:t>Model B</w:t>
      </w:r>
    </w:p>
    <w:p w14:paraId="76190467" w14:textId="77777777" w:rsidR="00B52F3B" w:rsidRPr="007F1EFA" w:rsidRDefault="00B52F3B" w:rsidP="00B52F3B">
      <w:pPr>
        <w:pStyle w:val="SingleTxtG"/>
        <w:spacing w:after="0"/>
      </w:pPr>
      <w:r w:rsidRPr="007F1EFA">
        <w:t>(see paragraphs 4.4.; 4.4.1. and 4.4.2. of this Regulation)</w:t>
      </w:r>
    </w:p>
    <w:p w14:paraId="38CADEFA" w14:textId="77777777" w:rsidR="00B52F3B" w:rsidRPr="00ED6428" w:rsidRDefault="00B52F3B" w:rsidP="00B52F3B">
      <w:pPr>
        <w:pStyle w:val="Heading1"/>
        <w:spacing w:after="240"/>
        <w:rPr>
          <w:bCs/>
        </w:rPr>
      </w:pPr>
      <w:r w:rsidRPr="00ED6428">
        <w:rPr>
          <w:bCs/>
        </w:rPr>
        <w:t>Vehicle with seats not fitted or not capable of being fitted with head restraints</w:t>
      </w:r>
    </w:p>
    <w:p w14:paraId="59D8E487" w14:textId="77777777" w:rsidR="00B52F3B" w:rsidRPr="007F1EFA" w:rsidRDefault="00B52F3B" w:rsidP="00B52F3B">
      <w:pPr>
        <w:pStyle w:val="SingleTxtG"/>
      </w:pPr>
      <w:r w:rsidRPr="007F1EFA">
        <w:rPr>
          <w:noProof/>
          <w:lang w:eastAsia="de-DE"/>
        </w:rPr>
        <mc:AlternateContent>
          <mc:Choice Requires="wps">
            <w:drawing>
              <wp:anchor distT="0" distB="0" distL="114300" distR="114300" simplePos="0" relativeHeight="251659264" behindDoc="0" locked="0" layoutInCell="1" allowOverlap="1" wp14:anchorId="2BFD9BDF" wp14:editId="3B518B29">
                <wp:simplePos x="0" y="0"/>
                <wp:positionH relativeFrom="column">
                  <wp:posOffset>2642315</wp:posOffset>
                </wp:positionH>
                <wp:positionV relativeFrom="paragraph">
                  <wp:posOffset>303369</wp:posOffset>
                </wp:positionV>
                <wp:extent cx="2228127" cy="457200"/>
                <wp:effectExtent l="0" t="0" r="1270" b="0"/>
                <wp:wrapNone/>
                <wp:docPr id="1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127"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72840" w14:textId="77777777" w:rsidR="00B52F3B" w:rsidRPr="00A12D25" w:rsidRDefault="00B52F3B" w:rsidP="00B52F3B">
                            <w:pPr>
                              <w:rPr>
                                <w:rFonts w:ascii="Arial" w:hAnsi="Arial" w:cs="Arial"/>
                                <w:b/>
                                <w:sz w:val="44"/>
                                <w:szCs w:val="44"/>
                              </w:rPr>
                            </w:pPr>
                            <w:r w:rsidRPr="00A12D25">
                              <w:rPr>
                                <w:rFonts w:ascii="Arial" w:hAnsi="Arial" w:cs="Arial"/>
                                <w:b/>
                                <w:sz w:val="44"/>
                                <w:szCs w:val="44"/>
                              </w:rPr>
                              <w:t>17R - 112439</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BFD9BDF" id="_x0000_s1027" type="#_x0000_t202" style="position:absolute;left:0;text-align:left;margin-left:208.05pt;margin-top:23.9pt;width:175.4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" stroked="f">
                <v:textbox>
                  <w:txbxContent>
                    <w:p w14:paraId="0F472840" w14:textId="77777777" w:rsidR="00B52F3B" w:rsidRPr="00A12D25" w:rsidRDefault="00B52F3B" w:rsidP="00B52F3B">
                      <w:pPr>
                        <w:rPr>
                          <w:rFonts w:ascii="Arial" w:hAnsi="Arial" w:cs="Arial"/>
                          <w:b/>
                          <w:sz w:val="44"/>
                          <w:szCs w:val="44"/>
                        </w:rPr>
                      </w:pPr>
                      <w:r w:rsidRPr="00A12D25">
                        <w:rPr>
                          <w:rFonts w:ascii="Arial" w:hAnsi="Arial" w:cs="Arial"/>
                          <w:b/>
                          <w:sz w:val="44"/>
                          <w:szCs w:val="44"/>
                        </w:rPr>
                        <w:t>17R - 112439</w:t>
                      </w:r>
                    </w:p>
                  </w:txbxContent>
                </v:textbox>
              </v:shape>
            </w:pict>
          </mc:Fallback>
        </mc:AlternateContent>
      </w:r>
      <w:r w:rsidRPr="007F1EFA">
        <w:rPr>
          <w:noProof/>
          <w:lang w:eastAsia="de-DE"/>
        </w:rPr>
        <w:drawing>
          <wp:inline distT="0" distB="0" distL="0" distR="0" wp14:anchorId="425472DE" wp14:editId="3CC799B9">
            <wp:extent cx="4601210" cy="989330"/>
            <wp:effectExtent l="0" t="0" r="889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1210" cy="989330"/>
                    </a:xfrm>
                    <a:prstGeom prst="rect">
                      <a:avLst/>
                    </a:prstGeom>
                    <a:noFill/>
                    <a:ln>
                      <a:noFill/>
                    </a:ln>
                  </pic:spPr>
                </pic:pic>
              </a:graphicData>
            </a:graphic>
          </wp:inline>
        </w:drawing>
      </w:r>
    </w:p>
    <w:p w14:paraId="70C3E25C" w14:textId="77777777" w:rsidR="00B52F3B" w:rsidRPr="007F1EFA" w:rsidRDefault="00B52F3B" w:rsidP="00B52F3B">
      <w:pPr>
        <w:pStyle w:val="SingleTxtG"/>
      </w:pPr>
    </w:p>
    <w:p w14:paraId="25CFE307" w14:textId="77777777" w:rsidR="00B52F3B" w:rsidRPr="007F1EFA" w:rsidRDefault="00B52F3B" w:rsidP="00B52F3B">
      <w:pPr>
        <w:tabs>
          <w:tab w:val="left" w:pos="6663"/>
        </w:tabs>
      </w:pPr>
      <w:r w:rsidRPr="007F1EFA">
        <w:tab/>
        <w:t>a = 8 mm min.</w:t>
      </w:r>
    </w:p>
    <w:p w14:paraId="334543E8" w14:textId="77777777" w:rsidR="00B52F3B" w:rsidRPr="007F1EFA" w:rsidRDefault="00B52F3B" w:rsidP="00B52F3B">
      <w:pPr>
        <w:pStyle w:val="SingleTxtG"/>
        <w:spacing w:before="120"/>
      </w:pPr>
    </w:p>
    <w:p w14:paraId="034AF640" w14:textId="77777777" w:rsidR="00B52F3B" w:rsidRPr="00ED6428" w:rsidRDefault="00B52F3B" w:rsidP="00B52F3B">
      <w:pPr>
        <w:pStyle w:val="SingleTxtG"/>
        <w:spacing w:before="120"/>
      </w:pPr>
      <w:r w:rsidRPr="007F1EFA">
        <w:tab/>
      </w:r>
      <w:r w:rsidRPr="007F1EFA">
        <w:tab/>
        <w:t>The above approval mark when affixed to a vehicle shows that the vehicle type has seats not fitted or capable of being fitted with head restraints, and has, with regard to the strength of the seats and their anchor</w:t>
      </w:r>
      <w:r w:rsidRPr="00ED6428">
        <w:t>ages, been approved in the Netherlands (E 4) pursuant to UN Regulation No. 17 under the approval number 112439. The first two digits of the approval number indicate that the Regulation already contained the 11 series of amendments at the time of approval.</w:t>
      </w:r>
    </w:p>
    <w:p w14:paraId="6DD595FE" w14:textId="77777777" w:rsidR="00B52F3B" w:rsidRPr="00ED6428" w:rsidRDefault="00B52F3B" w:rsidP="00B52F3B">
      <w:pPr>
        <w:pStyle w:val="SingleTxtG"/>
        <w:keepNext/>
        <w:keepLines/>
        <w:spacing w:before="240" w:after="0"/>
      </w:pPr>
      <w:r w:rsidRPr="00ED6428">
        <w:t>Model C</w:t>
      </w:r>
    </w:p>
    <w:p w14:paraId="35E81994" w14:textId="77777777" w:rsidR="00B52F3B" w:rsidRPr="007F1EFA" w:rsidRDefault="00B52F3B" w:rsidP="00B52F3B">
      <w:pPr>
        <w:keepNext/>
        <w:keepLines/>
        <w:ind w:left="1134"/>
      </w:pPr>
      <w:r w:rsidRPr="007F1EFA">
        <w:t>(see paragraphs 4.5. of this Regulation)</w:t>
      </w:r>
    </w:p>
    <w:p w14:paraId="242A0754" w14:textId="77777777" w:rsidR="00B52F3B" w:rsidRPr="00ED6428" w:rsidRDefault="00B52F3B" w:rsidP="00B52F3B">
      <w:pPr>
        <w:keepNext/>
        <w:keepLines/>
        <w:spacing w:after="240"/>
        <w:ind w:left="1134"/>
        <w:rPr>
          <w:bCs/>
        </w:rPr>
      </w:pPr>
      <w:r w:rsidRPr="00ED6428">
        <w:rPr>
          <w:bCs/>
        </w:rPr>
        <w:t>Vehicle with at least one seat fitted or capable of being fitted with a head restraint</w:t>
      </w:r>
    </w:p>
    <w:p w14:paraId="7B67DCB5" w14:textId="77777777" w:rsidR="00B52F3B" w:rsidRPr="007F1EFA" w:rsidRDefault="00B52F3B" w:rsidP="00B52F3B">
      <w:pPr>
        <w:keepNext/>
        <w:keepLines/>
        <w:spacing w:after="240"/>
        <w:ind w:left="1134"/>
        <w:rPr>
          <w:b/>
        </w:rPr>
      </w:pPr>
      <w:r w:rsidRPr="007F1EFA">
        <w:rPr>
          <w:noProof/>
          <w:lang w:eastAsia="de-DE"/>
        </w:rPr>
        <mc:AlternateContent>
          <mc:Choice Requires="wps">
            <w:drawing>
              <wp:anchor distT="0" distB="0" distL="114300" distR="114300" simplePos="0" relativeHeight="251661312" behindDoc="0" locked="0" layoutInCell="1" allowOverlap="1" wp14:anchorId="50611756" wp14:editId="37C922DF">
                <wp:simplePos x="0" y="0"/>
                <wp:positionH relativeFrom="column">
                  <wp:posOffset>3741950</wp:posOffset>
                </wp:positionH>
                <wp:positionV relativeFrom="paragraph">
                  <wp:posOffset>150937</wp:posOffset>
                </wp:positionV>
                <wp:extent cx="1336875" cy="306544"/>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875" cy="306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6EBAB" w14:textId="77777777" w:rsidR="00B52F3B" w:rsidRPr="00576A1E" w:rsidRDefault="00B52F3B" w:rsidP="00B52F3B">
                            <w:pPr>
                              <w:rPr>
                                <w:rFonts w:ascii="Arial" w:hAnsi="Arial" w:cs="Arial"/>
                                <w:b/>
                                <w:sz w:val="36"/>
                                <w:szCs w:val="36"/>
                              </w:rPr>
                            </w:pPr>
                            <w:r w:rsidRPr="00576A1E">
                              <w:rPr>
                                <w:rFonts w:ascii="Arial" w:hAnsi="Arial" w:cs="Arial"/>
                                <w:b/>
                                <w:sz w:val="36"/>
                                <w:szCs w:val="36"/>
                              </w:rPr>
                              <w:t>11</w:t>
                            </w:r>
                            <w:r>
                              <w:rPr>
                                <w:rFonts w:ascii="Arial" w:hAnsi="Arial" w:cs="Arial"/>
                                <w:b/>
                                <w:sz w:val="36"/>
                                <w:szCs w:val="36"/>
                              </w:rPr>
                              <w:t xml:space="preserve"> </w:t>
                            </w:r>
                            <w:r w:rsidRPr="00576A1E">
                              <w:rPr>
                                <w:rFonts w:ascii="Arial" w:hAnsi="Arial" w:cs="Arial"/>
                                <w:b/>
                                <w:sz w:val="36"/>
                                <w:szCs w:val="36"/>
                              </w:rPr>
                              <w:t>2439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11756" id="_x0000_s1028" type="#_x0000_t202" style="position:absolute;left:0;text-align:left;margin-left:294.65pt;margin-top:11.9pt;width:105.25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" stroked="f">
                <v:textbox>
                  <w:txbxContent>
                    <w:p w14:paraId="1F36EBAB" w14:textId="77777777" w:rsidR="00B52F3B" w:rsidRPr="00576A1E" w:rsidRDefault="00B52F3B" w:rsidP="00B52F3B">
                      <w:pPr>
                        <w:rPr>
                          <w:rFonts w:ascii="Arial" w:hAnsi="Arial" w:cs="Arial"/>
                          <w:b/>
                          <w:sz w:val="36"/>
                          <w:szCs w:val="36"/>
                        </w:rPr>
                      </w:pPr>
                      <w:r w:rsidRPr="00576A1E">
                        <w:rPr>
                          <w:rFonts w:ascii="Arial" w:hAnsi="Arial" w:cs="Arial"/>
                          <w:b/>
                          <w:sz w:val="36"/>
                          <w:szCs w:val="36"/>
                        </w:rPr>
                        <w:t>11</w:t>
                      </w:r>
                      <w:r>
                        <w:rPr>
                          <w:rFonts w:ascii="Arial" w:hAnsi="Arial" w:cs="Arial"/>
                          <w:b/>
                          <w:sz w:val="36"/>
                          <w:szCs w:val="36"/>
                        </w:rPr>
                        <w:t xml:space="preserve"> </w:t>
                      </w:r>
                      <w:r w:rsidRPr="00576A1E">
                        <w:rPr>
                          <w:rFonts w:ascii="Arial" w:hAnsi="Arial" w:cs="Arial"/>
                          <w:b/>
                          <w:sz w:val="36"/>
                          <w:szCs w:val="36"/>
                        </w:rPr>
                        <w:t>2439</w:t>
                      </w:r>
                    </w:p>
                  </w:txbxContent>
                </v:textbox>
              </v:shape>
            </w:pict>
          </mc:Fallback>
        </mc:AlternateContent>
      </w:r>
      <w:r w:rsidRPr="007F1EFA">
        <w:rPr>
          <w:noProof/>
          <w:lang w:eastAsia="de-DE"/>
        </w:rPr>
        <w:drawing>
          <wp:inline distT="0" distB="0" distL="0" distR="0" wp14:anchorId="3A4B9CAE" wp14:editId="01C6869F">
            <wp:extent cx="5387975" cy="1047750"/>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7975" cy="1047750"/>
                    </a:xfrm>
                    <a:prstGeom prst="rect">
                      <a:avLst/>
                    </a:prstGeom>
                    <a:noFill/>
                    <a:ln>
                      <a:noFill/>
                    </a:ln>
                  </pic:spPr>
                </pic:pic>
              </a:graphicData>
            </a:graphic>
          </wp:inline>
        </w:drawing>
      </w:r>
    </w:p>
    <w:p w14:paraId="5A8AF8A0" w14:textId="77777777" w:rsidR="00B52F3B" w:rsidRPr="007F1EFA" w:rsidRDefault="00B52F3B" w:rsidP="00B52F3B">
      <w:pPr>
        <w:keepNext/>
        <w:keepLines/>
        <w:ind w:left="1134"/>
      </w:pPr>
    </w:p>
    <w:p w14:paraId="2070E91E" w14:textId="77777777" w:rsidR="00B52F3B" w:rsidRPr="007F1EFA" w:rsidRDefault="00B52F3B" w:rsidP="00B52F3B">
      <w:pPr>
        <w:keepNext/>
        <w:keepLines/>
        <w:tabs>
          <w:tab w:val="left" w:pos="7088"/>
        </w:tabs>
        <w:ind w:left="1134"/>
      </w:pPr>
      <w:r w:rsidRPr="007F1EFA">
        <w:tab/>
        <w:t>a = 8 mm min.</w:t>
      </w:r>
    </w:p>
    <w:p w14:paraId="26ABF952" w14:textId="77777777" w:rsidR="00B52F3B" w:rsidRPr="007F1EFA" w:rsidRDefault="00B52F3B" w:rsidP="00B52F3B">
      <w:pPr>
        <w:keepNext/>
        <w:keepLines/>
        <w:tabs>
          <w:tab w:val="left" w:pos="7088"/>
        </w:tabs>
        <w:ind w:left="1134"/>
      </w:pPr>
    </w:p>
    <w:p w14:paraId="2E8874F7" w14:textId="77777777" w:rsidR="00B52F3B" w:rsidRPr="007F1EFA" w:rsidRDefault="00B52F3B" w:rsidP="00B52F3B">
      <w:pPr>
        <w:pStyle w:val="SingleTxtG"/>
      </w:pPr>
      <w:r w:rsidRPr="007F1EFA">
        <w:tab/>
      </w:r>
      <w:r w:rsidRPr="007F1EFA">
        <w:tab/>
        <w:t>The above approval mark when affixed to a vehicle shows that the vehicle type has at least one seat fitted or capable of being fitted with a head restraint, and was approved in the Netherlands (E 4) pursuant to UN Regulations Nos. 17 and 33.</w:t>
      </w:r>
      <w:r w:rsidRPr="007F1EFA">
        <w:rPr>
          <w:rStyle w:val="FootnoteReference"/>
        </w:rPr>
        <w:footnoteReference w:customMarkFollows="1" w:id="4"/>
        <w:t>1</w:t>
      </w:r>
    </w:p>
    <w:p w14:paraId="43FBE7B8" w14:textId="64387E41" w:rsidR="00B52F3B" w:rsidRPr="007F1EFA" w:rsidRDefault="00B52F3B" w:rsidP="00B52F3B">
      <w:pPr>
        <w:pStyle w:val="SingleTxtG"/>
      </w:pPr>
      <w:r w:rsidRPr="007F1EFA">
        <w:tab/>
        <w:t>The approval numbers indicate that, on the dates when approval was granted, UN Regulation No. 17 included the</w:t>
      </w:r>
      <w:r w:rsidRPr="00B52F3B">
        <w:rPr>
          <w:bCs/>
        </w:rPr>
        <w:t xml:space="preserve"> 11 </w:t>
      </w:r>
      <w:r w:rsidRPr="007F1EFA">
        <w:t xml:space="preserve">series of </w:t>
      </w:r>
      <w:r w:rsidR="00483F45" w:rsidRPr="007F1EFA">
        <w:t>amendments,</w:t>
      </w:r>
      <w:r w:rsidRPr="007F1EFA">
        <w:t xml:space="preserve"> but UN Regulation No. 33 was still in its original form. The above approval mark also shows that the vehicle type was approved pursuant to UN Regulation No. 17 with regard to the strength of any seats on the vehicle which are not fitted or capable of being fitted with head restraints.</w:t>
      </w:r>
    </w:p>
    <w:p w14:paraId="31F55C54" w14:textId="77777777" w:rsidR="00B52F3B" w:rsidRPr="007F1EFA" w:rsidRDefault="00B52F3B" w:rsidP="00B52F3B">
      <w:pPr>
        <w:suppressAutoHyphens w:val="0"/>
        <w:spacing w:line="240" w:lineRule="auto"/>
      </w:pPr>
    </w:p>
    <w:p w14:paraId="58FC7D9B" w14:textId="77777777" w:rsidR="002F3F2F" w:rsidRDefault="002F3F2F">
      <w:pPr>
        <w:suppressAutoHyphens w:val="0"/>
        <w:spacing w:line="240" w:lineRule="auto"/>
      </w:pPr>
      <w:r>
        <w:br w:type="page"/>
      </w:r>
    </w:p>
    <w:p w14:paraId="0E22A0CB" w14:textId="77777777" w:rsidR="002F3F2F" w:rsidRDefault="002F3F2F">
      <w:pPr>
        <w:suppressAutoHyphens w:val="0"/>
        <w:spacing w:line="240" w:lineRule="auto"/>
      </w:pPr>
    </w:p>
    <w:p w14:paraId="2CE3DE3B" w14:textId="69937500" w:rsidR="00B52F3B" w:rsidRPr="007F1EFA" w:rsidRDefault="00B52F3B" w:rsidP="002F3F2F">
      <w:pPr>
        <w:pStyle w:val="SingleTxtG"/>
        <w:spacing w:after="0" w:line="240" w:lineRule="auto"/>
      </w:pPr>
      <w:r w:rsidRPr="007F1EFA">
        <w:t>Model D</w:t>
      </w:r>
    </w:p>
    <w:p w14:paraId="3CD13D7F" w14:textId="77777777" w:rsidR="00B52F3B" w:rsidRPr="00ED6428" w:rsidRDefault="00B52F3B" w:rsidP="00B52F3B">
      <w:pPr>
        <w:pStyle w:val="SingleTxtG"/>
        <w:spacing w:after="0"/>
      </w:pPr>
      <w:r w:rsidRPr="00ED6428">
        <w:t>(see paragraphs 4.5. of this Regulation)</w:t>
      </w:r>
    </w:p>
    <w:p w14:paraId="42311697" w14:textId="77777777" w:rsidR="00B52F3B" w:rsidRPr="00ED6428" w:rsidRDefault="00B52F3B" w:rsidP="00B52F3B">
      <w:pPr>
        <w:pStyle w:val="Heading1"/>
        <w:spacing w:after="240"/>
      </w:pPr>
      <w:r w:rsidRPr="00ED6428">
        <w:t>Vehicle with seats not fitted or not capable of being fitted with head restraints</w:t>
      </w:r>
    </w:p>
    <w:p w14:paraId="703C7672" w14:textId="77777777" w:rsidR="00B52F3B" w:rsidRPr="007F1EFA" w:rsidRDefault="00B52F3B" w:rsidP="00B52F3B">
      <w:pPr>
        <w:pStyle w:val="SingleTxtG"/>
      </w:pPr>
      <w:r w:rsidRPr="007F1EFA">
        <w:rPr>
          <w:noProof/>
          <w:lang w:eastAsia="de-DE"/>
        </w:rPr>
        <mc:AlternateContent>
          <mc:Choice Requires="wps">
            <w:drawing>
              <wp:anchor distT="0" distB="0" distL="114300" distR="114300" simplePos="0" relativeHeight="251662336" behindDoc="0" locked="0" layoutInCell="1" allowOverlap="1" wp14:anchorId="38273936" wp14:editId="53CA8FFB">
                <wp:simplePos x="0" y="0"/>
                <wp:positionH relativeFrom="column">
                  <wp:posOffset>3770888</wp:posOffset>
                </wp:positionH>
                <wp:positionV relativeFrom="paragraph">
                  <wp:posOffset>135826</wp:posOffset>
                </wp:positionV>
                <wp:extent cx="1267404" cy="306544"/>
                <wp:effectExtent l="0" t="0" r="9525"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04" cy="306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FDF7C" w14:textId="77777777" w:rsidR="00B52F3B" w:rsidRPr="00576A1E" w:rsidRDefault="00B52F3B" w:rsidP="00B52F3B">
                            <w:pPr>
                              <w:rPr>
                                <w:rFonts w:ascii="Arial" w:hAnsi="Arial" w:cs="Arial"/>
                                <w:b/>
                                <w:sz w:val="36"/>
                                <w:szCs w:val="36"/>
                              </w:rPr>
                            </w:pPr>
                            <w:r w:rsidRPr="00576A1E">
                              <w:rPr>
                                <w:rFonts w:ascii="Arial" w:hAnsi="Arial" w:cs="Arial"/>
                                <w:b/>
                                <w:sz w:val="36"/>
                                <w:szCs w:val="36"/>
                              </w:rPr>
                              <w:t>11</w:t>
                            </w:r>
                            <w:r>
                              <w:rPr>
                                <w:rFonts w:ascii="Arial" w:hAnsi="Arial" w:cs="Arial"/>
                                <w:b/>
                                <w:sz w:val="36"/>
                                <w:szCs w:val="36"/>
                              </w:rPr>
                              <w:t xml:space="preserve"> </w:t>
                            </w:r>
                            <w:r w:rsidRPr="00576A1E">
                              <w:rPr>
                                <w:rFonts w:ascii="Arial" w:hAnsi="Arial" w:cs="Arial"/>
                                <w:b/>
                                <w:sz w:val="36"/>
                                <w:szCs w:val="36"/>
                              </w:rPr>
                              <w:t>2439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73936" id="_x0000_s1029" type="#_x0000_t202" style="position:absolute;left:0;text-align:left;margin-left:296.9pt;margin-top:10.7pt;width:99.8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" stroked="f">
                <v:textbox>
                  <w:txbxContent>
                    <w:p w14:paraId="0E9FDF7C" w14:textId="77777777" w:rsidR="00B52F3B" w:rsidRPr="00576A1E" w:rsidRDefault="00B52F3B" w:rsidP="00B52F3B">
                      <w:pPr>
                        <w:rPr>
                          <w:rFonts w:ascii="Arial" w:hAnsi="Arial" w:cs="Arial"/>
                          <w:b/>
                          <w:sz w:val="36"/>
                          <w:szCs w:val="36"/>
                        </w:rPr>
                      </w:pPr>
                      <w:r w:rsidRPr="00576A1E">
                        <w:rPr>
                          <w:rFonts w:ascii="Arial" w:hAnsi="Arial" w:cs="Arial"/>
                          <w:b/>
                          <w:sz w:val="36"/>
                          <w:szCs w:val="36"/>
                        </w:rPr>
                        <w:t>11</w:t>
                      </w:r>
                      <w:r>
                        <w:rPr>
                          <w:rFonts w:ascii="Arial" w:hAnsi="Arial" w:cs="Arial"/>
                          <w:b/>
                          <w:sz w:val="36"/>
                          <w:szCs w:val="36"/>
                        </w:rPr>
                        <w:t xml:space="preserve"> </w:t>
                      </w:r>
                      <w:r w:rsidRPr="00576A1E">
                        <w:rPr>
                          <w:rFonts w:ascii="Arial" w:hAnsi="Arial" w:cs="Arial"/>
                          <w:b/>
                          <w:sz w:val="36"/>
                          <w:szCs w:val="36"/>
                        </w:rPr>
                        <w:t>2439</w:t>
                      </w:r>
                    </w:p>
                  </w:txbxContent>
                </v:textbox>
              </v:shape>
            </w:pict>
          </mc:Fallback>
        </mc:AlternateContent>
      </w:r>
      <w:r w:rsidRPr="007F1EFA">
        <w:rPr>
          <w:rFonts w:cs="Courier New"/>
          <w:noProof/>
          <w:szCs w:val="18"/>
          <w:lang w:eastAsia="de-DE"/>
        </w:rPr>
        <w:drawing>
          <wp:inline distT="0" distB="0" distL="0" distR="0" wp14:anchorId="1D0265FB" wp14:editId="000F00D7">
            <wp:extent cx="5335905" cy="96647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5905" cy="966470"/>
                    </a:xfrm>
                    <a:prstGeom prst="rect">
                      <a:avLst/>
                    </a:prstGeom>
                    <a:noFill/>
                    <a:ln>
                      <a:noFill/>
                    </a:ln>
                  </pic:spPr>
                </pic:pic>
              </a:graphicData>
            </a:graphic>
          </wp:inline>
        </w:drawing>
      </w:r>
    </w:p>
    <w:p w14:paraId="5A98DA37" w14:textId="77777777" w:rsidR="00B52F3B" w:rsidRPr="007F1EFA" w:rsidRDefault="00B52F3B" w:rsidP="00B52F3B">
      <w:pPr>
        <w:ind w:left="1134"/>
      </w:pPr>
    </w:p>
    <w:p w14:paraId="34F851EA" w14:textId="77777777" w:rsidR="00B52F3B" w:rsidRPr="007F1EFA" w:rsidRDefault="00B52F3B" w:rsidP="00B52F3B">
      <w:pPr>
        <w:tabs>
          <w:tab w:val="left" w:pos="7088"/>
        </w:tabs>
        <w:ind w:left="1134"/>
      </w:pPr>
      <w:r w:rsidRPr="007F1EFA">
        <w:tab/>
        <w:t>a = 8 mm min.</w:t>
      </w:r>
    </w:p>
    <w:p w14:paraId="356B40FF" w14:textId="77777777" w:rsidR="00B52F3B" w:rsidRPr="007F1EFA" w:rsidRDefault="00B52F3B" w:rsidP="00B52F3B">
      <w:pPr>
        <w:ind w:left="1134"/>
      </w:pPr>
    </w:p>
    <w:p w14:paraId="6EA938F2" w14:textId="47C6E316" w:rsidR="00B52F3B" w:rsidRPr="007F1EFA" w:rsidRDefault="00B52F3B" w:rsidP="00B52F3B">
      <w:pPr>
        <w:pStyle w:val="SingleTxtG"/>
        <w:ind w:firstLine="567"/>
        <w:rPr>
          <w:i/>
          <w:lang w:eastAsia="ja-JP"/>
        </w:rPr>
      </w:pPr>
      <w:r w:rsidRPr="007F1EFA">
        <w:t>The above approval mark when affixed to a vehicle shows that the vehicle type has seats not fitted or capable of being fitted with head restraints, and was approved in the Netherlands (E 4) pursuant to UN Regulations Nos. 17 and 33.</w:t>
      </w:r>
      <w:r>
        <w:rPr>
          <w:rStyle w:val="FootnoteReference"/>
        </w:rPr>
        <w:footnoteReference w:customMarkFollows="1" w:id="5"/>
        <w:t>1</w:t>
      </w:r>
      <w:r w:rsidRPr="007F1EFA">
        <w:t xml:space="preserve"> The approval numbers indicate that, on the dates when approval was granted, UN Regulation No. 17 included the </w:t>
      </w:r>
      <w:r w:rsidRPr="00B05CEC">
        <w:rPr>
          <w:bCs/>
        </w:rPr>
        <w:t>11 series of</w:t>
      </w:r>
      <w:r w:rsidRPr="007F1EFA">
        <w:t xml:space="preserve"> amendments but UN Regulation No. 33 was still in its original form.</w:t>
      </w:r>
      <w:r>
        <w:rPr>
          <w:noProof/>
          <w:lang w:eastAsia="de-DE"/>
        </w:rPr>
        <w:t>"</w:t>
      </w:r>
    </w:p>
    <w:p w14:paraId="6CFA9299" w14:textId="77777777" w:rsidR="00B52F3B" w:rsidRPr="007F1EFA" w:rsidRDefault="00B52F3B" w:rsidP="00B52F3B">
      <w:pPr>
        <w:spacing w:after="120"/>
        <w:ind w:left="2268" w:right="1134" w:hanging="1134"/>
        <w:jc w:val="both"/>
        <w:rPr>
          <w:iCs/>
          <w:lang w:eastAsia="ja-JP"/>
        </w:rPr>
      </w:pPr>
      <w:r w:rsidRPr="007F1EFA">
        <w:rPr>
          <w:i/>
          <w:lang w:eastAsia="ja-JP"/>
        </w:rPr>
        <w:t xml:space="preserve">Annex 13, paragraph 2.1., </w:t>
      </w:r>
      <w:r w:rsidRPr="007F1EFA">
        <w:rPr>
          <w:iCs/>
          <w:lang w:eastAsia="ja-JP"/>
        </w:rPr>
        <w:t>amend to read:</w:t>
      </w:r>
    </w:p>
    <w:p w14:paraId="63D6ECFE" w14:textId="77777777" w:rsidR="00B52F3B" w:rsidRPr="00ED6428" w:rsidRDefault="00B52F3B" w:rsidP="00B52F3B">
      <w:pPr>
        <w:spacing w:after="120" w:line="240" w:lineRule="auto"/>
        <w:ind w:left="1843" w:right="1134" w:hanging="709"/>
        <w:jc w:val="both"/>
        <w:rPr>
          <w:lang w:eastAsia="en-US"/>
        </w:rPr>
      </w:pPr>
      <w:r w:rsidRPr="00ED6428">
        <w:rPr>
          <w:lang w:eastAsia="en-US"/>
        </w:rPr>
        <w:t xml:space="preserve">"2.1. </w:t>
      </w:r>
      <w:r w:rsidRPr="00ED6428">
        <w:rPr>
          <w:lang w:eastAsia="en-US"/>
        </w:rPr>
        <w:tab/>
        <w:t>Seat set-up</w:t>
      </w:r>
    </w:p>
    <w:p w14:paraId="474EBE64" w14:textId="77777777" w:rsidR="00B52F3B" w:rsidRPr="00ED6428" w:rsidRDefault="00B52F3B" w:rsidP="00B52F3B">
      <w:pPr>
        <w:spacing w:after="120" w:line="240" w:lineRule="auto"/>
        <w:ind w:left="1843" w:right="1134"/>
        <w:jc w:val="both"/>
        <w:rPr>
          <w:sz w:val="28"/>
        </w:rPr>
      </w:pPr>
      <w:r w:rsidRPr="00ED6428">
        <w:rPr>
          <w:lang w:eastAsia="en-US"/>
        </w:rPr>
        <w:t xml:space="preserve">Adjust the head restraint in the normal position of use or in case of an adjustable head restraint so that its effective top is at any of the following height positions at any </w:t>
      </w:r>
      <w:proofErr w:type="spellStart"/>
      <w:r w:rsidRPr="00ED6428">
        <w:rPr>
          <w:lang w:eastAsia="en-US"/>
        </w:rPr>
        <w:t>backset</w:t>
      </w:r>
      <w:proofErr w:type="spellEnd"/>
      <w:r w:rsidRPr="00ED6428">
        <w:rPr>
          <w:lang w:eastAsia="en-US"/>
        </w:rPr>
        <w:t xml:space="preserve"> position:"</w:t>
      </w:r>
    </w:p>
    <w:p w14:paraId="74F96737" w14:textId="77777777" w:rsidR="00B52F3B" w:rsidRPr="00F1456D" w:rsidRDefault="00B52F3B" w:rsidP="00B52F3B">
      <w:pPr>
        <w:spacing w:before="240"/>
        <w:jc w:val="center"/>
        <w:rPr>
          <w:u w:val="single"/>
        </w:rPr>
      </w:pPr>
      <w:r>
        <w:rPr>
          <w:u w:val="single"/>
        </w:rPr>
        <w:tab/>
      </w:r>
      <w:r>
        <w:rPr>
          <w:u w:val="single"/>
        </w:rPr>
        <w:tab/>
      </w:r>
      <w:r>
        <w:rPr>
          <w:u w:val="single"/>
        </w:rPr>
        <w:tab/>
      </w:r>
    </w:p>
    <w:p w14:paraId="5F643D25" w14:textId="574F4D20" w:rsidR="001C6663" w:rsidRPr="00B52F3B" w:rsidRDefault="001C6663" w:rsidP="00B52F3B"/>
    <w:sectPr w:rsidR="001C6663" w:rsidRPr="00B52F3B" w:rsidSect="00B52F3B">
      <w:headerReference w:type="even" r:id="rId16"/>
      <w:headerReference w:type="default" r:id="rId17"/>
      <w:footerReference w:type="even" r:id="rId18"/>
      <w:footerReference w:type="defaul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940D" w14:textId="77777777" w:rsidR="00480AF6" w:rsidRDefault="00480AF6"/>
  </w:endnote>
  <w:endnote w:type="continuationSeparator" w:id="0">
    <w:p w14:paraId="22008C8C" w14:textId="77777777" w:rsidR="00480AF6" w:rsidRDefault="00480AF6"/>
  </w:endnote>
  <w:endnote w:type="continuationNotice" w:id="1">
    <w:p w14:paraId="04CB6D38" w14:textId="77777777" w:rsidR="00480AF6" w:rsidRDefault="00480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DD6" w14:textId="34788106" w:rsidR="00B52F3B" w:rsidRPr="00B52F3B" w:rsidRDefault="00B52F3B" w:rsidP="00B52F3B">
    <w:pPr>
      <w:pStyle w:val="Footer"/>
      <w:tabs>
        <w:tab w:val="right" w:pos="9638"/>
      </w:tabs>
      <w:rPr>
        <w:sz w:val="18"/>
      </w:rPr>
    </w:pP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2</w:t>
    </w:r>
    <w:r w:rsidRPr="00B52F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737C" w14:textId="15B0577F" w:rsidR="00B52F3B" w:rsidRPr="00B52F3B" w:rsidRDefault="00B52F3B" w:rsidP="00B52F3B">
    <w:pPr>
      <w:pStyle w:val="Footer"/>
      <w:tabs>
        <w:tab w:val="right" w:pos="9638"/>
      </w:tabs>
      <w:rPr>
        <w:b/>
        <w:sz w:val="18"/>
      </w:rPr>
    </w:pPr>
    <w:r>
      <w:tab/>
    </w: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3</w:t>
    </w:r>
    <w:r w:rsidRPr="00B52F3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A741" w14:textId="77777777" w:rsidR="00480AF6" w:rsidRPr="000B175B" w:rsidRDefault="00480AF6" w:rsidP="000B175B">
      <w:pPr>
        <w:tabs>
          <w:tab w:val="right" w:pos="2155"/>
        </w:tabs>
        <w:spacing w:after="80"/>
        <w:ind w:left="680"/>
        <w:rPr>
          <w:u w:val="single"/>
        </w:rPr>
      </w:pPr>
      <w:r>
        <w:rPr>
          <w:u w:val="single"/>
        </w:rPr>
        <w:tab/>
      </w:r>
    </w:p>
  </w:footnote>
  <w:footnote w:type="continuationSeparator" w:id="0">
    <w:p w14:paraId="57B5BDCB" w14:textId="77777777" w:rsidR="00480AF6" w:rsidRPr="00FC68B7" w:rsidRDefault="00480AF6" w:rsidP="00FC68B7">
      <w:pPr>
        <w:tabs>
          <w:tab w:val="left" w:pos="2155"/>
        </w:tabs>
        <w:spacing w:after="80"/>
        <w:ind w:left="680"/>
        <w:rPr>
          <w:u w:val="single"/>
        </w:rPr>
      </w:pPr>
      <w:r>
        <w:rPr>
          <w:u w:val="single"/>
        </w:rPr>
        <w:tab/>
      </w:r>
    </w:p>
  </w:footnote>
  <w:footnote w:type="continuationNotice" w:id="1">
    <w:p w14:paraId="726AECA3" w14:textId="77777777" w:rsidR="00480AF6" w:rsidRDefault="00480AF6"/>
  </w:footnote>
  <w:footnote w:id="2">
    <w:p w14:paraId="27FE3AA0" w14:textId="77777777" w:rsidR="00F91325" w:rsidRPr="0085209E" w:rsidRDefault="00F91325" w:rsidP="00F91325">
      <w:pPr>
        <w:pStyle w:val="FootnoteText"/>
      </w:pPr>
      <w:r>
        <w:tab/>
      </w:r>
      <w:r w:rsidRPr="0042771E">
        <w:rPr>
          <w:rStyle w:val="FootnoteReference"/>
          <w:sz w:val="20"/>
        </w:rPr>
        <w:t>*</w:t>
      </w:r>
      <w:r>
        <w:rPr>
          <w:sz w:val="20"/>
        </w:rPr>
        <w:tab/>
      </w:r>
      <w:r w:rsidRPr="0085209E">
        <w:t>Former titles of the Agreement:</w:t>
      </w:r>
    </w:p>
    <w:p w14:paraId="5F1BE24A" w14:textId="77777777" w:rsidR="00F91325" w:rsidRPr="004C1CAD" w:rsidRDefault="00F91325" w:rsidP="00F91325">
      <w:pPr>
        <w:tabs>
          <w:tab w:val="right" w:pos="1021"/>
        </w:tabs>
        <w:spacing w:line="220" w:lineRule="exact"/>
        <w:ind w:left="1134" w:right="1134" w:hanging="1134"/>
        <w:rPr>
          <w:sz w:val="18"/>
        </w:rPr>
      </w:pPr>
      <w:r w:rsidRPr="004C1CAD">
        <w:rPr>
          <w:sz w:val="18"/>
        </w:rPr>
        <w:tab/>
      </w:r>
      <w:r w:rsidRPr="004C1CAD">
        <w:rPr>
          <w:sz w:val="18"/>
        </w:rPr>
        <w:tab/>
        <w:t>Agreement Concerning the Adoption of Uniform Conditions of Approval and Reciprocal Recognition of Approval for Motor Vehicle Equipment and Parts, done at Geneva on 20 March 1958 (original version);</w:t>
      </w:r>
    </w:p>
    <w:p w14:paraId="4BC52CBD" w14:textId="77777777" w:rsidR="00F91325" w:rsidRPr="00167282" w:rsidRDefault="00F91325" w:rsidP="00F91325">
      <w:pPr>
        <w:pStyle w:val="FootnoteText"/>
      </w:pPr>
      <w:r w:rsidRPr="004C1CAD">
        <w:rPr>
          <w:sz w:val="20"/>
        </w:rPr>
        <w:tab/>
      </w:r>
      <w:r w:rsidRPr="004C1CAD">
        <w:rPr>
          <w:sz w:val="20"/>
        </w:rPr>
        <w:tab/>
      </w:r>
      <w:r w:rsidRPr="00FB2777">
        <w:rPr>
          <w:szCs w:val="18"/>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w:t>
      </w:r>
      <w:r w:rsidRPr="0085209E">
        <w:rPr>
          <w:szCs w:val="18"/>
        </w:rPr>
        <w:t>Revision</w:t>
      </w:r>
      <w:r w:rsidRPr="00FB2777">
        <w:rPr>
          <w:szCs w:val="18"/>
        </w:rPr>
        <w:t xml:space="preserve"> 2).</w:t>
      </w:r>
    </w:p>
  </w:footnote>
  <w:footnote w:id="3">
    <w:p w14:paraId="7DF2F4BC" w14:textId="146C0C13" w:rsidR="00B52F3B" w:rsidRDefault="00B52F3B" w:rsidP="00B52F3B">
      <w:pPr>
        <w:pStyle w:val="FootnoteText"/>
        <w:widowControl w:val="0"/>
      </w:pPr>
      <w:r>
        <w:tab/>
      </w:r>
      <w:r>
        <w:rPr>
          <w:rStyle w:val="FootnoteReference"/>
        </w:rPr>
        <w:footnoteRef/>
      </w:r>
      <w:r>
        <w:tab/>
        <w:t xml:space="preserve">As defined in the Consolidated Resolution on the Construction of Vehicles (R.E.3.), document ECE/TRANS/WP.29/78/Rev.7, para. 2 - </w:t>
      </w:r>
      <w:r w:rsidR="00313F34">
        <w:br/>
      </w:r>
      <w:r w:rsidR="00313F34" w:rsidRPr="00313F34">
        <w:t>https://unece.org/transport/standards/transport/vehicle-regulations-wp29/resolutions</w:t>
      </w:r>
    </w:p>
  </w:footnote>
  <w:footnote w:id="4">
    <w:p w14:paraId="35C7E74F" w14:textId="77777777" w:rsidR="00B52F3B" w:rsidRPr="005A04E9" w:rsidRDefault="00B52F3B" w:rsidP="00B52F3B">
      <w:pPr>
        <w:pStyle w:val="FootnoteText"/>
      </w:pPr>
      <w:r>
        <w:tab/>
      </w:r>
      <w:r>
        <w:rPr>
          <w:rStyle w:val="FootnoteReference"/>
        </w:rPr>
        <w:t>1</w:t>
      </w:r>
      <w:r>
        <w:t xml:space="preserve"> </w:t>
      </w:r>
      <w:r>
        <w:tab/>
      </w:r>
      <w:r w:rsidRPr="00270B76">
        <w:t>The second number is given merely as an example</w:t>
      </w:r>
      <w:r>
        <w:t>.</w:t>
      </w:r>
    </w:p>
  </w:footnote>
  <w:footnote w:id="5">
    <w:p w14:paraId="172F7950" w14:textId="6E262257" w:rsidR="00B52F3B" w:rsidRPr="005A04E9" w:rsidRDefault="00B52F3B" w:rsidP="00B52F3B">
      <w:pPr>
        <w:pStyle w:val="FootnoteText"/>
      </w:pPr>
      <w:r>
        <w:tab/>
      </w:r>
      <w:r>
        <w:rPr>
          <w:rStyle w:val="FootnoteReference"/>
        </w:rPr>
        <w:t>1</w:t>
      </w:r>
      <w:r>
        <w:t xml:space="preserve"> </w:t>
      </w:r>
      <w:r>
        <w:tab/>
      </w:r>
      <w:r w:rsidRPr="00270B76">
        <w:t>The second number is given merely as an example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B177" w14:textId="77777777" w:rsidR="00F91325" w:rsidRDefault="00F91325" w:rsidP="00F91325">
    <w:pPr>
      <w:pStyle w:val="Header"/>
      <w:rPr>
        <w:szCs w:val="18"/>
      </w:rPr>
    </w:pPr>
    <w:r w:rsidRPr="00F91325">
      <w:rPr>
        <w:szCs w:val="18"/>
      </w:rPr>
      <w:t>E/ECE/324/Rev.1/Add.16/Rev.7/Amend.1</w:t>
    </w:r>
  </w:p>
  <w:p w14:paraId="0D8CC25D" w14:textId="48260098" w:rsidR="00B52F3B" w:rsidRPr="00F91325" w:rsidRDefault="00F91325" w:rsidP="00F91325">
    <w:pPr>
      <w:pStyle w:val="Header"/>
      <w:rPr>
        <w:szCs w:val="18"/>
      </w:rPr>
    </w:pPr>
    <w:r w:rsidRPr="00F91325">
      <w:rPr>
        <w:szCs w:val="18"/>
      </w:rPr>
      <w:t>E/ECE/TRANS/505/Rev.1/Add.16/Rev.7/Amend.1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E5C" w14:textId="55780D3C" w:rsidR="00B52F3B" w:rsidRPr="00F91325" w:rsidRDefault="00F91325" w:rsidP="00F91325">
    <w:pPr>
      <w:pStyle w:val="Header"/>
      <w:jc w:val="right"/>
      <w:rPr>
        <w:szCs w:val="18"/>
      </w:rPr>
    </w:pPr>
    <w:r w:rsidRPr="00F91325">
      <w:rPr>
        <w:szCs w:val="18"/>
      </w:rPr>
      <w:t>E/ECE/324/Rev.1/Add.16/Rev.7/Amend.1</w:t>
    </w:r>
    <w:r w:rsidRPr="00F91325">
      <w:rPr>
        <w:szCs w:val="18"/>
      </w:rPr>
      <w:br/>
      <w:t>E/ECE/TRANS/505/Rev.1/Add.16/Rev.7/Amend.1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6118345">
    <w:abstractNumId w:val="1"/>
  </w:num>
  <w:num w:numId="2" w16cid:durableId="646594119">
    <w:abstractNumId w:val="0"/>
  </w:num>
  <w:num w:numId="3" w16cid:durableId="757674886">
    <w:abstractNumId w:val="2"/>
  </w:num>
  <w:num w:numId="4" w16cid:durableId="623269186">
    <w:abstractNumId w:val="3"/>
  </w:num>
  <w:num w:numId="5" w16cid:durableId="816725057">
    <w:abstractNumId w:val="8"/>
  </w:num>
  <w:num w:numId="6" w16cid:durableId="443573312">
    <w:abstractNumId w:val="9"/>
  </w:num>
  <w:num w:numId="7" w16cid:durableId="2105497223">
    <w:abstractNumId w:val="7"/>
  </w:num>
  <w:num w:numId="8" w16cid:durableId="876620184">
    <w:abstractNumId w:val="6"/>
  </w:num>
  <w:num w:numId="9" w16cid:durableId="1525289188">
    <w:abstractNumId w:val="5"/>
  </w:num>
  <w:num w:numId="10" w16cid:durableId="1221746214">
    <w:abstractNumId w:val="4"/>
  </w:num>
  <w:num w:numId="11" w16cid:durableId="916286443">
    <w:abstractNumId w:val="15"/>
  </w:num>
  <w:num w:numId="12" w16cid:durableId="1670714835">
    <w:abstractNumId w:val="14"/>
  </w:num>
  <w:num w:numId="13" w16cid:durableId="21169933">
    <w:abstractNumId w:val="10"/>
  </w:num>
  <w:num w:numId="14" w16cid:durableId="1614820349">
    <w:abstractNumId w:val="12"/>
  </w:num>
  <w:num w:numId="15" w16cid:durableId="271983115">
    <w:abstractNumId w:val="16"/>
  </w:num>
  <w:num w:numId="16" w16cid:durableId="2057197082">
    <w:abstractNumId w:val="13"/>
  </w:num>
  <w:num w:numId="17" w16cid:durableId="1801993351">
    <w:abstractNumId w:val="17"/>
  </w:num>
  <w:num w:numId="18" w16cid:durableId="105931860">
    <w:abstractNumId w:val="18"/>
  </w:num>
  <w:num w:numId="19" w16cid:durableId="65465115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3B"/>
    <w:rsid w:val="00002A7D"/>
    <w:rsid w:val="000038A8"/>
    <w:rsid w:val="00005DF3"/>
    <w:rsid w:val="00006790"/>
    <w:rsid w:val="00027624"/>
    <w:rsid w:val="00044C6C"/>
    <w:rsid w:val="00050F6B"/>
    <w:rsid w:val="000678CD"/>
    <w:rsid w:val="00072C8C"/>
    <w:rsid w:val="00081CE0"/>
    <w:rsid w:val="00084D30"/>
    <w:rsid w:val="00090320"/>
    <w:rsid w:val="000931C0"/>
    <w:rsid w:val="00097003"/>
    <w:rsid w:val="000A2E09"/>
    <w:rsid w:val="000B175B"/>
    <w:rsid w:val="000B3A0F"/>
    <w:rsid w:val="000C635E"/>
    <w:rsid w:val="000D4B44"/>
    <w:rsid w:val="000E0415"/>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6EBE"/>
    <w:rsid w:val="002974E9"/>
    <w:rsid w:val="002A306B"/>
    <w:rsid w:val="002A7F94"/>
    <w:rsid w:val="002B109A"/>
    <w:rsid w:val="002C6D45"/>
    <w:rsid w:val="002D6E53"/>
    <w:rsid w:val="002F046D"/>
    <w:rsid w:val="002F3023"/>
    <w:rsid w:val="002F3F2F"/>
    <w:rsid w:val="00301764"/>
    <w:rsid w:val="00313F3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325CB"/>
    <w:rsid w:val="00440A07"/>
    <w:rsid w:val="00462880"/>
    <w:rsid w:val="00474AD5"/>
    <w:rsid w:val="00476F24"/>
    <w:rsid w:val="00480AF6"/>
    <w:rsid w:val="00481F73"/>
    <w:rsid w:val="00483F45"/>
    <w:rsid w:val="004A5D33"/>
    <w:rsid w:val="004C55B0"/>
    <w:rsid w:val="004F6BA0"/>
    <w:rsid w:val="00503BEA"/>
    <w:rsid w:val="00533616"/>
    <w:rsid w:val="00535ABA"/>
    <w:rsid w:val="0053768B"/>
    <w:rsid w:val="005420F2"/>
    <w:rsid w:val="0054285C"/>
    <w:rsid w:val="00584173"/>
    <w:rsid w:val="00595520"/>
    <w:rsid w:val="005A04E9"/>
    <w:rsid w:val="005A44B9"/>
    <w:rsid w:val="005B1BA0"/>
    <w:rsid w:val="005B3DB3"/>
    <w:rsid w:val="005B5438"/>
    <w:rsid w:val="005C0268"/>
    <w:rsid w:val="005D15CA"/>
    <w:rsid w:val="005F08DF"/>
    <w:rsid w:val="005F3066"/>
    <w:rsid w:val="005F3E61"/>
    <w:rsid w:val="00604DDD"/>
    <w:rsid w:val="006115CC"/>
    <w:rsid w:val="00611FC4"/>
    <w:rsid w:val="006176FB"/>
    <w:rsid w:val="00630FCB"/>
    <w:rsid w:val="00640B26"/>
    <w:rsid w:val="00656573"/>
    <w:rsid w:val="0065766B"/>
    <w:rsid w:val="006770B2"/>
    <w:rsid w:val="00686A48"/>
    <w:rsid w:val="0068763C"/>
    <w:rsid w:val="006930C5"/>
    <w:rsid w:val="006940E1"/>
    <w:rsid w:val="006A3C72"/>
    <w:rsid w:val="006A7392"/>
    <w:rsid w:val="006B03A1"/>
    <w:rsid w:val="006B67D9"/>
    <w:rsid w:val="006C5535"/>
    <w:rsid w:val="006D0589"/>
    <w:rsid w:val="006D4B2A"/>
    <w:rsid w:val="006E564B"/>
    <w:rsid w:val="006E7154"/>
    <w:rsid w:val="007003CD"/>
    <w:rsid w:val="0070701E"/>
    <w:rsid w:val="00722C5D"/>
    <w:rsid w:val="0072632A"/>
    <w:rsid w:val="007358E8"/>
    <w:rsid w:val="00736ECE"/>
    <w:rsid w:val="0074533B"/>
    <w:rsid w:val="007643BC"/>
    <w:rsid w:val="00780C68"/>
    <w:rsid w:val="0078326F"/>
    <w:rsid w:val="007959FE"/>
    <w:rsid w:val="007A0CF1"/>
    <w:rsid w:val="007A27CC"/>
    <w:rsid w:val="007B6BA5"/>
    <w:rsid w:val="007C3390"/>
    <w:rsid w:val="007C42D8"/>
    <w:rsid w:val="007C4F4B"/>
    <w:rsid w:val="007D6F65"/>
    <w:rsid w:val="007D7362"/>
    <w:rsid w:val="007F2CFA"/>
    <w:rsid w:val="007F5CE2"/>
    <w:rsid w:val="007F6611"/>
    <w:rsid w:val="00810BAC"/>
    <w:rsid w:val="008175E9"/>
    <w:rsid w:val="008242D7"/>
    <w:rsid w:val="0082577B"/>
    <w:rsid w:val="00825CB5"/>
    <w:rsid w:val="008544A5"/>
    <w:rsid w:val="00863019"/>
    <w:rsid w:val="00866893"/>
    <w:rsid w:val="00866F02"/>
    <w:rsid w:val="00867D18"/>
    <w:rsid w:val="00871F9A"/>
    <w:rsid w:val="00871FD5"/>
    <w:rsid w:val="0088172E"/>
    <w:rsid w:val="00881EFA"/>
    <w:rsid w:val="008879CB"/>
    <w:rsid w:val="008979B1"/>
    <w:rsid w:val="008A6B25"/>
    <w:rsid w:val="008A6C4F"/>
    <w:rsid w:val="008B2F57"/>
    <w:rsid w:val="008B389E"/>
    <w:rsid w:val="008D045E"/>
    <w:rsid w:val="008D3F25"/>
    <w:rsid w:val="008D4D82"/>
    <w:rsid w:val="008E0E46"/>
    <w:rsid w:val="008E22A9"/>
    <w:rsid w:val="008E7116"/>
    <w:rsid w:val="008F143B"/>
    <w:rsid w:val="008F3882"/>
    <w:rsid w:val="008F4B7C"/>
    <w:rsid w:val="008F688B"/>
    <w:rsid w:val="00926E47"/>
    <w:rsid w:val="00947162"/>
    <w:rsid w:val="00952D70"/>
    <w:rsid w:val="009610D0"/>
    <w:rsid w:val="0096375C"/>
    <w:rsid w:val="009662E6"/>
    <w:rsid w:val="0097095E"/>
    <w:rsid w:val="0098592B"/>
    <w:rsid w:val="00985FC4"/>
    <w:rsid w:val="00990766"/>
    <w:rsid w:val="00991261"/>
    <w:rsid w:val="009964C4"/>
    <w:rsid w:val="009A3F4D"/>
    <w:rsid w:val="009A7B81"/>
    <w:rsid w:val="009B7EB7"/>
    <w:rsid w:val="009D01C0"/>
    <w:rsid w:val="009D6A08"/>
    <w:rsid w:val="009E0A16"/>
    <w:rsid w:val="009E6CB7"/>
    <w:rsid w:val="009E7970"/>
    <w:rsid w:val="009F2EAC"/>
    <w:rsid w:val="009F57E3"/>
    <w:rsid w:val="00A10F4F"/>
    <w:rsid w:val="00A11067"/>
    <w:rsid w:val="00A1704A"/>
    <w:rsid w:val="00A36AC2"/>
    <w:rsid w:val="00A425EB"/>
    <w:rsid w:val="00A72F22"/>
    <w:rsid w:val="00A733BC"/>
    <w:rsid w:val="00A748A6"/>
    <w:rsid w:val="00A76A69"/>
    <w:rsid w:val="00A879A4"/>
    <w:rsid w:val="00AA0FF8"/>
    <w:rsid w:val="00AC0F2C"/>
    <w:rsid w:val="00AC502A"/>
    <w:rsid w:val="00AE1E26"/>
    <w:rsid w:val="00AF3C50"/>
    <w:rsid w:val="00AF58C1"/>
    <w:rsid w:val="00B04A3F"/>
    <w:rsid w:val="00B06643"/>
    <w:rsid w:val="00B11723"/>
    <w:rsid w:val="00B15055"/>
    <w:rsid w:val="00B20551"/>
    <w:rsid w:val="00B30179"/>
    <w:rsid w:val="00B31E0B"/>
    <w:rsid w:val="00B33FC7"/>
    <w:rsid w:val="00B37B15"/>
    <w:rsid w:val="00B4162A"/>
    <w:rsid w:val="00B45C02"/>
    <w:rsid w:val="00B52F3B"/>
    <w:rsid w:val="00B70B63"/>
    <w:rsid w:val="00B72A1E"/>
    <w:rsid w:val="00B81E12"/>
    <w:rsid w:val="00BA0E51"/>
    <w:rsid w:val="00BA339B"/>
    <w:rsid w:val="00BB23CC"/>
    <w:rsid w:val="00BC1C0F"/>
    <w:rsid w:val="00BC1E7E"/>
    <w:rsid w:val="00BC74E9"/>
    <w:rsid w:val="00BE36A9"/>
    <w:rsid w:val="00BE618E"/>
    <w:rsid w:val="00BE7BEC"/>
    <w:rsid w:val="00BF0A5A"/>
    <w:rsid w:val="00BF0E63"/>
    <w:rsid w:val="00BF12A3"/>
    <w:rsid w:val="00BF16D7"/>
    <w:rsid w:val="00BF2373"/>
    <w:rsid w:val="00BF279B"/>
    <w:rsid w:val="00BF3470"/>
    <w:rsid w:val="00C044E2"/>
    <w:rsid w:val="00C048CB"/>
    <w:rsid w:val="00C066F3"/>
    <w:rsid w:val="00C463DD"/>
    <w:rsid w:val="00C745C3"/>
    <w:rsid w:val="00C978F5"/>
    <w:rsid w:val="00CA24A4"/>
    <w:rsid w:val="00CB348D"/>
    <w:rsid w:val="00CB3E5B"/>
    <w:rsid w:val="00CD46F5"/>
    <w:rsid w:val="00CE4A8F"/>
    <w:rsid w:val="00CF071D"/>
    <w:rsid w:val="00D0123D"/>
    <w:rsid w:val="00D15B04"/>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C18AD"/>
    <w:rsid w:val="00DF7CAE"/>
    <w:rsid w:val="00E13E9C"/>
    <w:rsid w:val="00E423C0"/>
    <w:rsid w:val="00E6414C"/>
    <w:rsid w:val="00E7260F"/>
    <w:rsid w:val="00E8702D"/>
    <w:rsid w:val="00E905F4"/>
    <w:rsid w:val="00E916A9"/>
    <w:rsid w:val="00E916DE"/>
    <w:rsid w:val="00E925AD"/>
    <w:rsid w:val="00E96630"/>
    <w:rsid w:val="00E9664D"/>
    <w:rsid w:val="00ED18DC"/>
    <w:rsid w:val="00ED6201"/>
    <w:rsid w:val="00ED7A2A"/>
    <w:rsid w:val="00EF1D7F"/>
    <w:rsid w:val="00F0137E"/>
    <w:rsid w:val="00F04E44"/>
    <w:rsid w:val="00F15B5E"/>
    <w:rsid w:val="00F21786"/>
    <w:rsid w:val="00F25D06"/>
    <w:rsid w:val="00F31CFF"/>
    <w:rsid w:val="00F3742B"/>
    <w:rsid w:val="00F41FDB"/>
    <w:rsid w:val="00F50597"/>
    <w:rsid w:val="00F56D63"/>
    <w:rsid w:val="00F609A9"/>
    <w:rsid w:val="00F80C99"/>
    <w:rsid w:val="00F867EC"/>
    <w:rsid w:val="00F91325"/>
    <w:rsid w:val="00F91B2B"/>
    <w:rsid w:val="00FA09E0"/>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FE40"/>
  <w15:docId w15:val="{4BAC530B-1254-4E58-AE18-5305D0D3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B52F3B"/>
    <w:rPr>
      <w:lang w:val="en-GB"/>
    </w:rPr>
  </w:style>
  <w:style w:type="character" w:customStyle="1" w:styleId="HChGChar">
    <w:name w:val="_ H _Ch_G Char"/>
    <w:link w:val="HChG"/>
    <w:locked/>
    <w:rsid w:val="00B52F3B"/>
    <w:rPr>
      <w:b/>
      <w:sz w:val="28"/>
      <w:lang w:val="en-GB"/>
    </w:rPr>
  </w:style>
  <w:style w:type="character" w:customStyle="1" w:styleId="H1GChar">
    <w:name w:val="_ H_1_G Char"/>
    <w:link w:val="H1G"/>
    <w:locked/>
    <w:rsid w:val="00B52F3B"/>
    <w:rPr>
      <w:b/>
      <w:sz w:val="24"/>
      <w:lang w:val="en-GB"/>
    </w:rPr>
  </w:style>
  <w:style w:type="paragraph" w:customStyle="1" w:styleId="para">
    <w:name w:val="para"/>
    <w:basedOn w:val="Normal"/>
    <w:link w:val="paraChar"/>
    <w:qFormat/>
    <w:rsid w:val="00B52F3B"/>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B52F3B"/>
    <w:rPr>
      <w:rFonts w:eastAsia="Yu Mincho"/>
      <w:snapToGrid w:val="0"/>
      <w:lang w:eastAsia="en-US"/>
    </w:rPr>
  </w:style>
  <w:style w:type="paragraph" w:customStyle="1" w:styleId="a">
    <w:name w:val="a)"/>
    <w:basedOn w:val="Normal"/>
    <w:rsid w:val="00B52F3B"/>
    <w:pPr>
      <w:tabs>
        <w:tab w:val="decimal" w:pos="567"/>
      </w:tabs>
      <w:spacing w:after="120"/>
      <w:ind w:left="2835" w:right="1134" w:hanging="567"/>
      <w:jc w:val="both"/>
    </w:pPr>
    <w:rPr>
      <w:rFonts w:eastAsia="SimSun"/>
      <w:lang w:val="fr-CH" w:eastAsia="en-US"/>
    </w:rPr>
  </w:style>
  <w:style w:type="character" w:customStyle="1" w:styleId="ui-provider">
    <w:name w:val="ui-provider"/>
    <w:basedOn w:val="DefaultParagraphFont"/>
    <w:rsid w:val="00B52F3B"/>
  </w:style>
  <w:style w:type="paragraph" w:styleId="Revision">
    <w:name w:val="Revision"/>
    <w:hidden/>
    <w:uiPriority w:val="99"/>
    <w:semiHidden/>
    <w:rsid w:val="006D4B2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C7892-4621-4D45-BA8D-C6F6AEC30A41}">
  <ds:schemaRefs>
    <ds:schemaRef ds:uri="http://schemas.microsoft.com/sharepoint/v3/contenttype/forms"/>
  </ds:schemaRefs>
</ds:datastoreItem>
</file>

<file path=customXml/itemProps2.xml><?xml version="1.0" encoding="utf-8"?>
<ds:datastoreItem xmlns:ds="http://schemas.openxmlformats.org/officeDocument/2006/customXml" ds:itemID="{346989BD-25F0-4EC1-82A3-503C9867BAB7}">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acccb6d4-dbe5-46d2-b4d3-5733603d8cc6"/>
    <ds:schemaRef ds:uri="985ec44e-1bab-4c0b-9df0-6ba128686fc9"/>
    <ds:schemaRef ds:uri="http://purl.org/dc/elements/1.1/"/>
    <ds:schemaRef ds:uri="http://schemas.microsoft.com/office/2006/metadata/properties"/>
    <ds:schemaRef ds:uri="4b4a1c0d-4a69-4996-a84a-fc699b9f49de"/>
    <ds:schemaRef ds:uri="http://www.w3.org/XML/1998/namespace"/>
    <ds:schemaRef ds:uri="http://purl.org/dc/dcmitype/"/>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66277302-2E73-4CA6-B970-7A68F7159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1311</Words>
  <Characters>7475</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ECE/TRANS/WP.29/2023/106</vt:lpstr>
      <vt:lpstr/>
    </vt:vector>
  </TitlesOfParts>
  <Company>CSD</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ECE/TRANS/WP.29/2023/106</dc:title>
  <dc:subject>2316566</dc:subject>
  <dc:creator>Una Giltsoff</dc:creator>
  <cp:keywords/>
  <dc:description/>
  <cp:lastModifiedBy>Josephine Ayiku</cp:lastModifiedBy>
  <cp:revision>2</cp:revision>
  <cp:lastPrinted>2023-09-26T11:14:00Z</cp:lastPrinted>
  <dcterms:created xsi:type="dcterms:W3CDTF">2024-07-29T09:59:00Z</dcterms:created>
  <dcterms:modified xsi:type="dcterms:W3CDTF">2024-07-29T09:59:00Z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