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B529AD" w14:textId="77777777" w:rsidTr="00C97039">
        <w:trPr>
          <w:trHeight w:hRule="exact" w:val="851"/>
        </w:trPr>
        <w:tc>
          <w:tcPr>
            <w:tcW w:w="1276" w:type="dxa"/>
            <w:tcBorders>
              <w:bottom w:val="single" w:sz="4" w:space="0" w:color="auto"/>
            </w:tcBorders>
          </w:tcPr>
          <w:p w14:paraId="78C09811" w14:textId="77777777" w:rsidR="00F35BAF" w:rsidRPr="00DB58B5" w:rsidRDefault="00F35BAF" w:rsidP="00CD5E20"/>
        </w:tc>
        <w:tc>
          <w:tcPr>
            <w:tcW w:w="2268" w:type="dxa"/>
            <w:tcBorders>
              <w:bottom w:val="single" w:sz="4" w:space="0" w:color="auto"/>
            </w:tcBorders>
            <w:vAlign w:val="bottom"/>
          </w:tcPr>
          <w:p w14:paraId="0F96B15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1E6FD6" w14:textId="4D8950A5" w:rsidR="00F35BAF" w:rsidRPr="00DB58B5" w:rsidRDefault="00CD5E20" w:rsidP="00CD5E20">
            <w:pPr>
              <w:jc w:val="right"/>
            </w:pPr>
            <w:r w:rsidRPr="00CD5E20">
              <w:rPr>
                <w:sz w:val="40"/>
              </w:rPr>
              <w:t>ECE</w:t>
            </w:r>
            <w:r>
              <w:t>/TRANS/WP.29/GRBP/2024/19</w:t>
            </w:r>
          </w:p>
        </w:tc>
      </w:tr>
      <w:tr w:rsidR="00F35BAF" w:rsidRPr="00DB58B5" w14:paraId="2D556123" w14:textId="77777777" w:rsidTr="00C97039">
        <w:trPr>
          <w:trHeight w:hRule="exact" w:val="2835"/>
        </w:trPr>
        <w:tc>
          <w:tcPr>
            <w:tcW w:w="1276" w:type="dxa"/>
            <w:tcBorders>
              <w:top w:val="single" w:sz="4" w:space="0" w:color="auto"/>
              <w:bottom w:val="single" w:sz="12" w:space="0" w:color="auto"/>
            </w:tcBorders>
          </w:tcPr>
          <w:p w14:paraId="7E0CAFE1" w14:textId="77777777" w:rsidR="00F35BAF" w:rsidRPr="00DB58B5" w:rsidRDefault="00F35BAF" w:rsidP="00C97039">
            <w:pPr>
              <w:spacing w:before="120"/>
              <w:jc w:val="center"/>
            </w:pPr>
            <w:r>
              <w:rPr>
                <w:noProof/>
                <w:lang w:eastAsia="fr-CH"/>
              </w:rPr>
              <w:drawing>
                <wp:inline distT="0" distB="0" distL="0" distR="0" wp14:anchorId="1E2FEC5A" wp14:editId="2F8B03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C4495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550B01" w14:textId="77777777" w:rsidR="00F35BAF" w:rsidRDefault="00CD5E20" w:rsidP="00C97039">
            <w:pPr>
              <w:spacing w:before="240"/>
            </w:pPr>
            <w:r>
              <w:t>Distr. générale</w:t>
            </w:r>
          </w:p>
          <w:p w14:paraId="06E08503" w14:textId="50BB3E04" w:rsidR="00CD5E20" w:rsidRDefault="00CD5E20" w:rsidP="00CD5E20">
            <w:pPr>
              <w:spacing w:line="240" w:lineRule="exact"/>
            </w:pPr>
            <w:r>
              <w:t>1</w:t>
            </w:r>
            <w:r w:rsidRPr="00CD5E20">
              <w:rPr>
                <w:vertAlign w:val="superscript"/>
              </w:rPr>
              <w:t>er</w:t>
            </w:r>
            <w:r>
              <w:t> juillet 2024</w:t>
            </w:r>
          </w:p>
          <w:p w14:paraId="5400D34F" w14:textId="77777777" w:rsidR="00CD5E20" w:rsidRDefault="00CD5E20" w:rsidP="00CD5E20">
            <w:pPr>
              <w:spacing w:line="240" w:lineRule="exact"/>
            </w:pPr>
            <w:r>
              <w:t>Français</w:t>
            </w:r>
          </w:p>
          <w:p w14:paraId="7AF5302F" w14:textId="6F9B8B23" w:rsidR="00CD5E20" w:rsidRDefault="00CD5E20" w:rsidP="00CD5E20">
            <w:pPr>
              <w:spacing w:line="240" w:lineRule="exact"/>
            </w:pPr>
            <w:r>
              <w:t>Original : anglais et russe</w:t>
            </w:r>
          </w:p>
          <w:p w14:paraId="503F7416" w14:textId="1BA46E9A" w:rsidR="00CD5E20" w:rsidRPr="00DB58B5" w:rsidRDefault="00CD5E20" w:rsidP="00CD5E20">
            <w:pPr>
              <w:spacing w:line="240" w:lineRule="exact"/>
            </w:pPr>
          </w:p>
        </w:tc>
      </w:tr>
    </w:tbl>
    <w:p w14:paraId="3F7C39D5" w14:textId="4E03C5C2" w:rsidR="007F20FA" w:rsidRPr="000312C0" w:rsidRDefault="007F20FA" w:rsidP="007F20FA">
      <w:pPr>
        <w:spacing w:before="120"/>
        <w:rPr>
          <w:b/>
          <w:sz w:val="28"/>
          <w:szCs w:val="28"/>
        </w:rPr>
      </w:pPr>
      <w:r w:rsidRPr="000312C0">
        <w:rPr>
          <w:b/>
          <w:sz w:val="28"/>
          <w:szCs w:val="28"/>
        </w:rPr>
        <w:t>Commission économique pour l</w:t>
      </w:r>
      <w:r w:rsidR="00FB3C8E">
        <w:rPr>
          <w:b/>
          <w:sz w:val="28"/>
          <w:szCs w:val="28"/>
        </w:rPr>
        <w:t>’</w:t>
      </w:r>
      <w:r w:rsidRPr="000312C0">
        <w:rPr>
          <w:b/>
          <w:sz w:val="28"/>
          <w:szCs w:val="28"/>
        </w:rPr>
        <w:t>Europe</w:t>
      </w:r>
    </w:p>
    <w:p w14:paraId="1BC36A1C" w14:textId="77777777" w:rsidR="007F20FA" w:rsidRDefault="007F20FA" w:rsidP="007F20FA">
      <w:pPr>
        <w:spacing w:before="120"/>
        <w:rPr>
          <w:sz w:val="28"/>
          <w:szCs w:val="28"/>
        </w:rPr>
      </w:pPr>
      <w:r w:rsidRPr="00685843">
        <w:rPr>
          <w:sz w:val="28"/>
          <w:szCs w:val="28"/>
        </w:rPr>
        <w:t>Comité des transports intérieurs</w:t>
      </w:r>
    </w:p>
    <w:p w14:paraId="6B321364" w14:textId="372419B4" w:rsidR="00CD5E20" w:rsidRPr="00A35E0C" w:rsidRDefault="00CD5E20" w:rsidP="00CD5E20">
      <w:pPr>
        <w:spacing w:before="120"/>
        <w:rPr>
          <w:sz w:val="24"/>
          <w:szCs w:val="24"/>
        </w:rPr>
      </w:pPr>
      <w:r w:rsidRPr="00C05141">
        <w:rPr>
          <w:b/>
          <w:bCs/>
          <w:sz w:val="24"/>
          <w:szCs w:val="24"/>
          <w:lang w:val="fr-FR"/>
        </w:rPr>
        <w:t xml:space="preserve">Forum mondial de </w:t>
      </w:r>
      <w:r w:rsidRPr="00A35E0C">
        <w:rPr>
          <w:b/>
          <w:bCs/>
          <w:sz w:val="24"/>
          <w:szCs w:val="24"/>
          <w:lang w:val="fr-FR"/>
        </w:rPr>
        <w:t>l</w:t>
      </w:r>
      <w:r w:rsidR="00FB3C8E">
        <w:rPr>
          <w:b/>
          <w:bCs/>
          <w:sz w:val="24"/>
          <w:szCs w:val="24"/>
          <w:lang w:val="fr-FR"/>
        </w:rPr>
        <w:t>’</w:t>
      </w:r>
      <w:r w:rsidRPr="00A35E0C">
        <w:rPr>
          <w:b/>
          <w:bCs/>
          <w:sz w:val="24"/>
          <w:szCs w:val="24"/>
          <w:lang w:val="fr-FR"/>
        </w:rPr>
        <w:t xml:space="preserve">harmonisation des Règlements </w:t>
      </w:r>
      <w:r w:rsidR="00A35E0C" w:rsidRPr="00A35E0C">
        <w:rPr>
          <w:b/>
          <w:bCs/>
          <w:sz w:val="24"/>
          <w:szCs w:val="24"/>
          <w:lang w:val="fr-FR"/>
        </w:rPr>
        <w:br/>
      </w:r>
      <w:r w:rsidRPr="00A35E0C">
        <w:rPr>
          <w:b/>
          <w:bCs/>
          <w:sz w:val="24"/>
          <w:szCs w:val="24"/>
          <w:lang w:val="fr-FR"/>
        </w:rPr>
        <w:t>concernant les véhicules</w:t>
      </w:r>
      <w:r w:rsidRPr="00A35E0C">
        <w:rPr>
          <w:sz w:val="24"/>
          <w:szCs w:val="24"/>
          <w:lang w:val="fr-FR"/>
        </w:rPr>
        <w:t xml:space="preserve"> </w:t>
      </w:r>
    </w:p>
    <w:p w14:paraId="7B1EDB96" w14:textId="77777777" w:rsidR="00CD5E20" w:rsidRPr="00A35E0C" w:rsidRDefault="00CD5E20" w:rsidP="00CD5E20">
      <w:pPr>
        <w:spacing w:before="120" w:after="120"/>
        <w:rPr>
          <w:b/>
          <w:bCs/>
        </w:rPr>
      </w:pPr>
      <w:r w:rsidRPr="00A35E0C">
        <w:rPr>
          <w:b/>
          <w:bCs/>
          <w:lang w:val="fr-FR"/>
        </w:rPr>
        <w:t>Groupe de travail du bruit et des pneumatiques</w:t>
      </w:r>
    </w:p>
    <w:p w14:paraId="69DAF7DC" w14:textId="77777777" w:rsidR="00CD5E20" w:rsidRPr="00A35E0C" w:rsidRDefault="00CD5E20" w:rsidP="00CD5E20">
      <w:pPr>
        <w:rPr>
          <w:b/>
        </w:rPr>
      </w:pPr>
      <w:r w:rsidRPr="00A35E0C">
        <w:rPr>
          <w:b/>
          <w:bCs/>
          <w:lang w:val="fr-FR"/>
        </w:rPr>
        <w:t>Quatre-vingtième session</w:t>
      </w:r>
      <w:r w:rsidRPr="00A35E0C">
        <w:rPr>
          <w:lang w:val="fr-FR"/>
        </w:rPr>
        <w:t xml:space="preserve"> </w:t>
      </w:r>
    </w:p>
    <w:p w14:paraId="1063A232" w14:textId="77777777" w:rsidR="00CD5E20" w:rsidRPr="00A345D9" w:rsidRDefault="00CD5E20" w:rsidP="00CD5E20">
      <w:pPr>
        <w:rPr>
          <w:bCs/>
        </w:rPr>
      </w:pPr>
      <w:r>
        <w:rPr>
          <w:lang w:val="fr-FR"/>
        </w:rPr>
        <w:t>Genève, 17-20 septembre 2024</w:t>
      </w:r>
    </w:p>
    <w:p w14:paraId="59520186" w14:textId="76DAB414" w:rsidR="00CD5E20" w:rsidRPr="00FE243B" w:rsidRDefault="00CD5E20" w:rsidP="00CD5E20">
      <w:pPr>
        <w:rPr>
          <w:bCs/>
        </w:rPr>
      </w:pPr>
      <w:r>
        <w:rPr>
          <w:lang w:val="fr-FR"/>
        </w:rPr>
        <w:t>Point 6 d) de l</w:t>
      </w:r>
      <w:r w:rsidR="00FB3C8E">
        <w:rPr>
          <w:lang w:val="fr-FR"/>
        </w:rPr>
        <w:t>’</w:t>
      </w:r>
      <w:r>
        <w:rPr>
          <w:lang w:val="fr-FR"/>
        </w:rPr>
        <w:t>ordre du jour provisoire</w:t>
      </w:r>
    </w:p>
    <w:p w14:paraId="3A1155B6" w14:textId="43A011D7" w:rsidR="00CD5E20" w:rsidRPr="00904E96" w:rsidRDefault="00CD5E20" w:rsidP="00CD5E20">
      <w:pPr>
        <w:rPr>
          <w:b/>
          <w:bCs/>
        </w:rPr>
      </w:pPr>
      <w:r>
        <w:rPr>
          <w:b/>
          <w:bCs/>
          <w:lang w:val="fr-FR"/>
        </w:rPr>
        <w:t>Pneumatiques</w:t>
      </w:r>
      <w:r w:rsidR="00A35E0C">
        <w:rPr>
          <w:b/>
          <w:bCs/>
          <w:lang w:val="fr-FR"/>
        </w:rPr>
        <w:t> </w:t>
      </w:r>
      <w:r>
        <w:rPr>
          <w:b/>
          <w:bCs/>
          <w:lang w:val="fr-FR"/>
        </w:rPr>
        <w:t>: Règlement ONU n</w:t>
      </w:r>
      <w:r>
        <w:rPr>
          <w:b/>
          <w:bCs/>
          <w:vertAlign w:val="superscript"/>
          <w:lang w:val="fr-FR"/>
        </w:rPr>
        <w:t>o</w:t>
      </w:r>
      <w:r w:rsidR="00A35E0C">
        <w:rPr>
          <w:b/>
          <w:bCs/>
          <w:lang w:val="fr-FR"/>
        </w:rPr>
        <w:t> </w:t>
      </w:r>
      <w:r>
        <w:rPr>
          <w:b/>
          <w:bCs/>
          <w:lang w:val="fr-FR"/>
        </w:rPr>
        <w:t xml:space="preserve">124 </w:t>
      </w:r>
      <w:r w:rsidR="00A35E0C">
        <w:rPr>
          <w:b/>
          <w:bCs/>
          <w:lang w:val="fr-FR"/>
        </w:rPr>
        <w:br/>
      </w:r>
      <w:r>
        <w:rPr>
          <w:b/>
          <w:bCs/>
          <w:lang w:val="fr-FR"/>
        </w:rPr>
        <w:t>(Roues de rechange pour voitures particulières)</w:t>
      </w:r>
    </w:p>
    <w:p w14:paraId="4611ED66" w14:textId="43605707" w:rsidR="00CD5E20" w:rsidRPr="00C05141" w:rsidRDefault="00CD5E20" w:rsidP="00A35E0C">
      <w:pPr>
        <w:pStyle w:val="HChG"/>
        <w:rPr>
          <w:color w:val="000000"/>
        </w:rPr>
      </w:pPr>
      <w:r>
        <w:rPr>
          <w:lang w:val="fr-FR"/>
        </w:rPr>
        <w:tab/>
      </w:r>
      <w:r w:rsidRPr="00C05141">
        <w:rPr>
          <w:lang w:val="fr-FR"/>
        </w:rPr>
        <w:tab/>
        <w:t>Proposition de complément au Règlement ONU n</w:t>
      </w:r>
      <w:r w:rsidRPr="00C05141">
        <w:rPr>
          <w:vertAlign w:val="superscript"/>
          <w:lang w:val="fr-FR"/>
        </w:rPr>
        <w:t>o</w:t>
      </w:r>
      <w:r w:rsidR="00A35E0C">
        <w:rPr>
          <w:lang w:val="fr-FR"/>
        </w:rPr>
        <w:t> </w:t>
      </w:r>
      <w:r w:rsidRPr="00C05141">
        <w:rPr>
          <w:lang w:val="fr-FR"/>
        </w:rPr>
        <w:t>124</w:t>
      </w:r>
      <w:bookmarkStart w:id="0" w:name="_Hlk55583583"/>
    </w:p>
    <w:p w14:paraId="38CD4A6E" w14:textId="603C3430" w:rsidR="00CD5E20" w:rsidRPr="00A35E0C" w:rsidRDefault="00CD5E20" w:rsidP="00A35E0C">
      <w:pPr>
        <w:pStyle w:val="H1G"/>
      </w:pPr>
      <w:r>
        <w:rPr>
          <w:lang w:val="fr-FR"/>
        </w:rPr>
        <w:tab/>
      </w:r>
      <w:r>
        <w:rPr>
          <w:lang w:val="fr-FR"/>
        </w:rPr>
        <w:tab/>
        <w:t>Communication de l</w:t>
      </w:r>
      <w:r w:rsidR="00FB3C8E">
        <w:rPr>
          <w:lang w:val="fr-FR"/>
        </w:rPr>
        <w:t>’</w:t>
      </w:r>
      <w:r>
        <w:rPr>
          <w:lang w:val="fr-FR"/>
        </w:rPr>
        <w:t>expert de la Fédération de Russie</w:t>
      </w:r>
      <w:r w:rsidRPr="00A35E0C">
        <w:rPr>
          <w:b w:val="0"/>
          <w:bCs/>
          <w:sz w:val="20"/>
          <w:szCs w:val="16"/>
          <w:lang w:val="fr-FR"/>
        </w:rPr>
        <w:footnoteReference w:customMarkFollows="1" w:id="2"/>
        <w:t xml:space="preserve">* </w:t>
      </w:r>
    </w:p>
    <w:p w14:paraId="36AD38C6" w14:textId="380939F2" w:rsidR="00A35E0C" w:rsidRDefault="00CD5E20" w:rsidP="00A35E0C">
      <w:pPr>
        <w:pStyle w:val="SingleTxtG"/>
        <w:ind w:firstLine="567"/>
        <w:rPr>
          <w:lang w:val="fr-FR"/>
        </w:rPr>
      </w:pPr>
      <w:r>
        <w:rPr>
          <w:lang w:val="fr-FR"/>
        </w:rPr>
        <w:t>Le texte ci-après, établi par l</w:t>
      </w:r>
      <w:r w:rsidR="00FB3C8E">
        <w:rPr>
          <w:lang w:val="fr-FR"/>
        </w:rPr>
        <w:t>’</w:t>
      </w:r>
      <w:r>
        <w:rPr>
          <w:lang w:val="fr-FR"/>
        </w:rPr>
        <w:t>expert de la Fédération de Russie, vise à préciser certaines dispositions du Règlement ONU n</w:t>
      </w:r>
      <w:r>
        <w:rPr>
          <w:vertAlign w:val="superscript"/>
          <w:lang w:val="fr-FR"/>
        </w:rPr>
        <w:t>o</w:t>
      </w:r>
      <w:r w:rsidRPr="00A35E0C">
        <w:rPr>
          <w:lang w:val="fr-FR"/>
        </w:rPr>
        <w:t> </w:t>
      </w:r>
      <w:r>
        <w:rPr>
          <w:lang w:val="fr-FR"/>
        </w:rPr>
        <w:t>124. Il est fondé sur le document informel GRBP-79-32 et tient compte des observations formulées par les experts du GRBP</w:t>
      </w:r>
      <w:r w:rsidR="00A35E0C">
        <w:rPr>
          <w:lang w:val="fr-FR"/>
        </w:rPr>
        <w:t>.</w:t>
      </w:r>
      <w:r>
        <w:rPr>
          <w:lang w:val="fr-FR"/>
        </w:rPr>
        <w:t xml:space="preserve"> Les modifications qu</w:t>
      </w:r>
      <w:r w:rsidR="00FB3C8E">
        <w:rPr>
          <w:lang w:val="fr-FR"/>
        </w:rPr>
        <w:t>’</w:t>
      </w:r>
      <w:r>
        <w:rPr>
          <w:lang w:val="fr-FR"/>
        </w:rPr>
        <w:t>il est proposé d</w:t>
      </w:r>
      <w:r w:rsidR="00FB3C8E">
        <w:rPr>
          <w:lang w:val="fr-FR"/>
        </w:rPr>
        <w:t>’</w:t>
      </w:r>
      <w:r>
        <w:rPr>
          <w:lang w:val="fr-FR"/>
        </w:rPr>
        <w:t>apporter au texte actuel du Règlement ONU figurent en caractères gras pour les ajouts et biffés pour les suppressions.</w:t>
      </w:r>
      <w:bookmarkEnd w:id="0"/>
    </w:p>
    <w:p w14:paraId="47AB4629" w14:textId="77777777" w:rsidR="00A35E0C" w:rsidRDefault="00A35E0C">
      <w:pPr>
        <w:suppressAutoHyphens w:val="0"/>
        <w:kinsoku/>
        <w:overflowPunct/>
        <w:autoSpaceDE/>
        <w:autoSpaceDN/>
        <w:adjustRightInd/>
        <w:snapToGrid/>
        <w:spacing w:after="200" w:line="276" w:lineRule="auto"/>
        <w:rPr>
          <w:lang w:val="fr-FR"/>
        </w:rPr>
      </w:pPr>
      <w:r>
        <w:rPr>
          <w:lang w:val="fr-FR"/>
        </w:rPr>
        <w:br w:type="page"/>
      </w:r>
    </w:p>
    <w:p w14:paraId="2E67E377" w14:textId="48E22487" w:rsidR="00CD5E20" w:rsidRPr="003A57E5" w:rsidRDefault="00FB3C8E" w:rsidP="00FB3C8E">
      <w:pPr>
        <w:pStyle w:val="HChG"/>
      </w:pPr>
      <w:r>
        <w:rPr>
          <w:lang w:val="fr-FR"/>
        </w:rPr>
        <w:lastRenderedPageBreak/>
        <w:tab/>
      </w:r>
      <w:r w:rsidR="00CD5E20" w:rsidRPr="003A57E5">
        <w:rPr>
          <w:lang w:val="fr-FR"/>
        </w:rPr>
        <w:t>I.</w:t>
      </w:r>
      <w:r w:rsidR="00CD5E20" w:rsidRPr="003A57E5">
        <w:rPr>
          <w:lang w:val="fr-FR"/>
        </w:rPr>
        <w:tab/>
        <w:t>Proposition</w:t>
      </w:r>
    </w:p>
    <w:p w14:paraId="628E1668" w14:textId="64762220" w:rsidR="00CD5E20" w:rsidRPr="0068646F" w:rsidRDefault="00CD5E20" w:rsidP="00FB3C8E">
      <w:pPr>
        <w:pStyle w:val="SingleTxtG"/>
        <w:keepNext/>
      </w:pPr>
      <w:r>
        <w:rPr>
          <w:i/>
          <w:iCs/>
          <w:lang w:val="fr-FR"/>
        </w:rPr>
        <w:t>Annexe 4, tableau</w:t>
      </w:r>
      <w:r w:rsidRPr="00FB3C8E">
        <w:rPr>
          <w:lang w:val="fr-FR"/>
        </w:rPr>
        <w:t xml:space="preserve">, </w:t>
      </w:r>
      <w:r>
        <w:rPr>
          <w:lang w:val="fr-FR"/>
        </w:rPr>
        <w:t>lire (supprimer l</w:t>
      </w:r>
      <w:r w:rsidR="00FB3C8E">
        <w:rPr>
          <w:lang w:val="fr-FR"/>
        </w:rPr>
        <w:t>’</w:t>
      </w:r>
      <w:r>
        <w:rPr>
          <w:lang w:val="fr-FR"/>
        </w:rPr>
        <w:t>essai b pour les roues en alliage d</w:t>
      </w:r>
      <w:r w:rsidR="00FB3C8E">
        <w:rPr>
          <w:lang w:val="fr-FR"/>
        </w:rPr>
        <w:t>’</w:t>
      </w:r>
      <w:r>
        <w:rPr>
          <w:lang w:val="fr-FR"/>
        </w:rPr>
        <w:t>aluminium et en alliage de magnésium) :</w:t>
      </w:r>
    </w:p>
    <w:p w14:paraId="7FFE8D3D" w14:textId="77777777" w:rsidR="00CD5E20" w:rsidRPr="003A57E5" w:rsidRDefault="00CD5E20" w:rsidP="00FB3C8E">
      <w:pPr>
        <w:pStyle w:val="SingleTxtG"/>
      </w:pPr>
      <w:r w:rsidRPr="003A57E5">
        <w:rPr>
          <w:lang w:val="fr-FR"/>
        </w:rPr>
        <w: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1559"/>
      </w:tblGrid>
      <w:tr w:rsidR="00CD5E20" w:rsidRPr="00FB3C8E" w14:paraId="59A2CD46" w14:textId="77777777" w:rsidTr="00FA4553">
        <w:tc>
          <w:tcPr>
            <w:tcW w:w="2530" w:type="dxa"/>
            <w:tcBorders>
              <w:bottom w:val="single" w:sz="12" w:space="0" w:color="000000"/>
            </w:tcBorders>
          </w:tcPr>
          <w:p w14:paraId="637D47DB" w14:textId="06788DD4" w:rsidR="00CD5E20" w:rsidRPr="00FB3C8E" w:rsidRDefault="00CD5E20" w:rsidP="00FB3C8E">
            <w:pPr>
              <w:tabs>
                <w:tab w:val="left" w:pos="1122"/>
              </w:tabs>
              <w:suppressAutoHyphens w:val="0"/>
              <w:spacing w:before="80" w:after="80" w:line="200" w:lineRule="exact"/>
              <w:ind w:left="851" w:hanging="851"/>
              <w:jc w:val="both"/>
              <w:rPr>
                <w:sz w:val="16"/>
                <w:szCs w:val="16"/>
              </w:rPr>
            </w:pPr>
            <w:r w:rsidRPr="00FB3C8E">
              <w:rPr>
                <w:sz w:val="16"/>
                <w:szCs w:val="16"/>
                <w:lang w:val="fr-FR"/>
              </w:rPr>
              <w:t xml:space="preserve">Matériau </w:t>
            </w:r>
          </w:p>
        </w:tc>
        <w:tc>
          <w:tcPr>
            <w:tcW w:w="1559" w:type="dxa"/>
            <w:tcBorders>
              <w:bottom w:val="single" w:sz="12" w:space="0" w:color="000000"/>
            </w:tcBorders>
          </w:tcPr>
          <w:p w14:paraId="583A8F93" w14:textId="77777777" w:rsidR="00CD5E20" w:rsidRPr="00FB3C8E" w:rsidRDefault="00CD5E20" w:rsidP="00FB3C8E">
            <w:pPr>
              <w:tabs>
                <w:tab w:val="left" w:pos="1122"/>
              </w:tabs>
              <w:suppressAutoHyphens w:val="0"/>
              <w:spacing w:before="80" w:after="80" w:line="200" w:lineRule="exact"/>
              <w:ind w:left="851" w:hanging="851"/>
              <w:jc w:val="both"/>
              <w:rPr>
                <w:sz w:val="16"/>
                <w:szCs w:val="16"/>
              </w:rPr>
            </w:pPr>
            <w:r w:rsidRPr="00FB3C8E">
              <w:rPr>
                <w:sz w:val="16"/>
                <w:szCs w:val="16"/>
                <w:lang w:val="fr-FR"/>
              </w:rPr>
              <w:t>Essais</w:t>
            </w:r>
          </w:p>
        </w:tc>
      </w:tr>
      <w:tr w:rsidR="00CD5E20" w:rsidRPr="00EB5538" w14:paraId="708CADF3" w14:textId="77777777" w:rsidTr="00FA4553">
        <w:tc>
          <w:tcPr>
            <w:tcW w:w="2530" w:type="dxa"/>
            <w:tcBorders>
              <w:top w:val="single" w:sz="12" w:space="0" w:color="000000"/>
            </w:tcBorders>
          </w:tcPr>
          <w:p w14:paraId="55A9CC39" w14:textId="04FFE87C" w:rsidR="00CD5E20" w:rsidRPr="00EB5538" w:rsidRDefault="00CD5E20" w:rsidP="00FB3C8E">
            <w:pPr>
              <w:tabs>
                <w:tab w:val="left" w:pos="1122"/>
              </w:tabs>
              <w:suppressAutoHyphens w:val="0"/>
              <w:spacing w:after="120"/>
              <w:ind w:left="851" w:hanging="851"/>
              <w:jc w:val="both"/>
              <w:rPr>
                <w:sz w:val="18"/>
                <w:szCs w:val="18"/>
              </w:rPr>
            </w:pPr>
            <w:r>
              <w:rPr>
                <w:lang w:val="fr-FR"/>
              </w:rPr>
              <w:t>Alliage d</w:t>
            </w:r>
            <w:r w:rsidR="00FB3C8E">
              <w:rPr>
                <w:lang w:val="fr-FR"/>
              </w:rPr>
              <w:t>’</w:t>
            </w:r>
            <w:r>
              <w:rPr>
                <w:lang w:val="fr-FR"/>
              </w:rPr>
              <w:t>aluminium</w:t>
            </w:r>
          </w:p>
        </w:tc>
        <w:tc>
          <w:tcPr>
            <w:tcW w:w="1559" w:type="dxa"/>
            <w:tcBorders>
              <w:top w:val="single" w:sz="12" w:space="0" w:color="000000"/>
            </w:tcBorders>
          </w:tcPr>
          <w:p w14:paraId="6E0C7FB8" w14:textId="77777777" w:rsidR="00CD5E20" w:rsidRPr="00EB5538" w:rsidRDefault="00CD5E20" w:rsidP="00FB3C8E">
            <w:pPr>
              <w:tabs>
                <w:tab w:val="left" w:pos="1122"/>
              </w:tabs>
              <w:suppressAutoHyphens w:val="0"/>
              <w:spacing w:after="120"/>
              <w:ind w:left="851" w:hanging="851"/>
              <w:jc w:val="both"/>
              <w:rPr>
                <w:sz w:val="18"/>
                <w:szCs w:val="18"/>
              </w:rPr>
            </w:pPr>
            <w:r>
              <w:rPr>
                <w:lang w:val="fr-FR"/>
              </w:rPr>
              <w:t xml:space="preserve">a, </w:t>
            </w:r>
            <w:r>
              <w:rPr>
                <w:strike/>
                <w:lang w:val="fr-FR"/>
              </w:rPr>
              <w:t>b,</w:t>
            </w:r>
            <w:r>
              <w:rPr>
                <w:lang w:val="fr-FR"/>
              </w:rPr>
              <w:t xml:space="preserve"> c, e</w:t>
            </w:r>
          </w:p>
        </w:tc>
      </w:tr>
      <w:tr w:rsidR="00CD5E20" w:rsidRPr="00EB5538" w14:paraId="1D219DB3" w14:textId="77777777" w:rsidTr="00FA4553">
        <w:tc>
          <w:tcPr>
            <w:tcW w:w="2530" w:type="dxa"/>
            <w:tcBorders>
              <w:bottom w:val="single" w:sz="4" w:space="0" w:color="auto"/>
            </w:tcBorders>
          </w:tcPr>
          <w:p w14:paraId="5FFA4A12" w14:textId="77777777" w:rsidR="00CD5E20" w:rsidRPr="00EB5538" w:rsidRDefault="00CD5E20" w:rsidP="00FB3C8E">
            <w:pPr>
              <w:tabs>
                <w:tab w:val="left" w:pos="1122"/>
              </w:tabs>
              <w:suppressAutoHyphens w:val="0"/>
              <w:spacing w:after="120"/>
              <w:ind w:left="851" w:hanging="851"/>
              <w:jc w:val="both"/>
              <w:rPr>
                <w:sz w:val="18"/>
                <w:szCs w:val="18"/>
              </w:rPr>
            </w:pPr>
            <w:r>
              <w:rPr>
                <w:lang w:val="fr-FR"/>
              </w:rPr>
              <w:t>Alliage de magnésium</w:t>
            </w:r>
          </w:p>
        </w:tc>
        <w:tc>
          <w:tcPr>
            <w:tcW w:w="1559" w:type="dxa"/>
            <w:tcBorders>
              <w:bottom w:val="single" w:sz="4" w:space="0" w:color="auto"/>
            </w:tcBorders>
          </w:tcPr>
          <w:p w14:paraId="1FF88C0D" w14:textId="77777777" w:rsidR="00CD5E20" w:rsidRPr="00EB5538" w:rsidRDefault="00CD5E20" w:rsidP="00FB3C8E">
            <w:pPr>
              <w:tabs>
                <w:tab w:val="left" w:pos="1122"/>
              </w:tabs>
              <w:suppressAutoHyphens w:val="0"/>
              <w:spacing w:after="120"/>
              <w:ind w:left="851" w:hanging="851"/>
              <w:jc w:val="both"/>
              <w:rPr>
                <w:sz w:val="18"/>
                <w:szCs w:val="18"/>
              </w:rPr>
            </w:pPr>
            <w:r>
              <w:rPr>
                <w:lang w:val="fr-FR"/>
              </w:rPr>
              <w:t xml:space="preserve">a, </w:t>
            </w:r>
            <w:r>
              <w:rPr>
                <w:strike/>
                <w:lang w:val="fr-FR"/>
              </w:rPr>
              <w:t xml:space="preserve">b, </w:t>
            </w:r>
            <w:r>
              <w:rPr>
                <w:lang w:val="fr-FR"/>
              </w:rPr>
              <w:t>c, e</w:t>
            </w:r>
          </w:p>
        </w:tc>
      </w:tr>
      <w:tr w:rsidR="00CD5E20" w:rsidRPr="00EB5538" w14:paraId="03FC9904" w14:textId="77777777" w:rsidTr="00FA4553">
        <w:tc>
          <w:tcPr>
            <w:tcW w:w="2530" w:type="dxa"/>
            <w:tcBorders>
              <w:bottom w:val="single" w:sz="12" w:space="0" w:color="000000"/>
            </w:tcBorders>
          </w:tcPr>
          <w:p w14:paraId="2DABA0BD" w14:textId="77777777" w:rsidR="00CD5E20" w:rsidRPr="00EB5538" w:rsidRDefault="00CD5E20" w:rsidP="00FB3C8E">
            <w:pPr>
              <w:tabs>
                <w:tab w:val="left" w:pos="1122"/>
              </w:tabs>
              <w:suppressAutoHyphens w:val="0"/>
              <w:spacing w:after="120"/>
              <w:ind w:left="851" w:hanging="851"/>
              <w:jc w:val="both"/>
              <w:rPr>
                <w:sz w:val="18"/>
                <w:szCs w:val="18"/>
              </w:rPr>
            </w:pPr>
            <w:r>
              <w:rPr>
                <w:lang w:val="fr-FR"/>
              </w:rPr>
              <w:t>Acier</w:t>
            </w:r>
          </w:p>
        </w:tc>
        <w:tc>
          <w:tcPr>
            <w:tcW w:w="1559" w:type="dxa"/>
            <w:tcBorders>
              <w:bottom w:val="single" w:sz="12" w:space="0" w:color="000000"/>
            </w:tcBorders>
          </w:tcPr>
          <w:p w14:paraId="2C423BCB" w14:textId="77777777" w:rsidR="00CD5E20" w:rsidRPr="00EB5538" w:rsidRDefault="00CD5E20" w:rsidP="00FB3C8E">
            <w:pPr>
              <w:tabs>
                <w:tab w:val="left" w:pos="1122"/>
              </w:tabs>
              <w:suppressAutoHyphens w:val="0"/>
              <w:spacing w:after="120"/>
              <w:ind w:left="851" w:hanging="851"/>
              <w:jc w:val="both"/>
              <w:rPr>
                <w:sz w:val="18"/>
                <w:szCs w:val="18"/>
              </w:rPr>
            </w:pPr>
            <w:r>
              <w:rPr>
                <w:lang w:val="fr-FR"/>
              </w:rPr>
              <w:t>a, b, d</w:t>
            </w:r>
          </w:p>
        </w:tc>
      </w:tr>
    </w:tbl>
    <w:p w14:paraId="0C86DFC2" w14:textId="77777777" w:rsidR="00CD5E20" w:rsidRPr="003A57E5" w:rsidRDefault="00CD5E20" w:rsidP="00FB3C8E">
      <w:pPr>
        <w:pStyle w:val="SingleTxtG"/>
      </w:pPr>
      <w:r w:rsidRPr="003A57E5">
        <w:rPr>
          <w:lang w:val="fr-FR"/>
        </w:rPr>
        <w:t> ».</w:t>
      </w:r>
    </w:p>
    <w:p w14:paraId="7920A7E9" w14:textId="0C46A329" w:rsidR="00CD5E20" w:rsidRPr="0014344E" w:rsidRDefault="00CD5E20" w:rsidP="00FB3C8E">
      <w:pPr>
        <w:pStyle w:val="SingleTxtG"/>
        <w:keepNext/>
        <w:rPr>
          <w:rFonts w:asciiTheme="majorBidi" w:eastAsia="Calibri" w:hAnsiTheme="majorBidi" w:cstheme="majorBidi"/>
          <w:b/>
          <w:i/>
        </w:rPr>
      </w:pPr>
      <w:r>
        <w:rPr>
          <w:i/>
          <w:iCs/>
          <w:lang w:val="fr-FR"/>
        </w:rPr>
        <w:t>Annexe 6, fin du paragraphe 4 (avant l</w:t>
      </w:r>
      <w:r w:rsidR="00FB3C8E">
        <w:rPr>
          <w:i/>
          <w:iCs/>
          <w:lang w:val="fr-FR"/>
        </w:rPr>
        <w:t>’</w:t>
      </w:r>
      <w:r>
        <w:rPr>
          <w:i/>
          <w:iCs/>
          <w:lang w:val="fr-FR"/>
        </w:rPr>
        <w:t>illustration)</w:t>
      </w:r>
      <w:r>
        <w:rPr>
          <w:lang w:val="fr-FR"/>
        </w:rPr>
        <w:t>, ajouter, à la ligne, une nouvelle phrase libellée comme suit</w:t>
      </w:r>
      <w:r w:rsidR="00FB3C8E">
        <w:rPr>
          <w:lang w:val="fr-FR"/>
        </w:rPr>
        <w:t> </w:t>
      </w:r>
      <w:r>
        <w:rPr>
          <w:lang w:val="fr-FR"/>
        </w:rPr>
        <w:t>:</w:t>
      </w:r>
    </w:p>
    <w:p w14:paraId="74D67F5E" w14:textId="21A5BA25" w:rsidR="00CD5E20" w:rsidRPr="003A57E5" w:rsidRDefault="00CD5E20" w:rsidP="00FB3C8E">
      <w:pPr>
        <w:pStyle w:val="SingleTxtG"/>
        <w:rPr>
          <w:i/>
          <w:iCs/>
        </w:rPr>
      </w:pPr>
      <w:r w:rsidRPr="003A57E5">
        <w:rPr>
          <w:lang w:val="fr-FR"/>
        </w:rPr>
        <w:t>«</w:t>
      </w:r>
      <w:r>
        <w:rPr>
          <w:i/>
          <w:iCs/>
          <w:lang w:val="fr-FR"/>
        </w:rPr>
        <w:t> </w:t>
      </w:r>
      <w:r w:rsidRPr="00FB3C8E">
        <w:rPr>
          <w:b/>
          <w:bCs/>
          <w:lang w:val="fr-FR"/>
        </w:rPr>
        <w:t>Pour détecter les fissures techniques, u</w:t>
      </w:r>
      <w:r w:rsidRPr="00FB3C8E">
        <w:rPr>
          <w:b/>
          <w:bCs/>
        </w:rPr>
        <w:t>ne méthode d</w:t>
      </w:r>
      <w:r w:rsidR="00FB3C8E">
        <w:rPr>
          <w:b/>
          <w:bCs/>
        </w:rPr>
        <w:t>’</w:t>
      </w:r>
      <w:r w:rsidRPr="00FB3C8E">
        <w:rPr>
          <w:b/>
          <w:bCs/>
        </w:rPr>
        <w:t>essai appropriée doit être utilisée</w:t>
      </w:r>
      <w:r w:rsidRPr="0014344E">
        <w:t>.</w:t>
      </w:r>
      <w:r w:rsidR="00FB3C8E">
        <w:t> </w:t>
      </w:r>
      <w:r w:rsidRPr="003A57E5">
        <w:rPr>
          <w:lang w:val="fr-FR"/>
        </w:rPr>
        <w:t>».</w:t>
      </w:r>
    </w:p>
    <w:p w14:paraId="4E573200" w14:textId="359A4953" w:rsidR="00CD5E20" w:rsidRPr="00FB3C8E" w:rsidRDefault="00CD5E20" w:rsidP="00FB3C8E">
      <w:pPr>
        <w:pStyle w:val="SingleTxtG"/>
      </w:pPr>
      <w:r w:rsidRPr="00FB3C8E">
        <w:rPr>
          <w:i/>
          <w:iCs/>
          <w:lang w:val="fr-FR"/>
        </w:rPr>
        <w:t>Annexe 8, paragraphe 3, tableau, ligne «</w:t>
      </w:r>
      <w:r w:rsidR="00FB3C8E">
        <w:rPr>
          <w:i/>
          <w:iCs/>
          <w:lang w:val="fr-FR"/>
        </w:rPr>
        <w:t> </w:t>
      </w:r>
      <w:r w:rsidRPr="00FB3C8E">
        <w:rPr>
          <w:i/>
          <w:iCs/>
          <w:lang w:val="fr-FR"/>
        </w:rPr>
        <w:t>Critères d</w:t>
      </w:r>
      <w:r w:rsidR="00FB3C8E">
        <w:rPr>
          <w:i/>
          <w:iCs/>
          <w:lang w:val="fr-FR"/>
        </w:rPr>
        <w:t>’</w:t>
      </w:r>
      <w:r w:rsidRPr="00FB3C8E">
        <w:rPr>
          <w:i/>
          <w:iCs/>
          <w:lang w:val="fr-FR"/>
        </w:rPr>
        <w:t>acceptation</w:t>
      </w:r>
      <w:r w:rsidR="00FB3C8E">
        <w:rPr>
          <w:i/>
          <w:iCs/>
          <w:lang w:val="fr-FR"/>
        </w:rPr>
        <w:t> </w:t>
      </w:r>
      <w:r w:rsidRPr="00FB3C8E">
        <w:rPr>
          <w:i/>
          <w:iCs/>
          <w:lang w:val="fr-FR"/>
        </w:rPr>
        <w:t>»</w:t>
      </w:r>
      <w:r>
        <w:rPr>
          <w:lang w:val="fr-FR"/>
        </w:rPr>
        <w:t xml:space="preserve">, </w:t>
      </w:r>
      <w:r w:rsidRPr="00FB3C8E">
        <w:rPr>
          <w:lang w:val="fr-FR"/>
        </w:rPr>
        <w:t>lire</w:t>
      </w:r>
      <w:r w:rsidR="00FB3C8E" w:rsidRPr="00FB3C8E">
        <w:rPr>
          <w:lang w:val="fr-FR"/>
        </w:rPr>
        <w:t> </w:t>
      </w:r>
      <w:r w:rsidRPr="00FB3C8E">
        <w:rPr>
          <w:lang w:val="fr-FR"/>
        </w:rPr>
        <w:t xml:space="preserve">: </w:t>
      </w:r>
    </w:p>
    <w:p w14:paraId="0225FDC6" w14:textId="77777777" w:rsidR="00CD5E20" w:rsidRPr="003A57E5" w:rsidRDefault="00CD5E20" w:rsidP="00FB3C8E">
      <w:pPr>
        <w:pStyle w:val="SingleTxtG"/>
      </w:pPr>
      <w:r w:rsidRPr="003A57E5">
        <w:rPr>
          <w:lang w:val="fr-FR"/>
        </w:rPr>
        <w:t>« </w:t>
      </w:r>
    </w:p>
    <w:tbl>
      <w:tblPr>
        <w:tblW w:w="0" w:type="auto"/>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5528"/>
      </w:tblGrid>
      <w:tr w:rsidR="00CD5E20" w:rsidRPr="00F755A5" w14:paraId="25D6E9A0" w14:textId="77777777" w:rsidTr="00FA4553">
        <w:tc>
          <w:tcPr>
            <w:tcW w:w="1843" w:type="dxa"/>
          </w:tcPr>
          <w:p w14:paraId="06854B42" w14:textId="258662E2" w:rsidR="00CD5E20" w:rsidRPr="00EB5538" w:rsidRDefault="00CD5E20" w:rsidP="00FB3C8E">
            <w:pPr>
              <w:keepNext/>
              <w:spacing w:after="120"/>
              <w:ind w:left="57" w:right="57"/>
              <w:rPr>
                <w:sz w:val="18"/>
                <w:szCs w:val="18"/>
              </w:rPr>
            </w:pPr>
            <w:r>
              <w:rPr>
                <w:lang w:val="fr-FR"/>
              </w:rPr>
              <w:t>Critères d</w:t>
            </w:r>
            <w:r w:rsidR="00FB3C8E">
              <w:rPr>
                <w:lang w:val="fr-FR"/>
              </w:rPr>
              <w:t>’</w:t>
            </w:r>
            <w:r>
              <w:rPr>
                <w:lang w:val="fr-FR"/>
              </w:rPr>
              <w:t>acceptation</w:t>
            </w:r>
          </w:p>
        </w:tc>
        <w:tc>
          <w:tcPr>
            <w:tcW w:w="5528" w:type="dxa"/>
          </w:tcPr>
          <w:p w14:paraId="42A4CA8B" w14:textId="260B5680" w:rsidR="00CD5E20" w:rsidRPr="00EB5538" w:rsidRDefault="00CD5E20" w:rsidP="00FB3C8E">
            <w:pPr>
              <w:suppressAutoHyphens w:val="0"/>
              <w:spacing w:after="120"/>
              <w:ind w:left="57" w:right="57"/>
              <w:jc w:val="both"/>
              <w:rPr>
                <w:sz w:val="18"/>
                <w:szCs w:val="18"/>
              </w:rPr>
            </w:pPr>
            <w:r w:rsidRPr="00F94DF2">
              <w:rPr>
                <w:lang w:val="fr-FR"/>
              </w:rPr>
              <w:t>L</w:t>
            </w:r>
            <w:r w:rsidR="00FB3C8E">
              <w:rPr>
                <w:lang w:val="fr-FR"/>
              </w:rPr>
              <w:t>’</w:t>
            </w:r>
            <w:r w:rsidRPr="00F94DF2">
              <w:rPr>
                <w:lang w:val="fr-FR"/>
              </w:rPr>
              <w:t>essai est jugé satisfaisant s</w:t>
            </w:r>
            <w:r w:rsidR="00FB3C8E">
              <w:rPr>
                <w:lang w:val="fr-FR"/>
              </w:rPr>
              <w:t>’</w:t>
            </w:r>
            <w:r w:rsidRPr="00F94DF2">
              <w:rPr>
                <w:lang w:val="fr-FR"/>
              </w:rPr>
              <w:t>il n</w:t>
            </w:r>
            <w:r w:rsidR="00FB3C8E">
              <w:rPr>
                <w:lang w:val="fr-FR"/>
              </w:rPr>
              <w:t>’</w:t>
            </w:r>
            <w:r w:rsidRPr="00F94DF2">
              <w:rPr>
                <w:lang w:val="fr-FR"/>
              </w:rPr>
              <w:t>y a aucune fracture visible allant au-delà de la surface de la roue et si la pression de gonflage du pneumatique ne tombe pas à zéro par suite d</w:t>
            </w:r>
            <w:r w:rsidR="00FB3C8E">
              <w:rPr>
                <w:lang w:val="fr-FR"/>
              </w:rPr>
              <w:t>’</w:t>
            </w:r>
            <w:r w:rsidRPr="00F94DF2">
              <w:rPr>
                <w:lang w:val="fr-FR"/>
              </w:rPr>
              <w:t>une dépressurisation</w:t>
            </w:r>
            <w:r>
              <w:rPr>
                <w:b/>
                <w:bCs/>
                <w:lang w:val="fr-FR"/>
              </w:rPr>
              <w:t xml:space="preserve"> causée par une fuite dans la roue</w:t>
            </w:r>
            <w:r w:rsidRPr="00F94DF2">
              <w:rPr>
                <w:lang w:val="fr-FR"/>
              </w:rPr>
              <w:t xml:space="preserve"> dans la minute qui suit l</w:t>
            </w:r>
            <w:r w:rsidR="00FB3C8E">
              <w:rPr>
                <w:lang w:val="fr-FR"/>
              </w:rPr>
              <w:t>’</w:t>
            </w:r>
            <w:r w:rsidRPr="00F94DF2">
              <w:rPr>
                <w:lang w:val="fr-FR"/>
              </w:rPr>
              <w:t>achèvement de l</w:t>
            </w:r>
            <w:r w:rsidR="00FB3C8E">
              <w:rPr>
                <w:lang w:val="fr-FR"/>
              </w:rPr>
              <w:t>’</w:t>
            </w:r>
            <w:r w:rsidRPr="00F94DF2">
              <w:rPr>
                <w:lang w:val="fr-FR"/>
              </w:rPr>
              <w:t>essai.</w:t>
            </w:r>
            <w:r>
              <w:rPr>
                <w:lang w:val="fr-FR"/>
              </w:rPr>
              <w:t xml:space="preserve"> Les fractures et les indentations causées par le contact direct avec la masse soumise à la chute sont acceptables. </w:t>
            </w:r>
          </w:p>
          <w:p w14:paraId="46FAFD5E" w14:textId="390303C6" w:rsidR="00CD5E20" w:rsidRPr="00EB5538" w:rsidRDefault="00CD5E20" w:rsidP="00FB3C8E">
            <w:pPr>
              <w:suppressAutoHyphens w:val="0"/>
              <w:spacing w:after="120"/>
              <w:ind w:left="57" w:right="57"/>
              <w:jc w:val="both"/>
              <w:rPr>
                <w:i/>
                <w:sz w:val="18"/>
                <w:szCs w:val="18"/>
              </w:rPr>
            </w:pPr>
            <w:r>
              <w:rPr>
                <w:lang w:val="fr-FR"/>
              </w:rPr>
              <w:t>Dans le cas où la roue a des jantes amovibles ou d</w:t>
            </w:r>
            <w:r w:rsidR="00FB3C8E">
              <w:rPr>
                <w:lang w:val="fr-FR"/>
              </w:rPr>
              <w:t>’</w:t>
            </w:r>
            <w:r>
              <w:rPr>
                <w:lang w:val="fr-FR"/>
              </w:rPr>
              <w:t>autres éléments qui peuvent être démantelés, si les éléments de fixation filetés qui sont proches des rayons ou des trous de ventilation ne répondent pas aux prescriptions, on considère que la roue n</w:t>
            </w:r>
            <w:r w:rsidR="00FB3C8E">
              <w:rPr>
                <w:lang w:val="fr-FR"/>
              </w:rPr>
              <w:t>’</w:t>
            </w:r>
            <w:r>
              <w:rPr>
                <w:lang w:val="fr-FR"/>
              </w:rPr>
              <w:t>a pas subi l</w:t>
            </w:r>
            <w:r w:rsidR="00FB3C8E">
              <w:rPr>
                <w:lang w:val="fr-FR"/>
              </w:rPr>
              <w:t>’</w:t>
            </w:r>
            <w:r>
              <w:rPr>
                <w:lang w:val="fr-FR"/>
              </w:rPr>
              <w:t xml:space="preserve">essai avec succès. </w:t>
            </w:r>
          </w:p>
        </w:tc>
      </w:tr>
    </w:tbl>
    <w:p w14:paraId="40CD56DF" w14:textId="77777777" w:rsidR="00CD5E20" w:rsidRDefault="00CD5E20" w:rsidP="00FB3C8E">
      <w:pPr>
        <w:pStyle w:val="SingleTxtG"/>
        <w:rPr>
          <w:lang w:val="fr-FR"/>
        </w:rPr>
      </w:pPr>
      <w:r w:rsidRPr="003A57E5">
        <w:rPr>
          <w:lang w:val="fr-FR"/>
        </w:rPr>
        <w:t>».</w:t>
      </w:r>
    </w:p>
    <w:p w14:paraId="208A883F" w14:textId="51BEF9CA" w:rsidR="00CD5E20" w:rsidRDefault="00CD5E20" w:rsidP="00FB3C8E">
      <w:pPr>
        <w:pStyle w:val="SingleTxtG"/>
        <w:rPr>
          <w:b/>
          <w:bCs/>
        </w:rPr>
      </w:pPr>
      <w:r>
        <w:rPr>
          <w:i/>
          <w:iCs/>
          <w:lang w:val="fr-FR"/>
        </w:rPr>
        <w:t>Paragraphe 5</w:t>
      </w:r>
      <w:r>
        <w:rPr>
          <w:lang w:val="fr-FR"/>
        </w:rPr>
        <w:t>, lire</w:t>
      </w:r>
      <w:r w:rsidR="00FB3C8E">
        <w:rPr>
          <w:lang w:val="fr-FR"/>
        </w:rPr>
        <w:t> </w:t>
      </w:r>
      <w:r>
        <w:rPr>
          <w:lang w:val="fr-FR"/>
        </w:rPr>
        <w:t>:</w:t>
      </w:r>
    </w:p>
    <w:p w14:paraId="7D99AD8D" w14:textId="77777777" w:rsidR="00CD5E20" w:rsidRPr="000553D4" w:rsidRDefault="00CD5E20" w:rsidP="00CD5E20">
      <w:pPr>
        <w:pStyle w:val="SingleTxtG"/>
        <w:ind w:left="2268" w:hanging="1134"/>
      </w:pPr>
      <w:r>
        <w:rPr>
          <w:lang w:val="fr-FR"/>
        </w:rPr>
        <w:t>« 5.</w:t>
      </w:r>
      <w:r>
        <w:rPr>
          <w:lang w:val="fr-FR"/>
        </w:rPr>
        <w:tab/>
        <w:t>Critères de défaillance</w:t>
      </w:r>
    </w:p>
    <w:p w14:paraId="0BA4042B" w14:textId="6C251FA9" w:rsidR="00CD5E20" w:rsidRPr="000553D4" w:rsidRDefault="00CD5E20" w:rsidP="00FB3C8E">
      <w:pPr>
        <w:pStyle w:val="SingleTxtG"/>
        <w:keepNext/>
        <w:ind w:left="2268"/>
      </w:pPr>
      <w:r>
        <w:rPr>
          <w:lang w:val="fr-FR"/>
        </w:rPr>
        <w:tab/>
        <w:t>On considère que la roue n</w:t>
      </w:r>
      <w:r w:rsidR="00FB3C8E">
        <w:rPr>
          <w:lang w:val="fr-FR"/>
        </w:rPr>
        <w:t>’</w:t>
      </w:r>
      <w:r>
        <w:rPr>
          <w:lang w:val="fr-FR"/>
        </w:rPr>
        <w:t>a pas subi l</w:t>
      </w:r>
      <w:r w:rsidR="00FB3C8E">
        <w:rPr>
          <w:lang w:val="fr-FR"/>
        </w:rPr>
        <w:t>’</w:t>
      </w:r>
      <w:r>
        <w:rPr>
          <w:lang w:val="fr-FR"/>
        </w:rPr>
        <w:t>essai avec succès si un ou plusieurs des cas suivants se produisent</w:t>
      </w:r>
      <w:r w:rsidR="00FB3C8E">
        <w:rPr>
          <w:lang w:val="fr-FR"/>
        </w:rPr>
        <w:t> </w:t>
      </w:r>
      <w:r>
        <w:rPr>
          <w:lang w:val="fr-FR"/>
        </w:rPr>
        <w:t>:</w:t>
      </w:r>
    </w:p>
    <w:p w14:paraId="2E40A889" w14:textId="77777777" w:rsidR="00CD5E20" w:rsidRPr="000553D4" w:rsidRDefault="00CD5E20" w:rsidP="00CD5E20">
      <w:pPr>
        <w:pStyle w:val="SingleTxtG"/>
        <w:ind w:left="2268"/>
      </w:pPr>
      <w:r>
        <w:rPr>
          <w:lang w:val="fr-FR"/>
        </w:rPr>
        <w:t>a)</w:t>
      </w:r>
      <w:r>
        <w:rPr>
          <w:lang w:val="fr-FR"/>
        </w:rPr>
        <w:tab/>
        <w:t>Une amorce de rupture apparaît dans une zone du voile de la roue ;</w:t>
      </w:r>
    </w:p>
    <w:p w14:paraId="018E4B1E" w14:textId="77777777" w:rsidR="00CD5E20" w:rsidRPr="000553D4" w:rsidRDefault="00CD5E20" w:rsidP="00CD5E20">
      <w:pPr>
        <w:pStyle w:val="SingleTxtG"/>
        <w:ind w:left="2268"/>
      </w:pPr>
      <w:r>
        <w:rPr>
          <w:lang w:val="fr-FR"/>
        </w:rPr>
        <w:t>b)</w:t>
      </w:r>
      <w:r>
        <w:rPr>
          <w:lang w:val="fr-FR"/>
        </w:rPr>
        <w:tab/>
        <w:t>La partie centrale se sépare de la jante ;</w:t>
      </w:r>
    </w:p>
    <w:p w14:paraId="4AE46BFB" w14:textId="1B68D247" w:rsidR="00CD5E20" w:rsidRPr="00FE6544" w:rsidRDefault="00CD5E20" w:rsidP="00CD5E20">
      <w:pPr>
        <w:pStyle w:val="SingleTxtG"/>
        <w:ind w:left="2268"/>
        <w:rPr>
          <w:b/>
          <w:bCs/>
        </w:rPr>
      </w:pPr>
      <w:r>
        <w:rPr>
          <w:lang w:val="fr-FR"/>
        </w:rPr>
        <w:t>c)</w:t>
      </w:r>
      <w:r>
        <w:rPr>
          <w:lang w:val="fr-FR"/>
        </w:rPr>
        <w:tab/>
      </w:r>
      <w:r>
        <w:rPr>
          <w:strike/>
          <w:lang w:val="fr-FR"/>
        </w:rPr>
        <w:t>La pression de gonflage tombe à zéro dans un délai de 1 min.</w:t>
      </w:r>
      <w:r>
        <w:rPr>
          <w:lang w:val="fr-FR"/>
        </w:rPr>
        <w:t xml:space="preserve"> </w:t>
      </w:r>
      <w:r>
        <w:rPr>
          <w:b/>
          <w:bCs/>
          <w:lang w:val="fr-FR"/>
        </w:rPr>
        <w:t>La pression de gonflage tombe à zéro dans la minute qui suit</w:t>
      </w:r>
      <w:r>
        <w:rPr>
          <w:lang w:val="fr-FR"/>
        </w:rPr>
        <w:t xml:space="preserve"> </w:t>
      </w:r>
      <w:r>
        <w:rPr>
          <w:b/>
          <w:bCs/>
          <w:lang w:val="fr-FR"/>
        </w:rPr>
        <w:t>en raison d</w:t>
      </w:r>
      <w:r w:rsidR="00FB3C8E">
        <w:rPr>
          <w:b/>
          <w:bCs/>
          <w:lang w:val="fr-FR"/>
        </w:rPr>
        <w:t>’</w:t>
      </w:r>
      <w:r>
        <w:rPr>
          <w:b/>
          <w:bCs/>
          <w:lang w:val="fr-FR"/>
        </w:rPr>
        <w:t>une déformation de la roue ou d</w:t>
      </w:r>
      <w:r w:rsidR="00FB3C8E">
        <w:rPr>
          <w:b/>
          <w:bCs/>
          <w:lang w:val="fr-FR"/>
        </w:rPr>
        <w:t>’</w:t>
      </w:r>
      <w:r>
        <w:rPr>
          <w:b/>
          <w:bCs/>
          <w:lang w:val="fr-FR"/>
        </w:rPr>
        <w:t>une fuite dans la roue.</w:t>
      </w:r>
      <w:r>
        <w:rPr>
          <w:lang w:val="fr-FR"/>
        </w:rPr>
        <w:t xml:space="preserve"> </w:t>
      </w:r>
    </w:p>
    <w:p w14:paraId="380F4ADC" w14:textId="619D3DDF" w:rsidR="00CD5E20" w:rsidRPr="000553D4" w:rsidRDefault="00CD5E20" w:rsidP="00CD5E20">
      <w:pPr>
        <w:pStyle w:val="SingleTxtG"/>
        <w:ind w:left="2268"/>
      </w:pPr>
      <w:r>
        <w:rPr>
          <w:lang w:val="fr-FR"/>
        </w:rPr>
        <w:t>Une déformation du voile de la roue ou des fractures dans la zone de la jante qui a été frappée par la face d</w:t>
      </w:r>
      <w:r w:rsidR="00FB3C8E">
        <w:rPr>
          <w:lang w:val="fr-FR"/>
        </w:rPr>
        <w:t>’</w:t>
      </w:r>
      <w:r>
        <w:rPr>
          <w:lang w:val="fr-FR"/>
        </w:rPr>
        <w:t>impact du percuteur ne signifient pas que la roue a échoué à l</w:t>
      </w:r>
      <w:r w:rsidR="00FB3C8E">
        <w:rPr>
          <w:lang w:val="fr-FR"/>
        </w:rPr>
        <w:t>’</w:t>
      </w:r>
      <w:r>
        <w:rPr>
          <w:lang w:val="fr-FR"/>
        </w:rPr>
        <w:t>essai.</w:t>
      </w:r>
      <w:r w:rsidR="00FB3C8E">
        <w:rPr>
          <w:lang w:val="fr-FR"/>
        </w:rPr>
        <w:t> </w:t>
      </w:r>
      <w:r>
        <w:rPr>
          <w:lang w:val="fr-FR"/>
        </w:rPr>
        <w:t>».</w:t>
      </w:r>
    </w:p>
    <w:p w14:paraId="3DB7B496" w14:textId="7BD698A9" w:rsidR="00CD5E20" w:rsidRDefault="00CD5E20" w:rsidP="00FB3C8E">
      <w:pPr>
        <w:pStyle w:val="HChG"/>
        <w:rPr>
          <w:lang w:val="fr-FR"/>
        </w:rPr>
      </w:pPr>
      <w:r>
        <w:rPr>
          <w:lang w:val="fr-FR"/>
        </w:rPr>
        <w:tab/>
      </w:r>
      <w:r w:rsidRPr="00F94DF2">
        <w:rPr>
          <w:lang w:val="fr-FR"/>
        </w:rPr>
        <w:t>II.</w:t>
      </w:r>
      <w:r w:rsidRPr="00F94DF2">
        <w:rPr>
          <w:lang w:val="fr-FR"/>
        </w:rPr>
        <w:tab/>
        <w:t xml:space="preserve">Justification </w:t>
      </w:r>
    </w:p>
    <w:p w14:paraId="4B97B017" w14:textId="640E9421" w:rsidR="00CD5E20" w:rsidRPr="00F94DF2" w:rsidRDefault="00CD5E20" w:rsidP="00FB3C8E">
      <w:pPr>
        <w:pStyle w:val="SingleTxtG"/>
        <w:rPr>
          <w:i/>
        </w:rPr>
      </w:pPr>
      <w:r w:rsidRPr="00F94DF2">
        <w:rPr>
          <w:lang w:val="fr-FR"/>
        </w:rPr>
        <w:tab/>
        <w:t>1.</w:t>
      </w:r>
      <w:r w:rsidRPr="00F94DF2">
        <w:rPr>
          <w:lang w:val="fr-FR"/>
        </w:rPr>
        <w:tab/>
        <w:t xml:space="preserve">La présente proposition a été élaborée en réponse aux demandes </w:t>
      </w:r>
      <w:r>
        <w:rPr>
          <w:lang w:val="fr-FR"/>
        </w:rPr>
        <w:t xml:space="preserve">formulées par </w:t>
      </w:r>
      <w:r w:rsidRPr="00F94DF2">
        <w:rPr>
          <w:lang w:val="fr-FR"/>
        </w:rPr>
        <w:t>de</w:t>
      </w:r>
      <w:r>
        <w:rPr>
          <w:lang w:val="fr-FR"/>
        </w:rPr>
        <w:t>s</w:t>
      </w:r>
      <w:r w:rsidRPr="00F94DF2">
        <w:rPr>
          <w:lang w:val="fr-FR"/>
        </w:rPr>
        <w:t xml:space="preserve"> laboratoires nationaux </w:t>
      </w:r>
      <w:r>
        <w:rPr>
          <w:lang w:val="fr-FR"/>
        </w:rPr>
        <w:t>qui effectuent</w:t>
      </w:r>
      <w:r w:rsidRPr="00F94DF2">
        <w:rPr>
          <w:lang w:val="fr-FR"/>
        </w:rPr>
        <w:t xml:space="preserve"> des essais conformément au Règlement ONU n</w:t>
      </w:r>
      <w:r w:rsidRPr="00F94DF2">
        <w:rPr>
          <w:vertAlign w:val="superscript"/>
          <w:lang w:val="fr-FR"/>
        </w:rPr>
        <w:t>o</w:t>
      </w:r>
      <w:r w:rsidR="00FB3C8E">
        <w:rPr>
          <w:lang w:val="fr-FR"/>
        </w:rPr>
        <w:t> </w:t>
      </w:r>
      <w:r w:rsidRPr="00F94DF2">
        <w:rPr>
          <w:lang w:val="fr-FR"/>
        </w:rPr>
        <w:t>124</w:t>
      </w:r>
      <w:r>
        <w:rPr>
          <w:lang w:val="fr-FR"/>
        </w:rPr>
        <w:t xml:space="preserve"> et</w:t>
      </w:r>
      <w:r w:rsidRPr="00F94DF2">
        <w:rPr>
          <w:lang w:val="fr-FR"/>
        </w:rPr>
        <w:t xml:space="preserve"> souhaitaient avoir des précisions sur certaines dispositions dudit Règlement.</w:t>
      </w:r>
    </w:p>
    <w:p w14:paraId="154B34C8" w14:textId="7D848F22" w:rsidR="00CD5E20" w:rsidRPr="00FB3C8E" w:rsidRDefault="00CD5E20" w:rsidP="00FB3C8E">
      <w:pPr>
        <w:pStyle w:val="SingleTxtG"/>
        <w:rPr>
          <w:i/>
          <w:iCs/>
        </w:rPr>
      </w:pPr>
      <w:r w:rsidRPr="00FB3C8E">
        <w:rPr>
          <w:i/>
          <w:iCs/>
          <w:lang w:val="fr-FR"/>
        </w:rPr>
        <w:lastRenderedPageBreak/>
        <w:tab/>
        <w:t>Annexe 4, tableau</w:t>
      </w:r>
    </w:p>
    <w:p w14:paraId="013488A5" w14:textId="549FA7B3" w:rsidR="00CD5E20" w:rsidRPr="00F94DF2" w:rsidRDefault="00CD5E20" w:rsidP="00FB3C8E">
      <w:pPr>
        <w:pStyle w:val="SingleTxtG"/>
        <w:rPr>
          <w:i/>
        </w:rPr>
      </w:pPr>
      <w:r>
        <w:rPr>
          <w:iCs/>
          <w:lang w:val="fr-FR"/>
        </w:rPr>
        <w:tab/>
      </w:r>
      <w:r w:rsidRPr="00F94DF2">
        <w:rPr>
          <w:lang w:val="fr-FR"/>
        </w:rPr>
        <w:t>2.</w:t>
      </w:r>
      <w:r w:rsidRPr="00F94DF2">
        <w:rPr>
          <w:lang w:val="fr-FR"/>
        </w:rPr>
        <w:tab/>
      </w:r>
      <w:bookmarkStart w:id="1" w:name="_Hlk172538441"/>
      <w:r w:rsidR="00FB3C8E">
        <w:rPr>
          <w:lang w:val="fr-FR"/>
        </w:rPr>
        <w:t>L’</w:t>
      </w:r>
      <w:r w:rsidRPr="00F94DF2">
        <w:rPr>
          <w:lang w:val="fr-FR"/>
        </w:rPr>
        <w:t xml:space="preserve">essai b pour les roues en alliage </w:t>
      </w:r>
      <w:r w:rsidR="00FB3C8E">
        <w:rPr>
          <w:lang w:val="fr-FR"/>
        </w:rPr>
        <w:t>d’</w:t>
      </w:r>
      <w:r w:rsidRPr="00F94DF2">
        <w:rPr>
          <w:lang w:val="fr-FR"/>
        </w:rPr>
        <w:t xml:space="preserve">aluminium et en alliage de magnésium a été supprimé, car </w:t>
      </w:r>
      <w:r w:rsidR="00FB3C8E">
        <w:rPr>
          <w:lang w:val="fr-FR"/>
        </w:rPr>
        <w:t>l’</w:t>
      </w:r>
      <w:r w:rsidRPr="00F94DF2">
        <w:rPr>
          <w:lang w:val="fr-FR"/>
        </w:rPr>
        <w:t xml:space="preserve">expérience en matière </w:t>
      </w:r>
      <w:r w:rsidR="00FB3C8E">
        <w:rPr>
          <w:lang w:val="fr-FR"/>
        </w:rPr>
        <w:t>d’</w:t>
      </w:r>
      <w:r w:rsidRPr="00F94DF2">
        <w:rPr>
          <w:lang w:val="fr-FR"/>
        </w:rPr>
        <w:t xml:space="preserve">essais a confirmé que les caractéristiques mécaniques des matériaux bruts ne sont pas comparables à celles des produits finis (roues). Il est proposé de ne pas vérifier les caractéristiques mécaniques du matériau brut comme prescrit à </w:t>
      </w:r>
      <w:r w:rsidR="00FB3C8E">
        <w:rPr>
          <w:lang w:val="fr-FR"/>
        </w:rPr>
        <w:t>l’</w:t>
      </w:r>
      <w:r w:rsidRPr="00F94DF2">
        <w:rPr>
          <w:lang w:val="fr-FR"/>
        </w:rPr>
        <w:t xml:space="preserve">alinéa b) pour les roues en alliage </w:t>
      </w:r>
      <w:r w:rsidR="00FB3C8E">
        <w:rPr>
          <w:lang w:val="fr-FR"/>
        </w:rPr>
        <w:t>d’</w:t>
      </w:r>
      <w:r w:rsidRPr="00F94DF2">
        <w:rPr>
          <w:lang w:val="fr-FR"/>
        </w:rPr>
        <w:t>aluminium et en alliage de magnésium. Il suffit de vérifier les caractéristiques du produit final puisque que le Règlement ONU n</w:t>
      </w:r>
      <w:r w:rsidRPr="00F94DF2">
        <w:rPr>
          <w:vertAlign w:val="superscript"/>
          <w:lang w:val="fr-FR"/>
        </w:rPr>
        <w:t>o</w:t>
      </w:r>
      <w:r w:rsidR="00FB3C8E">
        <w:rPr>
          <w:lang w:val="fr-FR"/>
        </w:rPr>
        <w:t> </w:t>
      </w:r>
      <w:r w:rsidRPr="00F94DF2">
        <w:rPr>
          <w:lang w:val="fr-FR"/>
        </w:rPr>
        <w:t>124 ne vise pas nécessairement les matériaux bruts en alliage léger.</w:t>
      </w:r>
      <w:bookmarkStart w:id="2" w:name="_Hlk150521368"/>
      <w:bookmarkEnd w:id="2"/>
    </w:p>
    <w:bookmarkEnd w:id="1"/>
    <w:p w14:paraId="576AC6F4" w14:textId="3A5F4ABB" w:rsidR="00CD5E20" w:rsidRPr="00FB3C8E" w:rsidRDefault="00CD5E20" w:rsidP="00FB3C8E">
      <w:pPr>
        <w:pStyle w:val="SingleTxtG"/>
        <w:rPr>
          <w:i/>
        </w:rPr>
      </w:pPr>
      <w:r w:rsidRPr="00FB3C8E">
        <w:rPr>
          <w:i/>
          <w:lang w:val="fr-FR"/>
        </w:rPr>
        <w:tab/>
        <w:t>Annexe 6, paragraphe 4</w:t>
      </w:r>
    </w:p>
    <w:p w14:paraId="365F7481" w14:textId="6DAAA4F2" w:rsidR="00CD5E20" w:rsidRPr="00C70EBC" w:rsidRDefault="00CD5E20" w:rsidP="00CD5E20">
      <w:pPr>
        <w:pStyle w:val="SingleTxtG"/>
      </w:pPr>
      <w:r>
        <w:rPr>
          <w:lang w:val="fr-FR"/>
        </w:rPr>
        <w:t>3.</w:t>
      </w:r>
      <w:r>
        <w:rPr>
          <w:lang w:val="fr-FR"/>
        </w:rPr>
        <w:tab/>
        <w:t>Une recommandation est ajoutée concernant la détection des fissures résultant de l</w:t>
      </w:r>
      <w:r w:rsidR="00FB3C8E">
        <w:rPr>
          <w:lang w:val="fr-FR"/>
        </w:rPr>
        <w:t>’</w:t>
      </w:r>
      <w:r>
        <w:rPr>
          <w:lang w:val="fr-FR"/>
        </w:rPr>
        <w:t>essai à l</w:t>
      </w:r>
      <w:r w:rsidR="00FB3C8E">
        <w:rPr>
          <w:lang w:val="fr-FR"/>
        </w:rPr>
        <w:t>’</w:t>
      </w:r>
      <w:r>
        <w:rPr>
          <w:lang w:val="fr-FR"/>
        </w:rPr>
        <w:t>aide d</w:t>
      </w:r>
      <w:r w:rsidR="00FB3C8E">
        <w:rPr>
          <w:lang w:val="fr-FR"/>
        </w:rPr>
        <w:t>’</w:t>
      </w:r>
      <w:r>
        <w:rPr>
          <w:lang w:val="fr-FR"/>
        </w:rPr>
        <w:t>une méthode d</w:t>
      </w:r>
      <w:r w:rsidR="00FB3C8E">
        <w:rPr>
          <w:lang w:val="fr-FR"/>
        </w:rPr>
        <w:t>’</w:t>
      </w:r>
      <w:r>
        <w:rPr>
          <w:lang w:val="fr-FR"/>
        </w:rPr>
        <w:t>essai appropriée. Des peintures pénétrantes permettent par exemple de détecter de petites fissures techniques (de 1 à 5</w:t>
      </w:r>
      <w:r w:rsidR="00FB3C8E">
        <w:rPr>
          <w:lang w:val="fr-FR"/>
        </w:rPr>
        <w:t> </w:t>
      </w:r>
      <w:r>
        <w:rPr>
          <w:lang w:val="fr-FR"/>
        </w:rPr>
        <w:t>mm) qui seraient passées inaperçues lors de l</w:t>
      </w:r>
      <w:r w:rsidR="00FB3C8E">
        <w:rPr>
          <w:lang w:val="fr-FR"/>
        </w:rPr>
        <w:t>’</w:t>
      </w:r>
      <w:r>
        <w:rPr>
          <w:lang w:val="fr-FR"/>
        </w:rPr>
        <w:t xml:space="preserve">inspection visuelle. </w:t>
      </w:r>
    </w:p>
    <w:p w14:paraId="07055375" w14:textId="3BBC6410" w:rsidR="00CD5E20" w:rsidRPr="00FB3C8E" w:rsidRDefault="00CD5E20" w:rsidP="00FB3C8E">
      <w:pPr>
        <w:pStyle w:val="SingleTxtG"/>
        <w:rPr>
          <w:i/>
        </w:rPr>
      </w:pPr>
      <w:r w:rsidRPr="00FB3C8E">
        <w:rPr>
          <w:i/>
          <w:lang w:val="fr-FR"/>
        </w:rPr>
        <w:tab/>
        <w:t xml:space="preserve">Annexe 7, paragraphe 3, tableau et annexe 8, paragraphe 3, tableau et paragraphe 5 </w:t>
      </w:r>
    </w:p>
    <w:p w14:paraId="725F53C4" w14:textId="4B74E317" w:rsidR="00CD5E20" w:rsidRDefault="00CD5E20" w:rsidP="00CD5E20">
      <w:pPr>
        <w:pStyle w:val="SingleTxtG"/>
        <w:rPr>
          <w:lang w:val="fr-FR"/>
        </w:rPr>
      </w:pPr>
      <w:r>
        <w:rPr>
          <w:lang w:val="fr-FR"/>
        </w:rPr>
        <w:t>4.</w:t>
      </w:r>
      <w:r>
        <w:rPr>
          <w:lang w:val="fr-FR"/>
        </w:rPr>
        <w:tab/>
        <w:t>Étant donné que les fuites d</w:t>
      </w:r>
      <w:r w:rsidR="00FB3C8E">
        <w:rPr>
          <w:lang w:val="fr-FR"/>
        </w:rPr>
        <w:t>’</w:t>
      </w:r>
      <w:r>
        <w:rPr>
          <w:lang w:val="fr-FR"/>
        </w:rPr>
        <w:t>air figurent parmi les critères d</w:t>
      </w:r>
      <w:r w:rsidR="00FB3C8E">
        <w:rPr>
          <w:lang w:val="fr-FR"/>
        </w:rPr>
        <w:t>’</w:t>
      </w:r>
      <w:r>
        <w:rPr>
          <w:lang w:val="fr-FR"/>
        </w:rPr>
        <w:t>acceptation des tableaux des annexes</w:t>
      </w:r>
      <w:r w:rsidR="00FB3C8E">
        <w:rPr>
          <w:lang w:val="fr-FR"/>
        </w:rPr>
        <w:t> </w:t>
      </w:r>
      <w:r>
        <w:rPr>
          <w:lang w:val="fr-FR"/>
        </w:rPr>
        <w:t>7 et 8, la proposition vise à préciser que les fuites d</w:t>
      </w:r>
      <w:r w:rsidR="00FB3C8E">
        <w:rPr>
          <w:lang w:val="fr-FR"/>
        </w:rPr>
        <w:t>’</w:t>
      </w:r>
      <w:r>
        <w:rPr>
          <w:lang w:val="fr-FR"/>
        </w:rPr>
        <w:t>air causées par la détérioration du pneumatique pendant l</w:t>
      </w:r>
      <w:r w:rsidR="00FB3C8E">
        <w:rPr>
          <w:lang w:val="fr-FR"/>
        </w:rPr>
        <w:t>’</w:t>
      </w:r>
      <w:r>
        <w:rPr>
          <w:lang w:val="fr-FR"/>
        </w:rPr>
        <w:t>essai ne doivent pas être prises en compte dans le cadre de l</w:t>
      </w:r>
      <w:r w:rsidR="00FB3C8E">
        <w:rPr>
          <w:lang w:val="fr-FR"/>
        </w:rPr>
        <w:t>’</w:t>
      </w:r>
      <w:r>
        <w:rPr>
          <w:lang w:val="fr-FR"/>
        </w:rPr>
        <w:t>évaluation des résultats. La proposition vise à lever toute incertitude quant à l</w:t>
      </w:r>
      <w:r w:rsidR="00FB3C8E">
        <w:rPr>
          <w:lang w:val="fr-FR"/>
        </w:rPr>
        <w:t>’</w:t>
      </w:r>
      <w:r>
        <w:rPr>
          <w:lang w:val="fr-FR"/>
        </w:rPr>
        <w:t>interprétation des résultats. Pour ce faire, il est nécessaire de déterminer la cause de la baisse de pression du pneumatique. S</w:t>
      </w:r>
      <w:r w:rsidR="00FB3C8E">
        <w:rPr>
          <w:lang w:val="fr-FR"/>
        </w:rPr>
        <w:t>’</w:t>
      </w:r>
      <w:r>
        <w:rPr>
          <w:lang w:val="fr-FR"/>
        </w:rPr>
        <w:t>il s</w:t>
      </w:r>
      <w:r w:rsidR="00FB3C8E">
        <w:rPr>
          <w:lang w:val="fr-FR"/>
        </w:rPr>
        <w:t>’</w:t>
      </w:r>
      <w:r>
        <w:rPr>
          <w:lang w:val="fr-FR"/>
        </w:rPr>
        <w:t>agit de la détérioration du pneumatique, cela n</w:t>
      </w:r>
      <w:r w:rsidR="00FB3C8E">
        <w:rPr>
          <w:lang w:val="fr-FR"/>
        </w:rPr>
        <w:t>’</w:t>
      </w:r>
      <w:r>
        <w:rPr>
          <w:lang w:val="fr-FR"/>
        </w:rPr>
        <w:t>a pas d</w:t>
      </w:r>
      <w:r w:rsidR="00FB3C8E">
        <w:rPr>
          <w:lang w:val="fr-FR"/>
        </w:rPr>
        <w:t>’</w:t>
      </w:r>
      <w:r>
        <w:rPr>
          <w:lang w:val="fr-FR"/>
        </w:rPr>
        <w:t>incidence sur l</w:t>
      </w:r>
      <w:r w:rsidR="00FB3C8E">
        <w:rPr>
          <w:lang w:val="fr-FR"/>
        </w:rPr>
        <w:t>’</w:t>
      </w:r>
      <w:r>
        <w:rPr>
          <w:lang w:val="fr-FR"/>
        </w:rPr>
        <w:t>acceptation.</w:t>
      </w:r>
    </w:p>
    <w:p w14:paraId="7707AF76" w14:textId="6816EC58" w:rsidR="00FB3C8E" w:rsidRPr="00FB3C8E" w:rsidRDefault="00FB3C8E" w:rsidP="00FB3C8E">
      <w:pPr>
        <w:pStyle w:val="SingleTxtG"/>
        <w:spacing w:before="240" w:after="0"/>
        <w:jc w:val="center"/>
        <w:rPr>
          <w:u w:val="single"/>
        </w:rPr>
      </w:pPr>
      <w:r>
        <w:rPr>
          <w:u w:val="single"/>
        </w:rPr>
        <w:tab/>
      </w:r>
      <w:r>
        <w:rPr>
          <w:u w:val="single"/>
        </w:rPr>
        <w:tab/>
      </w:r>
      <w:r>
        <w:rPr>
          <w:u w:val="single"/>
        </w:rPr>
        <w:tab/>
      </w:r>
      <w:r>
        <w:rPr>
          <w:u w:val="single"/>
        </w:rPr>
        <w:tab/>
      </w:r>
    </w:p>
    <w:sectPr w:rsidR="00FB3C8E" w:rsidRPr="00FB3C8E" w:rsidSect="00CD5E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DCA67" w14:textId="77777777" w:rsidR="00774057" w:rsidRDefault="00774057" w:rsidP="00F95C08">
      <w:pPr>
        <w:spacing w:line="240" w:lineRule="auto"/>
      </w:pPr>
    </w:p>
  </w:endnote>
  <w:endnote w:type="continuationSeparator" w:id="0">
    <w:p w14:paraId="64D2777E" w14:textId="77777777" w:rsidR="00774057" w:rsidRPr="00AC3823" w:rsidRDefault="00774057" w:rsidP="00AC3823">
      <w:pPr>
        <w:pStyle w:val="Pieddepage"/>
      </w:pPr>
    </w:p>
  </w:endnote>
  <w:endnote w:type="continuationNotice" w:id="1">
    <w:p w14:paraId="04A95B9C" w14:textId="77777777" w:rsidR="00774057" w:rsidRDefault="00774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F2D02" w14:textId="7281417E" w:rsidR="00CD5E20" w:rsidRPr="00CD5E20" w:rsidRDefault="00CD5E20" w:rsidP="00CD5E20">
    <w:pPr>
      <w:pStyle w:val="Pieddepage"/>
      <w:tabs>
        <w:tab w:val="right" w:pos="9638"/>
      </w:tabs>
    </w:pPr>
    <w:r w:rsidRPr="00CD5E20">
      <w:rPr>
        <w:b/>
        <w:sz w:val="18"/>
      </w:rPr>
      <w:fldChar w:fldCharType="begin"/>
    </w:r>
    <w:r w:rsidRPr="00CD5E20">
      <w:rPr>
        <w:b/>
        <w:sz w:val="18"/>
      </w:rPr>
      <w:instrText xml:space="preserve"> PAGE  \* MERGEFORMAT </w:instrText>
    </w:r>
    <w:r w:rsidRPr="00CD5E20">
      <w:rPr>
        <w:b/>
        <w:sz w:val="18"/>
      </w:rPr>
      <w:fldChar w:fldCharType="separate"/>
    </w:r>
    <w:r w:rsidRPr="00CD5E20">
      <w:rPr>
        <w:b/>
        <w:noProof/>
        <w:sz w:val="18"/>
      </w:rPr>
      <w:t>2</w:t>
    </w:r>
    <w:r w:rsidRPr="00CD5E20">
      <w:rPr>
        <w:b/>
        <w:sz w:val="18"/>
      </w:rPr>
      <w:fldChar w:fldCharType="end"/>
    </w:r>
    <w:r>
      <w:rPr>
        <w:b/>
        <w:sz w:val="18"/>
      </w:rPr>
      <w:tab/>
    </w:r>
    <w:r>
      <w:t>GE.24-11951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2ADFF" w14:textId="313440CD" w:rsidR="00CD5E20" w:rsidRPr="00CD5E20" w:rsidRDefault="00CD5E20" w:rsidP="00CD5E20">
    <w:pPr>
      <w:pStyle w:val="Pieddepage"/>
      <w:tabs>
        <w:tab w:val="right" w:pos="9638"/>
      </w:tabs>
      <w:rPr>
        <w:b/>
        <w:sz w:val="18"/>
      </w:rPr>
    </w:pPr>
    <w:r>
      <w:t>GE.24-11951</w:t>
    </w:r>
    <w:r>
      <w:tab/>
    </w:r>
    <w:r w:rsidRPr="00CD5E20">
      <w:rPr>
        <w:b/>
        <w:sz w:val="18"/>
      </w:rPr>
      <w:fldChar w:fldCharType="begin"/>
    </w:r>
    <w:r w:rsidRPr="00CD5E20">
      <w:rPr>
        <w:b/>
        <w:sz w:val="18"/>
      </w:rPr>
      <w:instrText xml:space="preserve"> PAGE  \* MERGEFORMAT </w:instrText>
    </w:r>
    <w:r w:rsidRPr="00CD5E20">
      <w:rPr>
        <w:b/>
        <w:sz w:val="18"/>
      </w:rPr>
      <w:fldChar w:fldCharType="separate"/>
    </w:r>
    <w:r w:rsidRPr="00CD5E20">
      <w:rPr>
        <w:b/>
        <w:noProof/>
        <w:sz w:val="18"/>
      </w:rPr>
      <w:t>3</w:t>
    </w:r>
    <w:r w:rsidRPr="00CD5E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7C133" w14:textId="2F1AA3AE" w:rsidR="007F20FA" w:rsidRPr="00CD5E20" w:rsidRDefault="00CD5E20" w:rsidP="00CD5E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225F52" wp14:editId="0130CA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24-11951  (F)</w:t>
    </w:r>
    <w:r>
      <w:rPr>
        <w:noProof/>
        <w:sz w:val="20"/>
      </w:rPr>
      <w:drawing>
        <wp:anchor distT="0" distB="0" distL="114300" distR="114300" simplePos="0" relativeHeight="251660288" behindDoc="0" locked="0" layoutInCell="1" allowOverlap="1" wp14:anchorId="6FDCAE71" wp14:editId="3D514951">
          <wp:simplePos x="0" y="0"/>
          <wp:positionH relativeFrom="margin">
            <wp:posOffset>5489575</wp:posOffset>
          </wp:positionH>
          <wp:positionV relativeFrom="margin">
            <wp:posOffset>8891905</wp:posOffset>
          </wp:positionV>
          <wp:extent cx="628650" cy="628650"/>
          <wp:effectExtent l="0" t="0" r="0" b="0"/>
          <wp:wrapNone/>
          <wp:docPr id="8416017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220724    220724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309F7" w14:textId="77777777" w:rsidR="00774057" w:rsidRPr="00AC3823" w:rsidRDefault="00774057" w:rsidP="00AC3823">
      <w:pPr>
        <w:pStyle w:val="Pieddepage"/>
        <w:tabs>
          <w:tab w:val="right" w:pos="2155"/>
        </w:tabs>
        <w:spacing w:after="80" w:line="240" w:lineRule="atLeast"/>
        <w:ind w:left="680"/>
        <w:rPr>
          <w:u w:val="single"/>
        </w:rPr>
      </w:pPr>
      <w:r>
        <w:rPr>
          <w:u w:val="single"/>
        </w:rPr>
        <w:tab/>
      </w:r>
    </w:p>
  </w:footnote>
  <w:footnote w:type="continuationSeparator" w:id="0">
    <w:p w14:paraId="7D865888" w14:textId="77777777" w:rsidR="00774057" w:rsidRPr="00AC3823" w:rsidRDefault="00774057" w:rsidP="00AC3823">
      <w:pPr>
        <w:pStyle w:val="Pieddepage"/>
        <w:tabs>
          <w:tab w:val="right" w:pos="2155"/>
        </w:tabs>
        <w:spacing w:after="80" w:line="240" w:lineRule="atLeast"/>
        <w:ind w:left="680"/>
        <w:rPr>
          <w:u w:val="single"/>
        </w:rPr>
      </w:pPr>
      <w:r>
        <w:rPr>
          <w:u w:val="single"/>
        </w:rPr>
        <w:tab/>
      </w:r>
    </w:p>
  </w:footnote>
  <w:footnote w:type="continuationNotice" w:id="1">
    <w:p w14:paraId="50628450" w14:textId="77777777" w:rsidR="00774057" w:rsidRPr="00AC3823" w:rsidRDefault="00774057">
      <w:pPr>
        <w:spacing w:line="240" w:lineRule="auto"/>
        <w:rPr>
          <w:sz w:val="2"/>
          <w:szCs w:val="2"/>
        </w:rPr>
      </w:pPr>
    </w:p>
  </w:footnote>
  <w:footnote w:id="2">
    <w:p w14:paraId="5D3B9B38" w14:textId="77777777" w:rsidR="00CD5E20" w:rsidRDefault="00CD5E20" w:rsidP="00CD5E20">
      <w:pPr>
        <w:pStyle w:val="Notedebasdepage"/>
        <w:rPr>
          <w:lang w:val="fr-FR"/>
        </w:rPr>
      </w:pPr>
      <w:r>
        <w:rPr>
          <w:lang w:val="fr-FR"/>
        </w:rPr>
        <w:tab/>
      </w:r>
      <w:r w:rsidRPr="00A35E0C">
        <w:rPr>
          <w:sz w:val="20"/>
          <w:szCs w:val="22"/>
          <w:lang w:val="fr-FR"/>
        </w:rPr>
        <w:t>*</w:t>
      </w:r>
      <w:r w:rsidRPr="00A35E0C">
        <w:rPr>
          <w:sz w:val="20"/>
          <w:szCs w:val="22"/>
          <w:lang w:val="fr-FR"/>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09FA989D" w14:textId="77777777" w:rsidR="00A35E0C" w:rsidRPr="00EA370C" w:rsidRDefault="00A35E0C" w:rsidP="00CD5E2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92B76" w14:textId="621617F8" w:rsidR="00CD5E20" w:rsidRPr="00CD5E20" w:rsidRDefault="00CD5E20">
    <w:pPr>
      <w:pStyle w:val="En-tte"/>
    </w:pPr>
    <w:fldSimple w:instr=" TITLE  \* MERGEFORMAT ">
      <w:r w:rsidR="00513F07">
        <w:t>ECE/TRANS/WP.29/GRBP/2024/19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683B" w14:textId="65D5B4D6" w:rsidR="00CD5E20" w:rsidRPr="00CD5E20" w:rsidRDefault="00CD5E20" w:rsidP="00CD5E20">
    <w:pPr>
      <w:pStyle w:val="En-tte"/>
      <w:jc w:val="right"/>
    </w:pPr>
    <w:fldSimple w:instr=" TITLE  \* MERGEFORMAT ">
      <w:r w:rsidR="00513F07">
        <w:t>ECE/TRANS/WP.29/GRBP/2024/19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08901871">
    <w:abstractNumId w:val="12"/>
  </w:num>
  <w:num w:numId="2" w16cid:durableId="962538998">
    <w:abstractNumId w:val="11"/>
  </w:num>
  <w:num w:numId="3" w16cid:durableId="617685986">
    <w:abstractNumId w:val="10"/>
  </w:num>
  <w:num w:numId="4" w16cid:durableId="539821386">
    <w:abstractNumId w:val="8"/>
  </w:num>
  <w:num w:numId="5" w16cid:durableId="11732775">
    <w:abstractNumId w:val="3"/>
  </w:num>
  <w:num w:numId="6" w16cid:durableId="931939004">
    <w:abstractNumId w:val="2"/>
  </w:num>
  <w:num w:numId="7" w16cid:durableId="549924236">
    <w:abstractNumId w:val="1"/>
  </w:num>
  <w:num w:numId="8" w16cid:durableId="512573751">
    <w:abstractNumId w:val="0"/>
  </w:num>
  <w:num w:numId="9" w16cid:durableId="1193688965">
    <w:abstractNumId w:val="9"/>
  </w:num>
  <w:num w:numId="10" w16cid:durableId="296297289">
    <w:abstractNumId w:val="7"/>
  </w:num>
  <w:num w:numId="11" w16cid:durableId="1350065522">
    <w:abstractNumId w:val="6"/>
  </w:num>
  <w:num w:numId="12" w16cid:durableId="1919557433">
    <w:abstractNumId w:val="5"/>
  </w:num>
  <w:num w:numId="13" w16cid:durableId="1552182840">
    <w:abstractNumId w:val="4"/>
  </w:num>
  <w:num w:numId="14" w16cid:durableId="520238665">
    <w:abstractNumId w:val="12"/>
  </w:num>
  <w:num w:numId="15" w16cid:durableId="744424234">
    <w:abstractNumId w:val="11"/>
  </w:num>
  <w:num w:numId="16" w16cid:durableId="1244682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57"/>
    <w:rsid w:val="00017F94"/>
    <w:rsid w:val="00023842"/>
    <w:rsid w:val="000334F9"/>
    <w:rsid w:val="00045FEB"/>
    <w:rsid w:val="0007796D"/>
    <w:rsid w:val="000B7790"/>
    <w:rsid w:val="00111F2F"/>
    <w:rsid w:val="0014365E"/>
    <w:rsid w:val="00143C66"/>
    <w:rsid w:val="00176178"/>
    <w:rsid w:val="001F525A"/>
    <w:rsid w:val="00201148"/>
    <w:rsid w:val="00202E27"/>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3F07"/>
    <w:rsid w:val="005505B7"/>
    <w:rsid w:val="00573BE5"/>
    <w:rsid w:val="00586ED3"/>
    <w:rsid w:val="00596AA9"/>
    <w:rsid w:val="0071601D"/>
    <w:rsid w:val="00774057"/>
    <w:rsid w:val="007A62E6"/>
    <w:rsid w:val="007F20FA"/>
    <w:rsid w:val="0080684C"/>
    <w:rsid w:val="00871C75"/>
    <w:rsid w:val="008776DC"/>
    <w:rsid w:val="008D5EF9"/>
    <w:rsid w:val="009446C0"/>
    <w:rsid w:val="009705C8"/>
    <w:rsid w:val="009C1CF4"/>
    <w:rsid w:val="009F6B74"/>
    <w:rsid w:val="00A3029F"/>
    <w:rsid w:val="00A30353"/>
    <w:rsid w:val="00A35E0C"/>
    <w:rsid w:val="00AC3823"/>
    <w:rsid w:val="00AE323C"/>
    <w:rsid w:val="00AF0CB5"/>
    <w:rsid w:val="00B00181"/>
    <w:rsid w:val="00B00B0D"/>
    <w:rsid w:val="00B45F2E"/>
    <w:rsid w:val="00B765F7"/>
    <w:rsid w:val="00B77993"/>
    <w:rsid w:val="00BA0CA9"/>
    <w:rsid w:val="00C02897"/>
    <w:rsid w:val="00C97039"/>
    <w:rsid w:val="00CD5E20"/>
    <w:rsid w:val="00D3439C"/>
    <w:rsid w:val="00D7622E"/>
    <w:rsid w:val="00DB1831"/>
    <w:rsid w:val="00DD3BFD"/>
    <w:rsid w:val="00DF6678"/>
    <w:rsid w:val="00E0299A"/>
    <w:rsid w:val="00E71B0A"/>
    <w:rsid w:val="00E85C74"/>
    <w:rsid w:val="00EA6547"/>
    <w:rsid w:val="00ED7237"/>
    <w:rsid w:val="00EF2E22"/>
    <w:rsid w:val="00F35BAF"/>
    <w:rsid w:val="00F660DF"/>
    <w:rsid w:val="00F94664"/>
    <w:rsid w:val="00F9573C"/>
    <w:rsid w:val="00F95C08"/>
    <w:rsid w:val="00FB3C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54657"/>
  <w15:docId w15:val="{B5F38BED-E84F-4224-9E03-FDA70454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D5E20"/>
    <w:rPr>
      <w:rFonts w:ascii="Times New Roman" w:eastAsiaTheme="minorHAnsi" w:hAnsi="Times New Roman" w:cs="Times New Roman"/>
      <w:sz w:val="20"/>
      <w:szCs w:val="20"/>
      <w:lang w:eastAsia="en-US"/>
    </w:rPr>
  </w:style>
  <w:style w:type="paragraph" w:customStyle="1" w:styleId="SingleTxtGR">
    <w:name w:val="_ Single Txt_GR"/>
    <w:basedOn w:val="Normal"/>
    <w:rsid w:val="00CD5E2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D2076-677E-4CC2-80F9-9A192F5454F5}"/>
</file>

<file path=customXml/itemProps2.xml><?xml version="1.0" encoding="utf-8"?>
<ds:datastoreItem xmlns:ds="http://schemas.openxmlformats.org/officeDocument/2006/customXml" ds:itemID="{9729DFAF-7609-4E7F-93F9-B37B3C7A9476}"/>
</file>

<file path=docProps/app.xml><?xml version="1.0" encoding="utf-8"?>
<Properties xmlns="http://schemas.openxmlformats.org/officeDocument/2006/extended-properties" xmlns:vt="http://schemas.openxmlformats.org/officeDocument/2006/docPropsVTypes">
  <Template>ECE_TRANS.dotm</Template>
  <TotalTime>3</TotalTime>
  <Pages>3</Pages>
  <Words>780</Words>
  <Characters>3990</Characters>
  <Application>Microsoft Office Word</Application>
  <DocSecurity>0</DocSecurity>
  <Lines>100</Lines>
  <Paragraphs>53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ECE/TRANS/WP.29/GRBP/2024/19</dc:title>
  <dc:subject/>
  <dc:creator>Christine CHAUTAGNAT</dc:creator>
  <cp:keywords/>
  <cp:lastModifiedBy>Christine Chautagnat</cp:lastModifiedBy>
  <cp:revision>3</cp:revision>
  <cp:lastPrinted>2024-07-22T09:03:00Z</cp:lastPrinted>
  <dcterms:created xsi:type="dcterms:W3CDTF">2024-07-22T09:03:00Z</dcterms:created>
  <dcterms:modified xsi:type="dcterms:W3CDTF">2024-07-22T09:04:00Z</dcterms:modified>
</cp:coreProperties>
</file>