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C70EBC" w14:paraId="3A5E54EB" w14:textId="77777777" w:rsidTr="000553D4">
        <w:trPr>
          <w:cantSplit/>
          <w:trHeight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41175A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41175A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41175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1EA0F717" w:rsidR="00E03A64" w:rsidRPr="0041175A" w:rsidRDefault="00E03A64" w:rsidP="00A50691">
            <w:pPr>
              <w:jc w:val="right"/>
              <w:rPr>
                <w:lang w:val="en-GB"/>
              </w:rPr>
            </w:pPr>
            <w:r w:rsidRPr="0041175A">
              <w:rPr>
                <w:sz w:val="40"/>
                <w:lang w:val="en-GB"/>
              </w:rPr>
              <w:t>ECE</w:t>
            </w:r>
            <w:r w:rsidRPr="0041175A">
              <w:rPr>
                <w:lang w:val="en-GB"/>
              </w:rPr>
              <w:t>/TRANS/</w:t>
            </w:r>
            <w:r w:rsidR="00787326">
              <w:rPr>
                <w:lang w:val="en-GB"/>
              </w:rPr>
              <w:t>WP.29/</w:t>
            </w:r>
            <w:r w:rsidRPr="0041175A">
              <w:rPr>
                <w:lang w:val="en-GB"/>
              </w:rPr>
              <w:t>GR</w:t>
            </w:r>
            <w:r w:rsidR="00BB1F39">
              <w:rPr>
                <w:lang w:val="en-GB"/>
              </w:rPr>
              <w:t>BP</w:t>
            </w:r>
            <w:r w:rsidRPr="0041175A">
              <w:rPr>
                <w:lang w:val="en-GB"/>
              </w:rPr>
              <w:t>/</w:t>
            </w:r>
            <w:r w:rsidR="00BB1F39" w:rsidRPr="00A345D9">
              <w:rPr>
                <w:lang w:val="en-GB"/>
              </w:rPr>
              <w:t>202</w:t>
            </w:r>
            <w:r w:rsidR="00E74371">
              <w:rPr>
                <w:lang w:val="en-US"/>
              </w:rPr>
              <w:t>4</w:t>
            </w:r>
            <w:r w:rsidRPr="00A345D9">
              <w:rPr>
                <w:lang w:val="en-GB"/>
              </w:rPr>
              <w:t>/</w:t>
            </w:r>
            <w:r w:rsidR="00976327">
              <w:rPr>
                <w:lang w:val="en-GB"/>
              </w:rPr>
              <w:t>19</w:t>
            </w:r>
          </w:p>
        </w:tc>
      </w:tr>
      <w:tr w:rsidR="00E03A64" w:rsidRPr="002355EB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41175A" w:rsidRDefault="004B6484" w:rsidP="0041175A">
            <w:pPr>
              <w:spacing w:before="120"/>
              <w:rPr>
                <w:lang w:val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41175A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41175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41175A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41175A">
              <w:rPr>
                <w:lang w:val="en-GB"/>
              </w:rPr>
              <w:t>Distr.: General</w:t>
            </w:r>
          </w:p>
          <w:p w14:paraId="3136B6FC" w14:textId="5D3C7528" w:rsidR="00A50691" w:rsidRDefault="00F755A5" w:rsidP="0041175A">
            <w:pPr>
              <w:spacing w:line="240" w:lineRule="exact"/>
              <w:rPr>
                <w:lang w:val="en-US"/>
              </w:rPr>
            </w:pPr>
            <w:r w:rsidRPr="00F755A5">
              <w:rPr>
                <w:lang w:val="en-US"/>
              </w:rPr>
              <w:t>1</w:t>
            </w:r>
            <w:r w:rsidR="006F403B" w:rsidRPr="00F755A5">
              <w:rPr>
                <w:lang w:val="en-US"/>
              </w:rPr>
              <w:t xml:space="preserve"> Ju</w:t>
            </w:r>
            <w:r w:rsidRPr="00F755A5">
              <w:rPr>
                <w:lang w:val="en-US"/>
              </w:rPr>
              <w:t>ly</w:t>
            </w:r>
            <w:r w:rsidR="00000DD5">
              <w:rPr>
                <w:lang w:val="en-US"/>
              </w:rPr>
              <w:t xml:space="preserve"> </w:t>
            </w:r>
            <w:r w:rsidR="00A345D9" w:rsidRPr="008038DE">
              <w:rPr>
                <w:lang w:val="en-US"/>
              </w:rPr>
              <w:t>202</w:t>
            </w:r>
            <w:r w:rsidR="006F403B">
              <w:rPr>
                <w:lang w:val="en-US"/>
              </w:rPr>
              <w:t>4</w:t>
            </w:r>
            <w:r w:rsidR="00A345D9" w:rsidRPr="008038DE">
              <w:rPr>
                <w:lang w:val="en-US"/>
              </w:rPr>
              <w:t xml:space="preserve"> </w:t>
            </w:r>
          </w:p>
          <w:p w14:paraId="0EB5BF1C" w14:textId="77777777" w:rsidR="00A345D9" w:rsidRDefault="00A345D9" w:rsidP="0041175A">
            <w:pPr>
              <w:spacing w:line="240" w:lineRule="exact"/>
              <w:rPr>
                <w:lang w:val="en-GB"/>
              </w:rPr>
            </w:pPr>
          </w:p>
          <w:p w14:paraId="04957BD1" w14:textId="2F88E144" w:rsidR="00E03A64" w:rsidRPr="0041175A" w:rsidRDefault="00A50691" w:rsidP="0041175A">
            <w:pPr>
              <w:spacing w:line="240" w:lineRule="exact"/>
              <w:rPr>
                <w:lang w:val="en-GB"/>
              </w:rPr>
            </w:pPr>
            <w:r w:rsidRPr="0041175A">
              <w:rPr>
                <w:lang w:val="en-GB"/>
              </w:rPr>
              <w:t>English</w:t>
            </w:r>
          </w:p>
          <w:p w14:paraId="75BBC628" w14:textId="6A68CAA5" w:rsidR="00E03A64" w:rsidRPr="0041175A" w:rsidRDefault="00E03A64" w:rsidP="00A50691">
            <w:pPr>
              <w:spacing w:line="240" w:lineRule="exact"/>
              <w:rPr>
                <w:lang w:val="en-GB"/>
              </w:rPr>
            </w:pPr>
            <w:r w:rsidRPr="0041175A">
              <w:rPr>
                <w:lang w:val="en-GB"/>
              </w:rPr>
              <w:t xml:space="preserve">Original: </w:t>
            </w:r>
            <w:r w:rsidR="006A3669">
              <w:rPr>
                <w:lang w:val="en-GB"/>
              </w:rPr>
              <w:t xml:space="preserve">English and </w:t>
            </w:r>
            <w:r w:rsidR="00A50691">
              <w:rPr>
                <w:lang w:val="en-GB"/>
              </w:rPr>
              <w:t>Russian</w:t>
            </w:r>
          </w:p>
        </w:tc>
      </w:tr>
    </w:tbl>
    <w:p w14:paraId="0D6E44E9" w14:textId="77777777" w:rsidR="00BB1F39" w:rsidRDefault="00E03A64" w:rsidP="00E03A64">
      <w:pPr>
        <w:spacing w:before="120"/>
        <w:rPr>
          <w:b/>
          <w:bCs/>
          <w:color w:val="000000"/>
          <w:sz w:val="28"/>
          <w:szCs w:val="28"/>
          <w:lang w:val="en-US"/>
        </w:rPr>
      </w:pPr>
      <w:r w:rsidRPr="00E03A64">
        <w:rPr>
          <w:b/>
          <w:sz w:val="28"/>
          <w:szCs w:val="28"/>
          <w:lang w:val="en-GB"/>
        </w:rPr>
        <w:t>Economic</w:t>
      </w:r>
      <w:r w:rsidRPr="00E03A64">
        <w:rPr>
          <w:b/>
          <w:bCs/>
          <w:color w:val="000000"/>
          <w:sz w:val="28"/>
          <w:szCs w:val="28"/>
          <w:lang w:val="en-US"/>
        </w:rPr>
        <w:t xml:space="preserve"> Commission for Europe </w:t>
      </w:r>
    </w:p>
    <w:p w14:paraId="5A565989" w14:textId="77777777" w:rsidR="00BB1F39" w:rsidRDefault="00E03A64" w:rsidP="00E03A64">
      <w:pPr>
        <w:spacing w:before="120"/>
        <w:rPr>
          <w:color w:val="000000"/>
          <w:sz w:val="28"/>
          <w:szCs w:val="28"/>
          <w:lang w:val="en-US"/>
        </w:rPr>
      </w:pPr>
      <w:r w:rsidRPr="00E03A64">
        <w:rPr>
          <w:sz w:val="28"/>
          <w:szCs w:val="28"/>
          <w:lang w:val="en-GB"/>
        </w:rPr>
        <w:t>Inland</w:t>
      </w:r>
      <w:r w:rsidRPr="00E03A64">
        <w:rPr>
          <w:color w:val="000000"/>
          <w:sz w:val="28"/>
          <w:szCs w:val="28"/>
          <w:lang w:val="en-US"/>
        </w:rPr>
        <w:t xml:space="preserve"> Transport Committee </w:t>
      </w:r>
    </w:p>
    <w:p w14:paraId="3DB5D421" w14:textId="77777777" w:rsidR="00E03A64" w:rsidRPr="00E03A64" w:rsidRDefault="00E03A64" w:rsidP="00E03A64">
      <w:pPr>
        <w:spacing w:before="120"/>
        <w:rPr>
          <w:color w:val="FF0000"/>
          <w:sz w:val="22"/>
          <w:szCs w:val="22"/>
          <w:lang w:val="en-US"/>
        </w:rPr>
      </w:pPr>
      <w:r w:rsidRPr="00E03A64">
        <w:rPr>
          <w:b/>
          <w:bCs/>
          <w:color w:val="000000"/>
          <w:sz w:val="24"/>
          <w:szCs w:val="24"/>
          <w:lang w:val="en-US"/>
        </w:rPr>
        <w:t xml:space="preserve">World Forum for Harmonization of Vehicle Regulations </w:t>
      </w:r>
    </w:p>
    <w:p w14:paraId="0397DD65" w14:textId="77777777" w:rsidR="00E03A64" w:rsidRPr="00E03A64" w:rsidRDefault="00E03A64" w:rsidP="00E03A64">
      <w:pPr>
        <w:spacing w:before="120" w:after="120"/>
        <w:rPr>
          <w:b/>
          <w:bCs/>
          <w:lang w:val="en-GB"/>
        </w:rPr>
      </w:pPr>
      <w:r w:rsidRPr="00E03A64">
        <w:rPr>
          <w:b/>
          <w:bCs/>
          <w:lang w:val="en-GB"/>
        </w:rPr>
        <w:t xml:space="preserve">Working Party on </w:t>
      </w:r>
      <w:r w:rsidR="00BB1F39">
        <w:rPr>
          <w:b/>
          <w:bCs/>
          <w:lang w:val="en-GB"/>
        </w:rPr>
        <w:t>Noise and Tyres</w:t>
      </w:r>
    </w:p>
    <w:p w14:paraId="74151247" w14:textId="4495F31A" w:rsidR="00904E96" w:rsidRPr="00A345D9" w:rsidRDefault="006F403B" w:rsidP="00904E96">
      <w:pPr>
        <w:rPr>
          <w:b/>
          <w:lang w:val="en-GB"/>
        </w:rPr>
      </w:pPr>
      <w:r>
        <w:rPr>
          <w:b/>
          <w:lang w:val="en-GB"/>
        </w:rPr>
        <w:t>Eightieth</w:t>
      </w:r>
      <w:r w:rsidR="00904E96" w:rsidRPr="00A345D9">
        <w:rPr>
          <w:b/>
          <w:lang w:val="en-GB"/>
        </w:rPr>
        <w:t xml:space="preserve"> session </w:t>
      </w:r>
    </w:p>
    <w:p w14:paraId="676B1C89" w14:textId="41A2C915" w:rsidR="00904E96" w:rsidRPr="00A345D9" w:rsidRDefault="00904E96" w:rsidP="00904E96">
      <w:pPr>
        <w:rPr>
          <w:bCs/>
          <w:lang w:val="en-GB"/>
        </w:rPr>
      </w:pPr>
      <w:r w:rsidRPr="00A345D9">
        <w:rPr>
          <w:lang w:val="en-GB"/>
        </w:rPr>
        <w:t>Geneva</w:t>
      </w:r>
      <w:r w:rsidRPr="00A345D9">
        <w:rPr>
          <w:bCs/>
          <w:lang w:val="en-GB"/>
        </w:rPr>
        <w:t xml:space="preserve">, </w:t>
      </w:r>
      <w:r w:rsidR="006F403B">
        <w:rPr>
          <w:bCs/>
          <w:lang w:val="en-GB"/>
        </w:rPr>
        <w:t>17-20 September</w:t>
      </w:r>
      <w:r w:rsidRPr="00A345D9">
        <w:rPr>
          <w:bCs/>
          <w:lang w:val="en-GB"/>
        </w:rPr>
        <w:t xml:space="preserve"> 202</w:t>
      </w:r>
      <w:r w:rsidR="00E74371">
        <w:rPr>
          <w:bCs/>
          <w:lang w:val="en-GB"/>
        </w:rPr>
        <w:t>4</w:t>
      </w:r>
    </w:p>
    <w:p w14:paraId="13329F98" w14:textId="304B285A" w:rsidR="00904E96" w:rsidRPr="00FE243B" w:rsidRDefault="00904E96" w:rsidP="00904E96">
      <w:pPr>
        <w:rPr>
          <w:bCs/>
          <w:lang w:val="en-GB"/>
        </w:rPr>
      </w:pPr>
      <w:r w:rsidRPr="00A345D9">
        <w:rPr>
          <w:bCs/>
          <w:lang w:val="en-GB"/>
        </w:rPr>
        <w:t>Item</w:t>
      </w:r>
      <w:r w:rsidR="00F755A5">
        <w:rPr>
          <w:bCs/>
          <w:lang w:val="en-GB"/>
        </w:rPr>
        <w:t xml:space="preserve"> 6 (d) </w:t>
      </w:r>
      <w:r w:rsidRPr="00FE243B">
        <w:rPr>
          <w:bCs/>
          <w:lang w:val="en-GB"/>
        </w:rPr>
        <w:t>of the provisional agenda</w:t>
      </w:r>
    </w:p>
    <w:p w14:paraId="18214C4F" w14:textId="766BF3C6" w:rsidR="00904E96" w:rsidRPr="00904E96" w:rsidRDefault="00904E96" w:rsidP="00904E96">
      <w:pPr>
        <w:rPr>
          <w:b/>
          <w:bCs/>
          <w:lang w:val="en-US"/>
        </w:rPr>
      </w:pPr>
      <w:proofErr w:type="spellStart"/>
      <w:r w:rsidRPr="00904E96">
        <w:rPr>
          <w:b/>
          <w:bCs/>
          <w:lang w:val="en-US"/>
        </w:rPr>
        <w:t>Tyres</w:t>
      </w:r>
      <w:proofErr w:type="spellEnd"/>
      <w:r w:rsidRPr="00904E96">
        <w:rPr>
          <w:b/>
          <w:bCs/>
          <w:lang w:val="en-US"/>
        </w:rPr>
        <w:t xml:space="preserve">: UN Regulation No. </w:t>
      </w:r>
      <w:r w:rsidR="005D42EF">
        <w:rPr>
          <w:b/>
          <w:bCs/>
          <w:lang w:val="en-US"/>
        </w:rPr>
        <w:t>124</w:t>
      </w:r>
      <w:r w:rsidRPr="00904E96">
        <w:rPr>
          <w:b/>
          <w:bCs/>
          <w:lang w:val="en-US"/>
        </w:rPr>
        <w:t xml:space="preserve"> </w:t>
      </w:r>
      <w:r w:rsidR="00723C42" w:rsidRPr="00723C42">
        <w:rPr>
          <w:b/>
          <w:bCs/>
          <w:lang w:val="en-US"/>
        </w:rPr>
        <w:t xml:space="preserve">(Replacement </w:t>
      </w:r>
      <w:r w:rsidR="00F755A5">
        <w:rPr>
          <w:b/>
          <w:bCs/>
          <w:lang w:val="en-US"/>
        </w:rPr>
        <w:t>W</w:t>
      </w:r>
      <w:r w:rsidR="00723C42" w:rsidRPr="00723C42">
        <w:rPr>
          <w:b/>
          <w:bCs/>
          <w:lang w:val="en-US"/>
        </w:rPr>
        <w:t xml:space="preserve">heels for </w:t>
      </w:r>
      <w:r w:rsidR="00F755A5">
        <w:rPr>
          <w:b/>
          <w:bCs/>
          <w:lang w:val="en-US"/>
        </w:rPr>
        <w:t>P</w:t>
      </w:r>
      <w:r w:rsidR="00723C42" w:rsidRPr="00723C42">
        <w:rPr>
          <w:b/>
          <w:bCs/>
          <w:lang w:val="en-US"/>
        </w:rPr>
        <w:t xml:space="preserve">assenger </w:t>
      </w:r>
      <w:r w:rsidR="00F755A5">
        <w:rPr>
          <w:b/>
          <w:bCs/>
          <w:lang w:val="en-US"/>
        </w:rPr>
        <w:t>C</w:t>
      </w:r>
      <w:r w:rsidR="00723C42" w:rsidRPr="00723C42">
        <w:rPr>
          <w:b/>
          <w:bCs/>
          <w:lang w:val="en-US"/>
        </w:rPr>
        <w:t>ars)</w:t>
      </w:r>
    </w:p>
    <w:p w14:paraId="50792E1E" w14:textId="02365AB1" w:rsidR="00904E96" w:rsidRPr="007B4D37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000000"/>
          <w:sz w:val="24"/>
          <w:szCs w:val="24"/>
          <w:lang w:val="en-GB"/>
        </w:rPr>
      </w:pPr>
      <w:r w:rsidRPr="00904E96">
        <w:rPr>
          <w:b/>
          <w:sz w:val="28"/>
          <w:lang w:val="en-US"/>
        </w:rPr>
        <w:tab/>
      </w:r>
      <w:r w:rsidRPr="00904E96">
        <w:rPr>
          <w:b/>
          <w:sz w:val="28"/>
          <w:lang w:val="en-US"/>
        </w:rPr>
        <w:tab/>
      </w:r>
      <w:bookmarkStart w:id="0" w:name="_Hlk55583583"/>
      <w:r w:rsidRPr="00113403">
        <w:rPr>
          <w:b/>
          <w:sz w:val="28"/>
          <w:lang w:val="en-GB"/>
        </w:rPr>
        <w:t xml:space="preserve">Proposal for </w:t>
      </w:r>
      <w:r w:rsidR="004E2D8E">
        <w:rPr>
          <w:b/>
          <w:sz w:val="28"/>
          <w:lang w:val="en-GB"/>
        </w:rPr>
        <w:t xml:space="preserve">a </w:t>
      </w:r>
      <w:r w:rsidR="00C70EBC">
        <w:rPr>
          <w:b/>
          <w:sz w:val="28"/>
          <w:lang w:val="en-GB"/>
        </w:rPr>
        <w:t>S</w:t>
      </w:r>
      <w:r w:rsidR="004E2D8E">
        <w:rPr>
          <w:b/>
          <w:sz w:val="28"/>
          <w:lang w:val="en-GB"/>
        </w:rPr>
        <w:t>upplement</w:t>
      </w:r>
      <w:r w:rsidR="009C2C0A">
        <w:rPr>
          <w:b/>
          <w:sz w:val="28"/>
          <w:lang w:val="en-GB"/>
        </w:rPr>
        <w:t xml:space="preserve"> </w:t>
      </w:r>
      <w:r w:rsidRPr="00113403">
        <w:rPr>
          <w:b/>
          <w:sz w:val="28"/>
          <w:lang w:val="en-GB"/>
        </w:rPr>
        <w:t>to UN Regulation No. 1</w:t>
      </w:r>
      <w:r w:rsidR="008C0A13">
        <w:rPr>
          <w:b/>
          <w:sz w:val="28"/>
          <w:lang w:val="en-GB"/>
        </w:rPr>
        <w:t>2</w:t>
      </w:r>
      <w:r w:rsidRPr="00113403">
        <w:rPr>
          <w:b/>
          <w:sz w:val="28"/>
          <w:lang w:val="en-GB"/>
        </w:rPr>
        <w:t>4</w:t>
      </w:r>
    </w:p>
    <w:p w14:paraId="53EB104F" w14:textId="71300B82" w:rsidR="00904E96" w:rsidRPr="00FE243B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color w:val="0000FF"/>
          <w:sz w:val="24"/>
          <w:lang w:val="en-GB"/>
        </w:rPr>
      </w:pPr>
      <w:r w:rsidRPr="00FE243B">
        <w:rPr>
          <w:b/>
          <w:sz w:val="24"/>
          <w:lang w:val="en-GB"/>
        </w:rPr>
        <w:tab/>
      </w:r>
      <w:r w:rsidRPr="00FE243B">
        <w:rPr>
          <w:b/>
          <w:sz w:val="24"/>
          <w:lang w:val="en-GB"/>
        </w:rPr>
        <w:tab/>
        <w:t xml:space="preserve">Submitted by the </w:t>
      </w:r>
      <w:r w:rsidR="00B54386">
        <w:rPr>
          <w:b/>
          <w:sz w:val="24"/>
          <w:lang w:val="en-GB"/>
        </w:rPr>
        <w:t xml:space="preserve">expert from </w:t>
      </w:r>
      <w:r w:rsidR="00A50691">
        <w:rPr>
          <w:b/>
          <w:sz w:val="24"/>
          <w:lang w:val="en-GB"/>
        </w:rPr>
        <w:t>Russian Federation</w:t>
      </w:r>
      <w:r w:rsidR="00502EA3" w:rsidRPr="005531D9">
        <w:rPr>
          <w:b/>
          <w:lang w:val="en-GB"/>
        </w:rPr>
        <w:footnoteReference w:customMarkFollows="1" w:id="2"/>
        <w:t>*</w:t>
      </w:r>
      <w:r w:rsidRPr="00FE243B">
        <w:rPr>
          <w:b/>
          <w:sz w:val="24"/>
          <w:lang w:val="en-GB"/>
        </w:rPr>
        <w:t xml:space="preserve"> </w:t>
      </w:r>
    </w:p>
    <w:p w14:paraId="4F1AD6B8" w14:textId="15F6F1B3" w:rsidR="00361DAC" w:rsidRPr="00A345D9" w:rsidRDefault="009425C8" w:rsidP="009425C8">
      <w:pPr>
        <w:pStyle w:val="SingleTxtG"/>
        <w:tabs>
          <w:tab w:val="left" w:pos="8505"/>
        </w:tabs>
        <w:spacing w:before="240"/>
        <w:ind w:firstLine="567"/>
        <w:rPr>
          <w:lang w:val="en-US"/>
        </w:rPr>
      </w:pPr>
      <w:r w:rsidRPr="009425C8">
        <w:rPr>
          <w:lang w:val="en-US"/>
        </w:rPr>
        <w:t xml:space="preserve">The text reproduced below </w:t>
      </w:r>
      <w:r w:rsidR="00A625A3">
        <w:rPr>
          <w:lang w:val="en-US"/>
        </w:rPr>
        <w:t xml:space="preserve">was </w:t>
      </w:r>
      <w:r w:rsidRPr="009425C8">
        <w:rPr>
          <w:lang w:val="en-US"/>
        </w:rPr>
        <w:t xml:space="preserve">prepared by the expert from </w:t>
      </w:r>
      <w:r w:rsidR="00A345D9">
        <w:rPr>
          <w:lang w:val="en-US"/>
        </w:rPr>
        <w:t>the Russian Federation</w:t>
      </w:r>
      <w:r w:rsidRPr="009425C8">
        <w:rPr>
          <w:lang w:val="en-US"/>
        </w:rPr>
        <w:t xml:space="preserve"> in order to </w:t>
      </w:r>
      <w:r w:rsidR="00A345D9" w:rsidRPr="00A345D9">
        <w:rPr>
          <w:lang w:val="en-US"/>
        </w:rPr>
        <w:t xml:space="preserve">clarify certain provisions of </w:t>
      </w:r>
      <w:r>
        <w:rPr>
          <w:lang w:val="en-US"/>
        </w:rPr>
        <w:t>U</w:t>
      </w:r>
      <w:r w:rsidRPr="009425C8">
        <w:rPr>
          <w:lang w:val="en-US"/>
        </w:rPr>
        <w:t>N Regulation No. 124</w:t>
      </w:r>
      <w:r w:rsidRPr="00A345D9">
        <w:rPr>
          <w:lang w:val="en-US"/>
        </w:rPr>
        <w:t xml:space="preserve">. </w:t>
      </w:r>
      <w:r w:rsidR="00E74371">
        <w:rPr>
          <w:lang w:val="en-US"/>
        </w:rPr>
        <w:t xml:space="preserve">It </w:t>
      </w:r>
      <w:r w:rsidR="00C54DC3">
        <w:rPr>
          <w:lang w:val="en-US"/>
        </w:rPr>
        <w:t xml:space="preserve">is based </w:t>
      </w:r>
      <w:r w:rsidR="00E74371">
        <w:rPr>
          <w:lang w:val="en-US"/>
        </w:rPr>
        <w:t xml:space="preserve">on </w:t>
      </w:r>
      <w:r w:rsidR="00C54DC3">
        <w:rPr>
          <w:lang w:val="en-US"/>
        </w:rPr>
        <w:t xml:space="preserve">informal </w:t>
      </w:r>
      <w:r w:rsidR="00E74371">
        <w:rPr>
          <w:lang w:val="en-US"/>
        </w:rPr>
        <w:t>document GRB</w:t>
      </w:r>
      <w:r w:rsidR="00384443">
        <w:rPr>
          <w:lang w:val="en-US"/>
        </w:rPr>
        <w:t>P</w:t>
      </w:r>
      <w:r w:rsidR="00E74371">
        <w:rPr>
          <w:lang w:val="en-US"/>
        </w:rPr>
        <w:t>-7</w:t>
      </w:r>
      <w:r w:rsidR="006F403B">
        <w:rPr>
          <w:lang w:val="en-US"/>
        </w:rPr>
        <w:t>9</w:t>
      </w:r>
      <w:r w:rsidR="00E74371">
        <w:rPr>
          <w:lang w:val="en-US"/>
        </w:rPr>
        <w:t>-</w:t>
      </w:r>
      <w:r w:rsidR="006F403B">
        <w:rPr>
          <w:lang w:val="en-US"/>
        </w:rPr>
        <w:t>32</w:t>
      </w:r>
      <w:r w:rsidR="00E74371">
        <w:rPr>
          <w:lang w:val="en-US"/>
        </w:rPr>
        <w:t xml:space="preserve"> </w:t>
      </w:r>
      <w:r w:rsidR="006F403B">
        <w:rPr>
          <w:lang w:val="en-US"/>
        </w:rPr>
        <w:t>and further GRBP experts’ comments</w:t>
      </w:r>
      <w:r w:rsidR="00E74371">
        <w:rPr>
          <w:lang w:val="en-US"/>
        </w:rPr>
        <w:t xml:space="preserve">. </w:t>
      </w:r>
      <w:r w:rsidRPr="00A345D9">
        <w:rPr>
          <w:lang w:val="en-US"/>
        </w:rPr>
        <w:t xml:space="preserve">The modifications to the current text of the </w:t>
      </w:r>
      <w:r w:rsidR="00361DAC" w:rsidRPr="00A345D9">
        <w:rPr>
          <w:lang w:val="en-US"/>
        </w:rPr>
        <w:t xml:space="preserve">UN </w:t>
      </w:r>
      <w:r w:rsidRPr="00A345D9">
        <w:rPr>
          <w:lang w:val="en-US"/>
        </w:rPr>
        <w:t>Regulation are marked</w:t>
      </w:r>
      <w:r w:rsidR="00361DAC" w:rsidRPr="00A345D9">
        <w:rPr>
          <w:lang w:val="en-US"/>
        </w:rPr>
        <w:t xml:space="preserve"> bold for added text and strikethrough for deleted text.</w:t>
      </w:r>
    </w:p>
    <w:bookmarkEnd w:id="0"/>
    <w:p w14:paraId="7F0E57F8" w14:textId="77777777" w:rsidR="00805445" w:rsidRPr="00A345D9" w:rsidRDefault="00805445" w:rsidP="00E03A64">
      <w:pPr>
        <w:rPr>
          <w:bCs/>
          <w:lang w:val="en-US"/>
        </w:rPr>
      </w:pPr>
    </w:p>
    <w:p w14:paraId="6451C1B3" w14:textId="77777777" w:rsidR="00240D36" w:rsidRPr="00E03A64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US"/>
        </w:rPr>
        <w:sectPr w:rsidR="00240D36" w:rsidRPr="00E03A64" w:rsidSect="00D314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F80CC91" w14:textId="77777777" w:rsidR="00A319C7" w:rsidRPr="00AD4644" w:rsidRDefault="00A319C7" w:rsidP="00A319C7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40"/>
          <w:szCs w:val="28"/>
          <w:lang w:val="en-US"/>
        </w:rPr>
      </w:pPr>
      <w:r w:rsidRPr="00031990">
        <w:rPr>
          <w:b/>
          <w:bCs/>
          <w:sz w:val="28"/>
          <w:szCs w:val="28"/>
          <w:lang w:val="en-US"/>
        </w:rPr>
        <w:lastRenderedPageBreak/>
        <w:tab/>
      </w:r>
      <w:r w:rsidRPr="00A319C7">
        <w:rPr>
          <w:b/>
          <w:bCs/>
          <w:sz w:val="28"/>
          <w:szCs w:val="28"/>
          <w:lang w:val="en-US"/>
        </w:rPr>
        <w:t>I.</w:t>
      </w:r>
      <w:r w:rsidRPr="00A319C7">
        <w:rPr>
          <w:b/>
          <w:bCs/>
          <w:sz w:val="28"/>
          <w:szCs w:val="28"/>
          <w:lang w:val="en-US"/>
        </w:rPr>
        <w:tab/>
        <w:t>Proposal</w:t>
      </w:r>
    </w:p>
    <w:p w14:paraId="27C99FF2" w14:textId="77777777" w:rsidR="00EB5538" w:rsidRDefault="009D7A29" w:rsidP="009D7A29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lang w:val="en-US"/>
        </w:rPr>
      </w:pPr>
      <w:r w:rsidRPr="009D7A29">
        <w:rPr>
          <w:i/>
          <w:iCs/>
          <w:lang w:val="en-US"/>
        </w:rPr>
        <w:t xml:space="preserve">Annex 4, </w:t>
      </w:r>
    </w:p>
    <w:p w14:paraId="76D39128" w14:textId="176AC8F2" w:rsidR="009D7A29" w:rsidRPr="0068646F" w:rsidRDefault="009D7A29" w:rsidP="009D7A29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9D7A29">
        <w:rPr>
          <w:i/>
          <w:iCs/>
          <w:lang w:val="en-US"/>
        </w:rPr>
        <w:t xml:space="preserve">Table, </w:t>
      </w:r>
      <w:r w:rsidRPr="009D7A29">
        <w:rPr>
          <w:lang w:val="en-US"/>
        </w:rPr>
        <w:t>amend to read</w:t>
      </w:r>
      <w:r w:rsidRPr="009D7A29">
        <w:rPr>
          <w:i/>
          <w:iCs/>
          <w:lang w:val="en-US"/>
        </w:rPr>
        <w:t xml:space="preserve"> </w:t>
      </w:r>
      <w:r w:rsidRPr="0068646F">
        <w:rPr>
          <w:lang w:val="en-US"/>
        </w:rPr>
        <w:t>(delet</w:t>
      </w:r>
      <w:r w:rsidR="0068646F">
        <w:rPr>
          <w:lang w:val="en-US"/>
        </w:rPr>
        <w:t xml:space="preserve">ion of </w:t>
      </w:r>
      <w:r w:rsidRPr="0068646F">
        <w:rPr>
          <w:lang w:val="en-US"/>
        </w:rPr>
        <w:t>test (b) for the case of aluminum alloy and magnesium alloy wheels):</w:t>
      </w:r>
    </w:p>
    <w:p w14:paraId="449649E7" w14:textId="57AE95EB" w:rsidR="006F403B" w:rsidRPr="009D7A29" w:rsidRDefault="006F403B" w:rsidP="009D7A29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lang w:val="en-US"/>
        </w:rPr>
      </w:pPr>
      <w:r>
        <w:rPr>
          <w:i/>
          <w:iCs/>
          <w:lang w:val="en-US"/>
        </w:rPr>
        <w:t>“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559"/>
      </w:tblGrid>
      <w:tr w:rsidR="009D7A29" w:rsidRPr="00EB5538" w14:paraId="040E8605" w14:textId="77777777" w:rsidTr="00EB5538">
        <w:tc>
          <w:tcPr>
            <w:tcW w:w="2530" w:type="dxa"/>
            <w:tcBorders>
              <w:bottom w:val="single" w:sz="12" w:space="0" w:color="000000"/>
            </w:tcBorders>
          </w:tcPr>
          <w:p w14:paraId="2D74B4E0" w14:textId="77777777" w:rsidR="009D7A29" w:rsidRPr="00EB5538" w:rsidRDefault="009D7A29" w:rsidP="00C34280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EB5538">
              <w:rPr>
                <w:i/>
                <w:iCs/>
                <w:sz w:val="16"/>
                <w:szCs w:val="16"/>
              </w:rPr>
              <w:t>Material</w:t>
            </w:r>
            <w:proofErr w:type="spellEnd"/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14BCD43" w14:textId="77777777" w:rsidR="009D7A29" w:rsidRPr="00EB5538" w:rsidRDefault="009D7A29" w:rsidP="00C34280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i/>
                <w:iCs/>
                <w:sz w:val="16"/>
                <w:szCs w:val="16"/>
              </w:rPr>
            </w:pPr>
            <w:r w:rsidRPr="00EB5538">
              <w:rPr>
                <w:i/>
                <w:iCs/>
                <w:sz w:val="16"/>
                <w:szCs w:val="16"/>
              </w:rPr>
              <w:t>Tests</w:t>
            </w:r>
          </w:p>
        </w:tc>
      </w:tr>
      <w:tr w:rsidR="009D7A29" w:rsidRPr="00EB5538" w14:paraId="1DA1BC02" w14:textId="77777777" w:rsidTr="00EB5538">
        <w:tc>
          <w:tcPr>
            <w:tcW w:w="2530" w:type="dxa"/>
            <w:tcBorders>
              <w:top w:val="single" w:sz="12" w:space="0" w:color="000000"/>
            </w:tcBorders>
          </w:tcPr>
          <w:p w14:paraId="3C3818E7" w14:textId="77777777" w:rsidR="009D7A29" w:rsidRPr="00EB5538" w:rsidRDefault="009D7A29" w:rsidP="00C34280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 xml:space="preserve">Aluminium </w:t>
            </w:r>
            <w:proofErr w:type="spellStart"/>
            <w:r w:rsidRPr="00EB5538">
              <w:rPr>
                <w:sz w:val="18"/>
                <w:szCs w:val="18"/>
              </w:rPr>
              <w:t>alloy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4F201A67" w14:textId="77777777" w:rsidR="009D7A29" w:rsidRPr="00EB5538" w:rsidRDefault="009D7A29" w:rsidP="00C34280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 xml:space="preserve">a, </w:t>
            </w:r>
            <w:r w:rsidRPr="00EB5538">
              <w:rPr>
                <w:strike/>
                <w:sz w:val="18"/>
                <w:szCs w:val="18"/>
              </w:rPr>
              <w:t>b</w:t>
            </w:r>
            <w:r w:rsidRPr="00EB5538">
              <w:rPr>
                <w:sz w:val="18"/>
                <w:szCs w:val="18"/>
              </w:rPr>
              <w:t>, c, e</w:t>
            </w:r>
          </w:p>
        </w:tc>
      </w:tr>
      <w:tr w:rsidR="009D7A29" w:rsidRPr="00EB5538" w14:paraId="550295EA" w14:textId="77777777" w:rsidTr="00EB5538">
        <w:tc>
          <w:tcPr>
            <w:tcW w:w="2530" w:type="dxa"/>
            <w:tcBorders>
              <w:bottom w:val="single" w:sz="4" w:space="0" w:color="auto"/>
            </w:tcBorders>
          </w:tcPr>
          <w:p w14:paraId="60B6635A" w14:textId="77777777" w:rsidR="009D7A29" w:rsidRPr="00EB5538" w:rsidRDefault="009D7A29" w:rsidP="00C34280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proofErr w:type="spellStart"/>
            <w:r w:rsidRPr="00EB5538">
              <w:rPr>
                <w:sz w:val="18"/>
                <w:szCs w:val="18"/>
              </w:rPr>
              <w:t>Magnesium</w:t>
            </w:r>
            <w:proofErr w:type="spellEnd"/>
            <w:r w:rsidRPr="00EB5538">
              <w:rPr>
                <w:sz w:val="18"/>
                <w:szCs w:val="18"/>
              </w:rPr>
              <w:t xml:space="preserve"> </w:t>
            </w:r>
            <w:proofErr w:type="spellStart"/>
            <w:r w:rsidRPr="00EB5538">
              <w:rPr>
                <w:sz w:val="18"/>
                <w:szCs w:val="18"/>
              </w:rPr>
              <w:t>alloy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0E709A" w14:textId="77777777" w:rsidR="009D7A29" w:rsidRPr="00EB5538" w:rsidRDefault="009D7A29" w:rsidP="00C34280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 xml:space="preserve">a, </w:t>
            </w:r>
            <w:r w:rsidRPr="00EB5538">
              <w:rPr>
                <w:strike/>
                <w:sz w:val="18"/>
                <w:szCs w:val="18"/>
              </w:rPr>
              <w:t>b</w:t>
            </w:r>
            <w:r w:rsidRPr="00EB5538">
              <w:rPr>
                <w:sz w:val="18"/>
                <w:szCs w:val="18"/>
              </w:rPr>
              <w:t>, c, e</w:t>
            </w:r>
          </w:p>
        </w:tc>
      </w:tr>
      <w:tr w:rsidR="009D7A29" w:rsidRPr="00EB5538" w14:paraId="28DD733D" w14:textId="77777777" w:rsidTr="00EB5538">
        <w:tc>
          <w:tcPr>
            <w:tcW w:w="2530" w:type="dxa"/>
            <w:tcBorders>
              <w:bottom w:val="single" w:sz="12" w:space="0" w:color="000000"/>
            </w:tcBorders>
          </w:tcPr>
          <w:p w14:paraId="5F3E2745" w14:textId="77777777" w:rsidR="009D7A29" w:rsidRPr="00EB5538" w:rsidRDefault="009D7A29" w:rsidP="00C34280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>Steel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E75662B" w14:textId="77777777" w:rsidR="009D7A29" w:rsidRPr="00EB5538" w:rsidRDefault="009D7A29" w:rsidP="00C34280">
            <w:pPr>
              <w:tabs>
                <w:tab w:val="left" w:pos="1122"/>
              </w:tabs>
              <w:suppressAutoHyphens w:val="0"/>
              <w:spacing w:line="240" w:lineRule="auto"/>
              <w:ind w:left="851" w:hanging="851"/>
              <w:jc w:val="both"/>
              <w:rPr>
                <w:sz w:val="18"/>
                <w:szCs w:val="18"/>
              </w:rPr>
            </w:pPr>
            <w:r w:rsidRPr="00EB5538">
              <w:rPr>
                <w:sz w:val="18"/>
                <w:szCs w:val="18"/>
              </w:rPr>
              <w:t>a, b, d</w:t>
            </w:r>
          </w:p>
        </w:tc>
      </w:tr>
    </w:tbl>
    <w:p w14:paraId="529AA920" w14:textId="6942C1DE" w:rsidR="009D7A29" w:rsidRPr="009D7A29" w:rsidRDefault="006F403B" w:rsidP="009D7A29">
      <w:pPr>
        <w:autoSpaceDE w:val="0"/>
        <w:autoSpaceDN w:val="0"/>
        <w:adjustRightInd w:val="0"/>
        <w:spacing w:line="200" w:lineRule="atLeast"/>
        <w:ind w:left="1134" w:right="1134"/>
        <w:jc w:val="both"/>
        <w:rPr>
          <w:i/>
          <w:iCs/>
          <w:lang w:val="en-US"/>
        </w:rPr>
      </w:pPr>
      <w:r>
        <w:rPr>
          <w:i/>
          <w:iCs/>
          <w:lang w:val="en-US"/>
        </w:rPr>
        <w:t>“</w:t>
      </w:r>
    </w:p>
    <w:p w14:paraId="509DA505" w14:textId="77777777" w:rsidR="00AB0C2B" w:rsidRDefault="006F403B" w:rsidP="006F403B">
      <w:pPr>
        <w:pStyle w:val="SingleTxtGR"/>
        <w:ind w:left="1701" w:hanging="567"/>
        <w:rPr>
          <w:i/>
          <w:iCs/>
          <w:lang w:val="en-US"/>
        </w:rPr>
      </w:pPr>
      <w:r w:rsidRPr="00C70EBC">
        <w:rPr>
          <w:i/>
          <w:iCs/>
          <w:lang w:val="en-US"/>
        </w:rPr>
        <w:t>Annex 6</w:t>
      </w:r>
      <w:r>
        <w:rPr>
          <w:i/>
          <w:iCs/>
          <w:lang w:val="en-US"/>
        </w:rPr>
        <w:t xml:space="preserve">, </w:t>
      </w:r>
    </w:p>
    <w:p w14:paraId="5292813F" w14:textId="3F2D2C24" w:rsidR="006F403B" w:rsidRPr="00C70EBC" w:rsidRDefault="00AB0C2B" w:rsidP="006F403B">
      <w:pPr>
        <w:pStyle w:val="SingleTxtGR"/>
        <w:ind w:left="1701" w:hanging="567"/>
        <w:rPr>
          <w:rFonts w:asciiTheme="majorBidi" w:eastAsia="Calibri" w:hAnsiTheme="majorBidi" w:cstheme="majorBidi"/>
          <w:b/>
          <w:i/>
          <w:lang w:val="en-US"/>
        </w:rPr>
      </w:pPr>
      <w:r>
        <w:rPr>
          <w:i/>
          <w:iCs/>
          <w:lang w:val="en-US"/>
        </w:rPr>
        <w:t>P</w:t>
      </w:r>
      <w:r w:rsidR="006F403B" w:rsidRPr="00C70EBC">
        <w:rPr>
          <w:i/>
          <w:iCs/>
          <w:lang w:val="en-US"/>
        </w:rPr>
        <w:t>aragraph 4,</w:t>
      </w:r>
      <w:r w:rsidR="006F403B">
        <w:rPr>
          <w:i/>
          <w:iCs/>
          <w:lang w:val="en-US"/>
        </w:rPr>
        <w:t xml:space="preserve"> at the end (before the picture),</w:t>
      </w:r>
      <w:r w:rsidR="006F403B" w:rsidRPr="00C70EBC">
        <w:rPr>
          <w:i/>
          <w:iCs/>
          <w:lang w:val="en-US"/>
        </w:rPr>
        <w:t xml:space="preserve"> </w:t>
      </w:r>
      <w:r w:rsidR="006F403B" w:rsidRPr="00145E21">
        <w:rPr>
          <w:lang w:val="en-US"/>
        </w:rPr>
        <w:t xml:space="preserve">add </w:t>
      </w:r>
      <w:r w:rsidR="006F403B">
        <w:rPr>
          <w:lang w:val="en-US"/>
        </w:rPr>
        <w:t>a new indent</w:t>
      </w:r>
      <w:r w:rsidR="006F403B" w:rsidRPr="00C70EBC">
        <w:rPr>
          <w:lang w:val="en-US"/>
        </w:rPr>
        <w:t xml:space="preserve"> to read:</w:t>
      </w:r>
    </w:p>
    <w:p w14:paraId="59751E5C" w14:textId="77777777" w:rsidR="006F403B" w:rsidRPr="00FD4595" w:rsidRDefault="006F403B" w:rsidP="006F403B">
      <w:pPr>
        <w:tabs>
          <w:tab w:val="left" w:pos="1021"/>
        </w:tabs>
        <w:spacing w:after="120"/>
        <w:ind w:left="1134" w:right="1134"/>
        <w:jc w:val="both"/>
        <w:rPr>
          <w:b/>
          <w:bCs/>
          <w:lang w:val="en-US"/>
        </w:rPr>
      </w:pPr>
      <w:r w:rsidRPr="00FD4595">
        <w:rPr>
          <w:b/>
          <w:bCs/>
          <w:lang w:val="en-US"/>
        </w:rPr>
        <w:t xml:space="preserve">“A suitable technical test method to detect </w:t>
      </w:r>
      <w:r>
        <w:rPr>
          <w:b/>
          <w:bCs/>
          <w:lang w:val="en-US"/>
        </w:rPr>
        <w:t>t</w:t>
      </w:r>
      <w:r w:rsidRPr="00FD4595">
        <w:rPr>
          <w:b/>
          <w:bCs/>
          <w:lang w:val="en-US"/>
        </w:rPr>
        <w:t xml:space="preserve">echnical </w:t>
      </w:r>
      <w:r>
        <w:rPr>
          <w:b/>
          <w:bCs/>
          <w:lang w:val="en-US"/>
        </w:rPr>
        <w:t>c</w:t>
      </w:r>
      <w:r w:rsidRPr="00FD4595">
        <w:rPr>
          <w:b/>
          <w:bCs/>
          <w:lang w:val="en-US"/>
        </w:rPr>
        <w:t xml:space="preserve">racks shall be applied.” </w:t>
      </w:r>
    </w:p>
    <w:p w14:paraId="12B96682" w14:textId="77777777" w:rsidR="006F403B" w:rsidRDefault="006F403B" w:rsidP="006F403B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lang w:val="en-US"/>
        </w:rPr>
      </w:pPr>
      <w:r w:rsidRPr="00C70EBC">
        <w:rPr>
          <w:i/>
          <w:iCs/>
          <w:lang w:val="en-US"/>
        </w:rPr>
        <w:t xml:space="preserve">Annex </w:t>
      </w:r>
      <w:r>
        <w:rPr>
          <w:i/>
          <w:iCs/>
          <w:lang w:val="en-US"/>
        </w:rPr>
        <w:t>8</w:t>
      </w:r>
      <w:r w:rsidRPr="00C70EBC">
        <w:rPr>
          <w:i/>
          <w:iCs/>
          <w:lang w:val="en-US"/>
        </w:rPr>
        <w:t xml:space="preserve">, </w:t>
      </w:r>
    </w:p>
    <w:p w14:paraId="6D9E4C23" w14:textId="2C5DBC34" w:rsidR="006F403B" w:rsidRPr="00E6468B" w:rsidRDefault="006F403B" w:rsidP="006F403B">
      <w:pPr>
        <w:autoSpaceDE w:val="0"/>
        <w:autoSpaceDN w:val="0"/>
        <w:adjustRightInd w:val="0"/>
        <w:spacing w:after="120"/>
        <w:ind w:left="1134" w:right="1134"/>
        <w:jc w:val="both"/>
        <w:rPr>
          <w:color w:val="00B050"/>
          <w:lang w:val="en-US"/>
        </w:rPr>
      </w:pPr>
      <w:r>
        <w:rPr>
          <w:i/>
          <w:iCs/>
          <w:lang w:val="en-US"/>
        </w:rPr>
        <w:t>P</w:t>
      </w:r>
      <w:r w:rsidRPr="00C70EBC">
        <w:rPr>
          <w:i/>
          <w:iCs/>
          <w:lang w:val="en-US"/>
        </w:rPr>
        <w:t xml:space="preserve">aragraph 3, </w:t>
      </w:r>
      <w:r>
        <w:rPr>
          <w:i/>
          <w:iCs/>
          <w:lang w:val="en-US"/>
        </w:rPr>
        <w:t xml:space="preserve">table, </w:t>
      </w:r>
      <w:r w:rsidRPr="00BB09FF">
        <w:rPr>
          <w:i/>
          <w:iCs/>
          <w:lang w:val="en-US"/>
        </w:rPr>
        <w:t>row “</w:t>
      </w:r>
      <w:r w:rsidRPr="000553D4">
        <w:rPr>
          <w:i/>
          <w:lang w:val="en-US"/>
        </w:rPr>
        <w:t>Acceptance criteria</w:t>
      </w:r>
      <w:r w:rsidRPr="00BB09FF">
        <w:rPr>
          <w:i/>
          <w:iCs/>
          <w:lang w:val="en-US"/>
        </w:rPr>
        <w:t>”,</w:t>
      </w:r>
      <w:r>
        <w:rPr>
          <w:lang w:val="en-US"/>
        </w:rPr>
        <w:t xml:space="preserve"> </w:t>
      </w:r>
      <w:r w:rsidRPr="00FF16C1">
        <w:rPr>
          <w:lang w:val="en-US"/>
        </w:rPr>
        <w:t xml:space="preserve">amend </w:t>
      </w:r>
      <w:r>
        <w:rPr>
          <w:lang w:val="en-US"/>
        </w:rPr>
        <w:t>to read:</w:t>
      </w:r>
      <w:r w:rsidRPr="009741D6">
        <w:rPr>
          <w:lang w:val="en-US"/>
        </w:rPr>
        <w:t xml:space="preserve"> </w:t>
      </w:r>
    </w:p>
    <w:p w14:paraId="6CDBC7EC" w14:textId="77777777" w:rsidR="006F403B" w:rsidRPr="00EB5538" w:rsidRDefault="006F403B" w:rsidP="006F403B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lang w:val="en-US"/>
        </w:rPr>
      </w:pPr>
      <w:r>
        <w:rPr>
          <w:lang w:val="en-US"/>
        </w:rPr>
        <w:t>“</w:t>
      </w:r>
    </w:p>
    <w:tbl>
      <w:tblPr>
        <w:tblW w:w="0" w:type="auto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5528"/>
      </w:tblGrid>
      <w:tr w:rsidR="006F403B" w:rsidRPr="002355EB" w14:paraId="6F6DE381" w14:textId="77777777" w:rsidTr="00B90686">
        <w:tc>
          <w:tcPr>
            <w:tcW w:w="1843" w:type="dxa"/>
          </w:tcPr>
          <w:p w14:paraId="46918BDD" w14:textId="77777777" w:rsidR="006F403B" w:rsidRPr="00EB5538" w:rsidRDefault="006F403B" w:rsidP="00B90686">
            <w:pPr>
              <w:keepNext/>
              <w:rPr>
                <w:sz w:val="18"/>
                <w:szCs w:val="18"/>
              </w:rPr>
            </w:pPr>
            <w:proofErr w:type="spellStart"/>
            <w:r w:rsidRPr="00EB5538">
              <w:rPr>
                <w:sz w:val="18"/>
                <w:szCs w:val="18"/>
                <w:lang w:val="ru-RU"/>
              </w:rPr>
              <w:t>Acceptance</w:t>
            </w:r>
            <w:proofErr w:type="spellEnd"/>
            <w:r w:rsidRPr="00EB553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38">
              <w:rPr>
                <w:sz w:val="18"/>
                <w:szCs w:val="18"/>
                <w:lang w:val="ru-RU"/>
              </w:rPr>
              <w:t>criteria</w:t>
            </w:r>
            <w:proofErr w:type="spellEnd"/>
          </w:p>
        </w:tc>
        <w:tc>
          <w:tcPr>
            <w:tcW w:w="5528" w:type="dxa"/>
          </w:tcPr>
          <w:p w14:paraId="58AF831D" w14:textId="77777777" w:rsidR="006F403B" w:rsidRPr="00EB5538" w:rsidRDefault="006F403B" w:rsidP="00B90686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  <w:lang w:val="en-US"/>
              </w:rPr>
            </w:pPr>
            <w:r w:rsidRPr="00EB5538">
              <w:rPr>
                <w:sz w:val="18"/>
                <w:szCs w:val="18"/>
                <w:lang w:val="en-US"/>
              </w:rPr>
              <w:t xml:space="preserve">The test shall be considered satisfactory if there is not any visible fracture penetrating through the wheel surface and if there is not total loss of inflation pressure due to </w:t>
            </w:r>
            <w:proofErr w:type="spellStart"/>
            <w:r w:rsidRPr="00EB5538">
              <w:rPr>
                <w:sz w:val="18"/>
                <w:szCs w:val="18"/>
                <w:lang w:val="en-US"/>
              </w:rPr>
              <w:t>tyre</w:t>
            </w:r>
            <w:proofErr w:type="spellEnd"/>
            <w:r w:rsidRPr="00EB5538">
              <w:rPr>
                <w:sz w:val="18"/>
                <w:szCs w:val="18"/>
                <w:lang w:val="en-US"/>
              </w:rPr>
              <w:t xml:space="preserve"> depressurization </w:t>
            </w:r>
            <w:r w:rsidRPr="00FE6544">
              <w:rPr>
                <w:b/>
                <w:bCs/>
                <w:sz w:val="18"/>
                <w:szCs w:val="18"/>
                <w:lang w:val="en-US"/>
              </w:rPr>
              <w:t>through a leak in the wheel</w:t>
            </w:r>
            <w:r w:rsidRPr="00FE6544">
              <w:rPr>
                <w:sz w:val="16"/>
                <w:szCs w:val="16"/>
                <w:lang w:val="en-US"/>
              </w:rPr>
              <w:t xml:space="preserve"> </w:t>
            </w:r>
            <w:r w:rsidRPr="00EB5538">
              <w:rPr>
                <w:sz w:val="18"/>
                <w:szCs w:val="18"/>
                <w:lang w:val="en-US"/>
              </w:rPr>
              <w:t xml:space="preserve">within one minute of completing the test. Fractures and indentations caused by the direct contact with the falling weight are acceptable. </w:t>
            </w:r>
          </w:p>
          <w:p w14:paraId="6045C39A" w14:textId="77777777" w:rsidR="006F403B" w:rsidRPr="00EB5538" w:rsidRDefault="006F403B" w:rsidP="00B90686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sz w:val="18"/>
                <w:szCs w:val="18"/>
                <w:lang w:val="en-US"/>
              </w:rPr>
            </w:pPr>
            <w:r w:rsidRPr="00EB5538">
              <w:rPr>
                <w:sz w:val="18"/>
                <w:szCs w:val="18"/>
                <w:lang w:val="en-US"/>
              </w:rPr>
              <w:t>In the case of wheels with demountable rims or other components that can be dismantled, if threaded fastenings that are close to the spoke or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B5538">
              <w:rPr>
                <w:sz w:val="18"/>
                <w:szCs w:val="18"/>
                <w:lang w:val="en-US"/>
              </w:rPr>
              <w:t xml:space="preserve">ventilation holes fail the wheel is to be considered as having failed the test. </w:t>
            </w:r>
          </w:p>
        </w:tc>
      </w:tr>
    </w:tbl>
    <w:p w14:paraId="65BDAFAA" w14:textId="77777777" w:rsidR="006F403B" w:rsidRPr="006F403B" w:rsidRDefault="006F403B" w:rsidP="006F403B">
      <w:pPr>
        <w:tabs>
          <w:tab w:val="left" w:pos="1021"/>
        </w:tabs>
        <w:spacing w:after="120"/>
        <w:ind w:left="1134" w:right="1134"/>
        <w:jc w:val="both"/>
        <w:rPr>
          <w:lang w:val="en-US"/>
        </w:rPr>
      </w:pPr>
      <w:r w:rsidRPr="006F403B">
        <w:rPr>
          <w:lang w:val="en-US"/>
        </w:rPr>
        <w:t>“</w:t>
      </w:r>
    </w:p>
    <w:p w14:paraId="3633EAE7" w14:textId="3298B949" w:rsidR="00C446E9" w:rsidRDefault="00920C60" w:rsidP="001C76A7">
      <w:pPr>
        <w:tabs>
          <w:tab w:val="left" w:pos="1021"/>
        </w:tabs>
        <w:spacing w:after="120"/>
        <w:ind w:left="1134" w:right="1134"/>
        <w:jc w:val="both"/>
        <w:rPr>
          <w:b/>
          <w:bCs/>
          <w:lang w:val="en-US"/>
        </w:rPr>
      </w:pPr>
      <w:r>
        <w:rPr>
          <w:i/>
          <w:iCs/>
          <w:lang w:val="en-US"/>
        </w:rPr>
        <w:t>P</w:t>
      </w:r>
      <w:r w:rsidR="00C446E9" w:rsidRPr="00C70EBC">
        <w:rPr>
          <w:i/>
          <w:iCs/>
          <w:lang w:val="en-US"/>
        </w:rPr>
        <w:t xml:space="preserve">aragraph </w:t>
      </w:r>
      <w:r w:rsidR="00C446E9">
        <w:rPr>
          <w:i/>
          <w:iCs/>
          <w:lang w:val="en-US"/>
        </w:rPr>
        <w:t>5</w:t>
      </w:r>
      <w:r w:rsidR="00C446E9" w:rsidRPr="00C70EBC">
        <w:rPr>
          <w:i/>
          <w:iCs/>
          <w:lang w:val="en-US"/>
        </w:rPr>
        <w:t xml:space="preserve">, </w:t>
      </w:r>
      <w:r w:rsidR="00C446E9" w:rsidRPr="00FF16C1">
        <w:rPr>
          <w:lang w:val="en-US"/>
        </w:rPr>
        <w:t xml:space="preserve">amend </w:t>
      </w:r>
      <w:r w:rsidR="00C446E9">
        <w:rPr>
          <w:lang w:val="en-US"/>
        </w:rPr>
        <w:t>to read:</w:t>
      </w:r>
    </w:p>
    <w:p w14:paraId="154271B4" w14:textId="77777777" w:rsidR="00C446E9" w:rsidRPr="000553D4" w:rsidRDefault="00C446E9" w:rsidP="00C446E9">
      <w:pPr>
        <w:pStyle w:val="SingleTxtG"/>
        <w:ind w:left="2268" w:hanging="1134"/>
        <w:rPr>
          <w:lang w:val="en-US"/>
        </w:rPr>
      </w:pPr>
      <w:r w:rsidRPr="000553D4">
        <w:rPr>
          <w:lang w:val="en-US"/>
        </w:rPr>
        <w:t>"5.</w:t>
      </w:r>
      <w:r w:rsidRPr="000553D4">
        <w:rPr>
          <w:lang w:val="en-US"/>
        </w:rPr>
        <w:tab/>
        <w:t>Failure criteria</w:t>
      </w:r>
    </w:p>
    <w:p w14:paraId="3110BC91" w14:textId="77777777" w:rsidR="00C446E9" w:rsidRPr="000553D4" w:rsidRDefault="00C446E9" w:rsidP="00C446E9">
      <w:pPr>
        <w:pStyle w:val="SingleTxtG"/>
        <w:ind w:left="2268" w:hanging="1134"/>
        <w:rPr>
          <w:lang w:val="en-US"/>
        </w:rPr>
      </w:pPr>
      <w:r w:rsidRPr="000553D4">
        <w:rPr>
          <w:lang w:val="en-US"/>
        </w:rPr>
        <w:tab/>
        <w:t>The wheel will not pass the test if one of the following criteria applies:</w:t>
      </w:r>
    </w:p>
    <w:p w14:paraId="6A1EC6AA" w14:textId="77777777" w:rsidR="00C446E9" w:rsidRPr="000553D4" w:rsidRDefault="00C446E9" w:rsidP="00C446E9">
      <w:pPr>
        <w:pStyle w:val="SingleTxtG"/>
        <w:ind w:left="2268" w:hanging="1134"/>
        <w:rPr>
          <w:lang w:val="en-US"/>
        </w:rPr>
      </w:pPr>
      <w:r w:rsidRPr="000553D4">
        <w:rPr>
          <w:lang w:val="en-US"/>
        </w:rPr>
        <w:tab/>
        <w:t>(a)</w:t>
      </w:r>
      <w:r w:rsidRPr="000553D4">
        <w:rPr>
          <w:lang w:val="en-US"/>
        </w:rPr>
        <w:tab/>
        <w:t>visible incipient crack in a zone of the wheel disc of wheel assembly;</w:t>
      </w:r>
    </w:p>
    <w:p w14:paraId="39B8463E" w14:textId="77777777" w:rsidR="00C446E9" w:rsidRPr="000553D4" w:rsidRDefault="00C446E9" w:rsidP="00C446E9">
      <w:pPr>
        <w:pStyle w:val="SingleTxtG"/>
        <w:ind w:left="2268" w:hanging="1134"/>
        <w:rPr>
          <w:lang w:val="en-US"/>
        </w:rPr>
      </w:pPr>
      <w:r w:rsidRPr="000553D4">
        <w:rPr>
          <w:lang w:val="en-US"/>
        </w:rPr>
        <w:tab/>
        <w:t>(b)</w:t>
      </w:r>
      <w:r w:rsidRPr="000553D4">
        <w:rPr>
          <w:lang w:val="en-US"/>
        </w:rPr>
        <w:tab/>
        <w:t xml:space="preserve">the </w:t>
      </w:r>
      <w:proofErr w:type="spellStart"/>
      <w:r w:rsidRPr="000553D4">
        <w:rPr>
          <w:lang w:val="en-US"/>
        </w:rPr>
        <w:t>centre</w:t>
      </w:r>
      <w:proofErr w:type="spellEnd"/>
      <w:r w:rsidRPr="000553D4">
        <w:rPr>
          <w:lang w:val="en-US"/>
        </w:rPr>
        <w:t xml:space="preserve"> member separates from the rim;</w:t>
      </w:r>
    </w:p>
    <w:p w14:paraId="3F857EC1" w14:textId="65E31F34" w:rsidR="006F403B" w:rsidRPr="00FE6544" w:rsidRDefault="00C446E9" w:rsidP="006F403B">
      <w:pPr>
        <w:pStyle w:val="SingleTxtG"/>
        <w:ind w:left="2268" w:hanging="1134"/>
        <w:rPr>
          <w:b/>
          <w:bCs/>
          <w:lang w:val="en-US"/>
        </w:rPr>
      </w:pPr>
      <w:r w:rsidRPr="000553D4">
        <w:rPr>
          <w:lang w:val="en-US"/>
        </w:rPr>
        <w:tab/>
      </w:r>
      <w:r w:rsidR="006F403B" w:rsidRPr="000553D4">
        <w:rPr>
          <w:lang w:val="en-US"/>
        </w:rPr>
        <w:t>(c)</w:t>
      </w:r>
      <w:r w:rsidR="006F403B" w:rsidRPr="000553D4">
        <w:rPr>
          <w:lang w:val="en-US"/>
        </w:rPr>
        <w:tab/>
      </w:r>
      <w:r w:rsidR="006F403B" w:rsidRPr="00FE6544">
        <w:rPr>
          <w:strike/>
          <w:lang w:val="en-US"/>
        </w:rPr>
        <w:t>total loss of pressure within one minute.</w:t>
      </w:r>
      <w:r w:rsidR="006F403B">
        <w:rPr>
          <w:lang w:val="en-US"/>
        </w:rPr>
        <w:t xml:space="preserve"> </w:t>
      </w:r>
      <w:r w:rsidR="006F403B" w:rsidRPr="00FE6544">
        <w:rPr>
          <w:b/>
          <w:bCs/>
          <w:lang w:val="en-US"/>
        </w:rPr>
        <w:t xml:space="preserve">total loss of inflation pressure </w:t>
      </w:r>
      <w:r w:rsidR="006F403B">
        <w:rPr>
          <w:b/>
          <w:bCs/>
          <w:lang w:val="en-US"/>
        </w:rPr>
        <w:tab/>
      </w:r>
      <w:r w:rsidR="006F403B">
        <w:rPr>
          <w:b/>
          <w:bCs/>
          <w:lang w:val="en-US"/>
        </w:rPr>
        <w:tab/>
      </w:r>
      <w:r w:rsidR="006F403B" w:rsidRPr="00FE6544">
        <w:rPr>
          <w:b/>
          <w:bCs/>
          <w:lang w:val="en-US"/>
        </w:rPr>
        <w:t xml:space="preserve">within one minute due to deformation of the wheel or a leak in the </w:t>
      </w:r>
      <w:r w:rsidR="006F403B">
        <w:rPr>
          <w:b/>
          <w:bCs/>
          <w:lang w:val="en-US"/>
        </w:rPr>
        <w:tab/>
      </w:r>
      <w:r w:rsidR="006F403B">
        <w:rPr>
          <w:b/>
          <w:bCs/>
          <w:lang w:val="en-US"/>
        </w:rPr>
        <w:tab/>
      </w:r>
      <w:r w:rsidR="006F403B" w:rsidRPr="00FE6544">
        <w:rPr>
          <w:b/>
          <w:bCs/>
          <w:lang w:val="en-US"/>
        </w:rPr>
        <w:t>wheel.</w:t>
      </w:r>
    </w:p>
    <w:p w14:paraId="7F5C76F8" w14:textId="77777777" w:rsidR="006F403B" w:rsidRPr="000553D4" w:rsidRDefault="006F403B" w:rsidP="006F403B">
      <w:pPr>
        <w:pStyle w:val="SingleTxtG"/>
        <w:ind w:left="2268"/>
        <w:rPr>
          <w:lang w:val="en-US"/>
        </w:rPr>
      </w:pPr>
      <w:r w:rsidRPr="000553D4">
        <w:rPr>
          <w:lang w:val="en-US"/>
        </w:rPr>
        <w:t>The wheel is not considered to have failed the test by deformation of the wheel assembly or by fractures in the area of a rim section struck by the face plate of the striker."</w:t>
      </w:r>
    </w:p>
    <w:p w14:paraId="633B63B4" w14:textId="24AE7E61" w:rsidR="0037301A" w:rsidRPr="003666F6" w:rsidRDefault="006F403B" w:rsidP="00F32F9A">
      <w:pPr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="0037301A" w:rsidRPr="00031990">
        <w:rPr>
          <w:b/>
          <w:bCs/>
          <w:sz w:val="28"/>
          <w:szCs w:val="28"/>
          <w:lang w:val="en-US"/>
        </w:rPr>
        <w:t xml:space="preserve">II. </w:t>
      </w:r>
      <w:r w:rsidR="00D17B35" w:rsidRPr="00031990">
        <w:rPr>
          <w:b/>
          <w:bCs/>
          <w:sz w:val="28"/>
          <w:szCs w:val="28"/>
          <w:lang w:val="en-US"/>
        </w:rPr>
        <w:tab/>
      </w:r>
      <w:r w:rsidR="0037301A" w:rsidRPr="003666F6">
        <w:rPr>
          <w:b/>
          <w:bCs/>
          <w:sz w:val="28"/>
          <w:szCs w:val="28"/>
          <w:lang w:val="en-US"/>
        </w:rPr>
        <w:t xml:space="preserve">Justification </w:t>
      </w:r>
    </w:p>
    <w:p w14:paraId="24E31258" w14:textId="77777777" w:rsidR="00AB0C2B" w:rsidRDefault="00BA38FC" w:rsidP="00AB0C2B">
      <w:pPr>
        <w:pStyle w:val="H4G"/>
        <w:keepNext w:val="0"/>
        <w:spacing w:before="0" w:line="240" w:lineRule="atLeast"/>
        <w:jc w:val="both"/>
        <w:rPr>
          <w:i w:val="0"/>
          <w:iCs/>
          <w:lang w:val="en-US"/>
        </w:rPr>
      </w:pPr>
      <w:r w:rsidRPr="00C70EBC">
        <w:rPr>
          <w:lang w:val="en-US"/>
        </w:rPr>
        <w:tab/>
      </w:r>
      <w:r w:rsidRPr="00C70EBC">
        <w:rPr>
          <w:lang w:val="en-US"/>
        </w:rPr>
        <w:tab/>
      </w:r>
      <w:r w:rsidR="00B83F6C" w:rsidRPr="00B83F6C">
        <w:rPr>
          <w:i w:val="0"/>
          <w:iCs/>
          <w:lang w:val="en-US"/>
        </w:rPr>
        <w:t>1</w:t>
      </w:r>
      <w:r w:rsidR="00B83F6C">
        <w:rPr>
          <w:i w:val="0"/>
          <w:iCs/>
          <w:lang w:val="en-US"/>
        </w:rPr>
        <w:t>.</w:t>
      </w:r>
      <w:r w:rsidR="00B83F6C">
        <w:rPr>
          <w:i w:val="0"/>
          <w:iCs/>
          <w:lang w:val="en-US"/>
        </w:rPr>
        <w:tab/>
      </w:r>
      <w:r w:rsidR="00E57077" w:rsidRPr="00E57077">
        <w:rPr>
          <w:i w:val="0"/>
          <w:iCs/>
          <w:lang w:val="en-US"/>
        </w:rPr>
        <w:t>This proposal was prepared in response to requests for clarification of certain provisions of UN Regulation No. 124 received from national testing laboratories engaged in testing in accordance with th</w:t>
      </w:r>
      <w:r w:rsidR="00E57077">
        <w:rPr>
          <w:i w:val="0"/>
          <w:iCs/>
          <w:lang w:val="en-US"/>
        </w:rPr>
        <w:t>is</w:t>
      </w:r>
      <w:r w:rsidR="00E57077" w:rsidRPr="00E57077">
        <w:rPr>
          <w:i w:val="0"/>
          <w:iCs/>
          <w:lang w:val="en-US"/>
        </w:rPr>
        <w:t xml:space="preserve"> UN Regulation.</w:t>
      </w:r>
    </w:p>
    <w:p w14:paraId="6FF25E35" w14:textId="553A6F88" w:rsidR="009D7A29" w:rsidRDefault="00AB0C2B" w:rsidP="009B27C0">
      <w:pPr>
        <w:pStyle w:val="H4G"/>
        <w:keepNext w:val="0"/>
        <w:keepLines w:val="0"/>
        <w:spacing w:before="0" w:line="240" w:lineRule="atLeast"/>
        <w:jc w:val="both"/>
        <w:rPr>
          <w:lang w:val="en-US"/>
        </w:rPr>
      </w:pPr>
      <w:r>
        <w:rPr>
          <w:i w:val="0"/>
          <w:iCs/>
          <w:lang w:val="en-US"/>
        </w:rPr>
        <w:tab/>
      </w:r>
      <w:r>
        <w:rPr>
          <w:i w:val="0"/>
          <w:iCs/>
          <w:lang w:val="en-US"/>
        </w:rPr>
        <w:tab/>
      </w:r>
      <w:r w:rsidR="009D7A29" w:rsidRPr="00C70EBC">
        <w:rPr>
          <w:lang w:val="en-US"/>
        </w:rPr>
        <w:t>Annex</w:t>
      </w:r>
      <w:r w:rsidR="009D7A29" w:rsidRPr="00C70EBC">
        <w:rPr>
          <w:iCs/>
          <w:lang w:val="en-US"/>
        </w:rPr>
        <w:t xml:space="preserve"> </w:t>
      </w:r>
      <w:r w:rsidR="009D7A29" w:rsidRPr="00C70EBC">
        <w:rPr>
          <w:lang w:val="en-US"/>
        </w:rPr>
        <w:t>4</w:t>
      </w:r>
      <w:r w:rsidR="009D7A29">
        <w:rPr>
          <w:lang w:val="en-US"/>
        </w:rPr>
        <w:t>, Table</w:t>
      </w:r>
    </w:p>
    <w:p w14:paraId="3CD5A18F" w14:textId="4A826E9E" w:rsidR="009D7A29" w:rsidRPr="008B21C0" w:rsidRDefault="009D7A29" w:rsidP="009B27C0">
      <w:pPr>
        <w:pStyle w:val="H4G"/>
        <w:keepNext w:val="0"/>
        <w:keepLines w:val="0"/>
        <w:spacing w:before="0" w:line="240" w:lineRule="atLeast"/>
        <w:jc w:val="both"/>
        <w:rPr>
          <w:i w:val="0"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bookmarkStart w:id="1" w:name="_Hlk150521368"/>
      <w:r w:rsidR="00B83F6C">
        <w:rPr>
          <w:i w:val="0"/>
          <w:iCs/>
          <w:lang w:val="en-US"/>
        </w:rPr>
        <w:t>2</w:t>
      </w:r>
      <w:r w:rsidR="00F765E2">
        <w:rPr>
          <w:lang w:val="en-US"/>
        </w:rPr>
        <w:t>.</w:t>
      </w:r>
      <w:r w:rsidR="00F765E2">
        <w:rPr>
          <w:lang w:val="en-US"/>
        </w:rPr>
        <w:tab/>
      </w:r>
      <w:r w:rsidR="00BE5E6F" w:rsidRPr="00BE5E6F">
        <w:rPr>
          <w:i w:val="0"/>
          <w:iCs/>
          <w:lang w:val="en-US"/>
        </w:rPr>
        <w:t>T</w:t>
      </w:r>
      <w:r w:rsidR="00B64C66" w:rsidRPr="00BE5E6F">
        <w:rPr>
          <w:i w:val="0"/>
          <w:iCs/>
          <w:lang w:val="en-US"/>
        </w:rPr>
        <w:t>es</w:t>
      </w:r>
      <w:r w:rsidR="00B64C66" w:rsidRPr="00B64C66">
        <w:rPr>
          <w:i w:val="0"/>
          <w:iCs/>
          <w:lang w:val="en-US"/>
        </w:rPr>
        <w:t xml:space="preserve">t (b) </w:t>
      </w:r>
      <w:r w:rsidR="00BE5E6F">
        <w:rPr>
          <w:i w:val="0"/>
          <w:iCs/>
          <w:lang w:val="en-US"/>
        </w:rPr>
        <w:t xml:space="preserve">is deleted </w:t>
      </w:r>
      <w:r w:rsidR="00B64C66" w:rsidRPr="00B64C66">
        <w:rPr>
          <w:i w:val="0"/>
          <w:iCs/>
          <w:lang w:val="en-US"/>
        </w:rPr>
        <w:t>for the case of aluminum</w:t>
      </w:r>
      <w:r w:rsidR="00B64C66">
        <w:rPr>
          <w:i w:val="0"/>
          <w:iCs/>
          <w:lang w:val="en-US"/>
        </w:rPr>
        <w:t>-</w:t>
      </w:r>
      <w:r w:rsidR="00B64C66" w:rsidRPr="00B64C66">
        <w:rPr>
          <w:i w:val="0"/>
          <w:iCs/>
          <w:lang w:val="en-US"/>
        </w:rPr>
        <w:t>alloy and magnesium</w:t>
      </w:r>
      <w:r w:rsidR="00B64C66">
        <w:rPr>
          <w:i w:val="0"/>
          <w:iCs/>
          <w:lang w:val="en-US"/>
        </w:rPr>
        <w:t>-</w:t>
      </w:r>
      <w:r w:rsidR="00B64C66" w:rsidRPr="00B64C66">
        <w:rPr>
          <w:i w:val="0"/>
          <w:iCs/>
          <w:lang w:val="en-US"/>
        </w:rPr>
        <w:t xml:space="preserve">alloy wheels, since the existing experience of testing confirms that the mechanical properties of the raw materials are not comparable with the mechanical properties of </w:t>
      </w:r>
      <w:r w:rsidR="00B64C66">
        <w:rPr>
          <w:i w:val="0"/>
          <w:iCs/>
          <w:lang w:val="en-US"/>
        </w:rPr>
        <w:t xml:space="preserve">the end </w:t>
      </w:r>
      <w:r w:rsidR="00B64C66" w:rsidRPr="00B64C66">
        <w:rPr>
          <w:i w:val="0"/>
          <w:iCs/>
          <w:lang w:val="en-US"/>
        </w:rPr>
        <w:t xml:space="preserve">product (wheels). In this regard, </w:t>
      </w:r>
      <w:r w:rsidR="00B64C66">
        <w:rPr>
          <w:i w:val="0"/>
          <w:iCs/>
          <w:lang w:val="en-US"/>
        </w:rPr>
        <w:t>i</w:t>
      </w:r>
      <w:r w:rsidR="008B21C0" w:rsidRPr="000553D4">
        <w:rPr>
          <w:i w:val="0"/>
          <w:iCs/>
          <w:lang w:val="en-US"/>
        </w:rPr>
        <w:t xml:space="preserve">t is proposed not to verify the raw material mechanical characteristics per subparagraph (b) </w:t>
      </w:r>
      <w:r w:rsidR="008B21C0" w:rsidRPr="000553D4">
        <w:rPr>
          <w:i w:val="0"/>
          <w:iCs/>
          <w:lang w:val="en-US"/>
        </w:rPr>
        <w:lastRenderedPageBreak/>
        <w:t>for aluminum-alloy and magnesium-alloy wheels. Verification of such characteristics of the end product is considered to be sufficient, as the light-alloy raw material requirements are not necessarily the objective of UN Regulation No. 124.</w:t>
      </w:r>
      <w:bookmarkEnd w:id="1"/>
    </w:p>
    <w:p w14:paraId="036BCDC4" w14:textId="23DC85AB" w:rsidR="00BA38FC" w:rsidRPr="00C70EBC" w:rsidRDefault="009D7A29" w:rsidP="00920C60">
      <w:pPr>
        <w:pStyle w:val="H4G"/>
        <w:spacing w:before="0" w:line="240" w:lineRule="atLeast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F133B">
        <w:rPr>
          <w:lang w:val="en-US"/>
        </w:rPr>
        <w:tab/>
      </w:r>
      <w:r w:rsidR="00BA38FC" w:rsidRPr="00C70EBC">
        <w:rPr>
          <w:lang w:val="en-US"/>
        </w:rPr>
        <w:t>Annex</w:t>
      </w:r>
      <w:r w:rsidR="00BA38FC" w:rsidRPr="00C70EBC">
        <w:rPr>
          <w:iCs/>
          <w:lang w:val="en-US"/>
        </w:rPr>
        <w:t xml:space="preserve"> </w:t>
      </w:r>
      <w:r w:rsidR="00BA38FC" w:rsidRPr="00C70EBC">
        <w:rPr>
          <w:lang w:val="en-US"/>
        </w:rPr>
        <w:t>6</w:t>
      </w:r>
      <w:r w:rsidR="007F133B">
        <w:rPr>
          <w:lang w:val="en-US"/>
        </w:rPr>
        <w:t>, paragraph 4</w:t>
      </w:r>
    </w:p>
    <w:p w14:paraId="539627E7" w14:textId="0A427C81" w:rsidR="00540287" w:rsidRPr="00C70EBC" w:rsidRDefault="00B83F6C" w:rsidP="00920C60">
      <w:pPr>
        <w:pStyle w:val="SingleTxtG"/>
        <w:rPr>
          <w:lang w:val="en-US"/>
        </w:rPr>
      </w:pPr>
      <w:r>
        <w:rPr>
          <w:lang w:val="en-US"/>
        </w:rPr>
        <w:t>3</w:t>
      </w:r>
      <w:r w:rsidR="00D27155">
        <w:rPr>
          <w:lang w:val="en-US"/>
        </w:rPr>
        <w:t>.</w:t>
      </w:r>
      <w:r w:rsidR="00D27155">
        <w:rPr>
          <w:lang w:val="en-US"/>
        </w:rPr>
        <w:tab/>
      </w:r>
      <w:r w:rsidR="00540287" w:rsidRPr="00C70EBC">
        <w:rPr>
          <w:lang w:val="en-US"/>
        </w:rPr>
        <w:t xml:space="preserve">A recommendation is added to identify cracks </w:t>
      </w:r>
      <w:r w:rsidR="00F84B0F" w:rsidRPr="00C70EBC">
        <w:rPr>
          <w:lang w:val="en-US"/>
        </w:rPr>
        <w:t>occurred</w:t>
      </w:r>
      <w:r w:rsidR="00540287" w:rsidRPr="00C70EBC">
        <w:rPr>
          <w:lang w:val="en-US"/>
        </w:rPr>
        <w:t xml:space="preserve"> as a result of the test by using </w:t>
      </w:r>
      <w:r w:rsidR="005B71CD">
        <w:rPr>
          <w:lang w:val="en-US"/>
        </w:rPr>
        <w:t xml:space="preserve">a suitable test method, e.g., </w:t>
      </w:r>
      <w:r w:rsidR="00884715" w:rsidRPr="000553D4">
        <w:rPr>
          <w:lang w:val="en-US"/>
        </w:rPr>
        <w:t>penetrating paints</w:t>
      </w:r>
      <w:r w:rsidR="005B71CD">
        <w:rPr>
          <w:lang w:val="en-US"/>
        </w:rPr>
        <w:t xml:space="preserve">, </w:t>
      </w:r>
      <w:r w:rsidR="00884715" w:rsidRPr="000553D4">
        <w:rPr>
          <w:lang w:val="en-US"/>
        </w:rPr>
        <w:t>allow</w:t>
      </w:r>
      <w:r w:rsidR="005B71CD">
        <w:rPr>
          <w:lang w:val="en-US"/>
        </w:rPr>
        <w:t>ing to</w:t>
      </w:r>
      <w:r w:rsidR="00884715" w:rsidRPr="000553D4">
        <w:rPr>
          <w:lang w:val="en-US"/>
        </w:rPr>
        <w:t xml:space="preserve"> identify small technical cracks </w:t>
      </w:r>
      <w:r w:rsidR="005B71CD">
        <w:rPr>
          <w:lang w:val="en-US"/>
        </w:rPr>
        <w:br/>
      </w:r>
      <w:r w:rsidR="00884715" w:rsidRPr="000553D4">
        <w:rPr>
          <w:lang w:val="en-US"/>
        </w:rPr>
        <w:t xml:space="preserve">(1-5 mm), which could not be seen at visual inspection. </w:t>
      </w:r>
    </w:p>
    <w:p w14:paraId="71FB79AA" w14:textId="282DFFD4" w:rsidR="00BA38FC" w:rsidRPr="00C70EBC" w:rsidRDefault="00BA38FC" w:rsidP="00920C60">
      <w:pPr>
        <w:pStyle w:val="H4G"/>
        <w:spacing w:before="0" w:line="240" w:lineRule="atLeast"/>
        <w:jc w:val="both"/>
        <w:rPr>
          <w:lang w:val="en-US"/>
        </w:rPr>
      </w:pPr>
      <w:r w:rsidRPr="00C70EBC">
        <w:rPr>
          <w:lang w:val="en-US"/>
        </w:rPr>
        <w:tab/>
      </w:r>
      <w:r w:rsidRPr="00C70EBC">
        <w:rPr>
          <w:lang w:val="en-US"/>
        </w:rPr>
        <w:tab/>
      </w:r>
      <w:r w:rsidR="007F133B">
        <w:rPr>
          <w:lang w:val="en-US"/>
        </w:rPr>
        <w:tab/>
      </w:r>
      <w:r w:rsidRPr="00C70EBC">
        <w:rPr>
          <w:lang w:val="en-US"/>
        </w:rPr>
        <w:t>Annex</w:t>
      </w:r>
      <w:r w:rsidRPr="00C70EBC">
        <w:rPr>
          <w:iCs/>
          <w:lang w:val="en-US"/>
        </w:rPr>
        <w:t xml:space="preserve"> </w:t>
      </w:r>
      <w:r w:rsidRPr="00C70EBC">
        <w:rPr>
          <w:lang w:val="en-US"/>
        </w:rPr>
        <w:t>7</w:t>
      </w:r>
      <w:r w:rsidR="00B66675">
        <w:rPr>
          <w:lang w:val="en-US"/>
        </w:rPr>
        <w:t>, paragraph 3, table</w:t>
      </w:r>
      <w:r w:rsidRPr="00C70EBC">
        <w:rPr>
          <w:lang w:val="en-US"/>
        </w:rPr>
        <w:t xml:space="preserve"> and </w:t>
      </w:r>
      <w:r w:rsidR="00B66675">
        <w:rPr>
          <w:lang w:val="en-US"/>
        </w:rPr>
        <w:t xml:space="preserve">Annex </w:t>
      </w:r>
      <w:r w:rsidRPr="00C70EBC">
        <w:rPr>
          <w:lang w:val="en-US"/>
        </w:rPr>
        <w:t>8</w:t>
      </w:r>
      <w:r w:rsidR="00B66675">
        <w:rPr>
          <w:lang w:val="en-US"/>
        </w:rPr>
        <w:t>, paragraph 3, table and paragraph 5</w:t>
      </w:r>
      <w:r w:rsidRPr="00C70EBC">
        <w:rPr>
          <w:lang w:val="en-US"/>
        </w:rPr>
        <w:t xml:space="preserve"> </w:t>
      </w:r>
    </w:p>
    <w:p w14:paraId="5E493E9E" w14:textId="65B235E4" w:rsidR="00F32F9A" w:rsidRDefault="00B83F6C" w:rsidP="00A73E59">
      <w:pPr>
        <w:pStyle w:val="SingleTxtG"/>
        <w:rPr>
          <w:lang w:val="en-US"/>
        </w:rPr>
      </w:pPr>
      <w:r>
        <w:rPr>
          <w:lang w:val="en-US"/>
        </w:rPr>
        <w:t>4</w:t>
      </w:r>
      <w:r w:rsidR="00D27155">
        <w:rPr>
          <w:lang w:val="en-US"/>
        </w:rPr>
        <w:t>.</w:t>
      </w:r>
      <w:r w:rsidR="00D27155">
        <w:rPr>
          <w:lang w:val="en-US"/>
        </w:rPr>
        <w:tab/>
      </w:r>
      <w:r w:rsidR="00B66675" w:rsidRPr="000553D4">
        <w:rPr>
          <w:lang w:val="en-US"/>
        </w:rPr>
        <w:t xml:space="preserve">As the air leakage is indicated in the tables of Annex 7 and Annex 8 as the acceptance criteria, the intention of the proposal is to clarify that the air leakage caused by the </w:t>
      </w:r>
      <w:proofErr w:type="spellStart"/>
      <w:r w:rsidR="00B66675" w:rsidRPr="000553D4">
        <w:rPr>
          <w:lang w:val="en-US"/>
        </w:rPr>
        <w:t>tyre</w:t>
      </w:r>
      <w:proofErr w:type="spellEnd"/>
      <w:r w:rsidR="00B66675" w:rsidRPr="000553D4">
        <w:rPr>
          <w:lang w:val="en-US"/>
        </w:rPr>
        <w:t xml:space="preserve"> damage during the test shall not be taken into consideration when assessing the test results for the wheel. The proposal is intended to </w:t>
      </w:r>
      <w:r w:rsidR="00B66675" w:rsidRPr="00C70EBC">
        <w:rPr>
          <w:lang w:val="en-US"/>
        </w:rPr>
        <w:t>eliminate uncertainty in the interpretation of the test results</w:t>
      </w:r>
      <w:r w:rsidR="00B66675">
        <w:rPr>
          <w:lang w:val="en-US"/>
        </w:rPr>
        <w:t xml:space="preserve">. For that, </w:t>
      </w:r>
      <w:r w:rsidR="00B66675" w:rsidRPr="00C70EBC">
        <w:rPr>
          <w:lang w:val="en-US"/>
        </w:rPr>
        <w:t xml:space="preserve">it is necessary to determine the cause of the </w:t>
      </w:r>
      <w:proofErr w:type="spellStart"/>
      <w:r w:rsidR="00B66675" w:rsidRPr="00C70EBC">
        <w:rPr>
          <w:lang w:val="en-US"/>
        </w:rPr>
        <w:t>tyre</w:t>
      </w:r>
      <w:proofErr w:type="spellEnd"/>
      <w:r w:rsidR="00B66675" w:rsidRPr="00C70EBC">
        <w:rPr>
          <w:lang w:val="en-US"/>
        </w:rPr>
        <w:t xml:space="preserve"> pressure drop. If the pressure drop in the </w:t>
      </w:r>
      <w:proofErr w:type="spellStart"/>
      <w:r w:rsidR="00B66675" w:rsidRPr="00C70EBC">
        <w:rPr>
          <w:lang w:val="en-US"/>
        </w:rPr>
        <w:t>tyre</w:t>
      </w:r>
      <w:proofErr w:type="spellEnd"/>
      <w:r w:rsidR="00B66675" w:rsidRPr="00C70EBC">
        <w:rPr>
          <w:lang w:val="en-US"/>
        </w:rPr>
        <w:t xml:space="preserve"> was caused by its damage</w:t>
      </w:r>
      <w:r w:rsidR="00B66675">
        <w:rPr>
          <w:lang w:val="en-US"/>
        </w:rPr>
        <w:t>, this shall not affect the acceptance of the wheel.</w:t>
      </w:r>
    </w:p>
    <w:p w14:paraId="3BC661AA" w14:textId="6FACF302" w:rsidR="00BC5BB3" w:rsidRDefault="00BC5BB3" w:rsidP="00BC5BB3">
      <w:pPr>
        <w:pStyle w:val="SingleTxtG"/>
        <w:jc w:val="center"/>
        <w:rPr>
          <w:u w:val="single"/>
          <w:lang w:val="en-US"/>
        </w:rPr>
      </w:pPr>
      <w:r>
        <w:rPr>
          <w:lang w:val="en-US"/>
        </w:rPr>
        <w:t>__________________</w:t>
      </w:r>
    </w:p>
    <w:sectPr w:rsidR="00BC5BB3" w:rsidSect="00D3144D"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811E" w14:textId="77777777" w:rsidR="00C243E6" w:rsidRDefault="00C243E6"/>
  </w:endnote>
  <w:endnote w:type="continuationSeparator" w:id="0">
    <w:p w14:paraId="71589B2F" w14:textId="77777777" w:rsidR="00C243E6" w:rsidRDefault="00C243E6"/>
  </w:endnote>
  <w:endnote w:type="continuationNotice" w:id="1">
    <w:p w14:paraId="79D3FE05" w14:textId="77777777" w:rsidR="00C243E6" w:rsidRDefault="00C24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86A6" w14:textId="29821E40" w:rsidR="00BB0D0A" w:rsidRDefault="00BB0D0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2B5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E71D" w14:textId="4B02FBF0" w:rsidR="00BB0D0A" w:rsidRDefault="00BB0D0A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2B5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E97D" w14:textId="4CB1BB13" w:rsidR="002D136B" w:rsidRDefault="002D136B" w:rsidP="002D136B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5962B8BE" wp14:editId="3B563FF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5028F" w14:textId="0C3AE694" w:rsidR="002D136B" w:rsidRPr="002D136B" w:rsidRDefault="002D136B" w:rsidP="002D136B">
    <w:pPr>
      <w:spacing w:line="240" w:lineRule="auto"/>
      <w:ind w:right="1134"/>
    </w:pPr>
    <w:r>
      <w:t>GE.24-11951  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3BF6AE4F" wp14:editId="740F4C8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E663" w14:textId="77777777" w:rsidR="00C243E6" w:rsidRPr="00D27D5E" w:rsidRDefault="00C243E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CA7B23" w14:textId="77777777" w:rsidR="00C243E6" w:rsidRDefault="00C243E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6D5EBE7" w14:textId="77777777" w:rsidR="00C243E6" w:rsidRDefault="00C243E6"/>
  </w:footnote>
  <w:footnote w:id="2">
    <w:p w14:paraId="5B367B54" w14:textId="77777777" w:rsidR="00502EA3" w:rsidRPr="00EA370C" w:rsidRDefault="00502EA3" w:rsidP="00502EA3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programme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programme budget for </w:t>
      </w:r>
      <w:r w:rsidRPr="00F56D95">
        <w:rPr>
          <w:lang w:val="en-US"/>
        </w:rPr>
        <w:t xml:space="preserve">2024 (A/78/6 (Sect. 20), table 20.5), </w:t>
      </w:r>
      <w:r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6777" w14:textId="34F0B97C" w:rsidR="00BB0D0A" w:rsidRPr="00BB1F39" w:rsidRDefault="00BB0D0A">
    <w:pPr>
      <w:pStyle w:val="Header"/>
      <w:rPr>
        <w:color w:val="FF0000"/>
        <w:u w:val="single"/>
        <w:lang w:val="en-US"/>
      </w:rPr>
    </w:pPr>
    <w:r w:rsidRPr="00BB1F39">
      <w:rPr>
        <w:lang w:val="en-US"/>
      </w:rPr>
      <w:t>ECE/TRANS/WP.29/</w:t>
    </w:r>
    <w:r>
      <w:rPr>
        <w:lang w:val="en-US"/>
      </w:rPr>
      <w:t>GRBP/202</w:t>
    </w:r>
    <w:r w:rsidR="00E74371">
      <w:rPr>
        <w:lang w:val="en-US"/>
      </w:rPr>
      <w:t>4</w:t>
    </w:r>
    <w:r w:rsidRPr="00BB1F39">
      <w:rPr>
        <w:lang w:val="en-US"/>
      </w:rPr>
      <w:t>/</w:t>
    </w:r>
    <w:r w:rsidR="00AC7259">
      <w:rPr>
        <w:lang w:val="en-US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7ADE" w14:textId="5FCE2B38" w:rsidR="00BB0D0A" w:rsidRDefault="00BB0D0A" w:rsidP="00E03A64">
    <w:pPr>
      <w:pStyle w:val="Header"/>
      <w:jc w:val="right"/>
    </w:pPr>
    <w:r>
      <w:t>ECE/TRANS/WP.29/GRBP/202</w:t>
    </w:r>
    <w:r w:rsidR="00E74371">
      <w:t>4</w:t>
    </w:r>
    <w:r>
      <w:t>/</w:t>
    </w:r>
    <w:r w:rsidR="00AC7259"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F78A" w14:textId="77777777" w:rsidR="00BB0D0A" w:rsidRPr="00805445" w:rsidRDefault="00BB0D0A" w:rsidP="00805445">
    <w:pPr>
      <w:pStyle w:val="Header"/>
      <w:pBdr>
        <w:bottom w:val="none" w:sz="0" w:space="0" w:color="auto"/>
      </w:pBdr>
      <w:rPr>
        <w:color w:val="FFFFFF"/>
        <w:u w:val="single"/>
        <w:lang w:val="en-US"/>
      </w:rPr>
    </w:pPr>
    <w:r w:rsidRPr="00805445">
      <w:rPr>
        <w:color w:val="FFFFFF"/>
        <w:lang w:val="en-US"/>
      </w:rPr>
      <w:t xml:space="preserve">ECE/TRANS/WP.29/2012/xx </w:t>
    </w:r>
    <w:r w:rsidRPr="00805445">
      <w:rPr>
        <w:color w:val="FFFFFF"/>
        <w:u w:val="single"/>
        <w:lang w:val="en-US"/>
      </w:rPr>
      <w:t>(Header.6_G)</w:t>
    </w:r>
  </w:p>
  <w:p w14:paraId="4265593A" w14:textId="77777777" w:rsidR="00BB0D0A" w:rsidRPr="00BB1F39" w:rsidRDefault="00BB0D0A" w:rsidP="00805445">
    <w:pPr>
      <w:pStyle w:val="Header"/>
      <w:pBdr>
        <w:bottom w:val="none" w:sz="0" w:space="0" w:color="auto"/>
      </w:pBdr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77777777" w:rsidR="00BB0D0A" w:rsidRPr="00BB1F39" w:rsidRDefault="00BB0D0A" w:rsidP="006A187B">
    <w:pPr>
      <w:pStyle w:val="Header"/>
      <w:rPr>
        <w:color w:val="FF0000"/>
        <w:u w:val="single"/>
        <w:lang w:val="en-US"/>
      </w:rPr>
    </w:pPr>
    <w:r w:rsidRPr="00BB1F39">
      <w:rPr>
        <w:lang w:val="en-US"/>
      </w:rPr>
      <w:t>ECE/TRANS/WP.29</w:t>
    </w:r>
    <w:r>
      <w:rPr>
        <w:lang w:val="en-US"/>
      </w:rPr>
      <w:t>/GRBP/2020/20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67E43B0"/>
    <w:multiLevelType w:val="hybridMultilevel"/>
    <w:tmpl w:val="D7544F5E"/>
    <w:lvl w:ilvl="0" w:tplc="FFFFFFFF">
      <w:start w:val="1"/>
      <w:numFmt w:val="lowerRoman"/>
      <w:lvlText w:val="(%1)"/>
      <w:lvlJc w:val="left"/>
      <w:pPr>
        <w:ind w:left="2061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2CE0CA2"/>
    <w:multiLevelType w:val="hybridMultilevel"/>
    <w:tmpl w:val="D7544F5E"/>
    <w:lvl w:ilvl="0" w:tplc="93E08F52">
      <w:start w:val="1"/>
      <w:numFmt w:val="lowerRoman"/>
      <w:lvlText w:val="(%1)"/>
      <w:lvlJc w:val="left"/>
      <w:pPr>
        <w:ind w:left="2061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5F9D6443"/>
    <w:multiLevelType w:val="hybridMultilevel"/>
    <w:tmpl w:val="C88AEB48"/>
    <w:lvl w:ilvl="0" w:tplc="41164774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36502401">
    <w:abstractNumId w:val="7"/>
  </w:num>
  <w:num w:numId="2" w16cid:durableId="437068023">
    <w:abstractNumId w:val="3"/>
  </w:num>
  <w:num w:numId="3" w16cid:durableId="1293294671">
    <w:abstractNumId w:val="6"/>
  </w:num>
  <w:num w:numId="4" w16cid:durableId="1784500195">
    <w:abstractNumId w:val="1"/>
  </w:num>
  <w:num w:numId="5" w16cid:durableId="1829713063">
    <w:abstractNumId w:val="0"/>
  </w:num>
  <w:num w:numId="6" w16cid:durableId="1302808204">
    <w:abstractNumId w:val="5"/>
  </w:num>
  <w:num w:numId="7" w16cid:durableId="931669842">
    <w:abstractNumId w:val="4"/>
  </w:num>
  <w:num w:numId="8" w16cid:durableId="194812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0DD5"/>
    <w:rsid w:val="00001E10"/>
    <w:rsid w:val="0000409D"/>
    <w:rsid w:val="000047D9"/>
    <w:rsid w:val="00004EBE"/>
    <w:rsid w:val="0000527C"/>
    <w:rsid w:val="00005A4C"/>
    <w:rsid w:val="000071D4"/>
    <w:rsid w:val="0000737A"/>
    <w:rsid w:val="00010267"/>
    <w:rsid w:val="00016AC5"/>
    <w:rsid w:val="00020252"/>
    <w:rsid w:val="00030ADE"/>
    <w:rsid w:val="000311AC"/>
    <w:rsid w:val="000312C0"/>
    <w:rsid w:val="00031990"/>
    <w:rsid w:val="00031CA3"/>
    <w:rsid w:val="00031EFC"/>
    <w:rsid w:val="00035F50"/>
    <w:rsid w:val="000403DA"/>
    <w:rsid w:val="000417DD"/>
    <w:rsid w:val="000526F8"/>
    <w:rsid w:val="00053AD5"/>
    <w:rsid w:val="000553D4"/>
    <w:rsid w:val="000571C0"/>
    <w:rsid w:val="00057396"/>
    <w:rsid w:val="000656B4"/>
    <w:rsid w:val="00070A18"/>
    <w:rsid w:val="00083532"/>
    <w:rsid w:val="0008393C"/>
    <w:rsid w:val="00083F5E"/>
    <w:rsid w:val="00091517"/>
    <w:rsid w:val="00093ECB"/>
    <w:rsid w:val="000948C5"/>
    <w:rsid w:val="000A06AE"/>
    <w:rsid w:val="000A1A4A"/>
    <w:rsid w:val="000A2D72"/>
    <w:rsid w:val="000A500E"/>
    <w:rsid w:val="000A59AC"/>
    <w:rsid w:val="000A7CBB"/>
    <w:rsid w:val="000B422A"/>
    <w:rsid w:val="000C57B8"/>
    <w:rsid w:val="000E40FD"/>
    <w:rsid w:val="000E5D7D"/>
    <w:rsid w:val="000F2A46"/>
    <w:rsid w:val="000F3C75"/>
    <w:rsid w:val="000F41F2"/>
    <w:rsid w:val="000F7A7F"/>
    <w:rsid w:val="0010003F"/>
    <w:rsid w:val="00100750"/>
    <w:rsid w:val="00102F96"/>
    <w:rsid w:val="0010544E"/>
    <w:rsid w:val="00105A5F"/>
    <w:rsid w:val="00111FE5"/>
    <w:rsid w:val="00113403"/>
    <w:rsid w:val="001138F1"/>
    <w:rsid w:val="0011447A"/>
    <w:rsid w:val="00117F02"/>
    <w:rsid w:val="001216CF"/>
    <w:rsid w:val="001249D5"/>
    <w:rsid w:val="0012631E"/>
    <w:rsid w:val="00127D55"/>
    <w:rsid w:val="00135C0D"/>
    <w:rsid w:val="00136077"/>
    <w:rsid w:val="00145E21"/>
    <w:rsid w:val="00153756"/>
    <w:rsid w:val="00157FF8"/>
    <w:rsid w:val="00160540"/>
    <w:rsid w:val="00161A5C"/>
    <w:rsid w:val="00164B1E"/>
    <w:rsid w:val="0017182C"/>
    <w:rsid w:val="00177007"/>
    <w:rsid w:val="001842F6"/>
    <w:rsid w:val="001852A5"/>
    <w:rsid w:val="00186C01"/>
    <w:rsid w:val="00186EE9"/>
    <w:rsid w:val="001901A6"/>
    <w:rsid w:val="00191854"/>
    <w:rsid w:val="00192C34"/>
    <w:rsid w:val="00192EEB"/>
    <w:rsid w:val="00194ED8"/>
    <w:rsid w:val="001A0ADF"/>
    <w:rsid w:val="001A1371"/>
    <w:rsid w:val="001A20FB"/>
    <w:rsid w:val="001A211B"/>
    <w:rsid w:val="001A293E"/>
    <w:rsid w:val="001A348B"/>
    <w:rsid w:val="001A55E3"/>
    <w:rsid w:val="001A7D56"/>
    <w:rsid w:val="001B3B9D"/>
    <w:rsid w:val="001B6F40"/>
    <w:rsid w:val="001C2E31"/>
    <w:rsid w:val="001C5E6F"/>
    <w:rsid w:val="001C60AE"/>
    <w:rsid w:val="001C76A7"/>
    <w:rsid w:val="001D7B06"/>
    <w:rsid w:val="001D7F8A"/>
    <w:rsid w:val="001E3FEB"/>
    <w:rsid w:val="001E4A02"/>
    <w:rsid w:val="001F160E"/>
    <w:rsid w:val="001F1B5A"/>
    <w:rsid w:val="001F419A"/>
    <w:rsid w:val="001F51F2"/>
    <w:rsid w:val="001F5244"/>
    <w:rsid w:val="002013C5"/>
    <w:rsid w:val="00201CFA"/>
    <w:rsid w:val="00207580"/>
    <w:rsid w:val="00217A86"/>
    <w:rsid w:val="002215E6"/>
    <w:rsid w:val="002232AF"/>
    <w:rsid w:val="00223B89"/>
    <w:rsid w:val="00225A8C"/>
    <w:rsid w:val="00232EE1"/>
    <w:rsid w:val="002355EB"/>
    <w:rsid w:val="002375DC"/>
    <w:rsid w:val="00240D36"/>
    <w:rsid w:val="00244494"/>
    <w:rsid w:val="00247143"/>
    <w:rsid w:val="00262CA0"/>
    <w:rsid w:val="002659F1"/>
    <w:rsid w:val="00266CC6"/>
    <w:rsid w:val="00271C7C"/>
    <w:rsid w:val="00273FD3"/>
    <w:rsid w:val="002759E7"/>
    <w:rsid w:val="00285232"/>
    <w:rsid w:val="002873BA"/>
    <w:rsid w:val="00287B39"/>
    <w:rsid w:val="00287E79"/>
    <w:rsid w:val="0029070F"/>
    <w:rsid w:val="00291021"/>
    <w:rsid w:val="00291D90"/>
    <w:rsid w:val="002928F9"/>
    <w:rsid w:val="00293F81"/>
    <w:rsid w:val="00297696"/>
    <w:rsid w:val="002A0518"/>
    <w:rsid w:val="002A073F"/>
    <w:rsid w:val="002A5D07"/>
    <w:rsid w:val="002B2933"/>
    <w:rsid w:val="002B7FBE"/>
    <w:rsid w:val="002C0CBE"/>
    <w:rsid w:val="002C16C3"/>
    <w:rsid w:val="002C2BCA"/>
    <w:rsid w:val="002C67C3"/>
    <w:rsid w:val="002D084F"/>
    <w:rsid w:val="002D136B"/>
    <w:rsid w:val="002D2488"/>
    <w:rsid w:val="002D2DF7"/>
    <w:rsid w:val="002D6D73"/>
    <w:rsid w:val="002D70CC"/>
    <w:rsid w:val="002E12E0"/>
    <w:rsid w:val="002F32A9"/>
    <w:rsid w:val="002F7163"/>
    <w:rsid w:val="003016B7"/>
    <w:rsid w:val="00303E20"/>
    <w:rsid w:val="00310241"/>
    <w:rsid w:val="00313A96"/>
    <w:rsid w:val="00317CE1"/>
    <w:rsid w:val="00321CE8"/>
    <w:rsid w:val="00326069"/>
    <w:rsid w:val="0032688E"/>
    <w:rsid w:val="003278BE"/>
    <w:rsid w:val="00330F9C"/>
    <w:rsid w:val="0033572B"/>
    <w:rsid w:val="003360FB"/>
    <w:rsid w:val="00336E96"/>
    <w:rsid w:val="00340C35"/>
    <w:rsid w:val="003427E7"/>
    <w:rsid w:val="00342FE6"/>
    <w:rsid w:val="00343B7D"/>
    <w:rsid w:val="00344FD9"/>
    <w:rsid w:val="003515AA"/>
    <w:rsid w:val="00352282"/>
    <w:rsid w:val="003545A1"/>
    <w:rsid w:val="00354753"/>
    <w:rsid w:val="003616B4"/>
    <w:rsid w:val="00361DAC"/>
    <w:rsid w:val="00365F33"/>
    <w:rsid w:val="003666F6"/>
    <w:rsid w:val="00367C0A"/>
    <w:rsid w:val="00367DC7"/>
    <w:rsid w:val="00370E0F"/>
    <w:rsid w:val="0037301A"/>
    <w:rsid w:val="00374106"/>
    <w:rsid w:val="003822EB"/>
    <w:rsid w:val="00384443"/>
    <w:rsid w:val="00387337"/>
    <w:rsid w:val="003879D8"/>
    <w:rsid w:val="00391621"/>
    <w:rsid w:val="00395DFE"/>
    <w:rsid w:val="00396F29"/>
    <w:rsid w:val="003976D5"/>
    <w:rsid w:val="00397869"/>
    <w:rsid w:val="003A04D6"/>
    <w:rsid w:val="003A0FE8"/>
    <w:rsid w:val="003A3AE1"/>
    <w:rsid w:val="003B0526"/>
    <w:rsid w:val="003B1596"/>
    <w:rsid w:val="003B3944"/>
    <w:rsid w:val="003B4E7F"/>
    <w:rsid w:val="003B71BA"/>
    <w:rsid w:val="003C7030"/>
    <w:rsid w:val="003D1DF3"/>
    <w:rsid w:val="003D4183"/>
    <w:rsid w:val="003D46A7"/>
    <w:rsid w:val="003D6C68"/>
    <w:rsid w:val="003D77CD"/>
    <w:rsid w:val="003E25A8"/>
    <w:rsid w:val="003E4A29"/>
    <w:rsid w:val="003E6BEF"/>
    <w:rsid w:val="003F143E"/>
    <w:rsid w:val="003F284A"/>
    <w:rsid w:val="003F6314"/>
    <w:rsid w:val="0041094C"/>
    <w:rsid w:val="0041175A"/>
    <w:rsid w:val="00411A77"/>
    <w:rsid w:val="004159D0"/>
    <w:rsid w:val="004249E7"/>
    <w:rsid w:val="00426C6C"/>
    <w:rsid w:val="004302BF"/>
    <w:rsid w:val="0043072D"/>
    <w:rsid w:val="00430E44"/>
    <w:rsid w:val="00434F04"/>
    <w:rsid w:val="00437592"/>
    <w:rsid w:val="00440D4C"/>
    <w:rsid w:val="00442F86"/>
    <w:rsid w:val="00444ACD"/>
    <w:rsid w:val="004456D6"/>
    <w:rsid w:val="00450239"/>
    <w:rsid w:val="004538FB"/>
    <w:rsid w:val="00457722"/>
    <w:rsid w:val="00460292"/>
    <w:rsid w:val="00466E2F"/>
    <w:rsid w:val="004720B1"/>
    <w:rsid w:val="00473A8F"/>
    <w:rsid w:val="00473D03"/>
    <w:rsid w:val="00477896"/>
    <w:rsid w:val="0048239C"/>
    <w:rsid w:val="004853A3"/>
    <w:rsid w:val="004857A6"/>
    <w:rsid w:val="00490450"/>
    <w:rsid w:val="00494835"/>
    <w:rsid w:val="004A6CE7"/>
    <w:rsid w:val="004A7442"/>
    <w:rsid w:val="004B6484"/>
    <w:rsid w:val="004C0D3F"/>
    <w:rsid w:val="004D2005"/>
    <w:rsid w:val="004D3124"/>
    <w:rsid w:val="004D5EBA"/>
    <w:rsid w:val="004D6F75"/>
    <w:rsid w:val="004E1B3D"/>
    <w:rsid w:val="004E2D8E"/>
    <w:rsid w:val="004E5BF0"/>
    <w:rsid w:val="004E68C2"/>
    <w:rsid w:val="004F077A"/>
    <w:rsid w:val="004F143A"/>
    <w:rsid w:val="004F147A"/>
    <w:rsid w:val="004F15C6"/>
    <w:rsid w:val="00502C01"/>
    <w:rsid w:val="00502C64"/>
    <w:rsid w:val="00502EA3"/>
    <w:rsid w:val="00503783"/>
    <w:rsid w:val="00505AE9"/>
    <w:rsid w:val="0050659C"/>
    <w:rsid w:val="00510FAC"/>
    <w:rsid w:val="0051127B"/>
    <w:rsid w:val="005128C5"/>
    <w:rsid w:val="00514DBB"/>
    <w:rsid w:val="0051690A"/>
    <w:rsid w:val="0052189F"/>
    <w:rsid w:val="00523E28"/>
    <w:rsid w:val="0052484D"/>
    <w:rsid w:val="00540287"/>
    <w:rsid w:val="00542549"/>
    <w:rsid w:val="0054385B"/>
    <w:rsid w:val="00543D5E"/>
    <w:rsid w:val="00543D8B"/>
    <w:rsid w:val="00550885"/>
    <w:rsid w:val="005552D8"/>
    <w:rsid w:val="00555E2A"/>
    <w:rsid w:val="005561F0"/>
    <w:rsid w:val="00556B30"/>
    <w:rsid w:val="00565631"/>
    <w:rsid w:val="00571F41"/>
    <w:rsid w:val="00571FCA"/>
    <w:rsid w:val="005740D6"/>
    <w:rsid w:val="00575BDF"/>
    <w:rsid w:val="0057649A"/>
    <w:rsid w:val="005837D4"/>
    <w:rsid w:val="005872B7"/>
    <w:rsid w:val="00595576"/>
    <w:rsid w:val="00595BE4"/>
    <w:rsid w:val="005A3CDD"/>
    <w:rsid w:val="005A636F"/>
    <w:rsid w:val="005B27C4"/>
    <w:rsid w:val="005B56A3"/>
    <w:rsid w:val="005B5842"/>
    <w:rsid w:val="005B71CD"/>
    <w:rsid w:val="005B76A3"/>
    <w:rsid w:val="005D09CF"/>
    <w:rsid w:val="005D42EF"/>
    <w:rsid w:val="005E2FF0"/>
    <w:rsid w:val="005E3F03"/>
    <w:rsid w:val="005E5D1F"/>
    <w:rsid w:val="005F0D33"/>
    <w:rsid w:val="005F5902"/>
    <w:rsid w:val="005F5C4D"/>
    <w:rsid w:val="005F69A2"/>
    <w:rsid w:val="005F7A26"/>
    <w:rsid w:val="00603391"/>
    <w:rsid w:val="00611D43"/>
    <w:rsid w:val="00612D48"/>
    <w:rsid w:val="00614877"/>
    <w:rsid w:val="00615307"/>
    <w:rsid w:val="00616B45"/>
    <w:rsid w:val="00624003"/>
    <w:rsid w:val="00624E22"/>
    <w:rsid w:val="00626764"/>
    <w:rsid w:val="00630D9B"/>
    <w:rsid w:val="00631953"/>
    <w:rsid w:val="00633EBB"/>
    <w:rsid w:val="00634E1A"/>
    <w:rsid w:val="00637CA1"/>
    <w:rsid w:val="00641863"/>
    <w:rsid w:val="006439EC"/>
    <w:rsid w:val="00644577"/>
    <w:rsid w:val="00647DDF"/>
    <w:rsid w:val="00654B40"/>
    <w:rsid w:val="0066068A"/>
    <w:rsid w:val="00661205"/>
    <w:rsid w:val="00661275"/>
    <w:rsid w:val="006612E1"/>
    <w:rsid w:val="0066143D"/>
    <w:rsid w:val="00666A6C"/>
    <w:rsid w:val="00674075"/>
    <w:rsid w:val="0068252A"/>
    <w:rsid w:val="00683A5D"/>
    <w:rsid w:val="00685843"/>
    <w:rsid w:val="006863E9"/>
    <w:rsid w:val="0068646F"/>
    <w:rsid w:val="00686890"/>
    <w:rsid w:val="006A0E9E"/>
    <w:rsid w:val="006A12E1"/>
    <w:rsid w:val="006A187B"/>
    <w:rsid w:val="006A3669"/>
    <w:rsid w:val="006A3ABE"/>
    <w:rsid w:val="006A3F01"/>
    <w:rsid w:val="006A42ED"/>
    <w:rsid w:val="006A71B0"/>
    <w:rsid w:val="006B0D40"/>
    <w:rsid w:val="006B1399"/>
    <w:rsid w:val="006B4590"/>
    <w:rsid w:val="006B59C7"/>
    <w:rsid w:val="006C340C"/>
    <w:rsid w:val="006C6AA1"/>
    <w:rsid w:val="006D1D1C"/>
    <w:rsid w:val="006D666F"/>
    <w:rsid w:val="006D7998"/>
    <w:rsid w:val="006E08AE"/>
    <w:rsid w:val="006E1570"/>
    <w:rsid w:val="006E5FC7"/>
    <w:rsid w:val="006E6626"/>
    <w:rsid w:val="006E7404"/>
    <w:rsid w:val="006E7C7C"/>
    <w:rsid w:val="006F3FA6"/>
    <w:rsid w:val="006F403B"/>
    <w:rsid w:val="006F707A"/>
    <w:rsid w:val="006F73F4"/>
    <w:rsid w:val="006F7CD1"/>
    <w:rsid w:val="006F7F03"/>
    <w:rsid w:val="0070347C"/>
    <w:rsid w:val="00706101"/>
    <w:rsid w:val="00710302"/>
    <w:rsid w:val="007133B7"/>
    <w:rsid w:val="007134A3"/>
    <w:rsid w:val="00713810"/>
    <w:rsid w:val="00715875"/>
    <w:rsid w:val="007176C1"/>
    <w:rsid w:val="00723C42"/>
    <w:rsid w:val="00724DA7"/>
    <w:rsid w:val="00730966"/>
    <w:rsid w:val="00732B3C"/>
    <w:rsid w:val="00733434"/>
    <w:rsid w:val="007338CE"/>
    <w:rsid w:val="00737082"/>
    <w:rsid w:val="007452D8"/>
    <w:rsid w:val="00746F5E"/>
    <w:rsid w:val="0074749A"/>
    <w:rsid w:val="00752E98"/>
    <w:rsid w:val="00756FE9"/>
    <w:rsid w:val="00757FC6"/>
    <w:rsid w:val="00760D11"/>
    <w:rsid w:val="00762229"/>
    <w:rsid w:val="007622B5"/>
    <w:rsid w:val="00763C21"/>
    <w:rsid w:val="00764136"/>
    <w:rsid w:val="00766D06"/>
    <w:rsid w:val="00766E2D"/>
    <w:rsid w:val="00770873"/>
    <w:rsid w:val="00773490"/>
    <w:rsid w:val="007774AE"/>
    <w:rsid w:val="00780D7D"/>
    <w:rsid w:val="00785935"/>
    <w:rsid w:val="00787326"/>
    <w:rsid w:val="00790F2F"/>
    <w:rsid w:val="007A1258"/>
    <w:rsid w:val="007A15A2"/>
    <w:rsid w:val="007A4735"/>
    <w:rsid w:val="007A62EA"/>
    <w:rsid w:val="007B1F1A"/>
    <w:rsid w:val="007B36BD"/>
    <w:rsid w:val="007B3A33"/>
    <w:rsid w:val="007B4D37"/>
    <w:rsid w:val="007C43A7"/>
    <w:rsid w:val="007C61CE"/>
    <w:rsid w:val="007D1A04"/>
    <w:rsid w:val="007D3E47"/>
    <w:rsid w:val="007D4E20"/>
    <w:rsid w:val="007D6D51"/>
    <w:rsid w:val="007E1B56"/>
    <w:rsid w:val="007E1E20"/>
    <w:rsid w:val="007E396C"/>
    <w:rsid w:val="007F133B"/>
    <w:rsid w:val="007F3451"/>
    <w:rsid w:val="007F55CB"/>
    <w:rsid w:val="007F7C67"/>
    <w:rsid w:val="007F7FE2"/>
    <w:rsid w:val="008009CA"/>
    <w:rsid w:val="00802E3D"/>
    <w:rsid w:val="00805445"/>
    <w:rsid w:val="00812342"/>
    <w:rsid w:val="00812C1A"/>
    <w:rsid w:val="00814573"/>
    <w:rsid w:val="008145D6"/>
    <w:rsid w:val="00821AE9"/>
    <w:rsid w:val="00827BA7"/>
    <w:rsid w:val="008317F6"/>
    <w:rsid w:val="00843866"/>
    <w:rsid w:val="00844750"/>
    <w:rsid w:val="0084488A"/>
    <w:rsid w:val="008551C8"/>
    <w:rsid w:val="00856B6B"/>
    <w:rsid w:val="00856D39"/>
    <w:rsid w:val="00860332"/>
    <w:rsid w:val="00862738"/>
    <w:rsid w:val="008627DA"/>
    <w:rsid w:val="0086374A"/>
    <w:rsid w:val="00866670"/>
    <w:rsid w:val="00866A05"/>
    <w:rsid w:val="0087460B"/>
    <w:rsid w:val="00874D82"/>
    <w:rsid w:val="00875439"/>
    <w:rsid w:val="008839C4"/>
    <w:rsid w:val="00884715"/>
    <w:rsid w:val="00886084"/>
    <w:rsid w:val="00891F11"/>
    <w:rsid w:val="00893025"/>
    <w:rsid w:val="008962BF"/>
    <w:rsid w:val="008B21C0"/>
    <w:rsid w:val="008B44C4"/>
    <w:rsid w:val="008B7879"/>
    <w:rsid w:val="008C0879"/>
    <w:rsid w:val="008C0A13"/>
    <w:rsid w:val="008C2D54"/>
    <w:rsid w:val="008C3758"/>
    <w:rsid w:val="008C39AC"/>
    <w:rsid w:val="008C52FB"/>
    <w:rsid w:val="008D09AA"/>
    <w:rsid w:val="008D2420"/>
    <w:rsid w:val="008D3919"/>
    <w:rsid w:val="008E4410"/>
    <w:rsid w:val="008E7FAE"/>
    <w:rsid w:val="008F0F36"/>
    <w:rsid w:val="008F17E2"/>
    <w:rsid w:val="008F2933"/>
    <w:rsid w:val="008F3100"/>
    <w:rsid w:val="008F68AA"/>
    <w:rsid w:val="00901556"/>
    <w:rsid w:val="00902AB0"/>
    <w:rsid w:val="0090498A"/>
    <w:rsid w:val="00904E96"/>
    <w:rsid w:val="00905FBF"/>
    <w:rsid w:val="009117E5"/>
    <w:rsid w:val="00911BF7"/>
    <w:rsid w:val="00917113"/>
    <w:rsid w:val="00920C60"/>
    <w:rsid w:val="009211D4"/>
    <w:rsid w:val="00922C77"/>
    <w:rsid w:val="0092677D"/>
    <w:rsid w:val="009267F1"/>
    <w:rsid w:val="009279E7"/>
    <w:rsid w:val="00930B0E"/>
    <w:rsid w:val="00934D4C"/>
    <w:rsid w:val="00936F5A"/>
    <w:rsid w:val="009407D4"/>
    <w:rsid w:val="009425C8"/>
    <w:rsid w:val="009470BD"/>
    <w:rsid w:val="00952FDB"/>
    <w:rsid w:val="00955275"/>
    <w:rsid w:val="009556DB"/>
    <w:rsid w:val="0096487B"/>
    <w:rsid w:val="00966974"/>
    <w:rsid w:val="00970F6B"/>
    <w:rsid w:val="00971562"/>
    <w:rsid w:val="00976327"/>
    <w:rsid w:val="00977EC8"/>
    <w:rsid w:val="00980780"/>
    <w:rsid w:val="00981ED3"/>
    <w:rsid w:val="00982B5B"/>
    <w:rsid w:val="00983DA0"/>
    <w:rsid w:val="009843B4"/>
    <w:rsid w:val="00986003"/>
    <w:rsid w:val="00986094"/>
    <w:rsid w:val="00992359"/>
    <w:rsid w:val="009948E3"/>
    <w:rsid w:val="00995D02"/>
    <w:rsid w:val="00995EDD"/>
    <w:rsid w:val="009A09FE"/>
    <w:rsid w:val="009A321F"/>
    <w:rsid w:val="009A6A9E"/>
    <w:rsid w:val="009B0BAB"/>
    <w:rsid w:val="009B248C"/>
    <w:rsid w:val="009B27C0"/>
    <w:rsid w:val="009B593E"/>
    <w:rsid w:val="009B7AE1"/>
    <w:rsid w:val="009C00A3"/>
    <w:rsid w:val="009C2C0A"/>
    <w:rsid w:val="009C60E8"/>
    <w:rsid w:val="009D3A8C"/>
    <w:rsid w:val="009D5458"/>
    <w:rsid w:val="009D55C8"/>
    <w:rsid w:val="009D64C4"/>
    <w:rsid w:val="009D7A29"/>
    <w:rsid w:val="009E3E43"/>
    <w:rsid w:val="009E3FC7"/>
    <w:rsid w:val="009E7956"/>
    <w:rsid w:val="009F21AC"/>
    <w:rsid w:val="009F3A13"/>
    <w:rsid w:val="00A0313F"/>
    <w:rsid w:val="00A03E0F"/>
    <w:rsid w:val="00A050FA"/>
    <w:rsid w:val="00A103AF"/>
    <w:rsid w:val="00A21A8C"/>
    <w:rsid w:val="00A2492E"/>
    <w:rsid w:val="00A24FEE"/>
    <w:rsid w:val="00A319C7"/>
    <w:rsid w:val="00A326FA"/>
    <w:rsid w:val="00A3456B"/>
    <w:rsid w:val="00A345D9"/>
    <w:rsid w:val="00A34891"/>
    <w:rsid w:val="00A35E18"/>
    <w:rsid w:val="00A40C86"/>
    <w:rsid w:val="00A455E2"/>
    <w:rsid w:val="00A50691"/>
    <w:rsid w:val="00A52538"/>
    <w:rsid w:val="00A5529C"/>
    <w:rsid w:val="00A554DE"/>
    <w:rsid w:val="00A55C74"/>
    <w:rsid w:val="00A566C8"/>
    <w:rsid w:val="00A57313"/>
    <w:rsid w:val="00A6018E"/>
    <w:rsid w:val="00A625A3"/>
    <w:rsid w:val="00A62D08"/>
    <w:rsid w:val="00A67496"/>
    <w:rsid w:val="00A70163"/>
    <w:rsid w:val="00A70E42"/>
    <w:rsid w:val="00A70EF3"/>
    <w:rsid w:val="00A71547"/>
    <w:rsid w:val="00A718C3"/>
    <w:rsid w:val="00A73E59"/>
    <w:rsid w:val="00A9646C"/>
    <w:rsid w:val="00A97264"/>
    <w:rsid w:val="00A97414"/>
    <w:rsid w:val="00AA2A81"/>
    <w:rsid w:val="00AA477F"/>
    <w:rsid w:val="00AA4811"/>
    <w:rsid w:val="00AB0BCE"/>
    <w:rsid w:val="00AB0C2B"/>
    <w:rsid w:val="00AB21D5"/>
    <w:rsid w:val="00AB58DF"/>
    <w:rsid w:val="00AB70B4"/>
    <w:rsid w:val="00AC17D7"/>
    <w:rsid w:val="00AC4A31"/>
    <w:rsid w:val="00AC67A1"/>
    <w:rsid w:val="00AC7259"/>
    <w:rsid w:val="00AC7322"/>
    <w:rsid w:val="00AC7977"/>
    <w:rsid w:val="00AD4644"/>
    <w:rsid w:val="00AD56A1"/>
    <w:rsid w:val="00AD79AF"/>
    <w:rsid w:val="00AE0D21"/>
    <w:rsid w:val="00AE1636"/>
    <w:rsid w:val="00AE16CE"/>
    <w:rsid w:val="00AE1A84"/>
    <w:rsid w:val="00AE352C"/>
    <w:rsid w:val="00AE496C"/>
    <w:rsid w:val="00AE4BCF"/>
    <w:rsid w:val="00AE656F"/>
    <w:rsid w:val="00AE794F"/>
    <w:rsid w:val="00AF0CDA"/>
    <w:rsid w:val="00AF5B6E"/>
    <w:rsid w:val="00B114C3"/>
    <w:rsid w:val="00B11FED"/>
    <w:rsid w:val="00B12AB4"/>
    <w:rsid w:val="00B204B1"/>
    <w:rsid w:val="00B20C7B"/>
    <w:rsid w:val="00B20E76"/>
    <w:rsid w:val="00B21B20"/>
    <w:rsid w:val="00B22C30"/>
    <w:rsid w:val="00B2541E"/>
    <w:rsid w:val="00B26C2E"/>
    <w:rsid w:val="00B3067B"/>
    <w:rsid w:val="00B314A3"/>
    <w:rsid w:val="00B32E2D"/>
    <w:rsid w:val="00B367AE"/>
    <w:rsid w:val="00B40613"/>
    <w:rsid w:val="00B40828"/>
    <w:rsid w:val="00B40B7D"/>
    <w:rsid w:val="00B412F8"/>
    <w:rsid w:val="00B42F1C"/>
    <w:rsid w:val="00B4466B"/>
    <w:rsid w:val="00B54386"/>
    <w:rsid w:val="00B56C2A"/>
    <w:rsid w:val="00B61990"/>
    <w:rsid w:val="00B61BB9"/>
    <w:rsid w:val="00B64C66"/>
    <w:rsid w:val="00B66675"/>
    <w:rsid w:val="00B706B3"/>
    <w:rsid w:val="00B73F31"/>
    <w:rsid w:val="00B778BF"/>
    <w:rsid w:val="00B83F6C"/>
    <w:rsid w:val="00B85D99"/>
    <w:rsid w:val="00B93E72"/>
    <w:rsid w:val="00BA1F58"/>
    <w:rsid w:val="00BA38FC"/>
    <w:rsid w:val="00BA729C"/>
    <w:rsid w:val="00BB09FF"/>
    <w:rsid w:val="00BB0D0A"/>
    <w:rsid w:val="00BB19AA"/>
    <w:rsid w:val="00BB1F39"/>
    <w:rsid w:val="00BB2AD4"/>
    <w:rsid w:val="00BB3264"/>
    <w:rsid w:val="00BB5337"/>
    <w:rsid w:val="00BC4943"/>
    <w:rsid w:val="00BC5BB3"/>
    <w:rsid w:val="00BC6718"/>
    <w:rsid w:val="00BD06E5"/>
    <w:rsid w:val="00BD4CF1"/>
    <w:rsid w:val="00BD71C8"/>
    <w:rsid w:val="00BE1164"/>
    <w:rsid w:val="00BE15E7"/>
    <w:rsid w:val="00BE4D7E"/>
    <w:rsid w:val="00BE5E6F"/>
    <w:rsid w:val="00BE6A9F"/>
    <w:rsid w:val="00BE74F0"/>
    <w:rsid w:val="00BE78EB"/>
    <w:rsid w:val="00BE7B88"/>
    <w:rsid w:val="00BF0556"/>
    <w:rsid w:val="00BF121A"/>
    <w:rsid w:val="00BF2655"/>
    <w:rsid w:val="00BF3DA9"/>
    <w:rsid w:val="00BF6A48"/>
    <w:rsid w:val="00C03644"/>
    <w:rsid w:val="00C03778"/>
    <w:rsid w:val="00C04A87"/>
    <w:rsid w:val="00C0726C"/>
    <w:rsid w:val="00C11802"/>
    <w:rsid w:val="00C17138"/>
    <w:rsid w:val="00C243E6"/>
    <w:rsid w:val="00C24B53"/>
    <w:rsid w:val="00C24E22"/>
    <w:rsid w:val="00C25547"/>
    <w:rsid w:val="00C261F8"/>
    <w:rsid w:val="00C2665A"/>
    <w:rsid w:val="00C33100"/>
    <w:rsid w:val="00C446E9"/>
    <w:rsid w:val="00C44E5A"/>
    <w:rsid w:val="00C52995"/>
    <w:rsid w:val="00C5325A"/>
    <w:rsid w:val="00C53BAF"/>
    <w:rsid w:val="00C53CCE"/>
    <w:rsid w:val="00C5420F"/>
    <w:rsid w:val="00C54AA6"/>
    <w:rsid w:val="00C54DC3"/>
    <w:rsid w:val="00C60530"/>
    <w:rsid w:val="00C62474"/>
    <w:rsid w:val="00C63328"/>
    <w:rsid w:val="00C64C4A"/>
    <w:rsid w:val="00C65053"/>
    <w:rsid w:val="00C6664E"/>
    <w:rsid w:val="00C70623"/>
    <w:rsid w:val="00C70CA1"/>
    <w:rsid w:val="00C70EBC"/>
    <w:rsid w:val="00C7350D"/>
    <w:rsid w:val="00C83AC3"/>
    <w:rsid w:val="00C860F8"/>
    <w:rsid w:val="00C91266"/>
    <w:rsid w:val="00C925EC"/>
    <w:rsid w:val="00C940E9"/>
    <w:rsid w:val="00C94120"/>
    <w:rsid w:val="00C959B3"/>
    <w:rsid w:val="00C96972"/>
    <w:rsid w:val="00CA49A6"/>
    <w:rsid w:val="00CA5B49"/>
    <w:rsid w:val="00CB051C"/>
    <w:rsid w:val="00CB1F1C"/>
    <w:rsid w:val="00CB6267"/>
    <w:rsid w:val="00CD0509"/>
    <w:rsid w:val="00CD081A"/>
    <w:rsid w:val="00CD1A71"/>
    <w:rsid w:val="00CD1FBB"/>
    <w:rsid w:val="00CD5B18"/>
    <w:rsid w:val="00CE32FE"/>
    <w:rsid w:val="00CE4FBA"/>
    <w:rsid w:val="00CE5A9C"/>
    <w:rsid w:val="00CE7227"/>
    <w:rsid w:val="00CF22B0"/>
    <w:rsid w:val="00CF7972"/>
    <w:rsid w:val="00D016B5"/>
    <w:rsid w:val="00D034F1"/>
    <w:rsid w:val="00D03A33"/>
    <w:rsid w:val="00D069A6"/>
    <w:rsid w:val="00D11B17"/>
    <w:rsid w:val="00D11DC3"/>
    <w:rsid w:val="00D13FB6"/>
    <w:rsid w:val="00D142CE"/>
    <w:rsid w:val="00D17B35"/>
    <w:rsid w:val="00D17F5B"/>
    <w:rsid w:val="00D218F8"/>
    <w:rsid w:val="00D23599"/>
    <w:rsid w:val="00D27155"/>
    <w:rsid w:val="00D27D5E"/>
    <w:rsid w:val="00D30ABC"/>
    <w:rsid w:val="00D3144D"/>
    <w:rsid w:val="00D3199E"/>
    <w:rsid w:val="00D371F4"/>
    <w:rsid w:val="00D44EF3"/>
    <w:rsid w:val="00D47A16"/>
    <w:rsid w:val="00D525CA"/>
    <w:rsid w:val="00D55297"/>
    <w:rsid w:val="00D56A9E"/>
    <w:rsid w:val="00D57082"/>
    <w:rsid w:val="00D57C1E"/>
    <w:rsid w:val="00D60301"/>
    <w:rsid w:val="00D604F1"/>
    <w:rsid w:val="00D6454D"/>
    <w:rsid w:val="00D71BC0"/>
    <w:rsid w:val="00D74C4B"/>
    <w:rsid w:val="00D75A9A"/>
    <w:rsid w:val="00D84105"/>
    <w:rsid w:val="00D9152F"/>
    <w:rsid w:val="00D9454D"/>
    <w:rsid w:val="00D967C7"/>
    <w:rsid w:val="00DA153B"/>
    <w:rsid w:val="00DA57D4"/>
    <w:rsid w:val="00DA7672"/>
    <w:rsid w:val="00DB2190"/>
    <w:rsid w:val="00DB2B61"/>
    <w:rsid w:val="00DB4793"/>
    <w:rsid w:val="00DB638A"/>
    <w:rsid w:val="00DC1070"/>
    <w:rsid w:val="00DC1C9E"/>
    <w:rsid w:val="00DD3462"/>
    <w:rsid w:val="00DD507E"/>
    <w:rsid w:val="00DD6E2C"/>
    <w:rsid w:val="00DD7C0A"/>
    <w:rsid w:val="00DE01E3"/>
    <w:rsid w:val="00DE17DD"/>
    <w:rsid w:val="00DE2996"/>
    <w:rsid w:val="00DE468F"/>
    <w:rsid w:val="00DE6023"/>
    <w:rsid w:val="00DE6D90"/>
    <w:rsid w:val="00DF002F"/>
    <w:rsid w:val="00E0244D"/>
    <w:rsid w:val="00E02A4F"/>
    <w:rsid w:val="00E03A64"/>
    <w:rsid w:val="00E042FA"/>
    <w:rsid w:val="00E04CA6"/>
    <w:rsid w:val="00E14106"/>
    <w:rsid w:val="00E143E4"/>
    <w:rsid w:val="00E15840"/>
    <w:rsid w:val="00E16C22"/>
    <w:rsid w:val="00E16EAA"/>
    <w:rsid w:val="00E259A2"/>
    <w:rsid w:val="00E25CEE"/>
    <w:rsid w:val="00E42D23"/>
    <w:rsid w:val="00E42F9B"/>
    <w:rsid w:val="00E4481A"/>
    <w:rsid w:val="00E4491D"/>
    <w:rsid w:val="00E44D84"/>
    <w:rsid w:val="00E467D9"/>
    <w:rsid w:val="00E511D5"/>
    <w:rsid w:val="00E55D71"/>
    <w:rsid w:val="00E57077"/>
    <w:rsid w:val="00E60EAA"/>
    <w:rsid w:val="00E61A2F"/>
    <w:rsid w:val="00E63421"/>
    <w:rsid w:val="00E65CA4"/>
    <w:rsid w:val="00E74371"/>
    <w:rsid w:val="00E81C57"/>
    <w:rsid w:val="00E81E94"/>
    <w:rsid w:val="00E82607"/>
    <w:rsid w:val="00E84C69"/>
    <w:rsid w:val="00E84E79"/>
    <w:rsid w:val="00EA31C2"/>
    <w:rsid w:val="00EB04A0"/>
    <w:rsid w:val="00EB3AA0"/>
    <w:rsid w:val="00EB5538"/>
    <w:rsid w:val="00EB7551"/>
    <w:rsid w:val="00EB76AC"/>
    <w:rsid w:val="00EB7C7C"/>
    <w:rsid w:val="00EC6E4B"/>
    <w:rsid w:val="00ED0A27"/>
    <w:rsid w:val="00ED2225"/>
    <w:rsid w:val="00ED2EDD"/>
    <w:rsid w:val="00ED7FBA"/>
    <w:rsid w:val="00EE2EA3"/>
    <w:rsid w:val="00EE3925"/>
    <w:rsid w:val="00EE6490"/>
    <w:rsid w:val="00EF3A5B"/>
    <w:rsid w:val="00EF516A"/>
    <w:rsid w:val="00EF6183"/>
    <w:rsid w:val="00EF73A7"/>
    <w:rsid w:val="00F00678"/>
    <w:rsid w:val="00F01516"/>
    <w:rsid w:val="00F06C2A"/>
    <w:rsid w:val="00F11214"/>
    <w:rsid w:val="00F15C00"/>
    <w:rsid w:val="00F16AC6"/>
    <w:rsid w:val="00F20C8B"/>
    <w:rsid w:val="00F2438C"/>
    <w:rsid w:val="00F26427"/>
    <w:rsid w:val="00F30D47"/>
    <w:rsid w:val="00F3201D"/>
    <w:rsid w:val="00F329FC"/>
    <w:rsid w:val="00F32F9A"/>
    <w:rsid w:val="00F37D06"/>
    <w:rsid w:val="00F45774"/>
    <w:rsid w:val="00F46696"/>
    <w:rsid w:val="00F56037"/>
    <w:rsid w:val="00F57129"/>
    <w:rsid w:val="00F610A1"/>
    <w:rsid w:val="00F614CA"/>
    <w:rsid w:val="00F6284B"/>
    <w:rsid w:val="00F65306"/>
    <w:rsid w:val="00F6679D"/>
    <w:rsid w:val="00F66822"/>
    <w:rsid w:val="00F755A5"/>
    <w:rsid w:val="00F765E2"/>
    <w:rsid w:val="00F822AD"/>
    <w:rsid w:val="00F824FB"/>
    <w:rsid w:val="00F82C31"/>
    <w:rsid w:val="00F82F0A"/>
    <w:rsid w:val="00F84B0F"/>
    <w:rsid w:val="00F86EF3"/>
    <w:rsid w:val="00F870FA"/>
    <w:rsid w:val="00F87BC6"/>
    <w:rsid w:val="00F906FA"/>
    <w:rsid w:val="00F96B3F"/>
    <w:rsid w:val="00F97DB6"/>
    <w:rsid w:val="00FA0616"/>
    <w:rsid w:val="00FA19A0"/>
    <w:rsid w:val="00FA5A79"/>
    <w:rsid w:val="00FB00CB"/>
    <w:rsid w:val="00FB0BFE"/>
    <w:rsid w:val="00FB122F"/>
    <w:rsid w:val="00FB43DE"/>
    <w:rsid w:val="00FB4C51"/>
    <w:rsid w:val="00FC0F63"/>
    <w:rsid w:val="00FC74F9"/>
    <w:rsid w:val="00FD04D2"/>
    <w:rsid w:val="00FD2942"/>
    <w:rsid w:val="00FD2D62"/>
    <w:rsid w:val="00FD3F34"/>
    <w:rsid w:val="00FD4AFF"/>
    <w:rsid w:val="00FE19D6"/>
    <w:rsid w:val="00FE3F5B"/>
    <w:rsid w:val="00FF16C1"/>
    <w:rsid w:val="00FF1DBD"/>
    <w:rsid w:val="00FF2A3F"/>
    <w:rsid w:val="00FF438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  <w15:docId w15:val="{1595A2E0-70AB-44AE-A2BB-F6F9368A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,Fußnotentext Char,5_GR Char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A9646C"/>
    <w:rPr>
      <w:lang w:val="fr-CH" w:eastAsia="en-US"/>
    </w:rPr>
  </w:style>
  <w:style w:type="character" w:customStyle="1" w:styleId="eop">
    <w:name w:val="eop"/>
    <w:basedOn w:val="DefaultParagraphFont"/>
    <w:rsid w:val="00AE496C"/>
  </w:style>
  <w:style w:type="paragraph" w:customStyle="1" w:styleId="SingleTxtGR">
    <w:name w:val="_ Single Txt_GR"/>
    <w:basedOn w:val="Normal"/>
    <w:rsid w:val="001C76A7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a0">
    <w:name w:val="Основной текст_"/>
    <w:basedOn w:val="DefaultParagraphFont"/>
    <w:link w:val="1"/>
    <w:rsid w:val="001A55E3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1A55E3"/>
    <w:pPr>
      <w:widowControl w:val="0"/>
      <w:shd w:val="clear" w:color="auto" w:fill="FFFFFF"/>
      <w:suppressAutoHyphens w:val="0"/>
      <w:spacing w:after="220" w:line="240" w:lineRule="auto"/>
    </w:pPr>
    <w:rPr>
      <w:sz w:val="22"/>
      <w:szCs w:val="22"/>
      <w:lang w:val="en-US" w:eastAsia="zh-CN"/>
    </w:rPr>
  </w:style>
  <w:style w:type="character" w:customStyle="1" w:styleId="a1">
    <w:name w:val="Другое_"/>
    <w:basedOn w:val="DefaultParagraphFont"/>
    <w:link w:val="a2"/>
    <w:rsid w:val="00FF16C1"/>
    <w:rPr>
      <w:sz w:val="22"/>
      <w:szCs w:val="22"/>
      <w:shd w:val="clear" w:color="auto" w:fill="FFFFFF"/>
    </w:rPr>
  </w:style>
  <w:style w:type="paragraph" w:customStyle="1" w:styleId="a2">
    <w:name w:val="Другое"/>
    <w:basedOn w:val="Normal"/>
    <w:link w:val="a1"/>
    <w:rsid w:val="00FF16C1"/>
    <w:pPr>
      <w:widowControl w:val="0"/>
      <w:shd w:val="clear" w:color="auto" w:fill="FFFFFF"/>
      <w:suppressAutoHyphens w:val="0"/>
      <w:spacing w:after="220" w:line="240" w:lineRule="auto"/>
    </w:pPr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9C60B-6625-446E-B14A-CFE02D83F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31BDB-9AA0-4660-B1BA-D437370D9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18AF3-7E60-451B-8501-FCAD1D66EC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358619A2-31B6-4A2C-853A-31FAD32A0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3596</Characters>
  <Application>Microsoft Office Word</Application>
  <DocSecurity>0</DocSecurity>
  <Lines>93</Lines>
  <Paragraphs>57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ECE/TRANS/WP.29/GRBP/2021/7</vt:lpstr>
      <vt:lpstr>ECE/TRANS/WP.29/GRBP/2020/20</vt:lpstr>
      <vt:lpstr>ECE/TRANS/WP.29/2009/...</vt:lpstr>
      <vt:lpstr>ECE/TRANS/WP.29/2009/...</vt:lpstr>
    </vt:vector>
  </TitlesOfParts>
  <Company>CSD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ECE/TRANS/WP.29/GRBP/2024/19</dc:title>
  <dc:subject>2411951</dc:subject>
  <dc:creator>Corinne</dc:creator>
  <cp:keywords/>
  <dc:description/>
  <cp:lastModifiedBy>Anni Vi</cp:lastModifiedBy>
  <cp:revision>2</cp:revision>
  <cp:lastPrinted>2020-11-09T15:21:00Z</cp:lastPrinted>
  <dcterms:created xsi:type="dcterms:W3CDTF">2024-07-02T09:15:00Z</dcterms:created>
  <dcterms:modified xsi:type="dcterms:W3CDTF">2024-07-02T09:15:00Z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2020-06-15T16:40:07.6302915+02:00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0x0101003B8422D08C252547BB1CFA7F78E2CB83</vt:lpwstr>
  </property>
  <property fmtid="{D5CDD505-2E9C-101B-9397-08002B2CF9AE}" pid="12" name="Office_x0020_of_x0020_Origin">
    <vt:lpwstr/>
  </property>
  <property fmtid="{D5CDD505-2E9C-101B-9397-08002B2CF9AE}" pid="13" name="MediaServiceImageTags">
    <vt:lpwstr/>
  </property>
  <property fmtid="{D5CDD505-2E9C-101B-9397-08002B2CF9AE}" pid="14" name="gba66df640194346a5267c50f24d4797">
    <vt:lpwstr/>
  </property>
  <property fmtid="{D5CDD505-2E9C-101B-9397-08002B2CF9AE}" pid="15" name="Office of Origin">
    <vt:lpwstr/>
  </property>
</Properties>
</file>