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84B3EE" w14:textId="77777777" w:rsidTr="00B20551">
        <w:trPr>
          <w:cantSplit/>
          <w:trHeight w:hRule="exact" w:val="851"/>
        </w:trPr>
        <w:tc>
          <w:tcPr>
            <w:tcW w:w="1276" w:type="dxa"/>
            <w:tcBorders>
              <w:bottom w:val="single" w:sz="4" w:space="0" w:color="auto"/>
            </w:tcBorders>
            <w:vAlign w:val="bottom"/>
          </w:tcPr>
          <w:p w14:paraId="3A96778A" w14:textId="77777777" w:rsidR="009E6CB7" w:rsidRDefault="009E6CB7" w:rsidP="00B20551">
            <w:pPr>
              <w:spacing w:after="80"/>
            </w:pPr>
          </w:p>
        </w:tc>
        <w:tc>
          <w:tcPr>
            <w:tcW w:w="2268" w:type="dxa"/>
            <w:tcBorders>
              <w:bottom w:val="single" w:sz="4" w:space="0" w:color="auto"/>
            </w:tcBorders>
            <w:vAlign w:val="bottom"/>
          </w:tcPr>
          <w:p w14:paraId="3974B4E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D4C3471" w14:textId="371BF9FA" w:rsidR="009E6CB7" w:rsidRPr="00D47EEA" w:rsidRDefault="00036C29" w:rsidP="00036C29">
            <w:pPr>
              <w:jc w:val="right"/>
            </w:pPr>
            <w:r w:rsidRPr="00036C29">
              <w:rPr>
                <w:sz w:val="40"/>
              </w:rPr>
              <w:t>ECE</w:t>
            </w:r>
            <w:r>
              <w:t>/TRANS/WP.15/AC.1/2024/41</w:t>
            </w:r>
          </w:p>
        </w:tc>
      </w:tr>
      <w:tr w:rsidR="009E6CB7" w14:paraId="7AC44585" w14:textId="77777777" w:rsidTr="00B20551">
        <w:trPr>
          <w:cantSplit/>
          <w:trHeight w:hRule="exact" w:val="2835"/>
        </w:trPr>
        <w:tc>
          <w:tcPr>
            <w:tcW w:w="1276" w:type="dxa"/>
            <w:tcBorders>
              <w:top w:val="single" w:sz="4" w:space="0" w:color="auto"/>
              <w:bottom w:val="single" w:sz="12" w:space="0" w:color="auto"/>
            </w:tcBorders>
          </w:tcPr>
          <w:p w14:paraId="20F7AC58" w14:textId="77777777" w:rsidR="009E6CB7" w:rsidRDefault="00686A48" w:rsidP="00B20551">
            <w:pPr>
              <w:spacing w:before="120"/>
            </w:pPr>
            <w:r>
              <w:rPr>
                <w:noProof/>
                <w:lang w:val="fr-CH" w:eastAsia="fr-CH"/>
              </w:rPr>
              <w:drawing>
                <wp:inline distT="0" distB="0" distL="0" distR="0" wp14:anchorId="2053B908" wp14:editId="46EE36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9B819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2E162B" w14:textId="77777777" w:rsidR="009E6CB7" w:rsidRDefault="00036C29" w:rsidP="00036C29">
            <w:pPr>
              <w:spacing w:before="240" w:line="240" w:lineRule="exact"/>
            </w:pPr>
            <w:r>
              <w:t>Distr.: General</w:t>
            </w:r>
          </w:p>
          <w:p w14:paraId="5C519E56" w14:textId="4198A3FA" w:rsidR="00036C29" w:rsidRDefault="00036C29" w:rsidP="00036C29">
            <w:pPr>
              <w:spacing w:line="240" w:lineRule="exact"/>
            </w:pPr>
            <w:r>
              <w:t>2</w:t>
            </w:r>
            <w:r w:rsidR="00353049">
              <w:t>6</w:t>
            </w:r>
            <w:r>
              <w:t xml:space="preserve"> June 2024</w:t>
            </w:r>
          </w:p>
          <w:p w14:paraId="64949569" w14:textId="77777777" w:rsidR="00036C29" w:rsidRDefault="00036C29" w:rsidP="00036C29">
            <w:pPr>
              <w:spacing w:line="240" w:lineRule="exact"/>
            </w:pPr>
          </w:p>
          <w:p w14:paraId="60C82F1D" w14:textId="3334D960" w:rsidR="00036C29" w:rsidRDefault="00036C29" w:rsidP="00036C29">
            <w:pPr>
              <w:spacing w:line="240" w:lineRule="exact"/>
            </w:pPr>
            <w:r>
              <w:t>Original: English</w:t>
            </w:r>
          </w:p>
        </w:tc>
      </w:tr>
    </w:tbl>
    <w:p w14:paraId="7AE93ACB" w14:textId="77777777" w:rsidR="00036C29" w:rsidRPr="00960236" w:rsidRDefault="00036C29" w:rsidP="00C411EB">
      <w:pPr>
        <w:spacing w:before="120"/>
        <w:rPr>
          <w:b/>
          <w:sz w:val="28"/>
          <w:szCs w:val="28"/>
        </w:rPr>
      </w:pPr>
      <w:r w:rsidRPr="00960236">
        <w:rPr>
          <w:b/>
          <w:sz w:val="28"/>
          <w:szCs w:val="28"/>
        </w:rPr>
        <w:t>Economic Commission for Europe</w:t>
      </w:r>
    </w:p>
    <w:p w14:paraId="60817854" w14:textId="77777777" w:rsidR="00036C29" w:rsidRPr="00960236" w:rsidRDefault="00036C29" w:rsidP="00C411EB">
      <w:pPr>
        <w:spacing w:before="120"/>
        <w:rPr>
          <w:sz w:val="28"/>
          <w:szCs w:val="28"/>
        </w:rPr>
      </w:pPr>
      <w:r w:rsidRPr="00960236">
        <w:rPr>
          <w:sz w:val="28"/>
          <w:szCs w:val="28"/>
        </w:rPr>
        <w:t>Inland Transport Committee</w:t>
      </w:r>
    </w:p>
    <w:p w14:paraId="61F20EA6" w14:textId="77777777" w:rsidR="00036C29" w:rsidRPr="00960236" w:rsidRDefault="00036C29" w:rsidP="00C411EB">
      <w:pPr>
        <w:spacing w:before="120"/>
        <w:rPr>
          <w:b/>
          <w:sz w:val="24"/>
          <w:szCs w:val="24"/>
        </w:rPr>
      </w:pPr>
      <w:r w:rsidRPr="00960236">
        <w:rPr>
          <w:b/>
          <w:sz w:val="24"/>
          <w:szCs w:val="24"/>
        </w:rPr>
        <w:t>Working Party on the Transport of Dangerous Goods</w:t>
      </w:r>
    </w:p>
    <w:p w14:paraId="1E28D1DF" w14:textId="77777777" w:rsidR="00036C29" w:rsidRPr="00960236" w:rsidRDefault="00036C2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F080A24" w14:textId="2E608BEF" w:rsidR="00036C29" w:rsidRDefault="00036C29" w:rsidP="00C411EB">
      <w:r>
        <w:t xml:space="preserve">Geneva, </w:t>
      </w:r>
      <w:r w:rsidR="00F26E79">
        <w:t>9-13 September 2024</w:t>
      </w:r>
    </w:p>
    <w:p w14:paraId="1279CE6A" w14:textId="5E9B4680" w:rsidR="00036C29" w:rsidRDefault="00036C29" w:rsidP="00C411EB">
      <w:r>
        <w:t>Item</w:t>
      </w:r>
      <w:r w:rsidR="00F26E79">
        <w:t xml:space="preserve"> 5 (b)</w:t>
      </w:r>
      <w:r>
        <w:t xml:space="preserve"> of the provisional agenda</w:t>
      </w:r>
    </w:p>
    <w:p w14:paraId="091B3D4B" w14:textId="3A8C0616" w:rsidR="00025CBD" w:rsidRPr="00FE4160" w:rsidRDefault="00614A90" w:rsidP="00C411EB">
      <w:pPr>
        <w:rPr>
          <w:b/>
          <w:bCs/>
        </w:rPr>
      </w:pPr>
      <w:r w:rsidRPr="00FE4160">
        <w:rPr>
          <w:b/>
          <w:bCs/>
        </w:rPr>
        <w:t>Proposals for amendments to RID/ADR/ADN:</w:t>
      </w:r>
      <w:r w:rsidRPr="00FE4160">
        <w:rPr>
          <w:b/>
          <w:bCs/>
        </w:rPr>
        <w:br/>
      </w:r>
      <w:r w:rsidR="00FE4160" w:rsidRPr="00FE4160">
        <w:rPr>
          <w:b/>
          <w:bCs/>
        </w:rPr>
        <w:t>New proposals</w:t>
      </w:r>
    </w:p>
    <w:p w14:paraId="0D965EFF" w14:textId="5E5DA30B" w:rsidR="00BB6BF1" w:rsidRPr="00BB6BF1" w:rsidRDefault="00BB6BF1" w:rsidP="00BB6BF1">
      <w:pPr>
        <w:pStyle w:val="HChG"/>
      </w:pPr>
      <w:r>
        <w:tab/>
      </w:r>
      <w:r>
        <w:tab/>
      </w:r>
      <w:r w:rsidRPr="00BB6BF1">
        <w:t>National procedures for determining the inspection intervals for pressure receptacles which make use of composite materials in accordance with packaging instruction P</w:t>
      </w:r>
      <w:r w:rsidR="0012135F">
        <w:t> </w:t>
      </w:r>
      <w:r w:rsidRPr="00BB6BF1">
        <w:t>200 (9)</w:t>
      </w:r>
    </w:p>
    <w:p w14:paraId="0DAAB187" w14:textId="1211AEE6" w:rsidR="001C6663" w:rsidRDefault="00BB6BF1" w:rsidP="00BB6BF1">
      <w:pPr>
        <w:pStyle w:val="H1G"/>
        <w:rPr>
          <w:sz w:val="20"/>
        </w:rPr>
      </w:pPr>
      <w:r>
        <w:tab/>
      </w:r>
      <w:r>
        <w:tab/>
        <w:t>Transmitted by the Government of Germany</w:t>
      </w:r>
      <w:r w:rsidRPr="00BB6BF1">
        <w:rPr>
          <w:rStyle w:val="FootnoteReference"/>
          <w:sz w:val="20"/>
          <w:vertAlign w:val="baseline"/>
        </w:rPr>
        <w:footnoteReference w:customMarkFollows="1" w:id="2"/>
        <w:t>*</w:t>
      </w:r>
      <w:r w:rsidR="002B2BA2">
        <w:rPr>
          <w:sz w:val="20"/>
        </w:rPr>
        <w:t xml:space="preserve">, </w:t>
      </w:r>
      <w:r w:rsidR="002B2BA2" w:rsidRPr="002B2BA2">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3429C" w14:paraId="0E805584" w14:textId="77777777" w:rsidTr="006E5E26">
        <w:trPr>
          <w:jc w:val="center"/>
        </w:trPr>
        <w:tc>
          <w:tcPr>
            <w:tcW w:w="9637" w:type="dxa"/>
            <w:shd w:val="clear" w:color="auto" w:fill="auto"/>
          </w:tcPr>
          <w:p w14:paraId="6FF1135A" w14:textId="77777777" w:rsidR="00D3429C" w:rsidRPr="00C6263E" w:rsidRDefault="00D3429C" w:rsidP="006E5E26">
            <w:pPr>
              <w:spacing w:before="240" w:after="120"/>
              <w:ind w:left="255"/>
              <w:rPr>
                <w:i/>
                <w:sz w:val="24"/>
              </w:rPr>
            </w:pPr>
            <w:r w:rsidRPr="00C6263E">
              <w:rPr>
                <w:i/>
                <w:sz w:val="24"/>
              </w:rPr>
              <w:t>Summary</w:t>
            </w:r>
          </w:p>
        </w:tc>
      </w:tr>
      <w:tr w:rsidR="00D3429C" w14:paraId="54313F52" w14:textId="77777777" w:rsidTr="006E5E26">
        <w:trPr>
          <w:jc w:val="center"/>
        </w:trPr>
        <w:tc>
          <w:tcPr>
            <w:tcW w:w="9637" w:type="dxa"/>
            <w:shd w:val="clear" w:color="auto" w:fill="auto"/>
          </w:tcPr>
          <w:p w14:paraId="48CF186B" w14:textId="7E5462C1" w:rsidR="00D3429C" w:rsidRDefault="008F50A1" w:rsidP="00516C29">
            <w:pPr>
              <w:pStyle w:val="SingleTxtG"/>
              <w:tabs>
                <w:tab w:val="clear" w:pos="2835"/>
                <w:tab w:val="left" w:pos="558"/>
              </w:tabs>
              <w:ind w:left="2968" w:hanging="2268"/>
              <w:rPr>
                <w:snapToGrid w:val="0"/>
              </w:rPr>
            </w:pPr>
            <w:r w:rsidRPr="00516C29">
              <w:rPr>
                <w:b/>
                <w:bCs/>
              </w:rPr>
              <w:t>Explanatory summary:</w:t>
            </w:r>
            <w:r w:rsidRPr="00516C29">
              <w:rPr>
                <w:b/>
                <w:bCs/>
              </w:rPr>
              <w:tab/>
            </w:r>
            <w:r w:rsidRPr="00516C29">
              <w:t>Germany requests information on the Member States’ various approaches to national procedures for determining the inspection intervals for pressure receptacles which make use of composite materials in accordance with packing instruction P 200 (9).</w:t>
            </w:r>
          </w:p>
          <w:p w14:paraId="0854933D" w14:textId="7DAB6139" w:rsidR="000B593B" w:rsidRPr="00516C29" w:rsidRDefault="00F77044" w:rsidP="00516C29">
            <w:pPr>
              <w:pStyle w:val="SingleTxtG"/>
              <w:tabs>
                <w:tab w:val="clear" w:pos="2835"/>
                <w:tab w:val="left" w:pos="558"/>
              </w:tabs>
              <w:ind w:left="2968" w:hanging="2268"/>
            </w:pPr>
            <w:r w:rsidRPr="00516C29">
              <w:rPr>
                <w:b/>
                <w:bCs/>
              </w:rPr>
              <w:t>Decision to be taken:</w:t>
            </w:r>
            <w:r w:rsidRPr="00516C29">
              <w:tab/>
              <w:t>–</w:t>
            </w:r>
          </w:p>
          <w:p w14:paraId="6C5D5921" w14:textId="28179F4E" w:rsidR="00F77044" w:rsidRDefault="00065F03" w:rsidP="00516C29">
            <w:pPr>
              <w:pStyle w:val="SingleTxtG"/>
              <w:tabs>
                <w:tab w:val="clear" w:pos="2835"/>
                <w:tab w:val="left" w:pos="558"/>
              </w:tabs>
              <w:ind w:left="2968" w:hanging="2268"/>
            </w:pPr>
            <w:r w:rsidRPr="00516C29">
              <w:rPr>
                <w:b/>
                <w:bCs/>
              </w:rPr>
              <w:t xml:space="preserve">Related documents: </w:t>
            </w:r>
            <w:r w:rsidRPr="00516C29">
              <w:rPr>
                <w:b/>
                <w:bCs/>
              </w:rPr>
              <w:tab/>
              <w:t>–</w:t>
            </w:r>
          </w:p>
        </w:tc>
      </w:tr>
      <w:tr w:rsidR="00D3429C" w14:paraId="29C7F092" w14:textId="77777777" w:rsidTr="006E5E26">
        <w:trPr>
          <w:jc w:val="center"/>
        </w:trPr>
        <w:tc>
          <w:tcPr>
            <w:tcW w:w="9637" w:type="dxa"/>
            <w:shd w:val="clear" w:color="auto" w:fill="auto"/>
          </w:tcPr>
          <w:p w14:paraId="00572235" w14:textId="77777777" w:rsidR="00D3429C" w:rsidRDefault="00D3429C" w:rsidP="006E5E26"/>
        </w:tc>
      </w:tr>
    </w:tbl>
    <w:p w14:paraId="7028FFFA" w14:textId="7EC0B6B2" w:rsidR="00516C29" w:rsidRDefault="00516C29" w:rsidP="00D3429C"/>
    <w:p w14:paraId="422DB80F" w14:textId="77777777" w:rsidR="00516C29" w:rsidRDefault="00516C29">
      <w:r>
        <w:br w:type="page"/>
      </w:r>
    </w:p>
    <w:p w14:paraId="60BC7B94" w14:textId="39A85405" w:rsidR="004577DA" w:rsidRDefault="004577DA" w:rsidP="004577DA">
      <w:pPr>
        <w:pStyle w:val="HChG"/>
      </w:pPr>
      <w:r>
        <w:lastRenderedPageBreak/>
        <w:tab/>
      </w:r>
      <w:r w:rsidR="00EA2140">
        <w:t>I.</w:t>
      </w:r>
      <w:r w:rsidR="00EA2140">
        <w:tab/>
      </w:r>
      <w:r w:rsidRPr="004577DA">
        <w:t>Introduction</w:t>
      </w:r>
    </w:p>
    <w:p w14:paraId="09CFE8B1" w14:textId="2ED472A0" w:rsidR="004577DA" w:rsidRDefault="004577DA" w:rsidP="004577DA">
      <w:pPr>
        <w:pStyle w:val="SingleTxtG"/>
      </w:pPr>
      <w:r>
        <w:t>1.</w:t>
      </w:r>
      <w:r>
        <w:tab/>
        <w:t>In RID/ADR 2013, the amendment to packing instruction P</w:t>
      </w:r>
      <w:r w:rsidR="00A34ABB">
        <w:t> </w:t>
      </w:r>
      <w:r>
        <w:t>200 (9) made the competent authority or the body that issued the type approvals responsible for determining the inspection interval for pressure receptacles that make use of composite materials. With a further amendment to packing instruction P</w:t>
      </w:r>
      <w:r w:rsidR="00DB775B">
        <w:t> </w:t>
      </w:r>
      <w:r>
        <w:t xml:space="preserve">200 (9) in RID/ADR 2017, an interval of </w:t>
      </w:r>
      <w:r w:rsidR="00A9611F">
        <w:t xml:space="preserve">five </w:t>
      </w:r>
      <w:r>
        <w:t xml:space="preserve">years as standard and a maximum inspection interval of </w:t>
      </w:r>
      <w:r w:rsidR="00A9611F">
        <w:t xml:space="preserve">ten </w:t>
      </w:r>
      <w:r>
        <w:t>years, with unchanged responsibility, was defined.</w:t>
      </w:r>
    </w:p>
    <w:p w14:paraId="081E7E7C" w14:textId="79A4A78D" w:rsidR="004577DA" w:rsidRDefault="004577DA" w:rsidP="004577DA">
      <w:pPr>
        <w:pStyle w:val="SingleTxtG"/>
      </w:pPr>
      <w:r>
        <w:t>2.</w:t>
      </w:r>
      <w:r>
        <w:tab/>
        <w:t>The actions of the bodies authorised by the German competent authority to issue type approvals and determine the inspection intervals for pressure receptacles that make use of composite materials in accordance with packing instruction P</w:t>
      </w:r>
      <w:r w:rsidR="008C2E67">
        <w:t> </w:t>
      </w:r>
      <w:r>
        <w:t>200 (9) are based on the specifications of the BAM dangerous goods regulation GGR</w:t>
      </w:r>
      <w:r w:rsidR="00123C35">
        <w:t> </w:t>
      </w:r>
      <w:r>
        <w:t>021</w:t>
      </w:r>
      <w:r w:rsidR="00123C35">
        <w:rPr>
          <w:rStyle w:val="FootnoteReference"/>
        </w:rPr>
        <w:footnoteReference w:id="4"/>
      </w:r>
      <w:r>
        <w:t xml:space="preserve"> in conjunction with the inspection procedures in accordance with BAM-GGR</w:t>
      </w:r>
      <w:r w:rsidR="007545EC">
        <w:t> </w:t>
      </w:r>
      <w:r>
        <w:t>022</w:t>
      </w:r>
      <w:r w:rsidR="007545EC">
        <w:rPr>
          <w:rStyle w:val="FootnoteReference"/>
        </w:rPr>
        <w:footnoteReference w:id="5"/>
      </w:r>
      <w:r>
        <w:t>. These contain technically well-founded requirements so that a type or only a population of the type with an operator can benefit from the economically significant simplification of a 10-year inspection period.</w:t>
      </w:r>
    </w:p>
    <w:p w14:paraId="7DF729ED" w14:textId="77777777" w:rsidR="004577DA" w:rsidRDefault="004577DA" w:rsidP="004577DA">
      <w:pPr>
        <w:pStyle w:val="SingleTxtG"/>
      </w:pPr>
      <w:r>
        <w:t>3.</w:t>
      </w:r>
      <w:r>
        <w:tab/>
        <w:t>There are indications that practice has developed very differently in the individual Member States.</w:t>
      </w:r>
    </w:p>
    <w:p w14:paraId="282E4EEE" w14:textId="2901625E" w:rsidR="004577DA" w:rsidRDefault="004577DA" w:rsidP="004577DA">
      <w:pPr>
        <w:pStyle w:val="SingleTxtG"/>
      </w:pPr>
      <w:r>
        <w:t>4.</w:t>
      </w:r>
      <w:r>
        <w:tab/>
        <w:t xml:space="preserve">It is not known in which country which criteria must be met for a </w:t>
      </w:r>
      <w:r w:rsidR="0035610F">
        <w:t>ten</w:t>
      </w:r>
      <w:r>
        <w:t>-year inspection interval and whether or when, by analogy with packing instruction P</w:t>
      </w:r>
      <w:r w:rsidR="008C2E67">
        <w:t> </w:t>
      </w:r>
      <w:r>
        <w:t xml:space="preserve">200 (12) and (13), the usual </w:t>
      </w:r>
      <w:r w:rsidR="0035610F">
        <w:t>five</w:t>
      </w:r>
      <w:r>
        <w:t>-year interval is reverted to.</w:t>
      </w:r>
    </w:p>
    <w:p w14:paraId="19115DE3" w14:textId="77777777" w:rsidR="004577DA" w:rsidRDefault="004577DA" w:rsidP="004577DA">
      <w:pPr>
        <w:pStyle w:val="SingleTxtG"/>
      </w:pPr>
      <w:r>
        <w:t>5.</w:t>
      </w:r>
      <w:r>
        <w:tab/>
        <w:t xml:space="preserve">If requirements diverge greatly, this has an impact on safety </w:t>
      </w:r>
      <w:proofErr w:type="gramStart"/>
      <w:r>
        <w:t>and also</w:t>
      </w:r>
      <w:proofErr w:type="gramEnd"/>
      <w:r>
        <w:t xml:space="preserve"> affects competitiveness in the context of the freedom to provide services. It must therefore be in the interests of the Joint Meeting to obtain an overview of the various requirement profiles and to achieve harmonisation as far as possible.</w:t>
      </w:r>
    </w:p>
    <w:p w14:paraId="4DF1CB79" w14:textId="786453B3" w:rsidR="004577DA" w:rsidRDefault="004577DA" w:rsidP="004577DA">
      <w:pPr>
        <w:pStyle w:val="HChG"/>
      </w:pPr>
      <w:r>
        <w:tab/>
      </w:r>
      <w:r w:rsidR="00EA2140">
        <w:t>II.</w:t>
      </w:r>
      <w:r w:rsidR="00EA2140">
        <w:tab/>
      </w:r>
      <w:r w:rsidRPr="004577DA">
        <w:t>Proposal</w:t>
      </w:r>
    </w:p>
    <w:p w14:paraId="38AB1E30" w14:textId="77777777" w:rsidR="004577DA" w:rsidRDefault="004577DA" w:rsidP="004577DA">
      <w:pPr>
        <w:pStyle w:val="SingleTxtG"/>
      </w:pPr>
      <w:r>
        <w:t>6.</w:t>
      </w:r>
      <w:r>
        <w:tab/>
        <w:t>Germany proposes to collect and collate information on the various approaches used by the Member States. To achieve this, all the Member States should be asked to provide the following information:</w:t>
      </w:r>
    </w:p>
    <w:p w14:paraId="2056E468" w14:textId="536B35BD" w:rsidR="004577DA" w:rsidRDefault="004577DA" w:rsidP="004577DA">
      <w:pPr>
        <w:pStyle w:val="SingleTxtG"/>
      </w:pPr>
      <w:r>
        <w:tab/>
        <w:t>(a)</w:t>
      </w:r>
      <w:r>
        <w:tab/>
        <w:t xml:space="preserve">Is an inspection interval of more than </w:t>
      </w:r>
      <w:r w:rsidR="00F9342F">
        <w:t xml:space="preserve">five </w:t>
      </w:r>
      <w:r>
        <w:t>years authorised?</w:t>
      </w:r>
    </w:p>
    <w:p w14:paraId="5132B6F2" w14:textId="79B0FDED" w:rsidR="004577DA" w:rsidRDefault="002A5175" w:rsidP="002A5175">
      <w:pPr>
        <w:pStyle w:val="SingleTxtG"/>
      </w:pPr>
      <w:r>
        <w:tab/>
      </w:r>
      <w:r w:rsidR="004577DA">
        <w:t>(b)</w:t>
      </w:r>
      <w:r w:rsidR="004577DA">
        <w:tab/>
        <w:t xml:space="preserve">What are </w:t>
      </w:r>
      <w:r w:rsidR="004577DA" w:rsidRPr="002A5175">
        <w:t>the</w:t>
      </w:r>
      <w:r w:rsidR="004577DA">
        <w:t xml:space="preserve"> technical requirements for such a longer interval?</w:t>
      </w:r>
    </w:p>
    <w:p w14:paraId="418C8C24" w14:textId="29BEBD2C" w:rsidR="004577DA" w:rsidRDefault="002A5175" w:rsidP="002A5175">
      <w:pPr>
        <w:pStyle w:val="SingleTxtG"/>
      </w:pPr>
      <w:r>
        <w:tab/>
      </w:r>
      <w:r w:rsidR="004577DA">
        <w:t>(c)</w:t>
      </w:r>
      <w:r w:rsidR="004577DA">
        <w:tab/>
        <w:t xml:space="preserve">Is an extended </w:t>
      </w:r>
      <w:r w:rsidR="004577DA" w:rsidRPr="002A5175">
        <w:t>inspection</w:t>
      </w:r>
      <w:r w:rsidR="004577DA">
        <w:t xml:space="preserve"> interval granted until the end of service life or is the extended inspection interval linked to ongoing compliance with verifiable conditions?</w:t>
      </w:r>
    </w:p>
    <w:p w14:paraId="5192BF62" w14:textId="77777777" w:rsidR="004577DA" w:rsidRDefault="004577DA" w:rsidP="002A5175">
      <w:pPr>
        <w:pStyle w:val="SingleTxtG"/>
      </w:pPr>
      <w:r>
        <w:t>7.</w:t>
      </w:r>
      <w:r>
        <w:tab/>
        <w:t>The aim is to present and discuss the information gathered at the Joint Meeting in March 2025.</w:t>
      </w:r>
    </w:p>
    <w:p w14:paraId="20E4A5FE" w14:textId="5290319E" w:rsidR="00D3429C" w:rsidRDefault="004577DA" w:rsidP="004577DA">
      <w:pPr>
        <w:pStyle w:val="SingleTxtG"/>
      </w:pPr>
      <w:r>
        <w:t>8.</w:t>
      </w:r>
      <w:r>
        <w:tab/>
        <w:t xml:space="preserve">This proposal supports </w:t>
      </w:r>
      <w:r w:rsidR="002A5175">
        <w:t>S</w:t>
      </w:r>
      <w:r>
        <w:t xml:space="preserve">ustainable </w:t>
      </w:r>
      <w:r w:rsidR="002A5175">
        <w:t>D</w:t>
      </w:r>
      <w:r>
        <w:t xml:space="preserve">evelopment </w:t>
      </w:r>
      <w:r w:rsidR="002A5175">
        <w:t>G</w:t>
      </w:r>
      <w:r>
        <w:t xml:space="preserve">oal 8 </w:t>
      </w:r>
      <w:r w:rsidRPr="002A5175">
        <w:rPr>
          <w:i/>
          <w:iCs/>
        </w:rPr>
        <w:t>“Decent work and economic growth”.</w:t>
      </w:r>
    </w:p>
    <w:p w14:paraId="126E6331" w14:textId="2FE01323" w:rsidR="004577DA" w:rsidRPr="004577DA" w:rsidRDefault="004577DA" w:rsidP="004577DA">
      <w:pPr>
        <w:spacing w:before="240"/>
        <w:jc w:val="center"/>
        <w:rPr>
          <w:u w:val="single"/>
        </w:rPr>
      </w:pPr>
      <w:r>
        <w:rPr>
          <w:u w:val="single"/>
        </w:rPr>
        <w:tab/>
      </w:r>
      <w:r>
        <w:rPr>
          <w:u w:val="single"/>
        </w:rPr>
        <w:tab/>
      </w:r>
      <w:r>
        <w:rPr>
          <w:u w:val="single"/>
        </w:rPr>
        <w:tab/>
      </w:r>
    </w:p>
    <w:sectPr w:rsidR="004577DA" w:rsidRPr="004577DA" w:rsidSect="00036C2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5755" w14:textId="77777777" w:rsidR="00AB37C1" w:rsidRDefault="00AB37C1"/>
  </w:endnote>
  <w:endnote w:type="continuationSeparator" w:id="0">
    <w:p w14:paraId="7B3BD755" w14:textId="77777777" w:rsidR="00AB37C1" w:rsidRDefault="00AB37C1"/>
  </w:endnote>
  <w:endnote w:type="continuationNotice" w:id="1">
    <w:p w14:paraId="1D28DB12" w14:textId="77777777" w:rsidR="00AB37C1" w:rsidRDefault="00AB3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E148" w14:textId="74149B4C" w:rsidR="00036C29" w:rsidRPr="00036C29" w:rsidRDefault="00036C29" w:rsidP="00036C29">
    <w:pPr>
      <w:pStyle w:val="Footer"/>
      <w:tabs>
        <w:tab w:val="right" w:pos="9638"/>
      </w:tabs>
      <w:rPr>
        <w:sz w:val="18"/>
      </w:rPr>
    </w:pPr>
    <w:r w:rsidRPr="00036C29">
      <w:rPr>
        <w:b/>
        <w:sz w:val="18"/>
      </w:rPr>
      <w:fldChar w:fldCharType="begin"/>
    </w:r>
    <w:r w:rsidRPr="00036C29">
      <w:rPr>
        <w:b/>
        <w:sz w:val="18"/>
      </w:rPr>
      <w:instrText xml:space="preserve"> PAGE  \* MERGEFORMAT </w:instrText>
    </w:r>
    <w:r w:rsidRPr="00036C29">
      <w:rPr>
        <w:b/>
        <w:sz w:val="18"/>
      </w:rPr>
      <w:fldChar w:fldCharType="separate"/>
    </w:r>
    <w:r w:rsidRPr="00036C29">
      <w:rPr>
        <w:b/>
        <w:noProof/>
        <w:sz w:val="18"/>
      </w:rPr>
      <w:t>2</w:t>
    </w:r>
    <w:r w:rsidRPr="00036C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7CF2" w14:textId="1C7B95A7" w:rsidR="00036C29" w:rsidRPr="00036C29" w:rsidRDefault="00036C29" w:rsidP="00036C29">
    <w:pPr>
      <w:pStyle w:val="Footer"/>
      <w:tabs>
        <w:tab w:val="right" w:pos="9638"/>
      </w:tabs>
      <w:rPr>
        <w:b/>
        <w:sz w:val="18"/>
      </w:rPr>
    </w:pPr>
    <w:r>
      <w:tab/>
    </w:r>
    <w:r w:rsidRPr="00036C29">
      <w:rPr>
        <w:b/>
        <w:sz w:val="18"/>
      </w:rPr>
      <w:fldChar w:fldCharType="begin"/>
    </w:r>
    <w:r w:rsidRPr="00036C29">
      <w:rPr>
        <w:b/>
        <w:sz w:val="18"/>
      </w:rPr>
      <w:instrText xml:space="preserve"> PAGE  \* MERGEFORMAT </w:instrText>
    </w:r>
    <w:r w:rsidRPr="00036C29">
      <w:rPr>
        <w:b/>
        <w:sz w:val="18"/>
      </w:rPr>
      <w:fldChar w:fldCharType="separate"/>
    </w:r>
    <w:r w:rsidRPr="00036C29">
      <w:rPr>
        <w:b/>
        <w:noProof/>
        <w:sz w:val="18"/>
      </w:rPr>
      <w:t>3</w:t>
    </w:r>
    <w:r w:rsidRPr="00036C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0523" w14:textId="05A2B560" w:rsidR="0004260A" w:rsidRDefault="0004260A" w:rsidP="0004260A">
    <w:pPr>
      <w:pStyle w:val="Footer"/>
    </w:pPr>
    <w:r w:rsidRPr="0027112F">
      <w:rPr>
        <w:noProof/>
        <w:lang w:val="en-US"/>
      </w:rPr>
      <w:drawing>
        <wp:anchor distT="0" distB="0" distL="114300" distR="114300" simplePos="0" relativeHeight="251659264" behindDoc="0" locked="1" layoutInCell="1" allowOverlap="1" wp14:anchorId="4E14D554" wp14:editId="1048CC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F54AE3" w14:textId="0CA696F9" w:rsidR="0004260A" w:rsidRPr="0004260A" w:rsidRDefault="0004260A" w:rsidP="0004260A">
    <w:pPr>
      <w:pStyle w:val="Footer"/>
      <w:ind w:right="1134"/>
      <w:rPr>
        <w:sz w:val="20"/>
      </w:rPr>
    </w:pPr>
    <w:r>
      <w:rPr>
        <w:sz w:val="20"/>
      </w:rPr>
      <w:t>GE.24-11526  (E)</w:t>
    </w:r>
    <w:r>
      <w:rPr>
        <w:noProof/>
        <w:sz w:val="20"/>
      </w:rPr>
      <w:drawing>
        <wp:anchor distT="0" distB="0" distL="114300" distR="114300" simplePos="0" relativeHeight="251660288" behindDoc="0" locked="0" layoutInCell="1" allowOverlap="1" wp14:anchorId="28DC8909" wp14:editId="25F39025">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78A3" w14:textId="77777777" w:rsidR="00AB37C1" w:rsidRPr="000B175B" w:rsidRDefault="00AB37C1" w:rsidP="000B175B">
      <w:pPr>
        <w:tabs>
          <w:tab w:val="right" w:pos="2155"/>
        </w:tabs>
        <w:spacing w:after="80"/>
        <w:ind w:left="680"/>
        <w:rPr>
          <w:u w:val="single"/>
        </w:rPr>
      </w:pPr>
      <w:r>
        <w:rPr>
          <w:u w:val="single"/>
        </w:rPr>
        <w:tab/>
      </w:r>
    </w:p>
  </w:footnote>
  <w:footnote w:type="continuationSeparator" w:id="0">
    <w:p w14:paraId="146F8F71" w14:textId="77777777" w:rsidR="00AB37C1" w:rsidRPr="00FC68B7" w:rsidRDefault="00AB37C1" w:rsidP="00FC68B7">
      <w:pPr>
        <w:tabs>
          <w:tab w:val="left" w:pos="2155"/>
        </w:tabs>
        <w:spacing w:after="80"/>
        <w:ind w:left="680"/>
        <w:rPr>
          <w:u w:val="single"/>
        </w:rPr>
      </w:pPr>
      <w:r>
        <w:rPr>
          <w:u w:val="single"/>
        </w:rPr>
        <w:tab/>
      </w:r>
    </w:p>
  </w:footnote>
  <w:footnote w:type="continuationNotice" w:id="1">
    <w:p w14:paraId="7651743C" w14:textId="77777777" w:rsidR="00AB37C1" w:rsidRDefault="00AB37C1"/>
  </w:footnote>
  <w:footnote w:id="2">
    <w:p w14:paraId="7434B15A" w14:textId="475EF764" w:rsidR="00BB6BF1" w:rsidRPr="00782AFD" w:rsidRDefault="00BB6BF1">
      <w:pPr>
        <w:pStyle w:val="FootnoteText"/>
        <w:rPr>
          <w:lang w:val="en-US"/>
        </w:rPr>
      </w:pPr>
      <w:r>
        <w:rPr>
          <w:rStyle w:val="FootnoteReference"/>
        </w:rPr>
        <w:tab/>
      </w:r>
      <w:r w:rsidRPr="00BB6BF1">
        <w:rPr>
          <w:rStyle w:val="FootnoteReference"/>
          <w:sz w:val="20"/>
          <w:vertAlign w:val="baseline"/>
        </w:rPr>
        <w:t>*</w:t>
      </w:r>
      <w:r>
        <w:rPr>
          <w:rStyle w:val="FootnoteReference"/>
          <w:sz w:val="20"/>
          <w:vertAlign w:val="baseline"/>
        </w:rPr>
        <w:tab/>
      </w:r>
      <w:r w:rsidR="002B2BA2">
        <w:t>A/78/6 (</w:t>
      </w:r>
      <w:r w:rsidR="002B2BA2" w:rsidRPr="00D91455">
        <w:t>Sect</w:t>
      </w:r>
      <w:r w:rsidR="002B2BA2">
        <w:t>. 20), table 20.5.</w:t>
      </w:r>
    </w:p>
  </w:footnote>
  <w:footnote w:id="3">
    <w:p w14:paraId="4B6F6F7E" w14:textId="7D1BE260" w:rsidR="002B2BA2" w:rsidRPr="00782AFD" w:rsidRDefault="002B2BA2">
      <w:pPr>
        <w:pStyle w:val="FootnoteText"/>
        <w:rPr>
          <w:lang w:val="en-US"/>
        </w:rPr>
      </w:pPr>
      <w:r>
        <w:rPr>
          <w:rStyle w:val="FootnoteReference"/>
        </w:rPr>
        <w:tab/>
      </w:r>
      <w:r w:rsidRPr="002B2BA2">
        <w:rPr>
          <w:rStyle w:val="FootnoteReference"/>
          <w:sz w:val="20"/>
          <w:vertAlign w:val="baseline"/>
        </w:rPr>
        <w:t>**</w:t>
      </w:r>
      <w:r>
        <w:rPr>
          <w:rStyle w:val="FootnoteReference"/>
          <w:sz w:val="20"/>
          <w:vertAlign w:val="baseline"/>
        </w:rPr>
        <w:tab/>
      </w:r>
      <w:r w:rsidR="00D3429C">
        <w:rPr>
          <w:szCs w:val="18"/>
        </w:rPr>
        <w:t>Circulated by the Intergovernmental Organisation for International Carriage by Rail (OTIF) under the symbol OTIF/RID/RC/2024/41.</w:t>
      </w:r>
    </w:p>
  </w:footnote>
  <w:footnote w:id="4">
    <w:p w14:paraId="510E9286" w14:textId="482B4812" w:rsidR="00123C35" w:rsidRPr="00782AFD" w:rsidRDefault="00123C35" w:rsidP="00123C35">
      <w:pPr>
        <w:pStyle w:val="FootnoteText"/>
        <w:widowControl w:val="0"/>
        <w:tabs>
          <w:tab w:val="clear" w:pos="1021"/>
          <w:tab w:val="right" w:pos="1020"/>
        </w:tabs>
        <w:suppressAutoHyphens/>
        <w:rPr>
          <w:lang w:val="en-US"/>
        </w:rPr>
      </w:pPr>
      <w:r>
        <w:tab/>
      </w:r>
      <w:r>
        <w:rPr>
          <w:rStyle w:val="FootnoteReference"/>
        </w:rPr>
        <w:footnoteRef/>
      </w:r>
      <w:r>
        <w:tab/>
      </w:r>
      <w:hyperlink r:id="rId1" w:history="1">
        <w:r w:rsidR="00A85700" w:rsidRPr="00A85700">
          <w:rPr>
            <w:color w:val="0000FF"/>
            <w:sz w:val="20"/>
            <w:u w:val="single"/>
          </w:rPr>
          <w:t>ggr-021.pdf (bam.de)</w:t>
        </w:r>
      </w:hyperlink>
      <w:r w:rsidR="00A85700">
        <w:rPr>
          <w:sz w:val="20"/>
        </w:rPr>
        <w:t>.</w:t>
      </w:r>
    </w:p>
  </w:footnote>
  <w:footnote w:id="5">
    <w:p w14:paraId="3CBCCDB3" w14:textId="0C44789F" w:rsidR="007545EC" w:rsidRPr="00782AFD" w:rsidRDefault="007545EC" w:rsidP="007545EC">
      <w:pPr>
        <w:pStyle w:val="FootnoteText"/>
        <w:widowControl w:val="0"/>
        <w:tabs>
          <w:tab w:val="clear" w:pos="1021"/>
          <w:tab w:val="right" w:pos="1020"/>
        </w:tabs>
        <w:suppressAutoHyphens/>
        <w:rPr>
          <w:lang w:val="en-US"/>
        </w:rPr>
      </w:pPr>
      <w:r>
        <w:tab/>
      </w:r>
      <w:r>
        <w:rPr>
          <w:rStyle w:val="FootnoteReference"/>
        </w:rPr>
        <w:footnoteRef/>
      </w:r>
      <w:r>
        <w:tab/>
      </w:r>
      <w:hyperlink r:id="rId2" w:history="1">
        <w:r w:rsidR="00616116" w:rsidRPr="008E100D">
          <w:rPr>
            <w:rStyle w:val="Hyperlink"/>
          </w:rPr>
          <w:t>https://tes.bam.de/TES/Content/DE/Downloads/ggr-022.pdf?__blob=publicationFile</w:t>
        </w:r>
      </w:hyperlink>
      <w:r w:rsidR="006161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9FCF" w14:textId="719BE0A9" w:rsidR="00036C29" w:rsidRPr="00036C29" w:rsidRDefault="00036C29">
    <w:pPr>
      <w:pStyle w:val="Header"/>
    </w:pPr>
    <w:r>
      <w:t>ECE/TRANS/WP.15/AC.1/2024/41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C75C" w14:textId="5ED65563" w:rsidR="00036C29" w:rsidRPr="00036C29" w:rsidRDefault="00EA2140" w:rsidP="00036C29">
    <w:pPr>
      <w:pStyle w:val="Header"/>
      <w:jc w:val="right"/>
    </w:pPr>
    <w:fldSimple w:instr=" TITLE  \* MERGEFORMAT ">
      <w:r w:rsidR="00036C29">
        <w:t>ECE/TRANS/WP.15/AC.1/2024/41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40008586">
    <w:abstractNumId w:val="1"/>
  </w:num>
  <w:num w:numId="2" w16cid:durableId="1697463041">
    <w:abstractNumId w:val="0"/>
  </w:num>
  <w:num w:numId="3" w16cid:durableId="1503739780">
    <w:abstractNumId w:val="2"/>
  </w:num>
  <w:num w:numId="4" w16cid:durableId="2104521561">
    <w:abstractNumId w:val="3"/>
  </w:num>
  <w:num w:numId="5" w16cid:durableId="1402437129">
    <w:abstractNumId w:val="8"/>
  </w:num>
  <w:num w:numId="6" w16cid:durableId="781461266">
    <w:abstractNumId w:val="9"/>
  </w:num>
  <w:num w:numId="7" w16cid:durableId="1474447506">
    <w:abstractNumId w:val="7"/>
  </w:num>
  <w:num w:numId="8" w16cid:durableId="35667606">
    <w:abstractNumId w:val="6"/>
  </w:num>
  <w:num w:numId="9" w16cid:durableId="1891726728">
    <w:abstractNumId w:val="5"/>
  </w:num>
  <w:num w:numId="10" w16cid:durableId="1547059019">
    <w:abstractNumId w:val="4"/>
  </w:num>
  <w:num w:numId="11" w16cid:durableId="176387529">
    <w:abstractNumId w:val="15"/>
  </w:num>
  <w:num w:numId="12" w16cid:durableId="1947149545">
    <w:abstractNumId w:val="14"/>
  </w:num>
  <w:num w:numId="13" w16cid:durableId="1693727758">
    <w:abstractNumId w:val="10"/>
  </w:num>
  <w:num w:numId="14" w16cid:durableId="1175920438">
    <w:abstractNumId w:val="12"/>
  </w:num>
  <w:num w:numId="15" w16cid:durableId="1513904">
    <w:abstractNumId w:val="16"/>
  </w:num>
  <w:num w:numId="16" w16cid:durableId="361903563">
    <w:abstractNumId w:val="13"/>
  </w:num>
  <w:num w:numId="17" w16cid:durableId="286860981">
    <w:abstractNumId w:val="17"/>
  </w:num>
  <w:num w:numId="18" w16cid:durableId="150949431">
    <w:abstractNumId w:val="18"/>
  </w:num>
  <w:num w:numId="19" w16cid:durableId="1483548046">
    <w:abstractNumId w:val="11"/>
  </w:num>
  <w:num w:numId="20" w16cid:durableId="108626858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29"/>
    <w:rsid w:val="00002A7D"/>
    <w:rsid w:val="000038A8"/>
    <w:rsid w:val="00006790"/>
    <w:rsid w:val="00025CBD"/>
    <w:rsid w:val="00027624"/>
    <w:rsid w:val="00036C29"/>
    <w:rsid w:val="0004260A"/>
    <w:rsid w:val="00050F6B"/>
    <w:rsid w:val="00065F03"/>
    <w:rsid w:val="000678CD"/>
    <w:rsid w:val="00072C8C"/>
    <w:rsid w:val="00081CE0"/>
    <w:rsid w:val="00084D30"/>
    <w:rsid w:val="00090320"/>
    <w:rsid w:val="000931C0"/>
    <w:rsid w:val="0009732C"/>
    <w:rsid w:val="000A01F9"/>
    <w:rsid w:val="000A2E09"/>
    <w:rsid w:val="000B175B"/>
    <w:rsid w:val="000B3A0F"/>
    <w:rsid w:val="000B593B"/>
    <w:rsid w:val="000E0415"/>
    <w:rsid w:val="000F7715"/>
    <w:rsid w:val="0012135F"/>
    <w:rsid w:val="00123C3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5175"/>
    <w:rsid w:val="002A7F94"/>
    <w:rsid w:val="002B109A"/>
    <w:rsid w:val="002B2BA2"/>
    <w:rsid w:val="002C6D45"/>
    <w:rsid w:val="002D6E53"/>
    <w:rsid w:val="002F046D"/>
    <w:rsid w:val="002F3023"/>
    <w:rsid w:val="00301764"/>
    <w:rsid w:val="0031474F"/>
    <w:rsid w:val="003229D8"/>
    <w:rsid w:val="00336C97"/>
    <w:rsid w:val="00337F88"/>
    <w:rsid w:val="00342432"/>
    <w:rsid w:val="0035223F"/>
    <w:rsid w:val="00352D4B"/>
    <w:rsid w:val="00353049"/>
    <w:rsid w:val="0035610F"/>
    <w:rsid w:val="0035638C"/>
    <w:rsid w:val="00361364"/>
    <w:rsid w:val="003A46BB"/>
    <w:rsid w:val="003A4EC7"/>
    <w:rsid w:val="003A7295"/>
    <w:rsid w:val="003B1F60"/>
    <w:rsid w:val="003C2CC4"/>
    <w:rsid w:val="003D4B23"/>
    <w:rsid w:val="003E278A"/>
    <w:rsid w:val="003F06B1"/>
    <w:rsid w:val="00413520"/>
    <w:rsid w:val="00430D57"/>
    <w:rsid w:val="004325CB"/>
    <w:rsid w:val="00440A07"/>
    <w:rsid w:val="004577DA"/>
    <w:rsid w:val="00462880"/>
    <w:rsid w:val="00476F24"/>
    <w:rsid w:val="004C55B0"/>
    <w:rsid w:val="004F6BA0"/>
    <w:rsid w:val="00503BEA"/>
    <w:rsid w:val="00505AFF"/>
    <w:rsid w:val="00516C29"/>
    <w:rsid w:val="00533616"/>
    <w:rsid w:val="00535ABA"/>
    <w:rsid w:val="0053768B"/>
    <w:rsid w:val="005420F2"/>
    <w:rsid w:val="0054285C"/>
    <w:rsid w:val="00584173"/>
    <w:rsid w:val="00595520"/>
    <w:rsid w:val="005A3D91"/>
    <w:rsid w:val="005A44B9"/>
    <w:rsid w:val="005B1BA0"/>
    <w:rsid w:val="005B3DB3"/>
    <w:rsid w:val="005D15CA"/>
    <w:rsid w:val="005D7969"/>
    <w:rsid w:val="005F08DF"/>
    <w:rsid w:val="005F3066"/>
    <w:rsid w:val="005F3E61"/>
    <w:rsid w:val="00604DDD"/>
    <w:rsid w:val="006115CC"/>
    <w:rsid w:val="00611FC4"/>
    <w:rsid w:val="00614A90"/>
    <w:rsid w:val="00616116"/>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545EC"/>
    <w:rsid w:val="007643BC"/>
    <w:rsid w:val="007801C5"/>
    <w:rsid w:val="00780C68"/>
    <w:rsid w:val="00782AFD"/>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2E67"/>
    <w:rsid w:val="008D045E"/>
    <w:rsid w:val="008D3F25"/>
    <w:rsid w:val="008D4D82"/>
    <w:rsid w:val="008E0E46"/>
    <w:rsid w:val="008E7116"/>
    <w:rsid w:val="008F143B"/>
    <w:rsid w:val="008F3882"/>
    <w:rsid w:val="008F4B7C"/>
    <w:rsid w:val="008F50A1"/>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4ABB"/>
    <w:rsid w:val="00A425EB"/>
    <w:rsid w:val="00A72F22"/>
    <w:rsid w:val="00A733BC"/>
    <w:rsid w:val="00A748A6"/>
    <w:rsid w:val="00A76A69"/>
    <w:rsid w:val="00A85700"/>
    <w:rsid w:val="00A879A4"/>
    <w:rsid w:val="00A9611F"/>
    <w:rsid w:val="00AA0FF8"/>
    <w:rsid w:val="00AB37C1"/>
    <w:rsid w:val="00AC0F2C"/>
    <w:rsid w:val="00AC502A"/>
    <w:rsid w:val="00AF58C1"/>
    <w:rsid w:val="00B04A3F"/>
    <w:rsid w:val="00B06643"/>
    <w:rsid w:val="00B15055"/>
    <w:rsid w:val="00B20551"/>
    <w:rsid w:val="00B23D55"/>
    <w:rsid w:val="00B30179"/>
    <w:rsid w:val="00B33FC7"/>
    <w:rsid w:val="00B37B15"/>
    <w:rsid w:val="00B45C02"/>
    <w:rsid w:val="00B70A45"/>
    <w:rsid w:val="00B70B63"/>
    <w:rsid w:val="00B72A1E"/>
    <w:rsid w:val="00B81E12"/>
    <w:rsid w:val="00BA339B"/>
    <w:rsid w:val="00BB23CC"/>
    <w:rsid w:val="00BB6BF1"/>
    <w:rsid w:val="00BC1E7E"/>
    <w:rsid w:val="00BC74E9"/>
    <w:rsid w:val="00BE36A9"/>
    <w:rsid w:val="00BE618E"/>
    <w:rsid w:val="00BE7BEC"/>
    <w:rsid w:val="00BF0A5A"/>
    <w:rsid w:val="00BF0E63"/>
    <w:rsid w:val="00BF12A3"/>
    <w:rsid w:val="00BF16D7"/>
    <w:rsid w:val="00BF2373"/>
    <w:rsid w:val="00C0294F"/>
    <w:rsid w:val="00C044E2"/>
    <w:rsid w:val="00C048CB"/>
    <w:rsid w:val="00C05749"/>
    <w:rsid w:val="00C066F3"/>
    <w:rsid w:val="00C408B7"/>
    <w:rsid w:val="00C411EB"/>
    <w:rsid w:val="00C463DD"/>
    <w:rsid w:val="00C745C3"/>
    <w:rsid w:val="00C978F5"/>
    <w:rsid w:val="00CA24A4"/>
    <w:rsid w:val="00CB348D"/>
    <w:rsid w:val="00CC7C83"/>
    <w:rsid w:val="00CD46F5"/>
    <w:rsid w:val="00CE4A8F"/>
    <w:rsid w:val="00CE78F6"/>
    <w:rsid w:val="00CF071D"/>
    <w:rsid w:val="00D0123D"/>
    <w:rsid w:val="00D15B04"/>
    <w:rsid w:val="00D2031B"/>
    <w:rsid w:val="00D25FE2"/>
    <w:rsid w:val="00D3429C"/>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B775B"/>
    <w:rsid w:val="00DC18AD"/>
    <w:rsid w:val="00DF7CAE"/>
    <w:rsid w:val="00E423C0"/>
    <w:rsid w:val="00E6414C"/>
    <w:rsid w:val="00E7260F"/>
    <w:rsid w:val="00E7787A"/>
    <w:rsid w:val="00E83CCB"/>
    <w:rsid w:val="00E8702D"/>
    <w:rsid w:val="00E905F4"/>
    <w:rsid w:val="00E916A9"/>
    <w:rsid w:val="00E916DE"/>
    <w:rsid w:val="00E925AD"/>
    <w:rsid w:val="00E96630"/>
    <w:rsid w:val="00EA2140"/>
    <w:rsid w:val="00ED18DC"/>
    <w:rsid w:val="00ED6201"/>
    <w:rsid w:val="00ED7A2A"/>
    <w:rsid w:val="00EF1D7F"/>
    <w:rsid w:val="00F0137E"/>
    <w:rsid w:val="00F112E3"/>
    <w:rsid w:val="00F21786"/>
    <w:rsid w:val="00F26E79"/>
    <w:rsid w:val="00F3742B"/>
    <w:rsid w:val="00F41FDB"/>
    <w:rsid w:val="00F50596"/>
    <w:rsid w:val="00F56D63"/>
    <w:rsid w:val="00F609A9"/>
    <w:rsid w:val="00F77044"/>
    <w:rsid w:val="00F80C99"/>
    <w:rsid w:val="00F867EC"/>
    <w:rsid w:val="00F91B2B"/>
    <w:rsid w:val="00F9342F"/>
    <w:rsid w:val="00FC03CD"/>
    <w:rsid w:val="00FC0646"/>
    <w:rsid w:val="00FC68B7"/>
    <w:rsid w:val="00FE416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E647D"/>
  <w15:docId w15:val="{DCF2366F-FE4A-4653-86FD-FFAB44FF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styleId="UnresolvedMention">
    <w:name w:val="Unresolved Mention"/>
    <w:basedOn w:val="DefaultParagraphFont"/>
    <w:uiPriority w:val="99"/>
    <w:semiHidden/>
    <w:unhideWhenUsed/>
    <w:rsid w:val="00616116"/>
    <w:rPr>
      <w:color w:val="605E5C"/>
      <w:shd w:val="clear" w:color="auto" w:fill="E1DFDD"/>
    </w:rPr>
  </w:style>
  <w:style w:type="paragraph" w:styleId="Revision">
    <w:name w:val="Revision"/>
    <w:hidden/>
    <w:uiPriority w:val="99"/>
    <w:semiHidden/>
    <w:rsid w:val="00A9611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es.bam.de/TES/Content/DE/Downloads/ggr-022.pdf?__blob=publicationFile" TargetMode="External"/><Relationship Id="rId1" Type="http://schemas.openxmlformats.org/officeDocument/2006/relationships/hyperlink" Target="https://tes.bam.de/TES/Content/DE/Downloads/ggr-021.pdf?__blob=publicationF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09166-B535-4C25-94AD-2945B9658807}"/>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526</Words>
  <Characters>2907</Characters>
  <Application>Microsoft Office Word</Application>
  <DocSecurity>0</DocSecurity>
  <Lines>68</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ECE/TRANS/WP.15/AC.1/2024/41</dc:title>
  <dc:subject>2411526</dc:subject>
  <dc:creator>Alicia DORCA-GARCIA</dc:creator>
  <cp:keywords/>
  <dc:description/>
  <cp:lastModifiedBy>Don Canete Martin</cp:lastModifiedBy>
  <cp:revision>2</cp:revision>
  <cp:lastPrinted>2009-02-18T09:36:00Z</cp:lastPrinted>
  <dcterms:created xsi:type="dcterms:W3CDTF">2024-06-26T15:45:00Z</dcterms:created>
  <dcterms:modified xsi:type="dcterms:W3CDTF">2024-06-26T15:45:00Z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