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75A2AAF9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7C9DE468" w14:textId="77777777" w:rsidR="00F35BAF" w:rsidRPr="00DB58B5" w:rsidRDefault="00F35BAF" w:rsidP="006665D5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0506231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6D3C7BF" w14:textId="479FBBEA" w:rsidR="00F35BAF" w:rsidRPr="00DB58B5" w:rsidRDefault="006665D5" w:rsidP="006665D5">
            <w:pPr>
              <w:jc w:val="right"/>
            </w:pPr>
            <w:r w:rsidRPr="006665D5">
              <w:rPr>
                <w:sz w:val="40"/>
              </w:rPr>
              <w:t>ECE</w:t>
            </w:r>
            <w:r>
              <w:t>/TRANS/WP.15/AC.1/2024/40</w:t>
            </w:r>
          </w:p>
        </w:tc>
      </w:tr>
      <w:tr w:rsidR="00F35BAF" w:rsidRPr="00DB58B5" w14:paraId="6FF79E75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C860252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C9A07FD" wp14:editId="5C312610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C140B56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F00FD98" w14:textId="77777777" w:rsidR="00F35BAF" w:rsidRDefault="006665D5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7F287D7B" w14:textId="77777777" w:rsidR="006665D5" w:rsidRDefault="006665D5" w:rsidP="006665D5">
            <w:pPr>
              <w:spacing w:line="240" w:lineRule="exact"/>
            </w:pPr>
            <w:r>
              <w:t>25 juin 2024</w:t>
            </w:r>
          </w:p>
          <w:p w14:paraId="21A2F710" w14:textId="77777777" w:rsidR="006665D5" w:rsidRDefault="006665D5" w:rsidP="006665D5">
            <w:pPr>
              <w:spacing w:line="240" w:lineRule="exact"/>
            </w:pPr>
            <w:r>
              <w:t>Français</w:t>
            </w:r>
          </w:p>
          <w:p w14:paraId="6803AC58" w14:textId="332543B0" w:rsidR="006665D5" w:rsidRPr="00DB58B5" w:rsidRDefault="006665D5" w:rsidP="006665D5">
            <w:pPr>
              <w:spacing w:line="240" w:lineRule="exact"/>
            </w:pPr>
            <w:r>
              <w:t>Original : anglais</w:t>
            </w:r>
          </w:p>
        </w:tc>
      </w:tr>
    </w:tbl>
    <w:p w14:paraId="0986DD54" w14:textId="79CCB041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6665D5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15E58582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33F5A097" w14:textId="77777777" w:rsidR="006665D5" w:rsidRPr="009E01B8" w:rsidRDefault="006665D5" w:rsidP="00AF0CB5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 de marchandises dangereuses</w:t>
      </w:r>
    </w:p>
    <w:p w14:paraId="711E8197" w14:textId="5FD2D750" w:rsidR="006665D5" w:rsidRPr="00926E87" w:rsidRDefault="006665D5" w:rsidP="00AF0CB5">
      <w:pPr>
        <w:spacing w:before="120"/>
        <w:rPr>
          <w:b/>
        </w:rPr>
      </w:pPr>
      <w:r w:rsidRPr="00926E87">
        <w:rPr>
          <w:b/>
        </w:rPr>
        <w:t>Réunion commune de la Commission d</w:t>
      </w:r>
      <w:r>
        <w:rPr>
          <w:b/>
        </w:rPr>
        <w:t>’</w:t>
      </w:r>
      <w:r w:rsidRPr="00926E87">
        <w:rPr>
          <w:b/>
        </w:rPr>
        <w:t>experts du RID</w:t>
      </w:r>
      <w:r>
        <w:rPr>
          <w:b/>
        </w:rPr>
        <w:t xml:space="preserve"> </w:t>
      </w:r>
      <w:r w:rsidRPr="00926E87">
        <w:rPr>
          <w:b/>
        </w:rPr>
        <w:t>et</w:t>
      </w:r>
      <w:r>
        <w:rPr>
          <w:b/>
        </w:rPr>
        <w:br/>
      </w:r>
      <w:r w:rsidRPr="00926E87">
        <w:rPr>
          <w:b/>
        </w:rPr>
        <w:t>du Groupe de travail</w:t>
      </w:r>
      <w:r>
        <w:rPr>
          <w:b/>
        </w:rPr>
        <w:t xml:space="preserve"> </w:t>
      </w:r>
      <w:r w:rsidRPr="00926E87">
        <w:rPr>
          <w:b/>
        </w:rPr>
        <w:t>des transports de marchandises dangereuses</w:t>
      </w:r>
    </w:p>
    <w:p w14:paraId="3A5E7BA9" w14:textId="129FA74F" w:rsidR="006665D5" w:rsidRDefault="006665D5" w:rsidP="00AF0CB5">
      <w:pPr>
        <w:spacing w:before="120"/>
      </w:pPr>
      <w:r>
        <w:t xml:space="preserve">Genève, </w:t>
      </w:r>
      <w:r>
        <w:rPr>
          <w:lang w:val="fr-FR"/>
        </w:rPr>
        <w:t>9-13 septembre 2024</w:t>
      </w:r>
    </w:p>
    <w:p w14:paraId="55BADB55" w14:textId="72F6C8CD" w:rsidR="006665D5" w:rsidRDefault="006665D5" w:rsidP="00AF0CB5">
      <w:r w:rsidRPr="00B93E72">
        <w:t xml:space="preserve">Point </w:t>
      </w:r>
      <w:r>
        <w:t>2</w:t>
      </w:r>
      <w:r w:rsidRPr="00B93E72">
        <w:t xml:space="preserve"> de l</w:t>
      </w:r>
      <w:r>
        <w:t>’</w:t>
      </w:r>
      <w:r w:rsidRPr="00B93E72">
        <w:t>ordre du jour provisoire</w:t>
      </w:r>
    </w:p>
    <w:p w14:paraId="47B9F70B" w14:textId="742F5D86" w:rsidR="00F9573C" w:rsidRDefault="006665D5" w:rsidP="00AF0CB5">
      <w:pPr>
        <w:rPr>
          <w:b/>
          <w:bCs/>
        </w:rPr>
      </w:pPr>
      <w:r>
        <w:rPr>
          <w:b/>
          <w:bCs/>
        </w:rPr>
        <w:t>Citernes</w:t>
      </w:r>
    </w:p>
    <w:p w14:paraId="2528780D" w14:textId="77777777" w:rsidR="006665D5" w:rsidRPr="00432306" w:rsidRDefault="006665D5" w:rsidP="006665D5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 xml:space="preserve">Système de </w:t>
      </w:r>
      <w:r w:rsidRPr="006665D5">
        <w:t>chauffage</w:t>
      </w:r>
      <w:r>
        <w:rPr>
          <w:lang w:val="fr-FR"/>
        </w:rPr>
        <w:t xml:space="preserve"> des citernes</w:t>
      </w:r>
    </w:p>
    <w:p w14:paraId="6E976BCD" w14:textId="58EF1825" w:rsidR="006665D5" w:rsidRDefault="006665D5" w:rsidP="006665D5">
      <w:pPr>
        <w:pStyle w:val="H1G"/>
      </w:pPr>
      <w:r>
        <w:rPr>
          <w:lang w:val="fr-FR"/>
        </w:rPr>
        <w:tab/>
      </w:r>
      <w:r>
        <w:rPr>
          <w:lang w:val="fr-FR"/>
        </w:rPr>
        <w:tab/>
        <w:t>Communication du Gouvernement allemand</w:t>
      </w:r>
      <w:r w:rsidRPr="006665D5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2"/>
        <w:t>*</w:t>
      </w:r>
      <w:r w:rsidRPr="006665D5">
        <w:rPr>
          <w:b w:val="0"/>
          <w:bCs/>
          <w:position w:val="6"/>
          <w:sz w:val="20"/>
          <w:lang w:val="fr-FR"/>
        </w:rPr>
        <w:t>,</w:t>
      </w:r>
      <w:r>
        <w:rPr>
          <w:b w:val="0"/>
          <w:bCs/>
          <w:sz w:val="20"/>
          <w:lang w:val="fr-FR"/>
        </w:rPr>
        <w:t xml:space="preserve"> </w:t>
      </w:r>
      <w:r w:rsidRPr="006665D5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3"/>
        <w:t>**</w:t>
      </w:r>
    </w:p>
    <w:tbl>
      <w:tblPr>
        <w:tblStyle w:val="Grilledutableau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28"/>
      </w:tblGrid>
      <w:tr w:rsidR="006665D5" w14:paraId="2D9D1DF6" w14:textId="77777777">
        <w:trPr>
          <w:jc w:val="center"/>
        </w:trPr>
        <w:tc>
          <w:tcPr>
            <w:tcW w:w="9637" w:type="dxa"/>
            <w:shd w:val="clear" w:color="auto" w:fill="auto"/>
          </w:tcPr>
          <w:p w14:paraId="62889A87" w14:textId="77777777" w:rsidR="006665D5" w:rsidRDefault="006665D5">
            <w:pPr>
              <w:spacing w:before="240" w:after="120"/>
              <w:ind w:left="255"/>
              <w:rPr>
                <w:i/>
                <w:sz w:val="24"/>
              </w:rPr>
            </w:pPr>
            <w:r>
              <w:rPr>
                <w:i/>
                <w:sz w:val="24"/>
              </w:rPr>
              <w:t>Résumé</w:t>
            </w:r>
          </w:p>
        </w:tc>
      </w:tr>
      <w:tr w:rsidR="006665D5" w14:paraId="4D8934A5" w14:textId="77777777">
        <w:trPr>
          <w:jc w:val="center"/>
        </w:trPr>
        <w:tc>
          <w:tcPr>
            <w:tcW w:w="9637" w:type="dxa"/>
            <w:shd w:val="clear" w:color="auto" w:fill="auto"/>
          </w:tcPr>
          <w:p w14:paraId="7F9335F0" w14:textId="317C4F4D" w:rsidR="006665D5" w:rsidRDefault="006665D5" w:rsidP="006665D5">
            <w:pPr>
              <w:pStyle w:val="SingleTxtG"/>
              <w:ind w:left="3402" w:hanging="2268"/>
            </w:pPr>
            <w:r>
              <w:rPr>
                <w:b/>
                <w:bCs/>
                <w:lang w:val="fr-FR"/>
              </w:rPr>
              <w:t>Résumé analytique :</w:t>
            </w:r>
            <w:r>
              <w:rPr>
                <w:lang w:val="fr-FR"/>
              </w:rPr>
              <w:tab/>
              <w:t>Les 6.7.2.5.12 à 6.7.2.5.15 du RID et de l</w:t>
            </w:r>
            <w:r>
              <w:rPr>
                <w:lang w:val="fr-FR"/>
              </w:rPr>
              <w:t>’</w:t>
            </w:r>
            <w:r>
              <w:rPr>
                <w:lang w:val="fr-FR"/>
              </w:rPr>
              <w:t>ADR contiennent des prescriptions relatives aux systèmes de chauffage des citernes mobiles et à l</w:t>
            </w:r>
            <w:r>
              <w:rPr>
                <w:lang w:val="fr-FR"/>
              </w:rPr>
              <w:t>’</w:t>
            </w:r>
            <w:r>
              <w:rPr>
                <w:lang w:val="fr-FR"/>
              </w:rPr>
              <w:t>équipement électrique utilisé dans ces systèmes. Le chapitre 6.8 du RID et de l</w:t>
            </w:r>
            <w:r>
              <w:rPr>
                <w:lang w:val="fr-FR"/>
              </w:rPr>
              <w:t>’</w:t>
            </w:r>
            <w:r>
              <w:rPr>
                <w:lang w:val="fr-FR"/>
              </w:rPr>
              <w:t>ADR, quant à lui, ne contient aucune prescription de ce type. Pour éviter toute incertitude lors de l</w:t>
            </w:r>
            <w:r>
              <w:rPr>
                <w:lang w:val="fr-FR"/>
              </w:rPr>
              <w:t>’</w:t>
            </w:r>
            <w:r>
              <w:rPr>
                <w:lang w:val="fr-FR"/>
              </w:rPr>
              <w:t>évaluation et du contrôle des systèmes de chauffage, par exemple dans le cadre de l</w:t>
            </w:r>
            <w:r>
              <w:rPr>
                <w:lang w:val="fr-FR"/>
              </w:rPr>
              <w:t>’</w:t>
            </w:r>
            <w:r>
              <w:rPr>
                <w:lang w:val="fr-FR"/>
              </w:rPr>
              <w:t>agrément de type des citernes, et à des fins d</w:t>
            </w:r>
            <w:r>
              <w:rPr>
                <w:lang w:val="fr-FR"/>
              </w:rPr>
              <w:t>’</w:t>
            </w:r>
            <w:r>
              <w:rPr>
                <w:lang w:val="fr-FR"/>
              </w:rPr>
              <w:t>harmonisation, les dispositions pertinentes du chapitre 6.7 devraient être ajoutées au chapitre 6.8 du RID et de</w:t>
            </w:r>
            <w:r>
              <w:rPr>
                <w:lang w:val="fr-FR"/>
              </w:rPr>
              <w:t> </w:t>
            </w:r>
            <w:r>
              <w:rPr>
                <w:lang w:val="fr-FR"/>
              </w:rPr>
              <w:t>l</w:t>
            </w:r>
            <w:r>
              <w:rPr>
                <w:lang w:val="fr-FR"/>
              </w:rPr>
              <w:t>’</w:t>
            </w:r>
            <w:r>
              <w:rPr>
                <w:lang w:val="fr-FR"/>
              </w:rPr>
              <w:t>ADR.</w:t>
            </w:r>
          </w:p>
        </w:tc>
      </w:tr>
      <w:tr w:rsidR="006665D5" w14:paraId="017B10A5" w14:textId="77777777">
        <w:trPr>
          <w:jc w:val="center"/>
        </w:trPr>
        <w:tc>
          <w:tcPr>
            <w:tcW w:w="9637" w:type="dxa"/>
            <w:shd w:val="clear" w:color="auto" w:fill="auto"/>
          </w:tcPr>
          <w:p w14:paraId="18A15D0A" w14:textId="53A82713" w:rsidR="006665D5" w:rsidRDefault="006665D5" w:rsidP="006665D5">
            <w:pPr>
              <w:pStyle w:val="SingleTxtG"/>
              <w:ind w:left="3402" w:hanging="2268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Mesure à prendre :</w:t>
            </w:r>
            <w:r>
              <w:rPr>
                <w:lang w:val="fr-FR"/>
              </w:rPr>
              <w:tab/>
              <w:t>Ajouter des dispositions concernant les systèmes de chauffage dans le chapitre 6.8 du RID et de l</w:t>
            </w:r>
            <w:r>
              <w:rPr>
                <w:lang w:val="fr-FR"/>
              </w:rPr>
              <w:t>’</w:t>
            </w:r>
            <w:r>
              <w:rPr>
                <w:lang w:val="fr-FR"/>
              </w:rPr>
              <w:t>ADR.</w:t>
            </w:r>
          </w:p>
        </w:tc>
      </w:tr>
      <w:tr w:rsidR="006665D5" w14:paraId="76AD3BB2" w14:textId="77777777">
        <w:trPr>
          <w:jc w:val="center"/>
        </w:trPr>
        <w:tc>
          <w:tcPr>
            <w:tcW w:w="9637" w:type="dxa"/>
            <w:shd w:val="clear" w:color="auto" w:fill="auto"/>
          </w:tcPr>
          <w:p w14:paraId="5430FED6" w14:textId="0D5BC6D5" w:rsidR="006665D5" w:rsidRDefault="006665D5" w:rsidP="006665D5">
            <w:pPr>
              <w:pStyle w:val="SingleTxtG"/>
              <w:ind w:left="3402" w:hanging="2268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Documents connexes :</w:t>
            </w:r>
            <w:r>
              <w:rPr>
                <w:lang w:val="fr-FR"/>
              </w:rPr>
              <w:t xml:space="preserve"> </w:t>
            </w:r>
            <w:r>
              <w:rPr>
                <w:lang w:val="fr-FR"/>
              </w:rPr>
              <w:tab/>
            </w:r>
            <w:r w:rsidRPr="006164E4">
              <w:rPr>
                <w:lang w:val="fr-FR"/>
              </w:rPr>
              <w:t>–</w:t>
            </w:r>
          </w:p>
        </w:tc>
      </w:tr>
      <w:tr w:rsidR="006665D5" w14:paraId="0211D8BB" w14:textId="77777777">
        <w:trPr>
          <w:jc w:val="center"/>
        </w:trPr>
        <w:tc>
          <w:tcPr>
            <w:tcW w:w="9637" w:type="dxa"/>
            <w:shd w:val="clear" w:color="auto" w:fill="auto"/>
          </w:tcPr>
          <w:p w14:paraId="23B56C8B" w14:textId="77777777" w:rsidR="006665D5" w:rsidRDefault="006665D5"/>
        </w:tc>
      </w:tr>
    </w:tbl>
    <w:p w14:paraId="24D30083" w14:textId="77777777" w:rsidR="006665D5" w:rsidRDefault="006665D5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</w:pPr>
      <w:r>
        <w:br w:type="page"/>
      </w:r>
    </w:p>
    <w:p w14:paraId="5B73833A" w14:textId="77777777" w:rsidR="006665D5" w:rsidRPr="00432306" w:rsidRDefault="006665D5" w:rsidP="006665D5">
      <w:pPr>
        <w:pStyle w:val="HChG"/>
      </w:pPr>
      <w:r>
        <w:rPr>
          <w:lang w:val="fr-FR"/>
        </w:rPr>
        <w:lastRenderedPageBreak/>
        <w:tab/>
      </w:r>
      <w:r>
        <w:rPr>
          <w:lang w:val="fr-FR"/>
        </w:rPr>
        <w:tab/>
      </w:r>
      <w:r>
        <w:rPr>
          <w:bCs/>
          <w:lang w:val="fr-FR"/>
        </w:rPr>
        <w:t>Introduction</w:t>
      </w:r>
    </w:p>
    <w:p w14:paraId="797E420D" w14:textId="1B8C980F" w:rsidR="006665D5" w:rsidRPr="00432306" w:rsidRDefault="006665D5" w:rsidP="006665D5">
      <w:pPr>
        <w:pStyle w:val="SingleTxtG"/>
      </w:pPr>
      <w:r>
        <w:rPr>
          <w:lang w:val="fr-FR"/>
        </w:rPr>
        <w:t>1.</w:t>
      </w:r>
      <w:r>
        <w:rPr>
          <w:lang w:val="fr-FR"/>
        </w:rPr>
        <w:tab/>
        <w:t>Les citernes conformes au chapitre 6.8 du RID et de l</w:t>
      </w:r>
      <w:r>
        <w:rPr>
          <w:lang w:val="fr-FR"/>
        </w:rPr>
        <w:t>’</w:t>
      </w:r>
      <w:r>
        <w:rPr>
          <w:lang w:val="fr-FR"/>
        </w:rPr>
        <w:t>ADR sont équipées de systèmes de chauffage servant à chauffer les marchandises dangereuses. Bon nombre de ces systèmes sont actionnés de l</w:t>
      </w:r>
      <w:r>
        <w:rPr>
          <w:lang w:val="fr-FR"/>
        </w:rPr>
        <w:t>’</w:t>
      </w:r>
      <w:r>
        <w:rPr>
          <w:lang w:val="fr-FR"/>
        </w:rPr>
        <w:t>extérieur. Les marchandises dangereuses sont chauffées avec de la vapeur d</w:t>
      </w:r>
      <w:r>
        <w:rPr>
          <w:lang w:val="fr-FR"/>
        </w:rPr>
        <w:t>’</w:t>
      </w:r>
      <w:r>
        <w:rPr>
          <w:lang w:val="fr-FR"/>
        </w:rPr>
        <w:t>eau chaude circulant dans un système de tuyauterie, qui est généralement installé entre le réservoir et l</w:t>
      </w:r>
      <w:r>
        <w:rPr>
          <w:lang w:val="fr-FR"/>
        </w:rPr>
        <w:t>’</w:t>
      </w:r>
      <w:r>
        <w:rPr>
          <w:lang w:val="fr-FR"/>
        </w:rPr>
        <w:t>isolation extérieure.</w:t>
      </w:r>
    </w:p>
    <w:p w14:paraId="7BB8E1D5" w14:textId="1994E99B" w:rsidR="006665D5" w:rsidRPr="00432306" w:rsidRDefault="006665D5" w:rsidP="006665D5">
      <w:pPr>
        <w:pStyle w:val="SingleTxtG"/>
      </w:pPr>
      <w:r>
        <w:rPr>
          <w:lang w:val="fr-FR"/>
        </w:rPr>
        <w:t>2.</w:t>
      </w:r>
      <w:r>
        <w:rPr>
          <w:lang w:val="fr-FR"/>
        </w:rPr>
        <w:tab/>
        <w:t>Dans certains cas, cependant, un système de chauffage est aussi installé sur les citernes fixes (véhicules-citernes), les citernes démontables et les conteneurs-citernes, qui fonctionnent avec leur propre chauffage à combustion. Un liquide est alors chauffé et pompé par un système de tuyauterie (de la même manière que dans les systèmes de chauffage des citernes actionnés de l</w:t>
      </w:r>
      <w:r>
        <w:rPr>
          <w:lang w:val="fr-FR"/>
        </w:rPr>
        <w:t>’</w:t>
      </w:r>
      <w:r>
        <w:rPr>
          <w:lang w:val="fr-FR"/>
        </w:rPr>
        <w:t>extérieur) afin de chauffer les marchandises dangereuses ou de les maintenir à une certaine température. Ces chauffages à combustion, dont il existe différents modèles, fonctionnent généralement au diesel. Certains fonctionnent de manière indépendante et sont dotés de leur propre alimentation, tandis que d</w:t>
      </w:r>
      <w:r>
        <w:rPr>
          <w:lang w:val="fr-FR"/>
        </w:rPr>
        <w:t>’</w:t>
      </w:r>
      <w:r>
        <w:rPr>
          <w:lang w:val="fr-FR"/>
        </w:rPr>
        <w:t>autres utilisent l</w:t>
      </w:r>
      <w:r>
        <w:rPr>
          <w:lang w:val="fr-FR"/>
        </w:rPr>
        <w:t>’</w:t>
      </w:r>
      <w:r>
        <w:rPr>
          <w:lang w:val="fr-FR"/>
        </w:rPr>
        <w:t>alimentation du véhicule moteur.</w:t>
      </w:r>
    </w:p>
    <w:p w14:paraId="7EBCA4FB" w14:textId="77777777" w:rsidR="006665D5" w:rsidRPr="00432306" w:rsidRDefault="006665D5" w:rsidP="006665D5">
      <w:pPr>
        <w:pStyle w:val="SingleTxtG"/>
      </w:pPr>
      <w:r>
        <w:rPr>
          <w:lang w:val="fr-FR"/>
        </w:rPr>
        <w:t>3.</w:t>
      </w:r>
      <w:r>
        <w:rPr>
          <w:lang w:val="fr-FR"/>
        </w:rPr>
        <w:tab/>
        <w:t>Il existe également des appareils de chauffage purement électriques.</w:t>
      </w:r>
    </w:p>
    <w:p w14:paraId="26123416" w14:textId="1146153A" w:rsidR="006665D5" w:rsidRPr="00432306" w:rsidRDefault="006665D5" w:rsidP="006665D5">
      <w:pPr>
        <w:pStyle w:val="SingleTxtG"/>
      </w:pPr>
      <w:r>
        <w:rPr>
          <w:lang w:val="fr-FR"/>
        </w:rPr>
        <w:t>4.</w:t>
      </w:r>
      <w:r>
        <w:rPr>
          <w:lang w:val="fr-FR"/>
        </w:rPr>
        <w:tab/>
        <w:t>Conformément au 1.2.1 du RID et de l</w:t>
      </w:r>
      <w:r>
        <w:rPr>
          <w:lang w:val="fr-FR"/>
        </w:rPr>
        <w:t>’</w:t>
      </w:r>
      <w:r>
        <w:rPr>
          <w:lang w:val="fr-FR"/>
        </w:rPr>
        <w:t>ADR, le système de chauffage fait partie de l</w:t>
      </w:r>
      <w:r>
        <w:rPr>
          <w:lang w:val="fr-FR"/>
        </w:rPr>
        <w:t>’</w:t>
      </w:r>
      <w:r>
        <w:rPr>
          <w:lang w:val="fr-FR"/>
        </w:rPr>
        <w:t>équipement de service de la citerne. Cependant, il n</w:t>
      </w:r>
      <w:r>
        <w:rPr>
          <w:lang w:val="fr-FR"/>
        </w:rPr>
        <w:t>’</w:t>
      </w:r>
      <w:r>
        <w:rPr>
          <w:lang w:val="fr-FR"/>
        </w:rPr>
        <w:t>est fait mention d</w:t>
      </w:r>
      <w:r>
        <w:rPr>
          <w:lang w:val="fr-FR"/>
        </w:rPr>
        <w:t>’</w:t>
      </w:r>
      <w:r>
        <w:rPr>
          <w:lang w:val="fr-FR"/>
        </w:rPr>
        <w:t>aucune prescription particulière applicable aux systèmes de chauffage dans le 6.8.2.2 du RID et de l</w:t>
      </w:r>
      <w:r>
        <w:rPr>
          <w:lang w:val="fr-FR"/>
        </w:rPr>
        <w:t>’</w:t>
      </w:r>
      <w:r>
        <w:rPr>
          <w:lang w:val="fr-FR"/>
        </w:rPr>
        <w:t>ADR (équipements des citernes). Les dispositions relatives à l</w:t>
      </w:r>
      <w:r>
        <w:rPr>
          <w:lang w:val="fr-FR"/>
        </w:rPr>
        <w:t>’</w:t>
      </w:r>
      <w:r>
        <w:rPr>
          <w:lang w:val="fr-FR"/>
        </w:rPr>
        <w:t>équipement électrique des 9.2.2 et 9.7.8 de l</w:t>
      </w:r>
      <w:r>
        <w:rPr>
          <w:lang w:val="fr-FR"/>
        </w:rPr>
        <w:t>’</w:t>
      </w:r>
      <w:r>
        <w:rPr>
          <w:lang w:val="fr-FR"/>
        </w:rPr>
        <w:t>ADR ne s</w:t>
      </w:r>
      <w:r>
        <w:rPr>
          <w:lang w:val="fr-FR"/>
        </w:rPr>
        <w:t>’</w:t>
      </w:r>
      <w:r>
        <w:rPr>
          <w:lang w:val="fr-FR"/>
        </w:rPr>
        <w:t>appliquent qu</w:t>
      </w:r>
      <w:r>
        <w:rPr>
          <w:lang w:val="fr-FR"/>
        </w:rPr>
        <w:t>’</w:t>
      </w:r>
      <w:r>
        <w:rPr>
          <w:lang w:val="fr-FR"/>
        </w:rPr>
        <w:t>aux véhicules. En revanche, les 6.7.2.5.12 à 6.7.2.5.15 contiennent des dispositions détaillées applicables aux systèmes de chauffage des citernes mobiles. Puisque le chapitre 6.8 ne contient pas de dispositions détaillées applicables aux systèmes de chauffage, l</w:t>
      </w:r>
      <w:r>
        <w:rPr>
          <w:lang w:val="fr-FR"/>
        </w:rPr>
        <w:t>’</w:t>
      </w:r>
      <w:r>
        <w:rPr>
          <w:lang w:val="fr-FR"/>
        </w:rPr>
        <w:t>évaluation et le contrôle de ces systèmes peuvent donner lieu à des incertitudes, par exemple dans le cadre de l</w:t>
      </w:r>
      <w:r>
        <w:rPr>
          <w:lang w:val="fr-FR"/>
        </w:rPr>
        <w:t>’</w:t>
      </w:r>
      <w:r>
        <w:rPr>
          <w:lang w:val="fr-FR"/>
        </w:rPr>
        <w:t>agrément de type des citernes.</w:t>
      </w:r>
    </w:p>
    <w:p w14:paraId="2364F00F" w14:textId="3C23CDF0" w:rsidR="006665D5" w:rsidRPr="00432306" w:rsidRDefault="006665D5" w:rsidP="006665D5">
      <w:pPr>
        <w:pStyle w:val="SingleTxtG"/>
      </w:pPr>
      <w:r>
        <w:rPr>
          <w:lang w:val="fr-FR"/>
        </w:rPr>
        <w:t>5.</w:t>
      </w:r>
      <w:r>
        <w:rPr>
          <w:lang w:val="fr-FR"/>
        </w:rPr>
        <w:tab/>
        <w:t>Afin de lever toute incertitude lors de l</w:t>
      </w:r>
      <w:r>
        <w:rPr>
          <w:lang w:val="fr-FR"/>
        </w:rPr>
        <w:t>’</w:t>
      </w:r>
      <w:r>
        <w:rPr>
          <w:lang w:val="fr-FR"/>
        </w:rPr>
        <w:t>évaluation et du contrôle de ces systèmes de chauffage, des prescriptions minimales applicables aux équipements des citernes devraient être ajoutées au 6.8.2.2 du RID et de l</w:t>
      </w:r>
      <w:r>
        <w:rPr>
          <w:lang w:val="fr-FR"/>
        </w:rPr>
        <w:t>’</w:t>
      </w:r>
      <w:r>
        <w:rPr>
          <w:lang w:val="fr-FR"/>
        </w:rPr>
        <w:t>ADR. En outre, à des fins d</w:t>
      </w:r>
      <w:r>
        <w:rPr>
          <w:lang w:val="fr-FR"/>
        </w:rPr>
        <w:t>’</w:t>
      </w:r>
      <w:r>
        <w:rPr>
          <w:lang w:val="fr-FR"/>
        </w:rPr>
        <w:t>harmonisation avec le Règlement type de l</w:t>
      </w:r>
      <w:r>
        <w:rPr>
          <w:lang w:val="fr-FR"/>
        </w:rPr>
        <w:t>’</w:t>
      </w:r>
      <w:r>
        <w:rPr>
          <w:lang w:val="fr-FR"/>
        </w:rPr>
        <w:t>ONU, il est proposé que les dispositions correspondantes du Règlement type (6.7.2.5.12 à 6.7.2.5.15) soient également ajoutées au chapitre 6.8 du RID et de l</w:t>
      </w:r>
      <w:r>
        <w:rPr>
          <w:lang w:val="fr-FR"/>
        </w:rPr>
        <w:t>’</w:t>
      </w:r>
      <w:r>
        <w:rPr>
          <w:lang w:val="fr-FR"/>
        </w:rPr>
        <w:t>ADR.</w:t>
      </w:r>
    </w:p>
    <w:p w14:paraId="725A2E89" w14:textId="77777777" w:rsidR="006665D5" w:rsidRPr="00432306" w:rsidRDefault="006665D5" w:rsidP="006665D5">
      <w:pPr>
        <w:pStyle w:val="HChG"/>
      </w:pPr>
      <w:r>
        <w:rPr>
          <w:bCs/>
          <w:lang w:val="fr-FR"/>
        </w:rPr>
        <w:tab/>
        <w:t>I.</w:t>
      </w:r>
      <w:r>
        <w:rPr>
          <w:lang w:val="fr-FR"/>
        </w:rPr>
        <w:tab/>
      </w:r>
      <w:r>
        <w:rPr>
          <w:bCs/>
          <w:lang w:val="fr-FR"/>
        </w:rPr>
        <w:t>Proposition</w:t>
      </w:r>
    </w:p>
    <w:p w14:paraId="08B83BBA" w14:textId="535ECA8F" w:rsidR="006665D5" w:rsidRPr="00432306" w:rsidRDefault="006665D5" w:rsidP="006665D5">
      <w:pPr>
        <w:pStyle w:val="SingleTxtG"/>
      </w:pPr>
      <w:r>
        <w:rPr>
          <w:lang w:val="fr-FR"/>
        </w:rPr>
        <w:t>6.</w:t>
      </w:r>
      <w:r>
        <w:rPr>
          <w:lang w:val="fr-FR"/>
        </w:rPr>
        <w:tab/>
        <w:t>Dans le chapitre 6.8 du RID et de l</w:t>
      </w:r>
      <w:r>
        <w:rPr>
          <w:lang w:val="fr-FR"/>
        </w:rPr>
        <w:t>’</w:t>
      </w:r>
      <w:r>
        <w:rPr>
          <w:lang w:val="fr-FR"/>
        </w:rPr>
        <w:t>ADR, ajouter les paragraphes suivants :</w:t>
      </w:r>
    </w:p>
    <w:p w14:paraId="1ED80F16" w14:textId="08FAFD57" w:rsidR="006665D5" w:rsidRPr="00432306" w:rsidRDefault="006665D5" w:rsidP="006665D5">
      <w:pPr>
        <w:pStyle w:val="SingleTxtG"/>
      </w:pPr>
      <w:r>
        <w:rPr>
          <w:lang w:val="fr-FR"/>
        </w:rPr>
        <w:t>« </w:t>
      </w:r>
      <w:r>
        <w:rPr>
          <w:b/>
          <w:bCs/>
          <w:lang w:val="fr-FR"/>
        </w:rPr>
        <w:t>6.8.2.2.12</w:t>
      </w:r>
      <w:r>
        <w:rPr>
          <w:lang w:val="fr-FR"/>
        </w:rPr>
        <w:tab/>
        <w:t>Le système de chauffage doit être conçu ou réglé de façon à ne pas laisser une matière atteindre une température à laquelle la pression dans la citerne dépasse sa PSMA ou entraîne d</w:t>
      </w:r>
      <w:r>
        <w:rPr>
          <w:lang w:val="fr-FR"/>
        </w:rPr>
        <w:t>’</w:t>
      </w:r>
      <w:r>
        <w:rPr>
          <w:lang w:val="fr-FR"/>
        </w:rPr>
        <w:t>autres risques (par exemple, décomposition thermique dangereuse).</w:t>
      </w:r>
    </w:p>
    <w:p w14:paraId="61C78187" w14:textId="667D4766" w:rsidR="006665D5" w:rsidRPr="00432306" w:rsidRDefault="006665D5" w:rsidP="006665D5">
      <w:pPr>
        <w:pStyle w:val="SingleTxtG"/>
      </w:pPr>
      <w:r>
        <w:rPr>
          <w:b/>
          <w:bCs/>
          <w:lang w:val="fr-FR"/>
        </w:rPr>
        <w:t>6.8.2.2.13</w:t>
      </w:r>
      <w:r>
        <w:rPr>
          <w:lang w:val="fr-FR"/>
        </w:rPr>
        <w:tab/>
        <w:t>Le système de chauffage doit être conçu ou réglé de façon que les éléments de chauffage interne ne soient pas alimentés en énergie à moins d</w:t>
      </w:r>
      <w:r>
        <w:rPr>
          <w:lang w:val="fr-FR"/>
        </w:rPr>
        <w:t>’</w:t>
      </w:r>
      <w:r>
        <w:rPr>
          <w:lang w:val="fr-FR"/>
        </w:rPr>
        <w:t>être complètement immergés. La température à la surface des éléments de chauffage dans le cas d</w:t>
      </w:r>
      <w:r>
        <w:rPr>
          <w:lang w:val="fr-FR"/>
        </w:rPr>
        <w:t>’</w:t>
      </w:r>
      <w:r>
        <w:rPr>
          <w:lang w:val="fr-FR"/>
        </w:rPr>
        <w:t>un système de chauffage interne, ou la température sur le réservoir dans le cas d</w:t>
      </w:r>
      <w:r>
        <w:rPr>
          <w:lang w:val="fr-FR"/>
        </w:rPr>
        <w:t>’</w:t>
      </w:r>
      <w:r>
        <w:rPr>
          <w:lang w:val="fr-FR"/>
        </w:rPr>
        <w:t>un système de chauffage externe, ne doit en aucun cas dépasser 80</w:t>
      </w:r>
      <w:r w:rsidR="00EC6094">
        <w:rPr>
          <w:lang w:val="fr-FR"/>
        </w:rPr>
        <w:t> </w:t>
      </w:r>
      <w:r>
        <w:rPr>
          <w:lang w:val="fr-FR"/>
        </w:rPr>
        <w:t>% de la température d</w:t>
      </w:r>
      <w:r>
        <w:rPr>
          <w:lang w:val="fr-FR"/>
        </w:rPr>
        <w:t>’</w:t>
      </w:r>
      <w:r>
        <w:rPr>
          <w:lang w:val="fr-FR"/>
        </w:rPr>
        <w:t>auto-inflammation (en °C) de la matière transportée.</w:t>
      </w:r>
    </w:p>
    <w:p w14:paraId="3DC0FD46" w14:textId="6AE2CC7B" w:rsidR="006665D5" w:rsidRPr="00432306" w:rsidRDefault="006665D5" w:rsidP="006665D5">
      <w:pPr>
        <w:pStyle w:val="SingleTxtG"/>
      </w:pPr>
      <w:r>
        <w:rPr>
          <w:b/>
          <w:bCs/>
          <w:lang w:val="fr-FR"/>
        </w:rPr>
        <w:t>6.8.2.2.14</w:t>
      </w:r>
      <w:r>
        <w:rPr>
          <w:lang w:val="fr-FR"/>
        </w:rPr>
        <w:tab/>
        <w:t>Si un système de chauffage électrique est installé à l</w:t>
      </w:r>
      <w:r>
        <w:rPr>
          <w:lang w:val="fr-FR"/>
        </w:rPr>
        <w:t>’</w:t>
      </w:r>
      <w:r>
        <w:rPr>
          <w:lang w:val="fr-FR"/>
        </w:rPr>
        <w:t>intérieur de la citerne, il doit être équipé d</w:t>
      </w:r>
      <w:r>
        <w:rPr>
          <w:lang w:val="fr-FR"/>
        </w:rPr>
        <w:t>’</w:t>
      </w:r>
      <w:r>
        <w:rPr>
          <w:lang w:val="fr-FR"/>
        </w:rPr>
        <w:t>un disjoncteur de perte à la masse dont le courant de déclenchement est inférieur à 100 mA.</w:t>
      </w:r>
    </w:p>
    <w:p w14:paraId="2FC1291E" w14:textId="14124FA3" w:rsidR="006665D5" w:rsidRPr="00432306" w:rsidRDefault="006665D5" w:rsidP="006665D5">
      <w:pPr>
        <w:pStyle w:val="SingleTxtG"/>
      </w:pPr>
      <w:r>
        <w:rPr>
          <w:b/>
          <w:bCs/>
          <w:lang w:val="fr-FR"/>
        </w:rPr>
        <w:t>6.8.2.2.15</w:t>
      </w:r>
      <w:r>
        <w:rPr>
          <w:lang w:val="fr-FR"/>
        </w:rPr>
        <w:tab/>
        <w:t>Les boîtiers des commutateurs électriques montés sur les citernes ne doivent pas avoir de raccordement direct avec l</w:t>
      </w:r>
      <w:r>
        <w:rPr>
          <w:lang w:val="fr-FR"/>
        </w:rPr>
        <w:t>’</w:t>
      </w:r>
      <w:r>
        <w:rPr>
          <w:lang w:val="fr-FR"/>
        </w:rPr>
        <w:t>intérieur de la citerne et doivent disposer d</w:t>
      </w:r>
      <w:r>
        <w:rPr>
          <w:lang w:val="fr-FR"/>
        </w:rPr>
        <w:t>’</w:t>
      </w:r>
      <w:r>
        <w:rPr>
          <w:lang w:val="fr-FR"/>
        </w:rPr>
        <w:t>une protection équivalant au moins à la protection de type IP 56 conformément à la norme CEI</w:t>
      </w:r>
      <w:r w:rsidR="00EC6094">
        <w:rPr>
          <w:lang w:val="fr-FR"/>
        </w:rPr>
        <w:t> </w:t>
      </w:r>
      <w:r>
        <w:rPr>
          <w:lang w:val="fr-FR"/>
        </w:rPr>
        <w:t>144 ou CEI 529. ».</w:t>
      </w:r>
    </w:p>
    <w:p w14:paraId="205330B4" w14:textId="77777777" w:rsidR="006665D5" w:rsidRPr="00432306" w:rsidRDefault="006665D5" w:rsidP="0018640C">
      <w:pPr>
        <w:pStyle w:val="SingleTxtG"/>
        <w:keepNext/>
      </w:pPr>
      <w:r>
        <w:rPr>
          <w:lang w:val="fr-FR"/>
        </w:rPr>
        <w:lastRenderedPageBreak/>
        <w:t>7.</w:t>
      </w:r>
      <w:r>
        <w:rPr>
          <w:lang w:val="fr-FR"/>
        </w:rPr>
        <w:tab/>
        <w:t>Au chapitre 1.6, ajouter les mesures transitoires suivantes  :</w:t>
      </w:r>
    </w:p>
    <w:p w14:paraId="328023D6" w14:textId="77777777" w:rsidR="006665D5" w:rsidRPr="00432306" w:rsidRDefault="006665D5" w:rsidP="0018640C">
      <w:pPr>
        <w:pStyle w:val="SingleTxtG"/>
        <w:keepNext/>
      </w:pPr>
      <w:r>
        <w:rPr>
          <w:lang w:val="fr-FR"/>
        </w:rPr>
        <w:t>(RID :)</w:t>
      </w:r>
    </w:p>
    <w:p w14:paraId="78EB964A" w14:textId="627C635C" w:rsidR="006665D5" w:rsidRDefault="006665D5" w:rsidP="006665D5">
      <w:pPr>
        <w:pStyle w:val="SingleTxtG"/>
        <w:rPr>
          <w:lang w:val="fr-FR"/>
        </w:rPr>
      </w:pPr>
      <w:r>
        <w:rPr>
          <w:lang w:val="fr-FR"/>
        </w:rPr>
        <w:t>«</w:t>
      </w:r>
      <w:r>
        <w:rPr>
          <w:lang w:val="fr-FR"/>
        </w:rPr>
        <w:t> </w:t>
      </w:r>
      <w:r>
        <w:rPr>
          <w:b/>
          <w:bCs/>
          <w:lang w:val="fr-FR"/>
        </w:rPr>
        <w:t>1.6.3.xx</w:t>
      </w:r>
      <w:r>
        <w:rPr>
          <w:lang w:val="fr-FR"/>
        </w:rPr>
        <w:tab/>
        <w:t>Les wagons-citernes construits avant le 1</w:t>
      </w:r>
      <w:r>
        <w:rPr>
          <w:vertAlign w:val="superscript"/>
          <w:lang w:val="fr-FR"/>
        </w:rPr>
        <w:t>er</w:t>
      </w:r>
      <w:r>
        <w:rPr>
          <w:lang w:val="fr-FR"/>
        </w:rPr>
        <w:t xml:space="preserve"> janvier 2029 selon les prescriptions applicables jusqu</w:t>
      </w:r>
      <w:r>
        <w:rPr>
          <w:lang w:val="fr-FR"/>
        </w:rPr>
        <w:t>’</w:t>
      </w:r>
      <w:r>
        <w:rPr>
          <w:lang w:val="fr-FR"/>
        </w:rPr>
        <w:t>au 31 décembre 2028, mais qui ne sont pas conformes aux prescriptions des 6.8.2.2.12 à 6.8.2.2.15 applicables à partir du 1</w:t>
      </w:r>
      <w:r>
        <w:rPr>
          <w:vertAlign w:val="superscript"/>
          <w:lang w:val="fr-FR"/>
        </w:rPr>
        <w:t>er</w:t>
      </w:r>
      <w:r>
        <w:rPr>
          <w:lang w:val="fr-FR"/>
        </w:rPr>
        <w:t xml:space="preserve"> janvier 2027, pourront encore être utilisés. ».</w:t>
      </w:r>
    </w:p>
    <w:p w14:paraId="00F19504" w14:textId="77777777" w:rsidR="006665D5" w:rsidRPr="00432306" w:rsidRDefault="006665D5" w:rsidP="006665D5">
      <w:pPr>
        <w:pStyle w:val="SingleTxtG"/>
      </w:pPr>
      <w:r>
        <w:rPr>
          <w:lang w:val="fr-FR"/>
        </w:rPr>
        <w:t>(ADR :)</w:t>
      </w:r>
    </w:p>
    <w:p w14:paraId="4EEE5EF1" w14:textId="0EAF3DC2" w:rsidR="006665D5" w:rsidRPr="00432306" w:rsidRDefault="006665D5" w:rsidP="006665D5">
      <w:pPr>
        <w:pStyle w:val="SingleTxtG"/>
      </w:pPr>
      <w:r>
        <w:rPr>
          <w:lang w:val="fr-FR"/>
        </w:rPr>
        <w:t>«</w:t>
      </w:r>
      <w:r>
        <w:rPr>
          <w:lang w:val="fr-FR"/>
        </w:rPr>
        <w:t> </w:t>
      </w:r>
      <w:r>
        <w:rPr>
          <w:b/>
          <w:bCs/>
          <w:lang w:val="fr-FR"/>
        </w:rPr>
        <w:t>1.6.3.xx</w:t>
      </w:r>
      <w:r>
        <w:rPr>
          <w:lang w:val="fr-FR"/>
        </w:rPr>
        <w:tab/>
        <w:t>Les citernes fixes (véhicules-citernes) et citernes démontables construites avant le 1</w:t>
      </w:r>
      <w:r>
        <w:rPr>
          <w:vertAlign w:val="superscript"/>
          <w:lang w:val="fr-FR"/>
        </w:rPr>
        <w:t>er</w:t>
      </w:r>
      <w:r>
        <w:rPr>
          <w:lang w:val="fr-FR"/>
        </w:rPr>
        <w:t xml:space="preserve"> janvier 2029 selon les prescriptions applicables jusqu</w:t>
      </w:r>
      <w:r>
        <w:rPr>
          <w:lang w:val="fr-FR"/>
        </w:rPr>
        <w:t>’</w:t>
      </w:r>
      <w:r>
        <w:rPr>
          <w:lang w:val="fr-FR"/>
        </w:rPr>
        <w:t>au 31 décembre 2028, mais qui ne sont pas conformes aux prescriptions des 6.8.2.2.12 à 6.8.2.2.15 applicables à partir du 1</w:t>
      </w:r>
      <w:r w:rsidRPr="00DD105E">
        <w:rPr>
          <w:vertAlign w:val="superscript"/>
          <w:lang w:val="fr-FR"/>
        </w:rPr>
        <w:t>er</w:t>
      </w:r>
      <w:r>
        <w:rPr>
          <w:lang w:val="fr-FR"/>
        </w:rPr>
        <w:t xml:space="preserve"> janvier 2027, pourront encore être utilisées.</w:t>
      </w:r>
      <w:r>
        <w:rPr>
          <w:lang w:val="fr-FR"/>
        </w:rPr>
        <w:t> »</w:t>
      </w:r>
      <w:r>
        <w:rPr>
          <w:lang w:val="fr-FR"/>
        </w:rPr>
        <w:t>.</w:t>
      </w:r>
    </w:p>
    <w:p w14:paraId="29BD2F00" w14:textId="77777777" w:rsidR="006665D5" w:rsidRPr="00432306" w:rsidRDefault="006665D5" w:rsidP="006665D5">
      <w:pPr>
        <w:pStyle w:val="SingleTxtG"/>
      </w:pPr>
      <w:r>
        <w:rPr>
          <w:lang w:val="fr-FR"/>
        </w:rPr>
        <w:t>(RID et ADR :)</w:t>
      </w:r>
    </w:p>
    <w:p w14:paraId="59C0E412" w14:textId="7E287B4C" w:rsidR="006665D5" w:rsidRPr="00432306" w:rsidRDefault="006665D5" w:rsidP="006665D5">
      <w:pPr>
        <w:pStyle w:val="SingleTxtG"/>
      </w:pPr>
      <w:r>
        <w:rPr>
          <w:lang w:val="fr-FR"/>
        </w:rPr>
        <w:t>«</w:t>
      </w:r>
      <w:r w:rsidR="00BB1EC2">
        <w:rPr>
          <w:lang w:val="fr-FR"/>
        </w:rPr>
        <w:t> </w:t>
      </w:r>
      <w:r>
        <w:rPr>
          <w:b/>
          <w:bCs/>
          <w:lang w:val="fr-FR"/>
        </w:rPr>
        <w:t>1.6.4.xx</w:t>
      </w:r>
      <w:r>
        <w:rPr>
          <w:lang w:val="fr-FR"/>
        </w:rPr>
        <w:tab/>
        <w:t>Les conteneurs-citernes construits avant le 1</w:t>
      </w:r>
      <w:r w:rsidRPr="00DD105E">
        <w:rPr>
          <w:vertAlign w:val="superscript"/>
          <w:lang w:val="fr-FR"/>
        </w:rPr>
        <w:t>er</w:t>
      </w:r>
      <w:r>
        <w:rPr>
          <w:lang w:val="fr-FR"/>
        </w:rPr>
        <w:t xml:space="preserve"> janvier 2029 selon les prescriptions applicables jusqu</w:t>
      </w:r>
      <w:r>
        <w:rPr>
          <w:lang w:val="fr-FR"/>
        </w:rPr>
        <w:t>’</w:t>
      </w:r>
      <w:r>
        <w:rPr>
          <w:lang w:val="fr-FR"/>
        </w:rPr>
        <w:t>au 31 décembre 2028, mais qui ne sont pas conformes aux prescriptions des 6.8.2.2.12 à 6.8.2.2.15 applicables à partir du 1</w:t>
      </w:r>
      <w:r w:rsidRPr="00DD105E">
        <w:rPr>
          <w:vertAlign w:val="superscript"/>
          <w:lang w:val="fr-FR"/>
        </w:rPr>
        <w:t xml:space="preserve">er </w:t>
      </w:r>
      <w:r>
        <w:rPr>
          <w:lang w:val="fr-FR"/>
        </w:rPr>
        <w:t>janvier 2027, pourront encore être utilisés. ».</w:t>
      </w:r>
    </w:p>
    <w:p w14:paraId="57FA74E8" w14:textId="77777777" w:rsidR="006665D5" w:rsidRPr="00432306" w:rsidRDefault="006665D5" w:rsidP="006665D5">
      <w:pPr>
        <w:pStyle w:val="HChG"/>
      </w:pPr>
      <w:r>
        <w:rPr>
          <w:bCs/>
          <w:lang w:val="fr-FR"/>
        </w:rPr>
        <w:tab/>
        <w:t>II.</w:t>
      </w:r>
      <w:r>
        <w:rPr>
          <w:lang w:val="fr-FR"/>
        </w:rPr>
        <w:tab/>
      </w:r>
      <w:r>
        <w:rPr>
          <w:bCs/>
          <w:lang w:val="fr-FR"/>
        </w:rPr>
        <w:t>Justification</w:t>
      </w:r>
    </w:p>
    <w:p w14:paraId="3E63D77A" w14:textId="7460D5F2" w:rsidR="006665D5" w:rsidRPr="00432306" w:rsidRDefault="006665D5" w:rsidP="006665D5">
      <w:pPr>
        <w:pStyle w:val="SingleTxtG"/>
      </w:pPr>
      <w:r>
        <w:rPr>
          <w:lang w:val="fr-FR"/>
        </w:rPr>
        <w:t>8.</w:t>
      </w:r>
      <w:r>
        <w:rPr>
          <w:lang w:val="fr-FR"/>
        </w:rPr>
        <w:tab/>
        <w:t>L</w:t>
      </w:r>
      <w:r>
        <w:rPr>
          <w:lang w:val="fr-FR"/>
        </w:rPr>
        <w:t>’</w:t>
      </w:r>
      <w:r>
        <w:rPr>
          <w:lang w:val="fr-FR"/>
        </w:rPr>
        <w:t>ajout de dispositions relatives aux systèmes de chauffage au chapitre 6.8 permettrait d</w:t>
      </w:r>
      <w:r>
        <w:rPr>
          <w:lang w:val="fr-FR"/>
        </w:rPr>
        <w:t>’</w:t>
      </w:r>
      <w:r>
        <w:rPr>
          <w:lang w:val="fr-FR"/>
        </w:rPr>
        <w:t>uniformiser la manière dont ces systèmes sont évalués et d</w:t>
      </w:r>
      <w:r>
        <w:rPr>
          <w:lang w:val="fr-FR"/>
        </w:rPr>
        <w:t>’</w:t>
      </w:r>
      <w:r>
        <w:rPr>
          <w:lang w:val="fr-FR"/>
        </w:rPr>
        <w:t>éviter ainsi toute incertitude en termes d</w:t>
      </w:r>
      <w:r>
        <w:rPr>
          <w:lang w:val="fr-FR"/>
        </w:rPr>
        <w:t>’</w:t>
      </w:r>
      <w:r>
        <w:rPr>
          <w:lang w:val="fr-FR"/>
        </w:rPr>
        <w:t xml:space="preserve">agrément et de contrôle. Les dispositions relatives aux systèmes de chauffage des </w:t>
      </w:r>
      <w:r w:rsidRPr="00C57D40">
        <w:rPr>
          <w:lang w:val="fr-FR"/>
        </w:rPr>
        <w:t xml:space="preserve">citernes fixes (véhicules-citernes), </w:t>
      </w:r>
      <w:r>
        <w:rPr>
          <w:lang w:val="fr-FR"/>
        </w:rPr>
        <w:t>d</w:t>
      </w:r>
      <w:r w:rsidRPr="00C57D40">
        <w:rPr>
          <w:lang w:val="fr-FR"/>
        </w:rPr>
        <w:t xml:space="preserve">es citernes démontables et </w:t>
      </w:r>
      <w:r>
        <w:rPr>
          <w:lang w:val="fr-FR"/>
        </w:rPr>
        <w:t>d</w:t>
      </w:r>
      <w:r w:rsidRPr="00C57D40">
        <w:rPr>
          <w:lang w:val="fr-FR"/>
        </w:rPr>
        <w:t xml:space="preserve">es conteneurs-citernes </w:t>
      </w:r>
      <w:r>
        <w:rPr>
          <w:lang w:val="fr-FR"/>
        </w:rPr>
        <w:t>seraient alors alignées sur celles relatives aux systèmes de chauffage des citernes mobiles.</w:t>
      </w:r>
    </w:p>
    <w:p w14:paraId="2442BED6" w14:textId="16AB2AFD" w:rsidR="006665D5" w:rsidRDefault="006665D5" w:rsidP="006665D5">
      <w:pPr>
        <w:pStyle w:val="SingleTxtG"/>
        <w:rPr>
          <w:lang w:val="fr-FR"/>
        </w:rPr>
      </w:pPr>
      <w:r>
        <w:rPr>
          <w:lang w:val="fr-FR"/>
        </w:rPr>
        <w:t>9.</w:t>
      </w:r>
      <w:r>
        <w:rPr>
          <w:lang w:val="fr-FR"/>
        </w:rPr>
        <w:tab/>
        <w:t>La présente proposition contribue à la réalisation de l</w:t>
      </w:r>
      <w:r>
        <w:rPr>
          <w:lang w:val="fr-FR"/>
        </w:rPr>
        <w:t>’</w:t>
      </w:r>
      <w:r>
        <w:rPr>
          <w:lang w:val="fr-FR"/>
        </w:rPr>
        <w:t xml:space="preserve">objectif de développement durable </w:t>
      </w:r>
      <w:r w:rsidRPr="006665D5">
        <w:rPr>
          <w:rFonts w:eastAsia="MS Mincho"/>
          <w:szCs w:val="22"/>
          <w:lang w:val="fr-FR"/>
        </w:rPr>
        <w:t>n</w:t>
      </w:r>
      <w:r w:rsidRPr="006665D5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</w:t>
      </w:r>
      <w:r>
        <w:rPr>
          <w:lang w:val="fr-FR"/>
        </w:rPr>
        <w:t>8 (Travail décent et croissance économique).</w:t>
      </w:r>
    </w:p>
    <w:p w14:paraId="00AFCEA1" w14:textId="527CD9B6" w:rsidR="006665D5" w:rsidRPr="006665D5" w:rsidRDefault="006665D5" w:rsidP="006665D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665D5" w:rsidRPr="006665D5" w:rsidSect="006665D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33DEF3" w14:textId="77777777" w:rsidR="00071F86" w:rsidRDefault="00071F86" w:rsidP="00F95C08">
      <w:pPr>
        <w:spacing w:line="240" w:lineRule="auto"/>
      </w:pPr>
    </w:p>
  </w:endnote>
  <w:endnote w:type="continuationSeparator" w:id="0">
    <w:p w14:paraId="56B30D53" w14:textId="77777777" w:rsidR="00071F86" w:rsidRPr="00AC3823" w:rsidRDefault="00071F86" w:rsidP="00AC3823">
      <w:pPr>
        <w:pStyle w:val="Pieddepage"/>
      </w:pPr>
    </w:p>
  </w:endnote>
  <w:endnote w:type="continuationNotice" w:id="1">
    <w:p w14:paraId="2DCD94C3" w14:textId="77777777" w:rsidR="00071F86" w:rsidRDefault="00071F8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6C6F86" w14:textId="5E49297D" w:rsidR="006665D5" w:rsidRPr="006665D5" w:rsidRDefault="006665D5" w:rsidP="006665D5">
    <w:pPr>
      <w:pStyle w:val="Pieddepage"/>
      <w:tabs>
        <w:tab w:val="right" w:pos="9638"/>
      </w:tabs>
    </w:pPr>
    <w:r w:rsidRPr="006665D5">
      <w:rPr>
        <w:b/>
        <w:sz w:val="18"/>
      </w:rPr>
      <w:fldChar w:fldCharType="begin"/>
    </w:r>
    <w:r w:rsidRPr="006665D5">
      <w:rPr>
        <w:b/>
        <w:sz w:val="18"/>
      </w:rPr>
      <w:instrText xml:space="preserve"> PAGE  \* MERGEFORMAT </w:instrText>
    </w:r>
    <w:r w:rsidRPr="006665D5">
      <w:rPr>
        <w:b/>
        <w:sz w:val="18"/>
      </w:rPr>
      <w:fldChar w:fldCharType="separate"/>
    </w:r>
    <w:r w:rsidRPr="006665D5">
      <w:rPr>
        <w:b/>
        <w:noProof/>
        <w:sz w:val="18"/>
      </w:rPr>
      <w:t>2</w:t>
    </w:r>
    <w:r w:rsidRPr="006665D5">
      <w:rPr>
        <w:b/>
        <w:sz w:val="18"/>
      </w:rPr>
      <w:fldChar w:fldCharType="end"/>
    </w:r>
    <w:r>
      <w:rPr>
        <w:b/>
        <w:sz w:val="18"/>
      </w:rPr>
      <w:tab/>
    </w:r>
    <w:r>
      <w:t>GE.24-11453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EEB7C5" w14:textId="4A64D45B" w:rsidR="006665D5" w:rsidRPr="006665D5" w:rsidRDefault="006665D5" w:rsidP="006665D5">
    <w:pPr>
      <w:pStyle w:val="Pieddepage"/>
      <w:tabs>
        <w:tab w:val="right" w:pos="9638"/>
      </w:tabs>
      <w:rPr>
        <w:b/>
        <w:sz w:val="18"/>
      </w:rPr>
    </w:pPr>
    <w:r>
      <w:t>GE.24-11453</w:t>
    </w:r>
    <w:r>
      <w:tab/>
    </w:r>
    <w:r w:rsidRPr="006665D5">
      <w:rPr>
        <w:b/>
        <w:sz w:val="18"/>
      </w:rPr>
      <w:fldChar w:fldCharType="begin"/>
    </w:r>
    <w:r w:rsidRPr="006665D5">
      <w:rPr>
        <w:b/>
        <w:sz w:val="18"/>
      </w:rPr>
      <w:instrText xml:space="preserve"> PAGE  \* MERGEFORMAT </w:instrText>
    </w:r>
    <w:r w:rsidRPr="006665D5">
      <w:rPr>
        <w:b/>
        <w:sz w:val="18"/>
      </w:rPr>
      <w:fldChar w:fldCharType="separate"/>
    </w:r>
    <w:r w:rsidRPr="006665D5">
      <w:rPr>
        <w:b/>
        <w:noProof/>
        <w:sz w:val="18"/>
      </w:rPr>
      <w:t>3</w:t>
    </w:r>
    <w:r w:rsidRPr="006665D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8FA7FF" w14:textId="1D1540BD" w:rsidR="007F20FA" w:rsidRPr="006665D5" w:rsidRDefault="006665D5" w:rsidP="006665D5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41A221ED" wp14:editId="548D79B3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24-11453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73BA7E9" wp14:editId="6C811E39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28650" cy="628650"/>
          <wp:effectExtent l="0" t="0" r="0" b="0"/>
          <wp:wrapNone/>
          <wp:docPr id="508207076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030724    040724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9486FF" w14:textId="77777777" w:rsidR="00071F86" w:rsidRPr="00AC3823" w:rsidRDefault="00071F86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41C0815" w14:textId="77777777" w:rsidR="00071F86" w:rsidRPr="00AC3823" w:rsidRDefault="00071F86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55C2521" w14:textId="77777777" w:rsidR="00071F86" w:rsidRPr="00AC3823" w:rsidRDefault="00071F86">
      <w:pPr>
        <w:spacing w:line="240" w:lineRule="auto"/>
        <w:rPr>
          <w:sz w:val="2"/>
          <w:szCs w:val="2"/>
        </w:rPr>
      </w:pPr>
    </w:p>
  </w:footnote>
  <w:footnote w:id="2">
    <w:p w14:paraId="31B0D8F8" w14:textId="77777777" w:rsidR="006665D5" w:rsidRPr="006164E4" w:rsidRDefault="006665D5" w:rsidP="006665D5">
      <w:pPr>
        <w:pStyle w:val="Notedebasdepage"/>
      </w:pPr>
      <w:r w:rsidRPr="006164E4">
        <w:tab/>
      </w:r>
      <w:r w:rsidRPr="006164E4">
        <w:rPr>
          <w:sz w:val="20"/>
        </w:rPr>
        <w:t>*</w:t>
      </w:r>
      <w:r w:rsidRPr="006164E4">
        <w:tab/>
        <w:t>A/78/6 (Sect. 20), tableau 20.5.</w:t>
      </w:r>
    </w:p>
  </w:footnote>
  <w:footnote w:id="3">
    <w:p w14:paraId="6880612E" w14:textId="7716722A" w:rsidR="006665D5" w:rsidRPr="006164E4" w:rsidRDefault="006665D5" w:rsidP="006665D5">
      <w:pPr>
        <w:pStyle w:val="Notedebasdepage"/>
      </w:pPr>
      <w:r w:rsidRPr="006164E4">
        <w:tab/>
      </w:r>
      <w:r w:rsidRPr="006164E4">
        <w:rPr>
          <w:sz w:val="20"/>
        </w:rPr>
        <w:t>**</w:t>
      </w:r>
      <w:r w:rsidRPr="006164E4">
        <w:tab/>
        <w:t>Diffusée par l</w:t>
      </w:r>
      <w:r w:rsidRPr="006164E4">
        <w:t>’</w:t>
      </w:r>
      <w:r w:rsidRPr="006164E4">
        <w:t>Organisation intergouvernementale pour les transports internationaux ferroviaires (OTIF) sous la cote OTIF/RID/RC/2024/40.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B49915" w14:textId="612E9367" w:rsidR="006665D5" w:rsidRPr="006665D5" w:rsidRDefault="006665D5">
    <w:pPr>
      <w:pStyle w:val="En-tte"/>
    </w:pPr>
    <w:fldSimple w:instr=" TITLE  \* MERGEFORMAT ">
      <w:r>
        <w:t>ECE/TRANS/WP.15/AC.1/2024/40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5004EE" w14:textId="373AB0A9" w:rsidR="006665D5" w:rsidRPr="006665D5" w:rsidRDefault="006665D5" w:rsidP="006665D5">
    <w:pPr>
      <w:pStyle w:val="En-tte"/>
      <w:jc w:val="right"/>
    </w:pPr>
    <w:fldSimple w:instr=" TITLE  \* MERGEFORMAT ">
      <w:r>
        <w:t>ECE/TRANS/WP.15/AC.1/2024/40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301379546">
    <w:abstractNumId w:val="12"/>
  </w:num>
  <w:num w:numId="2" w16cid:durableId="486630192">
    <w:abstractNumId w:val="11"/>
  </w:num>
  <w:num w:numId="3" w16cid:durableId="2124036632">
    <w:abstractNumId w:val="10"/>
  </w:num>
  <w:num w:numId="4" w16cid:durableId="810513652">
    <w:abstractNumId w:val="8"/>
  </w:num>
  <w:num w:numId="5" w16cid:durableId="1323655643">
    <w:abstractNumId w:val="3"/>
  </w:num>
  <w:num w:numId="6" w16cid:durableId="2011636359">
    <w:abstractNumId w:val="2"/>
  </w:num>
  <w:num w:numId="7" w16cid:durableId="67582285">
    <w:abstractNumId w:val="1"/>
  </w:num>
  <w:num w:numId="8" w16cid:durableId="565919390">
    <w:abstractNumId w:val="0"/>
  </w:num>
  <w:num w:numId="9" w16cid:durableId="1816294868">
    <w:abstractNumId w:val="9"/>
  </w:num>
  <w:num w:numId="10" w16cid:durableId="414933958">
    <w:abstractNumId w:val="7"/>
  </w:num>
  <w:num w:numId="11" w16cid:durableId="745499450">
    <w:abstractNumId w:val="6"/>
  </w:num>
  <w:num w:numId="12" w16cid:durableId="1843275170">
    <w:abstractNumId w:val="5"/>
  </w:num>
  <w:num w:numId="13" w16cid:durableId="515576658">
    <w:abstractNumId w:val="4"/>
  </w:num>
  <w:num w:numId="14" w16cid:durableId="1103038081">
    <w:abstractNumId w:val="12"/>
  </w:num>
  <w:num w:numId="15" w16cid:durableId="844247978">
    <w:abstractNumId w:val="11"/>
  </w:num>
  <w:num w:numId="16" w16cid:durableId="19913273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2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F86"/>
    <w:rsid w:val="00017F94"/>
    <w:rsid w:val="00023842"/>
    <w:rsid w:val="000334F9"/>
    <w:rsid w:val="00045FEB"/>
    <w:rsid w:val="00071F86"/>
    <w:rsid w:val="0007796D"/>
    <w:rsid w:val="000B7790"/>
    <w:rsid w:val="000F651A"/>
    <w:rsid w:val="00111F2F"/>
    <w:rsid w:val="0014365E"/>
    <w:rsid w:val="00143C66"/>
    <w:rsid w:val="00176178"/>
    <w:rsid w:val="0018640C"/>
    <w:rsid w:val="001F525A"/>
    <w:rsid w:val="00201148"/>
    <w:rsid w:val="00223272"/>
    <w:rsid w:val="0024779E"/>
    <w:rsid w:val="00257168"/>
    <w:rsid w:val="002624BF"/>
    <w:rsid w:val="002744B8"/>
    <w:rsid w:val="002832AC"/>
    <w:rsid w:val="002D7C93"/>
    <w:rsid w:val="00305801"/>
    <w:rsid w:val="00305E2B"/>
    <w:rsid w:val="003916DE"/>
    <w:rsid w:val="00421996"/>
    <w:rsid w:val="0044158E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6164E4"/>
    <w:rsid w:val="006665D5"/>
    <w:rsid w:val="0071601D"/>
    <w:rsid w:val="007247C9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BB1EC2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C6094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0AEEF3"/>
  <w15:docId w15:val="{1C9CB4C7-4C55-4E34-A0F6-F12DFC94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6665D5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ée un document." ma:contentTypeScope="" ma:versionID="e18bef637d0f1ddca225288e0d432ec3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a115814b681581b4d823fe6aeb4d21e0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764DA-2372-4050-9570-B383E108F32A}"/>
</file>

<file path=customXml/itemProps2.xml><?xml version="1.0" encoding="utf-8"?>
<ds:datastoreItem xmlns:ds="http://schemas.openxmlformats.org/officeDocument/2006/customXml" ds:itemID="{1C23B33F-CB9D-4D2C-B428-29373FBD9BE3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3</Pages>
  <Words>839</Words>
  <Characters>5875</Characters>
  <Application>Microsoft Office Word</Application>
  <DocSecurity>0</DocSecurity>
  <Lines>489</Lines>
  <Paragraphs>268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ECE/TRANS/WP.15/AC.1/2024/40</vt:lpstr>
    </vt:vector>
  </TitlesOfParts>
  <Company>DCM</Company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ECE/TRANS/WP.15/AC.1/2024/40</dc:title>
  <dc:subject/>
  <dc:creator>Corinne ROBERT</dc:creator>
  <cp:keywords/>
  <cp:lastModifiedBy>Corinne ROBERT</cp:lastModifiedBy>
  <cp:revision>2</cp:revision>
  <cp:lastPrinted>2014-05-14T10:59:00Z</cp:lastPrinted>
  <dcterms:created xsi:type="dcterms:W3CDTF">2024-07-04T07:51:00Z</dcterms:created>
  <dcterms:modified xsi:type="dcterms:W3CDTF">2024-07-04T07:51:00Z</dcterms:modified>
</cp:coreProperties>
</file>