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FDA94D6" w14:textId="77777777" w:rsidTr="00B20551">
        <w:trPr>
          <w:cantSplit/>
          <w:trHeight w:hRule="exact" w:val="851"/>
        </w:trPr>
        <w:tc>
          <w:tcPr>
            <w:tcW w:w="1276" w:type="dxa"/>
            <w:tcBorders>
              <w:bottom w:val="single" w:sz="4" w:space="0" w:color="auto"/>
            </w:tcBorders>
            <w:vAlign w:val="bottom"/>
          </w:tcPr>
          <w:p w14:paraId="13D98240" w14:textId="77777777" w:rsidR="009E6CB7" w:rsidRDefault="009E6CB7" w:rsidP="00B20551">
            <w:pPr>
              <w:spacing w:after="80"/>
            </w:pPr>
          </w:p>
        </w:tc>
        <w:tc>
          <w:tcPr>
            <w:tcW w:w="2268" w:type="dxa"/>
            <w:tcBorders>
              <w:bottom w:val="single" w:sz="4" w:space="0" w:color="auto"/>
            </w:tcBorders>
            <w:vAlign w:val="bottom"/>
          </w:tcPr>
          <w:p w14:paraId="1A669D7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DB33A90" w14:textId="7318300D" w:rsidR="009E6CB7" w:rsidRPr="00D47EEA" w:rsidRDefault="003D0DA7" w:rsidP="003D0DA7">
            <w:pPr>
              <w:jc w:val="right"/>
            </w:pPr>
            <w:r w:rsidRPr="003D0DA7">
              <w:rPr>
                <w:sz w:val="40"/>
              </w:rPr>
              <w:t>ECE</w:t>
            </w:r>
            <w:r>
              <w:t>/TRANS/WP.15/AC.1/2024/40</w:t>
            </w:r>
          </w:p>
        </w:tc>
      </w:tr>
      <w:tr w:rsidR="009E6CB7" w14:paraId="645B2195" w14:textId="77777777" w:rsidTr="00B20551">
        <w:trPr>
          <w:cantSplit/>
          <w:trHeight w:hRule="exact" w:val="2835"/>
        </w:trPr>
        <w:tc>
          <w:tcPr>
            <w:tcW w:w="1276" w:type="dxa"/>
            <w:tcBorders>
              <w:top w:val="single" w:sz="4" w:space="0" w:color="auto"/>
              <w:bottom w:val="single" w:sz="12" w:space="0" w:color="auto"/>
            </w:tcBorders>
          </w:tcPr>
          <w:p w14:paraId="4F8C8638" w14:textId="77777777" w:rsidR="009E6CB7" w:rsidRDefault="00686A48" w:rsidP="00B20551">
            <w:pPr>
              <w:spacing w:before="120"/>
            </w:pPr>
            <w:r>
              <w:rPr>
                <w:noProof/>
                <w:lang w:val="fr-CH" w:eastAsia="fr-CH"/>
              </w:rPr>
              <w:drawing>
                <wp:inline distT="0" distB="0" distL="0" distR="0" wp14:anchorId="6351A997" wp14:editId="4EE3E8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06003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0ACAC63" w14:textId="77777777" w:rsidR="009E6CB7" w:rsidRDefault="003D0DA7" w:rsidP="003D0DA7">
            <w:pPr>
              <w:spacing w:before="240" w:line="240" w:lineRule="exact"/>
            </w:pPr>
            <w:r>
              <w:t>Distr.: General</w:t>
            </w:r>
          </w:p>
          <w:p w14:paraId="2B61F540" w14:textId="77777777" w:rsidR="003D0DA7" w:rsidRDefault="003D0DA7" w:rsidP="003D0DA7">
            <w:pPr>
              <w:spacing w:line="240" w:lineRule="exact"/>
            </w:pPr>
            <w:r>
              <w:t>25 June 2024</w:t>
            </w:r>
          </w:p>
          <w:p w14:paraId="73C4CE27" w14:textId="77777777" w:rsidR="003D0DA7" w:rsidRDefault="003D0DA7" w:rsidP="003D0DA7">
            <w:pPr>
              <w:spacing w:line="240" w:lineRule="exact"/>
            </w:pPr>
          </w:p>
          <w:p w14:paraId="4A421637" w14:textId="6025B20A" w:rsidR="003D0DA7" w:rsidRDefault="003D0DA7" w:rsidP="003D0DA7">
            <w:pPr>
              <w:spacing w:line="240" w:lineRule="exact"/>
            </w:pPr>
            <w:r>
              <w:t>Original: English</w:t>
            </w:r>
          </w:p>
        </w:tc>
      </w:tr>
    </w:tbl>
    <w:p w14:paraId="362BEAF6" w14:textId="77777777" w:rsidR="003D0DA7" w:rsidRPr="00960236" w:rsidRDefault="003D0DA7" w:rsidP="00C411EB">
      <w:pPr>
        <w:spacing w:before="120"/>
        <w:rPr>
          <w:b/>
          <w:sz w:val="28"/>
          <w:szCs w:val="28"/>
        </w:rPr>
      </w:pPr>
      <w:r w:rsidRPr="00960236">
        <w:rPr>
          <w:b/>
          <w:sz w:val="28"/>
          <w:szCs w:val="28"/>
        </w:rPr>
        <w:t>Economic Commission for Europe</w:t>
      </w:r>
    </w:p>
    <w:p w14:paraId="4DE1B4C9" w14:textId="77777777" w:rsidR="003D0DA7" w:rsidRPr="00960236" w:rsidRDefault="003D0DA7" w:rsidP="00C411EB">
      <w:pPr>
        <w:spacing w:before="120"/>
        <w:rPr>
          <w:sz w:val="28"/>
          <w:szCs w:val="28"/>
        </w:rPr>
      </w:pPr>
      <w:r w:rsidRPr="00960236">
        <w:rPr>
          <w:sz w:val="28"/>
          <w:szCs w:val="28"/>
        </w:rPr>
        <w:t>Inland Transport Committee</w:t>
      </w:r>
    </w:p>
    <w:p w14:paraId="66E15F8E" w14:textId="77777777" w:rsidR="003D0DA7" w:rsidRPr="00960236" w:rsidRDefault="003D0DA7" w:rsidP="00C411EB">
      <w:pPr>
        <w:spacing w:before="120"/>
        <w:rPr>
          <w:b/>
          <w:sz w:val="24"/>
          <w:szCs w:val="24"/>
        </w:rPr>
      </w:pPr>
      <w:r w:rsidRPr="00960236">
        <w:rPr>
          <w:b/>
          <w:sz w:val="24"/>
          <w:szCs w:val="24"/>
        </w:rPr>
        <w:t>Working Party on the Transport of Dangerous Goods</w:t>
      </w:r>
    </w:p>
    <w:p w14:paraId="6F1BB0EF" w14:textId="77777777" w:rsidR="003D0DA7" w:rsidRPr="00960236" w:rsidRDefault="003D0DA7"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145FC5AD" w14:textId="4B97E05E" w:rsidR="003D0DA7" w:rsidRDefault="001C20D9" w:rsidP="00C411EB">
      <w:r>
        <w:t>Geneva</w:t>
      </w:r>
      <w:r w:rsidR="003D0DA7">
        <w:t xml:space="preserve">, </w:t>
      </w:r>
      <w:r>
        <w:t>9-13 September 2024</w:t>
      </w:r>
    </w:p>
    <w:p w14:paraId="392F3346" w14:textId="0E2E4D6C" w:rsidR="003D0DA7" w:rsidRDefault="003D0DA7" w:rsidP="00C411EB">
      <w:r>
        <w:t xml:space="preserve">Item </w:t>
      </w:r>
      <w:r w:rsidR="001C20D9">
        <w:t>2</w:t>
      </w:r>
      <w:r>
        <w:t xml:space="preserve"> of the provisional agenda</w:t>
      </w:r>
    </w:p>
    <w:p w14:paraId="3C8DEFAF" w14:textId="64334058" w:rsidR="001C6663" w:rsidRDefault="001C20D9" w:rsidP="00C411EB">
      <w:pPr>
        <w:rPr>
          <w:b/>
          <w:bCs/>
        </w:rPr>
      </w:pPr>
      <w:r w:rsidRPr="001C20D9">
        <w:rPr>
          <w:b/>
          <w:bCs/>
        </w:rPr>
        <w:t>Tanks</w:t>
      </w:r>
    </w:p>
    <w:p w14:paraId="01EEFEB9" w14:textId="77777777" w:rsidR="00DB4E5C" w:rsidRPr="008C0A3B" w:rsidRDefault="001C20D9" w:rsidP="00DB4E5C">
      <w:pPr>
        <w:pStyle w:val="HChG"/>
      </w:pPr>
      <w:r>
        <w:tab/>
      </w:r>
      <w:r>
        <w:tab/>
      </w:r>
      <w:r w:rsidR="00DB4E5C" w:rsidRPr="008C0A3B">
        <w:t>Heating equipment on tanks</w:t>
      </w:r>
    </w:p>
    <w:p w14:paraId="79F9629D" w14:textId="3BCD2E4D" w:rsidR="001C20D9" w:rsidRDefault="00DF7DA2" w:rsidP="00DF7DA2">
      <w:pPr>
        <w:pStyle w:val="H1G"/>
      </w:pPr>
      <w:r>
        <w:tab/>
      </w:r>
      <w:r>
        <w:tab/>
        <w:t>T</w:t>
      </w:r>
      <w:r w:rsidRPr="008C0A3B">
        <w:t xml:space="preserve">ransmitted by </w:t>
      </w:r>
      <w:r>
        <w:t xml:space="preserve">the Government of </w:t>
      </w:r>
      <w:r w:rsidRPr="008C0A3B">
        <w:t>Germany</w:t>
      </w:r>
      <w:r w:rsidR="00AA4C7D" w:rsidRPr="00AA4C7D">
        <w:rPr>
          <w:rStyle w:val="FootnoteReference"/>
          <w:sz w:val="20"/>
          <w:vertAlign w:val="baseline"/>
        </w:rPr>
        <w:footnoteReference w:customMarkFollows="1" w:id="2"/>
        <w:t>*</w:t>
      </w:r>
      <w:r w:rsidR="00493DAA">
        <w:rPr>
          <w:sz w:val="20"/>
        </w:rPr>
        <w:t xml:space="preserve">, </w:t>
      </w:r>
      <w:r w:rsidR="00493DAA" w:rsidRPr="00493DAA">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F7DA2" w14:paraId="5DA9E542" w14:textId="77777777" w:rsidTr="006E5E26">
        <w:trPr>
          <w:jc w:val="center"/>
        </w:trPr>
        <w:tc>
          <w:tcPr>
            <w:tcW w:w="9637" w:type="dxa"/>
            <w:shd w:val="clear" w:color="auto" w:fill="auto"/>
          </w:tcPr>
          <w:p w14:paraId="6B4C0006" w14:textId="77777777" w:rsidR="00DF7DA2" w:rsidRPr="00C6263E" w:rsidRDefault="00DF7DA2" w:rsidP="006E5E26">
            <w:pPr>
              <w:spacing w:before="240" w:after="120"/>
              <w:ind w:left="255"/>
              <w:rPr>
                <w:i/>
                <w:sz w:val="24"/>
              </w:rPr>
            </w:pPr>
            <w:r w:rsidRPr="00C6263E">
              <w:rPr>
                <w:i/>
                <w:sz w:val="24"/>
              </w:rPr>
              <w:t>Summary</w:t>
            </w:r>
          </w:p>
        </w:tc>
      </w:tr>
      <w:tr w:rsidR="00DF7DA2" w14:paraId="264E9576" w14:textId="77777777" w:rsidTr="006E5E26">
        <w:trPr>
          <w:jc w:val="center"/>
        </w:trPr>
        <w:tc>
          <w:tcPr>
            <w:tcW w:w="9637" w:type="dxa"/>
            <w:shd w:val="clear" w:color="auto" w:fill="auto"/>
          </w:tcPr>
          <w:p w14:paraId="50C60B32" w14:textId="5CA153B7" w:rsidR="00DF7DA2" w:rsidRDefault="000B4453" w:rsidP="00B118BF">
            <w:pPr>
              <w:pStyle w:val="SingleTxtG"/>
              <w:tabs>
                <w:tab w:val="clear" w:pos="2835"/>
                <w:tab w:val="left" w:pos="558"/>
              </w:tabs>
              <w:ind w:left="2968" w:hanging="2268"/>
            </w:pPr>
            <w:r w:rsidRPr="00B118BF">
              <w:rPr>
                <w:b/>
                <w:bCs/>
              </w:rPr>
              <w:t>Explanatory summary:</w:t>
            </w:r>
            <w:r w:rsidRPr="000B4453">
              <w:tab/>
              <w:t>6.7.2.5.12 to 6.7.2.5.15</w:t>
            </w:r>
            <w:r w:rsidR="00086226">
              <w:t xml:space="preserve"> of</w:t>
            </w:r>
            <w:r w:rsidRPr="000B4453">
              <w:t xml:space="preserve"> </w:t>
            </w:r>
            <w:r w:rsidR="00086226" w:rsidRPr="000B4453">
              <w:t xml:space="preserve">RID/ADR </w:t>
            </w:r>
            <w:r w:rsidRPr="000B4453">
              <w:t xml:space="preserve">contain requirements for heating systems and their electrical equipment for portable tanks. In contrast, Chapter 6.8 </w:t>
            </w:r>
            <w:r w:rsidR="00977607">
              <w:t xml:space="preserve">of </w:t>
            </w:r>
            <w:r w:rsidR="00977607" w:rsidRPr="000B4453">
              <w:t xml:space="preserve">RID/ADR </w:t>
            </w:r>
            <w:r w:rsidRPr="000B4453">
              <w:t>does not contain any such requirements. To avoid ambiguities in the assessment and inspection of heating equipment, for example in the context of the tank type approval, and for reasons of harmonisation, the relevant provisions of Chapter 6.7 should also be included in Chapter 6.8</w:t>
            </w:r>
            <w:r w:rsidR="000037B1">
              <w:t xml:space="preserve"> of</w:t>
            </w:r>
            <w:r w:rsidR="000037B1" w:rsidRPr="000B4453">
              <w:t xml:space="preserve"> RID/ADR</w:t>
            </w:r>
            <w:r w:rsidRPr="000B4453">
              <w:t>.</w:t>
            </w:r>
          </w:p>
          <w:p w14:paraId="0158F920" w14:textId="34156A40" w:rsidR="000B4453" w:rsidRPr="00B118BF" w:rsidRDefault="000824CB" w:rsidP="00B118BF">
            <w:pPr>
              <w:pStyle w:val="SingleTxtG"/>
              <w:tabs>
                <w:tab w:val="clear" w:pos="2835"/>
                <w:tab w:val="left" w:pos="558"/>
              </w:tabs>
              <w:ind w:left="2968" w:hanging="2268"/>
            </w:pPr>
            <w:r w:rsidRPr="000824CB">
              <w:rPr>
                <w:b/>
                <w:bCs/>
              </w:rPr>
              <w:t>Decision to be taken:</w:t>
            </w:r>
            <w:r w:rsidRPr="00B118BF">
              <w:rPr>
                <w:b/>
                <w:bCs/>
              </w:rPr>
              <w:tab/>
            </w:r>
            <w:r w:rsidRPr="00B118BF">
              <w:t>Include provisions concerning heating systems in Chapter 6.8</w:t>
            </w:r>
            <w:r w:rsidR="000037B1" w:rsidRPr="00B118BF">
              <w:t xml:space="preserve"> </w:t>
            </w:r>
            <w:r w:rsidR="000037B1">
              <w:t xml:space="preserve">of </w:t>
            </w:r>
            <w:r w:rsidR="000037B1" w:rsidRPr="00B118BF">
              <w:t>RID/ADR</w:t>
            </w:r>
            <w:r w:rsidRPr="00B118BF">
              <w:t>.</w:t>
            </w:r>
          </w:p>
          <w:p w14:paraId="59CCF136" w14:textId="188DD784" w:rsidR="000824CB" w:rsidRDefault="00782757" w:rsidP="00782757">
            <w:pPr>
              <w:pStyle w:val="SingleTxtG"/>
              <w:tabs>
                <w:tab w:val="clear" w:pos="2835"/>
                <w:tab w:val="left" w:pos="558"/>
              </w:tabs>
              <w:ind w:left="2968" w:hanging="2268"/>
            </w:pPr>
            <w:r w:rsidRPr="00782757">
              <w:rPr>
                <w:b/>
                <w:bCs/>
              </w:rPr>
              <w:t xml:space="preserve">Related documents: </w:t>
            </w:r>
            <w:r w:rsidRPr="00782757">
              <w:rPr>
                <w:b/>
                <w:bCs/>
              </w:rPr>
              <w:tab/>
              <w:t>–</w:t>
            </w:r>
          </w:p>
        </w:tc>
      </w:tr>
      <w:tr w:rsidR="00DF7DA2" w14:paraId="3D8E342C" w14:textId="77777777" w:rsidTr="006E5E26">
        <w:trPr>
          <w:jc w:val="center"/>
        </w:trPr>
        <w:tc>
          <w:tcPr>
            <w:tcW w:w="9637" w:type="dxa"/>
            <w:shd w:val="clear" w:color="auto" w:fill="auto"/>
          </w:tcPr>
          <w:p w14:paraId="2FC89879" w14:textId="77777777" w:rsidR="00DF7DA2" w:rsidRDefault="00DF7DA2" w:rsidP="006E5E26"/>
        </w:tc>
      </w:tr>
    </w:tbl>
    <w:p w14:paraId="59FD73B0" w14:textId="086DEC50" w:rsidR="00AF6883" w:rsidRDefault="00AF6883" w:rsidP="00DF7DA2"/>
    <w:p w14:paraId="7C0F6BDC" w14:textId="77777777" w:rsidR="00AF6883" w:rsidRDefault="00AF6883">
      <w:r>
        <w:br w:type="page"/>
      </w:r>
    </w:p>
    <w:p w14:paraId="7857E79C" w14:textId="3499D9C4" w:rsidR="00AF6883" w:rsidRDefault="00AF6883" w:rsidP="00AF6883">
      <w:pPr>
        <w:pStyle w:val="HChG"/>
      </w:pPr>
      <w:r>
        <w:lastRenderedPageBreak/>
        <w:tab/>
        <w:t>Introduction</w:t>
      </w:r>
    </w:p>
    <w:p w14:paraId="15F307A1" w14:textId="0D43F6BE" w:rsidR="00AF6883" w:rsidRDefault="00AF6883" w:rsidP="00AF6883">
      <w:pPr>
        <w:pStyle w:val="SingleTxtG"/>
      </w:pPr>
      <w:r>
        <w:t>1.</w:t>
      </w:r>
      <w:r>
        <w:tab/>
        <w:t xml:space="preserve">Tanks in accordance with Chapter 6.8 </w:t>
      </w:r>
      <w:r w:rsidR="00A44E75">
        <w:t xml:space="preserve">of RID/ADR </w:t>
      </w:r>
      <w:r>
        <w:t>are fitted with heating equipment to heat the dangerous goods. Many of these heating devices are operated externally. The dangerous goods are heated with hot water steam via a piping system, which is usually installed between the shell and the outer insulation.</w:t>
      </w:r>
    </w:p>
    <w:p w14:paraId="51BA4610" w14:textId="3E66919B" w:rsidR="00AF6883" w:rsidRDefault="00064B2D" w:rsidP="00AF6883">
      <w:pPr>
        <w:pStyle w:val="SingleTxtG"/>
      </w:pPr>
      <w:r>
        <w:t>2.</w:t>
      </w:r>
      <w:r>
        <w:tab/>
      </w:r>
      <w:r w:rsidR="00AF6883">
        <w:t xml:space="preserve">In some cases, however, heating equipment is also installed on fixed tanks (tank-vehicles), demountable tanks and tank-containers, which operate with their own combustion heater. In these cases, a liquid is heated and pumped through a pipe system, as with externally operated tank heaters, </w:t>
      </w:r>
      <w:proofErr w:type="gramStart"/>
      <w:r w:rsidR="00AF6883">
        <w:t>in order to</w:t>
      </w:r>
      <w:proofErr w:type="gramEnd"/>
      <w:r w:rsidR="00AF6883">
        <w:t xml:space="preserve"> heat the dangerous goods or keep them at a certain temperature. These combustion heaters usually run on diesel. There are different designs of such heating equipment. Some are operated independently with their own power supply and others via the tractive vehicle’s power supply.</w:t>
      </w:r>
    </w:p>
    <w:p w14:paraId="1F7CBFE2" w14:textId="73A992CE" w:rsidR="00AF6883" w:rsidRDefault="00064B2D" w:rsidP="00AF6883">
      <w:pPr>
        <w:pStyle w:val="SingleTxtG"/>
      </w:pPr>
      <w:r>
        <w:t>3.</w:t>
      </w:r>
      <w:r>
        <w:tab/>
      </w:r>
      <w:r w:rsidR="00AF6883">
        <w:t>There are also purely electrical heating devices.</w:t>
      </w:r>
    </w:p>
    <w:p w14:paraId="3A57431B" w14:textId="18048EEC" w:rsidR="00AF6883" w:rsidRDefault="00064B2D" w:rsidP="000842DD">
      <w:pPr>
        <w:pStyle w:val="SingleTxtG"/>
      </w:pPr>
      <w:r>
        <w:t>4</w:t>
      </w:r>
      <w:r w:rsidR="00AF6883">
        <w:t>.</w:t>
      </w:r>
      <w:r w:rsidR="00AF6883">
        <w:tab/>
        <w:t>According to 1.2.1</w:t>
      </w:r>
      <w:r w:rsidRPr="00064B2D">
        <w:t xml:space="preserve"> </w:t>
      </w:r>
      <w:r>
        <w:t>of RID/ADR</w:t>
      </w:r>
      <w:r w:rsidR="00AF6883">
        <w:t xml:space="preserve">, the heating equipment is part of the tank’s service equipment. However, 6.8.2.2 </w:t>
      </w:r>
      <w:r w:rsidR="008A3171">
        <w:t xml:space="preserve">of RID/ADR </w:t>
      </w:r>
      <w:r w:rsidR="00AF6883">
        <w:t xml:space="preserve">concerning tank equipment does not list any special requirements for heating equipment. The relevant provisions for electrical equipment in accordance with 9.2.2 and 9.7.8 </w:t>
      </w:r>
      <w:r w:rsidR="000566A5">
        <w:t xml:space="preserve">of ADR </w:t>
      </w:r>
      <w:r w:rsidR="00AF6883">
        <w:t>would only have to be taken into account for vehicles. For portable tanks though, 6.7.2.5.12 to 6.7.2.5.15 contain detailed provisions for heating systems. As Chapter 6.8 does not contain any detailed provisions on heating equipment, ambiguities arise when assessing and inspecting this heating equipment, e.g. in connection with the tank type approval.</w:t>
      </w:r>
    </w:p>
    <w:p w14:paraId="2B04F52F" w14:textId="4FA8CD38" w:rsidR="00AF6883" w:rsidRDefault="001E0B49" w:rsidP="000842DD">
      <w:pPr>
        <w:pStyle w:val="SingleTxtG"/>
      </w:pPr>
      <w:r>
        <w:t>5</w:t>
      </w:r>
      <w:r w:rsidR="00AF6883">
        <w:t>.</w:t>
      </w:r>
      <w:r w:rsidR="00AF6883">
        <w:tab/>
        <w:t>To avoid ambiguities in the assessment and inspection of such heating equipment, minimum requirements for equipping tanks should be included in 6.8.2.2</w:t>
      </w:r>
      <w:r w:rsidRPr="001E0B49">
        <w:t xml:space="preserve"> </w:t>
      </w:r>
      <w:r>
        <w:t>of RID/ADR</w:t>
      </w:r>
      <w:r w:rsidR="00AF6883">
        <w:t xml:space="preserve">. To resolve the problem and for reasons of harmonisation with the UN </w:t>
      </w:r>
      <w:r w:rsidR="00AF6883" w:rsidRPr="00360376">
        <w:rPr>
          <w:i/>
          <w:iCs/>
        </w:rPr>
        <w:t>Model Regulations</w:t>
      </w:r>
      <w:r w:rsidR="00AF6883">
        <w:t>, it is proposed that the corresponding provisions</w:t>
      </w:r>
      <w:r w:rsidR="003250B2">
        <w:t xml:space="preserve"> in the UN </w:t>
      </w:r>
      <w:r w:rsidR="003250B2" w:rsidRPr="00B26087">
        <w:rPr>
          <w:i/>
          <w:iCs/>
        </w:rPr>
        <w:t>Model Regulations</w:t>
      </w:r>
      <w:r w:rsidR="00AF6883">
        <w:t xml:space="preserve"> (6.7.2.5.12 to 6.7.2.5.15) also be carried over into Chapter 6.8</w:t>
      </w:r>
      <w:r w:rsidR="003250B2" w:rsidRPr="003250B2">
        <w:t xml:space="preserve"> </w:t>
      </w:r>
      <w:r w:rsidR="003250B2">
        <w:t>of RID/ADR</w:t>
      </w:r>
      <w:r w:rsidR="00AF6883">
        <w:t>.</w:t>
      </w:r>
    </w:p>
    <w:p w14:paraId="1E3568A2" w14:textId="19D5C87E" w:rsidR="00AF6883" w:rsidRDefault="000842DD" w:rsidP="000842DD">
      <w:pPr>
        <w:pStyle w:val="HChG"/>
      </w:pPr>
      <w:r>
        <w:tab/>
      </w:r>
      <w:r w:rsidR="00AF6883">
        <w:t>I.</w:t>
      </w:r>
      <w:r w:rsidR="00AF6883">
        <w:tab/>
        <w:t>Proposal</w:t>
      </w:r>
    </w:p>
    <w:p w14:paraId="3499C853" w14:textId="7F79A084" w:rsidR="00AF6883" w:rsidRDefault="00A804EB" w:rsidP="000842DD">
      <w:pPr>
        <w:pStyle w:val="SingleTxtG"/>
      </w:pPr>
      <w:r>
        <w:t>6</w:t>
      </w:r>
      <w:r w:rsidR="00AF6883">
        <w:t>.</w:t>
      </w:r>
      <w:r w:rsidR="00AF6883">
        <w:tab/>
        <w:t>Insert the following paragraphs in Chapter 6.8</w:t>
      </w:r>
      <w:r w:rsidRPr="00A804EB">
        <w:t xml:space="preserve"> </w:t>
      </w:r>
      <w:r>
        <w:t>of RID/ADR</w:t>
      </w:r>
      <w:r w:rsidR="00AF6883">
        <w:t>:</w:t>
      </w:r>
    </w:p>
    <w:p w14:paraId="3EC466CC" w14:textId="77777777" w:rsidR="00AF6883" w:rsidRDefault="00AF6883" w:rsidP="00751E68">
      <w:pPr>
        <w:pStyle w:val="SingleTxtG"/>
      </w:pPr>
      <w:r>
        <w:t>“</w:t>
      </w:r>
      <w:r w:rsidRPr="00751E68">
        <w:rPr>
          <w:b/>
          <w:bCs/>
        </w:rPr>
        <w:t>6.8.2.2.12</w:t>
      </w:r>
      <w:r>
        <w:tab/>
        <w:t>The heating system shall be designed or controlled so that a substance cannot reach a temperature at which the pressure in the tank exceeds its MAWP or causes other hazards (e.g. dangerous thermal decomposition).</w:t>
      </w:r>
    </w:p>
    <w:p w14:paraId="4D91CE7E" w14:textId="780FE65B" w:rsidR="00AF6883" w:rsidRDefault="00AF6883" w:rsidP="00751E68">
      <w:pPr>
        <w:pStyle w:val="SingleTxtG"/>
      </w:pPr>
      <w:r w:rsidRPr="00751E68">
        <w:rPr>
          <w:b/>
          <w:bCs/>
        </w:rPr>
        <w:t>6.8.2.2.13</w:t>
      </w:r>
      <w:r>
        <w:tab/>
        <w:t>The heating system shall be designed or controlled so that power for internal heating elements shall not be available unless the heating elements are completely submerged. The temperature at the surface of the heating elements for internal heating equipment, or the temperature at the shell for external heating equipment shall, in no case, exceed 80% of the autoignition temperature (in °C) of the substance carried.</w:t>
      </w:r>
    </w:p>
    <w:p w14:paraId="69B06932" w14:textId="15051B63" w:rsidR="00AF6883" w:rsidRDefault="00AF6883" w:rsidP="00751E68">
      <w:pPr>
        <w:pStyle w:val="SingleTxtG"/>
      </w:pPr>
      <w:r w:rsidRPr="00751E68">
        <w:rPr>
          <w:b/>
          <w:bCs/>
        </w:rPr>
        <w:t>6.8.2.2.14</w:t>
      </w:r>
      <w:r>
        <w:tab/>
        <w:t>If an electrical heating system is installed inside the tank, it shall be equipped with an earth leakage circuit breaker with a releasing current of less than 100 mA.</w:t>
      </w:r>
    </w:p>
    <w:p w14:paraId="1A5A5115" w14:textId="7FF84ED9" w:rsidR="00AF6883" w:rsidRDefault="00AF6883" w:rsidP="00751E68">
      <w:pPr>
        <w:pStyle w:val="SingleTxtG"/>
      </w:pPr>
      <w:r w:rsidRPr="00751E68">
        <w:rPr>
          <w:b/>
          <w:bCs/>
        </w:rPr>
        <w:t>6.8.2.2.15</w:t>
      </w:r>
      <w:r>
        <w:tab/>
        <w:t>Electrical switch cabinets mounted to tanks shall not have a direct connection to the tank interior and shall provide protection of at least the equivalent of type IP 56 according to IEC 144 or IEC 529.”</w:t>
      </w:r>
    </w:p>
    <w:p w14:paraId="15E563C7" w14:textId="73F5C946" w:rsidR="00AF6883" w:rsidRDefault="003C294F" w:rsidP="00751E68">
      <w:pPr>
        <w:pStyle w:val="SingleTxtG"/>
      </w:pPr>
      <w:r>
        <w:t>7</w:t>
      </w:r>
      <w:r w:rsidR="00AF6883">
        <w:t>.</w:t>
      </w:r>
      <w:r w:rsidR="00AF6883">
        <w:tab/>
        <w:t>Insert the following transitional measures in Chapter 1.6:</w:t>
      </w:r>
    </w:p>
    <w:p w14:paraId="35AB53C7" w14:textId="77777777" w:rsidR="00AF6883" w:rsidRDefault="00AF6883" w:rsidP="00751E68">
      <w:pPr>
        <w:pStyle w:val="SingleTxtG"/>
      </w:pPr>
      <w:r>
        <w:t>(RID:)</w:t>
      </w:r>
    </w:p>
    <w:p w14:paraId="59648DDD" w14:textId="373778BE" w:rsidR="00AF6883" w:rsidRDefault="00AF6883" w:rsidP="00751E68">
      <w:pPr>
        <w:pStyle w:val="SingleTxtG"/>
      </w:pPr>
      <w:r>
        <w:t>“</w:t>
      </w:r>
      <w:r w:rsidRPr="0057581B">
        <w:rPr>
          <w:b/>
          <w:bCs/>
        </w:rPr>
        <w:t>1.6.3.xx</w:t>
      </w:r>
      <w:r>
        <w:tab/>
        <w:t>Tank-wagons constructed before 1 January 2029 in accordance with the requirements in force up to 31 December 2028 but which do not</w:t>
      </w:r>
      <w:r w:rsidR="00064582">
        <w:t>,</w:t>
      </w:r>
      <w:r>
        <w:t xml:space="preserve"> however</w:t>
      </w:r>
      <w:r w:rsidR="00064582">
        <w:t>,</w:t>
      </w:r>
      <w:r>
        <w:t xml:space="preserve"> conform to the requirements of 6.8.2.2.12 to 6.8.2.2.15 applicable as from 1 January 2027 may still be used.”</w:t>
      </w:r>
    </w:p>
    <w:p w14:paraId="6C4D0E0B" w14:textId="77777777" w:rsidR="00AF6883" w:rsidRDefault="00AF6883" w:rsidP="00B26087">
      <w:pPr>
        <w:pStyle w:val="SingleTxtG"/>
        <w:pageBreakBefore/>
      </w:pPr>
      <w:r>
        <w:lastRenderedPageBreak/>
        <w:t>(ADR:)</w:t>
      </w:r>
    </w:p>
    <w:p w14:paraId="7A7926E1" w14:textId="661FE3AB" w:rsidR="00AF6883" w:rsidRDefault="00AF6883" w:rsidP="00751E68">
      <w:pPr>
        <w:pStyle w:val="SingleTxtG"/>
      </w:pPr>
      <w:r>
        <w:t>“</w:t>
      </w:r>
      <w:r w:rsidRPr="00E141C6">
        <w:rPr>
          <w:b/>
          <w:bCs/>
        </w:rPr>
        <w:t>1.6.3.xx</w:t>
      </w:r>
      <w:r>
        <w:tab/>
        <w:t>Fixed tanks (tank-vehicles) and demountable tanks constructed before 1 January 2029 in accordance with the requirements in force up to 31 December 2028 but which do not</w:t>
      </w:r>
      <w:r w:rsidR="00064582">
        <w:t>,</w:t>
      </w:r>
      <w:r>
        <w:t xml:space="preserve"> however</w:t>
      </w:r>
      <w:r w:rsidR="00064582">
        <w:t>,</w:t>
      </w:r>
      <w:r>
        <w:t xml:space="preserve"> conform to the requirements of 6.8.2.2.12 to 6.8.2.2.15 applicable as from 1 January 2027 may still be used.”</w:t>
      </w:r>
    </w:p>
    <w:p w14:paraId="600A0E81" w14:textId="77777777" w:rsidR="00AF6883" w:rsidRDefault="00AF6883" w:rsidP="00751E68">
      <w:pPr>
        <w:pStyle w:val="SingleTxtG"/>
      </w:pPr>
      <w:r>
        <w:t>(RID/ADR:)</w:t>
      </w:r>
    </w:p>
    <w:p w14:paraId="04770D17" w14:textId="706DFE5F" w:rsidR="00AF6883" w:rsidRDefault="00AF6883" w:rsidP="00751E68">
      <w:pPr>
        <w:pStyle w:val="SingleTxtG"/>
      </w:pPr>
      <w:r>
        <w:t>“</w:t>
      </w:r>
      <w:r w:rsidRPr="00E141C6">
        <w:rPr>
          <w:b/>
          <w:bCs/>
        </w:rPr>
        <w:t>1.6.4.xx</w:t>
      </w:r>
      <w:r>
        <w:tab/>
        <w:t>Tank-containers constructed before 1 January 2029 in accordance with the requirements in force up to 31 December 2028 but which do not</w:t>
      </w:r>
      <w:r w:rsidR="006E0D25">
        <w:t>,</w:t>
      </w:r>
      <w:r>
        <w:t xml:space="preserve"> however</w:t>
      </w:r>
      <w:r w:rsidR="006E0D25">
        <w:t>,</w:t>
      </w:r>
      <w:r>
        <w:t xml:space="preserve"> conform to the requirements of 6.8.2.2.12 to 6.8.2.2.15 applicable as from 1 January 2027 may still be used.”</w:t>
      </w:r>
    </w:p>
    <w:p w14:paraId="6EF09F2B" w14:textId="46C467E4" w:rsidR="00AF6883" w:rsidRDefault="00E141C6" w:rsidP="00E141C6">
      <w:pPr>
        <w:pStyle w:val="HChG"/>
      </w:pPr>
      <w:r>
        <w:tab/>
      </w:r>
      <w:r w:rsidR="00AF6883">
        <w:t>II.</w:t>
      </w:r>
      <w:r w:rsidR="00AF6883">
        <w:tab/>
        <w:t>Justification</w:t>
      </w:r>
    </w:p>
    <w:p w14:paraId="33F963EB" w14:textId="77D26686" w:rsidR="00AF6883" w:rsidRDefault="00EB32F8" w:rsidP="00751E68">
      <w:pPr>
        <w:pStyle w:val="SingleTxtG"/>
      </w:pPr>
      <w:r>
        <w:t>8</w:t>
      </w:r>
      <w:r w:rsidR="00AF6883">
        <w:t>.</w:t>
      </w:r>
      <w:r w:rsidR="00AF6883">
        <w:tab/>
        <w:t>The inclusion of provisions on heating systems in Chapter 6.8 would enable these systems to be uniformly assessed and would therefore avoid ambiguities in terms of the permissibility and inspection of heating systems. This would also harmonise with the provisions on heating systems for portable tanks.</w:t>
      </w:r>
    </w:p>
    <w:p w14:paraId="5AB26232" w14:textId="5DB41492" w:rsidR="00DF7DA2" w:rsidRDefault="00EB32F8" w:rsidP="00751E68">
      <w:pPr>
        <w:pStyle w:val="SingleTxtG"/>
      </w:pPr>
      <w:r>
        <w:t>9</w:t>
      </w:r>
      <w:r w:rsidR="00AF6883">
        <w:t>.</w:t>
      </w:r>
      <w:r w:rsidR="00AF6883">
        <w:tab/>
        <w:t xml:space="preserve">This proposal supports </w:t>
      </w:r>
      <w:r w:rsidR="00E141C6">
        <w:t>S</w:t>
      </w:r>
      <w:r w:rsidR="00AF6883">
        <w:t xml:space="preserve">ustainable </w:t>
      </w:r>
      <w:r w:rsidR="00E141C6">
        <w:t>D</w:t>
      </w:r>
      <w:r w:rsidR="00AF6883">
        <w:t xml:space="preserve">evelopment </w:t>
      </w:r>
      <w:r w:rsidR="00E141C6">
        <w:t>G</w:t>
      </w:r>
      <w:r w:rsidR="00AF6883">
        <w:t xml:space="preserve">oal </w:t>
      </w:r>
      <w:r w:rsidR="00AF6883" w:rsidRPr="00E141C6">
        <w:t>8</w:t>
      </w:r>
      <w:r w:rsidR="00AF6883" w:rsidRPr="00E141C6">
        <w:rPr>
          <w:i/>
          <w:iCs/>
        </w:rPr>
        <w:t xml:space="preserve"> “Decent work and economic growth”.</w:t>
      </w:r>
    </w:p>
    <w:p w14:paraId="6C11C528" w14:textId="00C57A88" w:rsidR="00751E68" w:rsidRPr="00751E68" w:rsidRDefault="00751E68" w:rsidP="00751E68">
      <w:pPr>
        <w:spacing w:before="240"/>
        <w:jc w:val="center"/>
        <w:rPr>
          <w:u w:val="single"/>
        </w:rPr>
      </w:pPr>
      <w:r>
        <w:rPr>
          <w:u w:val="single"/>
        </w:rPr>
        <w:tab/>
      </w:r>
      <w:r>
        <w:rPr>
          <w:u w:val="single"/>
        </w:rPr>
        <w:tab/>
      </w:r>
      <w:r>
        <w:rPr>
          <w:u w:val="single"/>
        </w:rPr>
        <w:tab/>
      </w:r>
    </w:p>
    <w:sectPr w:rsidR="00751E68" w:rsidRPr="00751E68" w:rsidSect="003D0DA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9860" w14:textId="77777777" w:rsidR="00946736" w:rsidRDefault="00946736"/>
  </w:endnote>
  <w:endnote w:type="continuationSeparator" w:id="0">
    <w:p w14:paraId="74D8F338" w14:textId="77777777" w:rsidR="00946736" w:rsidRDefault="00946736"/>
  </w:endnote>
  <w:endnote w:type="continuationNotice" w:id="1">
    <w:p w14:paraId="56742EDF" w14:textId="77777777" w:rsidR="00946736" w:rsidRDefault="00946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09FA" w14:textId="67E6C2BB" w:rsidR="003D0DA7" w:rsidRPr="003D0DA7" w:rsidRDefault="003D0DA7" w:rsidP="003D0DA7">
    <w:pPr>
      <w:pStyle w:val="Footer"/>
      <w:tabs>
        <w:tab w:val="right" w:pos="9638"/>
      </w:tabs>
      <w:rPr>
        <w:sz w:val="18"/>
      </w:rPr>
    </w:pPr>
    <w:r w:rsidRPr="003D0DA7">
      <w:rPr>
        <w:b/>
        <w:sz w:val="18"/>
      </w:rPr>
      <w:fldChar w:fldCharType="begin"/>
    </w:r>
    <w:r w:rsidRPr="003D0DA7">
      <w:rPr>
        <w:b/>
        <w:sz w:val="18"/>
      </w:rPr>
      <w:instrText xml:space="preserve"> PAGE  \* MERGEFORMAT </w:instrText>
    </w:r>
    <w:r w:rsidRPr="003D0DA7">
      <w:rPr>
        <w:b/>
        <w:sz w:val="18"/>
      </w:rPr>
      <w:fldChar w:fldCharType="separate"/>
    </w:r>
    <w:r w:rsidRPr="003D0DA7">
      <w:rPr>
        <w:b/>
        <w:noProof/>
        <w:sz w:val="18"/>
      </w:rPr>
      <w:t>2</w:t>
    </w:r>
    <w:r w:rsidRPr="003D0DA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66CD" w14:textId="6E5C5832" w:rsidR="003D0DA7" w:rsidRPr="003D0DA7" w:rsidRDefault="003D0DA7" w:rsidP="003D0DA7">
    <w:pPr>
      <w:pStyle w:val="Footer"/>
      <w:tabs>
        <w:tab w:val="right" w:pos="9638"/>
      </w:tabs>
      <w:rPr>
        <w:b/>
        <w:sz w:val="18"/>
      </w:rPr>
    </w:pPr>
    <w:r>
      <w:tab/>
    </w:r>
    <w:r w:rsidRPr="003D0DA7">
      <w:rPr>
        <w:b/>
        <w:sz w:val="18"/>
      </w:rPr>
      <w:fldChar w:fldCharType="begin"/>
    </w:r>
    <w:r w:rsidRPr="003D0DA7">
      <w:rPr>
        <w:b/>
        <w:sz w:val="18"/>
      </w:rPr>
      <w:instrText xml:space="preserve"> PAGE  \* MERGEFORMAT </w:instrText>
    </w:r>
    <w:r w:rsidRPr="003D0DA7">
      <w:rPr>
        <w:b/>
        <w:sz w:val="18"/>
      </w:rPr>
      <w:fldChar w:fldCharType="separate"/>
    </w:r>
    <w:r w:rsidRPr="003D0DA7">
      <w:rPr>
        <w:b/>
        <w:noProof/>
        <w:sz w:val="18"/>
      </w:rPr>
      <w:t>3</w:t>
    </w:r>
    <w:r w:rsidRPr="003D0D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D0D1" w14:textId="2F4602BF" w:rsidR="00FD31FC" w:rsidRDefault="00FD31FC" w:rsidP="00FD31FC">
    <w:pPr>
      <w:pStyle w:val="Footer"/>
    </w:pPr>
    <w:r w:rsidRPr="0027112F">
      <w:rPr>
        <w:noProof/>
        <w:lang w:val="en-US"/>
      </w:rPr>
      <w:drawing>
        <wp:anchor distT="0" distB="0" distL="114300" distR="114300" simplePos="0" relativeHeight="251659264" behindDoc="0" locked="1" layoutInCell="1" allowOverlap="1" wp14:anchorId="2BE41AA7" wp14:editId="68DF342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0AEC93A" w14:textId="7F2325AA" w:rsidR="00FD31FC" w:rsidRPr="00FD31FC" w:rsidRDefault="00FD31FC" w:rsidP="00FD31FC">
    <w:pPr>
      <w:pStyle w:val="Footer"/>
      <w:ind w:right="1134"/>
      <w:rPr>
        <w:sz w:val="20"/>
      </w:rPr>
    </w:pPr>
    <w:r>
      <w:rPr>
        <w:sz w:val="20"/>
      </w:rPr>
      <w:t>GE.24-11453  (E)</w:t>
    </w:r>
    <w:r>
      <w:rPr>
        <w:noProof/>
        <w:sz w:val="20"/>
      </w:rPr>
      <w:drawing>
        <wp:anchor distT="0" distB="0" distL="114300" distR="114300" simplePos="0" relativeHeight="251660288" behindDoc="0" locked="0" layoutInCell="1" allowOverlap="1" wp14:anchorId="3255D790" wp14:editId="08DB1510">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D36D" w14:textId="77777777" w:rsidR="00946736" w:rsidRPr="000B175B" w:rsidRDefault="00946736" w:rsidP="000B175B">
      <w:pPr>
        <w:tabs>
          <w:tab w:val="right" w:pos="2155"/>
        </w:tabs>
        <w:spacing w:after="80"/>
        <w:ind w:left="680"/>
        <w:rPr>
          <w:u w:val="single"/>
        </w:rPr>
      </w:pPr>
      <w:r>
        <w:rPr>
          <w:u w:val="single"/>
        </w:rPr>
        <w:tab/>
      </w:r>
    </w:p>
  </w:footnote>
  <w:footnote w:type="continuationSeparator" w:id="0">
    <w:p w14:paraId="6E713C6C" w14:textId="77777777" w:rsidR="00946736" w:rsidRPr="00FC68B7" w:rsidRDefault="00946736" w:rsidP="00FC68B7">
      <w:pPr>
        <w:tabs>
          <w:tab w:val="left" w:pos="2155"/>
        </w:tabs>
        <w:spacing w:after="80"/>
        <w:ind w:left="680"/>
        <w:rPr>
          <w:u w:val="single"/>
        </w:rPr>
      </w:pPr>
      <w:r>
        <w:rPr>
          <w:u w:val="single"/>
        </w:rPr>
        <w:tab/>
      </w:r>
    </w:p>
  </w:footnote>
  <w:footnote w:type="continuationNotice" w:id="1">
    <w:p w14:paraId="5CA997A9" w14:textId="77777777" w:rsidR="00946736" w:rsidRDefault="00946736"/>
  </w:footnote>
  <w:footnote w:id="2">
    <w:p w14:paraId="5D4EC4C1" w14:textId="18E651E0" w:rsidR="00AA4C7D" w:rsidRPr="00697BCB" w:rsidRDefault="00AA4C7D">
      <w:pPr>
        <w:pStyle w:val="FootnoteText"/>
        <w:rPr>
          <w:lang w:val="en-US"/>
        </w:rPr>
      </w:pPr>
      <w:r>
        <w:rPr>
          <w:rStyle w:val="FootnoteReference"/>
        </w:rPr>
        <w:tab/>
      </w:r>
      <w:r w:rsidRPr="00AA4C7D">
        <w:rPr>
          <w:rStyle w:val="FootnoteReference"/>
          <w:sz w:val="20"/>
          <w:vertAlign w:val="baseline"/>
        </w:rPr>
        <w:t>*</w:t>
      </w:r>
      <w:r>
        <w:rPr>
          <w:rStyle w:val="FootnoteReference"/>
          <w:sz w:val="20"/>
          <w:vertAlign w:val="baseline"/>
        </w:rPr>
        <w:tab/>
      </w:r>
      <w:r w:rsidR="00493DAA">
        <w:t>A/78/6 (</w:t>
      </w:r>
      <w:r w:rsidR="00493DAA" w:rsidRPr="00D91455">
        <w:t>Sect</w:t>
      </w:r>
      <w:r w:rsidR="00493DAA">
        <w:t>. 20), table 20.5.</w:t>
      </w:r>
    </w:p>
  </w:footnote>
  <w:footnote w:id="3">
    <w:p w14:paraId="49760F8C" w14:textId="107CA885" w:rsidR="00493DAA" w:rsidRPr="00697BCB" w:rsidRDefault="00493DAA">
      <w:pPr>
        <w:pStyle w:val="FootnoteText"/>
        <w:rPr>
          <w:lang w:val="en-US"/>
        </w:rPr>
      </w:pPr>
      <w:r>
        <w:rPr>
          <w:rStyle w:val="FootnoteReference"/>
        </w:rPr>
        <w:tab/>
      </w:r>
      <w:r w:rsidRPr="00493DAA">
        <w:rPr>
          <w:rStyle w:val="FootnoteReference"/>
          <w:sz w:val="20"/>
          <w:vertAlign w:val="baseline"/>
        </w:rPr>
        <w:t>**</w:t>
      </w:r>
      <w:r>
        <w:rPr>
          <w:rStyle w:val="FootnoteReference"/>
          <w:sz w:val="20"/>
          <w:vertAlign w:val="baseline"/>
        </w:rPr>
        <w:tab/>
      </w:r>
      <w:r w:rsidR="00CA2EB2">
        <w:rPr>
          <w:szCs w:val="18"/>
        </w:rPr>
        <w:t>Circulated by the Intergovernmental Organisation for International Carriage by Rail (OTIF) under the symbol OTIF/RID/RC/2024/40.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ECA1" w14:textId="3E0990CB" w:rsidR="003D0DA7" w:rsidRPr="003D0DA7" w:rsidRDefault="003D0DA7">
    <w:pPr>
      <w:pStyle w:val="Header"/>
    </w:pPr>
    <w:r>
      <w:t>ECE/TRANS/WP.15/AC.1/2024/40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4336" w14:textId="1B7846D4" w:rsidR="003D0DA7" w:rsidRPr="003D0DA7" w:rsidRDefault="003D0DA7" w:rsidP="003D0DA7">
    <w:pPr>
      <w:pStyle w:val="Header"/>
      <w:jc w:val="right"/>
    </w:pPr>
    <w:r>
      <w:t>ECE/TRANS/WP.15/AC.1/2024/40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34379738">
    <w:abstractNumId w:val="1"/>
  </w:num>
  <w:num w:numId="2" w16cid:durableId="955259015">
    <w:abstractNumId w:val="0"/>
  </w:num>
  <w:num w:numId="3" w16cid:durableId="1568613458">
    <w:abstractNumId w:val="2"/>
  </w:num>
  <w:num w:numId="4" w16cid:durableId="229925633">
    <w:abstractNumId w:val="3"/>
  </w:num>
  <w:num w:numId="5" w16cid:durableId="1560358343">
    <w:abstractNumId w:val="8"/>
  </w:num>
  <w:num w:numId="6" w16cid:durableId="644359851">
    <w:abstractNumId w:val="9"/>
  </w:num>
  <w:num w:numId="7" w16cid:durableId="1500852683">
    <w:abstractNumId w:val="7"/>
  </w:num>
  <w:num w:numId="8" w16cid:durableId="176385159">
    <w:abstractNumId w:val="6"/>
  </w:num>
  <w:num w:numId="9" w16cid:durableId="1987002142">
    <w:abstractNumId w:val="5"/>
  </w:num>
  <w:num w:numId="10" w16cid:durableId="1946033280">
    <w:abstractNumId w:val="4"/>
  </w:num>
  <w:num w:numId="11" w16cid:durableId="248270256">
    <w:abstractNumId w:val="15"/>
  </w:num>
  <w:num w:numId="12" w16cid:durableId="1136291911">
    <w:abstractNumId w:val="14"/>
  </w:num>
  <w:num w:numId="13" w16cid:durableId="319311719">
    <w:abstractNumId w:val="10"/>
  </w:num>
  <w:num w:numId="14" w16cid:durableId="1456485265">
    <w:abstractNumId w:val="12"/>
  </w:num>
  <w:num w:numId="15" w16cid:durableId="198474922">
    <w:abstractNumId w:val="16"/>
  </w:num>
  <w:num w:numId="16" w16cid:durableId="306711540">
    <w:abstractNumId w:val="13"/>
  </w:num>
  <w:num w:numId="17" w16cid:durableId="248777988">
    <w:abstractNumId w:val="17"/>
  </w:num>
  <w:num w:numId="18" w16cid:durableId="1014528057">
    <w:abstractNumId w:val="18"/>
  </w:num>
  <w:num w:numId="19" w16cid:durableId="1468277900">
    <w:abstractNumId w:val="11"/>
  </w:num>
  <w:num w:numId="20" w16cid:durableId="28018558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A7"/>
    <w:rsid w:val="00002A7D"/>
    <w:rsid w:val="000037B1"/>
    <w:rsid w:val="000038A8"/>
    <w:rsid w:val="00006790"/>
    <w:rsid w:val="00027624"/>
    <w:rsid w:val="00050F6B"/>
    <w:rsid w:val="000566A5"/>
    <w:rsid w:val="00064582"/>
    <w:rsid w:val="00064B2D"/>
    <w:rsid w:val="000678CD"/>
    <w:rsid w:val="00072C8C"/>
    <w:rsid w:val="00081CE0"/>
    <w:rsid w:val="000824CB"/>
    <w:rsid w:val="000842DD"/>
    <w:rsid w:val="00084D30"/>
    <w:rsid w:val="00086226"/>
    <w:rsid w:val="00090320"/>
    <w:rsid w:val="000931C0"/>
    <w:rsid w:val="0009732C"/>
    <w:rsid w:val="000A01F9"/>
    <w:rsid w:val="000A2E09"/>
    <w:rsid w:val="000B175B"/>
    <w:rsid w:val="000B3A0F"/>
    <w:rsid w:val="000B4453"/>
    <w:rsid w:val="000E0415"/>
    <w:rsid w:val="000F7715"/>
    <w:rsid w:val="00156B99"/>
    <w:rsid w:val="00166124"/>
    <w:rsid w:val="00184DDA"/>
    <w:rsid w:val="001900CD"/>
    <w:rsid w:val="001A0452"/>
    <w:rsid w:val="001B4B04"/>
    <w:rsid w:val="001B5875"/>
    <w:rsid w:val="001C20D9"/>
    <w:rsid w:val="001C4B9C"/>
    <w:rsid w:val="001C6663"/>
    <w:rsid w:val="001C7895"/>
    <w:rsid w:val="001D26DF"/>
    <w:rsid w:val="001E0B49"/>
    <w:rsid w:val="001E555D"/>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250B2"/>
    <w:rsid w:val="00336C97"/>
    <w:rsid w:val="00337F88"/>
    <w:rsid w:val="00342432"/>
    <w:rsid w:val="0035223F"/>
    <w:rsid w:val="00352D4B"/>
    <w:rsid w:val="0035638C"/>
    <w:rsid w:val="00360376"/>
    <w:rsid w:val="003A46BB"/>
    <w:rsid w:val="003A4EC7"/>
    <w:rsid w:val="003A7295"/>
    <w:rsid w:val="003B1F60"/>
    <w:rsid w:val="003C294F"/>
    <w:rsid w:val="003C2CC4"/>
    <w:rsid w:val="003D0DA7"/>
    <w:rsid w:val="003D4B23"/>
    <w:rsid w:val="003E278A"/>
    <w:rsid w:val="00413520"/>
    <w:rsid w:val="00430D57"/>
    <w:rsid w:val="004325CB"/>
    <w:rsid w:val="00440A07"/>
    <w:rsid w:val="00462880"/>
    <w:rsid w:val="00476F24"/>
    <w:rsid w:val="00493DAA"/>
    <w:rsid w:val="004C55B0"/>
    <w:rsid w:val="004F6BA0"/>
    <w:rsid w:val="00503BEA"/>
    <w:rsid w:val="00533616"/>
    <w:rsid w:val="00535ABA"/>
    <w:rsid w:val="0053768B"/>
    <w:rsid w:val="005420F2"/>
    <w:rsid w:val="0054285C"/>
    <w:rsid w:val="0057581B"/>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22DB0"/>
    <w:rsid w:val="00630FCB"/>
    <w:rsid w:val="00640B26"/>
    <w:rsid w:val="0065766B"/>
    <w:rsid w:val="006770B2"/>
    <w:rsid w:val="00686A48"/>
    <w:rsid w:val="006940E1"/>
    <w:rsid w:val="00697BCB"/>
    <w:rsid w:val="006A3C72"/>
    <w:rsid w:val="006A7392"/>
    <w:rsid w:val="006B03A1"/>
    <w:rsid w:val="006B67D9"/>
    <w:rsid w:val="006C5535"/>
    <w:rsid w:val="006D0589"/>
    <w:rsid w:val="006E0D25"/>
    <w:rsid w:val="006E564B"/>
    <w:rsid w:val="006E7154"/>
    <w:rsid w:val="007003CD"/>
    <w:rsid w:val="0070701E"/>
    <w:rsid w:val="007173E0"/>
    <w:rsid w:val="0072632A"/>
    <w:rsid w:val="007358E8"/>
    <w:rsid w:val="00736ECE"/>
    <w:rsid w:val="0074533B"/>
    <w:rsid w:val="00751E68"/>
    <w:rsid w:val="007643BC"/>
    <w:rsid w:val="007801C5"/>
    <w:rsid w:val="00780C68"/>
    <w:rsid w:val="00782757"/>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3171"/>
    <w:rsid w:val="008A6B25"/>
    <w:rsid w:val="008A6C4F"/>
    <w:rsid w:val="008A77AE"/>
    <w:rsid w:val="008B389E"/>
    <w:rsid w:val="008D045E"/>
    <w:rsid w:val="008D3F25"/>
    <w:rsid w:val="008D4D82"/>
    <w:rsid w:val="008E0E46"/>
    <w:rsid w:val="008E461D"/>
    <w:rsid w:val="008E7116"/>
    <w:rsid w:val="008F143B"/>
    <w:rsid w:val="008F3882"/>
    <w:rsid w:val="008F4B7C"/>
    <w:rsid w:val="00926E47"/>
    <w:rsid w:val="00946736"/>
    <w:rsid w:val="00947162"/>
    <w:rsid w:val="009610D0"/>
    <w:rsid w:val="0096375C"/>
    <w:rsid w:val="009662E6"/>
    <w:rsid w:val="0097095E"/>
    <w:rsid w:val="00977607"/>
    <w:rsid w:val="0098438D"/>
    <w:rsid w:val="0098592B"/>
    <w:rsid w:val="00985FC4"/>
    <w:rsid w:val="00990766"/>
    <w:rsid w:val="00991261"/>
    <w:rsid w:val="009964C4"/>
    <w:rsid w:val="009A6ABB"/>
    <w:rsid w:val="009A7B81"/>
    <w:rsid w:val="009D01C0"/>
    <w:rsid w:val="009D6A08"/>
    <w:rsid w:val="009E0A16"/>
    <w:rsid w:val="009E6CB7"/>
    <w:rsid w:val="009E7970"/>
    <w:rsid w:val="009F2EAC"/>
    <w:rsid w:val="009F57E3"/>
    <w:rsid w:val="00A10F4F"/>
    <w:rsid w:val="00A11067"/>
    <w:rsid w:val="00A1704A"/>
    <w:rsid w:val="00A425EB"/>
    <w:rsid w:val="00A44E75"/>
    <w:rsid w:val="00A72F22"/>
    <w:rsid w:val="00A733BC"/>
    <w:rsid w:val="00A748A6"/>
    <w:rsid w:val="00A76A69"/>
    <w:rsid w:val="00A804EB"/>
    <w:rsid w:val="00A879A4"/>
    <w:rsid w:val="00AA0FF8"/>
    <w:rsid w:val="00AA4C7D"/>
    <w:rsid w:val="00AC0F2C"/>
    <w:rsid w:val="00AC502A"/>
    <w:rsid w:val="00AF58C1"/>
    <w:rsid w:val="00AF6883"/>
    <w:rsid w:val="00B04A3F"/>
    <w:rsid w:val="00B06643"/>
    <w:rsid w:val="00B118BF"/>
    <w:rsid w:val="00B15055"/>
    <w:rsid w:val="00B20551"/>
    <w:rsid w:val="00B23D55"/>
    <w:rsid w:val="00B26087"/>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A2EB2"/>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4E5C"/>
    <w:rsid w:val="00DB6908"/>
    <w:rsid w:val="00DC18AD"/>
    <w:rsid w:val="00DF7CAE"/>
    <w:rsid w:val="00DF7DA2"/>
    <w:rsid w:val="00E141C6"/>
    <w:rsid w:val="00E423C0"/>
    <w:rsid w:val="00E6414C"/>
    <w:rsid w:val="00E7260F"/>
    <w:rsid w:val="00E81A58"/>
    <w:rsid w:val="00E8702D"/>
    <w:rsid w:val="00E905F4"/>
    <w:rsid w:val="00E916A9"/>
    <w:rsid w:val="00E916DE"/>
    <w:rsid w:val="00E925AD"/>
    <w:rsid w:val="00E96630"/>
    <w:rsid w:val="00EB32F8"/>
    <w:rsid w:val="00ED041D"/>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D31F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3725C"/>
  <w15:docId w15:val="{73C7E5B6-7A46-4C89-B223-3D3666C4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Revision">
    <w:name w:val="Revision"/>
    <w:hidden/>
    <w:uiPriority w:val="99"/>
    <w:semiHidden/>
    <w:rsid w:val="00086226"/>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BA9F-23F2-4F9B-AEB5-DFF90690EDAA}"/>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854</Words>
  <Characters>4697</Characters>
  <Application>Microsoft Office Word</Application>
  <DocSecurity>0</DocSecurity>
  <Lines>96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ECE/TRANS/WP.15/AC.1/2024/40</dc:title>
  <dc:subject>2411453</dc:subject>
  <dc:creator>Alicia DORCA-GARCIA</dc:creator>
  <cp:keywords/>
  <dc:description/>
  <cp:lastModifiedBy>Don Canete Martin</cp:lastModifiedBy>
  <cp:revision>2</cp:revision>
  <cp:lastPrinted>2009-02-18T09:36:00Z</cp:lastPrinted>
  <dcterms:created xsi:type="dcterms:W3CDTF">2024-06-26T09:12:00Z</dcterms:created>
  <dcterms:modified xsi:type="dcterms:W3CDTF">2024-06-26T09:12:00Z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