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BC7D9D" w14:paraId="1E16152F" w14:textId="77777777" w:rsidTr="00387CD4">
        <w:trPr>
          <w:trHeight w:hRule="exact" w:val="851"/>
        </w:trPr>
        <w:tc>
          <w:tcPr>
            <w:tcW w:w="142" w:type="dxa"/>
            <w:tcBorders>
              <w:bottom w:val="single" w:sz="4" w:space="0" w:color="auto"/>
            </w:tcBorders>
          </w:tcPr>
          <w:p w14:paraId="405FD80A" w14:textId="77777777" w:rsidR="002D5AAC" w:rsidRDefault="002D5AAC" w:rsidP="00BC7D9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7EFDE4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82F6A85" w14:textId="1A5739F3" w:rsidR="002D5AAC" w:rsidRPr="00BC7D9D" w:rsidRDefault="00BC7D9D" w:rsidP="00BC7D9D">
            <w:pPr>
              <w:jc w:val="right"/>
              <w:rPr>
                <w:lang w:val="en-US"/>
              </w:rPr>
            </w:pPr>
            <w:r w:rsidRPr="00BC7D9D">
              <w:rPr>
                <w:sz w:val="40"/>
                <w:lang w:val="en-US"/>
              </w:rPr>
              <w:t>ECE</w:t>
            </w:r>
            <w:r w:rsidRPr="00BC7D9D">
              <w:rPr>
                <w:lang w:val="en-US"/>
              </w:rPr>
              <w:t>/TRANS/WP.15/AC.1/172/Add.1</w:t>
            </w:r>
          </w:p>
        </w:tc>
      </w:tr>
      <w:tr w:rsidR="002D5AAC" w14:paraId="732A278C" w14:textId="77777777" w:rsidTr="00387CD4">
        <w:trPr>
          <w:trHeight w:hRule="exact" w:val="2835"/>
        </w:trPr>
        <w:tc>
          <w:tcPr>
            <w:tcW w:w="1280" w:type="dxa"/>
            <w:gridSpan w:val="2"/>
            <w:tcBorders>
              <w:top w:val="single" w:sz="4" w:space="0" w:color="auto"/>
              <w:bottom w:val="single" w:sz="12" w:space="0" w:color="auto"/>
            </w:tcBorders>
          </w:tcPr>
          <w:p w14:paraId="50376DA3" w14:textId="77777777" w:rsidR="002D5AAC" w:rsidRDefault="002E5067" w:rsidP="00387CD4">
            <w:pPr>
              <w:spacing w:before="120"/>
              <w:jc w:val="center"/>
            </w:pPr>
            <w:r>
              <w:rPr>
                <w:noProof/>
                <w:lang w:val="fr-CH" w:eastAsia="fr-CH"/>
              </w:rPr>
              <w:drawing>
                <wp:inline distT="0" distB="0" distL="0" distR="0" wp14:anchorId="65A85A41" wp14:editId="069B5B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975DD9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8BB1A1" w14:textId="77777777" w:rsidR="002D5AAC" w:rsidRDefault="00BC7D9D" w:rsidP="00387CD4">
            <w:pPr>
              <w:spacing w:before="240"/>
              <w:rPr>
                <w:lang w:val="en-US"/>
              </w:rPr>
            </w:pPr>
            <w:r>
              <w:rPr>
                <w:lang w:val="en-US"/>
              </w:rPr>
              <w:t>Distr.: General</w:t>
            </w:r>
          </w:p>
          <w:p w14:paraId="7E1A11DA" w14:textId="77777777" w:rsidR="00BC7D9D" w:rsidRDefault="00BC7D9D" w:rsidP="00BC7D9D">
            <w:pPr>
              <w:spacing w:line="240" w:lineRule="exact"/>
              <w:rPr>
                <w:lang w:val="en-US"/>
              </w:rPr>
            </w:pPr>
            <w:r>
              <w:rPr>
                <w:lang w:val="en-US"/>
              </w:rPr>
              <w:t>29 April 2024</w:t>
            </w:r>
          </w:p>
          <w:p w14:paraId="770EADCD" w14:textId="77777777" w:rsidR="00BC7D9D" w:rsidRDefault="00BC7D9D" w:rsidP="00BC7D9D">
            <w:pPr>
              <w:spacing w:line="240" w:lineRule="exact"/>
              <w:rPr>
                <w:lang w:val="en-US"/>
              </w:rPr>
            </w:pPr>
            <w:r>
              <w:rPr>
                <w:lang w:val="en-US"/>
              </w:rPr>
              <w:t>Russian</w:t>
            </w:r>
          </w:p>
          <w:p w14:paraId="39C26F07" w14:textId="5847463C" w:rsidR="00BC7D9D" w:rsidRPr="008D53B6" w:rsidRDefault="00BC7D9D" w:rsidP="00BC7D9D">
            <w:pPr>
              <w:spacing w:line="240" w:lineRule="exact"/>
              <w:rPr>
                <w:lang w:val="en-US"/>
              </w:rPr>
            </w:pPr>
            <w:r>
              <w:rPr>
                <w:lang w:val="en-US"/>
              </w:rPr>
              <w:t>Original: English</w:t>
            </w:r>
          </w:p>
        </w:tc>
      </w:tr>
    </w:tbl>
    <w:p w14:paraId="333C150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E38B94" w14:textId="77777777" w:rsidR="00BC7D9D" w:rsidRPr="00BC7D9D" w:rsidRDefault="00BC7D9D" w:rsidP="00BC7D9D">
      <w:pPr>
        <w:spacing w:before="120"/>
        <w:rPr>
          <w:sz w:val="28"/>
          <w:szCs w:val="28"/>
        </w:rPr>
      </w:pPr>
      <w:r w:rsidRPr="00BC7D9D">
        <w:rPr>
          <w:sz w:val="28"/>
          <w:szCs w:val="28"/>
        </w:rPr>
        <w:t>Комитет по внутреннему транспорту</w:t>
      </w:r>
    </w:p>
    <w:p w14:paraId="046E57DA" w14:textId="77777777" w:rsidR="00BC7D9D" w:rsidRPr="00BC7D9D" w:rsidRDefault="00BC7D9D" w:rsidP="00BC7D9D">
      <w:pPr>
        <w:spacing w:before="120"/>
        <w:rPr>
          <w:b/>
          <w:bCs/>
          <w:sz w:val="24"/>
          <w:szCs w:val="24"/>
        </w:rPr>
      </w:pPr>
      <w:r w:rsidRPr="00BC7D9D">
        <w:rPr>
          <w:b/>
          <w:bCs/>
          <w:sz w:val="24"/>
          <w:szCs w:val="24"/>
        </w:rPr>
        <w:t>Рабочая группа по перевозкам опасных грузов</w:t>
      </w:r>
    </w:p>
    <w:p w14:paraId="182D0AAF" w14:textId="62326DB5" w:rsidR="00BC7D9D" w:rsidRPr="00D43A88" w:rsidRDefault="00BC7D9D" w:rsidP="00BC7D9D">
      <w:pPr>
        <w:spacing w:before="120"/>
        <w:rPr>
          <w:b/>
          <w:bCs/>
        </w:rPr>
      </w:pPr>
      <w:r w:rsidRPr="00D43A88">
        <w:rPr>
          <w:b/>
          <w:bCs/>
        </w:rPr>
        <w:t xml:space="preserve">Совместное совещание Комиссии экспертов МПОГ </w:t>
      </w:r>
      <w:r>
        <w:rPr>
          <w:b/>
          <w:bCs/>
        </w:rPr>
        <w:br/>
      </w:r>
      <w:r w:rsidRPr="00D43A88">
        <w:rPr>
          <w:b/>
          <w:bCs/>
        </w:rPr>
        <w:t>и Рабочей группы по перевозкам опасных грузов</w:t>
      </w:r>
    </w:p>
    <w:p w14:paraId="12FF8FCD" w14:textId="026D4288" w:rsidR="00BC7D9D" w:rsidRPr="00D43A88" w:rsidRDefault="00BC7D9D" w:rsidP="00BC7D9D">
      <w:pPr>
        <w:pStyle w:val="HChG"/>
        <w:rPr>
          <w:rFonts w:eastAsiaTheme="minorEastAsia"/>
          <w:lang w:eastAsia="zh-CN" w:bidi="ar-TN"/>
        </w:rPr>
      </w:pPr>
      <w:r w:rsidRPr="00D43A88">
        <w:tab/>
      </w:r>
      <w:r w:rsidRPr="00D43A88">
        <w:tab/>
      </w:r>
      <w:r w:rsidRPr="00D43A88">
        <w:rPr>
          <w:bCs/>
        </w:rPr>
        <w:t>Доклад Совместного совещания Комиссии экспертов МПОГ и Рабочей группы по перевозкам опасных грузов о работе его весенней сессии 2024 года</w:t>
      </w:r>
      <w:r w:rsidR="003553FD" w:rsidRPr="00DB21D8">
        <w:rPr>
          <w:rStyle w:val="aa"/>
          <w:b w:val="0"/>
          <w:sz w:val="20"/>
          <w:vertAlign w:val="baseline"/>
        </w:rPr>
        <w:footnoteReference w:customMarkFollows="1" w:id="1"/>
        <w:t>*</w:t>
      </w:r>
      <w:r w:rsidRPr="00DB21D8">
        <w:rPr>
          <w:b w:val="0"/>
          <w:sz w:val="20"/>
        </w:rPr>
        <w:t>,</w:t>
      </w:r>
    </w:p>
    <w:p w14:paraId="713C7619" w14:textId="70D81207" w:rsidR="00BC7D9D" w:rsidRPr="00D43A88" w:rsidRDefault="00BC7D9D" w:rsidP="0055725E">
      <w:pPr>
        <w:pStyle w:val="H56G"/>
        <w:keepNext w:val="0"/>
        <w:keepLines w:val="0"/>
      </w:pPr>
      <w:r w:rsidRPr="00D43A88">
        <w:tab/>
      </w:r>
      <w:r w:rsidRPr="00D43A88">
        <w:tab/>
        <w:t xml:space="preserve">которая проводилась во Всемирном почтовом союзе (ВПС), Берн, </w:t>
      </w:r>
      <w:r w:rsidR="003553FD">
        <w:br/>
      </w:r>
      <w:r w:rsidRPr="00D43A88">
        <w:t>25</w:t>
      </w:r>
      <w:r w:rsidR="003553FD" w:rsidRPr="003553FD">
        <w:t>–</w:t>
      </w:r>
      <w:r w:rsidRPr="00D43A88">
        <w:t>28 марта 2024 года</w:t>
      </w:r>
    </w:p>
    <w:p w14:paraId="378B99FD" w14:textId="594AA0D9" w:rsidR="00BC7D9D" w:rsidRPr="00D43A88" w:rsidRDefault="00BC7D9D" w:rsidP="00BC7D9D">
      <w:pPr>
        <w:pStyle w:val="HChG"/>
        <w:spacing w:before="240" w:after="120"/>
        <w:rPr>
          <w:sz w:val="20"/>
        </w:rPr>
      </w:pPr>
      <w:r w:rsidRPr="00D43A88">
        <w:tab/>
      </w:r>
      <w:r w:rsidRPr="00D43A88">
        <w:tab/>
      </w:r>
      <w:r w:rsidRPr="00D43A88">
        <w:rPr>
          <w:bCs/>
        </w:rPr>
        <w:t>Добавление</w:t>
      </w:r>
      <w:r w:rsidR="0080488F" w:rsidRPr="00DB21D8">
        <w:rPr>
          <w:rStyle w:val="aa"/>
          <w:b w:val="0"/>
          <w:sz w:val="20"/>
          <w:vertAlign w:val="baseline"/>
        </w:rPr>
        <w:footnoteReference w:customMarkFollows="1" w:id="2"/>
        <w:t>**</w:t>
      </w:r>
    </w:p>
    <w:p w14:paraId="58B309D3" w14:textId="29131BA3" w:rsidR="0080488F" w:rsidRDefault="0080488F">
      <w:pPr>
        <w:suppressAutoHyphens w:val="0"/>
        <w:spacing w:line="240" w:lineRule="auto"/>
      </w:pPr>
      <w:r>
        <w:br w:type="page"/>
      </w:r>
    </w:p>
    <w:p w14:paraId="669D7325" w14:textId="77777777" w:rsidR="0080488F" w:rsidRPr="007C7BAE" w:rsidRDefault="0080488F" w:rsidP="007C7BAE">
      <w:pPr>
        <w:pStyle w:val="HChG"/>
      </w:pPr>
      <w:r w:rsidRPr="007C7BAE">
        <w:lastRenderedPageBreak/>
        <w:t>Приложение</w:t>
      </w:r>
    </w:p>
    <w:p w14:paraId="41573439" w14:textId="77777777" w:rsidR="0080488F" w:rsidRPr="007C7BAE" w:rsidRDefault="0080488F" w:rsidP="00BB2275">
      <w:pPr>
        <w:pStyle w:val="HChG"/>
      </w:pPr>
      <w:r w:rsidRPr="007C7BAE">
        <w:tab/>
      </w:r>
      <w:r w:rsidRPr="007C7BAE">
        <w:tab/>
        <w:t>Доклад Рабочей группы по цистернам</w:t>
      </w:r>
    </w:p>
    <w:p w14:paraId="497B4A1F" w14:textId="3A3C46BE" w:rsidR="0080488F" w:rsidRPr="00D43A88" w:rsidRDefault="0080488F" w:rsidP="0080488F">
      <w:pPr>
        <w:pStyle w:val="SingleTxtG"/>
      </w:pPr>
      <w:r w:rsidRPr="00D43A88">
        <w:t>1.</w:t>
      </w:r>
      <w:r w:rsidRPr="00D43A88">
        <w:tab/>
        <w:t xml:space="preserve">Рабочая группа по цистернам провела онлайновое совещание 26 и 27 февраля 2024 года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w:t>
      </w:r>
      <w:proofErr w:type="spellStart"/>
      <w:r w:rsidRPr="00D43A88">
        <w:t>Кес</w:t>
      </w:r>
      <w:proofErr w:type="spellEnd"/>
      <w:r w:rsidRPr="00D43A88">
        <w:t xml:space="preserve"> де </w:t>
      </w:r>
      <w:proofErr w:type="spellStart"/>
      <w:r w:rsidRPr="00D43A88">
        <w:t>Путтер</w:t>
      </w:r>
      <w:proofErr w:type="spellEnd"/>
      <w:r w:rsidRPr="00D43A88">
        <w:t xml:space="preserve"> (Нидерланды). На</w:t>
      </w:r>
      <w:r w:rsidR="007C7BAE">
        <w:rPr>
          <w:lang w:val="en-US"/>
        </w:rPr>
        <w:t> </w:t>
      </w:r>
      <w:r w:rsidRPr="00D43A88">
        <w:t>рассмотрение Рабочей группы были представлены соответствующие документы.</w:t>
      </w:r>
    </w:p>
    <w:p w14:paraId="19D751D1" w14:textId="1B37D56E" w:rsidR="0080488F" w:rsidRPr="00D43A88" w:rsidRDefault="0080488F" w:rsidP="0080488F">
      <w:pPr>
        <w:pStyle w:val="SingleTxtG"/>
      </w:pPr>
      <w:r w:rsidRPr="00D43A88">
        <w:t>2.</w:t>
      </w:r>
      <w:r w:rsidRPr="00D43A88">
        <w:tab/>
        <w:t xml:space="preserve">В совещании Рабочей группы по цистернам приняли участие 31 эксперт из </w:t>
      </w:r>
      <w:r w:rsidR="00165174">
        <w:br/>
      </w:r>
      <w:r w:rsidRPr="00D43A88">
        <w:t>12</w:t>
      </w:r>
      <w:r w:rsidR="00165174" w:rsidRPr="00165174">
        <w:t xml:space="preserve"> </w:t>
      </w:r>
      <w:r w:rsidRPr="00D43A88">
        <w:t xml:space="preserve">стран и </w:t>
      </w:r>
      <w:r w:rsidR="00287A27" w:rsidRPr="00381E64">
        <w:t>5</w:t>
      </w:r>
      <w:r w:rsidRPr="00D43A88">
        <w:t xml:space="preserve"> неправительственных организаций. Они рассмотрели следующие официальные и неофициальные документы:</w:t>
      </w:r>
    </w:p>
    <w:p w14:paraId="746A8E7F" w14:textId="77777777" w:rsidR="0080488F" w:rsidRPr="00D43A88" w:rsidRDefault="0080488F" w:rsidP="007C7BAE">
      <w:pPr>
        <w:pStyle w:val="SingleTxtG"/>
        <w:tabs>
          <w:tab w:val="clear" w:pos="1701"/>
          <w:tab w:val="clear" w:pos="2268"/>
          <w:tab w:val="clear" w:pos="2835"/>
          <w:tab w:val="left" w:pos="3969"/>
          <w:tab w:val="left" w:pos="5812"/>
        </w:tabs>
        <w:spacing w:after="0"/>
        <w:ind w:left="3969" w:hanging="2835"/>
        <w:jc w:val="left"/>
      </w:pPr>
      <w:r w:rsidRPr="00D43A88">
        <w:rPr>
          <w:i/>
          <w:iCs/>
        </w:rPr>
        <w:t>Документы</w:t>
      </w:r>
      <w:r w:rsidRPr="007C7BAE">
        <w:t>:</w:t>
      </w:r>
      <w:r w:rsidRPr="00D43A88">
        <w:tab/>
        <w:t>ECE/TRANS/WP.15/AC.1/170/Add.1 (доклад)</w:t>
      </w:r>
    </w:p>
    <w:p w14:paraId="36E99A98" w14:textId="77777777" w:rsidR="0080488F" w:rsidRPr="007C7BAE" w:rsidRDefault="0080488F" w:rsidP="007C7BAE">
      <w:pPr>
        <w:pStyle w:val="SingleTxtG"/>
        <w:tabs>
          <w:tab w:val="clear" w:pos="1701"/>
          <w:tab w:val="clear" w:pos="2268"/>
          <w:tab w:val="clear" w:pos="2835"/>
          <w:tab w:val="left" w:pos="3969"/>
          <w:tab w:val="left" w:pos="5812"/>
        </w:tabs>
        <w:spacing w:after="0"/>
        <w:ind w:left="3969" w:hanging="2835"/>
        <w:jc w:val="left"/>
      </w:pPr>
      <w:r w:rsidRPr="00D43A88">
        <w:tab/>
      </w:r>
      <w:r w:rsidRPr="007C7BAE">
        <w:t>ECE/TRANS/WP.15/AC.1/2024/1 (</w:t>
      </w:r>
      <w:r w:rsidRPr="00D43A88">
        <w:t>МСАГВ</w:t>
      </w:r>
      <w:r w:rsidRPr="007C7BAE">
        <w:t>)</w:t>
      </w:r>
    </w:p>
    <w:p w14:paraId="3ADC87D2" w14:textId="77777777" w:rsidR="0080488F" w:rsidRPr="007C7BAE" w:rsidRDefault="0080488F" w:rsidP="007C7BAE">
      <w:pPr>
        <w:pStyle w:val="SingleTxtG"/>
        <w:tabs>
          <w:tab w:val="clear" w:pos="1701"/>
          <w:tab w:val="clear" w:pos="2268"/>
          <w:tab w:val="clear" w:pos="2835"/>
          <w:tab w:val="left" w:pos="3969"/>
          <w:tab w:val="left" w:pos="5812"/>
        </w:tabs>
        <w:spacing w:after="0"/>
        <w:ind w:left="3969" w:hanging="2835"/>
        <w:jc w:val="left"/>
      </w:pPr>
      <w:r w:rsidRPr="007C7BAE">
        <w:tab/>
        <w:t>ECE/TRANS/WP.15/AC.1/2024/2 (</w:t>
      </w:r>
      <w:r w:rsidRPr="00D43A88">
        <w:t>Испания</w:t>
      </w:r>
      <w:r w:rsidRPr="007C7BAE">
        <w:t>)</w:t>
      </w:r>
    </w:p>
    <w:p w14:paraId="39534B85" w14:textId="77777777" w:rsidR="0080488F" w:rsidRPr="00D43A88" w:rsidRDefault="0080488F" w:rsidP="007C7BAE">
      <w:pPr>
        <w:pStyle w:val="SingleTxtG"/>
        <w:tabs>
          <w:tab w:val="clear" w:pos="1701"/>
          <w:tab w:val="clear" w:pos="2268"/>
          <w:tab w:val="clear" w:pos="2835"/>
          <w:tab w:val="left" w:pos="3969"/>
          <w:tab w:val="left" w:pos="5812"/>
        </w:tabs>
        <w:spacing w:after="0"/>
        <w:ind w:left="3969" w:hanging="2835"/>
        <w:jc w:val="left"/>
      </w:pPr>
      <w:r w:rsidRPr="007C7BAE">
        <w:tab/>
      </w:r>
      <w:r w:rsidRPr="00D43A88">
        <w:t>ECE/TRANS/WP.15/AC.1/2024/5 (Российская Федерация)</w:t>
      </w:r>
    </w:p>
    <w:p w14:paraId="4B850B0D" w14:textId="77777777" w:rsidR="0080488F" w:rsidRPr="00D43A88" w:rsidRDefault="0080488F" w:rsidP="007C7BAE">
      <w:pPr>
        <w:pStyle w:val="SingleTxtG"/>
        <w:tabs>
          <w:tab w:val="clear" w:pos="1701"/>
          <w:tab w:val="clear" w:pos="2268"/>
          <w:tab w:val="clear" w:pos="2835"/>
          <w:tab w:val="left" w:pos="3969"/>
          <w:tab w:val="left" w:pos="5812"/>
        </w:tabs>
        <w:spacing w:after="0"/>
        <w:ind w:left="3969" w:hanging="2835"/>
        <w:jc w:val="left"/>
      </w:pPr>
      <w:r w:rsidRPr="00D43A88">
        <w:tab/>
        <w:t>ECE/TRANS/WP.15/AC.1/2024/8 (Испания и ЕАПГ)</w:t>
      </w:r>
    </w:p>
    <w:p w14:paraId="4A05D47A" w14:textId="77777777" w:rsidR="0080488F" w:rsidRPr="007C7BAE" w:rsidRDefault="0080488F" w:rsidP="007C7BAE">
      <w:pPr>
        <w:pStyle w:val="SingleTxtG"/>
        <w:tabs>
          <w:tab w:val="clear" w:pos="1701"/>
          <w:tab w:val="clear" w:pos="2268"/>
          <w:tab w:val="clear" w:pos="2835"/>
          <w:tab w:val="left" w:pos="3969"/>
          <w:tab w:val="left" w:pos="5812"/>
        </w:tabs>
        <w:spacing w:after="0"/>
        <w:ind w:left="3969" w:hanging="2835"/>
        <w:jc w:val="left"/>
      </w:pPr>
      <w:r w:rsidRPr="00D43A88">
        <w:tab/>
      </w:r>
      <w:r w:rsidRPr="007C7BAE">
        <w:t>ECE/TRANS/WP.15/AC.1/2024/18 (</w:t>
      </w:r>
      <w:r w:rsidRPr="00D43A88">
        <w:t>Нидерланды</w:t>
      </w:r>
      <w:r w:rsidRPr="007C7BAE">
        <w:t>)</w:t>
      </w:r>
    </w:p>
    <w:p w14:paraId="5CB53598" w14:textId="77777777" w:rsidR="0080488F" w:rsidRPr="008E086E" w:rsidRDefault="0080488F" w:rsidP="007C7BAE">
      <w:pPr>
        <w:pStyle w:val="SingleTxtG"/>
        <w:tabs>
          <w:tab w:val="clear" w:pos="1701"/>
          <w:tab w:val="clear" w:pos="2268"/>
          <w:tab w:val="clear" w:pos="2835"/>
          <w:tab w:val="left" w:pos="3969"/>
          <w:tab w:val="left" w:pos="5812"/>
        </w:tabs>
        <w:spacing w:after="0"/>
        <w:ind w:left="3969" w:hanging="2835"/>
        <w:jc w:val="left"/>
        <w:rPr>
          <w:lang w:val="en-US"/>
        </w:rPr>
      </w:pPr>
      <w:r w:rsidRPr="007C7BAE">
        <w:tab/>
        <w:t>E</w:t>
      </w:r>
      <w:r w:rsidRPr="008E086E">
        <w:rPr>
          <w:lang w:val="en-US"/>
        </w:rPr>
        <w:t>CE/TRANS/WP.15/AC.1/2024/26 (</w:t>
      </w:r>
      <w:r w:rsidRPr="00D43A88">
        <w:t>МСЖД</w:t>
      </w:r>
      <w:r w:rsidRPr="008E086E">
        <w:rPr>
          <w:lang w:val="en-US"/>
        </w:rPr>
        <w:t>)</w:t>
      </w:r>
    </w:p>
    <w:p w14:paraId="2ED5E9ED" w14:textId="77777777" w:rsidR="0080488F" w:rsidRPr="00D43A88" w:rsidRDefault="0080488F" w:rsidP="007C7BAE">
      <w:pPr>
        <w:pStyle w:val="SingleTxtG"/>
        <w:tabs>
          <w:tab w:val="clear" w:pos="1701"/>
          <w:tab w:val="clear" w:pos="2268"/>
          <w:tab w:val="clear" w:pos="2835"/>
          <w:tab w:val="left" w:pos="2977"/>
          <w:tab w:val="left" w:pos="3969"/>
          <w:tab w:val="left" w:pos="5812"/>
        </w:tabs>
        <w:spacing w:after="0"/>
        <w:ind w:left="3119" w:hanging="1985"/>
        <w:jc w:val="left"/>
      </w:pPr>
      <w:r w:rsidRPr="00D43A88">
        <w:rPr>
          <w:i/>
          <w:iCs/>
        </w:rPr>
        <w:t>Неофициальные документы</w:t>
      </w:r>
      <w:r w:rsidRPr="007C7BAE">
        <w:t>:</w:t>
      </w:r>
      <w:r w:rsidRPr="00D43A88">
        <w:tab/>
        <w:t>INF.5 (МСАГВ)</w:t>
      </w:r>
    </w:p>
    <w:p w14:paraId="5F7BFD8A" w14:textId="77777777" w:rsidR="0080488F" w:rsidRPr="00D43A88" w:rsidRDefault="0080488F" w:rsidP="007C7BAE">
      <w:pPr>
        <w:pStyle w:val="SingleTxtG"/>
        <w:tabs>
          <w:tab w:val="clear" w:pos="1701"/>
          <w:tab w:val="clear" w:pos="2268"/>
          <w:tab w:val="clear" w:pos="2835"/>
          <w:tab w:val="left" w:pos="3969"/>
          <w:tab w:val="left" w:pos="5812"/>
        </w:tabs>
        <w:spacing w:after="0"/>
        <w:ind w:left="4253" w:hanging="3119"/>
        <w:jc w:val="left"/>
      </w:pPr>
      <w:r w:rsidRPr="00D43A88">
        <w:tab/>
        <w:t>INF.10 (Германия)</w:t>
      </w:r>
    </w:p>
    <w:p w14:paraId="32BA8C2C" w14:textId="77777777" w:rsidR="0080488F" w:rsidRPr="00D43A88" w:rsidRDefault="0080488F" w:rsidP="007C7BAE">
      <w:pPr>
        <w:pStyle w:val="SingleTxtG"/>
        <w:tabs>
          <w:tab w:val="clear" w:pos="1701"/>
          <w:tab w:val="clear" w:pos="2268"/>
          <w:tab w:val="clear" w:pos="2835"/>
          <w:tab w:val="left" w:pos="3969"/>
          <w:tab w:val="left" w:pos="5812"/>
        </w:tabs>
        <w:spacing w:after="0"/>
        <w:ind w:left="4253" w:hanging="3119"/>
        <w:jc w:val="left"/>
      </w:pPr>
      <w:r w:rsidRPr="00D43A88">
        <w:tab/>
        <w:t>INF.14 (ЕКС)</w:t>
      </w:r>
    </w:p>
    <w:p w14:paraId="39A0432F" w14:textId="77777777" w:rsidR="0080488F" w:rsidRPr="00D43A88" w:rsidRDefault="0080488F" w:rsidP="007C7BAE">
      <w:pPr>
        <w:pStyle w:val="SingleTxtG"/>
        <w:tabs>
          <w:tab w:val="clear" w:pos="1701"/>
          <w:tab w:val="clear" w:pos="2268"/>
          <w:tab w:val="clear" w:pos="2835"/>
          <w:tab w:val="left" w:pos="3969"/>
          <w:tab w:val="left" w:pos="5812"/>
        </w:tabs>
        <w:spacing w:after="0"/>
        <w:ind w:left="4253" w:hanging="3119"/>
        <w:jc w:val="left"/>
      </w:pPr>
      <w:r w:rsidRPr="00D43A88">
        <w:tab/>
        <w:t>INF.16 (МОКЦ)</w:t>
      </w:r>
    </w:p>
    <w:p w14:paraId="543E3BB0" w14:textId="77777777" w:rsidR="0080488F" w:rsidRPr="00D43A88" w:rsidRDefault="0080488F" w:rsidP="007C7BAE">
      <w:pPr>
        <w:pStyle w:val="SingleTxtG"/>
        <w:tabs>
          <w:tab w:val="clear" w:pos="1701"/>
          <w:tab w:val="clear" w:pos="2268"/>
          <w:tab w:val="clear" w:pos="2835"/>
          <w:tab w:val="left" w:pos="3969"/>
          <w:tab w:val="left" w:pos="5812"/>
        </w:tabs>
        <w:spacing w:after="0"/>
        <w:ind w:left="4253" w:hanging="3119"/>
        <w:jc w:val="left"/>
      </w:pPr>
      <w:r w:rsidRPr="00D43A88">
        <w:tab/>
        <w:t>INF.17 (Бельгия)</w:t>
      </w:r>
    </w:p>
    <w:p w14:paraId="7284B211" w14:textId="77777777" w:rsidR="0080488F" w:rsidRPr="00D43A88" w:rsidRDefault="0080488F" w:rsidP="007C7BAE">
      <w:pPr>
        <w:pStyle w:val="SingleTxtG"/>
        <w:tabs>
          <w:tab w:val="clear" w:pos="1701"/>
          <w:tab w:val="clear" w:pos="2268"/>
          <w:tab w:val="clear" w:pos="2835"/>
          <w:tab w:val="left" w:pos="3969"/>
          <w:tab w:val="left" w:pos="5812"/>
        </w:tabs>
        <w:spacing w:after="0"/>
        <w:ind w:left="4253" w:hanging="3119"/>
        <w:jc w:val="left"/>
      </w:pPr>
      <w:r w:rsidRPr="00D43A88">
        <w:tab/>
        <w:t>INF.18 (Доклад Рабочей группы по цистернам)</w:t>
      </w:r>
    </w:p>
    <w:p w14:paraId="67B01BED" w14:textId="77777777" w:rsidR="0080488F" w:rsidRPr="007C7BAE" w:rsidRDefault="0080488F" w:rsidP="007C7BAE">
      <w:pPr>
        <w:pStyle w:val="H1G"/>
      </w:pPr>
      <w:r w:rsidRPr="007C7BAE">
        <w:tab/>
      </w:r>
      <w:r w:rsidRPr="007C7BAE">
        <w:tab/>
        <w:t>Пункт 1: Доклад о работе осенней сессии Совместного совещания 2023 года</w:t>
      </w:r>
    </w:p>
    <w:p w14:paraId="6A2C46B6" w14:textId="403DC17E" w:rsidR="0080488F" w:rsidRPr="00D43A88" w:rsidRDefault="0080488F" w:rsidP="00931BE5">
      <w:pPr>
        <w:pStyle w:val="SingleTxtG"/>
        <w:tabs>
          <w:tab w:val="clear" w:pos="1701"/>
          <w:tab w:val="clear" w:pos="2268"/>
          <w:tab w:val="clear" w:pos="2835"/>
          <w:tab w:val="left" w:pos="3969"/>
          <w:tab w:val="left" w:pos="5812"/>
        </w:tabs>
        <w:ind w:left="4253" w:hanging="3119"/>
        <w:jc w:val="left"/>
      </w:pPr>
      <w:r w:rsidRPr="00D43A88">
        <w:rPr>
          <w:i/>
          <w:iCs/>
        </w:rPr>
        <w:t>Документ</w:t>
      </w:r>
      <w:r w:rsidRPr="007C7BAE">
        <w:t>:</w:t>
      </w:r>
      <w:r w:rsidRPr="00D43A88">
        <w:tab/>
        <w:t>ECE/TRANS/WP.15/AC.1/170/Add.1, предложение 6</w:t>
      </w:r>
    </w:p>
    <w:p w14:paraId="3FA1985F" w14:textId="765E90BE" w:rsidR="0080488F" w:rsidRPr="00D43A88" w:rsidRDefault="0080488F" w:rsidP="0080488F">
      <w:pPr>
        <w:pStyle w:val="SingleTxtG"/>
      </w:pPr>
      <w:bookmarkStart w:id="0" w:name="_Hlk168578832"/>
      <w:r w:rsidRPr="00D43A88">
        <w:t>3.</w:t>
      </w:r>
      <w:r w:rsidRPr="00D43A88">
        <w:tab/>
        <w:t>Пленарное заседание постановило оставить предложение 6 в докладе о работе последнего совещания Рабочей группы по цистернам в квадратных скобках для дальнейшего рассмотрения. Это предложение было основано на результатах обсуждения документа ECE/TRANS/WP.15/AC.1/2023/28. Обсуждался вопрос о том, что компетентные органы, которые не утверждают проверяющие органы, а</w:t>
      </w:r>
      <w:r w:rsidR="0002743A">
        <w:t> </w:t>
      </w:r>
      <w:r w:rsidRPr="00D43A88">
        <w:t>самостоятельно выполняют функции по проведению проверок, не нуждаются в аккредитации. Вместе с тем они должны удовлетворять положениям перечня в пункте</w:t>
      </w:r>
      <w:r w:rsidR="0002743A">
        <w:t> </w:t>
      </w:r>
      <w:r w:rsidRPr="00D43A88">
        <w:t>1.8.6.3.1, содержащем основные требования к аккредитации.</w:t>
      </w:r>
    </w:p>
    <w:bookmarkEnd w:id="0"/>
    <w:p w14:paraId="355F4FB3" w14:textId="799AA01B" w:rsidR="0080488F" w:rsidRPr="00D43A88" w:rsidRDefault="0080488F" w:rsidP="0080488F">
      <w:pPr>
        <w:pStyle w:val="SingleTxtG"/>
      </w:pPr>
      <w:r w:rsidRPr="00D43A88">
        <w:t>4.</w:t>
      </w:r>
      <w:r w:rsidRPr="00D43A88">
        <w:tab/>
        <w:t xml:space="preserve">Эта тема стала предметом повторного обсуждения в Рабочей группе по цистернам. Следует иметь в виду, что раздел 1.8.6 применяется только к проведению оценок соответствия, периодических проверок, промежуточных проверок, внеплановых проверок, </w:t>
      </w:r>
      <w:proofErr w:type="spellStart"/>
      <w:r w:rsidRPr="00D43A88">
        <w:t>предэксплуатационных</w:t>
      </w:r>
      <w:proofErr w:type="spellEnd"/>
      <w:r w:rsidRPr="00D43A88">
        <w:t xml:space="preserve"> проверок и контроля за внутренними инспекционными службами. Следует также отметить, что существуют проблемы, связанные с аккредитацией государственных органов, и поэтому исключение в отношении аккредитации добавлено в последнее предложение пункта 1.8.6.2.1 со</w:t>
      </w:r>
      <w:r w:rsidR="00BF7D80">
        <w:t> </w:t>
      </w:r>
      <w:r w:rsidRPr="00D43A88">
        <w:t>ссылкой на подраздел 1.8.6.3 в целях обеспечения минимального уровня соответствия для государственных органов.</w:t>
      </w:r>
    </w:p>
    <w:p w14:paraId="2481620B" w14:textId="7030C516" w:rsidR="0080488F" w:rsidRPr="00D43A88" w:rsidRDefault="0080488F" w:rsidP="0080488F">
      <w:pPr>
        <w:pStyle w:val="SingleTxtG"/>
        <w:spacing w:after="240"/>
      </w:pPr>
      <w:r w:rsidRPr="00D43A88">
        <w:t>5.</w:t>
      </w:r>
      <w:r w:rsidRPr="00D43A88">
        <w:tab/>
        <w:t>В ходе обсуждения было высказано мнение, что технические службы компетентного органа, выполняющего функции утвержденных проверяющих органов, будут нуждаться в аккредитации. Также возник вопрос о том, что назначение тех или иных органов в качестве компетентных органов может создать лазейку для уклонения проверяющего органа от аккредитации. Для устранения этого пробела в предложение</w:t>
      </w:r>
      <w:r w:rsidR="00E86EDD">
        <w:rPr>
          <w:lang w:val="en-US"/>
        </w:rPr>
        <w:t> </w:t>
      </w:r>
      <w:r w:rsidRPr="00D43A88">
        <w:t>6 доклада Рабочей группы по цистернам о работе ее осенней сессии 2023</w:t>
      </w:r>
      <w:r w:rsidR="00E97FC6">
        <w:rPr>
          <w:lang w:val="en-US"/>
        </w:rPr>
        <w:t> </w:t>
      </w:r>
      <w:r w:rsidRPr="00D43A88">
        <w:t xml:space="preserve">года по пункту 1.8.6.2.1 внесена поправка. Первоначальное предложение по </w:t>
      </w:r>
      <w:r w:rsidRPr="00D43A88">
        <w:lastRenderedPageBreak/>
        <w:t>пункту 1.8.6.3.1, заключенное в квадратные скобки, может быть оставлено без изменений.</w:t>
      </w:r>
    </w:p>
    <w:p w14:paraId="129AF593" w14:textId="77777777" w:rsidR="0080488F" w:rsidRPr="00D43A88" w:rsidRDefault="0080488F" w:rsidP="0080488F">
      <w:pPr>
        <w:pStyle w:val="H23G"/>
      </w:pPr>
      <w:r w:rsidRPr="00D43A88">
        <w:tab/>
      </w:r>
      <w:r w:rsidRPr="00D43A88">
        <w:tab/>
      </w:r>
      <w:r w:rsidRPr="00D43A88">
        <w:rPr>
          <w:bCs/>
        </w:rPr>
        <w:t>Предложение 1 (для МПОГ/ДОПОГ 2025 года)</w:t>
      </w:r>
    </w:p>
    <w:p w14:paraId="5DCBB702" w14:textId="77777777" w:rsidR="0080488F" w:rsidRPr="00D43A88" w:rsidRDefault="0080488F" w:rsidP="0080488F">
      <w:pPr>
        <w:pStyle w:val="SingleTxtG"/>
        <w:rPr>
          <w:i/>
          <w:iCs/>
        </w:rPr>
      </w:pPr>
      <w:r w:rsidRPr="00D43A88">
        <w:t xml:space="preserve">Изменить последнее предложение пункта 1.8.6.2.1 следующим образом (новый текст </w:t>
      </w:r>
      <w:r w:rsidRPr="00D43A88">
        <w:rPr>
          <w:u w:val="single"/>
        </w:rPr>
        <w:t>подчеркнут</w:t>
      </w:r>
      <w:r w:rsidRPr="00D43A88">
        <w:t>, исключенный текст зачеркнут):</w:t>
      </w:r>
    </w:p>
    <w:p w14:paraId="6B38A0D0" w14:textId="6CDE9F8A" w:rsidR="0080488F" w:rsidRPr="00D43A88" w:rsidRDefault="0080488F" w:rsidP="0080488F">
      <w:pPr>
        <w:pStyle w:val="SingleTxtG"/>
        <w:ind w:left="1701"/>
      </w:pPr>
      <w:r w:rsidRPr="00D43A88">
        <w:t xml:space="preserve">«В тех случаях, когда компетентный орган </w:t>
      </w:r>
      <w:r w:rsidRPr="00D43A88">
        <w:rPr>
          <w:strike/>
        </w:rPr>
        <w:t>не утверждает, признает или назначает проверяющие органы, но</w:t>
      </w:r>
      <w:r w:rsidRPr="00D43A88">
        <w:t xml:space="preserve"> выполняет </w:t>
      </w:r>
      <w:r w:rsidRPr="00D43A88">
        <w:rPr>
          <w:strike/>
        </w:rPr>
        <w:t xml:space="preserve">эти </w:t>
      </w:r>
      <w:r w:rsidRPr="00D43A88">
        <w:t xml:space="preserve">функции проверяющего органа самостоятельно, компетентный орган должен соблюдать положения подраздела 1.8.6.3. </w:t>
      </w:r>
      <w:r w:rsidRPr="00D43A88">
        <w:rPr>
          <w:u w:val="single"/>
        </w:rPr>
        <w:t xml:space="preserve">Однако, когда компетентный орган назначает проверяющий орган для выполнения функций компетентного органа, назначенный </w:t>
      </w:r>
      <w:r w:rsidR="006335DE">
        <w:rPr>
          <w:u w:val="single"/>
        </w:rPr>
        <w:br/>
      </w:r>
      <w:r w:rsidRPr="00D43A88">
        <w:rPr>
          <w:u w:val="single"/>
        </w:rPr>
        <w:t>орган</w:t>
      </w:r>
      <w:r w:rsidR="006335DE" w:rsidRPr="006335DE">
        <w:rPr>
          <w:u w:val="single"/>
        </w:rPr>
        <w:t xml:space="preserve"> </w:t>
      </w:r>
      <w:r w:rsidRPr="00D43A88">
        <w:rPr>
          <w:u w:val="single"/>
        </w:rPr>
        <w:t>должен быть аккредитован в соответствии со стандартом EN</w:t>
      </w:r>
      <w:r w:rsidR="001B6C8A">
        <w:rPr>
          <w:u w:val="single"/>
        </w:rPr>
        <w:t> </w:t>
      </w:r>
      <w:r w:rsidRPr="00D43A88">
        <w:rPr>
          <w:u w:val="single"/>
        </w:rPr>
        <w:t>ISO/IEC</w:t>
      </w:r>
      <w:r w:rsidR="00415546">
        <w:rPr>
          <w:u w:val="single"/>
        </w:rPr>
        <w:t> </w:t>
      </w:r>
      <w:r w:rsidRPr="00D43A88">
        <w:rPr>
          <w:u w:val="single"/>
        </w:rPr>
        <w:t>17020:2012 (за исключением пункта 8.1.3) по типу А</w:t>
      </w:r>
      <w:r w:rsidRPr="00D43A88">
        <w:t>».</w:t>
      </w:r>
    </w:p>
    <w:p w14:paraId="767E4AA3" w14:textId="77777777" w:rsidR="0080488F" w:rsidRPr="00D43A88" w:rsidRDefault="0080488F" w:rsidP="0080488F">
      <w:pPr>
        <w:pStyle w:val="SingleTxtG"/>
        <w:ind w:right="1275"/>
      </w:pPr>
      <w:r w:rsidRPr="00D43A88">
        <w:t>Изменить последнее предложение пункта 1.8.6.3.1 следующим образом:</w:t>
      </w:r>
    </w:p>
    <w:p w14:paraId="660251D0" w14:textId="250AD4D1" w:rsidR="0080488F" w:rsidRPr="00D43A88" w:rsidRDefault="0080488F" w:rsidP="0080488F">
      <w:pPr>
        <w:pStyle w:val="SingleTxtG"/>
        <w:ind w:left="1701"/>
      </w:pPr>
      <w:r w:rsidRPr="00D43A88">
        <w:t>«Вышеприведенные требования считаются выполненными в случае аккредитации в соответствии со стандартом EN</w:t>
      </w:r>
      <w:r w:rsidR="00EC3F5F">
        <w:rPr>
          <w:lang w:val="en-US"/>
        </w:rPr>
        <w:t> </w:t>
      </w:r>
      <w:r w:rsidRPr="00D43A88">
        <w:t>ISO/IEC</w:t>
      </w:r>
      <w:r w:rsidR="00EC3F5F">
        <w:rPr>
          <w:lang w:val="en-US"/>
        </w:rPr>
        <w:t> </w:t>
      </w:r>
      <w:r w:rsidRPr="00D43A88">
        <w:t>17020:2012 (за</w:t>
      </w:r>
      <w:r w:rsidR="00816D08">
        <w:t> </w:t>
      </w:r>
      <w:r w:rsidRPr="00D43A88">
        <w:t>исключением положения 8.1.3)».</w:t>
      </w:r>
    </w:p>
    <w:p w14:paraId="0209897C" w14:textId="77777777" w:rsidR="0080488F" w:rsidRPr="00D43A88" w:rsidRDefault="0080488F" w:rsidP="0080488F">
      <w:pPr>
        <w:pStyle w:val="H1G"/>
      </w:pPr>
      <w:r w:rsidRPr="00D43A88">
        <w:tab/>
      </w:r>
      <w:r w:rsidRPr="00D43A88">
        <w:tab/>
      </w:r>
      <w:r w:rsidRPr="00D43A88">
        <w:rPr>
          <w:bCs/>
        </w:rPr>
        <w:t>Пункт 2: Проверка цистерн, для которых истек установленный срок промежуточной проверки</w:t>
      </w:r>
    </w:p>
    <w:p w14:paraId="42EC0342" w14:textId="23E339BF" w:rsidR="0080488F" w:rsidRPr="008E086E" w:rsidRDefault="0080488F" w:rsidP="00816D08">
      <w:pPr>
        <w:pStyle w:val="SingleTxtG"/>
        <w:tabs>
          <w:tab w:val="clear" w:pos="1701"/>
          <w:tab w:val="clear" w:pos="2268"/>
          <w:tab w:val="clear" w:pos="2835"/>
          <w:tab w:val="left" w:pos="3969"/>
          <w:tab w:val="left" w:pos="5812"/>
        </w:tabs>
        <w:ind w:left="3969" w:hanging="2835"/>
        <w:jc w:val="left"/>
        <w:rPr>
          <w:lang w:val="en-US"/>
        </w:rPr>
      </w:pPr>
      <w:r w:rsidRPr="00D43A88">
        <w:rPr>
          <w:i/>
          <w:iCs/>
        </w:rPr>
        <w:t>Документ</w:t>
      </w:r>
      <w:r w:rsidRPr="00816D08">
        <w:rPr>
          <w:lang w:val="en-US"/>
        </w:rPr>
        <w:t>:</w:t>
      </w:r>
      <w:r w:rsidRPr="008E086E">
        <w:rPr>
          <w:lang w:val="en-US"/>
        </w:rPr>
        <w:tab/>
        <w:t>ECE/TRANS/WP.15/AC.1/2024/1 (</w:t>
      </w:r>
      <w:r w:rsidRPr="00D43A88">
        <w:t>МСАГВ</w:t>
      </w:r>
      <w:r w:rsidRPr="008E086E">
        <w:rPr>
          <w:lang w:val="en-US"/>
        </w:rPr>
        <w:t>)</w:t>
      </w:r>
    </w:p>
    <w:p w14:paraId="7345D112" w14:textId="77777777" w:rsidR="0080488F" w:rsidRPr="00D43A88" w:rsidRDefault="0080488F" w:rsidP="0080488F">
      <w:pPr>
        <w:pStyle w:val="SingleTxtG"/>
      </w:pPr>
      <w:r w:rsidRPr="00D43A88">
        <w:t>6.</w:t>
      </w:r>
      <w:r w:rsidRPr="00D43A88">
        <w:tab/>
        <w:t>Документ основан на предыдущих обсуждениях неофициального документа INF.19 осенней сессии Совместного совещания 2023 года, где было решено, что промежуточная проверка необходима, если установленный срок проведения такой проверки истек. Однако в зависимости от длительности просрочки владелец/оператор может принять решение о проведении промежуточной или периодической проверки. Для предотвращения неправильного толкования предлагается дополнительная формулировка.</w:t>
      </w:r>
    </w:p>
    <w:p w14:paraId="58728511" w14:textId="11676C7C" w:rsidR="0080488F" w:rsidRPr="00D43A88" w:rsidRDefault="0080488F" w:rsidP="0080488F">
      <w:pPr>
        <w:pStyle w:val="SingleTxtG"/>
      </w:pPr>
      <w:r w:rsidRPr="00D43A88">
        <w:t>7.</w:t>
      </w:r>
      <w:r w:rsidRPr="00D43A88">
        <w:tab/>
        <w:t xml:space="preserve">В ходе обсуждения предложение было изменено, как представлено ниже. Было высказано мнение, что лучше было бы указать, что установленный срок </w:t>
      </w:r>
      <w:r w:rsidR="00F923C5">
        <w:t>«</w:t>
      </w:r>
      <w:r w:rsidRPr="00D43A88">
        <w:t>превышен</w:t>
      </w:r>
      <w:r w:rsidR="00F923C5">
        <w:t>»</w:t>
      </w:r>
      <w:r w:rsidRPr="00D43A88">
        <w:t xml:space="preserve"> (“</w:t>
      </w:r>
      <w:proofErr w:type="spellStart"/>
      <w:r w:rsidRPr="00D43A88">
        <w:t>passed</w:t>
      </w:r>
      <w:proofErr w:type="spellEnd"/>
      <w:r w:rsidRPr="00D43A88">
        <w:t xml:space="preserve">”), нежели </w:t>
      </w:r>
      <w:r w:rsidR="00F923C5">
        <w:t>«</w:t>
      </w:r>
      <w:r w:rsidRPr="00D43A88">
        <w:t>истек</w:t>
      </w:r>
      <w:r w:rsidR="00F923C5">
        <w:t>»</w:t>
      </w:r>
      <w:r w:rsidRPr="00D43A88">
        <w:t xml:space="preserve"> (“</w:t>
      </w:r>
      <w:proofErr w:type="spellStart"/>
      <w:r w:rsidRPr="00D43A88">
        <w:t>overdue</w:t>
      </w:r>
      <w:proofErr w:type="spellEnd"/>
      <w:r w:rsidRPr="00D43A88">
        <w:t>” или “</w:t>
      </w:r>
      <w:proofErr w:type="spellStart"/>
      <w:r w:rsidRPr="00D43A88">
        <w:t>expired</w:t>
      </w:r>
      <w:proofErr w:type="spellEnd"/>
      <w:r w:rsidRPr="00D43A88">
        <w:t xml:space="preserve">”). Этот момент был учтен в предложении. Слово </w:t>
      </w:r>
      <w:r w:rsidR="00F923C5">
        <w:t>«</w:t>
      </w:r>
      <w:r w:rsidRPr="00D43A88">
        <w:t>превышен</w:t>
      </w:r>
      <w:r w:rsidR="00F923C5">
        <w:t>»</w:t>
      </w:r>
      <w:r w:rsidRPr="00D43A88">
        <w:t xml:space="preserve"> можно было бы использовать и в других местах, но</w:t>
      </w:r>
      <w:r w:rsidR="00073B68">
        <w:rPr>
          <w:lang w:val="en-US"/>
        </w:rPr>
        <w:t> </w:t>
      </w:r>
      <w:r w:rsidRPr="00D43A88">
        <w:t>проверка последующих поправок показала, что это сложная задача, за которую можно будет взяться в рамках будущей деятельности.</w:t>
      </w:r>
    </w:p>
    <w:p w14:paraId="3C67BBD0" w14:textId="77777777" w:rsidR="0080488F" w:rsidRPr="00D43A88" w:rsidRDefault="0080488F" w:rsidP="0080488F">
      <w:pPr>
        <w:pStyle w:val="H23G"/>
      </w:pPr>
      <w:r w:rsidRPr="00D43A88">
        <w:tab/>
      </w:r>
      <w:r w:rsidRPr="00D43A88">
        <w:tab/>
      </w:r>
      <w:r w:rsidRPr="00D43A88">
        <w:rPr>
          <w:bCs/>
        </w:rPr>
        <w:t>Предложение 2 (для МПОГ/ДОПОГ 2025 года)</w:t>
      </w:r>
    </w:p>
    <w:p w14:paraId="729CDDD8" w14:textId="77777777" w:rsidR="0080488F" w:rsidRPr="00D43A88" w:rsidRDefault="0080488F" w:rsidP="0080488F">
      <w:pPr>
        <w:pStyle w:val="SingleTxtG"/>
      </w:pPr>
      <w:r w:rsidRPr="00D43A88">
        <w:t>Включить в пункт 6.8.2.4.3 новый абзац в следующей редакции:</w:t>
      </w:r>
    </w:p>
    <w:p w14:paraId="06F7AC05" w14:textId="77777777" w:rsidR="0080488F" w:rsidRPr="00D43A88" w:rsidRDefault="0080488F" w:rsidP="0080488F">
      <w:pPr>
        <w:pStyle w:val="SingleTxtG"/>
        <w:ind w:left="1701"/>
      </w:pPr>
      <w:r w:rsidRPr="00D43A88">
        <w:t>«Если установленный срок промежуточной проверки превышен, то должна быть проведена промежуточная проверка или, в качестве альтернативы, может быть проведена периодическая проверка в соответствии с пунктом 6.8.2.4.2».</w:t>
      </w:r>
    </w:p>
    <w:p w14:paraId="668EFBBA" w14:textId="77777777" w:rsidR="0080488F" w:rsidRPr="00D43A88" w:rsidRDefault="0080488F" w:rsidP="0080488F">
      <w:pPr>
        <w:pStyle w:val="H1G"/>
      </w:pPr>
      <w:r w:rsidRPr="00D43A88">
        <w:tab/>
      </w:r>
      <w:r w:rsidRPr="00D43A88">
        <w:tab/>
      </w:r>
      <w:r w:rsidRPr="00D43A88">
        <w:rPr>
          <w:bCs/>
        </w:rPr>
        <w:t>Пункт 3: Наполнение многоэлементных газовых контейнеров</w:t>
      </w:r>
    </w:p>
    <w:p w14:paraId="165C0C74" w14:textId="57E486E9" w:rsidR="0080488F" w:rsidRPr="00D43A88" w:rsidRDefault="0080488F" w:rsidP="003C5793">
      <w:pPr>
        <w:pStyle w:val="SingleTxtG"/>
        <w:tabs>
          <w:tab w:val="clear" w:pos="1701"/>
          <w:tab w:val="clear" w:pos="2268"/>
          <w:tab w:val="clear" w:pos="2835"/>
          <w:tab w:val="left" w:pos="3969"/>
          <w:tab w:val="left" w:pos="5812"/>
        </w:tabs>
        <w:ind w:left="3969" w:hanging="2835"/>
        <w:jc w:val="left"/>
      </w:pPr>
      <w:r w:rsidRPr="00D43A88">
        <w:rPr>
          <w:i/>
          <w:iCs/>
        </w:rPr>
        <w:t>Документ</w:t>
      </w:r>
      <w:r w:rsidRPr="00CE1EFA">
        <w:t>:</w:t>
      </w:r>
      <w:r w:rsidRPr="00D43A88">
        <w:tab/>
        <w:t>ECE/TRANS/WP.15/AC.1/2024/2 (Испания)</w:t>
      </w:r>
    </w:p>
    <w:p w14:paraId="6456779C" w14:textId="4FCE52AA" w:rsidR="0080488F" w:rsidRPr="00D43A88" w:rsidRDefault="0080488F" w:rsidP="0080488F">
      <w:pPr>
        <w:pStyle w:val="SingleTxtG"/>
      </w:pPr>
      <w:r w:rsidRPr="00D43A88">
        <w:t>8.</w:t>
      </w:r>
      <w:r w:rsidRPr="00D43A88">
        <w:tab/>
        <w:t>Предложение Испании заключалось в том, чтобы улучшить положения главы</w:t>
      </w:r>
      <w:r w:rsidR="002F6D92">
        <w:t> </w:t>
      </w:r>
      <w:r w:rsidRPr="00D43A88">
        <w:t>4.3, касающиеся наполнения МЭГК, путем добавления формулировок, которые уже существуют в пунктах 4.2.4.5.1</w:t>
      </w:r>
      <w:r w:rsidR="00A04FF2">
        <w:t>–</w:t>
      </w:r>
      <w:r w:rsidRPr="00D43A88">
        <w:t>4.2.4.5.3. Сформулированный в предложении вариант 2 получил принципиальную поддержку. Однако было сочтено, что для добавления в главу 4.3 в эти формулировки следовало бы включить также вагоны</w:t>
      </w:r>
      <w:r w:rsidR="002F6D92">
        <w:noBreakHyphen/>
      </w:r>
      <w:r w:rsidRPr="00D43A88">
        <w:t>батареи в случае МПОГ и транспортные средства-батареи в случае ДОПОГ.</w:t>
      </w:r>
    </w:p>
    <w:p w14:paraId="643781B9" w14:textId="77777777" w:rsidR="0080488F" w:rsidRPr="001A51EE" w:rsidRDefault="0080488F" w:rsidP="001A51EE">
      <w:pPr>
        <w:pStyle w:val="H23G"/>
      </w:pPr>
      <w:r w:rsidRPr="001A51EE">
        <w:lastRenderedPageBreak/>
        <w:tab/>
      </w:r>
      <w:r w:rsidRPr="001A51EE">
        <w:tab/>
        <w:t>Предложение 3</w:t>
      </w:r>
    </w:p>
    <w:p w14:paraId="40787F2F" w14:textId="77777777" w:rsidR="0080488F" w:rsidRPr="00D43A88" w:rsidRDefault="0080488F" w:rsidP="0080488F">
      <w:pPr>
        <w:pStyle w:val="SingleTxtG"/>
      </w:pPr>
      <w:r w:rsidRPr="00D43A88">
        <w:t>Включить новый подпункт 4.3.3.2.5 следующего содержания и изменить нумерацию существующего подпункта 4.3.3.2.5 на 4.3.3.2.6:</w:t>
      </w:r>
    </w:p>
    <w:p w14:paraId="69B3F3E8" w14:textId="162B6712" w:rsidR="0080488F" w:rsidRPr="00D43A88" w:rsidRDefault="002F6D92" w:rsidP="0080488F">
      <w:pPr>
        <w:pStyle w:val="SingleTxtG"/>
        <w:ind w:left="2268" w:hanging="1134"/>
      </w:pPr>
      <w:r>
        <w:t>«</w:t>
      </w:r>
      <w:r w:rsidR="0080488F" w:rsidRPr="00D43A88">
        <w:t>4.3.3.2.5</w:t>
      </w:r>
      <w:r w:rsidR="0080488F" w:rsidRPr="00D43A88">
        <w:tab/>
        <w:t>До наполнения вагоны-батареи/транспортные средства-батареи и МЭГК должны пройти проверку, с тем чтобы убедиться в том, что они допущены к перевозке данного газа и удовлетворяют требованиям применимых положений МПОГ/ДОПОГ. Элементы вагонов-батарей/</w:t>
      </w:r>
      <w:r w:rsidR="0047317F" w:rsidRPr="0047317F">
        <w:t xml:space="preserve"> </w:t>
      </w:r>
      <w:r w:rsidR="0080488F" w:rsidRPr="00D43A88">
        <w:t>транспортных средств-батарей и МЭГК, которые представляют собой сосуды под давлением, должны наполняться в соответствии со значениями рабочего давления и коэффициента наполнения, а также положениями, касающимися наполнения, приведенными в инструкции по упаковке Р200 в подразделе 4.1.4.1 для конкретного газа, загружаемого в каждый элемент. Если вагоны-батареи/транспортные средства-батареи и МЭГК наполняются как единое целое или же группы их элементов наполняются одновременно, давление наполнения или масса загрузки не должны превышать наименьшее максимальное давление наполнения или наименьшую максимальную массу загрузки любого отдельного элемента. Вагоны-батареи/транспортные средства-батареи и МЭГК не должны наполняться сверх применимых допустимых значений массы».</w:t>
      </w:r>
    </w:p>
    <w:p w14:paraId="37A0F036" w14:textId="77777777" w:rsidR="0080488F" w:rsidRPr="00D43A88" w:rsidRDefault="0080488F" w:rsidP="0080488F">
      <w:pPr>
        <w:pStyle w:val="SingleTxtG"/>
        <w:keepNext/>
        <w:keepLines/>
      </w:pPr>
      <w:r w:rsidRPr="00D43A88">
        <w:t>Сопутствующие поправки:</w:t>
      </w:r>
    </w:p>
    <w:p w14:paraId="342C14CB" w14:textId="6BE36840" w:rsidR="0080488F" w:rsidRPr="00D43A88" w:rsidRDefault="0080488F" w:rsidP="001A51EE">
      <w:pPr>
        <w:pStyle w:val="SingleTxtG"/>
        <w:ind w:left="2268" w:hanging="1134"/>
      </w:pPr>
      <w:r w:rsidRPr="00D43A88">
        <w:t>4.3.3.1.1</w:t>
      </w:r>
      <w:r w:rsidRPr="00D43A88">
        <w:tab/>
        <w:t>В таблице, в строке «2 Расчетное давление», колонка «Код цистерны», в</w:t>
      </w:r>
      <w:r w:rsidR="001A51EE">
        <w:t> </w:t>
      </w:r>
      <w:r w:rsidRPr="00D43A88">
        <w:t xml:space="preserve">пояснении к «Х» заменить «4.3.3.2.5» на </w:t>
      </w:r>
      <w:r w:rsidR="00F923C5">
        <w:t>«</w:t>
      </w:r>
      <w:r w:rsidRPr="00D43A88">
        <w:t>4.3.3.2.6</w:t>
      </w:r>
      <w:r w:rsidR="00F923C5">
        <w:t>»</w:t>
      </w:r>
      <w:r w:rsidRPr="00D43A88">
        <w:t>.</w:t>
      </w:r>
    </w:p>
    <w:p w14:paraId="1A268D09" w14:textId="3866BD27" w:rsidR="0080488F" w:rsidRPr="00D43A88" w:rsidRDefault="0080488F" w:rsidP="0080488F">
      <w:pPr>
        <w:pStyle w:val="SingleTxtG"/>
        <w:ind w:left="2268" w:hanging="1134"/>
        <w:rPr>
          <w:b/>
          <w:bCs/>
        </w:rPr>
      </w:pPr>
      <w:r w:rsidRPr="00D43A88">
        <w:t>6.8.2.4.1</w:t>
      </w:r>
      <w:r w:rsidRPr="00D43A88">
        <w:tab/>
        <w:t xml:space="preserve">В предложении после таблицы заменить «4.3.3.2.5» на </w:t>
      </w:r>
      <w:r w:rsidR="00F923C5">
        <w:t>«</w:t>
      </w:r>
      <w:r w:rsidRPr="00D43A88">
        <w:t>4.3.3.2.6</w:t>
      </w:r>
      <w:r w:rsidR="00F923C5">
        <w:t>»</w:t>
      </w:r>
      <w:r w:rsidRPr="00D43A88">
        <w:t>.</w:t>
      </w:r>
    </w:p>
    <w:p w14:paraId="53FD4B37" w14:textId="5D94330F" w:rsidR="0080488F" w:rsidRPr="00D43A88" w:rsidRDefault="0080488F" w:rsidP="0080488F">
      <w:pPr>
        <w:pStyle w:val="SingleTxtG"/>
        <w:ind w:left="2268" w:hanging="1134"/>
      </w:pPr>
      <w:r w:rsidRPr="00D43A88">
        <w:t>6.8.3.4.2</w:t>
      </w:r>
      <w:r w:rsidRPr="00D43A88">
        <w:tab/>
        <w:t xml:space="preserve">Заменить </w:t>
      </w:r>
      <w:r w:rsidR="00F923C5">
        <w:t>«</w:t>
      </w:r>
      <w:r w:rsidRPr="00D43A88">
        <w:t>4.3.3.2.5</w:t>
      </w:r>
      <w:r w:rsidR="00F923C5">
        <w:t>»</w:t>
      </w:r>
      <w:r w:rsidRPr="00D43A88">
        <w:t xml:space="preserve"> на </w:t>
      </w:r>
      <w:r w:rsidR="00F923C5">
        <w:t>«</w:t>
      </w:r>
      <w:r w:rsidRPr="00D43A88">
        <w:t>4.3.3.2.6</w:t>
      </w:r>
      <w:r w:rsidR="00F923C5">
        <w:t>»</w:t>
      </w:r>
      <w:r w:rsidRPr="00D43A88">
        <w:t>.</w:t>
      </w:r>
    </w:p>
    <w:p w14:paraId="373B589E" w14:textId="3DE556BA" w:rsidR="0080488F" w:rsidRPr="00A7544C" w:rsidRDefault="0080488F" w:rsidP="00A7544C">
      <w:pPr>
        <w:pStyle w:val="H1G"/>
      </w:pPr>
      <w:r w:rsidRPr="00A7544C">
        <w:tab/>
      </w:r>
      <w:r w:rsidRPr="00A7544C">
        <w:tab/>
        <w:t>Пункт 4: Предложение по внесению изменений в пункт 6.8.2.1.27 и</w:t>
      </w:r>
      <w:r w:rsidR="00A7544C">
        <w:t> </w:t>
      </w:r>
      <w:r w:rsidRPr="00A7544C">
        <w:t>раздел 7.5.10</w:t>
      </w:r>
    </w:p>
    <w:p w14:paraId="7AC384DB" w14:textId="4B2DDC2D" w:rsidR="0080488F" w:rsidRPr="00D43A88" w:rsidRDefault="0080488F" w:rsidP="00CD1329">
      <w:pPr>
        <w:pStyle w:val="SingleTxtG"/>
        <w:tabs>
          <w:tab w:val="clear" w:pos="1701"/>
          <w:tab w:val="clear" w:pos="2268"/>
          <w:tab w:val="clear" w:pos="2835"/>
          <w:tab w:val="left" w:pos="3969"/>
          <w:tab w:val="left" w:pos="5812"/>
        </w:tabs>
        <w:ind w:left="3969" w:hanging="2835"/>
        <w:jc w:val="left"/>
      </w:pPr>
      <w:r w:rsidRPr="00D43A88">
        <w:rPr>
          <w:i/>
          <w:iCs/>
        </w:rPr>
        <w:t>Документ</w:t>
      </w:r>
      <w:r w:rsidRPr="00FA1CCE">
        <w:t>:</w:t>
      </w:r>
      <w:r w:rsidRPr="00D43A88">
        <w:tab/>
        <w:t>ECE/TRANS/WP.15/AC.1/2024/5 (Российская Федерация)</w:t>
      </w:r>
    </w:p>
    <w:p w14:paraId="39CCAF22" w14:textId="756C60F9" w:rsidR="0080488F" w:rsidRPr="00D43A88" w:rsidRDefault="0080488F" w:rsidP="0080488F">
      <w:pPr>
        <w:pStyle w:val="SingleTxtG"/>
      </w:pPr>
      <w:r w:rsidRPr="00D43A88">
        <w:t>9.</w:t>
      </w:r>
      <w:r w:rsidRPr="00D43A88">
        <w:tab/>
        <w:t>В документе было предложено включить №</w:t>
      </w:r>
      <w:r w:rsidR="00612BFA">
        <w:rPr>
          <w:lang w:val="en-US"/>
        </w:rPr>
        <w:t> </w:t>
      </w:r>
      <w:r w:rsidRPr="00D43A88">
        <w:t>ООН</w:t>
      </w:r>
      <w:r w:rsidR="00612BFA">
        <w:rPr>
          <w:lang w:val="en-US"/>
        </w:rPr>
        <w:t> </w:t>
      </w:r>
      <w:r w:rsidRPr="00D43A88">
        <w:t xml:space="preserve">3190 в дополнение </w:t>
      </w:r>
      <w:r w:rsidR="002E2F82">
        <w:br/>
      </w:r>
      <w:r w:rsidRPr="00D43A88">
        <w:t>к № ООН 1361 в пункт 6.8.2.1.27 и раздел 7.5.10. В этих положениях приведены дополнительные требования к перевозке сажи.</w:t>
      </w:r>
    </w:p>
    <w:p w14:paraId="7C6782A4" w14:textId="77777777" w:rsidR="0080488F" w:rsidRPr="00D43A88" w:rsidRDefault="0080488F" w:rsidP="0080488F">
      <w:pPr>
        <w:pStyle w:val="SingleTxtG"/>
      </w:pPr>
      <w:r w:rsidRPr="00D43A88">
        <w:t>10.</w:t>
      </w:r>
      <w:r w:rsidRPr="00D43A88">
        <w:tab/>
        <w:t>Во введении к документу говорится, что добавление № ООН 3190 необходимо, поскольку речь идет о производстве сажи из углеводородного газа.</w:t>
      </w:r>
    </w:p>
    <w:p w14:paraId="2A0BBEDF" w14:textId="70D9CA3C" w:rsidR="0080488F" w:rsidRPr="00D43A88" w:rsidRDefault="0080488F" w:rsidP="0080488F">
      <w:pPr>
        <w:pStyle w:val="SingleTxtG"/>
      </w:pPr>
      <w:r w:rsidRPr="00D43A88">
        <w:t>11.</w:t>
      </w:r>
      <w:r w:rsidRPr="00D43A88">
        <w:tab/>
        <w:t xml:space="preserve">Учитывая, что № ООН 3190 относится к классу 4.2 с классификационным кодом </w:t>
      </w:r>
      <w:r w:rsidR="00F923C5">
        <w:t>«</w:t>
      </w:r>
      <w:r w:rsidRPr="00D43A88">
        <w:t xml:space="preserve">S4 </w:t>
      </w:r>
      <w:r w:rsidR="009A04AB">
        <w:t>—</w:t>
      </w:r>
      <w:r w:rsidRPr="00D43A88">
        <w:t xml:space="preserve"> вещества неорганические, твердые</w:t>
      </w:r>
      <w:r w:rsidR="00F923C5">
        <w:t>»</w:t>
      </w:r>
      <w:r w:rsidRPr="00D43A88">
        <w:t xml:space="preserve">, был задан вопрос о том, оправдана ли такая классификация, поскольку углерод считается </w:t>
      </w:r>
      <w:r w:rsidR="00F923C5">
        <w:t>«</w:t>
      </w:r>
      <w:r w:rsidRPr="00D43A88">
        <w:t>органическим</w:t>
      </w:r>
      <w:r w:rsidR="00F923C5">
        <w:t>»</w:t>
      </w:r>
      <w:r w:rsidRPr="00D43A88">
        <w:t xml:space="preserve"> материалом. В</w:t>
      </w:r>
      <w:r w:rsidR="00094683">
        <w:t> </w:t>
      </w:r>
      <w:r w:rsidRPr="00D43A88">
        <w:t>качестве альтернативы следовало бы рассмотреть возможность изменения описания № ООН 1361 путем включения в него также сажи, получаемой из углеводородного сырья, или же выбрать № ООН 3088 САМОНАГРЕВАЮЩЕЕСЯ ТВЕРДОЕ ВЕЩЕСТВО ОРГАНИЧЕСКОЕ, Н.У.К.</w:t>
      </w:r>
    </w:p>
    <w:p w14:paraId="1FA63D11" w14:textId="77777777" w:rsidR="0080488F" w:rsidRPr="00D43A88" w:rsidRDefault="0080488F" w:rsidP="0080488F">
      <w:pPr>
        <w:pStyle w:val="SingleTxtG"/>
      </w:pPr>
      <w:r w:rsidRPr="00D43A88">
        <w:t>12.</w:t>
      </w:r>
      <w:r w:rsidRPr="00D43A88">
        <w:tab/>
        <w:t>Поскольку речь идет о классификации, Рабочая группа по цистернам сочла, что этот вопрос следует обсудить на пленарном заседании и, при необходимости, на уровне Подкомитета экспертов по перевозке опасных грузов. После принятия решения о классификации сажи требования пункта 6.8.2.1.27 и раздела 7.5.10 могут быть соответствующим образом пересмотрены.</w:t>
      </w:r>
    </w:p>
    <w:p w14:paraId="478176AA" w14:textId="62697EB0" w:rsidR="0080488F" w:rsidRPr="00D43A88" w:rsidRDefault="0080488F" w:rsidP="0080488F">
      <w:pPr>
        <w:pStyle w:val="H1G"/>
        <w:rPr>
          <w:bCs/>
        </w:rPr>
      </w:pPr>
      <w:r w:rsidRPr="00D43A88">
        <w:lastRenderedPageBreak/>
        <w:tab/>
      </w:r>
      <w:r w:rsidRPr="00D43A88">
        <w:tab/>
      </w:r>
      <w:r w:rsidRPr="00D43A88">
        <w:rPr>
          <w:bCs/>
        </w:rPr>
        <w:t>Пункт 5: Новые переходные меры для переносных цистерн в</w:t>
      </w:r>
      <w:r w:rsidR="004B33E2">
        <w:rPr>
          <w:bCs/>
        </w:rPr>
        <w:t> </w:t>
      </w:r>
      <w:r w:rsidRPr="00D43A88">
        <w:rPr>
          <w:bCs/>
        </w:rPr>
        <w:t>главе</w:t>
      </w:r>
      <w:r w:rsidR="004B33E2">
        <w:rPr>
          <w:bCs/>
        </w:rPr>
        <w:t> </w:t>
      </w:r>
      <w:r w:rsidRPr="00D43A88">
        <w:rPr>
          <w:bCs/>
        </w:rPr>
        <w:t>6.7</w:t>
      </w:r>
    </w:p>
    <w:p w14:paraId="4CB22828" w14:textId="2E10F4D6" w:rsidR="0080488F" w:rsidRPr="00D43A88" w:rsidRDefault="0080488F" w:rsidP="00FC0C51">
      <w:pPr>
        <w:pStyle w:val="SingleTxtG"/>
        <w:keepNext/>
        <w:keepLines/>
        <w:tabs>
          <w:tab w:val="clear" w:pos="1701"/>
          <w:tab w:val="clear" w:pos="2268"/>
          <w:tab w:val="clear" w:pos="2835"/>
          <w:tab w:val="left" w:pos="3969"/>
          <w:tab w:val="left" w:pos="5812"/>
        </w:tabs>
        <w:ind w:left="3969" w:hanging="2835"/>
        <w:jc w:val="left"/>
      </w:pPr>
      <w:r w:rsidRPr="00D43A88">
        <w:rPr>
          <w:i/>
          <w:iCs/>
        </w:rPr>
        <w:t>Документ</w:t>
      </w:r>
      <w:r w:rsidRPr="00EC6482">
        <w:t>:</w:t>
      </w:r>
      <w:r w:rsidRPr="00D43A88">
        <w:tab/>
        <w:t>ECE/TRANS/WP.15/AC.1/2024/8 (Испания и ЕАПГ)</w:t>
      </w:r>
    </w:p>
    <w:p w14:paraId="69BB5C8C" w14:textId="77777777" w:rsidR="0080488F" w:rsidRPr="00D43A88" w:rsidRDefault="0080488F" w:rsidP="00FC0C51">
      <w:pPr>
        <w:pStyle w:val="SingleTxtG"/>
        <w:keepNext/>
        <w:keepLines/>
      </w:pPr>
      <w:r w:rsidRPr="00D43A88">
        <w:t>13.</w:t>
      </w:r>
      <w:r w:rsidRPr="00D43A88">
        <w:tab/>
        <w:t xml:space="preserve">В пункте 6.7.4.15.1 i) </w:t>
      </w:r>
      <w:proofErr w:type="spellStart"/>
      <w:r w:rsidRPr="00D43A88">
        <w:t>iv</w:t>
      </w:r>
      <w:proofErr w:type="spellEnd"/>
      <w:r w:rsidRPr="00D43A88">
        <w:t>) надпись «Степень наполнения» на табличке цистерны заменена на «Максимально допустимая масса закачанного газа». Подкомитет экспертов по перевозке опасных грузов уже утвердил переходную меру, которая позволяет продолжать использовать существующие переносные цистерны с прежней маркировкой. Переходная мера в МПОГ/ДОПОГ предлагается для целей согласования.</w:t>
      </w:r>
    </w:p>
    <w:p w14:paraId="53DA54C7" w14:textId="77777777" w:rsidR="0080488F" w:rsidRPr="00D43A88" w:rsidRDefault="0080488F" w:rsidP="0080488F">
      <w:pPr>
        <w:pStyle w:val="SingleTxtG"/>
      </w:pPr>
      <w:r w:rsidRPr="00D43A88">
        <w:t>14.</w:t>
      </w:r>
      <w:r w:rsidRPr="00D43A88">
        <w:tab/>
        <w:t>Это предложение получило поддержку экспертов Рабочей группы по цистернам.</w:t>
      </w:r>
    </w:p>
    <w:p w14:paraId="79F34209" w14:textId="77777777" w:rsidR="0080488F" w:rsidRPr="00104FD2" w:rsidRDefault="0080488F" w:rsidP="00104FD2">
      <w:pPr>
        <w:pStyle w:val="H23G"/>
      </w:pPr>
      <w:r w:rsidRPr="00104FD2">
        <w:tab/>
      </w:r>
      <w:r w:rsidRPr="00104FD2">
        <w:tab/>
        <w:t>Предложение 4 (для МПОГ/ДОПОГ 2025 года)</w:t>
      </w:r>
    </w:p>
    <w:p w14:paraId="04395B1E" w14:textId="77777777" w:rsidR="0080488F" w:rsidRPr="00D43A88" w:rsidRDefault="0080488F" w:rsidP="0080488F">
      <w:pPr>
        <w:pStyle w:val="SingleTxtG"/>
      </w:pPr>
      <w:r w:rsidRPr="00D43A88">
        <w:t>Включить в пункт 1.6.4 новую переходную меру следующего содержания:</w:t>
      </w:r>
    </w:p>
    <w:p w14:paraId="27694D84" w14:textId="39813933" w:rsidR="0080488F" w:rsidRPr="00D43A88" w:rsidRDefault="00104FD2" w:rsidP="0080488F">
      <w:pPr>
        <w:pStyle w:val="SingleTxtG"/>
        <w:ind w:left="2268" w:hanging="1134"/>
      </w:pPr>
      <w:r>
        <w:t>«</w:t>
      </w:r>
      <w:r w:rsidR="0080488F" w:rsidRPr="00D43A88">
        <w:t>1.6.4.XX</w:t>
      </w:r>
      <w:r w:rsidR="0080488F" w:rsidRPr="00D43A88">
        <w:tab/>
        <w:t>Переносные цистерны, изготовленные до 1 января 2027 года в соответствии с требованиями, действующими до 31 декабря 2024 года, но не</w:t>
      </w:r>
      <w:r w:rsidR="007B6566" w:rsidRPr="007B6566">
        <w:t xml:space="preserve"> </w:t>
      </w:r>
      <w:r w:rsidR="0080488F" w:rsidRPr="00D43A88">
        <w:t xml:space="preserve">отвечающие, однако, требованиям подпункта 6.7.4.15.1 i) </w:t>
      </w:r>
      <w:proofErr w:type="spellStart"/>
      <w:r w:rsidR="0080488F" w:rsidRPr="00D43A88">
        <w:t>iv</w:t>
      </w:r>
      <w:proofErr w:type="spellEnd"/>
      <w:r w:rsidR="0080488F" w:rsidRPr="00D43A88">
        <w:t>), применяемым с 1</w:t>
      </w:r>
      <w:r w:rsidR="00A20C64">
        <w:t xml:space="preserve"> </w:t>
      </w:r>
      <w:r w:rsidR="0080488F" w:rsidRPr="00D43A88">
        <w:t>января 2025 года, могут по-прежнему эксплуатироваться».</w:t>
      </w:r>
    </w:p>
    <w:p w14:paraId="0DCF7C99" w14:textId="7BEA985B" w:rsidR="0080488F" w:rsidRPr="00A8736D" w:rsidRDefault="0080488F" w:rsidP="00A8736D">
      <w:pPr>
        <w:pStyle w:val="H1G"/>
      </w:pPr>
      <w:r w:rsidRPr="00A8736D">
        <w:tab/>
      </w:r>
      <w:r w:rsidRPr="00A8736D">
        <w:tab/>
        <w:t>Пункт 6</w:t>
      </w:r>
      <w:r w:rsidR="005E1F7C">
        <w:rPr>
          <w:lang w:val="en-US"/>
        </w:rPr>
        <w:t>:</w:t>
      </w:r>
      <w:r w:rsidRPr="00A8736D">
        <w:t xml:space="preserve"> Изъятие в отношении расчета фактического времени удержания для контейнеров-цистерн и переносных цистерн только</w:t>
      </w:r>
      <w:r w:rsidR="00A8736D">
        <w:t> </w:t>
      </w:r>
      <w:r w:rsidRPr="00A8736D">
        <w:t>применительно к автомобильным перевозкам</w:t>
      </w:r>
    </w:p>
    <w:p w14:paraId="6BEBC389" w14:textId="18419019" w:rsidR="0080488F" w:rsidRPr="00D43A88" w:rsidRDefault="0080488F" w:rsidP="00A8736D">
      <w:pPr>
        <w:pStyle w:val="SingleTxtG"/>
        <w:keepNext/>
        <w:keepLines/>
        <w:tabs>
          <w:tab w:val="clear" w:pos="1701"/>
          <w:tab w:val="clear" w:pos="2268"/>
          <w:tab w:val="clear" w:pos="2835"/>
          <w:tab w:val="left" w:pos="3969"/>
          <w:tab w:val="left" w:pos="5812"/>
        </w:tabs>
        <w:ind w:left="3969" w:hanging="2835"/>
        <w:jc w:val="left"/>
      </w:pPr>
      <w:r w:rsidRPr="00D43A88">
        <w:rPr>
          <w:i/>
          <w:iCs/>
        </w:rPr>
        <w:t>Документ</w:t>
      </w:r>
      <w:r w:rsidRPr="00233692">
        <w:t>:</w:t>
      </w:r>
      <w:r w:rsidRPr="00D43A88">
        <w:tab/>
        <w:t>ECE/TRANS/WP.15/AC.1/2024/18 (Нидерланды)</w:t>
      </w:r>
    </w:p>
    <w:p w14:paraId="4EB94353" w14:textId="087CF36E" w:rsidR="0080488F" w:rsidRPr="00D43A88" w:rsidRDefault="0080488F" w:rsidP="0080488F">
      <w:pPr>
        <w:pStyle w:val="SingleTxtG"/>
      </w:pPr>
      <w:r w:rsidRPr="00D43A88">
        <w:t>15.</w:t>
      </w:r>
      <w:r w:rsidRPr="00D43A88">
        <w:tab/>
        <w:t>Когда переносные цистерны и контейнеры-цистерны используются только в автомобильных перевозках, продолжительность перевозки относительно невелика, а</w:t>
      </w:r>
      <w:r w:rsidR="0081192C">
        <w:rPr>
          <w:lang w:val="en-US"/>
        </w:rPr>
        <w:t> </w:t>
      </w:r>
      <w:r w:rsidRPr="00D43A88">
        <w:t>водитель имеет возможность контролировать давление в цистерне. В этих случаях предлагается отказаться от обязанности рассчитывать фактическое время удержания таким же образом, как это делается для автоцистерн. Это предложение касается только ДОПОГ.</w:t>
      </w:r>
    </w:p>
    <w:p w14:paraId="34589800" w14:textId="77777777" w:rsidR="0080488F" w:rsidRPr="00D43A88" w:rsidRDefault="0080488F" w:rsidP="0080488F">
      <w:pPr>
        <w:pStyle w:val="SingleTxtG"/>
      </w:pPr>
      <w:r w:rsidRPr="00D43A88">
        <w:t>16.</w:t>
      </w:r>
      <w:r w:rsidRPr="00D43A88">
        <w:tab/>
        <w:t>Предложение в целом получило поддержку, но было высказано мнение, что формулировку можно было бы упростить. Помимо упрощения, было сочтено, что потребуются сопутствующие поправки, что в итоге привело к добавлению в упрощенное предложение еще одного положения. Кроме того, предлагается сопутствующая поправка к транспортному документу.</w:t>
      </w:r>
    </w:p>
    <w:p w14:paraId="45CC1177" w14:textId="77777777" w:rsidR="0080488F" w:rsidRPr="00D43A88" w:rsidRDefault="0080488F" w:rsidP="0080488F">
      <w:pPr>
        <w:pStyle w:val="H23G"/>
      </w:pPr>
      <w:r w:rsidRPr="00D43A88">
        <w:tab/>
      </w:r>
      <w:r w:rsidRPr="00D43A88">
        <w:tab/>
      </w:r>
      <w:r w:rsidRPr="00D43A88">
        <w:rPr>
          <w:bCs/>
        </w:rPr>
        <w:t>Предложение 5 (для ДОПОГ 2025 года)</w:t>
      </w:r>
    </w:p>
    <w:p w14:paraId="40C6D76D" w14:textId="77777777" w:rsidR="0080488F" w:rsidRPr="00D43A88" w:rsidRDefault="0080488F" w:rsidP="0080488F">
      <w:pPr>
        <w:pStyle w:val="SingleTxtG"/>
      </w:pPr>
      <w:r w:rsidRPr="00D43A88">
        <w:t>Включить в конце пункта 4.2.3.7.1 новый абзац следующего содержания:</w:t>
      </w:r>
    </w:p>
    <w:p w14:paraId="2743383B" w14:textId="2F6E897E" w:rsidR="0080488F" w:rsidRPr="00D43A88" w:rsidRDefault="0080488F" w:rsidP="0080488F">
      <w:pPr>
        <w:pStyle w:val="SingleTxtG"/>
        <w:ind w:left="1701"/>
      </w:pPr>
      <w:r w:rsidRPr="00D43A88">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w:t>
      </w:r>
      <w:r w:rsidR="002A2A43">
        <w:rPr>
          <w:lang w:val="en-US"/>
        </w:rPr>
        <w:t> </w:t>
      </w:r>
      <w:r w:rsidRPr="00D43A88">
        <w:t>4.2.3.7.2, 4.2.3.7.3 и 4.2.3.8 e) и f) не применяются».</w:t>
      </w:r>
    </w:p>
    <w:p w14:paraId="58D0FBC9" w14:textId="77777777" w:rsidR="0080488F" w:rsidRPr="00D43A88" w:rsidRDefault="0080488F" w:rsidP="0080488F">
      <w:pPr>
        <w:pStyle w:val="SingleTxtG"/>
      </w:pPr>
      <w:r w:rsidRPr="00D43A88">
        <w:t>Добавить в конце пункта 4.3.3.5 в правой колонке новый абзац:</w:t>
      </w:r>
    </w:p>
    <w:p w14:paraId="64582B61" w14:textId="3D7521A1" w:rsidR="0080488F" w:rsidRPr="00D43A88" w:rsidRDefault="0080488F" w:rsidP="0080488F">
      <w:pPr>
        <w:pStyle w:val="SingleTxtG"/>
        <w:ind w:left="1701"/>
      </w:pPr>
      <w:r w:rsidRPr="00D43A88">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w:t>
      </w:r>
      <w:r w:rsidR="00A259FD">
        <w:t> </w:t>
      </w:r>
      <w:r w:rsidRPr="00D43A88">
        <w:t>4.3.3.6 e), f) и g) не применяются».</w:t>
      </w:r>
    </w:p>
    <w:p w14:paraId="25850E84" w14:textId="77777777" w:rsidR="0080488F" w:rsidRPr="00D43A88" w:rsidRDefault="0080488F" w:rsidP="0080488F">
      <w:pPr>
        <w:pStyle w:val="SingleTxtG"/>
        <w:keepNext/>
        <w:keepLines/>
      </w:pPr>
      <w:r w:rsidRPr="00D43A88">
        <w:lastRenderedPageBreak/>
        <w:t>Включить в конце подпункта 5.4.1.2.2 d) новый абзац следующего содержания:</w:t>
      </w:r>
    </w:p>
    <w:p w14:paraId="7C8AB577" w14:textId="44CD2DE5" w:rsidR="0080488F" w:rsidRPr="00D43A88" w:rsidRDefault="0080488F" w:rsidP="0080488F">
      <w:pPr>
        <w:pStyle w:val="SingleTxtG"/>
        <w:keepNext/>
        <w:keepLines/>
        <w:ind w:left="1701"/>
      </w:pPr>
      <w:r w:rsidRPr="00D43A88">
        <w:t>«В случае отказа от расчета фактического времени удержания в соответствии с</w:t>
      </w:r>
      <w:r w:rsidR="00E91303">
        <w:rPr>
          <w:lang w:val="en-US"/>
        </w:rPr>
        <w:t> </w:t>
      </w:r>
      <w:r w:rsidRPr="00D43A88">
        <w:t>пунктами 4.2.3.7.1 или 4.3.3.5 настоящее положение не применяется».</w:t>
      </w:r>
    </w:p>
    <w:p w14:paraId="70609C6D" w14:textId="77777777" w:rsidR="0080488F" w:rsidRPr="00D43A88" w:rsidRDefault="0080488F" w:rsidP="0080488F">
      <w:pPr>
        <w:pStyle w:val="H1G"/>
      </w:pPr>
      <w:r w:rsidRPr="00D43A88">
        <w:tab/>
      </w:r>
      <w:r w:rsidRPr="00D43A88">
        <w:tab/>
      </w:r>
      <w:r w:rsidRPr="00D43A88">
        <w:rPr>
          <w:bCs/>
        </w:rPr>
        <w:t>Пункт 7: Разъяснение роли отправителя вагонов-цистерн, контейнеров-цистерн и переносных цистерн в случае перевозки цистерн с охлажденными сжиженными газами</w:t>
      </w:r>
    </w:p>
    <w:p w14:paraId="455DE7BA" w14:textId="216E0FA5" w:rsidR="0080488F" w:rsidRPr="008E086E" w:rsidRDefault="0080488F" w:rsidP="00931BE5">
      <w:pPr>
        <w:pStyle w:val="SingleTxtG"/>
        <w:tabs>
          <w:tab w:val="clear" w:pos="1701"/>
          <w:tab w:val="clear" w:pos="2268"/>
          <w:tab w:val="clear" w:pos="2835"/>
          <w:tab w:val="left" w:pos="3969"/>
          <w:tab w:val="left" w:pos="5812"/>
        </w:tabs>
        <w:ind w:left="4253" w:hanging="3119"/>
        <w:jc w:val="left"/>
        <w:rPr>
          <w:lang w:val="en-US"/>
        </w:rPr>
      </w:pPr>
      <w:r w:rsidRPr="00D43A88">
        <w:rPr>
          <w:i/>
          <w:iCs/>
        </w:rPr>
        <w:t>Документ</w:t>
      </w:r>
      <w:r w:rsidRPr="008406A4">
        <w:rPr>
          <w:lang w:val="en-US"/>
        </w:rPr>
        <w:t>:</w:t>
      </w:r>
      <w:r w:rsidRPr="008E086E">
        <w:rPr>
          <w:lang w:val="en-US"/>
        </w:rPr>
        <w:tab/>
        <w:t>ECE/TRANS/WP.15/AC.1/2024/26 (</w:t>
      </w:r>
      <w:r w:rsidRPr="00D43A88">
        <w:t>МСЖД</w:t>
      </w:r>
      <w:r w:rsidRPr="008E086E">
        <w:rPr>
          <w:lang w:val="en-US"/>
        </w:rPr>
        <w:t>)</w:t>
      </w:r>
    </w:p>
    <w:p w14:paraId="3E8F943A" w14:textId="165AECEF" w:rsidR="0080488F" w:rsidRPr="00D43A88" w:rsidRDefault="0080488F" w:rsidP="0080488F">
      <w:pPr>
        <w:pStyle w:val="SingleTxtG"/>
      </w:pPr>
      <w:r w:rsidRPr="00D43A88">
        <w:t>17.</w:t>
      </w:r>
      <w:r w:rsidRPr="00D43A88">
        <w:tab/>
        <w:t>На осенней сессии Совместного совещания 2023 года в пункт 4.3.3.6 был добавлен новый подпункт h), касающийся порожних неочищенных цистерн для охлажденных сжиженных газов. Его цель состояла в том, чтобы предотвратить преждевременное срабатывание устройств сброса давления. Кроме того, на той сессии обсуждался вопрос о включении нового подпункта f) в пункт 1.4.2.1.1 для уточнения ответственности отправителя за определение фактического времени удержания и обработку порожних неочищенных цистерн, однако на тот момент решение по этому вопросу принято не было.</w:t>
      </w:r>
    </w:p>
    <w:p w14:paraId="25363DC1" w14:textId="53354D4F" w:rsidR="0080488F" w:rsidRPr="00D43A88" w:rsidRDefault="0080488F" w:rsidP="0080488F">
      <w:pPr>
        <w:pStyle w:val="SingleTxtG"/>
      </w:pPr>
      <w:r w:rsidRPr="00D43A88">
        <w:t>18.</w:t>
      </w:r>
      <w:r w:rsidRPr="00D43A88">
        <w:tab/>
        <w:t>Возник вопрос, будет ли отправитель заполненной цистерны также являться отправителем порожней неочищенной цистерны на обратном рейсе. Было подтверждено, что на практике в качестве отправителя могут выступать различные стороны, например само газодобывающее предприятие или поставщик цистерны. Было сочтено необходимым уточнить ответственность отправителя за расчет фактического времени удержания или, в случае порожних неочищенных цистерн, обеспечить достаточное снижение давления.</w:t>
      </w:r>
    </w:p>
    <w:p w14:paraId="2CEBCFEF" w14:textId="77777777" w:rsidR="0080488F" w:rsidRPr="005A31AE" w:rsidRDefault="0080488F" w:rsidP="005A31AE">
      <w:pPr>
        <w:pStyle w:val="H23G"/>
      </w:pPr>
      <w:r w:rsidRPr="005A31AE">
        <w:tab/>
      </w:r>
      <w:r w:rsidRPr="005A31AE">
        <w:tab/>
        <w:t>Предложение 6 (для МПОГ/ДОПОГ 2025 года)</w:t>
      </w:r>
    </w:p>
    <w:p w14:paraId="6D94CDDA" w14:textId="77777777" w:rsidR="0080488F" w:rsidRPr="00D43A88" w:rsidRDefault="0080488F" w:rsidP="0080488F">
      <w:pPr>
        <w:pStyle w:val="SingleTxtG"/>
      </w:pPr>
      <w:r w:rsidRPr="00D43A88">
        <w:t>Добавить в пункт 1.4.2.1.1 новый подпункт f) в следующей редакции:</w:t>
      </w:r>
    </w:p>
    <w:p w14:paraId="00AA0FB9" w14:textId="77777777" w:rsidR="0080488F" w:rsidRPr="00D43A88" w:rsidRDefault="0080488F" w:rsidP="0080488F">
      <w:pPr>
        <w:pStyle w:val="SingleTxtG"/>
        <w:keepNext/>
        <w:ind w:left="1559" w:hanging="425"/>
        <w:rPr>
          <w:sz w:val="22"/>
          <w:szCs w:val="22"/>
        </w:rPr>
      </w:pPr>
      <w:r w:rsidRPr="00D43A88">
        <w:t>МПОГ</w:t>
      </w:r>
    </w:p>
    <w:p w14:paraId="1729D280" w14:textId="51DD9C49" w:rsidR="0080488F" w:rsidRPr="00D43A88" w:rsidRDefault="00F923C5" w:rsidP="0080488F">
      <w:pPr>
        <w:pStyle w:val="SingleTxtG"/>
        <w:ind w:left="2268" w:hanging="567"/>
      </w:pPr>
      <w:r>
        <w:t>«</w:t>
      </w:r>
      <w:r w:rsidR="0080488F" w:rsidRPr="00D43A88">
        <w:t>f)</w:t>
      </w:r>
      <w:r w:rsidR="0080488F" w:rsidRPr="00D43A88">
        <w:tab/>
        <w:t>в случае цистерн, перевозящих охлажденные сжиженные газы, обеспечить определение фактического времени удержания или, в случае порожних неочищенных цистерн, обеспечить достаточное снижение давления».</w:t>
      </w:r>
    </w:p>
    <w:p w14:paraId="3A7D2502" w14:textId="77777777" w:rsidR="0080488F" w:rsidRPr="00D43A88" w:rsidRDefault="0080488F" w:rsidP="0080488F">
      <w:pPr>
        <w:pStyle w:val="SingleTxtG"/>
        <w:ind w:left="1559" w:hanging="425"/>
        <w:rPr>
          <w:sz w:val="22"/>
          <w:szCs w:val="22"/>
        </w:rPr>
      </w:pPr>
      <w:r w:rsidRPr="00D43A88">
        <w:t>ДОПОГ</w:t>
      </w:r>
    </w:p>
    <w:p w14:paraId="6E019F05" w14:textId="402BCD03" w:rsidR="0080488F" w:rsidRPr="00D43A88" w:rsidRDefault="00F923C5" w:rsidP="0080488F">
      <w:pPr>
        <w:pStyle w:val="SingleTxtG"/>
        <w:ind w:left="2268" w:hanging="567"/>
      </w:pPr>
      <w:r>
        <w:t>«</w:t>
      </w:r>
      <w:r w:rsidR="0080488F" w:rsidRPr="00D43A88">
        <w:t>f)</w:t>
      </w:r>
      <w:r w:rsidR="0080488F" w:rsidRPr="00D43A88">
        <w:tab/>
        <w:t>в случае контейнеров-цистерн и переносных цистерн, перевозящих охлажденные сжиженные газы, обеспечить определение фактического времени удержания, если применимо, или, в случае порожних неочищенных контейнеров-цистерн и переносных цистерн, обеспечить достаточное снижение давления».</w:t>
      </w:r>
    </w:p>
    <w:p w14:paraId="4F3E6A84" w14:textId="1515E1A9" w:rsidR="0080488F" w:rsidRPr="00D43A88" w:rsidRDefault="0080488F" w:rsidP="0080488F">
      <w:pPr>
        <w:pStyle w:val="H1G"/>
      </w:pPr>
      <w:r w:rsidRPr="00D43A88">
        <w:tab/>
      </w:r>
      <w:r w:rsidRPr="00D43A88">
        <w:tab/>
      </w:r>
      <w:r w:rsidRPr="00D43A88">
        <w:rPr>
          <w:bCs/>
        </w:rPr>
        <w:t>Пункт 8: Полоса оранжевого цвета на вагонах-цистернах</w:t>
      </w:r>
    </w:p>
    <w:p w14:paraId="288932C8" w14:textId="4A40A89C" w:rsidR="0080488F" w:rsidRPr="00D43A88" w:rsidRDefault="0080488F" w:rsidP="00C42D8F">
      <w:pPr>
        <w:pStyle w:val="SingleTxtG"/>
        <w:keepNext/>
        <w:keepLines/>
        <w:tabs>
          <w:tab w:val="clear" w:pos="1701"/>
          <w:tab w:val="clear" w:pos="2268"/>
          <w:tab w:val="clear" w:pos="2835"/>
          <w:tab w:val="left" w:pos="3969"/>
          <w:tab w:val="left" w:pos="5812"/>
        </w:tabs>
        <w:ind w:left="3969" w:hanging="2835"/>
        <w:jc w:val="left"/>
      </w:pPr>
      <w:bookmarkStart w:id="1" w:name="_Hlk130337848"/>
      <w:r w:rsidRPr="00D43A88">
        <w:rPr>
          <w:i/>
          <w:iCs/>
        </w:rPr>
        <w:t>Неофициальные документы</w:t>
      </w:r>
      <w:r w:rsidRPr="002D7714">
        <w:t>:</w:t>
      </w:r>
      <w:r w:rsidRPr="00D43A88">
        <w:tab/>
        <w:t>INF.5 (МСАГВ), INF.17 (Бельгия)</w:t>
      </w:r>
    </w:p>
    <w:bookmarkEnd w:id="1"/>
    <w:p w14:paraId="326DDA8E" w14:textId="77777777" w:rsidR="0080488F" w:rsidRPr="00D43A88" w:rsidRDefault="0080488F" w:rsidP="0080488F">
      <w:pPr>
        <w:pStyle w:val="SingleTxtG"/>
      </w:pPr>
      <w:r w:rsidRPr="00D43A88">
        <w:t>19.</w:t>
      </w:r>
      <w:r w:rsidRPr="00D43A88">
        <w:tab/>
        <w:t>Был поднят вопрос о том, является ли маркировка с полосой оранжевого цвета</w:t>
      </w:r>
      <w:r w:rsidRPr="00501981">
        <w:t xml:space="preserve"> </w:t>
      </w:r>
      <w:r w:rsidRPr="00D43A88">
        <w:t>на вагонах-цистернах для газов, предусмотренная в разделе 5.3.5 и специальном положении TM6 раздела 6.8.4 МПОГ, по-прежнему полезной или же положение об этой полосе можно исключить. Вопрос, касающийся TM6, поступил от группы нотифицированных органов в соответствии с Директивой, касающейся переносного оборудования, работающего под давлением (TPED). Эта группа заключила, что контроль за соответствием полосы и ее цветовых характеристик применимым требованиям не входит в ее обязанности.</w:t>
      </w:r>
    </w:p>
    <w:p w14:paraId="3B664065" w14:textId="77777777" w:rsidR="0080488F" w:rsidRPr="00D43A88" w:rsidRDefault="0080488F" w:rsidP="0080488F">
      <w:pPr>
        <w:pStyle w:val="SingleTxtG"/>
      </w:pPr>
      <w:r w:rsidRPr="00D43A88">
        <w:t>20.</w:t>
      </w:r>
      <w:r w:rsidRPr="00D43A88">
        <w:tab/>
        <w:t xml:space="preserve">Полоса оранжевого цвета не используется на автоцистернах и контейнерах-цистернах, и ее введение для них поддержки не получило. Несколько экспертов не согласились с исключением этих положений, и в неофициальном документе INF.17 </w:t>
      </w:r>
      <w:r w:rsidRPr="00D43A88">
        <w:lastRenderedPageBreak/>
        <w:t>приводятся аргументы против исключения положений, касающихся полосы оранжевого цвета.</w:t>
      </w:r>
    </w:p>
    <w:p w14:paraId="5CC12F1E" w14:textId="77777777" w:rsidR="0080488F" w:rsidRPr="00D43A88" w:rsidRDefault="0080488F" w:rsidP="0080488F">
      <w:pPr>
        <w:pStyle w:val="SingleTxtG"/>
      </w:pPr>
      <w:r w:rsidRPr="00D43A88">
        <w:t>21.</w:t>
      </w:r>
      <w:r w:rsidRPr="00D43A88">
        <w:tab/>
        <w:t xml:space="preserve">Группа нотифицированных органов отметила, что </w:t>
      </w:r>
      <w:r>
        <w:t>параметры для</w:t>
      </w:r>
      <w:r w:rsidRPr="00D43A88">
        <w:t xml:space="preserve"> оранжевого цвета, определенные в примечании к пункту 5.3.2.2.1 МПОГ, трудно измер</w:t>
      </w:r>
      <w:r>
        <w:t>ить</w:t>
      </w:r>
      <w:r w:rsidRPr="00D43A88">
        <w:t xml:space="preserve"> в случае красок. В качестве альтернативного решения следует расширить узко определенную спецификацию для оранжевого цвета с учетом некоторого выцветания и </w:t>
      </w:r>
      <w:proofErr w:type="spellStart"/>
      <w:r w:rsidRPr="00D43A88">
        <w:t>меления</w:t>
      </w:r>
      <w:proofErr w:type="spellEnd"/>
      <w:r w:rsidRPr="00D43A88">
        <w:t xml:space="preserve"> краски со временем под воздействием погодных условий.</w:t>
      </w:r>
    </w:p>
    <w:p w14:paraId="7A397639" w14:textId="61F648A0" w:rsidR="0080488F" w:rsidRPr="00D43A88" w:rsidRDefault="0080488F" w:rsidP="0080488F">
      <w:pPr>
        <w:pStyle w:val="H1G"/>
        <w:rPr>
          <w:bCs/>
        </w:rPr>
      </w:pPr>
      <w:r w:rsidRPr="00D43A88">
        <w:tab/>
      </w:r>
      <w:r w:rsidRPr="00D43A88">
        <w:tab/>
      </w:r>
      <w:r w:rsidRPr="00D43A88">
        <w:rPr>
          <w:bCs/>
        </w:rPr>
        <w:t xml:space="preserve">Пункт 9: Расположение устройств для сброса давления и входных отверстий предохранительных клапанов </w:t>
      </w:r>
      <w:r w:rsidR="000A6FF4">
        <w:rPr>
          <w:bCs/>
        </w:rPr>
        <w:t>—</w:t>
      </w:r>
      <w:r w:rsidRPr="00D43A88">
        <w:rPr>
          <w:bCs/>
        </w:rPr>
        <w:t xml:space="preserve"> требования в</w:t>
      </w:r>
      <w:r w:rsidR="000A6FF4">
        <w:rPr>
          <w:bCs/>
        </w:rPr>
        <w:t> </w:t>
      </w:r>
      <w:r w:rsidRPr="00D43A88">
        <w:rPr>
          <w:bCs/>
        </w:rPr>
        <w:t>соответствии с пунктами 6.7.3.11.1 и 6.8.3.2.9.4 МПОГ/ДОПОГ</w:t>
      </w:r>
    </w:p>
    <w:p w14:paraId="0979713B" w14:textId="77777777" w:rsidR="0080488F" w:rsidRPr="00D43A88" w:rsidRDefault="0080488F" w:rsidP="002D5325">
      <w:pPr>
        <w:pStyle w:val="SingleTxtG"/>
        <w:keepNext/>
        <w:keepLines/>
        <w:tabs>
          <w:tab w:val="clear" w:pos="1701"/>
          <w:tab w:val="clear" w:pos="2268"/>
          <w:tab w:val="clear" w:pos="2835"/>
          <w:tab w:val="left" w:pos="3969"/>
          <w:tab w:val="left" w:pos="5812"/>
        </w:tabs>
        <w:ind w:left="3969" w:hanging="2835"/>
        <w:jc w:val="left"/>
      </w:pPr>
      <w:r w:rsidRPr="00D43A88">
        <w:rPr>
          <w:i/>
          <w:iCs/>
        </w:rPr>
        <w:t>Неофициальный документ</w:t>
      </w:r>
      <w:r w:rsidRPr="002D5325">
        <w:t>:</w:t>
      </w:r>
      <w:r w:rsidRPr="00D43A88">
        <w:tab/>
        <w:t>INF.10 (Германия)</w:t>
      </w:r>
    </w:p>
    <w:p w14:paraId="12F9961D" w14:textId="0381014B" w:rsidR="0080488F" w:rsidRPr="00D43A88" w:rsidRDefault="0080488F" w:rsidP="0080488F">
      <w:pPr>
        <w:pStyle w:val="SingleTxtG"/>
      </w:pPr>
      <w:r w:rsidRPr="00D43A88">
        <w:t>22.</w:t>
      </w:r>
      <w:r w:rsidRPr="00D43A88">
        <w:tab/>
        <w:t>Разница в описании расположения устройств для сброса давления в пункте</w:t>
      </w:r>
      <w:r w:rsidR="002D5325">
        <w:t> </w:t>
      </w:r>
      <w:r w:rsidRPr="00D43A88">
        <w:t>6.7.3.11.1 и предохранительных клапанов в пункте 6.8.3.2.9.4 относительно корпуса объясняется тем, что переносные цистерны не имеют определенного направления движения и устройства для сброса давления должны быть расположены в продольном центре корпуса, тогда как на автоцистернах они могут находиться несколько ближе к задней части корпуса для облегчения опорожнения.</w:t>
      </w:r>
    </w:p>
    <w:p w14:paraId="0C009A6C" w14:textId="0FFBE49B" w:rsidR="0080488F" w:rsidRPr="00D43A88" w:rsidRDefault="0080488F" w:rsidP="0080488F">
      <w:pPr>
        <w:pStyle w:val="SingleTxtG"/>
      </w:pPr>
      <w:r w:rsidRPr="00D43A88">
        <w:t>23.</w:t>
      </w:r>
      <w:r w:rsidRPr="00D43A88">
        <w:tab/>
        <w:t xml:space="preserve">Это означает, что предохранительные клапаны цистерн, предусмотренных в главе 6.8, должны располагаться вдоль верхней продольной линии, но не обязательно в поперечном центре корпуса. Использование термина </w:t>
      </w:r>
      <w:r w:rsidR="00F923C5">
        <w:t>«</w:t>
      </w:r>
      <w:r w:rsidRPr="00D43A88">
        <w:t>верхняя образующая</w:t>
      </w:r>
      <w:r w:rsidR="00F923C5">
        <w:t>»</w:t>
      </w:r>
      <w:r w:rsidRPr="00D43A88">
        <w:t xml:space="preserve">, который употребляется в пункте 6.10.1.1.1, вместо </w:t>
      </w:r>
      <w:r w:rsidR="00F923C5">
        <w:t>«</w:t>
      </w:r>
      <w:r w:rsidRPr="00D43A88">
        <w:t>продольного центра</w:t>
      </w:r>
      <w:r w:rsidR="00F923C5">
        <w:t>»</w:t>
      </w:r>
      <w:r w:rsidRPr="00D43A88">
        <w:t xml:space="preserve"> позволило бы избежать двусмысленности и улучшить согласованность при переводе на французский язык. Было сочтено, что размещение клапанов немного в стороне от верхней образующей позволит повысить безопасность на случай удара о нависающее препятствие. Однако размещение в секторе угла 30° по обе стороны от верхней образующей, которое допускается в пункте 6.10.1.1.1, поскольку данная зона считается защищенной, поддержки не получило. Это может привести к уменьшению объема продукта, который может быть загружен в цистерну, поскольку входное отверстие должно находиться в паровом пространстве с учетом теплового расширения жидкой фазы, которое будет происходить при нагревании содержимого во время пожара.</w:t>
      </w:r>
    </w:p>
    <w:p w14:paraId="0E30EA71" w14:textId="77777777" w:rsidR="0080488F" w:rsidRPr="00D43A88" w:rsidRDefault="0080488F" w:rsidP="0080488F">
      <w:pPr>
        <w:pStyle w:val="SingleTxtG"/>
      </w:pPr>
      <w:r w:rsidRPr="00D43A88">
        <w:t>24.</w:t>
      </w:r>
      <w:r w:rsidRPr="00D43A88">
        <w:tab/>
        <w:t>Так как пункт 6.8.3.2.9.4 может быть истолкован неверно, для уточнения существующего текста предлагаются следующие поправки:</w:t>
      </w:r>
    </w:p>
    <w:p w14:paraId="059EB64A" w14:textId="77777777" w:rsidR="0080488F" w:rsidRPr="00EE4031" w:rsidRDefault="0080488F" w:rsidP="00EE4031">
      <w:pPr>
        <w:pStyle w:val="H23G"/>
      </w:pPr>
      <w:r w:rsidRPr="00EE4031">
        <w:tab/>
      </w:r>
      <w:r w:rsidRPr="00EE4031">
        <w:tab/>
        <w:t>Предложение 7 (для МПОГ/ДОПОГ 2025 года)</w:t>
      </w:r>
    </w:p>
    <w:p w14:paraId="34C3E211" w14:textId="77777777" w:rsidR="0080488F" w:rsidRPr="00D43A88" w:rsidRDefault="0080488F" w:rsidP="0080488F">
      <w:pPr>
        <w:pStyle w:val="SingleTxtG"/>
      </w:pPr>
      <w:bookmarkStart w:id="2" w:name="_Hlk159919567"/>
      <w:r w:rsidRPr="00D43A88">
        <w:t>Изменить первое предложение пункта 6.8.3.2.9.4 МПОГ/ДОПОГ</w:t>
      </w:r>
      <w:r w:rsidRPr="00D43A88">
        <w:rPr>
          <w:b/>
          <w:bCs/>
        </w:rPr>
        <w:t xml:space="preserve"> </w:t>
      </w:r>
      <w:r w:rsidRPr="00D43A88">
        <w:t xml:space="preserve">следующим образом (новый текст </w:t>
      </w:r>
      <w:r w:rsidRPr="00D43A88">
        <w:rPr>
          <w:u w:val="single"/>
        </w:rPr>
        <w:t>подчеркнут</w:t>
      </w:r>
      <w:r w:rsidRPr="00D43A88">
        <w:t>, исключенный текст зачеркнут):</w:t>
      </w:r>
    </w:p>
    <w:p w14:paraId="59C46DF5" w14:textId="74F7EF79" w:rsidR="0080488F" w:rsidRPr="00D43A88" w:rsidRDefault="00F923C5" w:rsidP="0080488F">
      <w:pPr>
        <w:pStyle w:val="SingleTxtG"/>
        <w:ind w:left="1701"/>
      </w:pPr>
      <w:r>
        <w:t>«</w:t>
      </w:r>
      <w:r w:rsidR="0080488F" w:rsidRPr="00D43A88">
        <w:t xml:space="preserve">Каждое входное отверстие предохранительных клапанов должно располагаться в верхней части корпуса, как можно ближе к </w:t>
      </w:r>
      <w:r w:rsidR="0080488F" w:rsidRPr="00D43A88">
        <w:rPr>
          <w:strike/>
        </w:rPr>
        <w:t>его поперечному центру</w:t>
      </w:r>
      <w:r w:rsidR="0080488F" w:rsidRPr="00D43A88">
        <w:t xml:space="preserve"> </w:t>
      </w:r>
      <w:r w:rsidR="0080488F" w:rsidRPr="00D43A88">
        <w:rPr>
          <w:u w:val="single"/>
        </w:rPr>
        <w:t>верхней образующей</w:t>
      </w:r>
      <w:r>
        <w:rPr>
          <w:u w:val="single"/>
        </w:rPr>
        <w:t>»</w:t>
      </w:r>
      <w:r w:rsidR="0080488F" w:rsidRPr="00D43A88">
        <w:t>.</w:t>
      </w:r>
    </w:p>
    <w:bookmarkEnd w:id="2"/>
    <w:p w14:paraId="5FBB2A4A" w14:textId="77777777" w:rsidR="0080488F" w:rsidRPr="00EE4031" w:rsidRDefault="0080488F" w:rsidP="00EE4031">
      <w:pPr>
        <w:pStyle w:val="H1G"/>
      </w:pPr>
      <w:r w:rsidRPr="00EE4031">
        <w:tab/>
      </w:r>
      <w:r w:rsidRPr="00EE4031">
        <w:tab/>
        <w:t>Пункт 10: Доклад Рабочей группы по стандартам</w:t>
      </w:r>
    </w:p>
    <w:p w14:paraId="2A52545E" w14:textId="77777777" w:rsidR="0080488F" w:rsidRPr="00D43A88" w:rsidRDefault="0080488F" w:rsidP="0036454A">
      <w:pPr>
        <w:pStyle w:val="SingleTxtG"/>
        <w:tabs>
          <w:tab w:val="clear" w:pos="1701"/>
          <w:tab w:val="clear" w:pos="2268"/>
          <w:tab w:val="clear" w:pos="2835"/>
          <w:tab w:val="left" w:pos="3969"/>
          <w:tab w:val="left" w:pos="5812"/>
        </w:tabs>
        <w:ind w:left="3969" w:hanging="2835"/>
        <w:jc w:val="left"/>
      </w:pPr>
      <w:r w:rsidRPr="00D43A88">
        <w:rPr>
          <w:i/>
          <w:iCs/>
        </w:rPr>
        <w:t>Неофициальный документ</w:t>
      </w:r>
      <w:r w:rsidRPr="00EF0852">
        <w:t>:</w:t>
      </w:r>
      <w:r w:rsidRPr="00D43A88">
        <w:tab/>
        <w:t>INF.14 (ЕКС)</w:t>
      </w:r>
    </w:p>
    <w:p w14:paraId="337B5AD0" w14:textId="3C44F218" w:rsidR="0080488F" w:rsidRPr="00D43A88" w:rsidRDefault="0080488F" w:rsidP="0080488F">
      <w:pPr>
        <w:pStyle w:val="SingleTxtG"/>
      </w:pPr>
      <w:r w:rsidRPr="00D43A88">
        <w:t>25.</w:t>
      </w:r>
      <w:r w:rsidRPr="00D43A88">
        <w:tab/>
        <w:t>Ссылка на стандарт EN</w:t>
      </w:r>
      <w:r w:rsidR="00CE661A">
        <w:rPr>
          <w:lang w:val="en-US"/>
        </w:rPr>
        <w:t> </w:t>
      </w:r>
      <w:r w:rsidRPr="00D43A88">
        <w:t>ISO</w:t>
      </w:r>
      <w:r w:rsidR="00CE661A">
        <w:rPr>
          <w:lang w:val="en-US"/>
        </w:rPr>
        <w:t> </w:t>
      </w:r>
      <w:r w:rsidRPr="00D43A88">
        <w:t>9712:2012 (Неразрушающий контроль — Квалификация и сертификация персонала по неразрушающему контролю — Общие принципы) включена в специальные положения TT8 и TT11 раздела 6.8.4. Этот стандарт был пересмотрен в 2022 году.</w:t>
      </w:r>
    </w:p>
    <w:p w14:paraId="1E57AE0A" w14:textId="3580A56B" w:rsidR="0080488F" w:rsidRPr="00D43A88" w:rsidRDefault="0080488F" w:rsidP="0080488F">
      <w:pPr>
        <w:pStyle w:val="SingleTxtG"/>
      </w:pPr>
      <w:r w:rsidRPr="00D43A88">
        <w:t>26.</w:t>
      </w:r>
      <w:r w:rsidRPr="00D43A88">
        <w:tab/>
        <w:t>Было высказано мнение, что простая замена ссылки на стандарт EN ISO 9712 2012 года на версию 2022 года может создать трудности для проверяющих органов. Не</w:t>
      </w:r>
      <w:r w:rsidR="00B56ABF">
        <w:t> </w:t>
      </w:r>
      <w:r w:rsidRPr="00D43A88">
        <w:t>все органы, выдающие свидетельства о соответствии стандартам, уже перешли на новую версию, тогда как эти свидетельства действительны в течение пяти лет.</w:t>
      </w:r>
    </w:p>
    <w:p w14:paraId="24BC6C42" w14:textId="77777777" w:rsidR="0080488F" w:rsidRPr="00D43A88" w:rsidRDefault="0080488F" w:rsidP="0080488F">
      <w:pPr>
        <w:pStyle w:val="SingleTxtG"/>
      </w:pPr>
      <w:r w:rsidRPr="00D43A88">
        <w:t>27.</w:t>
      </w:r>
      <w:r w:rsidRPr="00D43A88">
        <w:tab/>
        <w:t>Для решения проблемы был использован альтернативный подход. Поскольку суть и применение положений TT8 и TT11 неодинаковы, для каждого специального положения было выработано свое решение.</w:t>
      </w:r>
    </w:p>
    <w:p w14:paraId="6B91E369" w14:textId="77777777" w:rsidR="0080488F" w:rsidRPr="00885F8E" w:rsidRDefault="0080488F" w:rsidP="00885F8E">
      <w:pPr>
        <w:pStyle w:val="H23G"/>
      </w:pPr>
      <w:r w:rsidRPr="00885F8E">
        <w:tab/>
      </w:r>
      <w:r w:rsidRPr="00885F8E">
        <w:tab/>
        <w:t>Предложение 8 (для МПОГ/ДОПОГ 2025 года)</w:t>
      </w:r>
    </w:p>
    <w:p w14:paraId="56CE1F44" w14:textId="77777777" w:rsidR="0080488F" w:rsidRPr="00D43A88" w:rsidRDefault="0080488F" w:rsidP="0080488F">
      <w:pPr>
        <w:pStyle w:val="SingleTxtG"/>
        <w:rPr>
          <w:rFonts w:eastAsia="Noto Serif CJK SC"/>
        </w:rPr>
      </w:pPr>
      <w:r w:rsidRPr="00D43A88">
        <w:t>Изменить последний абзац положения TT8 в раздел 6.8.4 следующим образом (новый текст подчеркнут, исключенный текст зачеркнут):</w:t>
      </w:r>
    </w:p>
    <w:p w14:paraId="3C9251BD" w14:textId="470F0D59" w:rsidR="0080488F" w:rsidRPr="00D43A88" w:rsidRDefault="00F923C5" w:rsidP="0080488F">
      <w:pPr>
        <w:pStyle w:val="SingleTxtG"/>
        <w:ind w:left="1701"/>
        <w:rPr>
          <w:rFonts w:eastAsia="Noto Serif CJK SC"/>
          <w:color w:val="000000"/>
        </w:rPr>
      </w:pPr>
      <w:r>
        <w:t>«</w:t>
      </w:r>
      <w:r w:rsidR="0080488F" w:rsidRPr="00D43A88">
        <w:t xml:space="preserve">Такие проверки методом </w:t>
      </w:r>
      <w:proofErr w:type="spellStart"/>
      <w:r w:rsidR="0080488F" w:rsidRPr="00D43A88">
        <w:t>магнитоскопии</w:t>
      </w:r>
      <w:proofErr w:type="spellEnd"/>
      <w:r w:rsidR="0080488F" w:rsidRPr="00D43A88">
        <w:t xml:space="preserve"> должны проводиться </w:t>
      </w:r>
      <w:r w:rsidR="0080488F" w:rsidRPr="00D43A88">
        <w:rPr>
          <w:strike/>
        </w:rPr>
        <w:t xml:space="preserve">компетентным лицом, имеющим квалификацию по этому методу в соответствии </w:t>
      </w:r>
      <w:r w:rsidR="003B1DAA">
        <w:rPr>
          <w:strike/>
        </w:rPr>
        <w:br/>
      </w:r>
      <w:r w:rsidR="0080488F" w:rsidRPr="00D43A88">
        <w:rPr>
          <w:strike/>
        </w:rPr>
        <w:t>со стандартом EN ISO 9712:2012 (Неразрушающий контроль</w:t>
      </w:r>
      <w:r w:rsidR="003B1DAA" w:rsidRPr="003B1DAA">
        <w:rPr>
          <w:strike/>
        </w:rPr>
        <w:t xml:space="preserve"> — </w:t>
      </w:r>
      <w:r w:rsidR="0080488F" w:rsidRPr="00D43A88">
        <w:rPr>
          <w:strike/>
        </w:rPr>
        <w:t xml:space="preserve">Квалификация и сертификация персонала по неразрушающему контролю </w:t>
      </w:r>
      <w:r w:rsidR="003B1DAA" w:rsidRPr="003B1DAA">
        <w:rPr>
          <w:strike/>
        </w:rPr>
        <w:t>—</w:t>
      </w:r>
      <w:r w:rsidR="0080488F" w:rsidRPr="00D43A88">
        <w:rPr>
          <w:strike/>
        </w:rPr>
        <w:t xml:space="preserve"> Общие принципы) </w:t>
      </w:r>
      <w:r w:rsidR="0080488F" w:rsidRPr="00D43A88">
        <w:rPr>
          <w:u w:val="single"/>
        </w:rPr>
        <w:t>в соответствии со стандартом EN 12972:2018</w:t>
      </w:r>
      <w:r>
        <w:t>»</w:t>
      </w:r>
      <w:r w:rsidR="0080488F" w:rsidRPr="00D43A88">
        <w:t>.</w:t>
      </w:r>
    </w:p>
    <w:p w14:paraId="545697ED" w14:textId="77777777" w:rsidR="0080488F" w:rsidRPr="00D43A88" w:rsidRDefault="0080488F" w:rsidP="0080488F">
      <w:pPr>
        <w:pStyle w:val="SingleTxtG"/>
        <w:rPr>
          <w:rFonts w:eastAsia="Noto Serif CJK SC"/>
        </w:rPr>
      </w:pPr>
      <w:r w:rsidRPr="00D43A88">
        <w:t>(ДОПОГ)</w:t>
      </w:r>
    </w:p>
    <w:p w14:paraId="190F37E4" w14:textId="77777777" w:rsidR="0080488F" w:rsidRPr="00D43A88" w:rsidRDefault="0080488F" w:rsidP="0080488F">
      <w:pPr>
        <w:pStyle w:val="SingleTxtG"/>
        <w:rPr>
          <w:rFonts w:eastAsia="Noto Serif CJK SC"/>
        </w:rPr>
      </w:pPr>
      <w:r w:rsidRPr="00D43A88">
        <w:t>Изменить ссылку на стандарт EN ISO 17638 в TT11 следующим образом (новый текст подчеркнут):</w:t>
      </w:r>
    </w:p>
    <w:p w14:paraId="77DFE2AB" w14:textId="5752DF66" w:rsidR="0080488F" w:rsidRPr="00D43A88" w:rsidRDefault="003F11F8" w:rsidP="0080488F">
      <w:pPr>
        <w:pStyle w:val="SingleTxtG"/>
        <w:ind w:left="1701"/>
        <w:rPr>
          <w:i/>
          <w:iCs/>
        </w:rPr>
      </w:pPr>
      <w:r>
        <w:t>—</w:t>
      </w:r>
      <w:r w:rsidR="0080488F" w:rsidRPr="00D43A88">
        <w:t xml:space="preserve"> </w:t>
      </w:r>
      <w:r w:rsidR="00F923C5" w:rsidRPr="009400A8">
        <w:rPr>
          <w:i/>
          <w:iCs/>
        </w:rPr>
        <w:t>«</w:t>
      </w:r>
      <w:r w:rsidR="0080488F" w:rsidRPr="00D43A88">
        <w:rPr>
          <w:i/>
          <w:iCs/>
        </w:rPr>
        <w:t xml:space="preserve">EN ISO 17638:2016 </w:t>
      </w:r>
      <w:r w:rsidRPr="003F11F8">
        <w:rPr>
          <w:i/>
          <w:iCs/>
        </w:rPr>
        <w:t>“</w:t>
      </w:r>
      <w:r w:rsidR="0080488F" w:rsidRPr="00D43A88">
        <w:rPr>
          <w:i/>
          <w:iCs/>
        </w:rPr>
        <w:t xml:space="preserve">Неразрушающий контроль сварных соединений. </w:t>
      </w:r>
      <w:r w:rsidR="0080488F" w:rsidRPr="00D43A88">
        <w:rPr>
          <w:i/>
          <w:iCs/>
          <w:strike/>
        </w:rPr>
        <w:t>Магнитно-порошковая</w:t>
      </w:r>
      <w:r w:rsidR="00706F42">
        <w:rPr>
          <w:i/>
          <w:iCs/>
          <w:strike/>
          <w:lang w:val="en-US"/>
        </w:rPr>
        <w:t> </w:t>
      </w:r>
      <w:r w:rsidR="0080488F" w:rsidRPr="00D43A88">
        <w:rPr>
          <w:i/>
          <w:iCs/>
          <w:strike/>
        </w:rPr>
        <w:t>дефектоскопия</w:t>
      </w:r>
      <w:r w:rsidR="0080488F" w:rsidRPr="00D43A88">
        <w:rPr>
          <w:i/>
          <w:iCs/>
        </w:rPr>
        <w:t xml:space="preserve"> </w:t>
      </w:r>
      <w:r w:rsidR="0080488F" w:rsidRPr="00D43A88">
        <w:rPr>
          <w:i/>
          <w:iCs/>
          <w:u w:val="single"/>
        </w:rPr>
        <w:t>Магнитопорошковый</w:t>
      </w:r>
      <w:r w:rsidR="0080488F" w:rsidRPr="00B32376">
        <w:rPr>
          <w:i/>
          <w:iCs/>
          <w:u w:val="single"/>
        </w:rPr>
        <w:t xml:space="preserve"> </w:t>
      </w:r>
      <w:r w:rsidR="0080488F" w:rsidRPr="00D43A88">
        <w:rPr>
          <w:i/>
          <w:iCs/>
          <w:u w:val="single"/>
        </w:rPr>
        <w:t>контроль</w:t>
      </w:r>
      <w:r w:rsidRPr="003F11F8">
        <w:rPr>
          <w:i/>
          <w:iCs/>
        </w:rPr>
        <w:t>”</w:t>
      </w:r>
      <w:r w:rsidR="0080488F" w:rsidRPr="00D43A88">
        <w:rPr>
          <w:i/>
          <w:iCs/>
        </w:rPr>
        <w:t xml:space="preserve"> </w:t>
      </w:r>
      <w:r w:rsidR="0080488F" w:rsidRPr="00D43A88">
        <w:rPr>
          <w:i/>
          <w:iCs/>
          <w:strike/>
        </w:rPr>
        <w:t>с</w:t>
      </w:r>
      <w:r>
        <w:rPr>
          <w:i/>
          <w:iCs/>
          <w:strike/>
          <w:lang w:val="en-US"/>
        </w:rPr>
        <w:t> </w:t>
      </w:r>
      <w:r w:rsidR="0080488F" w:rsidRPr="00D43A88">
        <w:rPr>
          <w:i/>
          <w:iCs/>
          <w:strike/>
        </w:rPr>
        <w:t>уровнями допуска по дефектам в соответствии со стандартом</w:t>
      </w:r>
      <w:r w:rsidR="0080488F" w:rsidRPr="00D43A88">
        <w:rPr>
          <w:i/>
          <w:iCs/>
        </w:rPr>
        <w:t xml:space="preserve"> </w:t>
      </w:r>
      <w:r w:rsidR="0080488F" w:rsidRPr="00D43A88">
        <w:rPr>
          <w:i/>
          <w:iCs/>
          <w:u w:val="single"/>
        </w:rPr>
        <w:t>с приемкой индикаций в соответствии с уровнем 2Х согласно стандарту</w:t>
      </w:r>
      <w:r w:rsidR="0080488F" w:rsidRPr="00D43A88">
        <w:rPr>
          <w:i/>
          <w:iCs/>
        </w:rPr>
        <w:t xml:space="preserve"> EN ISO 23278:2015 </w:t>
      </w:r>
      <w:r w:rsidR="00B32376" w:rsidRPr="00B32376">
        <w:rPr>
          <w:i/>
          <w:iCs/>
        </w:rPr>
        <w:t>“</w:t>
      </w:r>
      <w:r w:rsidR="0080488F" w:rsidRPr="00D43A88">
        <w:rPr>
          <w:i/>
          <w:iCs/>
        </w:rPr>
        <w:t xml:space="preserve">Неразрушающий контроль сварных соединений. </w:t>
      </w:r>
      <w:r w:rsidR="0080488F" w:rsidRPr="00D43A88">
        <w:rPr>
          <w:i/>
          <w:iCs/>
          <w:strike/>
        </w:rPr>
        <w:t>Магнитно-порошковая</w:t>
      </w:r>
      <w:r w:rsidR="00D14354">
        <w:rPr>
          <w:i/>
          <w:iCs/>
          <w:strike/>
          <w:lang w:val="en-US"/>
        </w:rPr>
        <w:t> </w:t>
      </w:r>
      <w:r w:rsidR="0080488F" w:rsidRPr="00D43A88">
        <w:rPr>
          <w:i/>
          <w:iCs/>
          <w:strike/>
        </w:rPr>
        <w:t>дефектоскопия</w:t>
      </w:r>
      <w:r w:rsidR="0080488F" w:rsidRPr="00D43A88">
        <w:rPr>
          <w:i/>
          <w:iCs/>
        </w:rPr>
        <w:t xml:space="preserve"> </w:t>
      </w:r>
      <w:r w:rsidR="0080488F" w:rsidRPr="00D43A88">
        <w:rPr>
          <w:i/>
          <w:iCs/>
          <w:u w:val="single"/>
        </w:rPr>
        <w:t>Магнитопорошковый</w:t>
      </w:r>
      <w:r w:rsidR="0080488F" w:rsidRPr="00792BEB">
        <w:rPr>
          <w:i/>
          <w:iCs/>
          <w:u w:val="single"/>
        </w:rPr>
        <w:t xml:space="preserve"> </w:t>
      </w:r>
      <w:r w:rsidR="0080488F" w:rsidRPr="00D43A88">
        <w:rPr>
          <w:i/>
          <w:iCs/>
          <w:u w:val="single"/>
        </w:rPr>
        <w:t>контроль</w:t>
      </w:r>
      <w:r w:rsidR="0080488F" w:rsidRPr="00D43A88">
        <w:rPr>
          <w:i/>
          <w:iCs/>
        </w:rPr>
        <w:t xml:space="preserve">. Уровни </w:t>
      </w:r>
      <w:r w:rsidR="0080488F" w:rsidRPr="00D43A88">
        <w:rPr>
          <w:i/>
          <w:iCs/>
          <w:strike/>
        </w:rPr>
        <w:t>допуска</w:t>
      </w:r>
      <w:r w:rsidR="0080488F" w:rsidRPr="00D43A88">
        <w:rPr>
          <w:i/>
          <w:iCs/>
        </w:rPr>
        <w:t xml:space="preserve"> </w:t>
      </w:r>
      <w:r w:rsidR="0080488F" w:rsidRPr="00D43A88">
        <w:rPr>
          <w:i/>
          <w:iCs/>
          <w:u w:val="single"/>
        </w:rPr>
        <w:t>приемки</w:t>
      </w:r>
      <w:r w:rsidR="00B32376" w:rsidRPr="00082C36">
        <w:rPr>
          <w:i/>
          <w:iCs/>
          <w:lang w:val="en-US"/>
        </w:rPr>
        <w:t>”</w:t>
      </w:r>
      <w:r w:rsidR="0080488F" w:rsidRPr="00D43A88">
        <w:rPr>
          <w:i/>
          <w:iCs/>
        </w:rPr>
        <w:t>».</w:t>
      </w:r>
    </w:p>
    <w:p w14:paraId="6307A6D7" w14:textId="77777777" w:rsidR="0080488F" w:rsidRPr="00D43A88" w:rsidRDefault="0080488F" w:rsidP="0080488F">
      <w:pPr>
        <w:pStyle w:val="SingleTxtG"/>
        <w:rPr>
          <w:rFonts w:eastAsia="Noto Serif CJK SC"/>
        </w:rPr>
      </w:pPr>
      <w:r w:rsidRPr="00D43A88">
        <w:t>(ДОПОГ)</w:t>
      </w:r>
    </w:p>
    <w:p w14:paraId="37987586" w14:textId="77777777" w:rsidR="0080488F" w:rsidRPr="00D43A88" w:rsidRDefault="0080488F" w:rsidP="0080488F">
      <w:pPr>
        <w:pStyle w:val="SingleTxtG"/>
      </w:pPr>
      <w:r w:rsidRPr="00D43A88">
        <w:t>В специальном положении TT11 заменить абзац:</w:t>
      </w:r>
    </w:p>
    <w:p w14:paraId="6EE17356" w14:textId="765E58EA" w:rsidR="0080488F" w:rsidRPr="00D43A88" w:rsidRDefault="00F923C5" w:rsidP="0080488F">
      <w:pPr>
        <w:pStyle w:val="SingleTxtG"/>
        <w:ind w:left="1701"/>
      </w:pPr>
      <w:r>
        <w:t>«</w:t>
      </w:r>
      <w:r w:rsidR="0080488F" w:rsidRPr="00D43A88">
        <w:t>Персонал, выполняющий НРК, должен обладать соответствующей квалификацией и аттестацией и иметь надлежащие теоретические и практические знания в области методов неразрушающего контроля, которые они применяют, назначают, регулируют, контролируют или оценивают в соответствии со следующими требованиями:</w:t>
      </w:r>
    </w:p>
    <w:p w14:paraId="5A12AC64" w14:textId="6F5C55C5" w:rsidR="0080488F" w:rsidRPr="0036454A" w:rsidRDefault="00F923C5" w:rsidP="0080488F">
      <w:pPr>
        <w:pStyle w:val="SingleTxtG"/>
        <w:ind w:left="1701"/>
      </w:pPr>
      <w:r>
        <w:t>—</w:t>
      </w:r>
      <w:r w:rsidR="0080488F" w:rsidRPr="00D43A88">
        <w:t xml:space="preserve"> EN ISO 9712:2012 </w:t>
      </w:r>
      <w:r>
        <w:t>«</w:t>
      </w:r>
      <w:r w:rsidR="0080488F" w:rsidRPr="00D43A88">
        <w:t xml:space="preserve">Неразрушающий контроль </w:t>
      </w:r>
      <w:r>
        <w:t>—</w:t>
      </w:r>
      <w:r w:rsidR="0080488F" w:rsidRPr="00D43A88">
        <w:t xml:space="preserve"> Квалификация и аттестация персонала по неразрушающему контролю</w:t>
      </w:r>
      <w:r>
        <w:t>»</w:t>
      </w:r>
      <w:r w:rsidR="00100089" w:rsidRPr="0036454A">
        <w:t>.</w:t>
      </w:r>
    </w:p>
    <w:p w14:paraId="196C65CD" w14:textId="77777777" w:rsidR="0080488F" w:rsidRPr="00D43A88" w:rsidRDefault="0080488F" w:rsidP="0080488F">
      <w:pPr>
        <w:pStyle w:val="SingleTxtG"/>
      </w:pPr>
      <w:r w:rsidRPr="00D43A88">
        <w:t>следующим текстом:</w:t>
      </w:r>
    </w:p>
    <w:p w14:paraId="6E8A2B68" w14:textId="77777777" w:rsidR="0080488F" w:rsidRPr="00D43A88" w:rsidRDefault="0080488F" w:rsidP="0080488F">
      <w:pPr>
        <w:pStyle w:val="SingleTxtG"/>
        <w:ind w:left="1701"/>
      </w:pPr>
      <w:r w:rsidRPr="00D43A88">
        <w:t>«</w:t>
      </w:r>
      <w:r w:rsidRPr="00D43A88">
        <w:rPr>
          <w:u w:val="single"/>
        </w:rPr>
        <w:t>Неразрушающий контроль должен осуществляться персоналом в соответствии со стандартом EN 12972:2018 или EN 14334:2014</w:t>
      </w:r>
      <w:r w:rsidRPr="00D43A88">
        <w:t>».</w:t>
      </w:r>
    </w:p>
    <w:p w14:paraId="45B02EFD" w14:textId="3D4DD645" w:rsidR="0080488F" w:rsidRPr="00D43A88" w:rsidRDefault="0080488F" w:rsidP="0080488F">
      <w:pPr>
        <w:pStyle w:val="H1G"/>
        <w:rPr>
          <w:bCs/>
        </w:rPr>
      </w:pPr>
      <w:r w:rsidRPr="00D43A88">
        <w:tab/>
      </w:r>
      <w:r w:rsidRPr="00D43A88">
        <w:tab/>
      </w:r>
      <w:r w:rsidRPr="00D43A88">
        <w:rPr>
          <w:bCs/>
        </w:rPr>
        <w:t>Пункт 11: Интермодальные контейнеры-цистерны с двойным утверждением в соответствии с главой 6.8 МПОГ/ДОПОГ и</w:t>
      </w:r>
      <w:r w:rsidR="00F019EB">
        <w:rPr>
          <w:bCs/>
        </w:rPr>
        <w:t> </w:t>
      </w:r>
      <w:r w:rsidRPr="00D43A88">
        <w:rPr>
          <w:bCs/>
        </w:rPr>
        <w:t>требованиями к переносным цистернам ООН</w:t>
      </w:r>
    </w:p>
    <w:p w14:paraId="130783A5" w14:textId="77777777" w:rsidR="0080488F" w:rsidRPr="00D43A88" w:rsidRDefault="0080488F" w:rsidP="008B4629">
      <w:pPr>
        <w:pStyle w:val="SingleTxtG"/>
        <w:tabs>
          <w:tab w:val="clear" w:pos="1701"/>
          <w:tab w:val="clear" w:pos="2268"/>
          <w:tab w:val="clear" w:pos="2835"/>
          <w:tab w:val="left" w:pos="3969"/>
          <w:tab w:val="left" w:pos="5812"/>
        </w:tabs>
        <w:ind w:left="3969" w:hanging="2835"/>
        <w:jc w:val="left"/>
      </w:pPr>
      <w:r w:rsidRPr="00D43A88">
        <w:rPr>
          <w:i/>
          <w:iCs/>
        </w:rPr>
        <w:t>Неофициальный документ</w:t>
      </w:r>
      <w:r w:rsidRPr="007C3F9A">
        <w:t>:</w:t>
      </w:r>
      <w:r w:rsidRPr="00D43A88">
        <w:tab/>
        <w:t>INF.16 (МОКЦ)</w:t>
      </w:r>
    </w:p>
    <w:p w14:paraId="2251FB5A" w14:textId="6CB59D5E" w:rsidR="0080488F" w:rsidRPr="00D43A88" w:rsidRDefault="0080488F" w:rsidP="0080488F">
      <w:pPr>
        <w:pStyle w:val="SingleTxtG"/>
      </w:pPr>
      <w:r w:rsidRPr="00D43A88">
        <w:t>28.</w:t>
      </w:r>
      <w:r w:rsidRPr="00D43A88">
        <w:tab/>
        <w:t>МОКЦ представила Рабочей группе по цистернам информацию об итогах межсессионных совещаний, состоявшихся 7 ноября 2023 года и 12 декабря 2023 года. Обе совещания проходили в онлайновом режиме, и каждое насчитывало порядка 50</w:t>
      </w:r>
      <w:r w:rsidR="00F019EB">
        <w:t> </w:t>
      </w:r>
      <w:r w:rsidRPr="00D43A88">
        <w:t xml:space="preserve">участников. На первом совещании обсуждались причины отмены двойного утверждения, на втором </w:t>
      </w:r>
      <w:r w:rsidR="00441F7B" w:rsidRPr="0037154F">
        <w:t>—</w:t>
      </w:r>
      <w:r w:rsidRPr="00D43A88">
        <w:t xml:space="preserve"> ее возможные последствия.</w:t>
      </w:r>
    </w:p>
    <w:p w14:paraId="3E247E31" w14:textId="77777777" w:rsidR="0080488F" w:rsidRPr="00D43A88" w:rsidRDefault="0080488F" w:rsidP="0080488F">
      <w:pPr>
        <w:pStyle w:val="SingleTxtG"/>
      </w:pPr>
      <w:r w:rsidRPr="00D43A88">
        <w:t>29.</w:t>
      </w:r>
      <w:r w:rsidRPr="00D43A88">
        <w:tab/>
        <w:t>Было отмечено, что на осенней сессии Совместного совещания и Рабочей группы по цистернам в 2023 году была высказана просьба выявить проблемы, которые возникнут в случае недопущения двойного утверждения. Было решено провести дополнительные межсессионные совещания и сосредоточиться на выявлении всех проблем и последствий, которые могут стать результатом столь сложного изменения. Участникам этих совещаний было предложено составить список вопросов, от решения которых зависит плавный переход отрасли на новые условия, в случае отказа от допущения двойного утверждения.</w:t>
      </w:r>
    </w:p>
    <w:p w14:paraId="1909F71E" w14:textId="364690B6" w:rsidR="0080488F" w:rsidRPr="00D43A88" w:rsidRDefault="0080488F" w:rsidP="0080488F">
      <w:pPr>
        <w:pStyle w:val="SingleTxtG"/>
      </w:pPr>
      <w:r w:rsidRPr="00D43A88">
        <w:t>30.</w:t>
      </w:r>
      <w:r w:rsidRPr="00D43A88">
        <w:tab/>
        <w:t>Утверждалось, что со временем проблем с сертификацией станет меньше. Тем</w:t>
      </w:r>
      <w:r w:rsidR="00CB66C3">
        <w:t> </w:t>
      </w:r>
      <w:r w:rsidRPr="00D43A88">
        <w:t>не менее было сочтено, что затраты на удаление маркировки на табличках цистерн в соответствии с главой 6.8 будут значительными, учитывая огромное количество переносных цистерн, эксплуатируемых во всем мире. И наконец, в ходе обсуждения было отмечено, что в случаях, когда переносные цистерны утверждены в соответствии с главой 6.7 МКМПОГ, но не в Договаривающемся государстве МПОГ/</w:t>
      </w:r>
      <w:r w:rsidR="00CB66C3">
        <w:t xml:space="preserve"> </w:t>
      </w:r>
      <w:r w:rsidRPr="00D43A88">
        <w:t>Договаривающейся стороне ДОПОГ, в приеме цистерны к перевозке или наполнению может быть отказано. Для решения этой проблемы Рабочая группа разработала следующее предложение:</w:t>
      </w:r>
    </w:p>
    <w:p w14:paraId="2E5A0128" w14:textId="77777777" w:rsidR="0080488F" w:rsidRPr="002E2A3E" w:rsidRDefault="0080488F" w:rsidP="002E2A3E">
      <w:pPr>
        <w:pStyle w:val="H23G"/>
      </w:pPr>
      <w:r w:rsidRPr="002E2A3E">
        <w:tab/>
      </w:r>
      <w:r w:rsidRPr="002E2A3E">
        <w:tab/>
        <w:t>Предложение 9 (для МПОГ/ДОПОГ 2025 года)</w:t>
      </w:r>
    </w:p>
    <w:p w14:paraId="4DEB2B67" w14:textId="77777777" w:rsidR="0080488F" w:rsidRPr="00D43A88" w:rsidRDefault="0080488F" w:rsidP="0080488F">
      <w:pPr>
        <w:pStyle w:val="SingleTxtG"/>
      </w:pPr>
      <w:r w:rsidRPr="00D43A88">
        <w:t xml:space="preserve">Изменить примечание 2 после заголовка главы 4.2 следующим образом (новый текст </w:t>
      </w:r>
      <w:r w:rsidRPr="00D43A88">
        <w:rPr>
          <w:u w:val="single"/>
        </w:rPr>
        <w:t>подчеркнут</w:t>
      </w:r>
      <w:r w:rsidRPr="00D43A88">
        <w:t>):</w:t>
      </w:r>
    </w:p>
    <w:p w14:paraId="51ED0062" w14:textId="6C1633AC" w:rsidR="0080488F" w:rsidRPr="00D43A88" w:rsidRDefault="00931BE5" w:rsidP="0080488F">
      <w:pPr>
        <w:pStyle w:val="SingleTxtG"/>
        <w:ind w:left="1701"/>
        <w:rPr>
          <w:i/>
          <w:iCs/>
        </w:rPr>
      </w:pPr>
      <w:r>
        <w:rPr>
          <w:i/>
          <w:iCs/>
        </w:rPr>
        <w:t>«</w:t>
      </w:r>
      <w:r w:rsidR="0080488F" w:rsidRPr="00D43A88">
        <w:rPr>
          <w:b/>
          <w:bCs/>
          <w:i/>
          <w:iCs/>
        </w:rPr>
        <w:t>ПРИМЕЧАНИЕ 2</w:t>
      </w:r>
      <w:r w:rsidR="0080488F" w:rsidRPr="00D43A88">
        <w:rPr>
          <w:i/>
          <w:iCs/>
        </w:rPr>
        <w:t>: Переносные цистерны и МЭГК ООН, имеющие маркировку, соответствующую требованиям/применимым положениям главы</w:t>
      </w:r>
      <w:r>
        <w:rPr>
          <w:i/>
          <w:iCs/>
          <w:lang w:val="en-US"/>
        </w:rPr>
        <w:t> </w:t>
      </w:r>
      <w:r w:rsidR="0080488F" w:rsidRPr="00D43A88">
        <w:rPr>
          <w:i/>
          <w:iCs/>
        </w:rPr>
        <w:t xml:space="preserve">6.7, но утвержденные в государстве, которое не является Договаривающимся государством МПОГ/Договаривающейся стороной ДОПОГ, </w:t>
      </w:r>
      <w:r w:rsidR="0080488F" w:rsidRPr="00D43A88">
        <w:rPr>
          <w:i/>
          <w:iCs/>
          <w:u w:val="single"/>
        </w:rPr>
        <w:t>или утвержденные в соответствии с главой 6.7 МКМПОГ,</w:t>
      </w:r>
      <w:r w:rsidR="0080488F" w:rsidRPr="00D43A88">
        <w:rPr>
          <w:i/>
          <w:iCs/>
        </w:rPr>
        <w:t xml:space="preserve"> могут, тем не менее, использоваться для перевозки в соответствии с</w:t>
      </w:r>
      <w:r w:rsidR="0080488F" w:rsidRPr="00D43A88">
        <w:t xml:space="preserve"> </w:t>
      </w:r>
      <w:r w:rsidR="0080488F" w:rsidRPr="00D43A88">
        <w:rPr>
          <w:i/>
          <w:iCs/>
        </w:rPr>
        <w:t>МПОГ/ДОПОГ</w:t>
      </w:r>
      <w:r>
        <w:rPr>
          <w:i/>
          <w:iCs/>
        </w:rPr>
        <w:t>»</w:t>
      </w:r>
      <w:r w:rsidR="0080488F" w:rsidRPr="00D43A88">
        <w:rPr>
          <w:i/>
          <w:iCs/>
        </w:rPr>
        <w:t>.</w:t>
      </w:r>
    </w:p>
    <w:p w14:paraId="5D181228" w14:textId="088504EA" w:rsidR="00E12C5F" w:rsidRPr="0080488F" w:rsidRDefault="0080488F" w:rsidP="0080488F">
      <w:pPr>
        <w:spacing w:before="240"/>
        <w:jc w:val="center"/>
        <w:rPr>
          <w:u w:val="single"/>
        </w:rPr>
      </w:pPr>
      <w:r w:rsidRPr="00D43A88">
        <w:rPr>
          <w:u w:val="single"/>
        </w:rPr>
        <w:tab/>
      </w:r>
      <w:r w:rsidRPr="00D43A88">
        <w:rPr>
          <w:u w:val="single"/>
        </w:rPr>
        <w:tab/>
      </w:r>
      <w:r w:rsidRPr="00D43A88">
        <w:rPr>
          <w:u w:val="single"/>
        </w:rPr>
        <w:tab/>
      </w:r>
    </w:p>
    <w:sectPr w:rsidR="00E12C5F" w:rsidRPr="0080488F" w:rsidSect="00BC7D9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7074" w14:textId="77777777" w:rsidR="00B4546A" w:rsidRPr="00A312BC" w:rsidRDefault="00B4546A" w:rsidP="00A312BC"/>
  </w:endnote>
  <w:endnote w:type="continuationSeparator" w:id="0">
    <w:p w14:paraId="2DAE94E6" w14:textId="77777777" w:rsidR="00B4546A" w:rsidRPr="00A312BC" w:rsidRDefault="00B4546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to Serif CJK SC">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10B" w14:textId="784DB148" w:rsidR="00BC7D9D" w:rsidRPr="00BC7D9D" w:rsidRDefault="00BC7D9D">
    <w:pPr>
      <w:pStyle w:val="a8"/>
    </w:pPr>
    <w:r w:rsidRPr="00BC7D9D">
      <w:rPr>
        <w:b/>
        <w:sz w:val="18"/>
      </w:rPr>
      <w:fldChar w:fldCharType="begin"/>
    </w:r>
    <w:r w:rsidRPr="00BC7D9D">
      <w:rPr>
        <w:b/>
        <w:sz w:val="18"/>
      </w:rPr>
      <w:instrText xml:space="preserve"> PAGE  \* MERGEFORMAT </w:instrText>
    </w:r>
    <w:r w:rsidRPr="00BC7D9D">
      <w:rPr>
        <w:b/>
        <w:sz w:val="18"/>
      </w:rPr>
      <w:fldChar w:fldCharType="separate"/>
    </w:r>
    <w:r w:rsidRPr="00BC7D9D">
      <w:rPr>
        <w:b/>
        <w:noProof/>
        <w:sz w:val="18"/>
      </w:rPr>
      <w:t>2</w:t>
    </w:r>
    <w:r w:rsidRPr="00BC7D9D">
      <w:rPr>
        <w:b/>
        <w:sz w:val="18"/>
      </w:rPr>
      <w:fldChar w:fldCharType="end"/>
    </w:r>
    <w:r>
      <w:rPr>
        <w:b/>
        <w:sz w:val="18"/>
      </w:rPr>
      <w:tab/>
    </w:r>
    <w:r>
      <w:t>GE.24-07643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CDE" w14:textId="6525DD12" w:rsidR="00BC7D9D" w:rsidRPr="00BC7D9D" w:rsidRDefault="00BC7D9D" w:rsidP="00BC7D9D">
    <w:pPr>
      <w:pStyle w:val="a8"/>
      <w:tabs>
        <w:tab w:val="clear" w:pos="9639"/>
        <w:tab w:val="right" w:pos="9638"/>
      </w:tabs>
      <w:rPr>
        <w:b/>
        <w:sz w:val="18"/>
      </w:rPr>
    </w:pPr>
    <w:r>
      <w:t>GE.24-07643</w:t>
    </w:r>
    <w:r>
      <w:tab/>
    </w:r>
    <w:r w:rsidRPr="00BC7D9D">
      <w:rPr>
        <w:b/>
        <w:sz w:val="18"/>
      </w:rPr>
      <w:fldChar w:fldCharType="begin"/>
    </w:r>
    <w:r w:rsidRPr="00BC7D9D">
      <w:rPr>
        <w:b/>
        <w:sz w:val="18"/>
      </w:rPr>
      <w:instrText xml:space="preserve"> PAGE  \* MERGEFORMAT </w:instrText>
    </w:r>
    <w:r w:rsidRPr="00BC7D9D">
      <w:rPr>
        <w:b/>
        <w:sz w:val="18"/>
      </w:rPr>
      <w:fldChar w:fldCharType="separate"/>
    </w:r>
    <w:r w:rsidRPr="00BC7D9D">
      <w:rPr>
        <w:b/>
        <w:noProof/>
        <w:sz w:val="18"/>
      </w:rPr>
      <w:t>3</w:t>
    </w:r>
    <w:r w:rsidRPr="00BC7D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66A3" w14:textId="6CF92058" w:rsidR="00042B72" w:rsidRPr="00BC7D9D" w:rsidRDefault="00BC7D9D" w:rsidP="00BC7D9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CC3E1A4" wp14:editId="4B4D32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24-07643  (R)</w:t>
    </w:r>
    <w:r>
      <w:rPr>
        <w:noProof/>
      </w:rPr>
      <w:drawing>
        <wp:anchor distT="0" distB="0" distL="114300" distR="114300" simplePos="0" relativeHeight="251659264" behindDoc="0" locked="0" layoutInCell="1" allowOverlap="1" wp14:anchorId="73D47B9A" wp14:editId="4519909D">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040624  060624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D900" w14:textId="77777777" w:rsidR="00B4546A" w:rsidRPr="001075E9" w:rsidRDefault="00B4546A" w:rsidP="001075E9">
      <w:pPr>
        <w:tabs>
          <w:tab w:val="right" w:pos="2155"/>
        </w:tabs>
        <w:spacing w:after="80" w:line="240" w:lineRule="auto"/>
        <w:ind w:left="680"/>
        <w:rPr>
          <w:u w:val="single"/>
        </w:rPr>
      </w:pPr>
      <w:r>
        <w:rPr>
          <w:u w:val="single"/>
        </w:rPr>
        <w:tab/>
      </w:r>
    </w:p>
  </w:footnote>
  <w:footnote w:type="continuationSeparator" w:id="0">
    <w:p w14:paraId="6E895CBE" w14:textId="77777777" w:rsidR="00B4546A" w:rsidRDefault="00B4546A" w:rsidP="00407B78">
      <w:pPr>
        <w:tabs>
          <w:tab w:val="right" w:pos="2155"/>
        </w:tabs>
        <w:spacing w:after="80"/>
        <w:ind w:left="680"/>
        <w:rPr>
          <w:u w:val="single"/>
        </w:rPr>
      </w:pPr>
      <w:r>
        <w:rPr>
          <w:u w:val="single"/>
        </w:rPr>
        <w:tab/>
      </w:r>
    </w:p>
  </w:footnote>
  <w:footnote w:id="1">
    <w:p w14:paraId="349E054B" w14:textId="64DB472A" w:rsidR="003553FD" w:rsidRPr="003553FD" w:rsidRDefault="003553FD">
      <w:pPr>
        <w:pStyle w:val="ad"/>
        <w:rPr>
          <w:sz w:val="20"/>
        </w:rPr>
      </w:pPr>
      <w:r>
        <w:tab/>
      </w:r>
      <w:r w:rsidRPr="003553FD">
        <w:rPr>
          <w:rStyle w:val="aa"/>
          <w:sz w:val="20"/>
          <w:vertAlign w:val="baseline"/>
        </w:rPr>
        <w:t>*</w:t>
      </w:r>
      <w:r w:rsidRPr="00313506">
        <w:rPr>
          <w:rStyle w:val="aa"/>
          <w:sz w:val="20"/>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OTIF/RID/RC/2024-A.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w:t>
      </w:r>
      <w:r w:rsidR="00313506">
        <w:rPr>
          <w:lang w:val="en-US"/>
        </w:rPr>
        <w:t> </w:t>
      </w:r>
      <w:r>
        <w:t>год и тот же порядковый номер.</w:t>
      </w:r>
    </w:p>
  </w:footnote>
  <w:footnote w:id="2">
    <w:p w14:paraId="1F099CDF" w14:textId="2DEE4F1F" w:rsidR="0080488F" w:rsidRPr="0080488F" w:rsidRDefault="0080488F">
      <w:pPr>
        <w:pStyle w:val="ad"/>
        <w:rPr>
          <w:sz w:val="20"/>
        </w:rPr>
      </w:pPr>
      <w:r>
        <w:tab/>
      </w:r>
      <w:r w:rsidRPr="0080488F">
        <w:rPr>
          <w:rStyle w:val="aa"/>
          <w:sz w:val="20"/>
          <w:vertAlign w:val="baseline"/>
        </w:rPr>
        <w:t>**</w:t>
      </w:r>
      <w:r w:rsidRPr="00313506">
        <w:rPr>
          <w:rStyle w:val="aa"/>
          <w:sz w:val="20"/>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OTIF/RID/RC/2024-A/Add.1.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CE25" w14:textId="3545B819" w:rsidR="00BC7D9D" w:rsidRPr="00BC7D9D" w:rsidRDefault="00BC7D9D">
    <w:pPr>
      <w:pStyle w:val="a5"/>
    </w:pPr>
    <w:fldSimple w:instr=" TITLE  \* MERGEFORMAT ">
      <w:r w:rsidR="00BB2275">
        <w:t>ECE/TRANS/WP.15/AC.1/172/Add.1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5B78" w14:textId="78ADDE50" w:rsidR="00BC7D9D" w:rsidRPr="00BC7D9D" w:rsidRDefault="00BC7D9D" w:rsidP="00BC7D9D">
    <w:pPr>
      <w:pStyle w:val="a5"/>
      <w:jc w:val="right"/>
    </w:pPr>
    <w:fldSimple w:instr=" TITLE  \* MERGEFORMAT ">
      <w:r w:rsidR="00BB2275">
        <w:t>ECE/TRANS/WP.15/AC.1/172/Add.1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29B7" w14:textId="77777777" w:rsidR="00BC7D9D" w:rsidRDefault="00BC7D9D" w:rsidP="00BC7D9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5043206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6A"/>
    <w:rsid w:val="0002743A"/>
    <w:rsid w:val="00033EE1"/>
    <w:rsid w:val="00042B72"/>
    <w:rsid w:val="000558BD"/>
    <w:rsid w:val="00073B68"/>
    <w:rsid w:val="00082C36"/>
    <w:rsid w:val="00094683"/>
    <w:rsid w:val="000A6FF4"/>
    <w:rsid w:val="000B57E7"/>
    <w:rsid w:val="000B6373"/>
    <w:rsid w:val="000C071F"/>
    <w:rsid w:val="000E4E5B"/>
    <w:rsid w:val="000F09DF"/>
    <w:rsid w:val="000F61B2"/>
    <w:rsid w:val="00100089"/>
    <w:rsid w:val="001025AD"/>
    <w:rsid w:val="00102FDE"/>
    <w:rsid w:val="00104FD2"/>
    <w:rsid w:val="001075E9"/>
    <w:rsid w:val="0014152F"/>
    <w:rsid w:val="00165174"/>
    <w:rsid w:val="00180183"/>
    <w:rsid w:val="0018024D"/>
    <w:rsid w:val="0018649F"/>
    <w:rsid w:val="00196389"/>
    <w:rsid w:val="001A51EE"/>
    <w:rsid w:val="001B3EF6"/>
    <w:rsid w:val="001B6C8A"/>
    <w:rsid w:val="001C7A89"/>
    <w:rsid w:val="001F7320"/>
    <w:rsid w:val="00203E67"/>
    <w:rsid w:val="00233692"/>
    <w:rsid w:val="0024434D"/>
    <w:rsid w:val="00255343"/>
    <w:rsid w:val="0027151D"/>
    <w:rsid w:val="00287A27"/>
    <w:rsid w:val="002A2A43"/>
    <w:rsid w:val="002A2EFC"/>
    <w:rsid w:val="002B0106"/>
    <w:rsid w:val="002B74B1"/>
    <w:rsid w:val="002C0E18"/>
    <w:rsid w:val="002D5325"/>
    <w:rsid w:val="002D5AAC"/>
    <w:rsid w:val="002D7714"/>
    <w:rsid w:val="002E2A3E"/>
    <w:rsid w:val="002E2F82"/>
    <w:rsid w:val="002E5067"/>
    <w:rsid w:val="002F405F"/>
    <w:rsid w:val="002F5358"/>
    <w:rsid w:val="002F6D92"/>
    <w:rsid w:val="002F7EEC"/>
    <w:rsid w:val="00301299"/>
    <w:rsid w:val="00305C08"/>
    <w:rsid w:val="00307FB6"/>
    <w:rsid w:val="00312106"/>
    <w:rsid w:val="00313506"/>
    <w:rsid w:val="00317339"/>
    <w:rsid w:val="00322004"/>
    <w:rsid w:val="003402C2"/>
    <w:rsid w:val="003553FD"/>
    <w:rsid w:val="003601EA"/>
    <w:rsid w:val="0036454A"/>
    <w:rsid w:val="0037154F"/>
    <w:rsid w:val="00381C24"/>
    <w:rsid w:val="00381E64"/>
    <w:rsid w:val="00387CD4"/>
    <w:rsid w:val="003958D0"/>
    <w:rsid w:val="003A0D43"/>
    <w:rsid w:val="003A48CE"/>
    <w:rsid w:val="003B00E5"/>
    <w:rsid w:val="003B1DAA"/>
    <w:rsid w:val="003C5793"/>
    <w:rsid w:val="003E0B46"/>
    <w:rsid w:val="003F0E9C"/>
    <w:rsid w:val="003F11F8"/>
    <w:rsid w:val="00401939"/>
    <w:rsid w:val="00407B78"/>
    <w:rsid w:val="00415546"/>
    <w:rsid w:val="00424203"/>
    <w:rsid w:val="00441F7B"/>
    <w:rsid w:val="00451209"/>
    <w:rsid w:val="00452493"/>
    <w:rsid w:val="00453318"/>
    <w:rsid w:val="00454AF2"/>
    <w:rsid w:val="00454E07"/>
    <w:rsid w:val="00462F22"/>
    <w:rsid w:val="00472C5C"/>
    <w:rsid w:val="0047317F"/>
    <w:rsid w:val="00485F8A"/>
    <w:rsid w:val="004B33E2"/>
    <w:rsid w:val="004E05B7"/>
    <w:rsid w:val="004E34E3"/>
    <w:rsid w:val="004F0D64"/>
    <w:rsid w:val="0050108D"/>
    <w:rsid w:val="00501981"/>
    <w:rsid w:val="00513081"/>
    <w:rsid w:val="00517901"/>
    <w:rsid w:val="00526683"/>
    <w:rsid w:val="00526DB8"/>
    <w:rsid w:val="0055725E"/>
    <w:rsid w:val="00561165"/>
    <w:rsid w:val="0056261C"/>
    <w:rsid w:val="005639C1"/>
    <w:rsid w:val="005709E0"/>
    <w:rsid w:val="00572E19"/>
    <w:rsid w:val="00573E9E"/>
    <w:rsid w:val="005961C8"/>
    <w:rsid w:val="005966F1"/>
    <w:rsid w:val="00597BC8"/>
    <w:rsid w:val="005A31AE"/>
    <w:rsid w:val="005D7914"/>
    <w:rsid w:val="005E1F7C"/>
    <w:rsid w:val="005E2B41"/>
    <w:rsid w:val="005F0B42"/>
    <w:rsid w:val="00612BFA"/>
    <w:rsid w:val="00617A43"/>
    <w:rsid w:val="006335DE"/>
    <w:rsid w:val="006345DB"/>
    <w:rsid w:val="00640F49"/>
    <w:rsid w:val="00680D03"/>
    <w:rsid w:val="00680E89"/>
    <w:rsid w:val="00681A10"/>
    <w:rsid w:val="006A1ED8"/>
    <w:rsid w:val="006C2031"/>
    <w:rsid w:val="006D461A"/>
    <w:rsid w:val="006F35EE"/>
    <w:rsid w:val="007021FF"/>
    <w:rsid w:val="00706F42"/>
    <w:rsid w:val="00712895"/>
    <w:rsid w:val="00734ACB"/>
    <w:rsid w:val="00745C25"/>
    <w:rsid w:val="007479A8"/>
    <w:rsid w:val="00757357"/>
    <w:rsid w:val="00762C8A"/>
    <w:rsid w:val="00792497"/>
    <w:rsid w:val="00792BEB"/>
    <w:rsid w:val="007B6566"/>
    <w:rsid w:val="007C3F9A"/>
    <w:rsid w:val="007C7BAE"/>
    <w:rsid w:val="0080488F"/>
    <w:rsid w:val="00806737"/>
    <w:rsid w:val="0081192C"/>
    <w:rsid w:val="00816D08"/>
    <w:rsid w:val="00825F8D"/>
    <w:rsid w:val="00834B71"/>
    <w:rsid w:val="008406A4"/>
    <w:rsid w:val="0086445C"/>
    <w:rsid w:val="00885F8E"/>
    <w:rsid w:val="00894693"/>
    <w:rsid w:val="008A08D7"/>
    <w:rsid w:val="008A37C8"/>
    <w:rsid w:val="008B012F"/>
    <w:rsid w:val="008B4629"/>
    <w:rsid w:val="008B6909"/>
    <w:rsid w:val="008D53B6"/>
    <w:rsid w:val="008F7609"/>
    <w:rsid w:val="00906890"/>
    <w:rsid w:val="0090791C"/>
    <w:rsid w:val="00911BE4"/>
    <w:rsid w:val="00931BE5"/>
    <w:rsid w:val="009400A8"/>
    <w:rsid w:val="00951972"/>
    <w:rsid w:val="009608F3"/>
    <w:rsid w:val="009A04AB"/>
    <w:rsid w:val="009A24AC"/>
    <w:rsid w:val="009C59D7"/>
    <w:rsid w:val="009C6FE6"/>
    <w:rsid w:val="009D7E7D"/>
    <w:rsid w:val="00A04FF2"/>
    <w:rsid w:val="00A1311B"/>
    <w:rsid w:val="00A14DA8"/>
    <w:rsid w:val="00A20C64"/>
    <w:rsid w:val="00A259FD"/>
    <w:rsid w:val="00A312BC"/>
    <w:rsid w:val="00A33B67"/>
    <w:rsid w:val="00A36A19"/>
    <w:rsid w:val="00A7544C"/>
    <w:rsid w:val="00A84021"/>
    <w:rsid w:val="00A84D35"/>
    <w:rsid w:val="00A8736D"/>
    <w:rsid w:val="00A917B3"/>
    <w:rsid w:val="00AA2BB3"/>
    <w:rsid w:val="00AB4B51"/>
    <w:rsid w:val="00B10CC7"/>
    <w:rsid w:val="00B32376"/>
    <w:rsid w:val="00B36DF7"/>
    <w:rsid w:val="00B4546A"/>
    <w:rsid w:val="00B539E7"/>
    <w:rsid w:val="00B56ABF"/>
    <w:rsid w:val="00B61074"/>
    <w:rsid w:val="00B62458"/>
    <w:rsid w:val="00B66EAC"/>
    <w:rsid w:val="00BB2275"/>
    <w:rsid w:val="00BC18B2"/>
    <w:rsid w:val="00BC7D9D"/>
    <w:rsid w:val="00BD33EE"/>
    <w:rsid w:val="00BE1CC7"/>
    <w:rsid w:val="00BF7D80"/>
    <w:rsid w:val="00C106D6"/>
    <w:rsid w:val="00C119AE"/>
    <w:rsid w:val="00C42D8F"/>
    <w:rsid w:val="00C4488F"/>
    <w:rsid w:val="00C60F0C"/>
    <w:rsid w:val="00C71E84"/>
    <w:rsid w:val="00C805C9"/>
    <w:rsid w:val="00C92939"/>
    <w:rsid w:val="00CA1679"/>
    <w:rsid w:val="00CB151C"/>
    <w:rsid w:val="00CB66C3"/>
    <w:rsid w:val="00CD1329"/>
    <w:rsid w:val="00CE1EFA"/>
    <w:rsid w:val="00CE5A1A"/>
    <w:rsid w:val="00CE661A"/>
    <w:rsid w:val="00CF55F6"/>
    <w:rsid w:val="00D14354"/>
    <w:rsid w:val="00D30553"/>
    <w:rsid w:val="00D33D63"/>
    <w:rsid w:val="00D5253A"/>
    <w:rsid w:val="00D873A8"/>
    <w:rsid w:val="00D90028"/>
    <w:rsid w:val="00D90138"/>
    <w:rsid w:val="00D9145B"/>
    <w:rsid w:val="00DB21D8"/>
    <w:rsid w:val="00DD78D1"/>
    <w:rsid w:val="00DE32CD"/>
    <w:rsid w:val="00DF5767"/>
    <w:rsid w:val="00DF71B9"/>
    <w:rsid w:val="00E12C5F"/>
    <w:rsid w:val="00E73F76"/>
    <w:rsid w:val="00E86EDD"/>
    <w:rsid w:val="00E91303"/>
    <w:rsid w:val="00E91A4A"/>
    <w:rsid w:val="00E97FC6"/>
    <w:rsid w:val="00EA2C9F"/>
    <w:rsid w:val="00EA420E"/>
    <w:rsid w:val="00EC3F5F"/>
    <w:rsid w:val="00EC6482"/>
    <w:rsid w:val="00ED0BDA"/>
    <w:rsid w:val="00EE142A"/>
    <w:rsid w:val="00EE4031"/>
    <w:rsid w:val="00EF0852"/>
    <w:rsid w:val="00EF1360"/>
    <w:rsid w:val="00EF3220"/>
    <w:rsid w:val="00F019EB"/>
    <w:rsid w:val="00F2523A"/>
    <w:rsid w:val="00F43903"/>
    <w:rsid w:val="00F73C9D"/>
    <w:rsid w:val="00F923C5"/>
    <w:rsid w:val="00F94155"/>
    <w:rsid w:val="00F9783F"/>
    <w:rsid w:val="00FA1CCE"/>
    <w:rsid w:val="00FC0C51"/>
    <w:rsid w:val="00FD2EF7"/>
    <w:rsid w:val="00FD4C5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8CDEF"/>
  <w15:docId w15:val="{FC975418-A1C2-4D4A-A60D-F51BB217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BC7D9D"/>
    <w:rPr>
      <w:b/>
      <w:sz w:val="28"/>
      <w:lang w:val="ru-RU" w:eastAsia="ru-RU"/>
    </w:rPr>
  </w:style>
  <w:style w:type="character" w:customStyle="1" w:styleId="SingleTxtGChar">
    <w:name w:val="_ Single Txt_G Char"/>
    <w:link w:val="SingleTxtG"/>
    <w:qFormat/>
    <w:locked/>
    <w:rsid w:val="0080488F"/>
    <w:rPr>
      <w:lang w:val="ru-RU" w:eastAsia="en-US"/>
    </w:rPr>
  </w:style>
  <w:style w:type="paragraph" w:customStyle="1" w:styleId="ParNoG">
    <w:name w:val="_ParNo_G"/>
    <w:basedOn w:val="a"/>
    <w:qFormat/>
    <w:rsid w:val="0080488F"/>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23GChar">
    <w:name w:val="_ H_2/3_G Char"/>
    <w:link w:val="H23G"/>
    <w:locked/>
    <w:rsid w:val="0080488F"/>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E1241-D1D7-4B76-ABB8-7FAEE3CF20F3}"/>
</file>

<file path=customXml/itemProps2.xml><?xml version="1.0" encoding="utf-8"?>
<ds:datastoreItem xmlns:ds="http://schemas.openxmlformats.org/officeDocument/2006/customXml" ds:itemID="{25ABEDD2-432E-4409-A7BC-8C4BCAD49157}"/>
</file>

<file path=docProps/app.xml><?xml version="1.0" encoding="utf-8"?>
<Properties xmlns="http://schemas.openxmlformats.org/officeDocument/2006/extended-properties" xmlns:vt="http://schemas.openxmlformats.org/officeDocument/2006/docPropsVTypes">
  <Template>ECE.dotm</Template>
  <TotalTime>2</TotalTime>
  <Pages>9</Pages>
  <Words>2775</Words>
  <Characters>19401</Characters>
  <Application>Microsoft Office Word</Application>
  <DocSecurity>0</DocSecurity>
  <Lines>380</Lines>
  <Paragraphs>148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ECE/TRANS/WP.15/AC.1/172/Add.1</vt:lpstr>
      <vt:lpstr>A/</vt:lpstr>
      <vt:lpstr>A/</vt:lpstr>
    </vt:vector>
  </TitlesOfParts>
  <Company>DCM</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ECE/TRANS/WP.15/AC.1/172/Add.1</dc:title>
  <dc:subject/>
  <dc:creator>Shuvalova NATALIA</dc:creator>
  <cp:keywords/>
  <cp:lastModifiedBy>Natalia Shuvalova</cp:lastModifiedBy>
  <cp:revision>4</cp:revision>
  <cp:lastPrinted>2024-06-06T14:19:00Z</cp:lastPrinted>
  <dcterms:created xsi:type="dcterms:W3CDTF">2024-06-06T14:19:00Z</dcterms:created>
  <dcterms:modified xsi:type="dcterms:W3CDTF">2024-06-06T14:21:00Z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