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1CA50202" w:rsidR="00687FE8" w:rsidRPr="0035122C" w:rsidRDefault="00687FE8" w:rsidP="005176DB">
            <w:pPr>
              <w:jc w:val="right"/>
            </w:pPr>
            <w:r w:rsidRPr="0035122C">
              <w:rPr>
                <w:sz w:val="40"/>
              </w:rPr>
              <w:t>ECE</w:t>
            </w:r>
            <w:r w:rsidRPr="0035122C">
              <w:t>/TRANS/WP.29/GRVA/202</w:t>
            </w:r>
            <w:r w:rsidR="006D1700" w:rsidRPr="0035122C">
              <w:t>4</w:t>
            </w:r>
            <w:r w:rsidRPr="0035122C">
              <w:t>/</w:t>
            </w:r>
            <w:r w:rsidR="001A0ACB">
              <w:t>4</w:t>
            </w:r>
            <w:r w:rsidR="00A73B9A">
              <w:t>0</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64F2F076" w:rsidR="00687FE8" w:rsidRPr="0035122C" w:rsidRDefault="00A73B9A" w:rsidP="005176DB">
            <w:pPr>
              <w:spacing w:line="240" w:lineRule="exact"/>
            </w:pPr>
            <w:r>
              <w:t>1</w:t>
            </w:r>
            <w:r w:rsidR="00636120">
              <w:t>1</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7A2F92B4" w:rsidR="0088344D" w:rsidRPr="0041647C" w:rsidRDefault="00357AE9" w:rsidP="00357AE9">
      <w:r w:rsidRPr="0041647C">
        <w:t xml:space="preserve">Item </w:t>
      </w:r>
      <w:r w:rsidR="002131BC" w:rsidRPr="0041647C">
        <w:t>4(</w:t>
      </w:r>
      <w:r w:rsidR="003738B6">
        <w:t>d</w:t>
      </w:r>
      <w:r w:rsidR="002131BC" w:rsidRPr="0041647C">
        <w:t xml:space="preserve">) </w:t>
      </w:r>
      <w:r w:rsidRPr="0041647C">
        <w:t>of the provisional agenda</w:t>
      </w:r>
    </w:p>
    <w:p w14:paraId="23C473A2" w14:textId="67E676B5" w:rsidR="00D8124A" w:rsidRPr="0041647C" w:rsidRDefault="0041647C" w:rsidP="00E940C1">
      <w:pPr>
        <w:rPr>
          <w:b/>
          <w:bCs/>
        </w:rPr>
      </w:pPr>
      <w:r w:rsidRPr="0041647C">
        <w:rPr>
          <w:b/>
          <w:bCs/>
        </w:rPr>
        <w:t>Automated/autonomous and connected vehicles:</w:t>
      </w:r>
    </w:p>
    <w:p w14:paraId="2CFA1982" w14:textId="7C043162" w:rsidR="0041647C" w:rsidRPr="0041647C" w:rsidRDefault="0041647C" w:rsidP="00E940C1">
      <w:pPr>
        <w:rPr>
          <w:b/>
          <w:bCs/>
        </w:rPr>
      </w:pPr>
      <w:r w:rsidRPr="0041647C">
        <w:rPr>
          <w:b/>
          <w:bCs/>
        </w:rPr>
        <w:t>UN Regulation No. 157</w:t>
      </w:r>
    </w:p>
    <w:p w14:paraId="57F4570E" w14:textId="40EBE8C1" w:rsidR="00687FE8" w:rsidRPr="004E6CD9" w:rsidRDefault="00687FE8" w:rsidP="00357AE9">
      <w:pPr>
        <w:pStyle w:val="HChG"/>
      </w:pPr>
      <w:r w:rsidRPr="004E6CD9">
        <w:tab/>
      </w:r>
      <w:r w:rsidRPr="004E6CD9">
        <w:tab/>
      </w:r>
      <w:bookmarkEnd w:id="1"/>
      <w:r w:rsidR="002F45DB" w:rsidRPr="004572EA">
        <w:t xml:space="preserve">Proposal for </w:t>
      </w:r>
      <w:r w:rsidR="00562202">
        <w:t xml:space="preserve">a </w:t>
      </w:r>
      <w:r w:rsidR="009B5B15">
        <w:t>supplement</w:t>
      </w:r>
      <w:r w:rsidR="003738B6">
        <w:t xml:space="preserve"> </w:t>
      </w:r>
      <w:r w:rsidR="00EF1C55">
        <w:rPr>
          <w:color w:val="000000"/>
        </w:rPr>
        <w:t xml:space="preserve">to </w:t>
      </w:r>
      <w:r w:rsidR="009B5B15">
        <w:rPr>
          <w:color w:val="000000"/>
        </w:rPr>
        <w:t xml:space="preserve">the </w:t>
      </w:r>
      <w:r w:rsidR="001A0ACB">
        <w:rPr>
          <w:color w:val="000000"/>
        </w:rPr>
        <w:t>original version (</w:t>
      </w:r>
      <w:r w:rsidR="009B5B15">
        <w:rPr>
          <w:color w:val="000000"/>
        </w:rPr>
        <w:t>0</w:t>
      </w:r>
      <w:r w:rsidR="001A0ACB">
        <w:rPr>
          <w:color w:val="000000"/>
        </w:rPr>
        <w:t>0</w:t>
      </w:r>
      <w:r w:rsidR="009B5B15">
        <w:rPr>
          <w:color w:val="000000"/>
        </w:rPr>
        <w:t xml:space="preserve"> series of amendments</w:t>
      </w:r>
      <w:r w:rsidR="001A0ACB">
        <w:rPr>
          <w:color w:val="000000"/>
        </w:rPr>
        <w:t>)</w:t>
      </w:r>
      <w:r w:rsidR="009B5B15">
        <w:rPr>
          <w:color w:val="000000"/>
        </w:rPr>
        <w:t xml:space="preserve"> to </w:t>
      </w:r>
      <w:r w:rsidR="002F45DB" w:rsidRPr="004572EA">
        <w:t xml:space="preserve">UN Regulation No. </w:t>
      </w:r>
      <w:r w:rsidR="00F96430">
        <w:t>157</w:t>
      </w:r>
      <w:r w:rsidR="002F45DB" w:rsidRPr="004572EA">
        <w:t xml:space="preserve"> </w:t>
      </w:r>
      <w:r w:rsidR="002F45DB" w:rsidRPr="004572EA">
        <w:rPr>
          <w:color w:val="000000"/>
        </w:rPr>
        <w:t>(</w:t>
      </w:r>
      <w:r w:rsidR="00F96430">
        <w:rPr>
          <w:color w:val="000000"/>
        </w:rPr>
        <w:t>ALKS</w:t>
      </w:r>
      <w:r w:rsidR="002F45DB" w:rsidRPr="004572EA">
        <w:rPr>
          <w:color w:val="000000"/>
        </w:rPr>
        <w:t>)</w:t>
      </w:r>
    </w:p>
    <w:p w14:paraId="53BC9677" w14:textId="31667EBC"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6B6A28">
        <w:t xml:space="preserve">the </w:t>
      </w:r>
      <w:r w:rsidR="003738B6">
        <w:rPr>
          <w:color w:val="000000" w:themeColor="text1"/>
        </w:rPr>
        <w:t>United Kingdom of Great Britain and Northern Ireland</w:t>
      </w:r>
      <w:r w:rsidR="006B6A28">
        <w:t xml:space="preserve"> </w:t>
      </w:r>
      <w:r w:rsidR="009523A3" w:rsidRPr="004E6CD9">
        <w:rPr>
          <w:rStyle w:val="FootnoteReference"/>
          <w:sz w:val="20"/>
          <w:vertAlign w:val="baseline"/>
        </w:rPr>
        <w:footnoteReference w:customMarkFollows="1" w:id="2"/>
        <w:t>*</w:t>
      </w:r>
    </w:p>
    <w:p w14:paraId="0BAD078C" w14:textId="354CFCCB"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3738B6">
        <w:t xml:space="preserve">the </w:t>
      </w:r>
      <w:r w:rsidR="003738B6">
        <w:rPr>
          <w:color w:val="000000" w:themeColor="text1"/>
        </w:rPr>
        <w:t>United Kingdom of Great Britain and Northern Ireland</w:t>
      </w:r>
      <w:r w:rsidR="00CE58FE">
        <w:rPr>
          <w:color w:val="000000" w:themeColor="text1"/>
        </w:rPr>
        <w:t>,</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 GRVA-</w:t>
      </w:r>
      <w:r w:rsidR="00CE58FE">
        <w:t>19</w:t>
      </w:r>
      <w:r w:rsidR="00E561D4" w:rsidRPr="00AF68A2">
        <w:t>-</w:t>
      </w:r>
      <w:r w:rsidR="00CE58FE">
        <w:t>33/Rev.1</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53268901" w:rsidR="007071FC" w:rsidRPr="004E6CD9" w:rsidRDefault="001004CC" w:rsidP="00CE58FE">
      <w:pPr>
        <w:pStyle w:val="HChG"/>
        <w:ind w:right="522"/>
      </w:pPr>
      <w:r w:rsidRPr="004E6CD9">
        <w:lastRenderedPageBreak/>
        <w:tab/>
        <w:t>I.</w:t>
      </w:r>
      <w:r w:rsidRPr="004E6CD9">
        <w:tab/>
      </w:r>
      <w:r w:rsidR="007071FC" w:rsidRPr="004E6CD9">
        <w:t>Proposal</w:t>
      </w:r>
    </w:p>
    <w:p w14:paraId="2452C0CD" w14:textId="77777777" w:rsidR="00EA314C" w:rsidRDefault="00EA314C" w:rsidP="00EA314C">
      <w:pPr>
        <w:spacing w:after="114" w:line="252" w:lineRule="auto"/>
        <w:ind w:left="1133"/>
        <w:rPr>
          <w:lang w:val="en-US"/>
        </w:rPr>
      </w:pPr>
      <w:r>
        <w:rPr>
          <w:i/>
          <w:lang w:val="en-US"/>
        </w:rPr>
        <w:t>Paragraph 5.5.5.,</w:t>
      </w:r>
      <w:r>
        <w:rPr>
          <w:lang w:val="en-US"/>
        </w:rPr>
        <w:t xml:space="preserve"> amend to read: </w:t>
      </w:r>
    </w:p>
    <w:p w14:paraId="15BB50D1" w14:textId="6C91FF5D" w:rsidR="00EA314C" w:rsidRPr="006479CD" w:rsidRDefault="00EA314C" w:rsidP="00EA314C">
      <w:pPr>
        <w:spacing w:after="114" w:line="252" w:lineRule="auto"/>
        <w:ind w:left="2268" w:right="1134" w:hanging="1134"/>
        <w:jc w:val="both"/>
        <w:rPr>
          <w:b/>
          <w:bCs/>
          <w:iCs/>
        </w:rPr>
      </w:pPr>
      <w:r>
        <w:rPr>
          <w:iCs/>
        </w:rPr>
        <w:t>“5.5.5.</w:t>
      </w:r>
      <w:r>
        <w:rPr>
          <w:iCs/>
        </w:rPr>
        <w:tab/>
        <w:t>Reactivation of the system after the end of any minimum risk manoeuvre shall only be possible after each</w:t>
      </w:r>
      <w:r w:rsidRPr="006479CD">
        <w:rPr>
          <w:iCs/>
        </w:rPr>
        <w:t xml:space="preserve"> </w:t>
      </w:r>
      <w:r w:rsidRPr="006479CD">
        <w:rPr>
          <w:b/>
          <w:bCs/>
          <w:iCs/>
        </w:rPr>
        <w:t>initiation of the powertrain</w:t>
      </w:r>
      <w:r w:rsidR="009B5B15">
        <w:rPr>
          <w:b/>
          <w:bCs/>
          <w:iCs/>
        </w:rPr>
        <w:t xml:space="preserve"> </w:t>
      </w:r>
      <w:r w:rsidR="00943F61">
        <w:rPr>
          <w:b/>
          <w:bCs/>
          <w:iCs/>
          <w:vertAlign w:val="superscript"/>
        </w:rPr>
        <w:t>3</w:t>
      </w:r>
      <w:r w:rsidRPr="006479CD">
        <w:rPr>
          <w:b/>
          <w:bCs/>
          <w:iCs/>
        </w:rPr>
        <w:t xml:space="preserve"> </w:t>
      </w:r>
      <w:r w:rsidRPr="006479CD">
        <w:rPr>
          <w:iCs/>
          <w:strike/>
        </w:rPr>
        <w:t>new engine start</w:t>
      </w:r>
      <w:r w:rsidRPr="006479CD">
        <w:rPr>
          <w:b/>
          <w:bCs/>
          <w:iCs/>
          <w:strike/>
        </w:rPr>
        <w:t>/</w:t>
      </w:r>
      <w:r w:rsidRPr="006479CD">
        <w:rPr>
          <w:iCs/>
          <w:strike/>
        </w:rPr>
        <w:t>run cycle</w:t>
      </w:r>
      <w:r w:rsidRPr="006479CD">
        <w:rPr>
          <w:iCs/>
        </w:rPr>
        <w:t>.”</w:t>
      </w:r>
    </w:p>
    <w:p w14:paraId="4E181B52" w14:textId="77777777" w:rsidR="00EA314C" w:rsidRDefault="00EA314C" w:rsidP="00EA314C">
      <w:pPr>
        <w:spacing w:after="114" w:line="252" w:lineRule="auto"/>
        <w:ind w:left="2268" w:right="1134" w:hanging="1134"/>
        <w:rPr>
          <w:i/>
        </w:rPr>
      </w:pPr>
      <w:r>
        <w:rPr>
          <w:iCs/>
        </w:rPr>
        <w:t xml:space="preserve">Insert new </w:t>
      </w:r>
      <w:r>
        <w:rPr>
          <w:i/>
        </w:rPr>
        <w:t>footnote</w:t>
      </w:r>
      <w:r>
        <w:rPr>
          <w:iCs/>
        </w:rPr>
        <w:t>, to read:</w:t>
      </w:r>
    </w:p>
    <w:p w14:paraId="0DDCF7E0" w14:textId="4E781CFF" w:rsidR="00EA314C" w:rsidRDefault="00EA314C" w:rsidP="006479CD">
      <w:pPr>
        <w:spacing w:after="114" w:line="252" w:lineRule="auto"/>
        <w:ind w:left="2268" w:right="1134" w:hanging="567"/>
        <w:rPr>
          <w:iCs/>
        </w:rPr>
      </w:pPr>
      <w:r>
        <w:rPr>
          <w:iCs/>
        </w:rPr>
        <w:t>“</w:t>
      </w:r>
      <w:r>
        <w:rPr>
          <w:iCs/>
        </w:rPr>
        <w:tab/>
      </w:r>
      <w:r w:rsidR="00943F61" w:rsidRPr="00943F61">
        <w:rPr>
          <w:b/>
          <w:bCs/>
          <w:iCs/>
          <w:sz w:val="18"/>
          <w:szCs w:val="18"/>
          <w:vertAlign w:val="superscript"/>
        </w:rPr>
        <w:t>3</w:t>
      </w:r>
      <w:r w:rsidR="00943F61" w:rsidRPr="00943F61">
        <w:rPr>
          <w:iCs/>
          <w:sz w:val="18"/>
          <w:szCs w:val="18"/>
        </w:rPr>
        <w:t xml:space="preserve">  </w:t>
      </w:r>
      <w:r w:rsidRPr="00943F61">
        <w:rPr>
          <w:b/>
          <w:bCs/>
          <w:iCs/>
          <w:sz w:val="18"/>
          <w:szCs w:val="18"/>
        </w:rPr>
        <w:t xml:space="preserve">As defined in Mutual Resolution No. 2 (M.R.2) of the 1958 and the 1998 Agreements containing vehicle propulsion system definitions, </w:t>
      </w:r>
      <w:r w:rsidR="00D26882">
        <w:rPr>
          <w:b/>
          <w:bCs/>
          <w:iCs/>
          <w:sz w:val="18"/>
          <w:szCs w:val="18"/>
        </w:rPr>
        <w:t xml:space="preserve">see </w:t>
      </w:r>
      <w:r w:rsidRPr="00943F61">
        <w:rPr>
          <w:b/>
          <w:bCs/>
          <w:iCs/>
          <w:sz w:val="18"/>
          <w:szCs w:val="18"/>
        </w:rPr>
        <w:t>document ECE/TRANS/WP.29/1121.</w:t>
      </w:r>
      <w:r>
        <w:rPr>
          <w:iCs/>
        </w:rPr>
        <w:t xml:space="preserve">” </w:t>
      </w:r>
    </w:p>
    <w:p w14:paraId="711E131B" w14:textId="05303195" w:rsidR="00EA314C" w:rsidRDefault="0040076B" w:rsidP="00EA314C">
      <w:pPr>
        <w:spacing w:after="114" w:line="252" w:lineRule="auto"/>
        <w:ind w:left="1133" w:right="1134"/>
        <w:jc w:val="both"/>
        <w:rPr>
          <w:i/>
          <w:lang w:val="en-US"/>
        </w:rPr>
      </w:pPr>
      <w:r>
        <w:rPr>
          <w:i/>
        </w:rPr>
        <w:t>Renumber</w:t>
      </w:r>
      <w:r w:rsidR="00EA314C">
        <w:rPr>
          <w:i/>
        </w:rPr>
        <w:t xml:space="preserve"> </w:t>
      </w:r>
      <w:r>
        <w:rPr>
          <w:i/>
        </w:rPr>
        <w:t>subsequent footnotes as appropriate</w:t>
      </w:r>
      <w:r w:rsidR="00D26882">
        <w:rPr>
          <w:i/>
        </w:rPr>
        <w:t>.</w:t>
      </w:r>
      <w:r w:rsidR="00EA314C">
        <w:rPr>
          <w:i/>
        </w:rPr>
        <w:t xml:space="preserve"> </w:t>
      </w:r>
    </w:p>
    <w:p w14:paraId="29CFDEA2" w14:textId="77777777" w:rsidR="00EA314C" w:rsidRDefault="00EA314C" w:rsidP="00EA314C">
      <w:pPr>
        <w:spacing w:after="114" w:line="252" w:lineRule="auto"/>
        <w:ind w:left="1133" w:right="1134"/>
        <w:jc w:val="both"/>
        <w:rPr>
          <w:i/>
          <w:lang w:val="en-US"/>
        </w:rPr>
      </w:pPr>
      <w:r>
        <w:rPr>
          <w:i/>
          <w:lang w:val="en-US"/>
        </w:rPr>
        <w:t>Paragraph 6.2.2.,</w:t>
      </w:r>
      <w:r>
        <w:rPr>
          <w:lang w:val="en-US"/>
        </w:rPr>
        <w:t xml:space="preserve"> amend to read: </w:t>
      </w:r>
    </w:p>
    <w:p w14:paraId="3FCE650E" w14:textId="2BB174D0" w:rsidR="007071FC" w:rsidRPr="00D26882" w:rsidRDefault="00EA314C" w:rsidP="00EA314C">
      <w:pPr>
        <w:spacing w:after="114" w:line="256" w:lineRule="auto"/>
        <w:ind w:left="2268" w:right="1134" w:hanging="1134"/>
        <w:jc w:val="both"/>
        <w:rPr>
          <w:iCs/>
          <w:lang w:val="en-US"/>
        </w:rPr>
      </w:pPr>
      <w:r>
        <w:rPr>
          <w:iCs/>
        </w:rPr>
        <w:t>“6.2.2.</w:t>
      </w:r>
      <w:r>
        <w:rPr>
          <w:iCs/>
        </w:rPr>
        <w:tab/>
      </w:r>
      <w:r w:rsidRPr="00D26882">
        <w:rPr>
          <w:iCs/>
        </w:rPr>
        <w:t xml:space="preserve">The default status of the system shall be the off mode at the initiation of </w:t>
      </w:r>
      <w:r w:rsidRPr="00D26882">
        <w:rPr>
          <w:b/>
          <w:bCs/>
          <w:iCs/>
        </w:rPr>
        <w:t xml:space="preserve">the powertrain </w:t>
      </w:r>
      <w:r w:rsidRPr="00D26882">
        <w:rPr>
          <w:iCs/>
          <w:strike/>
        </w:rPr>
        <w:t>each new engine start/run cycle</w:t>
      </w:r>
      <w:r w:rsidRPr="00D26882">
        <w:rPr>
          <w:iCs/>
        </w:rPr>
        <w:t xml:space="preserve">. </w:t>
      </w:r>
      <w:r w:rsidRPr="00D26882">
        <w:rPr>
          <w:iCs/>
          <w:strike/>
        </w:rPr>
        <w:t>This requirement does not apply when a</w:t>
      </w:r>
      <w:r w:rsidRPr="00D26882">
        <w:rPr>
          <w:iCs/>
        </w:rPr>
        <w:t xml:space="preserve"> </w:t>
      </w:r>
      <w:proofErr w:type="spellStart"/>
      <w:r w:rsidRPr="00D26882">
        <w:rPr>
          <w:b/>
          <w:bCs/>
          <w:iCs/>
        </w:rPr>
        <w:t>A</w:t>
      </w:r>
      <w:proofErr w:type="spellEnd"/>
      <w:r w:rsidRPr="00D26882">
        <w:rPr>
          <w:b/>
          <w:bCs/>
          <w:iCs/>
        </w:rPr>
        <w:t xml:space="preserve"> </w:t>
      </w:r>
      <w:r w:rsidRPr="00D26882">
        <w:rPr>
          <w:iCs/>
        </w:rPr>
        <w:t>new engine start</w:t>
      </w:r>
      <w:r w:rsidRPr="00D26882">
        <w:rPr>
          <w:iCs/>
          <w:strike/>
        </w:rPr>
        <w:t>/run cycle</w:t>
      </w:r>
      <w:r w:rsidRPr="00D26882">
        <w:rPr>
          <w:b/>
          <w:bCs/>
          <w:iCs/>
        </w:rPr>
        <w:t xml:space="preserve"> (or run cycle</w:t>
      </w:r>
      <w:r w:rsidRPr="00D26882">
        <w:rPr>
          <w:b/>
          <w:bCs/>
          <w:iCs/>
          <w:strike/>
        </w:rPr>
        <w:t>, as relevant</w:t>
      </w:r>
      <w:r w:rsidRPr="00D26882">
        <w:rPr>
          <w:b/>
          <w:bCs/>
          <w:iCs/>
        </w:rPr>
        <w:t>)</w:t>
      </w:r>
      <w:r w:rsidR="00243515">
        <w:rPr>
          <w:b/>
          <w:bCs/>
          <w:iCs/>
        </w:rPr>
        <w:t>,</w:t>
      </w:r>
      <w:r w:rsidRPr="00D26882">
        <w:rPr>
          <w:b/>
          <w:bCs/>
          <w:iCs/>
        </w:rPr>
        <w:t xml:space="preserve"> which </w:t>
      </w:r>
      <w:r w:rsidRPr="00D26882">
        <w:rPr>
          <w:iCs/>
        </w:rPr>
        <w:t>is performed automatically, e.g. by the operation of a stop/start system</w:t>
      </w:r>
      <w:r w:rsidRPr="00D26882">
        <w:rPr>
          <w:b/>
          <w:bCs/>
          <w:iCs/>
        </w:rPr>
        <w:t>, is not considered an initiation of the powertrain</w:t>
      </w:r>
      <w:r w:rsidRPr="00D26882">
        <w:rPr>
          <w:iCs/>
        </w:rPr>
        <w:t>.</w:t>
      </w:r>
    </w:p>
    <w:p w14:paraId="3432E3C5" w14:textId="3003D3E3" w:rsidR="001004CC" w:rsidRPr="004E6CD9" w:rsidRDefault="003F653D" w:rsidP="001004CC">
      <w:pPr>
        <w:pStyle w:val="HChG"/>
        <w:ind w:right="522"/>
      </w:pPr>
      <w:r>
        <w:tab/>
        <w:t>II.</w:t>
      </w:r>
      <w:r>
        <w:tab/>
      </w:r>
      <w:r w:rsidR="001004CC">
        <w:t>Justification</w:t>
      </w:r>
    </w:p>
    <w:p w14:paraId="5BA60600" w14:textId="1BA47BE8" w:rsidR="00EF0322" w:rsidRDefault="00EF0322" w:rsidP="00EF0322">
      <w:pPr>
        <w:pStyle w:val="SingleTxtG"/>
      </w:pPr>
      <w:bookmarkStart w:id="2" w:name="_Hlk19813127"/>
      <w:r>
        <w:t>1</w:t>
      </w:r>
      <w:r w:rsidR="00347D74">
        <w:t>.</w:t>
      </w:r>
      <w:r>
        <w:tab/>
        <w:t xml:space="preserve">Mutual Resolution No.2 (M.R.2) was specifically created to establish uniform definitions for vehicle propulsion systems and created generic terms for components and aspects of propulsion systems that are independent of fuel type or technology used. It therefore gives the basis for establishing provisions that can be technology neutral. Continuing to refer to ‘engine’ or ‘run cycle’ is still implying a technology type and therefore may retain a level of ambiguity. </w:t>
      </w:r>
    </w:p>
    <w:p w14:paraId="0B410346" w14:textId="77CA111D" w:rsidR="00EF0322" w:rsidRDefault="00EF0322" w:rsidP="00EF0322">
      <w:pPr>
        <w:pStyle w:val="SingleTxtG"/>
      </w:pPr>
      <w:r>
        <w:t>2.</w:t>
      </w:r>
      <w:r>
        <w:tab/>
        <w:t>Using the definition of ‘powertrain’ from M.R.2 provides a generic term that sufficiently covers the aspect of a vehicle which needs to be referred to when considering the default state of systems following initialisation. Also using the term ‘powertrain’ simplifies the respective provisions. The M.R.2 definition of powertrain is as follows:</w:t>
      </w:r>
    </w:p>
    <w:p w14:paraId="4D04B29B" w14:textId="17CD8DBE" w:rsidR="001004CC" w:rsidRPr="00237C70" w:rsidRDefault="00EF0322" w:rsidP="00EF0322">
      <w:pPr>
        <w:pStyle w:val="SingleTxtG"/>
      </w:pPr>
      <w:r>
        <w:t>3.</w:t>
      </w:r>
      <w:r>
        <w:tab/>
        <w:t>“</w:t>
      </w:r>
      <w:r w:rsidRPr="00EF0322">
        <w:rPr>
          <w:i/>
          <w:iCs/>
        </w:rPr>
        <w:t>Powertrain</w:t>
      </w:r>
      <w:r>
        <w:t>” means the total combination in a vehicle, of propulsion energy storage system(s), propulsion energy converter(s), the drivetrain(s), providing the mechanical energy at the wheels for the purpose of vehicle propulsion, plus peripheral devices.</w:t>
      </w:r>
    </w:p>
    <w:bookmarkEnd w:id="2"/>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6CF0" w14:textId="77777777" w:rsidR="00ED6A86" w:rsidRDefault="00ED6A86"/>
  </w:endnote>
  <w:endnote w:type="continuationSeparator" w:id="0">
    <w:p w14:paraId="2AD19306" w14:textId="77777777" w:rsidR="00ED6A86" w:rsidRDefault="00ED6A86"/>
  </w:endnote>
  <w:endnote w:type="continuationNotice" w:id="1">
    <w:p w14:paraId="795E7902" w14:textId="77777777" w:rsidR="00ED6A86" w:rsidRDefault="00ED6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B3FE" w14:textId="77777777" w:rsidR="00ED6A86" w:rsidRPr="000B175B" w:rsidRDefault="00ED6A86" w:rsidP="000B175B">
      <w:pPr>
        <w:tabs>
          <w:tab w:val="right" w:pos="2155"/>
        </w:tabs>
        <w:spacing w:after="80"/>
        <w:ind w:left="680"/>
        <w:rPr>
          <w:u w:val="single"/>
        </w:rPr>
      </w:pPr>
      <w:r>
        <w:rPr>
          <w:u w:val="single"/>
        </w:rPr>
        <w:tab/>
      </w:r>
    </w:p>
  </w:footnote>
  <w:footnote w:type="continuationSeparator" w:id="0">
    <w:p w14:paraId="36BDE4EB" w14:textId="77777777" w:rsidR="00ED6A86" w:rsidRPr="00FC68B7" w:rsidRDefault="00ED6A86" w:rsidP="00FC68B7">
      <w:pPr>
        <w:tabs>
          <w:tab w:val="left" w:pos="2155"/>
        </w:tabs>
        <w:spacing w:after="80"/>
        <w:ind w:left="680"/>
        <w:rPr>
          <w:u w:val="single"/>
        </w:rPr>
      </w:pPr>
      <w:r>
        <w:rPr>
          <w:u w:val="single"/>
        </w:rPr>
        <w:tab/>
      </w:r>
    </w:p>
  </w:footnote>
  <w:footnote w:type="continuationNotice" w:id="1">
    <w:p w14:paraId="66017FD9" w14:textId="77777777" w:rsidR="00ED6A86" w:rsidRDefault="00ED6A86"/>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1AB0EC7E"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562202">
      <w:rPr>
        <w:lang w:val="fr-CH"/>
      </w:rPr>
      <w:t>4</w:t>
    </w:r>
    <w:r w:rsidR="00CE58FE">
      <w:rPr>
        <w:lang w:val="fr-CH"/>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6B6AA732" w:rsidR="004F098C" w:rsidRPr="004F098C" w:rsidRDefault="004F098C" w:rsidP="004F098C">
    <w:pPr>
      <w:pStyle w:val="Header"/>
      <w:jc w:val="right"/>
      <w:rPr>
        <w:lang w:val="fr-CH"/>
      </w:rPr>
    </w:pPr>
    <w:r>
      <w:rPr>
        <w:lang w:val="fr-CH"/>
      </w:rPr>
      <w:t>ECE/TRANS/WP.29/GRVA/202</w:t>
    </w:r>
    <w:r w:rsidR="001004CC">
      <w:rPr>
        <w:lang w:val="fr-CH"/>
      </w:rPr>
      <w:t>2</w:t>
    </w:r>
    <w:r>
      <w:rPr>
        <w:lang w:val="fr-CH"/>
      </w:rPr>
      <w:t>/</w:t>
    </w:r>
    <w:r w:rsidR="00BA1D14">
      <w:rPr>
        <w:lang w:val="fr-CH"/>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0ACB"/>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4D23"/>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202"/>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36120"/>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145"/>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808D3"/>
    <w:rsid w:val="0078112B"/>
    <w:rsid w:val="0078436A"/>
    <w:rsid w:val="00786C10"/>
    <w:rsid w:val="007941A9"/>
    <w:rsid w:val="00794706"/>
    <w:rsid w:val="007A28B3"/>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39C"/>
    <w:rsid w:val="00F6690C"/>
    <w:rsid w:val="00F66F59"/>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EBA0E345-C6A6-4126-9AF3-32D6520ABD91}"/>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2024-07-11T10:04:00Z</dcterms:created>
  <dcterms:modified xsi:type="dcterms:W3CDTF">2024-07-11T10:04:00Z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