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0CBAE9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05E27C9" w14:textId="77777777" w:rsidR="002D5AAC" w:rsidRDefault="002D5AAC" w:rsidP="005E38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729228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01DC2ED" w14:textId="48643074" w:rsidR="002D5AAC" w:rsidRDefault="005E3867" w:rsidP="005E3867">
            <w:pPr>
              <w:jc w:val="right"/>
            </w:pPr>
            <w:r w:rsidRPr="005E3867">
              <w:rPr>
                <w:sz w:val="40"/>
              </w:rPr>
              <w:t>ECE</w:t>
            </w:r>
            <w:r>
              <w:t>/TRANS/WP.29/GRVA/2024/37</w:t>
            </w:r>
          </w:p>
        </w:tc>
      </w:tr>
      <w:tr w:rsidR="002D5AAC" w:rsidRPr="00755217" w14:paraId="55D0D16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0F52B4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91B0590" wp14:editId="5CB1496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88F4A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DCA78D5" w14:textId="0788DFE1" w:rsidR="002D5AAC" w:rsidRDefault="005E386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5E3867">
              <w:rPr>
                <w:rFonts w:eastAsia="MS Mincho" w:cs="Times New Roman"/>
                <w:szCs w:val="20"/>
                <w:lang w:val="en-GB"/>
              </w:rPr>
              <w:t>General</w:t>
            </w:r>
          </w:p>
          <w:p w14:paraId="16D65721" w14:textId="3C9FF3CD" w:rsidR="005E3867" w:rsidRDefault="005E3867" w:rsidP="005E3867">
            <w:pPr>
              <w:spacing w:line="240" w:lineRule="exact"/>
              <w:rPr>
                <w:lang w:val="en-US"/>
              </w:rPr>
            </w:pPr>
            <w:r w:rsidRPr="005E3867">
              <w:rPr>
                <w:rFonts w:eastAsia="MS Mincho" w:cs="Times New Roman"/>
                <w:szCs w:val="20"/>
                <w:lang w:val="en-GB"/>
              </w:rPr>
              <w:t>5 July 2024</w:t>
            </w:r>
          </w:p>
          <w:p w14:paraId="0F1F42EE" w14:textId="77777777" w:rsidR="005E3867" w:rsidRDefault="005E3867" w:rsidP="005E386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91F035D" w14:textId="66AD5281" w:rsidR="005E3867" w:rsidRPr="008D53B6" w:rsidRDefault="005E3867" w:rsidP="005E386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5E3867">
              <w:rPr>
                <w:rFonts w:eastAsia="MS Mincho" w:cs="Times New Roman"/>
                <w:szCs w:val="20"/>
                <w:lang w:val="en-GB"/>
              </w:rPr>
              <w:t>English</w:t>
            </w:r>
          </w:p>
        </w:tc>
      </w:tr>
    </w:tbl>
    <w:p w14:paraId="46FEA60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17C3129" w14:textId="77777777" w:rsidR="005E3867" w:rsidRPr="005E3867" w:rsidRDefault="005E3867" w:rsidP="005E3867">
      <w:pPr>
        <w:spacing w:before="120"/>
        <w:rPr>
          <w:rFonts w:eastAsia="MS Mincho" w:cs="Times New Roman"/>
          <w:sz w:val="28"/>
          <w:szCs w:val="28"/>
        </w:rPr>
      </w:pPr>
      <w:r w:rsidRPr="005E3867">
        <w:rPr>
          <w:rFonts w:eastAsia="MS Mincho" w:cs="Times New Roman"/>
          <w:sz w:val="28"/>
          <w:szCs w:val="28"/>
        </w:rPr>
        <w:t>Комитет по внутреннему транспорту</w:t>
      </w:r>
    </w:p>
    <w:p w14:paraId="6476B315" w14:textId="537C59F7" w:rsidR="005E3867" w:rsidRPr="005E3867" w:rsidRDefault="005E3867" w:rsidP="005E3867">
      <w:pPr>
        <w:spacing w:before="120"/>
        <w:rPr>
          <w:rFonts w:eastAsia="MS Mincho" w:cs="Times New Roman"/>
          <w:b/>
          <w:bCs/>
          <w:sz w:val="24"/>
          <w:szCs w:val="24"/>
        </w:rPr>
      </w:pPr>
      <w:r w:rsidRPr="005E3867">
        <w:rPr>
          <w:rFonts w:eastAsia="MS Mincho" w:cs="Times New Roman"/>
          <w:b/>
          <w:bCs/>
          <w:sz w:val="24"/>
          <w:szCs w:val="24"/>
        </w:rPr>
        <w:t>Всемирный форум для согласования правил</w:t>
      </w:r>
      <w:r w:rsidR="000F11DF">
        <w:rPr>
          <w:rFonts w:eastAsia="MS Mincho" w:cs="Times New Roman"/>
          <w:b/>
          <w:bCs/>
          <w:sz w:val="24"/>
          <w:szCs w:val="24"/>
        </w:rPr>
        <w:br/>
      </w:r>
      <w:r w:rsidRPr="005E3867">
        <w:rPr>
          <w:rFonts w:eastAsia="MS Mincho" w:cs="Times New Roman"/>
          <w:b/>
          <w:bCs/>
          <w:sz w:val="24"/>
          <w:szCs w:val="24"/>
        </w:rPr>
        <w:t>в области транспортных средств</w:t>
      </w:r>
    </w:p>
    <w:p w14:paraId="38C10785" w14:textId="7A40C1CA" w:rsidR="005E3867" w:rsidRPr="00755217" w:rsidRDefault="005E3867" w:rsidP="005E3867">
      <w:pPr>
        <w:spacing w:before="120"/>
        <w:rPr>
          <w:rFonts w:eastAsia="MS Mincho" w:cs="Times New Roman"/>
          <w:b/>
          <w:bCs/>
          <w:szCs w:val="20"/>
        </w:rPr>
      </w:pPr>
      <w:bookmarkStart w:id="0" w:name="_Hlk518466992"/>
      <w:r w:rsidRPr="00755217">
        <w:rPr>
          <w:rFonts w:eastAsia="MS Mincho" w:cs="Times New Roman"/>
          <w:b/>
          <w:bCs/>
          <w:szCs w:val="20"/>
        </w:rPr>
        <w:t>Рабочая группа по автоматизированным/</w:t>
      </w:r>
      <w:r w:rsidR="000F11DF" w:rsidRPr="00755217">
        <w:rPr>
          <w:rFonts w:eastAsia="MS Mincho" w:cs="Times New Roman"/>
          <w:b/>
          <w:bCs/>
          <w:szCs w:val="20"/>
        </w:rPr>
        <w:br/>
      </w:r>
      <w:r w:rsidRPr="00755217">
        <w:rPr>
          <w:rFonts w:eastAsia="MS Mincho" w:cs="Times New Roman"/>
          <w:b/>
          <w:bCs/>
          <w:szCs w:val="20"/>
        </w:rPr>
        <w:t>автономным и подключенным</w:t>
      </w:r>
      <w:r w:rsidR="000F11DF" w:rsidRPr="00755217">
        <w:rPr>
          <w:rFonts w:eastAsia="MS Mincho" w:cs="Times New Roman"/>
          <w:b/>
          <w:bCs/>
          <w:szCs w:val="20"/>
        </w:rPr>
        <w:br/>
      </w:r>
      <w:r w:rsidRPr="00755217">
        <w:rPr>
          <w:rFonts w:eastAsia="MS Mincho" w:cs="Times New Roman"/>
          <w:b/>
          <w:bCs/>
          <w:szCs w:val="20"/>
        </w:rPr>
        <w:t>транспортным средствам</w:t>
      </w:r>
      <w:bookmarkEnd w:id="0"/>
    </w:p>
    <w:p w14:paraId="7BF6BAC9" w14:textId="12255048" w:rsidR="005E3867" w:rsidRPr="005E3867" w:rsidRDefault="005E3867" w:rsidP="000F11DF">
      <w:pPr>
        <w:spacing w:before="120"/>
        <w:rPr>
          <w:rFonts w:eastAsia="MS Mincho" w:cs="Times New Roman"/>
          <w:b/>
          <w:bCs/>
          <w:szCs w:val="20"/>
        </w:rPr>
      </w:pPr>
      <w:bookmarkStart w:id="1" w:name="OLE_LINK2"/>
      <w:r w:rsidRPr="005E3867">
        <w:rPr>
          <w:rFonts w:eastAsia="MS Mincho" w:cs="Times New Roman"/>
          <w:b/>
          <w:bCs/>
          <w:szCs w:val="20"/>
        </w:rPr>
        <w:t>Двадцатая сессия</w:t>
      </w:r>
      <w:r w:rsidR="000F11DF">
        <w:rPr>
          <w:rFonts w:eastAsia="MS Mincho" w:cs="Times New Roman"/>
          <w:b/>
          <w:bCs/>
          <w:szCs w:val="20"/>
        </w:rPr>
        <w:br/>
      </w:r>
      <w:r w:rsidRPr="005E3867">
        <w:rPr>
          <w:rFonts w:eastAsia="MS Mincho" w:cs="Times New Roman"/>
          <w:szCs w:val="20"/>
        </w:rPr>
        <w:t>Женева, 23–27 сентября 2024 года</w:t>
      </w:r>
      <w:r w:rsidR="000F11DF">
        <w:rPr>
          <w:rFonts w:eastAsia="MS Mincho" w:cs="Times New Roman"/>
          <w:szCs w:val="20"/>
        </w:rPr>
        <w:br/>
      </w:r>
      <w:r w:rsidRPr="005E3867">
        <w:rPr>
          <w:rFonts w:eastAsia="MS Mincho" w:cs="Times New Roman"/>
          <w:szCs w:val="20"/>
        </w:rPr>
        <w:t>Пункт 8 с) предварительной повестки дня</w:t>
      </w:r>
      <w:r w:rsidR="000F11DF">
        <w:rPr>
          <w:rFonts w:eastAsia="MS Mincho" w:cs="Times New Roman"/>
          <w:szCs w:val="20"/>
        </w:rPr>
        <w:br/>
      </w:r>
      <w:r w:rsidRPr="005E3867">
        <w:rPr>
          <w:rFonts w:eastAsia="MS Mincho" w:cs="Times New Roman"/>
          <w:b/>
          <w:bCs/>
          <w:szCs w:val="20"/>
        </w:rPr>
        <w:t xml:space="preserve">Правила ООН № 13, </w:t>
      </w:r>
      <w:r w:rsidR="000F11DF">
        <w:rPr>
          <w:rFonts w:eastAsia="MS Mincho" w:cs="Times New Roman"/>
          <w:b/>
          <w:bCs/>
          <w:szCs w:val="20"/>
        </w:rPr>
        <w:t xml:space="preserve">№ </w:t>
      </w:r>
      <w:r w:rsidRPr="005E3867">
        <w:rPr>
          <w:rFonts w:eastAsia="MS Mincho" w:cs="Times New Roman"/>
          <w:b/>
          <w:bCs/>
          <w:szCs w:val="20"/>
        </w:rPr>
        <w:t xml:space="preserve">13-H, </w:t>
      </w:r>
      <w:r w:rsidR="000F11DF">
        <w:rPr>
          <w:rFonts w:eastAsia="MS Mincho" w:cs="Times New Roman"/>
          <w:b/>
          <w:bCs/>
          <w:szCs w:val="20"/>
        </w:rPr>
        <w:t xml:space="preserve">№ </w:t>
      </w:r>
      <w:r w:rsidRPr="005E3867">
        <w:rPr>
          <w:rFonts w:eastAsia="MS Mincho" w:cs="Times New Roman"/>
          <w:b/>
          <w:bCs/>
          <w:szCs w:val="20"/>
        </w:rPr>
        <w:t xml:space="preserve">139, </w:t>
      </w:r>
      <w:r w:rsidR="000F11DF">
        <w:rPr>
          <w:rFonts w:eastAsia="MS Mincho" w:cs="Times New Roman"/>
          <w:b/>
          <w:bCs/>
          <w:szCs w:val="20"/>
        </w:rPr>
        <w:t xml:space="preserve">№ </w:t>
      </w:r>
      <w:r w:rsidRPr="005E3867">
        <w:rPr>
          <w:rFonts w:eastAsia="MS Mincho" w:cs="Times New Roman"/>
          <w:b/>
          <w:bCs/>
          <w:szCs w:val="20"/>
        </w:rPr>
        <w:t>140</w:t>
      </w:r>
      <w:r w:rsidR="000F11DF">
        <w:rPr>
          <w:rFonts w:eastAsia="MS Mincho" w:cs="Times New Roman"/>
          <w:b/>
          <w:bCs/>
          <w:szCs w:val="20"/>
        </w:rPr>
        <w:br/>
      </w:r>
      <w:r w:rsidRPr="005E3867">
        <w:rPr>
          <w:rFonts w:eastAsia="MS Mincho" w:cs="Times New Roman"/>
          <w:b/>
          <w:bCs/>
          <w:szCs w:val="20"/>
        </w:rPr>
        <w:t>и ГТП № 8 ООН:</w:t>
      </w:r>
      <w:r w:rsidR="000F11DF">
        <w:rPr>
          <w:rFonts w:eastAsia="MS Mincho" w:cs="Times New Roman"/>
          <w:b/>
          <w:bCs/>
          <w:szCs w:val="20"/>
        </w:rPr>
        <w:br/>
      </w:r>
      <w:r w:rsidRPr="005E3867">
        <w:rPr>
          <w:rFonts w:eastAsia="MS Mincho" w:cs="Times New Roman"/>
          <w:b/>
          <w:bCs/>
          <w:szCs w:val="20"/>
        </w:rPr>
        <w:t>Уточнения</w:t>
      </w:r>
    </w:p>
    <w:p w14:paraId="4368AC20" w14:textId="77777777" w:rsidR="005E3867" w:rsidRPr="005E3867" w:rsidRDefault="005E3867" w:rsidP="000F11DF">
      <w:pPr>
        <w:pStyle w:val="HChG"/>
        <w:rPr>
          <w:rFonts w:eastAsia="MS Mincho"/>
        </w:rPr>
      </w:pPr>
      <w:r w:rsidRPr="005E3867">
        <w:rPr>
          <w:rFonts w:eastAsia="MS Mincho"/>
        </w:rPr>
        <w:tab/>
      </w:r>
      <w:r w:rsidRPr="005E3867">
        <w:rPr>
          <w:rFonts w:eastAsia="MS Mincho"/>
        </w:rPr>
        <w:tab/>
        <w:t>Предложение по дополнению к Правилам № 13 ООН (торможение большегрузных транспортных средств)</w:t>
      </w:r>
      <w:bookmarkEnd w:id="1"/>
    </w:p>
    <w:p w14:paraId="21A03240" w14:textId="77777777" w:rsidR="005E3867" w:rsidRPr="005E3867" w:rsidRDefault="005E3867" w:rsidP="000F11DF">
      <w:pPr>
        <w:pStyle w:val="H1G"/>
        <w:rPr>
          <w:rFonts w:eastAsia="MS Mincho"/>
          <w:szCs w:val="24"/>
        </w:rPr>
      </w:pPr>
      <w:r w:rsidRPr="005E3867">
        <w:rPr>
          <w:rFonts w:eastAsia="MS Mincho"/>
        </w:rPr>
        <w:tab/>
      </w:r>
      <w:r w:rsidRPr="005E3867">
        <w:rPr>
          <w:rFonts w:eastAsia="MS Mincho"/>
        </w:rPr>
        <w:tab/>
        <w:t>Представлено экспертом от Германии</w:t>
      </w:r>
      <w:r w:rsidRPr="000F11DF">
        <w:rPr>
          <w:rFonts w:eastAsia="MS Mincho"/>
          <w:b w:val="0"/>
          <w:bCs/>
          <w:position w:val="4"/>
          <w:sz w:val="20"/>
        </w:rPr>
        <w:footnoteReference w:customMarkFollows="1" w:id="1"/>
        <w:t>*</w:t>
      </w:r>
    </w:p>
    <w:p w14:paraId="19B486F0" w14:textId="704CD366" w:rsidR="005E3867" w:rsidRPr="005E3867" w:rsidRDefault="005E3867" w:rsidP="005E3867">
      <w:pPr>
        <w:tabs>
          <w:tab w:val="left" w:pos="1701"/>
        </w:tabs>
        <w:spacing w:after="120"/>
        <w:ind w:left="1134" w:right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ab/>
        <w:t xml:space="preserve">Воспроизведенный ниже текст был подготовлен экспертом от Германии в целях уточнения массы, которая должна учитываться в контексте испытания типа II-A. В его основу положен неофициальный документ GRVA-19-08. </w:t>
      </w:r>
      <w:r w:rsidR="001520DD">
        <w:t>Изменения к действующему тексту Правил выделены жирным шрифтом в случае новых положений или зачеркиванием в случае исключенных элементов.</w:t>
      </w:r>
    </w:p>
    <w:p w14:paraId="244E0859" w14:textId="77777777" w:rsidR="005E3867" w:rsidRPr="005E3867" w:rsidRDefault="005E3867" w:rsidP="000F11DF">
      <w:pPr>
        <w:keepNext/>
        <w:keepLines/>
        <w:pageBreakBefore/>
        <w:tabs>
          <w:tab w:val="right" w:pos="851"/>
        </w:tabs>
        <w:spacing w:before="360" w:after="240" w:line="300" w:lineRule="exact"/>
        <w:ind w:left="1134" w:right="522" w:hanging="1134"/>
        <w:rPr>
          <w:rFonts w:eastAsia="MS Mincho" w:cs="Times New Roman"/>
          <w:b/>
          <w:sz w:val="28"/>
          <w:szCs w:val="20"/>
        </w:rPr>
      </w:pPr>
      <w:r w:rsidRPr="005E3867">
        <w:rPr>
          <w:rFonts w:eastAsia="MS Mincho" w:cs="Times New Roman"/>
          <w:b/>
          <w:bCs/>
          <w:sz w:val="28"/>
          <w:szCs w:val="20"/>
        </w:rPr>
        <w:lastRenderedPageBreak/>
        <w:tab/>
        <w:t>I.</w:t>
      </w:r>
      <w:r w:rsidRPr="005E3867">
        <w:rPr>
          <w:rFonts w:eastAsia="MS Mincho" w:cs="Times New Roman"/>
          <w:b/>
          <w:sz w:val="28"/>
          <w:szCs w:val="20"/>
        </w:rPr>
        <w:tab/>
      </w:r>
      <w:r w:rsidRPr="005E3867">
        <w:rPr>
          <w:rFonts w:eastAsia="MS Mincho" w:cs="Times New Roman"/>
          <w:b/>
          <w:bCs/>
          <w:sz w:val="28"/>
          <w:szCs w:val="20"/>
        </w:rPr>
        <w:t>Предложение</w:t>
      </w:r>
    </w:p>
    <w:p w14:paraId="60A2F481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i/>
          <w:iCs/>
          <w:szCs w:val="20"/>
        </w:rPr>
      </w:pPr>
      <w:r w:rsidRPr="005E3867">
        <w:rPr>
          <w:rFonts w:eastAsia="MS Mincho" w:cs="Times New Roman"/>
          <w:i/>
          <w:iCs/>
          <w:szCs w:val="20"/>
        </w:rPr>
        <w:t>Для справочных целей:</w:t>
      </w:r>
    </w:p>
    <w:p w14:paraId="668ADF37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5.1.2.4</w:t>
      </w:r>
      <w:r w:rsidRPr="005E3867">
        <w:rPr>
          <w:rFonts w:eastAsia="MS Mincho" w:cs="Times New Roman"/>
          <w:szCs w:val="20"/>
        </w:rPr>
        <w:tab/>
        <w:t>Система замедления без тормозов</w:t>
      </w:r>
      <w:bookmarkStart w:id="2" w:name="_Hlk112058196"/>
    </w:p>
    <w:p w14:paraId="78A21F76" w14:textId="6DC6178E" w:rsidR="005E3867" w:rsidRPr="005E3867" w:rsidRDefault="001520DD" w:rsidP="005E3867">
      <w:pPr>
        <w:spacing w:after="120"/>
        <w:ind w:left="2268" w:right="1134"/>
        <w:jc w:val="both"/>
        <w:rPr>
          <w:rFonts w:eastAsia="MS Mincho" w:cs="Times New Roman"/>
          <w:szCs w:val="20"/>
        </w:rPr>
      </w:pPr>
      <w:bookmarkStart w:id="3" w:name="_Hlk112058213"/>
      <w:bookmarkEnd w:id="2"/>
      <w:r>
        <w:t>Система замедления без тормозов должна позволять поддерживать постоянную скорость на спуске в течение длительного времени</w:t>
      </w:r>
      <w:r>
        <w:br/>
        <w:t>без использования фрикционных тормозов.</w:t>
      </w:r>
    </w:p>
    <w:p w14:paraId="7E9DF3F0" w14:textId="77777777" w:rsidR="005E3867" w:rsidRPr="005E3867" w:rsidRDefault="005E3867" w:rsidP="005E3867">
      <w:pPr>
        <w:spacing w:after="120"/>
        <w:ind w:left="2268" w:right="1134"/>
        <w:jc w:val="both"/>
        <w:rPr>
          <w:rFonts w:eastAsia="MS Mincho" w:cs="Times New Roman"/>
          <w:szCs w:val="20"/>
        </w:rPr>
      </w:pPr>
      <w:bookmarkStart w:id="4" w:name="_Hlk112058227"/>
      <w:bookmarkEnd w:id="3"/>
      <w:r w:rsidRPr="005E3867">
        <w:rPr>
          <w:rFonts w:eastAsia="MS Mincho" w:cs="Times New Roman"/>
          <w:szCs w:val="20"/>
        </w:rPr>
        <w:t>Нижеследующие требования применяются только к транспортным средствам, указанным в пункте 1.8.1 приложения 4. Эти требования считаются выполненными, если выполнены соответствующие требования об испытаниях, указанные в пункте 1.8 приложения 4.</w:t>
      </w:r>
    </w:p>
    <w:bookmarkEnd w:id="4"/>
    <w:p w14:paraId="0CA44AFB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5.1.2.4.1</w:t>
      </w:r>
      <w:r w:rsidRPr="005E3867">
        <w:rPr>
          <w:rFonts w:eastAsia="MS Mincho" w:cs="Times New Roman"/>
          <w:szCs w:val="20"/>
        </w:rPr>
        <w:tab/>
        <w:t>В качестве эквивалента длительного времени считается достаточным время продолжительностью не менее 12 минут.</w:t>
      </w:r>
    </w:p>
    <w:p w14:paraId="15DD3E5A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i/>
          <w:iCs/>
          <w:szCs w:val="20"/>
        </w:rPr>
        <w:t>Пункт 5.1.2.4.2</w:t>
      </w:r>
      <w:r w:rsidRPr="005E3867">
        <w:rPr>
          <w:rFonts w:eastAsia="MS Mincho" w:cs="Times New Roman"/>
          <w:szCs w:val="20"/>
        </w:rPr>
        <w:t xml:space="preserve"> изменить следующим образом:</w:t>
      </w:r>
    </w:p>
    <w:p w14:paraId="63ADBAE4" w14:textId="238CBF03" w:rsidR="005E3867" w:rsidRPr="005E3867" w:rsidRDefault="004100E5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>«</w:t>
      </w:r>
      <w:r w:rsidR="005E3867" w:rsidRPr="005E3867">
        <w:rPr>
          <w:rFonts w:eastAsia="MS Mincho" w:cs="Times New Roman"/>
          <w:szCs w:val="20"/>
        </w:rPr>
        <w:t>5.1.2.4.2</w:t>
      </w:r>
      <w:r w:rsidR="005E3867" w:rsidRPr="005E3867">
        <w:rPr>
          <w:rFonts w:eastAsia="MS Mincho" w:cs="Times New Roman"/>
          <w:szCs w:val="20"/>
        </w:rPr>
        <w:tab/>
        <w:t xml:space="preserve">В течение времени, указанного в пункте 5.1.2.4.1, система замедления без тормозов должна быть способна поддерживать среднюю скорость на уровне 30 км/ч на спуске с уклоном 7 % </w:t>
      </w:r>
      <w:r w:rsidR="005E3867" w:rsidRPr="005E3867">
        <w:rPr>
          <w:rFonts w:eastAsia="MS Mincho" w:cs="Times New Roman"/>
          <w:b/>
          <w:bCs/>
          <w:szCs w:val="20"/>
        </w:rPr>
        <w:t>при максимальной массе транспортного средства или –– в случае автотранспортного средства, которому разрешается буксировать прицеп категории О4,</w:t>
      </w:r>
      <w:r w:rsidR="005E3867" w:rsidRPr="005E3867">
        <w:rPr>
          <w:rFonts w:eastAsia="MS Mincho" w:cs="Times New Roman"/>
          <w:b/>
          <w:bCs/>
          <w:szCs w:val="20"/>
          <w:lang w:val="en-US"/>
        </w:rPr>
        <w:t> </w:t>
      </w:r>
      <w:r w:rsidR="005E3867" w:rsidRPr="005E3867">
        <w:rPr>
          <w:rFonts w:eastAsia="MS Mincho" w:cs="Times New Roman"/>
          <w:b/>
          <w:bCs/>
          <w:szCs w:val="20"/>
        </w:rPr>
        <w:t>––</w:t>
      </w:r>
      <w:r w:rsidR="000F11DF">
        <w:rPr>
          <w:rFonts w:eastAsia="MS Mincho" w:cs="Times New Roman"/>
          <w:b/>
          <w:bCs/>
          <w:szCs w:val="20"/>
        </w:rPr>
        <w:br/>
      </w:r>
      <w:r w:rsidR="005E3867" w:rsidRPr="005E3867">
        <w:rPr>
          <w:rFonts w:eastAsia="MS Mincho" w:cs="Times New Roman"/>
          <w:b/>
          <w:bCs/>
          <w:szCs w:val="20"/>
        </w:rPr>
        <w:t>при максимальной массе состава транспортных средств, которая</w:t>
      </w:r>
      <w:r w:rsidR="000F11DF">
        <w:rPr>
          <w:rFonts w:eastAsia="MS Mincho" w:cs="Times New Roman"/>
          <w:b/>
          <w:bCs/>
          <w:szCs w:val="20"/>
        </w:rPr>
        <w:br/>
      </w:r>
      <w:r w:rsidR="005E3867" w:rsidRPr="005E3867">
        <w:rPr>
          <w:rFonts w:eastAsia="MS Mincho" w:cs="Times New Roman"/>
          <w:b/>
          <w:bCs/>
          <w:szCs w:val="20"/>
        </w:rPr>
        <w:t>не должна превышать при этом 44 тонны</w:t>
      </w:r>
      <w:r w:rsidR="005E3867" w:rsidRPr="005E3867">
        <w:rPr>
          <w:rFonts w:eastAsia="MS Mincho" w:cs="Times New Roman"/>
          <w:szCs w:val="20"/>
        </w:rPr>
        <w:t>.</w:t>
      </w:r>
    </w:p>
    <w:p w14:paraId="1AE79F83" w14:textId="77777777" w:rsidR="005E3867" w:rsidRPr="005E3867" w:rsidRDefault="005E3867" w:rsidP="005E3867">
      <w:pPr>
        <w:spacing w:after="120"/>
        <w:ind w:left="2268" w:right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Вместе с тем в случае транспортных средств, в которых энергия поглощается только за счет торможения двигателем, применяется допуск, указанный в пункте 1.8.2.3 приложения 4.</w:t>
      </w:r>
    </w:p>
    <w:p w14:paraId="42DF2088" w14:textId="3FA8FAC5" w:rsidR="005E3867" w:rsidRPr="005E3867" w:rsidRDefault="005E3867" w:rsidP="005E3867">
      <w:pPr>
        <w:tabs>
          <w:tab w:val="left" w:pos="3544"/>
        </w:tabs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5.1.2.4.3</w:t>
      </w:r>
      <w:r w:rsidRPr="005E3867">
        <w:rPr>
          <w:rFonts w:eastAsia="MS Mincho" w:cs="Times New Roman"/>
          <w:szCs w:val="20"/>
        </w:rPr>
        <w:tab/>
        <w:t>Особые требования, применимые к системе замедления без тормозов, включающей в себя системы электрического рекуперативного торможения</w:t>
      </w:r>
      <w:r w:rsidR="004100E5">
        <w:rPr>
          <w:rFonts w:eastAsia="MS Mincho" w:cs="Times New Roman"/>
          <w:szCs w:val="20"/>
        </w:rPr>
        <w:t>».</w:t>
      </w:r>
    </w:p>
    <w:p w14:paraId="04EFE73D" w14:textId="77777777" w:rsidR="005E3867" w:rsidRPr="005E3867" w:rsidRDefault="005E3867" w:rsidP="005E3867">
      <w:pPr>
        <w:spacing w:after="120"/>
        <w:ind w:left="3402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[…]</w:t>
      </w:r>
    </w:p>
    <w:p w14:paraId="0286BCDF" w14:textId="39731526" w:rsidR="005E3867" w:rsidRPr="005E3867" w:rsidRDefault="005E3867" w:rsidP="005E3867">
      <w:pPr>
        <w:spacing w:after="120"/>
        <w:ind w:left="1134" w:right="1134"/>
        <w:jc w:val="both"/>
        <w:rPr>
          <w:rFonts w:eastAsia="MS Mincho" w:cs="Times New Roman"/>
          <w:i/>
          <w:iCs/>
          <w:szCs w:val="20"/>
        </w:rPr>
      </w:pPr>
      <w:r w:rsidRPr="005E3867">
        <w:rPr>
          <w:rFonts w:eastAsia="MS Mincho" w:cs="Times New Roman"/>
          <w:i/>
          <w:iCs/>
          <w:szCs w:val="20"/>
        </w:rPr>
        <w:t>Включить новые пункты 12.9, 12.9.1–12.9.7</w:t>
      </w:r>
      <w:r w:rsidRPr="005E3867">
        <w:rPr>
          <w:rFonts w:eastAsia="MS Mincho" w:cs="Times New Roman"/>
          <w:szCs w:val="20"/>
        </w:rPr>
        <w:t xml:space="preserve"> следующего содержания:</w:t>
      </w:r>
    </w:p>
    <w:p w14:paraId="060862D9" w14:textId="44939E79" w:rsidR="005E3867" w:rsidRPr="005E3867" w:rsidRDefault="000F11DF" w:rsidP="005E3867">
      <w:pPr>
        <w:spacing w:after="120"/>
        <w:ind w:left="2268" w:right="1134" w:hanging="1134"/>
        <w:jc w:val="both"/>
        <w:rPr>
          <w:rFonts w:eastAsia="MS Mincho" w:cs="Times New Roman"/>
          <w:b/>
          <w:szCs w:val="20"/>
        </w:rPr>
      </w:pPr>
      <w:r>
        <w:rPr>
          <w:rFonts w:eastAsia="MS Mincho" w:cs="Times New Roman"/>
          <w:szCs w:val="20"/>
        </w:rPr>
        <w:t>«</w:t>
      </w:r>
      <w:r w:rsidR="005E3867" w:rsidRPr="005E3867">
        <w:rPr>
          <w:rFonts w:eastAsia="MS Mincho" w:cs="Times New Roman"/>
          <w:b/>
          <w:bCs/>
          <w:szCs w:val="20"/>
        </w:rPr>
        <w:t>12.9</w:t>
      </w:r>
      <w:r w:rsidR="005E3867" w:rsidRPr="005E3867">
        <w:rPr>
          <w:rFonts w:eastAsia="MS Mincho" w:cs="Times New Roman"/>
          <w:szCs w:val="20"/>
        </w:rPr>
        <w:tab/>
      </w:r>
      <w:r w:rsidR="005E3867" w:rsidRPr="005E3867">
        <w:rPr>
          <w:rFonts w:eastAsia="MS Mincho" w:cs="Times New Roman"/>
          <w:b/>
          <w:bCs/>
          <w:szCs w:val="20"/>
        </w:rPr>
        <w:t>Переходные положения, применимые к поправкам серии 14</w:t>
      </w:r>
    </w:p>
    <w:p w14:paraId="0AC4DC47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12.9.1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Начиная с официальной даты вступления в силу поправок серии 14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внесенными в них поправками серии 14.</w:t>
      </w:r>
    </w:p>
    <w:p w14:paraId="3D43582A" w14:textId="46216AED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12.9.2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Начиная с 1 сентября 2029 года Договаривающиеся стороны, применяющие настоящие Правила, не обязаны признавать официальные утверждения типа, предоставленные впервые после</w:t>
      </w:r>
      <w:r w:rsidR="000F11DF">
        <w:rPr>
          <w:rFonts w:eastAsia="MS Mincho" w:cs="Times New Roman"/>
          <w:b/>
          <w:bCs/>
          <w:szCs w:val="20"/>
        </w:rPr>
        <w:br/>
      </w:r>
      <w:r w:rsidRPr="005E3867">
        <w:rPr>
          <w:rFonts w:eastAsia="MS Mincho" w:cs="Times New Roman"/>
          <w:b/>
          <w:bCs/>
          <w:szCs w:val="20"/>
        </w:rPr>
        <w:t>1 сентября 2029 года на основании поправок предшествующих серий.</w:t>
      </w:r>
    </w:p>
    <w:p w14:paraId="5B9A1FAC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12.9.3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До 1 сентября 2030 года Договаривающиеся стороны, применяющие настоящие Правила, признают официальные утверждения типа, предоставленные впервые до 1 сентября 2029 года на основании поправок предшествующих серий.</w:t>
      </w:r>
    </w:p>
    <w:p w14:paraId="42BDE951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12.9.4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Начиная с 1 сентября 2030 года Договаривающиеся стороны, применяющие настоящие Правила, не обязаны признавать официальные утверждения типа, предоставленные на основании предшествующих серий поправок к настоящим Правилам.</w:t>
      </w:r>
      <w:bookmarkStart w:id="5" w:name="_Hlk112076569"/>
      <w:bookmarkEnd w:id="5"/>
    </w:p>
    <w:p w14:paraId="0AACAE7B" w14:textId="0F03A87D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12.9.5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Независимо от пункта 12.9.4 Договаривающиеся стороны, применяющие настоящие Правила, продолжают признавать официальные утверждения типа, предоставленные на основании предшествующих серий поправок к настоящим Правилам,</w:t>
      </w:r>
      <w:r w:rsidR="00BC7F47">
        <w:rPr>
          <w:rFonts w:eastAsia="MS Mincho" w:cs="Times New Roman"/>
          <w:b/>
          <w:bCs/>
          <w:szCs w:val="20"/>
        </w:rPr>
        <w:br/>
      </w:r>
      <w:r w:rsidRPr="005E3867">
        <w:rPr>
          <w:rFonts w:eastAsia="MS Mincho" w:cs="Times New Roman"/>
          <w:b/>
          <w:bCs/>
          <w:szCs w:val="20"/>
        </w:rPr>
        <w:lastRenderedPageBreak/>
        <w:t>в отношении транспортных средств, которые не затронуты изменениями, внесенными на основании поправок серии 14.</w:t>
      </w:r>
    </w:p>
    <w:p w14:paraId="1DAE674C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b/>
          <w:bCs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12.9.6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Договаривающиеся стороны, применяющие настоящие Правила, могут предоставлять официальные утверждения типа на основании любой предшествующей серии поправок к настоящим Правилам.</w:t>
      </w:r>
    </w:p>
    <w:p w14:paraId="46BD9471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b/>
          <w:bCs/>
          <w:szCs w:val="20"/>
        </w:rPr>
        <w:t>12.9.7</w:t>
      </w:r>
      <w:r w:rsidRPr="005E3867">
        <w:rPr>
          <w:rFonts w:eastAsia="MS Mincho" w:cs="Times New Roman"/>
          <w:szCs w:val="20"/>
        </w:rPr>
        <w:tab/>
      </w:r>
      <w:r w:rsidRPr="005E3867">
        <w:rPr>
          <w:rFonts w:eastAsia="MS Mincho" w:cs="Times New Roman"/>
          <w:b/>
          <w:bCs/>
          <w:szCs w:val="20"/>
        </w:rPr>
        <w:t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любой предшествующей серии поправок к настоящим Правилам</w:t>
      </w:r>
      <w:r w:rsidRPr="005E3867">
        <w:rPr>
          <w:rFonts w:eastAsia="MS Mincho" w:cs="Times New Roman"/>
          <w:szCs w:val="20"/>
        </w:rPr>
        <w:t>».</w:t>
      </w:r>
    </w:p>
    <w:p w14:paraId="2DACB7DC" w14:textId="77777777" w:rsidR="005E3867" w:rsidRPr="005E3867" w:rsidRDefault="005E3867" w:rsidP="005E3867">
      <w:pPr>
        <w:spacing w:after="120"/>
        <w:ind w:left="1134" w:right="1133"/>
        <w:jc w:val="both"/>
        <w:rPr>
          <w:rFonts w:eastAsia="MS Mincho" w:cs="Times New Roman"/>
          <w:i/>
          <w:iCs/>
          <w:szCs w:val="20"/>
        </w:rPr>
      </w:pPr>
      <w:r w:rsidRPr="005E3867">
        <w:rPr>
          <w:rFonts w:eastAsia="MS Mincho" w:cs="Times New Roman"/>
          <w:i/>
          <w:iCs/>
          <w:szCs w:val="20"/>
        </w:rPr>
        <w:t>Приложение 4, пункт 1.8.1.2</w:t>
      </w:r>
      <w:r w:rsidRPr="005E3867">
        <w:rPr>
          <w:rFonts w:eastAsia="MS Mincho" w:cs="Times New Roman"/>
          <w:szCs w:val="20"/>
        </w:rPr>
        <w:t xml:space="preserve"> изменить следующим образом:</w:t>
      </w:r>
    </w:p>
    <w:p w14:paraId="561639CE" w14:textId="62A6D03A" w:rsidR="005E3867" w:rsidRPr="005E3867" w:rsidRDefault="00BC7F4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>«</w:t>
      </w:r>
      <w:r w:rsidR="005E3867" w:rsidRPr="005E3867">
        <w:rPr>
          <w:rFonts w:eastAsia="MS Mincho" w:cs="Times New Roman"/>
          <w:szCs w:val="20"/>
        </w:rPr>
        <w:t>1.8</w:t>
      </w:r>
      <w:r w:rsidR="005E3867" w:rsidRPr="005E3867">
        <w:rPr>
          <w:rFonts w:eastAsia="MS Mincho" w:cs="Times New Roman"/>
          <w:szCs w:val="20"/>
        </w:rPr>
        <w:tab/>
        <w:t>Испытание типа IIA (эффективность системы замедления без тормозов)</w:t>
      </w:r>
    </w:p>
    <w:p w14:paraId="2DB4673C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1.8.1</w:t>
      </w:r>
      <w:r w:rsidRPr="005E3867">
        <w:rPr>
          <w:rFonts w:eastAsia="MS Mincho" w:cs="Times New Roman"/>
          <w:szCs w:val="20"/>
        </w:rPr>
        <w:tab/>
        <w:t>Испытанию типа IIA подвергают транспортные средства следующих категорий:</w:t>
      </w:r>
    </w:p>
    <w:p w14:paraId="7CE922A3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1.8.1.1</w:t>
      </w:r>
      <w:r w:rsidRPr="005E3867">
        <w:rPr>
          <w:rFonts w:eastAsia="MS Mincho" w:cs="Times New Roman"/>
          <w:szCs w:val="20"/>
        </w:rPr>
        <w:tab/>
        <w:t>транспортные средства категории M</w:t>
      </w:r>
      <w:r w:rsidRPr="005E3867">
        <w:rPr>
          <w:rFonts w:eastAsia="MS Mincho" w:cs="Times New Roman"/>
          <w:szCs w:val="20"/>
          <w:vertAlign w:val="subscript"/>
        </w:rPr>
        <w:t>3</w:t>
      </w:r>
      <w:r w:rsidRPr="005E3867">
        <w:rPr>
          <w:rFonts w:eastAsia="MS Mincho" w:cs="Times New Roman"/>
          <w:szCs w:val="20"/>
        </w:rPr>
        <w:t>, относящиеся к классу II, III или B, в соответствии с определениями, содержащимися в Сводной резолюции о конструкции транспортных средств (С.Р.3);</w:t>
      </w:r>
    </w:p>
    <w:p w14:paraId="16E2D01D" w14:textId="28DBD7F6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trike/>
          <w:szCs w:val="20"/>
        </w:rPr>
      </w:pPr>
      <w:r w:rsidRPr="005E3867">
        <w:rPr>
          <w:rFonts w:eastAsia="MS Mincho" w:cs="Times New Roman"/>
          <w:szCs w:val="20"/>
        </w:rPr>
        <w:t>1.8.1.2</w:t>
      </w:r>
      <w:r w:rsidRPr="005E3867">
        <w:rPr>
          <w:rFonts w:eastAsia="MS Mincho" w:cs="Times New Roman"/>
          <w:szCs w:val="20"/>
        </w:rPr>
        <w:tab/>
        <w:t>транспортные средства категории N</w:t>
      </w:r>
      <w:r w:rsidRPr="005E3867">
        <w:rPr>
          <w:rFonts w:eastAsia="MS Mincho" w:cs="Times New Roman"/>
          <w:szCs w:val="20"/>
          <w:vertAlign w:val="subscript"/>
        </w:rPr>
        <w:t>3</w:t>
      </w:r>
      <w:r w:rsidRPr="005E3867">
        <w:rPr>
          <w:rFonts w:eastAsia="MS Mincho" w:cs="Times New Roman"/>
          <w:szCs w:val="20"/>
        </w:rPr>
        <w:t>, которым разрешается буксировать прицеп категории О</w:t>
      </w:r>
      <w:r w:rsidRPr="005E3867">
        <w:rPr>
          <w:rFonts w:eastAsia="MS Mincho" w:cs="Times New Roman"/>
          <w:szCs w:val="20"/>
          <w:vertAlign w:val="subscript"/>
        </w:rPr>
        <w:t>4</w:t>
      </w:r>
      <w:r w:rsidRPr="005E3867">
        <w:rPr>
          <w:rFonts w:eastAsia="MS Mincho" w:cs="Times New Roman"/>
          <w:szCs w:val="20"/>
        </w:rPr>
        <w:t xml:space="preserve">. </w:t>
      </w:r>
      <w:r w:rsidRPr="005E3867">
        <w:rPr>
          <w:rFonts w:eastAsia="MS Mincho" w:cs="Times New Roman"/>
          <w:strike/>
          <w:szCs w:val="20"/>
        </w:rPr>
        <w:t>Если максимальная масса превышает 26 т, то масса при испытании ограничивается 26</w:t>
      </w:r>
      <w:r w:rsidR="00BC7F47">
        <w:rPr>
          <w:rFonts w:eastAsia="MS Mincho" w:cs="Times New Roman"/>
          <w:strike/>
          <w:szCs w:val="20"/>
        </w:rPr>
        <w:t> </w:t>
      </w:r>
      <w:r w:rsidRPr="005E3867">
        <w:rPr>
          <w:rFonts w:eastAsia="MS Mincho" w:cs="Times New Roman"/>
          <w:strike/>
          <w:szCs w:val="20"/>
        </w:rPr>
        <w:t>т, а если масса порожнего транспортного средства превышает 26</w:t>
      </w:r>
      <w:r w:rsidR="00BC7F47">
        <w:rPr>
          <w:rFonts w:eastAsia="MS Mincho" w:cs="Times New Roman"/>
          <w:strike/>
          <w:szCs w:val="20"/>
        </w:rPr>
        <w:t> </w:t>
      </w:r>
      <w:r w:rsidRPr="005E3867">
        <w:rPr>
          <w:rFonts w:eastAsia="MS Mincho" w:cs="Times New Roman"/>
          <w:strike/>
          <w:szCs w:val="20"/>
        </w:rPr>
        <w:t>т, то эта она учитывается посредством соответствующих расчетов;</w:t>
      </w:r>
    </w:p>
    <w:p w14:paraId="1656969E" w14:textId="77777777" w:rsidR="005E3867" w:rsidRPr="005E3867" w:rsidRDefault="005E386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1.8.1.3</w:t>
      </w:r>
      <w:r w:rsidRPr="005E3867">
        <w:rPr>
          <w:rFonts w:eastAsia="MS Mincho" w:cs="Times New Roman"/>
          <w:szCs w:val="20"/>
        </w:rPr>
        <w:tab/>
        <w:t>некоторые транспортные средства, на которые распространяется ДОПОГ (см. приложение 5)».</w:t>
      </w:r>
    </w:p>
    <w:p w14:paraId="12DCFA14" w14:textId="77777777" w:rsidR="005E3867" w:rsidRPr="005E3867" w:rsidRDefault="005E3867" w:rsidP="005E3867">
      <w:pPr>
        <w:spacing w:after="120"/>
        <w:ind w:left="1134" w:right="1133"/>
        <w:jc w:val="both"/>
        <w:rPr>
          <w:rFonts w:eastAsia="MS Mincho" w:cs="Times New Roman"/>
          <w:i/>
          <w:iCs/>
          <w:szCs w:val="20"/>
        </w:rPr>
      </w:pPr>
      <w:r w:rsidRPr="005E3867">
        <w:rPr>
          <w:rFonts w:eastAsia="MS Mincho" w:cs="Times New Roman"/>
          <w:i/>
          <w:iCs/>
          <w:szCs w:val="20"/>
        </w:rPr>
        <w:t>Приложение 4, пункт 1.8.2.1</w:t>
      </w:r>
      <w:r w:rsidRPr="005E3867">
        <w:rPr>
          <w:rFonts w:eastAsia="MS Mincho" w:cs="Times New Roman"/>
          <w:szCs w:val="20"/>
        </w:rPr>
        <w:t xml:space="preserve"> изменить следующим образом:</w:t>
      </w:r>
    </w:p>
    <w:p w14:paraId="42727A1A" w14:textId="1748D2EB" w:rsidR="005E3867" w:rsidRPr="005E3867" w:rsidRDefault="00BC7F47" w:rsidP="005E3867">
      <w:pPr>
        <w:spacing w:after="120"/>
        <w:ind w:left="2268" w:right="1134" w:hanging="1134"/>
        <w:jc w:val="both"/>
        <w:rPr>
          <w:rFonts w:eastAsia="MS Mincho" w:cs="Times New Roman"/>
          <w:szCs w:val="20"/>
        </w:rPr>
      </w:pPr>
      <w:r>
        <w:rPr>
          <w:rFonts w:eastAsia="MS Mincho" w:cs="Times New Roman"/>
          <w:szCs w:val="20"/>
        </w:rPr>
        <w:t>«</w:t>
      </w:r>
      <w:r w:rsidR="005E3867" w:rsidRPr="005E3867">
        <w:rPr>
          <w:rFonts w:eastAsia="MS Mincho" w:cs="Times New Roman"/>
          <w:szCs w:val="20"/>
        </w:rPr>
        <w:t>1.8.2.1</w:t>
      </w:r>
      <w:r w:rsidR="005E3867" w:rsidRPr="005E3867">
        <w:rPr>
          <w:rFonts w:eastAsia="MS Mincho" w:cs="Times New Roman"/>
          <w:szCs w:val="20"/>
        </w:rPr>
        <w:tab/>
        <w:t>Эффективность системы замедления без тормозов испытывают при максимальной массе транспортного средства или состава транспортных средств</w:t>
      </w:r>
      <w:r w:rsidR="005E3867" w:rsidRPr="005E3867">
        <w:rPr>
          <w:rFonts w:eastAsia="MS Mincho" w:cs="Times New Roman"/>
          <w:b/>
          <w:bCs/>
          <w:szCs w:val="20"/>
        </w:rPr>
        <w:t>, в зависимости от того, что необходимо для подтверждения эффективности, оговоренной в пункте 5.1.2.4 настоящих Правил</w:t>
      </w:r>
      <w:r>
        <w:rPr>
          <w:rFonts w:eastAsia="MS Mincho" w:cs="Times New Roman"/>
          <w:szCs w:val="20"/>
        </w:rPr>
        <w:t>».</w:t>
      </w:r>
    </w:p>
    <w:p w14:paraId="3CC3110F" w14:textId="77777777" w:rsidR="005E3867" w:rsidRPr="005E3867" w:rsidRDefault="005E3867" w:rsidP="00BC7F47">
      <w:pPr>
        <w:pStyle w:val="HChG"/>
        <w:rPr>
          <w:rFonts w:eastAsia="MS Mincho"/>
        </w:rPr>
      </w:pPr>
      <w:r w:rsidRPr="005E3867">
        <w:rPr>
          <w:rFonts w:eastAsia="MS Mincho"/>
        </w:rPr>
        <w:tab/>
        <w:t>II.</w:t>
      </w:r>
      <w:r w:rsidRPr="005E3867">
        <w:rPr>
          <w:rFonts w:eastAsia="MS Mincho"/>
        </w:rPr>
        <w:tab/>
        <w:t>Обоснование</w:t>
      </w:r>
    </w:p>
    <w:p w14:paraId="22724F95" w14:textId="77777777" w:rsidR="005E3867" w:rsidRPr="005E3867" w:rsidRDefault="005E3867" w:rsidP="005E3867">
      <w:pPr>
        <w:spacing w:after="120"/>
        <w:ind w:left="1134" w:right="1134"/>
        <w:jc w:val="both"/>
        <w:rPr>
          <w:rFonts w:eastAsia="MS Mincho" w:cs="Times New Roman"/>
          <w:szCs w:val="20"/>
        </w:rPr>
      </w:pPr>
      <w:bookmarkStart w:id="6" w:name="_Hlk19813127"/>
      <w:r w:rsidRPr="005E3867">
        <w:rPr>
          <w:rFonts w:eastAsia="MS Mincho" w:cs="Times New Roman"/>
          <w:szCs w:val="20"/>
        </w:rPr>
        <w:t>1.</w:t>
      </w:r>
      <w:r w:rsidRPr="005E3867">
        <w:rPr>
          <w:rFonts w:eastAsia="MS Mincho" w:cs="Times New Roman"/>
          <w:szCs w:val="20"/>
        </w:rPr>
        <w:tab/>
        <w:t>Положения об испытании были перенесены из области применения (пункт 1.8.1 и его подпункты) в раздел, описывающий условия проведения испытания (пункт 1.8.2 и его подпункты).</w:t>
      </w:r>
    </w:p>
    <w:p w14:paraId="1663C685" w14:textId="0BEC5262" w:rsidR="005E3867" w:rsidRPr="005E3867" w:rsidRDefault="005E3867" w:rsidP="005E3867">
      <w:pPr>
        <w:spacing w:after="120"/>
        <w:ind w:left="1134" w:right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2.</w:t>
      </w:r>
      <w:r w:rsidRPr="005E3867">
        <w:rPr>
          <w:rFonts w:eastAsia="MS Mincho" w:cs="Times New Roman"/>
          <w:szCs w:val="20"/>
        </w:rPr>
        <w:tab/>
      </w:r>
      <w:r w:rsidR="001520DD">
        <w:t xml:space="preserve">Первоначальный текст Правил допускал возможность неверного толкования в части, касающейся массы при испытании. </w:t>
      </w:r>
      <w:r w:rsidRPr="005E3867">
        <w:rPr>
          <w:rFonts w:eastAsia="MS Mincho" w:cs="Times New Roman"/>
          <w:szCs w:val="20"/>
        </w:rPr>
        <w:t>В документе ECE/TRANS/</w:t>
      </w:r>
      <w:r w:rsidR="00BC7F47">
        <w:rPr>
          <w:rFonts w:eastAsia="MS Mincho" w:cs="Times New Roman"/>
          <w:szCs w:val="20"/>
        </w:rPr>
        <w:t xml:space="preserve"> </w:t>
      </w:r>
      <w:r w:rsidRPr="005E3867">
        <w:rPr>
          <w:rFonts w:eastAsia="MS Mincho" w:cs="Times New Roman"/>
          <w:szCs w:val="20"/>
        </w:rPr>
        <w:t>WP.29/GRVA/2024/7 была предпринята первая попытка уточнения текста Правил.</w:t>
      </w:r>
      <w:r w:rsidR="00BC7F47">
        <w:rPr>
          <w:rFonts w:eastAsia="MS Mincho" w:cs="Times New Roman"/>
          <w:szCs w:val="20"/>
        </w:rPr>
        <w:br/>
      </w:r>
      <w:r w:rsidRPr="005E3867">
        <w:rPr>
          <w:rFonts w:eastAsia="MS Mincho" w:cs="Times New Roman"/>
          <w:szCs w:val="20"/>
        </w:rPr>
        <w:t>К этому документу были получены замечания (включая неофициальный</w:t>
      </w:r>
      <w:r w:rsidR="00BC7F47">
        <w:rPr>
          <w:rFonts w:eastAsia="MS Mincho" w:cs="Times New Roman"/>
          <w:szCs w:val="20"/>
        </w:rPr>
        <w:br/>
      </w:r>
      <w:r w:rsidRPr="005E3867">
        <w:rPr>
          <w:rFonts w:eastAsia="MS Mincho" w:cs="Times New Roman"/>
          <w:szCs w:val="20"/>
        </w:rPr>
        <w:t>документ GRVA-18-46/Rev.1).</w:t>
      </w:r>
    </w:p>
    <w:p w14:paraId="0CC3A96C" w14:textId="074906B5" w:rsidR="005E3867" w:rsidRPr="005E3867" w:rsidRDefault="005E3867" w:rsidP="005E3867">
      <w:pPr>
        <w:spacing w:after="120"/>
        <w:ind w:left="1134" w:right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3.</w:t>
      </w:r>
      <w:r w:rsidRPr="005E3867">
        <w:rPr>
          <w:rFonts w:eastAsia="MS Mincho" w:cs="Times New Roman"/>
          <w:szCs w:val="20"/>
        </w:rPr>
        <w:tab/>
        <w:t>Для обеспечения безопасности дорожного движения система замедления, приводящая к торможению только транспортного средства — тягача,</w:t>
      </w:r>
      <w:r w:rsidR="00BC7F47">
        <w:rPr>
          <w:rFonts w:eastAsia="MS Mincho" w:cs="Times New Roman"/>
          <w:szCs w:val="20"/>
        </w:rPr>
        <w:br/>
      </w:r>
      <w:r w:rsidRPr="005E3867">
        <w:rPr>
          <w:rFonts w:eastAsia="MS Mincho" w:cs="Times New Roman"/>
          <w:szCs w:val="20"/>
        </w:rPr>
        <w:t xml:space="preserve">но не воздействующая на прицеп, должна выдерживать массу всего состава транспортных средств. </w:t>
      </w:r>
      <w:r w:rsidR="001520DD">
        <w:t>Поэтому масса при испытании должна включать массу состава, а не только массу тягача.</w:t>
      </w:r>
    </w:p>
    <w:p w14:paraId="49474430" w14:textId="77777777" w:rsidR="005E3867" w:rsidRPr="005E3867" w:rsidRDefault="005E3867" w:rsidP="005E3867">
      <w:pPr>
        <w:spacing w:after="120"/>
        <w:ind w:left="1134" w:right="1134"/>
        <w:jc w:val="both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</w:rPr>
        <w:t>4.</w:t>
      </w:r>
      <w:r w:rsidRPr="005E3867">
        <w:rPr>
          <w:rFonts w:eastAsia="MS Mincho" w:cs="Times New Roman"/>
          <w:szCs w:val="20"/>
        </w:rPr>
        <w:tab/>
        <w:t>Для уточнения этого момента предлагается указать, что масса при испытании транспортных средств, которым разрешается буксировать прицеп(ы) категории O</w:t>
      </w:r>
      <w:r w:rsidRPr="005E3867">
        <w:rPr>
          <w:rFonts w:eastAsia="MS Mincho" w:cs="Times New Roman"/>
          <w:szCs w:val="20"/>
          <w:vertAlign w:val="subscript"/>
        </w:rPr>
        <w:t>4</w:t>
      </w:r>
      <w:r w:rsidRPr="005E3867">
        <w:rPr>
          <w:rFonts w:eastAsia="MS Mincho" w:cs="Times New Roman"/>
          <w:szCs w:val="20"/>
        </w:rPr>
        <w:t>, должна включать массу всего состава.</w:t>
      </w:r>
    </w:p>
    <w:bookmarkEnd w:id="6"/>
    <w:p w14:paraId="4E0FC8DE" w14:textId="77777777" w:rsidR="005E3867" w:rsidRPr="005E3867" w:rsidRDefault="005E3867" w:rsidP="005E3867">
      <w:pPr>
        <w:spacing w:before="60"/>
        <w:jc w:val="center"/>
        <w:rPr>
          <w:rFonts w:eastAsia="MS Mincho" w:cs="Times New Roman"/>
          <w:szCs w:val="20"/>
        </w:rPr>
      </w:pPr>
      <w:r w:rsidRPr="005E3867">
        <w:rPr>
          <w:rFonts w:eastAsia="MS Mincho" w:cs="Times New Roman"/>
          <w:szCs w:val="20"/>
          <w:u w:val="single"/>
        </w:rPr>
        <w:tab/>
      </w:r>
      <w:r w:rsidRPr="005E3867">
        <w:rPr>
          <w:rFonts w:eastAsia="MS Mincho" w:cs="Times New Roman"/>
          <w:szCs w:val="20"/>
          <w:u w:val="single"/>
        </w:rPr>
        <w:tab/>
      </w:r>
      <w:r w:rsidRPr="005E3867">
        <w:rPr>
          <w:rFonts w:eastAsia="MS Mincho" w:cs="Times New Roman"/>
          <w:szCs w:val="20"/>
          <w:u w:val="single"/>
        </w:rPr>
        <w:tab/>
      </w:r>
    </w:p>
    <w:sectPr w:rsidR="005E3867" w:rsidRPr="005E3867" w:rsidSect="005E386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DE4A" w14:textId="77777777" w:rsidR="009D2C68" w:rsidRPr="00A312BC" w:rsidRDefault="009D2C68" w:rsidP="00A312BC"/>
  </w:endnote>
  <w:endnote w:type="continuationSeparator" w:id="0">
    <w:p w14:paraId="24DAEF12" w14:textId="77777777" w:rsidR="009D2C68" w:rsidRPr="00A312BC" w:rsidRDefault="009D2C6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6684" w14:textId="51296270" w:rsidR="005E3867" w:rsidRPr="005E3867" w:rsidRDefault="005E3867">
    <w:pPr>
      <w:pStyle w:val="a8"/>
    </w:pPr>
    <w:r w:rsidRPr="005E3867">
      <w:rPr>
        <w:b/>
        <w:sz w:val="18"/>
      </w:rPr>
      <w:fldChar w:fldCharType="begin"/>
    </w:r>
    <w:r w:rsidRPr="005E3867">
      <w:rPr>
        <w:b/>
        <w:sz w:val="18"/>
      </w:rPr>
      <w:instrText xml:space="preserve"> PAGE  \* MERGEFORMAT </w:instrText>
    </w:r>
    <w:r w:rsidRPr="005E3867">
      <w:rPr>
        <w:b/>
        <w:sz w:val="18"/>
      </w:rPr>
      <w:fldChar w:fldCharType="separate"/>
    </w:r>
    <w:r w:rsidRPr="005E3867">
      <w:rPr>
        <w:b/>
        <w:noProof/>
        <w:sz w:val="18"/>
      </w:rPr>
      <w:t>2</w:t>
    </w:r>
    <w:r w:rsidRPr="005E3867">
      <w:rPr>
        <w:b/>
        <w:sz w:val="18"/>
      </w:rPr>
      <w:fldChar w:fldCharType="end"/>
    </w:r>
    <w:r>
      <w:rPr>
        <w:b/>
        <w:sz w:val="18"/>
      </w:rPr>
      <w:tab/>
    </w:r>
    <w:r>
      <w:t>GE.24-12277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B161" w14:textId="7414B343" w:rsidR="005E3867" w:rsidRPr="005E3867" w:rsidRDefault="005E3867" w:rsidP="005E3867">
    <w:pPr>
      <w:pStyle w:val="a8"/>
      <w:tabs>
        <w:tab w:val="clear" w:pos="9639"/>
        <w:tab w:val="right" w:pos="9638"/>
      </w:tabs>
      <w:rPr>
        <w:b/>
        <w:sz w:val="18"/>
      </w:rPr>
    </w:pPr>
    <w:r>
      <w:t>GE.24-12277</w:t>
    </w:r>
    <w:r>
      <w:tab/>
    </w:r>
    <w:r w:rsidRPr="005E3867">
      <w:rPr>
        <w:b/>
        <w:sz w:val="18"/>
      </w:rPr>
      <w:fldChar w:fldCharType="begin"/>
    </w:r>
    <w:r w:rsidRPr="005E3867">
      <w:rPr>
        <w:b/>
        <w:sz w:val="18"/>
      </w:rPr>
      <w:instrText xml:space="preserve"> PAGE  \* MERGEFORMAT </w:instrText>
    </w:r>
    <w:r w:rsidRPr="005E3867">
      <w:rPr>
        <w:b/>
        <w:sz w:val="18"/>
      </w:rPr>
      <w:fldChar w:fldCharType="separate"/>
    </w:r>
    <w:r w:rsidRPr="005E3867">
      <w:rPr>
        <w:b/>
        <w:noProof/>
        <w:sz w:val="18"/>
      </w:rPr>
      <w:t>3</w:t>
    </w:r>
    <w:r w:rsidRPr="005E386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9FB9" w14:textId="27E4F052" w:rsidR="00042B72" w:rsidRPr="005E3867" w:rsidRDefault="005E3867" w:rsidP="005E3867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9886CB9" wp14:editId="3D4DBBC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24-12277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8AB207" wp14:editId="01AE5BA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080724  090724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5B20" w14:textId="77777777" w:rsidR="009D2C68" w:rsidRPr="001075E9" w:rsidRDefault="009D2C6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3F5DB24" w14:textId="77777777" w:rsidR="009D2C68" w:rsidRDefault="009D2C6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E99C7E9" w14:textId="10AD3837" w:rsidR="005E3867" w:rsidRPr="00705672" w:rsidRDefault="005E3867" w:rsidP="00CB73EB">
      <w:pPr>
        <w:pStyle w:val="ad"/>
        <w:spacing w:after="240"/>
      </w:pPr>
      <w:r>
        <w:tab/>
        <w:t>*</w:t>
      </w:r>
      <w:r>
        <w:tab/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</w:t>
      </w:r>
      <w:r w:rsidR="00CB73EB">
        <w:br/>
      </w:r>
      <w:r>
        <w:t>правила ООН в целях улучшения характеристик транспортных средств. Настоящий</w:t>
      </w:r>
      <w:r w:rsidR="00CB73EB">
        <w:br/>
      </w:r>
      <w:r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5956" w14:textId="53038CB5" w:rsidR="005E3867" w:rsidRPr="005E3867" w:rsidRDefault="00606CFC">
    <w:pPr>
      <w:pStyle w:val="a5"/>
    </w:pPr>
    <w:fldSimple w:instr=" TITLE  \* MERGEFORMAT ">
      <w:r w:rsidR="00FC07F8">
        <w:t>ECE/TRANS/WP.29/GRVA/2024/37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30DA" w14:textId="268D87DC" w:rsidR="005E3867" w:rsidRPr="005E3867" w:rsidRDefault="00606CFC" w:rsidP="005E3867">
    <w:pPr>
      <w:pStyle w:val="a5"/>
      <w:jc w:val="right"/>
    </w:pPr>
    <w:fldSimple w:instr=" TITLE  \* MERGEFORMAT ">
      <w:r w:rsidR="00FC07F8">
        <w:t>ECE/TRANS/WP.29/GRVA/2024/37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68"/>
    <w:rsid w:val="00033EE1"/>
    <w:rsid w:val="00042B72"/>
    <w:rsid w:val="000558BD"/>
    <w:rsid w:val="000B57E7"/>
    <w:rsid w:val="000B6373"/>
    <w:rsid w:val="000E4E5B"/>
    <w:rsid w:val="000F09DF"/>
    <w:rsid w:val="000F11DF"/>
    <w:rsid w:val="000F61B2"/>
    <w:rsid w:val="001075E9"/>
    <w:rsid w:val="0014152F"/>
    <w:rsid w:val="001520DD"/>
    <w:rsid w:val="0017628A"/>
    <w:rsid w:val="00180183"/>
    <w:rsid w:val="0018024D"/>
    <w:rsid w:val="0018649F"/>
    <w:rsid w:val="00196389"/>
    <w:rsid w:val="001B3EF6"/>
    <w:rsid w:val="001C6B96"/>
    <w:rsid w:val="001C7A89"/>
    <w:rsid w:val="001F024B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100E5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E3867"/>
    <w:rsid w:val="005F0B42"/>
    <w:rsid w:val="00606CFC"/>
    <w:rsid w:val="00617A43"/>
    <w:rsid w:val="006345DB"/>
    <w:rsid w:val="00640F49"/>
    <w:rsid w:val="00680D03"/>
    <w:rsid w:val="00681A10"/>
    <w:rsid w:val="006A1ED8"/>
    <w:rsid w:val="006B6AE3"/>
    <w:rsid w:val="006C2031"/>
    <w:rsid w:val="006D461A"/>
    <w:rsid w:val="006F35EE"/>
    <w:rsid w:val="007021FF"/>
    <w:rsid w:val="00712895"/>
    <w:rsid w:val="00734ACB"/>
    <w:rsid w:val="00755217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3734"/>
    <w:rsid w:val="008D53B6"/>
    <w:rsid w:val="008E70E0"/>
    <w:rsid w:val="008F7609"/>
    <w:rsid w:val="00906890"/>
    <w:rsid w:val="00911BE4"/>
    <w:rsid w:val="00951972"/>
    <w:rsid w:val="009608F3"/>
    <w:rsid w:val="009A24AC"/>
    <w:rsid w:val="009C59D7"/>
    <w:rsid w:val="009C6FE6"/>
    <w:rsid w:val="009D2C68"/>
    <w:rsid w:val="009D7E7D"/>
    <w:rsid w:val="00A047E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C7F47"/>
    <w:rsid w:val="00BD33EE"/>
    <w:rsid w:val="00BE1CC7"/>
    <w:rsid w:val="00C106D6"/>
    <w:rsid w:val="00C119AE"/>
    <w:rsid w:val="00C60F0C"/>
    <w:rsid w:val="00C651BB"/>
    <w:rsid w:val="00C71E84"/>
    <w:rsid w:val="00C805C9"/>
    <w:rsid w:val="00C92939"/>
    <w:rsid w:val="00CA1679"/>
    <w:rsid w:val="00CB151C"/>
    <w:rsid w:val="00CB73EB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C07F8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7A70"/>
  <w15:docId w15:val="{D265A728-5970-4B4D-9CC3-1BA6485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Level1">
    <w:name w:val="Level 1"/>
    <w:basedOn w:val="a"/>
    <w:rsid w:val="005E3867"/>
    <w:pPr>
      <w:widowControl w:val="0"/>
      <w:numPr>
        <w:numId w:val="22"/>
      </w:numPr>
      <w:tabs>
        <w:tab w:val="num" w:pos="2268"/>
      </w:tabs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="MS Mincho" w:hAnsi="Courier New" w:cs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C8035-D92C-4C39-AC52-566A6523E3DF}"/>
</file>

<file path=customXml/itemProps2.xml><?xml version="1.0" encoding="utf-8"?>
<ds:datastoreItem xmlns:ds="http://schemas.openxmlformats.org/officeDocument/2006/customXml" ds:itemID="{9F435439-717C-4F6A-B4FB-9383190F23A6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791</Words>
  <Characters>5559</Characters>
  <Application>Microsoft Office Word</Application>
  <DocSecurity>0</DocSecurity>
  <Lines>127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ECE/TRANS/WP.29/GRVA/2024/37</vt:lpstr>
      <vt:lpstr>A/</vt:lpstr>
      <vt:lpstr>A/</vt:lpstr>
    </vt:vector>
  </TitlesOfParts>
  <Company>DCM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ECE/TRANS/WP.29/GRVA/2024/37</dc:title>
  <dc:subject/>
  <dc:creator>Anna KISSELEVA</dc:creator>
  <cp:keywords/>
  <cp:lastModifiedBy>Anna Kisseleva</cp:lastModifiedBy>
  <cp:revision>4</cp:revision>
  <cp:lastPrinted>2024-07-09T07:00:00Z</cp:lastPrinted>
  <dcterms:created xsi:type="dcterms:W3CDTF">2024-07-09T07:00:00Z</dcterms:created>
  <dcterms:modified xsi:type="dcterms:W3CDTF">2024-07-09T07:01:00Z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