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E5DE0" w14:paraId="22785989" w14:textId="77777777" w:rsidTr="00B20551">
        <w:trPr>
          <w:cantSplit/>
          <w:trHeight w:hRule="exact" w:val="851"/>
        </w:trPr>
        <w:tc>
          <w:tcPr>
            <w:tcW w:w="1276" w:type="dxa"/>
            <w:tcBorders>
              <w:bottom w:val="single" w:sz="4" w:space="0" w:color="auto"/>
            </w:tcBorders>
            <w:vAlign w:val="bottom"/>
          </w:tcPr>
          <w:p w14:paraId="1049842B" w14:textId="77777777" w:rsidR="009E6CB7" w:rsidRPr="00EE5DE0" w:rsidRDefault="009E6CB7" w:rsidP="00B20551">
            <w:pPr>
              <w:spacing w:after="80"/>
            </w:pPr>
          </w:p>
        </w:tc>
        <w:tc>
          <w:tcPr>
            <w:tcW w:w="2268" w:type="dxa"/>
            <w:tcBorders>
              <w:bottom w:val="single" w:sz="4" w:space="0" w:color="auto"/>
            </w:tcBorders>
            <w:vAlign w:val="bottom"/>
          </w:tcPr>
          <w:p w14:paraId="6F602216" w14:textId="77777777" w:rsidR="009E6CB7" w:rsidRPr="00EE5DE0" w:rsidRDefault="009E6CB7" w:rsidP="00B20551">
            <w:pPr>
              <w:spacing w:after="80" w:line="300" w:lineRule="exact"/>
              <w:rPr>
                <w:b/>
                <w:sz w:val="24"/>
                <w:szCs w:val="24"/>
              </w:rPr>
            </w:pPr>
            <w:r w:rsidRPr="00EE5DE0">
              <w:rPr>
                <w:sz w:val="28"/>
                <w:szCs w:val="28"/>
              </w:rPr>
              <w:t>United Nations</w:t>
            </w:r>
          </w:p>
        </w:tc>
        <w:tc>
          <w:tcPr>
            <w:tcW w:w="6095" w:type="dxa"/>
            <w:gridSpan w:val="2"/>
            <w:tcBorders>
              <w:bottom w:val="single" w:sz="4" w:space="0" w:color="auto"/>
            </w:tcBorders>
            <w:vAlign w:val="bottom"/>
          </w:tcPr>
          <w:p w14:paraId="5608963C" w14:textId="1E3EFDCC" w:rsidR="009E6CB7" w:rsidRPr="00EE5DE0" w:rsidRDefault="002969D1" w:rsidP="002969D1">
            <w:pPr>
              <w:jc w:val="right"/>
            </w:pPr>
            <w:r w:rsidRPr="00EE5DE0">
              <w:rPr>
                <w:sz w:val="40"/>
              </w:rPr>
              <w:t>ECE</w:t>
            </w:r>
            <w:r w:rsidRPr="00EE5DE0">
              <w:t>/TRANS/WP.29/GRSG/2024/</w:t>
            </w:r>
            <w:r w:rsidR="00533833" w:rsidRPr="00EE5DE0">
              <w:t>42</w:t>
            </w:r>
          </w:p>
        </w:tc>
      </w:tr>
      <w:tr w:rsidR="009E6CB7" w:rsidRPr="00EE5DE0" w14:paraId="55956CD4" w14:textId="77777777" w:rsidTr="00B20551">
        <w:trPr>
          <w:cantSplit/>
          <w:trHeight w:hRule="exact" w:val="2835"/>
        </w:trPr>
        <w:tc>
          <w:tcPr>
            <w:tcW w:w="1276" w:type="dxa"/>
            <w:tcBorders>
              <w:top w:val="single" w:sz="4" w:space="0" w:color="auto"/>
              <w:bottom w:val="single" w:sz="12" w:space="0" w:color="auto"/>
            </w:tcBorders>
          </w:tcPr>
          <w:p w14:paraId="7E0F9929" w14:textId="77777777" w:rsidR="009E6CB7" w:rsidRPr="00EE5DE0" w:rsidRDefault="00686A48" w:rsidP="00B20551">
            <w:pPr>
              <w:spacing w:before="120"/>
            </w:pPr>
            <w:r w:rsidRPr="00EE5DE0">
              <w:rPr>
                <w:noProof/>
                <w:lang w:eastAsia="fr-CH"/>
              </w:rPr>
              <w:drawing>
                <wp:inline distT="0" distB="0" distL="0" distR="0" wp14:anchorId="345A2D66" wp14:editId="028C78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3A32B" w14:textId="77777777" w:rsidR="009E6CB7" w:rsidRPr="00EE5DE0" w:rsidRDefault="009E6CB7" w:rsidP="00B20551">
            <w:pPr>
              <w:spacing w:before="120" w:line="420" w:lineRule="exact"/>
              <w:rPr>
                <w:sz w:val="40"/>
                <w:szCs w:val="40"/>
              </w:rPr>
            </w:pPr>
            <w:r w:rsidRPr="00EE5DE0">
              <w:rPr>
                <w:b/>
                <w:sz w:val="40"/>
                <w:szCs w:val="40"/>
              </w:rPr>
              <w:t>Economic and Social Council</w:t>
            </w:r>
          </w:p>
        </w:tc>
        <w:tc>
          <w:tcPr>
            <w:tcW w:w="2835" w:type="dxa"/>
            <w:tcBorders>
              <w:top w:val="single" w:sz="4" w:space="0" w:color="auto"/>
              <w:bottom w:val="single" w:sz="12" w:space="0" w:color="auto"/>
            </w:tcBorders>
          </w:tcPr>
          <w:p w14:paraId="18DB93E6" w14:textId="77777777" w:rsidR="009E6CB7" w:rsidRPr="00EE5DE0" w:rsidRDefault="002969D1" w:rsidP="002969D1">
            <w:pPr>
              <w:spacing w:before="240" w:line="240" w:lineRule="exact"/>
            </w:pPr>
            <w:r w:rsidRPr="00EE5DE0">
              <w:t>Distr.: General</w:t>
            </w:r>
          </w:p>
          <w:p w14:paraId="1C678124" w14:textId="696CFE10" w:rsidR="002969D1" w:rsidRPr="00EE5DE0" w:rsidRDefault="002969D1" w:rsidP="002969D1">
            <w:pPr>
              <w:spacing w:line="240" w:lineRule="exact"/>
            </w:pPr>
            <w:r w:rsidRPr="00EE5DE0">
              <w:t>2</w:t>
            </w:r>
            <w:r w:rsidR="00131386">
              <w:t>4</w:t>
            </w:r>
            <w:r w:rsidR="006A4BC7">
              <w:t xml:space="preserve"> July</w:t>
            </w:r>
            <w:r w:rsidR="00EE5DE0" w:rsidRPr="00EE5DE0">
              <w:t xml:space="preserve"> </w:t>
            </w:r>
            <w:r w:rsidRPr="00EE5DE0">
              <w:t>2024</w:t>
            </w:r>
          </w:p>
          <w:p w14:paraId="1855A849" w14:textId="77777777" w:rsidR="002969D1" w:rsidRPr="00EE5DE0" w:rsidRDefault="002969D1" w:rsidP="002969D1">
            <w:pPr>
              <w:spacing w:line="240" w:lineRule="exact"/>
            </w:pPr>
          </w:p>
          <w:p w14:paraId="6A478A66" w14:textId="2925AE2B" w:rsidR="002969D1" w:rsidRPr="00EE5DE0" w:rsidRDefault="002969D1" w:rsidP="002969D1">
            <w:pPr>
              <w:spacing w:line="240" w:lineRule="exact"/>
            </w:pPr>
            <w:r w:rsidRPr="00EE5DE0">
              <w:t>Original: English</w:t>
            </w:r>
          </w:p>
        </w:tc>
      </w:tr>
    </w:tbl>
    <w:p w14:paraId="01965B84" w14:textId="77777777" w:rsidR="002969D1" w:rsidRPr="00EE5DE0" w:rsidRDefault="002969D1" w:rsidP="002969D1">
      <w:pPr>
        <w:spacing w:before="120"/>
        <w:rPr>
          <w:b/>
          <w:sz w:val="28"/>
          <w:szCs w:val="28"/>
        </w:rPr>
      </w:pPr>
      <w:r w:rsidRPr="00EE5DE0">
        <w:rPr>
          <w:b/>
          <w:sz w:val="28"/>
          <w:szCs w:val="28"/>
        </w:rPr>
        <w:t>Economic Commission for Europe</w:t>
      </w:r>
    </w:p>
    <w:p w14:paraId="00418A0F" w14:textId="77777777" w:rsidR="002969D1" w:rsidRPr="00EE5DE0" w:rsidRDefault="002969D1" w:rsidP="002969D1">
      <w:pPr>
        <w:spacing w:before="120"/>
        <w:rPr>
          <w:sz w:val="28"/>
          <w:szCs w:val="28"/>
        </w:rPr>
      </w:pPr>
      <w:r w:rsidRPr="00EE5DE0">
        <w:rPr>
          <w:sz w:val="28"/>
          <w:szCs w:val="28"/>
        </w:rPr>
        <w:t>Inland Transport Committee</w:t>
      </w:r>
    </w:p>
    <w:p w14:paraId="6D5A1047" w14:textId="77777777" w:rsidR="002969D1" w:rsidRPr="00EE5DE0" w:rsidRDefault="002969D1" w:rsidP="002969D1">
      <w:pPr>
        <w:spacing w:before="120"/>
        <w:rPr>
          <w:b/>
          <w:sz w:val="24"/>
          <w:szCs w:val="24"/>
        </w:rPr>
      </w:pPr>
      <w:r w:rsidRPr="00EE5DE0">
        <w:rPr>
          <w:b/>
          <w:sz w:val="24"/>
          <w:szCs w:val="24"/>
        </w:rPr>
        <w:t>World Forum for Harmonization of Vehicle Regulations</w:t>
      </w:r>
    </w:p>
    <w:p w14:paraId="332F6D4A" w14:textId="77777777" w:rsidR="002969D1" w:rsidRPr="00EE5DE0" w:rsidRDefault="002969D1" w:rsidP="002969D1">
      <w:pPr>
        <w:spacing w:before="120"/>
        <w:rPr>
          <w:b/>
        </w:rPr>
      </w:pPr>
      <w:r w:rsidRPr="00EE5DE0">
        <w:rPr>
          <w:b/>
        </w:rPr>
        <w:t>Working Party on General Safety Provisions</w:t>
      </w:r>
    </w:p>
    <w:p w14:paraId="3D8076D7" w14:textId="7BB27112" w:rsidR="002969D1" w:rsidRPr="00EE5DE0" w:rsidRDefault="002969D1" w:rsidP="002969D1">
      <w:pPr>
        <w:spacing w:before="120"/>
        <w:rPr>
          <w:b/>
        </w:rPr>
      </w:pPr>
      <w:r w:rsidRPr="00EE5DE0">
        <w:rPr>
          <w:b/>
        </w:rPr>
        <w:t>12</w:t>
      </w:r>
      <w:r w:rsidR="00533833" w:rsidRPr="00EE5DE0">
        <w:rPr>
          <w:b/>
        </w:rPr>
        <w:t>8</w:t>
      </w:r>
      <w:r w:rsidRPr="00EE5DE0">
        <w:rPr>
          <w:b/>
        </w:rPr>
        <w:t>th session</w:t>
      </w:r>
    </w:p>
    <w:p w14:paraId="045BF079" w14:textId="39F5A613" w:rsidR="002969D1" w:rsidRPr="00EE5DE0" w:rsidRDefault="002969D1" w:rsidP="002969D1">
      <w:r w:rsidRPr="00EE5DE0">
        <w:t xml:space="preserve">Geneva, </w:t>
      </w:r>
      <w:r w:rsidR="00D3557A" w:rsidRPr="00EE5DE0">
        <w:t>7</w:t>
      </w:r>
      <w:r w:rsidRPr="00EE5DE0">
        <w:t>–1</w:t>
      </w:r>
      <w:r w:rsidR="00D3557A" w:rsidRPr="00EE5DE0">
        <w:t>1</w:t>
      </w:r>
      <w:r w:rsidRPr="00EE5DE0">
        <w:t xml:space="preserve"> </w:t>
      </w:r>
      <w:r w:rsidR="00D3557A" w:rsidRPr="00EE5DE0">
        <w:t>October</w:t>
      </w:r>
      <w:r w:rsidRPr="00EE5DE0">
        <w:t xml:space="preserve"> 2024</w:t>
      </w:r>
    </w:p>
    <w:p w14:paraId="562507AE" w14:textId="1DDA6048" w:rsidR="002969D1" w:rsidRPr="00EE5DE0" w:rsidRDefault="002969D1" w:rsidP="002969D1">
      <w:r w:rsidRPr="00EE5DE0">
        <w:t>Item 1</w:t>
      </w:r>
      <w:r w:rsidR="00D3557A" w:rsidRPr="00EE5DE0">
        <w:t>4</w:t>
      </w:r>
      <w:r w:rsidRPr="00EE5DE0">
        <w:t xml:space="preserve"> of the </w:t>
      </w:r>
      <w:r w:rsidR="00EE5DE0">
        <w:t>P</w:t>
      </w:r>
      <w:r w:rsidRPr="00EE5DE0">
        <w:t xml:space="preserve">rovisional </w:t>
      </w:r>
      <w:r w:rsidR="00EE5DE0">
        <w:t>A</w:t>
      </w:r>
      <w:r w:rsidRPr="00EE5DE0">
        <w:t>genda</w:t>
      </w:r>
    </w:p>
    <w:p w14:paraId="65A4811D" w14:textId="239A7D64" w:rsidR="002969D1" w:rsidRPr="00EE5DE0" w:rsidRDefault="00162F34" w:rsidP="00D44F8D">
      <w:pPr>
        <w:rPr>
          <w:b/>
        </w:rPr>
      </w:pPr>
      <w:r w:rsidRPr="00EE5DE0">
        <w:rPr>
          <w:b/>
        </w:rPr>
        <w:t>Consolidated Resolution on the Construction of Vehicles</w:t>
      </w:r>
      <w:r w:rsidR="00F5099B" w:rsidRPr="00EE5DE0">
        <w:rPr>
          <w:b/>
        </w:rPr>
        <w:t xml:space="preserve">  </w:t>
      </w:r>
      <w:r w:rsidR="002969D1" w:rsidRPr="00EE5DE0">
        <w:tab/>
      </w:r>
      <w:r w:rsidR="002969D1" w:rsidRPr="00EE5DE0">
        <w:rPr>
          <w:b/>
        </w:rPr>
        <w:t xml:space="preserve">  </w:t>
      </w:r>
    </w:p>
    <w:p w14:paraId="72FA2CBE" w14:textId="5DAC6A38" w:rsidR="002969D1" w:rsidRPr="00EE5DE0" w:rsidRDefault="002969D1" w:rsidP="002969D1">
      <w:pPr>
        <w:pStyle w:val="HChG"/>
        <w:ind w:left="1124" w:right="1138" w:firstLine="0"/>
      </w:pPr>
      <w:r w:rsidRPr="00EE5DE0">
        <w:rPr>
          <w:szCs w:val="28"/>
        </w:rPr>
        <w:t xml:space="preserve">Proposal for </w:t>
      </w:r>
      <w:r w:rsidR="00EE5DE0">
        <w:rPr>
          <w:szCs w:val="28"/>
        </w:rPr>
        <w:t>A</w:t>
      </w:r>
      <w:r w:rsidRPr="00EE5DE0">
        <w:rPr>
          <w:szCs w:val="28"/>
        </w:rPr>
        <w:t xml:space="preserve">mendments to the </w:t>
      </w:r>
      <w:r w:rsidRPr="00EE5DE0">
        <w:t xml:space="preserve">Consolidated Resolution on the Construction of Vehicles </w:t>
      </w:r>
    </w:p>
    <w:p w14:paraId="029374DB" w14:textId="280651DD" w:rsidR="002969D1" w:rsidRPr="00EE5DE0" w:rsidRDefault="002969D1" w:rsidP="002969D1">
      <w:pPr>
        <w:pStyle w:val="H1G"/>
        <w:rPr>
          <w:szCs w:val="24"/>
        </w:rPr>
      </w:pPr>
      <w:r w:rsidRPr="00EE5DE0">
        <w:tab/>
      </w:r>
      <w:r w:rsidRPr="00EE5DE0">
        <w:tab/>
      </w:r>
      <w:r w:rsidRPr="00EE5DE0">
        <w:rPr>
          <w:szCs w:val="24"/>
        </w:rPr>
        <w:t>Submitted by the expert</w:t>
      </w:r>
      <w:r w:rsidR="00D3557A" w:rsidRPr="00EE5DE0">
        <w:rPr>
          <w:szCs w:val="24"/>
        </w:rPr>
        <w:t>s</w:t>
      </w:r>
      <w:r w:rsidRPr="00EE5DE0">
        <w:rPr>
          <w:szCs w:val="24"/>
        </w:rPr>
        <w:t xml:space="preserve"> from </w:t>
      </w:r>
      <w:r w:rsidR="00D3557A" w:rsidRPr="00EE5DE0">
        <w:rPr>
          <w:szCs w:val="24"/>
        </w:rPr>
        <w:t>Norway and Sweden</w:t>
      </w:r>
      <w:r w:rsidRPr="00EE5DE0">
        <w:rPr>
          <w:szCs w:val="24"/>
        </w:rPr>
        <w:t xml:space="preserve"> </w:t>
      </w:r>
      <w:r w:rsidRPr="00EE5DE0">
        <w:footnoteReference w:customMarkFollows="1" w:id="2"/>
        <w:t>*</w:t>
      </w:r>
    </w:p>
    <w:p w14:paraId="6DF6A489" w14:textId="3C9CB88E" w:rsidR="002969D1" w:rsidRPr="00EE5DE0" w:rsidRDefault="002969D1" w:rsidP="002969D1">
      <w:pPr>
        <w:pStyle w:val="SingleTxtG"/>
        <w:ind w:firstLine="567"/>
      </w:pPr>
      <w:r w:rsidRPr="00EE5DE0">
        <w:t>The text reproduced below was prepared by the expert</w:t>
      </w:r>
      <w:r w:rsidR="00D3557A" w:rsidRPr="00EE5DE0">
        <w:t>s</w:t>
      </w:r>
      <w:r w:rsidRPr="00EE5DE0">
        <w:t xml:space="preserve"> from </w:t>
      </w:r>
      <w:r w:rsidR="00D3557A" w:rsidRPr="00EE5DE0">
        <w:rPr>
          <w:szCs w:val="24"/>
        </w:rPr>
        <w:t>Norway and Sweden</w:t>
      </w:r>
      <w:r w:rsidRPr="00EE5DE0">
        <w:t xml:space="preserve"> to </w:t>
      </w:r>
      <w:r w:rsidR="00D3557A" w:rsidRPr="00EE5DE0">
        <w:t xml:space="preserve">support the introduce </w:t>
      </w:r>
      <w:r w:rsidR="00EE5DE0">
        <w:t xml:space="preserve">of </w:t>
      </w:r>
      <w:r w:rsidR="00D3557A" w:rsidRPr="00EE5DE0">
        <w:t>a definition of historic vehicles in</w:t>
      </w:r>
      <w:r w:rsidR="00EE5DE0">
        <w:t>to</w:t>
      </w:r>
      <w:r w:rsidR="00D3557A" w:rsidRPr="00EE5DE0">
        <w:t xml:space="preserve"> the Consolidated Resolution on the Construction of Vehicles</w:t>
      </w:r>
      <w:r w:rsidRPr="00EE5DE0">
        <w:rPr>
          <w:rStyle w:val="rynqvb"/>
        </w:rPr>
        <w:t>.</w:t>
      </w:r>
      <w:r w:rsidRPr="00EE5DE0">
        <w:t xml:space="preserve"> </w:t>
      </w:r>
      <w:r w:rsidR="00D3557A" w:rsidRPr="00EE5DE0">
        <w:t xml:space="preserve">It is based on ECE/TRANS/WP.29/GRSG/2024/5 and it amends paragraph 1.16 (c). </w:t>
      </w:r>
      <w:r w:rsidRPr="00EE5DE0">
        <w:t xml:space="preserve">The modifications to the </w:t>
      </w:r>
      <w:r w:rsidR="00D3557A" w:rsidRPr="00EE5DE0">
        <w:t>ECE/TRANS/WP.29/GRSG/2024/5</w:t>
      </w:r>
      <w:r w:rsidRPr="00EE5DE0">
        <w:t xml:space="preserve"> are marked in bold for new or strikethrough for deleted characters.</w:t>
      </w:r>
    </w:p>
    <w:p w14:paraId="2A1317B4" w14:textId="77777777" w:rsidR="002969D1" w:rsidRPr="00EE5DE0" w:rsidRDefault="002969D1" w:rsidP="002969D1">
      <w:pPr>
        <w:spacing w:line="240" w:lineRule="auto"/>
      </w:pPr>
      <w:r w:rsidRPr="00EE5DE0">
        <w:br w:type="page"/>
      </w:r>
    </w:p>
    <w:p w14:paraId="0DF88B61" w14:textId="77777777" w:rsidR="002969D1" w:rsidRPr="00EE5DE0" w:rsidRDefault="002969D1" w:rsidP="002969D1">
      <w:pPr>
        <w:keepNext/>
        <w:keepLines/>
        <w:tabs>
          <w:tab w:val="right" w:pos="851"/>
        </w:tabs>
        <w:spacing w:before="360" w:after="240" w:line="300" w:lineRule="exact"/>
        <w:ind w:right="1134"/>
        <w:rPr>
          <w:b/>
          <w:sz w:val="28"/>
        </w:rPr>
      </w:pPr>
      <w:r w:rsidRPr="00EE5DE0">
        <w:rPr>
          <w:b/>
          <w:sz w:val="28"/>
        </w:rPr>
        <w:lastRenderedPageBreak/>
        <w:tab/>
        <w:t>I.</w:t>
      </w:r>
      <w:r w:rsidRPr="00EE5DE0">
        <w:rPr>
          <w:b/>
          <w:sz w:val="28"/>
        </w:rPr>
        <w:tab/>
        <w:t xml:space="preserve">Proposal </w:t>
      </w:r>
    </w:p>
    <w:p w14:paraId="1307B99E" w14:textId="77777777" w:rsidR="002969D1" w:rsidRPr="00EE5DE0" w:rsidRDefault="002969D1" w:rsidP="002969D1">
      <w:pPr>
        <w:tabs>
          <w:tab w:val="left" w:pos="2300"/>
          <w:tab w:val="left" w:pos="2800"/>
        </w:tabs>
        <w:spacing w:after="120"/>
        <w:ind w:left="2268" w:right="1134" w:hanging="1134"/>
        <w:jc w:val="both"/>
      </w:pPr>
      <w:r w:rsidRPr="00EE5DE0">
        <w:rPr>
          <w:i/>
        </w:rPr>
        <w:t>Insert new paragraph 1.16</w:t>
      </w:r>
      <w:r w:rsidRPr="00EE5DE0">
        <w:rPr>
          <w:iCs/>
        </w:rPr>
        <w:t>.,</w:t>
      </w:r>
      <w:r w:rsidRPr="00EE5DE0">
        <w:rPr>
          <w:i/>
        </w:rPr>
        <w:t xml:space="preserve"> </w:t>
      </w:r>
      <w:r w:rsidRPr="00EE5DE0">
        <w:t>to read</w:t>
      </w:r>
      <w:r w:rsidRPr="00EE5DE0">
        <w:rPr>
          <w:iCs/>
        </w:rPr>
        <w:t xml:space="preserve">: </w:t>
      </w:r>
    </w:p>
    <w:p w14:paraId="2A68B0C6" w14:textId="19DE72E5" w:rsidR="002969D1" w:rsidRPr="00EE5DE0" w:rsidRDefault="00533833" w:rsidP="002969D1">
      <w:pPr>
        <w:pStyle w:val="SingleTxtG"/>
        <w:ind w:left="1980" w:hanging="846"/>
        <w:rPr>
          <w:bCs/>
        </w:rPr>
      </w:pPr>
      <w:r w:rsidRPr="00EE5DE0">
        <w:rPr>
          <w:bCs/>
        </w:rPr>
        <w:t>"</w:t>
      </w:r>
      <w:r w:rsidR="002969D1" w:rsidRPr="00EE5DE0">
        <w:rPr>
          <w:bCs/>
        </w:rPr>
        <w:t>1.16.</w:t>
      </w:r>
      <w:r w:rsidR="002969D1" w:rsidRPr="00EE5DE0">
        <w:rPr>
          <w:bCs/>
        </w:rPr>
        <w:tab/>
      </w:r>
      <w:r w:rsidRPr="00EE5DE0">
        <w:rPr>
          <w:bCs/>
        </w:rPr>
        <w:t>"</w:t>
      </w:r>
      <w:r w:rsidR="002969D1" w:rsidRPr="00EE5DE0">
        <w:rPr>
          <w:bCs/>
          <w:i/>
          <w:iCs/>
        </w:rPr>
        <w:t>Vehicle of historical interest</w:t>
      </w:r>
      <w:r w:rsidRPr="00EE5DE0">
        <w:rPr>
          <w:bCs/>
        </w:rPr>
        <w:t>"</w:t>
      </w:r>
      <w:r w:rsidR="002969D1" w:rsidRPr="00EE5DE0">
        <w:rPr>
          <w:bCs/>
        </w:rPr>
        <w:t xml:space="preserve"> means any vehicle which is considered to be historical by the country of registration or one of its appointed authorising bodies and which fulfils all the following conditions:</w:t>
      </w:r>
    </w:p>
    <w:p w14:paraId="0D52759F" w14:textId="76BACD60" w:rsidR="002969D1" w:rsidRPr="00EE5DE0" w:rsidRDefault="002969D1" w:rsidP="002969D1">
      <w:pPr>
        <w:pStyle w:val="SingleTxtG"/>
        <w:ind w:left="2520" w:hanging="540"/>
        <w:rPr>
          <w:bCs/>
        </w:rPr>
      </w:pPr>
      <w:r w:rsidRPr="00EE5DE0">
        <w:rPr>
          <w:bCs/>
        </w:rPr>
        <w:t>(a)</w:t>
      </w:r>
      <w:r w:rsidRPr="00EE5DE0">
        <w:rPr>
          <w:bCs/>
        </w:rPr>
        <w:tab/>
      </w:r>
      <w:r w:rsidR="005E6854" w:rsidRPr="00EE5DE0">
        <w:rPr>
          <w:bCs/>
        </w:rPr>
        <w:t>the vehicle</w:t>
      </w:r>
      <w:r w:rsidRPr="00EE5DE0">
        <w:rPr>
          <w:bCs/>
        </w:rPr>
        <w:t xml:space="preserve"> was manufactured or registered for the first time at least 30 years ago;</w:t>
      </w:r>
    </w:p>
    <w:p w14:paraId="2F771880" w14:textId="7765CC1D" w:rsidR="002969D1" w:rsidRPr="00EE5DE0" w:rsidRDefault="002969D1" w:rsidP="002969D1">
      <w:pPr>
        <w:pStyle w:val="SingleTxtG"/>
        <w:ind w:left="2520" w:hanging="540"/>
        <w:rPr>
          <w:bCs/>
        </w:rPr>
      </w:pPr>
      <w:r w:rsidRPr="00EE5DE0">
        <w:rPr>
          <w:bCs/>
        </w:rPr>
        <w:t xml:space="preserve">(b) </w:t>
      </w:r>
      <w:r w:rsidRPr="00EE5DE0">
        <w:rPr>
          <w:bCs/>
        </w:rPr>
        <w:tab/>
      </w:r>
      <w:r w:rsidR="005E6854" w:rsidRPr="00EE5DE0">
        <w:rPr>
          <w:bCs/>
        </w:rPr>
        <w:t>the</w:t>
      </w:r>
      <w:r w:rsidRPr="00EE5DE0">
        <w:rPr>
          <w:bCs/>
        </w:rPr>
        <w:t xml:space="preserve"> specific type</w:t>
      </w:r>
      <w:r w:rsidR="005E6854" w:rsidRPr="00EE5DE0">
        <w:rPr>
          <w:bCs/>
        </w:rPr>
        <w:t xml:space="preserve"> of vehicle</w:t>
      </w:r>
      <w:r w:rsidRPr="00EE5DE0">
        <w:rPr>
          <w:bCs/>
        </w:rPr>
        <w:t xml:space="preserve">, as defined in the relevant international or national law, is no longer in production; </w:t>
      </w:r>
      <w:r w:rsidR="005E6854" w:rsidRPr="00EE5DE0">
        <w:rPr>
          <w:bCs/>
        </w:rPr>
        <w:t>and</w:t>
      </w:r>
    </w:p>
    <w:p w14:paraId="06F3A1C6" w14:textId="1B39312A" w:rsidR="002969D1" w:rsidRPr="00EE5DE0" w:rsidRDefault="002969D1" w:rsidP="000039B3">
      <w:pPr>
        <w:pStyle w:val="SingleTxtG"/>
        <w:ind w:left="2520" w:hanging="540"/>
        <w:rPr>
          <w:b/>
          <w:bCs/>
        </w:rPr>
      </w:pPr>
      <w:r w:rsidRPr="00EE5DE0">
        <w:rPr>
          <w:b/>
          <w:bCs/>
        </w:rPr>
        <w:t xml:space="preserve">(c) </w:t>
      </w:r>
      <w:r w:rsidRPr="00EE5DE0">
        <w:rPr>
          <w:b/>
          <w:bCs/>
        </w:rPr>
        <w:tab/>
      </w:r>
      <w:r w:rsidR="00D3557A" w:rsidRPr="00EE5DE0">
        <w:t xml:space="preserve">the vehicle is </w:t>
      </w:r>
      <w:r w:rsidR="00D3557A" w:rsidRPr="00EE5DE0">
        <w:rPr>
          <w:b/>
          <w:bCs/>
        </w:rPr>
        <w:t>maintained in its original state while being in a</w:t>
      </w:r>
      <w:r w:rsidR="00D3557A" w:rsidRPr="00EE5DE0">
        <w:t xml:space="preserve"> historically </w:t>
      </w:r>
      <w:r w:rsidR="00D3557A" w:rsidRPr="00EE5DE0">
        <w:rPr>
          <w:strike/>
        </w:rPr>
        <w:t>preserved and maintained in its original state and has not undergone substantial changes in the technical characteristics of its main components</w:t>
      </w:r>
      <w:r w:rsidR="00D3557A" w:rsidRPr="00EE5DE0">
        <w:t xml:space="preserve"> </w:t>
      </w:r>
      <w:r w:rsidR="00D3557A" w:rsidRPr="00EE5DE0">
        <w:rPr>
          <w:b/>
          <w:bCs/>
        </w:rPr>
        <w:t>correct condition that encompasses both its original form and period-appropriate modifications or modifications according to national law.</w:t>
      </w:r>
      <w:r w:rsidR="00533833" w:rsidRPr="00EE5DE0">
        <w:t>"</w:t>
      </w:r>
    </w:p>
    <w:p w14:paraId="4B91D00B" w14:textId="77777777" w:rsidR="002969D1" w:rsidRPr="00EE5DE0" w:rsidRDefault="002969D1" w:rsidP="002969D1">
      <w:pPr>
        <w:keepNext/>
        <w:keepLines/>
        <w:tabs>
          <w:tab w:val="right" w:pos="851"/>
        </w:tabs>
        <w:spacing w:before="360" w:after="240" w:line="300" w:lineRule="exact"/>
        <w:ind w:left="1134" w:right="1134" w:hanging="1134"/>
        <w:rPr>
          <w:b/>
          <w:sz w:val="28"/>
        </w:rPr>
      </w:pPr>
      <w:r w:rsidRPr="00EE5DE0">
        <w:rPr>
          <w:b/>
          <w:sz w:val="28"/>
        </w:rPr>
        <w:tab/>
        <w:t>II.</w:t>
      </w:r>
      <w:r w:rsidRPr="00EE5DE0">
        <w:rPr>
          <w:b/>
          <w:sz w:val="28"/>
        </w:rPr>
        <w:tab/>
        <w:t xml:space="preserve">Justification </w:t>
      </w:r>
    </w:p>
    <w:p w14:paraId="33E708CB" w14:textId="64402CC1" w:rsidR="002969D1" w:rsidRPr="00EE5DE0" w:rsidRDefault="002969D1" w:rsidP="00467808">
      <w:pPr>
        <w:pStyle w:val="SingleTxtG"/>
      </w:pPr>
      <w:r w:rsidRPr="00EE5DE0">
        <w:t>1.</w:t>
      </w:r>
      <w:r w:rsidRPr="00EE5DE0">
        <w:tab/>
      </w:r>
      <w:r w:rsidR="00533833" w:rsidRPr="00EE5DE0">
        <w:t>Some older vehicles are modified due to retrofitting requirements, and we are also support</w:t>
      </w:r>
      <w:r w:rsidR="00EE5DE0">
        <w:t xml:space="preserve"> </w:t>
      </w:r>
      <w:r w:rsidR="00533833" w:rsidRPr="00EE5DE0">
        <w:t>modifications that enhance road safety and reduce the environmental impact of vehicles. We believe it is beneficial to have flexibility in the definition to allow for the retrofitting or modification of historic vehicles.</w:t>
      </w:r>
    </w:p>
    <w:p w14:paraId="41492292" w14:textId="669575BF" w:rsidR="002969D1" w:rsidRPr="00EE5DE0" w:rsidRDefault="002969D1" w:rsidP="00467808">
      <w:pPr>
        <w:pStyle w:val="SingleTxtG"/>
      </w:pPr>
      <w:r w:rsidRPr="00EE5DE0">
        <w:t xml:space="preserve">2. </w:t>
      </w:r>
      <w:r w:rsidRPr="00EE5DE0">
        <w:tab/>
      </w:r>
      <w:r w:rsidR="00533833" w:rsidRPr="00EE5DE0">
        <w:t xml:space="preserve">As </w:t>
      </w:r>
      <w:r w:rsidR="00EE5DE0">
        <w:t>sta</w:t>
      </w:r>
      <w:r w:rsidR="00EE5DE0" w:rsidRPr="00EE5DE0">
        <w:t xml:space="preserve">ted </w:t>
      </w:r>
      <w:r w:rsidR="00533833" w:rsidRPr="00EE5DE0">
        <w:t xml:space="preserve">in point (c) of the </w:t>
      </w:r>
      <w:r w:rsidR="00EE5DE0" w:rsidRPr="00EE5DE0">
        <w:t xml:space="preserve">proposal </w:t>
      </w:r>
      <w:r w:rsidR="00EE5DE0">
        <w:t xml:space="preserve">of the </w:t>
      </w:r>
      <w:r w:rsidR="00533833" w:rsidRPr="00EE5DE0">
        <w:t>International Federation for Historic Vehicles (ECE/TRANS/WP.29/GRSG/2024/5)</w:t>
      </w:r>
      <w:r w:rsidR="00EE5DE0">
        <w:t>,</w:t>
      </w:r>
      <w:r w:rsidR="00533833" w:rsidRPr="00EE5DE0">
        <w:t xml:space="preserve"> any vehicle that has been modified or rebuilt falls outside the definition of a "historic vehicle." We </w:t>
      </w:r>
      <w:r w:rsidR="00EE5DE0">
        <w:t xml:space="preserve">believe </w:t>
      </w:r>
      <w:r w:rsidR="00533833" w:rsidRPr="00EE5DE0">
        <w:t xml:space="preserve">that it is </w:t>
      </w:r>
      <w:r w:rsidR="00EE5DE0">
        <w:t xml:space="preserve">too </w:t>
      </w:r>
      <w:r w:rsidR="00533833" w:rsidRPr="00EE5DE0">
        <w:t xml:space="preserve">restrictive to limit the term "historic vehicle" to </w:t>
      </w:r>
      <w:r w:rsidR="00EE5DE0">
        <w:t>complete</w:t>
      </w:r>
      <w:r w:rsidR="00533833" w:rsidRPr="00EE5DE0">
        <w:t xml:space="preserve">ly original vehicles. </w:t>
      </w:r>
      <w:r w:rsidR="00EE5DE0">
        <w:t>P</w:t>
      </w:r>
      <w:r w:rsidR="00EE5DE0" w:rsidRPr="00EE5DE0">
        <w:t xml:space="preserve">eriod-appropriate modifications </w:t>
      </w:r>
      <w:r w:rsidR="00533833" w:rsidRPr="00EE5DE0">
        <w:t>should be allow</w:t>
      </w:r>
      <w:r w:rsidR="00EE5DE0">
        <w:t>ed</w:t>
      </w:r>
      <w:r w:rsidR="00533833" w:rsidRPr="00EE5DE0">
        <w:t>. We believe that historic vehicles, even if partially or fully disassembled, should be considered historic if they can be restored to an opera</w:t>
      </w:r>
      <w:r w:rsidR="00EE5DE0">
        <w:t>ble</w:t>
      </w:r>
      <w:r w:rsidR="00533833" w:rsidRPr="00EE5DE0">
        <w:t xml:space="preserve"> and historically accurate condition.</w:t>
      </w:r>
    </w:p>
    <w:p w14:paraId="2DC0182D" w14:textId="51FE1067" w:rsidR="002969D1" w:rsidRPr="00EE5DE0" w:rsidRDefault="002969D1" w:rsidP="00467808">
      <w:pPr>
        <w:pStyle w:val="SingleTxtG"/>
      </w:pPr>
      <w:r w:rsidRPr="00EE5DE0">
        <w:t xml:space="preserve">3. </w:t>
      </w:r>
      <w:r w:rsidRPr="00EE5DE0">
        <w:tab/>
      </w:r>
      <w:r w:rsidR="00533833" w:rsidRPr="00EE5DE0">
        <w:t xml:space="preserve">Therefore, we propose </w:t>
      </w:r>
      <w:r w:rsidR="00EE5DE0">
        <w:t xml:space="preserve">to </w:t>
      </w:r>
      <w:r w:rsidR="00533833" w:rsidRPr="00EE5DE0">
        <w:t>amend</w:t>
      </w:r>
      <w:r w:rsidR="00EE5DE0">
        <w:t xml:space="preserve"> </w:t>
      </w:r>
      <w:r w:rsidR="00533833" w:rsidRPr="00EE5DE0">
        <w:t xml:space="preserve">the definition in point (c) </w:t>
      </w:r>
      <w:r w:rsidR="00EE5DE0">
        <w:t xml:space="preserve">of </w:t>
      </w:r>
      <w:r w:rsidR="00EE5DE0" w:rsidRPr="00EE5DE0">
        <w:t>ECE/TRANS/WP.29/GRSG/2024/5</w:t>
      </w:r>
      <w:r w:rsidR="00EE5DE0">
        <w:t xml:space="preserve"> </w:t>
      </w:r>
      <w:r w:rsidR="00533833" w:rsidRPr="00EE5DE0">
        <w:t xml:space="preserve">to </w:t>
      </w:r>
      <w:r w:rsidR="00EE5DE0">
        <w:t xml:space="preserve">include </w:t>
      </w:r>
      <w:r w:rsidR="00533833" w:rsidRPr="00EE5DE0">
        <w:t>all aspects of our motoring heritage, including vehicles that have been modified for personalization, by the aftermarket industry, or for motorsport.</w:t>
      </w:r>
      <w:r w:rsidRPr="00EE5DE0">
        <w:t xml:space="preserve"> </w:t>
      </w:r>
    </w:p>
    <w:p w14:paraId="1D0D4936" w14:textId="61F66496" w:rsidR="00533833" w:rsidRPr="00EE5DE0" w:rsidRDefault="002969D1" w:rsidP="00467808">
      <w:pPr>
        <w:pStyle w:val="SingleTxtG"/>
      </w:pPr>
      <w:r w:rsidRPr="00EE5DE0">
        <w:t xml:space="preserve">4. </w:t>
      </w:r>
      <w:r w:rsidRPr="00EE5DE0">
        <w:tab/>
      </w:r>
      <w:r w:rsidR="00533833" w:rsidRPr="00EE5DE0">
        <w:t>In the view of Norway</w:t>
      </w:r>
      <w:r w:rsidR="00AE3388">
        <w:t xml:space="preserve"> and </w:t>
      </w:r>
      <w:r w:rsidR="00AE3388" w:rsidRPr="00EE5DE0">
        <w:t>Sweden</w:t>
      </w:r>
      <w:r w:rsidR="00533833" w:rsidRPr="00EE5DE0">
        <w:t xml:space="preserve">, our </w:t>
      </w:r>
      <w:r w:rsidR="00AE3388">
        <w:t xml:space="preserve">automotive </w:t>
      </w:r>
      <w:r w:rsidR="00533833" w:rsidRPr="00EE5DE0">
        <w:t>heritage also includes the personalization and modification of vehicles throughout the history of the motor vehicle. Iconic vehicles such as the Ford Escort Mk 1 and 2, modified for rally</w:t>
      </w:r>
      <w:r w:rsidR="00AE3388">
        <w:t>ing</w:t>
      </w:r>
      <w:r w:rsidR="00533833" w:rsidRPr="00EE5DE0">
        <w:t xml:space="preserve">, the 1932 Ford Coupe from the film </w:t>
      </w:r>
      <w:r w:rsidR="00AE3388">
        <w:t>“</w:t>
      </w:r>
      <w:r w:rsidR="00533833" w:rsidRPr="00EE5DE0">
        <w:t>American Graffiti</w:t>
      </w:r>
      <w:r w:rsidR="00AE3388">
        <w:t>”</w:t>
      </w:r>
      <w:r w:rsidR="00533833" w:rsidRPr="00EE5DE0">
        <w:t xml:space="preserve">, and the Shelby GT500 from </w:t>
      </w:r>
      <w:r w:rsidR="00AE3388">
        <w:t>“</w:t>
      </w:r>
      <w:r w:rsidR="00533833" w:rsidRPr="00EE5DE0">
        <w:t>Gone in 60 Seconds</w:t>
      </w:r>
      <w:r w:rsidR="00AE3388">
        <w:t>”</w:t>
      </w:r>
      <w:r w:rsidR="00533833" w:rsidRPr="00EE5DE0">
        <w:t xml:space="preserve"> exemplify how modified vehicles represent important cultural influences in our society. Vehicles modified during or after the Second World War to meet personal and commercial transport needs also ex</w:t>
      </w:r>
      <w:r w:rsidR="00AE3388">
        <w:t xml:space="preserve">emplify </w:t>
      </w:r>
      <w:r w:rsidR="00533833" w:rsidRPr="00EE5DE0">
        <w:t xml:space="preserve">modified vehicles that should be considered historic. Additionally, vehicles </w:t>
      </w:r>
      <w:r w:rsidR="00AE3388">
        <w:t>modifi</w:t>
      </w:r>
      <w:r w:rsidR="00533833" w:rsidRPr="00EE5DE0">
        <w:t xml:space="preserve">ed for motor racing </w:t>
      </w:r>
      <w:r w:rsidR="00AE3388">
        <w:t xml:space="preserve">are </w:t>
      </w:r>
      <w:r w:rsidR="00533833" w:rsidRPr="00EE5DE0">
        <w:t>an important part of our motoring heritage.</w:t>
      </w:r>
    </w:p>
    <w:p w14:paraId="3D6C47B8" w14:textId="24702DE3" w:rsidR="002969D1" w:rsidRPr="00EE5DE0" w:rsidRDefault="00533833" w:rsidP="00467808">
      <w:pPr>
        <w:pStyle w:val="SingleTxtG"/>
      </w:pPr>
      <w:r w:rsidRPr="00EE5DE0">
        <w:t>5.</w:t>
      </w:r>
      <w:r w:rsidRPr="00EE5DE0">
        <w:tab/>
        <w:t>The motor vehicle represents personal freedom and mobility. Modifying and personalizing vehicles ha</w:t>
      </w:r>
      <w:r w:rsidR="00AE3388">
        <w:t>s</w:t>
      </w:r>
      <w:r w:rsidRPr="00EE5DE0">
        <w:t xml:space="preserve"> been, and continue</w:t>
      </w:r>
      <w:r w:rsidR="00AE3388">
        <w:t>s</w:t>
      </w:r>
      <w:r w:rsidRPr="00EE5DE0">
        <w:t xml:space="preserve"> to be, crucial aspects of </w:t>
      </w:r>
      <w:r w:rsidR="00AE3388">
        <w:t xml:space="preserve">the </w:t>
      </w:r>
      <w:r w:rsidR="00AE3388" w:rsidRPr="00EE5DE0">
        <w:t xml:space="preserve">history </w:t>
      </w:r>
      <w:r w:rsidR="00AE3388">
        <w:t xml:space="preserve">of </w:t>
      </w:r>
      <w:r w:rsidRPr="00EE5DE0">
        <w:t>motor vehicle</w:t>
      </w:r>
      <w:r w:rsidR="00AE3388">
        <w:t>s</w:t>
      </w:r>
      <w:r w:rsidRPr="00EE5DE0">
        <w:t xml:space="preserve"> and, therefore, </w:t>
      </w:r>
      <w:r w:rsidR="00AE3388">
        <w:t xml:space="preserve">of </w:t>
      </w:r>
      <w:r w:rsidRPr="00EE5DE0">
        <w:t xml:space="preserve">our motoring heritage. </w:t>
      </w:r>
      <w:r w:rsidR="002969D1" w:rsidRPr="00EE5DE0">
        <w:t xml:space="preserve"> </w:t>
      </w:r>
    </w:p>
    <w:p w14:paraId="548B0C47" w14:textId="4798FE89" w:rsidR="001C6663" w:rsidRPr="00EE5DE0" w:rsidRDefault="002969D1" w:rsidP="002969D1">
      <w:pPr>
        <w:spacing w:before="240"/>
        <w:jc w:val="center"/>
        <w:rPr>
          <w:u w:val="single"/>
        </w:rPr>
      </w:pPr>
      <w:r w:rsidRPr="00EE5DE0">
        <w:rPr>
          <w:u w:val="single"/>
        </w:rPr>
        <w:tab/>
      </w:r>
      <w:r w:rsidRPr="00EE5DE0">
        <w:rPr>
          <w:u w:val="single"/>
        </w:rPr>
        <w:tab/>
      </w:r>
      <w:r w:rsidRPr="00EE5DE0">
        <w:rPr>
          <w:u w:val="single"/>
        </w:rPr>
        <w:tab/>
      </w:r>
    </w:p>
    <w:sectPr w:rsidR="001C6663" w:rsidRPr="00EE5DE0" w:rsidSect="002969D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28D" w14:textId="77777777" w:rsidR="00531E4B" w:rsidRDefault="00531E4B"/>
  </w:endnote>
  <w:endnote w:type="continuationSeparator" w:id="0">
    <w:p w14:paraId="70A0EBAE" w14:textId="77777777" w:rsidR="00531E4B" w:rsidRDefault="00531E4B"/>
  </w:endnote>
  <w:endnote w:type="continuationNotice" w:id="1">
    <w:p w14:paraId="524388EE" w14:textId="77777777" w:rsidR="00531E4B" w:rsidRDefault="0053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D95A" w14:textId="08E27D03" w:rsidR="002969D1" w:rsidRPr="002969D1" w:rsidRDefault="002969D1" w:rsidP="002969D1">
    <w:pPr>
      <w:pStyle w:val="Footer"/>
      <w:tabs>
        <w:tab w:val="right" w:pos="9638"/>
      </w:tabs>
      <w:rPr>
        <w:sz w:val="18"/>
      </w:rPr>
    </w:pPr>
    <w:r w:rsidRPr="002969D1">
      <w:rPr>
        <w:b/>
        <w:sz w:val="18"/>
      </w:rPr>
      <w:fldChar w:fldCharType="begin"/>
    </w:r>
    <w:r w:rsidRPr="002969D1">
      <w:rPr>
        <w:b/>
        <w:sz w:val="18"/>
      </w:rPr>
      <w:instrText xml:space="preserve"> PAGE  \* MERGEFORMAT </w:instrText>
    </w:r>
    <w:r w:rsidRPr="002969D1">
      <w:rPr>
        <w:b/>
        <w:sz w:val="18"/>
      </w:rPr>
      <w:fldChar w:fldCharType="separate"/>
    </w:r>
    <w:r w:rsidRPr="002969D1">
      <w:rPr>
        <w:b/>
        <w:noProof/>
        <w:sz w:val="18"/>
      </w:rPr>
      <w:t>2</w:t>
    </w:r>
    <w:r w:rsidRPr="002969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0F0" w14:textId="636EE6ED" w:rsidR="002969D1" w:rsidRPr="002969D1" w:rsidRDefault="002969D1" w:rsidP="002969D1">
    <w:pPr>
      <w:pStyle w:val="Footer"/>
      <w:tabs>
        <w:tab w:val="right" w:pos="9638"/>
      </w:tabs>
      <w:rPr>
        <w:b/>
        <w:sz w:val="18"/>
      </w:rPr>
    </w:pPr>
    <w:r>
      <w:tab/>
    </w:r>
    <w:r w:rsidRPr="002969D1">
      <w:rPr>
        <w:b/>
        <w:sz w:val="18"/>
      </w:rPr>
      <w:fldChar w:fldCharType="begin"/>
    </w:r>
    <w:r w:rsidRPr="002969D1">
      <w:rPr>
        <w:b/>
        <w:sz w:val="18"/>
      </w:rPr>
      <w:instrText xml:space="preserve"> PAGE  \* MERGEFORMAT </w:instrText>
    </w:r>
    <w:r w:rsidRPr="002969D1">
      <w:rPr>
        <w:b/>
        <w:sz w:val="18"/>
      </w:rPr>
      <w:fldChar w:fldCharType="separate"/>
    </w:r>
    <w:r w:rsidRPr="002969D1">
      <w:rPr>
        <w:b/>
        <w:noProof/>
        <w:sz w:val="18"/>
      </w:rPr>
      <w:t>3</w:t>
    </w:r>
    <w:r w:rsidRPr="002969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47F4" w14:textId="127B8214" w:rsidR="0013510A" w:rsidRDefault="0013510A" w:rsidP="0013510A">
    <w:pPr>
      <w:pStyle w:val="Footer"/>
    </w:pPr>
  </w:p>
  <w:p w14:paraId="1C33B245" w14:textId="50D52153" w:rsidR="0013510A" w:rsidRPr="0013510A" w:rsidRDefault="0013510A" w:rsidP="0013510A">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5687" w14:textId="77777777" w:rsidR="00531E4B" w:rsidRPr="000B175B" w:rsidRDefault="00531E4B" w:rsidP="000B175B">
      <w:pPr>
        <w:tabs>
          <w:tab w:val="right" w:pos="2155"/>
        </w:tabs>
        <w:spacing w:after="80"/>
        <w:ind w:left="680"/>
        <w:rPr>
          <w:u w:val="single"/>
        </w:rPr>
      </w:pPr>
      <w:r>
        <w:rPr>
          <w:u w:val="single"/>
        </w:rPr>
        <w:tab/>
      </w:r>
    </w:p>
  </w:footnote>
  <w:footnote w:type="continuationSeparator" w:id="0">
    <w:p w14:paraId="4FBB7CE0" w14:textId="77777777" w:rsidR="00531E4B" w:rsidRPr="00FC68B7" w:rsidRDefault="00531E4B" w:rsidP="00FC68B7">
      <w:pPr>
        <w:tabs>
          <w:tab w:val="left" w:pos="2155"/>
        </w:tabs>
        <w:spacing w:after="80"/>
        <w:ind w:left="680"/>
        <w:rPr>
          <w:u w:val="single"/>
        </w:rPr>
      </w:pPr>
      <w:r>
        <w:rPr>
          <w:u w:val="single"/>
        </w:rPr>
        <w:tab/>
      </w:r>
    </w:p>
  </w:footnote>
  <w:footnote w:type="continuationNotice" w:id="1">
    <w:p w14:paraId="6AD5E525" w14:textId="77777777" w:rsidR="00531E4B" w:rsidRDefault="00531E4B"/>
  </w:footnote>
  <w:footnote w:id="2">
    <w:p w14:paraId="39812F94" w14:textId="77777777" w:rsidR="002969D1" w:rsidRPr="00EA370C" w:rsidRDefault="002969D1" w:rsidP="002969D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F19" w14:textId="115E941F" w:rsidR="002969D1" w:rsidRPr="001D0897" w:rsidRDefault="001D0897">
    <w:pPr>
      <w:pStyle w:val="Header"/>
      <w:rPr>
        <w:lang w:val="fr-CH"/>
      </w:rPr>
    </w:pPr>
    <w:r>
      <w:rPr>
        <w:lang w:val="fr-CH"/>
      </w:rPr>
      <w:t>ECE/TRANS/WP.29</w:t>
    </w:r>
    <w:r w:rsidR="00F00D69">
      <w:rPr>
        <w:lang w:val="fr-CH"/>
      </w:rPr>
      <w:t>/GRSG/2024/42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BCE5" w14:textId="7F884DC5" w:rsidR="002969D1" w:rsidRPr="002969D1" w:rsidRDefault="00000000" w:rsidP="002969D1">
    <w:pPr>
      <w:pStyle w:val="Header"/>
      <w:jc w:val="right"/>
    </w:pPr>
    <w:fldSimple w:instr=" TITLE  \* MERGEFORMAT ">
      <w:r w:rsidR="00766DEB">
        <w:t>ECE/TRANS/WP.29/GRSG/2024/5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52797740">
    <w:abstractNumId w:val="1"/>
  </w:num>
  <w:num w:numId="2" w16cid:durableId="566451680">
    <w:abstractNumId w:val="0"/>
  </w:num>
  <w:num w:numId="3" w16cid:durableId="1392582606">
    <w:abstractNumId w:val="2"/>
  </w:num>
  <w:num w:numId="4" w16cid:durableId="555287768">
    <w:abstractNumId w:val="3"/>
  </w:num>
  <w:num w:numId="5" w16cid:durableId="1434351982">
    <w:abstractNumId w:val="8"/>
  </w:num>
  <w:num w:numId="6" w16cid:durableId="1702590542">
    <w:abstractNumId w:val="9"/>
  </w:num>
  <w:num w:numId="7" w16cid:durableId="1193769134">
    <w:abstractNumId w:val="7"/>
  </w:num>
  <w:num w:numId="8" w16cid:durableId="291979380">
    <w:abstractNumId w:val="6"/>
  </w:num>
  <w:num w:numId="9" w16cid:durableId="444275507">
    <w:abstractNumId w:val="5"/>
  </w:num>
  <w:num w:numId="10" w16cid:durableId="1613827658">
    <w:abstractNumId w:val="4"/>
  </w:num>
  <w:num w:numId="11" w16cid:durableId="850994438">
    <w:abstractNumId w:val="15"/>
  </w:num>
  <w:num w:numId="12" w16cid:durableId="1963268242">
    <w:abstractNumId w:val="14"/>
  </w:num>
  <w:num w:numId="13" w16cid:durableId="577129469">
    <w:abstractNumId w:val="10"/>
  </w:num>
  <w:num w:numId="14" w16cid:durableId="271327239">
    <w:abstractNumId w:val="12"/>
  </w:num>
  <w:num w:numId="15" w16cid:durableId="1613782568">
    <w:abstractNumId w:val="16"/>
  </w:num>
  <w:num w:numId="16" w16cid:durableId="1713967606">
    <w:abstractNumId w:val="13"/>
  </w:num>
  <w:num w:numId="17" w16cid:durableId="1536309360">
    <w:abstractNumId w:val="17"/>
  </w:num>
  <w:num w:numId="18" w16cid:durableId="254099802">
    <w:abstractNumId w:val="18"/>
  </w:num>
  <w:num w:numId="19" w16cid:durableId="14839628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D1"/>
    <w:rsid w:val="00002A7D"/>
    <w:rsid w:val="000038A8"/>
    <w:rsid w:val="000039B3"/>
    <w:rsid w:val="00005DF3"/>
    <w:rsid w:val="00006790"/>
    <w:rsid w:val="00027624"/>
    <w:rsid w:val="00050F6B"/>
    <w:rsid w:val="000678CD"/>
    <w:rsid w:val="00072C8C"/>
    <w:rsid w:val="00081CE0"/>
    <w:rsid w:val="00084D30"/>
    <w:rsid w:val="00090320"/>
    <w:rsid w:val="000931C0"/>
    <w:rsid w:val="00097003"/>
    <w:rsid w:val="000A2A56"/>
    <w:rsid w:val="000A2E09"/>
    <w:rsid w:val="000B175B"/>
    <w:rsid w:val="000B3A0F"/>
    <w:rsid w:val="000E0415"/>
    <w:rsid w:val="000F7715"/>
    <w:rsid w:val="00131386"/>
    <w:rsid w:val="0013510A"/>
    <w:rsid w:val="00156B99"/>
    <w:rsid w:val="00162F34"/>
    <w:rsid w:val="00166124"/>
    <w:rsid w:val="00184DDA"/>
    <w:rsid w:val="001900CD"/>
    <w:rsid w:val="001A0452"/>
    <w:rsid w:val="001B4B04"/>
    <w:rsid w:val="001B5875"/>
    <w:rsid w:val="001C4B9C"/>
    <w:rsid w:val="001C6663"/>
    <w:rsid w:val="001C7895"/>
    <w:rsid w:val="001D0897"/>
    <w:rsid w:val="001D26DF"/>
    <w:rsid w:val="001F1599"/>
    <w:rsid w:val="001F19C4"/>
    <w:rsid w:val="00200222"/>
    <w:rsid w:val="002043F0"/>
    <w:rsid w:val="00211E0B"/>
    <w:rsid w:val="00232575"/>
    <w:rsid w:val="00247258"/>
    <w:rsid w:val="00257CAC"/>
    <w:rsid w:val="0027237A"/>
    <w:rsid w:val="002969D1"/>
    <w:rsid w:val="002974E9"/>
    <w:rsid w:val="002A306B"/>
    <w:rsid w:val="002A7F94"/>
    <w:rsid w:val="002B109A"/>
    <w:rsid w:val="002C2072"/>
    <w:rsid w:val="002C6D45"/>
    <w:rsid w:val="002D6E53"/>
    <w:rsid w:val="002F046D"/>
    <w:rsid w:val="002F3023"/>
    <w:rsid w:val="002F5F1E"/>
    <w:rsid w:val="00301764"/>
    <w:rsid w:val="003229D8"/>
    <w:rsid w:val="00336C97"/>
    <w:rsid w:val="00337F88"/>
    <w:rsid w:val="00342432"/>
    <w:rsid w:val="0035223F"/>
    <w:rsid w:val="00352D4B"/>
    <w:rsid w:val="0035638C"/>
    <w:rsid w:val="00377C2A"/>
    <w:rsid w:val="003A46BB"/>
    <w:rsid w:val="003A4EC7"/>
    <w:rsid w:val="003A7295"/>
    <w:rsid w:val="003B1F60"/>
    <w:rsid w:val="003C2CC4"/>
    <w:rsid w:val="003D21EA"/>
    <w:rsid w:val="003D4B23"/>
    <w:rsid w:val="003E278A"/>
    <w:rsid w:val="00413520"/>
    <w:rsid w:val="004325CB"/>
    <w:rsid w:val="00440A07"/>
    <w:rsid w:val="00462880"/>
    <w:rsid w:val="00467808"/>
    <w:rsid w:val="00476F24"/>
    <w:rsid w:val="004A5D33"/>
    <w:rsid w:val="004C08B8"/>
    <w:rsid w:val="004C55B0"/>
    <w:rsid w:val="004F6BA0"/>
    <w:rsid w:val="00503BEA"/>
    <w:rsid w:val="00531E4B"/>
    <w:rsid w:val="00533616"/>
    <w:rsid w:val="00533833"/>
    <w:rsid w:val="00535ABA"/>
    <w:rsid w:val="0053768B"/>
    <w:rsid w:val="005420F2"/>
    <w:rsid w:val="0054285C"/>
    <w:rsid w:val="00584173"/>
    <w:rsid w:val="00595520"/>
    <w:rsid w:val="005A44B9"/>
    <w:rsid w:val="005B1BA0"/>
    <w:rsid w:val="005B3DB3"/>
    <w:rsid w:val="005C0268"/>
    <w:rsid w:val="005D15CA"/>
    <w:rsid w:val="005E6854"/>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4BC7"/>
    <w:rsid w:val="006A7392"/>
    <w:rsid w:val="006B03A1"/>
    <w:rsid w:val="006B67D9"/>
    <w:rsid w:val="006C5535"/>
    <w:rsid w:val="006D0589"/>
    <w:rsid w:val="006E564B"/>
    <w:rsid w:val="006E7154"/>
    <w:rsid w:val="007003CD"/>
    <w:rsid w:val="0070701E"/>
    <w:rsid w:val="0072632A"/>
    <w:rsid w:val="007358E8"/>
    <w:rsid w:val="00736ECE"/>
    <w:rsid w:val="0074533B"/>
    <w:rsid w:val="00754E3E"/>
    <w:rsid w:val="007643BC"/>
    <w:rsid w:val="00766DEB"/>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7D60"/>
    <w:rsid w:val="009610D0"/>
    <w:rsid w:val="0096375C"/>
    <w:rsid w:val="009662E6"/>
    <w:rsid w:val="0097095E"/>
    <w:rsid w:val="0098592B"/>
    <w:rsid w:val="00985FC4"/>
    <w:rsid w:val="00990766"/>
    <w:rsid w:val="00991261"/>
    <w:rsid w:val="009964C4"/>
    <w:rsid w:val="009A7B81"/>
    <w:rsid w:val="009B7EB7"/>
    <w:rsid w:val="009C396D"/>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E3388"/>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1375"/>
    <w:rsid w:val="00CA24A4"/>
    <w:rsid w:val="00CB348D"/>
    <w:rsid w:val="00CD46F5"/>
    <w:rsid w:val="00CE4A8F"/>
    <w:rsid w:val="00CF071D"/>
    <w:rsid w:val="00D0123D"/>
    <w:rsid w:val="00D15B04"/>
    <w:rsid w:val="00D2031B"/>
    <w:rsid w:val="00D25FE2"/>
    <w:rsid w:val="00D3557A"/>
    <w:rsid w:val="00D37DA9"/>
    <w:rsid w:val="00D406A7"/>
    <w:rsid w:val="00D43252"/>
    <w:rsid w:val="00D44D86"/>
    <w:rsid w:val="00D44F8D"/>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5DE0"/>
    <w:rsid w:val="00EF1D7F"/>
    <w:rsid w:val="00F00D69"/>
    <w:rsid w:val="00F0137E"/>
    <w:rsid w:val="00F04E44"/>
    <w:rsid w:val="00F21786"/>
    <w:rsid w:val="00F24156"/>
    <w:rsid w:val="00F25D06"/>
    <w:rsid w:val="00F31CFF"/>
    <w:rsid w:val="00F3742B"/>
    <w:rsid w:val="00F41FDB"/>
    <w:rsid w:val="00F50597"/>
    <w:rsid w:val="00F5099B"/>
    <w:rsid w:val="00F56D63"/>
    <w:rsid w:val="00F609A9"/>
    <w:rsid w:val="00F80C99"/>
    <w:rsid w:val="00F867EC"/>
    <w:rsid w:val="00F91B2B"/>
    <w:rsid w:val="00F956D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C0CB3"/>
  <w15:docId w15:val="{939C9601-B068-4CF8-AE5C-27E370B3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2969D1"/>
    <w:rPr>
      <w:lang w:val="en-GB"/>
    </w:rPr>
  </w:style>
  <w:style w:type="character" w:customStyle="1" w:styleId="HChGChar">
    <w:name w:val="_ H _Ch_G Char"/>
    <w:link w:val="HChG"/>
    <w:qFormat/>
    <w:rsid w:val="002969D1"/>
    <w:rPr>
      <w:b/>
      <w:sz w:val="28"/>
      <w:lang w:val="en-GB"/>
    </w:rPr>
  </w:style>
  <w:style w:type="character" w:customStyle="1" w:styleId="H1GChar">
    <w:name w:val="_ H_1_G Char"/>
    <w:link w:val="H1G"/>
    <w:locked/>
    <w:rsid w:val="002969D1"/>
    <w:rPr>
      <w:b/>
      <w:sz w:val="24"/>
      <w:lang w:val="en-GB"/>
    </w:rPr>
  </w:style>
  <w:style w:type="character" w:customStyle="1" w:styleId="rynqvb">
    <w:name w:val="rynqvb"/>
    <w:basedOn w:val="DefaultParagraphFont"/>
    <w:rsid w:val="002969D1"/>
  </w:style>
  <w:style w:type="paragraph" w:styleId="Revision">
    <w:name w:val="Revision"/>
    <w:hidden/>
    <w:uiPriority w:val="99"/>
    <w:semiHidden/>
    <w:rsid w:val="005E6854"/>
    <w:rPr>
      <w:lang w:val="en-GB"/>
    </w:rPr>
  </w:style>
  <w:style w:type="character" w:styleId="CommentReference">
    <w:name w:val="annotation reference"/>
    <w:basedOn w:val="DefaultParagraphFont"/>
    <w:semiHidden/>
    <w:unhideWhenUsed/>
    <w:rsid w:val="005E6854"/>
    <w:rPr>
      <w:sz w:val="16"/>
      <w:szCs w:val="16"/>
    </w:rPr>
  </w:style>
  <w:style w:type="paragraph" w:styleId="CommentText">
    <w:name w:val="annotation text"/>
    <w:basedOn w:val="Normal"/>
    <w:link w:val="CommentTextChar"/>
    <w:unhideWhenUsed/>
    <w:rsid w:val="005E6854"/>
    <w:pPr>
      <w:spacing w:line="240" w:lineRule="auto"/>
    </w:pPr>
  </w:style>
  <w:style w:type="character" w:customStyle="1" w:styleId="CommentTextChar">
    <w:name w:val="Comment Text Char"/>
    <w:basedOn w:val="DefaultParagraphFont"/>
    <w:link w:val="CommentText"/>
    <w:rsid w:val="005E6854"/>
    <w:rPr>
      <w:lang w:val="en-GB"/>
    </w:rPr>
  </w:style>
  <w:style w:type="paragraph" w:styleId="CommentSubject">
    <w:name w:val="annotation subject"/>
    <w:basedOn w:val="CommentText"/>
    <w:next w:val="CommentText"/>
    <w:link w:val="CommentSubjectChar"/>
    <w:semiHidden/>
    <w:unhideWhenUsed/>
    <w:rsid w:val="005E6854"/>
    <w:rPr>
      <w:b/>
      <w:bCs/>
    </w:rPr>
  </w:style>
  <w:style w:type="character" w:customStyle="1" w:styleId="CommentSubjectChar">
    <w:name w:val="Comment Subject Char"/>
    <w:basedOn w:val="CommentTextChar"/>
    <w:link w:val="CommentSubject"/>
    <w:semiHidden/>
    <w:rsid w:val="005E685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3452">
      <w:bodyDiv w:val="1"/>
      <w:marLeft w:val="0"/>
      <w:marRight w:val="0"/>
      <w:marTop w:val="0"/>
      <w:marBottom w:val="0"/>
      <w:divBdr>
        <w:top w:val="none" w:sz="0" w:space="0" w:color="auto"/>
        <w:left w:val="none" w:sz="0" w:space="0" w:color="auto"/>
        <w:bottom w:val="none" w:sz="0" w:space="0" w:color="auto"/>
        <w:right w:val="none" w:sz="0" w:space="0" w:color="auto"/>
      </w:divBdr>
    </w:div>
    <w:div w:id="1050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F57A-C187-4206-A5D4-743F9F98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8756D-5D7A-4BB1-8462-C7B3276BCD09}">
  <ds:schemaRefs>
    <ds:schemaRef ds:uri="http://schemas.microsoft.com/sharepoint/v3/contenttype/forms"/>
  </ds:schemaRefs>
</ds:datastoreItem>
</file>

<file path=customXml/itemProps3.xml><?xml version="1.0" encoding="utf-8"?>
<ds:datastoreItem xmlns:ds="http://schemas.openxmlformats.org/officeDocument/2006/customXml" ds:itemID="{B1E6BE83-544E-4C52-86B7-D695EDCA808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ECE/TRANS/WP.29/GRSG/2024/5</vt:lpstr>
      <vt:lpstr/>
    </vt:vector>
  </TitlesOfParts>
  <Company>CSD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ECE/TRANS/WP.29/GRSG/2024/5</dc:title>
  <dc:subject>2401412</dc:subject>
  <dc:creator>Una Giltsoff</dc:creator>
  <cp:keywords/>
  <dc:description/>
  <cp:lastModifiedBy>Benedicte Boudol</cp:lastModifiedBy>
  <cp:revision>6</cp:revision>
  <cp:lastPrinted>2024-07-24T07:07:00Z</cp:lastPrinted>
  <dcterms:created xsi:type="dcterms:W3CDTF">2024-07-23T14:25:00Z</dcterms:created>
  <dcterms:modified xsi:type="dcterms:W3CDTF">2024-07-24T07:07:00Z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