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1433FD" w:rsidRPr="00DB58B5" w14:paraId="7C00E2CB" w14:textId="77777777" w:rsidTr="00295CCA">
        <w:trPr>
          <w:trHeight w:hRule="exact" w:val="851"/>
        </w:trPr>
        <w:tc>
          <w:tcPr>
            <w:tcW w:w="1276" w:type="dxa"/>
            <w:tcBorders>
              <w:bottom w:val="single" w:sz="4" w:space="0" w:color="auto"/>
            </w:tcBorders>
          </w:tcPr>
          <w:p w14:paraId="782692D5" w14:textId="77777777" w:rsidR="001433FD" w:rsidRPr="00DB58B5" w:rsidRDefault="001433FD" w:rsidP="00444462"/>
        </w:tc>
        <w:tc>
          <w:tcPr>
            <w:tcW w:w="2268" w:type="dxa"/>
            <w:tcBorders>
              <w:bottom w:val="single" w:sz="4" w:space="0" w:color="auto"/>
            </w:tcBorders>
            <w:vAlign w:val="bottom"/>
          </w:tcPr>
          <w:p w14:paraId="7ADBDD9A" w14:textId="77777777" w:rsidR="001433FD" w:rsidRPr="00DB58B5" w:rsidRDefault="001433FD" w:rsidP="00295CCA">
            <w:pPr>
              <w:spacing w:after="80" w:line="300" w:lineRule="exact"/>
              <w:rPr>
                <w:sz w:val="28"/>
              </w:rPr>
            </w:pPr>
            <w:r w:rsidRPr="00DB58B5">
              <w:rPr>
                <w:sz w:val="28"/>
              </w:rPr>
              <w:t>Nations Unies</w:t>
            </w:r>
          </w:p>
        </w:tc>
        <w:tc>
          <w:tcPr>
            <w:tcW w:w="6095" w:type="dxa"/>
            <w:gridSpan w:val="2"/>
            <w:tcBorders>
              <w:bottom w:val="single" w:sz="4" w:space="0" w:color="auto"/>
            </w:tcBorders>
            <w:vAlign w:val="bottom"/>
          </w:tcPr>
          <w:p w14:paraId="5FD15042" w14:textId="2B16029A" w:rsidR="001433FD" w:rsidRPr="00DB58B5" w:rsidRDefault="00444462" w:rsidP="00444462">
            <w:pPr>
              <w:jc w:val="right"/>
            </w:pPr>
            <w:r w:rsidRPr="00444462">
              <w:rPr>
                <w:sz w:val="40"/>
              </w:rPr>
              <w:t>ECE</w:t>
            </w:r>
            <w:r>
              <w:t>/ADN/2024/5</w:t>
            </w:r>
          </w:p>
        </w:tc>
      </w:tr>
      <w:tr w:rsidR="001433FD" w:rsidRPr="00DB58B5" w14:paraId="06E3D06E" w14:textId="77777777" w:rsidTr="00295CCA">
        <w:trPr>
          <w:trHeight w:hRule="exact" w:val="2835"/>
        </w:trPr>
        <w:tc>
          <w:tcPr>
            <w:tcW w:w="1276" w:type="dxa"/>
            <w:tcBorders>
              <w:top w:val="single" w:sz="4" w:space="0" w:color="auto"/>
              <w:bottom w:val="single" w:sz="12" w:space="0" w:color="auto"/>
            </w:tcBorders>
          </w:tcPr>
          <w:p w14:paraId="49097863" w14:textId="77777777" w:rsidR="001433FD" w:rsidRPr="00DB58B5" w:rsidRDefault="001433FD" w:rsidP="00295CCA">
            <w:pPr>
              <w:spacing w:before="120"/>
              <w:jc w:val="center"/>
            </w:pPr>
            <w:r>
              <w:rPr>
                <w:noProof/>
                <w:lang w:eastAsia="fr-CH"/>
              </w:rPr>
              <w:drawing>
                <wp:inline distT="0" distB="0" distL="0" distR="0" wp14:anchorId="3F3CA0B9" wp14:editId="13EEB4C6">
                  <wp:extent cx="714375" cy="590550"/>
                  <wp:effectExtent l="0" t="0" r="9525" b="0"/>
                  <wp:docPr id="3"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0B5C4483" w14:textId="77777777" w:rsidR="001433FD" w:rsidRPr="00740562" w:rsidRDefault="001433FD" w:rsidP="00295CCA">
            <w:pPr>
              <w:spacing w:before="120" w:line="420" w:lineRule="exact"/>
              <w:rPr>
                <w:b/>
                <w:sz w:val="40"/>
                <w:szCs w:val="40"/>
              </w:rPr>
            </w:pPr>
            <w:r w:rsidRPr="00FB77FF">
              <w:rPr>
                <w:b/>
                <w:sz w:val="40"/>
                <w:szCs w:val="40"/>
              </w:rPr>
              <w:t>Conseil économique</w:t>
            </w:r>
            <w:r>
              <w:rPr>
                <w:b/>
                <w:sz w:val="40"/>
                <w:szCs w:val="40"/>
              </w:rPr>
              <w:t xml:space="preserve"> </w:t>
            </w:r>
            <w:r w:rsidRPr="00FB77FF">
              <w:rPr>
                <w:b/>
                <w:sz w:val="40"/>
                <w:szCs w:val="40"/>
              </w:rPr>
              <w:t>et social</w:t>
            </w:r>
          </w:p>
        </w:tc>
        <w:tc>
          <w:tcPr>
            <w:tcW w:w="2835" w:type="dxa"/>
            <w:tcBorders>
              <w:top w:val="single" w:sz="4" w:space="0" w:color="auto"/>
              <w:bottom w:val="single" w:sz="12" w:space="0" w:color="auto"/>
            </w:tcBorders>
          </w:tcPr>
          <w:p w14:paraId="2041C331" w14:textId="77777777" w:rsidR="001433FD" w:rsidRDefault="00444462" w:rsidP="00295CCA">
            <w:pPr>
              <w:spacing w:before="240"/>
            </w:pPr>
            <w:r>
              <w:t>Distr. générale</w:t>
            </w:r>
          </w:p>
          <w:p w14:paraId="46A81CE9" w14:textId="77777777" w:rsidR="00444462" w:rsidRDefault="00444462" w:rsidP="00444462">
            <w:pPr>
              <w:spacing w:line="240" w:lineRule="exact"/>
            </w:pPr>
            <w:r>
              <w:t>14 juin 2024</w:t>
            </w:r>
          </w:p>
          <w:p w14:paraId="2697A598" w14:textId="77777777" w:rsidR="00444462" w:rsidRDefault="00444462" w:rsidP="00444462">
            <w:pPr>
              <w:spacing w:line="240" w:lineRule="exact"/>
            </w:pPr>
            <w:r>
              <w:t>Français</w:t>
            </w:r>
          </w:p>
          <w:p w14:paraId="6DBD0132" w14:textId="194A4EDB" w:rsidR="00444462" w:rsidRPr="00DB58B5" w:rsidRDefault="00444462" w:rsidP="00444462">
            <w:pPr>
              <w:spacing w:line="240" w:lineRule="exact"/>
            </w:pPr>
            <w:r>
              <w:t>Original : anglais</w:t>
            </w:r>
          </w:p>
        </w:tc>
      </w:tr>
    </w:tbl>
    <w:p w14:paraId="6CBFC9C6" w14:textId="77777777" w:rsidR="005316B0" w:rsidRPr="000312C0" w:rsidRDefault="005316B0" w:rsidP="005316B0">
      <w:pPr>
        <w:spacing w:before="120"/>
        <w:rPr>
          <w:b/>
          <w:sz w:val="28"/>
          <w:szCs w:val="28"/>
        </w:rPr>
      </w:pPr>
      <w:r w:rsidRPr="000312C0">
        <w:rPr>
          <w:b/>
          <w:sz w:val="28"/>
          <w:szCs w:val="28"/>
        </w:rPr>
        <w:t>Commission économique pour l’Europe</w:t>
      </w:r>
    </w:p>
    <w:p w14:paraId="13133616" w14:textId="77777777" w:rsidR="00444462" w:rsidRPr="0032006D" w:rsidRDefault="00444462" w:rsidP="00446B0A">
      <w:pPr>
        <w:spacing w:before="120"/>
        <w:rPr>
          <w:b/>
          <w:sz w:val="24"/>
          <w:szCs w:val="24"/>
        </w:rPr>
      </w:pPr>
      <w:r w:rsidRPr="0032006D">
        <w:rPr>
          <w:b/>
          <w:sz w:val="24"/>
          <w:szCs w:val="24"/>
        </w:rPr>
        <w:t xml:space="preserve">Comité d’administration de l’Accord européen </w:t>
      </w:r>
      <w:r w:rsidRPr="0032006D">
        <w:rPr>
          <w:b/>
          <w:sz w:val="24"/>
          <w:szCs w:val="24"/>
        </w:rPr>
        <w:br/>
        <w:t>relatif au transport international des marchandises</w:t>
      </w:r>
      <w:r w:rsidRPr="0032006D">
        <w:rPr>
          <w:b/>
          <w:sz w:val="24"/>
          <w:szCs w:val="24"/>
        </w:rPr>
        <w:br/>
      </w:r>
      <w:r w:rsidRPr="0032006D">
        <w:rPr>
          <w:b/>
          <w:bCs/>
          <w:iCs/>
          <w:sz w:val="24"/>
          <w:szCs w:val="24"/>
        </w:rPr>
        <w:t>dangereuses par voies de navigation intérieures (ADN)</w:t>
      </w:r>
    </w:p>
    <w:p w14:paraId="7E8B633A" w14:textId="77777777" w:rsidR="00444462" w:rsidRPr="00C97DDC" w:rsidRDefault="00444462" w:rsidP="00444462">
      <w:pPr>
        <w:spacing w:before="120" w:line="240" w:lineRule="auto"/>
        <w:rPr>
          <w:b/>
          <w:lang w:val="fr-FR"/>
        </w:rPr>
      </w:pPr>
      <w:r>
        <w:rPr>
          <w:b/>
          <w:bCs/>
          <w:lang w:val="fr-FR"/>
        </w:rPr>
        <w:t>Trente-deuxième session</w:t>
      </w:r>
    </w:p>
    <w:p w14:paraId="51CC527B" w14:textId="77777777" w:rsidR="00A548FE" w:rsidRDefault="00444462" w:rsidP="00444462">
      <w:pPr>
        <w:spacing w:line="240" w:lineRule="auto"/>
        <w:rPr>
          <w:lang w:val="fr-FR"/>
        </w:rPr>
      </w:pPr>
      <w:r>
        <w:rPr>
          <w:lang w:val="fr-FR"/>
        </w:rPr>
        <w:t>Genève, 30</w:t>
      </w:r>
      <w:r w:rsidR="00A548FE">
        <w:rPr>
          <w:lang w:val="fr-FR"/>
        </w:rPr>
        <w:t> </w:t>
      </w:r>
      <w:r>
        <w:rPr>
          <w:lang w:val="fr-FR"/>
        </w:rPr>
        <w:t>août</w:t>
      </w:r>
      <w:r w:rsidR="00A548FE">
        <w:rPr>
          <w:lang w:val="fr-FR"/>
        </w:rPr>
        <w:t> </w:t>
      </w:r>
      <w:r>
        <w:rPr>
          <w:lang w:val="fr-FR"/>
        </w:rPr>
        <w:t>2024</w:t>
      </w:r>
    </w:p>
    <w:p w14:paraId="446AAFEA" w14:textId="373D9D67" w:rsidR="00444462" w:rsidRPr="00C97DDC" w:rsidRDefault="00444462" w:rsidP="00444462">
      <w:pPr>
        <w:spacing w:line="240" w:lineRule="auto"/>
        <w:rPr>
          <w:lang w:val="fr-FR"/>
        </w:rPr>
      </w:pPr>
      <w:r>
        <w:rPr>
          <w:lang w:val="fr-FR"/>
        </w:rPr>
        <w:t>Point 3 b) de l’ordre du jour provisoire</w:t>
      </w:r>
    </w:p>
    <w:p w14:paraId="4BEB89FC" w14:textId="77777777" w:rsidR="00444462" w:rsidRPr="00C97DDC" w:rsidRDefault="00444462" w:rsidP="00444462">
      <w:pPr>
        <w:spacing w:line="240" w:lineRule="auto"/>
        <w:rPr>
          <w:b/>
          <w:bCs/>
          <w:lang w:val="fr-FR"/>
        </w:rPr>
      </w:pPr>
      <w:r>
        <w:rPr>
          <w:b/>
          <w:bCs/>
          <w:lang w:val="fr-FR"/>
        </w:rPr>
        <w:t>Questions relatives à la mise en œuvre de l’ADN :</w:t>
      </w:r>
    </w:p>
    <w:p w14:paraId="26196A8E" w14:textId="77777777" w:rsidR="00444462" w:rsidRPr="00C97DDC" w:rsidRDefault="00444462" w:rsidP="00444462">
      <w:pPr>
        <w:rPr>
          <w:b/>
          <w:bCs/>
          <w:lang w:val="fr-FR"/>
        </w:rPr>
      </w:pPr>
      <w:r>
        <w:rPr>
          <w:b/>
          <w:bCs/>
          <w:lang w:val="fr-FR"/>
        </w:rPr>
        <w:t>autorisations spéciales, dérogations et équivalences</w:t>
      </w:r>
    </w:p>
    <w:p w14:paraId="3819938A" w14:textId="7DB9577E" w:rsidR="00444462" w:rsidRPr="00C97DDC" w:rsidRDefault="00444462" w:rsidP="00A548FE">
      <w:pPr>
        <w:pStyle w:val="HChG"/>
        <w:rPr>
          <w:lang w:val="fr-FR"/>
        </w:rPr>
      </w:pPr>
      <w:r>
        <w:rPr>
          <w:lang w:val="fr-FR"/>
        </w:rPr>
        <w:tab/>
      </w:r>
      <w:r>
        <w:rPr>
          <w:lang w:val="fr-FR"/>
        </w:rPr>
        <w:tab/>
        <w:t xml:space="preserve">Demande de recommandation concernant l’utilisation </w:t>
      </w:r>
      <w:r w:rsidR="00A548FE">
        <w:rPr>
          <w:lang w:val="fr-FR"/>
        </w:rPr>
        <w:br/>
      </w:r>
      <w:r>
        <w:rPr>
          <w:lang w:val="fr-FR"/>
        </w:rPr>
        <w:t xml:space="preserve">de piles à combustible à hydrogène pour la propulsion </w:t>
      </w:r>
      <w:r w:rsidR="00A548FE">
        <w:rPr>
          <w:lang w:val="fr-FR"/>
        </w:rPr>
        <w:br/>
      </w:r>
      <w:r>
        <w:rPr>
          <w:lang w:val="fr-FR"/>
        </w:rPr>
        <w:t xml:space="preserve">du bateau </w:t>
      </w:r>
      <w:r w:rsidR="00A548FE">
        <w:rPr>
          <w:lang w:val="fr-FR"/>
        </w:rPr>
        <w:t>« </w:t>
      </w:r>
      <w:r>
        <w:rPr>
          <w:lang w:val="fr-FR"/>
        </w:rPr>
        <w:t>FPS Waal</w:t>
      </w:r>
      <w:r w:rsidR="00A548FE">
        <w:rPr>
          <w:lang w:val="fr-FR"/>
        </w:rPr>
        <w:t> »</w:t>
      </w:r>
      <w:r>
        <w:rPr>
          <w:lang w:val="fr-FR"/>
        </w:rPr>
        <w:t>/</w:t>
      </w:r>
      <w:r w:rsidR="00A548FE">
        <w:rPr>
          <w:lang w:val="fr-FR"/>
        </w:rPr>
        <w:t>« </w:t>
      </w:r>
      <w:r>
        <w:rPr>
          <w:lang w:val="fr-FR"/>
        </w:rPr>
        <w:t>H2Barge2</w:t>
      </w:r>
      <w:r w:rsidR="00A548FE">
        <w:rPr>
          <w:lang w:val="fr-FR"/>
        </w:rPr>
        <w:t> »</w:t>
      </w:r>
    </w:p>
    <w:p w14:paraId="483DF9B0" w14:textId="77777777" w:rsidR="00444462" w:rsidRDefault="00444462" w:rsidP="00A548FE">
      <w:pPr>
        <w:pStyle w:val="H1G"/>
      </w:pPr>
      <w:r>
        <w:rPr>
          <w:lang w:val="fr-FR"/>
        </w:rPr>
        <w:tab/>
      </w:r>
      <w:r>
        <w:rPr>
          <w:lang w:val="fr-FR"/>
        </w:rPr>
        <w:tab/>
        <w:t>Communication du Gouvernement néerlandais</w:t>
      </w:r>
      <w:r w:rsidRPr="00A548FE">
        <w:rPr>
          <w:rStyle w:val="Appelnotedebasdep"/>
          <w:b w:val="0"/>
          <w:bCs/>
          <w:sz w:val="20"/>
          <w:szCs w:val="22"/>
          <w:vertAlign w:val="baseline"/>
          <w:lang w:val="fr-FR"/>
        </w:rPr>
        <w:footnoteReference w:customMarkFollows="1" w:id="2"/>
        <w:t>*</w:t>
      </w:r>
    </w:p>
    <w:tbl>
      <w:tblPr>
        <w:tblStyle w:val="Grilledutableau"/>
        <w:tblW w:w="0" w:type="auto"/>
        <w:jc w:val="center"/>
        <w:tblBorders>
          <w:insideH w:val="none" w:sz="0" w:space="0" w:color="auto"/>
        </w:tblBorders>
        <w:tblLook w:val="05E0" w:firstRow="1" w:lastRow="1" w:firstColumn="1" w:lastColumn="1" w:noHBand="0" w:noVBand="1"/>
      </w:tblPr>
      <w:tblGrid>
        <w:gridCol w:w="9628"/>
      </w:tblGrid>
      <w:tr w:rsidR="00444462" w14:paraId="14B15E15" w14:textId="77777777" w:rsidTr="00444462">
        <w:trPr>
          <w:jc w:val="center"/>
        </w:trPr>
        <w:tc>
          <w:tcPr>
            <w:tcW w:w="9628" w:type="dxa"/>
            <w:shd w:val="clear" w:color="auto" w:fill="auto"/>
          </w:tcPr>
          <w:p w14:paraId="0A87BEDA" w14:textId="77777777" w:rsidR="00444462" w:rsidRDefault="00444462">
            <w:pPr>
              <w:spacing w:before="240" w:after="120"/>
              <w:ind w:left="255"/>
              <w:rPr>
                <w:i/>
                <w:sz w:val="24"/>
              </w:rPr>
            </w:pPr>
            <w:r>
              <w:rPr>
                <w:i/>
                <w:sz w:val="24"/>
              </w:rPr>
              <w:t>Résumé</w:t>
            </w:r>
          </w:p>
        </w:tc>
      </w:tr>
      <w:tr w:rsidR="00444462" w14:paraId="1C8F2D8B" w14:textId="77777777" w:rsidTr="00444462">
        <w:trPr>
          <w:jc w:val="center"/>
        </w:trPr>
        <w:tc>
          <w:tcPr>
            <w:tcW w:w="9628" w:type="dxa"/>
            <w:shd w:val="clear" w:color="auto" w:fill="auto"/>
          </w:tcPr>
          <w:p w14:paraId="195C6DA7" w14:textId="77777777" w:rsidR="00A548FE" w:rsidRDefault="00444462" w:rsidP="00A548FE">
            <w:pPr>
              <w:pStyle w:val="SingleTxtG"/>
              <w:kinsoku/>
              <w:overflowPunct/>
              <w:autoSpaceDE/>
              <w:autoSpaceDN/>
              <w:adjustRightInd/>
              <w:snapToGrid/>
              <w:ind w:left="3402" w:hanging="2268"/>
              <w:rPr>
                <w:lang w:val="fr-FR"/>
              </w:rPr>
            </w:pPr>
            <w:r>
              <w:rPr>
                <w:b/>
                <w:bCs/>
                <w:lang w:val="fr-FR"/>
              </w:rPr>
              <w:t>Documents connexes</w:t>
            </w:r>
            <w:r w:rsidR="00A548FE">
              <w:rPr>
                <w:b/>
                <w:bCs/>
                <w:lang w:val="fr-FR"/>
              </w:rPr>
              <w:t> </w:t>
            </w:r>
            <w:r>
              <w:rPr>
                <w:lang w:val="fr-FR"/>
              </w:rPr>
              <w:t>:</w:t>
            </w:r>
            <w:r>
              <w:rPr>
                <w:lang w:val="fr-FR"/>
              </w:rPr>
              <w:tab/>
              <w:t>ECE/TRANS/WP.15/AC.2/2024/32</w:t>
            </w:r>
          </w:p>
          <w:p w14:paraId="40BEA123" w14:textId="77777777" w:rsidR="00A548FE" w:rsidRDefault="00444462" w:rsidP="00A548FE">
            <w:pPr>
              <w:pStyle w:val="SingleTxtG"/>
              <w:kinsoku/>
              <w:overflowPunct/>
              <w:autoSpaceDE/>
              <w:autoSpaceDN/>
              <w:adjustRightInd/>
              <w:snapToGrid/>
              <w:ind w:left="3402"/>
              <w:rPr>
                <w:lang w:val="fr-FR"/>
              </w:rPr>
            </w:pPr>
            <w:r>
              <w:rPr>
                <w:lang w:val="fr-FR"/>
              </w:rPr>
              <w:t>Documents informels</w:t>
            </w:r>
            <w:r w:rsidR="00A548FE">
              <w:rPr>
                <w:lang w:val="fr-FR"/>
              </w:rPr>
              <w:t> </w:t>
            </w:r>
            <w:r>
              <w:rPr>
                <w:lang w:val="fr-FR"/>
              </w:rPr>
              <w:t>INF.6 et INF.16 de la quarante-troisième session du Comité de sécurité de l’ADN</w:t>
            </w:r>
          </w:p>
          <w:p w14:paraId="2F5771F8" w14:textId="77777777" w:rsidR="00A548FE" w:rsidRDefault="00444462" w:rsidP="00A548FE">
            <w:pPr>
              <w:pStyle w:val="SingleTxtG"/>
              <w:kinsoku/>
              <w:overflowPunct/>
              <w:autoSpaceDE/>
              <w:autoSpaceDN/>
              <w:adjustRightInd/>
              <w:snapToGrid/>
              <w:ind w:left="3402"/>
              <w:rPr>
                <w:lang w:val="fr-FR"/>
              </w:rPr>
            </w:pPr>
            <w:r>
              <w:rPr>
                <w:lang w:val="fr-FR"/>
              </w:rPr>
              <w:t>ECE/TRANS/WP.15/AC.2/88 (par. 15 à 18)</w:t>
            </w:r>
          </w:p>
          <w:p w14:paraId="59B919F5" w14:textId="48BC0FCF" w:rsidR="00A548FE" w:rsidRDefault="00444462" w:rsidP="00A548FE">
            <w:pPr>
              <w:pStyle w:val="SingleTxtG"/>
              <w:kinsoku/>
              <w:overflowPunct/>
              <w:autoSpaceDE/>
              <w:autoSpaceDN/>
              <w:adjustRightInd/>
              <w:snapToGrid/>
              <w:ind w:left="3402"/>
              <w:rPr>
                <w:lang w:val="fr-FR"/>
              </w:rPr>
            </w:pPr>
            <w:r>
              <w:rPr>
                <w:lang w:val="fr-FR"/>
              </w:rPr>
              <w:t>ECE/TRANS/WP.15/AC.2/2023/33</w:t>
            </w:r>
          </w:p>
          <w:p w14:paraId="6837BA45" w14:textId="212F172B" w:rsidR="00A548FE" w:rsidRDefault="00444462" w:rsidP="00A548FE">
            <w:pPr>
              <w:pStyle w:val="SingleTxtG"/>
              <w:kinsoku/>
              <w:overflowPunct/>
              <w:autoSpaceDE/>
              <w:autoSpaceDN/>
              <w:adjustRightInd/>
              <w:snapToGrid/>
              <w:ind w:left="3402"/>
              <w:rPr>
                <w:lang w:val="fr-FR"/>
              </w:rPr>
            </w:pPr>
            <w:r>
              <w:rPr>
                <w:lang w:val="fr-FR"/>
              </w:rPr>
              <w:t>Documents informels</w:t>
            </w:r>
            <w:r w:rsidR="00A548FE">
              <w:rPr>
                <w:lang w:val="fr-FR"/>
              </w:rPr>
              <w:t> </w:t>
            </w:r>
            <w:r>
              <w:rPr>
                <w:lang w:val="fr-FR"/>
              </w:rPr>
              <w:t>INF.4, INF.24 et INF.32 de la quarante</w:t>
            </w:r>
            <w:r w:rsidR="00A548FE">
              <w:rPr>
                <w:lang w:val="fr-FR"/>
              </w:rPr>
              <w:noBreakHyphen/>
            </w:r>
            <w:r>
              <w:rPr>
                <w:lang w:val="fr-FR"/>
              </w:rPr>
              <w:t>deuxième session du Comité de sécurité de l’ADN</w:t>
            </w:r>
          </w:p>
          <w:p w14:paraId="7372F789" w14:textId="3CF1C501" w:rsidR="00444462" w:rsidRDefault="00444462" w:rsidP="00A548FE">
            <w:pPr>
              <w:pStyle w:val="SingleTxtG"/>
              <w:kinsoku/>
              <w:overflowPunct/>
              <w:autoSpaceDE/>
              <w:autoSpaceDN/>
              <w:adjustRightInd/>
              <w:snapToGrid/>
              <w:ind w:left="3402"/>
            </w:pPr>
            <w:r>
              <w:rPr>
                <w:lang w:val="fr-FR"/>
              </w:rPr>
              <w:t>ECE/TRANS/WP.15/AC.2/86 (par. 14)</w:t>
            </w:r>
          </w:p>
        </w:tc>
      </w:tr>
      <w:tr w:rsidR="00444462" w14:paraId="28E18A85" w14:textId="77777777" w:rsidTr="00444462">
        <w:trPr>
          <w:jc w:val="center"/>
        </w:trPr>
        <w:tc>
          <w:tcPr>
            <w:tcW w:w="9628" w:type="dxa"/>
            <w:shd w:val="clear" w:color="auto" w:fill="auto"/>
          </w:tcPr>
          <w:p w14:paraId="3BD30131" w14:textId="77777777" w:rsidR="00444462" w:rsidRDefault="00444462"/>
        </w:tc>
      </w:tr>
    </w:tbl>
    <w:p w14:paraId="61948C22" w14:textId="77777777" w:rsidR="00444462" w:rsidRPr="00C97DDC" w:rsidRDefault="00444462" w:rsidP="00A548FE">
      <w:pPr>
        <w:pStyle w:val="HChG"/>
        <w:rPr>
          <w:lang w:val="fr-FR"/>
        </w:rPr>
      </w:pPr>
      <w:r>
        <w:rPr>
          <w:lang w:val="fr-FR"/>
        </w:rPr>
        <w:tab/>
      </w:r>
      <w:r>
        <w:rPr>
          <w:lang w:val="fr-FR"/>
        </w:rPr>
        <w:tab/>
        <w:t>Introduction</w:t>
      </w:r>
    </w:p>
    <w:p w14:paraId="1AD0D6E3" w14:textId="051C1B62" w:rsidR="00444462" w:rsidRPr="00C97DDC" w:rsidRDefault="00444462" w:rsidP="00A548FE">
      <w:pPr>
        <w:pStyle w:val="SingleTxtG"/>
        <w:rPr>
          <w:lang w:val="fr-FR"/>
        </w:rPr>
      </w:pPr>
      <w:bookmarkStart w:id="0" w:name="_Hlk135736653"/>
      <w:r>
        <w:rPr>
          <w:lang w:val="fr-FR"/>
        </w:rPr>
        <w:t>1.</w:t>
      </w:r>
      <w:r>
        <w:rPr>
          <w:lang w:val="fr-FR"/>
        </w:rPr>
        <w:tab/>
        <w:t>En raison de la transition vers des combustibles plus propres, plusieurs bateaux utilisant des carburants de remplacement pour leur propulsion sont en cours de construction ou de réfection. Le FPS Waal en fait partie : dans le cadre d’un projet de modernisation visant à passer à une technologie à zéro émission, il sera équipé d’un système fonctionnant à l’hydrogène complété par l’installation de batteries supplémentaires. L’hydrogène sera stocké dans des conteneur</w:t>
      </w:r>
      <w:r w:rsidR="00A548FE">
        <w:rPr>
          <w:lang w:val="fr-FR"/>
        </w:rPr>
        <w:t>s</w:t>
      </w:r>
      <w:r>
        <w:rPr>
          <w:lang w:val="fr-FR"/>
        </w:rPr>
        <w:t xml:space="preserve"> à gaz à éléments multiples (CGEM) échangeables de 40</w:t>
      </w:r>
      <w:r w:rsidR="00A548FE">
        <w:rPr>
          <w:lang w:val="fr-FR"/>
        </w:rPr>
        <w:t> </w:t>
      </w:r>
      <w:r>
        <w:rPr>
          <w:lang w:val="fr-FR"/>
        </w:rPr>
        <w:t>pieds.</w:t>
      </w:r>
    </w:p>
    <w:p w14:paraId="58D07078" w14:textId="77777777" w:rsidR="00444462" w:rsidRPr="00C97DDC" w:rsidRDefault="00444462" w:rsidP="00A548FE">
      <w:pPr>
        <w:pStyle w:val="SingleTxtG"/>
        <w:rPr>
          <w:lang w:val="fr-FR"/>
        </w:rPr>
      </w:pPr>
      <w:r>
        <w:rPr>
          <w:lang w:val="fr-FR"/>
        </w:rPr>
        <w:t>2.</w:t>
      </w:r>
      <w:r>
        <w:rPr>
          <w:lang w:val="fr-FR"/>
        </w:rPr>
        <w:tab/>
        <w:t>Le FPS Waal est un porte-conteneurs motorisé qui fera partie d’un convoi de conteneurs. Il sera rebaptisé H2Barge2 à l’issue des travaux de modernisation.</w:t>
      </w:r>
    </w:p>
    <w:p w14:paraId="4F7799AA" w14:textId="257ADB38" w:rsidR="00444462" w:rsidRPr="00C97DDC" w:rsidRDefault="00444462" w:rsidP="00A548FE">
      <w:pPr>
        <w:pStyle w:val="SingleTxtG"/>
        <w:rPr>
          <w:lang w:val="fr-FR"/>
        </w:rPr>
      </w:pPr>
      <w:r>
        <w:rPr>
          <w:lang w:val="fr-FR"/>
        </w:rPr>
        <w:lastRenderedPageBreak/>
        <w:t>3.</w:t>
      </w:r>
      <w:r>
        <w:rPr>
          <w:lang w:val="fr-FR"/>
        </w:rPr>
        <w:tab/>
        <w:t>Ce bateau a fait l’objet de la recommandation 6/2023 de la Commission centrale pour la navigation du Rhin (CCNR), laquelle a été communiquée au Comité de sécurité de l’ADN dans le document informel</w:t>
      </w:r>
      <w:r w:rsidR="00A548FE">
        <w:rPr>
          <w:lang w:val="fr-FR"/>
        </w:rPr>
        <w:t> </w:t>
      </w:r>
      <w:r>
        <w:rPr>
          <w:lang w:val="fr-FR"/>
        </w:rPr>
        <w:t>INF.24 de la quarante-deuxième session. En outre, le groupe de travail des prescriptions techniques du CESNI (CESNI/PT) s’emploie à élargir le champ d’application du chapitre</w:t>
      </w:r>
      <w:r w:rsidR="00A548FE">
        <w:rPr>
          <w:lang w:val="fr-FR"/>
        </w:rPr>
        <w:t> </w:t>
      </w:r>
      <w:r>
        <w:rPr>
          <w:lang w:val="fr-FR"/>
        </w:rPr>
        <w:t>30 et de l’annexe</w:t>
      </w:r>
      <w:r w:rsidR="00A548FE">
        <w:rPr>
          <w:lang w:val="fr-FR"/>
        </w:rPr>
        <w:t> </w:t>
      </w:r>
      <w:r>
        <w:rPr>
          <w:lang w:val="fr-FR"/>
        </w:rPr>
        <w:t xml:space="preserve">8 du Standard européen établissant les prescriptions techniques des bateaux de navigation intérieure (ES-TRIN) en y introduisant des dispositions sur les systèmes d’alimentation en hydrogène, afin que ce type de systèmes de propulsion puisse être utilisé à titre permanent. </w:t>
      </w:r>
      <w:bookmarkStart w:id="1" w:name="_Hlk164850782"/>
      <w:bookmarkStart w:id="2" w:name="_Hlk164856090"/>
      <w:bookmarkEnd w:id="1"/>
    </w:p>
    <w:bookmarkEnd w:id="2"/>
    <w:p w14:paraId="3A4EE214" w14:textId="77777777" w:rsidR="00444462" w:rsidRPr="00C97DDC" w:rsidRDefault="00444462" w:rsidP="00A548FE">
      <w:pPr>
        <w:pStyle w:val="SingleTxtG"/>
        <w:rPr>
          <w:lang w:val="fr-FR"/>
        </w:rPr>
      </w:pPr>
      <w:r>
        <w:rPr>
          <w:lang w:val="fr-FR"/>
        </w:rPr>
        <w:t>4.</w:t>
      </w:r>
      <w:r>
        <w:rPr>
          <w:lang w:val="fr-FR"/>
        </w:rPr>
        <w:tab/>
        <w:t>Étant donné que l’utilisation de l’hydrogène comme carburant n’est actuellement pas autorisée conformément aux 7.1.3.31 et 9.1.0.31.1 de l’ADN, le Royaume des Pays-Bas souhaite demander au Comité d’administration de l’ADN de recommander l’octroi d’une dérogation pour ce bateau conformément au 1.5.3.2 de l’ADN.</w:t>
      </w:r>
    </w:p>
    <w:p w14:paraId="7F43F280" w14:textId="1C5E55B1" w:rsidR="00444462" w:rsidRPr="00C97DDC" w:rsidRDefault="00444462" w:rsidP="00A548FE">
      <w:pPr>
        <w:pStyle w:val="SingleTxtG"/>
        <w:rPr>
          <w:lang w:val="fr-FR"/>
        </w:rPr>
      </w:pPr>
      <w:r>
        <w:rPr>
          <w:lang w:val="fr-FR"/>
        </w:rPr>
        <w:t>5.</w:t>
      </w:r>
      <w:r>
        <w:rPr>
          <w:lang w:val="fr-FR"/>
        </w:rPr>
        <w:tab/>
        <w:t>À l’appui de la présente demande de recommandation, une demande d’agrément pour le transport de marchandises visées par l’ADN a été soumise au Comité dans le document informel</w:t>
      </w:r>
      <w:r w:rsidR="00A548FE">
        <w:rPr>
          <w:lang w:val="fr-FR"/>
        </w:rPr>
        <w:t> </w:t>
      </w:r>
      <w:r>
        <w:rPr>
          <w:lang w:val="fr-FR"/>
        </w:rPr>
        <w:t>INF.4.</w:t>
      </w:r>
      <w:bookmarkEnd w:id="0"/>
    </w:p>
    <w:p w14:paraId="6CBB2583" w14:textId="77777777" w:rsidR="00444462" w:rsidRPr="00C97DDC" w:rsidRDefault="00444462" w:rsidP="00A548FE">
      <w:pPr>
        <w:pStyle w:val="HChG"/>
        <w:rPr>
          <w:lang w:val="fr-FR"/>
        </w:rPr>
      </w:pPr>
      <w:r>
        <w:rPr>
          <w:lang w:val="fr-FR"/>
        </w:rPr>
        <w:tab/>
      </w:r>
      <w:r>
        <w:rPr>
          <w:lang w:val="fr-FR"/>
        </w:rPr>
        <w:tab/>
        <w:t>Examen</w:t>
      </w:r>
      <w:bookmarkStart w:id="3" w:name="_Hlk166748190"/>
    </w:p>
    <w:p w14:paraId="629B0D19" w14:textId="23B4734F" w:rsidR="00444462" w:rsidRPr="00C97DDC" w:rsidRDefault="00444462" w:rsidP="00A548FE">
      <w:pPr>
        <w:pStyle w:val="SingleTxtG"/>
        <w:rPr>
          <w:lang w:val="fr-FR"/>
        </w:rPr>
      </w:pPr>
      <w:r>
        <w:rPr>
          <w:lang w:val="fr-FR"/>
        </w:rPr>
        <w:t>6.</w:t>
      </w:r>
      <w:r>
        <w:rPr>
          <w:lang w:val="fr-FR"/>
        </w:rPr>
        <w:tab/>
        <w:t>À la quarante-troisième session du Comité de sécurité de l’ADN, la présente demande a été examinée sur la base d’un document actualisé tenant compte des questions reçues après l’exposé fait à la quarante-deuxième session. D’autres questions ont été soulevées au cours de la discussion. Toutes les parties intéressées ont été invitées à communiquer leurs observations à la délégation néerlandaise, et une réunion en ligne a été organisée le 2</w:t>
      </w:r>
      <w:r w:rsidR="00A548FE">
        <w:rPr>
          <w:lang w:val="fr-FR"/>
        </w:rPr>
        <w:t> </w:t>
      </w:r>
      <w:r>
        <w:rPr>
          <w:lang w:val="fr-FR"/>
        </w:rPr>
        <w:t>mai 2024 pour étudier ces observations en détail.</w:t>
      </w:r>
      <w:bookmarkStart w:id="4" w:name="_Hlk166746596"/>
    </w:p>
    <w:p w14:paraId="71525152" w14:textId="77777777" w:rsidR="00444462" w:rsidRPr="00C97DDC" w:rsidRDefault="00444462" w:rsidP="00A548FE">
      <w:pPr>
        <w:pStyle w:val="SingleTxtG"/>
        <w:rPr>
          <w:lang w:val="fr-FR"/>
        </w:rPr>
      </w:pPr>
      <w:r>
        <w:rPr>
          <w:lang w:val="fr-FR"/>
        </w:rPr>
        <w:t>7.</w:t>
      </w:r>
      <w:r>
        <w:rPr>
          <w:lang w:val="fr-FR"/>
        </w:rPr>
        <w:tab/>
        <w:t>Au cours de cette réunion, la formulation de la dérogation a été examinée de manière approfondie et adaptée en conséquence. Entre autres choses, on a estimé que le texte de la dérogation devrait être ajouté au certificat d’agrément, comme indiqué dans le nouveau premier paragraphe de la recommandation. En outre, la date du deuxième rapport d’évaluation a été modifiée afin que les informations figurant dans ce rapport soient disponibles au moment où devrait avoir lieu un examen de la réglementation des systèmes à hydrogène dans le cadre de l’ADN.</w:t>
      </w:r>
      <w:bookmarkEnd w:id="4"/>
    </w:p>
    <w:bookmarkEnd w:id="3"/>
    <w:p w14:paraId="7E069D70" w14:textId="77777777" w:rsidR="00444462" w:rsidRPr="00C97DDC" w:rsidRDefault="00444462" w:rsidP="00A548FE">
      <w:pPr>
        <w:pStyle w:val="HChG"/>
        <w:rPr>
          <w:lang w:val="fr-FR"/>
        </w:rPr>
      </w:pPr>
      <w:r>
        <w:rPr>
          <w:lang w:val="fr-FR"/>
        </w:rPr>
        <w:tab/>
      </w:r>
      <w:r>
        <w:rPr>
          <w:lang w:val="fr-FR"/>
        </w:rPr>
        <w:tab/>
        <w:t>Justification et objectifs de développement durable</w:t>
      </w:r>
    </w:p>
    <w:p w14:paraId="5ED2CC32" w14:textId="79B0EE28" w:rsidR="00444462" w:rsidRPr="00C97DDC" w:rsidRDefault="00444462" w:rsidP="00A548FE">
      <w:pPr>
        <w:pStyle w:val="SingleTxtG"/>
        <w:rPr>
          <w:lang w:val="fr-FR"/>
        </w:rPr>
      </w:pPr>
      <w:r>
        <w:rPr>
          <w:lang w:val="fr-FR"/>
        </w:rPr>
        <w:t>8.</w:t>
      </w:r>
      <w:r>
        <w:rPr>
          <w:lang w:val="fr-FR"/>
        </w:rPr>
        <w:tab/>
        <w:t>L’utilisation de carburants de remplacement pour la propulsion des bateaux de navigation intérieure est l’une des mesures qui s’inscrivent dans le cadre de la transition générale vers l’utilisation d’énergies durables. Pour les marchandises non dangereuses, des travaux sont en cours en vue d’élargir le champ d’application du chapitre</w:t>
      </w:r>
      <w:r w:rsidR="00A548FE">
        <w:rPr>
          <w:lang w:val="fr-FR"/>
        </w:rPr>
        <w:t> </w:t>
      </w:r>
      <w:r>
        <w:rPr>
          <w:lang w:val="fr-FR"/>
        </w:rPr>
        <w:t>30 et de l’annexe</w:t>
      </w:r>
      <w:r w:rsidR="00A548FE">
        <w:rPr>
          <w:lang w:val="fr-FR"/>
        </w:rPr>
        <w:t> </w:t>
      </w:r>
      <w:r>
        <w:rPr>
          <w:lang w:val="fr-FR"/>
        </w:rPr>
        <w:t>8 de l’ES-TRIN aux systèmes à hydrogène. Lorsque les prescriptions relatives à l’utilisation des systèmes à hydrogène pour le transport des marchandises non dangereuses auront été ajoutées dans l’ES-TRIN, le Comité de sécurité pourrait décider d’évaluer la possibilité de réglementer le recours à ces systèmes pour le transport des marchandises dangereuses dans le cadre de l’ADN. La dérogation demandée permet au Comité de disposer d’informations supplémentaires qui pourront l’aider à prendre une telle décision à l’avenir.</w:t>
      </w:r>
      <w:bookmarkStart w:id="5" w:name="_Hlk164850910"/>
      <w:bookmarkStart w:id="6" w:name="_Hlk164856193"/>
      <w:bookmarkEnd w:id="5"/>
    </w:p>
    <w:p w14:paraId="57F07367" w14:textId="38036E55" w:rsidR="00444462" w:rsidRPr="00C97DDC" w:rsidRDefault="00444462" w:rsidP="00A548FE">
      <w:pPr>
        <w:pStyle w:val="SingleTxtG"/>
        <w:rPr>
          <w:lang w:val="fr-FR"/>
        </w:rPr>
      </w:pPr>
      <w:r w:rsidRPr="00A548FE">
        <w:rPr>
          <w:lang w:val="fr-FR"/>
        </w:rPr>
        <w:t>9.</w:t>
      </w:r>
      <w:r w:rsidRPr="00A548FE">
        <w:rPr>
          <w:lang w:val="fr-FR"/>
        </w:rPr>
        <w:tab/>
        <w:t>La publication de la recommandation est une étape vers la réglementation des systèmes fonctionnant aux carburants de remplacement dans le cadre de l’ADN, et la proposition se rattache aux objectifs de développement durable</w:t>
      </w:r>
      <w:r w:rsidR="00A548FE" w:rsidRPr="00A548FE">
        <w:rPr>
          <w:lang w:val="fr-FR"/>
        </w:rPr>
        <w:t> </w:t>
      </w:r>
      <w:r w:rsidRPr="00A548FE">
        <w:rPr>
          <w:lang w:val="fr-FR"/>
        </w:rPr>
        <w:t>7 (Garantir l’accès de tous à des services énergétiques fiables, durables et modernes, à un coût abordable, afin d’accroître nettement la part de l’énergie renouvelable dans le bouquet énergétique mondial), et 13 (Mesures relatives à la lutte contre les changements climatiques).</w:t>
      </w:r>
      <w:r w:rsidR="00A548FE" w:rsidRPr="00A548FE">
        <w:rPr>
          <w:lang w:val="fr-FR"/>
        </w:rPr>
        <w:t xml:space="preserve"> </w:t>
      </w:r>
      <w:bookmarkStart w:id="7" w:name="_Hlk164850933"/>
      <w:bookmarkEnd w:id="7"/>
    </w:p>
    <w:bookmarkEnd w:id="6"/>
    <w:p w14:paraId="3E881D12" w14:textId="77777777" w:rsidR="00444462" w:rsidRPr="00C97DDC" w:rsidRDefault="00444462" w:rsidP="00A548FE">
      <w:pPr>
        <w:pStyle w:val="HChG"/>
        <w:rPr>
          <w:lang w:val="fr-FR"/>
        </w:rPr>
      </w:pPr>
      <w:r>
        <w:rPr>
          <w:lang w:val="fr-FR"/>
        </w:rPr>
        <w:tab/>
      </w:r>
      <w:r>
        <w:rPr>
          <w:lang w:val="fr-FR"/>
        </w:rPr>
        <w:tab/>
        <w:t>Mesures à prendre</w:t>
      </w:r>
    </w:p>
    <w:p w14:paraId="466813C4" w14:textId="26851F43" w:rsidR="00444462" w:rsidRDefault="00444462" w:rsidP="00A548FE">
      <w:pPr>
        <w:pStyle w:val="SingleTxtG"/>
        <w:rPr>
          <w:lang w:val="fr-FR"/>
        </w:rPr>
      </w:pPr>
      <w:r>
        <w:rPr>
          <w:lang w:val="fr-FR"/>
        </w:rPr>
        <w:t>10.</w:t>
      </w:r>
      <w:r>
        <w:rPr>
          <w:lang w:val="fr-FR"/>
        </w:rPr>
        <w:tab/>
        <w:t>Le Comité de sécurité de l’ADN est prié d’examiner la proposition et de recommander son adoption au Comité d’administration de l’ADN s’il le juge approprié.</w:t>
      </w:r>
      <w:r>
        <w:rPr>
          <w:lang w:val="fr-FR"/>
        </w:rPr>
        <w:br w:type="page"/>
      </w:r>
    </w:p>
    <w:p w14:paraId="174A2A6F" w14:textId="77777777" w:rsidR="00444462" w:rsidRPr="00C97DDC" w:rsidRDefault="00444462" w:rsidP="00A548FE">
      <w:pPr>
        <w:pStyle w:val="HChG"/>
        <w:rPr>
          <w:lang w:val="fr-FR"/>
        </w:rPr>
      </w:pPr>
      <w:r>
        <w:rPr>
          <w:lang w:val="fr-FR"/>
        </w:rPr>
        <w:lastRenderedPageBreak/>
        <w:t>Annexe</w:t>
      </w:r>
    </w:p>
    <w:p w14:paraId="134AADFB" w14:textId="4C2552EF" w:rsidR="00444462" w:rsidRPr="00C97DDC" w:rsidRDefault="00444462" w:rsidP="007E5E9E">
      <w:pPr>
        <w:pStyle w:val="HChG"/>
        <w:spacing w:before="300"/>
        <w:rPr>
          <w:lang w:val="fr-FR"/>
        </w:rPr>
      </w:pPr>
      <w:r>
        <w:rPr>
          <w:lang w:val="fr-FR"/>
        </w:rPr>
        <w:tab/>
      </w:r>
      <w:r>
        <w:rPr>
          <w:lang w:val="fr-FR"/>
        </w:rPr>
        <w:tab/>
        <w:t xml:space="preserve">Décision du Comité d’administration de l’ADN concernant l’utilisation d’un système d’alimentation en hydrogène </w:t>
      </w:r>
      <w:r w:rsidR="00A548FE">
        <w:rPr>
          <w:lang w:val="fr-FR"/>
        </w:rPr>
        <w:br/>
      </w:r>
      <w:r>
        <w:rPr>
          <w:lang w:val="fr-FR"/>
        </w:rPr>
        <w:t>sur le bateau transporteur de cargaisons sèches</w:t>
      </w:r>
      <w:r w:rsidR="00A548FE">
        <w:rPr>
          <w:lang w:val="fr-FR"/>
        </w:rPr>
        <w:t> </w:t>
      </w:r>
      <w:r>
        <w:rPr>
          <w:lang w:val="fr-FR"/>
        </w:rPr>
        <w:t>H2Barge2 (numéro ENI</w:t>
      </w:r>
      <w:r w:rsidR="00A548FE">
        <w:rPr>
          <w:lang w:val="fr-FR"/>
        </w:rPr>
        <w:t> </w:t>
      </w:r>
      <w:r>
        <w:rPr>
          <w:lang w:val="fr-FR"/>
        </w:rPr>
        <w:t>02326484)</w:t>
      </w:r>
    </w:p>
    <w:p w14:paraId="33013EDD" w14:textId="7F59EC01" w:rsidR="00444462" w:rsidRPr="00C97DDC" w:rsidRDefault="00444462" w:rsidP="007E5E9E">
      <w:pPr>
        <w:pStyle w:val="H1G"/>
        <w:spacing w:before="300"/>
        <w:rPr>
          <w:lang w:val="fr-FR"/>
        </w:rPr>
      </w:pPr>
      <w:r>
        <w:rPr>
          <w:lang w:val="fr-FR"/>
        </w:rPr>
        <w:tab/>
      </w:r>
      <w:r>
        <w:rPr>
          <w:lang w:val="fr-FR"/>
        </w:rPr>
        <w:tab/>
        <w:t xml:space="preserve">Dérogation </w:t>
      </w:r>
      <w:r w:rsidR="00A548FE" w:rsidRPr="00A548FE">
        <w:rPr>
          <w:rFonts w:eastAsia="MS Mincho"/>
          <w:lang w:val="fr-FR"/>
        </w:rPr>
        <w:t>n</w:t>
      </w:r>
      <w:r w:rsidR="00A548FE" w:rsidRPr="00A548FE">
        <w:rPr>
          <w:rFonts w:eastAsia="MS Mincho"/>
          <w:vertAlign w:val="superscript"/>
          <w:lang w:val="fr-FR"/>
        </w:rPr>
        <w:t>o</w:t>
      </w:r>
      <w:r w:rsidR="00A548FE">
        <w:rPr>
          <w:lang w:val="fr-FR"/>
        </w:rPr>
        <w:t xml:space="preserve"> </w:t>
      </w:r>
      <w:r>
        <w:rPr>
          <w:lang w:val="fr-FR"/>
        </w:rPr>
        <w:t>X/2024 du XX août 2024</w:t>
      </w:r>
    </w:p>
    <w:p w14:paraId="51D58577" w14:textId="16523145" w:rsidR="00444462" w:rsidRPr="00C97DDC" w:rsidRDefault="00444462" w:rsidP="007E5E9E">
      <w:pPr>
        <w:pStyle w:val="SingleTxtG"/>
        <w:spacing w:after="100"/>
        <w:rPr>
          <w:lang w:val="fr-FR"/>
        </w:rPr>
      </w:pPr>
      <w:r>
        <w:rPr>
          <w:lang w:val="fr-FR"/>
        </w:rPr>
        <w:t>1.</w:t>
      </w:r>
      <w:r>
        <w:rPr>
          <w:lang w:val="fr-FR"/>
        </w:rPr>
        <w:tab/>
        <w:t>L’autorité compétente des Pays-Bas est autorisée à délivrer un complément au certificat d’agrément (à titre d’essai) du bateau motorisé</w:t>
      </w:r>
      <w:r w:rsidR="00A548FE">
        <w:rPr>
          <w:lang w:val="fr-FR"/>
        </w:rPr>
        <w:t> </w:t>
      </w:r>
      <w:r>
        <w:rPr>
          <w:lang w:val="fr-FR"/>
        </w:rPr>
        <w:t>H2Barge2 (numéro ENI</w:t>
      </w:r>
      <w:r w:rsidR="00A548FE">
        <w:rPr>
          <w:lang w:val="fr-FR"/>
        </w:rPr>
        <w:t> </w:t>
      </w:r>
      <w:r>
        <w:rPr>
          <w:lang w:val="fr-FR"/>
        </w:rPr>
        <w:t>02326484) concernant l’utilisation d’un système d’alimentation en hydrogène.</w:t>
      </w:r>
      <w:bookmarkStart w:id="8" w:name="_Hlk166746702"/>
      <w:bookmarkStart w:id="9" w:name="_Hlk166748233"/>
      <w:bookmarkEnd w:id="8"/>
      <w:bookmarkEnd w:id="9"/>
    </w:p>
    <w:p w14:paraId="076E16A0" w14:textId="41412DC2" w:rsidR="00444462" w:rsidRPr="00C97DDC" w:rsidRDefault="00444462" w:rsidP="007E5E9E">
      <w:pPr>
        <w:pStyle w:val="SingleTxtG"/>
        <w:spacing w:after="100"/>
        <w:rPr>
          <w:lang w:val="fr-FR"/>
        </w:rPr>
      </w:pPr>
      <w:r>
        <w:rPr>
          <w:lang w:val="fr-FR"/>
        </w:rPr>
        <w:t>2.</w:t>
      </w:r>
      <w:r>
        <w:rPr>
          <w:lang w:val="fr-FR"/>
        </w:rPr>
        <w:tab/>
        <w:t>Conformément aux dispositions du 1.5.3.2 du Règlement annexé à l’ADN, le bateau susmentionné peut, à titre d’essai, déroger aux prescriptions suivantes jusqu’au 31</w:t>
      </w:r>
      <w:r w:rsidR="00A548FE">
        <w:rPr>
          <w:lang w:val="fr-FR"/>
        </w:rPr>
        <w:t> </w:t>
      </w:r>
      <w:r>
        <w:rPr>
          <w:lang w:val="fr-FR"/>
        </w:rPr>
        <w:t>décembre 2028</w:t>
      </w:r>
      <w:r w:rsidR="00A548FE">
        <w:rPr>
          <w:lang w:val="fr-FR"/>
        </w:rPr>
        <w:t> </w:t>
      </w:r>
      <w:r>
        <w:rPr>
          <w:lang w:val="fr-FR"/>
        </w:rPr>
        <w:t>:</w:t>
      </w:r>
    </w:p>
    <w:p w14:paraId="2566BD49" w14:textId="7791DA41" w:rsidR="00444462" w:rsidRPr="00C97DDC" w:rsidRDefault="00444462" w:rsidP="007E5E9E">
      <w:pPr>
        <w:pStyle w:val="Bullet1G"/>
        <w:numPr>
          <w:ilvl w:val="0"/>
          <w:numId w:val="0"/>
        </w:numPr>
        <w:tabs>
          <w:tab w:val="left" w:pos="1701"/>
        </w:tabs>
        <w:spacing w:after="100"/>
        <w:ind w:left="1701" w:hanging="170"/>
        <w:rPr>
          <w:lang w:val="fr-FR"/>
        </w:rPr>
      </w:pPr>
      <w:bookmarkStart w:id="10" w:name="_Hlk166748295"/>
      <w:bookmarkStart w:id="11" w:name="_Hlk166748305"/>
      <w:r w:rsidRPr="00C97DDC">
        <w:rPr>
          <w:lang w:val="fr-FR"/>
        </w:rPr>
        <w:t>•</w:t>
      </w:r>
      <w:r w:rsidRPr="00C97DDC">
        <w:rPr>
          <w:lang w:val="fr-FR"/>
        </w:rPr>
        <w:tab/>
      </w:r>
      <w:r>
        <w:rPr>
          <w:lang w:val="fr-FR"/>
        </w:rPr>
        <w:t>7.1.3.31, utiliser l’hydrogène comme combustible dont le point d’éclair est inférieur à 55</w:t>
      </w:r>
      <w:r w:rsidR="00A548FE">
        <w:rPr>
          <w:lang w:val="fr-FR"/>
        </w:rPr>
        <w:t> </w:t>
      </w:r>
      <w:r>
        <w:rPr>
          <w:lang w:val="fr-FR"/>
        </w:rPr>
        <w:t>°C au moyen d’un système de propulsion à l’hydrogène constitué de piles à combustible à hydrogène et de conteneurs à gaz à éléments multiples (CGEM)</w:t>
      </w:r>
      <w:r w:rsidR="00A548FE">
        <w:rPr>
          <w:lang w:val="fr-FR"/>
        </w:rPr>
        <w:t> </w:t>
      </w:r>
      <w:r>
        <w:rPr>
          <w:lang w:val="fr-FR"/>
        </w:rPr>
        <w:t>;</w:t>
      </w:r>
    </w:p>
    <w:p w14:paraId="71786618" w14:textId="064989D1" w:rsidR="00444462" w:rsidRPr="00C97DDC" w:rsidRDefault="00444462" w:rsidP="007E5E9E">
      <w:pPr>
        <w:pStyle w:val="Bullet1G"/>
        <w:numPr>
          <w:ilvl w:val="0"/>
          <w:numId w:val="0"/>
        </w:numPr>
        <w:tabs>
          <w:tab w:val="left" w:pos="1701"/>
        </w:tabs>
        <w:spacing w:after="100"/>
        <w:ind w:left="1701" w:hanging="170"/>
        <w:rPr>
          <w:lang w:val="fr-FR"/>
        </w:rPr>
      </w:pPr>
      <w:r w:rsidRPr="00C97DDC">
        <w:rPr>
          <w:lang w:val="fr-FR"/>
        </w:rPr>
        <w:t>•</w:t>
      </w:r>
      <w:r w:rsidRPr="00C97DDC">
        <w:rPr>
          <w:lang w:val="fr-FR"/>
        </w:rPr>
        <w:tab/>
      </w:r>
      <w:r>
        <w:rPr>
          <w:lang w:val="fr-FR"/>
        </w:rPr>
        <w:t>9.1.0.31.1, utiliser l’hydrogène comme combustible dont le point d’éclair est inférieur à 55</w:t>
      </w:r>
      <w:r w:rsidR="00A548FE">
        <w:rPr>
          <w:lang w:val="fr-FR"/>
        </w:rPr>
        <w:t> </w:t>
      </w:r>
      <w:r>
        <w:rPr>
          <w:lang w:val="fr-FR"/>
        </w:rPr>
        <w:t>°C au moyen d’un système de propulsion à l’hydrogène constitué de piles à combustible à hydrogène et de conteneurs à gaz à éléments multiples (CGEM).</w:t>
      </w:r>
      <w:bookmarkEnd w:id="10"/>
    </w:p>
    <w:bookmarkEnd w:id="11"/>
    <w:p w14:paraId="32F198FC" w14:textId="2253409E" w:rsidR="00444462" w:rsidRPr="00C97DDC" w:rsidRDefault="00444462" w:rsidP="007E5E9E">
      <w:pPr>
        <w:pStyle w:val="SingleTxtG"/>
        <w:spacing w:after="100"/>
        <w:rPr>
          <w:lang w:val="fr-FR"/>
        </w:rPr>
      </w:pPr>
      <w:r>
        <w:rPr>
          <w:lang w:val="fr-FR"/>
        </w:rPr>
        <w:t>3.</w:t>
      </w:r>
      <w:r>
        <w:rPr>
          <w:lang w:val="fr-FR"/>
        </w:rPr>
        <w:tab/>
        <w:t>Le Comité d’administration décide que l’utilisation de ce système d’alimentation en hydrogène est réputée suffisamment sûre si les conditions suivantes sont respectées en toute circonstance</w:t>
      </w:r>
      <w:r w:rsidR="00A548FE">
        <w:rPr>
          <w:lang w:val="fr-FR"/>
        </w:rPr>
        <w:t> </w:t>
      </w:r>
      <w:r>
        <w:rPr>
          <w:lang w:val="fr-FR"/>
        </w:rPr>
        <w:t>:</w:t>
      </w:r>
    </w:p>
    <w:p w14:paraId="7986D588" w14:textId="0767E15F" w:rsidR="00444462" w:rsidRPr="00C97DDC" w:rsidRDefault="00444462" w:rsidP="007E5E9E">
      <w:pPr>
        <w:pStyle w:val="Bullet1G"/>
        <w:numPr>
          <w:ilvl w:val="0"/>
          <w:numId w:val="0"/>
        </w:numPr>
        <w:tabs>
          <w:tab w:val="left" w:pos="1701"/>
        </w:tabs>
        <w:spacing w:after="100"/>
        <w:ind w:left="1701" w:hanging="170"/>
        <w:rPr>
          <w:lang w:val="fr-FR"/>
        </w:rPr>
      </w:pPr>
      <w:r w:rsidRPr="00C97DDC">
        <w:rPr>
          <w:lang w:val="fr-FR"/>
        </w:rPr>
        <w:t>•</w:t>
      </w:r>
      <w:r w:rsidRPr="00C97DDC">
        <w:rPr>
          <w:lang w:val="fr-FR"/>
        </w:rPr>
        <w:tab/>
      </w:r>
      <w:r>
        <w:rPr>
          <w:lang w:val="fr-FR"/>
        </w:rPr>
        <w:t xml:space="preserve">Les conditions définies dans la recommandation 6/2023 de la Commission </w:t>
      </w:r>
      <w:r w:rsidR="00A548FE">
        <w:rPr>
          <w:lang w:val="fr-FR"/>
        </w:rPr>
        <w:t>c</w:t>
      </w:r>
      <w:r>
        <w:rPr>
          <w:lang w:val="fr-FR"/>
        </w:rPr>
        <w:t>entrale pour la navigation du Rhin (CCNR)</w:t>
      </w:r>
      <w:r w:rsidR="00A548FE">
        <w:rPr>
          <w:lang w:val="fr-FR"/>
        </w:rPr>
        <w:t> </w:t>
      </w:r>
      <w:r>
        <w:rPr>
          <w:lang w:val="fr-FR"/>
        </w:rPr>
        <w:t>;</w:t>
      </w:r>
    </w:p>
    <w:p w14:paraId="44BAC861" w14:textId="77777777" w:rsidR="00444462" w:rsidRPr="00C97DDC" w:rsidRDefault="00444462" w:rsidP="007E5E9E">
      <w:pPr>
        <w:pStyle w:val="Bullet1G"/>
        <w:numPr>
          <w:ilvl w:val="0"/>
          <w:numId w:val="0"/>
        </w:numPr>
        <w:tabs>
          <w:tab w:val="left" w:pos="1701"/>
        </w:tabs>
        <w:spacing w:after="100"/>
        <w:ind w:left="1701" w:hanging="170"/>
        <w:rPr>
          <w:lang w:val="fr-FR"/>
        </w:rPr>
      </w:pPr>
      <w:r w:rsidRPr="00C97DDC">
        <w:rPr>
          <w:lang w:val="fr-FR"/>
        </w:rPr>
        <w:t>•</w:t>
      </w:r>
      <w:r w:rsidRPr="00C97DDC">
        <w:rPr>
          <w:lang w:val="fr-FR"/>
        </w:rPr>
        <w:tab/>
      </w:r>
      <w:r>
        <w:rPr>
          <w:lang w:val="fr-FR"/>
        </w:rPr>
        <w:t>Aucun conteneur transportant des marchandises dangereuses autorisées par le Règlement annexé à l’ADN ni aucun conteneur frigorifique ne peut être placé à côté de l’installation à l’hydrogène ou sur la première rangée devant celle-ci.</w:t>
      </w:r>
    </w:p>
    <w:p w14:paraId="4CA60263" w14:textId="77777777" w:rsidR="00444462" w:rsidRPr="00C97DDC" w:rsidRDefault="00444462" w:rsidP="007E5E9E">
      <w:pPr>
        <w:pStyle w:val="SingleTxtG"/>
        <w:spacing w:after="100"/>
        <w:rPr>
          <w:lang w:val="fr-FR"/>
        </w:rPr>
      </w:pPr>
      <w:r>
        <w:rPr>
          <w:lang w:val="fr-FR"/>
        </w:rPr>
        <w:t>4.</w:t>
      </w:r>
      <w:r>
        <w:rPr>
          <w:lang w:val="fr-FR"/>
        </w:rPr>
        <w:tab/>
        <w:t>Toutes les informations relatives à l’utilisation du système de propulsion à hydrogène doivent être collectées par le propriétaire du bateau et conservées pendant au moins cinq ans. Elles seront envoyées, sur demande, à l’autorité compétente.</w:t>
      </w:r>
    </w:p>
    <w:p w14:paraId="17B65EF1" w14:textId="1B902017" w:rsidR="00444462" w:rsidRPr="00C97DDC" w:rsidRDefault="00444462" w:rsidP="007E5E9E">
      <w:pPr>
        <w:pStyle w:val="SingleTxtG"/>
        <w:spacing w:after="100"/>
        <w:rPr>
          <w:lang w:val="fr-FR"/>
        </w:rPr>
      </w:pPr>
      <w:r>
        <w:rPr>
          <w:lang w:val="fr-FR"/>
        </w:rPr>
        <w:t>5.</w:t>
      </w:r>
      <w:r>
        <w:rPr>
          <w:lang w:val="fr-FR"/>
        </w:rPr>
        <w:tab/>
        <w:t>Le propriétaire du navire doit soumettre un rapport d’évaluation à l’autorité compétente aux échéances suivantes</w:t>
      </w:r>
      <w:r w:rsidR="00A548FE">
        <w:rPr>
          <w:lang w:val="fr-FR"/>
        </w:rPr>
        <w:t> </w:t>
      </w:r>
      <w:r>
        <w:rPr>
          <w:lang w:val="fr-FR"/>
        </w:rPr>
        <w:t>:</w:t>
      </w:r>
    </w:p>
    <w:p w14:paraId="4A650842" w14:textId="40B3352A" w:rsidR="00444462" w:rsidRPr="00C97DDC" w:rsidRDefault="00444462" w:rsidP="007E5E9E">
      <w:pPr>
        <w:pStyle w:val="Bullet1G"/>
        <w:numPr>
          <w:ilvl w:val="0"/>
          <w:numId w:val="0"/>
        </w:numPr>
        <w:tabs>
          <w:tab w:val="left" w:pos="1701"/>
        </w:tabs>
        <w:spacing w:after="100"/>
        <w:ind w:left="1701" w:hanging="170"/>
        <w:rPr>
          <w:lang w:val="fr-FR"/>
        </w:rPr>
      </w:pPr>
      <w:r w:rsidRPr="00C97DDC">
        <w:rPr>
          <w:lang w:val="fr-FR"/>
        </w:rPr>
        <w:t>•</w:t>
      </w:r>
      <w:r w:rsidRPr="00C97DDC">
        <w:rPr>
          <w:lang w:val="fr-FR"/>
        </w:rPr>
        <w:tab/>
      </w:r>
      <w:r>
        <w:rPr>
          <w:lang w:val="fr-FR"/>
        </w:rPr>
        <w:tab/>
        <w:t>6 mois après la mise en service du bateau</w:t>
      </w:r>
      <w:r w:rsidR="00A548FE">
        <w:rPr>
          <w:lang w:val="fr-FR"/>
        </w:rPr>
        <w:t> </w:t>
      </w:r>
      <w:r>
        <w:rPr>
          <w:lang w:val="fr-FR"/>
        </w:rPr>
        <w:t>;</w:t>
      </w:r>
    </w:p>
    <w:p w14:paraId="20FABB79" w14:textId="2E6923DA" w:rsidR="00444462" w:rsidRPr="00C97DDC" w:rsidRDefault="00444462" w:rsidP="007E5E9E">
      <w:pPr>
        <w:pStyle w:val="Bullet1G"/>
        <w:numPr>
          <w:ilvl w:val="0"/>
          <w:numId w:val="0"/>
        </w:numPr>
        <w:tabs>
          <w:tab w:val="left" w:pos="1701"/>
        </w:tabs>
        <w:spacing w:after="100"/>
        <w:ind w:left="1701" w:hanging="170"/>
        <w:rPr>
          <w:lang w:val="fr-FR"/>
        </w:rPr>
      </w:pPr>
      <w:r w:rsidRPr="00C97DDC">
        <w:rPr>
          <w:lang w:val="fr-FR"/>
        </w:rPr>
        <w:t>•</w:t>
      </w:r>
      <w:r w:rsidRPr="00C97DDC">
        <w:rPr>
          <w:lang w:val="fr-FR"/>
        </w:rPr>
        <w:tab/>
      </w:r>
      <w:r>
        <w:rPr>
          <w:lang w:val="fr-FR"/>
        </w:rPr>
        <w:tab/>
        <w:t>2</w:t>
      </w:r>
      <w:r w:rsidR="00A548FE">
        <w:rPr>
          <w:lang w:val="fr-FR"/>
        </w:rPr>
        <w:t> </w:t>
      </w:r>
      <w:r>
        <w:rPr>
          <w:lang w:val="fr-FR"/>
        </w:rPr>
        <w:t>ans après la publication de la présente recommandation</w:t>
      </w:r>
      <w:r w:rsidR="00A548FE">
        <w:rPr>
          <w:lang w:val="fr-FR"/>
        </w:rPr>
        <w:t> </w:t>
      </w:r>
      <w:r>
        <w:rPr>
          <w:lang w:val="fr-FR"/>
        </w:rPr>
        <w:t>;</w:t>
      </w:r>
    </w:p>
    <w:p w14:paraId="4DF6CF39" w14:textId="66DEAC47" w:rsidR="00444462" w:rsidRPr="00C97DDC" w:rsidRDefault="00444462" w:rsidP="007E5E9E">
      <w:pPr>
        <w:pStyle w:val="Bullet1G"/>
        <w:numPr>
          <w:ilvl w:val="0"/>
          <w:numId w:val="0"/>
        </w:numPr>
        <w:tabs>
          <w:tab w:val="left" w:pos="1701"/>
        </w:tabs>
        <w:spacing w:after="100"/>
        <w:ind w:left="1701" w:hanging="170"/>
        <w:rPr>
          <w:lang w:val="fr-FR"/>
        </w:rPr>
      </w:pPr>
      <w:r w:rsidRPr="00C97DDC">
        <w:rPr>
          <w:lang w:val="fr-FR"/>
        </w:rPr>
        <w:t>•</w:t>
      </w:r>
      <w:r w:rsidRPr="00C97DDC">
        <w:rPr>
          <w:lang w:val="fr-FR"/>
        </w:rPr>
        <w:tab/>
      </w:r>
      <w:r>
        <w:rPr>
          <w:lang w:val="fr-FR"/>
        </w:rPr>
        <w:tab/>
        <w:t>5</w:t>
      </w:r>
      <w:r w:rsidR="00A548FE">
        <w:rPr>
          <w:lang w:val="fr-FR"/>
        </w:rPr>
        <w:t> </w:t>
      </w:r>
      <w:r>
        <w:rPr>
          <w:lang w:val="fr-FR"/>
        </w:rPr>
        <w:t>ans après la publication de la présente recommandation.</w:t>
      </w:r>
    </w:p>
    <w:p w14:paraId="10789560" w14:textId="65083D1C" w:rsidR="00444462" w:rsidRPr="00C97DDC" w:rsidRDefault="007E5E9E" w:rsidP="007E5E9E">
      <w:pPr>
        <w:pStyle w:val="SingleTxtG"/>
        <w:spacing w:after="100"/>
        <w:rPr>
          <w:lang w:val="fr-FR"/>
        </w:rPr>
      </w:pPr>
      <w:bookmarkStart w:id="12" w:name="_Hlk166747099"/>
      <w:bookmarkStart w:id="13" w:name="_Hlk166748615"/>
      <w:r>
        <w:rPr>
          <w:lang w:val="fr-FR"/>
        </w:rPr>
        <w:tab/>
      </w:r>
      <w:r w:rsidR="00444462">
        <w:rPr>
          <w:lang w:val="fr-FR"/>
        </w:rPr>
        <w:t>L’autorité compétente communiquera ces rapports d’évaluation au secrétariat de la CEE afin qu’il tienne le Comité d’administration de l’ADN informé.</w:t>
      </w:r>
      <w:bookmarkEnd w:id="12"/>
    </w:p>
    <w:bookmarkEnd w:id="13"/>
    <w:p w14:paraId="7D074B47" w14:textId="7125BE51" w:rsidR="00444462" w:rsidRPr="00C97DDC" w:rsidRDefault="00444462" w:rsidP="007E5E9E">
      <w:pPr>
        <w:pStyle w:val="SingleTxtG"/>
        <w:spacing w:after="100"/>
        <w:rPr>
          <w:lang w:val="fr-FR"/>
        </w:rPr>
      </w:pPr>
      <w:r>
        <w:rPr>
          <w:lang w:val="fr-FR"/>
        </w:rPr>
        <w:t>6.</w:t>
      </w:r>
      <w:r>
        <w:rPr>
          <w:lang w:val="fr-FR"/>
        </w:rPr>
        <w:tab/>
        <w:t>Chaque rapport d’évaluation doit au moins contenir les informations suivantes</w:t>
      </w:r>
      <w:r w:rsidR="00A548FE">
        <w:rPr>
          <w:lang w:val="fr-FR"/>
        </w:rPr>
        <w:t> </w:t>
      </w:r>
      <w:r>
        <w:rPr>
          <w:lang w:val="fr-FR"/>
        </w:rPr>
        <w:t>:</w:t>
      </w:r>
    </w:p>
    <w:p w14:paraId="1BDFE6F8" w14:textId="77777777" w:rsidR="00444462" w:rsidRPr="00C97DDC" w:rsidRDefault="00444462" w:rsidP="007E5E9E">
      <w:pPr>
        <w:pStyle w:val="Bullet1G"/>
        <w:numPr>
          <w:ilvl w:val="0"/>
          <w:numId w:val="0"/>
        </w:numPr>
        <w:tabs>
          <w:tab w:val="left" w:pos="1701"/>
        </w:tabs>
        <w:spacing w:after="100"/>
        <w:ind w:left="1701" w:hanging="170"/>
        <w:rPr>
          <w:lang w:val="fr-FR"/>
        </w:rPr>
      </w:pPr>
      <w:r w:rsidRPr="00C97DDC">
        <w:rPr>
          <w:lang w:val="fr-FR"/>
        </w:rPr>
        <w:t>•</w:t>
      </w:r>
      <w:r w:rsidRPr="00C97DDC">
        <w:rPr>
          <w:lang w:val="fr-FR"/>
        </w:rPr>
        <w:tab/>
      </w:r>
      <w:r>
        <w:rPr>
          <w:lang w:val="fr-FR"/>
        </w:rPr>
        <w:tab/>
        <w:t>Les éventuelles défaillances du système de pile à combustible et les dommages subis ;</w:t>
      </w:r>
    </w:p>
    <w:p w14:paraId="77AC7B74" w14:textId="77777777" w:rsidR="00444462" w:rsidRPr="003852F7" w:rsidRDefault="00444462" w:rsidP="007E5E9E">
      <w:pPr>
        <w:pStyle w:val="Bullet1G"/>
        <w:numPr>
          <w:ilvl w:val="0"/>
          <w:numId w:val="0"/>
        </w:numPr>
        <w:tabs>
          <w:tab w:val="left" w:pos="1701"/>
        </w:tabs>
        <w:spacing w:after="100"/>
        <w:ind w:left="1701" w:hanging="170"/>
      </w:pPr>
      <w:r w:rsidRPr="003852F7">
        <w:t>•</w:t>
      </w:r>
      <w:r w:rsidRPr="003852F7">
        <w:tab/>
      </w:r>
      <w:r>
        <w:rPr>
          <w:lang w:val="fr-FR"/>
        </w:rPr>
        <w:tab/>
        <w:t>Les éventuelles fuites ;</w:t>
      </w:r>
    </w:p>
    <w:p w14:paraId="2F08F64C" w14:textId="77777777" w:rsidR="00444462" w:rsidRPr="00C97DDC" w:rsidRDefault="00444462" w:rsidP="007E5E9E">
      <w:pPr>
        <w:pStyle w:val="Bullet1G"/>
        <w:numPr>
          <w:ilvl w:val="0"/>
          <w:numId w:val="0"/>
        </w:numPr>
        <w:tabs>
          <w:tab w:val="left" w:pos="1701"/>
        </w:tabs>
        <w:spacing w:after="100"/>
        <w:ind w:left="1701" w:hanging="170"/>
        <w:rPr>
          <w:lang w:val="fr-FR"/>
        </w:rPr>
      </w:pPr>
      <w:r w:rsidRPr="00C97DDC">
        <w:rPr>
          <w:lang w:val="fr-FR"/>
        </w:rPr>
        <w:t>•</w:t>
      </w:r>
      <w:r w:rsidRPr="00C97DDC">
        <w:rPr>
          <w:lang w:val="fr-FR"/>
        </w:rPr>
        <w:tab/>
      </w:r>
      <w:r>
        <w:rPr>
          <w:lang w:val="fr-FR"/>
        </w:rPr>
        <w:tab/>
        <w:t>Les données relatives au soutage ;</w:t>
      </w:r>
    </w:p>
    <w:p w14:paraId="05DD7D7B" w14:textId="77777777" w:rsidR="00444462" w:rsidRPr="00C97DDC" w:rsidRDefault="00444462" w:rsidP="007E5E9E">
      <w:pPr>
        <w:pStyle w:val="Bullet1G"/>
        <w:numPr>
          <w:ilvl w:val="0"/>
          <w:numId w:val="0"/>
        </w:numPr>
        <w:tabs>
          <w:tab w:val="left" w:pos="1701"/>
        </w:tabs>
        <w:spacing w:after="100"/>
        <w:ind w:left="1701" w:hanging="170"/>
        <w:rPr>
          <w:lang w:val="fr-FR"/>
        </w:rPr>
      </w:pPr>
      <w:r w:rsidRPr="00C97DDC">
        <w:rPr>
          <w:lang w:val="fr-FR"/>
        </w:rPr>
        <w:t>•</w:t>
      </w:r>
      <w:r w:rsidRPr="00C97DDC">
        <w:rPr>
          <w:lang w:val="fr-FR"/>
        </w:rPr>
        <w:tab/>
      </w:r>
      <w:r>
        <w:rPr>
          <w:lang w:val="fr-FR"/>
        </w:rPr>
        <w:tab/>
        <w:t>Les éventuelles réparations ou modifications apportées au système de pile à combustible ;</w:t>
      </w:r>
    </w:p>
    <w:p w14:paraId="1D23902F" w14:textId="77777777" w:rsidR="00444462" w:rsidRPr="008B6D96" w:rsidRDefault="00444462" w:rsidP="007E5E9E">
      <w:pPr>
        <w:pStyle w:val="Bullet1G"/>
        <w:numPr>
          <w:ilvl w:val="0"/>
          <w:numId w:val="0"/>
        </w:numPr>
        <w:tabs>
          <w:tab w:val="left" w:pos="1701"/>
        </w:tabs>
        <w:spacing w:after="100"/>
        <w:ind w:left="1701" w:hanging="170"/>
      </w:pPr>
      <w:r w:rsidRPr="008B6D96">
        <w:t>•</w:t>
      </w:r>
      <w:r w:rsidRPr="008B6D96">
        <w:tab/>
      </w:r>
      <w:r>
        <w:rPr>
          <w:lang w:val="fr-FR"/>
        </w:rPr>
        <w:tab/>
        <w:t>Les données d’exploitation ;</w:t>
      </w:r>
    </w:p>
    <w:p w14:paraId="785F0CE6" w14:textId="77777777" w:rsidR="00444462" w:rsidRPr="00C97DDC" w:rsidRDefault="00444462" w:rsidP="007E5E9E">
      <w:pPr>
        <w:pStyle w:val="SingleTxtG"/>
        <w:rPr>
          <w:lang w:val="fr-FR"/>
        </w:rPr>
      </w:pPr>
      <w:r>
        <w:rPr>
          <w:lang w:val="fr-FR"/>
        </w:rPr>
        <w:lastRenderedPageBreak/>
        <w:tab/>
        <w:t>Les éventuels incidents, y compris les interactions avérées ou possibles avec des marchandises dangereuses.</w:t>
      </w:r>
      <w:bookmarkStart w:id="14" w:name="_Hlk166748638"/>
      <w:bookmarkEnd w:id="14"/>
    </w:p>
    <w:p w14:paraId="72933642" w14:textId="5A4D567D" w:rsidR="00446FE5" w:rsidRPr="00444462" w:rsidRDefault="00444462" w:rsidP="007E5E9E">
      <w:pPr>
        <w:spacing w:before="120"/>
        <w:jc w:val="center"/>
        <w:rPr>
          <w:u w:val="single"/>
          <w:lang w:val="fr-FR"/>
        </w:rPr>
      </w:pPr>
      <w:r w:rsidRPr="00C97DDC">
        <w:rPr>
          <w:u w:val="single"/>
          <w:lang w:val="fr-FR"/>
        </w:rPr>
        <w:tab/>
      </w:r>
      <w:r w:rsidRPr="00C97DDC">
        <w:rPr>
          <w:u w:val="single"/>
          <w:lang w:val="fr-FR"/>
        </w:rPr>
        <w:tab/>
      </w:r>
      <w:r w:rsidRPr="00C97DDC">
        <w:rPr>
          <w:u w:val="single"/>
          <w:lang w:val="fr-FR"/>
        </w:rPr>
        <w:tab/>
      </w:r>
    </w:p>
    <w:sectPr w:rsidR="00446FE5" w:rsidRPr="00444462" w:rsidSect="00444462">
      <w:headerReference w:type="even" r:id="rId9"/>
      <w:headerReference w:type="default" r:id="rId10"/>
      <w:footerReference w:type="even" r:id="rId11"/>
      <w:footerReference w:type="default" r:id="rId12"/>
      <w:footerReference w:type="first" r:id="rId13"/>
      <w:endnotePr>
        <w:numFmt w:val="decimal"/>
      </w:endnotePr>
      <w:pgSz w:w="11906" w:h="16838" w:code="9"/>
      <w:pgMar w:top="1417" w:right="1134" w:bottom="1134" w:left="1134"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A6AD3" w14:textId="77777777" w:rsidR="00933B46" w:rsidRDefault="00933B46" w:rsidP="00F95C08">
      <w:pPr>
        <w:spacing w:line="240" w:lineRule="auto"/>
      </w:pPr>
    </w:p>
  </w:endnote>
  <w:endnote w:type="continuationSeparator" w:id="0">
    <w:p w14:paraId="4BA48360" w14:textId="77777777" w:rsidR="00933B46" w:rsidRPr="00AC3823" w:rsidRDefault="00933B46" w:rsidP="00AC3823">
      <w:pPr>
        <w:pStyle w:val="Pieddepage"/>
      </w:pPr>
    </w:p>
  </w:endnote>
  <w:endnote w:type="continuationNotice" w:id="1">
    <w:p w14:paraId="1663934F" w14:textId="77777777" w:rsidR="00933B46" w:rsidRDefault="00933B4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AEA71" w14:textId="5D7FEC62" w:rsidR="00444462" w:rsidRPr="00444462" w:rsidRDefault="00444462" w:rsidP="00444462">
    <w:pPr>
      <w:pStyle w:val="Pieddepage"/>
      <w:tabs>
        <w:tab w:val="right" w:pos="9638"/>
      </w:tabs>
    </w:pPr>
    <w:r w:rsidRPr="00444462">
      <w:rPr>
        <w:b/>
        <w:sz w:val="18"/>
      </w:rPr>
      <w:fldChar w:fldCharType="begin"/>
    </w:r>
    <w:r w:rsidRPr="00444462">
      <w:rPr>
        <w:b/>
        <w:sz w:val="18"/>
      </w:rPr>
      <w:instrText xml:space="preserve"> PAGE  \* MERGEFORMAT </w:instrText>
    </w:r>
    <w:r w:rsidRPr="00444462">
      <w:rPr>
        <w:b/>
        <w:sz w:val="18"/>
      </w:rPr>
      <w:fldChar w:fldCharType="separate"/>
    </w:r>
    <w:r w:rsidRPr="00444462">
      <w:rPr>
        <w:b/>
        <w:noProof/>
        <w:sz w:val="18"/>
      </w:rPr>
      <w:t>2</w:t>
    </w:r>
    <w:r w:rsidRPr="00444462">
      <w:rPr>
        <w:b/>
        <w:sz w:val="18"/>
      </w:rPr>
      <w:fldChar w:fldCharType="end"/>
    </w:r>
    <w:r>
      <w:rPr>
        <w:b/>
        <w:sz w:val="18"/>
      </w:rPr>
      <w:tab/>
    </w:r>
    <w:r>
      <w:t>GE.24-10737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2E98E" w14:textId="74F16984" w:rsidR="00444462" w:rsidRPr="00444462" w:rsidRDefault="00444462" w:rsidP="00444462">
    <w:pPr>
      <w:pStyle w:val="Pieddepage"/>
      <w:tabs>
        <w:tab w:val="right" w:pos="9638"/>
      </w:tabs>
      <w:rPr>
        <w:b/>
        <w:sz w:val="18"/>
      </w:rPr>
    </w:pPr>
    <w:r>
      <w:t>GE.24-10737</w:t>
    </w:r>
    <w:r>
      <w:tab/>
    </w:r>
    <w:r w:rsidRPr="00444462">
      <w:rPr>
        <w:b/>
        <w:sz w:val="18"/>
      </w:rPr>
      <w:fldChar w:fldCharType="begin"/>
    </w:r>
    <w:r w:rsidRPr="00444462">
      <w:rPr>
        <w:b/>
        <w:sz w:val="18"/>
      </w:rPr>
      <w:instrText xml:space="preserve"> PAGE  \* MERGEFORMAT </w:instrText>
    </w:r>
    <w:r w:rsidRPr="00444462">
      <w:rPr>
        <w:b/>
        <w:sz w:val="18"/>
      </w:rPr>
      <w:fldChar w:fldCharType="separate"/>
    </w:r>
    <w:r w:rsidRPr="00444462">
      <w:rPr>
        <w:b/>
        <w:noProof/>
        <w:sz w:val="18"/>
      </w:rPr>
      <w:t>3</w:t>
    </w:r>
    <w:r w:rsidRPr="00444462">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09DA8" w14:textId="2620A378" w:rsidR="000D3EE9" w:rsidRPr="00444462" w:rsidRDefault="00444462" w:rsidP="00444462">
    <w:pPr>
      <w:pStyle w:val="Pieddepage"/>
      <w:spacing w:before="120"/>
      <w:rPr>
        <w:sz w:val="20"/>
      </w:rPr>
    </w:pPr>
    <w:r>
      <w:rPr>
        <w:sz w:val="20"/>
      </w:rPr>
      <w:t>GE.</w:t>
    </w:r>
    <w:r w:rsidR="000D3EE9">
      <w:rPr>
        <w:noProof/>
        <w:lang w:eastAsia="fr-CH"/>
      </w:rPr>
      <w:drawing>
        <wp:anchor distT="0" distB="0" distL="114300" distR="114300" simplePos="0" relativeHeight="251659264" behindDoc="0" locked="0" layoutInCell="1" allowOverlap="0" wp14:anchorId="5E42817D" wp14:editId="5597F772">
          <wp:simplePos x="0" y="0"/>
          <wp:positionH relativeFrom="margin">
            <wp:posOffset>4319905</wp:posOffset>
          </wp:positionH>
          <wp:positionV relativeFrom="margin">
            <wp:posOffset>9144000</wp:posOffset>
          </wp:positionV>
          <wp:extent cx="1105200" cy="234000"/>
          <wp:effectExtent l="0" t="0" r="0" b="0"/>
          <wp:wrapNone/>
          <wp:docPr id="1" name="Image 1" descr="recycle_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Fr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200" cy="2340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24-10737  (F)</w:t>
    </w:r>
    <w:r>
      <w:rPr>
        <w:noProof/>
        <w:sz w:val="20"/>
      </w:rPr>
      <w:drawing>
        <wp:anchor distT="0" distB="0" distL="114300" distR="114300" simplePos="0" relativeHeight="251660288" behindDoc="0" locked="0" layoutInCell="1" allowOverlap="1" wp14:anchorId="49D97829" wp14:editId="7C898A30">
          <wp:simplePos x="0" y="0"/>
          <wp:positionH relativeFrom="margin">
            <wp:posOffset>5489575</wp:posOffset>
          </wp:positionH>
          <wp:positionV relativeFrom="margin">
            <wp:posOffset>8891905</wp:posOffset>
          </wp:positionV>
          <wp:extent cx="628650" cy="628650"/>
          <wp:effectExtent l="0" t="0" r="0" b="0"/>
          <wp:wrapNone/>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 xml:space="preserve">    260624    260624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9C20E" w14:textId="77777777" w:rsidR="00933B46" w:rsidRPr="00AC3823" w:rsidRDefault="00933B46" w:rsidP="00AC3823">
      <w:pPr>
        <w:pStyle w:val="Pieddepage"/>
        <w:tabs>
          <w:tab w:val="right" w:pos="2155"/>
        </w:tabs>
        <w:spacing w:after="80" w:line="240" w:lineRule="atLeast"/>
        <w:ind w:left="680"/>
        <w:rPr>
          <w:u w:val="single"/>
        </w:rPr>
      </w:pPr>
      <w:r>
        <w:rPr>
          <w:u w:val="single"/>
        </w:rPr>
        <w:tab/>
      </w:r>
    </w:p>
  </w:footnote>
  <w:footnote w:type="continuationSeparator" w:id="0">
    <w:p w14:paraId="24774F80" w14:textId="77777777" w:rsidR="00933B46" w:rsidRPr="00AC3823" w:rsidRDefault="00933B46" w:rsidP="00AC3823">
      <w:pPr>
        <w:pStyle w:val="Pieddepage"/>
        <w:tabs>
          <w:tab w:val="right" w:pos="2155"/>
        </w:tabs>
        <w:spacing w:after="80" w:line="240" w:lineRule="atLeast"/>
        <w:ind w:left="680"/>
        <w:rPr>
          <w:u w:val="single"/>
        </w:rPr>
      </w:pPr>
      <w:r>
        <w:rPr>
          <w:u w:val="single"/>
        </w:rPr>
        <w:tab/>
      </w:r>
    </w:p>
  </w:footnote>
  <w:footnote w:type="continuationNotice" w:id="1">
    <w:p w14:paraId="5C2F69D5" w14:textId="77777777" w:rsidR="00933B46" w:rsidRPr="00AC3823" w:rsidRDefault="00933B46">
      <w:pPr>
        <w:spacing w:line="240" w:lineRule="auto"/>
        <w:rPr>
          <w:sz w:val="2"/>
          <w:szCs w:val="2"/>
        </w:rPr>
      </w:pPr>
    </w:p>
  </w:footnote>
  <w:footnote w:id="2">
    <w:p w14:paraId="0CA0A5A4" w14:textId="04DB60B4" w:rsidR="00444462" w:rsidRPr="00C97DDC" w:rsidRDefault="00444462" w:rsidP="00444462">
      <w:pPr>
        <w:pStyle w:val="Notedebasdepage"/>
        <w:rPr>
          <w:lang w:val="fr-FR"/>
        </w:rPr>
      </w:pPr>
      <w:r>
        <w:rPr>
          <w:lang w:val="fr-FR"/>
        </w:rPr>
        <w:tab/>
      </w:r>
      <w:r w:rsidRPr="00A548FE">
        <w:rPr>
          <w:sz w:val="20"/>
          <w:lang w:val="fr-FR"/>
        </w:rPr>
        <w:t>*</w:t>
      </w:r>
      <w:r>
        <w:rPr>
          <w:lang w:val="fr-FR"/>
        </w:rPr>
        <w:tab/>
      </w:r>
      <w:r>
        <w:rPr>
          <w:lang w:val="fr-FR"/>
        </w:rPr>
        <w:tab/>
        <w:t>Diffusée en allemand par la Commission centrale pour la navigation du Rhin sous la cote</w:t>
      </w:r>
      <w:r w:rsidR="00A548FE">
        <w:rPr>
          <w:lang w:val="fr-FR"/>
        </w:rPr>
        <w:t xml:space="preserve"> </w:t>
      </w:r>
      <w:r w:rsidR="00A548FE">
        <w:rPr>
          <w:lang w:val="fr-FR"/>
        </w:rPr>
        <w:br/>
      </w:r>
      <w:r>
        <w:rPr>
          <w:lang w:val="fr-FR"/>
        </w:rPr>
        <w:t>CCNR-ZKR/ADN/2024/5.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A21FC" w14:textId="7C2DAC8C" w:rsidR="00444462" w:rsidRPr="00444462" w:rsidRDefault="00444462">
    <w:pPr>
      <w:pStyle w:val="En-tte"/>
    </w:pPr>
    <w:fldSimple w:instr=" TITLE  \* MERGEFORMAT ">
      <w:r>
        <w:t>ECE/ADN/2024/5</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ED527" w14:textId="1AAF2902" w:rsidR="00444462" w:rsidRPr="00444462" w:rsidRDefault="00444462" w:rsidP="00444462">
    <w:pPr>
      <w:pStyle w:val="En-tte"/>
      <w:jc w:val="right"/>
    </w:pPr>
    <w:fldSimple w:instr=" TITLE  \* MERGEFORMAT ">
      <w:r>
        <w:t>ECE/ADN/2024/5</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54887"/>
    <w:multiLevelType w:val="hybridMultilevel"/>
    <w:tmpl w:val="59081E36"/>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3ACF4EB2"/>
    <w:multiLevelType w:val="hybridMultilevel"/>
    <w:tmpl w:val="49F466EE"/>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2" w15:restartNumberingAfterBreak="0">
    <w:nsid w:val="65925DC1"/>
    <w:multiLevelType w:val="hybridMultilevel"/>
    <w:tmpl w:val="FAA66F24"/>
    <w:lvl w:ilvl="0" w:tplc="8C4849AC">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8AD07B2"/>
    <w:multiLevelType w:val="hybridMultilevel"/>
    <w:tmpl w:val="16EA87C6"/>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num w:numId="1" w16cid:durableId="2130591052">
    <w:abstractNumId w:val="13"/>
  </w:num>
  <w:num w:numId="2" w16cid:durableId="697005989">
    <w:abstractNumId w:val="11"/>
  </w:num>
  <w:num w:numId="3" w16cid:durableId="1870487679">
    <w:abstractNumId w:val="10"/>
  </w:num>
  <w:num w:numId="4" w16cid:durableId="1543714646">
    <w:abstractNumId w:val="8"/>
  </w:num>
  <w:num w:numId="5" w16cid:durableId="765228911">
    <w:abstractNumId w:val="3"/>
  </w:num>
  <w:num w:numId="6" w16cid:durableId="554895558">
    <w:abstractNumId w:val="2"/>
  </w:num>
  <w:num w:numId="7" w16cid:durableId="540944180">
    <w:abstractNumId w:val="1"/>
  </w:num>
  <w:num w:numId="8" w16cid:durableId="1585456420">
    <w:abstractNumId w:val="0"/>
  </w:num>
  <w:num w:numId="9" w16cid:durableId="1781342181">
    <w:abstractNumId w:val="9"/>
  </w:num>
  <w:num w:numId="10" w16cid:durableId="1013537361">
    <w:abstractNumId w:val="7"/>
  </w:num>
  <w:num w:numId="11" w16cid:durableId="814954714">
    <w:abstractNumId w:val="6"/>
  </w:num>
  <w:num w:numId="12" w16cid:durableId="424496776">
    <w:abstractNumId w:val="5"/>
  </w:num>
  <w:num w:numId="13" w16cid:durableId="822355146">
    <w:abstractNumId w:val="4"/>
  </w:num>
  <w:num w:numId="14" w16cid:durableId="532882681">
    <w:abstractNumId w:val="13"/>
  </w:num>
  <w:num w:numId="15" w16cid:durableId="1843473571">
    <w:abstractNumId w:val="11"/>
  </w:num>
  <w:num w:numId="16" w16cid:durableId="1451238800">
    <w:abstractNumId w:val="10"/>
  </w:num>
  <w:num w:numId="17" w16cid:durableId="57528308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attachedTemplate r:id="rId1"/>
  <w:revisionView w:inkAnnotations="0"/>
  <w:defaultTabStop w:val="567"/>
  <w:hyphenationZone w:val="425"/>
  <w:evenAndOddHeaders/>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B46"/>
    <w:rsid w:val="00017F94"/>
    <w:rsid w:val="00023842"/>
    <w:rsid w:val="000334F9"/>
    <w:rsid w:val="0007796D"/>
    <w:rsid w:val="000938E9"/>
    <w:rsid w:val="000B7790"/>
    <w:rsid w:val="000D3EE9"/>
    <w:rsid w:val="00111F2F"/>
    <w:rsid w:val="001433FD"/>
    <w:rsid w:val="0014365E"/>
    <w:rsid w:val="001541D3"/>
    <w:rsid w:val="00176178"/>
    <w:rsid w:val="001F525A"/>
    <w:rsid w:val="00223272"/>
    <w:rsid w:val="0024779E"/>
    <w:rsid w:val="002832AC"/>
    <w:rsid w:val="00295CCA"/>
    <w:rsid w:val="002D7C93"/>
    <w:rsid w:val="00392828"/>
    <w:rsid w:val="00441C3B"/>
    <w:rsid w:val="00444462"/>
    <w:rsid w:val="00446B0A"/>
    <w:rsid w:val="00446FE5"/>
    <w:rsid w:val="00452396"/>
    <w:rsid w:val="004C4EA0"/>
    <w:rsid w:val="004E468C"/>
    <w:rsid w:val="00506BE1"/>
    <w:rsid w:val="005316B0"/>
    <w:rsid w:val="005505B7"/>
    <w:rsid w:val="00573BE5"/>
    <w:rsid w:val="00586ED3"/>
    <w:rsid w:val="00596AA9"/>
    <w:rsid w:val="005F2353"/>
    <w:rsid w:val="00706363"/>
    <w:rsid w:val="0071601D"/>
    <w:rsid w:val="0074674C"/>
    <w:rsid w:val="007A62E6"/>
    <w:rsid w:val="007E5E9E"/>
    <w:rsid w:val="0080684C"/>
    <w:rsid w:val="00871C75"/>
    <w:rsid w:val="008776DC"/>
    <w:rsid w:val="00933B46"/>
    <w:rsid w:val="009705C8"/>
    <w:rsid w:val="009C1CF4"/>
    <w:rsid w:val="00A30353"/>
    <w:rsid w:val="00A548FE"/>
    <w:rsid w:val="00AA113A"/>
    <w:rsid w:val="00AC3823"/>
    <w:rsid w:val="00AE323C"/>
    <w:rsid w:val="00B00181"/>
    <w:rsid w:val="00B00B0D"/>
    <w:rsid w:val="00B765F7"/>
    <w:rsid w:val="00BA0CA9"/>
    <w:rsid w:val="00C02897"/>
    <w:rsid w:val="00D3439C"/>
    <w:rsid w:val="00D964C5"/>
    <w:rsid w:val="00DB1831"/>
    <w:rsid w:val="00DD3BFD"/>
    <w:rsid w:val="00DF6678"/>
    <w:rsid w:val="00EF2E22"/>
    <w:rsid w:val="00F660DF"/>
    <w:rsid w:val="00F95C08"/>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6BA3ED"/>
  <w15:docId w15:val="{C7B3DD57-58AB-4FD8-95CE-F8AD0B58A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fr-CH"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674C"/>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Titre1">
    <w:name w:val="heading 1"/>
    <w:aliases w:val="Table_G"/>
    <w:basedOn w:val="SingleTxtG"/>
    <w:next w:val="SingleTxtG"/>
    <w:link w:val="Titre1Car"/>
    <w:qFormat/>
    <w:rsid w:val="0074674C"/>
    <w:pPr>
      <w:keepNext/>
      <w:keepLines/>
      <w:spacing w:after="0" w:line="240" w:lineRule="auto"/>
      <w:ind w:right="0"/>
      <w:jc w:val="left"/>
      <w:outlineLvl w:val="0"/>
    </w:pPr>
  </w:style>
  <w:style w:type="paragraph" w:styleId="Titre2">
    <w:name w:val="heading 2"/>
    <w:basedOn w:val="Normal"/>
    <w:next w:val="Normal"/>
    <w:link w:val="Titre2Car"/>
    <w:semiHidden/>
    <w:qFormat/>
    <w:rsid w:val="00023842"/>
    <w:pPr>
      <w:outlineLvl w:val="1"/>
    </w:pPr>
  </w:style>
  <w:style w:type="paragraph" w:styleId="Titre3">
    <w:name w:val="heading 3"/>
    <w:basedOn w:val="Normal"/>
    <w:next w:val="Normal"/>
    <w:link w:val="Titre3Car"/>
    <w:semiHidden/>
    <w:qFormat/>
    <w:rsid w:val="00023842"/>
    <w:pPr>
      <w:outlineLvl w:val="2"/>
    </w:pPr>
  </w:style>
  <w:style w:type="paragraph" w:styleId="Titre4">
    <w:name w:val="heading 4"/>
    <w:basedOn w:val="Normal"/>
    <w:next w:val="Normal"/>
    <w:link w:val="Titre4Car"/>
    <w:semiHidden/>
    <w:qFormat/>
    <w:rsid w:val="00023842"/>
    <w:pPr>
      <w:outlineLvl w:val="3"/>
    </w:pPr>
  </w:style>
  <w:style w:type="paragraph" w:styleId="Titre5">
    <w:name w:val="heading 5"/>
    <w:basedOn w:val="Normal"/>
    <w:next w:val="Normal"/>
    <w:link w:val="Titre5Car"/>
    <w:semiHidden/>
    <w:qFormat/>
    <w:rsid w:val="00023842"/>
    <w:pPr>
      <w:outlineLvl w:val="4"/>
    </w:pPr>
  </w:style>
  <w:style w:type="paragraph" w:styleId="Titre6">
    <w:name w:val="heading 6"/>
    <w:basedOn w:val="Normal"/>
    <w:next w:val="Normal"/>
    <w:link w:val="Titre6Car"/>
    <w:semiHidden/>
    <w:qFormat/>
    <w:rsid w:val="00023842"/>
    <w:pPr>
      <w:outlineLvl w:val="5"/>
    </w:pPr>
  </w:style>
  <w:style w:type="paragraph" w:styleId="Titre7">
    <w:name w:val="heading 7"/>
    <w:basedOn w:val="Normal"/>
    <w:next w:val="Normal"/>
    <w:link w:val="Titre7Car"/>
    <w:semiHidden/>
    <w:qFormat/>
    <w:rsid w:val="00023842"/>
    <w:pPr>
      <w:outlineLvl w:val="6"/>
    </w:pPr>
  </w:style>
  <w:style w:type="paragraph" w:styleId="Titre8">
    <w:name w:val="heading 8"/>
    <w:basedOn w:val="Normal"/>
    <w:next w:val="Normal"/>
    <w:link w:val="Titre8Car"/>
    <w:semiHidden/>
    <w:qFormat/>
    <w:rsid w:val="00023842"/>
    <w:pPr>
      <w:outlineLvl w:val="7"/>
    </w:pPr>
  </w:style>
  <w:style w:type="paragraph" w:styleId="Titre9">
    <w:name w:val="heading 9"/>
    <w:basedOn w:val="Normal"/>
    <w:next w:val="Normal"/>
    <w:link w:val="Titre9Car"/>
    <w:semiHidden/>
    <w:qFormat/>
    <w:rsid w:val="00023842"/>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aliases w:val="6_G"/>
    <w:basedOn w:val="Normal"/>
    <w:next w:val="Normal"/>
    <w:link w:val="En-tteCar"/>
    <w:qFormat/>
    <w:rsid w:val="0074674C"/>
    <w:pPr>
      <w:pBdr>
        <w:bottom w:val="single" w:sz="4" w:space="4" w:color="auto"/>
      </w:pBdr>
      <w:spacing w:line="240" w:lineRule="auto"/>
    </w:pPr>
    <w:rPr>
      <w:b/>
      <w:sz w:val="18"/>
    </w:rPr>
  </w:style>
  <w:style w:type="character" w:customStyle="1" w:styleId="En-tteCar">
    <w:name w:val="En-tête Car"/>
    <w:aliases w:val="6_G Car"/>
    <w:basedOn w:val="Policepardfaut"/>
    <w:link w:val="En-tte"/>
    <w:rsid w:val="0074674C"/>
    <w:rPr>
      <w:rFonts w:ascii="Times New Roman" w:eastAsiaTheme="minorHAnsi" w:hAnsi="Times New Roman" w:cs="Times New Roman"/>
      <w:b/>
      <w:sz w:val="18"/>
      <w:szCs w:val="20"/>
      <w:lang w:eastAsia="en-US"/>
    </w:rPr>
  </w:style>
  <w:style w:type="paragraph" w:styleId="Pieddepage">
    <w:name w:val="footer"/>
    <w:aliases w:val="3_G"/>
    <w:basedOn w:val="Normal"/>
    <w:next w:val="Normal"/>
    <w:link w:val="PieddepageCar"/>
    <w:qFormat/>
    <w:rsid w:val="0074674C"/>
    <w:pPr>
      <w:spacing w:line="240" w:lineRule="auto"/>
    </w:pPr>
    <w:rPr>
      <w:sz w:val="16"/>
    </w:rPr>
  </w:style>
  <w:style w:type="character" w:customStyle="1" w:styleId="PieddepageCar">
    <w:name w:val="Pied de page Car"/>
    <w:aliases w:val="3_G Car"/>
    <w:basedOn w:val="Policepardfaut"/>
    <w:link w:val="Pieddepage"/>
    <w:rsid w:val="0074674C"/>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74674C"/>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qFormat/>
    <w:rsid w:val="0074674C"/>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qFormat/>
    <w:rsid w:val="0074674C"/>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74674C"/>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74674C"/>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74674C"/>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link w:val="SingleTxtGChar"/>
    <w:qFormat/>
    <w:rsid w:val="0074674C"/>
    <w:pPr>
      <w:tabs>
        <w:tab w:val="left" w:pos="1701"/>
        <w:tab w:val="left" w:pos="2268"/>
        <w:tab w:val="left" w:pos="2835"/>
      </w:tabs>
      <w:spacing w:after="120"/>
      <w:ind w:left="1134" w:right="1134"/>
      <w:jc w:val="both"/>
    </w:pPr>
  </w:style>
  <w:style w:type="paragraph" w:customStyle="1" w:styleId="SLG">
    <w:name w:val="__S_L_G"/>
    <w:basedOn w:val="Normal"/>
    <w:next w:val="Normal"/>
    <w:rsid w:val="0074674C"/>
    <w:pPr>
      <w:keepNext/>
      <w:keepLines/>
      <w:spacing w:before="240" w:after="240" w:line="580" w:lineRule="exact"/>
      <w:ind w:left="1134" w:right="1134"/>
    </w:pPr>
    <w:rPr>
      <w:b/>
      <w:sz w:val="56"/>
    </w:rPr>
  </w:style>
  <w:style w:type="paragraph" w:customStyle="1" w:styleId="SMG">
    <w:name w:val="__S_M_G"/>
    <w:basedOn w:val="Normal"/>
    <w:next w:val="Normal"/>
    <w:rsid w:val="0074674C"/>
    <w:pPr>
      <w:keepNext/>
      <w:keepLines/>
      <w:spacing w:before="240" w:after="240" w:line="420" w:lineRule="exact"/>
      <w:ind w:left="1134" w:right="1134"/>
    </w:pPr>
    <w:rPr>
      <w:b/>
      <w:sz w:val="40"/>
    </w:rPr>
  </w:style>
  <w:style w:type="paragraph" w:customStyle="1" w:styleId="SSG">
    <w:name w:val="__S_S_G"/>
    <w:basedOn w:val="Normal"/>
    <w:next w:val="Normal"/>
    <w:rsid w:val="0074674C"/>
    <w:pPr>
      <w:keepNext/>
      <w:keepLines/>
      <w:spacing w:before="240" w:after="240" w:line="300" w:lineRule="exact"/>
      <w:ind w:left="1134" w:right="1134"/>
    </w:pPr>
    <w:rPr>
      <w:b/>
      <w:sz w:val="28"/>
    </w:rPr>
  </w:style>
  <w:style w:type="paragraph" w:customStyle="1" w:styleId="XLargeG">
    <w:name w:val="__XLarge_G"/>
    <w:basedOn w:val="Normal"/>
    <w:next w:val="Normal"/>
    <w:rsid w:val="0074674C"/>
    <w:pPr>
      <w:keepNext/>
      <w:keepLines/>
      <w:spacing w:before="240" w:after="240" w:line="420" w:lineRule="exact"/>
      <w:ind w:left="1134" w:right="1134"/>
    </w:pPr>
    <w:rPr>
      <w:b/>
      <w:sz w:val="40"/>
    </w:rPr>
  </w:style>
  <w:style w:type="paragraph" w:customStyle="1" w:styleId="Bullet1G">
    <w:name w:val="_Bullet 1_G"/>
    <w:basedOn w:val="Normal"/>
    <w:qFormat/>
    <w:rsid w:val="0074674C"/>
    <w:pPr>
      <w:numPr>
        <w:numId w:val="14"/>
      </w:numPr>
      <w:spacing w:after="120"/>
      <w:ind w:right="1134"/>
      <w:jc w:val="both"/>
    </w:pPr>
  </w:style>
  <w:style w:type="paragraph" w:customStyle="1" w:styleId="Bullet2G">
    <w:name w:val="_Bullet 2_G"/>
    <w:basedOn w:val="Normal"/>
    <w:qFormat/>
    <w:rsid w:val="0074674C"/>
    <w:pPr>
      <w:numPr>
        <w:numId w:val="15"/>
      </w:numPr>
      <w:spacing w:after="120"/>
      <w:ind w:right="1134"/>
      <w:jc w:val="both"/>
    </w:pPr>
  </w:style>
  <w:style w:type="paragraph" w:customStyle="1" w:styleId="ParNoG">
    <w:name w:val="_ParNo_G"/>
    <w:basedOn w:val="Normal"/>
    <w:qFormat/>
    <w:rsid w:val="0074674C"/>
    <w:pPr>
      <w:numPr>
        <w:numId w:val="16"/>
      </w:numPr>
      <w:tabs>
        <w:tab w:val="left" w:pos="1701"/>
        <w:tab w:val="left" w:pos="2268"/>
        <w:tab w:val="left" w:pos="2835"/>
      </w:tabs>
      <w:spacing w:after="120"/>
      <w:ind w:right="1134"/>
      <w:jc w:val="both"/>
    </w:pPr>
  </w:style>
  <w:style w:type="character" w:styleId="Appelnotedebasdep">
    <w:name w:val="footnote reference"/>
    <w:aliases w:val="4_G"/>
    <w:basedOn w:val="Policepardfaut"/>
    <w:qFormat/>
    <w:rsid w:val="0074674C"/>
    <w:rPr>
      <w:rFonts w:ascii="Times New Roman" w:hAnsi="Times New Roman"/>
      <w:sz w:val="18"/>
      <w:vertAlign w:val="superscript"/>
      <w:lang w:val="fr-CH"/>
    </w:rPr>
  </w:style>
  <w:style w:type="character" w:styleId="Appeldenotedefin">
    <w:name w:val="endnote reference"/>
    <w:aliases w:val="1_G"/>
    <w:basedOn w:val="Appelnotedebasdep"/>
    <w:qFormat/>
    <w:rsid w:val="0074674C"/>
    <w:rPr>
      <w:rFonts w:ascii="Times New Roman" w:hAnsi="Times New Roman"/>
      <w:sz w:val="18"/>
      <w:vertAlign w:val="superscript"/>
      <w:lang w:val="fr-CH"/>
    </w:rPr>
  </w:style>
  <w:style w:type="table" w:styleId="Grilledutableau">
    <w:name w:val="Table Grid"/>
    <w:basedOn w:val="TableauNormal"/>
    <w:rsid w:val="0074674C"/>
    <w:pPr>
      <w:suppressAutoHyphens/>
      <w:spacing w:after="0" w:line="240" w:lineRule="atLeast"/>
    </w:pPr>
    <w:rPr>
      <w:rFonts w:ascii="Times New Roman" w:eastAsiaTheme="minorHAnsi"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Lienhypertexte">
    <w:name w:val="Hyperlink"/>
    <w:basedOn w:val="Policepardfaut"/>
    <w:unhideWhenUsed/>
    <w:rsid w:val="0074674C"/>
    <w:rPr>
      <w:color w:val="0000FF"/>
      <w:u w:val="none"/>
    </w:rPr>
  </w:style>
  <w:style w:type="character" w:styleId="Lienhypertextesuivivisit">
    <w:name w:val="FollowedHyperlink"/>
    <w:basedOn w:val="Policepardfaut"/>
    <w:unhideWhenUsed/>
    <w:rsid w:val="0074674C"/>
    <w:rPr>
      <w:color w:val="0000FF"/>
      <w:u w:val="none"/>
    </w:rPr>
  </w:style>
  <w:style w:type="paragraph" w:styleId="Notedebasdepage">
    <w:name w:val="footnote text"/>
    <w:aliases w:val="5_G"/>
    <w:basedOn w:val="Normal"/>
    <w:link w:val="NotedebasdepageCar"/>
    <w:qFormat/>
    <w:rsid w:val="0074674C"/>
    <w:pPr>
      <w:tabs>
        <w:tab w:val="right" w:pos="1021"/>
      </w:tabs>
      <w:spacing w:line="220" w:lineRule="exact"/>
      <w:ind w:left="1134" w:right="1134" w:hanging="1134"/>
    </w:pPr>
    <w:rPr>
      <w:sz w:val="18"/>
    </w:rPr>
  </w:style>
  <w:style w:type="character" w:customStyle="1" w:styleId="NotedebasdepageCar">
    <w:name w:val="Note de bas de page Car"/>
    <w:aliases w:val="5_G Car"/>
    <w:basedOn w:val="Policepardfaut"/>
    <w:link w:val="Notedebasdepage"/>
    <w:rsid w:val="0074674C"/>
    <w:rPr>
      <w:rFonts w:ascii="Times New Roman" w:eastAsiaTheme="minorHAnsi" w:hAnsi="Times New Roman" w:cs="Times New Roman"/>
      <w:sz w:val="18"/>
      <w:szCs w:val="20"/>
      <w:lang w:eastAsia="en-US"/>
    </w:rPr>
  </w:style>
  <w:style w:type="paragraph" w:styleId="Notedefin">
    <w:name w:val="endnote text"/>
    <w:aliases w:val="2_G"/>
    <w:basedOn w:val="Notedebasdepage"/>
    <w:link w:val="NotedefinCar"/>
    <w:qFormat/>
    <w:rsid w:val="0074674C"/>
  </w:style>
  <w:style w:type="character" w:customStyle="1" w:styleId="NotedefinCar">
    <w:name w:val="Note de fin Car"/>
    <w:aliases w:val="2_G Car"/>
    <w:basedOn w:val="Policepardfaut"/>
    <w:link w:val="Notedefin"/>
    <w:rsid w:val="0074674C"/>
    <w:rPr>
      <w:rFonts w:ascii="Times New Roman" w:eastAsiaTheme="minorHAnsi" w:hAnsi="Times New Roman" w:cs="Times New Roman"/>
      <w:sz w:val="18"/>
      <w:szCs w:val="20"/>
      <w:lang w:eastAsia="en-US"/>
    </w:rPr>
  </w:style>
  <w:style w:type="character" w:styleId="Numrodepage">
    <w:name w:val="page number"/>
    <w:aliases w:val="7_G"/>
    <w:basedOn w:val="Policepardfaut"/>
    <w:qFormat/>
    <w:rsid w:val="0074674C"/>
    <w:rPr>
      <w:rFonts w:ascii="Times New Roman" w:hAnsi="Times New Roman"/>
      <w:b/>
      <w:sz w:val="18"/>
      <w:lang w:val="fr-CH"/>
    </w:rPr>
  </w:style>
  <w:style w:type="character" w:customStyle="1" w:styleId="Titre1Car">
    <w:name w:val="Titre 1 Car"/>
    <w:aliases w:val="Table_G Car"/>
    <w:basedOn w:val="Policepardfaut"/>
    <w:link w:val="Titre1"/>
    <w:rsid w:val="0074674C"/>
    <w:rPr>
      <w:rFonts w:ascii="Times New Roman" w:eastAsiaTheme="minorHAnsi" w:hAnsi="Times New Roman" w:cs="Times New Roman"/>
      <w:sz w:val="20"/>
      <w:szCs w:val="20"/>
      <w:lang w:eastAsia="en-US"/>
    </w:rPr>
  </w:style>
  <w:style w:type="character" w:customStyle="1" w:styleId="Titre2Car">
    <w:name w:val="Titre 2 Car"/>
    <w:basedOn w:val="Policepardfaut"/>
    <w:link w:val="Titre2"/>
    <w:semiHidden/>
    <w:rsid w:val="00023842"/>
    <w:rPr>
      <w:rFonts w:ascii="Times New Roman" w:eastAsia="Times New Roman" w:hAnsi="Times New Roman" w:cs="Times New Roman"/>
      <w:sz w:val="20"/>
      <w:szCs w:val="20"/>
      <w:lang w:eastAsia="en-US"/>
    </w:rPr>
  </w:style>
  <w:style w:type="character" w:customStyle="1" w:styleId="Titre3Car">
    <w:name w:val="Titre 3 Car"/>
    <w:basedOn w:val="Policepardfaut"/>
    <w:link w:val="Titre3"/>
    <w:semiHidden/>
    <w:rsid w:val="00023842"/>
    <w:rPr>
      <w:rFonts w:ascii="Times New Roman" w:eastAsia="Times New Roman" w:hAnsi="Times New Roman" w:cs="Times New Roman"/>
      <w:sz w:val="20"/>
      <w:szCs w:val="20"/>
      <w:lang w:eastAsia="en-US"/>
    </w:rPr>
  </w:style>
  <w:style w:type="character" w:customStyle="1" w:styleId="Titre4Car">
    <w:name w:val="Titre 4 Car"/>
    <w:basedOn w:val="Policepardfaut"/>
    <w:link w:val="Titre4"/>
    <w:semiHidden/>
    <w:rsid w:val="00023842"/>
    <w:rPr>
      <w:rFonts w:ascii="Times New Roman" w:eastAsia="Times New Roman" w:hAnsi="Times New Roman" w:cs="Times New Roman"/>
      <w:sz w:val="20"/>
      <w:szCs w:val="20"/>
      <w:lang w:eastAsia="en-US"/>
    </w:rPr>
  </w:style>
  <w:style w:type="character" w:customStyle="1" w:styleId="Titre5Car">
    <w:name w:val="Titre 5 Car"/>
    <w:basedOn w:val="Policepardfaut"/>
    <w:link w:val="Titre5"/>
    <w:semiHidden/>
    <w:rsid w:val="00023842"/>
    <w:rPr>
      <w:rFonts w:ascii="Times New Roman" w:eastAsia="Times New Roman" w:hAnsi="Times New Roman" w:cs="Times New Roman"/>
      <w:sz w:val="20"/>
      <w:szCs w:val="20"/>
      <w:lang w:eastAsia="en-US"/>
    </w:rPr>
  </w:style>
  <w:style w:type="character" w:customStyle="1" w:styleId="Titre6Car">
    <w:name w:val="Titre 6 Car"/>
    <w:basedOn w:val="Policepardfaut"/>
    <w:link w:val="Titre6"/>
    <w:semiHidden/>
    <w:rsid w:val="00023842"/>
    <w:rPr>
      <w:rFonts w:ascii="Times New Roman" w:eastAsia="Times New Roman" w:hAnsi="Times New Roman" w:cs="Times New Roman"/>
      <w:sz w:val="20"/>
      <w:szCs w:val="20"/>
      <w:lang w:eastAsia="en-US"/>
    </w:rPr>
  </w:style>
  <w:style w:type="character" w:customStyle="1" w:styleId="Titre7Car">
    <w:name w:val="Titre 7 Car"/>
    <w:basedOn w:val="Policepardfaut"/>
    <w:link w:val="Titre7"/>
    <w:semiHidden/>
    <w:rsid w:val="00023842"/>
    <w:rPr>
      <w:rFonts w:ascii="Times New Roman" w:eastAsia="Times New Roman" w:hAnsi="Times New Roman" w:cs="Times New Roman"/>
      <w:sz w:val="20"/>
      <w:szCs w:val="20"/>
      <w:lang w:eastAsia="en-US"/>
    </w:rPr>
  </w:style>
  <w:style w:type="character" w:customStyle="1" w:styleId="Titre8Car">
    <w:name w:val="Titre 8 Car"/>
    <w:basedOn w:val="Policepardfaut"/>
    <w:link w:val="Titre8"/>
    <w:semiHidden/>
    <w:rsid w:val="00023842"/>
    <w:rPr>
      <w:rFonts w:ascii="Times New Roman" w:eastAsia="Times New Roman" w:hAnsi="Times New Roman" w:cs="Times New Roman"/>
      <w:sz w:val="20"/>
      <w:szCs w:val="20"/>
      <w:lang w:eastAsia="en-US"/>
    </w:rPr>
  </w:style>
  <w:style w:type="character" w:customStyle="1" w:styleId="Titre9Car">
    <w:name w:val="Titre 9 Car"/>
    <w:basedOn w:val="Policepardfaut"/>
    <w:link w:val="Titre9"/>
    <w:semiHidden/>
    <w:rsid w:val="00023842"/>
    <w:rPr>
      <w:rFonts w:ascii="Times New Roman" w:eastAsia="Times New Roman" w:hAnsi="Times New Roman" w:cs="Times New Roman"/>
      <w:sz w:val="20"/>
      <w:szCs w:val="20"/>
      <w:lang w:eastAsia="en-US"/>
    </w:rPr>
  </w:style>
  <w:style w:type="paragraph" w:styleId="Textedebulles">
    <w:name w:val="Balloon Text"/>
    <w:basedOn w:val="Normal"/>
    <w:link w:val="TextedebullesCar"/>
    <w:uiPriority w:val="99"/>
    <w:semiHidden/>
    <w:unhideWhenUsed/>
    <w:rsid w:val="001433FD"/>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433FD"/>
    <w:rPr>
      <w:rFonts w:ascii="Tahoma" w:hAnsi="Tahoma" w:cs="Tahoma"/>
      <w:sz w:val="16"/>
      <w:szCs w:val="16"/>
      <w:lang w:eastAsia="en-US"/>
    </w:rPr>
  </w:style>
  <w:style w:type="character" w:customStyle="1" w:styleId="SingleTxtGChar">
    <w:name w:val="_ Single Txt_G Char"/>
    <w:link w:val="SingleTxtG"/>
    <w:qFormat/>
    <w:rsid w:val="00444462"/>
    <w:rPr>
      <w:rFonts w:ascii="Times New Roman" w:eastAsiaTheme="minorHAnsi" w:hAnsi="Times New Roman"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3411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Templates\EC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3B354E-43FC-4F4E-89F7-FDF84954E4BA}">
  <ds:schemaRefs>
    <ds:schemaRef ds:uri="http://schemas.openxmlformats.org/officeDocument/2006/bibliography"/>
  </ds:schemaRefs>
</ds:datastoreItem>
</file>

<file path=customXml/itemProps2.xml><?xml version="1.0" encoding="utf-8"?>
<ds:datastoreItem xmlns:ds="http://schemas.openxmlformats.org/officeDocument/2006/customXml" ds:itemID="{18BFA5E9-A85D-4444-BE8A-330A161747AD}"/>
</file>

<file path=customXml/itemProps3.xml><?xml version="1.0" encoding="utf-8"?>
<ds:datastoreItem xmlns:ds="http://schemas.openxmlformats.org/officeDocument/2006/customXml" ds:itemID="{5C70F9DC-5A9A-458F-9960-FC9609F24992}"/>
</file>

<file path=docProps/app.xml><?xml version="1.0" encoding="utf-8"?>
<Properties xmlns="http://schemas.openxmlformats.org/officeDocument/2006/extended-properties" xmlns:vt="http://schemas.openxmlformats.org/officeDocument/2006/docPropsVTypes">
  <Template>ECE.dotm</Template>
  <TotalTime>0</TotalTime>
  <Pages>4</Pages>
  <Words>1072</Words>
  <Characters>7403</Characters>
  <Application>Microsoft Office Word</Application>
  <DocSecurity>0</DocSecurity>
  <Lines>822</Lines>
  <Paragraphs>353</Paragraphs>
  <ScaleCrop>false</ScaleCrop>
  <HeadingPairs>
    <vt:vector size="2" baseType="variant">
      <vt:variant>
        <vt:lpstr>Titre</vt:lpstr>
      </vt:variant>
      <vt:variant>
        <vt:i4>1</vt:i4>
      </vt:variant>
    </vt:vector>
  </HeadingPairs>
  <TitlesOfParts>
    <vt:vector size="1" baseType="lpstr">
      <vt:lpstr>ECE/ADN/2024/5</vt:lpstr>
    </vt:vector>
  </TitlesOfParts>
  <Company>DCM</Company>
  <LinksUpToDate>false</LinksUpToDate>
  <CharactersWithSpaces>8122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ECE/ADN/2024/5</dc:title>
  <dc:subject/>
  <dc:creator>Sandrine CLERE</dc:creator>
  <cp:keywords/>
  <cp:lastModifiedBy>Sandrine Clere</cp:lastModifiedBy>
  <cp:revision>2</cp:revision>
  <cp:lastPrinted>2014-05-14T10:59:00Z</cp:lastPrinted>
  <dcterms:created xsi:type="dcterms:W3CDTF">2024-06-26T07:50:00Z</dcterms:created>
  <dcterms:modified xsi:type="dcterms:W3CDTF">2024-06-26T07:50:00Z</dcterms:modified>
</cp:coreProperties>
</file>