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B5E64CD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B0CCEBF" w14:textId="77777777" w:rsidR="002D5AAC" w:rsidRDefault="002D5AAC" w:rsidP="00E978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5646435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7651188" w14:textId="5CE84836" w:rsidR="002D5AAC" w:rsidRDefault="00E9784E" w:rsidP="00E9784E">
            <w:pPr>
              <w:jc w:val="right"/>
            </w:pPr>
            <w:r w:rsidRPr="00E9784E">
              <w:rPr>
                <w:sz w:val="40"/>
              </w:rPr>
              <w:t>ECE</w:t>
            </w:r>
            <w:r>
              <w:t>/ADN/2024/4</w:t>
            </w:r>
          </w:p>
        </w:tc>
      </w:tr>
      <w:tr w:rsidR="002D5AAC" w14:paraId="72D21028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F4DD082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14891930" wp14:editId="6A98114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744E25E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F8073FE" w14:textId="77777777" w:rsidR="002D5AAC" w:rsidRDefault="00E9784E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088D29B" w14:textId="77777777" w:rsidR="00E9784E" w:rsidRDefault="00E9784E" w:rsidP="00E9784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14 June 2024</w:t>
            </w:r>
          </w:p>
          <w:p w14:paraId="2F68C344" w14:textId="77777777" w:rsidR="00E9784E" w:rsidRDefault="00E9784E" w:rsidP="00E9784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8AD1382" w14:textId="6B684C59" w:rsidR="00E9784E" w:rsidRPr="008D53B6" w:rsidRDefault="00E9784E" w:rsidP="00E9784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FC2B5A1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F735754" w14:textId="3853D310" w:rsidR="00E9784E" w:rsidRPr="001B1C57" w:rsidRDefault="00E9784E" w:rsidP="00E9784E">
      <w:pPr>
        <w:spacing w:before="120"/>
        <w:rPr>
          <w:b/>
        </w:rPr>
      </w:pPr>
      <w:r>
        <w:rPr>
          <w:b/>
          <w:bCs/>
        </w:rPr>
        <w:t xml:space="preserve">Административный комитет Европейского соглашения </w:t>
      </w:r>
      <w:r w:rsidR="009E469F">
        <w:rPr>
          <w:b/>
          <w:bCs/>
        </w:rPr>
        <w:br/>
      </w:r>
      <w:r>
        <w:rPr>
          <w:b/>
          <w:bCs/>
        </w:rPr>
        <w:t xml:space="preserve">о международной перевозке опасных грузов </w:t>
      </w:r>
      <w:r w:rsidR="009E469F">
        <w:rPr>
          <w:b/>
          <w:bCs/>
        </w:rPr>
        <w:br/>
      </w:r>
      <w:r>
        <w:rPr>
          <w:b/>
          <w:bCs/>
        </w:rPr>
        <w:t>по внутренним водным путям (ВОПОГ)</w:t>
      </w:r>
    </w:p>
    <w:p w14:paraId="76EA0E33" w14:textId="77777777" w:rsidR="00E9784E" w:rsidRPr="001B1C57" w:rsidRDefault="00E9784E" w:rsidP="00E9784E">
      <w:pPr>
        <w:spacing w:before="120" w:line="240" w:lineRule="auto"/>
        <w:rPr>
          <w:b/>
        </w:rPr>
      </w:pPr>
      <w:r>
        <w:rPr>
          <w:b/>
          <w:bCs/>
        </w:rPr>
        <w:t>Тридцать вторая сессия</w:t>
      </w:r>
    </w:p>
    <w:p w14:paraId="0C2FAED2" w14:textId="77777777" w:rsidR="00E9784E" w:rsidRDefault="00E9784E" w:rsidP="00E9784E">
      <w:pPr>
        <w:spacing w:line="240" w:lineRule="auto"/>
      </w:pPr>
      <w:r>
        <w:t>Женева, 30 августа 2024 года</w:t>
      </w:r>
    </w:p>
    <w:p w14:paraId="1C525E2C" w14:textId="77777777" w:rsidR="00E9784E" w:rsidRPr="001B1C57" w:rsidRDefault="00E9784E" w:rsidP="00E9784E">
      <w:pPr>
        <w:spacing w:line="240" w:lineRule="auto"/>
      </w:pPr>
      <w:r>
        <w:t>Пункт 3 b) предварительной повестки дня</w:t>
      </w:r>
    </w:p>
    <w:p w14:paraId="1EF37416" w14:textId="77777777" w:rsidR="00E9784E" w:rsidRDefault="00E9784E" w:rsidP="00E9784E">
      <w:pPr>
        <w:spacing w:line="240" w:lineRule="auto"/>
        <w:rPr>
          <w:b/>
          <w:bCs/>
        </w:rPr>
      </w:pPr>
      <w:r>
        <w:rPr>
          <w:b/>
          <w:bCs/>
        </w:rPr>
        <w:t>Вопросы, относящиеся к осуществлению ВОПОГ:</w:t>
      </w:r>
    </w:p>
    <w:p w14:paraId="7CB92902" w14:textId="39966963" w:rsidR="00E9784E" w:rsidRPr="001B1C57" w:rsidRDefault="00E9784E" w:rsidP="00E9784E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специальные разрешения, отступления </w:t>
      </w:r>
      <w:r w:rsidR="009E469F">
        <w:rPr>
          <w:b/>
          <w:bCs/>
        </w:rPr>
        <w:br/>
      </w:r>
      <w:r>
        <w:rPr>
          <w:b/>
          <w:bCs/>
        </w:rPr>
        <w:t>и эквивалентные аналоги</w:t>
      </w:r>
    </w:p>
    <w:p w14:paraId="66673AB2" w14:textId="3D95FD2B" w:rsidR="00E9784E" w:rsidRPr="001B1C57" w:rsidRDefault="00E9784E" w:rsidP="00E9784E">
      <w:pPr>
        <w:pStyle w:val="HChG"/>
      </w:pPr>
      <w:r>
        <w:tab/>
      </w:r>
      <w:r>
        <w:tab/>
      </w:r>
      <w:r>
        <w:rPr>
          <w:bCs/>
        </w:rPr>
        <w:t xml:space="preserve">Запрос на рекомендацию по использованию </w:t>
      </w:r>
      <w:r w:rsidR="009E469F">
        <w:rPr>
          <w:bCs/>
        </w:rPr>
        <w:br/>
      </w:r>
      <w:r>
        <w:rPr>
          <w:bCs/>
        </w:rPr>
        <w:t xml:space="preserve">метанола в качестве топлива для обеспечения </w:t>
      </w:r>
      <w:r w:rsidR="009E469F">
        <w:rPr>
          <w:bCs/>
        </w:rPr>
        <w:br/>
      </w:r>
      <w:r>
        <w:rPr>
          <w:bCs/>
        </w:rPr>
        <w:t>движения танкера «Chicago»</w:t>
      </w:r>
    </w:p>
    <w:p w14:paraId="21439A01" w14:textId="77777777" w:rsidR="00E9784E" w:rsidRPr="001B1C57" w:rsidRDefault="00E9784E" w:rsidP="00E9784E">
      <w:pPr>
        <w:pStyle w:val="H1G"/>
      </w:pPr>
      <w:r>
        <w:tab/>
      </w:r>
      <w:r>
        <w:tab/>
      </w:r>
      <w:r>
        <w:rPr>
          <w:bCs/>
        </w:rPr>
        <w:t>Передано правительством Нидерландов</w:t>
      </w:r>
      <w:r w:rsidRPr="009E469F">
        <w:rPr>
          <w:rStyle w:val="aa"/>
          <w:b w:val="0"/>
          <w:bCs/>
          <w:sz w:val="20"/>
          <w:szCs w:val="22"/>
          <w:vertAlign w:val="baseline"/>
        </w:rPr>
        <w:footnoteReference w:customMarkFollows="1" w:id="1"/>
        <w:t>*</w:t>
      </w:r>
    </w:p>
    <w:p w14:paraId="3977DBF3" w14:textId="77777777" w:rsidR="00E9784E" w:rsidRPr="001B1C57" w:rsidRDefault="00E9784E" w:rsidP="00E9784E">
      <w:pPr>
        <w:pStyle w:val="HChG"/>
      </w:pPr>
      <w:r>
        <w:tab/>
      </w:r>
      <w:r>
        <w:tab/>
      </w:r>
      <w:r>
        <w:rPr>
          <w:bCs/>
        </w:rPr>
        <w:t>Введение</w:t>
      </w:r>
    </w:p>
    <w:p w14:paraId="463DCCF9" w14:textId="77777777" w:rsidR="00E9784E" w:rsidRPr="001B1C57" w:rsidRDefault="00E9784E" w:rsidP="00E9784E">
      <w:pPr>
        <w:pStyle w:val="SingleTxtG"/>
      </w:pPr>
      <w:bookmarkStart w:id="0" w:name="_Hlk135736653"/>
      <w:r>
        <w:t>1.</w:t>
      </w:r>
      <w:r>
        <w:tab/>
        <w:t>В контексте энергетического перехода на более экологически чистые виды топлива в настоящее время ведется строительство или переоборудование нескольких судов, для обеспечения движения которых предусмотрено использование альтернативных видов топлива. Одним из них является танкер «Chicago», который будет оснащен гибридным метанол-дизельным генератором. Метанол будет храниться в части существующего танка в грузовой зоне.</w:t>
      </w:r>
    </w:p>
    <w:p w14:paraId="4BED422D" w14:textId="77777777" w:rsidR="00E9784E" w:rsidRPr="001B1C57" w:rsidRDefault="00E9784E" w:rsidP="00E9784E">
      <w:pPr>
        <w:pStyle w:val="SingleTxtG"/>
      </w:pPr>
      <w:r>
        <w:t>2.</w:t>
      </w:r>
      <w:r>
        <w:tab/>
        <w:t>«Chicago» представляет собой самоходный танкер типа C.</w:t>
      </w:r>
    </w:p>
    <w:p w14:paraId="68108A64" w14:textId="2B82D595" w:rsidR="00E9784E" w:rsidRPr="001B1C57" w:rsidRDefault="00E9784E" w:rsidP="00E9784E">
      <w:pPr>
        <w:pStyle w:val="SingleTxtG"/>
      </w:pPr>
      <w:r>
        <w:t>3.</w:t>
      </w:r>
      <w:r>
        <w:tab/>
        <w:t>Ожидается, что рекомендация на него будет получена от ЦКСР в июле 2024</w:t>
      </w:r>
      <w:r w:rsidR="009E469F">
        <w:rPr>
          <w:lang w:val="en-US"/>
        </w:rPr>
        <w:t> </w:t>
      </w:r>
      <w:r>
        <w:t>года. Эта рекомендация будет передана в виде неофициального документа. В</w:t>
      </w:r>
      <w:r w:rsidR="009E469F">
        <w:rPr>
          <w:lang w:val="en-US"/>
        </w:rPr>
        <w:t> </w:t>
      </w:r>
      <w:r>
        <w:t>свою очередь рабочая группа по техническим требованиям КЕСНИ (КЕСНИ-ТП) работает над расширением главы 30 ЕС-ТТСВП и приложения 8 к нему для включения в них правил, касающихся использования метанола в качестве топлива, чтобы обеспечить возможность использования таких двигательных установок на постоянной основе.</w:t>
      </w:r>
      <w:bookmarkStart w:id="1" w:name="_Hlk164850782"/>
      <w:bookmarkEnd w:id="1"/>
    </w:p>
    <w:p w14:paraId="5D9A1A8F" w14:textId="77777777" w:rsidR="00E9784E" w:rsidRPr="009C7815" w:rsidRDefault="00E9784E" w:rsidP="00E9784E">
      <w:pPr>
        <w:pStyle w:val="SingleTxtG"/>
      </w:pPr>
      <w:r>
        <w:t>4.</w:t>
      </w:r>
      <w:r>
        <w:tab/>
        <w:t>Поскольку в настоящее время использование метанола в качестве топлива не допускается в соответствии с пунктами 7.2.3.31 и 9.3.2.31.1 ВОПОГ, Нидерланды хотели бы запросить рекомендацию Административного комитета ВОПОГ о предоставлении отступления для этого судна на основании пункта 1.5.3.2 ВОПОГ.</w:t>
      </w:r>
    </w:p>
    <w:p w14:paraId="7BF9BFEE" w14:textId="77777777" w:rsidR="00E9784E" w:rsidRPr="001B1C57" w:rsidRDefault="00E9784E" w:rsidP="00E9784E">
      <w:pPr>
        <w:pStyle w:val="SingleTxtG"/>
      </w:pPr>
      <w:bookmarkStart w:id="2" w:name="_Hlk149210954"/>
      <w:r>
        <w:lastRenderedPageBreak/>
        <w:t>5.</w:t>
      </w:r>
      <w:r>
        <w:tab/>
        <w:t>В поддержку этого запроса на рекомендацию документ, содержащий соответствующую информацию, был представлен Административному комитету ВОПОГ в качестве неофициального документа INF.3.</w:t>
      </w:r>
      <w:bookmarkEnd w:id="0"/>
      <w:bookmarkEnd w:id="2"/>
      <w:r>
        <w:t xml:space="preserve"> </w:t>
      </w:r>
    </w:p>
    <w:p w14:paraId="37450173" w14:textId="77777777" w:rsidR="00E9784E" w:rsidRPr="001B1C57" w:rsidRDefault="00E9784E" w:rsidP="00E9784E">
      <w:pPr>
        <w:pStyle w:val="SingleTxtG"/>
      </w:pPr>
      <w:r>
        <w:t>6.</w:t>
      </w:r>
      <w:r>
        <w:tab/>
        <w:t>На сорок третьем совещании Комитета по вопросам безопасности ВОПОГ этот проект был представлен его авторами. После обсуждения остальных четырех запросов к авторам была обращена просьба представить аналогичный документ, содержащий соответствующую информацию для Комитета по вопросам безопасности ВОПОГ. Этот проект имеет общие черты с другим проектом по использованию метанола в качестве топлива.</w:t>
      </w:r>
    </w:p>
    <w:p w14:paraId="6D557982" w14:textId="77777777" w:rsidR="00E9784E" w:rsidRPr="001B1C57" w:rsidRDefault="00E9784E" w:rsidP="00E9784E">
      <w:pPr>
        <w:pStyle w:val="HChG"/>
      </w:pPr>
      <w:r>
        <w:tab/>
      </w:r>
      <w:r>
        <w:tab/>
      </w:r>
      <w:r>
        <w:rPr>
          <w:bCs/>
        </w:rPr>
        <w:t>Обоснование и связь с целями устойчивого развития</w:t>
      </w:r>
    </w:p>
    <w:p w14:paraId="03235D2D" w14:textId="55486D40" w:rsidR="00E9784E" w:rsidRPr="001B1C57" w:rsidRDefault="00E9784E" w:rsidP="00E9784E">
      <w:pPr>
        <w:pStyle w:val="SingleTxtG"/>
      </w:pPr>
      <w:bookmarkStart w:id="3" w:name="_Hlk136002289"/>
      <w:r>
        <w:t>7.</w:t>
      </w:r>
      <w:r>
        <w:tab/>
        <w:t xml:space="preserve">Использование альтернативных видов топлива для приведения в движение судов внутреннего плавания является одним из необходимых шагов в контексте общего перехода к устойчивой энергетике. В настоящее время в контексте перевозки неопасных грузов ведется работа по расширению главы 30 Европейского стандарта, устанавливающего технические требования для судов внутреннего плавания </w:t>
      </w:r>
      <w:r w:rsidR="009E469F">
        <w:br/>
      </w:r>
      <w:r>
        <w:t>(ЕС-ТТСВП), и приложения 8 к нему для включения в них положений, касающихся метаноловых топливных систем. Когда правила использования метаноловых систем при перевозке неопасных грузов будут добавлены в ЕС-ТТСВП, Комитет по вопросам безопасности ВОПОГ может принять решение о том, чтобы рассмотреть возможность регламентации в ВОПОГ использования метаноловых систем в контексте перевозки опасных грузов. В связи с этим отступлением Комитет по вопросам безопасности может получить дополнительную информацию, которая может помочь ему в принятии соответствующего решения в будущем.</w:t>
      </w:r>
      <w:bookmarkStart w:id="4" w:name="_Hlk164850910"/>
      <w:bookmarkStart w:id="5" w:name="_Hlk164856193"/>
      <w:bookmarkEnd w:id="3"/>
      <w:bookmarkEnd w:id="4"/>
    </w:p>
    <w:p w14:paraId="7EBA3F04" w14:textId="77777777" w:rsidR="00E9784E" w:rsidRPr="001B1C57" w:rsidRDefault="00E9784E" w:rsidP="00E9784E">
      <w:pPr>
        <w:pStyle w:val="SingleTxtG"/>
      </w:pPr>
      <w:r>
        <w:t>8.</w:t>
      </w:r>
      <w:r>
        <w:tab/>
        <w:t>Вынесение этой рекомендации является шагом к регулированию альтернативных топливных систем в рамках ВОПОГ, поэтому данное предложение может быть увязано с целями Организации Объединенных Наций в области устойчивого развития № 7 (</w:t>
      </w:r>
      <w:r>
        <w:rPr>
          <w:i/>
          <w:iCs/>
        </w:rPr>
        <w:t>значительное увеличение доли энергии из возобновляемых источников в мировом энергетическом балансе</w:t>
      </w:r>
      <w:r>
        <w:t>) и №13 (</w:t>
      </w:r>
      <w:r>
        <w:rPr>
          <w:i/>
          <w:iCs/>
        </w:rPr>
        <w:t>действия в связи с изменением климата</w:t>
      </w:r>
      <w:r>
        <w:t>).</w:t>
      </w:r>
      <w:bookmarkStart w:id="6" w:name="_Hlk164850933"/>
      <w:bookmarkEnd w:id="6"/>
    </w:p>
    <w:bookmarkEnd w:id="5"/>
    <w:p w14:paraId="4A107B16" w14:textId="4E36D8A2" w:rsidR="00E9784E" w:rsidRPr="001B1C57" w:rsidRDefault="009E469F" w:rsidP="009E469F">
      <w:pPr>
        <w:pStyle w:val="HChG"/>
      </w:pPr>
      <w:r>
        <w:tab/>
      </w:r>
      <w:r>
        <w:tab/>
      </w:r>
      <w:r w:rsidR="00E9784E">
        <w:t>Предлагаемые действия</w:t>
      </w:r>
    </w:p>
    <w:p w14:paraId="754EC47E" w14:textId="77777777" w:rsidR="00E9784E" w:rsidRPr="001B1C57" w:rsidRDefault="00E9784E" w:rsidP="00E9784E">
      <w:pPr>
        <w:pStyle w:val="SingleTxtG"/>
      </w:pPr>
      <w:r>
        <w:t>9.</w:t>
      </w:r>
      <w:r>
        <w:tab/>
        <w:t xml:space="preserve">Комитету по вопросам безопасности ВОПОГ предлагается рассмотреть эти предложения и вынести в адрес Административного комитета ВОПОГ соответствующую рекомендацию. </w:t>
      </w:r>
    </w:p>
    <w:p w14:paraId="12B4DD15" w14:textId="77777777" w:rsidR="009E469F" w:rsidRDefault="009E469F" w:rsidP="00E9784E">
      <w:pPr>
        <w:pStyle w:val="HChG"/>
        <w:rPr>
          <w:bCs/>
        </w:rPr>
      </w:pPr>
      <w:r>
        <w:rPr>
          <w:bCs/>
        </w:rPr>
        <w:br w:type="page"/>
      </w:r>
    </w:p>
    <w:p w14:paraId="2FCFBCF3" w14:textId="1D4C49B8" w:rsidR="00E9784E" w:rsidRPr="001B1C57" w:rsidRDefault="00E9784E" w:rsidP="00E9784E">
      <w:pPr>
        <w:pStyle w:val="HChG"/>
      </w:pPr>
      <w:r>
        <w:rPr>
          <w:bCs/>
        </w:rPr>
        <w:lastRenderedPageBreak/>
        <w:t>Приложение</w:t>
      </w:r>
      <w:r>
        <w:t xml:space="preserve"> </w:t>
      </w:r>
    </w:p>
    <w:p w14:paraId="4F907F8E" w14:textId="6341C258" w:rsidR="00E9784E" w:rsidRPr="001B1C57" w:rsidRDefault="00E9784E" w:rsidP="00E9784E">
      <w:pPr>
        <w:pStyle w:val="HChG"/>
      </w:pPr>
      <w:r>
        <w:tab/>
      </w:r>
      <w:r>
        <w:tab/>
      </w:r>
      <w:r>
        <w:rPr>
          <w:bCs/>
        </w:rPr>
        <w:t>Решение Административного комитета ВОПОГ в</w:t>
      </w:r>
      <w:r w:rsidR="009E469F">
        <w:rPr>
          <w:bCs/>
          <w:lang w:val="en-US"/>
        </w:rPr>
        <w:t> </w:t>
      </w:r>
      <w:r>
        <w:rPr>
          <w:bCs/>
        </w:rPr>
        <w:t>отношении использования метаноловой топливной системы на танкере «Chicago» (ЕИН 02332788)</w:t>
      </w:r>
    </w:p>
    <w:p w14:paraId="757A5D26" w14:textId="77777777" w:rsidR="00E9784E" w:rsidRPr="001B1C57" w:rsidRDefault="00E9784E" w:rsidP="00E9784E">
      <w:pPr>
        <w:pStyle w:val="H1G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7185"/>
        </w:tabs>
      </w:pPr>
      <w:r>
        <w:tab/>
      </w:r>
      <w:r>
        <w:tab/>
      </w:r>
      <w:r>
        <w:rPr>
          <w:bCs/>
        </w:rPr>
        <w:t>Отступление № X/2024 от ХХ августа 2024 года</w:t>
      </w:r>
    </w:p>
    <w:p w14:paraId="72547097" w14:textId="77777777" w:rsidR="00E9784E" w:rsidRPr="001B1C57" w:rsidRDefault="00E9784E" w:rsidP="00E9784E">
      <w:pPr>
        <w:pStyle w:val="SingleTxtG"/>
      </w:pPr>
      <w:r>
        <w:t>1.</w:t>
      </w:r>
      <w:r>
        <w:tab/>
        <w:t>Компетентному органу Нидерландов разрешается выдать дополнение к свидетельству о допущении на пробной основе для самоходного танкера «Chicago» (ЕИН 02332788), позволяющее использовать на нем метаноловую топливную систему.</w:t>
      </w:r>
    </w:p>
    <w:p w14:paraId="2C703F60" w14:textId="77777777" w:rsidR="00E9784E" w:rsidRPr="001B1C57" w:rsidRDefault="00E9784E" w:rsidP="00E9784E">
      <w:pPr>
        <w:pStyle w:val="SingleTxtG"/>
      </w:pPr>
      <w:r>
        <w:t>2.</w:t>
      </w:r>
      <w:r>
        <w:tab/>
        <w:t>В соответствии с подразделом 1.5.3.2 Правил, прилагаемых к ВОПОГ, вышеупомянутое судно может на пробной основе отступать до 31 декабря 2028 года от требований следующих пунктов:</w:t>
      </w:r>
    </w:p>
    <w:p w14:paraId="693C1CB7" w14:textId="09A387B3" w:rsidR="00E9784E" w:rsidRPr="001B1C57" w:rsidRDefault="00E9784E" w:rsidP="00E9784E">
      <w:pPr>
        <w:pStyle w:val="Bullet1G"/>
        <w:numPr>
          <w:ilvl w:val="0"/>
          <w:numId w:val="22"/>
        </w:numPr>
        <w:suppressAutoHyphens w:val="0"/>
      </w:pPr>
      <w:r>
        <w:t>7.2.3.31, используя метанол в качестве топлива с температурой вспышки ниже</w:t>
      </w:r>
      <w:r w:rsidR="009E469F">
        <w:rPr>
          <w:lang w:val="en-US"/>
        </w:rPr>
        <w:t> </w:t>
      </w:r>
      <w:r>
        <w:t>55 градусов Цельсия;</w:t>
      </w:r>
    </w:p>
    <w:p w14:paraId="42268653" w14:textId="5C168C08" w:rsidR="00E9784E" w:rsidRPr="001B1C57" w:rsidRDefault="00E9784E" w:rsidP="00E9784E">
      <w:pPr>
        <w:pStyle w:val="Bullet1G"/>
        <w:numPr>
          <w:ilvl w:val="0"/>
          <w:numId w:val="22"/>
        </w:numPr>
        <w:suppressAutoHyphens w:val="0"/>
      </w:pPr>
      <w:r>
        <w:t>9.3.2.31.1, используя метанол в качестве топлива с температурой вспышки ниже</w:t>
      </w:r>
      <w:r w:rsidR="009E469F">
        <w:rPr>
          <w:lang w:val="en-US"/>
        </w:rPr>
        <w:t> </w:t>
      </w:r>
      <w:r>
        <w:t>55 градусов Цельсия.</w:t>
      </w:r>
    </w:p>
    <w:p w14:paraId="5AFC02EE" w14:textId="77777777" w:rsidR="00E9784E" w:rsidRPr="001B1C57" w:rsidRDefault="00E9784E" w:rsidP="00E9784E">
      <w:pPr>
        <w:pStyle w:val="SingleTxtG"/>
      </w:pPr>
      <w:r>
        <w:t>3.</w:t>
      </w:r>
      <w:r>
        <w:tab/>
        <w:t>Административный комитет постановляет, что использование данной метаноловой топливной системы является достаточно безопасным при условии постоянного соблюдения следующих требований:</w:t>
      </w:r>
    </w:p>
    <w:p w14:paraId="11094A11" w14:textId="77777777" w:rsidR="00E9784E" w:rsidRPr="001B1C57" w:rsidRDefault="00E9784E" w:rsidP="00E9784E">
      <w:pPr>
        <w:pStyle w:val="Bullet1G"/>
        <w:numPr>
          <w:ilvl w:val="0"/>
          <w:numId w:val="22"/>
        </w:numPr>
        <w:suppressAutoHyphens w:val="0"/>
      </w:pPr>
      <w:r>
        <w:t>условия, установленные в рекомендации X/2024 Центральной комиссии судоходства по Рейну (ЦКСР);</w:t>
      </w:r>
    </w:p>
    <w:p w14:paraId="2C6B2D58" w14:textId="77777777" w:rsidR="00E9784E" w:rsidRPr="001B1C57" w:rsidRDefault="00E9784E" w:rsidP="00E9784E">
      <w:pPr>
        <w:pStyle w:val="Bullet1G"/>
        <w:numPr>
          <w:ilvl w:val="0"/>
          <w:numId w:val="22"/>
        </w:numPr>
        <w:suppressAutoHyphens w:val="0"/>
      </w:pPr>
      <w:r>
        <w:t>экипаж должен иметь соответствующие ИЗС во время бункеровки, технического обслуживания и при входе в машинное отделение после подачи из него сигнала тревоги.</w:t>
      </w:r>
    </w:p>
    <w:p w14:paraId="26B7412B" w14:textId="77777777" w:rsidR="00E9784E" w:rsidRPr="001B1C57" w:rsidRDefault="00E9784E" w:rsidP="00E9784E">
      <w:pPr>
        <w:pStyle w:val="SingleTxtG"/>
      </w:pPr>
      <w:r>
        <w:t>4.</w:t>
      </w:r>
      <w:r>
        <w:tab/>
        <w:t>Вся информация об использовании метаноловой топливной системы должна собираться судовладельцем и храниться не менее пяти лет. Эта информация по запросу предоставляется соответствующему компетентному органу.</w:t>
      </w:r>
    </w:p>
    <w:p w14:paraId="5F4BCAF0" w14:textId="77777777" w:rsidR="00E9784E" w:rsidRPr="001B1C57" w:rsidRDefault="00E9784E" w:rsidP="00E9784E">
      <w:pPr>
        <w:pStyle w:val="SingleTxtG"/>
      </w:pPr>
      <w:r>
        <w:t>5.</w:t>
      </w:r>
      <w:r>
        <w:tab/>
        <w:t>Судовладелец представляет отчет об оценке в компетентный орган в следующие сроки:</w:t>
      </w:r>
    </w:p>
    <w:p w14:paraId="79B53B7D" w14:textId="77777777" w:rsidR="00E9784E" w:rsidRPr="001B1C57" w:rsidRDefault="00E9784E" w:rsidP="00E9784E">
      <w:pPr>
        <w:pStyle w:val="Bullet1G"/>
        <w:numPr>
          <w:ilvl w:val="0"/>
          <w:numId w:val="22"/>
        </w:numPr>
        <w:suppressAutoHyphens w:val="0"/>
      </w:pPr>
      <w:r>
        <w:tab/>
        <w:t>через 6 месяцев после ввода судна в эксплуатацию;</w:t>
      </w:r>
    </w:p>
    <w:p w14:paraId="38B8369A" w14:textId="77777777" w:rsidR="00E9784E" w:rsidRPr="001B1C57" w:rsidRDefault="00E9784E" w:rsidP="00E9784E">
      <w:pPr>
        <w:pStyle w:val="Bullet1G"/>
        <w:numPr>
          <w:ilvl w:val="0"/>
          <w:numId w:val="22"/>
        </w:numPr>
        <w:suppressAutoHyphens w:val="0"/>
      </w:pPr>
      <w:r>
        <w:tab/>
        <w:t>через 2 года после вынесения настоящей рекомендации;</w:t>
      </w:r>
    </w:p>
    <w:p w14:paraId="0E138618" w14:textId="77777777" w:rsidR="00E9784E" w:rsidRPr="001B1C57" w:rsidRDefault="00E9784E" w:rsidP="00E9784E">
      <w:pPr>
        <w:pStyle w:val="Bullet1G"/>
        <w:numPr>
          <w:ilvl w:val="0"/>
          <w:numId w:val="22"/>
        </w:numPr>
        <w:suppressAutoHyphens w:val="0"/>
      </w:pPr>
      <w:r>
        <w:tab/>
        <w:t>через 5 лет после вынесения настоящей рекомендации.</w:t>
      </w:r>
    </w:p>
    <w:p w14:paraId="1E0BF986" w14:textId="258DF290" w:rsidR="00E9784E" w:rsidRPr="001B1C57" w:rsidRDefault="009E469F" w:rsidP="009E469F">
      <w:pPr>
        <w:pStyle w:val="SingleTxtG"/>
      </w:pPr>
      <w:r>
        <w:tab/>
      </w:r>
      <w:r w:rsidR="00E9784E">
        <w:t>Компетентный орган представляет эти отчеты об оценке в секретариат ЕЭК</w:t>
      </w:r>
      <w:r>
        <w:rPr>
          <w:lang w:val="en-US"/>
        </w:rPr>
        <w:t> </w:t>
      </w:r>
      <w:r w:rsidR="00E9784E">
        <w:t>ООН для сведения Административного комитета ВОПОГ.</w:t>
      </w:r>
    </w:p>
    <w:p w14:paraId="4C704300" w14:textId="77777777" w:rsidR="00E9784E" w:rsidRPr="001B1C57" w:rsidRDefault="00E9784E" w:rsidP="00E9784E">
      <w:pPr>
        <w:pStyle w:val="SingleTxtG"/>
      </w:pPr>
      <w:r>
        <w:t>6.</w:t>
      </w:r>
      <w:r>
        <w:tab/>
        <w:t>Эти отчеты об оценке должны содержать по крайней мере следующую информацию:</w:t>
      </w:r>
    </w:p>
    <w:p w14:paraId="09C72F1F" w14:textId="77777777" w:rsidR="00E9784E" w:rsidRPr="001B1C57" w:rsidRDefault="00E9784E" w:rsidP="00E9784E">
      <w:pPr>
        <w:pStyle w:val="Bullet1G"/>
        <w:numPr>
          <w:ilvl w:val="0"/>
          <w:numId w:val="22"/>
        </w:numPr>
        <w:suppressAutoHyphens w:val="0"/>
      </w:pPr>
      <w:r>
        <w:tab/>
        <w:t>отказ и повреждение метаноловой топливной системы;</w:t>
      </w:r>
    </w:p>
    <w:p w14:paraId="39675CC1" w14:textId="77777777" w:rsidR="00E9784E" w:rsidRDefault="00E9784E" w:rsidP="00E9784E">
      <w:pPr>
        <w:pStyle w:val="Bullet1G"/>
        <w:numPr>
          <w:ilvl w:val="0"/>
          <w:numId w:val="22"/>
        </w:numPr>
        <w:suppressAutoHyphens w:val="0"/>
      </w:pPr>
      <w:r>
        <w:tab/>
        <w:t>утечки;</w:t>
      </w:r>
    </w:p>
    <w:p w14:paraId="4D5E1D32" w14:textId="77777777" w:rsidR="00E9784E" w:rsidRDefault="00E9784E" w:rsidP="00E9784E">
      <w:pPr>
        <w:pStyle w:val="Bullet1G"/>
        <w:numPr>
          <w:ilvl w:val="0"/>
          <w:numId w:val="22"/>
        </w:numPr>
        <w:suppressAutoHyphens w:val="0"/>
      </w:pPr>
      <w:r>
        <w:tab/>
        <w:t>информация о бункеровке;</w:t>
      </w:r>
    </w:p>
    <w:p w14:paraId="2E92F323" w14:textId="77777777" w:rsidR="00E9784E" w:rsidRPr="001B1C57" w:rsidRDefault="00E9784E" w:rsidP="00E9784E">
      <w:pPr>
        <w:pStyle w:val="Bullet1G"/>
        <w:numPr>
          <w:ilvl w:val="0"/>
          <w:numId w:val="22"/>
        </w:numPr>
        <w:suppressAutoHyphens w:val="0"/>
      </w:pPr>
      <w:r>
        <w:tab/>
        <w:t>ремонт и переоснащение метаноловой топливной системы;</w:t>
      </w:r>
    </w:p>
    <w:p w14:paraId="568655BD" w14:textId="77777777" w:rsidR="00E9784E" w:rsidRPr="00CE08E3" w:rsidRDefault="00E9784E" w:rsidP="00E9784E">
      <w:pPr>
        <w:pStyle w:val="Bullet1G"/>
        <w:numPr>
          <w:ilvl w:val="0"/>
          <w:numId w:val="22"/>
        </w:numPr>
        <w:suppressAutoHyphens w:val="0"/>
      </w:pPr>
      <w:r>
        <w:tab/>
        <w:t>эксплуатационные данные;</w:t>
      </w:r>
    </w:p>
    <w:p w14:paraId="7A940D32" w14:textId="77777777" w:rsidR="00E9784E" w:rsidRPr="001B1C57" w:rsidRDefault="00E9784E" w:rsidP="00E9784E">
      <w:pPr>
        <w:pStyle w:val="Bullet1G"/>
        <w:numPr>
          <w:ilvl w:val="0"/>
          <w:numId w:val="22"/>
        </w:numPr>
        <w:suppressAutoHyphens w:val="0"/>
      </w:pPr>
      <w:r>
        <w:tab/>
        <w:t>инциденты, включая взаимодействие или возможное взаимодействие с опасными грузами.</w:t>
      </w:r>
    </w:p>
    <w:p w14:paraId="0022E21D" w14:textId="09E3AD19" w:rsidR="00E12C5F" w:rsidRPr="008D53B6" w:rsidRDefault="00E9784E" w:rsidP="009E469F">
      <w:pPr>
        <w:spacing w:before="240"/>
        <w:jc w:val="center"/>
      </w:pPr>
      <w:r w:rsidRPr="001B1C57">
        <w:rPr>
          <w:u w:val="single"/>
        </w:rPr>
        <w:tab/>
      </w:r>
      <w:r w:rsidRPr="001B1C57">
        <w:rPr>
          <w:u w:val="single"/>
        </w:rPr>
        <w:tab/>
      </w:r>
      <w:r w:rsidRPr="001B1C57">
        <w:rPr>
          <w:u w:val="single"/>
        </w:rPr>
        <w:tab/>
      </w:r>
    </w:p>
    <w:sectPr w:rsidR="00E12C5F" w:rsidRPr="008D53B6" w:rsidSect="00E9784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B573" w14:textId="77777777" w:rsidR="001F4D04" w:rsidRPr="00A312BC" w:rsidRDefault="001F4D04" w:rsidP="00A312BC"/>
  </w:endnote>
  <w:endnote w:type="continuationSeparator" w:id="0">
    <w:p w14:paraId="68A1BA9C" w14:textId="77777777" w:rsidR="001F4D04" w:rsidRPr="00A312BC" w:rsidRDefault="001F4D0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B353" w14:textId="7794605D" w:rsidR="00E9784E" w:rsidRPr="00E9784E" w:rsidRDefault="00E9784E">
    <w:pPr>
      <w:pStyle w:val="a8"/>
    </w:pPr>
    <w:r w:rsidRPr="00E9784E">
      <w:rPr>
        <w:b/>
        <w:sz w:val="18"/>
      </w:rPr>
      <w:fldChar w:fldCharType="begin"/>
    </w:r>
    <w:r w:rsidRPr="00E9784E">
      <w:rPr>
        <w:b/>
        <w:sz w:val="18"/>
      </w:rPr>
      <w:instrText xml:space="preserve"> PAGE  \* MERGEFORMAT </w:instrText>
    </w:r>
    <w:r w:rsidRPr="00E9784E">
      <w:rPr>
        <w:b/>
        <w:sz w:val="18"/>
      </w:rPr>
      <w:fldChar w:fldCharType="separate"/>
    </w:r>
    <w:r w:rsidRPr="00E9784E">
      <w:rPr>
        <w:b/>
        <w:noProof/>
        <w:sz w:val="18"/>
      </w:rPr>
      <w:t>2</w:t>
    </w:r>
    <w:r w:rsidRPr="00E9784E">
      <w:rPr>
        <w:b/>
        <w:sz w:val="18"/>
      </w:rPr>
      <w:fldChar w:fldCharType="end"/>
    </w:r>
    <w:r>
      <w:rPr>
        <w:b/>
        <w:sz w:val="18"/>
      </w:rPr>
      <w:tab/>
    </w:r>
    <w:r>
      <w:t>GE.24-10729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F038" w14:textId="5F75BC20" w:rsidR="00E9784E" w:rsidRPr="00E9784E" w:rsidRDefault="00E9784E" w:rsidP="00E9784E">
    <w:pPr>
      <w:pStyle w:val="a8"/>
      <w:tabs>
        <w:tab w:val="clear" w:pos="9639"/>
        <w:tab w:val="right" w:pos="9638"/>
      </w:tabs>
      <w:rPr>
        <w:b/>
        <w:sz w:val="18"/>
      </w:rPr>
    </w:pPr>
    <w:r>
      <w:t>GE.24-10729</w:t>
    </w:r>
    <w:r>
      <w:tab/>
    </w:r>
    <w:r w:rsidRPr="00E9784E">
      <w:rPr>
        <w:b/>
        <w:sz w:val="18"/>
      </w:rPr>
      <w:fldChar w:fldCharType="begin"/>
    </w:r>
    <w:r w:rsidRPr="00E9784E">
      <w:rPr>
        <w:b/>
        <w:sz w:val="18"/>
      </w:rPr>
      <w:instrText xml:space="preserve"> PAGE  \* MERGEFORMAT </w:instrText>
    </w:r>
    <w:r w:rsidRPr="00E9784E">
      <w:rPr>
        <w:b/>
        <w:sz w:val="18"/>
      </w:rPr>
      <w:fldChar w:fldCharType="separate"/>
    </w:r>
    <w:r w:rsidRPr="00E9784E">
      <w:rPr>
        <w:b/>
        <w:noProof/>
        <w:sz w:val="18"/>
      </w:rPr>
      <w:t>3</w:t>
    </w:r>
    <w:r w:rsidRPr="00E9784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7CB2" w14:textId="1D39AEEC" w:rsidR="00042B72" w:rsidRPr="00E9784E" w:rsidRDefault="00E9784E" w:rsidP="00E9784E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44CEBEC" wp14:editId="52057C3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24-10729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95C8F0D" wp14:editId="2BF7165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080724  090724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2F54" w14:textId="77777777" w:rsidR="001F4D04" w:rsidRPr="001075E9" w:rsidRDefault="001F4D0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F43AC70" w14:textId="77777777" w:rsidR="001F4D04" w:rsidRDefault="001F4D0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8F1FE07" w14:textId="77777777" w:rsidR="00E9784E" w:rsidRPr="001B1C57" w:rsidRDefault="00E9784E" w:rsidP="00E9784E">
      <w:pPr>
        <w:pStyle w:val="ad"/>
      </w:pPr>
      <w:r>
        <w:tab/>
      </w:r>
      <w:r w:rsidRPr="009E469F">
        <w:rPr>
          <w:sz w:val="20"/>
        </w:rPr>
        <w:t>*</w:t>
      </w:r>
      <w:r>
        <w:tab/>
      </w:r>
      <w:r>
        <w:tab/>
        <w:t>Распространено на немецком языке Центральной комиссией судоходства по Рейну под условным обозначением CCNR-ZKR/ADN/2024/4.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A93B" w14:textId="0192B453" w:rsidR="00E9784E" w:rsidRPr="00E9784E" w:rsidRDefault="00E9784E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1100C3">
      <w:t>ECE/ADN/2024/4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A4EC" w14:textId="05FC181F" w:rsidR="00E9784E" w:rsidRPr="00E9784E" w:rsidRDefault="00E9784E" w:rsidP="00E9784E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1100C3">
      <w:t>ECE/ADN/2024/4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8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6"/>
  </w:num>
  <w:num w:numId="20" w16cid:durableId="807743971">
    <w:abstractNumId w:val="12"/>
  </w:num>
  <w:num w:numId="21" w16cid:durableId="1591162185">
    <w:abstractNumId w:val="14"/>
  </w:num>
  <w:num w:numId="22" w16cid:durableId="160920015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04"/>
    <w:rsid w:val="00016274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100C3"/>
    <w:rsid w:val="0014152F"/>
    <w:rsid w:val="00180183"/>
    <w:rsid w:val="0018024D"/>
    <w:rsid w:val="0018649F"/>
    <w:rsid w:val="00196389"/>
    <w:rsid w:val="001B3EF6"/>
    <w:rsid w:val="001C7A89"/>
    <w:rsid w:val="001D5F73"/>
    <w:rsid w:val="001F4D04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9E469F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15D0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9784E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E7E17"/>
  <w15:docId w15:val="{595C79EF-D16C-407E-B018-AFDB19B2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E9784E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578E5-2ACF-4205-8BB3-03DE3E120966}"/>
</file>

<file path=customXml/itemProps2.xml><?xml version="1.0" encoding="utf-8"?>
<ds:datastoreItem xmlns:ds="http://schemas.openxmlformats.org/officeDocument/2006/customXml" ds:itemID="{9EA87770-951D-48E9-BFB7-C7DA27FE50D1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3</Pages>
  <Words>627</Words>
  <Characters>5588</Characters>
  <Application>Microsoft Office Word</Application>
  <DocSecurity>0</DocSecurity>
  <Lines>508</Lines>
  <Paragraphs>207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ECE/ADN/2024/4</vt:lpstr>
      <vt:lpstr>A/</vt:lpstr>
      <vt:lpstr>A/</vt:lpstr>
    </vt:vector>
  </TitlesOfParts>
  <Company>DCM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ECE/ADN/2024/4</dc:title>
  <dc:subject/>
  <dc:creator>Elena IZOTOVA</dc:creator>
  <cp:keywords/>
  <cp:lastModifiedBy>Elena Izotova</cp:lastModifiedBy>
  <cp:revision>3</cp:revision>
  <cp:lastPrinted>2024-07-09T06:33:00Z</cp:lastPrinted>
  <dcterms:created xsi:type="dcterms:W3CDTF">2024-07-09T06:33:00Z</dcterms:created>
  <dcterms:modified xsi:type="dcterms:W3CDTF">2024-07-09T06:33:00Z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