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4" w:tblpY="284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9"/>
        <w:gridCol w:w="2236"/>
        <w:gridCol w:w="6144"/>
      </w:tblGrid>
      <w:tr w:rsidR="00E52109" w14:paraId="5498F217" w14:textId="77777777" w:rsidTr="006476E1">
        <w:trPr>
          <w:trHeight w:val="851"/>
        </w:trPr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E8979C" w14:textId="77777777" w:rsidR="00E52109" w:rsidRPr="002A32CB" w:rsidRDefault="00E52109" w:rsidP="004858F5"/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0D3788" w14:textId="13FC4D83" w:rsidR="00E52109" w:rsidRDefault="00E52109" w:rsidP="006476E1">
            <w:pPr>
              <w:spacing w:after="80" w:line="300" w:lineRule="exact"/>
              <w:rPr>
                <w:sz w:val="28"/>
                <w:szCs w:val="28"/>
              </w:rPr>
            </w:pP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18198C" w14:textId="68B35870" w:rsidR="00E52109" w:rsidRDefault="0039370E" w:rsidP="0039370E">
            <w:pPr>
              <w:jc w:val="right"/>
            </w:pPr>
            <w:r w:rsidRPr="00224447">
              <w:rPr>
                <w:b/>
                <w:bCs/>
                <w:sz w:val="40"/>
              </w:rPr>
              <w:t>UN</w:t>
            </w:r>
            <w:r w:rsidRPr="00224447">
              <w:rPr>
                <w:b/>
                <w:bCs/>
                <w:sz w:val="40"/>
                <w:szCs w:val="40"/>
              </w:rPr>
              <w:t>/SCETDG/</w:t>
            </w:r>
            <w:r w:rsidR="005A3B9D">
              <w:rPr>
                <w:b/>
                <w:bCs/>
                <w:sz w:val="40"/>
                <w:szCs w:val="40"/>
              </w:rPr>
              <w:t>64</w:t>
            </w:r>
            <w:r w:rsidRPr="00224447">
              <w:rPr>
                <w:b/>
                <w:bCs/>
                <w:sz w:val="40"/>
                <w:szCs w:val="40"/>
              </w:rPr>
              <w:t>/INF.</w:t>
            </w:r>
            <w:r w:rsidR="007D1513">
              <w:rPr>
                <w:b/>
                <w:bCs/>
                <w:sz w:val="40"/>
                <w:szCs w:val="40"/>
              </w:rPr>
              <w:t>60</w:t>
            </w:r>
          </w:p>
        </w:tc>
      </w:tr>
    </w:tbl>
    <w:p w14:paraId="1D7B5338" w14:textId="77777777" w:rsidR="0039370E" w:rsidRPr="006500BA" w:rsidRDefault="0039370E" w:rsidP="004858F5">
      <w:pPr>
        <w:spacing w:before="120"/>
        <w:rPr>
          <w:b/>
          <w:sz w:val="24"/>
          <w:szCs w:val="24"/>
        </w:rPr>
      </w:pPr>
      <w:r w:rsidRPr="006500BA">
        <w:rPr>
          <w:b/>
          <w:sz w:val="24"/>
          <w:szCs w:val="24"/>
        </w:rPr>
        <w:t>Committee of Experts on the Transport of Dangerous Goods</w:t>
      </w:r>
      <w:r w:rsidRPr="006500BA">
        <w:rPr>
          <w:b/>
          <w:sz w:val="24"/>
          <w:szCs w:val="24"/>
        </w:rPr>
        <w:br/>
        <w:t>and on the Globally Harmonized System of Classification</w:t>
      </w:r>
      <w:r w:rsidRPr="006500BA">
        <w:rPr>
          <w:b/>
          <w:sz w:val="24"/>
          <w:szCs w:val="24"/>
        </w:rPr>
        <w:br/>
        <w:t>and Labelling of Chemicals</w:t>
      </w:r>
    </w:p>
    <w:p w14:paraId="1F343A07" w14:textId="16D9A408" w:rsidR="0039370E" w:rsidRPr="006500BA" w:rsidRDefault="0039370E" w:rsidP="004858F5">
      <w:pPr>
        <w:spacing w:before="120"/>
        <w:rPr>
          <w:rFonts w:ascii="Helv" w:hAnsi="Helv" w:cs="Helv"/>
          <w:b/>
          <w:color w:val="000000"/>
        </w:rPr>
      </w:pPr>
      <w:r w:rsidRPr="006500BA">
        <w:rPr>
          <w:b/>
        </w:rPr>
        <w:t xml:space="preserve">Sub-Committee of Experts on the </w:t>
      </w:r>
      <w:r>
        <w:rPr>
          <w:b/>
        </w:rPr>
        <w:t>Transport of Dangerous Goods</w:t>
      </w:r>
      <w:r w:rsidR="0033310E">
        <w:rPr>
          <w:b/>
        </w:rPr>
        <w:tab/>
      </w:r>
      <w:r w:rsidR="0033310E">
        <w:rPr>
          <w:b/>
        </w:rPr>
        <w:tab/>
      </w:r>
      <w:r w:rsidR="0033310E">
        <w:rPr>
          <w:b/>
        </w:rPr>
        <w:tab/>
      </w:r>
      <w:r w:rsidR="0033310E">
        <w:rPr>
          <w:b/>
        </w:rPr>
        <w:tab/>
      </w:r>
      <w:r w:rsidR="007D1513">
        <w:rPr>
          <w:b/>
        </w:rPr>
        <w:t>2</w:t>
      </w:r>
      <w:r w:rsidR="00C65C3C">
        <w:rPr>
          <w:b/>
        </w:rPr>
        <w:t>6</w:t>
      </w:r>
      <w:r w:rsidR="00E56FDD">
        <w:rPr>
          <w:b/>
        </w:rPr>
        <w:t xml:space="preserve"> June</w:t>
      </w:r>
      <w:r w:rsidR="0033310E" w:rsidRPr="00F90EE7">
        <w:rPr>
          <w:b/>
        </w:rPr>
        <w:t xml:space="preserve"> 2024</w:t>
      </w:r>
    </w:p>
    <w:p w14:paraId="31A2D83D" w14:textId="1329787F" w:rsidR="0039370E" w:rsidRPr="006500BA" w:rsidRDefault="002E76EA" w:rsidP="004858F5">
      <w:pPr>
        <w:spacing w:before="120"/>
        <w:rPr>
          <w:b/>
        </w:rPr>
      </w:pPr>
      <w:r>
        <w:rPr>
          <w:b/>
        </w:rPr>
        <w:t>Sixty-fourth</w:t>
      </w:r>
      <w:r w:rsidR="0039370E">
        <w:rPr>
          <w:b/>
        </w:rPr>
        <w:t xml:space="preserve"> </w:t>
      </w:r>
      <w:r w:rsidR="0039370E" w:rsidRPr="006500BA">
        <w:rPr>
          <w:b/>
        </w:rPr>
        <w:t>session</w:t>
      </w:r>
    </w:p>
    <w:p w14:paraId="4F4E70C1" w14:textId="57D5494B" w:rsidR="0039370E" w:rsidRPr="006500BA" w:rsidRDefault="0039370E" w:rsidP="004858F5">
      <w:r w:rsidRPr="006500BA">
        <w:t xml:space="preserve">Geneva, </w:t>
      </w:r>
      <w:r w:rsidR="00F13BB0">
        <w:t>24 June-3 July</w:t>
      </w:r>
      <w:r w:rsidR="002E76EA">
        <w:t xml:space="preserve"> 2024</w:t>
      </w:r>
      <w:r>
        <w:t xml:space="preserve"> </w:t>
      </w:r>
    </w:p>
    <w:p w14:paraId="04B2E2B3" w14:textId="014322A7" w:rsidR="001F6C71" w:rsidRDefault="0039370E" w:rsidP="001F6C71">
      <w:r w:rsidRPr="006500BA">
        <w:t xml:space="preserve">Item </w:t>
      </w:r>
      <w:r w:rsidR="000B7712">
        <w:t>6 (c)</w:t>
      </w:r>
      <w:r w:rsidR="009300DB">
        <w:t xml:space="preserve"> </w:t>
      </w:r>
      <w:r w:rsidRPr="006500BA">
        <w:t>of the provisional agenda</w:t>
      </w:r>
    </w:p>
    <w:p w14:paraId="5F9D8DB5" w14:textId="4C93C4A9" w:rsidR="008E48DD" w:rsidRDefault="008E48DD" w:rsidP="001F6C71">
      <w:r w:rsidRPr="00F82D6F">
        <w:rPr>
          <w:b/>
          <w:bCs/>
        </w:rPr>
        <w:t xml:space="preserve">Miscellaneous proposals for amendments to the Model Regulations </w:t>
      </w:r>
      <w:r w:rsidRPr="00F82D6F">
        <w:rPr>
          <w:b/>
          <w:bCs/>
        </w:rPr>
        <w:br/>
        <w:t>on the Transport of Dangerous Goods:</w:t>
      </w:r>
      <w:r>
        <w:rPr>
          <w:b/>
          <w:bCs/>
        </w:rPr>
        <w:br/>
      </w:r>
      <w:r w:rsidR="00054791" w:rsidRPr="00F82D6F">
        <w:rPr>
          <w:b/>
          <w:bCs/>
        </w:rPr>
        <w:t>Portable tanks</w:t>
      </w:r>
    </w:p>
    <w:p w14:paraId="0AF1BBB8" w14:textId="31812D4D" w:rsidR="00090167" w:rsidRPr="00BB19E6" w:rsidRDefault="00CC7758" w:rsidP="00090167">
      <w:pPr>
        <w:pStyle w:val="HChG"/>
        <w:rPr>
          <w:lang w:val="en-US"/>
        </w:rPr>
      </w:pPr>
      <w:r>
        <w:tab/>
      </w:r>
      <w:r>
        <w:tab/>
      </w:r>
      <w:r w:rsidR="00090167" w:rsidRPr="00BB19E6">
        <w:rPr>
          <w:lang w:val="en-US"/>
        </w:rPr>
        <w:t>Informal w</w:t>
      </w:r>
      <w:r w:rsidR="00090167" w:rsidRPr="006150EA">
        <w:rPr>
          <w:lang w:val="en-US"/>
        </w:rPr>
        <w:t xml:space="preserve">orking group on </w:t>
      </w:r>
      <w:r w:rsidR="00090167" w:rsidRPr="00243F43">
        <w:rPr>
          <w:lang w:val="en-US"/>
        </w:rPr>
        <w:t xml:space="preserve">portable tanks with shells made of fibre-reinforced plastics (FRP) intended for </w:t>
      </w:r>
      <w:r w:rsidR="00090167" w:rsidRPr="002D14D7">
        <w:rPr>
          <w:lang w:val="en-US"/>
        </w:rPr>
        <w:t>the transport of non-refrigerated liquefied gases</w:t>
      </w:r>
    </w:p>
    <w:p w14:paraId="76BB4640" w14:textId="0BD47E55" w:rsidR="00090167" w:rsidRPr="006150EA" w:rsidRDefault="00090167" w:rsidP="00090167">
      <w:pPr>
        <w:pStyle w:val="HChG"/>
        <w:rPr>
          <w:lang w:val="en-US"/>
        </w:rPr>
      </w:pPr>
      <w:r w:rsidRPr="006150EA">
        <w:rPr>
          <w:lang w:val="en-US"/>
        </w:rPr>
        <w:tab/>
      </w:r>
      <w:r>
        <w:rPr>
          <w:lang w:val="en-US"/>
        </w:rPr>
        <w:tab/>
      </w:r>
      <w:r w:rsidRPr="006150EA">
        <w:rPr>
          <w:lang w:val="en-US"/>
        </w:rPr>
        <w:t>Terms of reference</w:t>
      </w:r>
    </w:p>
    <w:p w14:paraId="0982FF3D" w14:textId="4E3FC2F5" w:rsidR="00090167" w:rsidRDefault="00090167" w:rsidP="00090167">
      <w:pPr>
        <w:pStyle w:val="H1G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75C5EA" wp14:editId="6B366F42">
                <wp:simplePos x="0" y="0"/>
                <wp:positionH relativeFrom="page">
                  <wp:posOffset>719633</wp:posOffset>
                </wp:positionH>
                <wp:positionV relativeFrom="page">
                  <wp:posOffset>900938</wp:posOffset>
                </wp:positionV>
                <wp:extent cx="6121654" cy="6096"/>
                <wp:effectExtent l="0" t="0" r="0" b="0"/>
                <wp:wrapTopAndBottom/>
                <wp:docPr id="899" name="Group 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654" cy="6096"/>
                          <a:chOff x="0" y="0"/>
                          <a:chExt cx="6121654" cy="6096"/>
                        </a:xfrm>
                      </wpg:grpSpPr>
                      <wps:wsp>
                        <wps:cNvPr id="1121" name="Shape 1121"/>
                        <wps:cNvSpPr/>
                        <wps:spPr>
                          <a:xfrm>
                            <a:off x="0" y="0"/>
                            <a:ext cx="61216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4" h="9144">
                                <a:moveTo>
                                  <a:pt x="0" y="0"/>
                                </a:moveTo>
                                <a:lnTo>
                                  <a:pt x="6121654" y="0"/>
                                </a:lnTo>
                                <a:lnTo>
                                  <a:pt x="61216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29B7F7" id="Group 899" o:spid="_x0000_s1026" style="position:absolute;margin-left:56.65pt;margin-top:70.95pt;width:482pt;height:.5pt;z-index:251659264;mso-position-horizontal-relative:page;mso-position-vertical-relative:page" coordsize="612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">
                <v:shape id="Shape 1121" o:spid="_x0000_s1027" style="position:absolute;width:61216;height:91;visibility:visible;mso-wrap-style:square;v-text-anchor:top" coordsize="61216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" path="m,l6121654,r,9144l,9144,,e" fillcolor="black" stroked="f" strokeweight="0">
                  <v:stroke miterlimit="83231f" joinstyle="miter"/>
                  <v:path arrowok="t" textboxrect="0,0,6121654,9144"/>
                </v:shape>
                <w10:wrap type="topAndBottom" anchorx="page" anchory="page"/>
              </v:group>
            </w:pict>
          </mc:Fallback>
        </mc:AlternateContent>
      </w:r>
      <w:r w:rsidRPr="006150EA">
        <w:rPr>
          <w:lang w:val="en-US"/>
        </w:rPr>
        <w:tab/>
      </w:r>
      <w:r w:rsidRPr="006150EA">
        <w:rPr>
          <w:lang w:val="en-US"/>
        </w:rPr>
        <w:tab/>
      </w:r>
      <w:r w:rsidRPr="006150EA">
        <w:rPr>
          <w:lang w:val="en-US"/>
        </w:rPr>
        <w:tab/>
        <w:t>Transmitted by the expert from</w:t>
      </w:r>
      <w:r w:rsidR="006713AD">
        <w:rPr>
          <w:lang w:val="en-US"/>
        </w:rPr>
        <w:t xml:space="preserve"> </w:t>
      </w:r>
      <w:r w:rsidR="00F85393">
        <w:rPr>
          <w:lang w:val="en-US"/>
        </w:rPr>
        <w:t xml:space="preserve">the </w:t>
      </w:r>
      <w:r>
        <w:rPr>
          <w:lang w:val="en-US"/>
        </w:rPr>
        <w:t>Russian Federation</w:t>
      </w:r>
    </w:p>
    <w:p w14:paraId="66005C4C" w14:textId="0AE2B51A" w:rsidR="0096304C" w:rsidRPr="003C25A8" w:rsidRDefault="00835EDA" w:rsidP="003C25A8">
      <w:pPr>
        <w:pStyle w:val="HChG"/>
        <w:spacing w:before="240"/>
        <w:rPr>
          <w:sz w:val="24"/>
          <w:szCs w:val="24"/>
          <w:lang w:val="en-US"/>
        </w:rPr>
      </w:pPr>
      <w:r w:rsidRPr="003C25A8">
        <w:rPr>
          <w:sz w:val="24"/>
          <w:szCs w:val="24"/>
          <w:lang w:val="en-US"/>
        </w:rPr>
        <w:tab/>
      </w:r>
      <w:r w:rsidRPr="003C25A8">
        <w:rPr>
          <w:sz w:val="24"/>
          <w:szCs w:val="24"/>
          <w:lang w:val="en-US"/>
        </w:rPr>
        <w:tab/>
        <w:t>Introduction</w:t>
      </w:r>
    </w:p>
    <w:p w14:paraId="1D722408" w14:textId="38A672BA" w:rsidR="00090167" w:rsidRDefault="00835EDA" w:rsidP="00835EDA">
      <w:pPr>
        <w:pStyle w:val="SingleTxtG"/>
        <w:rPr>
          <w:lang w:val="en-US"/>
        </w:rPr>
      </w:pPr>
      <w:r>
        <w:rPr>
          <w:lang w:val="en-US"/>
        </w:rPr>
        <w:t>1.</w:t>
      </w:r>
      <w:r>
        <w:rPr>
          <w:lang w:val="en-US"/>
        </w:rPr>
        <w:tab/>
      </w:r>
      <w:r w:rsidR="00664905">
        <w:rPr>
          <w:lang w:val="en-US"/>
        </w:rPr>
        <w:t xml:space="preserve">The </w:t>
      </w:r>
      <w:r w:rsidR="00664905" w:rsidRPr="00BB19E6">
        <w:rPr>
          <w:lang w:val="en-US"/>
        </w:rPr>
        <w:t>Informal w</w:t>
      </w:r>
      <w:r w:rsidR="00664905" w:rsidRPr="006150EA">
        <w:rPr>
          <w:lang w:val="en-US"/>
        </w:rPr>
        <w:t xml:space="preserve">orking group </w:t>
      </w:r>
      <w:r w:rsidR="00E1706C">
        <w:rPr>
          <w:lang w:val="en-US"/>
        </w:rPr>
        <w:t xml:space="preserve">(IWG) </w:t>
      </w:r>
      <w:r w:rsidR="00664905">
        <w:rPr>
          <w:lang w:val="en-US"/>
        </w:rPr>
        <w:t>is requested to d</w:t>
      </w:r>
      <w:r w:rsidR="00090167" w:rsidRPr="006150EA">
        <w:rPr>
          <w:lang w:val="en-US"/>
        </w:rPr>
        <w:t xml:space="preserve">evelop requirements for the construction, </w:t>
      </w:r>
      <w:r w:rsidR="00090167">
        <w:rPr>
          <w:lang w:val="en-US"/>
        </w:rPr>
        <w:t xml:space="preserve">testing, </w:t>
      </w:r>
      <w:r w:rsidR="00090167" w:rsidRPr="006150EA">
        <w:rPr>
          <w:lang w:val="en-US"/>
        </w:rPr>
        <w:t xml:space="preserve">approval, inspection, and use of </w:t>
      </w:r>
      <w:r w:rsidR="00090167" w:rsidRPr="00DA628C">
        <w:rPr>
          <w:lang w:val="en-US"/>
        </w:rPr>
        <w:t>portable tanks with shells made of fibre-reinforced plastics (FRP) intended for the transportation of substances of class 2 (</w:t>
      </w:r>
      <w:r w:rsidR="00090167" w:rsidRPr="008324EF">
        <w:rPr>
          <w:lang w:val="en-US"/>
        </w:rPr>
        <w:t>non-refrigerated liquefied gases</w:t>
      </w:r>
      <w:r w:rsidR="00090167" w:rsidRPr="00DA628C">
        <w:rPr>
          <w:lang w:val="en-US"/>
        </w:rPr>
        <w:t>)”</w:t>
      </w:r>
      <w:r>
        <w:rPr>
          <w:lang w:val="en-US"/>
        </w:rPr>
        <w:t xml:space="preserve"> </w:t>
      </w:r>
      <w:r w:rsidR="00090167">
        <w:rPr>
          <w:lang w:val="en-US"/>
        </w:rPr>
        <w:t>based on:</w:t>
      </w:r>
    </w:p>
    <w:p w14:paraId="3EDCF60A" w14:textId="77777777" w:rsidR="00090167" w:rsidRDefault="00090167" w:rsidP="006713AD">
      <w:pPr>
        <w:pStyle w:val="Bullet1G"/>
      </w:pPr>
      <w:r>
        <w:t>requests to industry;</w:t>
      </w:r>
    </w:p>
    <w:p w14:paraId="3DD7A647" w14:textId="77777777" w:rsidR="00090167" w:rsidRDefault="00090167" w:rsidP="006713AD">
      <w:pPr>
        <w:pStyle w:val="Bullet1G"/>
      </w:pPr>
      <w:r>
        <w:t>request to transport companies;</w:t>
      </w:r>
    </w:p>
    <w:p w14:paraId="1512BC46" w14:textId="680B90DC" w:rsidR="00090167" w:rsidRPr="00F860FD" w:rsidRDefault="00090167" w:rsidP="006713AD">
      <w:pPr>
        <w:pStyle w:val="Bullet1G"/>
      </w:pPr>
      <w:r>
        <w:t>request to scientific and research institutions</w:t>
      </w:r>
      <w:r w:rsidR="00652BE3">
        <w:t>.</w:t>
      </w:r>
    </w:p>
    <w:p w14:paraId="0ACD920A" w14:textId="2AECA51B" w:rsidR="00090167" w:rsidRPr="006150EA" w:rsidRDefault="00B321AE" w:rsidP="006713AD">
      <w:pPr>
        <w:pStyle w:val="SingleTxtG"/>
        <w:rPr>
          <w:lang w:val="en-US"/>
        </w:rPr>
      </w:pPr>
      <w:r>
        <w:rPr>
          <w:lang w:val="en-US"/>
        </w:rPr>
        <w:t>2.</w:t>
      </w:r>
      <w:r>
        <w:rPr>
          <w:lang w:val="en-US"/>
        </w:rPr>
        <w:tab/>
      </w:r>
      <w:r w:rsidR="00E1706C">
        <w:rPr>
          <w:lang w:val="en-US"/>
        </w:rPr>
        <w:t>The IWG should</w:t>
      </w:r>
      <w:r w:rsidR="00090167">
        <w:rPr>
          <w:lang w:val="en-US"/>
        </w:rPr>
        <w:t xml:space="preserve"> </w:t>
      </w:r>
      <w:r w:rsidR="00090167" w:rsidRPr="006150EA">
        <w:rPr>
          <w:lang w:val="en-US"/>
        </w:rPr>
        <w:t>tak</w:t>
      </w:r>
      <w:r w:rsidR="00E1706C">
        <w:rPr>
          <w:lang w:val="en-US"/>
        </w:rPr>
        <w:t>e</w:t>
      </w:r>
      <w:r w:rsidR="00090167" w:rsidRPr="006150EA">
        <w:rPr>
          <w:lang w:val="en-US"/>
        </w:rPr>
        <w:t xml:space="preserve"> into account: </w:t>
      </w:r>
    </w:p>
    <w:p w14:paraId="0B683D7D" w14:textId="7A88A48E" w:rsidR="00090167" w:rsidRPr="00872F90" w:rsidRDefault="004B0564" w:rsidP="006713AD">
      <w:pPr>
        <w:pStyle w:val="SingleTxtG"/>
        <w:rPr>
          <w:lang w:val="en-US"/>
        </w:rPr>
      </w:pPr>
      <w:r>
        <w:rPr>
          <w:lang w:val="en-US"/>
        </w:rPr>
        <w:tab/>
      </w:r>
      <w:r w:rsidR="000E3FB8">
        <w:rPr>
          <w:lang w:val="en-US"/>
        </w:rPr>
        <w:t>(a</w:t>
      </w:r>
      <w:r w:rsidR="006713AD">
        <w:rPr>
          <w:lang w:val="en-US"/>
        </w:rPr>
        <w:t>)</w:t>
      </w:r>
      <w:r w:rsidR="006713AD">
        <w:rPr>
          <w:lang w:val="en-US"/>
        </w:rPr>
        <w:tab/>
      </w:r>
      <w:r w:rsidR="00291B60">
        <w:rPr>
          <w:lang w:val="en-US"/>
        </w:rPr>
        <w:t>T</w:t>
      </w:r>
      <w:r w:rsidR="000E3FB8">
        <w:rPr>
          <w:lang w:val="en-US"/>
        </w:rPr>
        <w:t>he d</w:t>
      </w:r>
      <w:r w:rsidR="00090167" w:rsidRPr="00804160">
        <w:rPr>
          <w:lang w:val="en-US"/>
        </w:rPr>
        <w:t xml:space="preserve">efinition of list of class 2 substances allowed for </w:t>
      </w:r>
      <w:r w:rsidR="00555468">
        <w:rPr>
          <w:lang w:val="en-US"/>
        </w:rPr>
        <w:t xml:space="preserve">the </w:t>
      </w:r>
      <w:r w:rsidR="00090167" w:rsidRPr="00804160">
        <w:rPr>
          <w:lang w:val="en-US"/>
        </w:rPr>
        <w:t>transportation by FRP portable tank</w:t>
      </w:r>
      <w:r w:rsidR="00090167">
        <w:rPr>
          <w:lang w:val="en-US"/>
        </w:rPr>
        <w:t>s</w:t>
      </w:r>
      <w:r w:rsidR="00291B60">
        <w:rPr>
          <w:lang w:val="en-US"/>
        </w:rPr>
        <w:t>.</w:t>
      </w:r>
    </w:p>
    <w:p w14:paraId="390B8C33" w14:textId="00FE3544" w:rsidR="00090167" w:rsidRPr="006150EA" w:rsidRDefault="004B0564" w:rsidP="006713AD">
      <w:pPr>
        <w:pStyle w:val="SingleTxtG"/>
        <w:rPr>
          <w:lang w:val="en-US"/>
        </w:rPr>
      </w:pPr>
      <w:r>
        <w:rPr>
          <w:lang w:val="en-US"/>
        </w:rPr>
        <w:tab/>
      </w:r>
      <w:r w:rsidR="00924D61">
        <w:rPr>
          <w:lang w:val="en-US"/>
        </w:rPr>
        <w:t>(b</w:t>
      </w:r>
      <w:r>
        <w:rPr>
          <w:lang w:val="en-US"/>
        </w:rPr>
        <w:t>)</w:t>
      </w:r>
      <w:r>
        <w:rPr>
          <w:lang w:val="en-US"/>
        </w:rPr>
        <w:tab/>
      </w:r>
      <w:r w:rsidR="00291B60">
        <w:rPr>
          <w:lang w:val="en-US"/>
        </w:rPr>
        <w:t>T</w:t>
      </w:r>
      <w:r w:rsidR="00090167" w:rsidRPr="006150EA">
        <w:rPr>
          <w:lang w:val="en-US"/>
        </w:rPr>
        <w:t xml:space="preserve">he evaluation of a performance equivalence with commonly used metal </w:t>
      </w:r>
      <w:r w:rsidR="00090167">
        <w:rPr>
          <w:lang w:val="en-US"/>
        </w:rPr>
        <w:t xml:space="preserve">tanks </w:t>
      </w:r>
      <w:r w:rsidR="00090167" w:rsidRPr="00DA628C">
        <w:rPr>
          <w:lang w:val="en-US"/>
        </w:rPr>
        <w:t>intended for the transportation of substances of class 2</w:t>
      </w:r>
      <w:r w:rsidR="00090167">
        <w:rPr>
          <w:lang w:val="en-US"/>
        </w:rPr>
        <w:t xml:space="preserve"> related to</w:t>
      </w:r>
      <w:r w:rsidR="00090167" w:rsidRPr="006150EA">
        <w:rPr>
          <w:lang w:val="en-US"/>
        </w:rPr>
        <w:t>:</w:t>
      </w:r>
    </w:p>
    <w:p w14:paraId="0B0E4551" w14:textId="29F8F222" w:rsidR="00090167" w:rsidRPr="0056345F" w:rsidRDefault="00090167" w:rsidP="00E96C61">
      <w:pPr>
        <w:pStyle w:val="Bullet1G"/>
        <w:tabs>
          <w:tab w:val="clear" w:pos="1701"/>
          <w:tab w:val="num" w:pos="1843"/>
        </w:tabs>
        <w:ind w:left="1843"/>
      </w:pPr>
      <w:r>
        <w:t>stress and fatigue resistance</w:t>
      </w:r>
      <w:r>
        <w:rPr>
          <w:lang w:val="en-US"/>
        </w:rPr>
        <w:t xml:space="preserve"> for MAWP corresponding to T50 </w:t>
      </w:r>
      <w:r w:rsidRPr="00174BB6">
        <w:rPr>
          <w:lang w:val="en-US"/>
        </w:rPr>
        <w:t>portable tank instruction</w:t>
      </w:r>
      <w:r w:rsidR="00652BE3">
        <w:rPr>
          <w:lang w:val="en-US"/>
        </w:rPr>
        <w:t>;</w:t>
      </w:r>
    </w:p>
    <w:p w14:paraId="3D85DE29" w14:textId="6401BF5F" w:rsidR="00090167" w:rsidRDefault="00090167" w:rsidP="00E96C61">
      <w:pPr>
        <w:pStyle w:val="Bullet1G"/>
        <w:tabs>
          <w:tab w:val="clear" w:pos="1701"/>
          <w:tab w:val="num" w:pos="1843"/>
        </w:tabs>
        <w:ind w:left="1843"/>
      </w:pPr>
      <w:r>
        <w:rPr>
          <w:lang w:val="en-US"/>
        </w:rPr>
        <w:t>thermal compatibility of liner and FRP structural shell;</w:t>
      </w:r>
    </w:p>
    <w:p w14:paraId="53A8AB67" w14:textId="77777777" w:rsidR="00090167" w:rsidRDefault="00090167" w:rsidP="00E96C61">
      <w:pPr>
        <w:pStyle w:val="Bullet1G"/>
        <w:tabs>
          <w:tab w:val="clear" w:pos="1701"/>
          <w:tab w:val="num" w:pos="1843"/>
        </w:tabs>
        <w:ind w:left="1843"/>
      </w:pPr>
      <w:r>
        <w:rPr>
          <w:lang w:val="en-US"/>
        </w:rPr>
        <w:t>gas permeability;</w:t>
      </w:r>
      <w:r>
        <w:t xml:space="preserve"> </w:t>
      </w:r>
    </w:p>
    <w:p w14:paraId="08C46676" w14:textId="321797C6" w:rsidR="00090167" w:rsidRDefault="00090167" w:rsidP="00E96C61">
      <w:pPr>
        <w:pStyle w:val="Bullet1G"/>
        <w:tabs>
          <w:tab w:val="clear" w:pos="1701"/>
          <w:tab w:val="num" w:pos="1843"/>
        </w:tabs>
        <w:ind w:left="1843"/>
      </w:pPr>
      <w:r>
        <w:t>aging</w:t>
      </w:r>
      <w:r>
        <w:rPr>
          <w:lang w:val="en-US"/>
        </w:rPr>
        <w:t>;</w:t>
      </w:r>
    </w:p>
    <w:p w14:paraId="719B80C0" w14:textId="12B9C6A9" w:rsidR="00090167" w:rsidRDefault="00090167" w:rsidP="00E96C61">
      <w:pPr>
        <w:pStyle w:val="Bullet1G"/>
        <w:tabs>
          <w:tab w:val="clear" w:pos="1701"/>
          <w:tab w:val="num" w:pos="1843"/>
        </w:tabs>
        <w:ind w:left="1843"/>
      </w:pPr>
      <w:r>
        <w:t>fire resistance</w:t>
      </w:r>
      <w:r>
        <w:rPr>
          <w:lang w:val="en-US"/>
        </w:rPr>
        <w:t>;</w:t>
      </w:r>
      <w:r w:rsidR="004A534D">
        <w:rPr>
          <w:lang w:val="en-US"/>
        </w:rPr>
        <w:t xml:space="preserve"> and</w:t>
      </w:r>
    </w:p>
    <w:p w14:paraId="75A73551" w14:textId="3BD85017" w:rsidR="00090167" w:rsidRPr="00872F90" w:rsidRDefault="00090167" w:rsidP="00E96C61">
      <w:pPr>
        <w:pStyle w:val="Bullet1G"/>
        <w:tabs>
          <w:tab w:val="clear" w:pos="1701"/>
          <w:tab w:val="num" w:pos="1843"/>
        </w:tabs>
        <w:ind w:left="1843"/>
      </w:pPr>
      <w:r>
        <w:t>impact resistance</w:t>
      </w:r>
      <w:r w:rsidR="00323B90">
        <w:rPr>
          <w:lang w:val="en-US"/>
        </w:rPr>
        <w:t>.</w:t>
      </w:r>
    </w:p>
    <w:p w14:paraId="2AB55019" w14:textId="0C49E5DC" w:rsidR="00090167" w:rsidRPr="006150EA" w:rsidRDefault="004B0564" w:rsidP="004B0564">
      <w:pPr>
        <w:pStyle w:val="SingleTxtG"/>
        <w:rPr>
          <w:lang w:val="en-US"/>
        </w:rPr>
      </w:pPr>
      <w:r>
        <w:rPr>
          <w:lang w:val="en-US"/>
        </w:rPr>
        <w:tab/>
      </w:r>
      <w:r w:rsidR="00291B60">
        <w:rPr>
          <w:lang w:val="en-US"/>
        </w:rPr>
        <w:t>(c</w:t>
      </w:r>
      <w:r>
        <w:rPr>
          <w:lang w:val="en-US"/>
        </w:rPr>
        <w:t>)</w:t>
      </w:r>
      <w:r>
        <w:rPr>
          <w:lang w:val="en-US"/>
        </w:rPr>
        <w:tab/>
      </w:r>
      <w:r w:rsidR="00090167" w:rsidRPr="006150EA">
        <w:rPr>
          <w:lang w:val="en-US"/>
        </w:rPr>
        <w:t>Different materials for fibers and resins including new technologies</w:t>
      </w:r>
      <w:r w:rsidR="00323B90">
        <w:rPr>
          <w:lang w:val="en-US"/>
        </w:rPr>
        <w:t>.</w:t>
      </w:r>
    </w:p>
    <w:p w14:paraId="08CEA9AD" w14:textId="27846A65" w:rsidR="00090167" w:rsidRPr="006150EA" w:rsidRDefault="004B0564" w:rsidP="004B0564">
      <w:pPr>
        <w:pStyle w:val="SingleTxtG"/>
        <w:rPr>
          <w:lang w:val="en-US"/>
        </w:rPr>
      </w:pPr>
      <w:r>
        <w:rPr>
          <w:lang w:val="en-US"/>
        </w:rPr>
        <w:tab/>
      </w:r>
      <w:r w:rsidR="00291B60">
        <w:rPr>
          <w:lang w:val="en-US"/>
        </w:rPr>
        <w:t>(d</w:t>
      </w:r>
      <w:r>
        <w:rPr>
          <w:lang w:val="en-US"/>
        </w:rPr>
        <w:t>)</w:t>
      </w:r>
      <w:r>
        <w:rPr>
          <w:lang w:val="en-US"/>
        </w:rPr>
        <w:tab/>
      </w:r>
      <w:r w:rsidR="00090167" w:rsidRPr="006150EA">
        <w:rPr>
          <w:lang w:val="en-US"/>
        </w:rPr>
        <w:t>Different manufacturing techniques and performance evaluation methods</w:t>
      </w:r>
      <w:r w:rsidR="00323B90">
        <w:rPr>
          <w:lang w:val="en-US"/>
        </w:rPr>
        <w:t>.</w:t>
      </w:r>
    </w:p>
    <w:p w14:paraId="7B4FF61C" w14:textId="652F69B3" w:rsidR="00090167" w:rsidRPr="006E37AF" w:rsidRDefault="004B0564" w:rsidP="004B0564">
      <w:pPr>
        <w:pStyle w:val="SingleTxtG"/>
        <w:rPr>
          <w:lang w:val="en-US"/>
        </w:rPr>
      </w:pPr>
      <w:r>
        <w:rPr>
          <w:lang w:val="en-US"/>
        </w:rPr>
        <w:tab/>
      </w:r>
      <w:r w:rsidR="00291B60">
        <w:rPr>
          <w:lang w:val="en-US"/>
        </w:rPr>
        <w:t>(e</w:t>
      </w:r>
      <w:r>
        <w:rPr>
          <w:lang w:val="en-US"/>
        </w:rPr>
        <w:t>)</w:t>
      </w:r>
      <w:r>
        <w:rPr>
          <w:lang w:val="en-US"/>
        </w:rPr>
        <w:tab/>
      </w:r>
      <w:r w:rsidR="00090167" w:rsidRPr="006150EA">
        <w:rPr>
          <w:lang w:val="en-US"/>
        </w:rPr>
        <w:t>Existing regulations at international (RID</w:t>
      </w:r>
      <w:r w:rsidR="00090167">
        <w:rPr>
          <w:lang w:val="en-US"/>
        </w:rPr>
        <w:t>,</w:t>
      </w:r>
      <w:r w:rsidR="00090167" w:rsidRPr="006150EA">
        <w:rPr>
          <w:lang w:val="en-US"/>
        </w:rPr>
        <w:t xml:space="preserve"> ADR) regional or nationa</w:t>
      </w:r>
      <w:r w:rsidR="00090167">
        <w:rPr>
          <w:lang w:val="en-US"/>
        </w:rPr>
        <w:t>l</w:t>
      </w:r>
      <w:r w:rsidR="00090167" w:rsidRPr="006150EA">
        <w:rPr>
          <w:lang w:val="en-US"/>
        </w:rPr>
        <w:t xml:space="preserve"> level</w:t>
      </w:r>
      <w:r w:rsidR="00323B90">
        <w:rPr>
          <w:lang w:val="en-US"/>
        </w:rPr>
        <w:t>.</w:t>
      </w:r>
    </w:p>
    <w:p w14:paraId="45A18D14" w14:textId="0458FB57" w:rsidR="00090167" w:rsidRDefault="004B0564" w:rsidP="004B0564">
      <w:pPr>
        <w:pStyle w:val="SingleTxtG"/>
        <w:rPr>
          <w:lang w:val="en-US"/>
        </w:rPr>
      </w:pPr>
      <w:r>
        <w:rPr>
          <w:lang w:val="en-US"/>
        </w:rPr>
        <w:tab/>
      </w:r>
      <w:r w:rsidR="00291B60">
        <w:rPr>
          <w:lang w:val="en-US"/>
        </w:rPr>
        <w:t>(f</w:t>
      </w:r>
      <w:r>
        <w:rPr>
          <w:lang w:val="en-US"/>
        </w:rPr>
        <w:t>)</w:t>
      </w:r>
      <w:r>
        <w:rPr>
          <w:lang w:val="en-US"/>
        </w:rPr>
        <w:tab/>
      </w:r>
      <w:r w:rsidR="00090167" w:rsidRPr="006150EA">
        <w:rPr>
          <w:lang w:val="en-US"/>
        </w:rPr>
        <w:t>Specific periodic inspection needs including after repair</w:t>
      </w:r>
      <w:r w:rsidR="00323B90">
        <w:rPr>
          <w:lang w:val="en-US"/>
        </w:rPr>
        <w:t>.</w:t>
      </w:r>
    </w:p>
    <w:p w14:paraId="6CCE74EE" w14:textId="0F137B55" w:rsidR="00323B90" w:rsidRDefault="003C25A8" w:rsidP="003C25A8">
      <w:pPr>
        <w:pStyle w:val="SingleTxtG"/>
        <w:rPr>
          <w:rFonts w:eastAsia="Times New Roman"/>
          <w:sz w:val="24"/>
          <w:u w:val="single" w:color="000000"/>
          <w:lang w:val="en-US"/>
        </w:rPr>
      </w:pPr>
      <w:r>
        <w:t>3.</w:t>
      </w:r>
      <w:r>
        <w:tab/>
        <w:t xml:space="preserve">The IWG should </w:t>
      </w:r>
      <w:r w:rsidR="00090167" w:rsidRPr="004739D2">
        <w:t>keep</w:t>
      </w:r>
      <w:r>
        <w:t xml:space="preserve"> </w:t>
      </w:r>
      <w:r w:rsidR="00090167">
        <w:rPr>
          <w:lang w:val="en-US"/>
        </w:rPr>
        <w:t xml:space="preserve">in mind </w:t>
      </w:r>
      <w:r>
        <w:rPr>
          <w:lang w:val="en-US"/>
        </w:rPr>
        <w:t xml:space="preserve">the </w:t>
      </w:r>
      <w:r w:rsidR="00090167">
        <w:rPr>
          <w:lang w:val="en-US"/>
        </w:rPr>
        <w:t xml:space="preserve">justification and illustration given in </w:t>
      </w:r>
      <w:r w:rsidR="00CB2E80">
        <w:rPr>
          <w:lang w:val="en-US"/>
        </w:rPr>
        <w:t xml:space="preserve">the </w:t>
      </w:r>
      <w:r>
        <w:rPr>
          <w:lang w:val="en-US"/>
        </w:rPr>
        <w:t>a</w:t>
      </w:r>
      <w:r w:rsidR="00090167">
        <w:rPr>
          <w:lang w:val="en-US"/>
        </w:rPr>
        <w:t>nnex</w:t>
      </w:r>
      <w:r w:rsidR="00400085">
        <w:rPr>
          <w:lang w:val="en-US"/>
        </w:rPr>
        <w:t xml:space="preserve"> to this informal document</w:t>
      </w:r>
      <w:r w:rsidR="00090167">
        <w:rPr>
          <w:lang w:val="en-US"/>
        </w:rPr>
        <w:t>.</w:t>
      </w:r>
      <w:r w:rsidR="00323B90">
        <w:rPr>
          <w:rFonts w:eastAsia="Times New Roman"/>
          <w:sz w:val="24"/>
          <w:u w:val="single" w:color="000000"/>
          <w:lang w:val="en-US"/>
        </w:rPr>
        <w:br w:type="page"/>
      </w:r>
    </w:p>
    <w:p w14:paraId="11FB9312" w14:textId="18BBF4F9" w:rsidR="004739D2" w:rsidRPr="00323B90" w:rsidRDefault="00090167" w:rsidP="00323B90">
      <w:pPr>
        <w:pStyle w:val="HChG"/>
        <w:rPr>
          <w:rFonts w:eastAsia="Times New Roman"/>
          <w:sz w:val="24"/>
          <w:u w:val="single" w:color="000000"/>
          <w:lang w:val="en-US"/>
        </w:rPr>
      </w:pPr>
      <w:r w:rsidRPr="000B667E">
        <w:rPr>
          <w:lang w:val="en-US"/>
        </w:rPr>
        <w:lastRenderedPageBreak/>
        <w:t>Annex</w:t>
      </w:r>
    </w:p>
    <w:p w14:paraId="15F9191E" w14:textId="33D71829" w:rsidR="00090167" w:rsidRPr="000F3EE5" w:rsidRDefault="004739D2" w:rsidP="004739D2">
      <w:pPr>
        <w:pStyle w:val="HChG"/>
      </w:pPr>
      <w:r>
        <w:rPr>
          <w:lang w:val="en-US"/>
        </w:rPr>
        <w:tab/>
      </w:r>
      <w:r>
        <w:rPr>
          <w:lang w:val="en-US"/>
        </w:rPr>
        <w:tab/>
      </w:r>
      <w:r w:rsidR="00090167" w:rsidRPr="000B667E">
        <w:rPr>
          <w:lang w:val="en-US"/>
        </w:rPr>
        <w:t xml:space="preserve">Justification and </w:t>
      </w:r>
      <w:r w:rsidR="00090167" w:rsidRPr="004739D2">
        <w:t>illustrations</w:t>
      </w:r>
    </w:p>
    <w:p w14:paraId="1045553D" w14:textId="05B9A0C4" w:rsidR="00090167" w:rsidRPr="000810B8" w:rsidRDefault="004739D2" w:rsidP="004739D2">
      <w:pPr>
        <w:pStyle w:val="H1G"/>
        <w:rPr>
          <w:sz w:val="28"/>
        </w:rPr>
      </w:pPr>
      <w:r>
        <w:tab/>
        <w:t>1.</w:t>
      </w:r>
      <w:r>
        <w:tab/>
      </w:r>
      <w:r w:rsidR="00090167" w:rsidRPr="000810B8">
        <w:t>Intergovernmental Panel on Climate Change, 2023</w:t>
      </w:r>
      <w:r w:rsidR="003D1073" w:rsidRPr="003D1073">
        <w:rPr>
          <w:rStyle w:val="FootnoteReference"/>
          <w:sz w:val="20"/>
          <w:vertAlign w:val="baseline"/>
        </w:rPr>
        <w:footnoteReference w:customMarkFollows="1" w:id="2"/>
        <w:t>*</w:t>
      </w:r>
    </w:p>
    <w:p w14:paraId="4EE3C79F" w14:textId="3C3088DA" w:rsidR="00090167" w:rsidRDefault="00B97806" w:rsidP="00B97806">
      <w:pPr>
        <w:pStyle w:val="SingleTxtG"/>
        <w:rPr>
          <w:lang w:val="en-US"/>
        </w:rPr>
      </w:pPr>
      <w:r>
        <w:rPr>
          <w:lang w:val="en-US"/>
        </w:rPr>
        <w:t>1.</w:t>
      </w:r>
      <w:r>
        <w:rPr>
          <w:lang w:val="en-US"/>
        </w:rPr>
        <w:tab/>
      </w:r>
      <w:r w:rsidR="00090167" w:rsidRPr="00392DAB">
        <w:rPr>
          <w:lang w:val="en-US"/>
        </w:rPr>
        <w:t>The market for pressure vessels used to store zero-emission fuels such as compressed and renewable natural gas (CNG/RNG) is growing as industries seek to reduce CO</w:t>
      </w:r>
      <w:r w:rsidR="00090167" w:rsidRPr="00392DAB">
        <w:rPr>
          <w:vertAlign w:val="subscript"/>
          <w:lang w:val="en-US"/>
        </w:rPr>
        <w:t>2</w:t>
      </w:r>
      <w:r w:rsidR="00090167" w:rsidRPr="00392DAB">
        <w:rPr>
          <w:lang w:val="en-US"/>
        </w:rPr>
        <w:t xml:space="preserve"> emissions and global warming. With the hottest temperatures recorded in 2023, global warming has already reached 1.1°C and emissions continue to rise. A 43% reduction is needed by 2030 to limit warming to 1.5°C</w:t>
      </w:r>
      <w:r w:rsidR="00090167">
        <w:rPr>
          <w:lang w:val="en-US"/>
        </w:rPr>
        <w:t xml:space="preserve">. </w:t>
      </w:r>
    </w:p>
    <w:p w14:paraId="136DFD06" w14:textId="6D147306" w:rsidR="00090167" w:rsidRDefault="00B97806" w:rsidP="00B97806">
      <w:pPr>
        <w:pStyle w:val="SingleTxtG"/>
        <w:rPr>
          <w:lang w:val="en-US"/>
        </w:rPr>
      </w:pPr>
      <w:r>
        <w:rPr>
          <w:lang w:val="en-US"/>
        </w:rPr>
        <w:t>2.</w:t>
      </w:r>
      <w:r>
        <w:rPr>
          <w:lang w:val="en-US"/>
        </w:rPr>
        <w:tab/>
      </w:r>
      <w:r w:rsidR="00090167" w:rsidRPr="00392DAB">
        <w:rPr>
          <w:lang w:val="en-US"/>
        </w:rPr>
        <w:t>RNG are seen as a key part of the energy mix needed to decarbonize transportation and hit zero-emission targets. The most mature and predominant storage systems for both of these fuels include Type 3 and 4 pressure vessels comprising carbon fiber/epoxy wrapped over an aluminum and plastic liner, respectively, using filament winding</w:t>
      </w:r>
    </w:p>
    <w:p w14:paraId="2ED6D757" w14:textId="65638DEB" w:rsidR="00090167" w:rsidRPr="002B3FF9" w:rsidRDefault="00090167" w:rsidP="002B3FF9">
      <w:pPr>
        <w:spacing w:after="116" w:line="254" w:lineRule="auto"/>
        <w:ind w:left="567" w:right="3" w:hanging="10"/>
        <w:jc w:val="center"/>
        <w:rPr>
          <w:rFonts w:eastAsia="Times New Roman"/>
          <w:lang w:val="en-US"/>
        </w:rPr>
      </w:pPr>
      <w:r w:rsidRPr="002F1895">
        <w:rPr>
          <w:rFonts w:eastAsia="Times New Roman"/>
          <w:noProof/>
        </w:rPr>
        <w:drawing>
          <wp:inline distT="0" distB="0" distL="0" distR="0" wp14:anchorId="22571B3C" wp14:editId="02BC81C6">
            <wp:extent cx="5350537" cy="3379462"/>
            <wp:effectExtent l="0" t="0" r="254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987" cy="3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FE293" w14:textId="77777777" w:rsidR="00090167" w:rsidRDefault="00090167" w:rsidP="00090167">
      <w:pPr>
        <w:rPr>
          <w:rFonts w:eastAsia="Times New Roman"/>
          <w:b/>
          <w:lang w:val="en-US"/>
        </w:rPr>
      </w:pPr>
      <w:r>
        <w:rPr>
          <w:rFonts w:eastAsia="Times New Roman"/>
          <w:b/>
          <w:lang w:val="en-US"/>
        </w:rPr>
        <w:br w:type="page"/>
      </w:r>
    </w:p>
    <w:p w14:paraId="1373DD33" w14:textId="2EA964FB" w:rsidR="00090167" w:rsidRPr="000810B8" w:rsidRDefault="00B02CD8" w:rsidP="00B02CD8">
      <w:pPr>
        <w:pStyle w:val="H1G"/>
      </w:pPr>
      <w:r>
        <w:lastRenderedPageBreak/>
        <w:tab/>
        <w:t>2.</w:t>
      </w:r>
      <w:r>
        <w:tab/>
      </w:r>
      <w:r w:rsidR="00090167" w:rsidRPr="000810B8">
        <w:t>Composite pressure vessel commercial standards</w:t>
      </w:r>
    </w:p>
    <w:p w14:paraId="5EF99F0E" w14:textId="26FCDCC9" w:rsidR="00090167" w:rsidRPr="003D20E7" w:rsidRDefault="00B02CD8" w:rsidP="00B02CD8">
      <w:pPr>
        <w:pStyle w:val="SingleTxtG"/>
        <w:rPr>
          <w:lang w:val="en-US"/>
        </w:rPr>
      </w:pPr>
      <w:r>
        <w:rPr>
          <w:lang w:val="en-US"/>
        </w:rPr>
        <w:t>3.</w:t>
      </w:r>
      <w:r>
        <w:rPr>
          <w:lang w:val="en-US"/>
        </w:rPr>
        <w:tab/>
      </w:r>
      <w:r w:rsidR="00090167" w:rsidRPr="003D20E7">
        <w:rPr>
          <w:lang w:val="en-US"/>
        </w:rPr>
        <w:t xml:space="preserve">Gas cylinders. Refillable composite reinforced tubes of water capacity between 450 L and 3000 L — design, construction and testing. </w:t>
      </w:r>
      <w:r w:rsidR="004E7D6B">
        <w:rPr>
          <w:lang w:val="en-US"/>
        </w:rPr>
        <w:t xml:space="preserve">Standard </w:t>
      </w:r>
      <w:r w:rsidR="00090167" w:rsidRPr="003D20E7">
        <w:rPr>
          <w:lang w:val="en-US"/>
        </w:rPr>
        <w:t xml:space="preserve">ISO FDIS 11515. Geneva, Switzerland: ISO; 2022. </w:t>
      </w:r>
    </w:p>
    <w:p w14:paraId="2957CF67" w14:textId="72FB150F" w:rsidR="00090167" w:rsidRPr="003D20E7" w:rsidRDefault="00B02CD8" w:rsidP="00B02CD8">
      <w:pPr>
        <w:pStyle w:val="SingleTxtG"/>
        <w:rPr>
          <w:lang w:val="en-US"/>
        </w:rPr>
      </w:pPr>
      <w:r>
        <w:rPr>
          <w:lang w:val="en-US"/>
        </w:rPr>
        <w:t>4.</w:t>
      </w:r>
      <w:r>
        <w:rPr>
          <w:lang w:val="en-US"/>
        </w:rPr>
        <w:tab/>
      </w:r>
      <w:r w:rsidR="00090167" w:rsidRPr="003D20E7">
        <w:rPr>
          <w:lang w:val="en-US"/>
        </w:rPr>
        <w:t>Transportable gas cylinders. Fully wrapped composite cylinders, BS EN 12245. Brussels, Belgium: European Standards; 2022.</w:t>
      </w:r>
    </w:p>
    <w:p w14:paraId="28BC6ACD" w14:textId="12B68F3E" w:rsidR="00090167" w:rsidRPr="003D20E7" w:rsidRDefault="00B02CD8" w:rsidP="00B02CD8">
      <w:pPr>
        <w:pStyle w:val="SingleTxtG"/>
        <w:rPr>
          <w:lang w:val="en-US"/>
        </w:rPr>
      </w:pPr>
      <w:r>
        <w:rPr>
          <w:lang w:val="en-US"/>
        </w:rPr>
        <w:t>5.</w:t>
      </w:r>
      <w:r>
        <w:rPr>
          <w:lang w:val="en-US"/>
        </w:rPr>
        <w:tab/>
      </w:r>
      <w:r w:rsidR="00090167" w:rsidRPr="003D20E7">
        <w:rPr>
          <w:lang w:val="en-US"/>
        </w:rPr>
        <w:t xml:space="preserve">BPVC section X-fiber-reinforced plastic pressure vessels, BPVC-X. New York, NY, USA: ASME; 2021. </w:t>
      </w:r>
    </w:p>
    <w:p w14:paraId="5F59FFC8" w14:textId="35094814" w:rsidR="00090167" w:rsidRPr="003D20E7" w:rsidRDefault="00B02CD8" w:rsidP="00B02CD8">
      <w:pPr>
        <w:pStyle w:val="SingleTxtG"/>
        <w:rPr>
          <w:lang w:val="en-US"/>
        </w:rPr>
      </w:pPr>
      <w:r>
        <w:rPr>
          <w:lang w:val="en-US"/>
        </w:rPr>
        <w:t>6.</w:t>
      </w:r>
      <w:r>
        <w:rPr>
          <w:lang w:val="en-US"/>
        </w:rPr>
        <w:tab/>
      </w:r>
      <w:r w:rsidR="00090167" w:rsidRPr="003D20E7">
        <w:rPr>
          <w:lang w:val="en-US"/>
        </w:rPr>
        <w:t xml:space="preserve">Gas cylinders. Design, construction and testing of refillable composite gas cylinders and tubes — Part 3: fully wrapped fibre reinforced composite gas cylinders and tubes up to 450 l with non-load-sharing metallic or non-metallic liners or without liners. </w:t>
      </w:r>
      <w:r w:rsidR="00072821">
        <w:rPr>
          <w:lang w:val="en-US"/>
        </w:rPr>
        <w:t xml:space="preserve">Standard </w:t>
      </w:r>
      <w:r w:rsidR="00090167" w:rsidRPr="003D20E7">
        <w:rPr>
          <w:lang w:val="en-US"/>
        </w:rPr>
        <w:t xml:space="preserve">ISO 11119-3. Geneva, Switzerland: ISO; 2020. </w:t>
      </w:r>
    </w:p>
    <w:p w14:paraId="1AB6762C" w14:textId="620655AD" w:rsidR="00090167" w:rsidRPr="003D20E7" w:rsidRDefault="00B02CD8" w:rsidP="00B02CD8">
      <w:pPr>
        <w:pStyle w:val="SingleTxtG"/>
        <w:rPr>
          <w:lang w:val="en-US"/>
        </w:rPr>
      </w:pPr>
      <w:r>
        <w:rPr>
          <w:lang w:val="en-US"/>
        </w:rPr>
        <w:t>7.</w:t>
      </w:r>
      <w:r>
        <w:rPr>
          <w:lang w:val="en-US"/>
        </w:rPr>
        <w:tab/>
      </w:r>
      <w:r w:rsidR="00090167" w:rsidRPr="003D20E7">
        <w:rPr>
          <w:lang w:val="en-US"/>
        </w:rPr>
        <w:t xml:space="preserve">Gas cylinders. Refillable permanently mounted composite tubes for transportation. </w:t>
      </w:r>
      <w:r w:rsidR="00B120CE">
        <w:rPr>
          <w:lang w:val="en-US"/>
        </w:rPr>
        <w:t xml:space="preserve">Standard </w:t>
      </w:r>
      <w:r w:rsidR="00090167" w:rsidRPr="003D20E7">
        <w:rPr>
          <w:lang w:val="en-US"/>
        </w:rPr>
        <w:t xml:space="preserve">ISO/TS 17519. Geneva, Switzerland: ISO; 2019. </w:t>
      </w:r>
    </w:p>
    <w:p w14:paraId="64E039A5" w14:textId="3E2940E2" w:rsidR="00090167" w:rsidRPr="003D20E7" w:rsidRDefault="00B02CD8" w:rsidP="00B02CD8">
      <w:pPr>
        <w:pStyle w:val="SingleTxtG"/>
        <w:rPr>
          <w:lang w:val="en-US"/>
        </w:rPr>
      </w:pPr>
      <w:r>
        <w:rPr>
          <w:lang w:val="en-US"/>
        </w:rPr>
        <w:t>8.</w:t>
      </w:r>
      <w:r>
        <w:rPr>
          <w:lang w:val="en-US"/>
        </w:rPr>
        <w:tab/>
      </w:r>
      <w:r w:rsidR="00090167" w:rsidRPr="003D20E7">
        <w:rPr>
          <w:lang w:val="en-US"/>
        </w:rPr>
        <w:t>Standard: Space Systems. Composite overwrapped press</w:t>
      </w:r>
      <w:r w:rsidR="00090167">
        <w:rPr>
          <w:lang w:val="en-US"/>
        </w:rPr>
        <w:t>ure vessels, ANSI/AIAA S- 081B,</w:t>
      </w:r>
      <w:r w:rsidR="00090167" w:rsidRPr="003D20E7">
        <w:rPr>
          <w:lang w:val="en-US"/>
        </w:rPr>
        <w:t xml:space="preserve"> Reston, VA, USA: American Institute of Aeronautics and Astronautics; 2018. </w:t>
      </w:r>
    </w:p>
    <w:p w14:paraId="0910499C" w14:textId="2B8246A1" w:rsidR="00090167" w:rsidRPr="003D20E7" w:rsidRDefault="00B02CD8" w:rsidP="00B02CD8">
      <w:pPr>
        <w:pStyle w:val="SingleTxtG"/>
        <w:rPr>
          <w:lang w:val="en-US"/>
        </w:rPr>
      </w:pPr>
      <w:r>
        <w:rPr>
          <w:lang w:val="en-US"/>
        </w:rPr>
        <w:t>9.</w:t>
      </w:r>
      <w:r>
        <w:rPr>
          <w:lang w:val="en-US"/>
        </w:rPr>
        <w:tab/>
      </w:r>
      <w:r w:rsidR="00090167" w:rsidRPr="003D20E7">
        <w:rPr>
          <w:lang w:val="en-US"/>
        </w:rPr>
        <w:t xml:space="preserve">Gas cylinders. Refillable composite gas cylinders and tubes — design, construction and testing — Part 3: fully wrapped fibre reinforced composite gas cylinders and tubes up to 450L with non-load-sharing metallic or non-metallic liners. </w:t>
      </w:r>
      <w:r w:rsidR="00B120CE">
        <w:rPr>
          <w:lang w:val="en-US"/>
        </w:rPr>
        <w:t xml:space="preserve">Standard </w:t>
      </w:r>
      <w:r w:rsidR="00090167" w:rsidRPr="003D20E7">
        <w:rPr>
          <w:lang w:val="en-US"/>
        </w:rPr>
        <w:t xml:space="preserve">ISO 11119-3. Geneva, Switzerland: ISO; 2013. </w:t>
      </w:r>
    </w:p>
    <w:p w14:paraId="50E490E8" w14:textId="647BA93F" w:rsidR="00090167" w:rsidRPr="003D20E7" w:rsidRDefault="00B02CD8" w:rsidP="00B02CD8">
      <w:pPr>
        <w:pStyle w:val="SingleTxtG"/>
        <w:rPr>
          <w:lang w:val="en-US"/>
        </w:rPr>
      </w:pPr>
      <w:r>
        <w:rPr>
          <w:lang w:val="en-US"/>
        </w:rPr>
        <w:t>10.</w:t>
      </w:r>
      <w:r>
        <w:rPr>
          <w:lang w:val="en-US"/>
        </w:rPr>
        <w:tab/>
      </w:r>
      <w:r w:rsidR="00090167" w:rsidRPr="003D20E7">
        <w:rPr>
          <w:lang w:val="en-US"/>
        </w:rPr>
        <w:t xml:space="preserve">Pressure vessels, AS 1210. Sydney, Australia: Standards Australia; 2021. </w:t>
      </w:r>
    </w:p>
    <w:p w14:paraId="6B97E6B3" w14:textId="1B774332" w:rsidR="00090167" w:rsidRPr="003D20E7" w:rsidRDefault="00B02CD8" w:rsidP="00B02CD8">
      <w:pPr>
        <w:pStyle w:val="SingleTxtG"/>
        <w:rPr>
          <w:lang w:val="en-US"/>
        </w:rPr>
      </w:pPr>
      <w:r>
        <w:rPr>
          <w:lang w:val="en-US"/>
        </w:rPr>
        <w:t>11.</w:t>
      </w:r>
      <w:r>
        <w:rPr>
          <w:lang w:val="en-US"/>
        </w:rPr>
        <w:tab/>
      </w:r>
      <w:r w:rsidR="00090167" w:rsidRPr="003D20E7">
        <w:rPr>
          <w:lang w:val="en-US"/>
        </w:rPr>
        <w:t xml:space="preserve">Filament-wound FRP pressure vessels. Materials, design, manufacturing and testing, BS EN 13923. Brussels, Belgium: European Standards; 2005. </w:t>
      </w:r>
    </w:p>
    <w:p w14:paraId="3D7A59BD" w14:textId="3DE5EFB7" w:rsidR="00090167" w:rsidRPr="003D20E7" w:rsidRDefault="00B02CD8" w:rsidP="00B02CD8">
      <w:pPr>
        <w:pStyle w:val="SingleTxtG"/>
        <w:rPr>
          <w:lang w:val="en-US"/>
        </w:rPr>
      </w:pPr>
      <w:r>
        <w:rPr>
          <w:lang w:val="en-US"/>
        </w:rPr>
        <w:t>12.</w:t>
      </w:r>
      <w:r>
        <w:rPr>
          <w:lang w:val="en-US"/>
        </w:rPr>
        <w:tab/>
      </w:r>
      <w:r w:rsidR="00090167" w:rsidRPr="003D20E7">
        <w:rPr>
          <w:lang w:val="en-US"/>
        </w:rPr>
        <w:t xml:space="preserve">Space systems - Pressure vessels and pressurized structures. Design and operation. </w:t>
      </w:r>
      <w:r w:rsidR="00B120CE">
        <w:rPr>
          <w:lang w:val="en-US"/>
        </w:rPr>
        <w:t xml:space="preserve">Standard </w:t>
      </w:r>
      <w:r w:rsidR="00090167" w:rsidRPr="003D20E7">
        <w:rPr>
          <w:lang w:val="en-US"/>
        </w:rPr>
        <w:t xml:space="preserve">ISO 14623. Geneva, Switzerland: ISO; 2003. </w:t>
      </w:r>
    </w:p>
    <w:p w14:paraId="19D1731E" w14:textId="7F74179F" w:rsidR="00090167" w:rsidRDefault="00B02CD8" w:rsidP="00B02CD8">
      <w:pPr>
        <w:pStyle w:val="SingleTxtG"/>
        <w:rPr>
          <w:lang w:val="en-US"/>
        </w:rPr>
      </w:pPr>
      <w:r>
        <w:rPr>
          <w:lang w:val="en-US"/>
        </w:rPr>
        <w:t>13.</w:t>
      </w:r>
      <w:r>
        <w:rPr>
          <w:lang w:val="en-US"/>
        </w:rPr>
        <w:tab/>
      </w:r>
      <w:r w:rsidR="00090167" w:rsidRPr="003D20E7">
        <w:rPr>
          <w:lang w:val="en-US"/>
        </w:rPr>
        <w:t xml:space="preserve">Gas cylinders of composite construction. Specification and test methods — Part 3: fully wrapped fibre reinforced composite gas cylinders with non-load-sharing metallic or non-metallic liners. </w:t>
      </w:r>
      <w:r w:rsidR="00B120CE">
        <w:rPr>
          <w:lang w:val="en-US"/>
        </w:rPr>
        <w:t xml:space="preserve">Standard </w:t>
      </w:r>
      <w:r w:rsidR="00090167" w:rsidRPr="003D20E7">
        <w:rPr>
          <w:lang w:val="en-US"/>
        </w:rPr>
        <w:t>ISO 11119-3. Geneva, Switzerland: ISO; 2002.</w:t>
      </w:r>
    </w:p>
    <w:p w14:paraId="1339F601" w14:textId="77777777" w:rsidR="00090167" w:rsidRDefault="00090167" w:rsidP="00090167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br w:type="page"/>
      </w:r>
    </w:p>
    <w:p w14:paraId="319F4F5E" w14:textId="6CD19F6D" w:rsidR="00090167" w:rsidRDefault="00B02CD8" w:rsidP="00D968A8">
      <w:pPr>
        <w:pStyle w:val="H1G"/>
      </w:pPr>
      <w:r>
        <w:lastRenderedPageBreak/>
        <w:tab/>
        <w:t>3.</w:t>
      </w:r>
      <w:r>
        <w:tab/>
      </w:r>
      <w:r w:rsidR="00090167">
        <w:t>Examples of cutting-edge solutions</w:t>
      </w:r>
    </w:p>
    <w:p w14:paraId="04B1A609" w14:textId="77777777" w:rsidR="00B02CD8" w:rsidRPr="00B02CD8" w:rsidRDefault="00B02CD8" w:rsidP="00B02CD8"/>
    <w:p w14:paraId="76D80159" w14:textId="77777777" w:rsidR="00090167" w:rsidRDefault="00090167" w:rsidP="00090167">
      <w:pPr>
        <w:pStyle w:val="ListParagraph"/>
        <w:tabs>
          <w:tab w:val="center" w:pos="307"/>
          <w:tab w:val="center" w:pos="2268"/>
        </w:tabs>
        <w:spacing w:after="292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4CB4C85" wp14:editId="564337A6">
            <wp:extent cx="5220636" cy="21958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605" cy="22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8AA78" w14:textId="77777777" w:rsidR="00090167" w:rsidRDefault="000B7712" w:rsidP="00090167">
      <w:pPr>
        <w:pStyle w:val="ListParagraph"/>
        <w:tabs>
          <w:tab w:val="center" w:pos="307"/>
          <w:tab w:val="center" w:pos="2268"/>
        </w:tabs>
        <w:spacing w:after="292"/>
        <w:jc w:val="center"/>
      </w:pPr>
      <w:hyperlink r:id="rId13" w:history="1">
        <w:r w:rsidR="00090167" w:rsidRPr="003E660F">
          <w:rPr>
            <w:rStyle w:val="Hyperlink"/>
          </w:rPr>
          <w:t>https://www.compositesworld.com/articles/composites-end-markets-pressure-vessels-(2024)</w:t>
        </w:r>
      </w:hyperlink>
    </w:p>
    <w:p w14:paraId="0C71B087" w14:textId="0837FD46" w:rsidR="00090167" w:rsidRPr="006C004C" w:rsidRDefault="00090167" w:rsidP="005E4239">
      <w:pPr>
        <w:pStyle w:val="SingleTxtG"/>
      </w:pPr>
      <w:r w:rsidRPr="006C004C">
        <w:t>A</w:t>
      </w:r>
      <w:r>
        <w:t xml:space="preserve">utomated fiber placement </w:t>
      </w:r>
      <w:r w:rsidRPr="005E4239">
        <w:t>manufacturing</w:t>
      </w:r>
      <w:r w:rsidRPr="006C004C">
        <w:t xml:space="preserve"> of the 5.5 m diameter cryotank</w:t>
      </w:r>
      <w:r w:rsidR="00B02CD8" w:rsidRPr="00B02CD8">
        <w:rPr>
          <w:rStyle w:val="FootnoteReference"/>
          <w:sz w:val="20"/>
          <w:vertAlign w:val="baseline"/>
        </w:rPr>
        <w:footnoteReference w:customMarkFollows="1" w:id="3"/>
        <w:t>**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6"/>
        <w:gridCol w:w="5193"/>
      </w:tblGrid>
      <w:tr w:rsidR="00090167" w14:paraId="3CBEFEB9" w14:textId="77777777" w:rsidTr="00F83787">
        <w:tc>
          <w:tcPr>
            <w:tcW w:w="4816" w:type="dxa"/>
            <w:vAlign w:val="center"/>
          </w:tcPr>
          <w:p w14:paraId="008DD54F" w14:textId="77777777" w:rsidR="00090167" w:rsidRDefault="00090167" w:rsidP="00F83787">
            <w:pPr>
              <w:pStyle w:val="ListParagraph"/>
              <w:tabs>
                <w:tab w:val="center" w:pos="307"/>
                <w:tab w:val="center" w:pos="2268"/>
              </w:tabs>
              <w:spacing w:after="292"/>
              <w:ind w:left="0"/>
              <w:jc w:val="center"/>
            </w:pPr>
            <w:r w:rsidRPr="006C004C">
              <w:rPr>
                <w:noProof/>
              </w:rPr>
              <w:drawing>
                <wp:inline distT="0" distB="0" distL="0" distR="0" wp14:anchorId="6BBAC806" wp14:editId="77987D85">
                  <wp:extent cx="2161130" cy="164218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r="48961"/>
                          <a:stretch/>
                        </pic:blipFill>
                        <pic:spPr>
                          <a:xfrm>
                            <a:off x="0" y="0"/>
                            <a:ext cx="2173067" cy="1651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CD5E5" w14:textId="77777777" w:rsidR="00090167" w:rsidRDefault="00090167" w:rsidP="00F83787">
            <w:pPr>
              <w:pStyle w:val="ListParagraph"/>
              <w:tabs>
                <w:tab w:val="center" w:pos="307"/>
                <w:tab w:val="center" w:pos="2268"/>
              </w:tabs>
              <w:spacing w:after="292"/>
              <w:ind w:left="0"/>
              <w:jc w:val="center"/>
            </w:pPr>
            <w:r w:rsidRPr="006C004C">
              <w:rPr>
                <w:noProof/>
              </w:rPr>
              <w:drawing>
                <wp:inline distT="0" distB="0" distL="0" distR="0" wp14:anchorId="30145486" wp14:editId="16FB603D">
                  <wp:extent cx="2177143" cy="1739407"/>
                  <wp:effectExtent l="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51457"/>
                          <a:stretch/>
                        </pic:blipFill>
                        <pic:spPr>
                          <a:xfrm>
                            <a:off x="0" y="0"/>
                            <a:ext cx="2186300" cy="174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24E693C0" w14:textId="77777777" w:rsidR="00090167" w:rsidRDefault="00090167" w:rsidP="00F83787">
            <w:pPr>
              <w:pStyle w:val="ListParagraph"/>
              <w:tabs>
                <w:tab w:val="center" w:pos="307"/>
                <w:tab w:val="center" w:pos="2268"/>
              </w:tabs>
              <w:spacing w:after="292"/>
              <w:ind w:left="0"/>
              <w:jc w:val="center"/>
            </w:pPr>
            <w:r w:rsidRPr="006C004C">
              <w:rPr>
                <w:noProof/>
              </w:rPr>
              <w:drawing>
                <wp:inline distT="0" distB="0" distL="0" distR="0" wp14:anchorId="44A7C98B" wp14:editId="73EBBAFA">
                  <wp:extent cx="3297558" cy="2593061"/>
                  <wp:effectExtent l="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407" cy="260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BC8C88" w14:textId="76849507" w:rsidR="00090167" w:rsidRPr="00B02CD8" w:rsidRDefault="00B02CD8" w:rsidP="00B02CD8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090167" w:rsidRPr="00B02CD8" w:rsidSect="0039370E">
      <w:headerReference w:type="even" r:id="rId16"/>
      <w:headerReference w:type="default" r:id="rId17"/>
      <w:footerReference w:type="even" r:id="rId18"/>
      <w:footerReference w:type="default" r:id="rId19"/>
      <w:footerReference w:type="first" r:id="rId20"/>
      <w:endnotePr>
        <w:numFmt w:val="decimal"/>
      </w:endnotePr>
      <w:pgSz w:w="11907" w:h="16840" w:code="9"/>
      <w:pgMar w:top="1417" w:right="1134" w:bottom="1134" w:left="1134" w:header="850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8A65B" w14:textId="77777777" w:rsidR="009F7593" w:rsidRPr="00C47B2E" w:rsidRDefault="009F7593" w:rsidP="00C47B2E">
      <w:pPr>
        <w:pStyle w:val="Footer"/>
      </w:pPr>
    </w:p>
  </w:endnote>
  <w:endnote w:type="continuationSeparator" w:id="0">
    <w:p w14:paraId="4B4E28D9" w14:textId="77777777" w:rsidR="009F7593" w:rsidRPr="00C47B2E" w:rsidRDefault="009F7593" w:rsidP="00C47B2E">
      <w:pPr>
        <w:pStyle w:val="Footer"/>
      </w:pPr>
    </w:p>
  </w:endnote>
  <w:endnote w:type="continuationNotice" w:id="1">
    <w:p w14:paraId="60955C03" w14:textId="77777777" w:rsidR="009F7593" w:rsidRPr="00C47B2E" w:rsidRDefault="009F7593" w:rsidP="00C47B2E">
      <w:pPr>
        <w:pStyle w:val="Footer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99DE0" w14:textId="5DC39783" w:rsidR="00D94B05" w:rsidRPr="0039370E" w:rsidRDefault="0039370E" w:rsidP="00D85308">
    <w:pPr>
      <w:pStyle w:val="Footer"/>
      <w:tabs>
        <w:tab w:val="right" w:pos="9639"/>
      </w:tabs>
      <w:rPr>
        <w:sz w:val="18"/>
      </w:rPr>
    </w:pPr>
    <w:r w:rsidRPr="0039370E">
      <w:rPr>
        <w:b/>
        <w:sz w:val="18"/>
      </w:rPr>
      <w:fldChar w:fldCharType="begin"/>
    </w:r>
    <w:r w:rsidRPr="0039370E">
      <w:rPr>
        <w:b/>
        <w:sz w:val="18"/>
      </w:rPr>
      <w:instrText xml:space="preserve"> PAGE  \* MERGEFORMAT </w:instrText>
    </w:r>
    <w:r w:rsidRPr="0039370E">
      <w:rPr>
        <w:b/>
        <w:sz w:val="18"/>
      </w:rPr>
      <w:fldChar w:fldCharType="separate"/>
    </w:r>
    <w:r w:rsidRPr="0039370E">
      <w:rPr>
        <w:b/>
        <w:noProof/>
        <w:sz w:val="18"/>
      </w:rPr>
      <w:t>2</w:t>
    </w:r>
    <w:r w:rsidRPr="0039370E">
      <w:rPr>
        <w:b/>
        <w:sz w:val="18"/>
      </w:rPr>
      <w:fldChar w:fldCharType="end"/>
    </w: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ECE08" w14:textId="71C1802C" w:rsidR="00D94B05" w:rsidRPr="0039370E" w:rsidRDefault="0039370E" w:rsidP="00D85308">
    <w:pPr>
      <w:pStyle w:val="Footer"/>
      <w:tabs>
        <w:tab w:val="right" w:pos="9639"/>
      </w:tabs>
      <w:rPr>
        <w:b/>
        <w:bCs/>
        <w:sz w:val="18"/>
      </w:rPr>
    </w:pPr>
    <w:r>
      <w:rPr>
        <w:bCs/>
        <w:sz w:val="18"/>
      </w:rPr>
      <w:tab/>
    </w:r>
    <w:r w:rsidRPr="0039370E">
      <w:rPr>
        <w:b/>
        <w:bCs/>
        <w:sz w:val="18"/>
      </w:rPr>
      <w:fldChar w:fldCharType="begin"/>
    </w:r>
    <w:r w:rsidRPr="0039370E">
      <w:rPr>
        <w:b/>
        <w:bCs/>
        <w:sz w:val="18"/>
      </w:rPr>
      <w:instrText xml:space="preserve"> PAGE  \* MERGEFORMAT </w:instrText>
    </w:r>
    <w:r w:rsidRPr="0039370E">
      <w:rPr>
        <w:b/>
        <w:bCs/>
        <w:sz w:val="18"/>
      </w:rPr>
      <w:fldChar w:fldCharType="separate"/>
    </w:r>
    <w:r w:rsidRPr="0039370E">
      <w:rPr>
        <w:b/>
        <w:bCs/>
        <w:noProof/>
        <w:sz w:val="18"/>
      </w:rPr>
      <w:t>3</w:t>
    </w:r>
    <w:r w:rsidRPr="0039370E">
      <w:rPr>
        <w:b/>
        <w:bCs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18F64" w14:textId="77777777" w:rsidR="00D94B05" w:rsidRPr="0039370E" w:rsidRDefault="00E52109" w:rsidP="00764440">
    <w:pPr>
      <w:pStyle w:val="Footer"/>
      <w:rPr>
        <w:rFonts w:asciiTheme="majorBidi" w:hAnsiTheme="majorBidi" w:cstheme="majorBidi"/>
        <w:sz w:val="20"/>
      </w:rPr>
    </w:pPr>
    <w:r>
      <w:rPr>
        <w:noProof/>
        <w:lang w:val="fr-CH" w:eastAsia="fr-CH"/>
      </w:rPr>
      <w:drawing>
        <wp:anchor distT="0" distB="0" distL="114300" distR="114300" simplePos="0" relativeHeight="251658240" behindDoc="0" locked="1" layoutInCell="1" allowOverlap="1" wp14:anchorId="391B4250" wp14:editId="65CBB9F9">
          <wp:simplePos x="0" y="0"/>
          <wp:positionH relativeFrom="margin">
            <wp:posOffset>5003800</wp:posOffset>
          </wp:positionH>
          <wp:positionV relativeFrom="margin">
            <wp:posOffset>9323705</wp:posOffset>
          </wp:positionV>
          <wp:extent cx="923925" cy="228600"/>
          <wp:effectExtent l="0" t="0" r="9525" b="0"/>
          <wp:wrapNone/>
          <wp:docPr id="2" name="Picture 2" descr="recycle_Engli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ycle_Engli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D1213" w14:textId="77777777" w:rsidR="009F7593" w:rsidRPr="00C47B2E" w:rsidRDefault="009F7593" w:rsidP="00C47B2E">
      <w:pPr>
        <w:tabs>
          <w:tab w:val="right" w:pos="2155"/>
        </w:tabs>
        <w:spacing w:after="80" w:line="240" w:lineRule="auto"/>
        <w:ind w:left="680"/>
      </w:pPr>
      <w:r>
        <w:rPr>
          <w:u w:val="single"/>
        </w:rPr>
        <w:tab/>
      </w:r>
    </w:p>
  </w:footnote>
  <w:footnote w:type="continuationSeparator" w:id="0">
    <w:p w14:paraId="33DDDCD5" w14:textId="77777777" w:rsidR="009F7593" w:rsidRPr="00C47B2E" w:rsidRDefault="009F7593" w:rsidP="005E716E">
      <w:pPr>
        <w:tabs>
          <w:tab w:val="right" w:pos="2155"/>
        </w:tabs>
        <w:spacing w:after="80" w:line="240" w:lineRule="auto"/>
        <w:ind w:left="680"/>
      </w:pPr>
      <w:r>
        <w:rPr>
          <w:u w:val="single"/>
        </w:rPr>
        <w:tab/>
      </w:r>
    </w:p>
  </w:footnote>
  <w:footnote w:type="continuationNotice" w:id="1">
    <w:p w14:paraId="4876A00A" w14:textId="77777777" w:rsidR="009F7593" w:rsidRPr="00C47B2E" w:rsidRDefault="009F7593" w:rsidP="00C47B2E">
      <w:pPr>
        <w:pStyle w:val="Footer"/>
      </w:pPr>
    </w:p>
  </w:footnote>
  <w:footnote w:id="2">
    <w:p w14:paraId="3D592F02" w14:textId="32B53475" w:rsidR="003D1073" w:rsidRPr="003D1073" w:rsidRDefault="003D1073">
      <w:pPr>
        <w:pStyle w:val="FootnoteText"/>
        <w:rPr>
          <w:lang w:val="fr-CH"/>
        </w:rPr>
      </w:pPr>
      <w:r>
        <w:rPr>
          <w:rStyle w:val="FootnoteReference"/>
        </w:rPr>
        <w:tab/>
      </w:r>
      <w:r w:rsidRPr="003D1073">
        <w:rPr>
          <w:rStyle w:val="FootnoteReference"/>
          <w:sz w:val="20"/>
          <w:vertAlign w:val="baseline"/>
        </w:rPr>
        <w:t>*</w:t>
      </w:r>
      <w:r>
        <w:rPr>
          <w:rStyle w:val="FootnoteReference"/>
          <w:sz w:val="20"/>
          <w:vertAlign w:val="baseline"/>
        </w:rPr>
        <w:tab/>
      </w:r>
      <w:r w:rsidR="002B3FF9" w:rsidRPr="0027006A">
        <w:rPr>
          <w:rFonts w:eastAsia="Times New Roman"/>
          <w:i/>
          <w:sz w:val="20"/>
          <w:lang w:val="en-US"/>
        </w:rPr>
        <w:t>IPCC, 2023: Climate Change 2023: Synthesis Report. Contribution of Working Groups I, II and III to the Sixth Assessment Report of the Intergovernmental Panel on Climate Change [Core Writing Team, H. Lee and J. Romero (eds.)]. IPCC, Geneva, Switzerland, pp. 35-115, doi:10.59327/IPCC/AR6-9789291691647</w:t>
      </w:r>
      <w:r w:rsidR="002B3FF9">
        <w:rPr>
          <w:rFonts w:eastAsia="Times New Roman"/>
          <w:i/>
          <w:sz w:val="20"/>
          <w:lang w:val="en-US"/>
        </w:rPr>
        <w:t>.</w:t>
      </w:r>
    </w:p>
  </w:footnote>
  <w:footnote w:id="3">
    <w:p w14:paraId="66FC219F" w14:textId="5756183D" w:rsidR="00B02CD8" w:rsidRPr="00B02CD8" w:rsidRDefault="00B02CD8">
      <w:pPr>
        <w:pStyle w:val="FootnoteText"/>
        <w:rPr>
          <w:lang w:val="fr-CH"/>
        </w:rPr>
      </w:pPr>
      <w:r>
        <w:rPr>
          <w:rStyle w:val="FootnoteReference"/>
        </w:rPr>
        <w:tab/>
      </w:r>
      <w:r w:rsidRPr="00B02CD8">
        <w:rPr>
          <w:rStyle w:val="FootnoteReference"/>
          <w:sz w:val="20"/>
          <w:vertAlign w:val="baseline"/>
        </w:rPr>
        <w:t>**</w:t>
      </w:r>
      <w:r>
        <w:rPr>
          <w:rStyle w:val="FootnoteReference"/>
          <w:sz w:val="20"/>
          <w:vertAlign w:val="baseline"/>
        </w:rPr>
        <w:tab/>
      </w:r>
      <w:r w:rsidRPr="006C004C">
        <w:rPr>
          <w:rFonts w:eastAsia="Times New Roman"/>
          <w:i/>
          <w:sz w:val="20"/>
        </w:rPr>
        <w:t xml:space="preserve">McCarville DA, Guzman JC, Dillon AK, Jackson JR, Birkland JO. Design, manufacture and </w:t>
      </w:r>
      <w:r w:rsidRPr="00090167">
        <w:rPr>
          <w:rFonts w:eastAsia="Times New Roman"/>
          <w:i/>
          <w:sz w:val="20"/>
        </w:rPr>
        <w:t>test</w:t>
      </w:r>
      <w:r w:rsidRPr="006C004C">
        <w:rPr>
          <w:rFonts w:eastAsia="Times New Roman"/>
          <w:i/>
          <w:sz w:val="20"/>
        </w:rPr>
        <w:t xml:space="preserve"> of cryotank components. In: Comprehensive composite materials II. second ed. Amsterdam, Netherlands: Elsevier; 2018. p. 153–79.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5612F" w14:textId="3C2504C0" w:rsidR="0039370E" w:rsidRPr="0087458D" w:rsidRDefault="0087458D">
    <w:pPr>
      <w:pStyle w:val="Header"/>
      <w:rPr>
        <w:lang w:val="fr-CH"/>
      </w:rPr>
    </w:pPr>
    <w:r>
      <w:rPr>
        <w:lang w:val="fr-CH"/>
      </w:rPr>
      <w:t>UN/SCETDG/64/INF.</w:t>
    </w:r>
    <w:r w:rsidR="00090167">
      <w:rPr>
        <w:lang w:val="fr-CH"/>
      </w:rPr>
      <w:t>60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2F55E" w14:textId="4B9504B2" w:rsidR="00D94B05" w:rsidRPr="0039370E" w:rsidRDefault="000B7712" w:rsidP="0039370E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5A3B9D">
      <w:t>UN/SCETDG/64/INF.</w:t>
    </w:r>
    <w:r w:rsidR="00090167">
      <w:t>60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0C49F8"/>
    <w:multiLevelType w:val="hybridMultilevel"/>
    <w:tmpl w:val="FFD08D26"/>
    <w:lvl w:ilvl="0" w:tplc="2FB47626">
      <w:start w:val="1"/>
      <w:numFmt w:val="decimal"/>
      <w:lvlText w:val="%1.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F2036B"/>
    <w:multiLevelType w:val="hybridMultilevel"/>
    <w:tmpl w:val="B22E0BFA"/>
    <w:lvl w:ilvl="0" w:tplc="9008FA9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CE0912"/>
    <w:multiLevelType w:val="hybridMultilevel"/>
    <w:tmpl w:val="266EAB7A"/>
    <w:lvl w:ilvl="0" w:tplc="027CBD68">
      <w:start w:val="1"/>
      <w:numFmt w:val="decimal"/>
      <w:lvlText w:val="%1."/>
      <w:lvlJc w:val="right"/>
      <w:pPr>
        <w:ind w:left="1290" w:hanging="360"/>
      </w:pPr>
      <w:rPr>
        <w:rFonts w:hint="default"/>
        <w:i w:val="0"/>
        <w:iCs/>
      </w:rPr>
    </w:lvl>
    <w:lvl w:ilvl="1" w:tplc="08130019">
      <w:start w:val="1"/>
      <w:numFmt w:val="lowerLetter"/>
      <w:lvlText w:val="%2."/>
      <w:lvlJc w:val="left"/>
      <w:pPr>
        <w:ind w:left="2010" w:hanging="360"/>
      </w:pPr>
    </w:lvl>
    <w:lvl w:ilvl="2" w:tplc="0813001B" w:tentative="1">
      <w:start w:val="1"/>
      <w:numFmt w:val="lowerRoman"/>
      <w:lvlText w:val="%3."/>
      <w:lvlJc w:val="right"/>
      <w:pPr>
        <w:ind w:left="2730" w:hanging="180"/>
      </w:pPr>
    </w:lvl>
    <w:lvl w:ilvl="3" w:tplc="0813000F" w:tentative="1">
      <w:start w:val="1"/>
      <w:numFmt w:val="decimal"/>
      <w:lvlText w:val="%4."/>
      <w:lvlJc w:val="left"/>
      <w:pPr>
        <w:ind w:left="3450" w:hanging="360"/>
      </w:pPr>
    </w:lvl>
    <w:lvl w:ilvl="4" w:tplc="08130019" w:tentative="1">
      <w:start w:val="1"/>
      <w:numFmt w:val="lowerLetter"/>
      <w:lvlText w:val="%5."/>
      <w:lvlJc w:val="left"/>
      <w:pPr>
        <w:ind w:left="4170" w:hanging="360"/>
      </w:pPr>
    </w:lvl>
    <w:lvl w:ilvl="5" w:tplc="0813001B" w:tentative="1">
      <w:start w:val="1"/>
      <w:numFmt w:val="lowerRoman"/>
      <w:lvlText w:val="%6."/>
      <w:lvlJc w:val="right"/>
      <w:pPr>
        <w:ind w:left="4890" w:hanging="180"/>
      </w:pPr>
    </w:lvl>
    <w:lvl w:ilvl="6" w:tplc="0813000F" w:tentative="1">
      <w:start w:val="1"/>
      <w:numFmt w:val="decimal"/>
      <w:lvlText w:val="%7."/>
      <w:lvlJc w:val="left"/>
      <w:pPr>
        <w:ind w:left="5610" w:hanging="360"/>
      </w:pPr>
    </w:lvl>
    <w:lvl w:ilvl="7" w:tplc="08130019" w:tentative="1">
      <w:start w:val="1"/>
      <w:numFmt w:val="lowerLetter"/>
      <w:lvlText w:val="%8."/>
      <w:lvlJc w:val="left"/>
      <w:pPr>
        <w:ind w:left="6330" w:hanging="360"/>
      </w:pPr>
    </w:lvl>
    <w:lvl w:ilvl="8" w:tplc="0813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5" w15:restartNumberingAfterBreak="0">
    <w:nsid w:val="0FFB3AAA"/>
    <w:multiLevelType w:val="hybridMultilevel"/>
    <w:tmpl w:val="78DE65DC"/>
    <w:lvl w:ilvl="0" w:tplc="22C67B5C">
      <w:start w:val="1"/>
      <w:numFmt w:val="decimal"/>
      <w:lvlText w:val="(%1)"/>
      <w:lvlJc w:val="left"/>
      <w:pPr>
        <w:ind w:left="2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9CDFD2">
      <w:start w:val="1"/>
      <w:numFmt w:val="bullet"/>
      <w:lvlText w:val="-"/>
      <w:lvlJc w:val="left"/>
      <w:pPr>
        <w:ind w:left="2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7016CC">
      <w:start w:val="1"/>
      <w:numFmt w:val="bullet"/>
      <w:lvlText w:val="▪"/>
      <w:lvlJc w:val="left"/>
      <w:pPr>
        <w:ind w:left="3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58E37F0">
      <w:start w:val="1"/>
      <w:numFmt w:val="bullet"/>
      <w:lvlText w:val="•"/>
      <w:lvlJc w:val="left"/>
      <w:pPr>
        <w:ind w:left="4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BAEE084">
      <w:start w:val="1"/>
      <w:numFmt w:val="bullet"/>
      <w:lvlText w:val="o"/>
      <w:lvlJc w:val="left"/>
      <w:pPr>
        <w:ind w:left="4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D8C4B50">
      <w:start w:val="1"/>
      <w:numFmt w:val="bullet"/>
      <w:lvlText w:val="▪"/>
      <w:lvlJc w:val="left"/>
      <w:pPr>
        <w:ind w:left="5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D69A80">
      <w:start w:val="1"/>
      <w:numFmt w:val="bullet"/>
      <w:lvlText w:val="•"/>
      <w:lvlJc w:val="left"/>
      <w:pPr>
        <w:ind w:left="6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4E44FD2">
      <w:start w:val="1"/>
      <w:numFmt w:val="bullet"/>
      <w:lvlText w:val="o"/>
      <w:lvlJc w:val="left"/>
      <w:pPr>
        <w:ind w:left="7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789E62">
      <w:start w:val="1"/>
      <w:numFmt w:val="bullet"/>
      <w:lvlText w:val="▪"/>
      <w:lvlJc w:val="left"/>
      <w:pPr>
        <w:ind w:left="7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5DD657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074584"/>
    <w:multiLevelType w:val="hybridMultilevel"/>
    <w:tmpl w:val="244E5120"/>
    <w:lvl w:ilvl="0" w:tplc="6C545854">
      <w:start w:val="7"/>
      <w:numFmt w:val="bullet"/>
      <w:lvlText w:val="-"/>
      <w:lvlJc w:val="left"/>
      <w:pPr>
        <w:ind w:left="91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9" w15:restartNumberingAfterBreak="0">
    <w:nsid w:val="2E9718E8"/>
    <w:multiLevelType w:val="hybridMultilevel"/>
    <w:tmpl w:val="86F251BE"/>
    <w:lvl w:ilvl="0" w:tplc="A9A8366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2214" w:hanging="360"/>
      </w:pPr>
    </w:lvl>
    <w:lvl w:ilvl="2" w:tplc="2000001B">
      <w:start w:val="1"/>
      <w:numFmt w:val="lowerRoman"/>
      <w:lvlText w:val="%3."/>
      <w:lvlJc w:val="right"/>
      <w:pPr>
        <w:ind w:left="2934" w:hanging="180"/>
      </w:pPr>
    </w:lvl>
    <w:lvl w:ilvl="3" w:tplc="2000000F" w:tentative="1">
      <w:start w:val="1"/>
      <w:numFmt w:val="decimal"/>
      <w:lvlText w:val="%4."/>
      <w:lvlJc w:val="left"/>
      <w:pPr>
        <w:ind w:left="3654" w:hanging="360"/>
      </w:pPr>
    </w:lvl>
    <w:lvl w:ilvl="4" w:tplc="20000019" w:tentative="1">
      <w:start w:val="1"/>
      <w:numFmt w:val="lowerLetter"/>
      <w:lvlText w:val="%5."/>
      <w:lvlJc w:val="left"/>
      <w:pPr>
        <w:ind w:left="4374" w:hanging="360"/>
      </w:pPr>
    </w:lvl>
    <w:lvl w:ilvl="5" w:tplc="2000001B" w:tentative="1">
      <w:start w:val="1"/>
      <w:numFmt w:val="lowerRoman"/>
      <w:lvlText w:val="%6."/>
      <w:lvlJc w:val="right"/>
      <w:pPr>
        <w:ind w:left="5094" w:hanging="180"/>
      </w:pPr>
    </w:lvl>
    <w:lvl w:ilvl="6" w:tplc="2000000F" w:tentative="1">
      <w:start w:val="1"/>
      <w:numFmt w:val="decimal"/>
      <w:lvlText w:val="%7."/>
      <w:lvlJc w:val="left"/>
      <w:pPr>
        <w:ind w:left="5814" w:hanging="360"/>
      </w:pPr>
    </w:lvl>
    <w:lvl w:ilvl="7" w:tplc="20000019" w:tentative="1">
      <w:start w:val="1"/>
      <w:numFmt w:val="lowerLetter"/>
      <w:lvlText w:val="%8."/>
      <w:lvlJc w:val="left"/>
      <w:pPr>
        <w:ind w:left="6534" w:hanging="360"/>
      </w:pPr>
    </w:lvl>
    <w:lvl w:ilvl="8" w:tplc="200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2ED9716B"/>
    <w:multiLevelType w:val="hybridMultilevel"/>
    <w:tmpl w:val="F7226F38"/>
    <w:lvl w:ilvl="0" w:tplc="F4085658">
      <w:start w:val="1"/>
      <w:numFmt w:val="upperRoman"/>
      <w:lvlText w:val="%1."/>
      <w:lvlJc w:val="left"/>
      <w:pPr>
        <w:ind w:left="184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08" w:hanging="360"/>
      </w:pPr>
    </w:lvl>
    <w:lvl w:ilvl="2" w:tplc="0809001B" w:tentative="1">
      <w:start w:val="1"/>
      <w:numFmt w:val="lowerRoman"/>
      <w:lvlText w:val="%3."/>
      <w:lvlJc w:val="right"/>
      <w:pPr>
        <w:ind w:left="2928" w:hanging="180"/>
      </w:pPr>
    </w:lvl>
    <w:lvl w:ilvl="3" w:tplc="0809000F" w:tentative="1">
      <w:start w:val="1"/>
      <w:numFmt w:val="decimal"/>
      <w:lvlText w:val="%4."/>
      <w:lvlJc w:val="left"/>
      <w:pPr>
        <w:ind w:left="3648" w:hanging="360"/>
      </w:pPr>
    </w:lvl>
    <w:lvl w:ilvl="4" w:tplc="08090019" w:tentative="1">
      <w:start w:val="1"/>
      <w:numFmt w:val="lowerLetter"/>
      <w:lvlText w:val="%5."/>
      <w:lvlJc w:val="left"/>
      <w:pPr>
        <w:ind w:left="4368" w:hanging="360"/>
      </w:pPr>
    </w:lvl>
    <w:lvl w:ilvl="5" w:tplc="0809001B" w:tentative="1">
      <w:start w:val="1"/>
      <w:numFmt w:val="lowerRoman"/>
      <w:lvlText w:val="%6."/>
      <w:lvlJc w:val="right"/>
      <w:pPr>
        <w:ind w:left="5088" w:hanging="180"/>
      </w:pPr>
    </w:lvl>
    <w:lvl w:ilvl="6" w:tplc="0809000F" w:tentative="1">
      <w:start w:val="1"/>
      <w:numFmt w:val="decimal"/>
      <w:lvlText w:val="%7."/>
      <w:lvlJc w:val="left"/>
      <w:pPr>
        <w:ind w:left="5808" w:hanging="360"/>
      </w:pPr>
    </w:lvl>
    <w:lvl w:ilvl="7" w:tplc="08090019" w:tentative="1">
      <w:start w:val="1"/>
      <w:numFmt w:val="lowerLetter"/>
      <w:lvlText w:val="%8."/>
      <w:lvlJc w:val="left"/>
      <w:pPr>
        <w:ind w:left="6528" w:hanging="360"/>
      </w:pPr>
    </w:lvl>
    <w:lvl w:ilvl="8" w:tplc="08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1" w15:restartNumberingAfterBreak="0">
    <w:nsid w:val="31A12325"/>
    <w:multiLevelType w:val="hybridMultilevel"/>
    <w:tmpl w:val="FF0E5B48"/>
    <w:lvl w:ilvl="0" w:tplc="6D5E22D8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B14A3D"/>
    <w:multiLevelType w:val="hybridMultilevel"/>
    <w:tmpl w:val="0D9EE37E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E41230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6080571E"/>
    <w:multiLevelType w:val="hybridMultilevel"/>
    <w:tmpl w:val="A9B4EC6A"/>
    <w:lvl w:ilvl="0" w:tplc="898ADF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242B41"/>
    <w:multiLevelType w:val="hybridMultilevel"/>
    <w:tmpl w:val="E39802A0"/>
    <w:lvl w:ilvl="0" w:tplc="99F022B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862366"/>
    <w:multiLevelType w:val="hybridMultilevel"/>
    <w:tmpl w:val="523E6D94"/>
    <w:lvl w:ilvl="0" w:tplc="E24C15DA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03ABA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A8A626A"/>
    <w:multiLevelType w:val="hybridMultilevel"/>
    <w:tmpl w:val="70168100"/>
    <w:lvl w:ilvl="0" w:tplc="51FA683A">
      <w:start w:val="1"/>
      <w:numFmt w:val="decimal"/>
      <w:lvlText w:val="%1."/>
      <w:lvlJc w:val="left"/>
      <w:pPr>
        <w:ind w:left="4682" w:hanging="570"/>
      </w:pPr>
      <w:rPr>
        <w:rFonts w:ascii="Times New Roman" w:hAnsi="Times New Roman" w:cs="Times New Roman"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1116172172">
    <w:abstractNumId w:val="11"/>
  </w:num>
  <w:num w:numId="2" w16cid:durableId="1073159890">
    <w:abstractNumId w:val="7"/>
  </w:num>
  <w:num w:numId="3" w16cid:durableId="551188904">
    <w:abstractNumId w:val="1"/>
  </w:num>
  <w:num w:numId="4" w16cid:durableId="44254624">
    <w:abstractNumId w:val="13"/>
  </w:num>
  <w:num w:numId="5" w16cid:durableId="1816027029">
    <w:abstractNumId w:val="14"/>
  </w:num>
  <w:num w:numId="6" w16cid:durableId="1836190579">
    <w:abstractNumId w:val="18"/>
  </w:num>
  <w:num w:numId="7" w16cid:durableId="634676252">
    <w:abstractNumId w:val="6"/>
  </w:num>
  <w:num w:numId="8" w16cid:durableId="1039166836">
    <w:abstractNumId w:val="2"/>
  </w:num>
  <w:num w:numId="9" w16cid:durableId="644969981">
    <w:abstractNumId w:val="17"/>
  </w:num>
  <w:num w:numId="10" w16cid:durableId="525103391">
    <w:abstractNumId w:val="2"/>
  </w:num>
  <w:num w:numId="11" w16cid:durableId="297342166">
    <w:abstractNumId w:val="17"/>
  </w:num>
  <w:num w:numId="12" w16cid:durableId="1280380300">
    <w:abstractNumId w:val="3"/>
  </w:num>
  <w:num w:numId="13" w16cid:durableId="1988699530">
    <w:abstractNumId w:val="3"/>
  </w:num>
  <w:num w:numId="14" w16cid:durableId="1917550057">
    <w:abstractNumId w:val="19"/>
  </w:num>
  <w:num w:numId="15" w16cid:durableId="907884386">
    <w:abstractNumId w:val="10"/>
  </w:num>
  <w:num w:numId="16" w16cid:durableId="835220403">
    <w:abstractNumId w:val="0"/>
  </w:num>
  <w:num w:numId="17" w16cid:durableId="1800806580">
    <w:abstractNumId w:val="9"/>
  </w:num>
  <w:num w:numId="18" w16cid:durableId="1605722952">
    <w:abstractNumId w:val="4"/>
  </w:num>
  <w:num w:numId="19" w16cid:durableId="476261480">
    <w:abstractNumId w:val="15"/>
  </w:num>
  <w:num w:numId="20" w16cid:durableId="123348580">
    <w:abstractNumId w:val="12"/>
  </w:num>
  <w:num w:numId="21" w16cid:durableId="216865166">
    <w:abstractNumId w:val="5"/>
  </w:num>
  <w:num w:numId="22" w16cid:durableId="193229595">
    <w:abstractNumId w:val="8"/>
  </w:num>
  <w:num w:numId="23" w16cid:durableId="50216348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ttachedTemplate r:id="rId1"/>
  <w:defaultTabStop w:val="567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70E"/>
    <w:rsid w:val="00011DAD"/>
    <w:rsid w:val="00021D9C"/>
    <w:rsid w:val="00034087"/>
    <w:rsid w:val="00036051"/>
    <w:rsid w:val="00046E92"/>
    <w:rsid w:val="00050927"/>
    <w:rsid w:val="00054791"/>
    <w:rsid w:val="00063C90"/>
    <w:rsid w:val="00070000"/>
    <w:rsid w:val="00072821"/>
    <w:rsid w:val="0007452E"/>
    <w:rsid w:val="00074A36"/>
    <w:rsid w:val="00083106"/>
    <w:rsid w:val="00090167"/>
    <w:rsid w:val="00097AF4"/>
    <w:rsid w:val="000B7712"/>
    <w:rsid w:val="000C25E4"/>
    <w:rsid w:val="000E3FB8"/>
    <w:rsid w:val="000F3078"/>
    <w:rsid w:val="00101B98"/>
    <w:rsid w:val="00104C0F"/>
    <w:rsid w:val="0010604D"/>
    <w:rsid w:val="0011084B"/>
    <w:rsid w:val="001514D1"/>
    <w:rsid w:val="00155C73"/>
    <w:rsid w:val="001854FD"/>
    <w:rsid w:val="001861DE"/>
    <w:rsid w:val="00186622"/>
    <w:rsid w:val="001A1F33"/>
    <w:rsid w:val="001A4B5F"/>
    <w:rsid w:val="001A7B96"/>
    <w:rsid w:val="001B09B1"/>
    <w:rsid w:val="001B225A"/>
    <w:rsid w:val="001D5E14"/>
    <w:rsid w:val="001E3B26"/>
    <w:rsid w:val="001E4757"/>
    <w:rsid w:val="001E4972"/>
    <w:rsid w:val="001E68FF"/>
    <w:rsid w:val="001F5B8E"/>
    <w:rsid w:val="001F6C71"/>
    <w:rsid w:val="0020341A"/>
    <w:rsid w:val="00204760"/>
    <w:rsid w:val="00205FB9"/>
    <w:rsid w:val="00223895"/>
    <w:rsid w:val="00224447"/>
    <w:rsid w:val="002328F5"/>
    <w:rsid w:val="00247E2C"/>
    <w:rsid w:val="00252091"/>
    <w:rsid w:val="00262CC4"/>
    <w:rsid w:val="002839AF"/>
    <w:rsid w:val="0028529B"/>
    <w:rsid w:val="00291B60"/>
    <w:rsid w:val="002A32CB"/>
    <w:rsid w:val="002A3A97"/>
    <w:rsid w:val="002A728A"/>
    <w:rsid w:val="002B3FF9"/>
    <w:rsid w:val="002B41A1"/>
    <w:rsid w:val="002B65FD"/>
    <w:rsid w:val="002C34EA"/>
    <w:rsid w:val="002C461B"/>
    <w:rsid w:val="002D5B2C"/>
    <w:rsid w:val="002D6C53"/>
    <w:rsid w:val="002E3CFB"/>
    <w:rsid w:val="002E76EA"/>
    <w:rsid w:val="002F4DF8"/>
    <w:rsid w:val="002F5595"/>
    <w:rsid w:val="00306997"/>
    <w:rsid w:val="003070C4"/>
    <w:rsid w:val="00307AA6"/>
    <w:rsid w:val="003140B8"/>
    <w:rsid w:val="00323B90"/>
    <w:rsid w:val="0032702E"/>
    <w:rsid w:val="00327EE9"/>
    <w:rsid w:val="0033310E"/>
    <w:rsid w:val="00334F6A"/>
    <w:rsid w:val="00342AC8"/>
    <w:rsid w:val="00343302"/>
    <w:rsid w:val="003545B1"/>
    <w:rsid w:val="00361EB1"/>
    <w:rsid w:val="00365509"/>
    <w:rsid w:val="00374CDF"/>
    <w:rsid w:val="00391730"/>
    <w:rsid w:val="0039370E"/>
    <w:rsid w:val="00393E64"/>
    <w:rsid w:val="003979DE"/>
    <w:rsid w:val="003B1248"/>
    <w:rsid w:val="003B4550"/>
    <w:rsid w:val="003C25A8"/>
    <w:rsid w:val="003D1073"/>
    <w:rsid w:val="003D2A18"/>
    <w:rsid w:val="003D2EA4"/>
    <w:rsid w:val="003D6064"/>
    <w:rsid w:val="003E07D9"/>
    <w:rsid w:val="003E0E6B"/>
    <w:rsid w:val="003E384F"/>
    <w:rsid w:val="00400085"/>
    <w:rsid w:val="00404238"/>
    <w:rsid w:val="00413386"/>
    <w:rsid w:val="004152F1"/>
    <w:rsid w:val="0043510C"/>
    <w:rsid w:val="0044240C"/>
    <w:rsid w:val="00446BBE"/>
    <w:rsid w:val="00461253"/>
    <w:rsid w:val="0047018B"/>
    <w:rsid w:val="004739D2"/>
    <w:rsid w:val="004858F5"/>
    <w:rsid w:val="00496248"/>
    <w:rsid w:val="004A2814"/>
    <w:rsid w:val="004A366B"/>
    <w:rsid w:val="004A4B01"/>
    <w:rsid w:val="004A534D"/>
    <w:rsid w:val="004B0564"/>
    <w:rsid w:val="004B10E7"/>
    <w:rsid w:val="004B3B13"/>
    <w:rsid w:val="004C0622"/>
    <w:rsid w:val="004C0760"/>
    <w:rsid w:val="004C5613"/>
    <w:rsid w:val="004E7D6B"/>
    <w:rsid w:val="004F3A78"/>
    <w:rsid w:val="004F73D0"/>
    <w:rsid w:val="0050402A"/>
    <w:rsid w:val="005042C2"/>
    <w:rsid w:val="00506072"/>
    <w:rsid w:val="005110F3"/>
    <w:rsid w:val="005153E4"/>
    <w:rsid w:val="00516173"/>
    <w:rsid w:val="00524BE4"/>
    <w:rsid w:val="00530261"/>
    <w:rsid w:val="00555468"/>
    <w:rsid w:val="00572D6D"/>
    <w:rsid w:val="00572EFA"/>
    <w:rsid w:val="005809F4"/>
    <w:rsid w:val="0058392B"/>
    <w:rsid w:val="00595112"/>
    <w:rsid w:val="00595C55"/>
    <w:rsid w:val="005A1BF2"/>
    <w:rsid w:val="005A1C27"/>
    <w:rsid w:val="005A3B9D"/>
    <w:rsid w:val="005C3F53"/>
    <w:rsid w:val="005C70FD"/>
    <w:rsid w:val="005E4239"/>
    <w:rsid w:val="005E716E"/>
    <w:rsid w:val="005F3CE0"/>
    <w:rsid w:val="0060395F"/>
    <w:rsid w:val="00620BE9"/>
    <w:rsid w:val="006431BA"/>
    <w:rsid w:val="006476E1"/>
    <w:rsid w:val="00647931"/>
    <w:rsid w:val="00652BE3"/>
    <w:rsid w:val="006604DF"/>
    <w:rsid w:val="00664905"/>
    <w:rsid w:val="006703F0"/>
    <w:rsid w:val="006713AD"/>
    <w:rsid w:val="00671529"/>
    <w:rsid w:val="006940B0"/>
    <w:rsid w:val="006A6910"/>
    <w:rsid w:val="006B3F6B"/>
    <w:rsid w:val="006B5A8C"/>
    <w:rsid w:val="006B69A4"/>
    <w:rsid w:val="006B7121"/>
    <w:rsid w:val="006B75AD"/>
    <w:rsid w:val="006D458E"/>
    <w:rsid w:val="006E1A16"/>
    <w:rsid w:val="006E1B07"/>
    <w:rsid w:val="006F1684"/>
    <w:rsid w:val="006F1EF5"/>
    <w:rsid w:val="00700634"/>
    <w:rsid w:val="0070489D"/>
    <w:rsid w:val="007139BD"/>
    <w:rsid w:val="007200A1"/>
    <w:rsid w:val="007268F9"/>
    <w:rsid w:val="00750282"/>
    <w:rsid w:val="00750D5E"/>
    <w:rsid w:val="00756BF8"/>
    <w:rsid w:val="00764440"/>
    <w:rsid w:val="00765010"/>
    <w:rsid w:val="0076706D"/>
    <w:rsid w:val="0077101B"/>
    <w:rsid w:val="00785B39"/>
    <w:rsid w:val="00793B46"/>
    <w:rsid w:val="007C52B0"/>
    <w:rsid w:val="007C6033"/>
    <w:rsid w:val="007C7B2F"/>
    <w:rsid w:val="007D1513"/>
    <w:rsid w:val="007F3784"/>
    <w:rsid w:val="008147C8"/>
    <w:rsid w:val="00815063"/>
    <w:rsid w:val="0081753A"/>
    <w:rsid w:val="00817713"/>
    <w:rsid w:val="008265F1"/>
    <w:rsid w:val="00827299"/>
    <w:rsid w:val="00835EDA"/>
    <w:rsid w:val="0085123A"/>
    <w:rsid w:val="00857D23"/>
    <w:rsid w:val="00871A81"/>
    <w:rsid w:val="00873E8B"/>
    <w:rsid w:val="0087458D"/>
    <w:rsid w:val="00876F04"/>
    <w:rsid w:val="00883E68"/>
    <w:rsid w:val="008923C4"/>
    <w:rsid w:val="008B6E83"/>
    <w:rsid w:val="008C131C"/>
    <w:rsid w:val="008D2289"/>
    <w:rsid w:val="008D51A7"/>
    <w:rsid w:val="008E48DD"/>
    <w:rsid w:val="008E51C3"/>
    <w:rsid w:val="008F4AE9"/>
    <w:rsid w:val="00911181"/>
    <w:rsid w:val="00924D61"/>
    <w:rsid w:val="009300DB"/>
    <w:rsid w:val="009411B4"/>
    <w:rsid w:val="00946F1D"/>
    <w:rsid w:val="009502AA"/>
    <w:rsid w:val="0096304C"/>
    <w:rsid w:val="00965EDC"/>
    <w:rsid w:val="00973367"/>
    <w:rsid w:val="009767EB"/>
    <w:rsid w:val="00987F92"/>
    <w:rsid w:val="0099436D"/>
    <w:rsid w:val="009A0A7F"/>
    <w:rsid w:val="009A1E66"/>
    <w:rsid w:val="009A25A3"/>
    <w:rsid w:val="009A6A8B"/>
    <w:rsid w:val="009C02D0"/>
    <w:rsid w:val="009C0A57"/>
    <w:rsid w:val="009C2025"/>
    <w:rsid w:val="009C3369"/>
    <w:rsid w:val="009C4EFF"/>
    <w:rsid w:val="009D0139"/>
    <w:rsid w:val="009D717D"/>
    <w:rsid w:val="009F193D"/>
    <w:rsid w:val="009F5CDC"/>
    <w:rsid w:val="009F7593"/>
    <w:rsid w:val="009F7E47"/>
    <w:rsid w:val="00A072D7"/>
    <w:rsid w:val="00A461A2"/>
    <w:rsid w:val="00A76D84"/>
    <w:rsid w:val="00A775CF"/>
    <w:rsid w:val="00A81FF2"/>
    <w:rsid w:val="00A90C31"/>
    <w:rsid w:val="00A945EB"/>
    <w:rsid w:val="00AA3FA0"/>
    <w:rsid w:val="00AA601F"/>
    <w:rsid w:val="00AA74D9"/>
    <w:rsid w:val="00AB66AD"/>
    <w:rsid w:val="00AD141E"/>
    <w:rsid w:val="00AD1A9C"/>
    <w:rsid w:val="00AF1608"/>
    <w:rsid w:val="00AF5DE1"/>
    <w:rsid w:val="00B02CD8"/>
    <w:rsid w:val="00B06045"/>
    <w:rsid w:val="00B120CE"/>
    <w:rsid w:val="00B206DD"/>
    <w:rsid w:val="00B31A1A"/>
    <w:rsid w:val="00B321AE"/>
    <w:rsid w:val="00B52EF4"/>
    <w:rsid w:val="00B55DFE"/>
    <w:rsid w:val="00B618F1"/>
    <w:rsid w:val="00B703C4"/>
    <w:rsid w:val="00B777AD"/>
    <w:rsid w:val="00B804A2"/>
    <w:rsid w:val="00B8395E"/>
    <w:rsid w:val="00B97806"/>
    <w:rsid w:val="00BA2C79"/>
    <w:rsid w:val="00BB25C4"/>
    <w:rsid w:val="00BE4C22"/>
    <w:rsid w:val="00BF3C66"/>
    <w:rsid w:val="00BF519D"/>
    <w:rsid w:val="00C019E3"/>
    <w:rsid w:val="00C03015"/>
    <w:rsid w:val="00C0358D"/>
    <w:rsid w:val="00C149B5"/>
    <w:rsid w:val="00C35A27"/>
    <w:rsid w:val="00C45ABA"/>
    <w:rsid w:val="00C47B2E"/>
    <w:rsid w:val="00C512AD"/>
    <w:rsid w:val="00C5287E"/>
    <w:rsid w:val="00C544C4"/>
    <w:rsid w:val="00C637FA"/>
    <w:rsid w:val="00C65C3C"/>
    <w:rsid w:val="00C7275C"/>
    <w:rsid w:val="00C8167E"/>
    <w:rsid w:val="00C84422"/>
    <w:rsid w:val="00C96282"/>
    <w:rsid w:val="00CA1A36"/>
    <w:rsid w:val="00CB2E80"/>
    <w:rsid w:val="00CC2928"/>
    <w:rsid w:val="00CC5C16"/>
    <w:rsid w:val="00CC7758"/>
    <w:rsid w:val="00CF5A5B"/>
    <w:rsid w:val="00CF638E"/>
    <w:rsid w:val="00CF7580"/>
    <w:rsid w:val="00D02176"/>
    <w:rsid w:val="00D02DC7"/>
    <w:rsid w:val="00D1625A"/>
    <w:rsid w:val="00D41E65"/>
    <w:rsid w:val="00D61B8F"/>
    <w:rsid w:val="00D63A17"/>
    <w:rsid w:val="00D63CD2"/>
    <w:rsid w:val="00D70E96"/>
    <w:rsid w:val="00D77868"/>
    <w:rsid w:val="00D85308"/>
    <w:rsid w:val="00D87DC2"/>
    <w:rsid w:val="00D93887"/>
    <w:rsid w:val="00D94B05"/>
    <w:rsid w:val="00D9541C"/>
    <w:rsid w:val="00D968A8"/>
    <w:rsid w:val="00DA36E8"/>
    <w:rsid w:val="00DB4D23"/>
    <w:rsid w:val="00DB52EE"/>
    <w:rsid w:val="00DB71A2"/>
    <w:rsid w:val="00DC7379"/>
    <w:rsid w:val="00DE5139"/>
    <w:rsid w:val="00DE60E7"/>
    <w:rsid w:val="00E02C2B"/>
    <w:rsid w:val="00E050E4"/>
    <w:rsid w:val="00E14B48"/>
    <w:rsid w:val="00E1706C"/>
    <w:rsid w:val="00E21C27"/>
    <w:rsid w:val="00E24C4C"/>
    <w:rsid w:val="00E26BCF"/>
    <w:rsid w:val="00E26C01"/>
    <w:rsid w:val="00E31F2C"/>
    <w:rsid w:val="00E51935"/>
    <w:rsid w:val="00E52109"/>
    <w:rsid w:val="00E55302"/>
    <w:rsid w:val="00E56FDD"/>
    <w:rsid w:val="00E74576"/>
    <w:rsid w:val="00E75317"/>
    <w:rsid w:val="00E77462"/>
    <w:rsid w:val="00E816EC"/>
    <w:rsid w:val="00E86D77"/>
    <w:rsid w:val="00E93072"/>
    <w:rsid w:val="00E96C61"/>
    <w:rsid w:val="00EB7201"/>
    <w:rsid w:val="00EC0CE6"/>
    <w:rsid w:val="00EC7C1D"/>
    <w:rsid w:val="00ED6C48"/>
    <w:rsid w:val="00ED744F"/>
    <w:rsid w:val="00EE3045"/>
    <w:rsid w:val="00EE5FFB"/>
    <w:rsid w:val="00EE699E"/>
    <w:rsid w:val="00EF1ECC"/>
    <w:rsid w:val="00F029D7"/>
    <w:rsid w:val="00F13BB0"/>
    <w:rsid w:val="00F15871"/>
    <w:rsid w:val="00F21781"/>
    <w:rsid w:val="00F23D06"/>
    <w:rsid w:val="00F26186"/>
    <w:rsid w:val="00F26C33"/>
    <w:rsid w:val="00F375B1"/>
    <w:rsid w:val="00F606E8"/>
    <w:rsid w:val="00F65F5D"/>
    <w:rsid w:val="00F66365"/>
    <w:rsid w:val="00F72A51"/>
    <w:rsid w:val="00F85393"/>
    <w:rsid w:val="00F86A3A"/>
    <w:rsid w:val="00F90EE7"/>
    <w:rsid w:val="00F91656"/>
    <w:rsid w:val="00FA2B35"/>
    <w:rsid w:val="00FA42DA"/>
    <w:rsid w:val="00FD50DF"/>
    <w:rsid w:val="00FD51FE"/>
    <w:rsid w:val="00FD7048"/>
    <w:rsid w:val="00FD7E77"/>
    <w:rsid w:val="00FE2073"/>
    <w:rsid w:val="00FE281D"/>
    <w:rsid w:val="00FE2AC5"/>
    <w:rsid w:val="00FE34C7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448AB4"/>
  <w15:docId w15:val="{991EB97B-FBC0-4302-AA3E-DA97C2303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zh-CN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 w:qFormat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 w:qFormat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379"/>
  </w:style>
  <w:style w:type="paragraph" w:styleId="Heading1">
    <w:name w:val="heading 1"/>
    <w:aliases w:val="Table_G"/>
    <w:basedOn w:val="SingleTxtG"/>
    <w:next w:val="SingleTxtG"/>
    <w:link w:val="Heading1Char"/>
    <w:qFormat/>
    <w:rsid w:val="004A281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link w:val="Heading2Char"/>
    <w:semiHidden/>
    <w:rsid w:val="004A2814"/>
    <w:pPr>
      <w:spacing w:line="240" w:lineRule="auto"/>
      <w:outlineLvl w:val="1"/>
    </w:pPr>
  </w:style>
  <w:style w:type="paragraph" w:styleId="Heading3">
    <w:name w:val="heading 3"/>
    <w:basedOn w:val="Normal"/>
    <w:next w:val="Normal"/>
    <w:link w:val="Heading3Char"/>
    <w:semiHidden/>
    <w:rsid w:val="004A2814"/>
    <w:pPr>
      <w:spacing w:line="240" w:lineRule="auto"/>
      <w:outlineLvl w:val="2"/>
    </w:pPr>
  </w:style>
  <w:style w:type="paragraph" w:styleId="Heading4">
    <w:name w:val="heading 4"/>
    <w:basedOn w:val="Normal"/>
    <w:next w:val="Normal"/>
    <w:link w:val="Heading4Char"/>
    <w:semiHidden/>
    <w:rsid w:val="004A2814"/>
    <w:pPr>
      <w:spacing w:line="240" w:lineRule="auto"/>
      <w:outlineLvl w:val="3"/>
    </w:pPr>
  </w:style>
  <w:style w:type="paragraph" w:styleId="Heading5">
    <w:name w:val="heading 5"/>
    <w:basedOn w:val="Normal"/>
    <w:next w:val="Normal"/>
    <w:link w:val="Heading5Char"/>
    <w:semiHidden/>
    <w:rsid w:val="004A2814"/>
    <w:pPr>
      <w:spacing w:line="240" w:lineRule="auto"/>
      <w:outlineLvl w:val="4"/>
    </w:pPr>
  </w:style>
  <w:style w:type="paragraph" w:styleId="Heading6">
    <w:name w:val="heading 6"/>
    <w:basedOn w:val="Normal"/>
    <w:next w:val="Normal"/>
    <w:link w:val="Heading6Char"/>
    <w:semiHidden/>
    <w:rsid w:val="004A2814"/>
    <w:pPr>
      <w:spacing w:line="240" w:lineRule="auto"/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4A2814"/>
    <w:pPr>
      <w:spacing w:line="240" w:lineRule="auto"/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4A2814"/>
    <w:pPr>
      <w:spacing w:line="240" w:lineRule="auto"/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4A281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6_G"/>
    <w:basedOn w:val="Normal"/>
    <w:link w:val="HeaderChar"/>
    <w:qFormat/>
    <w:rsid w:val="004A2814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HeaderChar">
    <w:name w:val="Header Char"/>
    <w:aliases w:val="6_G Char"/>
    <w:basedOn w:val="DefaultParagraphFont"/>
    <w:link w:val="Header"/>
    <w:rsid w:val="003B4550"/>
    <w:rPr>
      <w:rFonts w:ascii="Times New Roman" w:eastAsiaTheme="minorHAnsi" w:hAnsi="Times New Roman" w:cs="Times New Roman"/>
      <w:b/>
      <w:sz w:val="18"/>
      <w:szCs w:val="20"/>
      <w:lang w:eastAsia="en-US"/>
    </w:rPr>
  </w:style>
  <w:style w:type="paragraph" w:styleId="Footer">
    <w:name w:val="footer"/>
    <w:aliases w:val="3_G"/>
    <w:basedOn w:val="Normal"/>
    <w:link w:val="FooterChar"/>
    <w:qFormat/>
    <w:rsid w:val="004A2814"/>
    <w:pPr>
      <w:spacing w:line="240" w:lineRule="auto"/>
    </w:pPr>
    <w:rPr>
      <w:sz w:val="16"/>
    </w:rPr>
  </w:style>
  <w:style w:type="character" w:customStyle="1" w:styleId="FooterChar">
    <w:name w:val="Footer Char"/>
    <w:aliases w:val="3_G Char"/>
    <w:basedOn w:val="DefaultParagraphFont"/>
    <w:link w:val="Footer"/>
    <w:rsid w:val="00247E2C"/>
    <w:rPr>
      <w:rFonts w:ascii="Times New Roman" w:eastAsiaTheme="minorHAnsi" w:hAnsi="Times New Roman" w:cs="Times New Roman"/>
      <w:sz w:val="16"/>
      <w:szCs w:val="20"/>
      <w:lang w:eastAsia="en-US"/>
    </w:rPr>
  </w:style>
  <w:style w:type="paragraph" w:customStyle="1" w:styleId="HMG">
    <w:name w:val="_ H __M_G"/>
    <w:basedOn w:val="Normal"/>
    <w:next w:val="Normal"/>
    <w:qFormat/>
    <w:rsid w:val="004A2814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4A2814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b/>
      <w:sz w:val="28"/>
    </w:rPr>
  </w:style>
  <w:style w:type="paragraph" w:customStyle="1" w:styleId="H1G">
    <w:name w:val="_ H_1_G"/>
    <w:basedOn w:val="Normal"/>
    <w:next w:val="Normal"/>
    <w:link w:val="H1GChar"/>
    <w:qFormat/>
    <w:rsid w:val="004A2814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b/>
      <w:sz w:val="24"/>
    </w:rPr>
  </w:style>
  <w:style w:type="paragraph" w:customStyle="1" w:styleId="H23G">
    <w:name w:val="_ H_2/3_G"/>
    <w:basedOn w:val="Normal"/>
    <w:next w:val="Normal"/>
    <w:qFormat/>
    <w:rsid w:val="004A2814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b/>
    </w:rPr>
  </w:style>
  <w:style w:type="paragraph" w:customStyle="1" w:styleId="H4G">
    <w:name w:val="_ H_4_G"/>
    <w:basedOn w:val="Normal"/>
    <w:next w:val="Normal"/>
    <w:qFormat/>
    <w:rsid w:val="004A2814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i/>
    </w:rPr>
  </w:style>
  <w:style w:type="paragraph" w:customStyle="1" w:styleId="H56G">
    <w:name w:val="_ H_5/6_G"/>
    <w:basedOn w:val="Normal"/>
    <w:next w:val="Normal"/>
    <w:qFormat/>
    <w:rsid w:val="004A2814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</w:style>
  <w:style w:type="paragraph" w:customStyle="1" w:styleId="SingleTxtG">
    <w:name w:val="_ Single Txt_G"/>
    <w:basedOn w:val="Normal"/>
    <w:link w:val="SingleTxtGChar"/>
    <w:qFormat/>
    <w:rsid w:val="004A281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</w:style>
  <w:style w:type="paragraph" w:customStyle="1" w:styleId="SLG">
    <w:name w:val="__S_L_G"/>
    <w:basedOn w:val="Normal"/>
    <w:next w:val="Normal"/>
    <w:rsid w:val="004A281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MG">
    <w:name w:val="__S_M_G"/>
    <w:basedOn w:val="Normal"/>
    <w:next w:val="Normal"/>
    <w:rsid w:val="004A281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SG">
    <w:name w:val="__S_S_G"/>
    <w:basedOn w:val="Normal"/>
    <w:next w:val="Normal"/>
    <w:rsid w:val="004A281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customStyle="1" w:styleId="XLargeG">
    <w:name w:val="__XLarge_G"/>
    <w:basedOn w:val="Normal"/>
    <w:next w:val="Normal"/>
    <w:rsid w:val="004A281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4A2814"/>
    <w:pPr>
      <w:numPr>
        <w:numId w:val="10"/>
      </w:numPr>
      <w:spacing w:after="120"/>
      <w:ind w:right="1134"/>
      <w:jc w:val="both"/>
    </w:pPr>
  </w:style>
  <w:style w:type="paragraph" w:customStyle="1" w:styleId="Bullet2G">
    <w:name w:val="_Bullet 2_G"/>
    <w:basedOn w:val="Normal"/>
    <w:qFormat/>
    <w:rsid w:val="004A2814"/>
    <w:pPr>
      <w:numPr>
        <w:numId w:val="11"/>
      </w:numPr>
      <w:spacing w:after="120"/>
      <w:ind w:right="1134"/>
      <w:jc w:val="both"/>
    </w:pPr>
  </w:style>
  <w:style w:type="paragraph" w:customStyle="1" w:styleId="ParNoG">
    <w:name w:val="_ParNo_G"/>
    <w:basedOn w:val="Normal"/>
    <w:qFormat/>
    <w:rsid w:val="00FA42DA"/>
    <w:pPr>
      <w:numPr>
        <w:numId w:val="13"/>
      </w:numPr>
      <w:tabs>
        <w:tab w:val="left" w:pos="1701"/>
        <w:tab w:val="left" w:pos="2268"/>
        <w:tab w:val="left" w:pos="2835"/>
      </w:tabs>
      <w:spacing w:after="120"/>
      <w:ind w:right="1134"/>
      <w:jc w:val="both"/>
    </w:pPr>
    <w:rPr>
      <w:rFonts w:eastAsia="Times New Roman"/>
    </w:rPr>
  </w:style>
  <w:style w:type="numbering" w:styleId="111111">
    <w:name w:val="Outline List 2"/>
    <w:basedOn w:val="NoList"/>
    <w:semiHidden/>
    <w:rsid w:val="007268F9"/>
    <w:pPr>
      <w:numPr>
        <w:numId w:val="5"/>
      </w:numPr>
    </w:pPr>
  </w:style>
  <w:style w:type="numbering" w:styleId="1ai">
    <w:name w:val="Outline List 1"/>
    <w:basedOn w:val="NoList"/>
    <w:semiHidden/>
    <w:rsid w:val="007268F9"/>
    <w:pPr>
      <w:numPr>
        <w:numId w:val="6"/>
      </w:numPr>
    </w:pPr>
  </w:style>
  <w:style w:type="character" w:styleId="EndnoteReference">
    <w:name w:val="endnote reference"/>
    <w:aliases w:val="1_G"/>
    <w:qFormat/>
    <w:rsid w:val="004A281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link w:val="FootnoteTextChar"/>
    <w:qFormat/>
    <w:rsid w:val="004A281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character" w:customStyle="1" w:styleId="FootnoteTextChar">
    <w:name w:val="Footnote Text Char"/>
    <w:aliases w:val="5_G Char"/>
    <w:basedOn w:val="DefaultParagraphFont"/>
    <w:link w:val="FootnoteText"/>
    <w:rsid w:val="00DC7379"/>
    <w:rPr>
      <w:sz w:val="18"/>
    </w:rPr>
  </w:style>
  <w:style w:type="paragraph" w:styleId="EndnoteText">
    <w:name w:val="endnote text"/>
    <w:aliases w:val="2_G"/>
    <w:basedOn w:val="FootnoteText"/>
    <w:link w:val="EndnoteTextChar"/>
    <w:qFormat/>
    <w:rsid w:val="004A2814"/>
  </w:style>
  <w:style w:type="character" w:customStyle="1" w:styleId="EndnoteTextChar">
    <w:name w:val="Endnote Text Char"/>
    <w:aliases w:val="2_G Char"/>
    <w:basedOn w:val="DefaultParagraphFont"/>
    <w:link w:val="EndnoteText"/>
    <w:rsid w:val="007268F9"/>
    <w:rPr>
      <w:rFonts w:ascii="Times New Roman" w:eastAsiaTheme="minorHAnsi" w:hAnsi="Times New Roman" w:cs="Times New Roman"/>
      <w:sz w:val="18"/>
      <w:szCs w:val="20"/>
      <w:lang w:eastAsia="en-US"/>
    </w:rPr>
  </w:style>
  <w:style w:type="character" w:styleId="FootnoteReference">
    <w:name w:val="footnote reference"/>
    <w:aliases w:val="4_G"/>
    <w:qFormat/>
    <w:rsid w:val="004A2814"/>
    <w:rPr>
      <w:rFonts w:ascii="Times New Roman" w:hAnsi="Times New Roman"/>
      <w:sz w:val="18"/>
      <w:vertAlign w:val="superscript"/>
    </w:rPr>
  </w:style>
  <w:style w:type="character" w:customStyle="1" w:styleId="Heading1Char">
    <w:name w:val="Heading 1 Char"/>
    <w:aliases w:val="Table_G Char"/>
    <w:basedOn w:val="DefaultParagraphFont"/>
    <w:link w:val="Heading1"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styleId="PageNumber">
    <w:name w:val="page number"/>
    <w:aliases w:val="7_G"/>
    <w:rsid w:val="004A2814"/>
    <w:rPr>
      <w:rFonts w:ascii="Times New Roman" w:hAnsi="Times New Roman"/>
      <w:b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1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109"/>
    <w:rPr>
      <w:rFonts w:ascii="Tahoma" w:eastAsia="Times New Roman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rsid w:val="00EC0CE6"/>
    <w:rPr>
      <w:color w:val="0000FF"/>
      <w:u w:val="none"/>
    </w:rPr>
  </w:style>
  <w:style w:type="character" w:styleId="FollowedHyperlink">
    <w:name w:val="FollowedHyperlink"/>
    <w:basedOn w:val="DefaultParagraphFont"/>
    <w:rsid w:val="00EC0CE6"/>
    <w:rPr>
      <w:color w:val="0000FF"/>
      <w:u w:val="none"/>
    </w:rPr>
  </w:style>
  <w:style w:type="table" w:styleId="TableGrid">
    <w:name w:val="Table Grid"/>
    <w:basedOn w:val="TableNormal"/>
    <w:uiPriority w:val="39"/>
    <w:rsid w:val="004A2814"/>
    <w:pPr>
      <w:suppressAutoHyphens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BodyText">
    <w:name w:val="Body Text"/>
    <w:basedOn w:val="Normal"/>
    <w:next w:val="Normal"/>
    <w:link w:val="BodyTextChar"/>
    <w:semiHidden/>
    <w:rsid w:val="00CF5A5B"/>
    <w:pPr>
      <w:suppressAutoHyphens/>
    </w:pPr>
    <w:rPr>
      <w:rFonts w:eastAsia="Times New Roman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CF5A5B"/>
    <w:rPr>
      <w:rFonts w:eastAsia="Times New Roman"/>
      <w:lang w:eastAsia="en-US"/>
    </w:rPr>
  </w:style>
  <w:style w:type="character" w:customStyle="1" w:styleId="HChGChar">
    <w:name w:val="_ H _Ch_G Char"/>
    <w:link w:val="HChG"/>
    <w:qFormat/>
    <w:rsid w:val="00CF5A5B"/>
    <w:rPr>
      <w:b/>
      <w:sz w:val="28"/>
    </w:rPr>
  </w:style>
  <w:style w:type="character" w:customStyle="1" w:styleId="SingleTxtGChar">
    <w:name w:val="_ Single Txt_G Char"/>
    <w:link w:val="SingleTxtG"/>
    <w:qFormat/>
    <w:locked/>
    <w:rsid w:val="00CF5A5B"/>
  </w:style>
  <w:style w:type="character" w:customStyle="1" w:styleId="H1GChar">
    <w:name w:val="_ H_1_G Char"/>
    <w:link w:val="H1G"/>
    <w:qFormat/>
    <w:rsid w:val="00CF5A5B"/>
    <w:rPr>
      <w:b/>
      <w:sz w:val="24"/>
    </w:rPr>
  </w:style>
  <w:style w:type="paragraph" w:styleId="Revision">
    <w:name w:val="Revision"/>
    <w:hidden/>
    <w:uiPriority w:val="99"/>
    <w:semiHidden/>
    <w:rsid w:val="005A1BF2"/>
    <w:pPr>
      <w:spacing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446BB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C4E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4EFF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9C4EF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4E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4EFF"/>
    <w:rPr>
      <w:b/>
      <w:bCs/>
    </w:rPr>
  </w:style>
  <w:style w:type="paragraph" w:customStyle="1" w:styleId="Default">
    <w:name w:val="Default"/>
    <w:rsid w:val="005110F3"/>
    <w:pPr>
      <w:autoSpaceDE w:val="0"/>
      <w:autoSpaceDN w:val="0"/>
      <w:adjustRightInd w:val="0"/>
      <w:spacing w:line="240" w:lineRule="auto"/>
    </w:pPr>
    <w:rPr>
      <w:rFonts w:eastAsia="Times New Roman"/>
      <w:color w:val="000000"/>
      <w:sz w:val="24"/>
      <w:szCs w:val="24"/>
    </w:rPr>
  </w:style>
  <w:style w:type="paragraph" w:styleId="ListBullet">
    <w:name w:val="List Bullet"/>
    <w:basedOn w:val="Normal"/>
    <w:semiHidden/>
    <w:rsid w:val="005110F3"/>
    <w:pPr>
      <w:numPr>
        <w:numId w:val="16"/>
      </w:numPr>
      <w:suppressAutoHyphens/>
    </w:pPr>
    <w:rPr>
      <w:rFonts w:eastAsia="Batang"/>
      <w:lang w:eastAsia="en-US"/>
    </w:rPr>
  </w:style>
  <w:style w:type="paragraph" w:styleId="ListParagraph">
    <w:name w:val="List Paragraph"/>
    <w:basedOn w:val="Normal"/>
    <w:uiPriority w:val="34"/>
    <w:qFormat/>
    <w:rsid w:val="002C461B"/>
    <w:pPr>
      <w:spacing w:line="240" w:lineRule="auto"/>
      <w:ind w:left="720"/>
      <w:jc w:val="both"/>
    </w:pPr>
    <w:rPr>
      <w:rFonts w:eastAsia="Times New Roman"/>
      <w:sz w:val="24"/>
      <w:szCs w:val="24"/>
      <w:lang w:val="en-US" w:eastAsia="en-US"/>
    </w:rPr>
  </w:style>
  <w:style w:type="paragraph" w:customStyle="1" w:styleId="Body">
    <w:name w:val="Body"/>
    <w:rsid w:val="00911181"/>
    <w:pPr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eastAsia="Times New Roman"/>
      <w:color w:val="000000"/>
      <w:u w:color="000000"/>
      <w:bdr w:val="nil"/>
      <w:lang w:val="en-US" w:eastAsia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2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ompositesworld.com/articles/composites-end-markets-pressure-vessels-(2024)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CA-GARCIA\United%20Nations\UNOG_DCM-Macros%20-%20UNECE\Templates\ST\SGAC10_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9" ma:contentTypeDescription="Create a new document." ma:contentTypeScope="" ma:versionID="957983f112ff70deb4ba3514eaba81b6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226e8c697896011a9f0e61e90df53f9c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ccb6d4-dbe5-46d2-b4d3-5733603d8cc6">
      <Terms xmlns="http://schemas.microsoft.com/office/infopath/2007/PartnerControls"/>
    </lcf76f155ced4ddcb4097134ff3c332f>
    <TaxCatchAll xmlns="985ec44e-1bab-4c0b-9df0-6ba128686fc9" xsi:nil="true"/>
    <SharedWithUsers xmlns="4b4a1c0d-4a69-4996-a84a-fc699b9f49de">
      <UserInfo>
        <DisplayName>Romain Hubert</DisplayName>
        <AccountId>40</AccountId>
        <AccountType/>
      </UserInfo>
      <UserInfo>
        <DisplayName>Alicia Dorca Garcia</DisplayName>
        <AccountId>1313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E4AA0A8-7D92-4339-85D6-E15FA8EE9F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4a1c0d-4a69-4996-a84a-fc699b9f49de"/>
    <ds:schemaRef ds:uri="acccb6d4-dbe5-46d2-b4d3-5733603d8cc6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96D6C7-A69F-4CC1-9C48-E5514C6CF9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518F60-7DA2-420D-843C-E28B2BAD87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0C699A-3081-464D-8175-18FB791049CF}">
  <ds:schemaRefs>
    <ds:schemaRef ds:uri="http://schemas.microsoft.com/office/2006/metadata/properties"/>
    <ds:schemaRef ds:uri="http://schemas.microsoft.com/office/infopath/2007/PartnerControls"/>
    <ds:schemaRef ds:uri="acccb6d4-dbe5-46d2-b4d3-5733603d8cc6"/>
    <ds:schemaRef ds:uri="985ec44e-1bab-4c0b-9df0-6ba128686fc9"/>
    <ds:schemaRef ds:uri="4b4a1c0d-4a69-4996-a84a-fc699b9f49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SGAC10_E.dotm</Template>
  <TotalTime>44</TotalTime>
  <Pages>4</Pages>
  <Words>791</Words>
  <Characters>4356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UN/SCETDG/64/INF.19</vt:lpstr>
      <vt:lpstr/>
    </vt:vector>
  </TitlesOfParts>
  <Company/>
  <LinksUpToDate>false</LinksUpToDate>
  <CharactersWithSpaces>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UN/SCETDG/64/INF.60</dc:title>
  <dc:subject/>
  <dc:creator>Alicia DORCA-GARCIA</dc:creator>
  <cp:keywords/>
  <cp:lastModifiedBy>Alicia Dorca Garcia</cp:lastModifiedBy>
  <cp:revision>45</cp:revision>
  <dcterms:created xsi:type="dcterms:W3CDTF">2024-06-25T14:44:00Z</dcterms:created>
  <dcterms:modified xsi:type="dcterms:W3CDTF">2024-06-26T08:08:00Z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0x0101003B8422D08C252547BB1CFA7F78E2CB83</vt:lpwstr>
  </property>
  <property fmtid="{D5CDD505-2E9C-101B-9397-08002B2CF9AE}" pid="3" name="MediaServiceImageTags">
    <vt:lpwstr/>
  </property>
  <property fmtid="{D5CDD505-2E9C-101B-9397-08002B2CF9AE}" pid="4" name="gba66df640194346a5267c50f24d4797">
    <vt:lpwstr/>
  </property>
  <property fmtid="{D5CDD505-2E9C-101B-9397-08002B2CF9AE}" pid="5" name="Office_x0020_of_x0020_Origin">
    <vt:lpwstr/>
  </property>
  <property fmtid="{D5CDD505-2E9C-101B-9397-08002B2CF9AE}" pid="6" name="Office of Origin">
    <vt:lpwstr/>
  </property>
</Properties>
</file>