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2471110F"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BA5DCA">
              <w:rPr>
                <w:b/>
                <w:bCs/>
                <w:sz w:val="40"/>
                <w:szCs w:val="40"/>
              </w:rPr>
              <w:t>54</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363A86F5"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590AC4">
        <w:rPr>
          <w:b/>
        </w:rPr>
        <w:t>21</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546C6DE0" w:rsidR="001F6C71" w:rsidRDefault="0039370E" w:rsidP="001F6C71">
      <w:r w:rsidRPr="006500BA">
        <w:t xml:space="preserve">Item </w:t>
      </w:r>
      <w:r w:rsidR="00590AC4">
        <w:t>2 (</w:t>
      </w:r>
      <w:r w:rsidR="00D003C5">
        <w:t>h)</w:t>
      </w:r>
      <w:r w:rsidR="009300DB">
        <w:t xml:space="preserve"> </w:t>
      </w:r>
      <w:r w:rsidRPr="006500BA">
        <w:t>of the provisional agenda</w:t>
      </w:r>
    </w:p>
    <w:p w14:paraId="4437835D" w14:textId="51947E70" w:rsidR="0010486F" w:rsidRDefault="0010486F" w:rsidP="001F6C71">
      <w:r w:rsidRPr="00A554AB">
        <w:rPr>
          <w:b/>
          <w:bCs/>
        </w:rPr>
        <w:t>Explosives and related matters:</w:t>
      </w:r>
      <w:r>
        <w:rPr>
          <w:b/>
          <w:bCs/>
        </w:rPr>
        <w:br/>
      </w:r>
      <w:r w:rsidR="007A2821" w:rsidRPr="00A554AB">
        <w:rPr>
          <w:b/>
          <w:bCs/>
        </w:rPr>
        <w:t>Miscellaneous</w:t>
      </w:r>
    </w:p>
    <w:p w14:paraId="2B75A391" w14:textId="77777777" w:rsidR="00756597" w:rsidRPr="00DC14DA" w:rsidRDefault="00CC7758" w:rsidP="00756597">
      <w:pPr>
        <w:pStyle w:val="HChG"/>
        <w:rPr>
          <w:rFonts w:eastAsia="MS Mincho"/>
          <w:lang w:val="en-US" w:eastAsia="ja-JP"/>
        </w:rPr>
      </w:pPr>
      <w:r>
        <w:tab/>
      </w:r>
      <w:r>
        <w:tab/>
      </w:r>
      <w:r w:rsidR="00756597" w:rsidRPr="006602D1">
        <w:rPr>
          <w:lang w:eastAsia="ja-JP"/>
        </w:rPr>
        <w:t xml:space="preserve">Screening </w:t>
      </w:r>
      <w:r w:rsidR="00756597">
        <w:rPr>
          <w:lang w:eastAsia="ja-JP"/>
        </w:rPr>
        <w:t>rules</w:t>
      </w:r>
      <w:r w:rsidR="00756597" w:rsidRPr="006602D1">
        <w:rPr>
          <w:lang w:eastAsia="ja-JP"/>
        </w:rPr>
        <w:t xml:space="preserve"> for estimating the SADT of 50 kg packages</w:t>
      </w:r>
      <w:r w:rsidR="00756597">
        <w:rPr>
          <w:lang w:eastAsia="ja-JP"/>
        </w:rPr>
        <w:t>: Derivation under the Thomas model</w:t>
      </w:r>
    </w:p>
    <w:p w14:paraId="5B10B902" w14:textId="77777777" w:rsidR="00756597" w:rsidRDefault="00756597" w:rsidP="00756597">
      <w:pPr>
        <w:pStyle w:val="H1G"/>
        <w:rPr>
          <w:lang w:val="en-US" w:eastAsia="ja-JP"/>
        </w:rPr>
      </w:pPr>
      <w:r w:rsidRPr="00DC14DA">
        <w:rPr>
          <w:lang w:val="en-US" w:eastAsia="ja-JP"/>
        </w:rPr>
        <w:tab/>
      </w:r>
      <w:r w:rsidRPr="00DC14DA">
        <w:rPr>
          <w:lang w:val="en-US" w:eastAsia="ja-JP"/>
        </w:rPr>
        <w:tab/>
        <w:t xml:space="preserve">Transmitted by the </w:t>
      </w:r>
      <w:r>
        <w:rPr>
          <w:lang w:val="en-US"/>
        </w:rPr>
        <w:t xml:space="preserve">European </w:t>
      </w:r>
      <w:r w:rsidRPr="00DB0812">
        <w:t>Chemical</w:t>
      </w:r>
      <w:r>
        <w:rPr>
          <w:lang w:val="en-US"/>
        </w:rPr>
        <w:t xml:space="preserve"> Industry Council (Cefic)</w:t>
      </w:r>
    </w:p>
    <w:p w14:paraId="77454791" w14:textId="539A21A3" w:rsidR="00CE013C" w:rsidRDefault="00CE013C" w:rsidP="00CE013C">
      <w:pPr>
        <w:pStyle w:val="HChG"/>
        <w:rPr>
          <w:lang w:val="en-CA"/>
        </w:rPr>
      </w:pPr>
      <w:r>
        <w:rPr>
          <w:lang w:val="en-CA"/>
        </w:rPr>
        <w:tab/>
        <w:t>I.</w:t>
      </w:r>
      <w:r>
        <w:rPr>
          <w:lang w:val="en-CA"/>
        </w:rPr>
        <w:tab/>
        <w:t>Introduction</w:t>
      </w:r>
    </w:p>
    <w:p w14:paraId="2B965892" w14:textId="1C2CA1BB" w:rsidR="00756597" w:rsidRDefault="00756597" w:rsidP="00756597">
      <w:pPr>
        <w:pStyle w:val="SingleTxtG"/>
        <w:numPr>
          <w:ilvl w:val="0"/>
          <w:numId w:val="21"/>
        </w:numPr>
        <w:tabs>
          <w:tab w:val="clear" w:pos="2268"/>
          <w:tab w:val="clear" w:pos="2835"/>
        </w:tabs>
        <w:spacing w:line="240" w:lineRule="auto"/>
        <w:ind w:left="1134" w:firstLine="0"/>
        <w:rPr>
          <w:lang w:val="en-CA"/>
        </w:rPr>
      </w:pPr>
      <w:r w:rsidRPr="00EF7BBB">
        <w:rPr>
          <w:lang w:val="en-CA"/>
        </w:rPr>
        <w:t xml:space="preserve">In the December 2023 session, Cefic presented an informal </w:t>
      </w:r>
      <w:r w:rsidR="00285EFF">
        <w:rPr>
          <w:lang w:val="en-CA"/>
        </w:rPr>
        <w:t>document</w:t>
      </w:r>
      <w:r w:rsidRPr="00EF7BBB">
        <w:rPr>
          <w:lang w:val="en-CA"/>
        </w:rPr>
        <w:t xml:space="preserve"> that introduced simple screening rules to determine if the estimated SADT for a substance is greater than 75</w:t>
      </w:r>
      <w:r>
        <w:rPr>
          <w:lang w:val="en-CA"/>
        </w:rPr>
        <w:t> </w:t>
      </w:r>
      <w:r w:rsidRPr="00EF7BBB">
        <w:rPr>
          <w:lang w:val="en-CA"/>
        </w:rPr>
        <w:t xml:space="preserve">°C </w:t>
      </w:r>
      <w:r>
        <w:rPr>
          <w:lang w:val="en-CA"/>
        </w:rPr>
        <w:t xml:space="preserve">for a standard 50 kg package </w:t>
      </w:r>
      <w:r w:rsidRPr="00EF7BBB">
        <w:rPr>
          <w:lang w:val="en-CA"/>
        </w:rPr>
        <w:t>based on DSC measurements (</w:t>
      </w:r>
      <w:hyperlink r:id="rId11" w:history="1">
        <w:r w:rsidR="00827F88" w:rsidRPr="00827F88">
          <w:t>informal document</w:t>
        </w:r>
        <w:r w:rsidR="00827F88">
          <w:rPr>
            <w:rStyle w:val="Hyperlink"/>
            <w:lang w:val="en-CA"/>
          </w:rPr>
          <w:t xml:space="preserve"> </w:t>
        </w:r>
        <w:r w:rsidRPr="000742D1">
          <w:rPr>
            <w:rStyle w:val="Hyperlink"/>
            <w:lang w:val="en-CA"/>
          </w:rPr>
          <w:t>INF.42</w:t>
        </w:r>
      </w:hyperlink>
      <w:r w:rsidR="00827F88">
        <w:rPr>
          <w:rStyle w:val="Hyperlink"/>
          <w:lang w:val="en-CA"/>
        </w:rPr>
        <w:t>, sixty-third session</w:t>
      </w:r>
      <w:r w:rsidRPr="00EF7BBB">
        <w:rPr>
          <w:lang w:val="en-CA"/>
        </w:rPr>
        <w:t>).</w:t>
      </w:r>
      <w:r>
        <w:rPr>
          <w:lang w:val="en-CA"/>
        </w:rPr>
        <w:t xml:space="preserve"> For the </w:t>
      </w:r>
      <w:r w:rsidR="00827F88">
        <w:rPr>
          <w:lang w:val="en-CA"/>
        </w:rPr>
        <w:t>sixty-fourth</w:t>
      </w:r>
      <w:r>
        <w:rPr>
          <w:lang w:val="en-CA"/>
        </w:rPr>
        <w:t xml:space="preserve"> session Cefic has already submitted a </w:t>
      </w:r>
      <w:r w:rsidRPr="0036424D">
        <w:rPr>
          <w:lang w:val="en-CA"/>
        </w:rPr>
        <w:t>formal proposal for this concept</w:t>
      </w:r>
      <w:r w:rsidRPr="007F0205">
        <w:rPr>
          <w:lang w:val="en-CA"/>
        </w:rPr>
        <w:t xml:space="preserve"> </w:t>
      </w:r>
      <w:r w:rsidRPr="0036424D">
        <w:rPr>
          <w:lang w:val="en-CA"/>
        </w:rPr>
        <w:t>following helpful comments from national and non-governmental organizations</w:t>
      </w:r>
      <w:r>
        <w:rPr>
          <w:lang w:val="en-CA"/>
        </w:rPr>
        <w:t xml:space="preserve"> (</w:t>
      </w:r>
      <w:r w:rsidR="00827F88">
        <w:rPr>
          <w:lang w:val="en-CA"/>
        </w:rPr>
        <w:t xml:space="preserve">document </w:t>
      </w:r>
      <w:hyperlink r:id="rId12" w:history="1">
        <w:r w:rsidRPr="000742D1">
          <w:rPr>
            <w:rStyle w:val="Hyperlink"/>
            <w:lang w:val="en-CA"/>
          </w:rPr>
          <w:t>ST</w:t>
        </w:r>
        <w:r w:rsidR="00827F88">
          <w:rPr>
            <w:rStyle w:val="Hyperlink"/>
            <w:lang w:val="en-CA"/>
          </w:rPr>
          <w:t>/</w:t>
        </w:r>
        <w:r w:rsidRPr="000742D1">
          <w:rPr>
            <w:rStyle w:val="Hyperlink"/>
            <w:lang w:val="en-CA"/>
          </w:rPr>
          <w:t>SG</w:t>
        </w:r>
        <w:r w:rsidR="00827F88">
          <w:rPr>
            <w:rStyle w:val="Hyperlink"/>
            <w:lang w:val="en-CA"/>
          </w:rPr>
          <w:t>/</w:t>
        </w:r>
        <w:r w:rsidRPr="000742D1">
          <w:rPr>
            <w:rStyle w:val="Hyperlink"/>
            <w:lang w:val="en-CA"/>
          </w:rPr>
          <w:t>AC10</w:t>
        </w:r>
        <w:r w:rsidR="00827F88">
          <w:rPr>
            <w:rStyle w:val="Hyperlink"/>
            <w:lang w:val="en-CA"/>
          </w:rPr>
          <w:t>/</w:t>
        </w:r>
        <w:r w:rsidRPr="000742D1">
          <w:rPr>
            <w:rStyle w:val="Hyperlink"/>
            <w:lang w:val="en-CA"/>
          </w:rPr>
          <w:t>C3</w:t>
        </w:r>
        <w:r w:rsidR="00827F88">
          <w:rPr>
            <w:rStyle w:val="Hyperlink"/>
            <w:lang w:val="en-CA"/>
          </w:rPr>
          <w:t>/</w:t>
        </w:r>
        <w:r w:rsidRPr="000742D1">
          <w:rPr>
            <w:rStyle w:val="Hyperlink"/>
            <w:lang w:val="en-CA"/>
          </w:rPr>
          <w:t>2024</w:t>
        </w:r>
        <w:r w:rsidR="00827F88">
          <w:rPr>
            <w:rStyle w:val="Hyperlink"/>
            <w:lang w:val="en-CA"/>
          </w:rPr>
          <w:t>/</w:t>
        </w:r>
        <w:r w:rsidRPr="000742D1">
          <w:rPr>
            <w:rStyle w:val="Hyperlink"/>
            <w:lang w:val="en-CA"/>
          </w:rPr>
          <w:t>16</w:t>
        </w:r>
      </w:hyperlink>
      <w:r>
        <w:rPr>
          <w:lang w:val="en-CA"/>
        </w:rPr>
        <w:t>)</w:t>
      </w:r>
      <w:r w:rsidRPr="0036424D">
        <w:rPr>
          <w:lang w:val="en-CA"/>
        </w:rPr>
        <w:t>.</w:t>
      </w:r>
    </w:p>
    <w:p w14:paraId="41D0A085" w14:textId="77777777" w:rsidR="00756597" w:rsidRPr="0014795D" w:rsidRDefault="00756597" w:rsidP="00756597">
      <w:pPr>
        <w:pStyle w:val="SingleTxtG"/>
        <w:numPr>
          <w:ilvl w:val="0"/>
          <w:numId w:val="21"/>
        </w:numPr>
        <w:tabs>
          <w:tab w:val="clear" w:pos="2268"/>
          <w:tab w:val="clear" w:pos="2835"/>
        </w:tabs>
        <w:spacing w:line="240" w:lineRule="auto"/>
        <w:ind w:left="1134" w:firstLine="0"/>
        <w:rPr>
          <w:lang w:val="en-CA"/>
        </w:rPr>
      </w:pPr>
      <w:r>
        <w:rPr>
          <w:lang w:val="en-CA"/>
        </w:rPr>
        <w:t xml:space="preserve">Derived from fundamental principles of thermal safety assuming zero-order kinetics for the decomposition reaction, these rules propose that </w:t>
      </w:r>
      <w:r w:rsidRPr="0014795D">
        <w:rPr>
          <w:lang w:val="en-CA"/>
        </w:rPr>
        <w:t>the estimated SADT in a standard 50</w:t>
      </w:r>
      <w:r>
        <w:rPr>
          <w:lang w:val="en-CA"/>
        </w:rPr>
        <w:t> </w:t>
      </w:r>
      <w:r w:rsidRPr="0014795D">
        <w:rPr>
          <w:lang w:val="en-CA"/>
        </w:rPr>
        <w:t xml:space="preserve">kg package </w:t>
      </w:r>
      <w:r>
        <w:rPr>
          <w:lang w:val="en-CA"/>
        </w:rPr>
        <w:t>can be considered to be</w:t>
      </w:r>
      <w:r w:rsidRPr="0014795D">
        <w:rPr>
          <w:lang w:val="en-CA"/>
        </w:rPr>
        <w:t xml:space="preserve"> above 75 °C if:</w:t>
      </w:r>
    </w:p>
    <w:p w14:paraId="7BAAF317" w14:textId="77777777" w:rsidR="00756597" w:rsidRDefault="00756597" w:rsidP="00756597">
      <w:pPr>
        <w:pStyle w:val="SingleTxtG"/>
        <w:numPr>
          <w:ilvl w:val="1"/>
          <w:numId w:val="21"/>
        </w:numPr>
        <w:tabs>
          <w:tab w:val="clear" w:pos="2268"/>
          <w:tab w:val="clear" w:pos="2835"/>
        </w:tabs>
        <w:suppressAutoHyphens/>
        <w:ind w:left="1985"/>
        <w:rPr>
          <w:lang w:val="en-CA"/>
        </w:rPr>
      </w:pPr>
      <w:r>
        <w:rPr>
          <w:lang w:val="en-CA"/>
        </w:rPr>
        <w:t xml:space="preserve">the </w:t>
      </w:r>
      <w:r w:rsidRPr="002E7F6D">
        <w:rPr>
          <w:lang w:val="en-CA"/>
        </w:rPr>
        <w:t xml:space="preserve">DSC-onset is </w:t>
      </w:r>
      <w:r w:rsidRPr="51955FE2">
        <w:rPr>
          <w:lang w:val="en-CA"/>
        </w:rPr>
        <w:t xml:space="preserve">equal to or </w:t>
      </w:r>
      <w:r w:rsidRPr="002E7F6D">
        <w:rPr>
          <w:lang w:val="en-CA"/>
        </w:rPr>
        <w:t>higher than 175</w:t>
      </w:r>
      <w:r>
        <w:rPr>
          <w:lang w:val="en-CA"/>
        </w:rPr>
        <w:t xml:space="preserve"> </w:t>
      </w:r>
      <w:r w:rsidRPr="002E7F6D">
        <w:rPr>
          <w:lang w:val="en-CA"/>
        </w:rPr>
        <w:t>°C</w:t>
      </w:r>
      <w:r>
        <w:rPr>
          <w:lang w:val="en-CA"/>
        </w:rPr>
        <w:t xml:space="preserve"> (for liquids) or 200 °C (for solids),</w:t>
      </w:r>
      <w:r w:rsidRPr="002E7F6D">
        <w:rPr>
          <w:lang w:val="en-CA"/>
        </w:rPr>
        <w:t xml:space="preserve"> or</w:t>
      </w:r>
    </w:p>
    <w:p w14:paraId="683CC552" w14:textId="77777777" w:rsidR="00756597" w:rsidRDefault="00756597" w:rsidP="00756597">
      <w:pPr>
        <w:pStyle w:val="SingleTxtG"/>
        <w:numPr>
          <w:ilvl w:val="1"/>
          <w:numId w:val="21"/>
        </w:numPr>
        <w:tabs>
          <w:tab w:val="clear" w:pos="2268"/>
          <w:tab w:val="clear" w:pos="2835"/>
        </w:tabs>
        <w:suppressAutoHyphens/>
        <w:ind w:left="1985"/>
        <w:rPr>
          <w:lang w:val="en-CA"/>
        </w:rPr>
      </w:pPr>
      <w:r w:rsidRPr="002E7F6D">
        <w:rPr>
          <w:lang w:val="en-CA"/>
        </w:rPr>
        <w:t>the isothermal heat flow</w:t>
      </w:r>
      <w:r>
        <w:rPr>
          <w:lang w:val="en-CA"/>
        </w:rPr>
        <w:t xml:space="preserve"> </w:t>
      </w:r>
      <w:r w:rsidRPr="002E7F6D">
        <w:rPr>
          <w:lang w:val="en-CA"/>
        </w:rPr>
        <w:t>at 75</w:t>
      </w:r>
      <w:r>
        <w:rPr>
          <w:lang w:val="en-CA"/>
        </w:rPr>
        <w:t xml:space="preserve"> </w:t>
      </w:r>
      <w:r w:rsidRPr="002E7F6D">
        <w:rPr>
          <w:lang w:val="en-CA"/>
        </w:rPr>
        <w:t xml:space="preserve">°C is </w:t>
      </w:r>
      <w:r w:rsidRPr="51955FE2">
        <w:rPr>
          <w:lang w:val="en-CA"/>
        </w:rPr>
        <w:t xml:space="preserve">equal to or </w:t>
      </w:r>
      <w:r w:rsidRPr="002E7F6D">
        <w:rPr>
          <w:lang w:val="en-CA"/>
        </w:rPr>
        <w:t xml:space="preserve">less than 100 </w:t>
      </w:r>
      <w:proofErr w:type="spellStart"/>
      <w:r w:rsidRPr="002E7F6D">
        <w:rPr>
          <w:lang w:val="en-CA"/>
        </w:rPr>
        <w:t>mW</w:t>
      </w:r>
      <w:proofErr w:type="spellEnd"/>
      <w:r>
        <w:rPr>
          <w:lang w:val="en-CA"/>
        </w:rPr>
        <w:t xml:space="preserve"> </w:t>
      </w:r>
      <w:r w:rsidRPr="002E7F6D">
        <w:rPr>
          <w:lang w:val="en-CA"/>
        </w:rPr>
        <w:t>kg</w:t>
      </w:r>
      <w:r w:rsidRPr="00D90F58">
        <w:rPr>
          <w:vertAlign w:val="superscript"/>
          <w:lang w:val="en-CA"/>
        </w:rPr>
        <w:t>-1</w:t>
      </w:r>
      <w:r w:rsidRPr="00EA044A">
        <w:rPr>
          <w:lang w:val="en-CA"/>
        </w:rPr>
        <w:t xml:space="preserve"> </w:t>
      </w:r>
      <w:r>
        <w:rPr>
          <w:lang w:val="en-CA"/>
        </w:rPr>
        <w:t xml:space="preserve">(for liquids) or 50 </w:t>
      </w:r>
      <w:proofErr w:type="spellStart"/>
      <w:r>
        <w:rPr>
          <w:lang w:val="en-CA"/>
        </w:rPr>
        <w:t>mW</w:t>
      </w:r>
      <w:proofErr w:type="spellEnd"/>
      <w:r>
        <w:rPr>
          <w:lang w:val="en-CA"/>
        </w:rPr>
        <w:t xml:space="preserve"> kg</w:t>
      </w:r>
      <w:r w:rsidRPr="00EA044A">
        <w:rPr>
          <w:vertAlign w:val="superscript"/>
          <w:lang w:val="en-CA"/>
        </w:rPr>
        <w:t>-1</w:t>
      </w:r>
      <w:r>
        <w:rPr>
          <w:lang w:val="en-CA"/>
        </w:rPr>
        <w:t xml:space="preserve"> (for solids).</w:t>
      </w:r>
    </w:p>
    <w:p w14:paraId="7E6AC050" w14:textId="1D8176D6" w:rsidR="00756597" w:rsidRPr="00741B3E" w:rsidRDefault="00756597" w:rsidP="00756597">
      <w:pPr>
        <w:pStyle w:val="SingleTxtG"/>
        <w:numPr>
          <w:ilvl w:val="0"/>
          <w:numId w:val="21"/>
        </w:numPr>
        <w:tabs>
          <w:tab w:val="clear" w:pos="2268"/>
          <w:tab w:val="clear" w:pos="2835"/>
        </w:tabs>
        <w:spacing w:line="240" w:lineRule="auto"/>
        <w:ind w:left="1134" w:firstLine="0"/>
        <w:rPr>
          <w:lang w:val="en-CA"/>
        </w:rPr>
      </w:pPr>
      <w:r>
        <w:rPr>
          <w:lang w:val="en-CA"/>
        </w:rPr>
        <w:t xml:space="preserve">Comparison of these screening rules with measured data from over 300 compounds revealed no false negatives (i.e., a compound that would have incorrectly </w:t>
      </w:r>
      <w:r w:rsidRPr="009F3924">
        <w:rPr>
          <w:i/>
          <w:iCs/>
          <w:lang w:val="en-CA"/>
        </w:rPr>
        <w:t>not</w:t>
      </w:r>
      <w:r>
        <w:rPr>
          <w:lang w:val="en-CA"/>
        </w:rPr>
        <w:t xml:space="preserve"> been identified as a possible self-reactive although it met the conditions of the screening rules) and very few false positives (i.e., a </w:t>
      </w:r>
      <w:r w:rsidRPr="00741B3E">
        <w:rPr>
          <w:lang w:val="en-CA"/>
        </w:rPr>
        <w:t xml:space="preserve">compound incorrectly identified as a possible self-reactive). </w:t>
      </w:r>
      <w:r w:rsidRPr="001377EE">
        <w:rPr>
          <w:lang w:val="en-CA"/>
        </w:rPr>
        <w:t xml:space="preserve">This comparison shows that these simple rules, together with the provisions in Appendix 6 of the </w:t>
      </w:r>
      <w:r w:rsidRPr="00AA1B5B">
        <w:rPr>
          <w:i/>
          <w:iCs/>
          <w:lang w:val="en-CA"/>
        </w:rPr>
        <w:t>Manuel of Tests and Criteria</w:t>
      </w:r>
      <w:r w:rsidR="0002294D">
        <w:rPr>
          <w:lang w:val="en-CA"/>
        </w:rPr>
        <w:t xml:space="preserve"> (MTC)</w:t>
      </w:r>
      <w:r w:rsidRPr="001377EE">
        <w:rPr>
          <w:lang w:val="en-CA"/>
        </w:rPr>
        <w:t>, would allow an efficient screening for compounds requiring</w:t>
      </w:r>
      <w:r w:rsidRPr="00741B3E">
        <w:rPr>
          <w:lang w:val="en-CA"/>
        </w:rPr>
        <w:t xml:space="preserve"> further testing as potential self-reactive substances without compromising safe transport.</w:t>
      </w:r>
    </w:p>
    <w:p w14:paraId="6060C1FC" w14:textId="77777777" w:rsidR="00756597" w:rsidRDefault="00756597" w:rsidP="00756597">
      <w:pPr>
        <w:pStyle w:val="SingleTxtG"/>
        <w:numPr>
          <w:ilvl w:val="0"/>
          <w:numId w:val="21"/>
        </w:numPr>
        <w:tabs>
          <w:tab w:val="clear" w:pos="2268"/>
          <w:tab w:val="clear" w:pos="2835"/>
        </w:tabs>
        <w:spacing w:line="240" w:lineRule="auto"/>
        <w:ind w:left="1134" w:firstLine="0"/>
        <w:rPr>
          <w:lang w:val="en-CA"/>
        </w:rPr>
      </w:pPr>
      <w:r>
        <w:rPr>
          <w:lang w:val="en-CA"/>
        </w:rPr>
        <w:t xml:space="preserve">These screening rules were derived assuming the Semenov model for heat flow, </w:t>
      </w:r>
      <w:r w:rsidRPr="00EB10A9">
        <w:rPr>
          <w:lang w:val="en-CA"/>
        </w:rPr>
        <w:t>where the main resistance to heat flow is at the boundary of the package with the surroundings</w:t>
      </w:r>
      <w:r>
        <w:rPr>
          <w:lang w:val="en-CA"/>
        </w:rPr>
        <w:t>, and these calculations were presented for interested readers in both of the papers cited above.</w:t>
      </w:r>
    </w:p>
    <w:p w14:paraId="7AFEC360" w14:textId="77777777" w:rsidR="00756597" w:rsidRPr="002D3520" w:rsidRDefault="00756597" w:rsidP="00756597">
      <w:pPr>
        <w:pStyle w:val="SingleTxtG"/>
        <w:numPr>
          <w:ilvl w:val="0"/>
          <w:numId w:val="21"/>
        </w:numPr>
        <w:tabs>
          <w:tab w:val="clear" w:pos="2268"/>
          <w:tab w:val="clear" w:pos="2835"/>
        </w:tabs>
        <w:spacing w:line="240" w:lineRule="auto"/>
        <w:ind w:left="1134" w:firstLine="0"/>
        <w:rPr>
          <w:lang w:val="en-CA"/>
        </w:rPr>
      </w:pPr>
      <w:r w:rsidRPr="002D3520">
        <w:rPr>
          <w:lang w:val="en-CA"/>
        </w:rPr>
        <w:t xml:space="preserve">Strictly speaking, the Semenov model is generally only used </w:t>
      </w:r>
      <w:r>
        <w:rPr>
          <w:lang w:val="en-CA"/>
        </w:rPr>
        <w:t>to</w:t>
      </w:r>
      <w:r w:rsidRPr="002D3520">
        <w:rPr>
          <w:lang w:val="en-CA"/>
        </w:rPr>
        <w:t xml:space="preserve"> assess heat flow in liquids, although experience has shown that it can also be extended to solids in relatively small packages where a nearly uniform temperature profile can be assumed (see 28.1.1 of the MTC). To challenge this assumption, the screening rules for solids were also derived using the Thomas model for heat flow, where the resistance to heat flow is both from the package boundary and within the substance. This more </w:t>
      </w:r>
      <w:r>
        <w:rPr>
          <w:lang w:val="en-CA"/>
        </w:rPr>
        <w:t>rigorous</w:t>
      </w:r>
      <w:r w:rsidRPr="002D3520">
        <w:rPr>
          <w:lang w:val="en-CA"/>
        </w:rPr>
        <w:t xml:space="preserve"> consideration is presented here in support of our formal proposal.</w:t>
      </w:r>
    </w:p>
    <w:p w14:paraId="1A9A2A1F" w14:textId="77777777" w:rsidR="00756597" w:rsidRDefault="00756597" w:rsidP="00756597">
      <w:pPr>
        <w:pStyle w:val="SingleTxtG"/>
        <w:numPr>
          <w:ilvl w:val="0"/>
          <w:numId w:val="21"/>
        </w:numPr>
        <w:tabs>
          <w:tab w:val="clear" w:pos="2268"/>
          <w:tab w:val="clear" w:pos="2835"/>
        </w:tabs>
        <w:spacing w:line="240" w:lineRule="auto"/>
        <w:ind w:left="1134" w:firstLine="0"/>
        <w:rPr>
          <w:lang w:val="en-CA"/>
        </w:rPr>
      </w:pPr>
      <w:r>
        <w:rPr>
          <w:lang w:val="en-CA"/>
        </w:rPr>
        <w:t>Gratifyingly, the results from these calculations are in excellent agreement with those from the simpler Semenov model and further support the proposed screening rules.</w:t>
      </w:r>
    </w:p>
    <w:p w14:paraId="274E9EA3" w14:textId="61FA579F" w:rsidR="00756597" w:rsidRDefault="00756597" w:rsidP="00CE013C">
      <w:pPr>
        <w:pStyle w:val="HChG"/>
      </w:pPr>
      <w:bookmarkStart w:id="0" w:name="_Ref161847567"/>
      <w:r>
        <w:lastRenderedPageBreak/>
        <w:tab/>
      </w:r>
      <w:r w:rsidR="00CE013C">
        <w:t>II.</w:t>
      </w:r>
      <w:r w:rsidR="00CE013C">
        <w:tab/>
      </w:r>
      <w:r w:rsidRPr="00A22002">
        <w:t xml:space="preserve">Derivation of the proposed screening rules (solids, </w:t>
      </w:r>
      <w:r>
        <w:t>Thomas</w:t>
      </w:r>
      <w:r w:rsidRPr="00A22002">
        <w:t xml:space="preserve"> Model)</w:t>
      </w:r>
      <w:bookmarkEnd w:id="0"/>
    </w:p>
    <w:p w14:paraId="0E288F9C" w14:textId="03BE5089" w:rsidR="00756597" w:rsidRDefault="00756597" w:rsidP="00756597">
      <w:pPr>
        <w:pStyle w:val="SingleTxtG"/>
        <w:numPr>
          <w:ilvl w:val="0"/>
          <w:numId w:val="21"/>
        </w:numPr>
        <w:tabs>
          <w:tab w:val="clear" w:pos="2268"/>
          <w:tab w:val="clear" w:pos="2835"/>
        </w:tabs>
        <w:spacing w:line="240" w:lineRule="auto"/>
        <w:ind w:left="1134" w:firstLine="0"/>
        <w:rPr>
          <w:lang w:val="en-CA"/>
        </w:rPr>
      </w:pPr>
      <w:bookmarkStart w:id="1" w:name="_Ref165392450"/>
      <w:r>
        <w:rPr>
          <w:lang w:val="en-CA"/>
        </w:rPr>
        <w:t xml:space="preserve">As outlined in the formal proposal </w:t>
      </w:r>
      <w:r w:rsidR="00827F88">
        <w:rPr>
          <w:lang w:val="en-CA"/>
        </w:rPr>
        <w:t xml:space="preserve">document </w:t>
      </w:r>
      <w:r>
        <w:rPr>
          <w:lang w:val="en-CA"/>
        </w:rPr>
        <w:t>(</w:t>
      </w:r>
      <w:hyperlink r:id="rId13" w:history="1">
        <w:r w:rsidRPr="000742D1">
          <w:rPr>
            <w:rStyle w:val="Hyperlink"/>
            <w:lang w:val="en-CA"/>
          </w:rPr>
          <w:t>ST</w:t>
        </w:r>
        <w:r w:rsidR="00827F88">
          <w:rPr>
            <w:rStyle w:val="Hyperlink"/>
            <w:lang w:val="en-CA"/>
          </w:rPr>
          <w:t>/</w:t>
        </w:r>
        <w:r w:rsidRPr="000742D1">
          <w:rPr>
            <w:rStyle w:val="Hyperlink"/>
            <w:lang w:val="en-CA"/>
          </w:rPr>
          <w:t>SG</w:t>
        </w:r>
        <w:r w:rsidR="00827F88">
          <w:rPr>
            <w:rStyle w:val="Hyperlink"/>
            <w:lang w:val="en-CA"/>
          </w:rPr>
          <w:t>/</w:t>
        </w:r>
        <w:r w:rsidRPr="000742D1">
          <w:rPr>
            <w:rStyle w:val="Hyperlink"/>
            <w:lang w:val="en-CA"/>
          </w:rPr>
          <w:t>AC10</w:t>
        </w:r>
        <w:r w:rsidR="00827F88">
          <w:rPr>
            <w:rStyle w:val="Hyperlink"/>
            <w:lang w:val="en-CA"/>
          </w:rPr>
          <w:t>/</w:t>
        </w:r>
        <w:r w:rsidRPr="000742D1">
          <w:rPr>
            <w:rStyle w:val="Hyperlink"/>
            <w:lang w:val="en-CA"/>
          </w:rPr>
          <w:t>C3</w:t>
        </w:r>
        <w:r w:rsidR="00827F88">
          <w:rPr>
            <w:rStyle w:val="Hyperlink"/>
            <w:lang w:val="en-CA"/>
          </w:rPr>
          <w:t>/</w:t>
        </w:r>
        <w:r w:rsidRPr="000742D1">
          <w:rPr>
            <w:rStyle w:val="Hyperlink"/>
            <w:lang w:val="en-CA"/>
          </w:rPr>
          <w:t>2024</w:t>
        </w:r>
        <w:r w:rsidR="00827F88">
          <w:rPr>
            <w:rStyle w:val="Hyperlink"/>
            <w:lang w:val="en-CA"/>
          </w:rPr>
          <w:t>/</w:t>
        </w:r>
        <w:r w:rsidRPr="000742D1">
          <w:rPr>
            <w:rStyle w:val="Hyperlink"/>
            <w:lang w:val="en-CA"/>
          </w:rPr>
          <w:t>16</w:t>
        </w:r>
      </w:hyperlink>
      <w:r>
        <w:rPr>
          <w:lang w:val="en-CA"/>
        </w:rPr>
        <w:t xml:space="preserve">), derivation of the proposed screening starts with the ratio between </w:t>
      </w:r>
      <w:r w:rsidRPr="0ED87B57">
        <w:rPr>
          <w:lang w:val="en-CA"/>
        </w:rPr>
        <w:t>the thermal relaxation time (</w:t>
      </w:r>
      <w:r w:rsidRPr="0ED87B57">
        <w:rPr>
          <w:rFonts w:ascii="Symbol" w:hAnsi="Symbol"/>
          <w:lang w:val="en-CA"/>
        </w:rPr>
        <w:t>t</w:t>
      </w:r>
      <w:r w:rsidRPr="0ED87B57">
        <w:rPr>
          <w:vertAlign w:val="subscript"/>
          <w:lang w:val="en-CA"/>
        </w:rPr>
        <w:t>relax</w:t>
      </w:r>
      <w:r w:rsidRPr="0ED87B57">
        <w:rPr>
          <w:lang w:val="en-CA"/>
        </w:rPr>
        <w:t>) and the adiabatic induction time (</w:t>
      </w:r>
      <w:r w:rsidRPr="0ED87B57">
        <w:rPr>
          <w:rFonts w:ascii="Symbol" w:hAnsi="Symbol"/>
          <w:lang w:val="en-CA"/>
        </w:rPr>
        <w:t>t</w:t>
      </w:r>
      <w:r w:rsidRPr="0ED87B57">
        <w:rPr>
          <w:vertAlign w:val="subscript"/>
          <w:lang w:val="en-CA"/>
        </w:rPr>
        <w:t>chem</w:t>
      </w:r>
      <w:r w:rsidRPr="0ED87B57">
        <w:rPr>
          <w:lang w:val="en-CA"/>
        </w:rPr>
        <w:t>)</w:t>
      </w:r>
      <w:r>
        <w:rPr>
          <w:lang w:val="en-CA"/>
        </w:rPr>
        <w:t xml:space="preserve">. Unlike with the simpler Semenov model, this ration under the Thomas model </w:t>
      </w:r>
      <w:r w:rsidRPr="003D1980">
        <w:rPr>
          <w:lang w:val="en-CA"/>
        </w:rPr>
        <w:t xml:space="preserve">is not assumed to be the inverse of Euler’s number, but rather is given by a more complicated </w:t>
      </w:r>
      <w:r>
        <w:rPr>
          <w:lang w:val="en-CA"/>
        </w:rPr>
        <w:t xml:space="preserve">equation considering </w:t>
      </w:r>
      <w:r w:rsidRPr="003D1980">
        <w:rPr>
          <w:lang w:val="en-CA"/>
        </w:rPr>
        <w:t xml:space="preserve">thermal resistance in the bulk sold </w:t>
      </w:r>
      <w:r>
        <w:rPr>
          <w:lang w:val="en-CA"/>
        </w:rPr>
        <w:t>and the package geometry (e.g</w:t>
      </w:r>
      <w:r w:rsidR="00CA5C32">
        <w:rPr>
          <w:lang w:val="en-CA"/>
        </w:rPr>
        <w:t>.</w:t>
      </w:r>
      <w:r>
        <w:rPr>
          <w:lang w:val="en-CA"/>
        </w:rPr>
        <w:t xml:space="preserve"> an isometric cylinder, see DIN EN 15188)</w:t>
      </w:r>
      <w:r w:rsidRPr="003D1980">
        <w:rPr>
          <w:lang w:val="en-CA"/>
        </w:rPr>
        <w:t>.</w:t>
      </w:r>
      <w:bookmarkEnd w:id="1"/>
    </w:p>
    <w:tbl>
      <w:tblPr>
        <w:tblStyle w:val="TableGrid"/>
        <w:tblW w:w="6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0"/>
        <w:gridCol w:w="469"/>
        <w:gridCol w:w="340"/>
        <w:gridCol w:w="2954"/>
      </w:tblGrid>
      <w:tr w:rsidR="00756597" w14:paraId="37D251E9" w14:textId="77777777" w:rsidTr="007E530C">
        <w:trPr>
          <w:trHeight w:val="295"/>
          <w:jc w:val="center"/>
        </w:trPr>
        <w:tc>
          <w:tcPr>
            <w:tcW w:w="2835" w:type="dxa"/>
            <w:vMerge w:val="restart"/>
            <w:vAlign w:val="center"/>
          </w:tcPr>
          <w:p w14:paraId="451A1695" w14:textId="77777777" w:rsidR="00756597" w:rsidRPr="009D258E" w:rsidRDefault="00000000" w:rsidP="007E530C">
            <w:pPr>
              <w:jc w:val="center"/>
              <w:rPr>
                <w:i/>
                <w:lang w:val="de-DE"/>
              </w:rPr>
            </w:pPr>
            <m:oMathPara>
              <m:oMath>
                <m:f>
                  <m:fPr>
                    <m:ctrlPr>
                      <w:rPr>
                        <w:rFonts w:ascii="Cambria Math" w:eastAsia="SimSun" w:hAnsi="Cambria Math"/>
                        <w:i/>
                        <w:lang w:val="en" w:eastAsia="zh-CN"/>
                      </w:rPr>
                    </m:ctrlPr>
                  </m:fPr>
                  <m:num>
                    <m:sSub>
                      <m:sSubPr>
                        <m:ctrlPr>
                          <w:rPr>
                            <w:rFonts w:ascii="Cambria Math" w:eastAsia="SimSun" w:hAnsi="Cambria Math"/>
                            <w:i/>
                            <w:lang w:val="en" w:eastAsia="zh-CN"/>
                          </w:rPr>
                        </m:ctrlPr>
                      </m:sSubPr>
                      <m:e>
                        <m:r>
                          <w:rPr>
                            <w:rFonts w:ascii="Cambria Math" w:eastAsia="SimSun" w:hAnsi="Cambria Math"/>
                            <w:lang w:val="en" w:eastAsia="zh-CN"/>
                          </w:rPr>
                          <m:t>τ</m:t>
                        </m:r>
                      </m:e>
                      <m:sub>
                        <m:r>
                          <w:rPr>
                            <w:rFonts w:ascii="Cambria Math" w:eastAsia="SimSun" w:hAnsi="Cambria Math"/>
                            <w:lang w:val="en" w:eastAsia="zh-CN"/>
                          </w:rPr>
                          <m:t>relax</m:t>
                        </m:r>
                      </m:sub>
                    </m:sSub>
                  </m:num>
                  <m:den>
                    <m:sSub>
                      <m:sSubPr>
                        <m:ctrlPr>
                          <w:rPr>
                            <w:rFonts w:ascii="Cambria Math" w:eastAsia="SimSun" w:hAnsi="Cambria Math"/>
                            <w:i/>
                            <w:lang w:val="en" w:eastAsia="zh-CN"/>
                          </w:rPr>
                        </m:ctrlPr>
                      </m:sSubPr>
                      <m:e>
                        <m:r>
                          <w:rPr>
                            <w:rFonts w:ascii="Cambria Math" w:eastAsia="SimSun" w:hAnsi="Cambria Math"/>
                            <w:lang w:val="en" w:eastAsia="zh-CN"/>
                          </w:rPr>
                          <m:t>τ</m:t>
                        </m:r>
                      </m:e>
                      <m:sub>
                        <m:r>
                          <w:rPr>
                            <w:rFonts w:ascii="Cambria Math" w:eastAsia="SimSun" w:hAnsi="Cambria Math"/>
                            <w:lang w:val="en" w:eastAsia="zh-CN"/>
                          </w:rPr>
                          <m:t>c</m:t>
                        </m:r>
                        <m:r>
                          <w:rPr>
                            <w:rFonts w:ascii="Cambria Math" w:eastAsia="SimSun" w:hAnsi="Cambria Math"/>
                            <w:lang w:val="de-DE" w:eastAsia="zh-CN"/>
                          </w:rPr>
                          <m:t>h</m:t>
                        </m:r>
                        <m:r>
                          <w:rPr>
                            <w:rFonts w:ascii="Cambria Math" w:eastAsia="SimSun" w:hAnsi="Cambria Math"/>
                            <w:lang w:val="en" w:eastAsia="zh-CN"/>
                          </w:rPr>
                          <m:t>em</m:t>
                        </m:r>
                      </m:sub>
                    </m:sSub>
                  </m:den>
                </m:f>
                <m:r>
                  <w:rPr>
                    <w:rFonts w:ascii="Cambria Math" w:eastAsia="SimSun" w:hAnsi="Cambria Math"/>
                    <w:lang w:val="en" w:eastAsia="zh-CN"/>
                  </w:rPr>
                  <m:t>=</m:t>
                </m:r>
                <m:f>
                  <m:fPr>
                    <m:ctrlPr>
                      <w:rPr>
                        <w:rFonts w:ascii="Cambria Math" w:eastAsia="SimSun" w:hAnsi="Cambria Math"/>
                        <w:i/>
                        <w:lang w:val="en" w:eastAsia="zh-CN"/>
                      </w:rPr>
                    </m:ctrlPr>
                  </m:fPr>
                  <m:num>
                    <m:r>
                      <w:rPr>
                        <w:rFonts w:ascii="Cambria Math" w:eastAsia="SimSun" w:hAnsi="Cambria Math"/>
                        <w:lang w:val="en" w:eastAsia="zh-CN"/>
                      </w:rPr>
                      <m:t>0.8047</m:t>
                    </m:r>
                  </m:num>
                  <m:den>
                    <m:r>
                      <w:rPr>
                        <w:rFonts w:ascii="Cambria Math" w:eastAsia="SimSun" w:hAnsi="Cambria Math"/>
                        <w:lang w:val="en" w:eastAsia="zh-CN"/>
                      </w:rPr>
                      <m:t xml:space="preserve">0.2830+ </m:t>
                    </m:r>
                    <m:f>
                      <m:fPr>
                        <m:ctrlPr>
                          <w:rPr>
                            <w:rFonts w:ascii="Cambria Math" w:eastAsia="SimSun" w:hAnsi="Cambria Math"/>
                            <w:i/>
                            <w:lang w:val="en" w:eastAsia="zh-CN"/>
                          </w:rPr>
                        </m:ctrlPr>
                      </m:fPr>
                      <m:num>
                        <m:r>
                          <w:rPr>
                            <w:rFonts w:ascii="Cambria Math" w:eastAsia="SimSun" w:hAnsi="Cambria Math"/>
                            <w:lang w:val="en" w:eastAsia="zh-CN"/>
                          </w:rPr>
                          <m:t>0.7292</m:t>
                        </m:r>
                      </m:num>
                      <m:den>
                        <m:r>
                          <w:rPr>
                            <w:rFonts w:ascii="Cambria Math" w:eastAsia="SimSun" w:hAnsi="Cambria Math"/>
                            <w:lang w:val="en" w:eastAsia="zh-CN"/>
                          </w:rPr>
                          <m:t>Biot</m:t>
                        </m:r>
                      </m:den>
                    </m:f>
                  </m:den>
                </m:f>
              </m:oMath>
            </m:oMathPara>
          </w:p>
        </w:tc>
        <w:tc>
          <w:tcPr>
            <w:tcW w:w="170" w:type="dxa"/>
            <w:vAlign w:val="center"/>
          </w:tcPr>
          <w:p w14:paraId="14E133D7" w14:textId="77777777" w:rsidR="00756597" w:rsidRPr="009D258E" w:rsidRDefault="00756597" w:rsidP="007E530C">
            <w:pPr>
              <w:jc w:val="center"/>
              <w:rPr>
                <w:lang w:val="de-DE"/>
              </w:rPr>
            </w:pPr>
          </w:p>
        </w:tc>
        <w:tc>
          <w:tcPr>
            <w:tcW w:w="469" w:type="dxa"/>
            <w:vAlign w:val="center"/>
          </w:tcPr>
          <w:p w14:paraId="1E8E6D30" w14:textId="77777777" w:rsidR="00756597" w:rsidRDefault="00756597" w:rsidP="007E530C">
            <w:pPr>
              <w:jc w:val="center"/>
              <w:rPr>
                <w:lang w:val="en-CA"/>
              </w:rPr>
            </w:pPr>
            <w:r w:rsidRPr="0ED87B57">
              <w:rPr>
                <w:rFonts w:ascii="Symbol" w:hAnsi="Symbol"/>
                <w:lang w:val="en-CA"/>
              </w:rPr>
              <w:t>t</w:t>
            </w:r>
            <w:r w:rsidRPr="0ED87B57">
              <w:rPr>
                <w:vertAlign w:val="subscript"/>
                <w:lang w:val="en-CA"/>
              </w:rPr>
              <w:t>relax</w:t>
            </w:r>
          </w:p>
        </w:tc>
        <w:tc>
          <w:tcPr>
            <w:tcW w:w="340" w:type="dxa"/>
            <w:vAlign w:val="center"/>
          </w:tcPr>
          <w:p w14:paraId="58FF991C" w14:textId="77777777" w:rsidR="00756597" w:rsidRDefault="00756597" w:rsidP="007E530C">
            <w:pPr>
              <w:jc w:val="center"/>
              <w:rPr>
                <w:lang w:val="en-CA"/>
              </w:rPr>
            </w:pPr>
            <w:r w:rsidRPr="0ED87B57">
              <w:rPr>
                <w:lang w:val="en-CA"/>
              </w:rPr>
              <w:t>=</w:t>
            </w:r>
          </w:p>
        </w:tc>
        <w:tc>
          <w:tcPr>
            <w:tcW w:w="2954" w:type="dxa"/>
            <w:vAlign w:val="center"/>
          </w:tcPr>
          <w:p w14:paraId="60A1BCBC" w14:textId="77777777" w:rsidR="00756597" w:rsidRDefault="00756597" w:rsidP="007E530C">
            <w:pPr>
              <w:ind w:left="127"/>
              <w:jc w:val="center"/>
              <w:rPr>
                <w:lang w:val="en-CA"/>
              </w:rPr>
            </w:pPr>
            <w:r w:rsidRPr="0ED87B57">
              <w:rPr>
                <w:lang w:val="en-CA"/>
              </w:rPr>
              <w:t>Thermal relaxation time (s)</w:t>
            </w:r>
          </w:p>
        </w:tc>
      </w:tr>
      <w:tr w:rsidR="00756597" w14:paraId="210A3D34" w14:textId="77777777" w:rsidTr="007E530C">
        <w:trPr>
          <w:trHeight w:val="295"/>
          <w:jc w:val="center"/>
        </w:trPr>
        <w:tc>
          <w:tcPr>
            <w:tcW w:w="2835" w:type="dxa"/>
            <w:vMerge/>
            <w:vAlign w:val="center"/>
          </w:tcPr>
          <w:p w14:paraId="1A9D3AC7" w14:textId="77777777" w:rsidR="00756597" w:rsidRDefault="00756597" w:rsidP="007E530C">
            <w:pPr>
              <w:jc w:val="center"/>
              <w:rPr>
                <w:lang w:val="en-CA"/>
              </w:rPr>
            </w:pPr>
          </w:p>
        </w:tc>
        <w:tc>
          <w:tcPr>
            <w:tcW w:w="170" w:type="dxa"/>
            <w:vAlign w:val="center"/>
          </w:tcPr>
          <w:p w14:paraId="1CE4A3AF" w14:textId="77777777" w:rsidR="00756597" w:rsidRDefault="00756597" w:rsidP="007E530C">
            <w:pPr>
              <w:jc w:val="center"/>
              <w:rPr>
                <w:lang w:val="en-CA"/>
              </w:rPr>
            </w:pPr>
          </w:p>
        </w:tc>
        <w:tc>
          <w:tcPr>
            <w:tcW w:w="469" w:type="dxa"/>
            <w:vAlign w:val="center"/>
          </w:tcPr>
          <w:p w14:paraId="0A683DAE" w14:textId="77777777" w:rsidR="00756597" w:rsidRDefault="00756597" w:rsidP="007E530C">
            <w:pPr>
              <w:jc w:val="center"/>
              <w:rPr>
                <w:lang w:val="en-CA"/>
              </w:rPr>
            </w:pPr>
            <w:r w:rsidRPr="004E7F10">
              <w:rPr>
                <w:rFonts w:ascii="Symbol" w:hAnsi="Symbol"/>
                <w:lang w:val="en-CA"/>
              </w:rPr>
              <w:t>t</w:t>
            </w:r>
            <w:r w:rsidRPr="004E7F10">
              <w:rPr>
                <w:vertAlign w:val="subscript"/>
                <w:lang w:val="en-CA"/>
              </w:rPr>
              <w:t>chem</w:t>
            </w:r>
          </w:p>
        </w:tc>
        <w:tc>
          <w:tcPr>
            <w:tcW w:w="340" w:type="dxa"/>
            <w:vAlign w:val="center"/>
          </w:tcPr>
          <w:p w14:paraId="5C12EC2A" w14:textId="77777777" w:rsidR="00756597" w:rsidRDefault="00756597" w:rsidP="007E530C">
            <w:pPr>
              <w:jc w:val="center"/>
              <w:rPr>
                <w:lang w:val="en-CA"/>
              </w:rPr>
            </w:pPr>
            <w:r>
              <w:rPr>
                <w:lang w:val="en-CA"/>
              </w:rPr>
              <w:t>=</w:t>
            </w:r>
          </w:p>
        </w:tc>
        <w:tc>
          <w:tcPr>
            <w:tcW w:w="2954" w:type="dxa"/>
            <w:vAlign w:val="center"/>
          </w:tcPr>
          <w:p w14:paraId="5CFAEAB0" w14:textId="77777777" w:rsidR="00756597" w:rsidRDefault="00756597" w:rsidP="007E530C">
            <w:pPr>
              <w:ind w:left="127"/>
              <w:jc w:val="center"/>
              <w:rPr>
                <w:lang w:val="en-CA"/>
              </w:rPr>
            </w:pPr>
            <w:r>
              <w:rPr>
                <w:lang w:val="en-CA"/>
              </w:rPr>
              <w:t>Adiabatic induction time (s)</w:t>
            </w:r>
          </w:p>
        </w:tc>
      </w:tr>
      <w:tr w:rsidR="00756597" w14:paraId="7D099DD3" w14:textId="77777777" w:rsidTr="007E530C">
        <w:trPr>
          <w:trHeight w:val="295"/>
          <w:jc w:val="center"/>
        </w:trPr>
        <w:tc>
          <w:tcPr>
            <w:tcW w:w="2835" w:type="dxa"/>
            <w:vMerge/>
            <w:vAlign w:val="center"/>
          </w:tcPr>
          <w:p w14:paraId="20DAB083" w14:textId="77777777" w:rsidR="00756597" w:rsidRDefault="00756597" w:rsidP="007E530C">
            <w:pPr>
              <w:jc w:val="center"/>
              <w:rPr>
                <w:lang w:val="en-CA"/>
              </w:rPr>
            </w:pPr>
          </w:p>
        </w:tc>
        <w:tc>
          <w:tcPr>
            <w:tcW w:w="170" w:type="dxa"/>
            <w:vAlign w:val="center"/>
          </w:tcPr>
          <w:p w14:paraId="00B2430C" w14:textId="77777777" w:rsidR="00756597" w:rsidRDefault="00756597" w:rsidP="007E530C">
            <w:pPr>
              <w:jc w:val="center"/>
              <w:rPr>
                <w:lang w:val="en-CA"/>
              </w:rPr>
            </w:pPr>
          </w:p>
        </w:tc>
        <w:tc>
          <w:tcPr>
            <w:tcW w:w="469" w:type="dxa"/>
            <w:vAlign w:val="center"/>
          </w:tcPr>
          <w:p w14:paraId="51C2D257" w14:textId="77777777" w:rsidR="00756597" w:rsidRDefault="00756597" w:rsidP="007E530C">
            <w:pPr>
              <w:jc w:val="center"/>
              <w:rPr>
                <w:lang w:val="en-CA"/>
              </w:rPr>
            </w:pPr>
            <w:proofErr w:type="spellStart"/>
            <w:r>
              <w:rPr>
                <w:lang w:val="en-CA"/>
              </w:rPr>
              <w:t>Biot</w:t>
            </w:r>
            <w:proofErr w:type="spellEnd"/>
          </w:p>
        </w:tc>
        <w:tc>
          <w:tcPr>
            <w:tcW w:w="340" w:type="dxa"/>
            <w:vAlign w:val="center"/>
          </w:tcPr>
          <w:p w14:paraId="3A0C292D" w14:textId="77777777" w:rsidR="00756597" w:rsidRDefault="00756597" w:rsidP="007E530C">
            <w:pPr>
              <w:jc w:val="center"/>
              <w:rPr>
                <w:lang w:val="en-CA"/>
              </w:rPr>
            </w:pPr>
            <w:r>
              <w:rPr>
                <w:lang w:val="en-CA"/>
              </w:rPr>
              <w:t>=</w:t>
            </w:r>
          </w:p>
        </w:tc>
        <w:tc>
          <w:tcPr>
            <w:tcW w:w="2954" w:type="dxa"/>
            <w:vAlign w:val="center"/>
          </w:tcPr>
          <w:p w14:paraId="7F9472EB" w14:textId="77777777" w:rsidR="00756597" w:rsidRDefault="00756597" w:rsidP="007E530C">
            <w:pPr>
              <w:ind w:left="127"/>
              <w:jc w:val="center"/>
              <w:rPr>
                <w:lang w:val="en-CA"/>
              </w:rPr>
            </w:pPr>
            <w:proofErr w:type="spellStart"/>
            <w:r>
              <w:rPr>
                <w:lang w:val="en-CA"/>
              </w:rPr>
              <w:t>Biot</w:t>
            </w:r>
            <w:proofErr w:type="spellEnd"/>
            <w:r>
              <w:rPr>
                <w:lang w:val="en-CA"/>
              </w:rPr>
              <w:t xml:space="preserve"> number</w:t>
            </w:r>
          </w:p>
        </w:tc>
      </w:tr>
    </w:tbl>
    <w:p w14:paraId="74F89C9D" w14:textId="77777777" w:rsidR="00756597" w:rsidRDefault="00756597" w:rsidP="00756597">
      <w:pPr>
        <w:pStyle w:val="SingleTxtG"/>
        <w:spacing w:line="240" w:lineRule="auto"/>
        <w:rPr>
          <w:lang w:val="en-CA"/>
        </w:rPr>
      </w:pPr>
    </w:p>
    <w:p w14:paraId="009D21B5" w14:textId="77777777" w:rsidR="00756597" w:rsidRDefault="00756597" w:rsidP="00756597">
      <w:pPr>
        <w:pStyle w:val="SingleTxtG"/>
        <w:numPr>
          <w:ilvl w:val="0"/>
          <w:numId w:val="21"/>
        </w:numPr>
        <w:tabs>
          <w:tab w:val="clear" w:pos="2268"/>
          <w:tab w:val="clear" w:pos="2835"/>
        </w:tabs>
        <w:spacing w:line="240" w:lineRule="auto"/>
        <w:ind w:left="1134" w:firstLine="0"/>
        <w:rPr>
          <w:lang w:val="en-CA"/>
        </w:rPr>
      </w:pPr>
      <w:bookmarkStart w:id="2" w:name="_Ref161768173"/>
      <w:bookmarkStart w:id="3" w:name="_Ref149759374"/>
      <w:bookmarkStart w:id="4" w:name="_Ref161767763"/>
      <w:r>
        <w:rPr>
          <w:lang w:val="en-CA"/>
        </w:rPr>
        <w:t xml:space="preserve">This equation contains a </w:t>
      </w:r>
      <w:proofErr w:type="spellStart"/>
      <w:r>
        <w:rPr>
          <w:lang w:val="en-CA"/>
        </w:rPr>
        <w:t>Biot</w:t>
      </w:r>
      <w:proofErr w:type="spellEnd"/>
      <w:r>
        <w:rPr>
          <w:lang w:val="en-CA"/>
        </w:rPr>
        <w:t xml:space="preserve"> number, which itself depends on the heat flow characteristics and the characteristic length of the package. The radius of an isometric cylinder (i.e., a barrel with equivalent height and diameter) can be taken as a conservative estimation of the characteristic length (i.e., the distance that heat must travel to escape the package). Assuming a bulk density of 600 kg m</w:t>
      </w:r>
      <w:r w:rsidRPr="006D4BBE">
        <w:rPr>
          <w:vertAlign w:val="superscript"/>
          <w:lang w:val="en-CA"/>
        </w:rPr>
        <w:t>-3</w:t>
      </w:r>
      <w:r>
        <w:rPr>
          <w:lang w:val="en-CA"/>
        </w:rPr>
        <w:t xml:space="preserve"> for a typical solid, the radius of an isometric cylindrical 50 kg package is ca. 0.24 m. Further assuming a </w:t>
      </w:r>
      <w:r w:rsidRPr="00F677FC">
        <w:rPr>
          <w:lang w:val="en-CA"/>
        </w:rPr>
        <w:t>thermal conductivity of 0.15</w:t>
      </w:r>
      <w:r>
        <w:rPr>
          <w:lang w:val="en-CA"/>
        </w:rPr>
        <w:t> </w:t>
      </w:r>
      <w:r w:rsidRPr="00F677FC">
        <w:rPr>
          <w:lang w:val="en-CA"/>
        </w:rPr>
        <w:t>W</w:t>
      </w:r>
      <w:r>
        <w:rPr>
          <w:lang w:val="en-CA"/>
        </w:rPr>
        <w:t> </w:t>
      </w:r>
      <w:r w:rsidRPr="00F677FC">
        <w:rPr>
          <w:lang w:val="en-CA"/>
        </w:rPr>
        <w:t>m</w:t>
      </w:r>
      <w:r w:rsidRPr="00AD468C">
        <w:rPr>
          <w:vertAlign w:val="superscript"/>
          <w:lang w:val="en-CA"/>
        </w:rPr>
        <w:t>-1</w:t>
      </w:r>
      <w:r w:rsidRPr="00F677FC">
        <w:rPr>
          <w:lang w:val="en-CA"/>
        </w:rPr>
        <w:t xml:space="preserve"> K</w:t>
      </w:r>
      <w:r w:rsidRPr="00AD468C">
        <w:rPr>
          <w:vertAlign w:val="superscript"/>
          <w:lang w:val="en-CA"/>
        </w:rPr>
        <w:t>-1</w:t>
      </w:r>
      <w:r>
        <w:rPr>
          <w:lang w:val="en-CA"/>
        </w:rPr>
        <w:t xml:space="preserve"> and </w:t>
      </w:r>
      <w:r w:rsidRPr="00F677FC">
        <w:rPr>
          <w:lang w:val="en-CA"/>
        </w:rPr>
        <w:t xml:space="preserve">an external heat transfer coefficient </w:t>
      </w:r>
      <w:r>
        <w:rPr>
          <w:lang w:val="en-CA"/>
        </w:rPr>
        <w:t>o</w:t>
      </w:r>
      <w:r w:rsidRPr="00F677FC">
        <w:rPr>
          <w:lang w:val="en-CA"/>
        </w:rPr>
        <w:t>f 5 W</w:t>
      </w:r>
      <w:r>
        <w:rPr>
          <w:lang w:val="en-CA"/>
        </w:rPr>
        <w:t xml:space="preserve"> </w:t>
      </w:r>
      <w:r w:rsidRPr="00F677FC">
        <w:rPr>
          <w:lang w:val="en-CA"/>
        </w:rPr>
        <w:t>m</w:t>
      </w:r>
      <w:r w:rsidRPr="00AD468C">
        <w:rPr>
          <w:vertAlign w:val="superscript"/>
          <w:lang w:val="en-CA"/>
        </w:rPr>
        <w:t>-</w:t>
      </w:r>
      <w:r w:rsidRPr="00F677FC">
        <w:rPr>
          <w:lang w:val="en-CA"/>
        </w:rPr>
        <w:t>²</w:t>
      </w:r>
      <w:r>
        <w:rPr>
          <w:lang w:val="en-CA"/>
        </w:rPr>
        <w:t xml:space="preserve"> </w:t>
      </w:r>
      <w:r w:rsidRPr="00F677FC">
        <w:rPr>
          <w:lang w:val="en-CA"/>
        </w:rPr>
        <w:t>K</w:t>
      </w:r>
      <w:r w:rsidRPr="00AD468C">
        <w:rPr>
          <w:vertAlign w:val="superscript"/>
          <w:lang w:val="en-CA"/>
        </w:rPr>
        <w:t>-1</w:t>
      </w:r>
      <w:r w:rsidRPr="00F677FC">
        <w:rPr>
          <w:lang w:val="en-CA"/>
        </w:rPr>
        <w:t xml:space="preserve"> </w:t>
      </w:r>
      <w:r>
        <w:rPr>
          <w:lang w:val="en-CA"/>
        </w:rPr>
        <w:t xml:space="preserve">as typical values then leads to a </w:t>
      </w:r>
      <w:proofErr w:type="spellStart"/>
      <w:r>
        <w:rPr>
          <w:lang w:val="en-CA"/>
        </w:rPr>
        <w:t>Biot</w:t>
      </w:r>
      <w:proofErr w:type="spellEnd"/>
      <w:r>
        <w:rPr>
          <w:lang w:val="en-CA"/>
        </w:rPr>
        <w:t xml:space="preserve"> number of ca. 7.9 for the 50 kg isometric cylindrical package.</w:t>
      </w:r>
      <w:bookmarkEnd w:id="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371"/>
        <w:gridCol w:w="371"/>
        <w:gridCol w:w="400"/>
        <w:gridCol w:w="4505"/>
      </w:tblGrid>
      <w:tr w:rsidR="00756597" w14:paraId="5699EDED" w14:textId="77777777" w:rsidTr="007E530C">
        <w:trPr>
          <w:trHeight w:val="187"/>
          <w:jc w:val="center"/>
        </w:trPr>
        <w:tc>
          <w:tcPr>
            <w:tcW w:w="0" w:type="auto"/>
            <w:vMerge w:val="restart"/>
          </w:tcPr>
          <w:p w14:paraId="2722DB2C" w14:textId="77777777" w:rsidR="00756597" w:rsidRPr="00286EFF" w:rsidRDefault="00756597" w:rsidP="007E530C">
            <w:pPr>
              <w:jc w:val="center"/>
              <w:rPr>
                <w:lang w:val="en-CA"/>
              </w:rPr>
            </w:pPr>
            <m:oMathPara>
              <m:oMath>
                <m:r>
                  <w:rPr>
                    <w:rFonts w:ascii="Cambria Math" w:eastAsia="SimSun" w:hAnsi="Cambria Math" w:cstheme="minorHAnsi"/>
                    <w:lang w:val="de-DE" w:eastAsia="zh-CN"/>
                  </w:rPr>
                  <m:t>Biot=</m:t>
                </m:r>
                <m:f>
                  <m:fPr>
                    <m:ctrlPr>
                      <w:rPr>
                        <w:rFonts w:ascii="Cambria Math" w:eastAsia="SimSun" w:hAnsi="Cambria Math" w:cstheme="minorHAnsi"/>
                        <w:i/>
                        <w:lang w:eastAsia="zh-CN"/>
                      </w:rPr>
                    </m:ctrlPr>
                  </m:fPr>
                  <m:num>
                    <m:r>
                      <w:rPr>
                        <w:rFonts w:ascii="Cambria Math" w:eastAsia="SimSun" w:hAnsi="Cambria Math" w:cstheme="minorHAnsi"/>
                        <w:lang w:val="de-DE" w:eastAsia="zh-CN"/>
                      </w:rPr>
                      <m:t>αr</m:t>
                    </m:r>
                  </m:num>
                  <m:den>
                    <m:r>
                      <w:rPr>
                        <w:rFonts w:ascii="Cambria Math" w:eastAsia="SimSun" w:hAnsi="Cambria Math" w:cstheme="minorHAnsi"/>
                        <w:lang w:eastAsia="zh-CN"/>
                      </w:rPr>
                      <m:t>λ</m:t>
                    </m:r>
                  </m:den>
                </m:f>
              </m:oMath>
            </m:oMathPara>
          </w:p>
        </w:tc>
        <w:tc>
          <w:tcPr>
            <w:tcW w:w="371" w:type="dxa"/>
            <w:vAlign w:val="center"/>
          </w:tcPr>
          <w:p w14:paraId="7F3EE639" w14:textId="77777777" w:rsidR="00756597" w:rsidRPr="007768F3" w:rsidRDefault="00756597" w:rsidP="007E530C">
            <w:pPr>
              <w:jc w:val="center"/>
              <w:rPr>
                <w:lang w:val="en-CA"/>
              </w:rPr>
            </w:pPr>
          </w:p>
        </w:tc>
        <w:tc>
          <w:tcPr>
            <w:tcW w:w="371" w:type="dxa"/>
            <w:vAlign w:val="center"/>
          </w:tcPr>
          <w:p w14:paraId="2B1309BD" w14:textId="77777777" w:rsidR="00756597" w:rsidRDefault="00756597" w:rsidP="007E530C">
            <w:pPr>
              <w:jc w:val="center"/>
              <w:rPr>
                <w:lang w:val="en-CA"/>
              </w:rPr>
            </w:pPr>
            <w:proofErr w:type="spellStart"/>
            <w:r>
              <w:rPr>
                <w:lang w:val="en-CA"/>
              </w:rPr>
              <w:t>Biot</w:t>
            </w:r>
            <w:proofErr w:type="spellEnd"/>
          </w:p>
        </w:tc>
        <w:tc>
          <w:tcPr>
            <w:tcW w:w="400" w:type="dxa"/>
            <w:vAlign w:val="center"/>
          </w:tcPr>
          <w:p w14:paraId="14695E9F" w14:textId="77777777" w:rsidR="00756597" w:rsidRDefault="00756597" w:rsidP="007E530C">
            <w:pPr>
              <w:jc w:val="center"/>
              <w:rPr>
                <w:lang w:val="en-CA"/>
              </w:rPr>
            </w:pPr>
            <w:r>
              <w:rPr>
                <w:lang w:val="en-CA"/>
              </w:rPr>
              <w:t>=</w:t>
            </w:r>
          </w:p>
        </w:tc>
        <w:tc>
          <w:tcPr>
            <w:tcW w:w="4505" w:type="dxa"/>
            <w:vAlign w:val="center"/>
          </w:tcPr>
          <w:p w14:paraId="295FADC3" w14:textId="77777777" w:rsidR="00756597" w:rsidRDefault="00756597" w:rsidP="007E530C">
            <w:pPr>
              <w:ind w:left="161"/>
              <w:rPr>
                <w:lang w:val="en-CA"/>
              </w:rPr>
            </w:pPr>
            <w:proofErr w:type="spellStart"/>
            <w:r>
              <w:rPr>
                <w:lang w:val="en-CA"/>
              </w:rPr>
              <w:t>Biot</w:t>
            </w:r>
            <w:proofErr w:type="spellEnd"/>
            <w:r>
              <w:rPr>
                <w:lang w:val="en-CA"/>
              </w:rPr>
              <w:t xml:space="preserve"> number</w:t>
            </w:r>
          </w:p>
        </w:tc>
      </w:tr>
      <w:tr w:rsidR="00756597" w14:paraId="362CF0DF" w14:textId="77777777" w:rsidTr="007E530C">
        <w:trPr>
          <w:trHeight w:val="187"/>
          <w:jc w:val="center"/>
        </w:trPr>
        <w:tc>
          <w:tcPr>
            <w:tcW w:w="0" w:type="auto"/>
            <w:vMerge/>
          </w:tcPr>
          <w:p w14:paraId="6A498000" w14:textId="77777777" w:rsidR="00756597" w:rsidRDefault="00756597" w:rsidP="007E530C">
            <w:pPr>
              <w:jc w:val="center"/>
              <w:rPr>
                <w:lang w:val="en-CA"/>
              </w:rPr>
            </w:pPr>
          </w:p>
        </w:tc>
        <w:tc>
          <w:tcPr>
            <w:tcW w:w="371" w:type="dxa"/>
            <w:vAlign w:val="center"/>
          </w:tcPr>
          <w:p w14:paraId="20C07737" w14:textId="77777777" w:rsidR="00756597" w:rsidRDefault="00756597" w:rsidP="007E530C">
            <w:pPr>
              <w:jc w:val="center"/>
              <w:rPr>
                <w:lang w:val="en-CA"/>
              </w:rPr>
            </w:pPr>
          </w:p>
        </w:tc>
        <w:tc>
          <w:tcPr>
            <w:tcW w:w="371" w:type="dxa"/>
            <w:vAlign w:val="center"/>
          </w:tcPr>
          <w:p w14:paraId="12AA2C16" w14:textId="77777777" w:rsidR="00756597" w:rsidRDefault="00756597" w:rsidP="007E530C">
            <w:pPr>
              <w:jc w:val="center"/>
              <w:rPr>
                <w:lang w:val="en-CA"/>
              </w:rPr>
            </w:pPr>
            <m:oMathPara>
              <m:oMath>
                <m:r>
                  <w:rPr>
                    <w:rFonts w:ascii="Cambria Math" w:eastAsia="SimSun" w:hAnsi="Cambria Math"/>
                    <w:lang w:val="en" w:eastAsia="zh-CN"/>
                  </w:rPr>
                  <m:t>λ</m:t>
                </m:r>
              </m:oMath>
            </m:oMathPara>
          </w:p>
        </w:tc>
        <w:tc>
          <w:tcPr>
            <w:tcW w:w="400" w:type="dxa"/>
            <w:vAlign w:val="center"/>
          </w:tcPr>
          <w:p w14:paraId="2569F6D3" w14:textId="77777777" w:rsidR="00756597" w:rsidRDefault="00756597" w:rsidP="007E530C">
            <w:pPr>
              <w:jc w:val="center"/>
              <w:rPr>
                <w:lang w:val="en-CA"/>
              </w:rPr>
            </w:pPr>
            <w:r w:rsidRPr="0ED87B57">
              <w:rPr>
                <w:lang w:val="en-CA"/>
              </w:rPr>
              <w:t>=</w:t>
            </w:r>
          </w:p>
        </w:tc>
        <w:tc>
          <w:tcPr>
            <w:tcW w:w="4505" w:type="dxa"/>
            <w:vAlign w:val="center"/>
          </w:tcPr>
          <w:p w14:paraId="6D2EC448" w14:textId="77777777" w:rsidR="00756597" w:rsidRDefault="00756597" w:rsidP="007E530C">
            <w:pPr>
              <w:ind w:left="161"/>
              <w:rPr>
                <w:lang w:val="en-CA"/>
              </w:rPr>
            </w:pPr>
            <w:r>
              <w:rPr>
                <w:lang w:val="en-CA"/>
              </w:rPr>
              <w:t>Thermal conductivity (W m</w:t>
            </w:r>
            <w:r w:rsidRPr="00BB0493">
              <w:rPr>
                <w:vertAlign w:val="superscript"/>
                <w:lang w:val="en-CA"/>
              </w:rPr>
              <w:t>-</w:t>
            </w:r>
            <w:r>
              <w:rPr>
                <w:vertAlign w:val="superscript"/>
                <w:lang w:val="en-CA"/>
              </w:rPr>
              <w:t>1</w:t>
            </w:r>
            <w:r>
              <w:rPr>
                <w:lang w:val="en-CA"/>
              </w:rPr>
              <w:t xml:space="preserve"> K</w:t>
            </w:r>
            <w:r w:rsidRPr="00BB0493">
              <w:rPr>
                <w:vertAlign w:val="superscript"/>
                <w:lang w:val="en-CA"/>
              </w:rPr>
              <w:t>-1</w:t>
            </w:r>
            <w:r>
              <w:rPr>
                <w:lang w:val="en-CA"/>
              </w:rPr>
              <w:t xml:space="preserve">) </w:t>
            </w:r>
          </w:p>
        </w:tc>
      </w:tr>
      <w:tr w:rsidR="00756597" w14:paraId="3F1666BD" w14:textId="77777777" w:rsidTr="007E530C">
        <w:trPr>
          <w:trHeight w:val="187"/>
          <w:jc w:val="center"/>
        </w:trPr>
        <w:tc>
          <w:tcPr>
            <w:tcW w:w="0" w:type="auto"/>
            <w:vMerge/>
          </w:tcPr>
          <w:p w14:paraId="75217872" w14:textId="77777777" w:rsidR="00756597" w:rsidRDefault="00756597" w:rsidP="007E530C">
            <w:pPr>
              <w:jc w:val="center"/>
              <w:rPr>
                <w:lang w:val="en-CA"/>
              </w:rPr>
            </w:pPr>
          </w:p>
        </w:tc>
        <w:tc>
          <w:tcPr>
            <w:tcW w:w="371" w:type="dxa"/>
            <w:vAlign w:val="center"/>
          </w:tcPr>
          <w:p w14:paraId="20169AA9" w14:textId="77777777" w:rsidR="00756597" w:rsidRDefault="00756597" w:rsidP="007E530C">
            <w:pPr>
              <w:jc w:val="center"/>
              <w:rPr>
                <w:lang w:val="en-CA"/>
              </w:rPr>
            </w:pPr>
          </w:p>
        </w:tc>
        <w:tc>
          <w:tcPr>
            <w:tcW w:w="371" w:type="dxa"/>
            <w:vAlign w:val="center"/>
          </w:tcPr>
          <w:p w14:paraId="1E3818F1" w14:textId="77777777" w:rsidR="00756597" w:rsidRDefault="00756597" w:rsidP="007E530C">
            <w:pPr>
              <w:jc w:val="center"/>
              <w:rPr>
                <w:lang w:val="en-CA"/>
              </w:rPr>
            </w:pPr>
            <m:oMathPara>
              <m:oMath>
                <m:r>
                  <w:rPr>
                    <w:rFonts w:ascii="Cambria Math" w:eastAsia="SimSun" w:hAnsi="Cambria Math"/>
                    <w:lang w:val="en" w:eastAsia="zh-CN"/>
                  </w:rPr>
                  <m:t>α</m:t>
                </m:r>
              </m:oMath>
            </m:oMathPara>
          </w:p>
        </w:tc>
        <w:tc>
          <w:tcPr>
            <w:tcW w:w="400" w:type="dxa"/>
            <w:vAlign w:val="center"/>
          </w:tcPr>
          <w:p w14:paraId="69219D54" w14:textId="77777777" w:rsidR="00756597" w:rsidRDefault="00756597" w:rsidP="007E530C">
            <w:pPr>
              <w:jc w:val="center"/>
              <w:rPr>
                <w:lang w:val="en-CA"/>
              </w:rPr>
            </w:pPr>
            <w:r>
              <w:rPr>
                <w:lang w:val="en-CA"/>
              </w:rPr>
              <w:t>=</w:t>
            </w:r>
          </w:p>
        </w:tc>
        <w:tc>
          <w:tcPr>
            <w:tcW w:w="4505" w:type="dxa"/>
            <w:vAlign w:val="center"/>
          </w:tcPr>
          <w:p w14:paraId="499DA02B" w14:textId="77777777" w:rsidR="00756597" w:rsidRDefault="00756597" w:rsidP="007E530C">
            <w:pPr>
              <w:ind w:left="161"/>
              <w:rPr>
                <w:lang w:val="en-CA"/>
              </w:rPr>
            </w:pPr>
            <w:r>
              <w:rPr>
                <w:lang w:val="en-CA"/>
              </w:rPr>
              <w:t>External heat transfer coefficient (W m</w:t>
            </w:r>
            <w:r w:rsidRPr="00BB0493">
              <w:rPr>
                <w:vertAlign w:val="superscript"/>
                <w:lang w:val="en-CA"/>
              </w:rPr>
              <w:t>-</w:t>
            </w:r>
            <w:r>
              <w:rPr>
                <w:vertAlign w:val="superscript"/>
                <w:lang w:val="en-CA"/>
              </w:rPr>
              <w:t>2</w:t>
            </w:r>
            <w:r>
              <w:rPr>
                <w:lang w:val="en-CA"/>
              </w:rPr>
              <w:t xml:space="preserve"> K</w:t>
            </w:r>
            <w:r w:rsidRPr="00BB0493">
              <w:rPr>
                <w:vertAlign w:val="superscript"/>
                <w:lang w:val="en-CA"/>
              </w:rPr>
              <w:t>-1</w:t>
            </w:r>
            <w:r>
              <w:rPr>
                <w:lang w:val="en-CA"/>
              </w:rPr>
              <w:t>)</w:t>
            </w:r>
          </w:p>
        </w:tc>
      </w:tr>
      <w:tr w:rsidR="00756597" w14:paraId="1E861D0A" w14:textId="77777777" w:rsidTr="007E530C">
        <w:trPr>
          <w:trHeight w:val="187"/>
          <w:jc w:val="center"/>
        </w:trPr>
        <w:tc>
          <w:tcPr>
            <w:tcW w:w="0" w:type="auto"/>
            <w:shd w:val="clear" w:color="auto" w:fill="auto"/>
          </w:tcPr>
          <w:p w14:paraId="597047AF" w14:textId="77777777" w:rsidR="00756597" w:rsidRDefault="00756597" w:rsidP="007E530C">
            <w:pPr>
              <w:jc w:val="center"/>
              <w:rPr>
                <w:lang w:val="en-CA"/>
              </w:rPr>
            </w:pPr>
          </w:p>
        </w:tc>
        <w:tc>
          <w:tcPr>
            <w:tcW w:w="371" w:type="dxa"/>
            <w:vAlign w:val="center"/>
          </w:tcPr>
          <w:p w14:paraId="437AFB69" w14:textId="77777777" w:rsidR="00756597" w:rsidRDefault="00756597" w:rsidP="007E530C">
            <w:pPr>
              <w:jc w:val="center"/>
              <w:rPr>
                <w:lang w:val="en-CA"/>
              </w:rPr>
            </w:pPr>
          </w:p>
        </w:tc>
        <w:tc>
          <w:tcPr>
            <w:tcW w:w="371" w:type="dxa"/>
            <w:vAlign w:val="center"/>
          </w:tcPr>
          <w:p w14:paraId="600BC821" w14:textId="77777777" w:rsidR="00756597" w:rsidRDefault="00756597" w:rsidP="007E530C">
            <w:pPr>
              <w:jc w:val="center"/>
              <w:rPr>
                <w:lang w:val="en-CA"/>
              </w:rPr>
            </w:pPr>
            <m:oMathPara>
              <m:oMath>
                <m:r>
                  <w:rPr>
                    <w:rFonts w:ascii="Cambria Math" w:eastAsia="SimSun" w:hAnsi="Cambria Math"/>
                    <w:lang w:val="en" w:eastAsia="zh-CN"/>
                  </w:rPr>
                  <m:t>r</m:t>
                </m:r>
              </m:oMath>
            </m:oMathPara>
          </w:p>
        </w:tc>
        <w:tc>
          <w:tcPr>
            <w:tcW w:w="400" w:type="dxa"/>
            <w:vAlign w:val="center"/>
          </w:tcPr>
          <w:p w14:paraId="3F0983CA" w14:textId="77777777" w:rsidR="00756597" w:rsidRDefault="00756597" w:rsidP="007E530C">
            <w:pPr>
              <w:jc w:val="center"/>
              <w:rPr>
                <w:lang w:val="en-CA"/>
              </w:rPr>
            </w:pPr>
            <w:r>
              <w:rPr>
                <w:lang w:val="en-CA"/>
              </w:rPr>
              <w:t>=</w:t>
            </w:r>
          </w:p>
        </w:tc>
        <w:tc>
          <w:tcPr>
            <w:tcW w:w="4505" w:type="dxa"/>
            <w:vAlign w:val="center"/>
          </w:tcPr>
          <w:p w14:paraId="6B11A224" w14:textId="77777777" w:rsidR="00756597" w:rsidRDefault="00756597" w:rsidP="007E530C">
            <w:pPr>
              <w:ind w:left="161"/>
              <w:rPr>
                <w:lang w:val="en-CA"/>
              </w:rPr>
            </w:pPr>
            <w:r>
              <w:rPr>
                <w:lang w:val="en-CA"/>
              </w:rPr>
              <w:t>Characteristic length of the package (m)</w:t>
            </w:r>
          </w:p>
        </w:tc>
      </w:tr>
    </w:tbl>
    <w:p w14:paraId="1A14DA15" w14:textId="77777777" w:rsidR="00756597" w:rsidRDefault="00756597" w:rsidP="00756597">
      <w:pPr>
        <w:pStyle w:val="SingleTxtG"/>
        <w:spacing w:line="240" w:lineRule="auto"/>
        <w:rPr>
          <w:lang w:val="en-CA"/>
        </w:rPr>
      </w:pPr>
    </w:p>
    <w:p w14:paraId="2CFF1C1D" w14:textId="77777777" w:rsidR="00756597" w:rsidRDefault="00756597" w:rsidP="00756597">
      <w:pPr>
        <w:pStyle w:val="SingleTxtG"/>
        <w:numPr>
          <w:ilvl w:val="0"/>
          <w:numId w:val="21"/>
        </w:numPr>
        <w:tabs>
          <w:tab w:val="clear" w:pos="2268"/>
          <w:tab w:val="clear" w:pos="2835"/>
        </w:tabs>
        <w:spacing w:line="240" w:lineRule="auto"/>
        <w:ind w:left="1134" w:firstLine="0"/>
        <w:rPr>
          <w:lang w:val="en-CA"/>
        </w:rPr>
      </w:pPr>
      <w:bookmarkStart w:id="5" w:name="_Ref165392471"/>
      <w:r w:rsidRPr="002E047C">
        <w:rPr>
          <w:lang w:val="en-CA"/>
        </w:rPr>
        <w:t xml:space="preserve">Conservatively assuming zero-order kinetics for the decomposition reaction, the adiabatic induction time </w:t>
      </w:r>
      <w:r>
        <w:rPr>
          <w:lang w:val="en-CA"/>
        </w:rPr>
        <w:t>(</w:t>
      </w:r>
      <w:r w:rsidRPr="004E7F10">
        <w:rPr>
          <w:rFonts w:ascii="Symbol" w:hAnsi="Symbol"/>
          <w:lang w:val="en-CA"/>
        </w:rPr>
        <w:t>t</w:t>
      </w:r>
      <w:r>
        <w:rPr>
          <w:vertAlign w:val="subscript"/>
          <w:lang w:val="en-CA"/>
        </w:rPr>
        <w:t>chem</w:t>
      </w:r>
      <w:r>
        <w:rPr>
          <w:lang w:val="en-CA"/>
        </w:rPr>
        <w:t xml:space="preserve">) </w:t>
      </w:r>
      <w:r w:rsidRPr="002E047C">
        <w:rPr>
          <w:lang w:val="en-CA"/>
        </w:rPr>
        <w:t>can be calculated from the following equation</w:t>
      </w:r>
      <w:bookmarkEnd w:id="3"/>
      <w:r>
        <w:rPr>
          <w:lang w:val="en-CA"/>
        </w:rPr>
        <w:t>, which is the same equation used previously under the Semenov model</w:t>
      </w:r>
      <w:r w:rsidRPr="002E047C">
        <w:rPr>
          <w:lang w:val="en-CA"/>
        </w:rPr>
        <w:t>:</w:t>
      </w:r>
      <w:bookmarkEnd w:id="4"/>
      <w:bookmarkEnd w:id="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371"/>
        <w:gridCol w:w="380"/>
        <w:gridCol w:w="400"/>
        <w:gridCol w:w="4501"/>
      </w:tblGrid>
      <w:tr w:rsidR="00756597" w14:paraId="362E70F2" w14:textId="77777777" w:rsidTr="007E530C">
        <w:trPr>
          <w:trHeight w:val="187"/>
          <w:jc w:val="center"/>
        </w:trPr>
        <w:tc>
          <w:tcPr>
            <w:tcW w:w="0" w:type="auto"/>
            <w:vMerge w:val="restart"/>
          </w:tcPr>
          <w:p w14:paraId="51E65F1F" w14:textId="77777777" w:rsidR="00756597" w:rsidRPr="00712F55" w:rsidRDefault="00000000" w:rsidP="007E530C">
            <w:pPr>
              <w:jc w:val="center"/>
              <w:rPr>
                <w:lang w:val="en-CA"/>
              </w:rPr>
            </w:pPr>
            <m:oMathPara>
              <m:oMath>
                <m:sSub>
                  <m:sSubPr>
                    <m:ctrlPr>
                      <w:rPr>
                        <w:rFonts w:ascii="Cambria Math" w:eastAsia="SimSun" w:hAnsi="Cambria Math"/>
                        <w:i/>
                        <w:lang w:val="en" w:eastAsia="zh-CN"/>
                      </w:rPr>
                    </m:ctrlPr>
                  </m:sSubPr>
                  <m:e>
                    <m:r>
                      <w:rPr>
                        <w:rFonts w:ascii="Cambria Math" w:eastAsia="SimSun" w:hAnsi="Cambria Math"/>
                        <w:lang w:val="en" w:eastAsia="zh-CN"/>
                      </w:rPr>
                      <m:t>τ</m:t>
                    </m:r>
                  </m:e>
                  <m:sub>
                    <m:r>
                      <w:rPr>
                        <w:rFonts w:ascii="Cambria Math" w:eastAsia="SimSun" w:hAnsi="Cambria Math"/>
                        <w:lang w:val="en" w:eastAsia="zh-CN"/>
                      </w:rPr>
                      <m:t>chem</m:t>
                    </m:r>
                  </m:sub>
                </m:sSub>
                <m:r>
                  <w:rPr>
                    <w:rFonts w:ascii="Cambria Math" w:eastAsia="SimSun" w:hAnsi="Cambria Math"/>
                    <w:lang w:val="en" w:eastAsia="zh-CN"/>
                  </w:rPr>
                  <m:t>=</m:t>
                </m:r>
                <m:f>
                  <m:fPr>
                    <m:ctrlPr>
                      <w:rPr>
                        <w:rFonts w:ascii="Cambria Math" w:eastAsia="SimSun" w:hAnsi="Cambria Math"/>
                        <w:i/>
                        <w:lang w:val="en" w:eastAsia="zh-CN"/>
                      </w:rPr>
                    </m:ctrlPr>
                  </m:fPr>
                  <m:num>
                    <m:sSub>
                      <m:sSubPr>
                        <m:ctrlPr>
                          <w:rPr>
                            <w:rFonts w:ascii="Cambria Math" w:eastAsia="SimSun" w:hAnsi="Cambria Math"/>
                            <w:i/>
                            <w:lang w:val="en" w:eastAsia="zh-CN"/>
                          </w:rPr>
                        </m:ctrlPr>
                      </m:sSubPr>
                      <m:e>
                        <m:r>
                          <w:rPr>
                            <w:rFonts w:ascii="Cambria Math" w:eastAsia="SimSun" w:hAnsi="Cambria Math"/>
                            <w:lang w:val="en" w:eastAsia="zh-CN"/>
                          </w:rPr>
                          <m:t>c</m:t>
                        </m:r>
                      </m:e>
                      <m:sub>
                        <m:r>
                          <w:rPr>
                            <w:rFonts w:ascii="Cambria Math" w:eastAsia="SimSun" w:hAnsi="Cambria Math"/>
                            <w:lang w:val="en" w:eastAsia="zh-CN"/>
                          </w:rPr>
                          <m:t>p</m:t>
                        </m:r>
                      </m:sub>
                    </m:sSub>
                    <m:r>
                      <w:rPr>
                        <w:rFonts w:ascii="Cambria Math" w:eastAsia="SimSun" w:hAnsi="Cambria Math"/>
                        <w:lang w:val="en" w:eastAsia="zh-CN"/>
                      </w:rPr>
                      <m:t>∙R∙</m:t>
                    </m:r>
                    <m:sSup>
                      <m:sSupPr>
                        <m:ctrlPr>
                          <w:rPr>
                            <w:rFonts w:ascii="Cambria Math" w:eastAsia="SimSun" w:hAnsi="Cambria Math"/>
                            <w:i/>
                            <w:lang w:val="en" w:eastAsia="zh-CN"/>
                          </w:rPr>
                        </m:ctrlPr>
                      </m:sSupPr>
                      <m:e>
                        <m:r>
                          <w:rPr>
                            <w:rFonts w:ascii="Cambria Math" w:eastAsia="SimSun" w:hAnsi="Cambria Math"/>
                            <w:lang w:val="en" w:eastAsia="zh-CN"/>
                          </w:rPr>
                          <m:t>T</m:t>
                        </m:r>
                      </m:e>
                      <m:sup>
                        <m:r>
                          <w:rPr>
                            <w:rFonts w:ascii="Cambria Math" w:eastAsia="SimSun" w:hAnsi="Cambria Math"/>
                            <w:lang w:val="en" w:eastAsia="zh-CN"/>
                          </w:rPr>
                          <m:t>2</m:t>
                        </m:r>
                      </m:sup>
                    </m:sSup>
                  </m:num>
                  <m:den>
                    <m:sSub>
                      <m:sSubPr>
                        <m:ctrlPr>
                          <w:rPr>
                            <w:rFonts w:ascii="Cambria Math" w:eastAsia="SimSun" w:hAnsi="Cambria Math"/>
                            <w:i/>
                            <w:lang w:val="en" w:eastAsia="zh-CN"/>
                          </w:rPr>
                        </m:ctrlPr>
                      </m:sSubPr>
                      <m:e>
                        <m:r>
                          <w:rPr>
                            <w:rFonts w:ascii="Cambria Math" w:eastAsia="SimSun" w:hAnsi="Cambria Math"/>
                            <w:lang w:val="en" w:eastAsia="zh-CN"/>
                          </w:rPr>
                          <m:t>E</m:t>
                        </m:r>
                      </m:e>
                      <m:sub>
                        <m:r>
                          <w:rPr>
                            <w:rFonts w:ascii="Cambria Math" w:eastAsia="SimSun" w:hAnsi="Cambria Math"/>
                            <w:lang w:val="en" w:eastAsia="zh-CN"/>
                          </w:rPr>
                          <m:t>a</m:t>
                        </m:r>
                      </m:sub>
                    </m:sSub>
                    <m:r>
                      <w:rPr>
                        <w:rFonts w:ascii="Cambria Math" w:eastAsia="SimSun" w:hAnsi="Cambria Math"/>
                        <w:lang w:val="en" w:eastAsia="zh-CN"/>
                      </w:rPr>
                      <m:t>∙</m:t>
                    </m:r>
                    <m:acc>
                      <m:accPr>
                        <m:chr m:val="̇"/>
                        <m:ctrlPr>
                          <w:rPr>
                            <w:rFonts w:ascii="Cambria Math" w:eastAsia="SimSun" w:hAnsi="Cambria Math"/>
                            <w:i/>
                            <w:lang w:val="en" w:eastAsia="zh-CN"/>
                          </w:rPr>
                        </m:ctrlPr>
                      </m:accPr>
                      <m:e>
                        <m:sSub>
                          <m:sSubPr>
                            <m:ctrlPr>
                              <w:rPr>
                                <w:rFonts w:ascii="Cambria Math" w:eastAsia="SimSun" w:hAnsi="Cambria Math"/>
                                <w:i/>
                                <w:lang w:val="en" w:eastAsia="zh-CN"/>
                              </w:rPr>
                            </m:ctrlPr>
                          </m:sSubPr>
                          <m:e>
                            <m:r>
                              <w:rPr>
                                <w:rFonts w:ascii="Cambria Math" w:eastAsia="SimSun" w:hAnsi="Cambria Math"/>
                                <w:lang w:val="en" w:eastAsia="zh-CN"/>
                              </w:rPr>
                              <m:t>q</m:t>
                            </m:r>
                          </m:e>
                          <m:sub>
                            <m:r>
                              <w:rPr>
                                <w:rFonts w:ascii="Cambria Math" w:eastAsia="SimSun" w:hAnsi="Cambria Math"/>
                                <w:lang w:val="en" w:eastAsia="zh-CN"/>
                              </w:rPr>
                              <m:t>T</m:t>
                            </m:r>
                          </m:sub>
                        </m:sSub>
                      </m:e>
                    </m:acc>
                  </m:den>
                </m:f>
              </m:oMath>
            </m:oMathPara>
          </w:p>
        </w:tc>
        <w:tc>
          <w:tcPr>
            <w:tcW w:w="371" w:type="dxa"/>
            <w:vAlign w:val="center"/>
          </w:tcPr>
          <w:p w14:paraId="0DDC1942" w14:textId="77777777" w:rsidR="00756597" w:rsidRDefault="00756597" w:rsidP="007E530C">
            <w:pPr>
              <w:jc w:val="center"/>
              <w:rPr>
                <w:lang w:val="en-CA"/>
              </w:rPr>
            </w:pPr>
          </w:p>
        </w:tc>
        <w:tc>
          <w:tcPr>
            <w:tcW w:w="380" w:type="dxa"/>
            <w:vAlign w:val="center"/>
          </w:tcPr>
          <w:p w14:paraId="4FC1A928" w14:textId="77777777" w:rsidR="00756597" w:rsidRDefault="00756597" w:rsidP="007E530C">
            <w:pPr>
              <w:jc w:val="center"/>
              <w:rPr>
                <w:lang w:val="en-CA"/>
              </w:rPr>
            </w:pPr>
            <w:r w:rsidRPr="004E7F10">
              <w:rPr>
                <w:rFonts w:ascii="Symbol" w:hAnsi="Symbol"/>
                <w:lang w:val="en-CA"/>
              </w:rPr>
              <w:t>t</w:t>
            </w:r>
            <w:r w:rsidRPr="004E7F10">
              <w:rPr>
                <w:vertAlign w:val="subscript"/>
                <w:lang w:val="en-CA"/>
              </w:rPr>
              <w:t>chem</w:t>
            </w:r>
          </w:p>
        </w:tc>
        <w:tc>
          <w:tcPr>
            <w:tcW w:w="400" w:type="dxa"/>
            <w:vAlign w:val="center"/>
          </w:tcPr>
          <w:p w14:paraId="53833580" w14:textId="77777777" w:rsidR="00756597" w:rsidRDefault="00756597" w:rsidP="007E530C">
            <w:pPr>
              <w:jc w:val="center"/>
              <w:rPr>
                <w:lang w:val="en-CA"/>
              </w:rPr>
            </w:pPr>
            <w:r>
              <w:rPr>
                <w:lang w:val="en-CA"/>
              </w:rPr>
              <w:t>=</w:t>
            </w:r>
          </w:p>
        </w:tc>
        <w:tc>
          <w:tcPr>
            <w:tcW w:w="4501" w:type="dxa"/>
            <w:vAlign w:val="center"/>
          </w:tcPr>
          <w:p w14:paraId="6BA864C3" w14:textId="77777777" w:rsidR="00756597" w:rsidRDefault="00756597" w:rsidP="007E530C">
            <w:pPr>
              <w:ind w:left="127"/>
              <w:rPr>
                <w:lang w:val="en-CA"/>
              </w:rPr>
            </w:pPr>
            <w:r>
              <w:rPr>
                <w:lang w:val="en-CA"/>
              </w:rPr>
              <w:t>Adiabatic induction time (s)</w:t>
            </w:r>
          </w:p>
        </w:tc>
      </w:tr>
      <w:tr w:rsidR="00756597" w14:paraId="08494467" w14:textId="77777777" w:rsidTr="007E530C">
        <w:trPr>
          <w:trHeight w:val="187"/>
          <w:jc w:val="center"/>
        </w:trPr>
        <w:tc>
          <w:tcPr>
            <w:tcW w:w="0" w:type="auto"/>
            <w:vMerge/>
            <w:shd w:val="clear" w:color="auto" w:fill="auto"/>
          </w:tcPr>
          <w:p w14:paraId="2EAFC12B" w14:textId="77777777" w:rsidR="00756597" w:rsidRDefault="00756597" w:rsidP="007E530C">
            <w:pPr>
              <w:jc w:val="center"/>
              <w:rPr>
                <w:lang w:val="en-CA"/>
              </w:rPr>
            </w:pPr>
          </w:p>
        </w:tc>
        <w:tc>
          <w:tcPr>
            <w:tcW w:w="371" w:type="dxa"/>
            <w:vAlign w:val="center"/>
          </w:tcPr>
          <w:p w14:paraId="27924C84" w14:textId="77777777" w:rsidR="00756597" w:rsidRDefault="00756597" w:rsidP="007E530C">
            <w:pPr>
              <w:jc w:val="center"/>
              <w:rPr>
                <w:lang w:val="en-CA"/>
              </w:rPr>
            </w:pPr>
          </w:p>
        </w:tc>
        <w:tc>
          <w:tcPr>
            <w:tcW w:w="380" w:type="dxa"/>
            <w:vAlign w:val="center"/>
          </w:tcPr>
          <w:p w14:paraId="328E18C7" w14:textId="77777777" w:rsidR="00756597" w:rsidRDefault="00756597" w:rsidP="007E530C">
            <w:pPr>
              <w:jc w:val="center"/>
              <w:rPr>
                <w:lang w:val="en-CA"/>
              </w:rPr>
            </w:pPr>
            <w:r>
              <w:rPr>
                <w:lang w:val="en-CA"/>
              </w:rPr>
              <w:t>c</w:t>
            </w:r>
            <w:r>
              <w:rPr>
                <w:vertAlign w:val="subscript"/>
                <w:lang w:val="en-CA"/>
              </w:rPr>
              <w:t>p</w:t>
            </w:r>
          </w:p>
        </w:tc>
        <w:tc>
          <w:tcPr>
            <w:tcW w:w="400" w:type="dxa"/>
            <w:vAlign w:val="center"/>
          </w:tcPr>
          <w:p w14:paraId="1059664F" w14:textId="77777777" w:rsidR="00756597" w:rsidRDefault="00756597" w:rsidP="007E530C">
            <w:pPr>
              <w:jc w:val="center"/>
              <w:rPr>
                <w:lang w:val="en-CA"/>
              </w:rPr>
            </w:pPr>
            <w:r>
              <w:rPr>
                <w:lang w:val="en-CA"/>
              </w:rPr>
              <w:t>=̇</w:t>
            </w:r>
          </w:p>
        </w:tc>
        <w:tc>
          <w:tcPr>
            <w:tcW w:w="4501" w:type="dxa"/>
            <w:vAlign w:val="center"/>
          </w:tcPr>
          <w:p w14:paraId="50B69A46" w14:textId="77777777" w:rsidR="00756597" w:rsidRDefault="00756597" w:rsidP="007E530C">
            <w:pPr>
              <w:ind w:left="127"/>
              <w:rPr>
                <w:lang w:val="en-CA"/>
              </w:rPr>
            </w:pPr>
            <w:r>
              <w:rPr>
                <w:lang w:val="en-CA"/>
              </w:rPr>
              <w:t>Heat capacity (J kg</w:t>
            </w:r>
            <w:r w:rsidRPr="00444F7A">
              <w:rPr>
                <w:vertAlign w:val="superscript"/>
                <w:lang w:val="en-CA"/>
              </w:rPr>
              <w:t>-1</w:t>
            </w:r>
            <w:r w:rsidRPr="00B67F6A">
              <w:rPr>
                <w:lang w:val="en-CA"/>
              </w:rPr>
              <w:t xml:space="preserve"> </w:t>
            </w:r>
            <w:r>
              <w:rPr>
                <w:lang w:val="en-CA"/>
              </w:rPr>
              <w:t>K</w:t>
            </w:r>
            <w:r w:rsidRPr="005357FE">
              <w:rPr>
                <w:vertAlign w:val="superscript"/>
                <w:lang w:val="en-CA"/>
              </w:rPr>
              <w:t>-1</w:t>
            </w:r>
            <w:r>
              <w:rPr>
                <w:lang w:val="en-CA"/>
              </w:rPr>
              <w:t>)</w:t>
            </w:r>
          </w:p>
        </w:tc>
      </w:tr>
      <w:tr w:rsidR="00756597" w14:paraId="415DDFFC" w14:textId="77777777" w:rsidTr="007E530C">
        <w:trPr>
          <w:trHeight w:val="187"/>
          <w:jc w:val="center"/>
        </w:trPr>
        <w:tc>
          <w:tcPr>
            <w:tcW w:w="0" w:type="auto"/>
            <w:vMerge/>
            <w:shd w:val="clear" w:color="auto" w:fill="auto"/>
          </w:tcPr>
          <w:p w14:paraId="7DD1D624" w14:textId="77777777" w:rsidR="00756597" w:rsidRDefault="00756597" w:rsidP="007E530C">
            <w:pPr>
              <w:jc w:val="center"/>
              <w:rPr>
                <w:lang w:val="en-CA"/>
              </w:rPr>
            </w:pPr>
          </w:p>
        </w:tc>
        <w:tc>
          <w:tcPr>
            <w:tcW w:w="371" w:type="dxa"/>
            <w:vAlign w:val="center"/>
          </w:tcPr>
          <w:p w14:paraId="76112227" w14:textId="77777777" w:rsidR="00756597" w:rsidRDefault="00756597" w:rsidP="007E530C">
            <w:pPr>
              <w:jc w:val="center"/>
              <w:rPr>
                <w:lang w:val="en-CA"/>
              </w:rPr>
            </w:pPr>
          </w:p>
        </w:tc>
        <w:tc>
          <w:tcPr>
            <w:tcW w:w="380" w:type="dxa"/>
            <w:vAlign w:val="center"/>
          </w:tcPr>
          <w:p w14:paraId="0A5834C6" w14:textId="77777777" w:rsidR="00756597" w:rsidRDefault="00756597" w:rsidP="007E530C">
            <w:pPr>
              <w:jc w:val="center"/>
              <w:rPr>
                <w:lang w:val="en-CA"/>
              </w:rPr>
            </w:pPr>
            <w:r>
              <w:rPr>
                <w:lang w:val="en-CA"/>
              </w:rPr>
              <w:t>R</w:t>
            </w:r>
          </w:p>
        </w:tc>
        <w:tc>
          <w:tcPr>
            <w:tcW w:w="400" w:type="dxa"/>
            <w:vAlign w:val="center"/>
          </w:tcPr>
          <w:p w14:paraId="74ED341E" w14:textId="77777777" w:rsidR="00756597" w:rsidRDefault="00756597" w:rsidP="007E530C">
            <w:pPr>
              <w:jc w:val="center"/>
              <w:rPr>
                <w:lang w:val="en-CA"/>
              </w:rPr>
            </w:pPr>
            <w:r>
              <w:rPr>
                <w:lang w:val="en-CA"/>
              </w:rPr>
              <w:t>=</w:t>
            </w:r>
          </w:p>
        </w:tc>
        <w:tc>
          <w:tcPr>
            <w:tcW w:w="4501" w:type="dxa"/>
            <w:vAlign w:val="center"/>
          </w:tcPr>
          <w:p w14:paraId="4AF558D6" w14:textId="77777777" w:rsidR="00756597" w:rsidRDefault="00756597" w:rsidP="007E530C">
            <w:pPr>
              <w:ind w:left="127"/>
              <w:rPr>
                <w:lang w:val="en-CA"/>
              </w:rPr>
            </w:pPr>
            <w:r>
              <w:rPr>
                <w:lang w:val="en-CA"/>
              </w:rPr>
              <w:t>Universal gas constant (8.314 J mol</w:t>
            </w:r>
            <w:r w:rsidRPr="005357FE">
              <w:rPr>
                <w:vertAlign w:val="superscript"/>
                <w:lang w:val="en-CA"/>
              </w:rPr>
              <w:t>-1</w:t>
            </w:r>
            <w:r>
              <w:rPr>
                <w:lang w:val="en-CA"/>
              </w:rPr>
              <w:t xml:space="preserve"> K</w:t>
            </w:r>
            <w:r w:rsidRPr="005357FE">
              <w:rPr>
                <w:vertAlign w:val="superscript"/>
                <w:lang w:val="en-CA"/>
              </w:rPr>
              <w:t>-1</w:t>
            </w:r>
            <w:r>
              <w:rPr>
                <w:lang w:val="en-CA"/>
              </w:rPr>
              <w:t>)</w:t>
            </w:r>
          </w:p>
        </w:tc>
      </w:tr>
      <w:tr w:rsidR="00756597" w14:paraId="3D241699" w14:textId="77777777" w:rsidTr="007E530C">
        <w:trPr>
          <w:trHeight w:val="187"/>
          <w:jc w:val="center"/>
        </w:trPr>
        <w:tc>
          <w:tcPr>
            <w:tcW w:w="0" w:type="auto"/>
          </w:tcPr>
          <w:p w14:paraId="4966A302" w14:textId="77777777" w:rsidR="00756597" w:rsidRDefault="00756597" w:rsidP="007E530C">
            <w:pPr>
              <w:jc w:val="center"/>
              <w:rPr>
                <w:lang w:val="en-CA"/>
              </w:rPr>
            </w:pPr>
          </w:p>
        </w:tc>
        <w:tc>
          <w:tcPr>
            <w:tcW w:w="371" w:type="dxa"/>
            <w:vAlign w:val="center"/>
          </w:tcPr>
          <w:p w14:paraId="0188631D" w14:textId="77777777" w:rsidR="00756597" w:rsidRDefault="00756597" w:rsidP="007E530C">
            <w:pPr>
              <w:jc w:val="center"/>
              <w:rPr>
                <w:lang w:val="en-CA"/>
              </w:rPr>
            </w:pPr>
          </w:p>
        </w:tc>
        <w:tc>
          <w:tcPr>
            <w:tcW w:w="380" w:type="dxa"/>
            <w:vAlign w:val="center"/>
          </w:tcPr>
          <w:p w14:paraId="684F0BC6" w14:textId="77777777" w:rsidR="00756597" w:rsidRDefault="00756597" w:rsidP="007E530C">
            <w:pPr>
              <w:jc w:val="center"/>
              <w:rPr>
                <w:lang w:val="en-CA"/>
              </w:rPr>
            </w:pPr>
            <w:r>
              <w:rPr>
                <w:lang w:val="en-CA"/>
              </w:rPr>
              <w:t>T</w:t>
            </w:r>
          </w:p>
        </w:tc>
        <w:tc>
          <w:tcPr>
            <w:tcW w:w="400" w:type="dxa"/>
            <w:vAlign w:val="center"/>
          </w:tcPr>
          <w:p w14:paraId="3B83ACA2" w14:textId="77777777" w:rsidR="00756597" w:rsidRDefault="00756597" w:rsidP="007E530C">
            <w:pPr>
              <w:jc w:val="center"/>
              <w:rPr>
                <w:lang w:val="en-CA"/>
              </w:rPr>
            </w:pPr>
            <w:r>
              <w:rPr>
                <w:lang w:val="en-CA"/>
              </w:rPr>
              <w:t>=</w:t>
            </w:r>
          </w:p>
        </w:tc>
        <w:tc>
          <w:tcPr>
            <w:tcW w:w="4501" w:type="dxa"/>
            <w:vAlign w:val="center"/>
          </w:tcPr>
          <w:p w14:paraId="458291E7" w14:textId="77777777" w:rsidR="00756597" w:rsidRDefault="00756597" w:rsidP="007E530C">
            <w:pPr>
              <w:ind w:left="127"/>
              <w:rPr>
                <w:lang w:val="en-CA"/>
              </w:rPr>
            </w:pPr>
            <w:r>
              <w:rPr>
                <w:lang w:val="en-CA"/>
              </w:rPr>
              <w:t>Temperature (K)</w:t>
            </w:r>
          </w:p>
        </w:tc>
      </w:tr>
      <w:tr w:rsidR="00756597" w14:paraId="54B061FF" w14:textId="77777777" w:rsidTr="007E530C">
        <w:trPr>
          <w:trHeight w:val="187"/>
          <w:jc w:val="center"/>
        </w:trPr>
        <w:tc>
          <w:tcPr>
            <w:tcW w:w="0" w:type="auto"/>
            <w:vAlign w:val="center"/>
          </w:tcPr>
          <w:p w14:paraId="2C83B098" w14:textId="77777777" w:rsidR="00756597" w:rsidRDefault="00756597" w:rsidP="007E530C">
            <w:pPr>
              <w:rPr>
                <w:lang w:val="en-CA"/>
              </w:rPr>
            </w:pPr>
          </w:p>
        </w:tc>
        <w:tc>
          <w:tcPr>
            <w:tcW w:w="371" w:type="dxa"/>
            <w:vAlign w:val="center"/>
          </w:tcPr>
          <w:p w14:paraId="531A75DC" w14:textId="77777777" w:rsidR="00756597" w:rsidRDefault="00756597" w:rsidP="007E530C">
            <w:pPr>
              <w:jc w:val="center"/>
              <w:rPr>
                <w:lang w:val="en-CA"/>
              </w:rPr>
            </w:pPr>
          </w:p>
        </w:tc>
        <w:tc>
          <w:tcPr>
            <w:tcW w:w="380" w:type="dxa"/>
            <w:vAlign w:val="center"/>
          </w:tcPr>
          <w:p w14:paraId="39284D11" w14:textId="77777777" w:rsidR="00756597" w:rsidRDefault="00756597" w:rsidP="007E530C">
            <w:pPr>
              <w:jc w:val="center"/>
              <w:rPr>
                <w:lang w:val="en-CA"/>
              </w:rPr>
            </w:pPr>
            <w:proofErr w:type="spellStart"/>
            <w:r>
              <w:rPr>
                <w:lang w:val="en-CA"/>
              </w:rPr>
              <w:t>E</w:t>
            </w:r>
            <w:r w:rsidRPr="00D9603C">
              <w:rPr>
                <w:vertAlign w:val="subscript"/>
                <w:lang w:val="en-CA"/>
              </w:rPr>
              <w:t>a</w:t>
            </w:r>
            <w:proofErr w:type="spellEnd"/>
          </w:p>
        </w:tc>
        <w:tc>
          <w:tcPr>
            <w:tcW w:w="400" w:type="dxa"/>
            <w:vAlign w:val="center"/>
          </w:tcPr>
          <w:p w14:paraId="5A215E57" w14:textId="77777777" w:rsidR="00756597" w:rsidRDefault="00756597" w:rsidP="007E530C">
            <w:pPr>
              <w:jc w:val="center"/>
              <w:rPr>
                <w:lang w:val="en-CA"/>
              </w:rPr>
            </w:pPr>
            <w:r>
              <w:rPr>
                <w:lang w:val="en-CA"/>
              </w:rPr>
              <w:t>=</w:t>
            </w:r>
          </w:p>
        </w:tc>
        <w:tc>
          <w:tcPr>
            <w:tcW w:w="4501" w:type="dxa"/>
            <w:vAlign w:val="center"/>
          </w:tcPr>
          <w:p w14:paraId="4D2D0F4A" w14:textId="77777777" w:rsidR="00756597" w:rsidRDefault="00756597" w:rsidP="007E530C">
            <w:pPr>
              <w:ind w:left="127"/>
              <w:rPr>
                <w:lang w:val="en-CA"/>
              </w:rPr>
            </w:pPr>
            <w:r>
              <w:rPr>
                <w:lang w:val="en-CA"/>
              </w:rPr>
              <w:t>Activation energy (J mol</w:t>
            </w:r>
            <w:r w:rsidRPr="005357FE">
              <w:rPr>
                <w:vertAlign w:val="superscript"/>
                <w:lang w:val="en-CA"/>
              </w:rPr>
              <w:t>-1</w:t>
            </w:r>
            <w:r>
              <w:rPr>
                <w:lang w:val="en-CA"/>
              </w:rPr>
              <w:t>)</w:t>
            </w:r>
          </w:p>
        </w:tc>
      </w:tr>
      <w:tr w:rsidR="00756597" w14:paraId="6E52D1C2" w14:textId="77777777" w:rsidTr="007E530C">
        <w:trPr>
          <w:trHeight w:val="246"/>
          <w:jc w:val="center"/>
        </w:trPr>
        <w:tc>
          <w:tcPr>
            <w:tcW w:w="0" w:type="auto"/>
            <w:vAlign w:val="center"/>
          </w:tcPr>
          <w:p w14:paraId="0DAC64DB" w14:textId="77777777" w:rsidR="00756597" w:rsidRDefault="00756597" w:rsidP="007E530C">
            <w:pPr>
              <w:rPr>
                <w:lang w:val="en-CA"/>
              </w:rPr>
            </w:pPr>
          </w:p>
        </w:tc>
        <w:tc>
          <w:tcPr>
            <w:tcW w:w="371" w:type="dxa"/>
            <w:vAlign w:val="center"/>
          </w:tcPr>
          <w:p w14:paraId="29A5EAA5" w14:textId="77777777" w:rsidR="00756597" w:rsidRDefault="00756597" w:rsidP="007E530C">
            <w:pPr>
              <w:jc w:val="center"/>
              <w:rPr>
                <w:lang w:val="en-CA"/>
              </w:rPr>
            </w:pPr>
          </w:p>
        </w:tc>
        <w:tc>
          <w:tcPr>
            <w:tcW w:w="380" w:type="dxa"/>
            <w:vAlign w:val="center"/>
          </w:tcPr>
          <w:p w14:paraId="5D27818C" w14:textId="77777777" w:rsidR="00756597" w:rsidRPr="00802BEB" w:rsidRDefault="00756597" w:rsidP="007E530C">
            <w:pPr>
              <w:jc w:val="center"/>
              <w:rPr>
                <w:vertAlign w:val="subscript"/>
                <w:lang w:val="en-CA"/>
              </w:rPr>
            </w:pPr>
            <w:proofErr w:type="spellStart"/>
            <w:r>
              <w:rPr>
                <w:lang w:val="en-CA"/>
              </w:rPr>
              <w:t>q̇</w:t>
            </w:r>
            <w:r w:rsidRPr="00642C7C">
              <w:rPr>
                <w:vertAlign w:val="subscript"/>
                <w:lang w:val="en-CA"/>
              </w:rPr>
              <w:t>T</w:t>
            </w:r>
            <w:proofErr w:type="spellEnd"/>
          </w:p>
        </w:tc>
        <w:tc>
          <w:tcPr>
            <w:tcW w:w="400" w:type="dxa"/>
            <w:vAlign w:val="center"/>
          </w:tcPr>
          <w:p w14:paraId="4FA1CE3F" w14:textId="77777777" w:rsidR="00756597" w:rsidRDefault="00756597" w:rsidP="007E530C">
            <w:pPr>
              <w:jc w:val="center"/>
              <w:rPr>
                <w:lang w:val="en-CA"/>
              </w:rPr>
            </w:pPr>
            <w:r>
              <w:rPr>
                <w:lang w:val="en-CA"/>
              </w:rPr>
              <w:t>=</w:t>
            </w:r>
          </w:p>
        </w:tc>
        <w:tc>
          <w:tcPr>
            <w:tcW w:w="4501" w:type="dxa"/>
            <w:vAlign w:val="center"/>
          </w:tcPr>
          <w:p w14:paraId="0D72206E" w14:textId="77777777" w:rsidR="00756597" w:rsidRDefault="00756597" w:rsidP="007E530C">
            <w:pPr>
              <w:ind w:left="127"/>
              <w:rPr>
                <w:lang w:val="en-CA"/>
              </w:rPr>
            </w:pPr>
            <w:r>
              <w:rPr>
                <w:lang w:val="en-CA"/>
              </w:rPr>
              <w:t>Specific heat release rate at temperature T (W kg</w:t>
            </w:r>
            <w:r w:rsidRPr="00444F7A">
              <w:rPr>
                <w:vertAlign w:val="superscript"/>
                <w:lang w:val="en-CA"/>
              </w:rPr>
              <w:t>-1</w:t>
            </w:r>
            <w:r>
              <w:rPr>
                <w:lang w:val="en-CA"/>
              </w:rPr>
              <w:t>)</w:t>
            </w:r>
          </w:p>
        </w:tc>
      </w:tr>
    </w:tbl>
    <w:p w14:paraId="7A45E959" w14:textId="77777777" w:rsidR="00756597" w:rsidRDefault="00756597" w:rsidP="00756597">
      <w:pPr>
        <w:pStyle w:val="SingleTxtG"/>
        <w:spacing w:line="240" w:lineRule="auto"/>
        <w:rPr>
          <w:lang w:val="en-CA"/>
        </w:rPr>
      </w:pPr>
    </w:p>
    <w:p w14:paraId="6715EE7F" w14:textId="77777777" w:rsidR="00756597" w:rsidRDefault="00756597" w:rsidP="00756597">
      <w:pPr>
        <w:pStyle w:val="SingleTxtG"/>
        <w:numPr>
          <w:ilvl w:val="0"/>
          <w:numId w:val="21"/>
        </w:numPr>
        <w:tabs>
          <w:tab w:val="clear" w:pos="2268"/>
          <w:tab w:val="clear" w:pos="2835"/>
        </w:tabs>
        <w:spacing w:line="240" w:lineRule="auto"/>
        <w:ind w:left="1134" w:firstLine="0"/>
        <w:rPr>
          <w:lang w:val="en-CA"/>
        </w:rPr>
      </w:pPr>
      <w:bookmarkStart w:id="6" w:name="_Ref161767859"/>
      <w:r>
        <w:rPr>
          <w:lang w:val="en-CA"/>
        </w:rPr>
        <w:t xml:space="preserve">Under the Thomas model, the equation for </w:t>
      </w:r>
      <w:r w:rsidRPr="004E7F10">
        <w:rPr>
          <w:rFonts w:ascii="Symbol" w:hAnsi="Symbol"/>
          <w:lang w:val="en-CA"/>
        </w:rPr>
        <w:t>t</w:t>
      </w:r>
      <w:r w:rsidRPr="004E7F10">
        <w:rPr>
          <w:vertAlign w:val="subscript"/>
          <w:lang w:val="en-CA"/>
        </w:rPr>
        <w:t>relax</w:t>
      </w:r>
      <w:r>
        <w:rPr>
          <w:lang w:val="en-CA"/>
        </w:rPr>
        <w:t xml:space="preserve"> changes to reflect the geometry of the package as well as heat flow parameters for the solid.</w:t>
      </w:r>
      <w:bookmarkEnd w:id="6"/>
    </w:p>
    <w:tbl>
      <w:tblPr>
        <w:tblStyle w:val="TableGrid"/>
        <w:tblW w:w="59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371"/>
        <w:gridCol w:w="630"/>
        <w:gridCol w:w="150"/>
        <w:gridCol w:w="3529"/>
      </w:tblGrid>
      <w:tr w:rsidR="00756597" w14:paraId="13D65066" w14:textId="77777777" w:rsidTr="007E530C">
        <w:trPr>
          <w:trHeight w:val="187"/>
          <w:jc w:val="center"/>
        </w:trPr>
        <w:tc>
          <w:tcPr>
            <w:tcW w:w="1311" w:type="dxa"/>
            <w:vMerge w:val="restart"/>
          </w:tcPr>
          <w:p w14:paraId="4F6B5F05" w14:textId="77777777" w:rsidR="00756597" w:rsidRPr="004F5CEC" w:rsidRDefault="00000000" w:rsidP="007E530C">
            <w:pPr>
              <w:spacing w:before="120" w:after="120" w:line="240" w:lineRule="auto"/>
              <w:jc w:val="center"/>
              <w:rPr>
                <w:rFonts w:ascii="Arial" w:eastAsia="SimSun" w:hAnsi="Arial"/>
                <w:color w:val="4F81BD" w:themeColor="accent1"/>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τ</m:t>
                    </m:r>
                  </m:e>
                  <m:sub>
                    <m:r>
                      <w:rPr>
                        <w:rFonts w:ascii="Cambria Math" w:eastAsia="SimSun" w:hAnsi="Cambria Math"/>
                        <w:lang w:eastAsia="zh-CN"/>
                      </w:rPr>
                      <m:t>relax</m:t>
                    </m:r>
                  </m:sub>
                </m:sSub>
                <m:r>
                  <w:rPr>
                    <w:rFonts w:ascii="Cambria Math" w:eastAsia="SimSun" w:hAnsi="Cambria Math"/>
                    <w:lang w:eastAsia="zh-CN"/>
                  </w:rPr>
                  <m:t>=</m:t>
                </m:r>
                <m:f>
                  <m:fPr>
                    <m:ctrlPr>
                      <w:rPr>
                        <w:rFonts w:ascii="Cambria Math" w:eastAsia="SimSun" w:hAnsi="Cambria Math"/>
                        <w:i/>
                        <w:lang w:eastAsia="zh-CN"/>
                      </w:rPr>
                    </m:ctrlPr>
                  </m:fPr>
                  <m:num>
                    <m:sSub>
                      <m:sSubPr>
                        <m:ctrlPr>
                          <w:rPr>
                            <w:rFonts w:ascii="Cambria Math" w:eastAsia="SimSun" w:hAnsi="Cambria Math"/>
                            <w:i/>
                            <w:lang w:eastAsia="zh-CN"/>
                          </w:rPr>
                        </m:ctrlPr>
                      </m:sSubPr>
                      <m:e>
                        <m:sSup>
                          <m:sSupPr>
                            <m:ctrlPr>
                              <w:rPr>
                                <w:rFonts w:ascii="Cambria Math" w:eastAsia="SimSun" w:hAnsi="Cambria Math"/>
                                <w:i/>
                                <w:lang w:eastAsia="zh-CN"/>
                              </w:rPr>
                            </m:ctrlPr>
                          </m:sSupPr>
                          <m:e>
                            <m:r>
                              <w:rPr>
                                <w:rFonts w:ascii="Cambria Math" w:eastAsia="SimSun" w:hAnsi="Cambria Math"/>
                                <w:lang w:eastAsia="zh-CN"/>
                              </w:rPr>
                              <m:t>r</m:t>
                            </m:r>
                          </m:e>
                          <m:sup>
                            <m:r>
                              <w:rPr>
                                <w:rFonts w:ascii="Cambria Math" w:eastAsia="SimSun" w:hAnsi="Cambria Math"/>
                                <w:lang w:eastAsia="zh-CN"/>
                              </w:rPr>
                              <m:t>2</m:t>
                            </m:r>
                          </m:sup>
                        </m:sSup>
                        <m:r>
                          <w:rPr>
                            <w:rFonts w:ascii="Cambria Math" w:eastAsia="SimSun" w:hAnsi="Cambria Math"/>
                            <w:lang w:eastAsia="zh-CN"/>
                          </w:rPr>
                          <m:t>ρc</m:t>
                        </m:r>
                      </m:e>
                      <m:sub>
                        <m:r>
                          <w:rPr>
                            <w:rFonts w:ascii="Cambria Math" w:eastAsia="SimSun" w:hAnsi="Cambria Math"/>
                            <w:lang w:eastAsia="zh-CN"/>
                          </w:rPr>
                          <m:t>p</m:t>
                        </m:r>
                      </m:sub>
                    </m:sSub>
                  </m:num>
                  <m:den>
                    <m:r>
                      <w:rPr>
                        <w:rFonts w:ascii="Cambria Math" w:eastAsia="SimSun" w:hAnsi="Cambria Math"/>
                        <w:lang w:eastAsia="zh-CN"/>
                      </w:rPr>
                      <m:t>λ</m:t>
                    </m:r>
                  </m:den>
                </m:f>
              </m:oMath>
            </m:oMathPara>
          </w:p>
        </w:tc>
        <w:tc>
          <w:tcPr>
            <w:tcW w:w="371" w:type="dxa"/>
            <w:vAlign w:val="center"/>
          </w:tcPr>
          <w:p w14:paraId="65291755" w14:textId="77777777" w:rsidR="00756597" w:rsidRDefault="00756597" w:rsidP="007E530C">
            <w:pPr>
              <w:jc w:val="center"/>
              <w:rPr>
                <w:lang w:val="en-CA"/>
              </w:rPr>
            </w:pPr>
          </w:p>
        </w:tc>
        <w:tc>
          <w:tcPr>
            <w:tcW w:w="630" w:type="dxa"/>
            <w:vAlign w:val="center"/>
          </w:tcPr>
          <w:p w14:paraId="747113E2" w14:textId="77777777" w:rsidR="00756597" w:rsidRDefault="00756597" w:rsidP="007E530C">
            <w:pPr>
              <w:jc w:val="center"/>
              <w:rPr>
                <w:lang w:val="en-CA"/>
              </w:rPr>
            </w:pPr>
            <w:r w:rsidRPr="004E7F10">
              <w:rPr>
                <w:rFonts w:ascii="Symbol" w:hAnsi="Symbol"/>
                <w:lang w:val="en-CA"/>
              </w:rPr>
              <w:t>t</w:t>
            </w:r>
            <w:r>
              <w:rPr>
                <w:vertAlign w:val="subscript"/>
                <w:lang w:val="en-CA"/>
              </w:rPr>
              <w:t>relax</w:t>
            </w:r>
          </w:p>
        </w:tc>
        <w:tc>
          <w:tcPr>
            <w:tcW w:w="150" w:type="dxa"/>
            <w:vAlign w:val="center"/>
          </w:tcPr>
          <w:p w14:paraId="3114B68B" w14:textId="77777777" w:rsidR="00756597" w:rsidRDefault="00756597" w:rsidP="007E530C">
            <w:pPr>
              <w:jc w:val="center"/>
              <w:rPr>
                <w:lang w:val="en-CA"/>
              </w:rPr>
            </w:pPr>
            <w:r>
              <w:rPr>
                <w:lang w:val="en-CA"/>
              </w:rPr>
              <w:t>=</w:t>
            </w:r>
          </w:p>
        </w:tc>
        <w:tc>
          <w:tcPr>
            <w:tcW w:w="3529" w:type="dxa"/>
            <w:vAlign w:val="center"/>
          </w:tcPr>
          <w:p w14:paraId="02ABCCA4" w14:textId="77777777" w:rsidR="00756597" w:rsidRDefault="00756597" w:rsidP="007E530C">
            <w:pPr>
              <w:ind w:left="127"/>
              <w:rPr>
                <w:lang w:val="en-CA"/>
              </w:rPr>
            </w:pPr>
            <w:r>
              <w:rPr>
                <w:lang w:val="en-CA"/>
              </w:rPr>
              <w:t>Thermal relaxation time (s)</w:t>
            </w:r>
          </w:p>
        </w:tc>
      </w:tr>
      <w:tr w:rsidR="00756597" w14:paraId="26377470" w14:textId="77777777" w:rsidTr="007E530C">
        <w:trPr>
          <w:trHeight w:val="187"/>
          <w:jc w:val="center"/>
        </w:trPr>
        <w:tc>
          <w:tcPr>
            <w:tcW w:w="1311" w:type="dxa"/>
            <w:vMerge/>
          </w:tcPr>
          <w:p w14:paraId="1FD721F7" w14:textId="77777777" w:rsidR="00756597" w:rsidRDefault="00756597" w:rsidP="007E530C">
            <w:pPr>
              <w:jc w:val="center"/>
              <w:rPr>
                <w:lang w:val="en-CA"/>
              </w:rPr>
            </w:pPr>
          </w:p>
        </w:tc>
        <w:tc>
          <w:tcPr>
            <w:tcW w:w="371" w:type="dxa"/>
            <w:vAlign w:val="center"/>
          </w:tcPr>
          <w:p w14:paraId="1B3EC119" w14:textId="77777777" w:rsidR="00756597" w:rsidRDefault="00756597" w:rsidP="007E530C">
            <w:pPr>
              <w:jc w:val="center"/>
              <w:rPr>
                <w:lang w:val="en-CA"/>
              </w:rPr>
            </w:pPr>
          </w:p>
        </w:tc>
        <w:tc>
          <w:tcPr>
            <w:tcW w:w="630" w:type="dxa"/>
            <w:vAlign w:val="center"/>
          </w:tcPr>
          <w:p w14:paraId="518290AE" w14:textId="77777777" w:rsidR="00756597" w:rsidRDefault="00756597" w:rsidP="007E530C">
            <w:pPr>
              <w:jc w:val="center"/>
              <w:rPr>
                <w:lang w:val="en-CA"/>
              </w:rPr>
            </w:pPr>
            <m:oMathPara>
              <m:oMath>
                <m:r>
                  <w:rPr>
                    <w:rFonts w:ascii="Cambria Math" w:eastAsia="SimSun" w:hAnsi="Cambria Math"/>
                    <w:lang w:val="en" w:eastAsia="zh-CN"/>
                  </w:rPr>
                  <m:t>r</m:t>
                </m:r>
              </m:oMath>
            </m:oMathPara>
          </w:p>
        </w:tc>
        <w:tc>
          <w:tcPr>
            <w:tcW w:w="150" w:type="dxa"/>
            <w:vAlign w:val="center"/>
          </w:tcPr>
          <w:p w14:paraId="18F550AF" w14:textId="77777777" w:rsidR="00756597" w:rsidRDefault="00756597" w:rsidP="007E530C">
            <w:pPr>
              <w:jc w:val="center"/>
              <w:rPr>
                <w:lang w:val="en-CA"/>
              </w:rPr>
            </w:pPr>
            <w:r>
              <w:rPr>
                <w:lang w:val="en-CA"/>
              </w:rPr>
              <w:t>=</w:t>
            </w:r>
          </w:p>
        </w:tc>
        <w:tc>
          <w:tcPr>
            <w:tcW w:w="3529" w:type="dxa"/>
            <w:vAlign w:val="center"/>
          </w:tcPr>
          <w:p w14:paraId="16250B84" w14:textId="77777777" w:rsidR="00756597" w:rsidRDefault="00756597" w:rsidP="007E530C">
            <w:pPr>
              <w:ind w:left="127"/>
              <w:rPr>
                <w:lang w:val="en-CA"/>
              </w:rPr>
            </w:pPr>
            <w:r>
              <w:rPr>
                <w:lang w:val="en-CA"/>
              </w:rPr>
              <w:t>Characteristic length of the package (m)</w:t>
            </w:r>
          </w:p>
        </w:tc>
      </w:tr>
      <w:tr w:rsidR="00756597" w14:paraId="47643080" w14:textId="77777777" w:rsidTr="007E530C">
        <w:trPr>
          <w:trHeight w:val="187"/>
          <w:jc w:val="center"/>
        </w:trPr>
        <w:tc>
          <w:tcPr>
            <w:tcW w:w="1311" w:type="dxa"/>
            <w:vMerge/>
          </w:tcPr>
          <w:p w14:paraId="387AA9FB" w14:textId="77777777" w:rsidR="00756597" w:rsidRDefault="00756597" w:rsidP="007E530C">
            <w:pPr>
              <w:jc w:val="center"/>
              <w:rPr>
                <w:lang w:val="en-CA"/>
              </w:rPr>
            </w:pPr>
          </w:p>
        </w:tc>
        <w:tc>
          <w:tcPr>
            <w:tcW w:w="371" w:type="dxa"/>
            <w:vAlign w:val="center"/>
          </w:tcPr>
          <w:p w14:paraId="54D7CBFD" w14:textId="77777777" w:rsidR="00756597" w:rsidRDefault="00756597" w:rsidP="007E530C">
            <w:pPr>
              <w:jc w:val="center"/>
              <w:rPr>
                <w:lang w:val="en-CA"/>
              </w:rPr>
            </w:pPr>
          </w:p>
        </w:tc>
        <w:tc>
          <w:tcPr>
            <w:tcW w:w="630" w:type="dxa"/>
            <w:vAlign w:val="center"/>
          </w:tcPr>
          <w:p w14:paraId="75B97F86" w14:textId="77777777" w:rsidR="00756597" w:rsidRDefault="00756597" w:rsidP="007E530C">
            <w:pPr>
              <w:jc w:val="center"/>
              <w:rPr>
                <w:lang w:val="en-CA"/>
              </w:rPr>
            </w:pPr>
            <w:r>
              <w:rPr>
                <w:lang w:val="en-CA"/>
              </w:rPr>
              <w:t>c</w:t>
            </w:r>
            <w:r>
              <w:rPr>
                <w:vertAlign w:val="subscript"/>
                <w:lang w:val="en-CA"/>
              </w:rPr>
              <w:t>p</w:t>
            </w:r>
          </w:p>
        </w:tc>
        <w:tc>
          <w:tcPr>
            <w:tcW w:w="150" w:type="dxa"/>
            <w:vAlign w:val="center"/>
          </w:tcPr>
          <w:p w14:paraId="685E36FB" w14:textId="77777777" w:rsidR="00756597" w:rsidRDefault="00756597" w:rsidP="007E530C">
            <w:pPr>
              <w:jc w:val="center"/>
              <w:rPr>
                <w:lang w:val="en-CA"/>
              </w:rPr>
            </w:pPr>
            <w:r>
              <w:rPr>
                <w:lang w:val="en-CA"/>
              </w:rPr>
              <w:t>=</w:t>
            </w:r>
          </w:p>
        </w:tc>
        <w:tc>
          <w:tcPr>
            <w:tcW w:w="3529" w:type="dxa"/>
            <w:vAlign w:val="center"/>
          </w:tcPr>
          <w:p w14:paraId="01702C68" w14:textId="77777777" w:rsidR="00756597" w:rsidRDefault="00756597" w:rsidP="007E530C">
            <w:pPr>
              <w:ind w:left="127"/>
              <w:rPr>
                <w:lang w:val="en-CA"/>
              </w:rPr>
            </w:pPr>
            <w:r>
              <w:rPr>
                <w:lang w:val="en-CA"/>
              </w:rPr>
              <w:t>Heat capacity (J kg</w:t>
            </w:r>
            <w:r w:rsidRPr="00444F7A">
              <w:rPr>
                <w:vertAlign w:val="superscript"/>
                <w:lang w:val="en-CA"/>
              </w:rPr>
              <w:t>-1</w:t>
            </w:r>
            <w:r w:rsidRPr="00B67F6A">
              <w:rPr>
                <w:lang w:val="en-CA"/>
              </w:rPr>
              <w:t xml:space="preserve"> </w:t>
            </w:r>
            <w:r>
              <w:rPr>
                <w:lang w:val="en-CA"/>
              </w:rPr>
              <w:t>K</w:t>
            </w:r>
            <w:r w:rsidRPr="005357FE">
              <w:rPr>
                <w:vertAlign w:val="superscript"/>
                <w:lang w:val="en-CA"/>
              </w:rPr>
              <w:t>-1</w:t>
            </w:r>
            <w:r>
              <w:rPr>
                <w:lang w:val="en-CA"/>
              </w:rPr>
              <w:t>)</w:t>
            </w:r>
          </w:p>
        </w:tc>
      </w:tr>
      <w:tr w:rsidR="00756597" w14:paraId="78DA3882" w14:textId="77777777" w:rsidTr="007E530C">
        <w:trPr>
          <w:trHeight w:val="187"/>
          <w:jc w:val="center"/>
        </w:trPr>
        <w:tc>
          <w:tcPr>
            <w:tcW w:w="1311" w:type="dxa"/>
          </w:tcPr>
          <w:p w14:paraId="69A58A78" w14:textId="77777777" w:rsidR="00756597" w:rsidRDefault="00756597" w:rsidP="007E530C">
            <w:pPr>
              <w:jc w:val="center"/>
              <w:rPr>
                <w:lang w:val="en-CA"/>
              </w:rPr>
            </w:pPr>
          </w:p>
        </w:tc>
        <w:tc>
          <w:tcPr>
            <w:tcW w:w="371" w:type="dxa"/>
            <w:vAlign w:val="center"/>
          </w:tcPr>
          <w:p w14:paraId="0EBE1F73" w14:textId="77777777" w:rsidR="00756597" w:rsidRDefault="00756597" w:rsidP="007E530C">
            <w:pPr>
              <w:jc w:val="center"/>
              <w:rPr>
                <w:lang w:val="en-CA"/>
              </w:rPr>
            </w:pPr>
          </w:p>
        </w:tc>
        <w:tc>
          <w:tcPr>
            <w:tcW w:w="630" w:type="dxa"/>
            <w:vAlign w:val="center"/>
          </w:tcPr>
          <w:p w14:paraId="2EC929F0" w14:textId="77777777" w:rsidR="00756597" w:rsidRDefault="00756597" w:rsidP="007E530C">
            <w:pPr>
              <w:jc w:val="center"/>
              <w:rPr>
                <w:lang w:val="en-CA"/>
              </w:rPr>
            </w:pPr>
            <m:oMathPara>
              <m:oMath>
                <m:r>
                  <w:rPr>
                    <w:rFonts w:ascii="Cambria Math" w:eastAsia="SimSun" w:hAnsi="Cambria Math"/>
                    <w:lang w:val="en" w:eastAsia="zh-CN"/>
                  </w:rPr>
                  <m:t>λ</m:t>
                </m:r>
              </m:oMath>
            </m:oMathPara>
          </w:p>
        </w:tc>
        <w:tc>
          <w:tcPr>
            <w:tcW w:w="150" w:type="dxa"/>
            <w:vAlign w:val="center"/>
          </w:tcPr>
          <w:p w14:paraId="765AA7A3" w14:textId="77777777" w:rsidR="00756597" w:rsidRDefault="00756597" w:rsidP="007E530C">
            <w:pPr>
              <w:jc w:val="center"/>
              <w:rPr>
                <w:lang w:val="en-CA"/>
              </w:rPr>
            </w:pPr>
            <w:r w:rsidRPr="0ED87B57">
              <w:rPr>
                <w:lang w:val="en-CA"/>
              </w:rPr>
              <w:t>=</w:t>
            </w:r>
          </w:p>
        </w:tc>
        <w:tc>
          <w:tcPr>
            <w:tcW w:w="3529" w:type="dxa"/>
            <w:vAlign w:val="center"/>
          </w:tcPr>
          <w:p w14:paraId="0EDE150C" w14:textId="77777777" w:rsidR="00756597" w:rsidRDefault="00756597" w:rsidP="007E530C">
            <w:pPr>
              <w:ind w:left="127"/>
              <w:rPr>
                <w:lang w:val="en-CA"/>
              </w:rPr>
            </w:pPr>
            <w:r>
              <w:rPr>
                <w:lang w:val="en-CA"/>
              </w:rPr>
              <w:t>Thermal conductivity (W m</w:t>
            </w:r>
            <w:r w:rsidRPr="00BB0493">
              <w:rPr>
                <w:vertAlign w:val="superscript"/>
                <w:lang w:val="en-CA"/>
              </w:rPr>
              <w:t>-</w:t>
            </w:r>
            <w:r>
              <w:rPr>
                <w:vertAlign w:val="superscript"/>
                <w:lang w:val="en-CA"/>
              </w:rPr>
              <w:t>1</w:t>
            </w:r>
            <w:r>
              <w:rPr>
                <w:lang w:val="en-CA"/>
              </w:rPr>
              <w:t xml:space="preserve"> K</w:t>
            </w:r>
            <w:r w:rsidRPr="00BB0493">
              <w:rPr>
                <w:vertAlign w:val="superscript"/>
                <w:lang w:val="en-CA"/>
              </w:rPr>
              <w:t>-1</w:t>
            </w:r>
            <w:r>
              <w:rPr>
                <w:lang w:val="en-CA"/>
              </w:rPr>
              <w:t xml:space="preserve">) </w:t>
            </w:r>
          </w:p>
        </w:tc>
      </w:tr>
      <w:tr w:rsidR="00756597" w14:paraId="45DAFCB1" w14:textId="77777777" w:rsidTr="007E530C">
        <w:trPr>
          <w:trHeight w:val="187"/>
          <w:jc w:val="center"/>
        </w:trPr>
        <w:tc>
          <w:tcPr>
            <w:tcW w:w="1311" w:type="dxa"/>
          </w:tcPr>
          <w:p w14:paraId="66B6DA8C" w14:textId="77777777" w:rsidR="00756597" w:rsidRDefault="00756597" w:rsidP="007E530C">
            <w:pPr>
              <w:jc w:val="center"/>
              <w:rPr>
                <w:lang w:val="en-CA"/>
              </w:rPr>
            </w:pPr>
          </w:p>
        </w:tc>
        <w:tc>
          <w:tcPr>
            <w:tcW w:w="371" w:type="dxa"/>
            <w:vAlign w:val="center"/>
          </w:tcPr>
          <w:p w14:paraId="0FEB0880" w14:textId="77777777" w:rsidR="00756597" w:rsidRDefault="00756597" w:rsidP="007E530C">
            <w:pPr>
              <w:jc w:val="center"/>
              <w:rPr>
                <w:lang w:val="en-CA"/>
              </w:rPr>
            </w:pPr>
          </w:p>
        </w:tc>
        <w:tc>
          <w:tcPr>
            <w:tcW w:w="630" w:type="dxa"/>
            <w:vAlign w:val="center"/>
          </w:tcPr>
          <w:p w14:paraId="46B1CF98" w14:textId="77777777" w:rsidR="00756597" w:rsidRDefault="00756597" w:rsidP="007E530C">
            <w:pPr>
              <w:jc w:val="center"/>
              <w:rPr>
                <w:rFonts w:eastAsia="SimSun"/>
                <w:lang w:val="en" w:eastAsia="zh-CN"/>
              </w:rPr>
            </w:pPr>
            <m:oMathPara>
              <m:oMath>
                <m:r>
                  <w:rPr>
                    <w:rFonts w:ascii="Cambria Math" w:eastAsia="SimSun" w:hAnsi="Cambria Math" w:cstheme="minorHAnsi"/>
                    <w:lang w:val="de-DE" w:eastAsia="zh-CN"/>
                  </w:rPr>
                  <m:t>ρ</m:t>
                </m:r>
              </m:oMath>
            </m:oMathPara>
          </w:p>
        </w:tc>
        <w:tc>
          <w:tcPr>
            <w:tcW w:w="150" w:type="dxa"/>
            <w:vAlign w:val="center"/>
          </w:tcPr>
          <w:p w14:paraId="2E75E3CB" w14:textId="77777777" w:rsidR="00756597" w:rsidRPr="0ED87B57" w:rsidRDefault="00756597" w:rsidP="007E530C">
            <w:pPr>
              <w:jc w:val="center"/>
              <w:rPr>
                <w:lang w:val="en-CA"/>
              </w:rPr>
            </w:pPr>
            <w:r>
              <w:rPr>
                <w:lang w:val="en-CA"/>
              </w:rPr>
              <w:t>=</w:t>
            </w:r>
          </w:p>
        </w:tc>
        <w:tc>
          <w:tcPr>
            <w:tcW w:w="3529" w:type="dxa"/>
            <w:vAlign w:val="center"/>
          </w:tcPr>
          <w:p w14:paraId="7BB0B9F6" w14:textId="77777777" w:rsidR="00756597" w:rsidRDefault="00756597" w:rsidP="007E530C">
            <w:pPr>
              <w:ind w:left="127"/>
              <w:rPr>
                <w:lang w:val="en-CA"/>
              </w:rPr>
            </w:pPr>
            <w:r>
              <w:rPr>
                <w:lang w:val="en-CA"/>
              </w:rPr>
              <w:t>Bulk density (kg m</w:t>
            </w:r>
            <w:r w:rsidRPr="002E7C78">
              <w:rPr>
                <w:vertAlign w:val="superscript"/>
                <w:lang w:val="en-CA"/>
              </w:rPr>
              <w:t>-3</w:t>
            </w:r>
            <w:r>
              <w:rPr>
                <w:lang w:val="en-CA"/>
              </w:rPr>
              <w:t>)</w:t>
            </w:r>
          </w:p>
        </w:tc>
      </w:tr>
    </w:tbl>
    <w:p w14:paraId="7D1CE28C" w14:textId="77777777" w:rsidR="00756597" w:rsidRPr="00575A6A" w:rsidRDefault="00756597" w:rsidP="00756597">
      <w:pPr>
        <w:pStyle w:val="SingleTxtG"/>
        <w:spacing w:line="240" w:lineRule="auto"/>
      </w:pPr>
    </w:p>
    <w:p w14:paraId="582C034D" w14:textId="6839F8CE" w:rsidR="00756597" w:rsidRDefault="00756597" w:rsidP="00756597">
      <w:pPr>
        <w:pStyle w:val="SingleTxtG"/>
        <w:numPr>
          <w:ilvl w:val="0"/>
          <w:numId w:val="21"/>
        </w:numPr>
        <w:tabs>
          <w:tab w:val="clear" w:pos="2268"/>
          <w:tab w:val="clear" w:pos="2835"/>
        </w:tabs>
        <w:spacing w:line="240" w:lineRule="auto"/>
        <w:ind w:left="1134" w:firstLine="0"/>
        <w:rPr>
          <w:lang w:val="en-CA"/>
        </w:rPr>
      </w:pPr>
      <w:bookmarkStart w:id="7" w:name="_Ref161768192"/>
      <w:r w:rsidRPr="006001AB">
        <w:rPr>
          <w:lang w:val="en-CA"/>
        </w:rPr>
        <w:t>Finally, combining the three equations from paragraphs</w:t>
      </w:r>
      <w:r>
        <w:rPr>
          <w:lang w:val="en-CA"/>
        </w:rPr>
        <w:t xml:space="preserve"> </w:t>
      </w:r>
      <w:r>
        <w:rPr>
          <w:lang w:val="en-CA"/>
        </w:rPr>
        <w:fldChar w:fldCharType="begin"/>
      </w:r>
      <w:r>
        <w:rPr>
          <w:lang w:val="en-CA"/>
        </w:rPr>
        <w:instrText xml:space="preserve"> REF _Ref165392450 \r \h </w:instrText>
      </w:r>
      <w:r>
        <w:rPr>
          <w:lang w:val="en-CA"/>
        </w:rPr>
      </w:r>
      <w:r>
        <w:rPr>
          <w:lang w:val="en-CA"/>
        </w:rPr>
        <w:fldChar w:fldCharType="separate"/>
      </w:r>
      <w:r w:rsidR="00D7059F">
        <w:rPr>
          <w:cs/>
          <w:lang w:val="en-CA"/>
        </w:rPr>
        <w:t>‎</w:t>
      </w:r>
      <w:r w:rsidR="00D7059F">
        <w:rPr>
          <w:lang w:val="en-CA"/>
        </w:rPr>
        <w:t>7</w:t>
      </w:r>
      <w:r>
        <w:rPr>
          <w:lang w:val="en-CA"/>
        </w:rPr>
        <w:fldChar w:fldCharType="end"/>
      </w:r>
      <w:r w:rsidRPr="001F767B">
        <w:rPr>
          <w:lang w:val="en-CA"/>
        </w:rPr>
        <w:t xml:space="preserve">, </w:t>
      </w:r>
      <w:r>
        <w:rPr>
          <w:lang w:val="en-CA"/>
        </w:rPr>
        <w:fldChar w:fldCharType="begin"/>
      </w:r>
      <w:r>
        <w:rPr>
          <w:lang w:val="en-CA"/>
        </w:rPr>
        <w:instrText xml:space="preserve"> REF _Ref165392471 \r \h </w:instrText>
      </w:r>
      <w:r>
        <w:rPr>
          <w:lang w:val="en-CA"/>
        </w:rPr>
      </w:r>
      <w:r>
        <w:rPr>
          <w:lang w:val="en-CA"/>
        </w:rPr>
        <w:fldChar w:fldCharType="separate"/>
      </w:r>
      <w:r w:rsidR="00D7059F">
        <w:rPr>
          <w:cs/>
          <w:lang w:val="en-CA"/>
        </w:rPr>
        <w:t>‎</w:t>
      </w:r>
      <w:r w:rsidR="00D7059F">
        <w:rPr>
          <w:lang w:val="en-CA"/>
        </w:rPr>
        <w:t>9</w:t>
      </w:r>
      <w:r>
        <w:rPr>
          <w:lang w:val="en-CA"/>
        </w:rPr>
        <w:fldChar w:fldCharType="end"/>
      </w:r>
      <w:r w:rsidRPr="001F767B">
        <w:rPr>
          <w:lang w:val="en-CA"/>
        </w:rPr>
        <w:t xml:space="preserve">, and </w:t>
      </w:r>
      <w:r w:rsidRPr="001F767B">
        <w:rPr>
          <w:lang w:val="en-CA"/>
        </w:rPr>
        <w:fldChar w:fldCharType="begin"/>
      </w:r>
      <w:r w:rsidRPr="001F767B">
        <w:rPr>
          <w:lang w:val="en-CA"/>
        </w:rPr>
        <w:instrText xml:space="preserve"> REF _Ref161767859 \r \h </w:instrText>
      </w:r>
      <w:r>
        <w:rPr>
          <w:lang w:val="en-CA"/>
        </w:rPr>
        <w:instrText xml:space="preserve"> \* MERGEFORMAT </w:instrText>
      </w:r>
      <w:r w:rsidRPr="001F767B">
        <w:rPr>
          <w:lang w:val="en-CA"/>
        </w:rPr>
      </w:r>
      <w:r w:rsidRPr="001F767B">
        <w:rPr>
          <w:lang w:val="en-CA"/>
        </w:rPr>
        <w:fldChar w:fldCharType="separate"/>
      </w:r>
      <w:r w:rsidR="00D7059F">
        <w:rPr>
          <w:cs/>
          <w:lang w:val="en-CA"/>
        </w:rPr>
        <w:t>‎</w:t>
      </w:r>
      <w:r w:rsidR="00D7059F">
        <w:rPr>
          <w:lang w:val="en-CA"/>
        </w:rPr>
        <w:t>10</w:t>
      </w:r>
      <w:r w:rsidRPr="001F767B">
        <w:rPr>
          <w:lang w:val="en-CA"/>
        </w:rPr>
        <w:fldChar w:fldCharType="end"/>
      </w:r>
      <w:r w:rsidRPr="001F767B">
        <w:rPr>
          <w:lang w:val="en-CA"/>
        </w:rPr>
        <w:t xml:space="preserve"> </w:t>
      </w:r>
      <w:r w:rsidRPr="001F5507">
        <w:rPr>
          <w:lang w:val="en-CA"/>
        </w:rPr>
        <w:t>allows</w:t>
      </w:r>
      <w:r w:rsidRPr="006001AB">
        <w:rPr>
          <w:lang w:val="en-CA"/>
        </w:rPr>
        <w:t xml:space="preserve"> for a derivation of the critical heat flow that </w:t>
      </w:r>
      <w:r>
        <w:rPr>
          <w:lang w:val="en-CA"/>
        </w:rPr>
        <w:t xml:space="preserve">can </w:t>
      </w:r>
      <w:r w:rsidRPr="006001AB">
        <w:rPr>
          <w:lang w:val="en-CA"/>
        </w:rPr>
        <w:t>lead to a thermal explosion</w:t>
      </w:r>
      <w:r>
        <w:rPr>
          <w:lang w:val="en-CA"/>
        </w:rPr>
        <w:t>.</w:t>
      </w:r>
      <w:bookmarkEnd w:id="7"/>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371"/>
        <w:gridCol w:w="371"/>
        <w:gridCol w:w="400"/>
        <w:gridCol w:w="4505"/>
      </w:tblGrid>
      <w:tr w:rsidR="00756597" w14:paraId="6924B803" w14:textId="77777777" w:rsidTr="007E530C">
        <w:trPr>
          <w:trHeight w:val="187"/>
          <w:jc w:val="center"/>
        </w:trPr>
        <w:tc>
          <w:tcPr>
            <w:tcW w:w="0" w:type="auto"/>
            <w:vMerge w:val="restart"/>
          </w:tcPr>
          <w:p w14:paraId="2B879749" w14:textId="77777777" w:rsidR="00756597" w:rsidRPr="00286EFF" w:rsidRDefault="00000000" w:rsidP="007E530C">
            <w:pPr>
              <w:jc w:val="center"/>
              <w:rPr>
                <w:lang w:val="en-CA"/>
              </w:rPr>
            </w:pPr>
            <m:oMathPara>
              <m:oMath>
                <m:sSub>
                  <m:sSubPr>
                    <m:ctrlPr>
                      <w:rPr>
                        <w:rFonts w:ascii="Cambria Math" w:eastAsia="SimSun" w:hAnsi="Cambria Math" w:cstheme="minorHAnsi"/>
                        <w:i/>
                        <w:lang w:eastAsia="zh-CN"/>
                      </w:rPr>
                    </m:ctrlPr>
                  </m:sSubPr>
                  <m:e>
                    <m:acc>
                      <m:accPr>
                        <m:chr m:val="̇"/>
                        <m:ctrlPr>
                          <w:rPr>
                            <w:rFonts w:ascii="Cambria Math" w:eastAsia="SimSun" w:hAnsi="Cambria Math" w:cstheme="minorHAnsi"/>
                            <w:i/>
                            <w:lang w:eastAsia="zh-CN"/>
                          </w:rPr>
                        </m:ctrlPr>
                      </m:accPr>
                      <m:e>
                        <m:r>
                          <w:rPr>
                            <w:rFonts w:ascii="Cambria Math" w:eastAsia="SimSun" w:hAnsi="Cambria Math" w:cstheme="minorHAnsi"/>
                            <w:lang w:eastAsia="zh-CN"/>
                          </w:rPr>
                          <m:t>q</m:t>
                        </m:r>
                      </m:e>
                    </m:acc>
                  </m:e>
                  <m:sub>
                    <m:r>
                      <w:rPr>
                        <w:rFonts w:ascii="Cambria Math" w:eastAsia="SimSun" w:hAnsi="Cambria Math" w:cstheme="minorHAnsi"/>
                        <w:lang w:eastAsia="zh-CN"/>
                      </w:rPr>
                      <m:t>T</m:t>
                    </m:r>
                  </m:sub>
                </m:sSub>
                <m:r>
                  <w:rPr>
                    <w:rFonts w:ascii="Cambria Math" w:eastAsia="SimSun" w:hAnsi="Cambria Math" w:cstheme="minorHAnsi"/>
                    <w:lang w:val="de-DE" w:eastAsia="zh-CN"/>
                  </w:rPr>
                  <m:t>=</m:t>
                </m:r>
                <m:f>
                  <m:fPr>
                    <m:ctrlPr>
                      <w:rPr>
                        <w:rFonts w:ascii="Cambria Math" w:eastAsia="SimSun" w:hAnsi="Cambria Math" w:cstheme="minorHAnsi"/>
                        <w:i/>
                        <w:lang w:eastAsia="zh-CN"/>
                      </w:rPr>
                    </m:ctrlPr>
                  </m:fPr>
                  <m:num>
                    <m:r>
                      <w:rPr>
                        <w:rFonts w:ascii="Cambria Math" w:eastAsia="SimSun" w:hAnsi="Cambria Math" w:cstheme="minorHAnsi"/>
                        <w:lang w:eastAsia="zh-CN"/>
                      </w:rPr>
                      <m:t>R</m:t>
                    </m:r>
                    <m:r>
                      <w:rPr>
                        <w:rFonts w:ascii="Cambria Math" w:eastAsia="SimSun" w:hAnsi="Cambria Math" w:cstheme="minorHAnsi"/>
                        <w:lang w:val="de-DE" w:eastAsia="zh-CN"/>
                      </w:rPr>
                      <m:t>∙</m:t>
                    </m:r>
                    <m:sSup>
                      <m:sSupPr>
                        <m:ctrlPr>
                          <w:rPr>
                            <w:rFonts w:ascii="Cambria Math" w:eastAsia="SimSun" w:hAnsi="Cambria Math" w:cstheme="minorHAnsi"/>
                            <w:i/>
                            <w:lang w:eastAsia="zh-CN"/>
                          </w:rPr>
                        </m:ctrlPr>
                      </m:sSupPr>
                      <m:e>
                        <m:r>
                          <w:rPr>
                            <w:rFonts w:ascii="Cambria Math" w:eastAsia="SimSun" w:hAnsi="Cambria Math" w:cstheme="minorHAnsi"/>
                            <w:lang w:eastAsia="zh-CN"/>
                          </w:rPr>
                          <m:t>T</m:t>
                        </m:r>
                      </m:e>
                      <m:sup>
                        <m:r>
                          <w:rPr>
                            <w:rFonts w:ascii="Cambria Math" w:eastAsia="SimSun" w:hAnsi="Cambria Math" w:cstheme="minorHAnsi"/>
                            <w:lang w:val="de-DE" w:eastAsia="zh-CN"/>
                          </w:rPr>
                          <m:t>2</m:t>
                        </m:r>
                      </m:sup>
                    </m:sSup>
                  </m:num>
                  <m:den>
                    <m:r>
                      <w:rPr>
                        <w:rFonts w:ascii="Cambria Math" w:eastAsia="SimSun" w:hAnsi="Cambria Math" w:cstheme="minorHAnsi"/>
                        <w:lang w:eastAsia="zh-CN"/>
                      </w:rPr>
                      <m:t>E</m:t>
                    </m:r>
                  </m:den>
                </m:f>
                <m:r>
                  <w:rPr>
                    <w:rFonts w:ascii="Cambria Math" w:eastAsia="SimSun" w:hAnsi="Cambria Math" w:cstheme="minorHAnsi"/>
                    <w:lang w:val="de-DE" w:eastAsia="zh-CN"/>
                  </w:rPr>
                  <m:t>∙</m:t>
                </m:r>
                <m:f>
                  <m:fPr>
                    <m:ctrlPr>
                      <w:rPr>
                        <w:rFonts w:ascii="Cambria Math" w:eastAsia="SimSun" w:hAnsi="Cambria Math" w:cstheme="minorHAnsi"/>
                        <w:i/>
                        <w:lang w:val="de-DE" w:eastAsia="zh-CN"/>
                      </w:rPr>
                    </m:ctrlPr>
                  </m:fPr>
                  <m:num>
                    <m:r>
                      <w:rPr>
                        <w:rFonts w:ascii="Cambria Math" w:eastAsia="SimSun" w:hAnsi="Cambria Math" w:cstheme="minorHAnsi"/>
                        <w:lang w:val="de-DE" w:eastAsia="zh-CN"/>
                      </w:rPr>
                      <m:t>λ</m:t>
                    </m:r>
                  </m:num>
                  <m:den>
                    <m:sSup>
                      <m:sSupPr>
                        <m:ctrlPr>
                          <w:rPr>
                            <w:rFonts w:ascii="Cambria Math" w:eastAsia="SimSun" w:hAnsi="Cambria Math" w:cstheme="minorHAnsi"/>
                            <w:i/>
                            <w:lang w:val="de-DE" w:eastAsia="zh-CN"/>
                          </w:rPr>
                        </m:ctrlPr>
                      </m:sSupPr>
                      <m:e>
                        <m:r>
                          <w:rPr>
                            <w:rFonts w:ascii="Cambria Math" w:eastAsia="SimSun" w:hAnsi="Cambria Math" w:cstheme="minorHAnsi"/>
                            <w:lang w:val="de-DE" w:eastAsia="zh-CN"/>
                          </w:rPr>
                          <m:t>r</m:t>
                        </m:r>
                      </m:e>
                      <m:sup>
                        <m:r>
                          <w:rPr>
                            <w:rFonts w:ascii="Cambria Math" w:eastAsia="SimSun" w:hAnsi="Cambria Math" w:cstheme="minorHAnsi"/>
                            <w:lang w:val="de-DE" w:eastAsia="zh-CN"/>
                          </w:rPr>
                          <m:t>2</m:t>
                        </m:r>
                      </m:sup>
                    </m:sSup>
                    <m:r>
                      <w:rPr>
                        <w:rFonts w:ascii="Cambria Math" w:eastAsia="SimSun" w:hAnsi="Cambria Math" w:cstheme="minorHAnsi"/>
                        <w:lang w:val="de-DE" w:eastAsia="zh-CN"/>
                      </w:rPr>
                      <m:t>ρ</m:t>
                    </m:r>
                  </m:den>
                </m:f>
                <m:r>
                  <w:rPr>
                    <w:rFonts w:ascii="Cambria Math" w:eastAsia="SimSun" w:hAnsi="Cambria Math" w:cstheme="minorHAnsi"/>
                    <w:lang w:val="de-DE" w:eastAsia="zh-CN"/>
                  </w:rPr>
                  <m:t>∙</m:t>
                </m:r>
                <m:f>
                  <m:fPr>
                    <m:ctrlPr>
                      <w:rPr>
                        <w:rFonts w:ascii="Cambria Math" w:eastAsia="SimSun" w:hAnsi="Cambria Math" w:cstheme="minorHAnsi"/>
                        <w:i/>
                        <w:lang w:eastAsia="zh-CN"/>
                      </w:rPr>
                    </m:ctrlPr>
                  </m:fPr>
                  <m:num>
                    <m:r>
                      <w:rPr>
                        <w:rFonts w:ascii="Cambria Math" w:eastAsia="SimSun" w:hAnsi="Cambria Math" w:cstheme="minorHAnsi"/>
                        <w:lang w:val="de-DE" w:eastAsia="zh-CN"/>
                      </w:rPr>
                      <m:t>0.8047</m:t>
                    </m:r>
                  </m:num>
                  <m:den>
                    <m:r>
                      <w:rPr>
                        <w:rFonts w:ascii="Cambria Math" w:eastAsia="SimSun" w:hAnsi="Cambria Math" w:cstheme="minorHAnsi"/>
                        <w:lang w:eastAsia="zh-CN"/>
                      </w:rPr>
                      <m:t>0.2830+</m:t>
                    </m:r>
                    <m:f>
                      <m:fPr>
                        <m:ctrlPr>
                          <w:rPr>
                            <w:rFonts w:ascii="Cambria Math" w:eastAsia="SimSun" w:hAnsi="Cambria Math" w:cstheme="minorHAnsi"/>
                            <w:i/>
                            <w:lang w:eastAsia="zh-CN"/>
                          </w:rPr>
                        </m:ctrlPr>
                      </m:fPr>
                      <m:num>
                        <m:r>
                          <w:rPr>
                            <w:rFonts w:ascii="Cambria Math" w:eastAsia="SimSun" w:hAnsi="Cambria Math" w:cstheme="minorHAnsi"/>
                            <w:lang w:eastAsia="zh-CN"/>
                          </w:rPr>
                          <m:t>0.7292</m:t>
                        </m:r>
                      </m:num>
                      <m:den>
                        <m:r>
                          <w:rPr>
                            <w:rFonts w:ascii="Cambria Math" w:eastAsia="SimSun" w:hAnsi="Cambria Math" w:cstheme="minorHAnsi"/>
                            <w:lang w:eastAsia="zh-CN"/>
                          </w:rPr>
                          <m:t>Biot</m:t>
                        </m:r>
                      </m:den>
                    </m:f>
                  </m:den>
                </m:f>
              </m:oMath>
            </m:oMathPara>
          </w:p>
        </w:tc>
        <w:tc>
          <w:tcPr>
            <w:tcW w:w="371" w:type="dxa"/>
            <w:vAlign w:val="center"/>
          </w:tcPr>
          <w:p w14:paraId="0BC39E18" w14:textId="77777777" w:rsidR="00756597" w:rsidRPr="007768F3" w:rsidRDefault="00756597" w:rsidP="007E530C">
            <w:pPr>
              <w:jc w:val="center"/>
              <w:rPr>
                <w:lang w:val="en-CA"/>
              </w:rPr>
            </w:pPr>
          </w:p>
        </w:tc>
        <w:tc>
          <w:tcPr>
            <w:tcW w:w="371" w:type="dxa"/>
            <w:vAlign w:val="center"/>
          </w:tcPr>
          <w:p w14:paraId="6A94B8A3" w14:textId="77777777" w:rsidR="00756597" w:rsidRDefault="00756597" w:rsidP="007E530C">
            <w:pPr>
              <w:jc w:val="center"/>
              <w:rPr>
                <w:lang w:val="en-CA"/>
              </w:rPr>
            </w:pPr>
            <w:proofErr w:type="spellStart"/>
            <w:r>
              <w:rPr>
                <w:lang w:val="en-CA"/>
              </w:rPr>
              <w:t>q̇</w:t>
            </w:r>
            <w:r w:rsidRPr="00642C7C">
              <w:rPr>
                <w:vertAlign w:val="subscript"/>
                <w:lang w:val="en-CA"/>
              </w:rPr>
              <w:t>T</w:t>
            </w:r>
            <w:proofErr w:type="spellEnd"/>
          </w:p>
        </w:tc>
        <w:tc>
          <w:tcPr>
            <w:tcW w:w="400" w:type="dxa"/>
            <w:vAlign w:val="center"/>
          </w:tcPr>
          <w:p w14:paraId="667C2EB6" w14:textId="77777777" w:rsidR="00756597" w:rsidRDefault="00756597" w:rsidP="007E530C">
            <w:pPr>
              <w:jc w:val="center"/>
              <w:rPr>
                <w:lang w:val="en-CA"/>
              </w:rPr>
            </w:pPr>
            <w:r>
              <w:rPr>
                <w:lang w:val="en-CA"/>
              </w:rPr>
              <w:t>=̇</w:t>
            </w:r>
          </w:p>
        </w:tc>
        <w:tc>
          <w:tcPr>
            <w:tcW w:w="4505" w:type="dxa"/>
            <w:vAlign w:val="center"/>
          </w:tcPr>
          <w:p w14:paraId="4518F2BB" w14:textId="77777777" w:rsidR="00756597" w:rsidRDefault="00756597" w:rsidP="007E530C">
            <w:pPr>
              <w:ind w:left="161"/>
              <w:rPr>
                <w:lang w:val="en-CA"/>
              </w:rPr>
            </w:pPr>
            <w:r>
              <w:rPr>
                <w:lang w:val="en-CA"/>
              </w:rPr>
              <w:t>Specific heat release rate at temperature T (W kg</w:t>
            </w:r>
            <w:r w:rsidRPr="00444F7A">
              <w:rPr>
                <w:vertAlign w:val="superscript"/>
                <w:lang w:val="en-CA"/>
              </w:rPr>
              <w:t>-1</w:t>
            </w:r>
            <w:r>
              <w:rPr>
                <w:lang w:val="en-CA"/>
              </w:rPr>
              <w:t>)</w:t>
            </w:r>
          </w:p>
        </w:tc>
      </w:tr>
      <w:tr w:rsidR="00756597" w14:paraId="7E03B7F9" w14:textId="77777777" w:rsidTr="007E530C">
        <w:trPr>
          <w:trHeight w:val="187"/>
          <w:jc w:val="center"/>
        </w:trPr>
        <w:tc>
          <w:tcPr>
            <w:tcW w:w="0" w:type="auto"/>
            <w:vMerge/>
          </w:tcPr>
          <w:p w14:paraId="40B44141" w14:textId="77777777" w:rsidR="00756597" w:rsidRDefault="00756597" w:rsidP="007E530C">
            <w:pPr>
              <w:jc w:val="center"/>
              <w:rPr>
                <w:lang w:val="en-CA"/>
              </w:rPr>
            </w:pPr>
          </w:p>
        </w:tc>
        <w:tc>
          <w:tcPr>
            <w:tcW w:w="371" w:type="dxa"/>
            <w:vAlign w:val="center"/>
          </w:tcPr>
          <w:p w14:paraId="5E381F3F" w14:textId="77777777" w:rsidR="00756597" w:rsidRDefault="00756597" w:rsidP="007E530C">
            <w:pPr>
              <w:jc w:val="center"/>
              <w:rPr>
                <w:lang w:val="en-CA"/>
              </w:rPr>
            </w:pPr>
          </w:p>
        </w:tc>
        <w:tc>
          <w:tcPr>
            <w:tcW w:w="371" w:type="dxa"/>
            <w:vAlign w:val="center"/>
          </w:tcPr>
          <w:p w14:paraId="2A139C6A" w14:textId="77777777" w:rsidR="00756597" w:rsidRDefault="00756597" w:rsidP="007E530C">
            <w:pPr>
              <w:jc w:val="center"/>
              <w:rPr>
                <w:lang w:val="en-CA"/>
              </w:rPr>
            </w:pPr>
            <w:r>
              <w:rPr>
                <w:lang w:val="en-CA"/>
              </w:rPr>
              <w:t>E</w:t>
            </w:r>
          </w:p>
        </w:tc>
        <w:tc>
          <w:tcPr>
            <w:tcW w:w="400" w:type="dxa"/>
            <w:vAlign w:val="center"/>
          </w:tcPr>
          <w:p w14:paraId="4D6450E5" w14:textId="77777777" w:rsidR="00756597" w:rsidRDefault="00756597" w:rsidP="007E530C">
            <w:pPr>
              <w:jc w:val="center"/>
              <w:rPr>
                <w:lang w:val="en-CA"/>
              </w:rPr>
            </w:pPr>
            <w:r>
              <w:rPr>
                <w:lang w:val="en-CA"/>
              </w:rPr>
              <w:t>=</w:t>
            </w:r>
          </w:p>
        </w:tc>
        <w:tc>
          <w:tcPr>
            <w:tcW w:w="4505" w:type="dxa"/>
            <w:vAlign w:val="center"/>
          </w:tcPr>
          <w:p w14:paraId="1C80387C" w14:textId="77777777" w:rsidR="00756597" w:rsidRDefault="00756597" w:rsidP="007E530C">
            <w:pPr>
              <w:ind w:left="161"/>
              <w:rPr>
                <w:lang w:val="en-CA"/>
              </w:rPr>
            </w:pPr>
            <w:r>
              <w:rPr>
                <w:lang w:val="en-CA"/>
              </w:rPr>
              <w:t>Activation energy (J mol</w:t>
            </w:r>
            <w:r w:rsidRPr="005357FE">
              <w:rPr>
                <w:vertAlign w:val="superscript"/>
                <w:lang w:val="en-CA"/>
              </w:rPr>
              <w:t>-1</w:t>
            </w:r>
            <w:r>
              <w:rPr>
                <w:lang w:val="en-CA"/>
              </w:rPr>
              <w:t>)</w:t>
            </w:r>
          </w:p>
        </w:tc>
      </w:tr>
      <w:tr w:rsidR="00756597" w14:paraId="2084AD40" w14:textId="77777777" w:rsidTr="007E530C">
        <w:trPr>
          <w:trHeight w:val="187"/>
          <w:jc w:val="center"/>
        </w:trPr>
        <w:tc>
          <w:tcPr>
            <w:tcW w:w="0" w:type="auto"/>
            <w:vMerge/>
          </w:tcPr>
          <w:p w14:paraId="6FB5BDDF" w14:textId="77777777" w:rsidR="00756597" w:rsidRDefault="00756597" w:rsidP="007E530C">
            <w:pPr>
              <w:jc w:val="center"/>
              <w:rPr>
                <w:lang w:val="en-CA"/>
              </w:rPr>
            </w:pPr>
          </w:p>
        </w:tc>
        <w:tc>
          <w:tcPr>
            <w:tcW w:w="371" w:type="dxa"/>
            <w:vAlign w:val="center"/>
          </w:tcPr>
          <w:p w14:paraId="2A41FBF0" w14:textId="77777777" w:rsidR="00756597" w:rsidRDefault="00756597" w:rsidP="007E530C">
            <w:pPr>
              <w:jc w:val="center"/>
              <w:rPr>
                <w:lang w:val="en-CA"/>
              </w:rPr>
            </w:pPr>
          </w:p>
        </w:tc>
        <w:tc>
          <w:tcPr>
            <w:tcW w:w="371" w:type="dxa"/>
            <w:vAlign w:val="center"/>
          </w:tcPr>
          <w:p w14:paraId="406AFDA1" w14:textId="77777777" w:rsidR="00756597" w:rsidRDefault="00756597" w:rsidP="007E530C">
            <w:pPr>
              <w:jc w:val="center"/>
              <w:rPr>
                <w:lang w:val="en-CA"/>
              </w:rPr>
            </w:pPr>
            <w:r>
              <w:rPr>
                <w:lang w:val="en-CA"/>
              </w:rPr>
              <w:t>R</w:t>
            </w:r>
          </w:p>
        </w:tc>
        <w:tc>
          <w:tcPr>
            <w:tcW w:w="400" w:type="dxa"/>
            <w:vAlign w:val="center"/>
          </w:tcPr>
          <w:p w14:paraId="6390E25A" w14:textId="77777777" w:rsidR="00756597" w:rsidRDefault="00756597" w:rsidP="007E530C">
            <w:pPr>
              <w:jc w:val="center"/>
              <w:rPr>
                <w:lang w:val="en-CA"/>
              </w:rPr>
            </w:pPr>
            <w:r>
              <w:rPr>
                <w:lang w:val="en-CA"/>
              </w:rPr>
              <w:t>=</w:t>
            </w:r>
          </w:p>
        </w:tc>
        <w:tc>
          <w:tcPr>
            <w:tcW w:w="4505" w:type="dxa"/>
            <w:vAlign w:val="center"/>
          </w:tcPr>
          <w:p w14:paraId="484880DE" w14:textId="77777777" w:rsidR="00756597" w:rsidRDefault="00756597" w:rsidP="007E530C">
            <w:pPr>
              <w:ind w:left="161"/>
              <w:rPr>
                <w:lang w:val="en-CA"/>
              </w:rPr>
            </w:pPr>
            <w:r>
              <w:rPr>
                <w:lang w:val="en-CA"/>
              </w:rPr>
              <w:t>Universal gas constant (8.314 J mol</w:t>
            </w:r>
            <w:r w:rsidRPr="005357FE">
              <w:rPr>
                <w:vertAlign w:val="superscript"/>
                <w:lang w:val="en-CA"/>
              </w:rPr>
              <w:t>-1</w:t>
            </w:r>
            <w:r>
              <w:rPr>
                <w:lang w:val="en-CA"/>
              </w:rPr>
              <w:t xml:space="preserve"> K</w:t>
            </w:r>
            <w:r w:rsidRPr="005357FE">
              <w:rPr>
                <w:vertAlign w:val="superscript"/>
                <w:lang w:val="en-CA"/>
              </w:rPr>
              <w:t>-1</w:t>
            </w:r>
            <w:r>
              <w:rPr>
                <w:lang w:val="en-CA"/>
              </w:rPr>
              <w:t>)</w:t>
            </w:r>
          </w:p>
        </w:tc>
      </w:tr>
      <w:tr w:rsidR="00756597" w14:paraId="4374F0E1" w14:textId="77777777" w:rsidTr="007E530C">
        <w:trPr>
          <w:trHeight w:val="187"/>
          <w:jc w:val="center"/>
        </w:trPr>
        <w:tc>
          <w:tcPr>
            <w:tcW w:w="0" w:type="auto"/>
          </w:tcPr>
          <w:p w14:paraId="1CF7399B" w14:textId="77777777" w:rsidR="00756597" w:rsidRDefault="00756597" w:rsidP="007E530C">
            <w:pPr>
              <w:jc w:val="center"/>
              <w:rPr>
                <w:lang w:val="en-CA"/>
              </w:rPr>
            </w:pPr>
          </w:p>
        </w:tc>
        <w:tc>
          <w:tcPr>
            <w:tcW w:w="371" w:type="dxa"/>
            <w:vAlign w:val="center"/>
          </w:tcPr>
          <w:p w14:paraId="5369C27A" w14:textId="77777777" w:rsidR="00756597" w:rsidRDefault="00756597" w:rsidP="007E530C">
            <w:pPr>
              <w:jc w:val="center"/>
              <w:rPr>
                <w:lang w:val="en-CA"/>
              </w:rPr>
            </w:pPr>
          </w:p>
        </w:tc>
        <w:tc>
          <w:tcPr>
            <w:tcW w:w="371" w:type="dxa"/>
            <w:vAlign w:val="center"/>
          </w:tcPr>
          <w:p w14:paraId="1B56B3FD" w14:textId="77777777" w:rsidR="00756597" w:rsidRDefault="00756597" w:rsidP="007E530C">
            <w:pPr>
              <w:jc w:val="center"/>
              <w:rPr>
                <w:lang w:val="en-CA"/>
              </w:rPr>
            </w:pPr>
            <w:r>
              <w:rPr>
                <w:lang w:val="en-CA"/>
              </w:rPr>
              <w:t>T</w:t>
            </w:r>
          </w:p>
        </w:tc>
        <w:tc>
          <w:tcPr>
            <w:tcW w:w="400" w:type="dxa"/>
            <w:vAlign w:val="center"/>
          </w:tcPr>
          <w:p w14:paraId="6843B970" w14:textId="77777777" w:rsidR="00756597" w:rsidRDefault="00756597" w:rsidP="007E530C">
            <w:pPr>
              <w:jc w:val="center"/>
              <w:rPr>
                <w:lang w:val="en-CA"/>
              </w:rPr>
            </w:pPr>
            <w:r>
              <w:rPr>
                <w:lang w:val="en-CA"/>
              </w:rPr>
              <w:t>=</w:t>
            </w:r>
          </w:p>
        </w:tc>
        <w:tc>
          <w:tcPr>
            <w:tcW w:w="4505" w:type="dxa"/>
            <w:vAlign w:val="center"/>
          </w:tcPr>
          <w:p w14:paraId="092DF74D" w14:textId="77777777" w:rsidR="00756597" w:rsidRDefault="00756597" w:rsidP="007E530C">
            <w:pPr>
              <w:ind w:left="161"/>
              <w:rPr>
                <w:lang w:val="en-CA"/>
              </w:rPr>
            </w:pPr>
            <w:r>
              <w:rPr>
                <w:lang w:val="en-CA"/>
              </w:rPr>
              <w:t>Temperature (K)</w:t>
            </w:r>
          </w:p>
        </w:tc>
      </w:tr>
      <w:tr w:rsidR="00756597" w14:paraId="74ABEBDF" w14:textId="77777777" w:rsidTr="007E530C">
        <w:trPr>
          <w:trHeight w:val="187"/>
          <w:jc w:val="center"/>
        </w:trPr>
        <w:tc>
          <w:tcPr>
            <w:tcW w:w="0" w:type="auto"/>
          </w:tcPr>
          <w:p w14:paraId="7849D282" w14:textId="77777777" w:rsidR="00756597" w:rsidRDefault="00756597" w:rsidP="007E530C">
            <w:pPr>
              <w:jc w:val="center"/>
              <w:rPr>
                <w:lang w:val="en-CA"/>
              </w:rPr>
            </w:pPr>
          </w:p>
        </w:tc>
        <w:tc>
          <w:tcPr>
            <w:tcW w:w="371" w:type="dxa"/>
            <w:vAlign w:val="center"/>
          </w:tcPr>
          <w:p w14:paraId="431DBF36" w14:textId="77777777" w:rsidR="00756597" w:rsidRDefault="00756597" w:rsidP="007E530C">
            <w:pPr>
              <w:jc w:val="center"/>
              <w:rPr>
                <w:lang w:val="en-CA"/>
              </w:rPr>
            </w:pPr>
          </w:p>
        </w:tc>
        <w:tc>
          <w:tcPr>
            <w:tcW w:w="371" w:type="dxa"/>
            <w:vAlign w:val="center"/>
          </w:tcPr>
          <w:p w14:paraId="673D495D" w14:textId="77777777" w:rsidR="00756597" w:rsidRPr="004E7F10" w:rsidRDefault="00756597" w:rsidP="007E530C">
            <w:pPr>
              <w:jc w:val="center"/>
              <w:rPr>
                <w:rFonts w:ascii="Symbol" w:hAnsi="Symbol"/>
                <w:lang w:val="en-CA"/>
              </w:rPr>
            </w:pPr>
            <w:proofErr w:type="spellStart"/>
            <w:r>
              <w:rPr>
                <w:lang w:val="en-CA"/>
              </w:rPr>
              <w:t>Biot</w:t>
            </w:r>
            <w:proofErr w:type="spellEnd"/>
          </w:p>
        </w:tc>
        <w:tc>
          <w:tcPr>
            <w:tcW w:w="400" w:type="dxa"/>
            <w:vAlign w:val="center"/>
          </w:tcPr>
          <w:p w14:paraId="35347151" w14:textId="77777777" w:rsidR="00756597" w:rsidRDefault="00756597" w:rsidP="007E530C">
            <w:pPr>
              <w:jc w:val="center"/>
              <w:rPr>
                <w:lang w:val="en-CA"/>
              </w:rPr>
            </w:pPr>
            <w:r>
              <w:rPr>
                <w:lang w:val="en-CA"/>
              </w:rPr>
              <w:t>=</w:t>
            </w:r>
          </w:p>
        </w:tc>
        <w:tc>
          <w:tcPr>
            <w:tcW w:w="4505" w:type="dxa"/>
            <w:vAlign w:val="center"/>
          </w:tcPr>
          <w:p w14:paraId="37EC05EB" w14:textId="77777777" w:rsidR="00756597" w:rsidRDefault="00756597" w:rsidP="007E530C">
            <w:pPr>
              <w:ind w:left="161"/>
              <w:rPr>
                <w:lang w:val="en-CA"/>
              </w:rPr>
            </w:pPr>
            <w:proofErr w:type="spellStart"/>
            <w:r>
              <w:rPr>
                <w:lang w:val="en-CA"/>
              </w:rPr>
              <w:t>Biot</w:t>
            </w:r>
            <w:proofErr w:type="spellEnd"/>
            <w:r>
              <w:rPr>
                <w:lang w:val="en-CA"/>
              </w:rPr>
              <w:t xml:space="preserve"> number</w:t>
            </w:r>
          </w:p>
        </w:tc>
      </w:tr>
      <w:tr w:rsidR="00756597" w14:paraId="10FCA740" w14:textId="77777777" w:rsidTr="007E530C">
        <w:trPr>
          <w:trHeight w:val="187"/>
          <w:jc w:val="center"/>
        </w:trPr>
        <w:tc>
          <w:tcPr>
            <w:tcW w:w="0" w:type="auto"/>
          </w:tcPr>
          <w:p w14:paraId="0284D29C" w14:textId="77777777" w:rsidR="00756597" w:rsidRDefault="00756597" w:rsidP="007E530C">
            <w:pPr>
              <w:jc w:val="center"/>
              <w:rPr>
                <w:lang w:val="en-CA"/>
              </w:rPr>
            </w:pPr>
          </w:p>
        </w:tc>
        <w:tc>
          <w:tcPr>
            <w:tcW w:w="371" w:type="dxa"/>
            <w:vAlign w:val="center"/>
          </w:tcPr>
          <w:p w14:paraId="3C90633E" w14:textId="77777777" w:rsidR="00756597" w:rsidRDefault="00756597" w:rsidP="007E530C">
            <w:pPr>
              <w:jc w:val="center"/>
              <w:rPr>
                <w:lang w:val="en-CA"/>
              </w:rPr>
            </w:pPr>
          </w:p>
        </w:tc>
        <w:tc>
          <w:tcPr>
            <w:tcW w:w="371" w:type="dxa"/>
            <w:vAlign w:val="center"/>
          </w:tcPr>
          <w:p w14:paraId="0A3C20B0" w14:textId="77777777" w:rsidR="00756597" w:rsidRDefault="00756597" w:rsidP="007E530C">
            <w:pPr>
              <w:jc w:val="center"/>
              <w:rPr>
                <w:lang w:val="en-CA"/>
              </w:rPr>
            </w:pPr>
            <m:oMathPara>
              <m:oMath>
                <m:r>
                  <w:rPr>
                    <w:rFonts w:ascii="Cambria Math" w:eastAsia="SimSun" w:hAnsi="Cambria Math"/>
                    <w:lang w:val="en" w:eastAsia="zh-CN"/>
                  </w:rPr>
                  <m:t>λ</m:t>
                </m:r>
              </m:oMath>
            </m:oMathPara>
          </w:p>
        </w:tc>
        <w:tc>
          <w:tcPr>
            <w:tcW w:w="400" w:type="dxa"/>
            <w:vAlign w:val="center"/>
          </w:tcPr>
          <w:p w14:paraId="3FBEBE47" w14:textId="77777777" w:rsidR="00756597" w:rsidRDefault="00756597" w:rsidP="007E530C">
            <w:pPr>
              <w:jc w:val="center"/>
              <w:rPr>
                <w:lang w:val="en-CA"/>
              </w:rPr>
            </w:pPr>
            <w:r w:rsidRPr="0ED87B57">
              <w:rPr>
                <w:lang w:val="en-CA"/>
              </w:rPr>
              <w:t>=</w:t>
            </w:r>
          </w:p>
        </w:tc>
        <w:tc>
          <w:tcPr>
            <w:tcW w:w="4505" w:type="dxa"/>
            <w:vAlign w:val="center"/>
          </w:tcPr>
          <w:p w14:paraId="1396886E" w14:textId="77777777" w:rsidR="00756597" w:rsidRDefault="00756597" w:rsidP="007E530C">
            <w:pPr>
              <w:ind w:left="161"/>
              <w:rPr>
                <w:lang w:val="en-CA"/>
              </w:rPr>
            </w:pPr>
            <w:r>
              <w:rPr>
                <w:lang w:val="en-CA"/>
              </w:rPr>
              <w:t>Thermal conductivity (W m</w:t>
            </w:r>
            <w:r w:rsidRPr="00BB0493">
              <w:rPr>
                <w:vertAlign w:val="superscript"/>
                <w:lang w:val="en-CA"/>
              </w:rPr>
              <w:t>-</w:t>
            </w:r>
            <w:r>
              <w:rPr>
                <w:vertAlign w:val="superscript"/>
                <w:lang w:val="en-CA"/>
              </w:rPr>
              <w:t>1</w:t>
            </w:r>
            <w:r>
              <w:rPr>
                <w:lang w:val="en-CA"/>
              </w:rPr>
              <w:t xml:space="preserve"> K</w:t>
            </w:r>
            <w:r w:rsidRPr="00BB0493">
              <w:rPr>
                <w:vertAlign w:val="superscript"/>
                <w:lang w:val="en-CA"/>
              </w:rPr>
              <w:t>-1</w:t>
            </w:r>
            <w:r>
              <w:rPr>
                <w:lang w:val="en-CA"/>
              </w:rPr>
              <w:t xml:space="preserve">) </w:t>
            </w:r>
          </w:p>
        </w:tc>
      </w:tr>
      <w:tr w:rsidR="00756597" w14:paraId="6ED332C5" w14:textId="77777777" w:rsidTr="007E530C">
        <w:trPr>
          <w:trHeight w:val="187"/>
          <w:jc w:val="center"/>
        </w:trPr>
        <w:tc>
          <w:tcPr>
            <w:tcW w:w="0" w:type="auto"/>
          </w:tcPr>
          <w:p w14:paraId="47A8FA12" w14:textId="77777777" w:rsidR="00756597" w:rsidRDefault="00756597" w:rsidP="007E530C">
            <w:pPr>
              <w:jc w:val="center"/>
              <w:rPr>
                <w:lang w:val="en-CA"/>
              </w:rPr>
            </w:pPr>
          </w:p>
        </w:tc>
        <w:tc>
          <w:tcPr>
            <w:tcW w:w="371" w:type="dxa"/>
            <w:vAlign w:val="center"/>
          </w:tcPr>
          <w:p w14:paraId="388E6ABE" w14:textId="77777777" w:rsidR="00756597" w:rsidRDefault="00756597" w:rsidP="007E530C">
            <w:pPr>
              <w:jc w:val="center"/>
              <w:rPr>
                <w:lang w:val="en-CA"/>
              </w:rPr>
            </w:pPr>
          </w:p>
        </w:tc>
        <w:tc>
          <w:tcPr>
            <w:tcW w:w="371" w:type="dxa"/>
            <w:vAlign w:val="center"/>
          </w:tcPr>
          <w:p w14:paraId="4AA1CB92" w14:textId="77777777" w:rsidR="00756597" w:rsidRDefault="00756597" w:rsidP="007E530C">
            <w:pPr>
              <w:jc w:val="center"/>
              <w:rPr>
                <w:rFonts w:eastAsia="SimSun"/>
                <w:lang w:val="en" w:eastAsia="zh-CN"/>
              </w:rPr>
            </w:pPr>
            <m:oMathPara>
              <m:oMath>
                <m:r>
                  <w:rPr>
                    <w:rFonts w:ascii="Cambria Math" w:eastAsia="SimSun" w:hAnsi="Cambria Math" w:cstheme="minorHAnsi"/>
                    <w:lang w:val="de-DE" w:eastAsia="zh-CN"/>
                  </w:rPr>
                  <m:t>ρ</m:t>
                </m:r>
              </m:oMath>
            </m:oMathPara>
          </w:p>
        </w:tc>
        <w:tc>
          <w:tcPr>
            <w:tcW w:w="400" w:type="dxa"/>
            <w:vAlign w:val="center"/>
          </w:tcPr>
          <w:p w14:paraId="3C0B83FE" w14:textId="77777777" w:rsidR="00756597" w:rsidRPr="0ED87B57" w:rsidRDefault="00756597" w:rsidP="007E530C">
            <w:pPr>
              <w:jc w:val="center"/>
              <w:rPr>
                <w:lang w:val="en-CA"/>
              </w:rPr>
            </w:pPr>
            <w:r>
              <w:rPr>
                <w:lang w:val="en-CA"/>
              </w:rPr>
              <w:t>=</w:t>
            </w:r>
          </w:p>
        </w:tc>
        <w:tc>
          <w:tcPr>
            <w:tcW w:w="4505" w:type="dxa"/>
            <w:vAlign w:val="center"/>
          </w:tcPr>
          <w:p w14:paraId="20D38CF4" w14:textId="77777777" w:rsidR="00756597" w:rsidRDefault="00756597" w:rsidP="007E530C">
            <w:pPr>
              <w:ind w:left="161"/>
              <w:rPr>
                <w:lang w:val="en-CA"/>
              </w:rPr>
            </w:pPr>
            <w:r>
              <w:rPr>
                <w:lang w:val="en-CA"/>
              </w:rPr>
              <w:t>Bulk density (kg m</w:t>
            </w:r>
            <w:r w:rsidRPr="002E7C78">
              <w:rPr>
                <w:vertAlign w:val="superscript"/>
                <w:lang w:val="en-CA"/>
              </w:rPr>
              <w:t>-3</w:t>
            </w:r>
            <w:r>
              <w:rPr>
                <w:lang w:val="en-CA"/>
              </w:rPr>
              <w:t>)</w:t>
            </w:r>
          </w:p>
        </w:tc>
      </w:tr>
      <w:tr w:rsidR="00756597" w14:paraId="5DEF4901" w14:textId="77777777" w:rsidTr="007E530C">
        <w:trPr>
          <w:trHeight w:val="187"/>
          <w:jc w:val="center"/>
        </w:trPr>
        <w:tc>
          <w:tcPr>
            <w:tcW w:w="0" w:type="auto"/>
          </w:tcPr>
          <w:p w14:paraId="374FB05E" w14:textId="77777777" w:rsidR="00756597" w:rsidRDefault="00756597" w:rsidP="007E530C">
            <w:pPr>
              <w:jc w:val="center"/>
              <w:rPr>
                <w:lang w:val="en-CA"/>
              </w:rPr>
            </w:pPr>
          </w:p>
        </w:tc>
        <w:tc>
          <w:tcPr>
            <w:tcW w:w="371" w:type="dxa"/>
            <w:vAlign w:val="center"/>
          </w:tcPr>
          <w:p w14:paraId="072DE948" w14:textId="77777777" w:rsidR="00756597" w:rsidRDefault="00756597" w:rsidP="007E530C">
            <w:pPr>
              <w:jc w:val="center"/>
              <w:rPr>
                <w:lang w:val="en-CA"/>
              </w:rPr>
            </w:pPr>
          </w:p>
        </w:tc>
        <w:tc>
          <w:tcPr>
            <w:tcW w:w="371" w:type="dxa"/>
            <w:vAlign w:val="center"/>
          </w:tcPr>
          <w:p w14:paraId="075B2E8D" w14:textId="77777777" w:rsidR="00756597" w:rsidRDefault="00756597" w:rsidP="007E530C">
            <w:pPr>
              <w:jc w:val="center"/>
              <w:rPr>
                <w:rFonts w:eastAsia="SimSun"/>
                <w:lang w:val="en" w:eastAsia="zh-CN"/>
              </w:rPr>
            </w:pPr>
            <m:oMathPara>
              <m:oMath>
                <m:r>
                  <w:rPr>
                    <w:rFonts w:ascii="Cambria Math" w:eastAsia="SimSun" w:hAnsi="Cambria Math"/>
                    <w:lang w:val="en" w:eastAsia="zh-CN"/>
                  </w:rPr>
                  <m:t>r</m:t>
                </m:r>
              </m:oMath>
            </m:oMathPara>
          </w:p>
        </w:tc>
        <w:tc>
          <w:tcPr>
            <w:tcW w:w="400" w:type="dxa"/>
            <w:vAlign w:val="center"/>
          </w:tcPr>
          <w:p w14:paraId="50157DF6" w14:textId="77777777" w:rsidR="00756597" w:rsidRDefault="00756597" w:rsidP="007E530C">
            <w:pPr>
              <w:jc w:val="center"/>
              <w:rPr>
                <w:lang w:val="en-CA"/>
              </w:rPr>
            </w:pPr>
            <w:r>
              <w:rPr>
                <w:lang w:val="en-CA"/>
              </w:rPr>
              <w:t>=</w:t>
            </w:r>
          </w:p>
        </w:tc>
        <w:tc>
          <w:tcPr>
            <w:tcW w:w="4505" w:type="dxa"/>
            <w:vAlign w:val="center"/>
          </w:tcPr>
          <w:p w14:paraId="638E1CAF" w14:textId="77777777" w:rsidR="00756597" w:rsidRDefault="00756597" w:rsidP="007E530C">
            <w:pPr>
              <w:ind w:left="161"/>
              <w:rPr>
                <w:lang w:val="en-CA"/>
              </w:rPr>
            </w:pPr>
            <w:r>
              <w:rPr>
                <w:lang w:val="en-CA"/>
              </w:rPr>
              <w:t>Characteristic length of the package (m)</w:t>
            </w:r>
          </w:p>
        </w:tc>
      </w:tr>
    </w:tbl>
    <w:p w14:paraId="3FD086A0" w14:textId="77777777" w:rsidR="00756597" w:rsidRDefault="00756597" w:rsidP="00756597">
      <w:pPr>
        <w:pStyle w:val="SingleTxtG"/>
        <w:spacing w:line="240" w:lineRule="auto"/>
        <w:rPr>
          <w:lang w:val="en-CA"/>
        </w:rPr>
      </w:pPr>
    </w:p>
    <w:p w14:paraId="3DC98B1B" w14:textId="553F6D36" w:rsidR="00756597" w:rsidRPr="000C2289" w:rsidRDefault="00756597" w:rsidP="00756597">
      <w:pPr>
        <w:pStyle w:val="SingleTxtG"/>
        <w:numPr>
          <w:ilvl w:val="0"/>
          <w:numId w:val="21"/>
        </w:numPr>
        <w:tabs>
          <w:tab w:val="clear" w:pos="2268"/>
          <w:tab w:val="clear" w:pos="2835"/>
        </w:tabs>
        <w:spacing w:line="240" w:lineRule="auto"/>
        <w:ind w:left="1134" w:firstLine="0"/>
        <w:rPr>
          <w:lang w:val="en-CA"/>
        </w:rPr>
      </w:pPr>
      <w:r>
        <w:rPr>
          <w:lang w:val="en-CA"/>
        </w:rPr>
        <w:t xml:space="preserve">Using the assumed values in paragraph </w:t>
      </w:r>
      <w:r>
        <w:rPr>
          <w:lang w:val="en-CA"/>
        </w:rPr>
        <w:fldChar w:fldCharType="begin"/>
      </w:r>
      <w:r>
        <w:rPr>
          <w:lang w:val="en-CA"/>
        </w:rPr>
        <w:instrText xml:space="preserve"> REF _Ref161768173 \r \h </w:instrText>
      </w:r>
      <w:r>
        <w:rPr>
          <w:lang w:val="en-CA"/>
        </w:rPr>
      </w:r>
      <w:r>
        <w:rPr>
          <w:lang w:val="en-CA"/>
        </w:rPr>
        <w:fldChar w:fldCharType="separate"/>
      </w:r>
      <w:r w:rsidR="00D7059F">
        <w:rPr>
          <w:cs/>
          <w:lang w:val="en-CA"/>
        </w:rPr>
        <w:t>‎</w:t>
      </w:r>
      <w:r w:rsidR="00D7059F">
        <w:rPr>
          <w:lang w:val="en-CA"/>
        </w:rPr>
        <w:t>8</w:t>
      </w:r>
      <w:r>
        <w:rPr>
          <w:lang w:val="en-CA"/>
        </w:rPr>
        <w:fldChar w:fldCharType="end"/>
      </w:r>
      <w:r>
        <w:rPr>
          <w:lang w:val="en-CA"/>
        </w:rPr>
        <w:t xml:space="preserve">, the equation in paragraph </w:t>
      </w:r>
      <w:r>
        <w:rPr>
          <w:lang w:val="en-CA"/>
        </w:rPr>
        <w:fldChar w:fldCharType="begin"/>
      </w:r>
      <w:r>
        <w:rPr>
          <w:lang w:val="en-CA"/>
        </w:rPr>
        <w:instrText xml:space="preserve"> REF _Ref161768192 \r \h </w:instrText>
      </w:r>
      <w:r>
        <w:rPr>
          <w:lang w:val="en-CA"/>
        </w:rPr>
      </w:r>
      <w:r>
        <w:rPr>
          <w:lang w:val="en-CA"/>
        </w:rPr>
        <w:fldChar w:fldCharType="separate"/>
      </w:r>
      <w:r w:rsidR="00D7059F">
        <w:rPr>
          <w:cs/>
          <w:lang w:val="en-CA"/>
        </w:rPr>
        <w:t>‎</w:t>
      </w:r>
      <w:r w:rsidR="00D7059F">
        <w:rPr>
          <w:lang w:val="en-CA"/>
        </w:rPr>
        <w:t>11</w:t>
      </w:r>
      <w:r>
        <w:rPr>
          <w:lang w:val="en-CA"/>
        </w:rPr>
        <w:fldChar w:fldCharType="end"/>
      </w:r>
      <w:r>
        <w:rPr>
          <w:lang w:val="en-CA"/>
        </w:rPr>
        <w:t xml:space="preserve"> then gives the following critical heat flows for solids for representative activation energies in a 50 kg isometric cylindrical package with an SADT of 75 </w:t>
      </w:r>
      <w:r w:rsidRPr="000C2289">
        <w:rPr>
          <w:lang w:val="en-CA"/>
        </w:rPr>
        <w:t>°C (</w:t>
      </w:r>
      <w:r w:rsidRPr="000C2289">
        <w:rPr>
          <w:lang w:val="en-CA"/>
        </w:rPr>
        <w:fldChar w:fldCharType="begin"/>
      </w:r>
      <w:r w:rsidRPr="000C2289">
        <w:rPr>
          <w:lang w:val="en-CA"/>
        </w:rPr>
        <w:instrText xml:space="preserve"> REF _Ref161764388 \h  \* MERGEFORMAT </w:instrText>
      </w:r>
      <w:r w:rsidRPr="000C2289">
        <w:rPr>
          <w:lang w:val="en-CA"/>
        </w:rPr>
      </w:r>
      <w:r w:rsidRPr="000C2289">
        <w:rPr>
          <w:lang w:val="en-CA"/>
        </w:rPr>
        <w:fldChar w:fldCharType="separate"/>
      </w:r>
      <w:r w:rsidR="00D7059F" w:rsidRPr="000C2289">
        <w:t xml:space="preserve">Table </w:t>
      </w:r>
      <w:r w:rsidR="00D7059F">
        <w:rPr>
          <w:noProof/>
        </w:rPr>
        <w:t>1</w:t>
      </w:r>
      <w:r w:rsidRPr="000C2289">
        <w:rPr>
          <w:lang w:val="en-CA"/>
        </w:rPr>
        <w:fldChar w:fldCharType="end"/>
      </w:r>
      <w:r w:rsidRPr="000C2289">
        <w:rPr>
          <w:lang w:val="en-CA"/>
        </w:rPr>
        <w:t>).</w:t>
      </w:r>
    </w:p>
    <w:p w14:paraId="77EA629F" w14:textId="183DE76A" w:rsidR="00756597" w:rsidRPr="000C2289" w:rsidRDefault="00756597" w:rsidP="00756597">
      <w:pPr>
        <w:pStyle w:val="Caption"/>
        <w:keepNext/>
        <w:tabs>
          <w:tab w:val="left" w:pos="7371"/>
        </w:tabs>
        <w:ind w:left="2127" w:right="2268"/>
        <w:jc w:val="center"/>
      </w:pPr>
      <w:bookmarkStart w:id="8" w:name="_Ref161764388"/>
      <w:r w:rsidRPr="000C2289">
        <w:t xml:space="preserve">Table </w:t>
      </w:r>
      <w:r w:rsidRPr="000C2289">
        <w:fldChar w:fldCharType="begin"/>
      </w:r>
      <w:r w:rsidRPr="000C2289">
        <w:instrText>SEQ Table \* ARABIC</w:instrText>
      </w:r>
      <w:r w:rsidRPr="000C2289">
        <w:fldChar w:fldCharType="separate"/>
      </w:r>
      <w:r w:rsidR="00D7059F">
        <w:rPr>
          <w:noProof/>
        </w:rPr>
        <w:t>1</w:t>
      </w:r>
      <w:r w:rsidRPr="000C2289">
        <w:fldChar w:fldCharType="end"/>
      </w:r>
      <w:bookmarkEnd w:id="8"/>
      <w:r w:rsidRPr="000C2289">
        <w:t>: Critical heat flow for solids with an SADT of 75 °C for a standard 50 kg package</w:t>
      </w:r>
      <w:r>
        <w:t xml:space="preserve"> (Thomas model)</w:t>
      </w:r>
    </w:p>
    <w:tbl>
      <w:tblPr>
        <w:tblStyle w:val="TableGrid"/>
        <w:tblW w:w="5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88"/>
        <w:gridCol w:w="709"/>
        <w:gridCol w:w="709"/>
        <w:gridCol w:w="709"/>
      </w:tblGrid>
      <w:tr w:rsidR="00756597" w:rsidRPr="000C2289" w14:paraId="74789FDB" w14:textId="77777777" w:rsidTr="007E530C">
        <w:trPr>
          <w:trHeight w:val="283"/>
          <w:jc w:val="center"/>
        </w:trPr>
        <w:tc>
          <w:tcPr>
            <w:tcW w:w="2693" w:type="dxa"/>
            <w:tcBorders>
              <w:top w:val="single" w:sz="4" w:space="0" w:color="002060"/>
              <w:bottom w:val="single" w:sz="4" w:space="0" w:color="002060"/>
            </w:tcBorders>
            <w:shd w:val="clear" w:color="auto" w:fill="C6D9F1" w:themeFill="text2" w:themeFillTint="33"/>
          </w:tcPr>
          <w:p w14:paraId="75D66977" w14:textId="77777777" w:rsidR="00756597" w:rsidRPr="000C2289" w:rsidRDefault="00756597" w:rsidP="007E530C">
            <w:pPr>
              <w:rPr>
                <w:rFonts w:eastAsia="SimSun"/>
                <w:b/>
                <w:bCs/>
                <w:lang w:eastAsia="zh-CN"/>
              </w:rPr>
            </w:pPr>
            <w:r w:rsidRPr="000C2289">
              <w:rPr>
                <w:rFonts w:eastAsia="SimSun"/>
                <w:b/>
                <w:bCs/>
                <w:lang w:eastAsia="zh-CN"/>
              </w:rPr>
              <w:t>Activation Energy (kJ mol</w:t>
            </w:r>
            <w:r w:rsidRPr="000C2289">
              <w:rPr>
                <w:rFonts w:eastAsia="SimSun"/>
                <w:b/>
                <w:bCs/>
                <w:vertAlign w:val="superscript"/>
                <w:lang w:eastAsia="zh-CN"/>
              </w:rPr>
              <w:t>-1</w:t>
            </w:r>
            <w:r w:rsidRPr="000C2289">
              <w:rPr>
                <w:rFonts w:eastAsia="SimSun"/>
                <w:b/>
                <w:bCs/>
                <w:lang w:eastAsia="zh-CN"/>
              </w:rPr>
              <w:t>)</w:t>
            </w:r>
          </w:p>
        </w:tc>
        <w:tc>
          <w:tcPr>
            <w:tcW w:w="588" w:type="dxa"/>
            <w:tcBorders>
              <w:top w:val="single" w:sz="4" w:space="0" w:color="002060"/>
              <w:bottom w:val="single" w:sz="4" w:space="0" w:color="002060"/>
            </w:tcBorders>
            <w:shd w:val="clear" w:color="auto" w:fill="C6D9F1" w:themeFill="text2" w:themeFillTint="33"/>
          </w:tcPr>
          <w:p w14:paraId="3D98F63D" w14:textId="77777777" w:rsidR="00756597" w:rsidRPr="000C2289" w:rsidRDefault="00756597" w:rsidP="007E530C">
            <w:pPr>
              <w:jc w:val="center"/>
              <w:rPr>
                <w:rFonts w:eastAsia="SimSun"/>
                <w:b/>
                <w:bCs/>
                <w:lang w:eastAsia="zh-CN"/>
              </w:rPr>
            </w:pPr>
            <w:r w:rsidRPr="000C2289">
              <w:rPr>
                <w:rFonts w:eastAsia="SimSun"/>
                <w:b/>
                <w:bCs/>
                <w:lang w:eastAsia="zh-CN"/>
              </w:rPr>
              <w:t>50</w:t>
            </w:r>
          </w:p>
        </w:tc>
        <w:tc>
          <w:tcPr>
            <w:tcW w:w="709" w:type="dxa"/>
            <w:tcBorders>
              <w:top w:val="single" w:sz="4" w:space="0" w:color="002060"/>
              <w:bottom w:val="single" w:sz="4" w:space="0" w:color="002060"/>
            </w:tcBorders>
            <w:shd w:val="clear" w:color="auto" w:fill="C6D9F1" w:themeFill="text2" w:themeFillTint="33"/>
          </w:tcPr>
          <w:p w14:paraId="302B4D51" w14:textId="77777777" w:rsidR="00756597" w:rsidRPr="000C2289" w:rsidRDefault="00756597" w:rsidP="007E530C">
            <w:pPr>
              <w:jc w:val="center"/>
              <w:rPr>
                <w:rFonts w:eastAsia="SimSun"/>
                <w:b/>
                <w:bCs/>
                <w:lang w:eastAsia="zh-CN"/>
              </w:rPr>
            </w:pPr>
            <w:r w:rsidRPr="000C2289">
              <w:rPr>
                <w:rFonts w:eastAsia="SimSun"/>
                <w:b/>
                <w:bCs/>
                <w:lang w:eastAsia="zh-CN"/>
              </w:rPr>
              <w:t>100</w:t>
            </w:r>
          </w:p>
        </w:tc>
        <w:tc>
          <w:tcPr>
            <w:tcW w:w="709" w:type="dxa"/>
            <w:tcBorders>
              <w:top w:val="single" w:sz="4" w:space="0" w:color="002060"/>
              <w:bottom w:val="single" w:sz="4" w:space="0" w:color="002060"/>
            </w:tcBorders>
            <w:shd w:val="clear" w:color="auto" w:fill="C6D9F1" w:themeFill="text2" w:themeFillTint="33"/>
          </w:tcPr>
          <w:p w14:paraId="0841D706" w14:textId="77777777" w:rsidR="00756597" w:rsidRPr="000C2289" w:rsidRDefault="00756597" w:rsidP="007E530C">
            <w:pPr>
              <w:jc w:val="center"/>
              <w:rPr>
                <w:rFonts w:eastAsia="SimSun"/>
                <w:b/>
                <w:bCs/>
                <w:lang w:eastAsia="zh-CN"/>
              </w:rPr>
            </w:pPr>
            <w:r w:rsidRPr="000C2289">
              <w:rPr>
                <w:rFonts w:eastAsia="SimSun"/>
                <w:b/>
                <w:bCs/>
                <w:lang w:eastAsia="zh-CN"/>
              </w:rPr>
              <w:t>150</w:t>
            </w:r>
          </w:p>
        </w:tc>
        <w:tc>
          <w:tcPr>
            <w:tcW w:w="709" w:type="dxa"/>
            <w:tcBorders>
              <w:top w:val="single" w:sz="4" w:space="0" w:color="002060"/>
              <w:bottom w:val="single" w:sz="4" w:space="0" w:color="002060"/>
            </w:tcBorders>
            <w:shd w:val="clear" w:color="auto" w:fill="C6D9F1" w:themeFill="text2" w:themeFillTint="33"/>
          </w:tcPr>
          <w:p w14:paraId="60E2B64D" w14:textId="77777777" w:rsidR="00756597" w:rsidRPr="000C2289" w:rsidRDefault="00756597" w:rsidP="007E530C">
            <w:pPr>
              <w:jc w:val="center"/>
              <w:rPr>
                <w:rFonts w:eastAsia="SimSun"/>
                <w:b/>
                <w:bCs/>
                <w:lang w:eastAsia="zh-CN"/>
              </w:rPr>
            </w:pPr>
            <w:r w:rsidRPr="000C2289">
              <w:rPr>
                <w:rFonts w:eastAsia="SimSun"/>
                <w:b/>
                <w:bCs/>
                <w:lang w:eastAsia="zh-CN"/>
              </w:rPr>
              <w:t>200</w:t>
            </w:r>
          </w:p>
        </w:tc>
      </w:tr>
      <w:tr w:rsidR="00756597" w:rsidRPr="000C2289" w14:paraId="78428ADC" w14:textId="77777777" w:rsidTr="007E530C">
        <w:trPr>
          <w:trHeight w:val="283"/>
          <w:jc w:val="center"/>
        </w:trPr>
        <w:tc>
          <w:tcPr>
            <w:tcW w:w="2693" w:type="dxa"/>
            <w:tcBorders>
              <w:top w:val="single" w:sz="4" w:space="0" w:color="002060"/>
              <w:bottom w:val="single" w:sz="4" w:space="0" w:color="auto"/>
            </w:tcBorders>
          </w:tcPr>
          <w:p w14:paraId="52998660" w14:textId="77777777" w:rsidR="00756597" w:rsidRPr="000C2289" w:rsidRDefault="00000000" w:rsidP="007E530C">
            <w:pPr>
              <w:spacing w:line="240" w:lineRule="auto"/>
              <w:jc w:val="center"/>
              <w:rPr>
                <w:lang w:eastAsia="zh-CN"/>
              </w:rPr>
            </w:pPr>
            <m:oMath>
              <m:sSub>
                <m:sSubPr>
                  <m:ctrlPr>
                    <w:rPr>
                      <w:rFonts w:ascii="Cambria Math" w:eastAsia="SimSun" w:hAnsi="Cambria Math" w:cstheme="minorHAnsi"/>
                      <w:i/>
                      <w:lang w:eastAsia="zh-CN"/>
                    </w:rPr>
                  </m:ctrlPr>
                </m:sSubPr>
                <m:e>
                  <m:acc>
                    <m:accPr>
                      <m:chr m:val="̇"/>
                      <m:ctrlPr>
                        <w:rPr>
                          <w:rFonts w:ascii="Cambria Math" w:eastAsia="SimSun" w:hAnsi="Cambria Math" w:cstheme="minorHAnsi"/>
                          <w:i/>
                          <w:lang w:eastAsia="zh-CN"/>
                        </w:rPr>
                      </m:ctrlPr>
                    </m:accPr>
                    <m:e>
                      <m:r>
                        <w:rPr>
                          <w:rFonts w:ascii="Cambria Math" w:eastAsia="SimSun" w:hAnsi="Cambria Math" w:cstheme="minorHAnsi"/>
                          <w:lang w:eastAsia="zh-CN"/>
                        </w:rPr>
                        <m:t>q</m:t>
                      </m:r>
                    </m:e>
                  </m:acc>
                </m:e>
                <m:sub>
                  <m:r>
                    <w:rPr>
                      <w:rFonts w:ascii="Cambria Math" w:eastAsia="SimSun" w:hAnsi="Cambria Math" w:cstheme="minorHAnsi"/>
                      <w:lang w:eastAsia="zh-CN"/>
                    </w:rPr>
                    <m:t>SADT</m:t>
                  </m:r>
                </m:sub>
              </m:sSub>
            </m:oMath>
            <w:r w:rsidR="00756597" w:rsidRPr="000C2289">
              <w:rPr>
                <w:rFonts w:eastAsia="SimSun"/>
                <w:vertAlign w:val="subscript"/>
                <w:lang w:eastAsia="zh-CN"/>
              </w:rPr>
              <w:t xml:space="preserve"> </w:t>
            </w:r>
            <w:r w:rsidR="00756597" w:rsidRPr="000C2289">
              <w:rPr>
                <w:rFonts w:eastAsia="SimSun"/>
                <w:lang w:eastAsia="zh-CN"/>
              </w:rPr>
              <w:t>(</w:t>
            </w:r>
            <w:proofErr w:type="spellStart"/>
            <w:r w:rsidR="00756597" w:rsidRPr="000C2289">
              <w:rPr>
                <w:rFonts w:eastAsia="SimSun"/>
                <w:lang w:eastAsia="zh-CN"/>
              </w:rPr>
              <w:t>mW</w:t>
            </w:r>
            <w:proofErr w:type="spellEnd"/>
            <w:r w:rsidR="00756597" w:rsidRPr="000C2289">
              <w:rPr>
                <w:rFonts w:eastAsia="SimSun"/>
                <w:lang w:eastAsia="zh-CN"/>
              </w:rPr>
              <w:t xml:space="preserve"> kg</w:t>
            </w:r>
            <w:r w:rsidR="00756597" w:rsidRPr="000C2289">
              <w:rPr>
                <w:vertAlign w:val="superscript"/>
                <w:lang w:val="en-CA"/>
              </w:rPr>
              <w:t>-1</w:t>
            </w:r>
            <w:r w:rsidR="00756597" w:rsidRPr="000C2289">
              <w:rPr>
                <w:rFonts w:eastAsia="SimSun"/>
                <w:lang w:eastAsia="zh-CN"/>
              </w:rPr>
              <w:t>)</w:t>
            </w:r>
          </w:p>
        </w:tc>
        <w:tc>
          <w:tcPr>
            <w:tcW w:w="588" w:type="dxa"/>
            <w:tcBorders>
              <w:top w:val="single" w:sz="4" w:space="0" w:color="002060"/>
              <w:bottom w:val="single" w:sz="4" w:space="0" w:color="auto"/>
            </w:tcBorders>
          </w:tcPr>
          <w:p w14:paraId="66C4E76A" w14:textId="77777777" w:rsidR="00756597" w:rsidRPr="000C2289" w:rsidRDefault="00756597" w:rsidP="007E530C">
            <w:pPr>
              <w:jc w:val="center"/>
              <w:rPr>
                <w:rFonts w:eastAsia="SimSun"/>
                <w:lang w:val="de-DE" w:eastAsia="zh-CN"/>
              </w:rPr>
            </w:pPr>
            <w:r>
              <w:t>193</w:t>
            </w:r>
          </w:p>
        </w:tc>
        <w:tc>
          <w:tcPr>
            <w:tcW w:w="709" w:type="dxa"/>
            <w:tcBorders>
              <w:top w:val="single" w:sz="4" w:space="0" w:color="002060"/>
              <w:bottom w:val="single" w:sz="4" w:space="0" w:color="auto"/>
            </w:tcBorders>
          </w:tcPr>
          <w:p w14:paraId="2AEEC5D8" w14:textId="77777777" w:rsidR="00756597" w:rsidRPr="000C2289" w:rsidRDefault="00756597" w:rsidP="007E530C">
            <w:pPr>
              <w:jc w:val="center"/>
              <w:rPr>
                <w:rFonts w:eastAsia="SimSun"/>
                <w:lang w:eastAsia="zh-CN"/>
              </w:rPr>
            </w:pPr>
            <w:r>
              <w:t>96</w:t>
            </w:r>
          </w:p>
        </w:tc>
        <w:tc>
          <w:tcPr>
            <w:tcW w:w="709" w:type="dxa"/>
            <w:tcBorders>
              <w:top w:val="single" w:sz="4" w:space="0" w:color="002060"/>
              <w:bottom w:val="single" w:sz="4" w:space="0" w:color="auto"/>
            </w:tcBorders>
          </w:tcPr>
          <w:p w14:paraId="2528BE5F" w14:textId="77777777" w:rsidR="00756597" w:rsidRPr="000C2289" w:rsidRDefault="00756597" w:rsidP="007E530C">
            <w:pPr>
              <w:jc w:val="center"/>
              <w:rPr>
                <w:rFonts w:eastAsia="SimSun"/>
                <w:lang w:eastAsia="zh-CN"/>
              </w:rPr>
            </w:pPr>
            <w:r>
              <w:t>64</w:t>
            </w:r>
          </w:p>
        </w:tc>
        <w:tc>
          <w:tcPr>
            <w:tcW w:w="709" w:type="dxa"/>
            <w:tcBorders>
              <w:top w:val="single" w:sz="4" w:space="0" w:color="002060"/>
              <w:bottom w:val="single" w:sz="4" w:space="0" w:color="auto"/>
            </w:tcBorders>
          </w:tcPr>
          <w:p w14:paraId="271C0041" w14:textId="77777777" w:rsidR="00756597" w:rsidRPr="000C2289" w:rsidRDefault="00756597" w:rsidP="007E530C">
            <w:pPr>
              <w:jc w:val="center"/>
              <w:rPr>
                <w:rFonts w:eastAsia="SimSun"/>
                <w:lang w:eastAsia="zh-CN"/>
              </w:rPr>
            </w:pPr>
            <w:r>
              <w:rPr>
                <w:color w:val="FF0000"/>
              </w:rPr>
              <w:t>48</w:t>
            </w:r>
          </w:p>
        </w:tc>
      </w:tr>
    </w:tbl>
    <w:p w14:paraId="2BD6248A" w14:textId="77777777" w:rsidR="00756597" w:rsidRDefault="00756597" w:rsidP="00756597">
      <w:pPr>
        <w:pStyle w:val="SingleTxtG"/>
        <w:ind w:left="2127"/>
        <w:jc w:val="center"/>
        <w:rPr>
          <w:sz w:val="18"/>
          <w:szCs w:val="18"/>
          <w:lang w:val="en-CA"/>
        </w:rPr>
      </w:pPr>
      <w:r w:rsidRPr="000C2289">
        <w:rPr>
          <w:sz w:val="18"/>
          <w:szCs w:val="18"/>
          <w:lang w:val="en-CA"/>
        </w:rPr>
        <w:t>Minimum heat flow highlighted in red</w:t>
      </w:r>
    </w:p>
    <w:p w14:paraId="51449D78" w14:textId="77777777" w:rsidR="00756597" w:rsidRPr="000C2289" w:rsidRDefault="00756597" w:rsidP="00756597">
      <w:pPr>
        <w:pStyle w:val="SingleTxtG"/>
        <w:ind w:left="2127"/>
        <w:jc w:val="center"/>
        <w:rPr>
          <w:sz w:val="18"/>
          <w:szCs w:val="18"/>
          <w:lang w:val="en-CA"/>
        </w:rPr>
      </w:pPr>
    </w:p>
    <w:p w14:paraId="5059EE8B" w14:textId="2D9F518F" w:rsidR="00756597" w:rsidRDefault="00756597" w:rsidP="00756597">
      <w:pPr>
        <w:pStyle w:val="SingleTxtG"/>
        <w:numPr>
          <w:ilvl w:val="0"/>
          <w:numId w:val="21"/>
        </w:numPr>
        <w:tabs>
          <w:tab w:val="clear" w:pos="2268"/>
          <w:tab w:val="clear" w:pos="2835"/>
        </w:tabs>
        <w:spacing w:line="240" w:lineRule="auto"/>
        <w:ind w:left="1134" w:firstLine="0"/>
        <w:rPr>
          <w:lang w:val="en-CA"/>
        </w:rPr>
      </w:pPr>
      <w:r>
        <w:rPr>
          <w:lang w:val="en-CA"/>
        </w:rPr>
        <w:t xml:space="preserve">Using the same procedure described before (see </w:t>
      </w:r>
      <w:r w:rsidR="00C93145">
        <w:rPr>
          <w:lang w:val="en-CA"/>
        </w:rPr>
        <w:t>p</w:t>
      </w:r>
      <w:r>
        <w:rPr>
          <w:lang w:val="en-CA"/>
        </w:rPr>
        <w:t xml:space="preserve">aragraphs 8-10 in Annex 1 of </w:t>
      </w:r>
      <w:hyperlink r:id="rId14" w:history="1">
        <w:r w:rsidRPr="000742D1">
          <w:rPr>
            <w:rStyle w:val="Hyperlink"/>
            <w:lang w:val="en-CA"/>
          </w:rPr>
          <w:t>ST</w:t>
        </w:r>
        <w:r w:rsidR="00C93145">
          <w:rPr>
            <w:rStyle w:val="Hyperlink"/>
            <w:lang w:val="en-CA"/>
          </w:rPr>
          <w:t>/</w:t>
        </w:r>
        <w:r w:rsidRPr="000742D1">
          <w:rPr>
            <w:rStyle w:val="Hyperlink"/>
            <w:lang w:val="en-CA"/>
          </w:rPr>
          <w:t>SG</w:t>
        </w:r>
        <w:r w:rsidR="00C93145">
          <w:rPr>
            <w:rStyle w:val="Hyperlink"/>
            <w:lang w:val="en-CA"/>
          </w:rPr>
          <w:t>/</w:t>
        </w:r>
        <w:r w:rsidRPr="000742D1">
          <w:rPr>
            <w:rStyle w:val="Hyperlink"/>
            <w:lang w:val="en-CA"/>
          </w:rPr>
          <w:t>AC</w:t>
        </w:r>
        <w:r w:rsidR="00C93145">
          <w:rPr>
            <w:rStyle w:val="Hyperlink"/>
            <w:lang w:val="en-CA"/>
          </w:rPr>
          <w:t>.</w:t>
        </w:r>
        <w:r w:rsidRPr="000742D1">
          <w:rPr>
            <w:rStyle w:val="Hyperlink"/>
            <w:lang w:val="en-CA"/>
          </w:rPr>
          <w:t>10</w:t>
        </w:r>
        <w:r w:rsidR="00C93145">
          <w:rPr>
            <w:rStyle w:val="Hyperlink"/>
            <w:lang w:val="en-CA"/>
          </w:rPr>
          <w:t>/</w:t>
        </w:r>
        <w:r w:rsidRPr="000742D1">
          <w:rPr>
            <w:rStyle w:val="Hyperlink"/>
            <w:lang w:val="en-CA"/>
          </w:rPr>
          <w:t>C</w:t>
        </w:r>
        <w:r w:rsidR="00C93145">
          <w:rPr>
            <w:rStyle w:val="Hyperlink"/>
            <w:lang w:val="en-CA"/>
          </w:rPr>
          <w:t>.</w:t>
        </w:r>
        <w:r w:rsidRPr="000742D1">
          <w:rPr>
            <w:rStyle w:val="Hyperlink"/>
            <w:lang w:val="en-CA"/>
          </w:rPr>
          <w:t>3</w:t>
        </w:r>
        <w:r w:rsidR="00C93145">
          <w:rPr>
            <w:rStyle w:val="Hyperlink"/>
            <w:lang w:val="en-CA"/>
          </w:rPr>
          <w:t>/</w:t>
        </w:r>
        <w:r w:rsidRPr="000742D1">
          <w:rPr>
            <w:rStyle w:val="Hyperlink"/>
            <w:lang w:val="en-CA"/>
          </w:rPr>
          <w:t>2024</w:t>
        </w:r>
        <w:r w:rsidR="00C93145">
          <w:rPr>
            <w:rStyle w:val="Hyperlink"/>
            <w:lang w:val="en-CA"/>
          </w:rPr>
          <w:t>/</w:t>
        </w:r>
        <w:r w:rsidRPr="000742D1">
          <w:rPr>
            <w:rStyle w:val="Hyperlink"/>
            <w:lang w:val="en-CA"/>
          </w:rPr>
          <w:t>16</w:t>
        </w:r>
      </w:hyperlink>
      <w:r>
        <w:rPr>
          <w:lang w:val="en-CA"/>
        </w:rPr>
        <w:t>), these calculated critical heat flows then lead to the following expected DSC-onset temperatures (</w:t>
      </w:r>
      <w:r>
        <w:rPr>
          <w:lang w:val="en-CA"/>
        </w:rPr>
        <w:fldChar w:fldCharType="begin"/>
      </w:r>
      <w:r>
        <w:rPr>
          <w:lang w:val="en-CA"/>
        </w:rPr>
        <w:instrText xml:space="preserve"> REF _Ref161767069 \h </w:instrText>
      </w:r>
      <w:r>
        <w:rPr>
          <w:lang w:val="en-CA"/>
        </w:rPr>
      </w:r>
      <w:r>
        <w:rPr>
          <w:lang w:val="en-CA"/>
        </w:rPr>
        <w:fldChar w:fldCharType="separate"/>
      </w:r>
      <w:r w:rsidR="00D7059F" w:rsidRPr="006E55C0">
        <w:t xml:space="preserve">Table </w:t>
      </w:r>
      <w:r w:rsidR="00D7059F">
        <w:rPr>
          <w:noProof/>
        </w:rPr>
        <w:t>2</w:t>
      </w:r>
      <w:r>
        <w:rPr>
          <w:lang w:val="en-CA"/>
        </w:rPr>
        <w:fldChar w:fldCharType="end"/>
      </w:r>
      <w:r>
        <w:rPr>
          <w:lang w:val="en-CA"/>
        </w:rPr>
        <w:t>):</w:t>
      </w:r>
    </w:p>
    <w:p w14:paraId="25211E31" w14:textId="0FC61440" w:rsidR="00756597" w:rsidRPr="006E55C0" w:rsidRDefault="00756597" w:rsidP="00756597">
      <w:pPr>
        <w:pStyle w:val="Caption"/>
        <w:keepNext/>
        <w:ind w:left="2062" w:right="2126"/>
        <w:jc w:val="center"/>
      </w:pPr>
      <w:bookmarkStart w:id="9" w:name="_Ref161767069"/>
      <w:r w:rsidRPr="006E55C0">
        <w:t xml:space="preserve">Table </w:t>
      </w:r>
      <w:r w:rsidRPr="006E55C0">
        <w:fldChar w:fldCharType="begin"/>
      </w:r>
      <w:r w:rsidRPr="006E55C0">
        <w:instrText>SEQ Table \* ARABIC</w:instrText>
      </w:r>
      <w:r w:rsidRPr="006E55C0">
        <w:fldChar w:fldCharType="separate"/>
      </w:r>
      <w:r w:rsidR="00D7059F">
        <w:rPr>
          <w:noProof/>
        </w:rPr>
        <w:t>2</w:t>
      </w:r>
      <w:r w:rsidRPr="006E55C0">
        <w:fldChar w:fldCharType="end"/>
      </w:r>
      <w:bookmarkEnd w:id="9"/>
      <w:r w:rsidRPr="006E55C0">
        <w:t xml:space="preserve">: </w:t>
      </w:r>
      <w:r>
        <w:t xml:space="preserve">Predicted </w:t>
      </w:r>
      <w:r w:rsidRPr="006E55C0">
        <w:t xml:space="preserve">DSC-onset for </w:t>
      </w:r>
      <w:r>
        <w:t>solids</w:t>
      </w:r>
      <w:r w:rsidRPr="006E55C0">
        <w:t xml:space="preserve"> with an SADT of 75 °C for a standard 50 kg package</w:t>
      </w:r>
      <w:r>
        <w:t xml:space="preserve"> (Thomas model)</w:t>
      </w:r>
    </w:p>
    <w:tbl>
      <w:tblPr>
        <w:tblStyle w:val="TableGrid"/>
        <w:tblW w:w="5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88"/>
        <w:gridCol w:w="709"/>
        <w:gridCol w:w="709"/>
        <w:gridCol w:w="709"/>
      </w:tblGrid>
      <w:tr w:rsidR="00756597" w:rsidRPr="006E55C0" w14:paraId="62554E4D" w14:textId="77777777" w:rsidTr="007E530C">
        <w:trPr>
          <w:trHeight w:val="283"/>
          <w:jc w:val="center"/>
        </w:trPr>
        <w:tc>
          <w:tcPr>
            <w:tcW w:w="2693" w:type="dxa"/>
            <w:tcBorders>
              <w:top w:val="single" w:sz="4" w:space="0" w:color="002060"/>
              <w:bottom w:val="single" w:sz="4" w:space="0" w:color="002060"/>
            </w:tcBorders>
            <w:shd w:val="clear" w:color="auto" w:fill="C6D9F1" w:themeFill="text2" w:themeFillTint="33"/>
          </w:tcPr>
          <w:p w14:paraId="02901386" w14:textId="77777777" w:rsidR="00756597" w:rsidRPr="006E55C0" w:rsidRDefault="00756597" w:rsidP="007E530C">
            <w:pPr>
              <w:jc w:val="center"/>
              <w:rPr>
                <w:rFonts w:eastAsia="SimSun"/>
                <w:b/>
                <w:bCs/>
                <w:lang w:eastAsia="zh-CN"/>
              </w:rPr>
            </w:pPr>
            <w:r w:rsidRPr="006E55C0">
              <w:rPr>
                <w:rFonts w:eastAsia="SimSun"/>
                <w:b/>
                <w:bCs/>
                <w:lang w:eastAsia="zh-CN"/>
              </w:rPr>
              <w:t>Activation Energy (kJ mol</w:t>
            </w:r>
            <w:r w:rsidRPr="006E55C0">
              <w:rPr>
                <w:rFonts w:eastAsia="SimSun"/>
                <w:b/>
                <w:bCs/>
                <w:vertAlign w:val="superscript"/>
                <w:lang w:eastAsia="zh-CN"/>
              </w:rPr>
              <w:t>-1</w:t>
            </w:r>
            <w:r w:rsidRPr="006E55C0">
              <w:rPr>
                <w:rFonts w:eastAsia="SimSun"/>
                <w:b/>
                <w:bCs/>
                <w:lang w:eastAsia="zh-CN"/>
              </w:rPr>
              <w:t>)</w:t>
            </w:r>
          </w:p>
        </w:tc>
        <w:tc>
          <w:tcPr>
            <w:tcW w:w="588" w:type="dxa"/>
            <w:tcBorders>
              <w:top w:val="single" w:sz="4" w:space="0" w:color="002060"/>
              <w:bottom w:val="single" w:sz="4" w:space="0" w:color="002060"/>
            </w:tcBorders>
            <w:shd w:val="clear" w:color="auto" w:fill="C6D9F1" w:themeFill="text2" w:themeFillTint="33"/>
          </w:tcPr>
          <w:p w14:paraId="6C49A75C" w14:textId="77777777" w:rsidR="00756597" w:rsidRPr="006E55C0" w:rsidRDefault="00756597" w:rsidP="007E530C">
            <w:pPr>
              <w:jc w:val="center"/>
              <w:rPr>
                <w:rFonts w:eastAsia="SimSun"/>
                <w:b/>
                <w:bCs/>
                <w:lang w:eastAsia="zh-CN"/>
              </w:rPr>
            </w:pPr>
            <w:r w:rsidRPr="006E55C0">
              <w:rPr>
                <w:rFonts w:eastAsia="SimSun"/>
                <w:b/>
                <w:bCs/>
                <w:lang w:eastAsia="zh-CN"/>
              </w:rPr>
              <w:t>50</w:t>
            </w:r>
          </w:p>
        </w:tc>
        <w:tc>
          <w:tcPr>
            <w:tcW w:w="709" w:type="dxa"/>
            <w:tcBorders>
              <w:top w:val="single" w:sz="4" w:space="0" w:color="002060"/>
              <w:bottom w:val="single" w:sz="4" w:space="0" w:color="002060"/>
            </w:tcBorders>
            <w:shd w:val="clear" w:color="auto" w:fill="C6D9F1" w:themeFill="text2" w:themeFillTint="33"/>
          </w:tcPr>
          <w:p w14:paraId="60A670A7" w14:textId="77777777" w:rsidR="00756597" w:rsidRPr="006E55C0" w:rsidRDefault="00756597" w:rsidP="007E530C">
            <w:pPr>
              <w:jc w:val="center"/>
              <w:rPr>
                <w:rFonts w:eastAsia="SimSun"/>
                <w:b/>
                <w:bCs/>
                <w:lang w:eastAsia="zh-CN"/>
              </w:rPr>
            </w:pPr>
            <w:r w:rsidRPr="006E55C0">
              <w:rPr>
                <w:rFonts w:eastAsia="SimSun"/>
                <w:b/>
                <w:bCs/>
                <w:lang w:eastAsia="zh-CN"/>
              </w:rPr>
              <w:t>100</w:t>
            </w:r>
          </w:p>
        </w:tc>
        <w:tc>
          <w:tcPr>
            <w:tcW w:w="709" w:type="dxa"/>
            <w:tcBorders>
              <w:top w:val="single" w:sz="4" w:space="0" w:color="002060"/>
              <w:bottom w:val="single" w:sz="4" w:space="0" w:color="002060"/>
            </w:tcBorders>
            <w:shd w:val="clear" w:color="auto" w:fill="C6D9F1" w:themeFill="text2" w:themeFillTint="33"/>
          </w:tcPr>
          <w:p w14:paraId="6C3CADBA" w14:textId="77777777" w:rsidR="00756597" w:rsidRPr="006E55C0" w:rsidRDefault="00756597" w:rsidP="007E530C">
            <w:pPr>
              <w:jc w:val="center"/>
              <w:rPr>
                <w:rFonts w:eastAsia="SimSun"/>
                <w:b/>
                <w:bCs/>
                <w:lang w:eastAsia="zh-CN"/>
              </w:rPr>
            </w:pPr>
            <w:r w:rsidRPr="006E55C0">
              <w:rPr>
                <w:rFonts w:eastAsia="SimSun"/>
                <w:b/>
                <w:bCs/>
                <w:lang w:eastAsia="zh-CN"/>
              </w:rPr>
              <w:t>150</w:t>
            </w:r>
          </w:p>
        </w:tc>
        <w:tc>
          <w:tcPr>
            <w:tcW w:w="709" w:type="dxa"/>
            <w:tcBorders>
              <w:top w:val="single" w:sz="4" w:space="0" w:color="002060"/>
              <w:bottom w:val="single" w:sz="4" w:space="0" w:color="002060"/>
            </w:tcBorders>
            <w:shd w:val="clear" w:color="auto" w:fill="C6D9F1" w:themeFill="text2" w:themeFillTint="33"/>
          </w:tcPr>
          <w:p w14:paraId="6EE1AA75" w14:textId="77777777" w:rsidR="00756597" w:rsidRPr="006E55C0" w:rsidRDefault="00756597" w:rsidP="007E530C">
            <w:pPr>
              <w:jc w:val="center"/>
              <w:rPr>
                <w:rFonts w:eastAsia="SimSun"/>
                <w:b/>
                <w:bCs/>
                <w:lang w:eastAsia="zh-CN"/>
              </w:rPr>
            </w:pPr>
            <w:r w:rsidRPr="006E55C0">
              <w:rPr>
                <w:rFonts w:eastAsia="SimSun"/>
                <w:b/>
                <w:bCs/>
                <w:lang w:eastAsia="zh-CN"/>
              </w:rPr>
              <w:t>200</w:t>
            </w:r>
          </w:p>
        </w:tc>
      </w:tr>
      <w:tr w:rsidR="00756597" w:rsidRPr="006E55C0" w14:paraId="700F9868" w14:textId="77777777" w:rsidTr="007E530C">
        <w:trPr>
          <w:trHeight w:val="283"/>
          <w:jc w:val="center"/>
        </w:trPr>
        <w:tc>
          <w:tcPr>
            <w:tcW w:w="2693" w:type="dxa"/>
            <w:tcBorders>
              <w:bottom w:val="single" w:sz="4" w:space="0" w:color="auto"/>
            </w:tcBorders>
          </w:tcPr>
          <w:p w14:paraId="7DA9CD4A" w14:textId="77777777" w:rsidR="00756597" w:rsidRPr="006E55C0" w:rsidRDefault="00756597" w:rsidP="007E530C">
            <w:pPr>
              <w:jc w:val="center"/>
              <w:rPr>
                <w:rFonts w:eastAsia="SimSun"/>
                <w:lang w:val="de-DE" w:eastAsia="zh-CN"/>
              </w:rPr>
            </w:pPr>
            <w:r w:rsidRPr="006E55C0">
              <w:rPr>
                <w:rFonts w:eastAsia="SimSun"/>
                <w:lang w:val="de-DE" w:eastAsia="zh-CN"/>
              </w:rPr>
              <w:t>T</w:t>
            </w:r>
            <w:r w:rsidRPr="006E55C0">
              <w:rPr>
                <w:rFonts w:eastAsia="SimSun"/>
                <w:vertAlign w:val="subscript"/>
                <w:lang w:val="de-DE" w:eastAsia="zh-CN"/>
              </w:rPr>
              <w:t xml:space="preserve">DSC </w:t>
            </w:r>
            <w:r w:rsidRPr="006E55C0">
              <w:rPr>
                <w:rFonts w:eastAsia="SimSun"/>
                <w:lang w:val="de-DE" w:eastAsia="zh-CN"/>
              </w:rPr>
              <w:t>(°C)</w:t>
            </w:r>
          </w:p>
        </w:tc>
        <w:tc>
          <w:tcPr>
            <w:tcW w:w="588" w:type="dxa"/>
            <w:tcBorders>
              <w:bottom w:val="single" w:sz="4" w:space="0" w:color="auto"/>
            </w:tcBorders>
          </w:tcPr>
          <w:p w14:paraId="7635909B" w14:textId="77777777" w:rsidR="00756597" w:rsidRPr="006E55C0" w:rsidRDefault="00756597" w:rsidP="007E530C">
            <w:pPr>
              <w:jc w:val="center"/>
              <w:rPr>
                <w:rFonts w:eastAsia="SimSun"/>
                <w:lang w:eastAsia="zh-CN"/>
              </w:rPr>
            </w:pPr>
            <w:r>
              <w:rPr>
                <w:color w:val="FF0000"/>
              </w:rPr>
              <w:t>203</w:t>
            </w:r>
          </w:p>
        </w:tc>
        <w:tc>
          <w:tcPr>
            <w:tcW w:w="709" w:type="dxa"/>
            <w:tcBorders>
              <w:bottom w:val="single" w:sz="4" w:space="0" w:color="auto"/>
            </w:tcBorders>
          </w:tcPr>
          <w:p w14:paraId="7FF98CE8" w14:textId="77777777" w:rsidR="00756597" w:rsidRPr="006E55C0" w:rsidRDefault="00756597" w:rsidP="007E530C">
            <w:pPr>
              <w:jc w:val="center"/>
              <w:rPr>
                <w:rFonts w:eastAsia="SimSun"/>
                <w:lang w:eastAsia="zh-CN"/>
              </w:rPr>
            </w:pPr>
            <w:r>
              <w:t>139</w:t>
            </w:r>
          </w:p>
        </w:tc>
        <w:tc>
          <w:tcPr>
            <w:tcW w:w="709" w:type="dxa"/>
            <w:tcBorders>
              <w:bottom w:val="single" w:sz="4" w:space="0" w:color="auto"/>
            </w:tcBorders>
          </w:tcPr>
          <w:p w14:paraId="239F9133" w14:textId="77777777" w:rsidR="00756597" w:rsidRPr="006E55C0" w:rsidRDefault="00756597" w:rsidP="007E530C">
            <w:pPr>
              <w:jc w:val="center"/>
              <w:rPr>
                <w:rFonts w:eastAsia="SimSun"/>
                <w:lang w:eastAsia="zh-CN"/>
              </w:rPr>
            </w:pPr>
            <w:r>
              <w:t>118</w:t>
            </w:r>
          </w:p>
        </w:tc>
        <w:tc>
          <w:tcPr>
            <w:tcW w:w="709" w:type="dxa"/>
            <w:tcBorders>
              <w:bottom w:val="single" w:sz="4" w:space="0" w:color="auto"/>
            </w:tcBorders>
          </w:tcPr>
          <w:p w14:paraId="3B92212D" w14:textId="77777777" w:rsidR="00756597" w:rsidRPr="006E55C0" w:rsidRDefault="00756597" w:rsidP="007E530C">
            <w:pPr>
              <w:jc w:val="center"/>
              <w:rPr>
                <w:rFonts w:eastAsia="SimSun"/>
                <w:lang w:eastAsia="zh-CN"/>
              </w:rPr>
            </w:pPr>
            <w:r>
              <w:t>108</w:t>
            </w:r>
          </w:p>
        </w:tc>
      </w:tr>
    </w:tbl>
    <w:p w14:paraId="2156BE8D" w14:textId="77777777" w:rsidR="00756597" w:rsidRPr="006E55C0" w:rsidRDefault="00756597" w:rsidP="00756597">
      <w:pPr>
        <w:pStyle w:val="SingleTxtG"/>
        <w:jc w:val="center"/>
        <w:rPr>
          <w:sz w:val="18"/>
          <w:szCs w:val="18"/>
          <w:lang w:val="en-CA"/>
        </w:rPr>
      </w:pPr>
      <w:r w:rsidRPr="006E55C0">
        <w:rPr>
          <w:sz w:val="18"/>
          <w:szCs w:val="18"/>
          <w:lang w:val="en-CA"/>
        </w:rPr>
        <w:t>Maximum DSC-onset highlighted in red</w:t>
      </w:r>
    </w:p>
    <w:p w14:paraId="17D8E8F0" w14:textId="77777777" w:rsidR="00756597" w:rsidRDefault="00756597" w:rsidP="00756597">
      <w:pPr>
        <w:pStyle w:val="SingleTxtG"/>
        <w:spacing w:line="240" w:lineRule="auto"/>
        <w:rPr>
          <w:lang w:val="en-CA"/>
        </w:rPr>
      </w:pPr>
    </w:p>
    <w:p w14:paraId="776CFE20" w14:textId="321DC836" w:rsidR="00756597" w:rsidRPr="0030260D" w:rsidRDefault="00756597" w:rsidP="00756597">
      <w:pPr>
        <w:pStyle w:val="SingleTxtG"/>
        <w:numPr>
          <w:ilvl w:val="0"/>
          <w:numId w:val="21"/>
        </w:numPr>
        <w:tabs>
          <w:tab w:val="clear" w:pos="2268"/>
          <w:tab w:val="clear" w:pos="2835"/>
        </w:tabs>
        <w:spacing w:line="240" w:lineRule="auto"/>
        <w:ind w:left="1134" w:firstLine="0"/>
        <w:rPr>
          <w:lang w:val="en-CA"/>
        </w:rPr>
      </w:pPr>
      <w:r w:rsidRPr="0030260D">
        <w:rPr>
          <w:lang w:val="en-CA"/>
        </w:rPr>
        <w:t>Gratifyingly, the critical heat flows and DSC-onset temperatures predicted for solids under the Thomas approach are in very good agreement with those from the Semenov model (</w:t>
      </w:r>
      <w:r w:rsidRPr="0030260D">
        <w:rPr>
          <w:lang w:val="en-CA"/>
        </w:rPr>
        <w:fldChar w:fldCharType="begin"/>
      </w:r>
      <w:r w:rsidRPr="0030260D">
        <w:rPr>
          <w:lang w:val="en-CA"/>
        </w:rPr>
        <w:instrText xml:space="preserve"> REF _Ref165393808 \h </w:instrText>
      </w:r>
      <w:r w:rsidRPr="0030260D">
        <w:rPr>
          <w:lang w:val="en-CA"/>
        </w:rPr>
      </w:r>
      <w:r w:rsidRPr="0030260D">
        <w:rPr>
          <w:lang w:val="en-CA"/>
        </w:rPr>
        <w:fldChar w:fldCharType="separate"/>
      </w:r>
      <w:r w:rsidR="00D7059F">
        <w:t xml:space="preserve">Table </w:t>
      </w:r>
      <w:r w:rsidR="00D7059F">
        <w:rPr>
          <w:noProof/>
        </w:rPr>
        <w:t>3</w:t>
      </w:r>
      <w:r w:rsidRPr="0030260D">
        <w:rPr>
          <w:lang w:val="en-CA"/>
        </w:rPr>
        <w:fldChar w:fldCharType="end"/>
      </w:r>
      <w:r w:rsidRPr="0030260D">
        <w:rPr>
          <w:lang w:val="en-CA"/>
        </w:rPr>
        <w:t xml:space="preserve">). Under this more rigorous treatment the critical onset is just above 200 °C, while the critical heat flow is slightly below 50 </w:t>
      </w:r>
      <w:proofErr w:type="spellStart"/>
      <w:r w:rsidRPr="0030260D">
        <w:rPr>
          <w:lang w:val="en-CA"/>
        </w:rPr>
        <w:t>mW</w:t>
      </w:r>
      <w:proofErr w:type="spellEnd"/>
      <w:r w:rsidRPr="0030260D">
        <w:rPr>
          <w:lang w:val="en-CA"/>
        </w:rPr>
        <w:t xml:space="preserve"> kg</w:t>
      </w:r>
      <w:r w:rsidRPr="0030260D">
        <w:rPr>
          <w:vertAlign w:val="superscript"/>
          <w:lang w:val="en-CA"/>
        </w:rPr>
        <w:t>-1</w:t>
      </w:r>
      <w:r w:rsidRPr="0030260D">
        <w:rPr>
          <w:lang w:val="en-CA"/>
        </w:rPr>
        <w:t xml:space="preserve">. Exactly the opposite was observed with the simpler Semenov mode, where these values were slightly below 200 °C or slightly above 50 </w:t>
      </w:r>
      <w:proofErr w:type="spellStart"/>
      <w:r w:rsidRPr="0030260D">
        <w:rPr>
          <w:lang w:val="en-CA"/>
        </w:rPr>
        <w:t>mW</w:t>
      </w:r>
      <w:proofErr w:type="spellEnd"/>
      <w:r w:rsidRPr="0030260D">
        <w:rPr>
          <w:lang w:val="en-CA"/>
        </w:rPr>
        <w:t xml:space="preserve"> kg</w:t>
      </w:r>
      <w:r w:rsidRPr="0030260D">
        <w:rPr>
          <w:vertAlign w:val="superscript"/>
          <w:lang w:val="en-CA"/>
        </w:rPr>
        <w:noBreakHyphen/>
        <w:t>1</w:t>
      </w:r>
      <w:r w:rsidRPr="0030260D">
        <w:rPr>
          <w:lang w:val="en-CA"/>
        </w:rPr>
        <w:t xml:space="preserve"> respectively. Within experimental error for modern devices these values are essentially the same, especially considering that the SADT is generally rounded off to the nearest multiple of five in the H-series tests. In view of the rather conservative assumptions </w:t>
      </w:r>
      <w:r>
        <w:rPr>
          <w:lang w:val="en-CA"/>
        </w:rPr>
        <w:t>grounding</w:t>
      </w:r>
      <w:r w:rsidRPr="0030260D">
        <w:rPr>
          <w:lang w:val="en-CA"/>
        </w:rPr>
        <w:t xml:space="preserve"> these theoretical calculations the screening rules can be viewed as safe criteria for screening potentially self-reactive substances.</w:t>
      </w:r>
    </w:p>
    <w:p w14:paraId="2B5E01A5" w14:textId="084D9A3A" w:rsidR="00756597" w:rsidRDefault="00756597" w:rsidP="00756597">
      <w:pPr>
        <w:pStyle w:val="Caption"/>
        <w:keepNext/>
        <w:jc w:val="center"/>
      </w:pPr>
      <w:bookmarkStart w:id="10" w:name="_Ref165393808"/>
      <w:r>
        <w:t xml:space="preserve">Table </w:t>
      </w:r>
      <w:fldSimple w:instr=" SEQ Table \* ARABIC ">
        <w:r w:rsidR="00D7059F">
          <w:rPr>
            <w:noProof/>
          </w:rPr>
          <w:t>3</w:t>
        </w:r>
      </w:fldSimple>
      <w:bookmarkEnd w:id="10"/>
      <w:r>
        <w:t>: Comparison of the results for solids from the Thomas and Semenov models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551"/>
        <w:gridCol w:w="680"/>
        <w:gridCol w:w="680"/>
        <w:gridCol w:w="680"/>
        <w:gridCol w:w="680"/>
      </w:tblGrid>
      <w:tr w:rsidR="00756597" w:rsidRPr="000C2289" w14:paraId="7402E8B5" w14:textId="77777777" w:rsidTr="007E530C">
        <w:trPr>
          <w:trHeight w:val="283"/>
          <w:jc w:val="center"/>
        </w:trPr>
        <w:tc>
          <w:tcPr>
            <w:tcW w:w="1417" w:type="dxa"/>
            <w:tcBorders>
              <w:top w:val="single" w:sz="4" w:space="0" w:color="002060"/>
              <w:bottom w:val="single" w:sz="4" w:space="0" w:color="002060"/>
            </w:tcBorders>
            <w:shd w:val="clear" w:color="auto" w:fill="C6D9F1" w:themeFill="text2" w:themeFillTint="33"/>
          </w:tcPr>
          <w:p w14:paraId="5071DFB2" w14:textId="77777777" w:rsidR="00756597" w:rsidRPr="000C2289" w:rsidRDefault="00756597" w:rsidP="007E530C">
            <w:pPr>
              <w:rPr>
                <w:rFonts w:eastAsia="SimSun"/>
                <w:b/>
                <w:bCs/>
                <w:lang w:eastAsia="zh-CN"/>
              </w:rPr>
            </w:pPr>
          </w:p>
        </w:tc>
        <w:tc>
          <w:tcPr>
            <w:tcW w:w="2551" w:type="dxa"/>
            <w:tcBorders>
              <w:top w:val="single" w:sz="4" w:space="0" w:color="002060"/>
              <w:bottom w:val="single" w:sz="4" w:space="0" w:color="002060"/>
            </w:tcBorders>
            <w:shd w:val="clear" w:color="auto" w:fill="C6D9F1" w:themeFill="text2" w:themeFillTint="33"/>
          </w:tcPr>
          <w:p w14:paraId="3B9F97D1" w14:textId="77777777" w:rsidR="00756597" w:rsidRPr="000C2289" w:rsidRDefault="00756597" w:rsidP="007E530C">
            <w:pPr>
              <w:jc w:val="center"/>
              <w:rPr>
                <w:rFonts w:eastAsia="SimSun"/>
                <w:b/>
                <w:bCs/>
                <w:lang w:eastAsia="zh-CN"/>
              </w:rPr>
            </w:pPr>
            <w:r w:rsidRPr="000C2289">
              <w:rPr>
                <w:rFonts w:eastAsia="SimSun"/>
                <w:b/>
                <w:bCs/>
                <w:lang w:eastAsia="zh-CN"/>
              </w:rPr>
              <w:t>Activation Energy (kJ mol</w:t>
            </w:r>
            <w:r w:rsidRPr="000C2289">
              <w:rPr>
                <w:rFonts w:eastAsia="SimSun"/>
                <w:b/>
                <w:bCs/>
                <w:vertAlign w:val="superscript"/>
                <w:lang w:eastAsia="zh-CN"/>
              </w:rPr>
              <w:t>-1</w:t>
            </w:r>
            <w:r w:rsidRPr="000C2289">
              <w:rPr>
                <w:rFonts w:eastAsia="SimSun"/>
                <w:b/>
                <w:bCs/>
                <w:lang w:eastAsia="zh-CN"/>
              </w:rPr>
              <w:t>)</w:t>
            </w:r>
          </w:p>
        </w:tc>
        <w:tc>
          <w:tcPr>
            <w:tcW w:w="680" w:type="dxa"/>
            <w:tcBorders>
              <w:top w:val="single" w:sz="4" w:space="0" w:color="002060"/>
              <w:bottom w:val="single" w:sz="4" w:space="0" w:color="002060"/>
            </w:tcBorders>
            <w:shd w:val="clear" w:color="auto" w:fill="C6D9F1" w:themeFill="text2" w:themeFillTint="33"/>
          </w:tcPr>
          <w:p w14:paraId="748FF2D5" w14:textId="77777777" w:rsidR="00756597" w:rsidRPr="000C2289" w:rsidRDefault="00756597" w:rsidP="007E530C">
            <w:pPr>
              <w:jc w:val="center"/>
              <w:rPr>
                <w:rFonts w:eastAsia="SimSun"/>
                <w:b/>
                <w:bCs/>
                <w:lang w:eastAsia="zh-CN"/>
              </w:rPr>
            </w:pPr>
            <w:r w:rsidRPr="000C2289">
              <w:rPr>
                <w:rFonts w:eastAsia="SimSun"/>
                <w:b/>
                <w:bCs/>
                <w:lang w:eastAsia="zh-CN"/>
              </w:rPr>
              <w:t>50</w:t>
            </w:r>
          </w:p>
        </w:tc>
        <w:tc>
          <w:tcPr>
            <w:tcW w:w="680" w:type="dxa"/>
            <w:tcBorders>
              <w:top w:val="single" w:sz="4" w:space="0" w:color="002060"/>
              <w:bottom w:val="single" w:sz="4" w:space="0" w:color="002060"/>
            </w:tcBorders>
            <w:shd w:val="clear" w:color="auto" w:fill="C6D9F1" w:themeFill="text2" w:themeFillTint="33"/>
          </w:tcPr>
          <w:p w14:paraId="5163C146" w14:textId="77777777" w:rsidR="00756597" w:rsidRPr="000C2289" w:rsidRDefault="00756597" w:rsidP="007E530C">
            <w:pPr>
              <w:jc w:val="center"/>
              <w:rPr>
                <w:rFonts w:eastAsia="SimSun"/>
                <w:b/>
                <w:bCs/>
                <w:lang w:eastAsia="zh-CN"/>
              </w:rPr>
            </w:pPr>
            <w:r w:rsidRPr="000C2289">
              <w:rPr>
                <w:rFonts w:eastAsia="SimSun"/>
                <w:b/>
                <w:bCs/>
                <w:lang w:eastAsia="zh-CN"/>
              </w:rPr>
              <w:t>100</w:t>
            </w:r>
          </w:p>
        </w:tc>
        <w:tc>
          <w:tcPr>
            <w:tcW w:w="680" w:type="dxa"/>
            <w:tcBorders>
              <w:top w:val="single" w:sz="4" w:space="0" w:color="002060"/>
              <w:bottom w:val="single" w:sz="4" w:space="0" w:color="002060"/>
            </w:tcBorders>
            <w:shd w:val="clear" w:color="auto" w:fill="C6D9F1" w:themeFill="text2" w:themeFillTint="33"/>
          </w:tcPr>
          <w:p w14:paraId="7AFA89D8" w14:textId="77777777" w:rsidR="00756597" w:rsidRPr="000C2289" w:rsidRDefault="00756597" w:rsidP="007E530C">
            <w:pPr>
              <w:jc w:val="center"/>
              <w:rPr>
                <w:rFonts w:eastAsia="SimSun"/>
                <w:b/>
                <w:bCs/>
                <w:lang w:eastAsia="zh-CN"/>
              </w:rPr>
            </w:pPr>
            <w:r w:rsidRPr="000C2289">
              <w:rPr>
                <w:rFonts w:eastAsia="SimSun"/>
                <w:b/>
                <w:bCs/>
                <w:lang w:eastAsia="zh-CN"/>
              </w:rPr>
              <w:t>150</w:t>
            </w:r>
          </w:p>
        </w:tc>
        <w:tc>
          <w:tcPr>
            <w:tcW w:w="680" w:type="dxa"/>
            <w:tcBorders>
              <w:top w:val="single" w:sz="4" w:space="0" w:color="002060"/>
              <w:bottom w:val="single" w:sz="4" w:space="0" w:color="002060"/>
            </w:tcBorders>
            <w:shd w:val="clear" w:color="auto" w:fill="C6D9F1" w:themeFill="text2" w:themeFillTint="33"/>
          </w:tcPr>
          <w:p w14:paraId="7887277D" w14:textId="77777777" w:rsidR="00756597" w:rsidRPr="000C2289" w:rsidRDefault="00756597" w:rsidP="007E530C">
            <w:pPr>
              <w:jc w:val="center"/>
              <w:rPr>
                <w:rFonts w:eastAsia="SimSun"/>
                <w:b/>
                <w:bCs/>
                <w:lang w:eastAsia="zh-CN"/>
              </w:rPr>
            </w:pPr>
            <w:r w:rsidRPr="000C2289">
              <w:rPr>
                <w:rFonts w:eastAsia="SimSun"/>
                <w:b/>
                <w:bCs/>
                <w:lang w:eastAsia="zh-CN"/>
              </w:rPr>
              <w:t>200</w:t>
            </w:r>
          </w:p>
        </w:tc>
      </w:tr>
      <w:tr w:rsidR="00756597" w:rsidRPr="000C2289" w14:paraId="30097845" w14:textId="77777777" w:rsidTr="007E530C">
        <w:trPr>
          <w:trHeight w:val="283"/>
          <w:jc w:val="center"/>
        </w:trPr>
        <w:tc>
          <w:tcPr>
            <w:tcW w:w="1417" w:type="dxa"/>
            <w:vMerge w:val="restart"/>
            <w:tcBorders>
              <w:top w:val="single" w:sz="4" w:space="0" w:color="002060"/>
              <w:bottom w:val="single" w:sz="4" w:space="0" w:color="auto"/>
            </w:tcBorders>
            <w:vAlign w:val="center"/>
          </w:tcPr>
          <w:p w14:paraId="2EA6632A" w14:textId="77777777" w:rsidR="00756597" w:rsidRDefault="00000000" w:rsidP="007E530C">
            <w:pPr>
              <w:spacing w:line="240" w:lineRule="auto"/>
              <w:jc w:val="center"/>
              <w:rPr>
                <w:lang w:eastAsia="zh-CN"/>
              </w:rPr>
            </w:pPr>
            <m:oMath>
              <m:sSub>
                <m:sSubPr>
                  <m:ctrlPr>
                    <w:rPr>
                      <w:rFonts w:ascii="Cambria Math" w:eastAsia="SimSun" w:hAnsi="Cambria Math" w:cstheme="minorHAnsi"/>
                      <w:i/>
                      <w:lang w:eastAsia="zh-CN"/>
                    </w:rPr>
                  </m:ctrlPr>
                </m:sSubPr>
                <m:e>
                  <m:acc>
                    <m:accPr>
                      <m:chr m:val="̇"/>
                      <m:ctrlPr>
                        <w:rPr>
                          <w:rFonts w:ascii="Cambria Math" w:eastAsia="SimSun" w:hAnsi="Cambria Math" w:cstheme="minorHAnsi"/>
                          <w:i/>
                          <w:lang w:eastAsia="zh-CN"/>
                        </w:rPr>
                      </m:ctrlPr>
                    </m:accPr>
                    <m:e>
                      <m:r>
                        <w:rPr>
                          <w:rFonts w:ascii="Cambria Math" w:eastAsia="SimSun" w:hAnsi="Cambria Math" w:cstheme="minorHAnsi"/>
                          <w:lang w:eastAsia="zh-CN"/>
                        </w:rPr>
                        <m:t>q</m:t>
                      </m:r>
                    </m:e>
                  </m:acc>
                </m:e>
                <m:sub>
                  <m:r>
                    <w:rPr>
                      <w:rFonts w:ascii="Cambria Math" w:eastAsia="SimSun" w:hAnsi="Cambria Math" w:cstheme="minorHAnsi"/>
                      <w:lang w:eastAsia="zh-CN"/>
                    </w:rPr>
                    <m:t>SADT</m:t>
                  </m:r>
                </m:sub>
              </m:sSub>
            </m:oMath>
            <w:r w:rsidR="00756597" w:rsidRPr="000C2289">
              <w:rPr>
                <w:rFonts w:eastAsia="SimSun"/>
                <w:vertAlign w:val="subscript"/>
                <w:lang w:eastAsia="zh-CN"/>
              </w:rPr>
              <w:t xml:space="preserve"> </w:t>
            </w:r>
            <w:r w:rsidR="00756597" w:rsidRPr="000C2289">
              <w:rPr>
                <w:rFonts w:eastAsia="SimSun"/>
                <w:lang w:eastAsia="zh-CN"/>
              </w:rPr>
              <w:t>(</w:t>
            </w:r>
            <w:proofErr w:type="spellStart"/>
            <w:r w:rsidR="00756597" w:rsidRPr="000C2289">
              <w:rPr>
                <w:rFonts w:eastAsia="SimSun"/>
                <w:lang w:eastAsia="zh-CN"/>
              </w:rPr>
              <w:t>mW</w:t>
            </w:r>
            <w:proofErr w:type="spellEnd"/>
            <w:r w:rsidR="00756597" w:rsidRPr="000C2289">
              <w:rPr>
                <w:rFonts w:eastAsia="SimSun"/>
                <w:lang w:eastAsia="zh-CN"/>
              </w:rPr>
              <w:t xml:space="preserve"> kg</w:t>
            </w:r>
            <w:r w:rsidR="00756597" w:rsidRPr="000C2289">
              <w:rPr>
                <w:vertAlign w:val="superscript"/>
                <w:lang w:val="en-CA"/>
              </w:rPr>
              <w:t>-1</w:t>
            </w:r>
            <w:r w:rsidR="00756597" w:rsidRPr="000C2289">
              <w:rPr>
                <w:rFonts w:eastAsia="SimSun"/>
                <w:lang w:eastAsia="zh-CN"/>
              </w:rPr>
              <w:t>)</w:t>
            </w:r>
          </w:p>
        </w:tc>
        <w:tc>
          <w:tcPr>
            <w:tcW w:w="2551" w:type="dxa"/>
            <w:tcBorders>
              <w:top w:val="single" w:sz="4" w:space="0" w:color="002060"/>
            </w:tcBorders>
            <w:vAlign w:val="center"/>
          </w:tcPr>
          <w:p w14:paraId="4036FC07" w14:textId="77777777" w:rsidR="00756597" w:rsidRPr="000C2289" w:rsidRDefault="00756597" w:rsidP="007E530C">
            <w:pPr>
              <w:spacing w:line="240" w:lineRule="auto"/>
              <w:jc w:val="center"/>
              <w:rPr>
                <w:lang w:eastAsia="zh-CN"/>
              </w:rPr>
            </w:pPr>
            <w:r>
              <w:rPr>
                <w:lang w:eastAsia="zh-CN"/>
              </w:rPr>
              <w:t>Thomas model</w:t>
            </w:r>
          </w:p>
        </w:tc>
        <w:tc>
          <w:tcPr>
            <w:tcW w:w="680" w:type="dxa"/>
            <w:tcBorders>
              <w:top w:val="single" w:sz="4" w:space="0" w:color="002060"/>
            </w:tcBorders>
            <w:vAlign w:val="center"/>
          </w:tcPr>
          <w:p w14:paraId="186F741C" w14:textId="77777777" w:rsidR="00756597" w:rsidRPr="000C2289" w:rsidRDefault="00756597" w:rsidP="007E530C">
            <w:pPr>
              <w:jc w:val="center"/>
              <w:rPr>
                <w:rFonts w:eastAsia="SimSun"/>
                <w:lang w:val="de-DE" w:eastAsia="zh-CN"/>
              </w:rPr>
            </w:pPr>
            <w:r>
              <w:t>193</w:t>
            </w:r>
          </w:p>
        </w:tc>
        <w:tc>
          <w:tcPr>
            <w:tcW w:w="680" w:type="dxa"/>
            <w:tcBorders>
              <w:top w:val="single" w:sz="4" w:space="0" w:color="002060"/>
            </w:tcBorders>
            <w:vAlign w:val="center"/>
          </w:tcPr>
          <w:p w14:paraId="06C6084D" w14:textId="77777777" w:rsidR="00756597" w:rsidRPr="000C2289" w:rsidRDefault="00756597" w:rsidP="007E530C">
            <w:pPr>
              <w:jc w:val="center"/>
              <w:rPr>
                <w:rFonts w:eastAsia="SimSun"/>
                <w:lang w:eastAsia="zh-CN"/>
              </w:rPr>
            </w:pPr>
            <w:r>
              <w:t>96</w:t>
            </w:r>
          </w:p>
        </w:tc>
        <w:tc>
          <w:tcPr>
            <w:tcW w:w="680" w:type="dxa"/>
            <w:tcBorders>
              <w:top w:val="single" w:sz="4" w:space="0" w:color="002060"/>
            </w:tcBorders>
            <w:vAlign w:val="center"/>
          </w:tcPr>
          <w:p w14:paraId="7639394D" w14:textId="77777777" w:rsidR="00756597" w:rsidRPr="000C2289" w:rsidRDefault="00756597" w:rsidP="007E530C">
            <w:pPr>
              <w:jc w:val="center"/>
              <w:rPr>
                <w:rFonts w:eastAsia="SimSun"/>
                <w:lang w:eastAsia="zh-CN"/>
              </w:rPr>
            </w:pPr>
            <w:r>
              <w:t>64</w:t>
            </w:r>
          </w:p>
        </w:tc>
        <w:tc>
          <w:tcPr>
            <w:tcW w:w="680" w:type="dxa"/>
            <w:tcBorders>
              <w:top w:val="single" w:sz="4" w:space="0" w:color="002060"/>
            </w:tcBorders>
            <w:vAlign w:val="center"/>
          </w:tcPr>
          <w:p w14:paraId="0C583C2E" w14:textId="77777777" w:rsidR="00756597" w:rsidRPr="000C2289" w:rsidRDefault="00756597" w:rsidP="007E530C">
            <w:pPr>
              <w:jc w:val="center"/>
              <w:rPr>
                <w:rFonts w:eastAsia="SimSun"/>
                <w:lang w:eastAsia="zh-CN"/>
              </w:rPr>
            </w:pPr>
            <w:r>
              <w:rPr>
                <w:color w:val="FF0000"/>
              </w:rPr>
              <w:t>48</w:t>
            </w:r>
          </w:p>
        </w:tc>
      </w:tr>
      <w:tr w:rsidR="00756597" w:rsidRPr="000C2289" w14:paraId="13AA141B" w14:textId="77777777" w:rsidTr="007E530C">
        <w:trPr>
          <w:trHeight w:val="283"/>
          <w:jc w:val="center"/>
        </w:trPr>
        <w:tc>
          <w:tcPr>
            <w:tcW w:w="1417" w:type="dxa"/>
            <w:vMerge/>
            <w:tcBorders>
              <w:bottom w:val="single" w:sz="4" w:space="0" w:color="auto"/>
            </w:tcBorders>
            <w:vAlign w:val="center"/>
          </w:tcPr>
          <w:p w14:paraId="7657B472" w14:textId="77777777" w:rsidR="00756597" w:rsidRDefault="00756597" w:rsidP="007E530C">
            <w:pPr>
              <w:spacing w:line="240" w:lineRule="auto"/>
              <w:jc w:val="center"/>
              <w:rPr>
                <w:lang w:eastAsia="zh-CN"/>
              </w:rPr>
            </w:pPr>
          </w:p>
        </w:tc>
        <w:tc>
          <w:tcPr>
            <w:tcW w:w="2551" w:type="dxa"/>
            <w:tcBorders>
              <w:bottom w:val="single" w:sz="4" w:space="0" w:color="auto"/>
            </w:tcBorders>
            <w:vAlign w:val="center"/>
          </w:tcPr>
          <w:p w14:paraId="1DB28143" w14:textId="77777777" w:rsidR="00756597" w:rsidRDefault="00756597" w:rsidP="007E530C">
            <w:pPr>
              <w:spacing w:line="240" w:lineRule="auto"/>
              <w:jc w:val="center"/>
              <w:rPr>
                <w:lang w:eastAsia="zh-CN"/>
              </w:rPr>
            </w:pPr>
            <w:r>
              <w:rPr>
                <w:lang w:eastAsia="zh-CN"/>
              </w:rPr>
              <w:t>Semenov model</w:t>
            </w:r>
          </w:p>
        </w:tc>
        <w:tc>
          <w:tcPr>
            <w:tcW w:w="680" w:type="dxa"/>
            <w:tcBorders>
              <w:bottom w:val="single" w:sz="4" w:space="0" w:color="auto"/>
            </w:tcBorders>
            <w:vAlign w:val="center"/>
          </w:tcPr>
          <w:p w14:paraId="6415A6F4" w14:textId="77777777" w:rsidR="00756597" w:rsidRDefault="00756597" w:rsidP="007E530C">
            <w:pPr>
              <w:jc w:val="center"/>
            </w:pPr>
            <w:r>
              <w:t>222</w:t>
            </w:r>
          </w:p>
        </w:tc>
        <w:tc>
          <w:tcPr>
            <w:tcW w:w="680" w:type="dxa"/>
            <w:tcBorders>
              <w:bottom w:val="single" w:sz="4" w:space="0" w:color="auto"/>
            </w:tcBorders>
            <w:vAlign w:val="center"/>
          </w:tcPr>
          <w:p w14:paraId="2DB2C0A6" w14:textId="77777777" w:rsidR="00756597" w:rsidRDefault="00756597" w:rsidP="007E530C">
            <w:pPr>
              <w:jc w:val="center"/>
            </w:pPr>
            <w:r>
              <w:t>111</w:t>
            </w:r>
          </w:p>
        </w:tc>
        <w:tc>
          <w:tcPr>
            <w:tcW w:w="680" w:type="dxa"/>
            <w:tcBorders>
              <w:bottom w:val="single" w:sz="4" w:space="0" w:color="auto"/>
            </w:tcBorders>
            <w:vAlign w:val="center"/>
          </w:tcPr>
          <w:p w14:paraId="3D956A42" w14:textId="77777777" w:rsidR="00756597" w:rsidRDefault="00756597" w:rsidP="007E530C">
            <w:pPr>
              <w:jc w:val="center"/>
            </w:pPr>
            <w:r>
              <w:t>74</w:t>
            </w:r>
          </w:p>
        </w:tc>
        <w:tc>
          <w:tcPr>
            <w:tcW w:w="680" w:type="dxa"/>
            <w:tcBorders>
              <w:bottom w:val="single" w:sz="4" w:space="0" w:color="auto"/>
            </w:tcBorders>
            <w:vAlign w:val="center"/>
          </w:tcPr>
          <w:p w14:paraId="281A4A88" w14:textId="77777777" w:rsidR="00756597" w:rsidRDefault="00756597" w:rsidP="007E530C">
            <w:pPr>
              <w:jc w:val="center"/>
              <w:rPr>
                <w:color w:val="FF0000"/>
              </w:rPr>
            </w:pPr>
            <w:r>
              <w:rPr>
                <w:color w:val="FF0000"/>
              </w:rPr>
              <w:t>56</w:t>
            </w:r>
          </w:p>
        </w:tc>
      </w:tr>
      <w:tr w:rsidR="00756597" w:rsidRPr="000C2289" w14:paraId="6D937352" w14:textId="77777777" w:rsidTr="007E530C">
        <w:trPr>
          <w:trHeight w:val="283"/>
          <w:jc w:val="center"/>
        </w:trPr>
        <w:tc>
          <w:tcPr>
            <w:tcW w:w="1417" w:type="dxa"/>
            <w:vMerge w:val="restart"/>
            <w:tcBorders>
              <w:top w:val="single" w:sz="4" w:space="0" w:color="auto"/>
            </w:tcBorders>
            <w:vAlign w:val="center"/>
          </w:tcPr>
          <w:p w14:paraId="7ED21B55" w14:textId="77777777" w:rsidR="00756597" w:rsidRDefault="00756597" w:rsidP="007E530C">
            <w:pPr>
              <w:spacing w:line="240" w:lineRule="auto"/>
              <w:jc w:val="center"/>
              <w:rPr>
                <w:lang w:eastAsia="zh-CN"/>
              </w:rPr>
            </w:pPr>
            <w:r w:rsidRPr="006E55C0">
              <w:rPr>
                <w:rFonts w:eastAsia="SimSun"/>
                <w:lang w:val="de-DE" w:eastAsia="zh-CN"/>
              </w:rPr>
              <w:t>T</w:t>
            </w:r>
            <w:r w:rsidRPr="006E55C0">
              <w:rPr>
                <w:rFonts w:eastAsia="SimSun"/>
                <w:vertAlign w:val="subscript"/>
                <w:lang w:val="de-DE" w:eastAsia="zh-CN"/>
              </w:rPr>
              <w:t xml:space="preserve">DSC </w:t>
            </w:r>
            <w:r w:rsidRPr="006E55C0">
              <w:rPr>
                <w:rFonts w:eastAsia="SimSun"/>
                <w:lang w:val="de-DE" w:eastAsia="zh-CN"/>
              </w:rPr>
              <w:t>(°C)</w:t>
            </w:r>
          </w:p>
        </w:tc>
        <w:tc>
          <w:tcPr>
            <w:tcW w:w="2551" w:type="dxa"/>
            <w:tcBorders>
              <w:top w:val="single" w:sz="4" w:space="0" w:color="auto"/>
            </w:tcBorders>
            <w:vAlign w:val="center"/>
          </w:tcPr>
          <w:p w14:paraId="5D6F8FAD" w14:textId="77777777" w:rsidR="00756597" w:rsidRDefault="00756597" w:rsidP="007E530C">
            <w:pPr>
              <w:spacing w:line="240" w:lineRule="auto"/>
              <w:jc w:val="center"/>
              <w:rPr>
                <w:lang w:eastAsia="zh-CN"/>
              </w:rPr>
            </w:pPr>
            <w:r>
              <w:rPr>
                <w:lang w:eastAsia="zh-CN"/>
              </w:rPr>
              <w:t>Thomas model</w:t>
            </w:r>
          </w:p>
        </w:tc>
        <w:tc>
          <w:tcPr>
            <w:tcW w:w="680" w:type="dxa"/>
            <w:tcBorders>
              <w:top w:val="single" w:sz="4" w:space="0" w:color="auto"/>
            </w:tcBorders>
            <w:vAlign w:val="center"/>
          </w:tcPr>
          <w:p w14:paraId="1BE7CD2C" w14:textId="77777777" w:rsidR="00756597" w:rsidRDefault="00756597" w:rsidP="007E530C">
            <w:pPr>
              <w:jc w:val="center"/>
            </w:pPr>
            <w:r>
              <w:rPr>
                <w:color w:val="FF0000"/>
              </w:rPr>
              <w:t>203</w:t>
            </w:r>
          </w:p>
        </w:tc>
        <w:tc>
          <w:tcPr>
            <w:tcW w:w="680" w:type="dxa"/>
            <w:tcBorders>
              <w:top w:val="single" w:sz="4" w:space="0" w:color="auto"/>
            </w:tcBorders>
            <w:vAlign w:val="center"/>
          </w:tcPr>
          <w:p w14:paraId="26B6C4FD" w14:textId="77777777" w:rsidR="00756597" w:rsidRDefault="00756597" w:rsidP="007E530C">
            <w:pPr>
              <w:jc w:val="center"/>
            </w:pPr>
            <w:r>
              <w:t>139</w:t>
            </w:r>
          </w:p>
        </w:tc>
        <w:tc>
          <w:tcPr>
            <w:tcW w:w="680" w:type="dxa"/>
            <w:tcBorders>
              <w:top w:val="single" w:sz="4" w:space="0" w:color="auto"/>
            </w:tcBorders>
            <w:vAlign w:val="center"/>
          </w:tcPr>
          <w:p w14:paraId="4CAFD3A2" w14:textId="77777777" w:rsidR="00756597" w:rsidRDefault="00756597" w:rsidP="007E530C">
            <w:pPr>
              <w:jc w:val="center"/>
            </w:pPr>
            <w:r>
              <w:t>118</w:t>
            </w:r>
          </w:p>
        </w:tc>
        <w:tc>
          <w:tcPr>
            <w:tcW w:w="680" w:type="dxa"/>
            <w:tcBorders>
              <w:top w:val="single" w:sz="4" w:space="0" w:color="auto"/>
            </w:tcBorders>
            <w:vAlign w:val="center"/>
          </w:tcPr>
          <w:p w14:paraId="1056D0C3" w14:textId="77777777" w:rsidR="00756597" w:rsidRDefault="00756597" w:rsidP="007E530C">
            <w:pPr>
              <w:jc w:val="center"/>
              <w:rPr>
                <w:color w:val="FF0000"/>
              </w:rPr>
            </w:pPr>
            <w:r>
              <w:t>108</w:t>
            </w:r>
          </w:p>
        </w:tc>
      </w:tr>
      <w:tr w:rsidR="00756597" w:rsidRPr="000C2289" w14:paraId="5D59D617" w14:textId="77777777" w:rsidTr="007E530C">
        <w:trPr>
          <w:trHeight w:val="283"/>
          <w:jc w:val="center"/>
        </w:trPr>
        <w:tc>
          <w:tcPr>
            <w:tcW w:w="1417" w:type="dxa"/>
            <w:vMerge/>
            <w:tcBorders>
              <w:bottom w:val="single" w:sz="4" w:space="0" w:color="auto"/>
            </w:tcBorders>
          </w:tcPr>
          <w:p w14:paraId="4CBC109E" w14:textId="77777777" w:rsidR="00756597" w:rsidRDefault="00756597" w:rsidP="007E530C">
            <w:pPr>
              <w:spacing w:line="240" w:lineRule="auto"/>
              <w:jc w:val="center"/>
              <w:rPr>
                <w:lang w:eastAsia="zh-CN"/>
              </w:rPr>
            </w:pPr>
          </w:p>
        </w:tc>
        <w:tc>
          <w:tcPr>
            <w:tcW w:w="2551" w:type="dxa"/>
            <w:tcBorders>
              <w:bottom w:val="single" w:sz="4" w:space="0" w:color="auto"/>
            </w:tcBorders>
            <w:vAlign w:val="center"/>
          </w:tcPr>
          <w:p w14:paraId="65D652BD" w14:textId="77777777" w:rsidR="00756597" w:rsidRDefault="00756597" w:rsidP="007E530C">
            <w:pPr>
              <w:spacing w:line="240" w:lineRule="auto"/>
              <w:jc w:val="center"/>
              <w:rPr>
                <w:lang w:eastAsia="zh-CN"/>
              </w:rPr>
            </w:pPr>
            <w:r>
              <w:rPr>
                <w:lang w:eastAsia="zh-CN"/>
              </w:rPr>
              <w:t>Semenov model</w:t>
            </w:r>
          </w:p>
        </w:tc>
        <w:tc>
          <w:tcPr>
            <w:tcW w:w="680" w:type="dxa"/>
            <w:tcBorders>
              <w:bottom w:val="single" w:sz="4" w:space="0" w:color="auto"/>
            </w:tcBorders>
            <w:vAlign w:val="center"/>
          </w:tcPr>
          <w:p w14:paraId="6A311897" w14:textId="77777777" w:rsidR="00756597" w:rsidRDefault="00756597" w:rsidP="007E530C">
            <w:pPr>
              <w:jc w:val="center"/>
            </w:pPr>
            <w:r>
              <w:rPr>
                <w:color w:val="FF0000"/>
              </w:rPr>
              <w:t>198</w:t>
            </w:r>
          </w:p>
        </w:tc>
        <w:tc>
          <w:tcPr>
            <w:tcW w:w="680" w:type="dxa"/>
            <w:tcBorders>
              <w:bottom w:val="single" w:sz="4" w:space="0" w:color="auto"/>
            </w:tcBorders>
            <w:vAlign w:val="center"/>
          </w:tcPr>
          <w:p w14:paraId="78894353" w14:textId="77777777" w:rsidR="00756597" w:rsidRDefault="00756597" w:rsidP="007E530C">
            <w:pPr>
              <w:jc w:val="center"/>
            </w:pPr>
            <w:r>
              <w:t>136</w:t>
            </w:r>
          </w:p>
        </w:tc>
        <w:tc>
          <w:tcPr>
            <w:tcW w:w="680" w:type="dxa"/>
            <w:tcBorders>
              <w:bottom w:val="single" w:sz="4" w:space="0" w:color="auto"/>
            </w:tcBorders>
            <w:vAlign w:val="center"/>
          </w:tcPr>
          <w:p w14:paraId="44E8CBA0" w14:textId="77777777" w:rsidR="00756597" w:rsidRDefault="00756597" w:rsidP="007E530C">
            <w:pPr>
              <w:jc w:val="center"/>
            </w:pPr>
            <w:r>
              <w:t>117</w:t>
            </w:r>
          </w:p>
        </w:tc>
        <w:tc>
          <w:tcPr>
            <w:tcW w:w="680" w:type="dxa"/>
            <w:tcBorders>
              <w:bottom w:val="single" w:sz="4" w:space="0" w:color="auto"/>
            </w:tcBorders>
            <w:vAlign w:val="center"/>
          </w:tcPr>
          <w:p w14:paraId="31D8985C" w14:textId="77777777" w:rsidR="00756597" w:rsidRDefault="00756597" w:rsidP="007E530C">
            <w:pPr>
              <w:jc w:val="center"/>
              <w:rPr>
                <w:color w:val="FF0000"/>
              </w:rPr>
            </w:pPr>
            <w:r>
              <w:t>107</w:t>
            </w:r>
          </w:p>
        </w:tc>
      </w:tr>
    </w:tbl>
    <w:p w14:paraId="5A7713EF" w14:textId="77777777" w:rsidR="00756597" w:rsidRPr="000C2289" w:rsidRDefault="00756597" w:rsidP="00756597">
      <w:pPr>
        <w:pStyle w:val="SingleTxtG"/>
        <w:jc w:val="center"/>
        <w:rPr>
          <w:sz w:val="18"/>
          <w:szCs w:val="18"/>
          <w:lang w:val="en-CA"/>
        </w:rPr>
      </w:pPr>
      <w:r w:rsidRPr="000C2289">
        <w:rPr>
          <w:sz w:val="18"/>
          <w:szCs w:val="18"/>
          <w:lang w:val="en-CA"/>
        </w:rPr>
        <w:t>Minimum heat flow and maximum DSC-onset highlighted in red</w:t>
      </w:r>
    </w:p>
    <w:p w14:paraId="2544A107" w14:textId="77777777" w:rsidR="00756597" w:rsidRPr="00E20BF3" w:rsidRDefault="00756597" w:rsidP="00756597">
      <w:pPr>
        <w:pStyle w:val="SingleTxtG"/>
        <w:spacing w:line="240" w:lineRule="auto"/>
        <w:rPr>
          <w:lang w:val="en-CA"/>
        </w:rPr>
      </w:pPr>
    </w:p>
    <w:p w14:paraId="54E23DEB" w14:textId="25FF8C71" w:rsidR="00756597" w:rsidRPr="00C349AF" w:rsidRDefault="00756597" w:rsidP="00CE013C">
      <w:pPr>
        <w:pStyle w:val="HChG"/>
        <w:rPr>
          <w:lang w:eastAsia="en-US"/>
        </w:rPr>
      </w:pPr>
      <w:r>
        <w:rPr>
          <w:lang w:eastAsia="en-US"/>
        </w:rPr>
        <w:tab/>
      </w:r>
      <w:r w:rsidR="00CE013C">
        <w:rPr>
          <w:lang w:eastAsia="en-US"/>
        </w:rPr>
        <w:t>III.</w:t>
      </w:r>
      <w:r w:rsidR="00CE013C">
        <w:rPr>
          <w:lang w:eastAsia="en-US"/>
        </w:rPr>
        <w:tab/>
      </w:r>
      <w:r w:rsidRPr="00C349AF">
        <w:rPr>
          <w:lang w:eastAsia="en-US"/>
        </w:rPr>
        <w:t xml:space="preserve">Sensitivity </w:t>
      </w:r>
      <w:r>
        <w:rPr>
          <w:lang w:eastAsia="en-US"/>
        </w:rPr>
        <w:t>analysis</w:t>
      </w:r>
      <w:r w:rsidRPr="00C349AF">
        <w:rPr>
          <w:lang w:eastAsia="en-US"/>
        </w:rPr>
        <w:t xml:space="preserve"> </w:t>
      </w:r>
      <w:r>
        <w:rPr>
          <w:lang w:eastAsia="en-US"/>
        </w:rPr>
        <w:t xml:space="preserve">for solids </w:t>
      </w:r>
      <w:r w:rsidRPr="00C349AF">
        <w:rPr>
          <w:lang w:eastAsia="en-US"/>
        </w:rPr>
        <w:t>(Thomas model)</w:t>
      </w:r>
    </w:p>
    <w:p w14:paraId="066E38F1" w14:textId="77777777" w:rsidR="00756597" w:rsidRDefault="00756597" w:rsidP="00756597">
      <w:pPr>
        <w:pStyle w:val="SingleTxtG"/>
        <w:numPr>
          <w:ilvl w:val="0"/>
          <w:numId w:val="21"/>
        </w:numPr>
        <w:tabs>
          <w:tab w:val="clear" w:pos="2268"/>
          <w:tab w:val="clear" w:pos="2835"/>
        </w:tabs>
        <w:spacing w:line="240" w:lineRule="auto"/>
        <w:ind w:left="1134" w:firstLine="0"/>
        <w:rPr>
          <w:lang w:val="en-CA"/>
        </w:rPr>
      </w:pPr>
      <w:r>
        <w:rPr>
          <w:lang w:val="en-CA"/>
        </w:rPr>
        <w:t>The proposed DSC rule for solids derived under the Thomas model was subjected to a sensitivity analyse.</w:t>
      </w:r>
    </w:p>
    <w:p w14:paraId="4D8B1D7D" w14:textId="200A15B1" w:rsidR="00756597" w:rsidRDefault="00756597" w:rsidP="00756597">
      <w:pPr>
        <w:pStyle w:val="SingleTxtG"/>
        <w:numPr>
          <w:ilvl w:val="0"/>
          <w:numId w:val="21"/>
        </w:numPr>
        <w:tabs>
          <w:tab w:val="clear" w:pos="2268"/>
          <w:tab w:val="clear" w:pos="2835"/>
        </w:tabs>
        <w:spacing w:line="240" w:lineRule="auto"/>
        <w:ind w:left="1134" w:firstLine="0"/>
        <w:rPr>
          <w:lang w:val="en-CA"/>
        </w:rPr>
      </w:pPr>
      <w:r>
        <w:rPr>
          <w:lang w:val="en-CA"/>
        </w:rPr>
        <w:t>Taking the assumed values for heat losses for the various variables in the equations (</w:t>
      </w:r>
      <w:r w:rsidRPr="00E20BF3">
        <w:rPr>
          <w:rFonts w:ascii="Symbol" w:hAnsi="Symbol"/>
          <w:lang w:val="en-CA"/>
        </w:rPr>
        <w:t>l</w:t>
      </w:r>
      <w:r>
        <w:rPr>
          <w:lang w:val="en-CA"/>
        </w:rPr>
        <w:t xml:space="preserve"> </w:t>
      </w:r>
      <w:r w:rsidRPr="00E0784A">
        <w:rPr>
          <w:lang w:val="en-CA"/>
        </w:rPr>
        <w:t>= 0.15</w:t>
      </w:r>
      <w:r>
        <w:rPr>
          <w:lang w:val="en-CA"/>
        </w:rPr>
        <w:t> </w:t>
      </w:r>
      <w:r w:rsidRPr="00E0784A">
        <w:rPr>
          <w:lang w:val="en-CA"/>
        </w:rPr>
        <w:t>W</w:t>
      </w:r>
      <w:r>
        <w:rPr>
          <w:lang w:val="en-CA"/>
        </w:rPr>
        <w:t> </w:t>
      </w:r>
      <w:r w:rsidRPr="00E0784A">
        <w:rPr>
          <w:lang w:val="en-CA"/>
        </w:rPr>
        <w:t>m</w:t>
      </w:r>
      <w:r w:rsidRPr="00E20BF3">
        <w:rPr>
          <w:vertAlign w:val="superscript"/>
          <w:lang w:val="en-CA"/>
        </w:rPr>
        <w:t>-</w:t>
      </w:r>
      <w:r>
        <w:rPr>
          <w:vertAlign w:val="superscript"/>
          <w:lang w:val="en-CA"/>
        </w:rPr>
        <w:noBreakHyphen/>
      </w:r>
      <w:r w:rsidRPr="00E20BF3">
        <w:rPr>
          <w:vertAlign w:val="superscript"/>
          <w:lang w:val="en-CA"/>
        </w:rPr>
        <w:t>1</w:t>
      </w:r>
      <w:r>
        <w:rPr>
          <w:lang w:val="en-CA"/>
        </w:rPr>
        <w:t> </w:t>
      </w:r>
      <w:r w:rsidRPr="00E0784A">
        <w:rPr>
          <w:lang w:val="en-CA"/>
        </w:rPr>
        <w:t>K</w:t>
      </w:r>
      <w:r w:rsidRPr="007430B2">
        <w:rPr>
          <w:vertAlign w:val="superscript"/>
          <w:lang w:val="en-CA"/>
        </w:rPr>
        <w:noBreakHyphen/>
      </w:r>
      <w:r w:rsidRPr="008D3BF9">
        <w:rPr>
          <w:vertAlign w:val="superscript"/>
          <w:lang w:val="en-CA"/>
        </w:rPr>
        <w:t>1</w:t>
      </w:r>
      <w:r w:rsidRPr="00E0784A">
        <w:rPr>
          <w:lang w:val="en-CA"/>
        </w:rPr>
        <w:t xml:space="preserve">, </w:t>
      </w:r>
      <w:r w:rsidRPr="00E20BF3">
        <w:rPr>
          <w:rFonts w:ascii="Symbol" w:hAnsi="Symbol"/>
          <w:lang w:val="en-CA"/>
        </w:rPr>
        <w:t>a</w:t>
      </w:r>
      <w:r w:rsidRPr="00E0784A">
        <w:rPr>
          <w:lang w:val="en-CA"/>
        </w:rPr>
        <w:t xml:space="preserve"> = 5 W</w:t>
      </w:r>
      <w:r>
        <w:rPr>
          <w:lang w:val="en-CA"/>
        </w:rPr>
        <w:t xml:space="preserve"> </w:t>
      </w:r>
      <w:r w:rsidRPr="00E0784A">
        <w:rPr>
          <w:lang w:val="en-CA"/>
        </w:rPr>
        <w:t>m</w:t>
      </w:r>
      <w:r w:rsidRPr="008D3BF9">
        <w:rPr>
          <w:vertAlign w:val="superscript"/>
          <w:lang w:val="en-CA"/>
        </w:rPr>
        <w:t>-</w:t>
      </w:r>
      <w:r>
        <w:rPr>
          <w:vertAlign w:val="superscript"/>
          <w:lang w:val="en-CA"/>
        </w:rPr>
        <w:t xml:space="preserve">2 </w:t>
      </w:r>
      <w:r w:rsidRPr="00E0784A">
        <w:rPr>
          <w:lang w:val="en-CA"/>
        </w:rPr>
        <w:t>K</w:t>
      </w:r>
      <w:r w:rsidRPr="008D3BF9">
        <w:rPr>
          <w:vertAlign w:val="superscript"/>
          <w:lang w:val="en-CA"/>
        </w:rPr>
        <w:t>-1</w:t>
      </w:r>
      <w:r w:rsidRPr="00E0784A">
        <w:rPr>
          <w:lang w:val="en-CA"/>
        </w:rPr>
        <w:t>, bulk density = 600 kg</w:t>
      </w:r>
      <w:r>
        <w:rPr>
          <w:lang w:val="en-CA"/>
        </w:rPr>
        <w:t xml:space="preserve"> </w:t>
      </w:r>
      <w:r w:rsidRPr="00E0784A">
        <w:rPr>
          <w:lang w:val="en-CA"/>
        </w:rPr>
        <w:t>m</w:t>
      </w:r>
      <w:r w:rsidRPr="00E20BF3">
        <w:rPr>
          <w:vertAlign w:val="superscript"/>
          <w:lang w:val="en-CA"/>
        </w:rPr>
        <w:t>-3</w:t>
      </w:r>
      <w:r>
        <w:rPr>
          <w:lang w:val="en-CA"/>
        </w:rPr>
        <w:t xml:space="preserve">, </w:t>
      </w:r>
      <w:r w:rsidRPr="00E0784A">
        <w:rPr>
          <w:lang w:val="en-CA"/>
        </w:rPr>
        <w:t>activation energy 100</w:t>
      </w:r>
      <w:r>
        <w:rPr>
          <w:lang w:val="en-CA"/>
        </w:rPr>
        <w:t> </w:t>
      </w:r>
      <w:r w:rsidRPr="00E0784A">
        <w:rPr>
          <w:lang w:val="en-CA"/>
        </w:rPr>
        <w:t>kJ</w:t>
      </w:r>
      <w:r>
        <w:rPr>
          <w:lang w:val="en-CA"/>
        </w:rPr>
        <w:t> </w:t>
      </w:r>
      <w:r w:rsidRPr="00E0784A">
        <w:rPr>
          <w:lang w:val="en-CA"/>
        </w:rPr>
        <w:t>mol</w:t>
      </w:r>
      <w:r w:rsidRPr="008D3BF9">
        <w:rPr>
          <w:vertAlign w:val="superscript"/>
          <w:lang w:val="en-CA"/>
        </w:rPr>
        <w:t>-</w:t>
      </w:r>
      <w:r w:rsidRPr="00C91E69">
        <w:rPr>
          <w:vertAlign w:val="superscript"/>
          <w:lang w:val="en-CA"/>
        </w:rPr>
        <w:t>1</w:t>
      </w:r>
      <w:r>
        <w:rPr>
          <w:lang w:val="en-CA"/>
        </w:rPr>
        <w:t>) and the DSC-detection limit (20 W kg</w:t>
      </w:r>
      <w:r w:rsidRPr="00C91E69">
        <w:rPr>
          <w:vertAlign w:val="superscript"/>
          <w:lang w:val="en-CA"/>
        </w:rPr>
        <w:t>-1</w:t>
      </w:r>
      <w:r>
        <w:rPr>
          <w:lang w:val="en-CA"/>
        </w:rPr>
        <w:t>), a DSC-onset temperature of ca. 140 °C can be calculated as a starting reference point for this analysis (black dash line). Systematically varying one of these variables while holding the others constant then leads to the following sensitivity plot for the screening rules for solids under the Thomas model (</w:t>
      </w:r>
      <w:r>
        <w:rPr>
          <w:lang w:val="en-CA"/>
        </w:rPr>
        <w:fldChar w:fldCharType="begin"/>
      </w:r>
      <w:r>
        <w:rPr>
          <w:lang w:val="en-CA"/>
        </w:rPr>
        <w:instrText xml:space="preserve"> REF _Ref161775766 \h </w:instrText>
      </w:r>
      <w:r>
        <w:rPr>
          <w:lang w:val="en-CA"/>
        </w:rPr>
      </w:r>
      <w:r>
        <w:rPr>
          <w:lang w:val="en-CA"/>
        </w:rPr>
        <w:fldChar w:fldCharType="separate"/>
      </w:r>
      <w:r w:rsidR="00D7059F">
        <w:t xml:space="preserve">Figure </w:t>
      </w:r>
      <w:r w:rsidR="00D7059F">
        <w:rPr>
          <w:noProof/>
        </w:rPr>
        <w:t>1</w:t>
      </w:r>
      <w:r>
        <w:rPr>
          <w:lang w:val="en-CA"/>
        </w:rPr>
        <w:fldChar w:fldCharType="end"/>
      </w:r>
      <w:r>
        <w:rPr>
          <w:lang w:val="en-CA"/>
        </w:rPr>
        <w:t>).</w:t>
      </w:r>
    </w:p>
    <w:p w14:paraId="6CF71721" w14:textId="77777777" w:rsidR="00756597" w:rsidRDefault="00756597" w:rsidP="00756597">
      <w:pPr>
        <w:pStyle w:val="SingleTxtG"/>
        <w:spacing w:line="240" w:lineRule="auto"/>
        <w:rPr>
          <w:lang w:val="en-CA"/>
        </w:rPr>
      </w:pPr>
    </w:p>
    <w:p w14:paraId="5E3F3B35" w14:textId="77777777" w:rsidR="00756597" w:rsidRDefault="00756597" w:rsidP="00756597">
      <w:pPr>
        <w:pStyle w:val="SingleTxtG"/>
        <w:spacing w:line="240" w:lineRule="auto"/>
        <w:ind w:left="851"/>
        <w:jc w:val="center"/>
        <w:rPr>
          <w:lang w:val="en-CA"/>
        </w:rPr>
      </w:pPr>
      <w:r>
        <w:rPr>
          <w:noProof/>
          <w:lang w:val="en-CA"/>
        </w:rPr>
        <w:lastRenderedPageBreak/>
        <w:drawing>
          <wp:inline distT="0" distB="0" distL="0" distR="0" wp14:anchorId="29B68531" wp14:editId="3DEEF839">
            <wp:extent cx="5040000" cy="3250800"/>
            <wp:effectExtent l="0" t="0" r="8255" b="6985"/>
            <wp:docPr id="1163234084" name="Picture 116323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0000" cy="3250800"/>
                    </a:xfrm>
                    <a:prstGeom prst="rect">
                      <a:avLst/>
                    </a:prstGeom>
                    <a:noFill/>
                  </pic:spPr>
                </pic:pic>
              </a:graphicData>
            </a:graphic>
          </wp:inline>
        </w:drawing>
      </w:r>
    </w:p>
    <w:p w14:paraId="3ACF4196" w14:textId="553DE090" w:rsidR="00756597" w:rsidRDefault="00756597" w:rsidP="00756597">
      <w:pPr>
        <w:pStyle w:val="Caption"/>
        <w:ind w:left="567"/>
        <w:jc w:val="center"/>
        <w:rPr>
          <w:lang w:val="en-CA"/>
        </w:rPr>
      </w:pPr>
      <w:bookmarkStart w:id="11" w:name="_Ref161775766"/>
      <w:r>
        <w:t xml:space="preserve">Figure </w:t>
      </w:r>
      <w:r>
        <w:fldChar w:fldCharType="begin"/>
      </w:r>
      <w:r>
        <w:instrText>SEQ Figure \* ARABIC</w:instrText>
      </w:r>
      <w:r>
        <w:fldChar w:fldCharType="separate"/>
      </w:r>
      <w:r w:rsidR="00D7059F">
        <w:rPr>
          <w:noProof/>
        </w:rPr>
        <w:t>1</w:t>
      </w:r>
      <w:r>
        <w:fldChar w:fldCharType="end"/>
      </w:r>
      <w:bookmarkEnd w:id="11"/>
      <w:r>
        <w:t>: Sensitivity plot for the screening rules for solids</w:t>
      </w:r>
      <w:r>
        <w:br/>
        <w:t>(Thomas model)</w:t>
      </w:r>
    </w:p>
    <w:p w14:paraId="3C13EF75" w14:textId="77777777" w:rsidR="00756597" w:rsidRDefault="00756597" w:rsidP="00756597">
      <w:pPr>
        <w:pStyle w:val="SingleTxtG"/>
        <w:spacing w:line="240" w:lineRule="auto"/>
        <w:rPr>
          <w:lang w:val="en-CA"/>
        </w:rPr>
      </w:pPr>
    </w:p>
    <w:p w14:paraId="63D63EC8" w14:textId="096A2FDD" w:rsidR="00756597" w:rsidRPr="00E20BF3" w:rsidRDefault="00756597" w:rsidP="00756597">
      <w:pPr>
        <w:pStyle w:val="SingleTxtG"/>
        <w:numPr>
          <w:ilvl w:val="0"/>
          <w:numId w:val="21"/>
        </w:numPr>
        <w:tabs>
          <w:tab w:val="clear" w:pos="2268"/>
          <w:tab w:val="clear" w:pos="2835"/>
        </w:tabs>
        <w:spacing w:line="240" w:lineRule="auto"/>
        <w:ind w:left="1134" w:firstLine="0"/>
        <w:rPr>
          <w:lang w:val="en-CA"/>
        </w:rPr>
      </w:pPr>
      <w:r w:rsidRPr="00E20BF3">
        <w:rPr>
          <w:lang w:val="en-CA"/>
        </w:rPr>
        <w:t xml:space="preserve">Similar to the results from the Semenov sensitivity plot (see </w:t>
      </w:r>
      <w:hyperlink r:id="rId16" w:history="1">
        <w:r w:rsidRPr="000742D1">
          <w:rPr>
            <w:rStyle w:val="Hyperlink"/>
            <w:lang w:val="en-CA"/>
          </w:rPr>
          <w:t>ST</w:t>
        </w:r>
        <w:r w:rsidR="00C93145">
          <w:rPr>
            <w:rStyle w:val="Hyperlink"/>
            <w:lang w:val="en-CA"/>
          </w:rPr>
          <w:t>/</w:t>
        </w:r>
        <w:r w:rsidRPr="000742D1">
          <w:rPr>
            <w:rStyle w:val="Hyperlink"/>
            <w:lang w:val="en-CA"/>
          </w:rPr>
          <w:t>SG</w:t>
        </w:r>
        <w:r w:rsidR="00C93145">
          <w:rPr>
            <w:rStyle w:val="Hyperlink"/>
            <w:lang w:val="en-CA"/>
          </w:rPr>
          <w:t>/</w:t>
        </w:r>
        <w:r w:rsidRPr="000742D1">
          <w:rPr>
            <w:rStyle w:val="Hyperlink"/>
            <w:lang w:val="en-CA"/>
          </w:rPr>
          <w:t>AC</w:t>
        </w:r>
        <w:r w:rsidR="00C93145">
          <w:rPr>
            <w:rStyle w:val="Hyperlink"/>
            <w:lang w:val="en-CA"/>
          </w:rPr>
          <w:t>.</w:t>
        </w:r>
        <w:r w:rsidRPr="000742D1">
          <w:rPr>
            <w:rStyle w:val="Hyperlink"/>
            <w:lang w:val="en-CA"/>
          </w:rPr>
          <w:t>10</w:t>
        </w:r>
        <w:r w:rsidR="00C93145">
          <w:rPr>
            <w:rStyle w:val="Hyperlink"/>
            <w:lang w:val="en-CA"/>
          </w:rPr>
          <w:t>/</w:t>
        </w:r>
        <w:r w:rsidRPr="000742D1">
          <w:rPr>
            <w:rStyle w:val="Hyperlink"/>
            <w:lang w:val="en-CA"/>
          </w:rPr>
          <w:t>C</w:t>
        </w:r>
        <w:r w:rsidR="00C93145">
          <w:rPr>
            <w:rStyle w:val="Hyperlink"/>
            <w:lang w:val="en-CA"/>
          </w:rPr>
          <w:t>.</w:t>
        </w:r>
        <w:r w:rsidRPr="000742D1">
          <w:rPr>
            <w:rStyle w:val="Hyperlink"/>
            <w:lang w:val="en-CA"/>
          </w:rPr>
          <w:t>3</w:t>
        </w:r>
        <w:r w:rsidR="00C93145">
          <w:rPr>
            <w:rStyle w:val="Hyperlink"/>
            <w:lang w:val="en-CA"/>
          </w:rPr>
          <w:t>/</w:t>
        </w:r>
        <w:r w:rsidRPr="000742D1">
          <w:rPr>
            <w:rStyle w:val="Hyperlink"/>
            <w:lang w:val="en-CA"/>
          </w:rPr>
          <w:t>2024</w:t>
        </w:r>
        <w:r w:rsidR="00C93145">
          <w:rPr>
            <w:rStyle w:val="Hyperlink"/>
            <w:lang w:val="en-CA"/>
          </w:rPr>
          <w:t>/</w:t>
        </w:r>
        <w:r w:rsidRPr="000742D1">
          <w:rPr>
            <w:rStyle w:val="Hyperlink"/>
            <w:lang w:val="en-CA"/>
          </w:rPr>
          <w:t>16</w:t>
        </w:r>
      </w:hyperlink>
      <w:r w:rsidRPr="00E20BF3">
        <w:rPr>
          <w:lang w:val="en-CA"/>
        </w:rPr>
        <w:t>), t</w:t>
      </w:r>
      <w:r w:rsidRPr="00F0004E">
        <w:rPr>
          <w:lang w:val="en-CA"/>
        </w:rPr>
        <w:t xml:space="preserve">he sensitivity test </w:t>
      </w:r>
      <w:r>
        <w:rPr>
          <w:lang w:val="en-CA"/>
        </w:rPr>
        <w:t>revealed</w:t>
      </w:r>
      <w:r w:rsidRPr="00F0004E">
        <w:rPr>
          <w:lang w:val="en-CA"/>
        </w:rPr>
        <w:t xml:space="preserve"> that the screening rules </w:t>
      </w:r>
      <w:r w:rsidRPr="00E20BF3">
        <w:rPr>
          <w:lang w:val="en-CA"/>
        </w:rPr>
        <w:t>for solids as calculated under this more rigorous approach</w:t>
      </w:r>
      <w:r w:rsidRPr="00F0004E">
        <w:rPr>
          <w:lang w:val="en-CA"/>
        </w:rPr>
        <w:t xml:space="preserve"> are sufficiently conservative versus variation in DSC-detection limit, and that the </w:t>
      </w:r>
      <w:r w:rsidRPr="00E20BF3">
        <w:rPr>
          <w:lang w:val="en-CA"/>
        </w:rPr>
        <w:t>200</w:t>
      </w:r>
      <w:r w:rsidRPr="00F0004E">
        <w:rPr>
          <w:lang w:val="en-CA"/>
        </w:rPr>
        <w:t xml:space="preserve"> °C limit would only be breached at </w:t>
      </w:r>
      <w:r w:rsidRPr="00E20BF3">
        <w:rPr>
          <w:lang w:val="en-CA"/>
        </w:rPr>
        <w:t>exceptionally</w:t>
      </w:r>
      <w:r w:rsidRPr="00F0004E">
        <w:rPr>
          <w:lang w:val="en-CA"/>
        </w:rPr>
        <w:t xml:space="preserve"> poor levels of detection (&gt;&gt; 100 W kg</w:t>
      </w:r>
      <w:r w:rsidRPr="00F0004E">
        <w:rPr>
          <w:vertAlign w:val="superscript"/>
          <w:lang w:val="en-CA"/>
        </w:rPr>
        <w:t>-1</w:t>
      </w:r>
      <w:r w:rsidRPr="00F0004E">
        <w:rPr>
          <w:lang w:val="en-CA"/>
        </w:rPr>
        <w:t xml:space="preserve">). </w:t>
      </w:r>
      <w:r w:rsidRPr="00E20BF3">
        <w:rPr>
          <w:lang w:val="en-CA"/>
        </w:rPr>
        <w:t xml:space="preserve">Interestingly, the derived </w:t>
      </w:r>
      <w:proofErr w:type="spellStart"/>
      <w:r w:rsidRPr="00E20BF3">
        <w:rPr>
          <w:lang w:val="en-CA"/>
        </w:rPr>
        <w:t>DSC</w:t>
      </w:r>
      <w:r w:rsidRPr="00E20BF3">
        <w:rPr>
          <w:vertAlign w:val="subscript"/>
          <w:lang w:val="en-CA"/>
        </w:rPr>
        <w:t>onset</w:t>
      </w:r>
      <w:proofErr w:type="spellEnd"/>
      <w:r w:rsidRPr="00E20BF3">
        <w:rPr>
          <w:lang w:val="en-CA"/>
        </w:rPr>
        <w:t xml:space="preserve"> is rather insensitive to the substance specific parameters (bulk density,</w:t>
      </w:r>
      <w:r>
        <w:rPr>
          <w:lang w:val="en-CA"/>
        </w:rPr>
        <w:t xml:space="preserve"> thermal</w:t>
      </w:r>
      <w:r w:rsidRPr="00E20BF3">
        <w:rPr>
          <w:lang w:val="en-CA"/>
        </w:rPr>
        <w:t xml:space="preserve"> conductance and heat transfer), showing that these values are not decisive for the </w:t>
      </w:r>
      <w:proofErr w:type="spellStart"/>
      <w:r w:rsidRPr="00E20BF3">
        <w:rPr>
          <w:lang w:val="en-CA"/>
        </w:rPr>
        <w:t>DSC</w:t>
      </w:r>
      <w:r w:rsidRPr="00E20BF3">
        <w:rPr>
          <w:vertAlign w:val="subscript"/>
          <w:lang w:val="en-CA"/>
        </w:rPr>
        <w:t>onset</w:t>
      </w:r>
      <w:proofErr w:type="spellEnd"/>
      <w:r w:rsidRPr="00E20BF3">
        <w:rPr>
          <w:lang w:val="en-CA"/>
        </w:rPr>
        <w:t xml:space="preserve"> rule.</w:t>
      </w:r>
    </w:p>
    <w:p w14:paraId="39B2F1F6" w14:textId="46220D28" w:rsidR="0007452E" w:rsidRDefault="006D2CCB" w:rsidP="00756597">
      <w:pPr>
        <w:pStyle w:val="SingleTxtG"/>
        <w:rPr>
          <w:lang w:val="en-CA"/>
        </w:rPr>
      </w:pPr>
      <w:r>
        <w:rPr>
          <w:lang w:val="en-CA"/>
        </w:rPr>
        <w:t>18.</w:t>
      </w:r>
      <w:r>
        <w:rPr>
          <w:lang w:val="en-CA"/>
        </w:rPr>
        <w:tab/>
      </w:r>
      <w:r w:rsidR="00756597">
        <w:rPr>
          <w:lang w:val="en-CA"/>
        </w:rPr>
        <w:t xml:space="preserve">Keeping in mind that a survey of empirical data from over 300 samples revealed no example with an SADT less than </w:t>
      </w:r>
      <w:r w:rsidR="00756597" w:rsidRPr="0ED87B57">
        <w:rPr>
          <w:lang w:val="en-CA"/>
        </w:rPr>
        <w:t xml:space="preserve">75 °C (as measured by any of the recommended methods in Test Series H) </w:t>
      </w:r>
      <w:r w:rsidR="00756597">
        <w:rPr>
          <w:lang w:val="en-CA"/>
        </w:rPr>
        <w:t xml:space="preserve">and a </w:t>
      </w:r>
      <w:r w:rsidR="00756597" w:rsidRPr="0ED87B57">
        <w:rPr>
          <w:lang w:val="en-CA"/>
        </w:rPr>
        <w:t>DSC-onset of greater than 150 °C</w:t>
      </w:r>
      <w:r w:rsidR="00756597">
        <w:rPr>
          <w:lang w:val="en-CA"/>
        </w:rPr>
        <w:t xml:space="preserve"> (see </w:t>
      </w:r>
      <w:hyperlink r:id="rId17" w:history="1">
        <w:r w:rsidR="00756597" w:rsidRPr="000742D1">
          <w:rPr>
            <w:rStyle w:val="Hyperlink"/>
            <w:lang w:val="en-CA"/>
          </w:rPr>
          <w:t>ST</w:t>
        </w:r>
        <w:r w:rsidR="00F62B39">
          <w:rPr>
            <w:rStyle w:val="Hyperlink"/>
            <w:lang w:val="en-CA"/>
          </w:rPr>
          <w:t>/</w:t>
        </w:r>
        <w:r w:rsidR="00756597" w:rsidRPr="000742D1">
          <w:rPr>
            <w:rStyle w:val="Hyperlink"/>
            <w:lang w:val="en-CA"/>
          </w:rPr>
          <w:t>SG</w:t>
        </w:r>
        <w:r w:rsidR="00F62B39">
          <w:rPr>
            <w:rStyle w:val="Hyperlink"/>
            <w:lang w:val="en-CA"/>
          </w:rPr>
          <w:t>/</w:t>
        </w:r>
        <w:r w:rsidR="00756597" w:rsidRPr="000742D1">
          <w:rPr>
            <w:rStyle w:val="Hyperlink"/>
            <w:lang w:val="en-CA"/>
          </w:rPr>
          <w:t>AC</w:t>
        </w:r>
        <w:r w:rsidR="00F62B39">
          <w:rPr>
            <w:rStyle w:val="Hyperlink"/>
            <w:lang w:val="en-CA"/>
          </w:rPr>
          <w:t>.</w:t>
        </w:r>
        <w:r w:rsidR="00756597" w:rsidRPr="000742D1">
          <w:rPr>
            <w:rStyle w:val="Hyperlink"/>
            <w:lang w:val="en-CA"/>
          </w:rPr>
          <w:t>1</w:t>
        </w:r>
        <w:r w:rsidR="00F62B39">
          <w:rPr>
            <w:rStyle w:val="Hyperlink"/>
            <w:lang w:val="en-CA"/>
          </w:rPr>
          <w:t>/</w:t>
        </w:r>
        <w:r w:rsidR="00756597" w:rsidRPr="000742D1">
          <w:rPr>
            <w:rStyle w:val="Hyperlink"/>
            <w:lang w:val="en-CA"/>
          </w:rPr>
          <w:t>C</w:t>
        </w:r>
        <w:r w:rsidR="00F62B39">
          <w:rPr>
            <w:rStyle w:val="Hyperlink"/>
            <w:lang w:val="en-CA"/>
          </w:rPr>
          <w:t>.</w:t>
        </w:r>
        <w:r w:rsidR="00756597" w:rsidRPr="000742D1">
          <w:rPr>
            <w:rStyle w:val="Hyperlink"/>
            <w:lang w:val="en-CA"/>
          </w:rPr>
          <w:t>3</w:t>
        </w:r>
        <w:r w:rsidR="00F62B39">
          <w:rPr>
            <w:rStyle w:val="Hyperlink"/>
            <w:lang w:val="en-CA"/>
          </w:rPr>
          <w:t>/</w:t>
        </w:r>
        <w:r w:rsidR="00756597" w:rsidRPr="000742D1">
          <w:rPr>
            <w:rStyle w:val="Hyperlink"/>
            <w:lang w:val="en-CA"/>
          </w:rPr>
          <w:t>2024</w:t>
        </w:r>
        <w:r w:rsidR="00F62B39">
          <w:rPr>
            <w:rStyle w:val="Hyperlink"/>
            <w:lang w:val="en-CA"/>
          </w:rPr>
          <w:t>/</w:t>
        </w:r>
        <w:r w:rsidR="00756597" w:rsidRPr="000742D1">
          <w:rPr>
            <w:rStyle w:val="Hyperlink"/>
            <w:lang w:val="en-CA"/>
          </w:rPr>
          <w:t>16</w:t>
        </w:r>
      </w:hyperlink>
      <w:r w:rsidR="00756597">
        <w:rPr>
          <w:lang w:val="en-CA"/>
        </w:rPr>
        <w:t>), t</w:t>
      </w:r>
      <w:r w:rsidR="00756597" w:rsidRPr="0050251B">
        <w:rPr>
          <w:lang w:val="en-CA"/>
        </w:rPr>
        <w:t>hese sensitivity analyses support the use of the proposed DSC-screening rules for excluding solid substances from classification as self-reactive according to the guidelines for classification described in Section 28 and Appendix 6 of the MTC</w:t>
      </w:r>
      <w:r w:rsidR="00756597">
        <w:rPr>
          <w:lang w:val="en-CA"/>
        </w:rPr>
        <w:t>.</w:t>
      </w:r>
    </w:p>
    <w:p w14:paraId="270E9894" w14:textId="2A273E46" w:rsidR="00756597" w:rsidRPr="00756597" w:rsidRDefault="00756597" w:rsidP="00756597">
      <w:pPr>
        <w:spacing w:before="240"/>
        <w:jc w:val="center"/>
        <w:rPr>
          <w:u w:val="single"/>
          <w:lang w:val="en-CA"/>
        </w:rPr>
      </w:pPr>
      <w:r>
        <w:rPr>
          <w:u w:val="single"/>
          <w:lang w:val="en-CA"/>
        </w:rPr>
        <w:tab/>
      </w:r>
      <w:r>
        <w:rPr>
          <w:u w:val="single"/>
          <w:lang w:val="en-CA"/>
        </w:rPr>
        <w:tab/>
      </w:r>
      <w:r>
        <w:rPr>
          <w:u w:val="single"/>
          <w:lang w:val="en-CA"/>
        </w:rPr>
        <w:tab/>
      </w:r>
    </w:p>
    <w:sectPr w:rsidR="00756597" w:rsidRPr="00756597" w:rsidSect="0039370E">
      <w:headerReference w:type="even" r:id="rId18"/>
      <w:headerReference w:type="default" r:id="rId19"/>
      <w:footerReference w:type="even" r:id="rId20"/>
      <w:footerReference w:type="default" r:id="rId21"/>
      <w:foot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B036" w14:textId="77777777" w:rsidR="005D0BE2" w:rsidRPr="00C47B2E" w:rsidRDefault="005D0BE2" w:rsidP="00C47B2E">
      <w:pPr>
        <w:pStyle w:val="Footer"/>
      </w:pPr>
    </w:p>
  </w:endnote>
  <w:endnote w:type="continuationSeparator" w:id="0">
    <w:p w14:paraId="13875676" w14:textId="77777777" w:rsidR="005D0BE2" w:rsidRPr="00C47B2E" w:rsidRDefault="005D0BE2" w:rsidP="00C47B2E">
      <w:pPr>
        <w:pStyle w:val="Footer"/>
      </w:pPr>
    </w:p>
  </w:endnote>
  <w:endnote w:type="continuationNotice" w:id="1">
    <w:p w14:paraId="605C2E0E" w14:textId="77777777" w:rsidR="005D0BE2" w:rsidRPr="00C47B2E" w:rsidRDefault="005D0BE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BC2A" w14:textId="77777777" w:rsidR="005D0BE2" w:rsidRPr="00C47B2E" w:rsidRDefault="005D0BE2" w:rsidP="00C47B2E">
      <w:pPr>
        <w:tabs>
          <w:tab w:val="right" w:pos="2155"/>
        </w:tabs>
        <w:spacing w:after="80" w:line="240" w:lineRule="auto"/>
        <w:ind w:left="680"/>
      </w:pPr>
      <w:r>
        <w:rPr>
          <w:u w:val="single"/>
        </w:rPr>
        <w:tab/>
      </w:r>
    </w:p>
  </w:footnote>
  <w:footnote w:type="continuationSeparator" w:id="0">
    <w:p w14:paraId="0013E572" w14:textId="77777777" w:rsidR="005D0BE2" w:rsidRPr="00C47B2E" w:rsidRDefault="005D0BE2" w:rsidP="005E716E">
      <w:pPr>
        <w:tabs>
          <w:tab w:val="right" w:pos="2155"/>
        </w:tabs>
        <w:spacing w:after="80" w:line="240" w:lineRule="auto"/>
        <w:ind w:left="680"/>
      </w:pPr>
      <w:r>
        <w:rPr>
          <w:u w:val="single"/>
        </w:rPr>
        <w:tab/>
      </w:r>
    </w:p>
  </w:footnote>
  <w:footnote w:type="continuationNotice" w:id="1">
    <w:p w14:paraId="7D4BFB62" w14:textId="77777777" w:rsidR="005D0BE2" w:rsidRPr="00C47B2E" w:rsidRDefault="005D0BE2"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61BBE088" w:rsidR="0039370E" w:rsidRPr="0087458D" w:rsidRDefault="0087458D">
    <w:pPr>
      <w:pStyle w:val="Header"/>
      <w:rPr>
        <w:lang w:val="fr-CH"/>
      </w:rPr>
    </w:pPr>
    <w:r>
      <w:rPr>
        <w:lang w:val="fr-CH"/>
      </w:rPr>
      <w:t>UN/SCETDG/64/INF.</w:t>
    </w:r>
    <w:r w:rsidR="00827F88">
      <w:rPr>
        <w:lang w:val="fr-CH"/>
      </w:rPr>
      <w:t>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1478108E" w:rsidR="00D94B05" w:rsidRPr="0039370E" w:rsidRDefault="00000000" w:rsidP="0039370E">
    <w:pPr>
      <w:pStyle w:val="Header"/>
      <w:jc w:val="right"/>
    </w:pPr>
    <w:fldSimple w:instr=" TITLE  \* MERGEFORMAT ">
      <w:r w:rsidR="00D7059F">
        <w:t>UN/SCETDG/64/INF.54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7BC43EA"/>
    <w:multiLevelType w:val="hybridMultilevel"/>
    <w:tmpl w:val="38428B6A"/>
    <w:lvl w:ilvl="0" w:tplc="393C0BA4">
      <w:start w:val="1"/>
      <w:numFmt w:val="decimal"/>
      <w:pStyle w:val="Appendix"/>
      <w:lvlText w:val="Appendix %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5F448C"/>
    <w:multiLevelType w:val="hybridMultilevel"/>
    <w:tmpl w:val="310AA94E"/>
    <w:lvl w:ilvl="0" w:tplc="0409000F">
      <w:start w:val="1"/>
      <w:numFmt w:val="decimal"/>
      <w:lvlText w:val="%1."/>
      <w:lvlJc w:val="left"/>
      <w:pPr>
        <w:ind w:left="2062"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2"/>
  </w:num>
  <w:num w:numId="5" w16cid:durableId="1816027029">
    <w:abstractNumId w:val="13"/>
  </w:num>
  <w:num w:numId="6" w16cid:durableId="1836190579">
    <w:abstractNumId w:val="17"/>
  </w:num>
  <w:num w:numId="7" w16cid:durableId="634676252">
    <w:abstractNumId w:val="5"/>
  </w:num>
  <w:num w:numId="8" w16cid:durableId="1039166836">
    <w:abstractNumId w:val="2"/>
  </w:num>
  <w:num w:numId="9" w16cid:durableId="644969981">
    <w:abstractNumId w:val="15"/>
  </w:num>
  <w:num w:numId="10" w16cid:durableId="525103391">
    <w:abstractNumId w:val="2"/>
  </w:num>
  <w:num w:numId="11" w16cid:durableId="297342166">
    <w:abstractNumId w:val="15"/>
  </w:num>
  <w:num w:numId="12" w16cid:durableId="1280380300">
    <w:abstractNumId w:val="3"/>
  </w:num>
  <w:num w:numId="13" w16cid:durableId="1988699530">
    <w:abstractNumId w:val="3"/>
  </w:num>
  <w:num w:numId="14" w16cid:durableId="1917550057">
    <w:abstractNumId w:val="18"/>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4"/>
  </w:num>
  <w:num w:numId="20" w16cid:durableId="123348580">
    <w:abstractNumId w:val="10"/>
  </w:num>
  <w:num w:numId="21" w16cid:durableId="419644443">
    <w:abstractNumId w:val="16"/>
  </w:num>
  <w:num w:numId="22" w16cid:durableId="185675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2294D"/>
    <w:rsid w:val="00034087"/>
    <w:rsid w:val="00036051"/>
    <w:rsid w:val="00046E92"/>
    <w:rsid w:val="00050927"/>
    <w:rsid w:val="00063C90"/>
    <w:rsid w:val="00070000"/>
    <w:rsid w:val="0007452E"/>
    <w:rsid w:val="00074A36"/>
    <w:rsid w:val="00083106"/>
    <w:rsid w:val="00097AF4"/>
    <w:rsid w:val="000C25E4"/>
    <w:rsid w:val="000F3078"/>
    <w:rsid w:val="00101B98"/>
    <w:rsid w:val="0010486F"/>
    <w:rsid w:val="00104C0F"/>
    <w:rsid w:val="0010604D"/>
    <w:rsid w:val="0011084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839AF"/>
    <w:rsid w:val="0028529B"/>
    <w:rsid w:val="00285EFF"/>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B1248"/>
    <w:rsid w:val="003B4550"/>
    <w:rsid w:val="003D2A18"/>
    <w:rsid w:val="003D2EA4"/>
    <w:rsid w:val="003D6064"/>
    <w:rsid w:val="003E07D9"/>
    <w:rsid w:val="003E0E6B"/>
    <w:rsid w:val="003E384F"/>
    <w:rsid w:val="00404238"/>
    <w:rsid w:val="00413386"/>
    <w:rsid w:val="004152F1"/>
    <w:rsid w:val="0043510C"/>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424D6"/>
    <w:rsid w:val="00572D6D"/>
    <w:rsid w:val="00572EFA"/>
    <w:rsid w:val="005809F4"/>
    <w:rsid w:val="0058392B"/>
    <w:rsid w:val="00590AC4"/>
    <w:rsid w:val="00595112"/>
    <w:rsid w:val="00595C55"/>
    <w:rsid w:val="005A1BF2"/>
    <w:rsid w:val="005A1C27"/>
    <w:rsid w:val="005A3B9D"/>
    <w:rsid w:val="005C3F53"/>
    <w:rsid w:val="005C70FD"/>
    <w:rsid w:val="005D0BE2"/>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2CCB"/>
    <w:rsid w:val="006D458E"/>
    <w:rsid w:val="006E1A16"/>
    <w:rsid w:val="006E1B07"/>
    <w:rsid w:val="006F1684"/>
    <w:rsid w:val="006F1EF5"/>
    <w:rsid w:val="00700634"/>
    <w:rsid w:val="0070489D"/>
    <w:rsid w:val="007139BD"/>
    <w:rsid w:val="007200A1"/>
    <w:rsid w:val="007268F9"/>
    <w:rsid w:val="00750282"/>
    <w:rsid w:val="00750D5E"/>
    <w:rsid w:val="00756597"/>
    <w:rsid w:val="00756BF8"/>
    <w:rsid w:val="00764440"/>
    <w:rsid w:val="00765010"/>
    <w:rsid w:val="0076706D"/>
    <w:rsid w:val="0077101B"/>
    <w:rsid w:val="00785B39"/>
    <w:rsid w:val="00793B46"/>
    <w:rsid w:val="007A2821"/>
    <w:rsid w:val="007C52B0"/>
    <w:rsid w:val="007C6033"/>
    <w:rsid w:val="007C7B2F"/>
    <w:rsid w:val="007F3784"/>
    <w:rsid w:val="008147C8"/>
    <w:rsid w:val="00815063"/>
    <w:rsid w:val="0081753A"/>
    <w:rsid w:val="00817713"/>
    <w:rsid w:val="008265F1"/>
    <w:rsid w:val="00827299"/>
    <w:rsid w:val="00827F88"/>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411B4"/>
    <w:rsid w:val="00946F1D"/>
    <w:rsid w:val="009502AA"/>
    <w:rsid w:val="00965EDC"/>
    <w:rsid w:val="009767EB"/>
    <w:rsid w:val="00987F92"/>
    <w:rsid w:val="0099436D"/>
    <w:rsid w:val="009A0A7F"/>
    <w:rsid w:val="009A1E66"/>
    <w:rsid w:val="009A25A3"/>
    <w:rsid w:val="009A6A8B"/>
    <w:rsid w:val="009C02D0"/>
    <w:rsid w:val="009C0A57"/>
    <w:rsid w:val="009C2025"/>
    <w:rsid w:val="009C3369"/>
    <w:rsid w:val="009C4EFF"/>
    <w:rsid w:val="009D0139"/>
    <w:rsid w:val="009D717D"/>
    <w:rsid w:val="009F193D"/>
    <w:rsid w:val="009F5CDC"/>
    <w:rsid w:val="009F7E47"/>
    <w:rsid w:val="00A072D7"/>
    <w:rsid w:val="00A461A2"/>
    <w:rsid w:val="00A76D84"/>
    <w:rsid w:val="00A775CF"/>
    <w:rsid w:val="00A81FF2"/>
    <w:rsid w:val="00A90C31"/>
    <w:rsid w:val="00A945EB"/>
    <w:rsid w:val="00AA1B5B"/>
    <w:rsid w:val="00AA3FA0"/>
    <w:rsid w:val="00AA601F"/>
    <w:rsid w:val="00AA74D9"/>
    <w:rsid w:val="00AD141E"/>
    <w:rsid w:val="00AD1A9C"/>
    <w:rsid w:val="00AF1608"/>
    <w:rsid w:val="00AF5DE1"/>
    <w:rsid w:val="00B06045"/>
    <w:rsid w:val="00B206DD"/>
    <w:rsid w:val="00B31A1A"/>
    <w:rsid w:val="00B52EF4"/>
    <w:rsid w:val="00B55DFE"/>
    <w:rsid w:val="00B618F1"/>
    <w:rsid w:val="00B703C4"/>
    <w:rsid w:val="00B777AD"/>
    <w:rsid w:val="00B804A2"/>
    <w:rsid w:val="00B8395E"/>
    <w:rsid w:val="00BA2C79"/>
    <w:rsid w:val="00BA5DCA"/>
    <w:rsid w:val="00BE4C22"/>
    <w:rsid w:val="00BF3C66"/>
    <w:rsid w:val="00BF519D"/>
    <w:rsid w:val="00C019E3"/>
    <w:rsid w:val="00C03015"/>
    <w:rsid w:val="00C0358D"/>
    <w:rsid w:val="00C149B5"/>
    <w:rsid w:val="00C35A27"/>
    <w:rsid w:val="00C45ABA"/>
    <w:rsid w:val="00C47B2E"/>
    <w:rsid w:val="00C512AD"/>
    <w:rsid w:val="00C5287E"/>
    <w:rsid w:val="00C544C4"/>
    <w:rsid w:val="00C637FA"/>
    <w:rsid w:val="00C7275C"/>
    <w:rsid w:val="00C8167E"/>
    <w:rsid w:val="00C84422"/>
    <w:rsid w:val="00C93145"/>
    <w:rsid w:val="00C96282"/>
    <w:rsid w:val="00CA1A36"/>
    <w:rsid w:val="00CA5C32"/>
    <w:rsid w:val="00CC2928"/>
    <w:rsid w:val="00CC5C16"/>
    <w:rsid w:val="00CC7758"/>
    <w:rsid w:val="00CE013C"/>
    <w:rsid w:val="00CF5A5B"/>
    <w:rsid w:val="00CF638E"/>
    <w:rsid w:val="00CF7580"/>
    <w:rsid w:val="00D003C5"/>
    <w:rsid w:val="00D02176"/>
    <w:rsid w:val="00D02DC7"/>
    <w:rsid w:val="00D1625A"/>
    <w:rsid w:val="00D41E65"/>
    <w:rsid w:val="00D61B8F"/>
    <w:rsid w:val="00D63A17"/>
    <w:rsid w:val="00D63CD2"/>
    <w:rsid w:val="00D7059F"/>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2B39"/>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paragraph" w:styleId="Caption">
    <w:name w:val="caption"/>
    <w:basedOn w:val="Normal"/>
    <w:next w:val="Normal"/>
    <w:unhideWhenUsed/>
    <w:qFormat/>
    <w:rsid w:val="00756597"/>
    <w:pPr>
      <w:suppressAutoHyphens/>
      <w:spacing w:after="200" w:line="240" w:lineRule="auto"/>
    </w:pPr>
    <w:rPr>
      <w:rFonts w:eastAsia="Times New Roman"/>
      <w:i/>
      <w:iCs/>
      <w:color w:val="1F497D" w:themeColor="text2"/>
      <w:sz w:val="18"/>
      <w:szCs w:val="18"/>
      <w:lang w:eastAsia="en-US"/>
    </w:rPr>
  </w:style>
  <w:style w:type="paragraph" w:customStyle="1" w:styleId="Appendix">
    <w:name w:val="Appendix"/>
    <w:basedOn w:val="H1G"/>
    <w:qFormat/>
    <w:rsid w:val="00756597"/>
    <w:pPr>
      <w:numPr>
        <w:numId w:val="22"/>
      </w:numPr>
      <w:tabs>
        <w:tab w:val="clear" w:pos="851"/>
        <w:tab w:val="right" w:pos="1134"/>
      </w:tabs>
      <w:ind w:left="567" w:firstLine="1134"/>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ocuments/2024/04/working-documents/screening-procedures-estimating-self-accelerat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nece.org/transport/documents/2024/04/working-documents/screening-procedures-estimating-self-accelerating" TargetMode="External"/><Relationship Id="rId17" Type="http://schemas.openxmlformats.org/officeDocument/2006/relationships/hyperlink" Target="https://unece.org/transport/documents/2024/04/working-documents/screening-procedures-estimating-self-accelerating" TargetMode="External"/><Relationship Id="rId2" Type="http://schemas.openxmlformats.org/officeDocument/2006/relationships/customXml" Target="../customXml/item2.xml"/><Relationship Id="rId16" Type="http://schemas.openxmlformats.org/officeDocument/2006/relationships/hyperlink" Target="https://unece.org/transport/documents/2024/04/working-documents/screening-procedures-estimating-self-accelera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ocuments/2023/11/informal-documents/screening-procedures-estimating-sadt-50-kg-packag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4/04/working-documents/screening-procedures-estimating-self-acceleratin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15</TotalTime>
  <Pages>4</Pages>
  <Words>1744</Words>
  <Characters>9594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UN/SCETDG/64/INF.54</dc:title>
  <dc:subject/>
  <dc:creator>Alicia DORCA-GARCIA</dc:creator>
  <cp:keywords/>
  <cp:lastModifiedBy>Alicia Dorca Garcia</cp:lastModifiedBy>
  <cp:revision>18</cp:revision>
  <cp:lastPrinted>2024-06-21T15:57:00Z</cp:lastPrinted>
  <dcterms:created xsi:type="dcterms:W3CDTF">2024-06-21T15:18:00Z</dcterms:created>
  <dcterms:modified xsi:type="dcterms:W3CDTF">2024-06-21T15:57:00Z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