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3484541A"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A40E14">
              <w:rPr>
                <w:b/>
                <w:bCs/>
                <w:sz w:val="40"/>
                <w:szCs w:val="40"/>
              </w:rPr>
              <w:t>48</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275DDDD2"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A40E14">
        <w:rPr>
          <w:b/>
        </w:rPr>
        <w:t>2</w:t>
      </w:r>
      <w:r w:rsidR="0058016D">
        <w:rPr>
          <w:b/>
        </w:rPr>
        <w:t>4</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302DA606" w:rsidR="001F6C71" w:rsidRDefault="0039370E" w:rsidP="001F6C71">
      <w:r w:rsidRPr="006500BA">
        <w:t xml:space="preserve">Item </w:t>
      </w:r>
      <w:r w:rsidR="0083188C">
        <w:t>4 (f)</w:t>
      </w:r>
      <w:r w:rsidR="009300DB">
        <w:t xml:space="preserve"> </w:t>
      </w:r>
      <w:r w:rsidRPr="006500BA">
        <w:t>of the provisional agenda</w:t>
      </w:r>
    </w:p>
    <w:p w14:paraId="3B8B1D7D" w14:textId="47DA471D" w:rsidR="009300DB" w:rsidRDefault="00911564" w:rsidP="00102E5C">
      <w:pPr>
        <w:rPr>
          <w:b/>
          <w:bCs/>
        </w:rPr>
      </w:pPr>
      <w:r>
        <w:rPr>
          <w:b/>
          <w:bCs/>
        </w:rPr>
        <w:t>Electric storage systems:</w:t>
      </w:r>
      <w:r w:rsidR="00102E5C">
        <w:rPr>
          <w:b/>
          <w:bCs/>
        </w:rPr>
        <w:t xml:space="preserve"> </w:t>
      </w:r>
      <w:r>
        <w:rPr>
          <w:b/>
          <w:bCs/>
        </w:rPr>
        <w:t>miscell</w:t>
      </w:r>
      <w:r w:rsidR="00102E5C">
        <w:rPr>
          <w:b/>
          <w:bCs/>
        </w:rPr>
        <w:t>aneous</w:t>
      </w:r>
    </w:p>
    <w:p w14:paraId="71D6225F" w14:textId="4094337F" w:rsidR="00512365" w:rsidRPr="009B743C" w:rsidRDefault="00CC7758" w:rsidP="00512365">
      <w:pPr>
        <w:pStyle w:val="HChG"/>
      </w:pPr>
      <w:r>
        <w:tab/>
      </w:r>
      <w:r>
        <w:tab/>
      </w:r>
      <w:r w:rsidR="00512365" w:rsidRPr="009E0B65">
        <w:rPr>
          <w:lang w:val="en-US"/>
        </w:rPr>
        <w:t>New special provision for all-solid-state lithium ion cells and batteries (UN</w:t>
      </w:r>
      <w:r w:rsidR="00512365">
        <w:rPr>
          <w:lang w:val="en-US"/>
        </w:rPr>
        <w:t> </w:t>
      </w:r>
      <w:r w:rsidR="00512365" w:rsidRPr="009E0B65">
        <w:rPr>
          <w:lang w:val="en-US"/>
        </w:rPr>
        <w:t>3480 and UN</w:t>
      </w:r>
      <w:r w:rsidR="00512365">
        <w:rPr>
          <w:lang w:val="en-US"/>
        </w:rPr>
        <w:t> </w:t>
      </w:r>
      <w:r w:rsidR="00512365" w:rsidRPr="009E0B65">
        <w:rPr>
          <w:lang w:val="en-US"/>
        </w:rPr>
        <w:t>3481) that do not cause thermal runaway</w:t>
      </w:r>
      <w:r w:rsidR="009B2CE6">
        <w:rPr>
          <w:lang w:val="en-US"/>
        </w:rPr>
        <w:t xml:space="preserve"> -</w:t>
      </w:r>
      <w:r w:rsidR="00512365">
        <w:rPr>
          <w:lang w:val="en-US"/>
        </w:rPr>
        <w:t xml:space="preserve"> </w:t>
      </w:r>
      <w:r w:rsidR="009B2CE6">
        <w:t>A</w:t>
      </w:r>
      <w:r w:rsidR="00512365">
        <w:t xml:space="preserve">lternative proposal to document </w:t>
      </w:r>
      <w:r w:rsidR="00512365" w:rsidRPr="00191296">
        <w:t>ST/SG/AC.10/C.3/2024/</w:t>
      </w:r>
      <w:r w:rsidR="00512365">
        <w:t>42</w:t>
      </w:r>
    </w:p>
    <w:p w14:paraId="3EF19823" w14:textId="77777777" w:rsidR="00512365" w:rsidRDefault="00512365" w:rsidP="00512365">
      <w:pPr>
        <w:pStyle w:val="H1G"/>
      </w:pPr>
      <w:r>
        <w:tab/>
      </w:r>
      <w:r>
        <w:tab/>
        <w:t xml:space="preserve">Submitted by </w:t>
      </w:r>
      <w:r w:rsidRPr="00C13B73">
        <w:t>The Rechargeable Battery Association and Advanced Rechargeable and Lithium Batteries Association (RECHARGE)</w:t>
      </w:r>
    </w:p>
    <w:p w14:paraId="6AE8994D" w14:textId="11BEFF9D" w:rsidR="00512365" w:rsidRPr="00512365" w:rsidRDefault="00512365" w:rsidP="00512365">
      <w:pPr>
        <w:pStyle w:val="HChG"/>
      </w:pPr>
      <w:r>
        <w:tab/>
        <w:t>I.</w:t>
      </w:r>
      <w:r>
        <w:tab/>
        <w:t>Introduction</w:t>
      </w:r>
    </w:p>
    <w:p w14:paraId="556659D8" w14:textId="41834B5B" w:rsidR="00512365" w:rsidRDefault="00512365" w:rsidP="00512365">
      <w:pPr>
        <w:pStyle w:val="SingleTxtG"/>
        <w:rPr>
          <w:lang w:eastAsia="ja-JP"/>
        </w:rPr>
      </w:pPr>
      <w:r>
        <w:t>1.</w:t>
      </w:r>
      <w:r>
        <w:tab/>
        <w:t xml:space="preserve">As introduced in the in the </w:t>
      </w:r>
      <w:r>
        <w:rPr>
          <w:lang w:eastAsia="ja-JP"/>
        </w:rPr>
        <w:t xml:space="preserve">document </w:t>
      </w:r>
      <w:r w:rsidR="009B2CE6" w:rsidRPr="00191296">
        <w:t>ST/SG/AC.10/C.3/2024/</w:t>
      </w:r>
      <w:r w:rsidR="009B2CE6">
        <w:t xml:space="preserve">42 </w:t>
      </w:r>
      <w:r>
        <w:rPr>
          <w:lang w:eastAsia="ja-JP"/>
        </w:rPr>
        <w:t>presented in this session, RECHARGE considers necessary that a differentiation is made between lithium based batteries that can produce internal chemical reactions leading to thermal runaway and lithium based batteries where this risk is not existing because of the absence of the reactive substances in the battery design.</w:t>
      </w:r>
    </w:p>
    <w:p w14:paraId="52919938" w14:textId="05E3CBE2" w:rsidR="00512365" w:rsidRDefault="00512365" w:rsidP="00512365">
      <w:pPr>
        <w:pStyle w:val="SingleTxtG"/>
        <w:rPr>
          <w:lang w:eastAsia="ja-JP"/>
        </w:rPr>
      </w:pPr>
      <w:r>
        <w:rPr>
          <w:lang w:eastAsia="ja-JP"/>
        </w:rPr>
        <w:t>2.</w:t>
      </w:r>
      <w:r>
        <w:rPr>
          <w:lang w:eastAsia="ja-JP"/>
        </w:rPr>
        <w:tab/>
        <w:t xml:space="preserve">Due </w:t>
      </w:r>
      <w:r w:rsidRPr="00512365">
        <w:t>to</w:t>
      </w:r>
      <w:r>
        <w:rPr>
          <w:lang w:eastAsia="ja-JP"/>
        </w:rPr>
        <w:t xml:space="preserve"> the present UN classification system, all batteries chemistries that are using the</w:t>
      </w:r>
      <w:r w:rsidRPr="006D241B">
        <w:rPr>
          <w:lang w:eastAsia="ja-JP"/>
        </w:rPr>
        <w:t xml:space="preserve"> </w:t>
      </w:r>
      <w:r w:rsidRPr="001444EA">
        <w:rPr>
          <w:strike/>
          <w:lang w:eastAsia="ja-JP"/>
        </w:rPr>
        <w:t>ion</w:t>
      </w:r>
      <w:r>
        <w:rPr>
          <w:lang w:eastAsia="ja-JP"/>
        </w:rPr>
        <w:t xml:space="preserve"> lithium as the charge transfer agent are necessarily as affected to the UN numbers UN</w:t>
      </w:r>
      <w:r w:rsidR="008A170E">
        <w:rPr>
          <w:lang w:eastAsia="ja-JP"/>
        </w:rPr>
        <w:t> </w:t>
      </w:r>
      <w:r>
        <w:rPr>
          <w:lang w:eastAsia="ja-JP"/>
        </w:rPr>
        <w:t>3480 or UN</w:t>
      </w:r>
      <w:r w:rsidR="008A170E">
        <w:rPr>
          <w:lang w:eastAsia="ja-JP"/>
        </w:rPr>
        <w:t> </w:t>
      </w:r>
      <w:r>
        <w:rPr>
          <w:lang w:eastAsia="ja-JP"/>
        </w:rPr>
        <w:t>3090. Historically, all of the lithium battery chemistries presented a risk of thermal runaway, mainly due to the presence of the carbonate based liquid electrolyte.</w:t>
      </w:r>
    </w:p>
    <w:p w14:paraId="36AFECCF" w14:textId="548F83B8" w:rsidR="00512365" w:rsidRDefault="00512365" w:rsidP="00512365">
      <w:pPr>
        <w:pStyle w:val="SingleTxtG"/>
        <w:rPr>
          <w:lang w:eastAsia="ja-JP"/>
        </w:rPr>
      </w:pPr>
      <w:r>
        <w:rPr>
          <w:lang w:eastAsia="ja-JP"/>
        </w:rPr>
        <w:t>3.</w:t>
      </w:r>
      <w:r>
        <w:rPr>
          <w:lang w:eastAsia="ja-JP"/>
        </w:rPr>
        <w:tab/>
        <w:t xml:space="preserve">But as introduced in the document </w:t>
      </w:r>
      <w:r w:rsidR="003E4BB7" w:rsidRPr="00191296">
        <w:t>ST/SG/AC.10/C.3/2024/</w:t>
      </w:r>
      <w:r w:rsidR="003E4BB7">
        <w:t>42</w:t>
      </w:r>
      <w:r>
        <w:rPr>
          <w:lang w:eastAsia="ja-JP"/>
        </w:rPr>
        <w:t xml:space="preserve">, new chemistries are emerging and now </w:t>
      </w:r>
      <w:r w:rsidRPr="00512365">
        <w:t>commercialized</w:t>
      </w:r>
      <w:r>
        <w:rPr>
          <w:lang w:eastAsia="ja-JP"/>
        </w:rPr>
        <w:t xml:space="preserve">, called solid state batteries, that do not contain the liquid electrolyte and other substances liable to contribute to the thermal runaway reaction. Nevertheless, because they are still using the lithium ion as charge transfer agent, they are classified and transported under UN 3480 and 30890, whereas, when submitted to the mandatory safety tests of the </w:t>
      </w:r>
      <w:r w:rsidRPr="008A170E">
        <w:rPr>
          <w:i/>
          <w:iCs/>
          <w:lang w:eastAsia="ja-JP"/>
        </w:rPr>
        <w:t>Manual of Tests and Criteria</w:t>
      </w:r>
      <w:r>
        <w:rPr>
          <w:lang w:eastAsia="ja-JP"/>
        </w:rPr>
        <w:t xml:space="preserve"> paragraph 38.3, they do not react, as expected based on their chemical composition. Even when submitted to the specifically abusive test intended to initiate the thermal runaway reaction, described in the </w:t>
      </w:r>
      <w:r w:rsidRPr="00212C85">
        <w:rPr>
          <w:lang w:eastAsia="ja-JP"/>
        </w:rPr>
        <w:t xml:space="preserve">in </w:t>
      </w:r>
      <w:r>
        <w:rPr>
          <w:lang w:eastAsia="ja-JP"/>
        </w:rPr>
        <w:t xml:space="preserve">newly proposed </w:t>
      </w:r>
      <w:r w:rsidRPr="00212C85">
        <w:rPr>
          <w:lang w:eastAsia="ja-JP"/>
        </w:rPr>
        <w:t xml:space="preserve">paragraph [38.3.6.1.2] of the </w:t>
      </w:r>
      <w:r w:rsidRPr="008A170E">
        <w:rPr>
          <w:i/>
          <w:iCs/>
          <w:lang w:eastAsia="ja-JP"/>
        </w:rPr>
        <w:t>Manual of Tests and Criteria</w:t>
      </w:r>
      <w:r>
        <w:rPr>
          <w:lang w:eastAsia="ja-JP"/>
        </w:rPr>
        <w:t xml:space="preserve"> (see document </w:t>
      </w:r>
      <w:r w:rsidR="008A170E" w:rsidRPr="00191296">
        <w:t>ST/SG/AC.10/C.3/2024/</w:t>
      </w:r>
      <w:r>
        <w:rPr>
          <w:lang w:eastAsia="ja-JP"/>
        </w:rPr>
        <w:t>13 of this session),</w:t>
      </w:r>
      <w:r w:rsidRPr="00212C85">
        <w:rPr>
          <w:lang w:eastAsia="ja-JP"/>
        </w:rPr>
        <w:t xml:space="preserve"> </w:t>
      </w:r>
      <w:r>
        <w:rPr>
          <w:lang w:eastAsia="ja-JP"/>
        </w:rPr>
        <w:t xml:space="preserve">they do not produce this reaction until the temperature of 400°C, which represents a practical technical limit for this test. </w:t>
      </w:r>
    </w:p>
    <w:p w14:paraId="161C9785" w14:textId="59F0177D" w:rsidR="00512365" w:rsidRDefault="00512365" w:rsidP="00512365">
      <w:pPr>
        <w:pStyle w:val="SingleTxtG"/>
        <w:rPr>
          <w:lang w:eastAsia="ja-JP"/>
        </w:rPr>
      </w:pPr>
      <w:r>
        <w:rPr>
          <w:lang w:eastAsia="ja-JP"/>
        </w:rPr>
        <w:t>4.</w:t>
      </w:r>
      <w:r>
        <w:rPr>
          <w:lang w:eastAsia="ja-JP"/>
        </w:rPr>
        <w:tab/>
        <w:t xml:space="preserve">The severity of this thermal run-away propagation test has been tested multiple time on multiple chemistries during the work of the IWG for the classification of lithium batteries, and it is generally leading to a conclusive criteria, initiating a thermal runaway reaction. Nevertheless, the absence of reaction under the test, as presented in the document </w:t>
      </w:r>
      <w:r w:rsidR="008A170E" w:rsidRPr="00191296">
        <w:t>ST/SG/AC.10/C.3/2024/</w:t>
      </w:r>
      <w:r w:rsidR="008A170E">
        <w:t>42</w:t>
      </w:r>
      <w:r>
        <w:rPr>
          <w:lang w:eastAsia="ja-JP"/>
        </w:rPr>
        <w:t>, is creating an exception: as these new products do not react under the test, they cannot be classified.</w:t>
      </w:r>
      <w:r w:rsidR="000D0815">
        <w:rPr>
          <w:lang w:eastAsia="ja-JP"/>
        </w:rPr>
        <w:t xml:space="preserve"> </w:t>
      </w:r>
      <w:r w:rsidRPr="00BE4AFE">
        <w:rPr>
          <w:lang w:eastAsia="ja-JP"/>
        </w:rPr>
        <w:t>Manufacturer of lithium solid state batteries face the paradoxical situation to be required demonstrating a reaction from a non-reactive battery, because of the absence of reactive material</w:t>
      </w:r>
      <w:r w:rsidR="000D0815">
        <w:rPr>
          <w:lang w:eastAsia="ja-JP"/>
        </w:rPr>
        <w:t>.</w:t>
      </w:r>
    </w:p>
    <w:p w14:paraId="61ED8662" w14:textId="4D1A0D12" w:rsidR="00512365" w:rsidRDefault="00512365" w:rsidP="00512365">
      <w:pPr>
        <w:pStyle w:val="SingleTxtG"/>
        <w:rPr>
          <w:lang w:eastAsia="ja-JP"/>
        </w:rPr>
      </w:pPr>
      <w:r>
        <w:rPr>
          <w:lang w:eastAsia="ja-JP"/>
        </w:rPr>
        <w:t>5.</w:t>
      </w:r>
      <w:r>
        <w:rPr>
          <w:lang w:eastAsia="ja-JP"/>
        </w:rPr>
        <w:tab/>
        <w:t>RECHARGE propose</w:t>
      </w:r>
      <w:r w:rsidR="000D0815">
        <w:rPr>
          <w:lang w:eastAsia="ja-JP"/>
        </w:rPr>
        <w:t>s</w:t>
      </w:r>
      <w:r>
        <w:rPr>
          <w:lang w:eastAsia="ja-JP"/>
        </w:rPr>
        <w:t xml:space="preserve"> an alternative text to simplify the proposal and clarify that the </w:t>
      </w:r>
      <w:r w:rsidRPr="00512365">
        <w:t>purpose</w:t>
      </w:r>
      <w:r>
        <w:rPr>
          <w:lang w:eastAsia="ja-JP"/>
        </w:rPr>
        <w:t xml:space="preserve"> of the verification test as described in the document </w:t>
      </w:r>
      <w:r w:rsidR="000D0815" w:rsidRPr="00191296">
        <w:t>ST/SG/AC.10/C.3/2024/</w:t>
      </w:r>
      <w:r w:rsidR="000D0815">
        <w:t xml:space="preserve">42 </w:t>
      </w:r>
      <w:r>
        <w:rPr>
          <w:lang w:eastAsia="ja-JP"/>
        </w:rPr>
        <w:t xml:space="preserve">is simply the demonstration of the absence of risk of thermal runaway, by making a test that is proven generating the thermal runaway in lithium-based batteries presenting this risk. To solve this issue, it is proposed to consider the absence of reaction during the thermal runaway </w:t>
      </w:r>
      <w:r>
        <w:rPr>
          <w:lang w:eastAsia="ja-JP"/>
        </w:rPr>
        <w:lastRenderedPageBreak/>
        <w:t>propagation test, applied to the cell or battery at 100%</w:t>
      </w:r>
      <w:r w:rsidR="000D0815">
        <w:rPr>
          <w:lang w:eastAsia="ja-JP"/>
        </w:rPr>
        <w:t xml:space="preserve"> </w:t>
      </w:r>
      <w:r>
        <w:rPr>
          <w:lang w:eastAsia="ja-JP"/>
        </w:rPr>
        <w:t>SOC, as the technical requirement demonstrating the validity of the declaration of absence of reactive substances.</w:t>
      </w:r>
    </w:p>
    <w:p w14:paraId="704938DD" w14:textId="37B5DEFA" w:rsidR="00512365" w:rsidRDefault="00512365" w:rsidP="00512365">
      <w:pPr>
        <w:pStyle w:val="SingleTxtG"/>
        <w:rPr>
          <w:lang w:eastAsia="ja-JP"/>
        </w:rPr>
      </w:pPr>
      <w:r>
        <w:rPr>
          <w:lang w:eastAsia="ja-JP"/>
        </w:rPr>
        <w:t>6.</w:t>
      </w:r>
      <w:r>
        <w:rPr>
          <w:lang w:eastAsia="ja-JP"/>
        </w:rPr>
        <w:tab/>
        <w:t xml:space="preserve">Based on this approach, the following change is proposed, as an alternative to the proposal in </w:t>
      </w:r>
      <w:r w:rsidRPr="00512365">
        <w:t>the</w:t>
      </w:r>
      <w:r>
        <w:rPr>
          <w:lang w:eastAsia="ja-JP"/>
        </w:rPr>
        <w:t xml:space="preserve"> document </w:t>
      </w:r>
      <w:r w:rsidR="000D0815" w:rsidRPr="00191296">
        <w:t>ST/SG/AC.10/C.3/2024/</w:t>
      </w:r>
      <w:r w:rsidR="000D0815">
        <w:t>42</w:t>
      </w:r>
      <w:r>
        <w:rPr>
          <w:lang w:eastAsia="ja-JP"/>
        </w:rPr>
        <w:t>.</w:t>
      </w:r>
    </w:p>
    <w:p w14:paraId="44175944" w14:textId="33F79CDF" w:rsidR="00512365" w:rsidRDefault="00512365" w:rsidP="00512365">
      <w:pPr>
        <w:pStyle w:val="HChG"/>
      </w:pPr>
      <w:r>
        <w:tab/>
        <w:t>II.</w:t>
      </w:r>
      <w:r>
        <w:tab/>
        <w:t>Proposal</w:t>
      </w:r>
    </w:p>
    <w:p w14:paraId="77BB6C87" w14:textId="74EAFE98" w:rsidR="00512365" w:rsidRPr="004F5BE3" w:rsidRDefault="00512365" w:rsidP="00512365">
      <w:pPr>
        <w:pStyle w:val="SingleTxtG"/>
        <w:rPr>
          <w:lang w:val="en-US"/>
        </w:rPr>
      </w:pPr>
      <w:r>
        <w:t>7.</w:t>
      </w:r>
      <w:r>
        <w:tab/>
      </w:r>
      <w:r w:rsidRPr="004F5BE3">
        <w:rPr>
          <w:rFonts w:hint="eastAsia"/>
          <w:lang w:val="en-US"/>
        </w:rPr>
        <w:t xml:space="preserve">Based on the above, it is proposed to </w:t>
      </w:r>
      <w:r w:rsidRPr="004F5BE3">
        <w:rPr>
          <w:lang w:val="en-US"/>
        </w:rPr>
        <w:t xml:space="preserve">insert in 3.3 of the </w:t>
      </w:r>
      <w:r w:rsidRPr="004F5BE3">
        <w:rPr>
          <w:i/>
          <w:iCs/>
          <w:lang w:val="en-US"/>
        </w:rPr>
        <w:t>Model Regulations</w:t>
      </w:r>
      <w:r w:rsidRPr="004F5BE3">
        <w:rPr>
          <w:rFonts w:hint="eastAsia"/>
          <w:lang w:val="en-US"/>
        </w:rPr>
        <w:t xml:space="preserve"> </w:t>
      </w:r>
      <w:r w:rsidRPr="004F5BE3">
        <w:rPr>
          <w:lang w:val="en-US"/>
        </w:rPr>
        <w:t xml:space="preserve">a </w:t>
      </w:r>
      <w:r w:rsidRPr="004F5BE3">
        <w:rPr>
          <w:rFonts w:hint="eastAsia"/>
          <w:lang w:val="en-US"/>
        </w:rPr>
        <w:t>new special provision applicable to UN 34</w:t>
      </w:r>
      <w:r w:rsidRPr="004F5BE3">
        <w:rPr>
          <w:lang w:val="en-US"/>
        </w:rPr>
        <w:t>8</w:t>
      </w:r>
      <w:r w:rsidRPr="004F5BE3">
        <w:rPr>
          <w:rFonts w:hint="eastAsia"/>
          <w:lang w:val="en-US"/>
        </w:rPr>
        <w:t>0 and UN 3481</w:t>
      </w:r>
      <w:r w:rsidRPr="004F5BE3">
        <w:rPr>
          <w:lang w:val="en-US"/>
        </w:rPr>
        <w:t xml:space="preserve"> </w:t>
      </w:r>
      <w:r w:rsidRPr="004F5BE3">
        <w:rPr>
          <w:rFonts w:hint="eastAsia"/>
          <w:lang w:val="en-US"/>
        </w:rPr>
        <w:t xml:space="preserve">to </w:t>
      </w:r>
      <w:r w:rsidRPr="004F5BE3">
        <w:rPr>
          <w:lang w:val="en-US"/>
        </w:rPr>
        <w:t>exclude lithium ion cells and batteries that satisfy the following conditions from the application of the regulation</w:t>
      </w:r>
      <w:r w:rsidRPr="004F5BE3">
        <w:rPr>
          <w:rFonts w:hint="eastAsia"/>
          <w:lang w:val="en-US"/>
        </w:rPr>
        <w:t>s as follows (</w:t>
      </w:r>
      <w:r w:rsidR="000D0815">
        <w:rPr>
          <w:lang w:val="en-US"/>
        </w:rPr>
        <w:t>a</w:t>
      </w:r>
      <w:r w:rsidRPr="004F5BE3">
        <w:rPr>
          <w:rFonts w:hint="eastAsia"/>
          <w:lang w:val="en-US"/>
        </w:rPr>
        <w:t xml:space="preserve">dded texts to the draft special provision proposed in informal document INF.24 are </w:t>
      </w:r>
      <w:r w:rsidRPr="004F5BE3">
        <w:rPr>
          <w:rFonts w:hint="eastAsia"/>
          <w:u w:val="single"/>
          <w:lang w:val="en-US"/>
        </w:rPr>
        <w:t>underlined</w:t>
      </w:r>
      <w:r w:rsidRPr="004F5BE3">
        <w:rPr>
          <w:rFonts w:hint="eastAsia"/>
          <w:lang w:val="en-US"/>
        </w:rPr>
        <w:t>, deleted texts are in strikethrough)</w:t>
      </w:r>
      <w:r w:rsidRPr="004F5BE3">
        <w:rPr>
          <w:lang w:val="en-US"/>
        </w:rPr>
        <w:t xml:space="preserve">: </w:t>
      </w:r>
    </w:p>
    <w:p w14:paraId="6C3F6EDA" w14:textId="77777777" w:rsidR="00512365" w:rsidRPr="004F5BE3" w:rsidRDefault="00512365" w:rsidP="00512365">
      <w:pPr>
        <w:pStyle w:val="SingleTxtG"/>
        <w:rPr>
          <w:lang w:val="en-US"/>
        </w:rPr>
      </w:pPr>
      <w:r w:rsidRPr="004F5BE3">
        <w:rPr>
          <w:lang w:val="en-US"/>
        </w:rPr>
        <w:t xml:space="preserve">“XXX: </w:t>
      </w:r>
      <w:r w:rsidRPr="004F5BE3">
        <w:rPr>
          <w:rFonts w:hint="eastAsia"/>
          <w:lang w:val="en-US"/>
        </w:rPr>
        <w:t>C</w:t>
      </w:r>
      <w:r w:rsidRPr="004F5BE3">
        <w:rPr>
          <w:lang w:val="en-US"/>
        </w:rPr>
        <w:t xml:space="preserve">ells and batteries offered for transport are not subject to other provisions of these </w:t>
      </w:r>
      <w:r w:rsidRPr="004F5BE3">
        <w:rPr>
          <w:rFonts w:hint="eastAsia"/>
          <w:lang w:val="en-US"/>
        </w:rPr>
        <w:t>R</w:t>
      </w:r>
      <w:r w:rsidRPr="004F5BE3">
        <w:rPr>
          <w:lang w:val="en-US"/>
        </w:rPr>
        <w:t>egulations if they meet the following conditions</w:t>
      </w:r>
      <w:r w:rsidRPr="004F5BE3">
        <w:rPr>
          <w:rFonts w:hint="eastAsia"/>
          <w:lang w:val="en-US"/>
        </w:rPr>
        <w:t>:</w:t>
      </w:r>
    </w:p>
    <w:p w14:paraId="588C8C1E" w14:textId="77777777" w:rsidR="00512365" w:rsidRPr="004F5BE3" w:rsidRDefault="00512365" w:rsidP="00512365">
      <w:pPr>
        <w:pStyle w:val="SingleTxtG"/>
      </w:pPr>
      <w:r w:rsidRPr="004F5BE3">
        <w:tab/>
        <w:t>(a)</w:t>
      </w:r>
      <w:r w:rsidRPr="004F5BE3">
        <w:rPr>
          <w:rFonts w:hint="eastAsia"/>
        </w:rPr>
        <w:tab/>
        <w:t>c</w:t>
      </w:r>
      <w:r w:rsidRPr="004F5BE3">
        <w:t>ells and batteries meet the provisions of 2.9.4 (a)</w:t>
      </w:r>
      <w:r w:rsidRPr="004F5BE3">
        <w:rPr>
          <w:rFonts w:hint="eastAsia"/>
        </w:rPr>
        <w:t>,</w:t>
      </w:r>
      <w:r w:rsidRPr="004F5BE3">
        <w:t xml:space="preserve"> (e) and (g);</w:t>
      </w:r>
    </w:p>
    <w:p w14:paraId="6C96E65F" w14:textId="67B1128D" w:rsidR="00512365" w:rsidRDefault="00512365" w:rsidP="00512365">
      <w:pPr>
        <w:pStyle w:val="SingleTxtG"/>
      </w:pPr>
      <w:r w:rsidRPr="004F5BE3">
        <w:tab/>
      </w:r>
    </w:p>
    <w:p w14:paraId="7410C23F" w14:textId="70A0C154" w:rsidR="00512365" w:rsidRPr="000D1B18" w:rsidRDefault="00512365" w:rsidP="00512365">
      <w:pPr>
        <w:pStyle w:val="SingleTxtG"/>
        <w:rPr>
          <w:color w:val="FF0000"/>
        </w:rPr>
      </w:pPr>
      <w:r w:rsidRPr="000D1B18">
        <w:rPr>
          <w:color w:val="FF0000"/>
        </w:rPr>
        <w:tab/>
        <w:t>(b)</w:t>
      </w:r>
      <w:r w:rsidR="00631A19" w:rsidRPr="000D1B18">
        <w:rPr>
          <w:color w:val="FF0000"/>
        </w:rPr>
        <w:tab/>
      </w:r>
      <w:r w:rsidRPr="000D1B18">
        <w:rPr>
          <w:rFonts w:hint="eastAsia"/>
          <w:color w:val="FF0000"/>
        </w:rPr>
        <w:t>c</w:t>
      </w:r>
      <w:r w:rsidRPr="000D1B18">
        <w:rPr>
          <w:color w:val="FF0000"/>
        </w:rPr>
        <w:t xml:space="preserve">ells and batteries </w:t>
      </w:r>
      <w:r w:rsidRPr="000D1B18">
        <w:rPr>
          <w:color w:val="FF0000"/>
          <w:u w:val="single"/>
        </w:rPr>
        <w:t>do not contain substances liable to initiate a thermal runaway reaction when submitted to thermal, electrical or mechanical abuse, or internal short circuit</w:t>
      </w:r>
      <w:r w:rsidRPr="000D1B18">
        <w:rPr>
          <w:color w:val="FF0000"/>
        </w:rPr>
        <w:t xml:space="preserve">, so that these </w:t>
      </w:r>
      <w:r w:rsidRPr="000D1B18">
        <w:rPr>
          <w:rFonts w:hint="eastAsia"/>
          <w:color w:val="FF0000"/>
        </w:rPr>
        <w:t>c</w:t>
      </w:r>
      <w:r w:rsidRPr="000D1B18">
        <w:rPr>
          <w:color w:val="FF0000"/>
        </w:rPr>
        <w:t xml:space="preserve">ells </w:t>
      </w:r>
      <w:r w:rsidRPr="000D1B18">
        <w:rPr>
          <w:rFonts w:hint="eastAsia"/>
          <w:color w:val="FF0000"/>
        </w:rPr>
        <w:t>or</w:t>
      </w:r>
      <w:r w:rsidRPr="000D1B18">
        <w:rPr>
          <w:color w:val="FF0000"/>
        </w:rPr>
        <w:t xml:space="preserve"> batteries do not cause thermal runaway, rupture, fragmentation, or ignition in the propagation test </w:t>
      </w:r>
      <w:r w:rsidRPr="000D1B18">
        <w:rPr>
          <w:rFonts w:hint="eastAsia"/>
          <w:color w:val="FF0000"/>
        </w:rPr>
        <w:t>provided</w:t>
      </w:r>
      <w:r w:rsidRPr="000D1B18">
        <w:rPr>
          <w:color w:val="FF0000"/>
        </w:rPr>
        <w:t xml:space="preserve"> in </w:t>
      </w:r>
      <w:r w:rsidRPr="000D1B18">
        <w:rPr>
          <w:color w:val="FF0000"/>
          <w:u w:val="single"/>
        </w:rPr>
        <w:t>paragraph [38.3.6.1.2] of</w:t>
      </w:r>
      <w:r w:rsidRPr="000D1B18">
        <w:rPr>
          <w:rFonts w:hint="eastAsia"/>
          <w:color w:val="FF0000"/>
        </w:rPr>
        <w:t xml:space="preserve"> </w:t>
      </w:r>
      <w:r w:rsidRPr="000D1B18">
        <w:rPr>
          <w:color w:val="FF0000"/>
        </w:rPr>
        <w:t xml:space="preserve">the </w:t>
      </w:r>
      <w:r w:rsidRPr="000D1B18">
        <w:rPr>
          <w:i/>
          <w:color w:val="FF0000"/>
        </w:rPr>
        <w:t>Manual of Tests and Criteria, xx.x.x.x</w:t>
      </w:r>
      <w:r w:rsidRPr="000D1B18">
        <w:rPr>
          <w:color w:val="FF0000"/>
        </w:rPr>
        <w:t>;</w:t>
      </w:r>
      <w:r w:rsidRPr="000D1B18">
        <w:rPr>
          <w:rFonts w:hint="eastAsia"/>
          <w:color w:val="FF0000"/>
        </w:rPr>
        <w:t xml:space="preserve"> ]</w:t>
      </w:r>
      <w:r w:rsidRPr="000D1B18">
        <w:rPr>
          <w:color w:val="FF0000"/>
        </w:rPr>
        <w:t xml:space="preserve"> and</w:t>
      </w:r>
    </w:p>
    <w:p w14:paraId="39B2F1F6" w14:textId="4CA8CB27" w:rsidR="0007452E" w:rsidRDefault="00512365" w:rsidP="00512365">
      <w:pPr>
        <w:pStyle w:val="SingleTxtG"/>
      </w:pPr>
      <w:r w:rsidRPr="004F5BE3">
        <w:tab/>
      </w:r>
      <w:r w:rsidRPr="004F5BE3">
        <w:rPr>
          <w:rFonts w:hint="eastAsia"/>
        </w:rPr>
        <w:t>(</w:t>
      </w:r>
      <w:r w:rsidR="00856661" w:rsidRPr="000D1B18">
        <w:rPr>
          <w:color w:val="FF0000"/>
        </w:rPr>
        <w:t>c</w:t>
      </w:r>
      <w:r w:rsidRPr="004F5BE3">
        <w:t>)</w:t>
      </w:r>
      <w:r w:rsidRPr="004F5BE3">
        <w:tab/>
      </w:r>
      <w:r w:rsidRPr="004F5BE3">
        <w:rPr>
          <w:rFonts w:hint="eastAsia"/>
        </w:rPr>
        <w:t>c</w:t>
      </w:r>
      <w:r w:rsidRPr="004F5BE3">
        <w:t>ells and batteries</w:t>
      </w:r>
      <w:r w:rsidRPr="004F5BE3">
        <w:rPr>
          <w:rFonts w:hint="eastAsia"/>
        </w:rPr>
        <w:t xml:space="preserve"> are </w:t>
      </w:r>
      <w:r w:rsidRPr="004F5BE3">
        <w:t xml:space="preserve">protected </w:t>
      </w:r>
      <w:r w:rsidRPr="004F5BE3">
        <w:rPr>
          <w:rFonts w:hint="eastAsia"/>
        </w:rPr>
        <w:t xml:space="preserve">from </w:t>
      </w:r>
      <w:r w:rsidRPr="004F5BE3">
        <w:t>short circuits</w:t>
      </w:r>
      <w:r w:rsidRPr="004F5BE3">
        <w:rPr>
          <w:rFonts w:hint="eastAsia"/>
        </w:rPr>
        <w:t>. When c</w:t>
      </w:r>
      <w:r w:rsidRPr="004F5BE3">
        <w:t xml:space="preserve">ells and batteries </w:t>
      </w:r>
      <w:r w:rsidRPr="004F5BE3">
        <w:rPr>
          <w:u w:val="single"/>
        </w:rPr>
        <w:t>are</w:t>
      </w:r>
      <w:r w:rsidRPr="004F5BE3">
        <w:t xml:space="preserve"> installed in equipment</w:t>
      </w:r>
      <w:r w:rsidRPr="004F5BE3">
        <w:rPr>
          <w:rFonts w:hint="eastAsia"/>
        </w:rPr>
        <w:t>, th</w:t>
      </w:r>
      <w:r w:rsidRPr="004F5BE3">
        <w:t>e equipment</w:t>
      </w:r>
      <w:r w:rsidRPr="004F5BE3">
        <w:rPr>
          <w:rFonts w:hint="eastAsia"/>
        </w:rPr>
        <w:t xml:space="preserve"> is </w:t>
      </w:r>
      <w:r w:rsidRPr="004F5BE3">
        <w:t>provided with an effective means of preventing accidental activation. Th</w:t>
      </w:r>
      <w:r w:rsidRPr="004F5BE3">
        <w:rPr>
          <w:rFonts w:hint="eastAsia"/>
        </w:rPr>
        <w:t>ese</w:t>
      </w:r>
      <w:r w:rsidRPr="004F5BE3">
        <w:t xml:space="preserve"> requirement</w:t>
      </w:r>
      <w:r w:rsidRPr="004F5BE3">
        <w:rPr>
          <w:rFonts w:hint="eastAsia"/>
        </w:rPr>
        <w:t>s</w:t>
      </w:r>
      <w:r w:rsidRPr="004F5BE3">
        <w:t xml:space="preserve"> do not apply to devices which are intentionally active in transport and which are not capable of generating a dangerous evolution of heat.”</w:t>
      </w:r>
    </w:p>
    <w:p w14:paraId="6E6B73ED" w14:textId="2B4B441C" w:rsidR="00512365" w:rsidRPr="00512365" w:rsidRDefault="00512365" w:rsidP="00512365">
      <w:pPr>
        <w:spacing w:before="240"/>
        <w:jc w:val="center"/>
        <w:rPr>
          <w:u w:val="single"/>
        </w:rPr>
      </w:pPr>
      <w:r>
        <w:rPr>
          <w:u w:val="single"/>
        </w:rPr>
        <w:tab/>
      </w:r>
      <w:r>
        <w:rPr>
          <w:u w:val="single"/>
        </w:rPr>
        <w:tab/>
      </w:r>
      <w:r>
        <w:rPr>
          <w:u w:val="single"/>
        </w:rPr>
        <w:tab/>
      </w:r>
    </w:p>
    <w:sectPr w:rsidR="00512365" w:rsidRPr="00512365"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A6E5" w14:textId="77777777" w:rsidR="0047038C" w:rsidRPr="00C47B2E" w:rsidRDefault="0047038C" w:rsidP="00C47B2E">
      <w:pPr>
        <w:pStyle w:val="Footer"/>
      </w:pPr>
    </w:p>
  </w:endnote>
  <w:endnote w:type="continuationSeparator" w:id="0">
    <w:p w14:paraId="535D8CED" w14:textId="77777777" w:rsidR="0047038C" w:rsidRPr="00C47B2E" w:rsidRDefault="0047038C" w:rsidP="00C47B2E">
      <w:pPr>
        <w:pStyle w:val="Footer"/>
      </w:pPr>
    </w:p>
  </w:endnote>
  <w:endnote w:type="continuationNotice" w:id="1">
    <w:p w14:paraId="20BEB09D" w14:textId="77777777" w:rsidR="0047038C" w:rsidRPr="00C47B2E" w:rsidRDefault="0047038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689F" w14:textId="77777777" w:rsidR="0047038C" w:rsidRPr="00C47B2E" w:rsidRDefault="0047038C" w:rsidP="00C47B2E">
      <w:pPr>
        <w:tabs>
          <w:tab w:val="right" w:pos="2155"/>
        </w:tabs>
        <w:spacing w:after="80" w:line="240" w:lineRule="auto"/>
        <w:ind w:left="680"/>
      </w:pPr>
      <w:r>
        <w:rPr>
          <w:u w:val="single"/>
        </w:rPr>
        <w:tab/>
      </w:r>
    </w:p>
  </w:footnote>
  <w:footnote w:type="continuationSeparator" w:id="0">
    <w:p w14:paraId="1D6A69B9" w14:textId="77777777" w:rsidR="0047038C" w:rsidRPr="00C47B2E" w:rsidRDefault="0047038C" w:rsidP="005E716E">
      <w:pPr>
        <w:tabs>
          <w:tab w:val="right" w:pos="2155"/>
        </w:tabs>
        <w:spacing w:after="80" w:line="240" w:lineRule="auto"/>
        <w:ind w:left="680"/>
      </w:pPr>
      <w:r>
        <w:rPr>
          <w:u w:val="single"/>
        </w:rPr>
        <w:tab/>
      </w:r>
    </w:p>
  </w:footnote>
  <w:footnote w:type="continuationNotice" w:id="1">
    <w:p w14:paraId="7B3152BD" w14:textId="77777777" w:rsidR="0047038C" w:rsidRPr="00C47B2E" w:rsidRDefault="0047038C"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5DF7B543" w:rsidR="0039370E" w:rsidRPr="0087458D" w:rsidRDefault="0087458D">
    <w:pPr>
      <w:pStyle w:val="Header"/>
      <w:rPr>
        <w:lang w:val="fr-CH"/>
      </w:rPr>
    </w:pPr>
    <w:r>
      <w:rPr>
        <w:lang w:val="fr-CH"/>
      </w:rPr>
      <w:t>UN/SCETDG/64/INF.</w:t>
    </w:r>
    <w:r w:rsidR="00512365">
      <w:rPr>
        <w:lang w:val="fr-CH"/>
      </w:rPr>
      <w:t>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3C4E0B47" w:rsidR="00D94B05" w:rsidRPr="0039370E" w:rsidRDefault="00000000" w:rsidP="0039370E">
    <w:pPr>
      <w:pStyle w:val="Header"/>
      <w:jc w:val="right"/>
    </w:pPr>
    <w:fldSimple w:instr=" TITLE  \* MERGEFORMAT ">
      <w:r w:rsidR="00622CB0">
        <w:t>UN/SCETDG/64/INF.48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8"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4D5865"/>
    <w:multiLevelType w:val="hybridMultilevel"/>
    <w:tmpl w:val="9294A63E"/>
    <w:lvl w:ilvl="0" w:tplc="C8BA35D4">
      <w:start w:val="1"/>
      <w:numFmt w:val="decimal"/>
      <w:lvlText w:val="%1."/>
      <w:lvlJc w:val="left"/>
      <w:pPr>
        <w:ind w:left="1699" w:hanging="565"/>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9"/>
  </w:num>
  <w:num w:numId="2" w16cid:durableId="1073159890">
    <w:abstractNumId w:val="6"/>
  </w:num>
  <w:num w:numId="3" w16cid:durableId="551188904">
    <w:abstractNumId w:val="1"/>
  </w:num>
  <w:num w:numId="4" w16cid:durableId="44254624">
    <w:abstractNumId w:val="11"/>
  </w:num>
  <w:num w:numId="5" w16cid:durableId="1816027029">
    <w:abstractNumId w:val="12"/>
  </w:num>
  <w:num w:numId="6" w16cid:durableId="1836190579">
    <w:abstractNumId w:val="16"/>
  </w:num>
  <w:num w:numId="7" w16cid:durableId="634676252">
    <w:abstractNumId w:val="5"/>
  </w:num>
  <w:num w:numId="8" w16cid:durableId="1039166836">
    <w:abstractNumId w:val="2"/>
  </w:num>
  <w:num w:numId="9" w16cid:durableId="644969981">
    <w:abstractNumId w:val="14"/>
  </w:num>
  <w:num w:numId="10" w16cid:durableId="525103391">
    <w:abstractNumId w:val="2"/>
  </w:num>
  <w:num w:numId="11" w16cid:durableId="297342166">
    <w:abstractNumId w:val="14"/>
  </w:num>
  <w:num w:numId="12" w16cid:durableId="1280380300">
    <w:abstractNumId w:val="3"/>
  </w:num>
  <w:num w:numId="13" w16cid:durableId="1988699530">
    <w:abstractNumId w:val="3"/>
  </w:num>
  <w:num w:numId="14" w16cid:durableId="1917550057">
    <w:abstractNumId w:val="17"/>
  </w:num>
  <w:num w:numId="15" w16cid:durableId="907884386">
    <w:abstractNumId w:val="8"/>
  </w:num>
  <w:num w:numId="16" w16cid:durableId="835220403">
    <w:abstractNumId w:val="0"/>
  </w:num>
  <w:num w:numId="17" w16cid:durableId="1800806580">
    <w:abstractNumId w:val="7"/>
  </w:num>
  <w:num w:numId="18" w16cid:durableId="1605722952">
    <w:abstractNumId w:val="4"/>
  </w:num>
  <w:num w:numId="19" w16cid:durableId="476261480">
    <w:abstractNumId w:val="13"/>
  </w:num>
  <w:num w:numId="20" w16cid:durableId="123348580">
    <w:abstractNumId w:val="10"/>
  </w:num>
  <w:num w:numId="21" w16cid:durableId="17867291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63C90"/>
    <w:rsid w:val="00070000"/>
    <w:rsid w:val="0007452E"/>
    <w:rsid w:val="00074A36"/>
    <w:rsid w:val="00083106"/>
    <w:rsid w:val="00097AF4"/>
    <w:rsid w:val="000C25E4"/>
    <w:rsid w:val="000D0815"/>
    <w:rsid w:val="000D1B18"/>
    <w:rsid w:val="000F3078"/>
    <w:rsid w:val="00101B98"/>
    <w:rsid w:val="00102E5C"/>
    <w:rsid w:val="00104C0F"/>
    <w:rsid w:val="0010604D"/>
    <w:rsid w:val="0011084B"/>
    <w:rsid w:val="001514D1"/>
    <w:rsid w:val="00155C73"/>
    <w:rsid w:val="001854FD"/>
    <w:rsid w:val="001861DE"/>
    <w:rsid w:val="00186622"/>
    <w:rsid w:val="001A1F33"/>
    <w:rsid w:val="001A4B5F"/>
    <w:rsid w:val="001A7B96"/>
    <w:rsid w:val="001B09B1"/>
    <w:rsid w:val="001B225A"/>
    <w:rsid w:val="001D5E14"/>
    <w:rsid w:val="001E3B26"/>
    <w:rsid w:val="001E4757"/>
    <w:rsid w:val="001E4972"/>
    <w:rsid w:val="001E68FF"/>
    <w:rsid w:val="001F5B8E"/>
    <w:rsid w:val="001F6C71"/>
    <w:rsid w:val="0020341A"/>
    <w:rsid w:val="00204760"/>
    <w:rsid w:val="00205FB9"/>
    <w:rsid w:val="00223895"/>
    <w:rsid w:val="00224447"/>
    <w:rsid w:val="002328F5"/>
    <w:rsid w:val="00247E2C"/>
    <w:rsid w:val="00252091"/>
    <w:rsid w:val="00262CC4"/>
    <w:rsid w:val="002839AF"/>
    <w:rsid w:val="0028529B"/>
    <w:rsid w:val="002A32CB"/>
    <w:rsid w:val="002A3A97"/>
    <w:rsid w:val="002A728A"/>
    <w:rsid w:val="002B65FD"/>
    <w:rsid w:val="002C34EA"/>
    <w:rsid w:val="002C461B"/>
    <w:rsid w:val="002D5B2C"/>
    <w:rsid w:val="002D6C53"/>
    <w:rsid w:val="002E3CFB"/>
    <w:rsid w:val="002E76EA"/>
    <w:rsid w:val="002F4DF8"/>
    <w:rsid w:val="002F5595"/>
    <w:rsid w:val="003070C4"/>
    <w:rsid w:val="00307AA6"/>
    <w:rsid w:val="003140B8"/>
    <w:rsid w:val="0032702E"/>
    <w:rsid w:val="00327EE9"/>
    <w:rsid w:val="0033310E"/>
    <w:rsid w:val="00334F6A"/>
    <w:rsid w:val="00342AC8"/>
    <w:rsid w:val="00343302"/>
    <w:rsid w:val="003545B1"/>
    <w:rsid w:val="00361EB1"/>
    <w:rsid w:val="00365509"/>
    <w:rsid w:val="00374CDF"/>
    <w:rsid w:val="00387BAB"/>
    <w:rsid w:val="00391730"/>
    <w:rsid w:val="0039370E"/>
    <w:rsid w:val="003979DE"/>
    <w:rsid w:val="003B1248"/>
    <w:rsid w:val="003B4550"/>
    <w:rsid w:val="003D2A18"/>
    <w:rsid w:val="003D2EA4"/>
    <w:rsid w:val="003D6064"/>
    <w:rsid w:val="003E07D9"/>
    <w:rsid w:val="003E0E6B"/>
    <w:rsid w:val="003E384F"/>
    <w:rsid w:val="003E4BB7"/>
    <w:rsid w:val="00404238"/>
    <w:rsid w:val="00413386"/>
    <w:rsid w:val="004152F1"/>
    <w:rsid w:val="0043510C"/>
    <w:rsid w:val="0044240C"/>
    <w:rsid w:val="00446BBE"/>
    <w:rsid w:val="00461253"/>
    <w:rsid w:val="0047018B"/>
    <w:rsid w:val="0047038C"/>
    <w:rsid w:val="004858F5"/>
    <w:rsid w:val="00496248"/>
    <w:rsid w:val="004A2814"/>
    <w:rsid w:val="004A366B"/>
    <w:rsid w:val="004A4B01"/>
    <w:rsid w:val="004B10E7"/>
    <w:rsid w:val="004B3B13"/>
    <w:rsid w:val="004C0622"/>
    <w:rsid w:val="004C0760"/>
    <w:rsid w:val="004C5613"/>
    <w:rsid w:val="004E1C05"/>
    <w:rsid w:val="004F3A78"/>
    <w:rsid w:val="004F73D0"/>
    <w:rsid w:val="0050402A"/>
    <w:rsid w:val="005042C2"/>
    <w:rsid w:val="00506072"/>
    <w:rsid w:val="005110F3"/>
    <w:rsid w:val="00512365"/>
    <w:rsid w:val="005153E4"/>
    <w:rsid w:val="00516173"/>
    <w:rsid w:val="00524BE4"/>
    <w:rsid w:val="00530261"/>
    <w:rsid w:val="00572D6D"/>
    <w:rsid w:val="00572EFA"/>
    <w:rsid w:val="0058016D"/>
    <w:rsid w:val="005809F4"/>
    <w:rsid w:val="0058392B"/>
    <w:rsid w:val="00595112"/>
    <w:rsid w:val="00595C55"/>
    <w:rsid w:val="005A1BF2"/>
    <w:rsid w:val="005A1C27"/>
    <w:rsid w:val="005A3B9D"/>
    <w:rsid w:val="005C3F53"/>
    <w:rsid w:val="005C70FD"/>
    <w:rsid w:val="005E716E"/>
    <w:rsid w:val="005F3CE0"/>
    <w:rsid w:val="0060395F"/>
    <w:rsid w:val="00620BE9"/>
    <w:rsid w:val="00622CB0"/>
    <w:rsid w:val="00631A19"/>
    <w:rsid w:val="006431BA"/>
    <w:rsid w:val="006476E1"/>
    <w:rsid w:val="006604DF"/>
    <w:rsid w:val="00671529"/>
    <w:rsid w:val="006940B0"/>
    <w:rsid w:val="006A6910"/>
    <w:rsid w:val="006B3F6B"/>
    <w:rsid w:val="006B5A8C"/>
    <w:rsid w:val="006B69A4"/>
    <w:rsid w:val="006B7121"/>
    <w:rsid w:val="006B75AD"/>
    <w:rsid w:val="006D241B"/>
    <w:rsid w:val="006D458E"/>
    <w:rsid w:val="006E1A16"/>
    <w:rsid w:val="006E1B07"/>
    <w:rsid w:val="006F1684"/>
    <w:rsid w:val="006F1EF5"/>
    <w:rsid w:val="00700634"/>
    <w:rsid w:val="0070489D"/>
    <w:rsid w:val="007139BD"/>
    <w:rsid w:val="007200A1"/>
    <w:rsid w:val="007268F9"/>
    <w:rsid w:val="00750282"/>
    <w:rsid w:val="00750D5E"/>
    <w:rsid w:val="00756BF8"/>
    <w:rsid w:val="00764440"/>
    <w:rsid w:val="00765010"/>
    <w:rsid w:val="0076706D"/>
    <w:rsid w:val="0077101B"/>
    <w:rsid w:val="00785B39"/>
    <w:rsid w:val="00793B46"/>
    <w:rsid w:val="007C52B0"/>
    <w:rsid w:val="007C6033"/>
    <w:rsid w:val="007C7B2F"/>
    <w:rsid w:val="007F3784"/>
    <w:rsid w:val="008147C8"/>
    <w:rsid w:val="00815063"/>
    <w:rsid w:val="0081753A"/>
    <w:rsid w:val="00817713"/>
    <w:rsid w:val="008265F1"/>
    <w:rsid w:val="00827299"/>
    <w:rsid w:val="0083188C"/>
    <w:rsid w:val="0085123A"/>
    <w:rsid w:val="00856661"/>
    <w:rsid w:val="00857D23"/>
    <w:rsid w:val="00871A81"/>
    <w:rsid w:val="00873E8B"/>
    <w:rsid w:val="0087458D"/>
    <w:rsid w:val="00876F04"/>
    <w:rsid w:val="00883E68"/>
    <w:rsid w:val="008923C4"/>
    <w:rsid w:val="008A170E"/>
    <w:rsid w:val="008B6E83"/>
    <w:rsid w:val="008C131C"/>
    <w:rsid w:val="008D2289"/>
    <w:rsid w:val="008D51A7"/>
    <w:rsid w:val="008E51C3"/>
    <w:rsid w:val="008F4AE9"/>
    <w:rsid w:val="00911181"/>
    <w:rsid w:val="00911564"/>
    <w:rsid w:val="009300DB"/>
    <w:rsid w:val="009411B4"/>
    <w:rsid w:val="00946F1D"/>
    <w:rsid w:val="009502AA"/>
    <w:rsid w:val="00965EDC"/>
    <w:rsid w:val="009767EB"/>
    <w:rsid w:val="00987F92"/>
    <w:rsid w:val="0099436D"/>
    <w:rsid w:val="009A0A7F"/>
    <w:rsid w:val="009A1E66"/>
    <w:rsid w:val="009A25A3"/>
    <w:rsid w:val="009A6A8B"/>
    <w:rsid w:val="009B2CE6"/>
    <w:rsid w:val="009C02D0"/>
    <w:rsid w:val="009C0A57"/>
    <w:rsid w:val="009C2025"/>
    <w:rsid w:val="009C3369"/>
    <w:rsid w:val="009C4EFF"/>
    <w:rsid w:val="009D0139"/>
    <w:rsid w:val="009D717D"/>
    <w:rsid w:val="009F193D"/>
    <w:rsid w:val="009F5CDC"/>
    <w:rsid w:val="009F7E47"/>
    <w:rsid w:val="00A072D7"/>
    <w:rsid w:val="00A40E14"/>
    <w:rsid w:val="00A461A2"/>
    <w:rsid w:val="00A76D84"/>
    <w:rsid w:val="00A775CF"/>
    <w:rsid w:val="00A81FF2"/>
    <w:rsid w:val="00A90C31"/>
    <w:rsid w:val="00A945EB"/>
    <w:rsid w:val="00AA3FA0"/>
    <w:rsid w:val="00AA601F"/>
    <w:rsid w:val="00AA74D9"/>
    <w:rsid w:val="00AD141E"/>
    <w:rsid w:val="00AD1A9C"/>
    <w:rsid w:val="00AF1608"/>
    <w:rsid w:val="00AF5DE1"/>
    <w:rsid w:val="00B06045"/>
    <w:rsid w:val="00B206DD"/>
    <w:rsid w:val="00B31A1A"/>
    <w:rsid w:val="00B52EF4"/>
    <w:rsid w:val="00B55DFE"/>
    <w:rsid w:val="00B618F1"/>
    <w:rsid w:val="00B703C4"/>
    <w:rsid w:val="00B777AD"/>
    <w:rsid w:val="00B804A2"/>
    <w:rsid w:val="00B8395E"/>
    <w:rsid w:val="00BA2C79"/>
    <w:rsid w:val="00BE4C22"/>
    <w:rsid w:val="00BF3C66"/>
    <w:rsid w:val="00BF519D"/>
    <w:rsid w:val="00C019E3"/>
    <w:rsid w:val="00C03015"/>
    <w:rsid w:val="00C0358D"/>
    <w:rsid w:val="00C149B5"/>
    <w:rsid w:val="00C35A27"/>
    <w:rsid w:val="00C45ABA"/>
    <w:rsid w:val="00C47B2E"/>
    <w:rsid w:val="00C512AD"/>
    <w:rsid w:val="00C5287E"/>
    <w:rsid w:val="00C544C4"/>
    <w:rsid w:val="00C637FA"/>
    <w:rsid w:val="00C7275C"/>
    <w:rsid w:val="00C8167E"/>
    <w:rsid w:val="00C84422"/>
    <w:rsid w:val="00C96282"/>
    <w:rsid w:val="00CA1A36"/>
    <w:rsid w:val="00CC2928"/>
    <w:rsid w:val="00CC5C16"/>
    <w:rsid w:val="00CC7758"/>
    <w:rsid w:val="00CF5A5B"/>
    <w:rsid w:val="00CF638E"/>
    <w:rsid w:val="00CF7580"/>
    <w:rsid w:val="00D02176"/>
    <w:rsid w:val="00D02DC7"/>
    <w:rsid w:val="00D1625A"/>
    <w:rsid w:val="00D41E65"/>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E5139"/>
    <w:rsid w:val="00DE60E7"/>
    <w:rsid w:val="00E02C2B"/>
    <w:rsid w:val="00E050E4"/>
    <w:rsid w:val="00E14B48"/>
    <w:rsid w:val="00E21C27"/>
    <w:rsid w:val="00E24C4C"/>
    <w:rsid w:val="00E26BCF"/>
    <w:rsid w:val="00E26C01"/>
    <w:rsid w:val="00E51935"/>
    <w:rsid w:val="00E52109"/>
    <w:rsid w:val="00E55302"/>
    <w:rsid w:val="00E56FDD"/>
    <w:rsid w:val="00E74576"/>
    <w:rsid w:val="00E75317"/>
    <w:rsid w:val="00E77462"/>
    <w:rsid w:val="00E816EC"/>
    <w:rsid w:val="00E86D77"/>
    <w:rsid w:val="00E93072"/>
    <w:rsid w:val="00EB7201"/>
    <w:rsid w:val="00EC0CE6"/>
    <w:rsid w:val="00EC7C1D"/>
    <w:rsid w:val="00ED6C48"/>
    <w:rsid w:val="00ED744F"/>
    <w:rsid w:val="00EE3045"/>
    <w:rsid w:val="00EE5FFB"/>
    <w:rsid w:val="00EE699E"/>
    <w:rsid w:val="00EF1ECC"/>
    <w:rsid w:val="00F13BB0"/>
    <w:rsid w:val="00F15871"/>
    <w:rsid w:val="00F21781"/>
    <w:rsid w:val="00F23D06"/>
    <w:rsid w:val="00F26186"/>
    <w:rsid w:val="00F26C33"/>
    <w:rsid w:val="00F375B1"/>
    <w:rsid w:val="00F606E8"/>
    <w:rsid w:val="00F65F5D"/>
    <w:rsid w:val="00F66365"/>
    <w:rsid w:val="00F72A51"/>
    <w:rsid w:val="00F86A3A"/>
    <w:rsid w:val="00F90EE7"/>
    <w:rsid w:val="00FA2B35"/>
    <w:rsid w:val="00FA42DA"/>
    <w:rsid w:val="00FC7365"/>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1F92481C-5B8A-42EB-9A80-06AAD33D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16</TotalTime>
  <Pages>2</Pages>
  <Words>807</Words>
  <Characters>4440</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UN/SCETDG/64/INF.48</dc:title>
  <dc:subject/>
  <dc:creator>Alicia DORCA-GARCIA</dc:creator>
  <cp:keywords/>
  <cp:lastModifiedBy>Alicia Dorca Garcia</cp:lastModifiedBy>
  <cp:revision>15</cp:revision>
  <cp:lastPrinted>2024-06-23T14:12:00Z</cp:lastPrinted>
  <dcterms:created xsi:type="dcterms:W3CDTF">2024-06-21T15:54:00Z</dcterms:created>
  <dcterms:modified xsi:type="dcterms:W3CDTF">2024-06-23T14:12:00Z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