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6144"/>
      </w:tblGrid>
      <w:tr w:rsidR="00E52109" w14:paraId="5498F217" w14:textId="77777777" w:rsidTr="006476E1">
        <w:trPr>
          <w:trHeight w:val="851"/>
        </w:trPr>
        <w:tc>
          <w:tcPr>
            <w:tcW w:w="1259" w:type="dxa"/>
            <w:tcBorders>
              <w:top w:val="nil"/>
              <w:left w:val="nil"/>
              <w:bottom w:val="single" w:sz="4" w:space="0" w:color="auto"/>
              <w:right w:val="nil"/>
            </w:tcBorders>
          </w:tcPr>
          <w:p w14:paraId="65E8979C" w14:textId="77777777" w:rsidR="00E52109" w:rsidRPr="002A32CB" w:rsidRDefault="00E52109" w:rsidP="004858F5"/>
        </w:tc>
        <w:tc>
          <w:tcPr>
            <w:tcW w:w="2236" w:type="dxa"/>
            <w:tcBorders>
              <w:top w:val="nil"/>
              <w:left w:val="nil"/>
              <w:bottom w:val="single" w:sz="4" w:space="0" w:color="auto"/>
              <w:right w:val="nil"/>
            </w:tcBorders>
            <w:vAlign w:val="bottom"/>
          </w:tcPr>
          <w:p w14:paraId="270D3788" w14:textId="13FC4D83" w:rsidR="00E52109" w:rsidRDefault="00E52109" w:rsidP="006476E1">
            <w:pPr>
              <w:spacing w:after="80" w:line="300" w:lineRule="exact"/>
              <w:rPr>
                <w:sz w:val="28"/>
                <w:szCs w:val="28"/>
              </w:rPr>
            </w:pPr>
          </w:p>
        </w:tc>
        <w:tc>
          <w:tcPr>
            <w:tcW w:w="6144" w:type="dxa"/>
            <w:tcBorders>
              <w:top w:val="nil"/>
              <w:left w:val="nil"/>
              <w:bottom w:val="single" w:sz="4" w:space="0" w:color="auto"/>
              <w:right w:val="nil"/>
            </w:tcBorders>
            <w:vAlign w:val="bottom"/>
          </w:tcPr>
          <w:p w14:paraId="4118198C" w14:textId="7C53FBCE" w:rsidR="00E52109" w:rsidRDefault="0039370E" w:rsidP="0039370E">
            <w:pPr>
              <w:jc w:val="right"/>
            </w:pPr>
            <w:r w:rsidRPr="00224447">
              <w:rPr>
                <w:b/>
                <w:bCs/>
                <w:sz w:val="40"/>
              </w:rPr>
              <w:t>UN</w:t>
            </w:r>
            <w:r w:rsidRPr="00224447">
              <w:rPr>
                <w:b/>
                <w:bCs/>
                <w:sz w:val="40"/>
                <w:szCs w:val="40"/>
              </w:rPr>
              <w:t>/SCETDG/</w:t>
            </w:r>
            <w:r w:rsidR="005A3B9D">
              <w:rPr>
                <w:b/>
                <w:bCs/>
                <w:sz w:val="40"/>
                <w:szCs w:val="40"/>
              </w:rPr>
              <w:t>64</w:t>
            </w:r>
            <w:r w:rsidRPr="00224447">
              <w:rPr>
                <w:b/>
                <w:bCs/>
                <w:sz w:val="40"/>
                <w:szCs w:val="40"/>
              </w:rPr>
              <w:t>/INF.</w:t>
            </w:r>
            <w:r w:rsidR="00E37003">
              <w:rPr>
                <w:b/>
                <w:bCs/>
                <w:sz w:val="40"/>
                <w:szCs w:val="40"/>
              </w:rPr>
              <w:t>44</w:t>
            </w:r>
          </w:p>
        </w:tc>
      </w:tr>
    </w:tbl>
    <w:p w14:paraId="1D7B5338" w14:textId="77777777" w:rsidR="0039370E" w:rsidRPr="006500BA" w:rsidRDefault="0039370E"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F343A07" w14:textId="1E02C05E" w:rsidR="0039370E" w:rsidRPr="006500BA" w:rsidRDefault="0039370E" w:rsidP="004858F5">
      <w:pPr>
        <w:spacing w:before="120"/>
        <w:rPr>
          <w:rFonts w:ascii="Helv" w:hAnsi="Helv" w:cs="Helv"/>
          <w:b/>
          <w:color w:val="000000"/>
        </w:rPr>
      </w:pPr>
      <w:r w:rsidRPr="006500BA">
        <w:rPr>
          <w:b/>
        </w:rPr>
        <w:t xml:space="preserve">Sub-Committee of Experts on the </w:t>
      </w:r>
      <w:r>
        <w:rPr>
          <w:b/>
        </w:rPr>
        <w:t>Transport of Dangerous Goods</w:t>
      </w:r>
      <w:r w:rsidR="0033310E">
        <w:rPr>
          <w:b/>
        </w:rPr>
        <w:tab/>
      </w:r>
      <w:r w:rsidR="0033310E">
        <w:rPr>
          <w:b/>
        </w:rPr>
        <w:tab/>
      </w:r>
      <w:r w:rsidR="0033310E">
        <w:rPr>
          <w:b/>
        </w:rPr>
        <w:tab/>
      </w:r>
      <w:r w:rsidR="0033310E">
        <w:rPr>
          <w:b/>
        </w:rPr>
        <w:tab/>
      </w:r>
      <w:r w:rsidR="00E37003">
        <w:rPr>
          <w:b/>
        </w:rPr>
        <w:t>20</w:t>
      </w:r>
      <w:r w:rsidR="00E56FDD">
        <w:rPr>
          <w:b/>
        </w:rPr>
        <w:t xml:space="preserve"> June</w:t>
      </w:r>
      <w:r w:rsidR="0033310E" w:rsidRPr="00F90EE7">
        <w:rPr>
          <w:b/>
        </w:rPr>
        <w:t xml:space="preserve"> 2024</w:t>
      </w:r>
    </w:p>
    <w:p w14:paraId="31A2D83D" w14:textId="1329787F" w:rsidR="0039370E" w:rsidRPr="006500BA" w:rsidRDefault="002E76EA" w:rsidP="004858F5">
      <w:pPr>
        <w:spacing w:before="120"/>
        <w:rPr>
          <w:b/>
        </w:rPr>
      </w:pPr>
      <w:r>
        <w:rPr>
          <w:b/>
        </w:rPr>
        <w:t>Sixty-fourth</w:t>
      </w:r>
      <w:r w:rsidR="0039370E">
        <w:rPr>
          <w:b/>
        </w:rPr>
        <w:t xml:space="preserve"> </w:t>
      </w:r>
      <w:r w:rsidR="0039370E" w:rsidRPr="006500BA">
        <w:rPr>
          <w:b/>
        </w:rPr>
        <w:t>session</w:t>
      </w:r>
    </w:p>
    <w:p w14:paraId="4F4E70C1" w14:textId="57D5494B" w:rsidR="0039370E" w:rsidRPr="006500BA" w:rsidRDefault="0039370E" w:rsidP="004858F5">
      <w:r w:rsidRPr="006500BA">
        <w:t xml:space="preserve">Geneva, </w:t>
      </w:r>
      <w:r w:rsidR="00F13BB0">
        <w:t>24 June-3 July</w:t>
      </w:r>
      <w:r w:rsidR="002E76EA">
        <w:t xml:space="preserve"> 2024</w:t>
      </w:r>
      <w:r>
        <w:t xml:space="preserve"> </w:t>
      </w:r>
    </w:p>
    <w:p w14:paraId="04B2E2B3" w14:textId="11DB2F6A" w:rsidR="001F6C71" w:rsidRDefault="0039370E" w:rsidP="001F6C71">
      <w:r w:rsidRPr="006500BA">
        <w:t xml:space="preserve">Item </w:t>
      </w:r>
      <w:r w:rsidR="00834091">
        <w:t>6 (b)</w:t>
      </w:r>
      <w:r w:rsidR="009300DB">
        <w:t xml:space="preserve"> </w:t>
      </w:r>
      <w:r w:rsidRPr="006500BA">
        <w:t>of the provisional agenda</w:t>
      </w:r>
    </w:p>
    <w:p w14:paraId="1B32B513" w14:textId="71B64B85" w:rsidR="00834091" w:rsidRPr="00AA39C7" w:rsidRDefault="00AA39C7" w:rsidP="001F6C71">
      <w:pPr>
        <w:rPr>
          <w:b/>
          <w:bCs/>
        </w:rPr>
      </w:pPr>
      <w:r>
        <w:rPr>
          <w:b/>
          <w:bCs/>
        </w:rPr>
        <w:t xml:space="preserve">Miscellaneous </w:t>
      </w:r>
      <w:r w:rsidR="00CC2EE3">
        <w:rPr>
          <w:b/>
          <w:bCs/>
        </w:rPr>
        <w:t>proposals for amendments to the Model Regulations</w:t>
      </w:r>
      <w:r w:rsidR="00BF5837">
        <w:rPr>
          <w:b/>
          <w:bCs/>
        </w:rPr>
        <w:br/>
      </w:r>
      <w:r w:rsidR="00CC2EE3">
        <w:rPr>
          <w:b/>
          <w:bCs/>
        </w:rPr>
        <w:t>on the Transport of Dangerous Goods:</w:t>
      </w:r>
      <w:r w:rsidR="00CC2EE3">
        <w:rPr>
          <w:b/>
          <w:bCs/>
        </w:rPr>
        <w:br/>
      </w:r>
      <w:r w:rsidR="00BF5837">
        <w:rPr>
          <w:b/>
          <w:bCs/>
        </w:rPr>
        <w:t xml:space="preserve">Packagings, including the use of </w:t>
      </w:r>
      <w:r w:rsidR="00780F23">
        <w:rPr>
          <w:b/>
          <w:bCs/>
        </w:rPr>
        <w:t>recycled plastics material</w:t>
      </w:r>
    </w:p>
    <w:p w14:paraId="1FA5215C" w14:textId="77777777" w:rsidR="0025267E" w:rsidRDefault="00CC7758" w:rsidP="0025267E">
      <w:pPr>
        <w:pStyle w:val="HChG"/>
        <w:rPr>
          <w:rFonts w:eastAsia="MS Mincho"/>
          <w:lang w:val="en-US" w:eastAsia="ja-JP"/>
        </w:rPr>
      </w:pPr>
      <w:r>
        <w:tab/>
      </w:r>
      <w:r>
        <w:tab/>
      </w:r>
      <w:r w:rsidR="0025267E">
        <w:rPr>
          <w:rFonts w:eastAsia="MS Mincho"/>
        </w:rPr>
        <w:t xml:space="preserve">Request for clarification on the periodic </w:t>
      </w:r>
      <w:r w:rsidR="0025267E">
        <w:rPr>
          <w:rFonts w:eastAsia="MS Mincho"/>
          <w:lang w:val="en-US" w:eastAsia="ja-JP"/>
        </w:rPr>
        <w:t>leakproofness re-testing on IBCs after two and a half years</w:t>
      </w:r>
    </w:p>
    <w:p w14:paraId="1CFD7C00" w14:textId="77777777" w:rsidR="0025267E" w:rsidRDefault="0025267E" w:rsidP="0025267E">
      <w:pPr>
        <w:pStyle w:val="H1G"/>
      </w:pPr>
      <w:r>
        <w:tab/>
      </w:r>
      <w:r>
        <w:tab/>
      </w:r>
      <w:r w:rsidRPr="003C0B4C">
        <w:t>Transmitted by the expert from Germany</w:t>
      </w:r>
    </w:p>
    <w:p w14:paraId="438ABA9B" w14:textId="77777777" w:rsidR="0025267E" w:rsidRDefault="0025267E" w:rsidP="0025267E">
      <w:pPr>
        <w:pStyle w:val="HChG"/>
      </w:pPr>
      <w:r>
        <w:tab/>
        <w:t>I.</w:t>
      </w:r>
      <w:r>
        <w:tab/>
      </w:r>
      <w:r w:rsidRPr="00AB2474">
        <w:t>Introduction</w:t>
      </w:r>
    </w:p>
    <w:p w14:paraId="3C25A566" w14:textId="639E63F2" w:rsidR="0025267E" w:rsidRDefault="0025267E" w:rsidP="0025267E">
      <w:pPr>
        <w:pStyle w:val="SingleTxtG"/>
      </w:pPr>
      <w:r>
        <w:t>1.</w:t>
      </w:r>
      <w:r>
        <w:tab/>
        <w:t>Based on several discussions within</w:t>
      </w:r>
      <w:r w:rsidRPr="003C0B4C">
        <w:t xml:space="preserve"> th</w:t>
      </w:r>
      <w:r w:rsidR="0022311A">
        <w:t>e</w:t>
      </w:r>
      <w:r w:rsidRPr="003C0B4C">
        <w:t xml:space="preserve"> Sub-Committee </w:t>
      </w:r>
      <w:r>
        <w:t xml:space="preserve">in 2013 and 2014 on the initial and periodic leakproofness testing of IBCs the following consensus was reached during the </w:t>
      </w:r>
      <w:r w:rsidRPr="00732B52">
        <w:t>forty-sixth session</w:t>
      </w:r>
      <w:r>
        <w:t xml:space="preserve"> (see </w:t>
      </w:r>
      <w:r w:rsidR="00C15508">
        <w:t xml:space="preserve">document </w:t>
      </w:r>
      <w:hyperlink r:id="rId11" w:history="1">
        <w:r w:rsidRPr="00732B52">
          <w:rPr>
            <w:rStyle w:val="Hyperlink"/>
          </w:rPr>
          <w:t>ST/SG/AC.10/C.3/92</w:t>
        </w:r>
      </w:hyperlink>
      <w:r>
        <w:t>, paragraph 43): “</w:t>
      </w:r>
      <w:r w:rsidRPr="00F25114">
        <w:rPr>
          <w:i/>
          <w:iCs/>
        </w:rPr>
        <w:t>The production leak test does not necessarily have to comply with the design type test. However, samples taken from the production are expected to meet the design requirements.</w:t>
      </w:r>
      <w:r>
        <w:t>”</w:t>
      </w:r>
    </w:p>
    <w:p w14:paraId="0B4712C6" w14:textId="19063957" w:rsidR="0025267E" w:rsidRDefault="0025267E" w:rsidP="0025267E">
      <w:pPr>
        <w:pStyle w:val="SingleTxtG"/>
      </w:pPr>
      <w:r>
        <w:t>2.</w:t>
      </w:r>
      <w:r>
        <w:tab/>
        <w:t>This consensus is related to a “</w:t>
      </w:r>
      <w:r w:rsidRPr="00F57ED8">
        <w:rPr>
          <w:i/>
          <w:iCs/>
        </w:rPr>
        <w:t>statistical sampling for verification</w:t>
      </w:r>
      <w:r>
        <w:t xml:space="preserve">” as stated in </w:t>
      </w:r>
      <w:r w:rsidR="005F1DCB">
        <w:t xml:space="preserve">informal document </w:t>
      </w:r>
      <w:r>
        <w:t xml:space="preserve">INF.43 of the </w:t>
      </w:r>
      <w:r w:rsidRPr="00F25114">
        <w:t>forty-sixth session</w:t>
      </w:r>
      <w:r>
        <w:t xml:space="preserve"> (see </w:t>
      </w:r>
      <w:hyperlink r:id="rId12" w:history="1">
        <w:r w:rsidR="00C15508">
          <w:rPr>
            <w:rStyle w:val="Hyperlink"/>
          </w:rPr>
          <w:t xml:space="preserve">informal document </w:t>
        </w:r>
        <w:r w:rsidR="00C15508" w:rsidRPr="00F25114">
          <w:rPr>
            <w:rStyle w:val="Hyperlink"/>
          </w:rPr>
          <w:t>INF.43</w:t>
        </w:r>
      </w:hyperlink>
      <w:r>
        <w:t>). The sampling is part of the quality assurance programme which shall satisfy the competent authority as regulated in 6.5.4.4.2 in connection with 6.5.4.1.</w:t>
      </w:r>
    </w:p>
    <w:p w14:paraId="40A7EBCE" w14:textId="77777777" w:rsidR="0025267E" w:rsidRDefault="0025267E" w:rsidP="0025267E">
      <w:pPr>
        <w:pStyle w:val="SingleTxtG"/>
      </w:pPr>
      <w:r>
        <w:t>3.</w:t>
      </w:r>
      <w:r>
        <w:tab/>
        <w:t xml:space="preserve">As the consensus </w:t>
      </w:r>
      <w:r w:rsidRPr="00F370F5">
        <w:t>seems to be related to the initial testing only as it refers to the production</w:t>
      </w:r>
      <w:r>
        <w:t>, we seek additional clarification on the periodic re-testing of the leakproofness of IBCs.</w:t>
      </w:r>
    </w:p>
    <w:p w14:paraId="050E0852" w14:textId="77777777" w:rsidR="0025267E" w:rsidRPr="00AB2474" w:rsidRDefault="0025267E" w:rsidP="0025267E">
      <w:pPr>
        <w:pStyle w:val="HChG"/>
      </w:pPr>
      <w:r>
        <w:tab/>
        <w:t>II.</w:t>
      </w:r>
      <w:r>
        <w:tab/>
        <w:t>Discussion</w:t>
      </w:r>
    </w:p>
    <w:p w14:paraId="0661D409" w14:textId="77777777" w:rsidR="0025267E" w:rsidRDefault="0025267E" w:rsidP="0025267E">
      <w:pPr>
        <w:pStyle w:val="SingleTxtG"/>
      </w:pPr>
      <w:r>
        <w:t>4</w:t>
      </w:r>
      <w:r w:rsidRPr="00AB2474">
        <w:t>.</w:t>
      </w:r>
      <w:r w:rsidRPr="00AB2474">
        <w:tab/>
      </w:r>
      <w:r>
        <w:t xml:space="preserve">While </w:t>
      </w:r>
      <w:r w:rsidRPr="00F25114">
        <w:t xml:space="preserve">statistical sampling </w:t>
      </w:r>
      <w:r>
        <w:t xml:space="preserve">can be well applied to the initial testing before first use (e.g. by testing one virgin, i.e. unused, IBC of a given design type </w:t>
      </w:r>
      <w:r w:rsidRPr="006452AE">
        <w:t>at a fixed interval</w:t>
      </w:r>
      <w:r>
        <w:t xml:space="preserve">), it seems to be less straightforward to define a sampling frequency for the periodic re-testing, i.e. after the IBCs are in use for up to two and a half years, because different design types will be mixed during periodic leakproofness re-testing </w:t>
      </w:r>
      <w:r w:rsidRPr="0088402D">
        <w:t>and the behaviour of one design</w:t>
      </w:r>
      <w:r>
        <w:t xml:space="preserve"> type</w:t>
      </w:r>
      <w:r w:rsidRPr="0088402D">
        <w:t xml:space="preserve"> does not allow conclusions to be drawn about the behaviour of other design</w:t>
      </w:r>
      <w:r>
        <w:t xml:space="preserve"> types</w:t>
      </w:r>
      <w:r w:rsidRPr="0088402D">
        <w:t>.</w:t>
      </w:r>
    </w:p>
    <w:p w14:paraId="7210111E" w14:textId="77777777" w:rsidR="0025267E" w:rsidRDefault="0025267E" w:rsidP="0025267E">
      <w:pPr>
        <w:pStyle w:val="SingleTxtG"/>
      </w:pPr>
      <w:r>
        <w:t>5</w:t>
      </w:r>
      <w:r w:rsidRPr="00AB2474">
        <w:t>.</w:t>
      </w:r>
      <w:r w:rsidRPr="00AB2474">
        <w:tab/>
      </w:r>
      <w:r>
        <w:t xml:space="preserve">With reference to the definition of </w:t>
      </w:r>
      <w:r w:rsidRPr="00F05A36">
        <w:rPr>
          <w:i/>
          <w:iCs/>
        </w:rPr>
        <w:t xml:space="preserve">routine maintenance of rigid IBCs </w:t>
      </w:r>
      <w:r>
        <w:t xml:space="preserve">in 1.2.1, one might also take into account that rigid IBCs are usually tested several times for </w:t>
      </w:r>
      <w:proofErr w:type="spellStart"/>
      <w:r>
        <w:t>leaktightness</w:t>
      </w:r>
      <w:proofErr w:type="spellEnd"/>
      <w:r>
        <w:t xml:space="preserve"> before they need to undergo periodic re-testing after two and a half years.</w:t>
      </w:r>
    </w:p>
    <w:p w14:paraId="6D6DA069" w14:textId="77777777" w:rsidR="0025267E" w:rsidRPr="00AB2474" w:rsidRDefault="0025267E" w:rsidP="0025267E">
      <w:pPr>
        <w:pStyle w:val="SingleTxtG"/>
      </w:pPr>
      <w:r>
        <w:t>6.</w:t>
      </w:r>
      <w:r>
        <w:tab/>
        <w:t xml:space="preserve">For standard composite IBCs (outer casing made of steel rods) it is known that testing at the level of the design type test (20 kPa, 10 minutes, see 6.5.6.7.3) will result in permanent deformation of the outer casing as well as the inner receptacle. If a routine maintenance company has purchased such IBCs, the deformation after periodic leakproofness testing in accordance with </w:t>
      </w:r>
      <w:r w:rsidRPr="000E3269">
        <w:t>6.5.6.7.3</w:t>
      </w:r>
      <w:r>
        <w:t xml:space="preserve"> will render the IBCs unsellable even if such IBCs might be still safe for transport.</w:t>
      </w:r>
    </w:p>
    <w:p w14:paraId="21AFC75E" w14:textId="77777777" w:rsidR="0025267E" w:rsidRDefault="0025267E" w:rsidP="0025267E">
      <w:pPr>
        <w:pStyle w:val="SingleTxtG"/>
      </w:pPr>
      <w:r>
        <w:t>7.</w:t>
      </w:r>
      <w:r>
        <w:tab/>
        <w:t>A</w:t>
      </w:r>
      <w:r w:rsidRPr="00995435">
        <w:t>fter being in use for 5 years or less (see 4.1.1.15)</w:t>
      </w:r>
      <w:r>
        <w:t xml:space="preserve"> used </w:t>
      </w:r>
      <w:r w:rsidRPr="00E90F40">
        <w:t>rigid plastics</w:t>
      </w:r>
      <w:r>
        <w:t xml:space="preserve"> IBCs shall no longer be used and inner receptacles of composite IBCs need to be removed from the outer casing, which means that in maximum a single periodic re-testing will be carried out within the life span of a </w:t>
      </w:r>
      <w:r w:rsidRPr="00E90F40">
        <w:t>rigid plastics</w:t>
      </w:r>
      <w:r>
        <w:t xml:space="preserve"> IBC and the inner receptacle of a composite IBC respectively.</w:t>
      </w:r>
    </w:p>
    <w:p w14:paraId="6F80384A" w14:textId="77777777" w:rsidR="0025267E" w:rsidRDefault="0025267E" w:rsidP="0025267E">
      <w:pPr>
        <w:pStyle w:val="HChG"/>
      </w:pPr>
      <w:r>
        <w:tab/>
        <w:t>III.</w:t>
      </w:r>
      <w:r>
        <w:tab/>
      </w:r>
      <w:r>
        <w:tab/>
      </w:r>
      <w:r w:rsidRPr="00CC12B7">
        <w:t>Request</w:t>
      </w:r>
    </w:p>
    <w:p w14:paraId="24FC523D" w14:textId="23C2736A" w:rsidR="0025267E" w:rsidRDefault="0025267E" w:rsidP="0025267E">
      <w:pPr>
        <w:pStyle w:val="SingleTxtG"/>
      </w:pPr>
      <w:r>
        <w:t>8.</w:t>
      </w:r>
      <w:r>
        <w:tab/>
        <w:t xml:space="preserve">The Sub-Committee is invited to share their views on this topic, i.e., </w:t>
      </w:r>
      <w:r w:rsidRPr="00031491">
        <w:t xml:space="preserve">whether it might be deemed sufficient </w:t>
      </w:r>
      <w:r>
        <w:t xml:space="preserve">or not </w:t>
      </w:r>
      <w:r w:rsidRPr="00031491">
        <w:t xml:space="preserve">to skip the sample testing at the level of the design type test for the periodic </w:t>
      </w:r>
      <w:r>
        <w:t xml:space="preserve">leakproofness </w:t>
      </w:r>
      <w:r w:rsidRPr="00031491">
        <w:t>re-testing after two and a half years</w:t>
      </w:r>
      <w:r>
        <w:t xml:space="preserve"> for all IBC types or at least some IBC types (see paragraphs 6 and 7</w:t>
      </w:r>
      <w:r w:rsidR="00AB51DF">
        <w:t xml:space="preserve"> above</w:t>
      </w:r>
      <w:r>
        <w:t>).</w:t>
      </w:r>
    </w:p>
    <w:p w14:paraId="7EEBC29A" w14:textId="77777777" w:rsidR="0025267E" w:rsidRDefault="0025267E" w:rsidP="0025267E">
      <w:pPr>
        <w:pStyle w:val="HChG"/>
      </w:pPr>
      <w:r>
        <w:tab/>
        <w:t>IV.</w:t>
      </w:r>
      <w:r>
        <w:tab/>
        <w:t xml:space="preserve">Support of the </w:t>
      </w:r>
      <w:r w:rsidRPr="001871A5">
        <w:t>Sustainable Development Goal</w:t>
      </w:r>
      <w:r>
        <w:t>s</w:t>
      </w:r>
    </w:p>
    <w:p w14:paraId="39B2F1F6" w14:textId="4E6AEC1D" w:rsidR="0007452E" w:rsidRDefault="0025267E" w:rsidP="0025267E">
      <w:pPr>
        <w:pStyle w:val="SingleTxtG"/>
      </w:pPr>
      <w:r>
        <w:t>9</w:t>
      </w:r>
      <w:r w:rsidRPr="001871A5">
        <w:t>.</w:t>
      </w:r>
      <w:r w:rsidRPr="001871A5">
        <w:tab/>
        <w:t xml:space="preserve">This document is </w:t>
      </w:r>
      <w:r>
        <w:t>aimed at</w:t>
      </w:r>
      <w:r w:rsidRPr="001871A5">
        <w:t xml:space="preserve"> support</w:t>
      </w:r>
      <w:r>
        <w:t>ing</w:t>
      </w:r>
      <w:r w:rsidRPr="001871A5">
        <w:t xml:space="preserve"> Sustainable Development Goal </w:t>
      </w:r>
      <w:r w:rsidR="0022311A">
        <w:t>t</w:t>
      </w:r>
      <w:r w:rsidR="00173B72">
        <w:t>arget</w:t>
      </w:r>
      <w:r w:rsidR="00173B72" w:rsidRPr="001871A5">
        <w:t xml:space="preserve"> </w:t>
      </w:r>
      <w:r w:rsidRPr="001871A5">
        <w:t xml:space="preserve">16.6 – </w:t>
      </w:r>
      <w:r w:rsidR="008A40B3">
        <w:t>“</w:t>
      </w:r>
      <w:r w:rsidRPr="008579F6">
        <w:rPr>
          <w:i/>
          <w:iCs/>
        </w:rPr>
        <w:t>Develop effective, accountable and transparent institutions at all levels of the UN Agenda 2030 by promoting the clear and consistent application of the Model Regulations</w:t>
      </w:r>
      <w:r w:rsidRPr="001871A5">
        <w:t>.</w:t>
      </w:r>
      <w:r w:rsidR="008A40B3">
        <w:t>”</w:t>
      </w:r>
    </w:p>
    <w:p w14:paraId="1D1E0C74" w14:textId="79FC18E8" w:rsidR="0025267E" w:rsidRPr="0025267E" w:rsidRDefault="0025267E" w:rsidP="0025267E">
      <w:pPr>
        <w:spacing w:before="240"/>
        <w:jc w:val="center"/>
        <w:rPr>
          <w:u w:val="single"/>
        </w:rPr>
      </w:pPr>
      <w:r>
        <w:rPr>
          <w:u w:val="single"/>
        </w:rPr>
        <w:tab/>
      </w:r>
      <w:r>
        <w:rPr>
          <w:u w:val="single"/>
        </w:rPr>
        <w:tab/>
      </w:r>
      <w:r>
        <w:rPr>
          <w:u w:val="single"/>
        </w:rPr>
        <w:tab/>
      </w:r>
    </w:p>
    <w:sectPr w:rsidR="0025267E" w:rsidRPr="0025267E" w:rsidSect="0039370E">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D1973" w14:textId="77777777" w:rsidR="00597E73" w:rsidRPr="00C47B2E" w:rsidRDefault="00597E73" w:rsidP="00C47B2E">
      <w:pPr>
        <w:pStyle w:val="Footer"/>
      </w:pPr>
    </w:p>
  </w:endnote>
  <w:endnote w:type="continuationSeparator" w:id="0">
    <w:p w14:paraId="33E86701" w14:textId="77777777" w:rsidR="00597E73" w:rsidRPr="00C47B2E" w:rsidRDefault="00597E73" w:rsidP="00C47B2E">
      <w:pPr>
        <w:pStyle w:val="Footer"/>
      </w:pPr>
    </w:p>
  </w:endnote>
  <w:endnote w:type="continuationNotice" w:id="1">
    <w:p w14:paraId="09EA2BBB" w14:textId="77777777" w:rsidR="00597E73" w:rsidRPr="00C47B2E" w:rsidRDefault="00597E7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9DE0" w14:textId="5DC39783" w:rsidR="00D94B05" w:rsidRPr="0039370E" w:rsidRDefault="0039370E" w:rsidP="00D85308">
    <w:pPr>
      <w:pStyle w:val="Footer"/>
      <w:tabs>
        <w:tab w:val="right" w:pos="9639"/>
      </w:tabs>
      <w:rPr>
        <w:sz w:val="18"/>
      </w:rPr>
    </w:pPr>
    <w:r w:rsidRPr="0039370E">
      <w:rPr>
        <w:b/>
        <w:sz w:val="18"/>
      </w:rPr>
      <w:fldChar w:fldCharType="begin"/>
    </w:r>
    <w:r w:rsidRPr="0039370E">
      <w:rPr>
        <w:b/>
        <w:sz w:val="18"/>
      </w:rPr>
      <w:instrText xml:space="preserve"> PAGE  \* MERGEFORMAT </w:instrText>
    </w:r>
    <w:r w:rsidRPr="0039370E">
      <w:rPr>
        <w:b/>
        <w:sz w:val="18"/>
      </w:rPr>
      <w:fldChar w:fldCharType="separate"/>
    </w:r>
    <w:r w:rsidRPr="0039370E">
      <w:rPr>
        <w:b/>
        <w:noProof/>
        <w:sz w:val="18"/>
      </w:rPr>
      <w:t>2</w:t>
    </w:r>
    <w:r w:rsidRPr="0039370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CE08" w14:textId="71C1802C" w:rsidR="00D94B05" w:rsidRPr="0039370E" w:rsidRDefault="0039370E" w:rsidP="00D85308">
    <w:pPr>
      <w:pStyle w:val="Footer"/>
      <w:tabs>
        <w:tab w:val="right" w:pos="9639"/>
      </w:tabs>
      <w:rPr>
        <w:b/>
        <w:bCs/>
        <w:sz w:val="18"/>
      </w:rPr>
    </w:pPr>
    <w:r>
      <w:rPr>
        <w:bCs/>
        <w:sz w:val="18"/>
      </w:rPr>
      <w:tab/>
    </w:r>
    <w:r w:rsidRPr="0039370E">
      <w:rPr>
        <w:b/>
        <w:bCs/>
        <w:sz w:val="18"/>
      </w:rPr>
      <w:fldChar w:fldCharType="begin"/>
    </w:r>
    <w:r w:rsidRPr="0039370E">
      <w:rPr>
        <w:b/>
        <w:bCs/>
        <w:sz w:val="18"/>
      </w:rPr>
      <w:instrText xml:space="preserve"> PAGE  \* MERGEFORMAT </w:instrText>
    </w:r>
    <w:r w:rsidRPr="0039370E">
      <w:rPr>
        <w:b/>
        <w:bCs/>
        <w:sz w:val="18"/>
      </w:rPr>
      <w:fldChar w:fldCharType="separate"/>
    </w:r>
    <w:r w:rsidRPr="0039370E">
      <w:rPr>
        <w:b/>
        <w:bCs/>
        <w:noProof/>
        <w:sz w:val="18"/>
      </w:rPr>
      <w:t>3</w:t>
    </w:r>
    <w:r w:rsidRPr="0039370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8F64" w14:textId="77777777" w:rsidR="00D94B05" w:rsidRPr="0039370E"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391B4250" wp14:editId="65CBB9F9">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D252E" w14:textId="77777777" w:rsidR="00597E73" w:rsidRPr="00C47B2E" w:rsidRDefault="00597E73" w:rsidP="00C47B2E">
      <w:pPr>
        <w:tabs>
          <w:tab w:val="right" w:pos="2155"/>
        </w:tabs>
        <w:spacing w:after="80" w:line="240" w:lineRule="auto"/>
        <w:ind w:left="680"/>
      </w:pPr>
      <w:r>
        <w:rPr>
          <w:u w:val="single"/>
        </w:rPr>
        <w:tab/>
      </w:r>
    </w:p>
  </w:footnote>
  <w:footnote w:type="continuationSeparator" w:id="0">
    <w:p w14:paraId="36888967" w14:textId="77777777" w:rsidR="00597E73" w:rsidRPr="00C47B2E" w:rsidRDefault="00597E73" w:rsidP="005E716E">
      <w:pPr>
        <w:tabs>
          <w:tab w:val="right" w:pos="2155"/>
        </w:tabs>
        <w:spacing w:after="80" w:line="240" w:lineRule="auto"/>
        <w:ind w:left="680"/>
      </w:pPr>
      <w:r>
        <w:rPr>
          <w:u w:val="single"/>
        </w:rPr>
        <w:tab/>
      </w:r>
    </w:p>
  </w:footnote>
  <w:footnote w:type="continuationNotice" w:id="1">
    <w:p w14:paraId="7CE7C782" w14:textId="77777777" w:rsidR="00597E73" w:rsidRPr="00C47B2E" w:rsidRDefault="00597E73"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612F" w14:textId="4356A0D2" w:rsidR="0039370E" w:rsidRPr="0087458D" w:rsidRDefault="0087458D">
    <w:pPr>
      <w:pStyle w:val="Header"/>
      <w:rPr>
        <w:lang w:val="fr-CH"/>
      </w:rPr>
    </w:pPr>
    <w:r>
      <w:rPr>
        <w:lang w:val="fr-CH"/>
      </w:rPr>
      <w:t>UN/SCETDG/64/INF.</w:t>
    </w:r>
    <w:r w:rsidR="0025267E">
      <w:rPr>
        <w:lang w:val="fr-CH"/>
      </w:rPr>
      <w:t>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F55E" w14:textId="33B7594B" w:rsidR="00D94B05" w:rsidRPr="0039370E" w:rsidRDefault="008579F6" w:rsidP="0039370E">
    <w:pPr>
      <w:pStyle w:val="Header"/>
      <w:jc w:val="right"/>
    </w:pPr>
    <w:r>
      <w:fldChar w:fldCharType="begin"/>
    </w:r>
    <w:r>
      <w:instrText xml:space="preserve"> TITLE  \* MERGEFORMAT </w:instrText>
    </w:r>
    <w:r>
      <w:fldChar w:fldCharType="separate"/>
    </w:r>
    <w:r w:rsidR="0072298E">
      <w:t>UN/SCETDG/64/INF.</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FCE0912"/>
    <w:multiLevelType w:val="hybridMultilevel"/>
    <w:tmpl w:val="266EAB7A"/>
    <w:lvl w:ilvl="0" w:tplc="027CBD68">
      <w:start w:val="1"/>
      <w:numFmt w:val="decimal"/>
      <w:lvlText w:val="%1."/>
      <w:lvlJc w:val="right"/>
      <w:pPr>
        <w:ind w:left="1290" w:hanging="360"/>
      </w:pPr>
      <w:rPr>
        <w:rFonts w:hint="default"/>
        <w:i w:val="0"/>
        <w:iCs/>
      </w:rPr>
    </w:lvl>
    <w:lvl w:ilvl="1" w:tplc="08130019">
      <w:start w:val="1"/>
      <w:numFmt w:val="lowerLetter"/>
      <w:lvlText w:val="%2."/>
      <w:lvlJc w:val="left"/>
      <w:pPr>
        <w:ind w:left="2010" w:hanging="360"/>
      </w:pPr>
    </w:lvl>
    <w:lvl w:ilvl="2" w:tplc="0813001B" w:tentative="1">
      <w:start w:val="1"/>
      <w:numFmt w:val="lowerRoman"/>
      <w:lvlText w:val="%3."/>
      <w:lvlJc w:val="right"/>
      <w:pPr>
        <w:ind w:left="2730" w:hanging="180"/>
      </w:pPr>
    </w:lvl>
    <w:lvl w:ilvl="3" w:tplc="0813000F" w:tentative="1">
      <w:start w:val="1"/>
      <w:numFmt w:val="decimal"/>
      <w:lvlText w:val="%4."/>
      <w:lvlJc w:val="left"/>
      <w:pPr>
        <w:ind w:left="3450" w:hanging="360"/>
      </w:pPr>
    </w:lvl>
    <w:lvl w:ilvl="4" w:tplc="08130019" w:tentative="1">
      <w:start w:val="1"/>
      <w:numFmt w:val="lowerLetter"/>
      <w:lvlText w:val="%5."/>
      <w:lvlJc w:val="left"/>
      <w:pPr>
        <w:ind w:left="4170" w:hanging="360"/>
      </w:pPr>
    </w:lvl>
    <w:lvl w:ilvl="5" w:tplc="0813001B" w:tentative="1">
      <w:start w:val="1"/>
      <w:numFmt w:val="lowerRoman"/>
      <w:lvlText w:val="%6."/>
      <w:lvlJc w:val="right"/>
      <w:pPr>
        <w:ind w:left="4890" w:hanging="180"/>
      </w:pPr>
    </w:lvl>
    <w:lvl w:ilvl="6" w:tplc="0813000F" w:tentative="1">
      <w:start w:val="1"/>
      <w:numFmt w:val="decimal"/>
      <w:lvlText w:val="%7."/>
      <w:lvlJc w:val="left"/>
      <w:pPr>
        <w:ind w:left="5610" w:hanging="360"/>
      </w:pPr>
    </w:lvl>
    <w:lvl w:ilvl="7" w:tplc="08130019" w:tentative="1">
      <w:start w:val="1"/>
      <w:numFmt w:val="lowerLetter"/>
      <w:lvlText w:val="%8."/>
      <w:lvlJc w:val="left"/>
      <w:pPr>
        <w:ind w:left="6330" w:hanging="360"/>
      </w:pPr>
    </w:lvl>
    <w:lvl w:ilvl="8" w:tplc="0813001B" w:tentative="1">
      <w:start w:val="1"/>
      <w:numFmt w:val="lowerRoman"/>
      <w:lvlText w:val="%9."/>
      <w:lvlJc w:val="right"/>
      <w:pPr>
        <w:ind w:left="7050"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9718E8"/>
    <w:multiLevelType w:val="hybridMultilevel"/>
    <w:tmpl w:val="86F251BE"/>
    <w:lvl w:ilvl="0" w:tplc="A9A83660">
      <w:start w:val="1"/>
      <w:numFmt w:val="decimal"/>
      <w:lvlText w:val="%1."/>
      <w:lvlJc w:val="left"/>
      <w:pPr>
        <w:ind w:left="1494" w:hanging="360"/>
      </w:pPr>
      <w:rPr>
        <w:rFonts w:hint="default"/>
      </w:rPr>
    </w:lvl>
    <w:lvl w:ilvl="1" w:tplc="20000019">
      <w:start w:val="1"/>
      <w:numFmt w:val="lowerLetter"/>
      <w:lvlText w:val="%2."/>
      <w:lvlJc w:val="left"/>
      <w:pPr>
        <w:ind w:left="2214" w:hanging="360"/>
      </w:pPr>
    </w:lvl>
    <w:lvl w:ilvl="2" w:tplc="2000001B">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8" w15:restartNumberingAfterBreak="0">
    <w:nsid w:val="2ED9716B"/>
    <w:multiLevelType w:val="hybridMultilevel"/>
    <w:tmpl w:val="F7226F38"/>
    <w:lvl w:ilvl="0" w:tplc="F4085658">
      <w:start w:val="1"/>
      <w:numFmt w:val="upperRoman"/>
      <w:lvlText w:val="%1."/>
      <w:lvlJc w:val="left"/>
      <w:pPr>
        <w:ind w:left="1848" w:hanging="72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B14A3D"/>
    <w:multiLevelType w:val="hybridMultilevel"/>
    <w:tmpl w:val="0D9EE37E"/>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080571E"/>
    <w:multiLevelType w:val="hybridMultilevel"/>
    <w:tmpl w:val="A9B4EC6A"/>
    <w:lvl w:ilvl="0" w:tplc="898ADF0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D9216B"/>
    <w:multiLevelType w:val="hybridMultilevel"/>
    <w:tmpl w:val="4BF8EE84"/>
    <w:lvl w:ilvl="0" w:tplc="0C0A0001">
      <w:start w:val="1"/>
      <w:numFmt w:val="bullet"/>
      <w:lvlText w:val=""/>
      <w:lvlJc w:val="left"/>
      <w:pPr>
        <w:ind w:left="1900" w:hanging="360"/>
      </w:pPr>
      <w:rPr>
        <w:rFonts w:ascii="Symbol" w:hAnsi="Symbol" w:hint="default"/>
      </w:rPr>
    </w:lvl>
    <w:lvl w:ilvl="1" w:tplc="0C0A0003" w:tentative="1">
      <w:start w:val="1"/>
      <w:numFmt w:val="bullet"/>
      <w:lvlText w:val="o"/>
      <w:lvlJc w:val="left"/>
      <w:pPr>
        <w:ind w:left="2620" w:hanging="360"/>
      </w:pPr>
      <w:rPr>
        <w:rFonts w:ascii="Courier New" w:hAnsi="Courier New" w:cs="Courier New" w:hint="default"/>
      </w:rPr>
    </w:lvl>
    <w:lvl w:ilvl="2" w:tplc="0C0A0005" w:tentative="1">
      <w:start w:val="1"/>
      <w:numFmt w:val="bullet"/>
      <w:lvlText w:val=""/>
      <w:lvlJc w:val="left"/>
      <w:pPr>
        <w:ind w:left="3340" w:hanging="360"/>
      </w:pPr>
      <w:rPr>
        <w:rFonts w:ascii="Wingdings" w:hAnsi="Wingdings" w:hint="default"/>
      </w:rPr>
    </w:lvl>
    <w:lvl w:ilvl="3" w:tplc="0C0A0001" w:tentative="1">
      <w:start w:val="1"/>
      <w:numFmt w:val="bullet"/>
      <w:lvlText w:val=""/>
      <w:lvlJc w:val="left"/>
      <w:pPr>
        <w:ind w:left="4060" w:hanging="360"/>
      </w:pPr>
      <w:rPr>
        <w:rFonts w:ascii="Symbol" w:hAnsi="Symbol" w:hint="default"/>
      </w:rPr>
    </w:lvl>
    <w:lvl w:ilvl="4" w:tplc="0C0A0003" w:tentative="1">
      <w:start w:val="1"/>
      <w:numFmt w:val="bullet"/>
      <w:lvlText w:val="o"/>
      <w:lvlJc w:val="left"/>
      <w:pPr>
        <w:ind w:left="4780" w:hanging="360"/>
      </w:pPr>
      <w:rPr>
        <w:rFonts w:ascii="Courier New" w:hAnsi="Courier New" w:cs="Courier New" w:hint="default"/>
      </w:rPr>
    </w:lvl>
    <w:lvl w:ilvl="5" w:tplc="0C0A0005" w:tentative="1">
      <w:start w:val="1"/>
      <w:numFmt w:val="bullet"/>
      <w:lvlText w:val=""/>
      <w:lvlJc w:val="left"/>
      <w:pPr>
        <w:ind w:left="5500" w:hanging="360"/>
      </w:pPr>
      <w:rPr>
        <w:rFonts w:ascii="Wingdings" w:hAnsi="Wingdings" w:hint="default"/>
      </w:rPr>
    </w:lvl>
    <w:lvl w:ilvl="6" w:tplc="0C0A0001" w:tentative="1">
      <w:start w:val="1"/>
      <w:numFmt w:val="bullet"/>
      <w:lvlText w:val=""/>
      <w:lvlJc w:val="left"/>
      <w:pPr>
        <w:ind w:left="6220" w:hanging="360"/>
      </w:pPr>
      <w:rPr>
        <w:rFonts w:ascii="Symbol" w:hAnsi="Symbol" w:hint="default"/>
      </w:rPr>
    </w:lvl>
    <w:lvl w:ilvl="7" w:tplc="0C0A0003" w:tentative="1">
      <w:start w:val="1"/>
      <w:numFmt w:val="bullet"/>
      <w:lvlText w:val="o"/>
      <w:lvlJc w:val="left"/>
      <w:pPr>
        <w:ind w:left="6940" w:hanging="360"/>
      </w:pPr>
      <w:rPr>
        <w:rFonts w:ascii="Courier New" w:hAnsi="Courier New" w:cs="Courier New" w:hint="default"/>
      </w:rPr>
    </w:lvl>
    <w:lvl w:ilvl="8" w:tplc="0C0A0005" w:tentative="1">
      <w:start w:val="1"/>
      <w:numFmt w:val="bullet"/>
      <w:lvlText w:val=""/>
      <w:lvlJc w:val="left"/>
      <w:pPr>
        <w:ind w:left="7660" w:hanging="360"/>
      </w:pPr>
      <w:rPr>
        <w:rFonts w:ascii="Wingdings" w:hAnsi="Wingdings" w:hint="default"/>
      </w:r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A8A626A"/>
    <w:multiLevelType w:val="hybridMultilevel"/>
    <w:tmpl w:val="70168100"/>
    <w:lvl w:ilvl="0" w:tplc="51FA683A">
      <w:start w:val="1"/>
      <w:numFmt w:val="decimal"/>
      <w:lvlText w:val="%1."/>
      <w:lvlJc w:val="left"/>
      <w:pPr>
        <w:ind w:left="4682" w:hanging="570"/>
      </w:pPr>
      <w:rPr>
        <w:rFonts w:ascii="Times New Roman" w:hAnsi="Times New Roman" w:cs="Times New Roman" w:hint="default"/>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116172172">
    <w:abstractNumId w:val="9"/>
  </w:num>
  <w:num w:numId="2" w16cid:durableId="1073159890">
    <w:abstractNumId w:val="6"/>
  </w:num>
  <w:num w:numId="3" w16cid:durableId="551188904">
    <w:abstractNumId w:val="1"/>
  </w:num>
  <w:num w:numId="4" w16cid:durableId="44254624">
    <w:abstractNumId w:val="11"/>
  </w:num>
  <w:num w:numId="5" w16cid:durableId="1816027029">
    <w:abstractNumId w:val="12"/>
  </w:num>
  <w:num w:numId="6" w16cid:durableId="1836190579">
    <w:abstractNumId w:val="16"/>
  </w:num>
  <w:num w:numId="7" w16cid:durableId="634676252">
    <w:abstractNumId w:val="5"/>
  </w:num>
  <w:num w:numId="8" w16cid:durableId="1039166836">
    <w:abstractNumId w:val="2"/>
  </w:num>
  <w:num w:numId="9" w16cid:durableId="644969981">
    <w:abstractNumId w:val="14"/>
  </w:num>
  <w:num w:numId="10" w16cid:durableId="525103391">
    <w:abstractNumId w:val="2"/>
  </w:num>
  <w:num w:numId="11" w16cid:durableId="297342166">
    <w:abstractNumId w:val="14"/>
  </w:num>
  <w:num w:numId="12" w16cid:durableId="1280380300">
    <w:abstractNumId w:val="3"/>
  </w:num>
  <w:num w:numId="13" w16cid:durableId="1988699530">
    <w:abstractNumId w:val="3"/>
  </w:num>
  <w:num w:numId="14" w16cid:durableId="1917550057">
    <w:abstractNumId w:val="17"/>
  </w:num>
  <w:num w:numId="15" w16cid:durableId="907884386">
    <w:abstractNumId w:val="8"/>
  </w:num>
  <w:num w:numId="16" w16cid:durableId="835220403">
    <w:abstractNumId w:val="0"/>
  </w:num>
  <w:num w:numId="17" w16cid:durableId="1800806580">
    <w:abstractNumId w:val="7"/>
  </w:num>
  <w:num w:numId="18" w16cid:durableId="1605722952">
    <w:abstractNumId w:val="4"/>
  </w:num>
  <w:num w:numId="19" w16cid:durableId="476261480">
    <w:abstractNumId w:val="13"/>
  </w:num>
  <w:num w:numId="20" w16cid:durableId="123348580">
    <w:abstractNumId w:val="10"/>
  </w:num>
  <w:num w:numId="21" w16cid:durableId="36236688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0E"/>
    <w:rsid w:val="00003D7A"/>
    <w:rsid w:val="00011DAD"/>
    <w:rsid w:val="00021D9C"/>
    <w:rsid w:val="00034087"/>
    <w:rsid w:val="00036051"/>
    <w:rsid w:val="00046E92"/>
    <w:rsid w:val="00050927"/>
    <w:rsid w:val="00063C90"/>
    <w:rsid w:val="00070000"/>
    <w:rsid w:val="0007452E"/>
    <w:rsid w:val="00074A36"/>
    <w:rsid w:val="00083106"/>
    <w:rsid w:val="00097AF4"/>
    <w:rsid w:val="000C25E4"/>
    <w:rsid w:val="000F3078"/>
    <w:rsid w:val="00101B98"/>
    <w:rsid w:val="00104C0F"/>
    <w:rsid w:val="0010604D"/>
    <w:rsid w:val="0011084B"/>
    <w:rsid w:val="001514D1"/>
    <w:rsid w:val="00155C73"/>
    <w:rsid w:val="00173B72"/>
    <w:rsid w:val="001854FD"/>
    <w:rsid w:val="001861DE"/>
    <w:rsid w:val="00186622"/>
    <w:rsid w:val="001A1F33"/>
    <w:rsid w:val="001A4B5F"/>
    <w:rsid w:val="001A7B96"/>
    <w:rsid w:val="001B09B1"/>
    <w:rsid w:val="001B225A"/>
    <w:rsid w:val="001D5E14"/>
    <w:rsid w:val="001E3B26"/>
    <w:rsid w:val="001E4757"/>
    <w:rsid w:val="001E4972"/>
    <w:rsid w:val="001E68FF"/>
    <w:rsid w:val="001F5B8E"/>
    <w:rsid w:val="001F6C71"/>
    <w:rsid w:val="0020341A"/>
    <w:rsid w:val="00204760"/>
    <w:rsid w:val="00205FB9"/>
    <w:rsid w:val="00206989"/>
    <w:rsid w:val="0022311A"/>
    <w:rsid w:val="00223895"/>
    <w:rsid w:val="00224447"/>
    <w:rsid w:val="002328F5"/>
    <w:rsid w:val="00247E2C"/>
    <w:rsid w:val="00252091"/>
    <w:rsid w:val="0025267E"/>
    <w:rsid w:val="00262CC4"/>
    <w:rsid w:val="002839AF"/>
    <w:rsid w:val="0028529B"/>
    <w:rsid w:val="002A32CB"/>
    <w:rsid w:val="002A3A97"/>
    <w:rsid w:val="002A728A"/>
    <w:rsid w:val="002B65FD"/>
    <w:rsid w:val="002C34EA"/>
    <w:rsid w:val="002C461B"/>
    <w:rsid w:val="002D5B2C"/>
    <w:rsid w:val="002D6C53"/>
    <w:rsid w:val="002E3CFB"/>
    <w:rsid w:val="002E76EA"/>
    <w:rsid w:val="002F4DF8"/>
    <w:rsid w:val="002F5595"/>
    <w:rsid w:val="003070C4"/>
    <w:rsid w:val="00307AA6"/>
    <w:rsid w:val="003140B8"/>
    <w:rsid w:val="0032702E"/>
    <w:rsid w:val="00327EE9"/>
    <w:rsid w:val="0033310E"/>
    <w:rsid w:val="00334F6A"/>
    <w:rsid w:val="00342AC8"/>
    <w:rsid w:val="00343302"/>
    <w:rsid w:val="003545B1"/>
    <w:rsid w:val="00361EB1"/>
    <w:rsid w:val="00365509"/>
    <w:rsid w:val="00374CDF"/>
    <w:rsid w:val="00391730"/>
    <w:rsid w:val="0039370E"/>
    <w:rsid w:val="003979DE"/>
    <w:rsid w:val="003A069D"/>
    <w:rsid w:val="003B1248"/>
    <w:rsid w:val="003B4550"/>
    <w:rsid w:val="003D2A18"/>
    <w:rsid w:val="003D2EA4"/>
    <w:rsid w:val="003D6064"/>
    <w:rsid w:val="003E07D9"/>
    <w:rsid w:val="003E0E6B"/>
    <w:rsid w:val="003E384F"/>
    <w:rsid w:val="00404238"/>
    <w:rsid w:val="00413386"/>
    <w:rsid w:val="004152F1"/>
    <w:rsid w:val="0043510C"/>
    <w:rsid w:val="00440B90"/>
    <w:rsid w:val="0044240C"/>
    <w:rsid w:val="00446BBE"/>
    <w:rsid w:val="00461253"/>
    <w:rsid w:val="0047018B"/>
    <w:rsid w:val="004858F5"/>
    <w:rsid w:val="00496248"/>
    <w:rsid w:val="004A2814"/>
    <w:rsid w:val="004A366B"/>
    <w:rsid w:val="004A4B01"/>
    <w:rsid w:val="004B10E7"/>
    <w:rsid w:val="004B3B13"/>
    <w:rsid w:val="004C0622"/>
    <w:rsid w:val="004C0760"/>
    <w:rsid w:val="004C5613"/>
    <w:rsid w:val="004F3A78"/>
    <w:rsid w:val="004F73D0"/>
    <w:rsid w:val="0050402A"/>
    <w:rsid w:val="005042C2"/>
    <w:rsid w:val="00506072"/>
    <w:rsid w:val="005110F3"/>
    <w:rsid w:val="005153E4"/>
    <w:rsid w:val="00516173"/>
    <w:rsid w:val="00524BE4"/>
    <w:rsid w:val="00530261"/>
    <w:rsid w:val="00572D6D"/>
    <w:rsid w:val="00572EFA"/>
    <w:rsid w:val="005809F4"/>
    <w:rsid w:val="0058392B"/>
    <w:rsid w:val="00595112"/>
    <w:rsid w:val="00595C55"/>
    <w:rsid w:val="00597E73"/>
    <w:rsid w:val="005A1BF2"/>
    <w:rsid w:val="005A1C27"/>
    <w:rsid w:val="005A3B9D"/>
    <w:rsid w:val="005C3F53"/>
    <w:rsid w:val="005C70FD"/>
    <w:rsid w:val="005E716E"/>
    <w:rsid w:val="005F1DCB"/>
    <w:rsid w:val="005F3CE0"/>
    <w:rsid w:val="0060395F"/>
    <w:rsid w:val="00620BE9"/>
    <w:rsid w:val="006431BA"/>
    <w:rsid w:val="006476E1"/>
    <w:rsid w:val="006604DF"/>
    <w:rsid w:val="00671529"/>
    <w:rsid w:val="006940B0"/>
    <w:rsid w:val="006A6910"/>
    <w:rsid w:val="006B3F6B"/>
    <w:rsid w:val="006B5A8C"/>
    <w:rsid w:val="006B69A4"/>
    <w:rsid w:val="006B7121"/>
    <w:rsid w:val="006B75AD"/>
    <w:rsid w:val="006D458E"/>
    <w:rsid w:val="006E1A16"/>
    <w:rsid w:val="006E1B07"/>
    <w:rsid w:val="006F1684"/>
    <w:rsid w:val="006F1EF5"/>
    <w:rsid w:val="00700634"/>
    <w:rsid w:val="0070489D"/>
    <w:rsid w:val="007139BD"/>
    <w:rsid w:val="007200A1"/>
    <w:rsid w:val="0072298E"/>
    <w:rsid w:val="007268F9"/>
    <w:rsid w:val="00750282"/>
    <w:rsid w:val="00750D5E"/>
    <w:rsid w:val="00756BF8"/>
    <w:rsid w:val="00764440"/>
    <w:rsid w:val="00765010"/>
    <w:rsid w:val="0076706D"/>
    <w:rsid w:val="0077101B"/>
    <w:rsid w:val="00780F23"/>
    <w:rsid w:val="00785B39"/>
    <w:rsid w:val="00793B46"/>
    <w:rsid w:val="007A2C19"/>
    <w:rsid w:val="007C52B0"/>
    <w:rsid w:val="007C6033"/>
    <w:rsid w:val="007C7B2F"/>
    <w:rsid w:val="007F3784"/>
    <w:rsid w:val="008147C8"/>
    <w:rsid w:val="00815063"/>
    <w:rsid w:val="0081753A"/>
    <w:rsid w:val="00817713"/>
    <w:rsid w:val="008265F1"/>
    <w:rsid w:val="00827299"/>
    <w:rsid w:val="00834091"/>
    <w:rsid w:val="008406BE"/>
    <w:rsid w:val="0085123A"/>
    <w:rsid w:val="008579F6"/>
    <w:rsid w:val="00857D23"/>
    <w:rsid w:val="00871A81"/>
    <w:rsid w:val="00873E8B"/>
    <w:rsid w:val="0087458D"/>
    <w:rsid w:val="00876F04"/>
    <w:rsid w:val="00883E68"/>
    <w:rsid w:val="008923C4"/>
    <w:rsid w:val="008A40B3"/>
    <w:rsid w:val="008B6E83"/>
    <w:rsid w:val="008C131C"/>
    <w:rsid w:val="008D2289"/>
    <w:rsid w:val="008D51A7"/>
    <w:rsid w:val="008E51C3"/>
    <w:rsid w:val="008F4AE9"/>
    <w:rsid w:val="00911181"/>
    <w:rsid w:val="009300DB"/>
    <w:rsid w:val="009411B4"/>
    <w:rsid w:val="00946F1D"/>
    <w:rsid w:val="009502AA"/>
    <w:rsid w:val="00965EDC"/>
    <w:rsid w:val="009767EB"/>
    <w:rsid w:val="00987F92"/>
    <w:rsid w:val="0099436D"/>
    <w:rsid w:val="009A0A7F"/>
    <w:rsid w:val="009A1E66"/>
    <w:rsid w:val="009A25A3"/>
    <w:rsid w:val="009A6A8B"/>
    <w:rsid w:val="009B365F"/>
    <w:rsid w:val="009C02D0"/>
    <w:rsid w:val="009C0A57"/>
    <w:rsid w:val="009C2025"/>
    <w:rsid w:val="009C3369"/>
    <w:rsid w:val="009C4EFF"/>
    <w:rsid w:val="009D0139"/>
    <w:rsid w:val="009D717D"/>
    <w:rsid w:val="009F193D"/>
    <w:rsid w:val="009F5CDC"/>
    <w:rsid w:val="009F7E47"/>
    <w:rsid w:val="00A072D7"/>
    <w:rsid w:val="00A461A2"/>
    <w:rsid w:val="00A76D84"/>
    <w:rsid w:val="00A775CF"/>
    <w:rsid w:val="00A81FF2"/>
    <w:rsid w:val="00A90C31"/>
    <w:rsid w:val="00A945EB"/>
    <w:rsid w:val="00AA39C7"/>
    <w:rsid w:val="00AA3FA0"/>
    <w:rsid w:val="00AA601F"/>
    <w:rsid w:val="00AA74D9"/>
    <w:rsid w:val="00AB51DF"/>
    <w:rsid w:val="00AD141E"/>
    <w:rsid w:val="00AD1A9C"/>
    <w:rsid w:val="00AF1608"/>
    <w:rsid w:val="00AF5DE1"/>
    <w:rsid w:val="00B06045"/>
    <w:rsid w:val="00B206DD"/>
    <w:rsid w:val="00B31A1A"/>
    <w:rsid w:val="00B52EF4"/>
    <w:rsid w:val="00B55DFE"/>
    <w:rsid w:val="00B618F1"/>
    <w:rsid w:val="00B703C4"/>
    <w:rsid w:val="00B777AD"/>
    <w:rsid w:val="00B804A2"/>
    <w:rsid w:val="00B8395E"/>
    <w:rsid w:val="00BA2C79"/>
    <w:rsid w:val="00BE4C22"/>
    <w:rsid w:val="00BF3C66"/>
    <w:rsid w:val="00BF519D"/>
    <w:rsid w:val="00BF5837"/>
    <w:rsid w:val="00C019E3"/>
    <w:rsid w:val="00C03015"/>
    <w:rsid w:val="00C0358D"/>
    <w:rsid w:val="00C149B5"/>
    <w:rsid w:val="00C15508"/>
    <w:rsid w:val="00C35A27"/>
    <w:rsid w:val="00C45ABA"/>
    <w:rsid w:val="00C47B2E"/>
    <w:rsid w:val="00C512AD"/>
    <w:rsid w:val="00C5287E"/>
    <w:rsid w:val="00C544C4"/>
    <w:rsid w:val="00C637FA"/>
    <w:rsid w:val="00C7275C"/>
    <w:rsid w:val="00C8167E"/>
    <w:rsid w:val="00C84422"/>
    <w:rsid w:val="00C96282"/>
    <w:rsid w:val="00CA1A36"/>
    <w:rsid w:val="00CC2928"/>
    <w:rsid w:val="00CC2EE3"/>
    <w:rsid w:val="00CC5C16"/>
    <w:rsid w:val="00CC7758"/>
    <w:rsid w:val="00CF5A5B"/>
    <w:rsid w:val="00CF638E"/>
    <w:rsid w:val="00CF7580"/>
    <w:rsid w:val="00D02176"/>
    <w:rsid w:val="00D02DC7"/>
    <w:rsid w:val="00D1625A"/>
    <w:rsid w:val="00D41E65"/>
    <w:rsid w:val="00D61B8F"/>
    <w:rsid w:val="00D63A17"/>
    <w:rsid w:val="00D63CD2"/>
    <w:rsid w:val="00D70E96"/>
    <w:rsid w:val="00D77868"/>
    <w:rsid w:val="00D85308"/>
    <w:rsid w:val="00D87DC2"/>
    <w:rsid w:val="00D93887"/>
    <w:rsid w:val="00D94B05"/>
    <w:rsid w:val="00D9541C"/>
    <w:rsid w:val="00DA36E8"/>
    <w:rsid w:val="00DB4D23"/>
    <w:rsid w:val="00DB52EE"/>
    <w:rsid w:val="00DB71A2"/>
    <w:rsid w:val="00DC7379"/>
    <w:rsid w:val="00DE5139"/>
    <w:rsid w:val="00DE60E7"/>
    <w:rsid w:val="00E02C2B"/>
    <w:rsid w:val="00E050E4"/>
    <w:rsid w:val="00E14B48"/>
    <w:rsid w:val="00E21C27"/>
    <w:rsid w:val="00E24C4C"/>
    <w:rsid w:val="00E26BCF"/>
    <w:rsid w:val="00E26C01"/>
    <w:rsid w:val="00E37003"/>
    <w:rsid w:val="00E51935"/>
    <w:rsid w:val="00E52109"/>
    <w:rsid w:val="00E55302"/>
    <w:rsid w:val="00E56FDD"/>
    <w:rsid w:val="00E74576"/>
    <w:rsid w:val="00E75317"/>
    <w:rsid w:val="00E77462"/>
    <w:rsid w:val="00E816EC"/>
    <w:rsid w:val="00E86D77"/>
    <w:rsid w:val="00E93072"/>
    <w:rsid w:val="00EB59E2"/>
    <w:rsid w:val="00EB7201"/>
    <w:rsid w:val="00EC0CE6"/>
    <w:rsid w:val="00EC7C1D"/>
    <w:rsid w:val="00ED6C48"/>
    <w:rsid w:val="00ED744F"/>
    <w:rsid w:val="00EE3045"/>
    <w:rsid w:val="00EE5FFB"/>
    <w:rsid w:val="00EE699E"/>
    <w:rsid w:val="00EF1ECC"/>
    <w:rsid w:val="00F13BB0"/>
    <w:rsid w:val="00F15871"/>
    <w:rsid w:val="00F21781"/>
    <w:rsid w:val="00F23D06"/>
    <w:rsid w:val="00F26186"/>
    <w:rsid w:val="00F26C33"/>
    <w:rsid w:val="00F375B1"/>
    <w:rsid w:val="00F606E8"/>
    <w:rsid w:val="00F65F5D"/>
    <w:rsid w:val="00F66365"/>
    <w:rsid w:val="00F72A51"/>
    <w:rsid w:val="00F86A3A"/>
    <w:rsid w:val="00F90EE7"/>
    <w:rsid w:val="00FA2B35"/>
    <w:rsid w:val="00FA42DA"/>
    <w:rsid w:val="00FD50DF"/>
    <w:rsid w:val="00FD51FE"/>
    <w:rsid w:val="00FD7048"/>
    <w:rsid w:val="00FD7E77"/>
    <w:rsid w:val="00FE2073"/>
    <w:rsid w:val="00FE281D"/>
    <w:rsid w:val="00FE2AC5"/>
    <w:rsid w:val="00FE34C7"/>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48AB4"/>
  <w15:docId w15:val="{DE8FCDF0-D2EA-40BB-B581-E9A44979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next w:val="Normal"/>
    <w:link w:val="BodyTextChar"/>
    <w:semiHidden/>
    <w:rsid w:val="00CF5A5B"/>
    <w:pPr>
      <w:suppressAutoHyphens/>
    </w:pPr>
    <w:rPr>
      <w:rFonts w:eastAsia="Times New Roman"/>
      <w:lang w:eastAsia="en-US"/>
    </w:rPr>
  </w:style>
  <w:style w:type="character" w:customStyle="1" w:styleId="BodyTextChar">
    <w:name w:val="Body Text Char"/>
    <w:basedOn w:val="DefaultParagraphFont"/>
    <w:link w:val="BodyText"/>
    <w:semiHidden/>
    <w:rsid w:val="00CF5A5B"/>
    <w:rPr>
      <w:rFonts w:eastAsia="Times New Roman"/>
      <w:lang w:eastAsia="en-US"/>
    </w:rPr>
  </w:style>
  <w:style w:type="character" w:customStyle="1" w:styleId="HChGChar">
    <w:name w:val="_ H _Ch_G Char"/>
    <w:link w:val="HChG"/>
    <w:qFormat/>
    <w:rsid w:val="00CF5A5B"/>
    <w:rPr>
      <w:b/>
      <w:sz w:val="28"/>
    </w:rPr>
  </w:style>
  <w:style w:type="character" w:customStyle="1" w:styleId="SingleTxtGChar">
    <w:name w:val="_ Single Txt_G Char"/>
    <w:link w:val="SingleTxtG"/>
    <w:qFormat/>
    <w:locked/>
    <w:rsid w:val="00CF5A5B"/>
  </w:style>
  <w:style w:type="character" w:customStyle="1" w:styleId="H1GChar">
    <w:name w:val="_ H_1_G Char"/>
    <w:link w:val="H1G"/>
    <w:qFormat/>
    <w:rsid w:val="00CF5A5B"/>
    <w:rPr>
      <w:b/>
      <w:sz w:val="24"/>
    </w:rPr>
  </w:style>
  <w:style w:type="paragraph" w:styleId="Revision">
    <w:name w:val="Revision"/>
    <w:hidden/>
    <w:uiPriority w:val="99"/>
    <w:semiHidden/>
    <w:rsid w:val="005A1BF2"/>
    <w:pPr>
      <w:spacing w:line="240" w:lineRule="auto"/>
    </w:pPr>
  </w:style>
  <w:style w:type="character" w:styleId="UnresolvedMention">
    <w:name w:val="Unresolved Mention"/>
    <w:basedOn w:val="DefaultParagraphFont"/>
    <w:uiPriority w:val="99"/>
    <w:semiHidden/>
    <w:unhideWhenUsed/>
    <w:rsid w:val="00446BBE"/>
    <w:rPr>
      <w:color w:val="605E5C"/>
      <w:shd w:val="clear" w:color="auto" w:fill="E1DFDD"/>
    </w:rPr>
  </w:style>
  <w:style w:type="character" w:styleId="CommentReference">
    <w:name w:val="annotation reference"/>
    <w:basedOn w:val="DefaultParagraphFont"/>
    <w:uiPriority w:val="99"/>
    <w:semiHidden/>
    <w:unhideWhenUsed/>
    <w:rsid w:val="009C4EFF"/>
    <w:rPr>
      <w:sz w:val="16"/>
      <w:szCs w:val="16"/>
    </w:rPr>
  </w:style>
  <w:style w:type="paragraph" w:styleId="CommentText">
    <w:name w:val="annotation text"/>
    <w:basedOn w:val="Normal"/>
    <w:link w:val="CommentTextChar"/>
    <w:uiPriority w:val="99"/>
    <w:unhideWhenUsed/>
    <w:rsid w:val="009C4EFF"/>
    <w:pPr>
      <w:spacing w:line="240" w:lineRule="auto"/>
    </w:pPr>
  </w:style>
  <w:style w:type="character" w:customStyle="1" w:styleId="CommentTextChar">
    <w:name w:val="Comment Text Char"/>
    <w:basedOn w:val="DefaultParagraphFont"/>
    <w:link w:val="CommentText"/>
    <w:uiPriority w:val="99"/>
    <w:rsid w:val="009C4EFF"/>
  </w:style>
  <w:style w:type="paragraph" w:styleId="CommentSubject">
    <w:name w:val="annotation subject"/>
    <w:basedOn w:val="CommentText"/>
    <w:next w:val="CommentText"/>
    <w:link w:val="CommentSubjectChar"/>
    <w:uiPriority w:val="99"/>
    <w:semiHidden/>
    <w:unhideWhenUsed/>
    <w:rsid w:val="009C4EFF"/>
    <w:rPr>
      <w:b/>
      <w:bCs/>
    </w:rPr>
  </w:style>
  <w:style w:type="character" w:customStyle="1" w:styleId="CommentSubjectChar">
    <w:name w:val="Comment Subject Char"/>
    <w:basedOn w:val="CommentTextChar"/>
    <w:link w:val="CommentSubject"/>
    <w:uiPriority w:val="99"/>
    <w:semiHidden/>
    <w:rsid w:val="009C4EFF"/>
    <w:rPr>
      <w:b/>
      <w:bCs/>
    </w:rPr>
  </w:style>
  <w:style w:type="paragraph" w:customStyle="1" w:styleId="Default">
    <w:name w:val="Default"/>
    <w:rsid w:val="005110F3"/>
    <w:pPr>
      <w:autoSpaceDE w:val="0"/>
      <w:autoSpaceDN w:val="0"/>
      <w:adjustRightInd w:val="0"/>
      <w:spacing w:line="240" w:lineRule="auto"/>
    </w:pPr>
    <w:rPr>
      <w:rFonts w:eastAsia="Times New Roman"/>
      <w:color w:val="000000"/>
      <w:sz w:val="24"/>
      <w:szCs w:val="24"/>
    </w:rPr>
  </w:style>
  <w:style w:type="paragraph" w:styleId="ListBullet">
    <w:name w:val="List Bullet"/>
    <w:basedOn w:val="Normal"/>
    <w:semiHidden/>
    <w:rsid w:val="005110F3"/>
    <w:pPr>
      <w:numPr>
        <w:numId w:val="16"/>
      </w:numPr>
      <w:suppressAutoHyphens/>
    </w:pPr>
    <w:rPr>
      <w:rFonts w:eastAsia="Batang"/>
      <w:lang w:eastAsia="en-US"/>
    </w:rPr>
  </w:style>
  <w:style w:type="paragraph" w:styleId="ListParagraph">
    <w:name w:val="List Paragraph"/>
    <w:basedOn w:val="Normal"/>
    <w:qFormat/>
    <w:rsid w:val="002C461B"/>
    <w:pPr>
      <w:spacing w:line="240" w:lineRule="auto"/>
      <w:ind w:left="720"/>
      <w:jc w:val="both"/>
    </w:pPr>
    <w:rPr>
      <w:rFonts w:eastAsia="Times New Roman"/>
      <w:sz w:val="24"/>
      <w:szCs w:val="24"/>
      <w:lang w:val="en-US" w:eastAsia="en-US"/>
    </w:rPr>
  </w:style>
  <w:style w:type="paragraph" w:customStyle="1" w:styleId="Body">
    <w:name w:val="Body"/>
    <w:rsid w:val="00911181"/>
    <w:pPr>
      <w:pBdr>
        <w:top w:val="nil"/>
        <w:left w:val="nil"/>
        <w:bottom w:val="nil"/>
        <w:right w:val="nil"/>
        <w:between w:val="nil"/>
        <w:bar w:val="nil"/>
      </w:pBdr>
      <w:suppressAutoHyphens/>
    </w:pPr>
    <w:rPr>
      <w:rFonts w:eastAsia="Times New Roman"/>
      <w:color w:val="000000"/>
      <w:u w:color="000000"/>
      <w:bdr w:val="nil"/>
      <w:lang w:val="en-US" w:eastAsia="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DAM/trans/doc/2014/dgac10c3/UN-SCETDG-46-INF43e.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fileadmin/DAM/trans/doc/2015/dgac10c3/ST-SG-AC10-C3-92e.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Alicia Dorca Garcia</DisplayName>
        <AccountId>1313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2.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CE4AA0A8-7D92-4339-85D6-E15FA8EE9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96D6C7-A69F-4CC1-9C48-E5514C6CF9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SGAC10_E.dotm</Template>
  <TotalTime>14</TotalTime>
  <Pages>1</Pages>
  <Words>629</Words>
  <Characters>3462</Characters>
  <Application>Microsoft Office Word</Application>
  <DocSecurity>4</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UN/SCETDG/64/INF.19</vt: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UN/SCETDG/64/INF.44</dc:title>
  <dc:subject/>
  <dc:creator>Alicia DORCA-GARCIA</dc:creator>
  <cp:keywords/>
  <cp:lastModifiedBy>Final Romain Hubert</cp:lastModifiedBy>
  <cp:revision>19</cp:revision>
  <cp:lastPrinted>2024-06-20T15:28:00Z</cp:lastPrinted>
  <dcterms:created xsi:type="dcterms:W3CDTF">2024-06-20T14:17:00Z</dcterms:created>
  <dcterms:modified xsi:type="dcterms:W3CDTF">2024-06-20T15:28:00Z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