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6144"/>
      </w:tblGrid>
      <w:tr w:rsidR="00E52109" w14:paraId="5498F217" w14:textId="77777777" w:rsidTr="006476E1">
        <w:trPr>
          <w:trHeight w:val="851"/>
        </w:trPr>
        <w:tc>
          <w:tcPr>
            <w:tcW w:w="1259" w:type="dxa"/>
            <w:tcBorders>
              <w:top w:val="nil"/>
              <w:left w:val="nil"/>
              <w:bottom w:val="single" w:sz="4" w:space="0" w:color="auto"/>
              <w:right w:val="nil"/>
            </w:tcBorders>
          </w:tcPr>
          <w:p w14:paraId="65E8979C" w14:textId="77777777" w:rsidR="00E52109" w:rsidRPr="002A32CB" w:rsidRDefault="00E52109" w:rsidP="004858F5"/>
        </w:tc>
        <w:tc>
          <w:tcPr>
            <w:tcW w:w="2236" w:type="dxa"/>
            <w:tcBorders>
              <w:top w:val="nil"/>
              <w:left w:val="nil"/>
              <w:bottom w:val="single" w:sz="4" w:space="0" w:color="auto"/>
              <w:right w:val="nil"/>
            </w:tcBorders>
            <w:vAlign w:val="bottom"/>
          </w:tcPr>
          <w:p w14:paraId="270D3788" w14:textId="13FC4D83" w:rsidR="00E52109" w:rsidRDefault="00E52109" w:rsidP="006476E1">
            <w:pPr>
              <w:spacing w:after="80" w:line="300" w:lineRule="exact"/>
              <w:rPr>
                <w:sz w:val="28"/>
                <w:szCs w:val="28"/>
              </w:rPr>
            </w:pPr>
          </w:p>
        </w:tc>
        <w:tc>
          <w:tcPr>
            <w:tcW w:w="6144" w:type="dxa"/>
            <w:tcBorders>
              <w:top w:val="nil"/>
              <w:left w:val="nil"/>
              <w:bottom w:val="single" w:sz="4" w:space="0" w:color="auto"/>
              <w:right w:val="nil"/>
            </w:tcBorders>
            <w:vAlign w:val="bottom"/>
          </w:tcPr>
          <w:p w14:paraId="4118198C" w14:textId="37626775" w:rsidR="00E52109" w:rsidRDefault="0039370E" w:rsidP="0039370E">
            <w:pPr>
              <w:jc w:val="right"/>
            </w:pPr>
            <w:r w:rsidRPr="00224447">
              <w:rPr>
                <w:b/>
                <w:bCs/>
                <w:sz w:val="40"/>
              </w:rPr>
              <w:t>UN</w:t>
            </w:r>
            <w:r w:rsidRPr="00224447">
              <w:rPr>
                <w:b/>
                <w:bCs/>
                <w:sz w:val="40"/>
                <w:szCs w:val="40"/>
              </w:rPr>
              <w:t>/SCETDG/</w:t>
            </w:r>
            <w:r w:rsidR="005A3B9D">
              <w:rPr>
                <w:b/>
                <w:bCs/>
                <w:sz w:val="40"/>
                <w:szCs w:val="40"/>
              </w:rPr>
              <w:t>64</w:t>
            </w:r>
            <w:r w:rsidRPr="00224447">
              <w:rPr>
                <w:b/>
                <w:bCs/>
                <w:sz w:val="40"/>
                <w:szCs w:val="40"/>
              </w:rPr>
              <w:t>/INF.</w:t>
            </w:r>
            <w:r w:rsidR="004D79DA">
              <w:rPr>
                <w:b/>
                <w:bCs/>
                <w:sz w:val="40"/>
                <w:szCs w:val="40"/>
              </w:rPr>
              <w:t>40</w:t>
            </w:r>
          </w:p>
        </w:tc>
      </w:tr>
    </w:tbl>
    <w:p w14:paraId="1D7B5338" w14:textId="77777777" w:rsidR="0039370E" w:rsidRPr="006500BA" w:rsidRDefault="0039370E"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1F343A07" w14:textId="39CCB17F" w:rsidR="0039370E" w:rsidRPr="006500BA" w:rsidRDefault="0039370E" w:rsidP="004858F5">
      <w:pPr>
        <w:spacing w:before="120"/>
        <w:rPr>
          <w:rFonts w:ascii="Helv" w:hAnsi="Helv" w:cs="Helv"/>
          <w:b/>
          <w:color w:val="000000"/>
        </w:rPr>
      </w:pPr>
      <w:r w:rsidRPr="006500BA">
        <w:rPr>
          <w:b/>
        </w:rPr>
        <w:t xml:space="preserve">Sub-Committee of Experts on the </w:t>
      </w:r>
      <w:r>
        <w:rPr>
          <w:b/>
        </w:rPr>
        <w:t>Transport of Dangerous Goods</w:t>
      </w:r>
      <w:r w:rsidR="0033310E">
        <w:rPr>
          <w:b/>
        </w:rPr>
        <w:tab/>
      </w:r>
      <w:r w:rsidR="0033310E">
        <w:rPr>
          <w:b/>
        </w:rPr>
        <w:tab/>
      </w:r>
      <w:r w:rsidR="0033310E">
        <w:rPr>
          <w:b/>
        </w:rPr>
        <w:tab/>
      </w:r>
      <w:r w:rsidR="0033310E">
        <w:rPr>
          <w:b/>
        </w:rPr>
        <w:tab/>
      </w:r>
      <w:r w:rsidR="004D79DA">
        <w:rPr>
          <w:b/>
        </w:rPr>
        <w:t>20</w:t>
      </w:r>
      <w:r w:rsidR="00E56FDD">
        <w:rPr>
          <w:b/>
        </w:rPr>
        <w:t xml:space="preserve"> June</w:t>
      </w:r>
      <w:r w:rsidR="0033310E" w:rsidRPr="00F90EE7">
        <w:rPr>
          <w:b/>
        </w:rPr>
        <w:t xml:space="preserve"> 2024</w:t>
      </w:r>
    </w:p>
    <w:p w14:paraId="31A2D83D" w14:textId="1329787F" w:rsidR="0039370E" w:rsidRPr="006500BA" w:rsidRDefault="002E76EA" w:rsidP="004858F5">
      <w:pPr>
        <w:spacing w:before="120"/>
        <w:rPr>
          <w:b/>
        </w:rPr>
      </w:pPr>
      <w:r>
        <w:rPr>
          <w:b/>
        </w:rPr>
        <w:t>Sixty-fourth</w:t>
      </w:r>
      <w:r w:rsidR="0039370E">
        <w:rPr>
          <w:b/>
        </w:rPr>
        <w:t xml:space="preserve"> </w:t>
      </w:r>
      <w:r w:rsidR="0039370E" w:rsidRPr="006500BA">
        <w:rPr>
          <w:b/>
        </w:rPr>
        <w:t>session</w:t>
      </w:r>
    </w:p>
    <w:p w14:paraId="4F4E70C1" w14:textId="57D5494B" w:rsidR="0039370E" w:rsidRPr="006500BA" w:rsidRDefault="0039370E" w:rsidP="004858F5">
      <w:r w:rsidRPr="006500BA">
        <w:t xml:space="preserve">Geneva, </w:t>
      </w:r>
      <w:r w:rsidR="00F13BB0">
        <w:t>24 June-3 July</w:t>
      </w:r>
      <w:r w:rsidR="002E76EA">
        <w:t xml:space="preserve"> 2024</w:t>
      </w:r>
      <w:r>
        <w:t xml:space="preserve"> </w:t>
      </w:r>
    </w:p>
    <w:p w14:paraId="04B2E2B3" w14:textId="6C9B981C" w:rsidR="001F6C71" w:rsidRDefault="0039370E" w:rsidP="001F6C71">
      <w:r w:rsidRPr="006500BA">
        <w:t xml:space="preserve">Item </w:t>
      </w:r>
      <w:r w:rsidR="009300DB">
        <w:t xml:space="preserve">3 </w:t>
      </w:r>
      <w:r w:rsidRPr="006500BA">
        <w:t>of the provisional agenda</w:t>
      </w:r>
    </w:p>
    <w:p w14:paraId="3B8B1D7D" w14:textId="77777777" w:rsidR="009300DB" w:rsidRDefault="009300DB" w:rsidP="009300DB">
      <w:pPr>
        <w:rPr>
          <w:b/>
          <w:bCs/>
        </w:rPr>
      </w:pPr>
      <w:r w:rsidRPr="005F3CE0">
        <w:rPr>
          <w:b/>
          <w:bCs/>
        </w:rPr>
        <w:t>Listing, classification and packing</w:t>
      </w:r>
    </w:p>
    <w:p w14:paraId="1EEBEEB5" w14:textId="77777777" w:rsidR="001666EA" w:rsidRPr="00DA18A2" w:rsidRDefault="00CC7758" w:rsidP="007F3BC7">
      <w:pPr>
        <w:pStyle w:val="HChG"/>
        <w:rPr>
          <w:lang w:eastAsia="ja-JP"/>
        </w:rPr>
      </w:pPr>
      <w:r>
        <w:tab/>
      </w:r>
      <w:r>
        <w:tab/>
      </w:r>
      <w:r w:rsidR="001666EA" w:rsidRPr="00DA18A2">
        <w:rPr>
          <w:lang w:eastAsia="ja-JP"/>
        </w:rPr>
        <w:t xml:space="preserve">Listing of Artemisinin and derivatives </w:t>
      </w:r>
      <w:r w:rsidR="001666EA" w:rsidRPr="00DA18A2">
        <w:rPr>
          <w:rFonts w:hint="eastAsia"/>
          <w:lang w:eastAsia="ja-JP"/>
        </w:rPr>
        <w:t>in 2.</w:t>
      </w:r>
      <w:r w:rsidR="001666EA" w:rsidRPr="00DA18A2">
        <w:rPr>
          <w:lang w:eastAsia="ja-JP"/>
        </w:rPr>
        <w:t>5</w:t>
      </w:r>
      <w:r w:rsidR="001666EA" w:rsidRPr="00DA18A2">
        <w:rPr>
          <w:rFonts w:hint="eastAsia"/>
          <w:lang w:eastAsia="ja-JP"/>
        </w:rPr>
        <w:t>.3.2.</w:t>
      </w:r>
      <w:r w:rsidR="001666EA" w:rsidRPr="00DA18A2">
        <w:rPr>
          <w:lang w:eastAsia="ja-JP"/>
        </w:rPr>
        <w:t>4</w:t>
      </w:r>
    </w:p>
    <w:p w14:paraId="5C314FF9" w14:textId="237CDBE2" w:rsidR="001666EA" w:rsidRPr="009C0348" w:rsidRDefault="001666EA" w:rsidP="007F3BC7">
      <w:pPr>
        <w:pStyle w:val="H1G"/>
        <w:rPr>
          <w:szCs w:val="28"/>
          <w:lang w:val="en-US"/>
        </w:rPr>
      </w:pPr>
      <w:bookmarkStart w:id="0" w:name="_Hlk531350542"/>
      <w:r>
        <w:rPr>
          <w:lang w:val="en-US"/>
        </w:rPr>
        <w:tab/>
      </w:r>
      <w:bookmarkEnd w:id="0"/>
      <w:r>
        <w:tab/>
      </w:r>
      <w:r>
        <w:tab/>
      </w:r>
      <w:r w:rsidRPr="002B6CBC">
        <w:rPr>
          <w:lang w:val="en-US"/>
        </w:rPr>
        <w:t>Transmitted by the</w:t>
      </w:r>
      <w:r w:rsidRPr="002B6CBC">
        <w:rPr>
          <w:rFonts w:hint="eastAsia"/>
          <w:lang w:val="en-US"/>
        </w:rPr>
        <w:t xml:space="preserve"> </w:t>
      </w:r>
      <w:r>
        <w:rPr>
          <w:lang w:val="en-US"/>
        </w:rPr>
        <w:t>expert</w:t>
      </w:r>
      <w:r w:rsidR="00C4143B">
        <w:rPr>
          <w:lang w:val="en-US"/>
        </w:rPr>
        <w:t>s</w:t>
      </w:r>
      <w:r>
        <w:rPr>
          <w:lang w:val="en-US"/>
        </w:rPr>
        <w:t xml:space="preserve"> f</w:t>
      </w:r>
      <w:r w:rsidRPr="002B6CBC">
        <w:rPr>
          <w:rFonts w:hint="eastAsia"/>
          <w:lang w:val="en-US"/>
        </w:rPr>
        <w:t xml:space="preserve">rom </w:t>
      </w:r>
      <w:r w:rsidRPr="002B6CBC">
        <w:rPr>
          <w:lang w:val="en-US"/>
        </w:rPr>
        <w:t>China</w:t>
      </w:r>
      <w:r>
        <w:t xml:space="preserve"> and the European Chemical Industry Council (Cefic)</w:t>
      </w:r>
    </w:p>
    <w:p w14:paraId="6AD5E277" w14:textId="77777777" w:rsidR="001666EA" w:rsidRPr="009375E8" w:rsidRDefault="001666EA" w:rsidP="001666EA">
      <w:pPr>
        <w:pStyle w:val="HChG"/>
      </w:pPr>
      <w:r>
        <w:tab/>
        <w:t>I.</w:t>
      </w:r>
      <w:r>
        <w:tab/>
      </w:r>
      <w:r w:rsidRPr="009375E8">
        <w:t>Introduction</w:t>
      </w:r>
    </w:p>
    <w:p w14:paraId="2A5DD55C" w14:textId="77777777" w:rsidR="001666EA" w:rsidRDefault="001666EA" w:rsidP="001666EA">
      <w:pPr>
        <w:pStyle w:val="SingleTxtG"/>
      </w:pPr>
      <w:r>
        <w:t>1.</w:t>
      </w:r>
      <w:r>
        <w:tab/>
      </w:r>
      <w:r w:rsidRPr="00194154">
        <w:t xml:space="preserve">Artemisinin is a natural product with peroxide bridge structure extracted from the plant Artemisia annua, which is one of the most effective drugs in the treatment of malaria. A series of derivatives prepared through deep processing of artemisinin are also commonly used in the treatment of malaria. Common </w:t>
      </w:r>
      <w:r w:rsidRPr="00D263C8">
        <w:t>artemisinin derivatives</w:t>
      </w:r>
      <w:r w:rsidRPr="00194154">
        <w:t xml:space="preserve"> include artemether, </w:t>
      </w:r>
      <w:proofErr w:type="spellStart"/>
      <w:r w:rsidRPr="00194154">
        <w:t>dihydroartemisinin</w:t>
      </w:r>
      <w:proofErr w:type="spellEnd"/>
      <w:r w:rsidRPr="00194154">
        <w:t xml:space="preserve">, </w:t>
      </w:r>
      <w:proofErr w:type="spellStart"/>
      <w:r>
        <w:t>a</w:t>
      </w:r>
      <w:r w:rsidRPr="00194154">
        <w:t>rteether</w:t>
      </w:r>
      <w:proofErr w:type="spellEnd"/>
      <w:r w:rsidRPr="00194154">
        <w:t>, artesunate, etc.</w:t>
      </w:r>
    </w:p>
    <w:p w14:paraId="6CCEF413" w14:textId="5EBC1FE8" w:rsidR="001666EA" w:rsidRDefault="001666EA" w:rsidP="001666EA">
      <w:pPr>
        <w:pStyle w:val="SingleTxtG"/>
      </w:pPr>
      <w:r>
        <w:rPr>
          <w:rFonts w:hint="eastAsia"/>
        </w:rPr>
        <w:t>2</w:t>
      </w:r>
      <w:r>
        <w:t>.</w:t>
      </w:r>
      <w:r>
        <w:tab/>
      </w:r>
      <w:r>
        <w:rPr>
          <w:rFonts w:hint="eastAsia"/>
        </w:rPr>
        <w:t>A</w:t>
      </w:r>
      <w:r>
        <w:t xml:space="preserve">t the </w:t>
      </w:r>
      <w:r w:rsidR="00400EB7">
        <w:t>thirty-eight</w:t>
      </w:r>
      <w:r w:rsidR="00904D78">
        <w:t>h</w:t>
      </w:r>
      <w:r>
        <w:t xml:space="preserve"> session of Sub-Committee of Experts on the Transport of Dangerous Goods, the Sub-Committee adopted the propos</w:t>
      </w:r>
      <w:r>
        <w:rPr>
          <w:rFonts w:hint="eastAsia"/>
        </w:rPr>
        <w:t>a</w:t>
      </w:r>
      <w:r>
        <w:t>l</w:t>
      </w:r>
      <w:r w:rsidRPr="0085527D">
        <w:t xml:space="preserve"> </w:t>
      </w:r>
      <w:r>
        <w:t>of d</w:t>
      </w:r>
      <w:r w:rsidRPr="0085527D">
        <w:t xml:space="preserve">ocument ST/SG/AC.10/C.3/2010/53 </w:t>
      </w:r>
      <w:r>
        <w:t xml:space="preserve">by including a new entry "[3R-(3R, 5aS, 6S, 8aS, 9R, 10R, 12S, 12aR**)]-DECAHYDRO-10-METHOXY-3,6,9-TRIMETHYL-3,12-EPOXY-12H-PYRANO[4,3-j]-1,2-BENZODIOXEPIN" (UN 3106, organic peroxide type D) to </w:t>
      </w:r>
      <w:r w:rsidRPr="0085527D">
        <w:rPr>
          <w:i/>
          <w:iCs/>
        </w:rPr>
        <w:t>list of currently assigned organic peroxides in packagings</w:t>
      </w:r>
      <w:r>
        <w:t xml:space="preserve"> in </w:t>
      </w:r>
      <w:r w:rsidRPr="0045759D">
        <w:rPr>
          <w:i/>
          <w:iCs/>
        </w:rPr>
        <w:t>Model Regulations</w:t>
      </w:r>
      <w:r>
        <w:t xml:space="preserve"> 2.5.3.2.4. </w:t>
      </w:r>
      <w:r w:rsidRPr="00D263C8">
        <w:t>The name of this entry adopts the chemical name of the substance, which is similar to the chemical name of artemether, which is "(3R, 5aS, 6R, 8aS, 9R, 10S, 12R, 12aR)-</w:t>
      </w:r>
      <w:r>
        <w:t>d</w:t>
      </w:r>
      <w:r w:rsidRPr="00D263C8">
        <w:t>ecahydro-10-methoxy-3,6,9-trimethyl-3,12-epoxy-12H-pyrano[4,3-j]-1,2-benzodioxepin", the difference between the two is the description of the chiral site, The original entry name is inaccurate. Artemether is produced by a chemical reaction of artemisinin (Figure 1)</w:t>
      </w:r>
      <w:r>
        <w:t>.</w:t>
      </w:r>
    </w:p>
    <w:p w14:paraId="5A766BF2" w14:textId="77777777" w:rsidR="001666EA" w:rsidRDefault="001666EA" w:rsidP="001666EA">
      <w:pPr>
        <w:pStyle w:val="SingleTxtG"/>
      </w:pPr>
    </w:p>
    <w:p w14:paraId="0C180440" w14:textId="5AF38633" w:rsidR="001666EA" w:rsidRPr="001918CE" w:rsidRDefault="001666EA" w:rsidP="001666EA">
      <w:pPr>
        <w:pStyle w:val="SingleTxtG"/>
        <w:jc w:val="center"/>
        <w:rPr>
          <w:b/>
          <w:bCs/>
          <w:sz w:val="21"/>
          <w:szCs w:val="21"/>
        </w:rPr>
      </w:pPr>
      <w:r w:rsidRPr="001918CE">
        <w:rPr>
          <w:b/>
          <w:bCs/>
          <w:sz w:val="21"/>
          <w:szCs w:val="21"/>
        </w:rPr>
        <w:t>Figure 1: Artemisinin is chemically reacted to produce artemether</w:t>
      </w:r>
      <w:r w:rsidR="00AD6218">
        <w:rPr>
          <w:b/>
          <w:bCs/>
          <w:sz w:val="21"/>
          <w:szCs w:val="21"/>
        </w:rPr>
        <w:t>.</w:t>
      </w:r>
    </w:p>
    <w:bookmarkStart w:id="1" w:name="OLE_LINK5"/>
    <w:p w14:paraId="1067BCDB" w14:textId="77777777" w:rsidR="001666EA" w:rsidRDefault="001666EA" w:rsidP="001666EA">
      <w:pPr>
        <w:pStyle w:val="SingleTxtG"/>
        <w:jc w:val="center"/>
      </w:pPr>
      <w:r w:rsidRPr="00724C3A">
        <w:rPr>
          <w:lang w:val="en-US"/>
        </w:rPr>
        <w:object w:dxaOrig="10595" w:dyaOrig="3498" w14:anchorId="14A781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0.75pt;height:105.65pt" o:ole="">
            <v:imagedata r:id="rId11" o:title=""/>
          </v:shape>
          <o:OLEObject Type="Embed" ProgID="ChemDraw.Document.6.0" ShapeID="_x0000_i1025" DrawAspect="Content" ObjectID="_1780406705" r:id="rId12"/>
        </w:object>
      </w:r>
      <w:bookmarkEnd w:id="1"/>
    </w:p>
    <w:p w14:paraId="76C4DA79" w14:textId="77777777" w:rsidR="001666EA" w:rsidRDefault="001666EA" w:rsidP="001666EA">
      <w:pPr>
        <w:pStyle w:val="SingleTxtG"/>
        <w:jc w:val="center"/>
      </w:pPr>
    </w:p>
    <w:p w14:paraId="78FE47A5" w14:textId="1892F3E4" w:rsidR="001666EA" w:rsidRDefault="001666EA" w:rsidP="001666EA">
      <w:pPr>
        <w:pStyle w:val="SingleTxtG"/>
      </w:pPr>
      <w:r>
        <w:t>3.</w:t>
      </w:r>
      <w:r>
        <w:tab/>
      </w:r>
      <w:bookmarkStart w:id="2" w:name="OLE_LINK3"/>
      <w:r w:rsidRPr="007D61FE">
        <w:t>Both artemisinin and artemether contain peroxide bridge structures and exhibit the properties of organic peroxides. Nanjing University of Science &amp; Technology (NJUST), TNO, BAM and other institutions carried out classification tests on artemisinin,</w:t>
      </w:r>
      <w:r>
        <w:t xml:space="preserve"> </w:t>
      </w:r>
      <w:r w:rsidRPr="007D61FE">
        <w:t>and the classification results are UN</w:t>
      </w:r>
      <w:r w:rsidR="00230715">
        <w:t> </w:t>
      </w:r>
      <w:r w:rsidRPr="007D61FE">
        <w:t>3106 (type D organic peroxide) or UN</w:t>
      </w:r>
      <w:r w:rsidR="00230715">
        <w:t> </w:t>
      </w:r>
      <w:r w:rsidRPr="007D61FE">
        <w:t xml:space="preserve">3108 (organic peroxide type E) (Table 1). </w:t>
      </w:r>
      <w:r>
        <w:rPr>
          <w:rFonts w:hint="eastAsia"/>
        </w:rPr>
        <w:t>In</w:t>
      </w:r>
      <w:r>
        <w:t xml:space="preserve"> t</w:t>
      </w:r>
      <w:r w:rsidRPr="007D61FE">
        <w:t xml:space="preserve">he </w:t>
      </w:r>
      <w:r>
        <w:t>c</w:t>
      </w:r>
      <w:r w:rsidRPr="00D63C9F">
        <w:t xml:space="preserve">ompetent </w:t>
      </w:r>
      <w:r>
        <w:t>a</w:t>
      </w:r>
      <w:r w:rsidRPr="00D63C9F">
        <w:t>uthority approval</w:t>
      </w:r>
      <w:r w:rsidRPr="007D61FE">
        <w:t xml:space="preserve"> of the U.S. Department of Transportation and the Swiss Federal Inspectorate of Dangerous Goods</w:t>
      </w:r>
      <w:r>
        <w:t>,</w:t>
      </w:r>
      <w:r w:rsidRPr="007D61FE">
        <w:t xml:space="preserve"> </w:t>
      </w:r>
      <w:r>
        <w:t>the classification</w:t>
      </w:r>
      <w:r w:rsidRPr="007D61FE">
        <w:t xml:space="preserve"> results</w:t>
      </w:r>
      <w:r>
        <w:t xml:space="preserve"> of </w:t>
      </w:r>
      <w:r w:rsidRPr="007D61FE">
        <w:t xml:space="preserve">artemether </w:t>
      </w:r>
      <w:r>
        <w:rPr>
          <w:rFonts w:hint="eastAsia"/>
        </w:rPr>
        <w:t>is</w:t>
      </w:r>
      <w:r w:rsidRPr="007D61FE">
        <w:t xml:space="preserve"> UN</w:t>
      </w:r>
      <w:r w:rsidR="00230715">
        <w:t> </w:t>
      </w:r>
      <w:r w:rsidRPr="007D61FE">
        <w:t>3106 (organic peroxide type D) (Table 2).</w:t>
      </w:r>
    </w:p>
    <w:bookmarkEnd w:id="2"/>
    <w:p w14:paraId="4E0F702A" w14:textId="77777777" w:rsidR="001666EA" w:rsidRPr="00F62C11" w:rsidRDefault="001666EA" w:rsidP="00AD6218">
      <w:pPr>
        <w:pStyle w:val="SingleTxtG"/>
        <w:keepNext/>
        <w:jc w:val="center"/>
        <w:rPr>
          <w:b/>
          <w:bCs/>
        </w:rPr>
      </w:pPr>
      <w:r w:rsidRPr="00F62C11">
        <w:rPr>
          <w:b/>
          <w:bCs/>
        </w:rPr>
        <w:lastRenderedPageBreak/>
        <w:t>Table 1</w:t>
      </w:r>
      <w:r>
        <w:rPr>
          <w:b/>
          <w:bCs/>
        </w:rPr>
        <w:t>:</w:t>
      </w:r>
      <w:r w:rsidRPr="00F62C11">
        <w:rPr>
          <w:b/>
          <w:bCs/>
        </w:rPr>
        <w:t xml:space="preserve"> </w:t>
      </w:r>
      <w:r w:rsidRPr="00F62C11">
        <w:rPr>
          <w:rFonts w:hint="eastAsia"/>
          <w:b/>
          <w:bCs/>
        </w:rPr>
        <w:t>T</w:t>
      </w:r>
      <w:r w:rsidRPr="00F62C11">
        <w:rPr>
          <w:b/>
          <w:bCs/>
        </w:rPr>
        <w:t xml:space="preserve">he classification results </w:t>
      </w:r>
      <w:r w:rsidRPr="00F62C11">
        <w:rPr>
          <w:rFonts w:hint="eastAsia"/>
          <w:b/>
          <w:bCs/>
        </w:rPr>
        <w:t>of</w:t>
      </w:r>
      <w:r w:rsidRPr="00F62C11">
        <w:rPr>
          <w:b/>
          <w:bCs/>
        </w:rPr>
        <w:t xml:space="preserve"> artemisinin.</w:t>
      </w:r>
    </w:p>
    <w:tbl>
      <w:tblPr>
        <w:tblStyle w:val="TableGrid"/>
        <w:tblW w:w="0" w:type="auto"/>
        <w:jc w:val="center"/>
        <w:tblLayout w:type="fixed"/>
        <w:tblCellMar>
          <w:left w:w="57" w:type="dxa"/>
          <w:right w:w="57" w:type="dxa"/>
        </w:tblCellMar>
        <w:tblLook w:val="04A0" w:firstRow="1" w:lastRow="0" w:firstColumn="1" w:lastColumn="0" w:noHBand="0" w:noVBand="1"/>
      </w:tblPr>
      <w:tblGrid>
        <w:gridCol w:w="1555"/>
        <w:gridCol w:w="2014"/>
        <w:gridCol w:w="3862"/>
      </w:tblGrid>
      <w:tr w:rsidR="001666EA" w14:paraId="0C12A5CB" w14:textId="77777777" w:rsidTr="002D6F7B">
        <w:trPr>
          <w:trHeight w:val="259"/>
          <w:jc w:val="center"/>
        </w:trPr>
        <w:tc>
          <w:tcPr>
            <w:tcW w:w="1555" w:type="dxa"/>
          </w:tcPr>
          <w:p w14:paraId="414ED266" w14:textId="77777777" w:rsidR="001666EA" w:rsidRPr="00F62C11" w:rsidRDefault="001666EA" w:rsidP="002D6F7B">
            <w:pPr>
              <w:pStyle w:val="SingleTxtG"/>
              <w:spacing w:after="0" w:line="240" w:lineRule="auto"/>
              <w:ind w:left="0" w:right="0"/>
              <w:jc w:val="center"/>
              <w:rPr>
                <w:b/>
                <w:bCs/>
                <w:lang w:eastAsia="zh-CN"/>
              </w:rPr>
            </w:pPr>
            <w:r w:rsidRPr="00F62C11">
              <w:rPr>
                <w:rFonts w:hint="eastAsia"/>
                <w:b/>
                <w:bCs/>
                <w:lang w:eastAsia="zh-CN"/>
              </w:rPr>
              <w:t>Date</w:t>
            </w:r>
          </w:p>
        </w:tc>
        <w:tc>
          <w:tcPr>
            <w:tcW w:w="2014" w:type="dxa"/>
          </w:tcPr>
          <w:p w14:paraId="07EA766A" w14:textId="77777777" w:rsidR="001666EA" w:rsidRPr="00F62C11" w:rsidRDefault="001666EA" w:rsidP="002D6F7B">
            <w:pPr>
              <w:pStyle w:val="SingleTxtG"/>
              <w:spacing w:after="0" w:line="240" w:lineRule="auto"/>
              <w:ind w:left="0" w:right="0"/>
              <w:jc w:val="center"/>
              <w:rPr>
                <w:b/>
                <w:bCs/>
                <w:lang w:eastAsia="zh-CN"/>
              </w:rPr>
            </w:pPr>
            <w:r>
              <w:rPr>
                <w:b/>
                <w:bCs/>
                <w:lang w:eastAsia="zh-CN"/>
              </w:rPr>
              <w:t>I</w:t>
            </w:r>
            <w:r w:rsidRPr="00F62C11">
              <w:rPr>
                <w:b/>
                <w:bCs/>
                <w:lang w:eastAsia="zh-CN"/>
              </w:rPr>
              <w:t>nstitutions</w:t>
            </w:r>
          </w:p>
        </w:tc>
        <w:tc>
          <w:tcPr>
            <w:tcW w:w="3862" w:type="dxa"/>
          </w:tcPr>
          <w:p w14:paraId="48CD6E70" w14:textId="77777777" w:rsidR="001666EA" w:rsidRPr="00F62C11" w:rsidRDefault="001666EA" w:rsidP="002D6F7B">
            <w:pPr>
              <w:pStyle w:val="SingleTxtG"/>
              <w:spacing w:after="0" w:line="240" w:lineRule="auto"/>
              <w:ind w:left="0" w:right="0"/>
              <w:jc w:val="center"/>
              <w:rPr>
                <w:b/>
                <w:bCs/>
                <w:lang w:eastAsia="zh-CN"/>
              </w:rPr>
            </w:pPr>
            <w:r w:rsidRPr="00F62C11">
              <w:rPr>
                <w:b/>
                <w:bCs/>
                <w:lang w:eastAsia="zh-CN"/>
              </w:rPr>
              <w:t>T</w:t>
            </w:r>
            <w:r w:rsidRPr="00F62C11">
              <w:rPr>
                <w:rFonts w:hint="eastAsia"/>
                <w:b/>
                <w:bCs/>
                <w:lang w:eastAsia="zh-CN"/>
              </w:rPr>
              <w:t>est result</w:t>
            </w:r>
          </w:p>
        </w:tc>
      </w:tr>
      <w:tr w:rsidR="001666EA" w14:paraId="08760E3B" w14:textId="77777777" w:rsidTr="002D6F7B">
        <w:trPr>
          <w:trHeight w:val="259"/>
          <w:jc w:val="center"/>
        </w:trPr>
        <w:tc>
          <w:tcPr>
            <w:tcW w:w="1555" w:type="dxa"/>
          </w:tcPr>
          <w:p w14:paraId="426F0DD3" w14:textId="77777777" w:rsidR="001666EA" w:rsidRDefault="001666EA" w:rsidP="002D6F7B">
            <w:pPr>
              <w:pStyle w:val="SingleTxtG"/>
              <w:spacing w:after="0" w:line="240" w:lineRule="auto"/>
              <w:ind w:left="0" w:right="0"/>
              <w:jc w:val="center"/>
              <w:rPr>
                <w:lang w:eastAsia="zh-CN"/>
              </w:rPr>
            </w:pPr>
            <w:r w:rsidRPr="00F62C11">
              <w:rPr>
                <w:lang w:eastAsia="zh-CN"/>
              </w:rPr>
              <w:t>December 2011</w:t>
            </w:r>
          </w:p>
        </w:tc>
        <w:tc>
          <w:tcPr>
            <w:tcW w:w="2014" w:type="dxa"/>
          </w:tcPr>
          <w:p w14:paraId="39723085" w14:textId="77777777" w:rsidR="001666EA" w:rsidRDefault="001666EA" w:rsidP="002D6F7B">
            <w:pPr>
              <w:pStyle w:val="SingleTxtG"/>
              <w:spacing w:after="0" w:line="240" w:lineRule="auto"/>
              <w:ind w:left="0" w:right="0"/>
              <w:jc w:val="center"/>
              <w:rPr>
                <w:lang w:eastAsia="zh-CN"/>
              </w:rPr>
            </w:pPr>
            <w:r w:rsidRPr="003C6C07">
              <w:rPr>
                <w:lang w:eastAsia="zh-CN"/>
              </w:rPr>
              <w:t>N</w:t>
            </w:r>
            <w:r>
              <w:rPr>
                <w:lang w:eastAsia="zh-CN"/>
              </w:rPr>
              <w:t>J</w:t>
            </w:r>
            <w:r>
              <w:rPr>
                <w:rFonts w:hint="eastAsia"/>
                <w:lang w:eastAsia="zh-CN"/>
              </w:rPr>
              <w:t>UST</w:t>
            </w:r>
          </w:p>
        </w:tc>
        <w:tc>
          <w:tcPr>
            <w:tcW w:w="3862" w:type="dxa"/>
          </w:tcPr>
          <w:p w14:paraId="6CBC2220" w14:textId="77777777" w:rsidR="001666EA" w:rsidRDefault="001666EA" w:rsidP="002D6F7B">
            <w:pPr>
              <w:pStyle w:val="SingleTxtG"/>
              <w:spacing w:after="0" w:line="240" w:lineRule="auto"/>
              <w:ind w:left="0" w:right="0"/>
              <w:jc w:val="center"/>
              <w:rPr>
                <w:lang w:eastAsia="zh-CN"/>
              </w:rPr>
            </w:pPr>
            <w:r w:rsidRPr="00A07CD6">
              <w:rPr>
                <w:rFonts w:hint="eastAsia"/>
                <w:lang w:eastAsia="zh-CN"/>
              </w:rPr>
              <w:t>UN3106</w:t>
            </w:r>
            <w:r>
              <w:rPr>
                <w:rFonts w:hint="eastAsia"/>
                <w:lang w:eastAsia="zh-CN"/>
              </w:rPr>
              <w:t xml:space="preserve">, </w:t>
            </w:r>
            <w:r w:rsidRPr="00A07CD6">
              <w:rPr>
                <w:rFonts w:hint="eastAsia"/>
                <w:lang w:eastAsia="zh-CN"/>
              </w:rPr>
              <w:t>5.2</w:t>
            </w:r>
            <w:r>
              <w:rPr>
                <w:rFonts w:hint="eastAsia"/>
                <w:lang w:eastAsia="zh-CN"/>
              </w:rPr>
              <w:t>, Organic Peroxide</w:t>
            </w:r>
            <w:r>
              <w:rPr>
                <w:lang w:eastAsia="zh-CN"/>
              </w:rPr>
              <w:t xml:space="preserve"> </w:t>
            </w:r>
            <w:r>
              <w:rPr>
                <w:rFonts w:hint="eastAsia"/>
                <w:lang w:eastAsia="zh-CN"/>
              </w:rPr>
              <w:t>Type D</w:t>
            </w:r>
          </w:p>
        </w:tc>
      </w:tr>
      <w:tr w:rsidR="001666EA" w14:paraId="6E987B8A" w14:textId="77777777" w:rsidTr="002D6F7B">
        <w:trPr>
          <w:trHeight w:val="259"/>
          <w:jc w:val="center"/>
        </w:trPr>
        <w:tc>
          <w:tcPr>
            <w:tcW w:w="1555" w:type="dxa"/>
          </w:tcPr>
          <w:p w14:paraId="340C906D" w14:textId="77777777" w:rsidR="001666EA" w:rsidRDefault="001666EA" w:rsidP="002D6F7B">
            <w:pPr>
              <w:pStyle w:val="SingleTxtG"/>
              <w:spacing w:after="0" w:line="240" w:lineRule="auto"/>
              <w:ind w:left="0" w:right="0"/>
              <w:jc w:val="center"/>
              <w:rPr>
                <w:lang w:eastAsia="zh-CN"/>
              </w:rPr>
            </w:pPr>
            <w:r>
              <w:rPr>
                <w:rFonts w:hint="eastAsia"/>
                <w:lang w:eastAsia="zh-CN"/>
              </w:rPr>
              <w:t>Nov</w:t>
            </w:r>
            <w:r>
              <w:rPr>
                <w:lang w:eastAsia="zh-CN"/>
              </w:rPr>
              <w:t>ember</w:t>
            </w:r>
            <w:r>
              <w:rPr>
                <w:rFonts w:hint="eastAsia"/>
                <w:lang w:eastAsia="zh-CN"/>
              </w:rPr>
              <w:t xml:space="preserve"> 2</w:t>
            </w:r>
            <w:r>
              <w:rPr>
                <w:lang w:eastAsia="zh-CN"/>
              </w:rPr>
              <w:t>012</w:t>
            </w:r>
          </w:p>
        </w:tc>
        <w:tc>
          <w:tcPr>
            <w:tcW w:w="2014" w:type="dxa"/>
          </w:tcPr>
          <w:p w14:paraId="610D78C4" w14:textId="77777777" w:rsidR="001666EA" w:rsidRDefault="001666EA" w:rsidP="002D6F7B">
            <w:pPr>
              <w:pStyle w:val="SingleTxtG"/>
              <w:spacing w:after="0" w:line="240" w:lineRule="auto"/>
              <w:ind w:left="0" w:right="0"/>
              <w:jc w:val="center"/>
              <w:rPr>
                <w:lang w:eastAsia="zh-CN"/>
              </w:rPr>
            </w:pPr>
            <w:r>
              <w:rPr>
                <w:rFonts w:hint="eastAsia"/>
                <w:lang w:eastAsia="zh-CN"/>
              </w:rPr>
              <w:t>TNO</w:t>
            </w:r>
          </w:p>
        </w:tc>
        <w:tc>
          <w:tcPr>
            <w:tcW w:w="3862" w:type="dxa"/>
          </w:tcPr>
          <w:p w14:paraId="5CDEE8DE" w14:textId="77777777" w:rsidR="001666EA" w:rsidRDefault="001666EA" w:rsidP="002D6F7B">
            <w:pPr>
              <w:pStyle w:val="SingleTxtG"/>
              <w:spacing w:after="0" w:line="240" w:lineRule="auto"/>
              <w:ind w:left="0" w:right="0"/>
              <w:jc w:val="center"/>
              <w:rPr>
                <w:lang w:eastAsia="zh-CN"/>
              </w:rPr>
            </w:pPr>
            <w:r w:rsidRPr="00A07CD6">
              <w:rPr>
                <w:rFonts w:hint="eastAsia"/>
                <w:lang w:eastAsia="zh-CN"/>
              </w:rPr>
              <w:t>UN310</w:t>
            </w:r>
            <w:r>
              <w:rPr>
                <w:lang w:eastAsia="zh-CN"/>
              </w:rPr>
              <w:t>8</w:t>
            </w:r>
            <w:r>
              <w:rPr>
                <w:rFonts w:hint="eastAsia"/>
                <w:lang w:eastAsia="zh-CN"/>
              </w:rPr>
              <w:t xml:space="preserve">, </w:t>
            </w:r>
            <w:r w:rsidRPr="00A07CD6">
              <w:rPr>
                <w:rFonts w:hint="eastAsia"/>
                <w:lang w:eastAsia="zh-CN"/>
              </w:rPr>
              <w:t>5.2</w:t>
            </w:r>
            <w:r>
              <w:rPr>
                <w:rFonts w:hint="eastAsia"/>
                <w:lang w:eastAsia="zh-CN"/>
              </w:rPr>
              <w:t>, II, Organic Peroxide Type E</w:t>
            </w:r>
          </w:p>
        </w:tc>
      </w:tr>
      <w:tr w:rsidR="001666EA" w14:paraId="36F1F633" w14:textId="77777777" w:rsidTr="002D6F7B">
        <w:trPr>
          <w:trHeight w:val="259"/>
          <w:jc w:val="center"/>
        </w:trPr>
        <w:tc>
          <w:tcPr>
            <w:tcW w:w="1555" w:type="dxa"/>
          </w:tcPr>
          <w:p w14:paraId="6AC856BD" w14:textId="77777777" w:rsidR="001666EA" w:rsidRDefault="001666EA" w:rsidP="002D6F7B">
            <w:pPr>
              <w:pStyle w:val="SingleTxtG"/>
              <w:spacing w:after="0" w:line="240" w:lineRule="auto"/>
              <w:ind w:left="0" w:right="0"/>
              <w:jc w:val="center"/>
              <w:rPr>
                <w:lang w:eastAsia="zh-CN"/>
              </w:rPr>
            </w:pPr>
            <w:r>
              <w:rPr>
                <w:rFonts w:hint="eastAsia"/>
                <w:lang w:eastAsia="zh-CN"/>
              </w:rPr>
              <w:t>Apr</w:t>
            </w:r>
            <w:r>
              <w:rPr>
                <w:lang w:eastAsia="zh-CN"/>
              </w:rPr>
              <w:t>il</w:t>
            </w:r>
            <w:r>
              <w:rPr>
                <w:rFonts w:hint="eastAsia"/>
                <w:lang w:eastAsia="zh-CN"/>
              </w:rPr>
              <w:t xml:space="preserve"> 2</w:t>
            </w:r>
            <w:r>
              <w:rPr>
                <w:lang w:eastAsia="zh-CN"/>
              </w:rPr>
              <w:t>014</w:t>
            </w:r>
          </w:p>
        </w:tc>
        <w:tc>
          <w:tcPr>
            <w:tcW w:w="2014" w:type="dxa"/>
          </w:tcPr>
          <w:p w14:paraId="22B4895F" w14:textId="77777777" w:rsidR="001666EA" w:rsidRDefault="001666EA" w:rsidP="002D6F7B">
            <w:pPr>
              <w:pStyle w:val="SingleTxtG"/>
              <w:spacing w:after="0" w:line="240" w:lineRule="auto"/>
              <w:ind w:left="0" w:right="0"/>
              <w:jc w:val="center"/>
              <w:rPr>
                <w:lang w:eastAsia="zh-CN"/>
              </w:rPr>
            </w:pPr>
            <w:r>
              <w:rPr>
                <w:rFonts w:hint="eastAsia"/>
                <w:lang w:eastAsia="zh-CN"/>
              </w:rPr>
              <w:t>BAM</w:t>
            </w:r>
          </w:p>
        </w:tc>
        <w:tc>
          <w:tcPr>
            <w:tcW w:w="3862" w:type="dxa"/>
          </w:tcPr>
          <w:p w14:paraId="0306CCF8" w14:textId="77777777" w:rsidR="001666EA" w:rsidRDefault="001666EA" w:rsidP="002D6F7B">
            <w:pPr>
              <w:pStyle w:val="SingleTxtG"/>
              <w:spacing w:after="0" w:line="240" w:lineRule="auto"/>
              <w:ind w:left="0" w:right="0"/>
              <w:jc w:val="center"/>
              <w:rPr>
                <w:lang w:eastAsia="zh-CN"/>
              </w:rPr>
            </w:pPr>
            <w:r w:rsidRPr="00A07CD6">
              <w:rPr>
                <w:rFonts w:hint="eastAsia"/>
                <w:lang w:eastAsia="zh-CN"/>
              </w:rPr>
              <w:t>UN3106</w:t>
            </w:r>
            <w:r>
              <w:rPr>
                <w:lang w:eastAsia="zh-CN"/>
              </w:rPr>
              <w:t xml:space="preserve">, </w:t>
            </w:r>
            <w:r w:rsidRPr="00A07CD6">
              <w:rPr>
                <w:rFonts w:hint="eastAsia"/>
                <w:lang w:eastAsia="zh-CN"/>
              </w:rPr>
              <w:t>5.2</w:t>
            </w:r>
            <w:r>
              <w:rPr>
                <w:rFonts w:hint="eastAsia"/>
                <w:lang w:eastAsia="zh-CN"/>
              </w:rPr>
              <w:t>,</w:t>
            </w:r>
            <w:r w:rsidRPr="00A07CD6">
              <w:rPr>
                <w:rFonts w:hint="eastAsia"/>
                <w:lang w:eastAsia="zh-CN"/>
              </w:rPr>
              <w:t xml:space="preserve"> </w:t>
            </w:r>
            <w:r>
              <w:rPr>
                <w:rFonts w:hint="eastAsia"/>
                <w:lang w:eastAsia="zh-CN"/>
              </w:rPr>
              <w:t>Organic Peroxide</w:t>
            </w:r>
            <w:r>
              <w:rPr>
                <w:lang w:eastAsia="zh-CN"/>
              </w:rPr>
              <w:t xml:space="preserve"> </w:t>
            </w:r>
            <w:r>
              <w:rPr>
                <w:rFonts w:hint="eastAsia"/>
                <w:lang w:eastAsia="zh-CN"/>
              </w:rPr>
              <w:t>Type D</w:t>
            </w:r>
          </w:p>
        </w:tc>
      </w:tr>
    </w:tbl>
    <w:p w14:paraId="7B7ECD88" w14:textId="77777777" w:rsidR="001666EA" w:rsidRDefault="001666EA" w:rsidP="001666EA">
      <w:pPr>
        <w:pStyle w:val="SingleTxtG"/>
      </w:pPr>
    </w:p>
    <w:p w14:paraId="4A9FC46E" w14:textId="523B778D" w:rsidR="001666EA" w:rsidRPr="00F62C11" w:rsidRDefault="001666EA" w:rsidP="001666EA">
      <w:pPr>
        <w:pStyle w:val="SingleTxtG"/>
        <w:jc w:val="center"/>
        <w:rPr>
          <w:b/>
          <w:bCs/>
        </w:rPr>
      </w:pPr>
      <w:r w:rsidRPr="00F62C11">
        <w:rPr>
          <w:b/>
          <w:bCs/>
        </w:rPr>
        <w:t>Table 2</w:t>
      </w:r>
      <w:r>
        <w:rPr>
          <w:b/>
          <w:bCs/>
        </w:rPr>
        <w:t>:</w:t>
      </w:r>
      <w:r w:rsidRPr="00F62C11">
        <w:rPr>
          <w:b/>
          <w:bCs/>
        </w:rPr>
        <w:t xml:space="preserve"> </w:t>
      </w:r>
      <w:r w:rsidRPr="00F62C11">
        <w:rPr>
          <w:rFonts w:hint="eastAsia"/>
          <w:b/>
          <w:bCs/>
        </w:rPr>
        <w:t xml:space="preserve">The </w:t>
      </w:r>
      <w:r>
        <w:rPr>
          <w:b/>
          <w:bCs/>
        </w:rPr>
        <w:t>c</w:t>
      </w:r>
      <w:r w:rsidRPr="00F62C11">
        <w:rPr>
          <w:b/>
          <w:bCs/>
        </w:rPr>
        <w:t>lassification results of artemether</w:t>
      </w:r>
      <w:r w:rsidR="00AD6218">
        <w:rPr>
          <w:b/>
          <w:bCs/>
        </w:rPr>
        <w:t>.</w:t>
      </w:r>
    </w:p>
    <w:tbl>
      <w:tblPr>
        <w:tblStyle w:val="TableGrid"/>
        <w:tblW w:w="0" w:type="auto"/>
        <w:jc w:val="center"/>
        <w:tblLayout w:type="fixed"/>
        <w:tblCellMar>
          <w:left w:w="57" w:type="dxa"/>
          <w:right w:w="57" w:type="dxa"/>
        </w:tblCellMar>
        <w:tblLook w:val="04A0" w:firstRow="1" w:lastRow="0" w:firstColumn="1" w:lastColumn="0" w:noHBand="0" w:noVBand="1"/>
      </w:tblPr>
      <w:tblGrid>
        <w:gridCol w:w="1271"/>
        <w:gridCol w:w="2410"/>
        <w:gridCol w:w="3685"/>
      </w:tblGrid>
      <w:tr w:rsidR="001666EA" w14:paraId="78A396C7" w14:textId="77777777" w:rsidTr="002D6F7B">
        <w:trPr>
          <w:trHeight w:val="346"/>
          <w:jc w:val="center"/>
        </w:trPr>
        <w:tc>
          <w:tcPr>
            <w:tcW w:w="1271" w:type="dxa"/>
            <w:vAlign w:val="center"/>
          </w:tcPr>
          <w:p w14:paraId="6E3F8AB2" w14:textId="77777777" w:rsidR="001666EA" w:rsidRPr="00F62C11" w:rsidRDefault="001666EA" w:rsidP="002D6F7B">
            <w:pPr>
              <w:pStyle w:val="SingleTxtG"/>
              <w:spacing w:after="0" w:line="240" w:lineRule="auto"/>
              <w:ind w:left="0" w:right="0"/>
              <w:jc w:val="center"/>
              <w:rPr>
                <w:b/>
                <w:bCs/>
                <w:lang w:eastAsia="zh-CN"/>
              </w:rPr>
            </w:pPr>
            <w:r w:rsidRPr="00F62C11">
              <w:rPr>
                <w:rFonts w:hint="eastAsia"/>
                <w:b/>
                <w:bCs/>
                <w:lang w:eastAsia="zh-CN"/>
              </w:rPr>
              <w:t>Approval No.</w:t>
            </w:r>
          </w:p>
        </w:tc>
        <w:tc>
          <w:tcPr>
            <w:tcW w:w="2410" w:type="dxa"/>
            <w:vAlign w:val="center"/>
          </w:tcPr>
          <w:p w14:paraId="16B8CD98" w14:textId="77777777" w:rsidR="001666EA" w:rsidRPr="00F62C11" w:rsidRDefault="001666EA" w:rsidP="002D6F7B">
            <w:pPr>
              <w:pStyle w:val="SingleTxtG"/>
              <w:spacing w:after="0" w:line="240" w:lineRule="auto"/>
              <w:ind w:left="0" w:right="0"/>
              <w:jc w:val="center"/>
              <w:rPr>
                <w:b/>
                <w:bCs/>
                <w:lang w:eastAsia="zh-CN"/>
              </w:rPr>
            </w:pPr>
            <w:r w:rsidRPr="00F62C11">
              <w:rPr>
                <w:b/>
                <w:bCs/>
                <w:lang w:eastAsia="zh-CN"/>
              </w:rPr>
              <w:t>Competent</w:t>
            </w:r>
            <w:r w:rsidRPr="00F62C11">
              <w:rPr>
                <w:rFonts w:hint="eastAsia"/>
                <w:b/>
                <w:bCs/>
                <w:lang w:eastAsia="zh-CN"/>
              </w:rPr>
              <w:t xml:space="preserve"> Authority</w:t>
            </w:r>
          </w:p>
        </w:tc>
        <w:tc>
          <w:tcPr>
            <w:tcW w:w="3685" w:type="dxa"/>
            <w:vAlign w:val="center"/>
          </w:tcPr>
          <w:p w14:paraId="4AB40EAB" w14:textId="77777777" w:rsidR="001666EA" w:rsidRPr="00F62C11" w:rsidRDefault="001666EA" w:rsidP="002D6F7B">
            <w:pPr>
              <w:pStyle w:val="SingleTxtG"/>
              <w:spacing w:after="0" w:line="240" w:lineRule="auto"/>
              <w:ind w:left="0" w:right="0"/>
              <w:jc w:val="center"/>
              <w:rPr>
                <w:b/>
                <w:bCs/>
                <w:lang w:eastAsia="zh-CN"/>
              </w:rPr>
            </w:pPr>
            <w:r w:rsidRPr="00F62C11">
              <w:rPr>
                <w:b/>
                <w:bCs/>
                <w:lang w:eastAsia="zh-CN"/>
              </w:rPr>
              <w:t>Classification R</w:t>
            </w:r>
            <w:r w:rsidRPr="00F62C11">
              <w:rPr>
                <w:rFonts w:hint="eastAsia"/>
                <w:b/>
                <w:bCs/>
                <w:lang w:eastAsia="zh-CN"/>
              </w:rPr>
              <w:t>esult</w:t>
            </w:r>
          </w:p>
        </w:tc>
      </w:tr>
      <w:tr w:rsidR="001666EA" w14:paraId="3FFBC901" w14:textId="77777777" w:rsidTr="002D6F7B">
        <w:trPr>
          <w:jc w:val="center"/>
        </w:trPr>
        <w:tc>
          <w:tcPr>
            <w:tcW w:w="1271" w:type="dxa"/>
            <w:vAlign w:val="center"/>
          </w:tcPr>
          <w:p w14:paraId="36DC3645" w14:textId="77777777" w:rsidR="001666EA" w:rsidRDefault="001666EA" w:rsidP="002D6F7B">
            <w:pPr>
              <w:pStyle w:val="SingleTxtG"/>
              <w:spacing w:after="0" w:line="240" w:lineRule="auto"/>
              <w:ind w:left="0" w:right="0"/>
              <w:jc w:val="center"/>
              <w:rPr>
                <w:lang w:eastAsia="zh-CN"/>
              </w:rPr>
            </w:pPr>
            <w:r w:rsidRPr="00007653">
              <w:rPr>
                <w:lang w:eastAsia="zh-CN"/>
              </w:rPr>
              <w:t>CA2006080015</w:t>
            </w:r>
            <w:r>
              <w:rPr>
                <w:lang w:eastAsia="zh-CN"/>
              </w:rPr>
              <w:t xml:space="preserve"> </w:t>
            </w:r>
            <w:r>
              <w:rPr>
                <w:rFonts w:hint="eastAsia"/>
                <w:lang w:eastAsia="zh-CN"/>
              </w:rPr>
              <w:t>(</w:t>
            </w:r>
            <w:r>
              <w:rPr>
                <w:lang w:eastAsia="zh-CN"/>
              </w:rPr>
              <w:t>3</w:t>
            </w:r>
            <w:r w:rsidRPr="00007653">
              <w:rPr>
                <w:vertAlign w:val="superscript"/>
                <w:lang w:eastAsia="zh-CN"/>
              </w:rPr>
              <w:t>rd</w:t>
            </w:r>
            <w:r>
              <w:rPr>
                <w:lang w:eastAsia="zh-CN"/>
              </w:rPr>
              <w:t xml:space="preserve"> Rev.)</w:t>
            </w:r>
          </w:p>
        </w:tc>
        <w:tc>
          <w:tcPr>
            <w:tcW w:w="2410" w:type="dxa"/>
            <w:vAlign w:val="center"/>
          </w:tcPr>
          <w:p w14:paraId="391AD726" w14:textId="77777777" w:rsidR="001666EA" w:rsidRDefault="001666EA" w:rsidP="002D6F7B">
            <w:pPr>
              <w:pStyle w:val="SingleTxtG"/>
              <w:spacing w:after="0" w:line="240" w:lineRule="auto"/>
              <w:ind w:left="0" w:right="0"/>
              <w:jc w:val="center"/>
              <w:rPr>
                <w:lang w:eastAsia="zh-CN"/>
              </w:rPr>
            </w:pPr>
            <w:r w:rsidRPr="007D61FE">
              <w:rPr>
                <w:lang w:eastAsia="zh-CN"/>
              </w:rPr>
              <w:t>U.S. Department of Transportation</w:t>
            </w:r>
          </w:p>
        </w:tc>
        <w:tc>
          <w:tcPr>
            <w:tcW w:w="3685" w:type="dxa"/>
            <w:vAlign w:val="center"/>
          </w:tcPr>
          <w:p w14:paraId="55BC9DBA" w14:textId="77777777" w:rsidR="001666EA" w:rsidRDefault="001666EA" w:rsidP="002D6F7B">
            <w:pPr>
              <w:pStyle w:val="SingleTxtG"/>
              <w:spacing w:after="0" w:line="240" w:lineRule="auto"/>
              <w:ind w:left="0" w:right="0"/>
              <w:jc w:val="center"/>
              <w:rPr>
                <w:lang w:eastAsia="zh-CN"/>
              </w:rPr>
            </w:pPr>
            <w:r w:rsidRPr="00A07CD6">
              <w:rPr>
                <w:rFonts w:hint="eastAsia"/>
                <w:lang w:eastAsia="zh-CN"/>
              </w:rPr>
              <w:t>UN3106</w:t>
            </w:r>
            <w:r>
              <w:rPr>
                <w:rFonts w:hint="eastAsia"/>
                <w:lang w:eastAsia="zh-CN"/>
              </w:rPr>
              <w:t xml:space="preserve">, </w:t>
            </w:r>
            <w:r w:rsidRPr="00A07CD6">
              <w:rPr>
                <w:rFonts w:hint="eastAsia"/>
                <w:lang w:eastAsia="zh-CN"/>
              </w:rPr>
              <w:t>5.2</w:t>
            </w:r>
            <w:r>
              <w:rPr>
                <w:rFonts w:hint="eastAsia"/>
                <w:lang w:eastAsia="zh-CN"/>
              </w:rPr>
              <w:t>, I</w:t>
            </w:r>
            <w:r>
              <w:rPr>
                <w:lang w:eastAsia="zh-CN"/>
              </w:rPr>
              <w:t>I</w:t>
            </w:r>
            <w:r>
              <w:rPr>
                <w:rFonts w:hint="eastAsia"/>
                <w:lang w:eastAsia="zh-CN"/>
              </w:rPr>
              <w:t>, Organic Peroxide Type D, OP</w:t>
            </w:r>
            <w:r>
              <w:rPr>
                <w:lang w:eastAsia="zh-CN"/>
              </w:rPr>
              <w:t>7</w:t>
            </w:r>
          </w:p>
        </w:tc>
      </w:tr>
      <w:tr w:rsidR="001666EA" w14:paraId="49004DE4" w14:textId="77777777" w:rsidTr="002D6F7B">
        <w:trPr>
          <w:jc w:val="center"/>
        </w:trPr>
        <w:tc>
          <w:tcPr>
            <w:tcW w:w="1271" w:type="dxa"/>
            <w:vAlign w:val="center"/>
          </w:tcPr>
          <w:p w14:paraId="395AFC70" w14:textId="77777777" w:rsidR="001666EA" w:rsidRDefault="001666EA" w:rsidP="002D6F7B">
            <w:pPr>
              <w:pStyle w:val="SingleTxtG"/>
              <w:spacing w:after="0" w:line="240" w:lineRule="auto"/>
              <w:ind w:left="0" w:right="0"/>
              <w:jc w:val="center"/>
              <w:rPr>
                <w:lang w:eastAsia="zh-CN"/>
              </w:rPr>
            </w:pPr>
            <w:r w:rsidRPr="00A07CD6">
              <w:rPr>
                <w:lang w:eastAsia="zh-CN"/>
              </w:rPr>
              <w:t>Cert. No. 4’205’570</w:t>
            </w:r>
          </w:p>
        </w:tc>
        <w:tc>
          <w:tcPr>
            <w:tcW w:w="2410" w:type="dxa"/>
            <w:vAlign w:val="center"/>
          </w:tcPr>
          <w:p w14:paraId="72931CB1" w14:textId="77777777" w:rsidR="001666EA" w:rsidRDefault="001666EA" w:rsidP="002D6F7B">
            <w:pPr>
              <w:pStyle w:val="SingleTxtG"/>
              <w:spacing w:after="0" w:line="240" w:lineRule="auto"/>
              <w:ind w:left="0" w:right="0"/>
              <w:jc w:val="center"/>
              <w:rPr>
                <w:lang w:eastAsia="zh-CN"/>
              </w:rPr>
            </w:pPr>
            <w:r>
              <w:rPr>
                <w:lang w:eastAsia="zh-CN"/>
              </w:rPr>
              <w:t>Swiss Federal Inspectorate of Dangerous Goods</w:t>
            </w:r>
          </w:p>
        </w:tc>
        <w:tc>
          <w:tcPr>
            <w:tcW w:w="3685" w:type="dxa"/>
            <w:vAlign w:val="center"/>
          </w:tcPr>
          <w:p w14:paraId="10C0A17F" w14:textId="77777777" w:rsidR="001666EA" w:rsidRDefault="001666EA" w:rsidP="002D6F7B">
            <w:pPr>
              <w:pStyle w:val="SingleTxtG"/>
              <w:spacing w:after="0" w:line="240" w:lineRule="auto"/>
              <w:ind w:left="0" w:right="0"/>
              <w:jc w:val="center"/>
              <w:rPr>
                <w:lang w:eastAsia="zh-CN"/>
              </w:rPr>
            </w:pPr>
            <w:r w:rsidRPr="00A07CD6">
              <w:rPr>
                <w:rFonts w:hint="eastAsia"/>
                <w:lang w:eastAsia="zh-CN"/>
              </w:rPr>
              <w:t>UN310</w:t>
            </w:r>
            <w:r>
              <w:rPr>
                <w:lang w:eastAsia="zh-CN"/>
              </w:rPr>
              <w:t>6</w:t>
            </w:r>
            <w:r>
              <w:rPr>
                <w:rFonts w:hint="eastAsia"/>
                <w:lang w:eastAsia="zh-CN"/>
              </w:rPr>
              <w:t>, Organic Peroxide Type D, OP</w:t>
            </w:r>
            <w:r>
              <w:rPr>
                <w:lang w:eastAsia="zh-CN"/>
              </w:rPr>
              <w:t>7</w:t>
            </w:r>
          </w:p>
        </w:tc>
      </w:tr>
    </w:tbl>
    <w:p w14:paraId="2BB90BFB" w14:textId="77777777" w:rsidR="001666EA" w:rsidRDefault="001666EA" w:rsidP="001666EA">
      <w:pPr>
        <w:pStyle w:val="SingleTxtG"/>
      </w:pPr>
    </w:p>
    <w:p w14:paraId="750D6217" w14:textId="078FDF5B" w:rsidR="001666EA" w:rsidRDefault="001666EA" w:rsidP="001666EA">
      <w:pPr>
        <w:pStyle w:val="SingleTxtG"/>
      </w:pPr>
      <w:r>
        <w:t>4.</w:t>
      </w:r>
      <w:r>
        <w:tab/>
      </w:r>
      <w:r w:rsidRPr="00A610A6">
        <w:t xml:space="preserve">The entry "[3R-(3R, 5aS, 6S, 8aS, 9R, 10R, 12S, 12aR**)]-DECAHYDRO-10-METHOXY-3,6,9-TRIMETHYL-3,12-EPOXY-12H-PYRANO[4,3-j]-1,2-BENZODIOXEPIN" in 2.5.3.2.4 needs to be corrected for its inaccurate name. Due to the chemical name is complex and easy to make mistakes when using, consider amending it to a generic name. Considering that artemisinin, artemether and </w:t>
      </w:r>
      <w:r>
        <w:t>o</w:t>
      </w:r>
      <w:r w:rsidRPr="00A610A6">
        <w:t xml:space="preserve">ther </w:t>
      </w:r>
      <w:r>
        <w:t xml:space="preserve">common artemisinin </w:t>
      </w:r>
      <w:r w:rsidRPr="00A610A6">
        <w:t>derivatives have similar molecular structures, all contain peroxide bridges</w:t>
      </w:r>
      <w:r>
        <w:t xml:space="preserve"> (</w:t>
      </w:r>
      <w:r w:rsidRPr="00D263C8">
        <w:t xml:space="preserve">Figure </w:t>
      </w:r>
      <w:r>
        <w:t>2)</w:t>
      </w:r>
      <w:r w:rsidRPr="00A610A6">
        <w:t>, and exhibit the properties of organic peroxides, in order to facilitate the transportation of these goods, artemisinin or its derivatives are considered to be p</w:t>
      </w:r>
      <w:r>
        <w:t>ut into</w:t>
      </w:r>
      <w:r w:rsidRPr="00A610A6">
        <w:t xml:space="preserve"> the same entry, classified as UN</w:t>
      </w:r>
      <w:r w:rsidR="00230715">
        <w:t> </w:t>
      </w:r>
      <w:r w:rsidRPr="00A610A6">
        <w:t xml:space="preserve">3106, organic peroxides type D, packaging method OP7. If the substance has further classification test results according to </w:t>
      </w:r>
      <w:r w:rsidRPr="00A610A6">
        <w:rPr>
          <w:i/>
          <w:iCs/>
        </w:rPr>
        <w:t>Manual of Tests and Criteria</w:t>
      </w:r>
      <w:r w:rsidRPr="00A610A6">
        <w:t>, it shall be classified into the appropriate type based on the test results.</w:t>
      </w:r>
    </w:p>
    <w:p w14:paraId="1D78F841" w14:textId="77777777" w:rsidR="001666EA" w:rsidRDefault="001666EA" w:rsidP="001666EA">
      <w:pPr>
        <w:pStyle w:val="SingleTxtG"/>
      </w:pPr>
    </w:p>
    <w:p w14:paraId="44D89EAB" w14:textId="35784C7F" w:rsidR="001666EA" w:rsidRDefault="001666EA" w:rsidP="001666EA">
      <w:pPr>
        <w:pStyle w:val="SingleTxtG"/>
        <w:jc w:val="center"/>
        <w:rPr>
          <w:b/>
          <w:bCs/>
          <w:sz w:val="21"/>
          <w:szCs w:val="21"/>
        </w:rPr>
      </w:pPr>
      <w:r w:rsidRPr="001918CE">
        <w:rPr>
          <w:b/>
          <w:bCs/>
          <w:sz w:val="21"/>
          <w:szCs w:val="21"/>
        </w:rPr>
        <w:t xml:space="preserve">Figure </w:t>
      </w:r>
      <w:r>
        <w:rPr>
          <w:b/>
          <w:bCs/>
          <w:sz w:val="21"/>
          <w:szCs w:val="21"/>
        </w:rPr>
        <w:t>2</w:t>
      </w:r>
      <w:r w:rsidRPr="001918CE">
        <w:rPr>
          <w:b/>
          <w:bCs/>
          <w:sz w:val="21"/>
          <w:szCs w:val="21"/>
        </w:rPr>
        <w:t xml:space="preserve">: </w:t>
      </w:r>
      <w:r w:rsidRPr="00ED4213">
        <w:rPr>
          <w:b/>
          <w:bCs/>
          <w:sz w:val="21"/>
          <w:szCs w:val="21"/>
        </w:rPr>
        <w:t>Other common artemisinin derivatives</w:t>
      </w:r>
      <w:r w:rsidR="00230715">
        <w:rPr>
          <w:b/>
          <w:bCs/>
          <w:sz w:val="21"/>
          <w:szCs w:val="21"/>
        </w:rPr>
        <w:t>.</w:t>
      </w:r>
    </w:p>
    <w:bookmarkStart w:id="3" w:name="_Hlk168242117"/>
    <w:p w14:paraId="454BE3C8" w14:textId="77777777" w:rsidR="001666EA" w:rsidRDefault="001666EA" w:rsidP="001666EA">
      <w:pPr>
        <w:pStyle w:val="SingleTxtG"/>
        <w:jc w:val="center"/>
        <w:rPr>
          <w:b/>
          <w:bCs/>
          <w:sz w:val="21"/>
          <w:szCs w:val="21"/>
        </w:rPr>
      </w:pPr>
      <w:r w:rsidRPr="00724C3A">
        <w:rPr>
          <w:lang w:val="en-US"/>
        </w:rPr>
        <w:object w:dxaOrig="9534" w:dyaOrig="3740" w14:anchorId="792F1956">
          <v:shape id="_x0000_i1026" type="#_x0000_t75" style="width:322.15pt;height:126.25pt" o:ole="">
            <v:imagedata r:id="rId13" o:title=""/>
          </v:shape>
          <o:OLEObject Type="Embed" ProgID="ChemDraw.Document.6.0" ShapeID="_x0000_i1026" DrawAspect="Content" ObjectID="_1780406706" r:id="rId14"/>
        </w:object>
      </w:r>
      <w:bookmarkEnd w:id="3"/>
    </w:p>
    <w:p w14:paraId="0B6E4B72" w14:textId="77777777" w:rsidR="001666EA" w:rsidRPr="001918CE" w:rsidRDefault="001666EA" w:rsidP="001666EA">
      <w:pPr>
        <w:pStyle w:val="SingleTxtG"/>
        <w:jc w:val="center"/>
        <w:rPr>
          <w:b/>
          <w:bCs/>
          <w:sz w:val="21"/>
          <w:szCs w:val="21"/>
        </w:rPr>
      </w:pPr>
    </w:p>
    <w:p w14:paraId="21511B73" w14:textId="77777777" w:rsidR="001666EA" w:rsidRDefault="001666EA" w:rsidP="001666EA">
      <w:pPr>
        <w:pStyle w:val="SingleTxtG"/>
      </w:pPr>
      <w:r>
        <w:t>5</w:t>
      </w:r>
      <w:r>
        <w:rPr>
          <w:rFonts w:hint="eastAsia"/>
        </w:rPr>
        <w:t>.</w:t>
      </w:r>
      <w:r>
        <w:tab/>
        <w:t xml:space="preserve">During the meeting of the International Group of experts on Unstable Substances – working group Energetic and Oxidising substances (IGUS-EOS), April 24-25, 2024, Manchester, </w:t>
      </w:r>
      <w:r w:rsidRPr="001B41F8">
        <w:t>the above content was discussed, and consensus was reached on the amendment of entry names and proposal for classification results.</w:t>
      </w:r>
    </w:p>
    <w:p w14:paraId="3F96C5BF" w14:textId="77777777" w:rsidR="001666EA" w:rsidRDefault="001666EA" w:rsidP="001666EA">
      <w:pPr>
        <w:pStyle w:val="HChG"/>
      </w:pPr>
      <w:r>
        <w:tab/>
        <w:t>II.</w:t>
      </w:r>
      <w:r>
        <w:tab/>
        <w:t>Proposal</w:t>
      </w:r>
    </w:p>
    <w:p w14:paraId="162D085B" w14:textId="257BAB32" w:rsidR="001666EA" w:rsidRDefault="001666EA" w:rsidP="001666EA">
      <w:pPr>
        <w:pStyle w:val="SingleTxtG"/>
      </w:pPr>
      <w:r>
        <w:t>6.</w:t>
      </w:r>
      <w:r>
        <w:tab/>
      </w:r>
      <w:r w:rsidR="00BD2542">
        <w:t xml:space="preserve">The </w:t>
      </w:r>
      <w:r w:rsidR="007F1642">
        <w:t>authors</w:t>
      </w:r>
      <w:r w:rsidR="00BD2542">
        <w:t xml:space="preserve"> </w:t>
      </w:r>
      <w:r w:rsidR="007F1642">
        <w:t>p</w:t>
      </w:r>
      <w:r>
        <w:t>ropose to make the following change in 2.5.3.2.4:</w:t>
      </w:r>
    </w:p>
    <w:p w14:paraId="58A647F9" w14:textId="77777777" w:rsidR="001666EA" w:rsidRDefault="001666EA" w:rsidP="00BD2542">
      <w:pPr>
        <w:pStyle w:val="SingleTxtG"/>
        <w:keepNext/>
        <w:keepLines/>
      </w:pPr>
      <w:r>
        <w:rPr>
          <w:rFonts w:hint="eastAsia"/>
        </w:rPr>
        <w:lastRenderedPageBreak/>
        <w:t>Replace</w:t>
      </w:r>
      <w:r>
        <w:rPr>
          <w:rFonts w:hint="eastAsia"/>
        </w:rPr>
        <w:t>：</w:t>
      </w:r>
    </w:p>
    <w:tbl>
      <w:tblPr>
        <w:tblStyle w:val="TableGrid"/>
        <w:tblW w:w="9355" w:type="dxa"/>
        <w:tblInd w:w="988" w:type="dxa"/>
        <w:tblLayout w:type="fixed"/>
        <w:tblCellMar>
          <w:right w:w="57" w:type="dxa"/>
        </w:tblCellMar>
        <w:tblLook w:val="01E0" w:firstRow="1" w:lastRow="1" w:firstColumn="1" w:lastColumn="1" w:noHBand="0" w:noVBand="0"/>
      </w:tblPr>
      <w:tblGrid>
        <w:gridCol w:w="2268"/>
        <w:gridCol w:w="624"/>
        <w:gridCol w:w="714"/>
        <w:gridCol w:w="602"/>
        <w:gridCol w:w="500"/>
        <w:gridCol w:w="500"/>
        <w:gridCol w:w="745"/>
        <w:gridCol w:w="851"/>
        <w:gridCol w:w="992"/>
        <w:gridCol w:w="709"/>
        <w:gridCol w:w="850"/>
      </w:tblGrid>
      <w:tr w:rsidR="001666EA" w:rsidRPr="00473F21" w14:paraId="47D9CE45" w14:textId="77777777" w:rsidTr="002D6F7B">
        <w:tc>
          <w:tcPr>
            <w:tcW w:w="2268" w:type="dxa"/>
            <w:shd w:val="clear" w:color="auto" w:fill="auto"/>
            <w:vAlign w:val="center"/>
          </w:tcPr>
          <w:p w14:paraId="7E240F25" w14:textId="77777777" w:rsidR="001666EA" w:rsidRPr="00473F21" w:rsidRDefault="001666EA" w:rsidP="00BD2542">
            <w:pPr>
              <w:keepNext/>
              <w:keepLines/>
              <w:spacing w:before="80" w:after="80" w:line="200" w:lineRule="exact"/>
              <w:rPr>
                <w:i/>
                <w:iCs/>
                <w:sz w:val="16"/>
                <w:szCs w:val="16"/>
              </w:rPr>
            </w:pPr>
            <w:r w:rsidRPr="00473F21">
              <w:rPr>
                <w:i/>
                <w:iCs/>
                <w:sz w:val="16"/>
                <w:szCs w:val="16"/>
              </w:rPr>
              <w:t>ORGANIC PEROXIDE</w:t>
            </w:r>
          </w:p>
        </w:tc>
        <w:tc>
          <w:tcPr>
            <w:tcW w:w="624" w:type="dxa"/>
            <w:shd w:val="clear" w:color="auto" w:fill="auto"/>
            <w:vAlign w:val="center"/>
          </w:tcPr>
          <w:p w14:paraId="4865E9AA" w14:textId="77777777" w:rsidR="001666EA" w:rsidRPr="00473F21" w:rsidRDefault="001666EA" w:rsidP="00BD2542">
            <w:pPr>
              <w:keepNext/>
              <w:keepLines/>
              <w:spacing w:before="80" w:after="80" w:line="200" w:lineRule="exact"/>
              <w:rPr>
                <w:i/>
                <w:iCs/>
                <w:sz w:val="16"/>
                <w:szCs w:val="16"/>
              </w:rPr>
            </w:pPr>
            <w:r w:rsidRPr="00473F21">
              <w:rPr>
                <w:rFonts w:hint="eastAsia"/>
                <w:i/>
                <w:iCs/>
                <w:sz w:val="16"/>
                <w:szCs w:val="16"/>
                <w:lang w:eastAsia="zh-CN"/>
              </w:rPr>
              <w:t>Concentration</w:t>
            </w:r>
            <w:r w:rsidRPr="00473F21">
              <w:rPr>
                <w:i/>
                <w:iCs/>
                <w:sz w:val="16"/>
                <w:szCs w:val="16"/>
              </w:rPr>
              <w:t xml:space="preserve"> (%)</w:t>
            </w:r>
          </w:p>
        </w:tc>
        <w:tc>
          <w:tcPr>
            <w:tcW w:w="714" w:type="dxa"/>
            <w:shd w:val="clear" w:color="auto" w:fill="auto"/>
            <w:vAlign w:val="center"/>
          </w:tcPr>
          <w:p w14:paraId="08C1F5E7" w14:textId="77777777" w:rsidR="001666EA" w:rsidRPr="00473F21" w:rsidRDefault="001666EA" w:rsidP="00BD2542">
            <w:pPr>
              <w:keepNext/>
              <w:keepLines/>
              <w:spacing w:before="80" w:after="80" w:line="200" w:lineRule="exact"/>
              <w:rPr>
                <w:i/>
                <w:iCs/>
                <w:sz w:val="16"/>
                <w:szCs w:val="16"/>
              </w:rPr>
            </w:pPr>
            <w:r w:rsidRPr="00473F21">
              <w:rPr>
                <w:rFonts w:hint="eastAsia"/>
                <w:i/>
                <w:iCs/>
                <w:sz w:val="16"/>
                <w:szCs w:val="16"/>
                <w:lang w:eastAsia="zh-CN"/>
              </w:rPr>
              <w:t>Diluent A</w:t>
            </w:r>
            <w:r w:rsidRPr="00473F21">
              <w:rPr>
                <w:i/>
                <w:iCs/>
                <w:sz w:val="16"/>
                <w:szCs w:val="16"/>
              </w:rPr>
              <w:t xml:space="preserve"> (%)</w:t>
            </w:r>
          </w:p>
        </w:tc>
        <w:tc>
          <w:tcPr>
            <w:tcW w:w="602" w:type="dxa"/>
            <w:shd w:val="clear" w:color="auto" w:fill="auto"/>
            <w:vAlign w:val="center"/>
          </w:tcPr>
          <w:p w14:paraId="14035BEA" w14:textId="77777777" w:rsidR="001666EA" w:rsidRPr="00473F21" w:rsidRDefault="001666EA" w:rsidP="00BD2542">
            <w:pPr>
              <w:keepNext/>
              <w:keepLines/>
              <w:spacing w:before="80" w:after="80" w:line="200" w:lineRule="exact"/>
              <w:rPr>
                <w:i/>
                <w:iCs/>
                <w:sz w:val="16"/>
                <w:szCs w:val="16"/>
              </w:rPr>
            </w:pPr>
            <w:r w:rsidRPr="00473F21">
              <w:rPr>
                <w:rFonts w:hint="eastAsia"/>
                <w:i/>
                <w:iCs/>
                <w:sz w:val="16"/>
                <w:szCs w:val="16"/>
                <w:lang w:eastAsia="zh-CN"/>
              </w:rPr>
              <w:t xml:space="preserve">Diluent </w:t>
            </w:r>
            <w:r w:rsidRPr="00473F21">
              <w:rPr>
                <w:i/>
                <w:iCs/>
                <w:sz w:val="16"/>
                <w:szCs w:val="16"/>
              </w:rPr>
              <w:t>B  (%)</w:t>
            </w:r>
          </w:p>
        </w:tc>
        <w:tc>
          <w:tcPr>
            <w:tcW w:w="500" w:type="dxa"/>
            <w:shd w:val="clear" w:color="auto" w:fill="auto"/>
            <w:vAlign w:val="center"/>
          </w:tcPr>
          <w:p w14:paraId="5FE9CDF0" w14:textId="77777777" w:rsidR="001666EA" w:rsidRPr="00473F21" w:rsidRDefault="001666EA" w:rsidP="00BD2542">
            <w:pPr>
              <w:keepNext/>
              <w:keepLines/>
              <w:spacing w:before="80" w:after="80" w:line="200" w:lineRule="exact"/>
              <w:rPr>
                <w:i/>
                <w:iCs/>
                <w:sz w:val="16"/>
                <w:szCs w:val="16"/>
              </w:rPr>
            </w:pPr>
            <w:r w:rsidRPr="00473F21">
              <w:rPr>
                <w:rFonts w:hint="eastAsia"/>
                <w:i/>
                <w:iCs/>
                <w:sz w:val="16"/>
                <w:szCs w:val="16"/>
                <w:lang w:eastAsia="zh-CN"/>
              </w:rPr>
              <w:t>Inert solid</w:t>
            </w:r>
            <w:r w:rsidRPr="00473F21">
              <w:rPr>
                <w:i/>
                <w:iCs/>
                <w:sz w:val="16"/>
                <w:szCs w:val="16"/>
              </w:rPr>
              <w:t xml:space="preserve"> (%)</w:t>
            </w:r>
          </w:p>
        </w:tc>
        <w:tc>
          <w:tcPr>
            <w:tcW w:w="500" w:type="dxa"/>
            <w:shd w:val="clear" w:color="auto" w:fill="auto"/>
            <w:vAlign w:val="center"/>
          </w:tcPr>
          <w:p w14:paraId="278E574A" w14:textId="77777777" w:rsidR="001666EA" w:rsidRPr="00473F21" w:rsidRDefault="001666EA" w:rsidP="00BD2542">
            <w:pPr>
              <w:keepNext/>
              <w:keepLines/>
              <w:spacing w:before="80" w:after="80" w:line="200" w:lineRule="exact"/>
              <w:rPr>
                <w:i/>
                <w:iCs/>
                <w:sz w:val="16"/>
                <w:szCs w:val="16"/>
              </w:rPr>
            </w:pPr>
            <w:r w:rsidRPr="00473F21">
              <w:rPr>
                <w:rFonts w:hint="eastAsia"/>
                <w:i/>
                <w:iCs/>
                <w:sz w:val="16"/>
                <w:szCs w:val="16"/>
                <w:lang w:eastAsia="zh-CN"/>
              </w:rPr>
              <w:t>Water</w:t>
            </w:r>
          </w:p>
        </w:tc>
        <w:tc>
          <w:tcPr>
            <w:tcW w:w="745" w:type="dxa"/>
            <w:shd w:val="clear" w:color="auto" w:fill="auto"/>
            <w:vAlign w:val="center"/>
          </w:tcPr>
          <w:p w14:paraId="1AB78954" w14:textId="77777777" w:rsidR="001666EA" w:rsidRPr="00473F21" w:rsidRDefault="001666EA" w:rsidP="00BD2542">
            <w:pPr>
              <w:keepNext/>
              <w:keepLines/>
              <w:spacing w:before="80" w:after="80" w:line="200" w:lineRule="exact"/>
              <w:rPr>
                <w:i/>
                <w:iCs/>
                <w:sz w:val="16"/>
                <w:szCs w:val="16"/>
                <w:lang w:eastAsia="zh-CN"/>
              </w:rPr>
            </w:pPr>
            <w:r w:rsidRPr="00473F21">
              <w:rPr>
                <w:rFonts w:hint="eastAsia"/>
                <w:i/>
                <w:iCs/>
                <w:sz w:val="16"/>
                <w:szCs w:val="16"/>
                <w:lang w:eastAsia="zh-CN"/>
              </w:rPr>
              <w:t>Packing Method</w:t>
            </w:r>
          </w:p>
        </w:tc>
        <w:tc>
          <w:tcPr>
            <w:tcW w:w="851" w:type="dxa"/>
            <w:shd w:val="clear" w:color="auto" w:fill="auto"/>
            <w:vAlign w:val="center"/>
          </w:tcPr>
          <w:p w14:paraId="0E1C0E05" w14:textId="77777777" w:rsidR="001666EA" w:rsidRPr="00473F21" w:rsidRDefault="001666EA" w:rsidP="00BD2542">
            <w:pPr>
              <w:keepNext/>
              <w:keepLines/>
              <w:spacing w:before="80" w:after="80" w:line="200" w:lineRule="exact"/>
              <w:rPr>
                <w:i/>
                <w:iCs/>
                <w:sz w:val="16"/>
                <w:szCs w:val="16"/>
              </w:rPr>
            </w:pPr>
            <w:r w:rsidRPr="00473F21">
              <w:rPr>
                <w:rFonts w:hint="eastAsia"/>
                <w:i/>
                <w:iCs/>
                <w:sz w:val="16"/>
                <w:szCs w:val="16"/>
                <w:lang w:eastAsia="zh-CN"/>
              </w:rPr>
              <w:t>Control temperature</w:t>
            </w:r>
            <w:r w:rsidRPr="00473F21">
              <w:rPr>
                <w:i/>
                <w:iCs/>
                <w:sz w:val="16"/>
                <w:szCs w:val="16"/>
              </w:rPr>
              <w:t xml:space="preserve"> (°C)</w:t>
            </w:r>
          </w:p>
        </w:tc>
        <w:tc>
          <w:tcPr>
            <w:tcW w:w="992" w:type="dxa"/>
            <w:shd w:val="clear" w:color="auto" w:fill="auto"/>
            <w:vAlign w:val="center"/>
          </w:tcPr>
          <w:p w14:paraId="655299A0" w14:textId="77777777" w:rsidR="001666EA" w:rsidRPr="00473F21" w:rsidRDefault="001666EA" w:rsidP="00BD2542">
            <w:pPr>
              <w:keepNext/>
              <w:keepLines/>
              <w:spacing w:before="80" w:after="80" w:line="200" w:lineRule="exact"/>
              <w:rPr>
                <w:i/>
                <w:iCs/>
                <w:sz w:val="16"/>
                <w:szCs w:val="16"/>
              </w:rPr>
            </w:pPr>
            <w:r w:rsidRPr="00473F21">
              <w:rPr>
                <w:rFonts w:hint="eastAsia"/>
                <w:i/>
                <w:iCs/>
                <w:sz w:val="16"/>
                <w:szCs w:val="16"/>
                <w:lang w:eastAsia="zh-CN"/>
              </w:rPr>
              <w:t>Emergency temperature</w:t>
            </w:r>
            <w:r w:rsidRPr="00473F21">
              <w:rPr>
                <w:i/>
                <w:iCs/>
                <w:sz w:val="16"/>
                <w:szCs w:val="16"/>
              </w:rPr>
              <w:t xml:space="preserve"> (°C)</w:t>
            </w:r>
          </w:p>
        </w:tc>
        <w:tc>
          <w:tcPr>
            <w:tcW w:w="709" w:type="dxa"/>
            <w:shd w:val="clear" w:color="auto" w:fill="auto"/>
            <w:vAlign w:val="center"/>
          </w:tcPr>
          <w:p w14:paraId="2CDC77BA" w14:textId="77777777" w:rsidR="001666EA" w:rsidRPr="00473F21" w:rsidRDefault="001666EA" w:rsidP="00BD2542">
            <w:pPr>
              <w:keepNext/>
              <w:keepLines/>
              <w:spacing w:before="80" w:after="80" w:line="200" w:lineRule="exact"/>
              <w:rPr>
                <w:i/>
                <w:iCs/>
                <w:sz w:val="16"/>
                <w:szCs w:val="16"/>
              </w:rPr>
            </w:pPr>
            <w:proofErr w:type="spellStart"/>
            <w:r w:rsidRPr="00473F21">
              <w:rPr>
                <w:rFonts w:hint="eastAsia"/>
                <w:i/>
                <w:iCs/>
                <w:sz w:val="16"/>
                <w:szCs w:val="16"/>
                <w:lang w:eastAsia="zh-CN"/>
              </w:rPr>
              <w:t>Numbrt</w:t>
            </w:r>
            <w:proofErr w:type="spellEnd"/>
            <w:r w:rsidRPr="00473F21">
              <w:rPr>
                <w:rFonts w:hint="eastAsia"/>
                <w:i/>
                <w:iCs/>
                <w:sz w:val="16"/>
                <w:szCs w:val="16"/>
                <w:lang w:eastAsia="zh-CN"/>
              </w:rPr>
              <w:t>(Generic entry)</w:t>
            </w:r>
          </w:p>
        </w:tc>
        <w:tc>
          <w:tcPr>
            <w:tcW w:w="850" w:type="dxa"/>
            <w:shd w:val="clear" w:color="auto" w:fill="auto"/>
            <w:vAlign w:val="center"/>
          </w:tcPr>
          <w:p w14:paraId="20E9E3ED" w14:textId="77777777" w:rsidR="001666EA" w:rsidRPr="00473F21" w:rsidRDefault="001666EA" w:rsidP="00BD2542">
            <w:pPr>
              <w:keepNext/>
              <w:keepLines/>
              <w:spacing w:before="80" w:after="80" w:line="200" w:lineRule="exact"/>
              <w:rPr>
                <w:i/>
                <w:iCs/>
                <w:sz w:val="16"/>
                <w:szCs w:val="16"/>
              </w:rPr>
            </w:pPr>
            <w:r w:rsidRPr="00473F21">
              <w:rPr>
                <w:rFonts w:hint="eastAsia"/>
                <w:i/>
                <w:iCs/>
                <w:sz w:val="16"/>
                <w:szCs w:val="16"/>
                <w:lang w:eastAsia="zh-CN"/>
              </w:rPr>
              <w:t>Subsidiary risks and remarks</w:t>
            </w:r>
          </w:p>
        </w:tc>
      </w:tr>
      <w:tr w:rsidR="001666EA" w:rsidRPr="00473F21" w14:paraId="284F6B69" w14:textId="77777777" w:rsidTr="002D6F7B">
        <w:tc>
          <w:tcPr>
            <w:tcW w:w="2268" w:type="dxa"/>
            <w:shd w:val="clear" w:color="auto" w:fill="auto"/>
            <w:vAlign w:val="center"/>
          </w:tcPr>
          <w:p w14:paraId="09CAF85F" w14:textId="77777777" w:rsidR="001666EA" w:rsidRPr="00473F21" w:rsidRDefault="001666EA" w:rsidP="00BD2542">
            <w:pPr>
              <w:keepNext/>
              <w:keepLines/>
              <w:spacing w:before="40" w:after="120"/>
              <w:jc w:val="both"/>
              <w:rPr>
                <w:sz w:val="16"/>
                <w:szCs w:val="16"/>
              </w:rPr>
            </w:pPr>
            <w:r w:rsidRPr="00473F21">
              <w:rPr>
                <w:sz w:val="16"/>
                <w:szCs w:val="16"/>
              </w:rPr>
              <w:t>([3R-(3R,5aS,6S,8aS,9R,10R,12S,12aR**)]-Decahydro-10-methoxy-3,6,9-trimethyl-3,12-epoxy-12H-pyrano[4,3-j]-1,2-benzodioxepin)</w:t>
            </w:r>
          </w:p>
        </w:tc>
        <w:tc>
          <w:tcPr>
            <w:tcW w:w="624" w:type="dxa"/>
            <w:shd w:val="clear" w:color="auto" w:fill="auto"/>
            <w:vAlign w:val="center"/>
          </w:tcPr>
          <w:p w14:paraId="4AA71D0B" w14:textId="77777777" w:rsidR="001666EA" w:rsidRPr="00473F21" w:rsidRDefault="001666EA" w:rsidP="00BD2542">
            <w:pPr>
              <w:keepNext/>
              <w:keepLines/>
              <w:spacing w:before="40" w:after="120"/>
              <w:jc w:val="center"/>
              <w:rPr>
                <w:sz w:val="16"/>
                <w:szCs w:val="16"/>
              </w:rPr>
            </w:pPr>
            <w:r w:rsidRPr="00473F21">
              <w:rPr>
                <w:sz w:val="16"/>
                <w:szCs w:val="16"/>
              </w:rPr>
              <w:t>≤100</w:t>
            </w:r>
          </w:p>
        </w:tc>
        <w:tc>
          <w:tcPr>
            <w:tcW w:w="714" w:type="dxa"/>
            <w:shd w:val="clear" w:color="auto" w:fill="auto"/>
            <w:vAlign w:val="center"/>
          </w:tcPr>
          <w:p w14:paraId="0812023F" w14:textId="77777777" w:rsidR="001666EA" w:rsidRPr="00473F21" w:rsidRDefault="001666EA" w:rsidP="00BD2542">
            <w:pPr>
              <w:keepNext/>
              <w:keepLines/>
              <w:spacing w:before="40" w:after="120"/>
              <w:jc w:val="center"/>
              <w:rPr>
                <w:sz w:val="16"/>
                <w:szCs w:val="16"/>
              </w:rPr>
            </w:pPr>
          </w:p>
        </w:tc>
        <w:tc>
          <w:tcPr>
            <w:tcW w:w="602" w:type="dxa"/>
            <w:shd w:val="clear" w:color="auto" w:fill="auto"/>
            <w:vAlign w:val="center"/>
          </w:tcPr>
          <w:p w14:paraId="35ECD6CC" w14:textId="77777777" w:rsidR="001666EA" w:rsidRPr="00473F21" w:rsidRDefault="001666EA" w:rsidP="00BD2542">
            <w:pPr>
              <w:keepNext/>
              <w:keepLines/>
              <w:spacing w:before="40" w:after="120"/>
              <w:jc w:val="center"/>
              <w:rPr>
                <w:sz w:val="16"/>
                <w:szCs w:val="16"/>
              </w:rPr>
            </w:pPr>
          </w:p>
        </w:tc>
        <w:tc>
          <w:tcPr>
            <w:tcW w:w="500" w:type="dxa"/>
            <w:shd w:val="clear" w:color="auto" w:fill="auto"/>
            <w:vAlign w:val="center"/>
          </w:tcPr>
          <w:p w14:paraId="59F91485" w14:textId="77777777" w:rsidR="001666EA" w:rsidRPr="00473F21" w:rsidRDefault="001666EA" w:rsidP="00BD2542">
            <w:pPr>
              <w:keepNext/>
              <w:keepLines/>
              <w:spacing w:before="40" w:after="120"/>
              <w:jc w:val="center"/>
              <w:rPr>
                <w:sz w:val="16"/>
                <w:szCs w:val="16"/>
              </w:rPr>
            </w:pPr>
          </w:p>
        </w:tc>
        <w:tc>
          <w:tcPr>
            <w:tcW w:w="500" w:type="dxa"/>
            <w:shd w:val="clear" w:color="auto" w:fill="auto"/>
            <w:vAlign w:val="center"/>
          </w:tcPr>
          <w:p w14:paraId="439505F0" w14:textId="77777777" w:rsidR="001666EA" w:rsidRPr="00473F21" w:rsidRDefault="001666EA" w:rsidP="00BD2542">
            <w:pPr>
              <w:keepNext/>
              <w:keepLines/>
              <w:spacing w:before="40" w:after="120"/>
              <w:jc w:val="center"/>
              <w:rPr>
                <w:sz w:val="16"/>
                <w:szCs w:val="16"/>
              </w:rPr>
            </w:pPr>
          </w:p>
        </w:tc>
        <w:tc>
          <w:tcPr>
            <w:tcW w:w="745" w:type="dxa"/>
            <w:shd w:val="clear" w:color="auto" w:fill="auto"/>
            <w:vAlign w:val="center"/>
          </w:tcPr>
          <w:p w14:paraId="471196F0" w14:textId="77777777" w:rsidR="001666EA" w:rsidRPr="00473F21" w:rsidRDefault="001666EA" w:rsidP="00BD2542">
            <w:pPr>
              <w:keepNext/>
              <w:keepLines/>
              <w:spacing w:before="40" w:after="120"/>
              <w:jc w:val="center"/>
              <w:rPr>
                <w:sz w:val="16"/>
                <w:szCs w:val="16"/>
              </w:rPr>
            </w:pPr>
            <w:r w:rsidRPr="00473F21">
              <w:rPr>
                <w:sz w:val="16"/>
                <w:szCs w:val="16"/>
              </w:rPr>
              <w:t>OP7</w:t>
            </w:r>
          </w:p>
        </w:tc>
        <w:tc>
          <w:tcPr>
            <w:tcW w:w="851" w:type="dxa"/>
            <w:shd w:val="clear" w:color="auto" w:fill="auto"/>
            <w:vAlign w:val="center"/>
          </w:tcPr>
          <w:p w14:paraId="08D84B5C" w14:textId="77777777" w:rsidR="001666EA" w:rsidRPr="00473F21" w:rsidRDefault="001666EA" w:rsidP="00BD2542">
            <w:pPr>
              <w:keepNext/>
              <w:keepLines/>
              <w:spacing w:before="40" w:after="120"/>
              <w:jc w:val="center"/>
              <w:rPr>
                <w:sz w:val="16"/>
                <w:szCs w:val="16"/>
              </w:rPr>
            </w:pPr>
          </w:p>
        </w:tc>
        <w:tc>
          <w:tcPr>
            <w:tcW w:w="992" w:type="dxa"/>
            <w:shd w:val="clear" w:color="auto" w:fill="auto"/>
            <w:vAlign w:val="center"/>
          </w:tcPr>
          <w:p w14:paraId="6CCFB78D" w14:textId="77777777" w:rsidR="001666EA" w:rsidRPr="00473F21" w:rsidRDefault="001666EA" w:rsidP="00BD2542">
            <w:pPr>
              <w:keepNext/>
              <w:keepLines/>
              <w:spacing w:before="40" w:after="120"/>
              <w:jc w:val="center"/>
              <w:rPr>
                <w:sz w:val="16"/>
                <w:szCs w:val="16"/>
              </w:rPr>
            </w:pPr>
          </w:p>
        </w:tc>
        <w:tc>
          <w:tcPr>
            <w:tcW w:w="709" w:type="dxa"/>
            <w:shd w:val="clear" w:color="auto" w:fill="auto"/>
            <w:vAlign w:val="center"/>
          </w:tcPr>
          <w:p w14:paraId="77C17FB9" w14:textId="77777777" w:rsidR="001666EA" w:rsidRPr="00473F21" w:rsidRDefault="001666EA" w:rsidP="00BD2542">
            <w:pPr>
              <w:keepNext/>
              <w:keepLines/>
              <w:spacing w:before="40" w:after="120"/>
              <w:jc w:val="center"/>
              <w:rPr>
                <w:sz w:val="16"/>
                <w:szCs w:val="16"/>
              </w:rPr>
            </w:pPr>
            <w:r w:rsidRPr="00473F21">
              <w:rPr>
                <w:sz w:val="16"/>
                <w:szCs w:val="16"/>
              </w:rPr>
              <w:t>3106</w:t>
            </w:r>
          </w:p>
        </w:tc>
        <w:tc>
          <w:tcPr>
            <w:tcW w:w="850" w:type="dxa"/>
            <w:shd w:val="clear" w:color="auto" w:fill="auto"/>
            <w:vAlign w:val="center"/>
          </w:tcPr>
          <w:p w14:paraId="554DE4CD" w14:textId="77777777" w:rsidR="001666EA" w:rsidRPr="00473F21" w:rsidRDefault="001666EA" w:rsidP="00BD2542">
            <w:pPr>
              <w:keepNext/>
              <w:keepLines/>
              <w:spacing w:before="40" w:after="120"/>
              <w:jc w:val="center"/>
              <w:rPr>
                <w:sz w:val="16"/>
                <w:szCs w:val="16"/>
              </w:rPr>
            </w:pPr>
          </w:p>
        </w:tc>
      </w:tr>
    </w:tbl>
    <w:p w14:paraId="09D853F2" w14:textId="562E375A" w:rsidR="001666EA" w:rsidRDefault="00235F25" w:rsidP="00BD2542">
      <w:pPr>
        <w:pStyle w:val="SingleTxtG"/>
        <w:keepNext/>
        <w:keepLines/>
      </w:pPr>
      <w:r>
        <w:t>By</w:t>
      </w:r>
      <w:r w:rsidR="001666EA">
        <w:rPr>
          <w:rFonts w:hint="eastAsia"/>
        </w:rPr>
        <w:t>：</w:t>
      </w:r>
    </w:p>
    <w:tbl>
      <w:tblPr>
        <w:tblStyle w:val="TableGrid"/>
        <w:tblW w:w="9355" w:type="dxa"/>
        <w:tblInd w:w="988" w:type="dxa"/>
        <w:tblLayout w:type="fixed"/>
        <w:tblCellMar>
          <w:right w:w="57" w:type="dxa"/>
        </w:tblCellMar>
        <w:tblLook w:val="01E0" w:firstRow="1" w:lastRow="1" w:firstColumn="1" w:lastColumn="1" w:noHBand="0" w:noVBand="0"/>
      </w:tblPr>
      <w:tblGrid>
        <w:gridCol w:w="2268"/>
        <w:gridCol w:w="624"/>
        <w:gridCol w:w="714"/>
        <w:gridCol w:w="602"/>
        <w:gridCol w:w="500"/>
        <w:gridCol w:w="500"/>
        <w:gridCol w:w="745"/>
        <w:gridCol w:w="851"/>
        <w:gridCol w:w="992"/>
        <w:gridCol w:w="709"/>
        <w:gridCol w:w="850"/>
      </w:tblGrid>
      <w:tr w:rsidR="001666EA" w:rsidRPr="00473F21" w14:paraId="1F6B8B9C" w14:textId="77777777" w:rsidTr="002D6F7B">
        <w:tc>
          <w:tcPr>
            <w:tcW w:w="2268" w:type="dxa"/>
            <w:shd w:val="clear" w:color="auto" w:fill="auto"/>
            <w:vAlign w:val="center"/>
          </w:tcPr>
          <w:p w14:paraId="4B191240" w14:textId="77777777" w:rsidR="001666EA" w:rsidRPr="00473F21" w:rsidRDefault="001666EA" w:rsidP="002D6F7B">
            <w:pPr>
              <w:spacing w:before="80" w:after="80" w:line="200" w:lineRule="exact"/>
              <w:rPr>
                <w:b/>
                <w:bCs/>
                <w:iCs/>
                <w:sz w:val="16"/>
                <w:szCs w:val="16"/>
              </w:rPr>
            </w:pPr>
            <w:r w:rsidRPr="00473F21">
              <w:rPr>
                <w:i/>
                <w:iCs/>
                <w:sz w:val="16"/>
                <w:szCs w:val="16"/>
              </w:rPr>
              <w:t>ORGANIC PEROXIDE</w:t>
            </w:r>
          </w:p>
        </w:tc>
        <w:tc>
          <w:tcPr>
            <w:tcW w:w="624" w:type="dxa"/>
            <w:shd w:val="clear" w:color="auto" w:fill="auto"/>
            <w:vAlign w:val="center"/>
          </w:tcPr>
          <w:p w14:paraId="1BDE08F4" w14:textId="77777777" w:rsidR="001666EA" w:rsidRPr="00473F21" w:rsidRDefault="001666EA" w:rsidP="002D6F7B">
            <w:pPr>
              <w:spacing w:before="80" w:after="80" w:line="200" w:lineRule="exact"/>
              <w:rPr>
                <w:b/>
                <w:bCs/>
                <w:iCs/>
                <w:sz w:val="16"/>
                <w:szCs w:val="16"/>
              </w:rPr>
            </w:pPr>
            <w:r w:rsidRPr="00473F21">
              <w:rPr>
                <w:rFonts w:hint="eastAsia"/>
                <w:i/>
                <w:iCs/>
                <w:sz w:val="16"/>
                <w:szCs w:val="16"/>
                <w:lang w:eastAsia="zh-CN"/>
              </w:rPr>
              <w:t>Concentration</w:t>
            </w:r>
            <w:r w:rsidRPr="00473F21">
              <w:rPr>
                <w:i/>
                <w:iCs/>
                <w:sz w:val="16"/>
                <w:szCs w:val="16"/>
              </w:rPr>
              <w:t xml:space="preserve"> (%)</w:t>
            </w:r>
          </w:p>
        </w:tc>
        <w:tc>
          <w:tcPr>
            <w:tcW w:w="714" w:type="dxa"/>
            <w:shd w:val="clear" w:color="auto" w:fill="auto"/>
            <w:vAlign w:val="center"/>
          </w:tcPr>
          <w:p w14:paraId="300A3B1A" w14:textId="77777777" w:rsidR="001666EA" w:rsidRPr="00473F21" w:rsidRDefault="001666EA" w:rsidP="002D6F7B">
            <w:pPr>
              <w:spacing w:before="80" w:after="80" w:line="200" w:lineRule="exact"/>
              <w:rPr>
                <w:b/>
                <w:bCs/>
                <w:iCs/>
                <w:sz w:val="16"/>
                <w:szCs w:val="16"/>
              </w:rPr>
            </w:pPr>
            <w:r w:rsidRPr="00473F21">
              <w:rPr>
                <w:rFonts w:hint="eastAsia"/>
                <w:i/>
                <w:iCs/>
                <w:sz w:val="16"/>
                <w:szCs w:val="16"/>
                <w:lang w:eastAsia="zh-CN"/>
              </w:rPr>
              <w:t>Diluent A</w:t>
            </w:r>
            <w:r w:rsidRPr="00473F21">
              <w:rPr>
                <w:i/>
                <w:iCs/>
                <w:sz w:val="16"/>
                <w:szCs w:val="16"/>
              </w:rPr>
              <w:t xml:space="preserve"> (%)</w:t>
            </w:r>
          </w:p>
        </w:tc>
        <w:tc>
          <w:tcPr>
            <w:tcW w:w="602" w:type="dxa"/>
            <w:shd w:val="clear" w:color="auto" w:fill="auto"/>
            <w:vAlign w:val="center"/>
          </w:tcPr>
          <w:p w14:paraId="138A32B5" w14:textId="77777777" w:rsidR="001666EA" w:rsidRPr="00473F21" w:rsidRDefault="001666EA" w:rsidP="002D6F7B">
            <w:pPr>
              <w:spacing w:before="80" w:after="80" w:line="200" w:lineRule="exact"/>
              <w:rPr>
                <w:b/>
                <w:bCs/>
                <w:iCs/>
                <w:sz w:val="16"/>
                <w:szCs w:val="16"/>
              </w:rPr>
            </w:pPr>
            <w:r w:rsidRPr="00473F21">
              <w:rPr>
                <w:rFonts w:hint="eastAsia"/>
                <w:i/>
                <w:iCs/>
                <w:sz w:val="16"/>
                <w:szCs w:val="16"/>
                <w:lang w:eastAsia="zh-CN"/>
              </w:rPr>
              <w:t xml:space="preserve">Diluent </w:t>
            </w:r>
            <w:r w:rsidRPr="00473F21">
              <w:rPr>
                <w:i/>
                <w:iCs/>
                <w:sz w:val="16"/>
                <w:szCs w:val="16"/>
              </w:rPr>
              <w:t>B  (%)</w:t>
            </w:r>
          </w:p>
        </w:tc>
        <w:tc>
          <w:tcPr>
            <w:tcW w:w="500" w:type="dxa"/>
            <w:shd w:val="clear" w:color="auto" w:fill="auto"/>
            <w:vAlign w:val="center"/>
          </w:tcPr>
          <w:p w14:paraId="37C81090" w14:textId="77777777" w:rsidR="001666EA" w:rsidRPr="00473F21" w:rsidRDefault="001666EA" w:rsidP="002D6F7B">
            <w:pPr>
              <w:spacing w:before="80" w:after="80" w:line="200" w:lineRule="exact"/>
              <w:rPr>
                <w:b/>
                <w:bCs/>
                <w:iCs/>
                <w:sz w:val="16"/>
                <w:szCs w:val="16"/>
              </w:rPr>
            </w:pPr>
            <w:r w:rsidRPr="00473F21">
              <w:rPr>
                <w:rFonts w:hint="eastAsia"/>
                <w:i/>
                <w:iCs/>
                <w:sz w:val="16"/>
                <w:szCs w:val="16"/>
                <w:lang w:eastAsia="zh-CN"/>
              </w:rPr>
              <w:t>Inert solid</w:t>
            </w:r>
            <w:r w:rsidRPr="00473F21">
              <w:rPr>
                <w:i/>
                <w:iCs/>
                <w:sz w:val="16"/>
                <w:szCs w:val="16"/>
              </w:rPr>
              <w:t xml:space="preserve"> (%)</w:t>
            </w:r>
          </w:p>
        </w:tc>
        <w:tc>
          <w:tcPr>
            <w:tcW w:w="500" w:type="dxa"/>
            <w:shd w:val="clear" w:color="auto" w:fill="auto"/>
            <w:vAlign w:val="center"/>
          </w:tcPr>
          <w:p w14:paraId="113030BE" w14:textId="77777777" w:rsidR="001666EA" w:rsidRPr="00473F21" w:rsidRDefault="001666EA" w:rsidP="002D6F7B">
            <w:pPr>
              <w:spacing w:before="80" w:after="80" w:line="200" w:lineRule="exact"/>
              <w:rPr>
                <w:b/>
                <w:bCs/>
                <w:iCs/>
                <w:sz w:val="16"/>
                <w:szCs w:val="16"/>
              </w:rPr>
            </w:pPr>
            <w:r w:rsidRPr="00473F21">
              <w:rPr>
                <w:rFonts w:hint="eastAsia"/>
                <w:i/>
                <w:iCs/>
                <w:sz w:val="16"/>
                <w:szCs w:val="16"/>
                <w:lang w:eastAsia="zh-CN"/>
              </w:rPr>
              <w:t>Water</w:t>
            </w:r>
          </w:p>
        </w:tc>
        <w:tc>
          <w:tcPr>
            <w:tcW w:w="745" w:type="dxa"/>
            <w:shd w:val="clear" w:color="auto" w:fill="auto"/>
            <w:vAlign w:val="center"/>
          </w:tcPr>
          <w:p w14:paraId="00CAA6FE" w14:textId="77777777" w:rsidR="001666EA" w:rsidRPr="00473F21" w:rsidRDefault="001666EA" w:rsidP="002D6F7B">
            <w:pPr>
              <w:spacing w:before="80" w:after="80" w:line="200" w:lineRule="exact"/>
              <w:rPr>
                <w:b/>
                <w:bCs/>
                <w:iCs/>
                <w:sz w:val="16"/>
                <w:szCs w:val="16"/>
              </w:rPr>
            </w:pPr>
            <w:r w:rsidRPr="00473F21">
              <w:rPr>
                <w:rFonts w:hint="eastAsia"/>
                <w:i/>
                <w:iCs/>
                <w:sz w:val="16"/>
                <w:szCs w:val="16"/>
                <w:lang w:eastAsia="zh-CN"/>
              </w:rPr>
              <w:t>Packing Method</w:t>
            </w:r>
          </w:p>
        </w:tc>
        <w:tc>
          <w:tcPr>
            <w:tcW w:w="851" w:type="dxa"/>
            <w:shd w:val="clear" w:color="auto" w:fill="auto"/>
            <w:vAlign w:val="center"/>
          </w:tcPr>
          <w:p w14:paraId="79751A10" w14:textId="77777777" w:rsidR="001666EA" w:rsidRPr="00473F21" w:rsidRDefault="001666EA" w:rsidP="002D6F7B">
            <w:pPr>
              <w:spacing w:before="80" w:after="80" w:line="200" w:lineRule="exact"/>
              <w:rPr>
                <w:b/>
                <w:bCs/>
                <w:iCs/>
                <w:sz w:val="16"/>
                <w:szCs w:val="16"/>
              </w:rPr>
            </w:pPr>
            <w:r w:rsidRPr="00473F21">
              <w:rPr>
                <w:rFonts w:hint="eastAsia"/>
                <w:i/>
                <w:iCs/>
                <w:sz w:val="16"/>
                <w:szCs w:val="16"/>
                <w:lang w:eastAsia="zh-CN"/>
              </w:rPr>
              <w:t>Control temperature</w:t>
            </w:r>
            <w:r w:rsidRPr="00473F21">
              <w:rPr>
                <w:i/>
                <w:iCs/>
                <w:sz w:val="16"/>
                <w:szCs w:val="16"/>
              </w:rPr>
              <w:t xml:space="preserve"> (°C)</w:t>
            </w:r>
          </w:p>
        </w:tc>
        <w:tc>
          <w:tcPr>
            <w:tcW w:w="992" w:type="dxa"/>
            <w:shd w:val="clear" w:color="auto" w:fill="auto"/>
            <w:vAlign w:val="center"/>
          </w:tcPr>
          <w:p w14:paraId="1C75D612" w14:textId="77777777" w:rsidR="001666EA" w:rsidRPr="00473F21" w:rsidRDefault="001666EA" w:rsidP="002D6F7B">
            <w:pPr>
              <w:spacing w:before="80" w:after="80" w:line="200" w:lineRule="exact"/>
              <w:rPr>
                <w:b/>
                <w:bCs/>
                <w:iCs/>
                <w:sz w:val="16"/>
                <w:szCs w:val="16"/>
              </w:rPr>
            </w:pPr>
            <w:r w:rsidRPr="00473F21">
              <w:rPr>
                <w:rFonts w:hint="eastAsia"/>
                <w:i/>
                <w:iCs/>
                <w:sz w:val="16"/>
                <w:szCs w:val="16"/>
                <w:lang w:eastAsia="zh-CN"/>
              </w:rPr>
              <w:t>Emergency temperature</w:t>
            </w:r>
            <w:r w:rsidRPr="00473F21">
              <w:rPr>
                <w:i/>
                <w:iCs/>
                <w:sz w:val="16"/>
                <w:szCs w:val="16"/>
              </w:rPr>
              <w:t xml:space="preserve"> (°C)</w:t>
            </w:r>
          </w:p>
        </w:tc>
        <w:tc>
          <w:tcPr>
            <w:tcW w:w="709" w:type="dxa"/>
            <w:shd w:val="clear" w:color="auto" w:fill="auto"/>
            <w:vAlign w:val="center"/>
          </w:tcPr>
          <w:p w14:paraId="6FA23219" w14:textId="77777777" w:rsidR="001666EA" w:rsidRPr="00473F21" w:rsidRDefault="001666EA" w:rsidP="002D6F7B">
            <w:pPr>
              <w:spacing w:before="80" w:after="80" w:line="200" w:lineRule="exact"/>
              <w:rPr>
                <w:b/>
                <w:bCs/>
                <w:iCs/>
                <w:sz w:val="16"/>
                <w:szCs w:val="16"/>
              </w:rPr>
            </w:pPr>
            <w:proofErr w:type="spellStart"/>
            <w:r w:rsidRPr="00473F21">
              <w:rPr>
                <w:rFonts w:hint="eastAsia"/>
                <w:i/>
                <w:iCs/>
                <w:sz w:val="16"/>
                <w:szCs w:val="16"/>
                <w:lang w:eastAsia="zh-CN"/>
              </w:rPr>
              <w:t>Numbrt</w:t>
            </w:r>
            <w:proofErr w:type="spellEnd"/>
            <w:r w:rsidRPr="00473F21">
              <w:rPr>
                <w:rFonts w:hint="eastAsia"/>
                <w:i/>
                <w:iCs/>
                <w:sz w:val="16"/>
                <w:szCs w:val="16"/>
                <w:lang w:eastAsia="zh-CN"/>
              </w:rPr>
              <w:t>(Generic entry)</w:t>
            </w:r>
          </w:p>
        </w:tc>
        <w:tc>
          <w:tcPr>
            <w:tcW w:w="850" w:type="dxa"/>
            <w:shd w:val="clear" w:color="auto" w:fill="auto"/>
            <w:vAlign w:val="center"/>
          </w:tcPr>
          <w:p w14:paraId="3C68E6D0" w14:textId="77777777" w:rsidR="001666EA" w:rsidRPr="00473F21" w:rsidRDefault="001666EA" w:rsidP="002D6F7B">
            <w:pPr>
              <w:spacing w:before="80" w:after="80" w:line="200" w:lineRule="exact"/>
              <w:rPr>
                <w:b/>
                <w:bCs/>
                <w:iCs/>
                <w:sz w:val="16"/>
                <w:szCs w:val="16"/>
              </w:rPr>
            </w:pPr>
            <w:r w:rsidRPr="00473F21">
              <w:rPr>
                <w:rFonts w:hint="eastAsia"/>
                <w:i/>
                <w:iCs/>
                <w:sz w:val="16"/>
                <w:szCs w:val="16"/>
                <w:lang w:eastAsia="zh-CN"/>
              </w:rPr>
              <w:t>Subsidiary risks and remarks</w:t>
            </w:r>
          </w:p>
        </w:tc>
      </w:tr>
      <w:tr w:rsidR="001666EA" w:rsidRPr="00473F21" w14:paraId="05E7E2F3" w14:textId="77777777" w:rsidTr="002D6F7B">
        <w:tc>
          <w:tcPr>
            <w:tcW w:w="2268" w:type="dxa"/>
            <w:shd w:val="clear" w:color="auto" w:fill="auto"/>
            <w:vAlign w:val="center"/>
          </w:tcPr>
          <w:p w14:paraId="7BD7B589" w14:textId="77777777" w:rsidR="001666EA" w:rsidRPr="00473F21" w:rsidRDefault="001666EA" w:rsidP="002D6F7B">
            <w:pPr>
              <w:spacing w:before="40" w:after="120"/>
              <w:jc w:val="both"/>
              <w:rPr>
                <w:sz w:val="16"/>
                <w:szCs w:val="16"/>
                <w:lang w:eastAsia="zh-CN"/>
              </w:rPr>
            </w:pPr>
            <w:r w:rsidRPr="00473F21">
              <w:rPr>
                <w:sz w:val="16"/>
                <w:szCs w:val="16"/>
              </w:rPr>
              <w:t xml:space="preserve">Artemisinin </w:t>
            </w:r>
            <w:r w:rsidRPr="00473F21">
              <w:rPr>
                <w:rFonts w:hint="eastAsia"/>
                <w:sz w:val="16"/>
                <w:szCs w:val="16"/>
                <w:lang w:eastAsia="zh-CN"/>
              </w:rPr>
              <w:t>or</w:t>
            </w:r>
            <w:r w:rsidRPr="00473F21">
              <w:rPr>
                <w:sz w:val="16"/>
                <w:szCs w:val="16"/>
              </w:rPr>
              <w:t xml:space="preserve"> its derivatives</w:t>
            </w:r>
          </w:p>
        </w:tc>
        <w:tc>
          <w:tcPr>
            <w:tcW w:w="624" w:type="dxa"/>
            <w:shd w:val="clear" w:color="auto" w:fill="auto"/>
            <w:vAlign w:val="center"/>
          </w:tcPr>
          <w:p w14:paraId="1D5C4F1E" w14:textId="77777777" w:rsidR="001666EA" w:rsidRPr="00473F21" w:rsidRDefault="001666EA" w:rsidP="002D6F7B">
            <w:pPr>
              <w:spacing w:before="40" w:after="120"/>
              <w:jc w:val="center"/>
              <w:rPr>
                <w:sz w:val="16"/>
                <w:szCs w:val="16"/>
              </w:rPr>
            </w:pPr>
            <w:r w:rsidRPr="00473F21">
              <w:rPr>
                <w:sz w:val="16"/>
                <w:szCs w:val="16"/>
              </w:rPr>
              <w:t>≤100</w:t>
            </w:r>
          </w:p>
        </w:tc>
        <w:tc>
          <w:tcPr>
            <w:tcW w:w="714" w:type="dxa"/>
            <w:shd w:val="clear" w:color="auto" w:fill="auto"/>
            <w:vAlign w:val="center"/>
          </w:tcPr>
          <w:p w14:paraId="7953FF99" w14:textId="77777777" w:rsidR="001666EA" w:rsidRPr="00473F21" w:rsidRDefault="001666EA" w:rsidP="002D6F7B">
            <w:pPr>
              <w:spacing w:before="40" w:after="120"/>
              <w:jc w:val="center"/>
              <w:rPr>
                <w:sz w:val="16"/>
                <w:szCs w:val="16"/>
              </w:rPr>
            </w:pPr>
          </w:p>
        </w:tc>
        <w:tc>
          <w:tcPr>
            <w:tcW w:w="602" w:type="dxa"/>
            <w:shd w:val="clear" w:color="auto" w:fill="auto"/>
            <w:vAlign w:val="center"/>
          </w:tcPr>
          <w:p w14:paraId="26817849" w14:textId="77777777" w:rsidR="001666EA" w:rsidRPr="00473F21" w:rsidRDefault="001666EA" w:rsidP="002D6F7B">
            <w:pPr>
              <w:spacing w:before="40" w:after="120"/>
              <w:jc w:val="center"/>
              <w:rPr>
                <w:sz w:val="16"/>
                <w:szCs w:val="16"/>
              </w:rPr>
            </w:pPr>
          </w:p>
        </w:tc>
        <w:tc>
          <w:tcPr>
            <w:tcW w:w="500" w:type="dxa"/>
            <w:shd w:val="clear" w:color="auto" w:fill="auto"/>
            <w:vAlign w:val="center"/>
          </w:tcPr>
          <w:p w14:paraId="4FF04AFB" w14:textId="77777777" w:rsidR="001666EA" w:rsidRPr="00473F21" w:rsidRDefault="001666EA" w:rsidP="002D6F7B">
            <w:pPr>
              <w:spacing w:before="40" w:after="120"/>
              <w:jc w:val="center"/>
              <w:rPr>
                <w:sz w:val="16"/>
                <w:szCs w:val="16"/>
              </w:rPr>
            </w:pPr>
          </w:p>
        </w:tc>
        <w:tc>
          <w:tcPr>
            <w:tcW w:w="500" w:type="dxa"/>
            <w:shd w:val="clear" w:color="auto" w:fill="auto"/>
            <w:vAlign w:val="center"/>
          </w:tcPr>
          <w:p w14:paraId="50795D71" w14:textId="77777777" w:rsidR="001666EA" w:rsidRPr="00473F21" w:rsidRDefault="001666EA" w:rsidP="002D6F7B">
            <w:pPr>
              <w:spacing w:before="40" w:after="120"/>
              <w:jc w:val="center"/>
              <w:rPr>
                <w:sz w:val="16"/>
                <w:szCs w:val="16"/>
              </w:rPr>
            </w:pPr>
          </w:p>
        </w:tc>
        <w:tc>
          <w:tcPr>
            <w:tcW w:w="745" w:type="dxa"/>
            <w:shd w:val="clear" w:color="auto" w:fill="auto"/>
            <w:vAlign w:val="center"/>
          </w:tcPr>
          <w:p w14:paraId="5B02A538" w14:textId="77777777" w:rsidR="001666EA" w:rsidRPr="00473F21" w:rsidRDefault="001666EA" w:rsidP="002D6F7B">
            <w:pPr>
              <w:spacing w:before="40" w:after="120"/>
              <w:jc w:val="center"/>
              <w:rPr>
                <w:sz w:val="16"/>
                <w:szCs w:val="16"/>
              </w:rPr>
            </w:pPr>
            <w:r w:rsidRPr="00473F21">
              <w:rPr>
                <w:sz w:val="16"/>
                <w:szCs w:val="16"/>
              </w:rPr>
              <w:t>OP7</w:t>
            </w:r>
          </w:p>
        </w:tc>
        <w:tc>
          <w:tcPr>
            <w:tcW w:w="851" w:type="dxa"/>
            <w:shd w:val="clear" w:color="auto" w:fill="auto"/>
            <w:vAlign w:val="center"/>
          </w:tcPr>
          <w:p w14:paraId="0F894823" w14:textId="77777777" w:rsidR="001666EA" w:rsidRPr="00473F21" w:rsidRDefault="001666EA" w:rsidP="002D6F7B">
            <w:pPr>
              <w:spacing w:before="40" w:after="120"/>
              <w:jc w:val="center"/>
              <w:rPr>
                <w:sz w:val="16"/>
                <w:szCs w:val="16"/>
              </w:rPr>
            </w:pPr>
          </w:p>
        </w:tc>
        <w:tc>
          <w:tcPr>
            <w:tcW w:w="992" w:type="dxa"/>
            <w:shd w:val="clear" w:color="auto" w:fill="auto"/>
            <w:vAlign w:val="center"/>
          </w:tcPr>
          <w:p w14:paraId="20A124AF" w14:textId="77777777" w:rsidR="001666EA" w:rsidRPr="00473F21" w:rsidRDefault="001666EA" w:rsidP="002D6F7B">
            <w:pPr>
              <w:spacing w:before="40" w:after="120"/>
              <w:jc w:val="center"/>
              <w:rPr>
                <w:sz w:val="16"/>
                <w:szCs w:val="16"/>
              </w:rPr>
            </w:pPr>
          </w:p>
        </w:tc>
        <w:tc>
          <w:tcPr>
            <w:tcW w:w="709" w:type="dxa"/>
            <w:shd w:val="clear" w:color="auto" w:fill="auto"/>
            <w:vAlign w:val="center"/>
          </w:tcPr>
          <w:p w14:paraId="6109095E" w14:textId="77777777" w:rsidR="001666EA" w:rsidRPr="00473F21" w:rsidRDefault="001666EA" w:rsidP="002D6F7B">
            <w:pPr>
              <w:spacing w:before="40" w:after="120"/>
              <w:jc w:val="center"/>
              <w:rPr>
                <w:sz w:val="16"/>
                <w:szCs w:val="16"/>
              </w:rPr>
            </w:pPr>
            <w:r w:rsidRPr="00473F21">
              <w:rPr>
                <w:sz w:val="16"/>
                <w:szCs w:val="16"/>
              </w:rPr>
              <w:t>3106</w:t>
            </w:r>
          </w:p>
        </w:tc>
        <w:tc>
          <w:tcPr>
            <w:tcW w:w="850" w:type="dxa"/>
            <w:shd w:val="clear" w:color="auto" w:fill="auto"/>
            <w:vAlign w:val="center"/>
          </w:tcPr>
          <w:p w14:paraId="32B9330A" w14:textId="77777777" w:rsidR="001666EA" w:rsidRPr="00473F21" w:rsidRDefault="001666EA" w:rsidP="002D6F7B">
            <w:pPr>
              <w:spacing w:before="40" w:after="120"/>
              <w:jc w:val="center"/>
              <w:rPr>
                <w:sz w:val="16"/>
                <w:szCs w:val="16"/>
                <w:lang w:eastAsia="zh-CN"/>
              </w:rPr>
            </w:pPr>
            <w:r w:rsidRPr="00473F21">
              <w:rPr>
                <w:rFonts w:hint="eastAsia"/>
                <w:sz w:val="16"/>
                <w:szCs w:val="16"/>
                <w:lang w:eastAsia="zh-CN"/>
              </w:rPr>
              <w:t>3</w:t>
            </w:r>
            <w:r w:rsidRPr="00473F21">
              <w:rPr>
                <w:sz w:val="16"/>
                <w:szCs w:val="16"/>
                <w:lang w:eastAsia="zh-CN"/>
              </w:rPr>
              <w:t>5)</w:t>
            </w:r>
          </w:p>
        </w:tc>
      </w:tr>
    </w:tbl>
    <w:p w14:paraId="76BD3DC7" w14:textId="77777777" w:rsidR="00BD2542" w:rsidRDefault="00BD2542" w:rsidP="001666EA">
      <w:pPr>
        <w:pStyle w:val="SingleTxtG"/>
      </w:pPr>
    </w:p>
    <w:p w14:paraId="2BFA2F5D" w14:textId="115F461A" w:rsidR="001666EA" w:rsidRDefault="001666EA" w:rsidP="001666EA">
      <w:pPr>
        <w:pStyle w:val="SingleTxtG"/>
      </w:pPr>
      <w:r>
        <w:t xml:space="preserve">and </w:t>
      </w:r>
      <w:r w:rsidR="007F1642">
        <w:t xml:space="preserve">to </w:t>
      </w:r>
      <w:r>
        <w:t xml:space="preserve">add </w:t>
      </w:r>
      <w:r w:rsidR="007F1642">
        <w:t xml:space="preserve">the </w:t>
      </w:r>
      <w:r w:rsidR="00B30A23">
        <w:t xml:space="preserve">following </w:t>
      </w:r>
      <w:r>
        <w:t xml:space="preserve">Note </w:t>
      </w:r>
      <w:r w:rsidR="00B30A23">
        <w:t>t</w:t>
      </w:r>
      <w:r>
        <w:t>o 2.5.3.2.4:</w:t>
      </w:r>
    </w:p>
    <w:p w14:paraId="39B2F1F6" w14:textId="37F7C745" w:rsidR="0007452E" w:rsidRDefault="001666EA" w:rsidP="001666EA">
      <w:pPr>
        <w:pStyle w:val="SingleTxtG"/>
      </w:pPr>
      <w:r>
        <w:t xml:space="preserve">“35) Includes artemisinin, artemether, </w:t>
      </w:r>
      <w:proofErr w:type="spellStart"/>
      <w:r>
        <w:t>dihydroartemisinin</w:t>
      </w:r>
      <w:proofErr w:type="spellEnd"/>
      <w:r>
        <w:t xml:space="preserve">, </w:t>
      </w:r>
      <w:proofErr w:type="spellStart"/>
      <w:r>
        <w:t>a</w:t>
      </w:r>
      <w:r w:rsidRPr="00194154">
        <w:t>rteether</w:t>
      </w:r>
      <w:proofErr w:type="spellEnd"/>
      <w:r>
        <w:t xml:space="preserve">, artesunate, and other derivatives with a similar </w:t>
      </w:r>
      <w:r w:rsidRPr="007D61FE">
        <w:t>peroxide bridge structures</w:t>
      </w:r>
      <w:r>
        <w:t xml:space="preserve">. If further test results are available, it </w:t>
      </w:r>
      <w:r w:rsidRPr="00A5396C">
        <w:t>shall</w:t>
      </w:r>
      <w:r>
        <w:t xml:space="preserve"> be </w:t>
      </w:r>
      <w:r w:rsidRPr="00A5396C">
        <w:t xml:space="preserve">classified </w:t>
      </w:r>
      <w:r>
        <w:t xml:space="preserve">appropriately </w:t>
      </w:r>
      <w:r>
        <w:rPr>
          <w:rFonts w:hint="eastAsia"/>
        </w:rPr>
        <w:t>base</w:t>
      </w:r>
      <w:r>
        <w:t>d on the test results.”</w:t>
      </w:r>
    </w:p>
    <w:p w14:paraId="492C1105" w14:textId="48611059" w:rsidR="001666EA" w:rsidRPr="001666EA" w:rsidRDefault="001666EA" w:rsidP="001666EA">
      <w:pPr>
        <w:spacing w:before="240"/>
        <w:jc w:val="center"/>
        <w:rPr>
          <w:u w:val="single"/>
        </w:rPr>
      </w:pPr>
      <w:r>
        <w:rPr>
          <w:u w:val="single"/>
        </w:rPr>
        <w:tab/>
      </w:r>
      <w:r>
        <w:rPr>
          <w:u w:val="single"/>
        </w:rPr>
        <w:tab/>
      </w:r>
      <w:r>
        <w:rPr>
          <w:u w:val="single"/>
        </w:rPr>
        <w:tab/>
      </w:r>
    </w:p>
    <w:sectPr w:rsidR="001666EA" w:rsidRPr="001666EA" w:rsidSect="0039370E">
      <w:headerReference w:type="even" r:id="rId15"/>
      <w:headerReference w:type="default" r:id="rId16"/>
      <w:footerReference w:type="even" r:id="rId17"/>
      <w:footerReference w:type="default" r:id="rId18"/>
      <w:footerReference w:type="first" r:id="rId19"/>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B0218" w14:textId="77777777" w:rsidR="00D664D4" w:rsidRPr="00C47B2E" w:rsidRDefault="00D664D4" w:rsidP="00C47B2E">
      <w:pPr>
        <w:pStyle w:val="Footer"/>
      </w:pPr>
    </w:p>
  </w:endnote>
  <w:endnote w:type="continuationSeparator" w:id="0">
    <w:p w14:paraId="741060EC" w14:textId="77777777" w:rsidR="00D664D4" w:rsidRPr="00C47B2E" w:rsidRDefault="00D664D4" w:rsidP="00C47B2E">
      <w:pPr>
        <w:pStyle w:val="Footer"/>
      </w:pPr>
    </w:p>
  </w:endnote>
  <w:endnote w:type="continuationNotice" w:id="1">
    <w:p w14:paraId="7DCDFA14" w14:textId="77777777" w:rsidR="00D664D4" w:rsidRPr="00C47B2E" w:rsidRDefault="00D664D4"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9DE0" w14:textId="5DC39783" w:rsidR="00D94B05" w:rsidRPr="0039370E" w:rsidRDefault="0039370E" w:rsidP="00D85308">
    <w:pPr>
      <w:pStyle w:val="Footer"/>
      <w:tabs>
        <w:tab w:val="right" w:pos="9639"/>
      </w:tabs>
      <w:rPr>
        <w:sz w:val="18"/>
      </w:rPr>
    </w:pPr>
    <w:r w:rsidRPr="0039370E">
      <w:rPr>
        <w:b/>
        <w:sz w:val="18"/>
      </w:rPr>
      <w:fldChar w:fldCharType="begin"/>
    </w:r>
    <w:r w:rsidRPr="0039370E">
      <w:rPr>
        <w:b/>
        <w:sz w:val="18"/>
      </w:rPr>
      <w:instrText xml:space="preserve"> PAGE  \* MERGEFORMAT </w:instrText>
    </w:r>
    <w:r w:rsidRPr="0039370E">
      <w:rPr>
        <w:b/>
        <w:sz w:val="18"/>
      </w:rPr>
      <w:fldChar w:fldCharType="separate"/>
    </w:r>
    <w:r w:rsidRPr="0039370E">
      <w:rPr>
        <w:b/>
        <w:noProof/>
        <w:sz w:val="18"/>
      </w:rPr>
      <w:t>2</w:t>
    </w:r>
    <w:r w:rsidRPr="0039370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ECE08" w14:textId="71C1802C" w:rsidR="00D94B05" w:rsidRPr="0039370E" w:rsidRDefault="0039370E" w:rsidP="00D85308">
    <w:pPr>
      <w:pStyle w:val="Footer"/>
      <w:tabs>
        <w:tab w:val="right" w:pos="9639"/>
      </w:tabs>
      <w:rPr>
        <w:b/>
        <w:bCs/>
        <w:sz w:val="18"/>
      </w:rPr>
    </w:pPr>
    <w:r>
      <w:rPr>
        <w:bCs/>
        <w:sz w:val="18"/>
      </w:rPr>
      <w:tab/>
    </w:r>
    <w:r w:rsidRPr="0039370E">
      <w:rPr>
        <w:b/>
        <w:bCs/>
        <w:sz w:val="18"/>
      </w:rPr>
      <w:fldChar w:fldCharType="begin"/>
    </w:r>
    <w:r w:rsidRPr="0039370E">
      <w:rPr>
        <w:b/>
        <w:bCs/>
        <w:sz w:val="18"/>
      </w:rPr>
      <w:instrText xml:space="preserve"> PAGE  \* MERGEFORMAT </w:instrText>
    </w:r>
    <w:r w:rsidRPr="0039370E">
      <w:rPr>
        <w:b/>
        <w:bCs/>
        <w:sz w:val="18"/>
      </w:rPr>
      <w:fldChar w:fldCharType="separate"/>
    </w:r>
    <w:r w:rsidRPr="0039370E">
      <w:rPr>
        <w:b/>
        <w:bCs/>
        <w:noProof/>
        <w:sz w:val="18"/>
      </w:rPr>
      <w:t>3</w:t>
    </w:r>
    <w:r w:rsidRPr="0039370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18F64" w14:textId="77777777" w:rsidR="00D94B05" w:rsidRPr="0039370E"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8240" behindDoc="0" locked="1" layoutInCell="1" allowOverlap="1" wp14:anchorId="391B4250" wp14:editId="65CBB9F9">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6DC00" w14:textId="77777777" w:rsidR="00D664D4" w:rsidRPr="00C47B2E" w:rsidRDefault="00D664D4" w:rsidP="00C47B2E">
      <w:pPr>
        <w:tabs>
          <w:tab w:val="right" w:pos="2155"/>
        </w:tabs>
        <w:spacing w:after="80" w:line="240" w:lineRule="auto"/>
        <w:ind w:left="680"/>
      </w:pPr>
      <w:r>
        <w:rPr>
          <w:u w:val="single"/>
        </w:rPr>
        <w:tab/>
      </w:r>
    </w:p>
  </w:footnote>
  <w:footnote w:type="continuationSeparator" w:id="0">
    <w:p w14:paraId="05A51949" w14:textId="77777777" w:rsidR="00D664D4" w:rsidRPr="00C47B2E" w:rsidRDefault="00D664D4" w:rsidP="005E716E">
      <w:pPr>
        <w:tabs>
          <w:tab w:val="right" w:pos="2155"/>
        </w:tabs>
        <w:spacing w:after="80" w:line="240" w:lineRule="auto"/>
        <w:ind w:left="680"/>
      </w:pPr>
      <w:r>
        <w:rPr>
          <w:u w:val="single"/>
        </w:rPr>
        <w:tab/>
      </w:r>
    </w:p>
  </w:footnote>
  <w:footnote w:type="continuationNotice" w:id="1">
    <w:p w14:paraId="6F08152F" w14:textId="77777777" w:rsidR="00D664D4" w:rsidRPr="00C47B2E" w:rsidRDefault="00D664D4" w:rsidP="00C47B2E">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5612F" w14:textId="677A19C5" w:rsidR="0039370E" w:rsidRPr="0087458D" w:rsidRDefault="0087458D">
    <w:pPr>
      <w:pStyle w:val="Header"/>
      <w:rPr>
        <w:lang w:val="fr-CH"/>
      </w:rPr>
    </w:pPr>
    <w:r>
      <w:rPr>
        <w:lang w:val="fr-CH"/>
      </w:rPr>
      <w:t>UN/SCETDG/64/INF.</w:t>
    </w:r>
    <w:r w:rsidR="00AD6218">
      <w:rPr>
        <w:lang w:val="fr-CH"/>
      </w:rPr>
      <w:t>40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2F55E" w14:textId="5A460C4B" w:rsidR="00D94B05" w:rsidRPr="0039370E" w:rsidRDefault="00B30A23" w:rsidP="0039370E">
    <w:pPr>
      <w:pStyle w:val="Header"/>
      <w:jc w:val="right"/>
    </w:pPr>
    <w:fldSimple w:instr=" TITLE  \* MERGEFORMAT ">
      <w:r w:rsidR="00EF73A0">
        <w:t>UN/SCETDG/64/INF.40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FCE0912"/>
    <w:multiLevelType w:val="hybridMultilevel"/>
    <w:tmpl w:val="266EAB7A"/>
    <w:lvl w:ilvl="0" w:tplc="027CBD68">
      <w:start w:val="1"/>
      <w:numFmt w:val="decimal"/>
      <w:lvlText w:val="%1."/>
      <w:lvlJc w:val="right"/>
      <w:pPr>
        <w:ind w:left="1290" w:hanging="360"/>
      </w:pPr>
      <w:rPr>
        <w:rFonts w:hint="default"/>
        <w:i w:val="0"/>
        <w:iCs/>
      </w:rPr>
    </w:lvl>
    <w:lvl w:ilvl="1" w:tplc="08130019">
      <w:start w:val="1"/>
      <w:numFmt w:val="lowerLetter"/>
      <w:lvlText w:val="%2."/>
      <w:lvlJc w:val="left"/>
      <w:pPr>
        <w:ind w:left="2010" w:hanging="360"/>
      </w:pPr>
    </w:lvl>
    <w:lvl w:ilvl="2" w:tplc="0813001B" w:tentative="1">
      <w:start w:val="1"/>
      <w:numFmt w:val="lowerRoman"/>
      <w:lvlText w:val="%3."/>
      <w:lvlJc w:val="right"/>
      <w:pPr>
        <w:ind w:left="2730" w:hanging="180"/>
      </w:pPr>
    </w:lvl>
    <w:lvl w:ilvl="3" w:tplc="0813000F" w:tentative="1">
      <w:start w:val="1"/>
      <w:numFmt w:val="decimal"/>
      <w:lvlText w:val="%4."/>
      <w:lvlJc w:val="left"/>
      <w:pPr>
        <w:ind w:left="3450" w:hanging="360"/>
      </w:pPr>
    </w:lvl>
    <w:lvl w:ilvl="4" w:tplc="08130019" w:tentative="1">
      <w:start w:val="1"/>
      <w:numFmt w:val="lowerLetter"/>
      <w:lvlText w:val="%5."/>
      <w:lvlJc w:val="left"/>
      <w:pPr>
        <w:ind w:left="4170" w:hanging="360"/>
      </w:pPr>
    </w:lvl>
    <w:lvl w:ilvl="5" w:tplc="0813001B" w:tentative="1">
      <w:start w:val="1"/>
      <w:numFmt w:val="lowerRoman"/>
      <w:lvlText w:val="%6."/>
      <w:lvlJc w:val="right"/>
      <w:pPr>
        <w:ind w:left="4890" w:hanging="180"/>
      </w:pPr>
    </w:lvl>
    <w:lvl w:ilvl="6" w:tplc="0813000F" w:tentative="1">
      <w:start w:val="1"/>
      <w:numFmt w:val="decimal"/>
      <w:lvlText w:val="%7."/>
      <w:lvlJc w:val="left"/>
      <w:pPr>
        <w:ind w:left="5610" w:hanging="360"/>
      </w:pPr>
    </w:lvl>
    <w:lvl w:ilvl="7" w:tplc="08130019" w:tentative="1">
      <w:start w:val="1"/>
      <w:numFmt w:val="lowerLetter"/>
      <w:lvlText w:val="%8."/>
      <w:lvlJc w:val="left"/>
      <w:pPr>
        <w:ind w:left="6330" w:hanging="360"/>
      </w:pPr>
    </w:lvl>
    <w:lvl w:ilvl="8" w:tplc="0813001B" w:tentative="1">
      <w:start w:val="1"/>
      <w:numFmt w:val="lowerRoman"/>
      <w:lvlText w:val="%9."/>
      <w:lvlJc w:val="right"/>
      <w:pPr>
        <w:ind w:left="7050" w:hanging="180"/>
      </w:p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9718E8"/>
    <w:multiLevelType w:val="hybridMultilevel"/>
    <w:tmpl w:val="86F251BE"/>
    <w:lvl w:ilvl="0" w:tplc="A9A83660">
      <w:start w:val="1"/>
      <w:numFmt w:val="decimal"/>
      <w:lvlText w:val="%1."/>
      <w:lvlJc w:val="left"/>
      <w:pPr>
        <w:ind w:left="1494" w:hanging="360"/>
      </w:pPr>
      <w:rPr>
        <w:rFonts w:hint="default"/>
      </w:rPr>
    </w:lvl>
    <w:lvl w:ilvl="1" w:tplc="20000019">
      <w:start w:val="1"/>
      <w:numFmt w:val="lowerLetter"/>
      <w:lvlText w:val="%2."/>
      <w:lvlJc w:val="left"/>
      <w:pPr>
        <w:ind w:left="2214" w:hanging="360"/>
      </w:pPr>
    </w:lvl>
    <w:lvl w:ilvl="2" w:tplc="2000001B">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8" w15:restartNumberingAfterBreak="0">
    <w:nsid w:val="2ED9716B"/>
    <w:multiLevelType w:val="hybridMultilevel"/>
    <w:tmpl w:val="F7226F38"/>
    <w:lvl w:ilvl="0" w:tplc="F4085658">
      <w:start w:val="1"/>
      <w:numFmt w:val="upperRoman"/>
      <w:lvlText w:val="%1."/>
      <w:lvlJc w:val="left"/>
      <w:pPr>
        <w:ind w:left="1848" w:hanging="720"/>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B14A3D"/>
    <w:multiLevelType w:val="hybridMultilevel"/>
    <w:tmpl w:val="0D9EE37E"/>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080571E"/>
    <w:multiLevelType w:val="hybridMultilevel"/>
    <w:tmpl w:val="A9B4EC6A"/>
    <w:lvl w:ilvl="0" w:tplc="898ADF0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8A626A"/>
    <w:multiLevelType w:val="hybridMultilevel"/>
    <w:tmpl w:val="70168100"/>
    <w:lvl w:ilvl="0" w:tplc="51FA683A">
      <w:start w:val="1"/>
      <w:numFmt w:val="decimal"/>
      <w:lvlText w:val="%1."/>
      <w:lvlJc w:val="left"/>
      <w:pPr>
        <w:ind w:left="4682" w:hanging="570"/>
      </w:pPr>
      <w:rPr>
        <w:rFonts w:ascii="Times New Roman" w:hAnsi="Times New Roman" w:cs="Times New Roman" w:hint="default"/>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1116172172">
    <w:abstractNumId w:val="9"/>
  </w:num>
  <w:num w:numId="2" w16cid:durableId="1073159890">
    <w:abstractNumId w:val="6"/>
  </w:num>
  <w:num w:numId="3" w16cid:durableId="551188904">
    <w:abstractNumId w:val="1"/>
  </w:num>
  <w:num w:numId="4" w16cid:durableId="44254624">
    <w:abstractNumId w:val="11"/>
  </w:num>
  <w:num w:numId="5" w16cid:durableId="1816027029">
    <w:abstractNumId w:val="12"/>
  </w:num>
  <w:num w:numId="6" w16cid:durableId="1836190579">
    <w:abstractNumId w:val="15"/>
  </w:num>
  <w:num w:numId="7" w16cid:durableId="634676252">
    <w:abstractNumId w:val="5"/>
  </w:num>
  <w:num w:numId="8" w16cid:durableId="1039166836">
    <w:abstractNumId w:val="2"/>
  </w:num>
  <w:num w:numId="9" w16cid:durableId="644969981">
    <w:abstractNumId w:val="14"/>
  </w:num>
  <w:num w:numId="10" w16cid:durableId="525103391">
    <w:abstractNumId w:val="2"/>
  </w:num>
  <w:num w:numId="11" w16cid:durableId="297342166">
    <w:abstractNumId w:val="14"/>
  </w:num>
  <w:num w:numId="12" w16cid:durableId="1280380300">
    <w:abstractNumId w:val="3"/>
  </w:num>
  <w:num w:numId="13" w16cid:durableId="1988699530">
    <w:abstractNumId w:val="3"/>
  </w:num>
  <w:num w:numId="14" w16cid:durableId="1917550057">
    <w:abstractNumId w:val="16"/>
  </w:num>
  <w:num w:numId="15" w16cid:durableId="907884386">
    <w:abstractNumId w:val="8"/>
  </w:num>
  <w:num w:numId="16" w16cid:durableId="835220403">
    <w:abstractNumId w:val="0"/>
  </w:num>
  <w:num w:numId="17" w16cid:durableId="1800806580">
    <w:abstractNumId w:val="7"/>
  </w:num>
  <w:num w:numId="18" w16cid:durableId="1605722952">
    <w:abstractNumId w:val="4"/>
  </w:num>
  <w:num w:numId="19" w16cid:durableId="476261480">
    <w:abstractNumId w:val="13"/>
  </w:num>
  <w:num w:numId="20" w16cid:durableId="1233485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70E"/>
    <w:rsid w:val="00011DAD"/>
    <w:rsid w:val="00021D9C"/>
    <w:rsid w:val="00034087"/>
    <w:rsid w:val="00036051"/>
    <w:rsid w:val="00046E92"/>
    <w:rsid w:val="00050927"/>
    <w:rsid w:val="00063C90"/>
    <w:rsid w:val="00070000"/>
    <w:rsid w:val="0007452E"/>
    <w:rsid w:val="00074A36"/>
    <w:rsid w:val="00083106"/>
    <w:rsid w:val="00097AF4"/>
    <w:rsid w:val="000C25E4"/>
    <w:rsid w:val="000F3078"/>
    <w:rsid w:val="00101B98"/>
    <w:rsid w:val="00104C0F"/>
    <w:rsid w:val="0010604D"/>
    <w:rsid w:val="0011084B"/>
    <w:rsid w:val="001514D1"/>
    <w:rsid w:val="00155C73"/>
    <w:rsid w:val="001666EA"/>
    <w:rsid w:val="001854FD"/>
    <w:rsid w:val="001861DE"/>
    <w:rsid w:val="00186622"/>
    <w:rsid w:val="001A1F33"/>
    <w:rsid w:val="001A4B5F"/>
    <w:rsid w:val="001A7B96"/>
    <w:rsid w:val="001B09B1"/>
    <w:rsid w:val="001B225A"/>
    <w:rsid w:val="001D5E14"/>
    <w:rsid w:val="001D6DEA"/>
    <w:rsid w:val="001E3B26"/>
    <w:rsid w:val="001E4757"/>
    <w:rsid w:val="001E4972"/>
    <w:rsid w:val="001E68FF"/>
    <w:rsid w:val="001F5B8E"/>
    <w:rsid w:val="001F6C71"/>
    <w:rsid w:val="0020341A"/>
    <w:rsid w:val="00204760"/>
    <w:rsid w:val="00205FB9"/>
    <w:rsid w:val="00223895"/>
    <w:rsid w:val="00223A1F"/>
    <w:rsid w:val="00224447"/>
    <w:rsid w:val="00230715"/>
    <w:rsid w:val="002328F5"/>
    <w:rsid w:val="00235F25"/>
    <w:rsid w:val="00247E2C"/>
    <w:rsid w:val="00252091"/>
    <w:rsid w:val="00262CC4"/>
    <w:rsid w:val="002839AF"/>
    <w:rsid w:val="0028529B"/>
    <w:rsid w:val="002A32CB"/>
    <w:rsid w:val="002A3A97"/>
    <w:rsid w:val="002A728A"/>
    <w:rsid w:val="002B65FD"/>
    <w:rsid w:val="002C34EA"/>
    <w:rsid w:val="002C461B"/>
    <w:rsid w:val="002D5B2C"/>
    <w:rsid w:val="002D6C53"/>
    <w:rsid w:val="002E3CFB"/>
    <w:rsid w:val="002E76EA"/>
    <w:rsid w:val="002F4DF8"/>
    <w:rsid w:val="002F5595"/>
    <w:rsid w:val="003070C4"/>
    <w:rsid w:val="00307AA6"/>
    <w:rsid w:val="003140B8"/>
    <w:rsid w:val="0032702E"/>
    <w:rsid w:val="00327EE9"/>
    <w:rsid w:val="0033310E"/>
    <w:rsid w:val="00334F6A"/>
    <w:rsid w:val="00342AC8"/>
    <w:rsid w:val="00343302"/>
    <w:rsid w:val="003545B1"/>
    <w:rsid w:val="00361EB1"/>
    <w:rsid w:val="00365509"/>
    <w:rsid w:val="00374CDF"/>
    <w:rsid w:val="00391730"/>
    <w:rsid w:val="0039370E"/>
    <w:rsid w:val="003979DE"/>
    <w:rsid w:val="003B1248"/>
    <w:rsid w:val="003B4550"/>
    <w:rsid w:val="003D2A18"/>
    <w:rsid w:val="003D2EA4"/>
    <w:rsid w:val="003D6064"/>
    <w:rsid w:val="003D74B9"/>
    <w:rsid w:val="003E07D9"/>
    <w:rsid w:val="003E0E6B"/>
    <w:rsid w:val="003E384F"/>
    <w:rsid w:val="00400EB7"/>
    <w:rsid w:val="00404238"/>
    <w:rsid w:val="00413386"/>
    <w:rsid w:val="004152F1"/>
    <w:rsid w:val="0043510C"/>
    <w:rsid w:val="0044240C"/>
    <w:rsid w:val="00446BBE"/>
    <w:rsid w:val="00461253"/>
    <w:rsid w:val="0047018B"/>
    <w:rsid w:val="004858F5"/>
    <w:rsid w:val="00496248"/>
    <w:rsid w:val="004A2814"/>
    <w:rsid w:val="004A366B"/>
    <w:rsid w:val="004A4B01"/>
    <w:rsid w:val="004B10E7"/>
    <w:rsid w:val="004B3B13"/>
    <w:rsid w:val="004C0622"/>
    <w:rsid w:val="004C0760"/>
    <w:rsid w:val="004C5613"/>
    <w:rsid w:val="004D79DA"/>
    <w:rsid w:val="004F3A78"/>
    <w:rsid w:val="004F5402"/>
    <w:rsid w:val="004F73D0"/>
    <w:rsid w:val="0050402A"/>
    <w:rsid w:val="005042C2"/>
    <w:rsid w:val="00506072"/>
    <w:rsid w:val="005110F3"/>
    <w:rsid w:val="005153E4"/>
    <w:rsid w:val="00516173"/>
    <w:rsid w:val="00524BE4"/>
    <w:rsid w:val="00530261"/>
    <w:rsid w:val="00572D6D"/>
    <w:rsid w:val="00572EFA"/>
    <w:rsid w:val="005809F4"/>
    <w:rsid w:val="0058392B"/>
    <w:rsid w:val="00595112"/>
    <w:rsid w:val="00595C55"/>
    <w:rsid w:val="005A1BF2"/>
    <w:rsid w:val="005A1C27"/>
    <w:rsid w:val="005A3B9D"/>
    <w:rsid w:val="005C3F53"/>
    <w:rsid w:val="005C70FD"/>
    <w:rsid w:val="005E716E"/>
    <w:rsid w:val="005F3CE0"/>
    <w:rsid w:val="0060395F"/>
    <w:rsid w:val="00620BE9"/>
    <w:rsid w:val="006431BA"/>
    <w:rsid w:val="006476E1"/>
    <w:rsid w:val="006604DF"/>
    <w:rsid w:val="00671529"/>
    <w:rsid w:val="006940B0"/>
    <w:rsid w:val="006A6910"/>
    <w:rsid w:val="006B3F6B"/>
    <w:rsid w:val="006B5A8C"/>
    <w:rsid w:val="006B69A4"/>
    <w:rsid w:val="006B7121"/>
    <w:rsid w:val="006B75AD"/>
    <w:rsid w:val="006D458E"/>
    <w:rsid w:val="006E1A16"/>
    <w:rsid w:val="006E1B07"/>
    <w:rsid w:val="006F1684"/>
    <w:rsid w:val="006F1EF5"/>
    <w:rsid w:val="00700634"/>
    <w:rsid w:val="0070489D"/>
    <w:rsid w:val="007139BD"/>
    <w:rsid w:val="007200A1"/>
    <w:rsid w:val="007268F9"/>
    <w:rsid w:val="00750282"/>
    <w:rsid w:val="00750D5E"/>
    <w:rsid w:val="00756BF8"/>
    <w:rsid w:val="00764440"/>
    <w:rsid w:val="00765010"/>
    <w:rsid w:val="0076706D"/>
    <w:rsid w:val="0077101B"/>
    <w:rsid w:val="00785B39"/>
    <w:rsid w:val="00793B46"/>
    <w:rsid w:val="007C52B0"/>
    <w:rsid w:val="007C6033"/>
    <w:rsid w:val="007C7B2F"/>
    <w:rsid w:val="007F1642"/>
    <w:rsid w:val="007F3784"/>
    <w:rsid w:val="007F3BC7"/>
    <w:rsid w:val="008147C8"/>
    <w:rsid w:val="00815063"/>
    <w:rsid w:val="0081753A"/>
    <w:rsid w:val="00817713"/>
    <w:rsid w:val="008265F1"/>
    <w:rsid w:val="00827299"/>
    <w:rsid w:val="0085123A"/>
    <w:rsid w:val="00857D23"/>
    <w:rsid w:val="00871A81"/>
    <w:rsid w:val="00873E8B"/>
    <w:rsid w:val="0087458D"/>
    <w:rsid w:val="00876F04"/>
    <w:rsid w:val="00883E68"/>
    <w:rsid w:val="008923C4"/>
    <w:rsid w:val="008B6E83"/>
    <w:rsid w:val="008C131C"/>
    <w:rsid w:val="008D2289"/>
    <w:rsid w:val="008D51A7"/>
    <w:rsid w:val="008E51C3"/>
    <w:rsid w:val="008F4AE9"/>
    <w:rsid w:val="00904D78"/>
    <w:rsid w:val="00911181"/>
    <w:rsid w:val="009300DB"/>
    <w:rsid w:val="009411B4"/>
    <w:rsid w:val="00946F1D"/>
    <w:rsid w:val="009502AA"/>
    <w:rsid w:val="00965EDC"/>
    <w:rsid w:val="009767EB"/>
    <w:rsid w:val="00987F92"/>
    <w:rsid w:val="0099436D"/>
    <w:rsid w:val="009A0A7F"/>
    <w:rsid w:val="009A1E66"/>
    <w:rsid w:val="009A25A3"/>
    <w:rsid w:val="009A6A8B"/>
    <w:rsid w:val="009C02D0"/>
    <w:rsid w:val="009C0A57"/>
    <w:rsid w:val="009C2025"/>
    <w:rsid w:val="009C3369"/>
    <w:rsid w:val="009C4EFF"/>
    <w:rsid w:val="009D0139"/>
    <w:rsid w:val="009D717D"/>
    <w:rsid w:val="009F193D"/>
    <w:rsid w:val="009F5CDC"/>
    <w:rsid w:val="009F7E47"/>
    <w:rsid w:val="00A072D7"/>
    <w:rsid w:val="00A461A2"/>
    <w:rsid w:val="00A76D84"/>
    <w:rsid w:val="00A775CF"/>
    <w:rsid w:val="00A81FF2"/>
    <w:rsid w:val="00A90C31"/>
    <w:rsid w:val="00A945EB"/>
    <w:rsid w:val="00AA3FA0"/>
    <w:rsid w:val="00AA601F"/>
    <w:rsid w:val="00AA74D9"/>
    <w:rsid w:val="00AD141E"/>
    <w:rsid w:val="00AD1A9C"/>
    <w:rsid w:val="00AD6218"/>
    <w:rsid w:val="00AF1608"/>
    <w:rsid w:val="00AF5DE1"/>
    <w:rsid w:val="00B06045"/>
    <w:rsid w:val="00B206DD"/>
    <w:rsid w:val="00B30A23"/>
    <w:rsid w:val="00B31A1A"/>
    <w:rsid w:val="00B52EF4"/>
    <w:rsid w:val="00B55DFE"/>
    <w:rsid w:val="00B618F1"/>
    <w:rsid w:val="00B703C4"/>
    <w:rsid w:val="00B777AD"/>
    <w:rsid w:val="00B804A2"/>
    <w:rsid w:val="00B8395E"/>
    <w:rsid w:val="00BA2C79"/>
    <w:rsid w:val="00BD2542"/>
    <w:rsid w:val="00BE4C22"/>
    <w:rsid w:val="00BF3C66"/>
    <w:rsid w:val="00BF519D"/>
    <w:rsid w:val="00C019E3"/>
    <w:rsid w:val="00C03015"/>
    <w:rsid w:val="00C0358D"/>
    <w:rsid w:val="00C149B5"/>
    <w:rsid w:val="00C35A27"/>
    <w:rsid w:val="00C4143B"/>
    <w:rsid w:val="00C45ABA"/>
    <w:rsid w:val="00C465F1"/>
    <w:rsid w:val="00C47B2E"/>
    <w:rsid w:val="00C512AD"/>
    <w:rsid w:val="00C5287E"/>
    <w:rsid w:val="00C544C4"/>
    <w:rsid w:val="00C637FA"/>
    <w:rsid w:val="00C7275C"/>
    <w:rsid w:val="00C8167E"/>
    <w:rsid w:val="00C84422"/>
    <w:rsid w:val="00C96282"/>
    <w:rsid w:val="00CA1A36"/>
    <w:rsid w:val="00CC2928"/>
    <w:rsid w:val="00CC5C16"/>
    <w:rsid w:val="00CC7758"/>
    <w:rsid w:val="00CE425D"/>
    <w:rsid w:val="00CF5A5B"/>
    <w:rsid w:val="00CF638E"/>
    <w:rsid w:val="00CF7580"/>
    <w:rsid w:val="00D02176"/>
    <w:rsid w:val="00D02DC7"/>
    <w:rsid w:val="00D1625A"/>
    <w:rsid w:val="00D41E65"/>
    <w:rsid w:val="00D5108F"/>
    <w:rsid w:val="00D61B8F"/>
    <w:rsid w:val="00D63A17"/>
    <w:rsid w:val="00D63CD2"/>
    <w:rsid w:val="00D664D4"/>
    <w:rsid w:val="00D70E96"/>
    <w:rsid w:val="00D77868"/>
    <w:rsid w:val="00D85308"/>
    <w:rsid w:val="00D87DC2"/>
    <w:rsid w:val="00D93887"/>
    <w:rsid w:val="00D94B05"/>
    <w:rsid w:val="00D9541C"/>
    <w:rsid w:val="00DA36E8"/>
    <w:rsid w:val="00DB4D23"/>
    <w:rsid w:val="00DB52EE"/>
    <w:rsid w:val="00DB71A2"/>
    <w:rsid w:val="00DC7379"/>
    <w:rsid w:val="00DE5139"/>
    <w:rsid w:val="00DE60E7"/>
    <w:rsid w:val="00E02C2B"/>
    <w:rsid w:val="00E050E4"/>
    <w:rsid w:val="00E14B48"/>
    <w:rsid w:val="00E21C27"/>
    <w:rsid w:val="00E24C4C"/>
    <w:rsid w:val="00E26BCF"/>
    <w:rsid w:val="00E26C01"/>
    <w:rsid w:val="00E51935"/>
    <w:rsid w:val="00E52109"/>
    <w:rsid w:val="00E55302"/>
    <w:rsid w:val="00E56FDD"/>
    <w:rsid w:val="00E74576"/>
    <w:rsid w:val="00E75317"/>
    <w:rsid w:val="00E77462"/>
    <w:rsid w:val="00E816EC"/>
    <w:rsid w:val="00E86D77"/>
    <w:rsid w:val="00E93072"/>
    <w:rsid w:val="00EB7201"/>
    <w:rsid w:val="00EC0CE6"/>
    <w:rsid w:val="00EC7C1D"/>
    <w:rsid w:val="00ED6C48"/>
    <w:rsid w:val="00ED744F"/>
    <w:rsid w:val="00EE3045"/>
    <w:rsid w:val="00EE5FFB"/>
    <w:rsid w:val="00EE699E"/>
    <w:rsid w:val="00EF1ECC"/>
    <w:rsid w:val="00EF73A0"/>
    <w:rsid w:val="00F13BB0"/>
    <w:rsid w:val="00F15871"/>
    <w:rsid w:val="00F21781"/>
    <w:rsid w:val="00F23D06"/>
    <w:rsid w:val="00F26186"/>
    <w:rsid w:val="00F26C33"/>
    <w:rsid w:val="00F375B1"/>
    <w:rsid w:val="00F606E8"/>
    <w:rsid w:val="00F65F5D"/>
    <w:rsid w:val="00F66365"/>
    <w:rsid w:val="00F72A51"/>
    <w:rsid w:val="00F86A3A"/>
    <w:rsid w:val="00F90EE7"/>
    <w:rsid w:val="00FA2B35"/>
    <w:rsid w:val="00FA42DA"/>
    <w:rsid w:val="00FD50DF"/>
    <w:rsid w:val="00FD51FE"/>
    <w:rsid w:val="00FD7048"/>
    <w:rsid w:val="00FD7E77"/>
    <w:rsid w:val="00FE2073"/>
    <w:rsid w:val="00FE281D"/>
    <w:rsid w:val="00FE2AC5"/>
    <w:rsid w:val="00FE34C7"/>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48AB4"/>
  <w15:docId w15:val="{991EB97B-FBC0-4302-AA3E-DA97C2303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79"/>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uiPriority w:val="99"/>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Normal"/>
    <w:qFormat/>
    <w:rsid w:val="00FA42DA"/>
    <w:pPr>
      <w:numPr>
        <w:numId w:val="13"/>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uiPriority w:val="99"/>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qFormat/>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odyText">
    <w:name w:val="Body Text"/>
    <w:basedOn w:val="Normal"/>
    <w:next w:val="Normal"/>
    <w:link w:val="BodyTextChar"/>
    <w:semiHidden/>
    <w:rsid w:val="00CF5A5B"/>
    <w:pPr>
      <w:suppressAutoHyphens/>
    </w:pPr>
    <w:rPr>
      <w:rFonts w:eastAsia="Times New Roman"/>
      <w:lang w:eastAsia="en-US"/>
    </w:rPr>
  </w:style>
  <w:style w:type="character" w:customStyle="1" w:styleId="BodyTextChar">
    <w:name w:val="Body Text Char"/>
    <w:basedOn w:val="DefaultParagraphFont"/>
    <w:link w:val="BodyText"/>
    <w:semiHidden/>
    <w:rsid w:val="00CF5A5B"/>
    <w:rPr>
      <w:rFonts w:eastAsia="Times New Roman"/>
      <w:lang w:eastAsia="en-US"/>
    </w:rPr>
  </w:style>
  <w:style w:type="character" w:customStyle="1" w:styleId="HChGChar">
    <w:name w:val="_ H _Ch_G Char"/>
    <w:link w:val="HChG"/>
    <w:qFormat/>
    <w:rsid w:val="00CF5A5B"/>
    <w:rPr>
      <w:b/>
      <w:sz w:val="28"/>
    </w:rPr>
  </w:style>
  <w:style w:type="character" w:customStyle="1" w:styleId="SingleTxtGChar">
    <w:name w:val="_ Single Txt_G Char"/>
    <w:link w:val="SingleTxtG"/>
    <w:uiPriority w:val="99"/>
    <w:qFormat/>
    <w:locked/>
    <w:rsid w:val="00CF5A5B"/>
  </w:style>
  <w:style w:type="character" w:customStyle="1" w:styleId="H1GChar">
    <w:name w:val="_ H_1_G Char"/>
    <w:link w:val="H1G"/>
    <w:qFormat/>
    <w:rsid w:val="00CF5A5B"/>
    <w:rPr>
      <w:b/>
      <w:sz w:val="24"/>
    </w:rPr>
  </w:style>
  <w:style w:type="paragraph" w:styleId="Revision">
    <w:name w:val="Revision"/>
    <w:hidden/>
    <w:uiPriority w:val="99"/>
    <w:semiHidden/>
    <w:rsid w:val="005A1BF2"/>
    <w:pPr>
      <w:spacing w:line="240" w:lineRule="auto"/>
    </w:pPr>
  </w:style>
  <w:style w:type="character" w:styleId="UnresolvedMention">
    <w:name w:val="Unresolved Mention"/>
    <w:basedOn w:val="DefaultParagraphFont"/>
    <w:uiPriority w:val="99"/>
    <w:semiHidden/>
    <w:unhideWhenUsed/>
    <w:rsid w:val="00446BBE"/>
    <w:rPr>
      <w:color w:val="605E5C"/>
      <w:shd w:val="clear" w:color="auto" w:fill="E1DFDD"/>
    </w:rPr>
  </w:style>
  <w:style w:type="character" w:styleId="CommentReference">
    <w:name w:val="annotation reference"/>
    <w:basedOn w:val="DefaultParagraphFont"/>
    <w:uiPriority w:val="99"/>
    <w:semiHidden/>
    <w:unhideWhenUsed/>
    <w:rsid w:val="009C4EFF"/>
    <w:rPr>
      <w:sz w:val="16"/>
      <w:szCs w:val="16"/>
    </w:rPr>
  </w:style>
  <w:style w:type="paragraph" w:styleId="CommentText">
    <w:name w:val="annotation text"/>
    <w:basedOn w:val="Normal"/>
    <w:link w:val="CommentTextChar"/>
    <w:uiPriority w:val="99"/>
    <w:unhideWhenUsed/>
    <w:rsid w:val="009C4EFF"/>
    <w:pPr>
      <w:spacing w:line="240" w:lineRule="auto"/>
    </w:pPr>
  </w:style>
  <w:style w:type="character" w:customStyle="1" w:styleId="CommentTextChar">
    <w:name w:val="Comment Text Char"/>
    <w:basedOn w:val="DefaultParagraphFont"/>
    <w:link w:val="CommentText"/>
    <w:uiPriority w:val="99"/>
    <w:rsid w:val="009C4EFF"/>
  </w:style>
  <w:style w:type="paragraph" w:styleId="CommentSubject">
    <w:name w:val="annotation subject"/>
    <w:basedOn w:val="CommentText"/>
    <w:next w:val="CommentText"/>
    <w:link w:val="CommentSubjectChar"/>
    <w:uiPriority w:val="99"/>
    <w:semiHidden/>
    <w:unhideWhenUsed/>
    <w:rsid w:val="009C4EFF"/>
    <w:rPr>
      <w:b/>
      <w:bCs/>
    </w:rPr>
  </w:style>
  <w:style w:type="character" w:customStyle="1" w:styleId="CommentSubjectChar">
    <w:name w:val="Comment Subject Char"/>
    <w:basedOn w:val="CommentTextChar"/>
    <w:link w:val="CommentSubject"/>
    <w:uiPriority w:val="99"/>
    <w:semiHidden/>
    <w:rsid w:val="009C4EFF"/>
    <w:rPr>
      <w:b/>
      <w:bCs/>
    </w:rPr>
  </w:style>
  <w:style w:type="paragraph" w:customStyle="1" w:styleId="Default">
    <w:name w:val="Default"/>
    <w:rsid w:val="005110F3"/>
    <w:pPr>
      <w:autoSpaceDE w:val="0"/>
      <w:autoSpaceDN w:val="0"/>
      <w:adjustRightInd w:val="0"/>
      <w:spacing w:line="240" w:lineRule="auto"/>
    </w:pPr>
    <w:rPr>
      <w:rFonts w:eastAsia="Times New Roman"/>
      <w:color w:val="000000"/>
      <w:sz w:val="24"/>
      <w:szCs w:val="24"/>
    </w:rPr>
  </w:style>
  <w:style w:type="paragraph" w:styleId="ListBullet">
    <w:name w:val="List Bullet"/>
    <w:basedOn w:val="Normal"/>
    <w:semiHidden/>
    <w:rsid w:val="005110F3"/>
    <w:pPr>
      <w:numPr>
        <w:numId w:val="16"/>
      </w:numPr>
      <w:suppressAutoHyphens/>
    </w:pPr>
    <w:rPr>
      <w:rFonts w:eastAsia="Batang"/>
      <w:lang w:eastAsia="en-US"/>
    </w:rPr>
  </w:style>
  <w:style w:type="paragraph" w:styleId="ListParagraph">
    <w:name w:val="List Paragraph"/>
    <w:basedOn w:val="Normal"/>
    <w:qFormat/>
    <w:rsid w:val="002C461B"/>
    <w:pPr>
      <w:spacing w:line="240" w:lineRule="auto"/>
      <w:ind w:left="720"/>
      <w:jc w:val="both"/>
    </w:pPr>
    <w:rPr>
      <w:rFonts w:eastAsia="Times New Roman"/>
      <w:sz w:val="24"/>
      <w:szCs w:val="24"/>
      <w:lang w:val="en-US" w:eastAsia="en-US"/>
    </w:rPr>
  </w:style>
  <w:style w:type="paragraph" w:customStyle="1" w:styleId="Body">
    <w:name w:val="Body"/>
    <w:rsid w:val="00911181"/>
    <w:pPr>
      <w:pBdr>
        <w:top w:val="nil"/>
        <w:left w:val="nil"/>
        <w:bottom w:val="nil"/>
        <w:right w:val="nil"/>
        <w:between w:val="nil"/>
        <w:bar w:val="nil"/>
      </w:pBdr>
      <w:suppressAutoHyphens/>
    </w:pPr>
    <w:rPr>
      <w:rFonts w:eastAsia="Times New Roman"/>
      <w:color w:val="000000"/>
      <w:u w:color="000000"/>
      <w:bdr w:val="nil"/>
      <w:lang w:val="en-US" w:eastAsia="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CA-GARCIA\United%20Nations\UNOG_DCM-Macros%20-%20UNECE\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Alicia Dorca Garcia</DisplayName>
        <AccountId>1313</AccountId>
        <AccountType/>
      </UserInfo>
    </SharedWithUsers>
  </documentManagement>
</p:properties>
</file>

<file path=customXml/itemProps1.xml><?xml version="1.0" encoding="utf-8"?>
<ds:datastoreItem xmlns:ds="http://schemas.openxmlformats.org/officeDocument/2006/customXml" ds:itemID="{CE4AA0A8-7D92-4339-85D6-E15FA8EE9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96D6C7-A69F-4CC1-9C48-E5514C6CF912}">
  <ds:schemaRefs>
    <ds:schemaRef ds:uri="http://schemas.microsoft.com/sharepoint/v3/contenttype/forms"/>
  </ds:schemaRefs>
</ds:datastoreItem>
</file>

<file path=customXml/itemProps3.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4.xml><?xml version="1.0" encoding="utf-8"?>
<ds:datastoreItem xmlns:ds="http://schemas.openxmlformats.org/officeDocument/2006/customXml" ds:itemID="{6F0C699A-3081-464D-8175-18FB791049CF}">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SGAC10_E.dotm</Template>
  <TotalTime>21</TotalTime>
  <Pages>3</Pages>
  <Words>829</Words>
  <Characters>4561</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UN/SCETDG/64/INF.19</vt: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UN/SCETDG/64/INF.40</dc:title>
  <dc:subject/>
  <dc:creator>Alicia DORCA-GARCIA</dc:creator>
  <cp:keywords/>
  <cp:lastModifiedBy>Alicia Dorca Garcia</cp:lastModifiedBy>
  <cp:revision>19</cp:revision>
  <cp:lastPrinted>2024-06-20T14:39:00Z</cp:lastPrinted>
  <dcterms:created xsi:type="dcterms:W3CDTF">2024-06-20T12:45:00Z</dcterms:created>
  <dcterms:modified xsi:type="dcterms:W3CDTF">2024-06-20T14:39:00Z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