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0A16E41F"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781C30">
              <w:rPr>
                <w:b/>
                <w:bCs/>
                <w:sz w:val="40"/>
                <w:szCs w:val="40"/>
              </w:rPr>
              <w:t>6</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47CF056D"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781C30">
        <w:rPr>
          <w:b/>
        </w:rPr>
        <w:t>5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2D7D297D" w:rsidR="001F6C71" w:rsidRDefault="0039370E" w:rsidP="001F6C71">
      <w:r w:rsidRPr="006500BA">
        <w:t xml:space="preserve">Item </w:t>
      </w:r>
      <w:r w:rsidR="00741021">
        <w:t>3</w:t>
      </w:r>
      <w:r w:rsidRPr="006500BA">
        <w:t xml:space="preserve"> of the provisional agenda</w:t>
      </w:r>
    </w:p>
    <w:p w14:paraId="7E5F1E48" w14:textId="2219AC9D" w:rsidR="00AB6BD9" w:rsidRDefault="00AB6BD9" w:rsidP="001F6C71">
      <w:pPr>
        <w:rPr>
          <w:b/>
          <w:bCs/>
        </w:rPr>
      </w:pPr>
      <w:r w:rsidRPr="001D7A37">
        <w:rPr>
          <w:b/>
          <w:bCs/>
        </w:rPr>
        <w:t>Listing, classification and packing</w:t>
      </w:r>
    </w:p>
    <w:p w14:paraId="55D25F09" w14:textId="77777777" w:rsidR="00051F88" w:rsidRDefault="00AB6BD9" w:rsidP="00051F88">
      <w:pPr>
        <w:pStyle w:val="HChG"/>
        <w:rPr>
          <w:lang w:eastAsia="ja-JP"/>
        </w:rPr>
      </w:pPr>
      <w:r>
        <w:tab/>
      </w:r>
      <w:r>
        <w:tab/>
      </w:r>
      <w:r w:rsidR="00051F88">
        <w:t>Infectious substances containing lithium batteries</w:t>
      </w:r>
    </w:p>
    <w:p w14:paraId="0294BB0F" w14:textId="65F61762" w:rsidR="00051F88" w:rsidRPr="003A1D9D" w:rsidRDefault="00051F88" w:rsidP="00051F88">
      <w:pPr>
        <w:pStyle w:val="H1G"/>
        <w:rPr>
          <w:lang w:val="en-US"/>
        </w:rPr>
      </w:pPr>
      <w:bookmarkStart w:id="0" w:name="_Hlk531350542"/>
      <w:r>
        <w:rPr>
          <w:lang w:val="en-US"/>
        </w:rPr>
        <w:tab/>
      </w:r>
      <w:r>
        <w:rPr>
          <w:lang w:val="en-US"/>
        </w:rPr>
        <w:tab/>
      </w:r>
      <w:r w:rsidRPr="003A1D9D">
        <w:rPr>
          <w:lang w:val="en-US"/>
        </w:rPr>
        <w:t>Transmitted by</w:t>
      </w:r>
      <w:bookmarkEnd w:id="0"/>
      <w:r w:rsidRPr="003A1D9D">
        <w:rPr>
          <w:lang w:val="en-US"/>
        </w:rPr>
        <w:t xml:space="preserve"> the Medical Device Transport Council</w:t>
      </w:r>
      <w:r w:rsidRPr="003A1D9D">
        <w:t xml:space="preserve"> (MDTC)</w:t>
      </w:r>
    </w:p>
    <w:p w14:paraId="1ED8D950" w14:textId="77777777" w:rsidR="00051F88" w:rsidRPr="003A1D9D" w:rsidRDefault="00051F88" w:rsidP="00051F88">
      <w:pPr>
        <w:pStyle w:val="HChG"/>
        <w:rPr>
          <w:lang w:val="en-US"/>
        </w:rPr>
      </w:pPr>
      <w:r w:rsidRPr="003A1D9D">
        <w:tab/>
        <w:t>I.</w:t>
      </w:r>
      <w:r w:rsidRPr="003A1D9D">
        <w:tab/>
        <w:t>Introduction</w:t>
      </w:r>
    </w:p>
    <w:p w14:paraId="001581A6" w14:textId="49E9FD54" w:rsidR="00051F88" w:rsidRPr="003A1D9D" w:rsidRDefault="00051F88" w:rsidP="00051F88">
      <w:pPr>
        <w:pStyle w:val="SingleTxtG"/>
        <w:rPr>
          <w:lang w:eastAsia="ja-JP"/>
        </w:rPr>
      </w:pPr>
      <w:r w:rsidRPr="003A1D9D">
        <w:t>1.</w:t>
      </w:r>
      <w:r w:rsidRPr="003A1D9D">
        <w:tab/>
        <w:t xml:space="preserve">As described by COSTHA in document </w:t>
      </w:r>
      <w:r w:rsidRPr="003A1D9D">
        <w:rPr>
          <w:lang w:eastAsia="ja-JP"/>
        </w:rPr>
        <w:t>ST/SG/AC.10.C.3/2024/51</w:t>
      </w:r>
      <w:r>
        <w:rPr>
          <w:lang w:eastAsia="ja-JP"/>
        </w:rPr>
        <w:t>,</w:t>
      </w:r>
      <w:r w:rsidRPr="003A1D9D">
        <w:rPr>
          <w:lang w:eastAsia="ja-JP"/>
        </w:rPr>
        <w:t xml:space="preserve"> there is currently a gap in the exemption under 2.6.3.2.3.9 to ship lithium battery powered </w:t>
      </w:r>
      <w:r>
        <w:rPr>
          <w:lang w:eastAsia="ja-JP"/>
        </w:rPr>
        <w:t xml:space="preserve">medical </w:t>
      </w:r>
      <w:r w:rsidRPr="003A1D9D">
        <w:rPr>
          <w:lang w:eastAsia="ja-JP"/>
        </w:rPr>
        <w:t xml:space="preserve">devices under the used medical device exception. A similar gap exists for infectious substances assigned to UN Nos. 2814, 2900, and 3373 where a </w:t>
      </w:r>
      <w:r>
        <w:rPr>
          <w:lang w:eastAsia="ja-JP"/>
        </w:rPr>
        <w:t xml:space="preserve">medical </w:t>
      </w:r>
      <w:r w:rsidRPr="003A1D9D">
        <w:rPr>
          <w:lang w:eastAsia="ja-JP"/>
        </w:rPr>
        <w:t xml:space="preserve">device exposed to such infectious substances also contains </w:t>
      </w:r>
      <w:r>
        <w:rPr>
          <w:lang w:eastAsia="ja-JP"/>
        </w:rPr>
        <w:t xml:space="preserve">or is packed with </w:t>
      </w:r>
      <w:r w:rsidRPr="003A1D9D">
        <w:rPr>
          <w:lang w:eastAsia="ja-JP"/>
        </w:rPr>
        <w:t>a lithium battery.</w:t>
      </w:r>
    </w:p>
    <w:p w14:paraId="541B6E88" w14:textId="69AFF142" w:rsidR="00051F88" w:rsidRPr="003A1D9D" w:rsidRDefault="00051F88" w:rsidP="00051F88">
      <w:pPr>
        <w:pStyle w:val="SingleTxtG"/>
      </w:pPr>
      <w:r w:rsidRPr="003A1D9D">
        <w:t>2.</w:t>
      </w:r>
      <w:r w:rsidRPr="003A1D9D">
        <w:tab/>
        <w:t>The provisions associated to UN Nos. 2814, 2900, and 3373 do not allow for lithium batteries. Therefore, under the current regulations, the pathway to ship such devices for mandatory forensic analysis and reporting is unclear. This document proposes to amend several provisions to clarify that the relevant provisions for both infectious substances and lithium batteries are to be applied to ship such devices.</w:t>
      </w:r>
    </w:p>
    <w:p w14:paraId="3B6C3E36" w14:textId="77777777" w:rsidR="00051F88" w:rsidRPr="003A1D9D" w:rsidRDefault="00051F88" w:rsidP="00051F88">
      <w:pPr>
        <w:pStyle w:val="HChG"/>
        <w:ind w:left="0" w:firstLine="0"/>
      </w:pPr>
      <w:r w:rsidRPr="003A1D9D">
        <w:tab/>
        <w:t>II.</w:t>
      </w:r>
      <w:r w:rsidRPr="003A1D9D">
        <w:tab/>
        <w:t>Background</w:t>
      </w:r>
    </w:p>
    <w:p w14:paraId="429B66D3" w14:textId="65DEF042" w:rsidR="00051F88" w:rsidRPr="003A1D9D" w:rsidRDefault="00051F88" w:rsidP="00051F88">
      <w:pPr>
        <w:pStyle w:val="SingleTxtG"/>
      </w:pPr>
      <w:r w:rsidRPr="003A1D9D">
        <w:t>3.</w:t>
      </w:r>
      <w:r w:rsidRPr="003A1D9D">
        <w:tab/>
        <w:t xml:space="preserve">Medical device manufacturers have obligations under national health regulations to perform forensic analysis on </w:t>
      </w:r>
      <w:r>
        <w:t>certain</w:t>
      </w:r>
      <w:r w:rsidRPr="003A1D9D">
        <w:t xml:space="preserve"> devices that they manufacture to monitor device performance, detect potential device-related safety issues, and contribute to benefit-risk assessments of these products. Many of these devices are powered by lithium cells and batteries.</w:t>
      </w:r>
      <w:r w:rsidR="00C94A00">
        <w:t xml:space="preserve"> </w:t>
      </w:r>
      <w:r w:rsidRPr="003A1D9D">
        <w:t>The medical device industry has identified a need to clarify how to ship lithium battery powered devices when they are exposed to infectious substances.</w:t>
      </w:r>
    </w:p>
    <w:p w14:paraId="5EC471E2" w14:textId="772FCBA7" w:rsidR="00051F88" w:rsidRPr="003A1D9D" w:rsidRDefault="00051F88" w:rsidP="00051F88">
      <w:pPr>
        <w:pStyle w:val="SingleTxtG"/>
      </w:pPr>
      <w:r w:rsidRPr="003A1D9D">
        <w:t>4.</w:t>
      </w:r>
      <w:r w:rsidRPr="003A1D9D">
        <w:tab/>
        <w:t xml:space="preserve">Classification for infectious substances provides for UN Nos. 2814 or 2900 for Category A infectious substances, and UN No. 3373 for Category B infectious </w:t>
      </w:r>
      <w:r>
        <w:t>s</w:t>
      </w:r>
      <w:r w:rsidRPr="003A1D9D">
        <w:t>ubstances.</w:t>
      </w:r>
    </w:p>
    <w:p w14:paraId="3151E503" w14:textId="0139EB42" w:rsidR="00051F88" w:rsidRPr="003A1D9D" w:rsidRDefault="00051F88" w:rsidP="00051F88">
      <w:pPr>
        <w:pStyle w:val="SingleTxtG"/>
      </w:pPr>
      <w:r w:rsidRPr="003A1D9D">
        <w:t>5.</w:t>
      </w:r>
      <w:r w:rsidRPr="003A1D9D">
        <w:tab/>
        <w:t>Entries for UN Nos. 2814 and 2900 refer to packing instruction P620, and the entry for UN 3373 refers to packing instruction P650. The additional requirements for these packing instructions include the following text</w:t>
      </w:r>
      <w:r w:rsidR="00455E34">
        <w:rPr>
          <w:rStyle w:val="FootnoteReference"/>
        </w:rPr>
        <w:footnoteReference w:id="2"/>
      </w:r>
      <w:r w:rsidRPr="003A1D9D">
        <w:t>:</w:t>
      </w:r>
    </w:p>
    <w:p w14:paraId="2DCB6BDF" w14:textId="07062354" w:rsidR="00051F88" w:rsidRPr="00455E34" w:rsidRDefault="00772FCB" w:rsidP="00051F88">
      <w:pPr>
        <w:pStyle w:val="SingleTxtG"/>
        <w:ind w:left="1701"/>
        <w:rPr>
          <w:i/>
          <w:iCs/>
        </w:rPr>
      </w:pPr>
      <w:r>
        <w:rPr>
          <w:i/>
          <w:iCs/>
        </w:rPr>
        <w:t>“</w:t>
      </w:r>
      <w:r w:rsidR="00051F88" w:rsidRPr="00455E34">
        <w:rPr>
          <w:i/>
          <w:iCs/>
        </w:rPr>
        <w:t>Other dangerous goods shall not be packed in the same packaging as Division 6.2 infectious substances unless they are necessary for maintaining the viability, stabilizing or preventing degradation or neutralizing the hazards of the infectious substances. A quantity of 30 ml or less of dangerous goods included in Classes 3, 8 or 9 may be packed in each primary receptacle containing infectious substances. These small quantities of dangerous goods of Classes 3, 8 or 9 are not subject to any additional requirements of these Regulations when packed in accordance with this packing instruction.</w:t>
      </w:r>
      <w:r>
        <w:rPr>
          <w:i/>
          <w:iCs/>
        </w:rPr>
        <w:t>”</w:t>
      </w:r>
    </w:p>
    <w:p w14:paraId="6FF6244C" w14:textId="62A50BAC" w:rsidR="00051F88" w:rsidRPr="003A1D9D" w:rsidRDefault="00051F88" w:rsidP="00051F88">
      <w:pPr>
        <w:pStyle w:val="SingleTxtG"/>
      </w:pPr>
      <w:r w:rsidRPr="003A1D9D">
        <w:t>6.</w:t>
      </w:r>
      <w:r w:rsidRPr="003A1D9D">
        <w:tab/>
        <w:t xml:space="preserve">The language in the current additional requirement described above does not clearly permit the inclusion of lithium batteries. If it were interpreted to allow lithium batteries, then it would also be interpreted </w:t>
      </w:r>
      <w:r>
        <w:t>that the lithium batteries contain or packed with medical devices</w:t>
      </w:r>
      <w:r w:rsidRPr="003A1D9D">
        <w:t xml:space="preserve"> </w:t>
      </w:r>
      <w:r w:rsidRPr="003A1D9D">
        <w:lastRenderedPageBreak/>
        <w:t>“are not subject to any additional requirements of these Regulations</w:t>
      </w:r>
      <w:r w:rsidR="00153108">
        <w:t xml:space="preserve"> </w:t>
      </w:r>
      <w:r w:rsidR="00703222">
        <w:t>...</w:t>
      </w:r>
      <w:r w:rsidRPr="003A1D9D">
        <w:t>”</w:t>
      </w:r>
      <w:r w:rsidR="00703222">
        <w:t>.</w:t>
      </w:r>
      <w:r w:rsidRPr="003A1D9D">
        <w:t xml:space="preserve"> However, this would produce an unreasonable result as several provisions related to lithium batteries would then not be considered, such as testing to UN</w:t>
      </w:r>
      <w:r w:rsidR="00703222">
        <w:t> </w:t>
      </w:r>
      <w:r w:rsidRPr="003A1D9D">
        <w:t>38.3</w:t>
      </w:r>
      <w:r>
        <w:t xml:space="preserve"> or</w:t>
      </w:r>
      <w:r w:rsidRPr="003A1D9D">
        <w:t xml:space="preserve"> assessing used batteries to determine if they are damaged or defective.</w:t>
      </w:r>
    </w:p>
    <w:p w14:paraId="50DB7317" w14:textId="51EF9B51" w:rsidR="00051F88" w:rsidRPr="003A1D9D" w:rsidRDefault="00051F88" w:rsidP="00051F88">
      <w:pPr>
        <w:pStyle w:val="SingleTxtG"/>
      </w:pPr>
      <w:r w:rsidRPr="003A1D9D">
        <w:t>7.</w:t>
      </w:r>
      <w:r w:rsidRPr="003A1D9D">
        <w:tab/>
        <w:t>UN No. 3373 refers to special provision 319 which provides that “[s]</w:t>
      </w:r>
      <w:proofErr w:type="spellStart"/>
      <w:r w:rsidRPr="003A1D9D">
        <w:t>ubstances</w:t>
      </w:r>
      <w:proofErr w:type="spellEnd"/>
      <w:r w:rsidRPr="003A1D9D">
        <w:t xml:space="preserve"> packed and marked in accordance with packing instruction P650 are not subject to any other requirements in these Regulations.” </w:t>
      </w:r>
      <w:r>
        <w:t>For a lithium battery powered medical device t</w:t>
      </w:r>
      <w:r w:rsidRPr="003A1D9D">
        <w:t xml:space="preserve">his would produce </w:t>
      </w:r>
      <w:r>
        <w:t xml:space="preserve">the same </w:t>
      </w:r>
      <w:r w:rsidRPr="003A1D9D">
        <w:t xml:space="preserve">unreasonable result </w:t>
      </w:r>
      <w:r>
        <w:t>as described in paragraph 6.</w:t>
      </w:r>
    </w:p>
    <w:p w14:paraId="0DDB2063" w14:textId="77777777" w:rsidR="00051F88" w:rsidRPr="003A1D9D" w:rsidRDefault="00051F88" w:rsidP="00051F88">
      <w:pPr>
        <w:pStyle w:val="HChG"/>
      </w:pPr>
      <w:r w:rsidRPr="003A1D9D">
        <w:tab/>
        <w:t>III.</w:t>
      </w:r>
      <w:r w:rsidRPr="003A1D9D">
        <w:tab/>
        <w:t>Proposal</w:t>
      </w:r>
    </w:p>
    <w:p w14:paraId="2A762014" w14:textId="45CBA720" w:rsidR="00051F88" w:rsidRPr="003A1D9D" w:rsidRDefault="00051F88" w:rsidP="00051F88">
      <w:pPr>
        <w:pStyle w:val="SingleTxtG"/>
      </w:pPr>
      <w:r w:rsidRPr="003A1D9D">
        <w:t>8.</w:t>
      </w:r>
      <w:r w:rsidRPr="003A1D9D">
        <w:tab/>
        <w:t xml:space="preserve">MDTC proposes the following changes </w:t>
      </w:r>
      <w:r w:rsidR="009D7C80">
        <w:t xml:space="preserve">to the </w:t>
      </w:r>
      <w:r w:rsidR="009D7C80" w:rsidRPr="009D7C80">
        <w:rPr>
          <w:i/>
          <w:iCs/>
        </w:rPr>
        <w:t>Model Regulations</w:t>
      </w:r>
      <w:r w:rsidR="009D7C80">
        <w:t xml:space="preserve"> </w:t>
      </w:r>
      <w:r w:rsidRPr="003A1D9D">
        <w:t xml:space="preserve">to clarify that </w:t>
      </w:r>
      <w:r>
        <w:t>medical devices</w:t>
      </w:r>
      <w:r w:rsidRPr="003A1D9D">
        <w:t xml:space="preserve"> exposed to infectious substances that contain or are packed with lithium batteries shall comply with the applicable provisions of both infectious substances and lithium batteries.</w:t>
      </w:r>
      <w:r w:rsidR="00615454">
        <w:t xml:space="preserve"> New text </w:t>
      </w:r>
      <w:r w:rsidR="009D7C80">
        <w:t xml:space="preserve">in square brackets </w:t>
      </w:r>
      <w:r w:rsidR="000F6423">
        <w:t>is underlined.</w:t>
      </w:r>
    </w:p>
    <w:p w14:paraId="10B955E4" w14:textId="36A5FF4A" w:rsidR="00051F88" w:rsidRPr="003A1D9D" w:rsidRDefault="009D7C80" w:rsidP="00A462A0">
      <w:pPr>
        <w:pStyle w:val="SingleTxtG"/>
      </w:pPr>
      <w:r>
        <w:t>“</w:t>
      </w:r>
      <w:r w:rsidR="00051F88" w:rsidRPr="003A1D9D">
        <w:t>2.6.3.2.1</w:t>
      </w:r>
      <w:r w:rsidR="00051F88" w:rsidRPr="003A1D9D">
        <w:tab/>
        <w:t>Infectious substances shall be classified in Division 6.2 and assigned to UN Nos. 2814, 2900, 3291, 3373 or 3549, as appropriate. [</w:t>
      </w:r>
      <w:r w:rsidR="00051F88">
        <w:rPr>
          <w:u w:val="single"/>
        </w:rPr>
        <w:t>Medical devices</w:t>
      </w:r>
      <w:r w:rsidR="00051F88" w:rsidRPr="003A1D9D">
        <w:rPr>
          <w:u w:val="single"/>
        </w:rPr>
        <w:t xml:space="preserve"> that contain or are packed with lithium cells or batteries as described in 2.6.3.2.9(c) that are exposed to infectious substances shall also be assigned to UN Nos. 3481 or 3091, as appropriate.</w:t>
      </w:r>
      <w:r w:rsidR="00051F88" w:rsidRPr="003A1D9D">
        <w:t>]</w:t>
      </w:r>
      <w:r>
        <w:t>”</w:t>
      </w:r>
    </w:p>
    <w:p w14:paraId="3120CF44" w14:textId="4EDC5AD9" w:rsidR="00051F88" w:rsidRPr="003A1D9D" w:rsidRDefault="00051F88" w:rsidP="00CD157A">
      <w:pPr>
        <w:pStyle w:val="H23G"/>
      </w:pPr>
      <w:r w:rsidRPr="003A1D9D">
        <w:tab/>
      </w:r>
      <w:r w:rsidRPr="003A1D9D">
        <w:tab/>
        <w:t xml:space="preserve">Packing </w:t>
      </w:r>
      <w:r w:rsidR="00CD532F">
        <w:t>i</w:t>
      </w:r>
      <w:r w:rsidR="00CD532F" w:rsidRPr="003A1D9D">
        <w:t xml:space="preserve">nstruction </w:t>
      </w:r>
      <w:r w:rsidRPr="003A1D9D">
        <w:t>P620</w:t>
      </w:r>
    </w:p>
    <w:p w14:paraId="52BC2976" w14:textId="43BCE137" w:rsidR="00051F88" w:rsidRPr="003A1D9D" w:rsidRDefault="009D7C80" w:rsidP="00A462A0">
      <w:pPr>
        <w:pStyle w:val="SingleTxtG"/>
      </w:pPr>
      <w:r>
        <w:t>“</w:t>
      </w:r>
      <w:r w:rsidR="00051F88" w:rsidRPr="003A1D9D">
        <w:t>[</w:t>
      </w:r>
      <w:r w:rsidR="00051F88" w:rsidRPr="003A1D9D">
        <w:rPr>
          <w:u w:val="single"/>
        </w:rPr>
        <w:t>Except for lithium cells or batteries described in 2.6.3.2.1, o]</w:t>
      </w:r>
      <w:r w:rsidR="00051F88" w:rsidRPr="003A1D9D">
        <w:rPr>
          <w:strike/>
          <w:u w:val="single"/>
        </w:rPr>
        <w:t>O</w:t>
      </w:r>
      <w:r w:rsidR="00051F88" w:rsidRPr="003A1D9D">
        <w:t>ther dangerous goods shall not be packed in the same packaging as Division 6.2 infectious substances unless they are necessary for maintaining the viability, stabilizing or preventing degradation or neutralizing the hazards of the infectious substance. A quantity of 30 ml of less of dangerous goods included in Classes 3, 8 or 9 may be packed in each primary receptacle containing infectious substances. These small quantities of dangerous goods of Classes 3,8 or 9 are not subject to any additional requirements of these Regulations when packed in accordance with this packing instruction.</w:t>
      </w:r>
      <w:r>
        <w:t>”</w:t>
      </w:r>
    </w:p>
    <w:p w14:paraId="178F71D4" w14:textId="769628B8" w:rsidR="00051F88" w:rsidRPr="003A1D9D" w:rsidRDefault="00CD157A" w:rsidP="00CD157A">
      <w:pPr>
        <w:pStyle w:val="H23G"/>
      </w:pPr>
      <w:r>
        <w:tab/>
      </w:r>
      <w:r>
        <w:tab/>
      </w:r>
      <w:r w:rsidR="00051F88" w:rsidRPr="003A1D9D">
        <w:t xml:space="preserve">Packing </w:t>
      </w:r>
      <w:r w:rsidR="00CD532F">
        <w:t>i</w:t>
      </w:r>
      <w:r w:rsidR="00CD532F" w:rsidRPr="003A1D9D">
        <w:t xml:space="preserve">nstruction </w:t>
      </w:r>
      <w:r w:rsidR="00051F88" w:rsidRPr="003A1D9D">
        <w:t>P650</w:t>
      </w:r>
    </w:p>
    <w:p w14:paraId="750EA34F" w14:textId="5EF1271A" w:rsidR="00051F88" w:rsidRPr="003A1D9D" w:rsidRDefault="009D7C80" w:rsidP="00A462A0">
      <w:pPr>
        <w:pStyle w:val="SingleTxtG"/>
      </w:pPr>
      <w:r>
        <w:t>“</w:t>
      </w:r>
      <w:r w:rsidR="00051F88" w:rsidRPr="003A1D9D">
        <w:t>[</w:t>
      </w:r>
      <w:r w:rsidR="00051F88" w:rsidRPr="003A1D9D">
        <w:rPr>
          <w:u w:val="single"/>
        </w:rPr>
        <w:t>Except for lithium cells or batteries described in 2.6.3.2.1, o]</w:t>
      </w:r>
      <w:r w:rsidR="00051F88" w:rsidRPr="003A1D9D">
        <w:rPr>
          <w:strike/>
          <w:u w:val="single"/>
        </w:rPr>
        <w:t>O</w:t>
      </w:r>
      <w:r w:rsidR="00051F88" w:rsidRPr="003A1D9D">
        <w:t>ther dangerous goods shall not be packed in the same packaging as Division 6.2 infectious substances unless they are necessary for maintaining the viability, stabilizing or preventing degradation or neutralizing the hazards of the infectious substance. A quantity of 30 ml of less of dangerous goods included in Classes 3, 8 or 9 may be packed in each primary receptacle containing infectious substances. These small quantities of dangerous goods of Classes 3,8 or 9 are not subject to any additional requirements of these Regulations when packed in accordance with this packing instruction.</w:t>
      </w:r>
      <w:r>
        <w:t>”</w:t>
      </w:r>
    </w:p>
    <w:p w14:paraId="4D9C10F9" w14:textId="79A51EA4" w:rsidR="00051F88" w:rsidRPr="003A1D9D" w:rsidRDefault="00676723" w:rsidP="00676723">
      <w:pPr>
        <w:pStyle w:val="H23G"/>
      </w:pPr>
      <w:r>
        <w:tab/>
      </w:r>
      <w:r>
        <w:tab/>
      </w:r>
      <w:r w:rsidR="00051F88" w:rsidRPr="003A1D9D">
        <w:t xml:space="preserve">Special </w:t>
      </w:r>
      <w:r w:rsidR="00CD532F">
        <w:t>p</w:t>
      </w:r>
      <w:r w:rsidR="00CD532F" w:rsidRPr="003A1D9D">
        <w:t xml:space="preserve">rovision </w:t>
      </w:r>
      <w:r w:rsidR="00051F88" w:rsidRPr="003A1D9D">
        <w:t>319</w:t>
      </w:r>
    </w:p>
    <w:p w14:paraId="79D3B5F9" w14:textId="78EC8075" w:rsidR="00AB6BD9" w:rsidRDefault="009D7C80" w:rsidP="00CD532F">
      <w:pPr>
        <w:pStyle w:val="SingleTxtG"/>
      </w:pPr>
      <w:r>
        <w:t>“</w:t>
      </w:r>
      <w:r w:rsidR="00051F88" w:rsidRPr="003A1D9D">
        <w:t>[</w:t>
      </w:r>
      <w:r w:rsidR="00051F88" w:rsidRPr="003A1D9D">
        <w:rPr>
          <w:u w:val="single"/>
        </w:rPr>
        <w:t xml:space="preserve">Except for lithium </w:t>
      </w:r>
      <w:r w:rsidR="00051F88" w:rsidRPr="00CD532F">
        <w:t>cells</w:t>
      </w:r>
      <w:r w:rsidR="00051F88" w:rsidRPr="003A1D9D">
        <w:rPr>
          <w:u w:val="single"/>
        </w:rPr>
        <w:t xml:space="preserve"> or batteries described in 2.6.3.2.1, s</w:t>
      </w:r>
      <w:r w:rsidR="00051F88" w:rsidRPr="003A1D9D">
        <w:t>]</w:t>
      </w:r>
      <w:r w:rsidR="00051F88" w:rsidRPr="003A1D9D">
        <w:rPr>
          <w:strike/>
        </w:rPr>
        <w:t>S</w:t>
      </w:r>
      <w:r w:rsidR="00051F88" w:rsidRPr="003A1D9D">
        <w:t>ubstances packed and marked in accordance with packing instruction P650 are not subject to any other requirements in these Regulations.</w:t>
      </w:r>
      <w:r>
        <w:t>”</w:t>
      </w:r>
    </w:p>
    <w:p w14:paraId="37436795" w14:textId="69705177" w:rsidR="00051F88" w:rsidRPr="00051F88" w:rsidRDefault="00051F88" w:rsidP="00051F88">
      <w:pPr>
        <w:spacing w:before="240"/>
        <w:jc w:val="center"/>
        <w:rPr>
          <w:u w:val="single"/>
        </w:rPr>
      </w:pPr>
      <w:r>
        <w:rPr>
          <w:u w:val="single"/>
        </w:rPr>
        <w:tab/>
      </w:r>
      <w:r>
        <w:rPr>
          <w:u w:val="single"/>
        </w:rPr>
        <w:tab/>
      </w:r>
      <w:r>
        <w:rPr>
          <w:u w:val="single"/>
        </w:rPr>
        <w:tab/>
      </w:r>
    </w:p>
    <w:sectPr w:rsidR="00051F88" w:rsidRPr="00051F88"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BAAB" w14:textId="77777777" w:rsidR="00E27C94" w:rsidRPr="00C47B2E" w:rsidRDefault="00E27C94" w:rsidP="00C47B2E">
      <w:pPr>
        <w:pStyle w:val="Footer"/>
      </w:pPr>
    </w:p>
  </w:endnote>
  <w:endnote w:type="continuationSeparator" w:id="0">
    <w:p w14:paraId="3EEED04B" w14:textId="77777777" w:rsidR="00E27C94" w:rsidRPr="00C47B2E" w:rsidRDefault="00E27C94" w:rsidP="00C47B2E">
      <w:pPr>
        <w:pStyle w:val="Footer"/>
      </w:pPr>
    </w:p>
  </w:endnote>
  <w:endnote w:type="continuationNotice" w:id="1">
    <w:p w14:paraId="70E9B60A" w14:textId="77777777" w:rsidR="00E27C94" w:rsidRPr="00C47B2E" w:rsidRDefault="00E27C9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3FB3" w14:textId="77777777" w:rsidR="00E27C94" w:rsidRPr="00C47B2E" w:rsidRDefault="00E27C94" w:rsidP="00C47B2E">
      <w:pPr>
        <w:tabs>
          <w:tab w:val="right" w:pos="2155"/>
        </w:tabs>
        <w:spacing w:after="80" w:line="240" w:lineRule="auto"/>
        <w:ind w:left="680"/>
      </w:pPr>
      <w:r>
        <w:rPr>
          <w:u w:val="single"/>
        </w:rPr>
        <w:tab/>
      </w:r>
    </w:p>
  </w:footnote>
  <w:footnote w:type="continuationSeparator" w:id="0">
    <w:p w14:paraId="69D852C6" w14:textId="77777777" w:rsidR="00E27C94" w:rsidRPr="00C47B2E" w:rsidRDefault="00E27C94" w:rsidP="005E716E">
      <w:pPr>
        <w:tabs>
          <w:tab w:val="right" w:pos="2155"/>
        </w:tabs>
        <w:spacing w:after="80" w:line="240" w:lineRule="auto"/>
        <w:ind w:left="680"/>
      </w:pPr>
      <w:r>
        <w:rPr>
          <w:u w:val="single"/>
        </w:rPr>
        <w:tab/>
      </w:r>
    </w:p>
  </w:footnote>
  <w:footnote w:type="continuationNotice" w:id="1">
    <w:p w14:paraId="4C8287C4" w14:textId="77777777" w:rsidR="00E27C94" w:rsidRPr="00C47B2E" w:rsidRDefault="00E27C94" w:rsidP="00C47B2E">
      <w:pPr>
        <w:pStyle w:val="Footer"/>
      </w:pPr>
    </w:p>
  </w:footnote>
  <w:footnote w:id="2">
    <w:p w14:paraId="2602E632" w14:textId="565F79E0" w:rsidR="00455E34" w:rsidRPr="00455E34" w:rsidRDefault="00455E34" w:rsidP="00455E34">
      <w:pPr>
        <w:pStyle w:val="FootnoteText"/>
        <w:widowControl w:val="0"/>
        <w:tabs>
          <w:tab w:val="clear" w:pos="1021"/>
          <w:tab w:val="right" w:pos="1020"/>
        </w:tabs>
        <w:suppressAutoHyphens/>
        <w:rPr>
          <w:lang w:val="fr-CH"/>
        </w:rPr>
      </w:pPr>
      <w:r>
        <w:tab/>
      </w:r>
      <w:r>
        <w:rPr>
          <w:rStyle w:val="FootnoteReference"/>
        </w:rPr>
        <w:footnoteRef/>
      </w:r>
      <w:r>
        <w:tab/>
      </w:r>
      <w:r>
        <w:rPr>
          <w:lang w:val="en-US"/>
        </w:rPr>
        <w:t>Additional requirement number 4 in packing instruction P620, and number 13 in P650.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2EDC3D7E" w:rsidR="0039370E" w:rsidRPr="00DB778E" w:rsidRDefault="00DB778E" w:rsidP="00DB778E">
    <w:pPr>
      <w:pStyle w:val="Header"/>
      <w:rPr>
        <w:lang w:val="fr-CH"/>
      </w:rPr>
    </w:pPr>
    <w:r>
      <w:rPr>
        <w:lang w:val="fr-CH"/>
      </w:rPr>
      <w:t>UN/</w:t>
    </w:r>
    <w:r w:rsidR="00F82D57">
      <w:rPr>
        <w:lang w:val="fr-CH"/>
      </w:rPr>
      <w:t>SCETDG/64/INF.16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000000"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0"/>
  </w:num>
  <w:num w:numId="5" w16cid:durableId="1816027029">
    <w:abstractNumId w:val="11"/>
  </w:num>
  <w:num w:numId="6" w16cid:durableId="1836190579">
    <w:abstractNumId w:val="14"/>
  </w:num>
  <w:num w:numId="7" w16cid:durableId="634676252">
    <w:abstractNumId w:val="5"/>
  </w:num>
  <w:num w:numId="8" w16cid:durableId="1039166836">
    <w:abstractNumId w:val="2"/>
  </w:num>
  <w:num w:numId="9" w16cid:durableId="644969981">
    <w:abstractNumId w:val="13"/>
  </w:num>
  <w:num w:numId="10" w16cid:durableId="525103391">
    <w:abstractNumId w:val="2"/>
  </w:num>
  <w:num w:numId="11" w16cid:durableId="297342166">
    <w:abstractNumId w:val="13"/>
  </w:num>
  <w:num w:numId="12" w16cid:durableId="1280380300">
    <w:abstractNumId w:val="3"/>
  </w:num>
  <w:num w:numId="13" w16cid:durableId="1988699530">
    <w:abstractNumId w:val="3"/>
  </w:num>
  <w:num w:numId="14" w16cid:durableId="1917550057">
    <w:abstractNumId w:val="15"/>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51F88"/>
    <w:rsid w:val="00061677"/>
    <w:rsid w:val="00063C90"/>
    <w:rsid w:val="00070000"/>
    <w:rsid w:val="00074A36"/>
    <w:rsid w:val="00083106"/>
    <w:rsid w:val="00097AF4"/>
    <w:rsid w:val="000C25E4"/>
    <w:rsid w:val="000C730B"/>
    <w:rsid w:val="000D60BD"/>
    <w:rsid w:val="000F3078"/>
    <w:rsid w:val="000F6423"/>
    <w:rsid w:val="00101B98"/>
    <w:rsid w:val="00104C0F"/>
    <w:rsid w:val="0010604D"/>
    <w:rsid w:val="0011084B"/>
    <w:rsid w:val="001514D1"/>
    <w:rsid w:val="00153108"/>
    <w:rsid w:val="00155C73"/>
    <w:rsid w:val="001854FD"/>
    <w:rsid w:val="001861DE"/>
    <w:rsid w:val="00186622"/>
    <w:rsid w:val="001A1F33"/>
    <w:rsid w:val="001A4B5F"/>
    <w:rsid w:val="001B09B1"/>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C34EA"/>
    <w:rsid w:val="002C4484"/>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404238"/>
    <w:rsid w:val="00413386"/>
    <w:rsid w:val="004152F1"/>
    <w:rsid w:val="0043510C"/>
    <w:rsid w:val="0044240C"/>
    <w:rsid w:val="00446BBE"/>
    <w:rsid w:val="00455E34"/>
    <w:rsid w:val="00461253"/>
    <w:rsid w:val="0047018B"/>
    <w:rsid w:val="00482014"/>
    <w:rsid w:val="004858F5"/>
    <w:rsid w:val="00496248"/>
    <w:rsid w:val="004A2814"/>
    <w:rsid w:val="004A366B"/>
    <w:rsid w:val="004A4B01"/>
    <w:rsid w:val="004B10E7"/>
    <w:rsid w:val="004B3B13"/>
    <w:rsid w:val="004C0622"/>
    <w:rsid w:val="004C0760"/>
    <w:rsid w:val="004C5613"/>
    <w:rsid w:val="004F73D0"/>
    <w:rsid w:val="0050402A"/>
    <w:rsid w:val="005042C2"/>
    <w:rsid w:val="00506072"/>
    <w:rsid w:val="005110F3"/>
    <w:rsid w:val="005153E4"/>
    <w:rsid w:val="00516173"/>
    <w:rsid w:val="00530261"/>
    <w:rsid w:val="00572D6D"/>
    <w:rsid w:val="00572EFA"/>
    <w:rsid w:val="005809F4"/>
    <w:rsid w:val="0058392B"/>
    <w:rsid w:val="00595112"/>
    <w:rsid w:val="00595C55"/>
    <w:rsid w:val="005A1BF2"/>
    <w:rsid w:val="005A1C27"/>
    <w:rsid w:val="005A3B9D"/>
    <w:rsid w:val="005C3F53"/>
    <w:rsid w:val="005C70FD"/>
    <w:rsid w:val="005D6C0A"/>
    <w:rsid w:val="005E716E"/>
    <w:rsid w:val="005F3CE0"/>
    <w:rsid w:val="0060395F"/>
    <w:rsid w:val="00615454"/>
    <w:rsid w:val="00620BE9"/>
    <w:rsid w:val="006431BA"/>
    <w:rsid w:val="00645B91"/>
    <w:rsid w:val="006476E1"/>
    <w:rsid w:val="006604DF"/>
    <w:rsid w:val="00671529"/>
    <w:rsid w:val="00676723"/>
    <w:rsid w:val="006940B0"/>
    <w:rsid w:val="006A6910"/>
    <w:rsid w:val="006B3F6B"/>
    <w:rsid w:val="006B5A8C"/>
    <w:rsid w:val="006B69A4"/>
    <w:rsid w:val="006B7121"/>
    <w:rsid w:val="006B75AD"/>
    <w:rsid w:val="006D458E"/>
    <w:rsid w:val="006D5129"/>
    <w:rsid w:val="006F1684"/>
    <w:rsid w:val="006F1EF5"/>
    <w:rsid w:val="00700634"/>
    <w:rsid w:val="00703222"/>
    <w:rsid w:val="0070489D"/>
    <w:rsid w:val="007139BD"/>
    <w:rsid w:val="007200A1"/>
    <w:rsid w:val="007268F9"/>
    <w:rsid w:val="00741021"/>
    <w:rsid w:val="00750282"/>
    <w:rsid w:val="00750D5E"/>
    <w:rsid w:val="00756BF8"/>
    <w:rsid w:val="00764440"/>
    <w:rsid w:val="00765010"/>
    <w:rsid w:val="0076706D"/>
    <w:rsid w:val="0077101B"/>
    <w:rsid w:val="00772FCB"/>
    <w:rsid w:val="00781C30"/>
    <w:rsid w:val="00784D8B"/>
    <w:rsid w:val="00785B39"/>
    <w:rsid w:val="00793B46"/>
    <w:rsid w:val="007A0D63"/>
    <w:rsid w:val="007C52B0"/>
    <w:rsid w:val="007C6033"/>
    <w:rsid w:val="007C7B2F"/>
    <w:rsid w:val="007F3784"/>
    <w:rsid w:val="008147C8"/>
    <w:rsid w:val="00815063"/>
    <w:rsid w:val="0081753A"/>
    <w:rsid w:val="00817713"/>
    <w:rsid w:val="00827299"/>
    <w:rsid w:val="0085123A"/>
    <w:rsid w:val="00857D23"/>
    <w:rsid w:val="00871A81"/>
    <w:rsid w:val="00873E8B"/>
    <w:rsid w:val="00876F04"/>
    <w:rsid w:val="00883E68"/>
    <w:rsid w:val="008923C4"/>
    <w:rsid w:val="008B6E83"/>
    <w:rsid w:val="008C131C"/>
    <w:rsid w:val="008C37A1"/>
    <w:rsid w:val="008D2289"/>
    <w:rsid w:val="008D51A7"/>
    <w:rsid w:val="008E51C3"/>
    <w:rsid w:val="008F0D5F"/>
    <w:rsid w:val="008F4AE9"/>
    <w:rsid w:val="009343DE"/>
    <w:rsid w:val="009411B4"/>
    <w:rsid w:val="00946F1D"/>
    <w:rsid w:val="009502AA"/>
    <w:rsid w:val="00965EDC"/>
    <w:rsid w:val="00987F92"/>
    <w:rsid w:val="0099436D"/>
    <w:rsid w:val="009A0A7F"/>
    <w:rsid w:val="009A1E66"/>
    <w:rsid w:val="009A25A3"/>
    <w:rsid w:val="009A6A8B"/>
    <w:rsid w:val="009C02D0"/>
    <w:rsid w:val="009C0A57"/>
    <w:rsid w:val="009C2025"/>
    <w:rsid w:val="009C3369"/>
    <w:rsid w:val="009C4EFF"/>
    <w:rsid w:val="009D0139"/>
    <w:rsid w:val="009D717D"/>
    <w:rsid w:val="009D7C80"/>
    <w:rsid w:val="009F5CDC"/>
    <w:rsid w:val="009F7E47"/>
    <w:rsid w:val="00A072D7"/>
    <w:rsid w:val="00A461A2"/>
    <w:rsid w:val="00A462A0"/>
    <w:rsid w:val="00A775CF"/>
    <w:rsid w:val="00A81FF2"/>
    <w:rsid w:val="00A90C31"/>
    <w:rsid w:val="00A945EB"/>
    <w:rsid w:val="00AA3FA0"/>
    <w:rsid w:val="00AA601F"/>
    <w:rsid w:val="00AA74D9"/>
    <w:rsid w:val="00AB6BD9"/>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8746D"/>
    <w:rsid w:val="00BA2C79"/>
    <w:rsid w:val="00BE4C22"/>
    <w:rsid w:val="00BF519D"/>
    <w:rsid w:val="00C019E3"/>
    <w:rsid w:val="00C03015"/>
    <w:rsid w:val="00C0358D"/>
    <w:rsid w:val="00C149B5"/>
    <w:rsid w:val="00C35A27"/>
    <w:rsid w:val="00C45ABA"/>
    <w:rsid w:val="00C47B2E"/>
    <w:rsid w:val="00C512AD"/>
    <w:rsid w:val="00C5287E"/>
    <w:rsid w:val="00C544C4"/>
    <w:rsid w:val="00C637FA"/>
    <w:rsid w:val="00C7275C"/>
    <w:rsid w:val="00C84422"/>
    <w:rsid w:val="00C94A00"/>
    <w:rsid w:val="00C952C6"/>
    <w:rsid w:val="00C96282"/>
    <w:rsid w:val="00CA1A36"/>
    <w:rsid w:val="00CC2928"/>
    <w:rsid w:val="00CC5C16"/>
    <w:rsid w:val="00CC7758"/>
    <w:rsid w:val="00CD157A"/>
    <w:rsid w:val="00CD532F"/>
    <w:rsid w:val="00CF5A5B"/>
    <w:rsid w:val="00CF638E"/>
    <w:rsid w:val="00D02176"/>
    <w:rsid w:val="00D02DC7"/>
    <w:rsid w:val="00D1625A"/>
    <w:rsid w:val="00D37E2B"/>
    <w:rsid w:val="00D41E65"/>
    <w:rsid w:val="00D61B8F"/>
    <w:rsid w:val="00D63A17"/>
    <w:rsid w:val="00D63CD2"/>
    <w:rsid w:val="00D70E96"/>
    <w:rsid w:val="00D77868"/>
    <w:rsid w:val="00D85308"/>
    <w:rsid w:val="00D87DC2"/>
    <w:rsid w:val="00D93887"/>
    <w:rsid w:val="00D94B05"/>
    <w:rsid w:val="00D9541C"/>
    <w:rsid w:val="00DA36E8"/>
    <w:rsid w:val="00DB312D"/>
    <w:rsid w:val="00DB4D23"/>
    <w:rsid w:val="00DB52EE"/>
    <w:rsid w:val="00DB71A2"/>
    <w:rsid w:val="00DB778E"/>
    <w:rsid w:val="00DC7379"/>
    <w:rsid w:val="00DE5139"/>
    <w:rsid w:val="00DE60E7"/>
    <w:rsid w:val="00DF37B7"/>
    <w:rsid w:val="00E02C2B"/>
    <w:rsid w:val="00E050E4"/>
    <w:rsid w:val="00E14B48"/>
    <w:rsid w:val="00E21C27"/>
    <w:rsid w:val="00E24C4C"/>
    <w:rsid w:val="00E26BCF"/>
    <w:rsid w:val="00E26C01"/>
    <w:rsid w:val="00E27C94"/>
    <w:rsid w:val="00E51935"/>
    <w:rsid w:val="00E52109"/>
    <w:rsid w:val="00E55302"/>
    <w:rsid w:val="00E74576"/>
    <w:rsid w:val="00E75317"/>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606E3"/>
    <w:rsid w:val="00F606E8"/>
    <w:rsid w:val="00F65F5D"/>
    <w:rsid w:val="00F66365"/>
    <w:rsid w:val="00F72A51"/>
    <w:rsid w:val="00F82D57"/>
    <w:rsid w:val="00F86A3A"/>
    <w:rsid w:val="00F90EE7"/>
    <w:rsid w:val="00FA2B35"/>
    <w:rsid w:val="00FA42DA"/>
    <w:rsid w:val="00FC3356"/>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35</TotalTime>
  <Pages>2</Pages>
  <Words>913</Words>
  <Characters>5133</Characters>
  <Application>Microsoft Office Word</Application>
  <DocSecurity>0</DocSecurity>
  <Lines>88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UN/SCETDG/64/INF.16</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UN/SCETDG/64/INF.16</dc:title>
  <dc:subject/>
  <dc:creator>Alicia DORCA-GARCIA</dc:creator>
  <cp:keywords/>
  <cp:lastModifiedBy>Alicia Dorca Garcia</cp:lastModifiedBy>
  <cp:revision>37</cp:revision>
  <dcterms:created xsi:type="dcterms:W3CDTF">2024-06-05T11:50:00Z</dcterms:created>
  <dcterms:modified xsi:type="dcterms:W3CDTF">2024-06-06T14:40:00Z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